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3CD91CD1" w:rsidR="00F56FE9" w:rsidRPr="0000143A" w:rsidRDefault="0001639C" w:rsidP="0001639C">
      <w:pPr>
        <w:pStyle w:val="Titletext"/>
        <w:tabs>
          <w:tab w:val="left" w:pos="3890"/>
        </w:tabs>
        <w:jc w:val="right"/>
      </w:pPr>
      <w:bookmarkStart w:id="0" w:name="_Toc118533845"/>
      <w:bookmarkStart w:id="1" w:name="_Toc121209920"/>
      <w:bookmarkStart w:id="2" w:name="_Toc110915462"/>
      <w:r w:rsidRPr="008E4C60">
        <w:t>January 2026</w:t>
      </w:r>
    </w:p>
    <w:p w14:paraId="57FD6CA7" w14:textId="1A860BED" w:rsidR="00F56FE9" w:rsidRPr="0000143A" w:rsidRDefault="00C449D7" w:rsidP="0001639C">
      <w:pPr>
        <w:pStyle w:val="Titletext"/>
        <w:spacing w:before="72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w:t>
      </w:r>
      <w:r w:rsidR="006815F3" w:rsidRPr="0000143A">
        <w:rPr>
          <w:sz w:val="52"/>
          <w:szCs w:val="52"/>
        </w:rPr>
        <w:t xml:space="preserve">(Consultation version) </w:t>
      </w:r>
      <w:r w:rsidR="00F56FE9" w:rsidRPr="0000143A">
        <w:rPr>
          <w:sz w:val="52"/>
          <w:szCs w:val="52"/>
        </w:rPr>
        <w:t>for</w:t>
      </w:r>
    </w:p>
    <w:p w14:paraId="303E1637" w14:textId="55CE6143" w:rsidR="00F56FE9" w:rsidRPr="008E4C60" w:rsidRDefault="00F56FE9" w:rsidP="00931BCD">
      <w:pPr>
        <w:pStyle w:val="Titletext"/>
        <w:spacing w:before="600" w:after="120"/>
        <w:jc w:val="center"/>
        <w:rPr>
          <w:sz w:val="52"/>
          <w:szCs w:val="52"/>
        </w:rPr>
      </w:pPr>
      <w:r w:rsidRPr="00204367">
        <w:rPr>
          <w:b/>
          <w:bCs/>
          <w:sz w:val="52"/>
          <w:szCs w:val="52"/>
        </w:rPr>
        <w:t>DIR</w:t>
      </w:r>
      <w:r w:rsidR="00497D38">
        <w:rPr>
          <w:b/>
          <w:bCs/>
          <w:sz w:val="52"/>
          <w:szCs w:val="52"/>
        </w:rPr>
        <w:t>-</w:t>
      </w:r>
      <w:r w:rsidR="00497D38" w:rsidRPr="008E4C60">
        <w:rPr>
          <w:b/>
          <w:bCs/>
          <w:sz w:val="52"/>
          <w:szCs w:val="52"/>
        </w:rPr>
        <w:t>2</w:t>
      </w:r>
      <w:r w:rsidR="00451B33" w:rsidRPr="008E4C60">
        <w:rPr>
          <w:b/>
          <w:bCs/>
          <w:sz w:val="52"/>
          <w:szCs w:val="52"/>
        </w:rPr>
        <w:t>2</w:t>
      </w:r>
      <w:r w:rsidR="00497D38" w:rsidRPr="008E4C60">
        <w:rPr>
          <w:b/>
          <w:bCs/>
          <w:sz w:val="52"/>
          <w:szCs w:val="52"/>
        </w:rPr>
        <w:t>3</w:t>
      </w:r>
    </w:p>
    <w:p w14:paraId="6EF2F96A" w14:textId="73BF8B00" w:rsidR="000E3E87" w:rsidRPr="008E4C60" w:rsidRDefault="00451B33" w:rsidP="000E3E87">
      <w:pPr>
        <w:spacing w:before="480"/>
        <w:jc w:val="center"/>
        <w:rPr>
          <w:rFonts w:eastAsia="SimSun"/>
          <w:sz w:val="48"/>
          <w:szCs w:val="48"/>
        </w:rPr>
      </w:pPr>
      <w:r w:rsidRPr="008E4C60">
        <w:rPr>
          <w:rFonts w:eastAsia="SimSun"/>
          <w:sz w:val="48"/>
          <w:szCs w:val="48"/>
        </w:rPr>
        <w:t xml:space="preserve">Clinical trials of a genetically modified </w:t>
      </w:r>
      <w:r w:rsidR="00B870A6">
        <w:rPr>
          <w:rFonts w:eastAsia="SimSun"/>
          <w:sz w:val="48"/>
          <w:szCs w:val="48"/>
        </w:rPr>
        <w:t>adeno</w:t>
      </w:r>
      <w:r w:rsidRPr="008E4C60">
        <w:rPr>
          <w:rFonts w:eastAsia="SimSun"/>
          <w:sz w:val="48"/>
          <w:szCs w:val="48"/>
        </w:rPr>
        <w:t>virus for treatment of bladder cancer</w:t>
      </w:r>
    </w:p>
    <w:p w14:paraId="4FC5091B" w14:textId="5DEFD169" w:rsidR="00931BCD" w:rsidRPr="008E4C60" w:rsidRDefault="000E3E87" w:rsidP="0001639C">
      <w:pPr>
        <w:spacing w:before="480" w:after="1680"/>
        <w:jc w:val="center"/>
        <w:rPr>
          <w:rFonts w:eastAsia="SimSun"/>
          <w:sz w:val="40"/>
          <w:szCs w:val="40"/>
        </w:rPr>
      </w:pPr>
      <w:r w:rsidRPr="008E4C60">
        <w:rPr>
          <w:rFonts w:eastAsia="SimSun"/>
          <w:bCs/>
          <w:sz w:val="40"/>
          <w:szCs w:val="40"/>
        </w:rPr>
        <w:t>Applicant</w:t>
      </w:r>
      <w:r w:rsidRPr="008E4C60">
        <w:rPr>
          <w:rFonts w:eastAsia="SimSun"/>
          <w:sz w:val="40"/>
          <w:szCs w:val="40"/>
        </w:rPr>
        <w:t xml:space="preserve">: </w:t>
      </w:r>
      <w:r w:rsidR="00451B33" w:rsidRPr="008E4C60">
        <w:rPr>
          <w:rFonts w:eastAsia="SimSun"/>
          <w:sz w:val="40"/>
          <w:szCs w:val="40"/>
        </w:rPr>
        <w:t>Ferring Pharmaceuticals Pty Ltd</w:t>
      </w:r>
    </w:p>
    <w:p w14:paraId="54FB37D6" w14:textId="068A0283" w:rsidR="00931BCD" w:rsidRPr="00A76810" w:rsidRDefault="00931BCD" w:rsidP="00931BCD">
      <w:pPr>
        <w:pBdr>
          <w:top w:val="single" w:sz="4" w:space="1" w:color="auto"/>
          <w:left w:val="single" w:sz="4" w:space="4" w:color="auto"/>
          <w:bottom w:val="single" w:sz="4" w:space="1" w:color="auto"/>
          <w:right w:val="single" w:sz="4" w:space="4" w:color="auto"/>
        </w:pBdr>
        <w:spacing w:before="720"/>
        <w:jc w:val="center"/>
        <w:rPr>
          <w:b/>
          <w:sz w:val="28"/>
          <w:szCs w:val="28"/>
          <w:lang w:eastAsia="en-US"/>
        </w:rPr>
      </w:pPr>
      <w:r w:rsidRPr="00A76810">
        <w:rPr>
          <w:b/>
          <w:sz w:val="28"/>
          <w:szCs w:val="28"/>
          <w:lang w:eastAsia="en-US"/>
        </w:rPr>
        <w:t xml:space="preserve">This RARMP is open for consultation </w:t>
      </w:r>
      <w:r w:rsidRPr="004C3958">
        <w:rPr>
          <w:b/>
          <w:sz w:val="28"/>
          <w:szCs w:val="28"/>
          <w:lang w:eastAsia="en-US"/>
        </w:rPr>
        <w:t xml:space="preserve">until </w:t>
      </w:r>
      <w:r w:rsidR="008E4C60" w:rsidRPr="009265BE">
        <w:rPr>
          <w:b/>
          <w:sz w:val="28"/>
          <w:szCs w:val="28"/>
          <w:lang w:eastAsia="en-US"/>
        </w:rPr>
        <w:t>6</w:t>
      </w:r>
      <w:r w:rsidR="00693608" w:rsidRPr="008E4C60">
        <w:rPr>
          <w:b/>
          <w:color w:val="0000FF"/>
          <w:sz w:val="28"/>
          <w:szCs w:val="28"/>
          <w:lang w:eastAsia="en-US"/>
        </w:rPr>
        <w:t xml:space="preserve"> </w:t>
      </w:r>
      <w:r w:rsidR="00693608" w:rsidRPr="008E4C60">
        <w:rPr>
          <w:b/>
          <w:sz w:val="28"/>
          <w:szCs w:val="28"/>
          <w:lang w:eastAsia="en-US"/>
        </w:rPr>
        <w:t>M</w:t>
      </w:r>
      <w:r w:rsidR="00451B33" w:rsidRPr="008E4C60">
        <w:rPr>
          <w:b/>
          <w:sz w:val="28"/>
          <w:szCs w:val="28"/>
          <w:lang w:eastAsia="en-US"/>
        </w:rPr>
        <w:t>arch</w:t>
      </w:r>
      <w:r w:rsidR="00693608" w:rsidRPr="008E4C60">
        <w:rPr>
          <w:b/>
          <w:sz w:val="28"/>
          <w:szCs w:val="28"/>
          <w:lang w:eastAsia="en-US"/>
        </w:rPr>
        <w:t xml:space="preserve"> </w:t>
      </w:r>
      <w:r w:rsidR="0000143A" w:rsidRPr="008E4C60">
        <w:rPr>
          <w:b/>
          <w:sz w:val="28"/>
          <w:szCs w:val="28"/>
          <w:lang w:eastAsia="en-US"/>
        </w:rPr>
        <w:t>20</w:t>
      </w:r>
      <w:r w:rsidR="002C2FAF" w:rsidRPr="008E4C60">
        <w:rPr>
          <w:b/>
          <w:sz w:val="28"/>
          <w:szCs w:val="28"/>
          <w:lang w:eastAsia="en-US"/>
        </w:rPr>
        <w:t>2</w:t>
      </w:r>
      <w:r w:rsidR="00451B33" w:rsidRPr="008E4C60">
        <w:rPr>
          <w:b/>
          <w:sz w:val="28"/>
          <w:szCs w:val="28"/>
          <w:lang w:eastAsia="en-US"/>
        </w:rPr>
        <w:t>6</w:t>
      </w:r>
      <w:r w:rsidRPr="004C3958">
        <w:rPr>
          <w:b/>
          <w:sz w:val="28"/>
          <w:szCs w:val="28"/>
          <w:lang w:eastAsia="en-US"/>
        </w:rPr>
        <w:t>.</w:t>
      </w:r>
    </w:p>
    <w:p w14:paraId="4499DD37" w14:textId="43FE5586"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lang w:eastAsia="en-US"/>
        </w:rPr>
      </w:pPr>
      <w:r w:rsidRPr="0000143A">
        <w:rPr>
          <w:szCs w:val="20"/>
        </w:rPr>
        <w:t xml:space="preserve">Written comments on the risks to human health and safety and the environment posed by this proposed </w:t>
      </w:r>
      <w:r w:rsidR="007F1CEB">
        <w:rPr>
          <w:szCs w:val="20"/>
        </w:rPr>
        <w:t>clinical trial</w:t>
      </w:r>
      <w:r w:rsidR="00B340F9">
        <w:rPr>
          <w:szCs w:val="20"/>
        </w:rPr>
        <w:t xml:space="preserve"> of </w:t>
      </w:r>
      <w:r w:rsidR="00B340F9" w:rsidRPr="003A7E6F">
        <w:rPr>
          <w:szCs w:val="20"/>
        </w:rPr>
        <w:t>the GM</w:t>
      </w:r>
      <w:r w:rsidR="007F3CF8" w:rsidRPr="003A7E6F">
        <w:rPr>
          <w:szCs w:val="20"/>
        </w:rPr>
        <w:t xml:space="preserve"> </w:t>
      </w:r>
      <w:r w:rsidR="00A52640">
        <w:rPr>
          <w:szCs w:val="20"/>
        </w:rPr>
        <w:t>human adenovirus treatment</w:t>
      </w:r>
      <w:r w:rsidR="00B340F9" w:rsidRPr="0000143A">
        <w:rPr>
          <w:szCs w:val="20"/>
        </w:rPr>
        <w:t xml:space="preserve"> </w:t>
      </w:r>
      <w:r w:rsidRPr="0000143A">
        <w:rPr>
          <w:szCs w:val="20"/>
        </w:rPr>
        <w:t xml:space="preserve">are invited. You may make your submission </w:t>
      </w:r>
    </w:p>
    <w:p w14:paraId="77B781EA" w14:textId="735A9352" w:rsidR="00A543DA" w:rsidRDefault="00A543DA"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Via the consultation hub:</w:t>
      </w:r>
      <w:r>
        <w:rPr>
          <w:szCs w:val="20"/>
        </w:rPr>
        <w:tab/>
      </w:r>
      <w:hyperlink r:id="rId8" w:history="1">
        <w:r w:rsidRPr="00A543DA">
          <w:rPr>
            <w:rStyle w:val="Hyperlink"/>
            <w:szCs w:val="20"/>
          </w:rPr>
          <w:t>https://consultations.health.gov.au</w:t>
        </w:r>
      </w:hyperlink>
      <w:r w:rsidRPr="00A543DA">
        <w:rPr>
          <w:szCs w:val="20"/>
        </w:rPr>
        <w:t xml:space="preserve"> (search for </w:t>
      </w:r>
      <w:r w:rsidRPr="008E4C60">
        <w:rPr>
          <w:szCs w:val="20"/>
        </w:rPr>
        <w:t>DIR 2</w:t>
      </w:r>
      <w:r w:rsidR="00451B33" w:rsidRPr="008E4C60">
        <w:rPr>
          <w:szCs w:val="20"/>
        </w:rPr>
        <w:t>2</w:t>
      </w:r>
      <w:r w:rsidRPr="008E4C60">
        <w:rPr>
          <w:szCs w:val="20"/>
        </w:rPr>
        <w:t>3)</w:t>
      </w:r>
    </w:p>
    <w:p w14:paraId="002E103B" w14:textId="612D4243" w:rsidR="00296F44" w:rsidRDefault="00296F44" w:rsidP="00806D24">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via email to: </w:t>
      </w:r>
      <w:r w:rsidRPr="0000143A">
        <w:rPr>
          <w:szCs w:val="20"/>
        </w:rPr>
        <w:tab/>
      </w:r>
      <w:r>
        <w:rPr>
          <w:szCs w:val="20"/>
        </w:rPr>
        <w:tab/>
      </w:r>
      <w:r>
        <w:rPr>
          <w:szCs w:val="20"/>
        </w:rPr>
        <w:tab/>
      </w:r>
      <w:hyperlink r:id="rId9" w:history="1">
        <w:r w:rsidRPr="002878F6">
          <w:rPr>
            <w:rStyle w:val="Hyperlink"/>
            <w:szCs w:val="20"/>
          </w:rPr>
          <w:t>ogtr@health.gov.au</w:t>
        </w:r>
      </w:hyperlink>
    </w:p>
    <w:p w14:paraId="640E9C75" w14:textId="1558BD11" w:rsidR="00A543DA" w:rsidRDefault="00296F44"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 xml:space="preserve">or </w:t>
      </w:r>
      <w:r w:rsidR="00931BCD" w:rsidRPr="0000143A">
        <w:rPr>
          <w:szCs w:val="20"/>
        </w:rPr>
        <w:t xml:space="preserve">via mail to: </w:t>
      </w:r>
      <w:r w:rsidR="00931BCD" w:rsidRPr="0000143A">
        <w:rPr>
          <w:szCs w:val="20"/>
        </w:rPr>
        <w:tab/>
      </w:r>
      <w:r w:rsidR="00A543DA">
        <w:rPr>
          <w:szCs w:val="20"/>
        </w:rPr>
        <w:tab/>
      </w:r>
      <w:r w:rsidR="00A543DA">
        <w:rPr>
          <w:szCs w:val="20"/>
        </w:rPr>
        <w:tab/>
      </w:r>
      <w:r w:rsidR="00931BCD" w:rsidRPr="0000143A">
        <w:rPr>
          <w:szCs w:val="20"/>
        </w:rPr>
        <w:t xml:space="preserve">The Office of the Gene Technology Regulator, </w:t>
      </w:r>
    </w:p>
    <w:p w14:paraId="55DEFB2A" w14:textId="28A1FDF7" w:rsidR="00931BCD" w:rsidRPr="0000143A" w:rsidRDefault="00A543DA" w:rsidP="00296F44">
      <w:pPr>
        <w:pBdr>
          <w:top w:val="single" w:sz="4" w:space="1" w:color="auto"/>
          <w:left w:val="single" w:sz="4" w:space="4" w:color="auto"/>
          <w:bottom w:val="single" w:sz="4" w:space="1" w:color="auto"/>
          <w:right w:val="single" w:sz="4" w:space="4" w:color="auto"/>
        </w:pBdr>
        <w:ind w:left="1559" w:hanging="1559"/>
        <w:rPr>
          <w:szCs w:val="20"/>
        </w:rPr>
      </w:pPr>
      <w:r>
        <w:rPr>
          <w:szCs w:val="20"/>
        </w:rPr>
        <w:t xml:space="preserve">                                                   </w:t>
      </w:r>
      <w:r w:rsidR="00931BCD" w:rsidRPr="0000143A">
        <w:rPr>
          <w:szCs w:val="20"/>
        </w:rPr>
        <w:t xml:space="preserve">MDP 54 GPO Box 9848, </w:t>
      </w:r>
      <w:proofErr w:type="gramStart"/>
      <w:r w:rsidR="00931BCD" w:rsidRPr="0000143A">
        <w:rPr>
          <w:szCs w:val="20"/>
        </w:rPr>
        <w:t xml:space="preserve">Canberra </w:t>
      </w:r>
      <w:r>
        <w:rPr>
          <w:szCs w:val="20"/>
        </w:rPr>
        <w:t xml:space="preserve"> </w:t>
      </w:r>
      <w:r w:rsidR="00931BCD" w:rsidRPr="0000143A">
        <w:rPr>
          <w:szCs w:val="20"/>
        </w:rPr>
        <w:t>ACT</w:t>
      </w:r>
      <w:proofErr w:type="gramEnd"/>
      <w:r w:rsidR="00931BCD" w:rsidRPr="0000143A">
        <w:rPr>
          <w:szCs w:val="20"/>
        </w:rPr>
        <w:t xml:space="preserve"> 2601</w:t>
      </w:r>
    </w:p>
    <w:p w14:paraId="6656584A" w14:textId="38A6BB29"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rPr>
      </w:pPr>
      <w:r w:rsidRPr="0000143A">
        <w:rPr>
          <w:szCs w:val="20"/>
        </w:rPr>
        <w:t>Pl</w:t>
      </w:r>
      <w:r w:rsidR="00C75A58">
        <w:rPr>
          <w:szCs w:val="20"/>
        </w:rPr>
        <w:t xml:space="preserve">ease note that issues regarding patient safety and the quality of the </w:t>
      </w:r>
      <w:r w:rsidR="00700166">
        <w:rPr>
          <w:szCs w:val="20"/>
        </w:rPr>
        <w:t>therapeutic</w:t>
      </w:r>
      <w:r w:rsidR="00700166" w:rsidRPr="0000143A">
        <w:rPr>
          <w:szCs w:val="20"/>
        </w:rPr>
        <w:t xml:space="preserve"> </w:t>
      </w:r>
      <w:r w:rsidRPr="00244FDD">
        <w:rPr>
          <w:b/>
          <w:szCs w:val="20"/>
        </w:rPr>
        <w:t>do not</w:t>
      </w:r>
      <w:r w:rsidRPr="0000143A">
        <w:rPr>
          <w:szCs w:val="20"/>
        </w:rPr>
        <w:t xml:space="preserve"> fall within the scope of these evaluations as they are the responsibilities of other agencies and authorities.</w:t>
      </w:r>
    </w:p>
    <w:p w14:paraId="19860D84" w14:textId="77777777" w:rsidR="00931BCD" w:rsidRPr="0000143A" w:rsidRDefault="00931BCD" w:rsidP="00931BCD">
      <w:pPr>
        <w:jc w:val="center"/>
        <w:rPr>
          <w:lang w:eastAsia="en-US"/>
        </w:rPr>
        <w:sectPr w:rsidR="00931BCD" w:rsidRPr="0000143A" w:rsidSect="00931BCD">
          <w:headerReference w:type="even" r:id="rId10"/>
          <w:headerReference w:type="default" r:id="rId11"/>
          <w:footerReference w:type="even" r:id="rId12"/>
          <w:footerReference w:type="default" r:id="rId13"/>
          <w:headerReference w:type="first" r:id="rId14"/>
          <w:pgSz w:w="11906" w:h="16838"/>
          <w:pgMar w:top="1134" w:right="1134" w:bottom="1134" w:left="1134" w:header="709" w:footer="709" w:gutter="0"/>
          <w:pgNumType w:fmt="lowerRoman"/>
          <w:cols w:space="708"/>
          <w:titlePg/>
          <w:docGrid w:linePitch="360"/>
        </w:sectPr>
      </w:pPr>
    </w:p>
    <w:p w14:paraId="7CDCF371" w14:textId="77777777" w:rsidR="00306444" w:rsidRPr="0000143A" w:rsidRDefault="003B4A34" w:rsidP="004D2EFE">
      <w:pPr>
        <w:pStyle w:val="Heading1"/>
      </w:pPr>
      <w:bookmarkStart w:id="3" w:name="_Toc47536733"/>
      <w:bookmarkStart w:id="4" w:name="_Toc219281373"/>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77777777"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(Consultation Version)</w:t>
      </w:r>
      <w:r w:rsidR="00306444" w:rsidRPr="0000143A">
        <w:rPr>
          <w:rFonts w:cs="Arial"/>
          <w:b/>
          <w:bCs/>
          <w:kern w:val="32"/>
          <w:sz w:val="28"/>
          <w:szCs w:val="28"/>
          <w:lang w:eastAsia="en-US"/>
        </w:rPr>
        <w:t xml:space="preserve"> </w:t>
      </w:r>
      <w:r w:rsidRPr="0000143A">
        <w:rPr>
          <w:rFonts w:cs="Arial"/>
          <w:b/>
          <w:bCs/>
          <w:kern w:val="32"/>
          <w:sz w:val="28"/>
          <w:szCs w:val="28"/>
          <w:lang w:eastAsia="en-US"/>
        </w:rPr>
        <w:t>for</w:t>
      </w:r>
    </w:p>
    <w:p w14:paraId="5966CEFC" w14:textId="51195AD0" w:rsidR="003B4A34" w:rsidRPr="008E4C60"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A52640" w:rsidRPr="008E4C60">
        <w:rPr>
          <w:rFonts w:cs="Arial"/>
          <w:b/>
          <w:bCs/>
          <w:kern w:val="32"/>
          <w:sz w:val="36"/>
          <w:szCs w:val="36"/>
          <w:lang w:eastAsia="en-US"/>
        </w:rPr>
        <w:t>-2</w:t>
      </w:r>
      <w:r w:rsidR="00451B33" w:rsidRPr="008E4C60">
        <w:rPr>
          <w:rFonts w:cs="Arial"/>
          <w:b/>
          <w:bCs/>
          <w:kern w:val="32"/>
          <w:sz w:val="36"/>
          <w:szCs w:val="36"/>
          <w:lang w:eastAsia="en-US"/>
        </w:rPr>
        <w:t>2</w:t>
      </w:r>
      <w:r w:rsidR="00A52640" w:rsidRPr="008E4C60">
        <w:rPr>
          <w:rFonts w:cs="Arial"/>
          <w:b/>
          <w:bCs/>
          <w:kern w:val="32"/>
          <w:sz w:val="36"/>
          <w:szCs w:val="36"/>
          <w:lang w:eastAsia="en-US"/>
        </w:rPr>
        <w:t>3</w:t>
      </w:r>
    </w:p>
    <w:p w14:paraId="581F7735" w14:textId="77777777" w:rsidR="00981194" w:rsidRPr="008E4C60" w:rsidRDefault="00981194" w:rsidP="00BE23F9">
      <w:pPr>
        <w:pStyle w:val="Heading2"/>
        <w:numPr>
          <w:ilvl w:val="0"/>
          <w:numId w:val="0"/>
        </w:numPr>
        <w:rPr>
          <w:lang w:eastAsia="en-US"/>
        </w:rPr>
      </w:pPr>
      <w:bookmarkStart w:id="13" w:name="_Toc47536734"/>
      <w:bookmarkStart w:id="14" w:name="_Toc219281374"/>
      <w:r w:rsidRPr="008E4C60">
        <w:rPr>
          <w:lang w:eastAsia="en-US"/>
        </w:rPr>
        <w:t>Introduction</w:t>
      </w:r>
      <w:bookmarkEnd w:id="13"/>
      <w:bookmarkEnd w:id="14"/>
    </w:p>
    <w:p w14:paraId="5A3EACD1" w14:textId="77777777" w:rsidR="00495868" w:rsidRPr="008E4C60" w:rsidRDefault="00495868" w:rsidP="00495868">
      <w:bookmarkStart w:id="15" w:name="_Toc342042135"/>
      <w:bookmarkStart w:id="16" w:name="_Toc47536735"/>
      <w:bookmarkStart w:id="17" w:name="_Toc291151777"/>
      <w:bookmarkStart w:id="18" w:name="_Toc274904727"/>
      <w:bookmarkStart w:id="19" w:name="_Toc209859548"/>
      <w:bookmarkEnd w:id="5"/>
      <w:bookmarkEnd w:id="6"/>
      <w:bookmarkEnd w:id="7"/>
      <w:bookmarkEnd w:id="8"/>
      <w:bookmarkEnd w:id="9"/>
      <w:bookmarkEnd w:id="10"/>
      <w:bookmarkEnd w:id="11"/>
      <w:bookmarkEnd w:id="12"/>
      <w:r w:rsidRPr="008E4C60">
        <w:t>The Gene Technology Regulator (the Regulator) has received a licence application to conduct a clinical trial using a genetically modified organism (GMO). It qualifies as a Dealing involving the Intentional Release (DIR) of GMOs into the Australian environment under the</w:t>
      </w:r>
      <w:r w:rsidRPr="008E4C60">
        <w:rPr>
          <w:i/>
        </w:rPr>
        <w:t xml:space="preserve"> Gene Technology Act 2000</w:t>
      </w:r>
      <w:r w:rsidRPr="008E4C60">
        <w:t xml:space="preserve">. </w:t>
      </w:r>
    </w:p>
    <w:p w14:paraId="3178A704" w14:textId="3549F6DE" w:rsidR="00495868" w:rsidRPr="008E4C60" w:rsidRDefault="00495868" w:rsidP="00495868">
      <w:pPr>
        <w:rPr>
          <w:rFonts w:cs="Calibri"/>
          <w:szCs w:val="22"/>
        </w:rPr>
      </w:pPr>
      <w:r w:rsidRPr="008E4C60">
        <w:t xml:space="preserve">The applicant, </w:t>
      </w:r>
      <w:bookmarkStart w:id="20" w:name="_Hlk216886831"/>
      <w:r w:rsidR="00451B33" w:rsidRPr="008E4C60">
        <w:rPr>
          <w:rFonts w:asciiTheme="minorHAnsi" w:hAnsiTheme="minorHAnsi" w:cstheme="minorHAnsi"/>
          <w:szCs w:val="22"/>
        </w:rPr>
        <w:t>Ferring Pharmaceuticals Pty Ltd (Ferring)</w:t>
      </w:r>
      <w:bookmarkEnd w:id="20"/>
      <w:r w:rsidRPr="008E4C60">
        <w:t>, proposes to conduct a clinical trial to evaluate the safety and efficacy of a genetically modified (GM) human adenovirus</w:t>
      </w:r>
      <w:r w:rsidR="0011300D" w:rsidRPr="008E4C60">
        <w:t xml:space="preserve">, </w:t>
      </w:r>
      <w:proofErr w:type="spellStart"/>
      <w:r w:rsidR="0011300D" w:rsidRPr="008E4C60">
        <w:t>nadofaragen</w:t>
      </w:r>
      <w:r w:rsidR="00A520AD" w:rsidRPr="008E4C60">
        <w:t>e</w:t>
      </w:r>
      <w:proofErr w:type="spellEnd"/>
      <w:r w:rsidR="0011300D" w:rsidRPr="008E4C60">
        <w:t xml:space="preserve"> </w:t>
      </w:r>
      <w:proofErr w:type="spellStart"/>
      <w:r w:rsidR="0011300D" w:rsidRPr="008E4C60">
        <w:t>firadenovec</w:t>
      </w:r>
      <w:proofErr w:type="spellEnd"/>
      <w:r w:rsidR="0011300D" w:rsidRPr="008E4C60">
        <w:t>,</w:t>
      </w:r>
      <w:r w:rsidRPr="008E4C60">
        <w:rPr>
          <w:rFonts w:asciiTheme="minorHAnsi" w:hAnsiTheme="minorHAnsi" w:cstheme="minorHAnsi"/>
          <w:szCs w:val="22"/>
        </w:rPr>
        <w:t xml:space="preserve"> for the treatment of Australian patients with </w:t>
      </w:r>
      <w:r w:rsidR="00AD6F17" w:rsidRPr="008E4C60">
        <w:rPr>
          <w:rFonts w:asciiTheme="minorHAnsi" w:hAnsiTheme="minorHAnsi" w:cstheme="minorHAnsi"/>
          <w:szCs w:val="22"/>
        </w:rPr>
        <w:t xml:space="preserve">bladder </w:t>
      </w:r>
      <w:r w:rsidR="00A520AD" w:rsidRPr="008E4C60">
        <w:rPr>
          <w:rFonts w:asciiTheme="minorHAnsi" w:hAnsiTheme="minorHAnsi" w:cstheme="minorHAnsi"/>
          <w:szCs w:val="22"/>
        </w:rPr>
        <w:t>cancer</w:t>
      </w:r>
      <w:r w:rsidRPr="008E4C60">
        <w:rPr>
          <w:rFonts w:cs="Calibri"/>
          <w:szCs w:val="22"/>
        </w:rPr>
        <w:t>.</w:t>
      </w:r>
    </w:p>
    <w:p w14:paraId="71E7D6DB" w14:textId="5811A91B" w:rsidR="00495868" w:rsidRPr="008E4C60" w:rsidRDefault="0011300D" w:rsidP="00495868">
      <w:proofErr w:type="spellStart"/>
      <w:r w:rsidRPr="008E4C60">
        <w:t>Nadofaragene</w:t>
      </w:r>
      <w:proofErr w:type="spellEnd"/>
      <w:r w:rsidRPr="008E4C60">
        <w:t xml:space="preserve"> </w:t>
      </w:r>
      <w:proofErr w:type="spellStart"/>
      <w:r w:rsidRPr="008E4C60">
        <w:t>firadenovec</w:t>
      </w:r>
      <w:proofErr w:type="spellEnd"/>
      <w:r w:rsidRPr="008E4C60">
        <w:t xml:space="preserve"> was developed for the treatment of adult patients with high-risk Bacillus Calmette-Guérin (BCG)-unresponsive non-muscle invasive bladder cancer (NMIBC) with carcinoma in situ (CIS) with or without papillary </w:t>
      </w:r>
      <w:r w:rsidR="00453F69" w:rsidRPr="008E4C60">
        <w:t>tumours</w:t>
      </w:r>
      <w:r w:rsidRPr="008E4C60">
        <w:t xml:space="preserve">. </w:t>
      </w:r>
      <w:r w:rsidR="00495868" w:rsidRPr="008E4C60">
        <w:t xml:space="preserve">The GM adenovirus would be manufactured overseas and imported into Australia. It would be administered by </w:t>
      </w:r>
      <w:r w:rsidRPr="008E4C60">
        <w:t xml:space="preserve">bladder instillation </w:t>
      </w:r>
      <w:r w:rsidR="00495868" w:rsidRPr="008E4C60">
        <w:t xml:space="preserve">in up to </w:t>
      </w:r>
      <w:r w:rsidRPr="008E4C60">
        <w:t>13</w:t>
      </w:r>
      <w:r w:rsidR="00495868" w:rsidRPr="008E4C60">
        <w:t xml:space="preserve"> patients with </w:t>
      </w:r>
      <w:r w:rsidR="00A520AD" w:rsidRPr="008E4C60">
        <w:rPr>
          <w:szCs w:val="22"/>
        </w:rPr>
        <w:t>non-muscle invasive bladder cancer</w:t>
      </w:r>
      <w:r w:rsidR="00A520AD" w:rsidRPr="008E4C60">
        <w:t xml:space="preserve"> </w:t>
      </w:r>
      <w:r w:rsidR="00495868" w:rsidRPr="008E4C60">
        <w:t xml:space="preserve">at clinical facilities and hospitals in Australia.  </w:t>
      </w:r>
    </w:p>
    <w:p w14:paraId="662A8079" w14:textId="4DA083B5" w:rsidR="00495868" w:rsidRPr="008E4C60" w:rsidRDefault="00495868" w:rsidP="00495868">
      <w:r w:rsidRPr="008E4C60">
        <w:t xml:space="preserve">Clinical trials in Australia are conducted in accordance with requirements of the </w:t>
      </w:r>
      <w:r w:rsidRPr="008E4C60">
        <w:rPr>
          <w:i/>
        </w:rPr>
        <w:t>Therapeutic Goods Act 1989</w:t>
      </w:r>
      <w:r w:rsidRPr="008E4C60">
        <w:t xml:space="preserve">, which is administered by the Therapeutic Goods Administration (TGA). Therefore, in addition to approval by the Regulator, </w:t>
      </w:r>
      <w:r w:rsidR="004D2539" w:rsidRPr="008E4C60">
        <w:t>Ferring</w:t>
      </w:r>
      <w:r w:rsidRPr="008E4C60">
        <w:t xml:space="preserve"> would also require authorisation from TGA before the trial commences. Clinical trials conducted in Australia must also be conducted in accordance with the </w:t>
      </w:r>
      <w:hyperlink r:id="rId15" w:history="1">
        <w:r w:rsidRPr="008E4C60">
          <w:rPr>
            <w:rStyle w:val="Hyperlink"/>
            <w:i/>
          </w:rPr>
          <w:t>National Statement on Ethical Conduct in Human Research</w:t>
        </w:r>
      </w:hyperlink>
      <w:r w:rsidRPr="008E4C60">
        <w:rPr>
          <w:i/>
        </w:rPr>
        <w:t xml:space="preserve"> </w:t>
      </w:r>
      <w:r w:rsidRPr="008E4C60">
        <w:t xml:space="preserve">and with the </w:t>
      </w:r>
      <w:hyperlink r:id="rId16" w:history="1">
        <w:r w:rsidRPr="008E4C60">
          <w:rPr>
            <w:rStyle w:val="Hyperlink"/>
            <w:i/>
          </w:rPr>
          <w:t>Guidelines for Good Clinical</w:t>
        </w:r>
        <w:r w:rsidRPr="008E4C60">
          <w:rPr>
            <w:rStyle w:val="Hyperlink"/>
          </w:rPr>
          <w:t xml:space="preserve"> </w:t>
        </w:r>
        <w:r w:rsidRPr="008E4C60">
          <w:rPr>
            <w:rStyle w:val="Hyperlink"/>
            <w:i/>
          </w:rPr>
          <w:t>Practice</w:t>
        </w:r>
      </w:hyperlink>
      <w:r w:rsidRPr="008E4C60">
        <w:t xml:space="preserve"> of the International Council for Harmonisation of Technical Requirements for Registration of Pharmaceuticals for Human Use. </w:t>
      </w:r>
      <w:r w:rsidR="000A3385" w:rsidRPr="008E4C60">
        <w:t>Ferring</w:t>
      </w:r>
      <w:r w:rsidRPr="008E4C60">
        <w:t xml:space="preserve"> would also require approval from the Department of Agriculture, Fisheries and Forestry (DAFF) for import of the GMO into Australia.</w:t>
      </w:r>
    </w:p>
    <w:p w14:paraId="078F97F9" w14:textId="77777777" w:rsidR="00495868" w:rsidRDefault="00495868" w:rsidP="00495868">
      <w:r w:rsidRPr="00A51210">
        <w:t xml:space="preserve">The Regulator has prepared a Risk Assessment and Risk Management Plan (RARMP) for this application, which concludes that the proposed </w:t>
      </w:r>
      <w:r>
        <w:t xml:space="preserve">clinical trial </w:t>
      </w:r>
      <w:r w:rsidRPr="00994355">
        <w:t xml:space="preserve">poses </w:t>
      </w:r>
      <w:r w:rsidRPr="00F07B32">
        <w:t>negligible</w:t>
      </w:r>
      <w:r w:rsidRPr="00994355">
        <w:t xml:space="preserve"> risks to</w:t>
      </w:r>
      <w:r w:rsidRPr="00A51210">
        <w:t xml:space="preserve"> human health and safety and the environment. Licence conditions have been drafted for the proposed </w:t>
      </w:r>
      <w:r>
        <w:t>clinical trial</w:t>
      </w:r>
      <w:r w:rsidRPr="00A51210">
        <w:t>. The Regulator invites submissions on the RARMP, including draft licence conditions, to inform the decision on whether to issue a licence.</w:t>
      </w:r>
    </w:p>
    <w:p w14:paraId="7D248385" w14:textId="33E78356" w:rsidR="00DB5481" w:rsidRPr="00DB5481" w:rsidRDefault="00302CAD" w:rsidP="000D2884">
      <w:pPr>
        <w:pStyle w:val="Heading2"/>
        <w:numPr>
          <w:ilvl w:val="0"/>
          <w:numId w:val="0"/>
        </w:numPr>
      </w:pPr>
      <w:bookmarkStart w:id="21" w:name="_Toc219281375"/>
      <w:r w:rsidRPr="0000143A">
        <w:t>The application</w:t>
      </w:r>
      <w:bookmarkEnd w:id="15"/>
      <w:bookmarkEnd w:id="16"/>
      <w:bookmarkEnd w:id="21"/>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8E4C60" w:rsidRPr="008E4C60" w14:paraId="1E729D1A" w14:textId="77777777" w:rsidTr="00757821">
        <w:trPr>
          <w:jc w:val="center"/>
        </w:trPr>
        <w:tc>
          <w:tcPr>
            <w:tcW w:w="2681" w:type="dxa"/>
          </w:tcPr>
          <w:p w14:paraId="43654853" w14:textId="77777777" w:rsidR="006F3B0D" w:rsidRPr="008E4C60" w:rsidRDefault="006F3B0D" w:rsidP="006F3B0D">
            <w:pPr>
              <w:widowControl w:val="0"/>
              <w:tabs>
                <w:tab w:val="right" w:leader="dot" w:pos="9356"/>
              </w:tabs>
              <w:spacing w:before="60" w:after="60"/>
              <w:rPr>
                <w:rFonts w:cs="Arial Narrow"/>
                <w:b/>
                <w:bCs/>
                <w:i/>
                <w:szCs w:val="22"/>
              </w:rPr>
            </w:pPr>
            <w:bookmarkStart w:id="22" w:name="_Toc342042136"/>
            <w:bookmarkStart w:id="23" w:name="_Toc47536736"/>
            <w:r w:rsidRPr="008E4C60">
              <w:rPr>
                <w:rFonts w:cs="Arial Narrow"/>
                <w:b/>
                <w:bCs/>
                <w:i/>
                <w:szCs w:val="22"/>
              </w:rPr>
              <w:t>Project Title</w:t>
            </w:r>
          </w:p>
        </w:tc>
        <w:tc>
          <w:tcPr>
            <w:tcW w:w="7214" w:type="dxa"/>
          </w:tcPr>
          <w:p w14:paraId="1F947C55" w14:textId="16447C6F" w:rsidR="006F3B0D" w:rsidRPr="008E4C60" w:rsidRDefault="006F3B0D" w:rsidP="006F3B0D">
            <w:pPr>
              <w:keepNext/>
              <w:widowControl w:val="0"/>
              <w:tabs>
                <w:tab w:val="right" w:leader="dot" w:pos="9356"/>
              </w:tabs>
              <w:spacing w:before="60" w:after="60"/>
              <w:rPr>
                <w:szCs w:val="22"/>
              </w:rPr>
            </w:pPr>
            <w:r w:rsidRPr="008E4C60">
              <w:rPr>
                <w:szCs w:val="22"/>
              </w:rPr>
              <w:t>Clinical trial of a genetically modified adenovirus for treatment of bladder cancer</w:t>
            </w:r>
            <w:r w:rsidRPr="008E4C60">
              <w:rPr>
                <w:szCs w:val="22"/>
                <w:vertAlign w:val="superscript"/>
              </w:rPr>
              <w:footnoteReference w:id="1"/>
            </w:r>
          </w:p>
        </w:tc>
      </w:tr>
      <w:tr w:rsidR="008E4C60" w:rsidRPr="008E4C60" w14:paraId="43D6A9FD" w14:textId="77777777" w:rsidTr="00757821">
        <w:trPr>
          <w:trHeight w:val="346"/>
          <w:jc w:val="center"/>
        </w:trPr>
        <w:tc>
          <w:tcPr>
            <w:tcW w:w="2681" w:type="dxa"/>
          </w:tcPr>
          <w:p w14:paraId="2E01A837" w14:textId="77777777" w:rsidR="006F3B0D" w:rsidRPr="008E4C60" w:rsidRDefault="006F3B0D" w:rsidP="006F3B0D">
            <w:pPr>
              <w:widowControl w:val="0"/>
              <w:tabs>
                <w:tab w:val="right" w:leader="dot" w:pos="9356"/>
              </w:tabs>
              <w:spacing w:before="40" w:after="40"/>
              <w:rPr>
                <w:rFonts w:cs="Arial Narrow"/>
                <w:b/>
                <w:bCs/>
                <w:i/>
                <w:szCs w:val="22"/>
              </w:rPr>
            </w:pPr>
            <w:r w:rsidRPr="008E4C60">
              <w:rPr>
                <w:rFonts w:cs="Arial Narrow"/>
                <w:b/>
                <w:bCs/>
                <w:i/>
                <w:szCs w:val="22"/>
              </w:rPr>
              <w:t>Parent organism</w:t>
            </w:r>
          </w:p>
        </w:tc>
        <w:tc>
          <w:tcPr>
            <w:tcW w:w="7214" w:type="dxa"/>
          </w:tcPr>
          <w:p w14:paraId="109F218C" w14:textId="77777777" w:rsidR="006F3B0D" w:rsidRPr="008E4C60" w:rsidRDefault="006F3B0D" w:rsidP="006F3B0D">
            <w:pPr>
              <w:widowControl w:val="0"/>
              <w:tabs>
                <w:tab w:val="right" w:leader="dot" w:pos="9356"/>
              </w:tabs>
              <w:spacing w:before="60" w:after="60"/>
              <w:rPr>
                <w:szCs w:val="22"/>
              </w:rPr>
            </w:pPr>
            <w:r w:rsidRPr="008E4C60">
              <w:rPr>
                <w:szCs w:val="22"/>
              </w:rPr>
              <w:t>Human adenovirus type 5 (HAd5)</w:t>
            </w:r>
          </w:p>
        </w:tc>
      </w:tr>
      <w:tr w:rsidR="008E4C60" w:rsidRPr="008E4C60" w14:paraId="58161F5D" w14:textId="77777777" w:rsidTr="00757821">
        <w:trPr>
          <w:jc w:val="center"/>
        </w:trPr>
        <w:tc>
          <w:tcPr>
            <w:tcW w:w="9895" w:type="dxa"/>
            <w:gridSpan w:val="2"/>
          </w:tcPr>
          <w:p w14:paraId="1D44163F" w14:textId="77777777" w:rsidR="006F3B0D" w:rsidRPr="008E4C60" w:rsidRDefault="006F3B0D" w:rsidP="006F3B0D">
            <w:pPr>
              <w:keepNext/>
              <w:tabs>
                <w:tab w:val="right" w:leader="dot" w:pos="9356"/>
              </w:tabs>
              <w:autoSpaceDE w:val="0"/>
              <w:autoSpaceDN w:val="0"/>
              <w:spacing w:before="0" w:after="40"/>
              <w:rPr>
                <w:b/>
                <w:i/>
                <w:szCs w:val="22"/>
              </w:rPr>
            </w:pPr>
            <w:r w:rsidRPr="008E4C60">
              <w:rPr>
                <w:b/>
                <w:i/>
                <w:szCs w:val="22"/>
              </w:rPr>
              <w:lastRenderedPageBreak/>
              <w:t>Genetic modifications</w:t>
            </w:r>
          </w:p>
        </w:tc>
      </w:tr>
      <w:tr w:rsidR="008E4C60" w:rsidRPr="008E4C60" w14:paraId="53519CD8" w14:textId="77777777" w:rsidTr="00757821">
        <w:trPr>
          <w:trHeight w:val="708"/>
          <w:jc w:val="center"/>
        </w:trPr>
        <w:tc>
          <w:tcPr>
            <w:tcW w:w="2681" w:type="dxa"/>
          </w:tcPr>
          <w:p w14:paraId="63BE20A1" w14:textId="77777777" w:rsidR="006F3B0D" w:rsidRPr="00BB57C0" w:rsidRDefault="006F3B0D" w:rsidP="006F3B0D">
            <w:pPr>
              <w:widowControl w:val="0"/>
              <w:tabs>
                <w:tab w:val="right" w:leader="dot" w:pos="9356"/>
              </w:tabs>
              <w:spacing w:before="40" w:after="40"/>
              <w:rPr>
                <w:rFonts w:cs="Arial Narrow"/>
                <w:b/>
                <w:szCs w:val="22"/>
              </w:rPr>
            </w:pPr>
            <w:r w:rsidRPr="00BB57C0">
              <w:rPr>
                <w:rFonts w:cs="Arial Narrow"/>
                <w:b/>
                <w:szCs w:val="22"/>
              </w:rPr>
              <w:t>Introduced genes</w:t>
            </w:r>
          </w:p>
        </w:tc>
        <w:tc>
          <w:tcPr>
            <w:tcW w:w="7214" w:type="dxa"/>
          </w:tcPr>
          <w:p w14:paraId="0FF6A545" w14:textId="77777777" w:rsidR="006F3B0D" w:rsidRPr="008E4C60" w:rsidRDefault="006F3B0D" w:rsidP="006F3B0D">
            <w:pPr>
              <w:widowControl w:val="0"/>
              <w:tabs>
                <w:tab w:val="right" w:leader="dot" w:pos="9356"/>
              </w:tabs>
              <w:spacing w:before="60" w:after="60"/>
              <w:rPr>
                <w:rFonts w:asciiTheme="minorHAnsi" w:hAnsiTheme="minorHAnsi" w:cstheme="minorHAnsi"/>
                <w:i/>
                <w:szCs w:val="22"/>
              </w:rPr>
            </w:pPr>
            <w:r w:rsidRPr="008E4C60">
              <w:rPr>
                <w:rFonts w:asciiTheme="minorHAnsi" w:hAnsiTheme="minorHAnsi" w:cstheme="minorHAnsi"/>
                <w:szCs w:val="22"/>
              </w:rPr>
              <w:t xml:space="preserve">Modified human adenovirus: </w:t>
            </w:r>
          </w:p>
          <w:p w14:paraId="042F074F" w14:textId="2CC5597E"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szCs w:val="22"/>
              </w:rPr>
            </w:pPr>
            <w:r w:rsidRPr="008E4C60">
              <w:rPr>
                <w:rFonts w:asciiTheme="minorHAnsi" w:hAnsiTheme="minorHAnsi" w:cstheme="minorHAnsi"/>
                <w:szCs w:val="22"/>
              </w:rPr>
              <w:t>deletion of gene sequences</w:t>
            </w:r>
            <w:r w:rsidRPr="008E4C60">
              <w:rPr>
                <w:rFonts w:asciiTheme="minorHAnsi" w:hAnsiTheme="minorHAnsi" w:cstheme="minorHAnsi"/>
                <w:szCs w:val="22"/>
                <w:vertAlign w:val="superscript"/>
              </w:rPr>
              <w:footnoteReference w:id="2"/>
            </w:r>
            <w:r w:rsidRPr="008E4C60">
              <w:rPr>
                <w:rFonts w:asciiTheme="minorHAnsi" w:hAnsiTheme="minorHAnsi" w:cstheme="minorHAnsi"/>
                <w:szCs w:val="22"/>
              </w:rPr>
              <w:t xml:space="preserve"> to improve safety</w:t>
            </w:r>
          </w:p>
          <w:p w14:paraId="1B3820DE" w14:textId="655A62FC" w:rsidR="006F3B0D" w:rsidRPr="008E4C60" w:rsidRDefault="006F3B0D" w:rsidP="006F3B0D">
            <w:pPr>
              <w:widowControl w:val="0"/>
              <w:numPr>
                <w:ilvl w:val="0"/>
                <w:numId w:val="107"/>
              </w:numPr>
              <w:tabs>
                <w:tab w:val="right" w:leader="dot" w:pos="9356"/>
              </w:tabs>
              <w:autoSpaceDE w:val="0"/>
              <w:autoSpaceDN w:val="0"/>
              <w:spacing w:before="0" w:after="40"/>
              <w:ind w:left="319" w:hanging="319"/>
              <w:rPr>
                <w:szCs w:val="22"/>
              </w:rPr>
            </w:pPr>
            <w:r w:rsidRPr="008E4C60">
              <w:rPr>
                <w:rFonts w:asciiTheme="minorHAnsi" w:hAnsiTheme="minorHAnsi" w:cstheme="minorHAnsi"/>
                <w:szCs w:val="22"/>
              </w:rPr>
              <w:t>insertion of</w:t>
            </w:r>
            <w:r w:rsidRPr="008E4C60">
              <w:rPr>
                <w:rFonts w:asciiTheme="minorHAnsi" w:hAnsiTheme="minorHAnsi" w:cstheme="minorHAnsi"/>
                <w:iCs/>
                <w:szCs w:val="22"/>
              </w:rPr>
              <w:t xml:space="preserve"> the </w:t>
            </w:r>
            <w:r w:rsidRPr="008E4C60">
              <w:rPr>
                <w:rFonts w:asciiTheme="minorHAnsi" w:hAnsiTheme="minorHAnsi" w:cstheme="minorHAnsi"/>
                <w:szCs w:val="22"/>
              </w:rPr>
              <w:t>human interferon alpha-2b (</w:t>
            </w:r>
            <w:proofErr w:type="spellStart"/>
            <w:r w:rsidR="007B1825" w:rsidRPr="007B1825">
              <w:rPr>
                <w:rFonts w:asciiTheme="minorHAnsi" w:hAnsiTheme="minorHAnsi" w:cstheme="minorHAnsi"/>
                <w:i/>
                <w:iCs/>
                <w:szCs w:val="22"/>
              </w:rPr>
              <w:t>h</w:t>
            </w:r>
            <w:r w:rsidRPr="007B1825">
              <w:rPr>
                <w:rFonts w:cs="Calibri"/>
                <w:i/>
                <w:iCs/>
                <w:szCs w:val="22"/>
              </w:rPr>
              <w:t>I</w:t>
            </w:r>
            <w:r w:rsidR="007B1825" w:rsidRPr="007B1825">
              <w:rPr>
                <w:rFonts w:cs="Calibri"/>
                <w:i/>
                <w:iCs/>
                <w:szCs w:val="22"/>
              </w:rPr>
              <w:t>FN</w:t>
            </w:r>
            <w:proofErr w:type="spellEnd"/>
            <w:r w:rsidRPr="007B1825">
              <w:rPr>
                <w:rFonts w:cs="Calibri"/>
                <w:i/>
                <w:iCs/>
                <w:szCs w:val="22"/>
              </w:rPr>
              <w:t>-α2b</w:t>
            </w:r>
            <w:r w:rsidRPr="008E4C60">
              <w:rPr>
                <w:rFonts w:asciiTheme="minorHAnsi" w:hAnsiTheme="minorHAnsi" w:cstheme="minorHAnsi"/>
                <w:szCs w:val="22"/>
              </w:rPr>
              <w:t>) gene to produce the protein with anticancer activities</w:t>
            </w:r>
          </w:p>
        </w:tc>
      </w:tr>
      <w:tr w:rsidR="008E4C60" w:rsidRPr="008E4C60" w14:paraId="67C5F0FF" w14:textId="77777777" w:rsidTr="00757821">
        <w:trPr>
          <w:jc w:val="center"/>
        </w:trPr>
        <w:tc>
          <w:tcPr>
            <w:tcW w:w="2681" w:type="dxa"/>
          </w:tcPr>
          <w:p w14:paraId="7CFAED25" w14:textId="77777777" w:rsidR="006F3B0D" w:rsidRPr="008E4C60" w:rsidRDefault="006F3B0D" w:rsidP="006F3B0D">
            <w:pPr>
              <w:widowControl w:val="0"/>
              <w:tabs>
                <w:tab w:val="right" w:leader="dot" w:pos="9356"/>
              </w:tabs>
              <w:spacing w:before="40" w:after="40"/>
              <w:rPr>
                <w:rFonts w:cs="Arial Narrow"/>
                <w:b/>
                <w:bCs/>
                <w:i/>
                <w:szCs w:val="22"/>
              </w:rPr>
            </w:pPr>
            <w:r w:rsidRPr="008E4C60">
              <w:rPr>
                <w:rFonts w:cs="Calibri"/>
                <w:b/>
                <w:bCs/>
                <w:i/>
                <w:szCs w:val="22"/>
              </w:rPr>
              <w:t>Principal purpose</w:t>
            </w:r>
          </w:p>
        </w:tc>
        <w:tc>
          <w:tcPr>
            <w:tcW w:w="7214" w:type="dxa"/>
          </w:tcPr>
          <w:p w14:paraId="4168AD1C" w14:textId="40435210" w:rsidR="006F3B0D" w:rsidRPr="008E4C60" w:rsidRDefault="006F3B0D" w:rsidP="006F3B0D">
            <w:pPr>
              <w:keepNext/>
              <w:widowControl w:val="0"/>
              <w:tabs>
                <w:tab w:val="right" w:leader="dot" w:pos="9356"/>
              </w:tabs>
              <w:spacing w:before="60" w:after="60"/>
              <w:rPr>
                <w:rFonts w:cs="Calibri"/>
                <w:szCs w:val="22"/>
              </w:rPr>
            </w:pPr>
            <w:r w:rsidRPr="008E4C60">
              <w:rPr>
                <w:rFonts w:asciiTheme="minorHAnsi" w:hAnsiTheme="minorHAnsi" w:cstheme="minorHAnsi"/>
                <w:szCs w:val="22"/>
              </w:rPr>
              <w:t xml:space="preserve">The proposed trials are Phase 3 and 3b studies designed to evaluate the safety and efficacy of </w:t>
            </w:r>
            <w:r w:rsidRPr="008E4C60">
              <w:rPr>
                <w:rFonts w:cs="Calibri"/>
                <w:szCs w:val="22"/>
              </w:rPr>
              <w:t xml:space="preserve">a </w:t>
            </w:r>
            <w:r w:rsidR="009B4296" w:rsidRPr="008E4C60">
              <w:rPr>
                <w:rFonts w:asciiTheme="minorHAnsi" w:hAnsiTheme="minorHAnsi" w:cstheme="minorHAnsi"/>
                <w:szCs w:val="22"/>
              </w:rPr>
              <w:t xml:space="preserve">genetically modified </w:t>
            </w:r>
            <w:r w:rsidRPr="008E4C60">
              <w:rPr>
                <w:rFonts w:cs="Calibri"/>
                <w:szCs w:val="22"/>
              </w:rPr>
              <w:t xml:space="preserve">(GM) adenovirus for the treatment of Australian patients with bladder </w:t>
            </w:r>
            <w:r w:rsidR="00A520AD" w:rsidRPr="008E4C60">
              <w:rPr>
                <w:rFonts w:cs="Calibri"/>
                <w:szCs w:val="22"/>
              </w:rPr>
              <w:t>cancer</w:t>
            </w:r>
          </w:p>
        </w:tc>
      </w:tr>
      <w:tr w:rsidR="008E4C60" w:rsidRPr="008E4C60" w14:paraId="6EB2FDE3" w14:textId="77777777" w:rsidTr="00757821">
        <w:trPr>
          <w:jc w:val="center"/>
        </w:trPr>
        <w:tc>
          <w:tcPr>
            <w:tcW w:w="2681" w:type="dxa"/>
          </w:tcPr>
          <w:p w14:paraId="2FBB6112" w14:textId="77777777" w:rsidR="006F3B0D" w:rsidRPr="008E4C60" w:rsidRDefault="006F3B0D" w:rsidP="006F3B0D">
            <w:pPr>
              <w:widowControl w:val="0"/>
              <w:tabs>
                <w:tab w:val="right" w:leader="dot" w:pos="9356"/>
              </w:tabs>
              <w:spacing w:before="40" w:after="40"/>
              <w:rPr>
                <w:rFonts w:cs="Calibri"/>
                <w:b/>
                <w:bCs/>
                <w:i/>
                <w:szCs w:val="22"/>
              </w:rPr>
            </w:pPr>
            <w:r w:rsidRPr="008E4C60">
              <w:rPr>
                <w:rFonts w:cs="Calibri"/>
                <w:b/>
                <w:bCs/>
                <w:i/>
                <w:szCs w:val="22"/>
              </w:rPr>
              <w:t>Previous approvals</w:t>
            </w:r>
          </w:p>
        </w:tc>
        <w:tc>
          <w:tcPr>
            <w:tcW w:w="7214" w:type="dxa"/>
          </w:tcPr>
          <w:p w14:paraId="4287C1BC" w14:textId="7782C9EA"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Licence DIR 217 was issued on 17 October 2025 for dealings associated with the commercial supply of the GMO</w:t>
            </w:r>
            <w:r w:rsidR="00966861" w:rsidRPr="008E4C60">
              <w:rPr>
                <w:rFonts w:asciiTheme="minorHAnsi" w:hAnsiTheme="minorHAnsi" w:cstheme="minorHAnsi"/>
                <w:szCs w:val="22"/>
              </w:rPr>
              <w:t xml:space="preserve"> in Australia</w:t>
            </w:r>
            <w:r w:rsidRPr="008E4C60">
              <w:rPr>
                <w:rFonts w:asciiTheme="minorHAnsi" w:hAnsiTheme="minorHAnsi" w:cstheme="minorHAnsi"/>
                <w:szCs w:val="22"/>
              </w:rPr>
              <w:t xml:space="preserve">. </w:t>
            </w:r>
          </w:p>
          <w:p w14:paraId="6D202D19" w14:textId="77777777"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Clinical trials (Phases 1-3) were undertaken in the United States (US).</w:t>
            </w:r>
          </w:p>
          <w:p w14:paraId="066F1631" w14:textId="2FCB30DD"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 xml:space="preserve">In December 2022, </w:t>
            </w:r>
            <w:bookmarkStart w:id="24" w:name="_Hlk218252795"/>
            <w:r w:rsidRPr="008E4C60">
              <w:rPr>
                <w:rFonts w:asciiTheme="minorHAnsi" w:hAnsiTheme="minorHAnsi" w:cstheme="minorHAnsi"/>
                <w:szCs w:val="22"/>
              </w:rPr>
              <w:t xml:space="preserve">the US </w:t>
            </w:r>
            <w:r w:rsidR="00966861" w:rsidRPr="008E4C60">
              <w:rPr>
                <w:rFonts w:asciiTheme="minorHAnsi" w:hAnsiTheme="minorHAnsi" w:cstheme="minorHAnsi"/>
                <w:szCs w:val="22"/>
              </w:rPr>
              <w:t>Food and</w:t>
            </w:r>
            <w:r w:rsidRPr="008E4C60">
              <w:rPr>
                <w:rFonts w:asciiTheme="minorHAnsi" w:hAnsiTheme="minorHAnsi" w:cstheme="minorHAnsi"/>
                <w:szCs w:val="22"/>
              </w:rPr>
              <w:t xml:space="preserve"> Drug Administration approved this GMO for the treatment of high</w:t>
            </w:r>
            <w:r w:rsidR="008D6280" w:rsidRPr="008E4C60">
              <w:rPr>
                <w:rFonts w:asciiTheme="minorHAnsi" w:hAnsiTheme="minorHAnsi" w:cstheme="minorHAnsi"/>
                <w:szCs w:val="22"/>
              </w:rPr>
              <w:t>-</w:t>
            </w:r>
            <w:r w:rsidRPr="008E4C60">
              <w:rPr>
                <w:rFonts w:asciiTheme="minorHAnsi" w:hAnsiTheme="minorHAnsi" w:cstheme="minorHAnsi"/>
                <w:szCs w:val="22"/>
              </w:rPr>
              <w:t>grade bladder cancers</w:t>
            </w:r>
            <w:bookmarkEnd w:id="24"/>
            <w:r w:rsidRPr="008E4C60">
              <w:rPr>
                <w:rFonts w:asciiTheme="minorHAnsi" w:hAnsiTheme="minorHAnsi" w:cstheme="minorHAnsi"/>
                <w:szCs w:val="22"/>
              </w:rPr>
              <w:t>.</w:t>
            </w:r>
          </w:p>
        </w:tc>
      </w:tr>
      <w:tr w:rsidR="008E4C60" w:rsidRPr="008E4C60" w14:paraId="436A6164" w14:textId="77777777" w:rsidTr="00757821">
        <w:trPr>
          <w:jc w:val="center"/>
        </w:trPr>
        <w:tc>
          <w:tcPr>
            <w:tcW w:w="9895" w:type="dxa"/>
            <w:gridSpan w:val="2"/>
          </w:tcPr>
          <w:p w14:paraId="63C2CE1F" w14:textId="77777777" w:rsidR="006F3B0D" w:rsidRPr="008E4C60" w:rsidRDefault="006F3B0D" w:rsidP="006F3B0D">
            <w:pPr>
              <w:widowControl w:val="0"/>
              <w:tabs>
                <w:tab w:val="right" w:leader="dot" w:pos="9356"/>
              </w:tabs>
              <w:spacing w:before="60" w:after="60"/>
              <w:rPr>
                <w:b/>
                <w:i/>
                <w:szCs w:val="22"/>
              </w:rPr>
            </w:pPr>
            <w:r w:rsidRPr="008E4C60">
              <w:rPr>
                <w:rFonts w:cs="Calibri"/>
                <w:b/>
                <w:i/>
                <w:szCs w:val="22"/>
              </w:rPr>
              <w:t>Proposed limits and controls</w:t>
            </w:r>
          </w:p>
        </w:tc>
      </w:tr>
      <w:tr w:rsidR="008E4C60" w:rsidRPr="008E4C60" w14:paraId="330E965D" w14:textId="77777777" w:rsidTr="00757821">
        <w:trPr>
          <w:jc w:val="center"/>
        </w:trPr>
        <w:tc>
          <w:tcPr>
            <w:tcW w:w="2681" w:type="dxa"/>
          </w:tcPr>
          <w:p w14:paraId="632702E8" w14:textId="53E30A55" w:rsidR="006F3B0D" w:rsidRPr="008E4C60" w:rsidRDefault="008E5187" w:rsidP="006F3B0D">
            <w:pPr>
              <w:widowControl w:val="0"/>
              <w:tabs>
                <w:tab w:val="right" w:leader="dot" w:pos="9356"/>
              </w:tabs>
              <w:spacing w:before="40" w:after="40"/>
              <w:rPr>
                <w:rFonts w:cs="Arial Narrow"/>
                <w:bCs/>
                <w:szCs w:val="22"/>
              </w:rPr>
            </w:pPr>
            <w:r w:rsidRPr="008E4C60">
              <w:rPr>
                <w:rFonts w:cs="Calibri"/>
                <w:bCs/>
                <w:szCs w:val="22"/>
              </w:rPr>
              <w:t>L</w:t>
            </w:r>
            <w:r w:rsidR="006F3B0D" w:rsidRPr="008E4C60">
              <w:rPr>
                <w:rFonts w:cs="Calibri"/>
                <w:bCs/>
                <w:szCs w:val="22"/>
              </w:rPr>
              <w:t>ocations</w:t>
            </w:r>
          </w:p>
        </w:tc>
        <w:tc>
          <w:tcPr>
            <w:tcW w:w="7214" w:type="dxa"/>
          </w:tcPr>
          <w:p w14:paraId="6AA7665B" w14:textId="77777777" w:rsidR="006F3B0D" w:rsidRPr="008E4C60" w:rsidRDefault="006F3B0D" w:rsidP="006F3B0D">
            <w:pPr>
              <w:widowControl w:val="0"/>
              <w:tabs>
                <w:tab w:val="right" w:leader="dot" w:pos="9356"/>
              </w:tabs>
              <w:spacing w:before="60" w:after="60"/>
              <w:rPr>
                <w:szCs w:val="22"/>
              </w:rPr>
            </w:pPr>
            <w:r w:rsidRPr="008E4C60">
              <w:rPr>
                <w:rFonts w:cs="Calibri"/>
                <w:szCs w:val="22"/>
              </w:rPr>
              <w:t>Up to 10 clinical trial sites (medical facilities) in New South Wales and Victoria</w:t>
            </w:r>
            <w:r w:rsidRPr="008E4C60">
              <w:rPr>
                <w:szCs w:val="22"/>
              </w:rPr>
              <w:t xml:space="preserve"> </w:t>
            </w:r>
          </w:p>
        </w:tc>
      </w:tr>
      <w:tr w:rsidR="008E4C60" w:rsidRPr="008E4C60" w14:paraId="6E27911D" w14:textId="77777777" w:rsidTr="00757821">
        <w:trPr>
          <w:jc w:val="center"/>
        </w:trPr>
        <w:tc>
          <w:tcPr>
            <w:tcW w:w="2681" w:type="dxa"/>
          </w:tcPr>
          <w:p w14:paraId="51AB3770" w14:textId="437722BA" w:rsidR="006F3B0D" w:rsidRPr="008E4C60" w:rsidRDefault="008E5187" w:rsidP="006F3B0D">
            <w:pPr>
              <w:widowControl w:val="0"/>
              <w:tabs>
                <w:tab w:val="right" w:leader="dot" w:pos="9356"/>
              </w:tabs>
              <w:spacing w:before="40" w:after="40"/>
              <w:rPr>
                <w:rFonts w:cs="Arial Narrow"/>
                <w:bCs/>
                <w:szCs w:val="22"/>
              </w:rPr>
            </w:pPr>
            <w:r w:rsidRPr="008E4C60">
              <w:rPr>
                <w:rFonts w:cs="Calibri"/>
                <w:bCs/>
                <w:szCs w:val="22"/>
              </w:rPr>
              <w:t>Trial</w:t>
            </w:r>
            <w:r w:rsidR="006F3B0D" w:rsidRPr="008E4C60">
              <w:rPr>
                <w:rFonts w:cs="Calibri"/>
                <w:bCs/>
                <w:szCs w:val="22"/>
              </w:rPr>
              <w:t xml:space="preserve"> size</w:t>
            </w:r>
          </w:p>
        </w:tc>
        <w:tc>
          <w:tcPr>
            <w:tcW w:w="7214" w:type="dxa"/>
          </w:tcPr>
          <w:p w14:paraId="307AB2BC" w14:textId="77777777" w:rsidR="006F3B0D" w:rsidRPr="008E4C60" w:rsidRDefault="006F3B0D" w:rsidP="006F3B0D">
            <w:pPr>
              <w:widowControl w:val="0"/>
              <w:tabs>
                <w:tab w:val="right" w:leader="dot" w:pos="9356"/>
              </w:tabs>
              <w:spacing w:before="60" w:after="60"/>
              <w:rPr>
                <w:szCs w:val="22"/>
              </w:rPr>
            </w:pPr>
            <w:r w:rsidRPr="008E4C60">
              <w:rPr>
                <w:rFonts w:asciiTheme="minorHAnsi" w:hAnsiTheme="minorHAnsi" w:cstheme="minorHAnsi"/>
                <w:iCs/>
                <w:szCs w:val="22"/>
              </w:rPr>
              <w:t>Up to 13 clinical trial participants in Australia</w:t>
            </w:r>
            <w:r w:rsidRPr="008E4C60">
              <w:rPr>
                <w:rFonts w:cs="Calibri"/>
                <w:iCs/>
                <w:szCs w:val="22"/>
              </w:rPr>
              <w:t xml:space="preserve"> across the two phases</w:t>
            </w:r>
          </w:p>
        </w:tc>
      </w:tr>
      <w:tr w:rsidR="008E4C60" w:rsidRPr="008E4C60" w14:paraId="79FE5069" w14:textId="77777777" w:rsidTr="00757821">
        <w:trPr>
          <w:jc w:val="center"/>
        </w:trPr>
        <w:tc>
          <w:tcPr>
            <w:tcW w:w="2681" w:type="dxa"/>
          </w:tcPr>
          <w:p w14:paraId="7EF6F5ED" w14:textId="2802C1F6" w:rsidR="006F3B0D" w:rsidRPr="008E4C60" w:rsidRDefault="008E5187" w:rsidP="006F3B0D">
            <w:pPr>
              <w:widowControl w:val="0"/>
              <w:tabs>
                <w:tab w:val="right" w:leader="dot" w:pos="9356"/>
              </w:tabs>
              <w:spacing w:before="40" w:after="40"/>
              <w:rPr>
                <w:rFonts w:cs="Arial Narrow"/>
                <w:bCs/>
                <w:szCs w:val="22"/>
              </w:rPr>
            </w:pPr>
            <w:r w:rsidRPr="008E4C60">
              <w:rPr>
                <w:rFonts w:cs="Calibri"/>
                <w:bCs/>
                <w:szCs w:val="22"/>
              </w:rPr>
              <w:t>Duration</w:t>
            </w:r>
          </w:p>
        </w:tc>
        <w:tc>
          <w:tcPr>
            <w:tcW w:w="7214" w:type="dxa"/>
          </w:tcPr>
          <w:p w14:paraId="6345709E" w14:textId="53BCAA5A" w:rsidR="006F3B0D" w:rsidRPr="008E4C60" w:rsidRDefault="00966861" w:rsidP="006F3B0D">
            <w:pPr>
              <w:widowControl w:val="0"/>
              <w:tabs>
                <w:tab w:val="right" w:leader="dot" w:pos="9356"/>
              </w:tabs>
              <w:spacing w:before="60" w:after="60"/>
              <w:rPr>
                <w:szCs w:val="22"/>
              </w:rPr>
            </w:pPr>
            <w:r w:rsidRPr="008E4C60">
              <w:rPr>
                <w:rFonts w:cs="Calibri"/>
                <w:szCs w:val="22"/>
              </w:rPr>
              <w:t>5</w:t>
            </w:r>
            <w:r w:rsidR="006F3B0D" w:rsidRPr="008E4C60">
              <w:rPr>
                <w:rFonts w:cs="Calibri"/>
                <w:szCs w:val="22"/>
              </w:rPr>
              <w:t xml:space="preserve"> years</w:t>
            </w:r>
          </w:p>
        </w:tc>
      </w:tr>
      <w:tr w:rsidR="008E4C60" w:rsidRPr="008E4C60" w14:paraId="4E4EA4CA" w14:textId="77777777" w:rsidTr="00757821">
        <w:trPr>
          <w:jc w:val="center"/>
        </w:trPr>
        <w:tc>
          <w:tcPr>
            <w:tcW w:w="2681" w:type="dxa"/>
          </w:tcPr>
          <w:p w14:paraId="2C5FC561" w14:textId="49B94331" w:rsidR="006F3B0D" w:rsidRPr="008E4C60" w:rsidRDefault="008E5187" w:rsidP="006F3B0D">
            <w:pPr>
              <w:widowControl w:val="0"/>
              <w:tabs>
                <w:tab w:val="right" w:leader="dot" w:pos="9356"/>
              </w:tabs>
              <w:spacing w:before="40" w:after="40"/>
              <w:rPr>
                <w:rFonts w:cs="Calibri"/>
                <w:bCs/>
                <w:szCs w:val="22"/>
              </w:rPr>
            </w:pPr>
            <w:r w:rsidRPr="008E4C60">
              <w:rPr>
                <w:rFonts w:cs="Calibri"/>
                <w:bCs/>
                <w:szCs w:val="22"/>
              </w:rPr>
              <w:t>C</w:t>
            </w:r>
            <w:r w:rsidR="006F3B0D" w:rsidRPr="008E4C60">
              <w:rPr>
                <w:rFonts w:cs="Calibri"/>
                <w:bCs/>
                <w:szCs w:val="22"/>
              </w:rPr>
              <w:t>ontrols</w:t>
            </w:r>
          </w:p>
        </w:tc>
        <w:tc>
          <w:tcPr>
            <w:tcW w:w="7214" w:type="dxa"/>
          </w:tcPr>
          <w:p w14:paraId="7123F02E" w14:textId="3F4BC339"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T</w:t>
            </w:r>
            <w:r w:rsidR="006F3B0D" w:rsidRPr="008E4C60">
              <w:rPr>
                <w:rFonts w:asciiTheme="minorHAnsi" w:hAnsiTheme="minorHAnsi" w:cstheme="minorHAnsi"/>
                <w:szCs w:val="22"/>
              </w:rPr>
              <w:t>he GMO would be administered to trial participants within clinical trial sites</w:t>
            </w:r>
          </w:p>
          <w:p w14:paraId="0AC1FBAA" w14:textId="3A411D6A"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S</w:t>
            </w:r>
            <w:r w:rsidR="006F3B0D" w:rsidRPr="008E4C60">
              <w:rPr>
                <w:rFonts w:asciiTheme="minorHAnsi" w:hAnsiTheme="minorHAnsi" w:cstheme="minorHAnsi"/>
                <w:szCs w:val="22"/>
              </w:rPr>
              <w:t>taff handling the GMO would be trained and use personal protective equipment</w:t>
            </w:r>
          </w:p>
          <w:p w14:paraId="4EE07269" w14:textId="2BBEB036"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H</w:t>
            </w:r>
            <w:r w:rsidR="006F3B0D" w:rsidRPr="008E4C60">
              <w:rPr>
                <w:rFonts w:asciiTheme="minorHAnsi" w:hAnsiTheme="minorHAnsi" w:cstheme="minorHAnsi"/>
                <w:szCs w:val="22"/>
              </w:rPr>
              <w:t xml:space="preserve">igher risk staff would be excluded from handling the GMO  </w:t>
            </w:r>
          </w:p>
          <w:p w14:paraId="13921531" w14:textId="7C5C2BDD"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iCs/>
                <w:szCs w:val="22"/>
              </w:rPr>
              <w:t>T</w:t>
            </w:r>
            <w:r w:rsidR="006F3B0D" w:rsidRPr="008E4C60">
              <w:rPr>
                <w:iCs/>
                <w:szCs w:val="22"/>
              </w:rPr>
              <w:t xml:space="preserve">he GMO would be transported and stored according to </w:t>
            </w:r>
            <w:r w:rsidR="00ED5D15" w:rsidRPr="008E4C60">
              <w:rPr>
                <w:iCs/>
                <w:szCs w:val="22"/>
              </w:rPr>
              <w:t xml:space="preserve">the Regulator’s </w:t>
            </w:r>
            <w:r w:rsidR="006F3B0D" w:rsidRPr="008E4C60">
              <w:rPr>
                <w:i/>
                <w:szCs w:val="22"/>
              </w:rPr>
              <w:t>Transport, Storage and Disposal Guidelines</w:t>
            </w:r>
            <w:r w:rsidR="006F3B0D" w:rsidRPr="008E4C60">
              <w:rPr>
                <w:iCs/>
                <w:szCs w:val="22"/>
              </w:rPr>
              <w:t>.</w:t>
            </w:r>
          </w:p>
          <w:p w14:paraId="6643B39E" w14:textId="1973EA85"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W</w:t>
            </w:r>
            <w:r w:rsidR="006F3B0D" w:rsidRPr="008E4C60">
              <w:rPr>
                <w:rFonts w:asciiTheme="minorHAnsi" w:hAnsiTheme="minorHAnsi" w:cstheme="minorHAnsi"/>
                <w:szCs w:val="22"/>
              </w:rPr>
              <w:t>aste that may contain GMO would be destroyed according to clinical trial site procedures appropriate</w:t>
            </w:r>
            <w:r w:rsidR="006F3B0D" w:rsidRPr="008E4C60">
              <w:rPr>
                <w:szCs w:val="22"/>
              </w:rPr>
              <w:t xml:space="preserve"> for PC2 GMOs.</w:t>
            </w:r>
          </w:p>
        </w:tc>
      </w:tr>
    </w:tbl>
    <w:p w14:paraId="12BE047F" w14:textId="61224E19" w:rsidR="00302CAD" w:rsidRPr="0000143A" w:rsidRDefault="00302CAD" w:rsidP="00BE23F9">
      <w:pPr>
        <w:pStyle w:val="Heading2"/>
        <w:numPr>
          <w:ilvl w:val="0"/>
          <w:numId w:val="0"/>
        </w:numPr>
      </w:pPr>
      <w:bookmarkStart w:id="25" w:name="_Toc219281376"/>
      <w:r w:rsidRPr="0000143A">
        <w:t>Risk assessment</w:t>
      </w:r>
      <w:bookmarkEnd w:id="17"/>
      <w:bookmarkEnd w:id="18"/>
      <w:bookmarkEnd w:id="19"/>
      <w:bookmarkEnd w:id="22"/>
      <w:bookmarkEnd w:id="23"/>
      <w:bookmarkEnd w:id="25"/>
    </w:p>
    <w:p w14:paraId="02C37B89" w14:textId="3627E360" w:rsidR="00351FD6" w:rsidRPr="000A29BE" w:rsidRDefault="00351FD6" w:rsidP="00351FD6">
      <w:pPr>
        <w:pStyle w:val="RARMPnumberedparagraphs"/>
        <w:numPr>
          <w:ilvl w:val="0"/>
          <w:numId w:val="0"/>
        </w:numPr>
      </w:pPr>
      <w:r>
        <w:rPr>
          <w:rFonts w:cs="Calibri"/>
        </w:rPr>
        <w:t xml:space="preserve">The risk assessment </w:t>
      </w:r>
      <w:r w:rsidRPr="000A29BE">
        <w:rPr>
          <w:rFonts w:cs="Calibri"/>
        </w:rPr>
        <w:t xml:space="preserve">process considers how the genetic modification and </w:t>
      </w:r>
      <w:r>
        <w:rPr>
          <w:rFonts w:cs="Calibri"/>
        </w:rPr>
        <w:t xml:space="preserve">proposed </w:t>
      </w:r>
      <w:r w:rsidRPr="000A29BE">
        <w:rPr>
          <w:rFonts w:cs="Calibri"/>
        </w:rPr>
        <w:t>activities conducted with the GM</w:t>
      </w:r>
      <w:r>
        <w:rPr>
          <w:rFonts w:cs="Calibri"/>
        </w:rPr>
        <w:t>O</w:t>
      </w:r>
      <w:r w:rsidRPr="000A29BE">
        <w:rPr>
          <w:rFonts w:cs="Calibri"/>
        </w:rPr>
        <w:t xml:space="preserve"> </w:t>
      </w:r>
      <w:r>
        <w:rPr>
          <w:rFonts w:cs="Calibri"/>
        </w:rPr>
        <w:t>might lead to harm to people o</w:t>
      </w:r>
      <w:r w:rsidR="008A00BF">
        <w:rPr>
          <w:rFonts w:cs="Calibri"/>
        </w:rPr>
        <w:t>r</w:t>
      </w:r>
      <w:r>
        <w:rPr>
          <w:rFonts w:cs="Calibri"/>
        </w:rPr>
        <w:t xml:space="preserve"> the environment</w:t>
      </w:r>
      <w:r w:rsidRPr="000A29BE">
        <w:rPr>
          <w:rFonts w:cs="Calibri"/>
        </w:rPr>
        <w: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w:t>
      </w:r>
      <w:r>
        <w:rPr>
          <w:rFonts w:cs="Calibri"/>
          <w:szCs w:val="22"/>
        </w:rPr>
        <w:t xml:space="preserve"> (including proposed controls)</w:t>
      </w:r>
      <w:r w:rsidRPr="000A29BE">
        <w:rPr>
          <w:rFonts w:cs="Calibri"/>
          <w:szCs w:val="22"/>
        </w:rPr>
        <w:t>, relevant previous approvals</w:t>
      </w:r>
      <w:r>
        <w:rPr>
          <w:rFonts w:cs="Calibri"/>
          <w:szCs w:val="22"/>
        </w:rPr>
        <w:t xml:space="preserve"> and</w:t>
      </w:r>
      <w:r w:rsidRPr="000A29BE">
        <w:rPr>
          <w:rFonts w:cs="Calibri"/>
          <w:szCs w:val="22"/>
        </w:rPr>
        <w:t xml:space="preserve"> current scientific</w:t>
      </w:r>
      <w:r>
        <w:rPr>
          <w:rFonts w:cs="Calibri"/>
          <w:szCs w:val="22"/>
        </w:rPr>
        <w:t>/technical</w:t>
      </w:r>
      <w:r w:rsidRPr="000A29BE">
        <w:rPr>
          <w:rFonts w:cs="Calibri"/>
          <w:szCs w:val="22"/>
        </w:rPr>
        <w:t xml:space="preserve"> knowledge. Both the short- and long-term risks </w:t>
      </w:r>
      <w:r>
        <w:rPr>
          <w:rFonts w:cs="Calibri"/>
          <w:szCs w:val="22"/>
        </w:rPr>
        <w:t>are</w:t>
      </w:r>
      <w:r w:rsidRPr="000A29BE">
        <w:rPr>
          <w:rFonts w:cs="Calibri"/>
          <w:szCs w:val="22"/>
        </w:rPr>
        <w:t xml:space="preserve"> considered. </w:t>
      </w:r>
    </w:p>
    <w:p w14:paraId="2066FA6F" w14:textId="49767B32" w:rsidR="00351FD6" w:rsidRDefault="00351FD6" w:rsidP="00351FD6">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 the potential exposure of people</w:t>
      </w:r>
      <w:r>
        <w:rPr>
          <w:rFonts w:ascii="Calibri" w:hAnsi="Calibri" w:cs="Calibri"/>
          <w:sz w:val="22"/>
          <w:szCs w:val="22"/>
        </w:rPr>
        <w:t xml:space="preserve"> and animals</w:t>
      </w:r>
      <w:r w:rsidRPr="000A29BE">
        <w:rPr>
          <w:rFonts w:ascii="Calibri" w:hAnsi="Calibri" w:cs="Calibri"/>
          <w:sz w:val="22"/>
          <w:szCs w:val="22"/>
        </w:rPr>
        <w:t xml:space="preserve"> to the GMO</w:t>
      </w:r>
      <w:r w:rsidR="00910369">
        <w:rPr>
          <w:rFonts w:ascii="Calibri" w:hAnsi="Calibri" w:cs="Calibri"/>
          <w:sz w:val="22"/>
          <w:szCs w:val="22"/>
        </w:rPr>
        <w:t>,</w:t>
      </w:r>
      <w:r w:rsidR="00910369" w:rsidRPr="000A29BE">
        <w:rPr>
          <w:rFonts w:ascii="Calibri" w:hAnsi="Calibri" w:cs="Calibri"/>
          <w:sz w:val="22"/>
          <w:szCs w:val="22"/>
        </w:rPr>
        <w:t xml:space="preserve"> </w:t>
      </w:r>
      <w:r w:rsidRPr="000A29BE">
        <w:rPr>
          <w:rFonts w:ascii="Calibri" w:hAnsi="Calibri" w:cs="Calibri"/>
          <w:sz w:val="22"/>
          <w:szCs w:val="22"/>
        </w:rPr>
        <w:t xml:space="preserve">the potential for the GMO to recombine with other similar </w:t>
      </w:r>
      <w:r>
        <w:rPr>
          <w:rFonts w:ascii="Calibri" w:hAnsi="Calibri" w:cs="Calibri"/>
          <w:sz w:val="22"/>
          <w:szCs w:val="22"/>
        </w:rPr>
        <w:t>viruses and the potential for the GMO to integrate into the host genome</w:t>
      </w:r>
      <w:r w:rsidRPr="000A29BE">
        <w:rPr>
          <w:rFonts w:ascii="Calibri" w:hAnsi="Calibri" w:cs="Calibri"/>
          <w:sz w:val="22"/>
          <w:szCs w:val="22"/>
        </w:rPr>
        <w:t>.</w:t>
      </w:r>
    </w:p>
    <w:p w14:paraId="028A9420" w14:textId="77777777" w:rsidR="006B682E" w:rsidRDefault="006B682E" w:rsidP="006B682E">
      <w:pPr>
        <w:pStyle w:val="RARMPnumberedparagraphs"/>
        <w:numPr>
          <w:ilvl w:val="0"/>
          <w:numId w:val="0"/>
        </w:numPr>
        <w:rPr>
          <w:rFonts w:cs="Calibri"/>
        </w:rPr>
      </w:pPr>
      <w:r w:rsidRPr="000A29BE">
        <w:rPr>
          <w:rFonts w:cs="Calibri"/>
        </w:rPr>
        <w:t xml:space="preserve">The risk assessment </w:t>
      </w:r>
      <w:r>
        <w:rPr>
          <w:rFonts w:cs="Calibri"/>
        </w:rPr>
        <w:t xml:space="preserve">concludes that the trial poses negligible risks to human health and safety and to the environment. No specific risk treatment measures are required to manage these negligible risks. </w:t>
      </w:r>
    </w:p>
    <w:p w14:paraId="29A228A1" w14:textId="0D225959" w:rsidR="00351FD6" w:rsidRPr="000A29BE" w:rsidRDefault="00351FD6" w:rsidP="00351FD6">
      <w:pPr>
        <w:pStyle w:val="Paranonumbers"/>
        <w:rPr>
          <w:rFonts w:ascii="Calibri" w:hAnsi="Calibri" w:cs="Calibri"/>
          <w:sz w:val="22"/>
          <w:szCs w:val="22"/>
        </w:rPr>
      </w:pPr>
      <w:r>
        <w:rPr>
          <w:rFonts w:ascii="Calibri" w:hAnsi="Calibri" w:cs="Calibri"/>
          <w:sz w:val="22"/>
          <w:szCs w:val="22"/>
        </w:rPr>
        <w:t xml:space="preserve">Important factors in reaching the conclusions of the risk assessment included that the GMO </w:t>
      </w:r>
      <w:r w:rsidR="00534844" w:rsidRPr="00534844">
        <w:rPr>
          <w:rFonts w:ascii="Calibri" w:hAnsi="Calibri" w:cs="Calibri"/>
          <w:sz w:val="22"/>
          <w:szCs w:val="22"/>
        </w:rPr>
        <w:t>is replication incompetent</w:t>
      </w:r>
      <w:r>
        <w:rPr>
          <w:rFonts w:ascii="Calibri" w:hAnsi="Calibri" w:cs="Calibri"/>
          <w:sz w:val="22"/>
          <w:szCs w:val="22"/>
        </w:rPr>
        <w:t xml:space="preserve">, unintended exposure to the GMO would be minimised by the </w:t>
      </w:r>
      <w:r w:rsidR="007E2F9E">
        <w:rPr>
          <w:rFonts w:ascii="Calibri" w:hAnsi="Calibri" w:cs="Calibri"/>
          <w:sz w:val="22"/>
          <w:szCs w:val="22"/>
        </w:rPr>
        <w:t xml:space="preserve">proposed </w:t>
      </w:r>
      <w:r>
        <w:rPr>
          <w:rFonts w:ascii="Calibri" w:hAnsi="Calibri" w:cs="Calibri"/>
          <w:sz w:val="22"/>
          <w:szCs w:val="22"/>
        </w:rPr>
        <w:t>limits and controls</w:t>
      </w:r>
      <w:r w:rsidR="007E2F9E">
        <w:rPr>
          <w:rFonts w:ascii="Calibri" w:hAnsi="Calibri" w:cs="Calibri"/>
          <w:sz w:val="22"/>
          <w:szCs w:val="22"/>
        </w:rPr>
        <w:t xml:space="preserve"> </w:t>
      </w:r>
      <w:r w:rsidR="007E2F9E">
        <w:rPr>
          <w:rFonts w:ascii="Calibri" w:hAnsi="Calibri" w:cs="Calibri"/>
          <w:sz w:val="22"/>
          <w:szCs w:val="22"/>
        </w:rPr>
        <w:lastRenderedPageBreak/>
        <w:t xml:space="preserve">outlined in the </w:t>
      </w:r>
      <w:r w:rsidR="00BD5FBA">
        <w:rPr>
          <w:rFonts w:ascii="Calibri" w:hAnsi="Calibri" w:cs="Calibri"/>
          <w:sz w:val="22"/>
          <w:szCs w:val="22"/>
        </w:rPr>
        <w:t xml:space="preserve">draft </w:t>
      </w:r>
      <w:r w:rsidR="007E2F9E">
        <w:rPr>
          <w:rFonts w:ascii="Calibri" w:hAnsi="Calibri" w:cs="Calibri"/>
          <w:sz w:val="22"/>
          <w:szCs w:val="22"/>
        </w:rPr>
        <w:t>risk management plan</w:t>
      </w:r>
      <w:r>
        <w:rPr>
          <w:rFonts w:ascii="Calibri" w:hAnsi="Calibri" w:cs="Calibri"/>
          <w:sz w:val="22"/>
          <w:szCs w:val="22"/>
        </w:rPr>
        <w:t xml:space="preserve"> and</w:t>
      </w:r>
      <w:r w:rsidR="00D43C3D">
        <w:rPr>
          <w:rFonts w:ascii="Calibri" w:hAnsi="Calibri" w:cs="Calibri"/>
          <w:sz w:val="22"/>
          <w:szCs w:val="22"/>
        </w:rPr>
        <w:t xml:space="preserve"> that</w:t>
      </w:r>
      <w:r>
        <w:rPr>
          <w:rFonts w:ascii="Calibri" w:hAnsi="Calibri" w:cs="Calibri"/>
          <w:sz w:val="22"/>
          <w:szCs w:val="22"/>
        </w:rPr>
        <w:t xml:space="preserve"> the likelihood of complementation and recombination of the GMO with other adenoviruses is low. </w:t>
      </w:r>
    </w:p>
    <w:p w14:paraId="0E4916A3" w14:textId="098CD1C1" w:rsidR="00A35744" w:rsidRDefault="00351FD6" w:rsidP="002A6022">
      <w:pPr>
        <w:rPr>
          <w:highlight w:val="yellow"/>
        </w:rPr>
      </w:pPr>
      <w:r w:rsidRPr="005D5B4C">
        <w:t xml:space="preserve">As risks to the health and safety of people, or the environment, from the proposed trial of the treatment </w:t>
      </w:r>
      <w:r w:rsidR="00994355">
        <w:t xml:space="preserve">with the GMO </w:t>
      </w:r>
      <w:r w:rsidRPr="005D5B4C">
        <w:t xml:space="preserve">have been assessed as negligible, the Regulator considers that the dealings involved do not pose a significant risk to either people or the environment. </w:t>
      </w:r>
    </w:p>
    <w:p w14:paraId="4E82D840" w14:textId="0CB4157C" w:rsidR="00302CAD" w:rsidRPr="0000143A" w:rsidRDefault="00302CAD" w:rsidP="00DB5481">
      <w:pPr>
        <w:pStyle w:val="Heading2"/>
        <w:numPr>
          <w:ilvl w:val="0"/>
          <w:numId w:val="0"/>
        </w:numPr>
      </w:pPr>
      <w:bookmarkStart w:id="26" w:name="_Toc47536737"/>
      <w:bookmarkStart w:id="27" w:name="_Toc219281377"/>
      <w:r w:rsidRPr="009842DD">
        <w:t>Risk ma</w:t>
      </w:r>
      <w:bookmarkStart w:id="28" w:name="_Toc209859549"/>
      <w:bookmarkStart w:id="29" w:name="_Toc342042137"/>
      <w:bookmarkStart w:id="30" w:name="_Toc291151778"/>
      <w:bookmarkStart w:id="31" w:name="_Toc274904728"/>
      <w:r w:rsidRPr="009842DD">
        <w:t>nagement</w:t>
      </w:r>
      <w:bookmarkEnd w:id="26"/>
      <w:bookmarkEnd w:id="27"/>
      <w:bookmarkEnd w:id="28"/>
      <w:bookmarkEnd w:id="29"/>
      <w:bookmarkEnd w:id="30"/>
      <w:bookmarkEnd w:id="31"/>
    </w:p>
    <w:p w14:paraId="539F7711" w14:textId="5EF29262" w:rsidR="00A35744" w:rsidRPr="00961290" w:rsidRDefault="00A35744" w:rsidP="00A35744">
      <w:pPr>
        <w:rPr>
          <w:rFonts w:eastAsia="SimSun"/>
          <w:szCs w:val="22"/>
        </w:rPr>
      </w:pPr>
      <w:r w:rsidRPr="00961290">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Draft licence conditions are detailed in </w:t>
      </w:r>
      <w:r w:rsidR="00D04AEF">
        <w:rPr>
          <w:rFonts w:eastAsia="SimSun"/>
          <w:szCs w:val="22"/>
        </w:rPr>
        <w:fldChar w:fldCharType="begin"/>
      </w:r>
      <w:r w:rsidR="00D04AEF">
        <w:rPr>
          <w:rFonts w:eastAsia="SimSun"/>
          <w:szCs w:val="22"/>
        </w:rPr>
        <w:instrText xml:space="preserve"> REF _Ref67989492 \r \h </w:instrText>
      </w:r>
      <w:r w:rsidR="00D04AEF">
        <w:rPr>
          <w:rFonts w:eastAsia="SimSun"/>
          <w:szCs w:val="22"/>
        </w:rPr>
      </w:r>
      <w:r w:rsidR="00D04AEF">
        <w:rPr>
          <w:rFonts w:eastAsia="SimSun"/>
          <w:szCs w:val="22"/>
        </w:rPr>
        <w:fldChar w:fldCharType="separate"/>
      </w:r>
      <w:r w:rsidR="001E7664">
        <w:rPr>
          <w:rFonts w:eastAsia="SimSun"/>
          <w:szCs w:val="22"/>
        </w:rPr>
        <w:t>Chapter 4</w:t>
      </w:r>
      <w:r w:rsidR="00D04AEF">
        <w:rPr>
          <w:rFonts w:eastAsia="SimSun"/>
          <w:szCs w:val="22"/>
        </w:rPr>
        <w:fldChar w:fldCharType="end"/>
      </w:r>
      <w:r w:rsidRPr="00961290">
        <w:rPr>
          <w:rFonts w:eastAsia="SimSun"/>
          <w:szCs w:val="22"/>
        </w:rPr>
        <w:t xml:space="preserve"> of the RARMP.</w:t>
      </w:r>
    </w:p>
    <w:p w14:paraId="078DDCC6" w14:textId="422F6384" w:rsidR="00815DA9" w:rsidRDefault="00A35744" w:rsidP="00A35744">
      <w:pPr>
        <w:rPr>
          <w:rFonts w:eastAsia="SimSun"/>
          <w:szCs w:val="22"/>
        </w:rPr>
      </w:pPr>
      <w:r w:rsidRPr="00961290">
        <w:rPr>
          <w:rFonts w:eastAsia="SimSun"/>
          <w:szCs w:val="22"/>
        </w:rPr>
        <w:t>As the level of risk is considered negligible,</w:t>
      </w:r>
      <w:r w:rsidRPr="00961290" w:rsidDel="00DB4CC6">
        <w:rPr>
          <w:rFonts w:eastAsia="SimSun"/>
          <w:szCs w:val="22"/>
        </w:rPr>
        <w:t xml:space="preserve"> </w:t>
      </w:r>
      <w:r w:rsidRPr="00961290">
        <w:rPr>
          <w:rFonts w:eastAsia="SimSun"/>
          <w:szCs w:val="22"/>
        </w:rPr>
        <w:t xml:space="preserve">specific risk treatment is not required. However, since this is a </w:t>
      </w:r>
      <w:r>
        <w:rPr>
          <w:rFonts w:eastAsia="SimSun"/>
          <w:szCs w:val="22"/>
        </w:rPr>
        <w:t>clinical trial</w:t>
      </w:r>
      <w:r w:rsidRPr="00961290">
        <w:rPr>
          <w:rFonts w:eastAsia="SimSun"/>
          <w:szCs w:val="22"/>
        </w:rPr>
        <w:t xml:space="preserve">, the draft licence includes limits on the </w:t>
      </w:r>
      <w:r>
        <w:rPr>
          <w:rFonts w:eastAsia="SimSun"/>
          <w:szCs w:val="22"/>
        </w:rPr>
        <w:t>number of trial participan</w:t>
      </w:r>
      <w:r w:rsidRPr="00970547">
        <w:rPr>
          <w:rFonts w:eastAsia="SimSun"/>
          <w:szCs w:val="22"/>
        </w:rPr>
        <w:t>ts, location</w:t>
      </w:r>
      <w:r w:rsidR="000D7987">
        <w:rPr>
          <w:rFonts w:eastAsia="SimSun"/>
          <w:szCs w:val="22"/>
        </w:rPr>
        <w:t>s</w:t>
      </w:r>
      <w:r w:rsidRPr="00970547">
        <w:rPr>
          <w:rFonts w:eastAsia="SimSun"/>
          <w:szCs w:val="22"/>
        </w:rPr>
        <w:t xml:space="preserve"> 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7"/>
          <w:footerReference w:type="default" r:id="rId18"/>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2" w:name="_Toc47536738"/>
      <w:bookmarkStart w:id="33" w:name="_Toc219281378"/>
      <w:r w:rsidRPr="0000143A">
        <w:lastRenderedPageBreak/>
        <w:t>Table of contents</w:t>
      </w:r>
      <w:bookmarkEnd w:id="32"/>
      <w:bookmarkEnd w:id="33"/>
    </w:p>
    <w:p w14:paraId="33267AF5" w14:textId="44EFCEDC" w:rsidR="00452B9E"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219281373" w:history="1">
        <w:r w:rsidR="00452B9E" w:rsidRPr="00023078">
          <w:rPr>
            <w:rStyle w:val="Hyperlink"/>
          </w:rPr>
          <w:t>Summary of the Risk Assessment and Risk Management Plan</w:t>
        </w:r>
        <w:r w:rsidR="00452B9E">
          <w:rPr>
            <w:webHidden/>
          </w:rPr>
          <w:tab/>
        </w:r>
        <w:r w:rsidR="00452B9E">
          <w:rPr>
            <w:webHidden/>
          </w:rPr>
          <w:fldChar w:fldCharType="begin"/>
        </w:r>
        <w:r w:rsidR="00452B9E">
          <w:rPr>
            <w:webHidden/>
          </w:rPr>
          <w:instrText xml:space="preserve"> PAGEREF _Toc219281373 \h </w:instrText>
        </w:r>
        <w:r w:rsidR="00452B9E">
          <w:rPr>
            <w:webHidden/>
          </w:rPr>
        </w:r>
        <w:r w:rsidR="00452B9E">
          <w:rPr>
            <w:webHidden/>
          </w:rPr>
          <w:fldChar w:fldCharType="separate"/>
        </w:r>
        <w:r w:rsidR="00452B9E">
          <w:rPr>
            <w:webHidden/>
          </w:rPr>
          <w:t>I</w:t>
        </w:r>
        <w:r w:rsidR="00452B9E">
          <w:rPr>
            <w:webHidden/>
          </w:rPr>
          <w:fldChar w:fldCharType="end"/>
        </w:r>
      </w:hyperlink>
    </w:p>
    <w:p w14:paraId="6647C8FE" w14:textId="25369562"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74" w:history="1">
        <w:r w:rsidRPr="00023078">
          <w:rPr>
            <w:rStyle w:val="Hyperlink"/>
          </w:rPr>
          <w:t>Introduction</w:t>
        </w:r>
        <w:r>
          <w:rPr>
            <w:webHidden/>
          </w:rPr>
          <w:tab/>
        </w:r>
        <w:r>
          <w:rPr>
            <w:webHidden/>
          </w:rPr>
          <w:fldChar w:fldCharType="begin"/>
        </w:r>
        <w:r>
          <w:rPr>
            <w:webHidden/>
          </w:rPr>
          <w:instrText xml:space="preserve"> PAGEREF _Toc219281374 \h </w:instrText>
        </w:r>
        <w:r>
          <w:rPr>
            <w:webHidden/>
          </w:rPr>
        </w:r>
        <w:r>
          <w:rPr>
            <w:webHidden/>
          </w:rPr>
          <w:fldChar w:fldCharType="separate"/>
        </w:r>
        <w:r>
          <w:rPr>
            <w:webHidden/>
          </w:rPr>
          <w:t>I</w:t>
        </w:r>
        <w:r>
          <w:rPr>
            <w:webHidden/>
          </w:rPr>
          <w:fldChar w:fldCharType="end"/>
        </w:r>
      </w:hyperlink>
    </w:p>
    <w:p w14:paraId="6AF696C1" w14:textId="38A12A9D"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75" w:history="1">
        <w:r w:rsidRPr="00023078">
          <w:rPr>
            <w:rStyle w:val="Hyperlink"/>
          </w:rPr>
          <w:t>The application</w:t>
        </w:r>
        <w:r>
          <w:rPr>
            <w:webHidden/>
          </w:rPr>
          <w:tab/>
        </w:r>
        <w:r>
          <w:rPr>
            <w:webHidden/>
          </w:rPr>
          <w:fldChar w:fldCharType="begin"/>
        </w:r>
        <w:r>
          <w:rPr>
            <w:webHidden/>
          </w:rPr>
          <w:instrText xml:space="preserve"> PAGEREF _Toc219281375 \h </w:instrText>
        </w:r>
        <w:r>
          <w:rPr>
            <w:webHidden/>
          </w:rPr>
        </w:r>
        <w:r>
          <w:rPr>
            <w:webHidden/>
          </w:rPr>
          <w:fldChar w:fldCharType="separate"/>
        </w:r>
        <w:r>
          <w:rPr>
            <w:webHidden/>
          </w:rPr>
          <w:t>I</w:t>
        </w:r>
        <w:r>
          <w:rPr>
            <w:webHidden/>
          </w:rPr>
          <w:fldChar w:fldCharType="end"/>
        </w:r>
      </w:hyperlink>
    </w:p>
    <w:p w14:paraId="11026C31" w14:textId="238DBB71"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76" w:history="1">
        <w:r w:rsidRPr="00023078">
          <w:rPr>
            <w:rStyle w:val="Hyperlink"/>
          </w:rPr>
          <w:t>Risk assessment</w:t>
        </w:r>
        <w:r>
          <w:rPr>
            <w:webHidden/>
          </w:rPr>
          <w:tab/>
        </w:r>
        <w:r>
          <w:rPr>
            <w:webHidden/>
          </w:rPr>
          <w:fldChar w:fldCharType="begin"/>
        </w:r>
        <w:r>
          <w:rPr>
            <w:webHidden/>
          </w:rPr>
          <w:instrText xml:space="preserve"> PAGEREF _Toc219281376 \h </w:instrText>
        </w:r>
        <w:r>
          <w:rPr>
            <w:webHidden/>
          </w:rPr>
        </w:r>
        <w:r>
          <w:rPr>
            <w:webHidden/>
          </w:rPr>
          <w:fldChar w:fldCharType="separate"/>
        </w:r>
        <w:r>
          <w:rPr>
            <w:webHidden/>
          </w:rPr>
          <w:t>II</w:t>
        </w:r>
        <w:r>
          <w:rPr>
            <w:webHidden/>
          </w:rPr>
          <w:fldChar w:fldCharType="end"/>
        </w:r>
      </w:hyperlink>
    </w:p>
    <w:p w14:paraId="24FD53DE" w14:textId="6E9DCA53"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77" w:history="1">
        <w:r w:rsidRPr="00023078">
          <w:rPr>
            <w:rStyle w:val="Hyperlink"/>
          </w:rPr>
          <w:t>Risk management</w:t>
        </w:r>
        <w:r>
          <w:rPr>
            <w:webHidden/>
          </w:rPr>
          <w:tab/>
        </w:r>
        <w:r>
          <w:rPr>
            <w:webHidden/>
          </w:rPr>
          <w:fldChar w:fldCharType="begin"/>
        </w:r>
        <w:r>
          <w:rPr>
            <w:webHidden/>
          </w:rPr>
          <w:instrText xml:space="preserve"> PAGEREF _Toc219281377 \h </w:instrText>
        </w:r>
        <w:r>
          <w:rPr>
            <w:webHidden/>
          </w:rPr>
        </w:r>
        <w:r>
          <w:rPr>
            <w:webHidden/>
          </w:rPr>
          <w:fldChar w:fldCharType="separate"/>
        </w:r>
        <w:r>
          <w:rPr>
            <w:webHidden/>
          </w:rPr>
          <w:t>III</w:t>
        </w:r>
        <w:r>
          <w:rPr>
            <w:webHidden/>
          </w:rPr>
          <w:fldChar w:fldCharType="end"/>
        </w:r>
      </w:hyperlink>
    </w:p>
    <w:p w14:paraId="25872ABD" w14:textId="436BD35E"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378" w:history="1">
        <w:r w:rsidRPr="00023078">
          <w:rPr>
            <w:rStyle w:val="Hyperlink"/>
          </w:rPr>
          <w:t>Table of contents</w:t>
        </w:r>
        <w:r>
          <w:rPr>
            <w:webHidden/>
          </w:rPr>
          <w:tab/>
        </w:r>
        <w:r>
          <w:rPr>
            <w:webHidden/>
          </w:rPr>
          <w:fldChar w:fldCharType="begin"/>
        </w:r>
        <w:r>
          <w:rPr>
            <w:webHidden/>
          </w:rPr>
          <w:instrText xml:space="preserve"> PAGEREF _Toc219281378 \h </w:instrText>
        </w:r>
        <w:r>
          <w:rPr>
            <w:webHidden/>
          </w:rPr>
        </w:r>
        <w:r>
          <w:rPr>
            <w:webHidden/>
          </w:rPr>
          <w:fldChar w:fldCharType="separate"/>
        </w:r>
        <w:r>
          <w:rPr>
            <w:webHidden/>
          </w:rPr>
          <w:t>IV</w:t>
        </w:r>
        <w:r>
          <w:rPr>
            <w:webHidden/>
          </w:rPr>
          <w:fldChar w:fldCharType="end"/>
        </w:r>
      </w:hyperlink>
    </w:p>
    <w:p w14:paraId="4D7F6C40" w14:textId="6938ECD9"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379" w:history="1">
        <w:r w:rsidRPr="00023078">
          <w:rPr>
            <w:rStyle w:val="Hyperlink"/>
          </w:rPr>
          <w:t>Abbreviations</w:t>
        </w:r>
        <w:r>
          <w:rPr>
            <w:webHidden/>
          </w:rPr>
          <w:tab/>
        </w:r>
        <w:r>
          <w:rPr>
            <w:webHidden/>
          </w:rPr>
          <w:fldChar w:fldCharType="begin"/>
        </w:r>
        <w:r>
          <w:rPr>
            <w:webHidden/>
          </w:rPr>
          <w:instrText xml:space="preserve"> PAGEREF _Toc219281379 \h </w:instrText>
        </w:r>
        <w:r>
          <w:rPr>
            <w:webHidden/>
          </w:rPr>
        </w:r>
        <w:r>
          <w:rPr>
            <w:webHidden/>
          </w:rPr>
          <w:fldChar w:fldCharType="separate"/>
        </w:r>
        <w:r>
          <w:rPr>
            <w:webHidden/>
          </w:rPr>
          <w:t>VI</w:t>
        </w:r>
        <w:r>
          <w:rPr>
            <w:webHidden/>
          </w:rPr>
          <w:fldChar w:fldCharType="end"/>
        </w:r>
      </w:hyperlink>
    </w:p>
    <w:p w14:paraId="2C68BA0E" w14:textId="743A2854"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380" w:history="1">
        <w:r w:rsidRPr="00023078">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023078">
          <w:rPr>
            <w:rStyle w:val="Hyperlink"/>
          </w:rPr>
          <w:t>Risk assessment context</w:t>
        </w:r>
        <w:r>
          <w:rPr>
            <w:webHidden/>
          </w:rPr>
          <w:tab/>
        </w:r>
        <w:r>
          <w:rPr>
            <w:webHidden/>
          </w:rPr>
          <w:fldChar w:fldCharType="begin"/>
        </w:r>
        <w:r>
          <w:rPr>
            <w:webHidden/>
          </w:rPr>
          <w:instrText xml:space="preserve"> PAGEREF _Toc219281380 \h </w:instrText>
        </w:r>
        <w:r>
          <w:rPr>
            <w:webHidden/>
          </w:rPr>
        </w:r>
        <w:r>
          <w:rPr>
            <w:webHidden/>
          </w:rPr>
          <w:fldChar w:fldCharType="separate"/>
        </w:r>
        <w:r>
          <w:rPr>
            <w:webHidden/>
          </w:rPr>
          <w:t>7</w:t>
        </w:r>
        <w:r>
          <w:rPr>
            <w:webHidden/>
          </w:rPr>
          <w:fldChar w:fldCharType="end"/>
        </w:r>
      </w:hyperlink>
    </w:p>
    <w:p w14:paraId="48B666A7" w14:textId="44F29851"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81" w:history="1">
        <w:r w:rsidRPr="00023078">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Background</w:t>
        </w:r>
        <w:r>
          <w:rPr>
            <w:webHidden/>
          </w:rPr>
          <w:tab/>
        </w:r>
        <w:r>
          <w:rPr>
            <w:webHidden/>
          </w:rPr>
          <w:fldChar w:fldCharType="begin"/>
        </w:r>
        <w:r>
          <w:rPr>
            <w:webHidden/>
          </w:rPr>
          <w:instrText xml:space="preserve"> PAGEREF _Toc219281381 \h </w:instrText>
        </w:r>
        <w:r>
          <w:rPr>
            <w:webHidden/>
          </w:rPr>
        </w:r>
        <w:r>
          <w:rPr>
            <w:webHidden/>
          </w:rPr>
          <w:fldChar w:fldCharType="separate"/>
        </w:r>
        <w:r>
          <w:rPr>
            <w:webHidden/>
          </w:rPr>
          <w:t>7</w:t>
        </w:r>
        <w:r>
          <w:rPr>
            <w:webHidden/>
          </w:rPr>
          <w:fldChar w:fldCharType="end"/>
        </w:r>
      </w:hyperlink>
    </w:p>
    <w:p w14:paraId="188CFE05" w14:textId="4EFCB145"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82" w:history="1">
        <w:r w:rsidRPr="00023078">
          <w:rPr>
            <w:rStyle w:val="Hyperlink"/>
          </w:rPr>
          <w:t>1.1</w:t>
        </w:r>
        <w:r>
          <w:rPr>
            <w:rFonts w:asciiTheme="minorHAnsi" w:eastAsiaTheme="minorEastAsia" w:hAnsiTheme="minorHAnsi" w:cstheme="minorBidi"/>
            <w:iCs w:val="0"/>
            <w:kern w:val="2"/>
            <w:sz w:val="24"/>
            <w:szCs w:val="24"/>
            <w14:ligatures w14:val="standardContextual"/>
          </w:rPr>
          <w:tab/>
        </w:r>
        <w:r w:rsidRPr="00023078">
          <w:rPr>
            <w:rStyle w:val="Hyperlink"/>
          </w:rPr>
          <w:t>Interface with other regulatory schemes</w:t>
        </w:r>
        <w:r>
          <w:rPr>
            <w:webHidden/>
          </w:rPr>
          <w:tab/>
        </w:r>
        <w:r>
          <w:rPr>
            <w:webHidden/>
          </w:rPr>
          <w:fldChar w:fldCharType="begin"/>
        </w:r>
        <w:r>
          <w:rPr>
            <w:webHidden/>
          </w:rPr>
          <w:instrText xml:space="preserve"> PAGEREF _Toc219281382 \h </w:instrText>
        </w:r>
        <w:r>
          <w:rPr>
            <w:webHidden/>
          </w:rPr>
        </w:r>
        <w:r>
          <w:rPr>
            <w:webHidden/>
          </w:rPr>
          <w:fldChar w:fldCharType="separate"/>
        </w:r>
        <w:r>
          <w:rPr>
            <w:webHidden/>
          </w:rPr>
          <w:t>8</w:t>
        </w:r>
        <w:r>
          <w:rPr>
            <w:webHidden/>
          </w:rPr>
          <w:fldChar w:fldCharType="end"/>
        </w:r>
      </w:hyperlink>
    </w:p>
    <w:p w14:paraId="73F9C820" w14:textId="05854252"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83" w:history="1">
        <w:r w:rsidRPr="00023078">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The proposed dealings</w:t>
        </w:r>
        <w:r>
          <w:rPr>
            <w:webHidden/>
          </w:rPr>
          <w:tab/>
        </w:r>
        <w:r>
          <w:rPr>
            <w:webHidden/>
          </w:rPr>
          <w:fldChar w:fldCharType="begin"/>
        </w:r>
        <w:r>
          <w:rPr>
            <w:webHidden/>
          </w:rPr>
          <w:instrText xml:space="preserve"> PAGEREF _Toc219281383 \h </w:instrText>
        </w:r>
        <w:r>
          <w:rPr>
            <w:webHidden/>
          </w:rPr>
        </w:r>
        <w:r>
          <w:rPr>
            <w:webHidden/>
          </w:rPr>
          <w:fldChar w:fldCharType="separate"/>
        </w:r>
        <w:r>
          <w:rPr>
            <w:webHidden/>
          </w:rPr>
          <w:t>9</w:t>
        </w:r>
        <w:r>
          <w:rPr>
            <w:webHidden/>
          </w:rPr>
          <w:fldChar w:fldCharType="end"/>
        </w:r>
      </w:hyperlink>
    </w:p>
    <w:p w14:paraId="507F6A50" w14:textId="1CD1CBDD"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84" w:history="1">
        <w:r w:rsidRPr="00023078">
          <w:rPr>
            <w:rStyle w:val="Hyperlink"/>
            <w:bCs/>
          </w:rPr>
          <w:t>2.1</w:t>
        </w:r>
        <w:r>
          <w:rPr>
            <w:rFonts w:asciiTheme="minorHAnsi" w:eastAsiaTheme="minorEastAsia" w:hAnsiTheme="minorHAnsi" w:cstheme="minorBidi"/>
            <w:iCs w:val="0"/>
            <w:kern w:val="2"/>
            <w:sz w:val="24"/>
            <w:szCs w:val="24"/>
            <w14:ligatures w14:val="standardContextual"/>
          </w:rPr>
          <w:tab/>
        </w:r>
        <w:r w:rsidRPr="00023078">
          <w:rPr>
            <w:rStyle w:val="Hyperlink"/>
          </w:rPr>
          <w:t>The proposed limits of the trial (duration, scale, location, people)</w:t>
        </w:r>
        <w:r>
          <w:rPr>
            <w:webHidden/>
          </w:rPr>
          <w:tab/>
        </w:r>
        <w:r>
          <w:rPr>
            <w:webHidden/>
          </w:rPr>
          <w:fldChar w:fldCharType="begin"/>
        </w:r>
        <w:r>
          <w:rPr>
            <w:webHidden/>
          </w:rPr>
          <w:instrText xml:space="preserve"> PAGEREF _Toc219281384 \h </w:instrText>
        </w:r>
        <w:r>
          <w:rPr>
            <w:webHidden/>
          </w:rPr>
        </w:r>
        <w:r>
          <w:rPr>
            <w:webHidden/>
          </w:rPr>
          <w:fldChar w:fldCharType="separate"/>
        </w:r>
        <w:r>
          <w:rPr>
            <w:webHidden/>
          </w:rPr>
          <w:t>10</w:t>
        </w:r>
        <w:r>
          <w:rPr>
            <w:webHidden/>
          </w:rPr>
          <w:fldChar w:fldCharType="end"/>
        </w:r>
      </w:hyperlink>
    </w:p>
    <w:p w14:paraId="431E4E1D" w14:textId="40891938"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85" w:history="1">
        <w:r w:rsidRPr="00023078">
          <w:rPr>
            <w:rStyle w:val="Hyperlink"/>
            <w:bCs/>
          </w:rPr>
          <w:t>2.2</w:t>
        </w:r>
        <w:r>
          <w:rPr>
            <w:rFonts w:asciiTheme="minorHAnsi" w:eastAsiaTheme="minorEastAsia" w:hAnsiTheme="minorHAnsi" w:cstheme="minorBidi"/>
            <w:iCs w:val="0"/>
            <w:kern w:val="2"/>
            <w:sz w:val="24"/>
            <w:szCs w:val="24"/>
            <w14:ligatures w14:val="standardContextual"/>
          </w:rPr>
          <w:tab/>
        </w:r>
        <w:r w:rsidRPr="00023078">
          <w:rPr>
            <w:rStyle w:val="Hyperlink"/>
          </w:rPr>
          <w:t>The proposed controls to restrict the spread and persistence of the GMO in the environment</w:t>
        </w:r>
        <w:r>
          <w:rPr>
            <w:webHidden/>
          </w:rPr>
          <w:tab/>
        </w:r>
        <w:r>
          <w:rPr>
            <w:webHidden/>
          </w:rPr>
          <w:fldChar w:fldCharType="begin"/>
        </w:r>
        <w:r>
          <w:rPr>
            <w:webHidden/>
          </w:rPr>
          <w:instrText xml:space="preserve"> PAGEREF _Toc219281385 \h </w:instrText>
        </w:r>
        <w:r>
          <w:rPr>
            <w:webHidden/>
          </w:rPr>
        </w:r>
        <w:r>
          <w:rPr>
            <w:webHidden/>
          </w:rPr>
          <w:fldChar w:fldCharType="separate"/>
        </w:r>
        <w:r>
          <w:rPr>
            <w:webHidden/>
          </w:rPr>
          <w:t>10</w:t>
        </w:r>
        <w:r>
          <w:rPr>
            <w:webHidden/>
          </w:rPr>
          <w:fldChar w:fldCharType="end"/>
        </w:r>
      </w:hyperlink>
    </w:p>
    <w:p w14:paraId="7CA77A36" w14:textId="229A8970"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86" w:history="1">
        <w:r w:rsidRPr="00023078">
          <w:rPr>
            <w:rStyle w:val="Hyperlink"/>
          </w:rPr>
          <w:t>2.3</w:t>
        </w:r>
        <w:r>
          <w:rPr>
            <w:rFonts w:asciiTheme="minorHAnsi" w:eastAsiaTheme="minorEastAsia" w:hAnsiTheme="minorHAnsi" w:cstheme="minorBidi"/>
            <w:iCs w:val="0"/>
            <w:kern w:val="2"/>
            <w:sz w:val="24"/>
            <w:szCs w:val="24"/>
            <w14:ligatures w14:val="standardContextual"/>
          </w:rPr>
          <w:tab/>
        </w:r>
        <w:r w:rsidRPr="00023078">
          <w:rPr>
            <w:rStyle w:val="Hyperlink"/>
          </w:rPr>
          <w:t>Details of the proposed dealings</w:t>
        </w:r>
        <w:r>
          <w:rPr>
            <w:webHidden/>
          </w:rPr>
          <w:tab/>
        </w:r>
        <w:r>
          <w:rPr>
            <w:webHidden/>
          </w:rPr>
          <w:fldChar w:fldCharType="begin"/>
        </w:r>
        <w:r>
          <w:rPr>
            <w:webHidden/>
          </w:rPr>
          <w:instrText xml:space="preserve"> PAGEREF _Toc219281386 \h </w:instrText>
        </w:r>
        <w:r>
          <w:rPr>
            <w:webHidden/>
          </w:rPr>
        </w:r>
        <w:r>
          <w:rPr>
            <w:webHidden/>
          </w:rPr>
          <w:fldChar w:fldCharType="separate"/>
        </w:r>
        <w:r>
          <w:rPr>
            <w:webHidden/>
          </w:rPr>
          <w:t>10</w:t>
        </w:r>
        <w:r>
          <w:rPr>
            <w:webHidden/>
          </w:rPr>
          <w:fldChar w:fldCharType="end"/>
        </w:r>
      </w:hyperlink>
    </w:p>
    <w:p w14:paraId="400854FD" w14:textId="52C7CA98"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87" w:history="1">
        <w:r w:rsidRPr="00023078">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Parent organism</w:t>
        </w:r>
        <w:r>
          <w:rPr>
            <w:webHidden/>
          </w:rPr>
          <w:tab/>
        </w:r>
        <w:r>
          <w:rPr>
            <w:webHidden/>
          </w:rPr>
          <w:fldChar w:fldCharType="begin"/>
        </w:r>
        <w:r>
          <w:rPr>
            <w:webHidden/>
          </w:rPr>
          <w:instrText xml:space="preserve"> PAGEREF _Toc219281387 \h </w:instrText>
        </w:r>
        <w:r>
          <w:rPr>
            <w:webHidden/>
          </w:rPr>
        </w:r>
        <w:r>
          <w:rPr>
            <w:webHidden/>
          </w:rPr>
          <w:fldChar w:fldCharType="separate"/>
        </w:r>
        <w:r>
          <w:rPr>
            <w:webHidden/>
          </w:rPr>
          <w:t>15</w:t>
        </w:r>
        <w:r>
          <w:rPr>
            <w:webHidden/>
          </w:rPr>
          <w:fldChar w:fldCharType="end"/>
        </w:r>
      </w:hyperlink>
    </w:p>
    <w:p w14:paraId="1AB152FE" w14:textId="79C2FBA1"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88" w:history="1">
        <w:r w:rsidRPr="00023078">
          <w:rPr>
            <w:rStyle w:val="Hyperlink"/>
          </w:rPr>
          <w:t>3.1</w:t>
        </w:r>
        <w:r>
          <w:rPr>
            <w:rFonts w:asciiTheme="minorHAnsi" w:eastAsiaTheme="minorEastAsia" w:hAnsiTheme="minorHAnsi" w:cstheme="minorBidi"/>
            <w:iCs w:val="0"/>
            <w:kern w:val="2"/>
            <w:sz w:val="24"/>
            <w:szCs w:val="24"/>
            <w14:ligatures w14:val="standardContextual"/>
          </w:rPr>
          <w:tab/>
        </w:r>
        <w:r w:rsidRPr="00023078">
          <w:rPr>
            <w:rStyle w:val="Hyperlink"/>
          </w:rPr>
          <w:t>Pathology</w:t>
        </w:r>
        <w:r>
          <w:rPr>
            <w:webHidden/>
          </w:rPr>
          <w:tab/>
        </w:r>
        <w:r>
          <w:rPr>
            <w:webHidden/>
          </w:rPr>
          <w:fldChar w:fldCharType="begin"/>
        </w:r>
        <w:r>
          <w:rPr>
            <w:webHidden/>
          </w:rPr>
          <w:instrText xml:space="preserve"> PAGEREF _Toc219281388 \h </w:instrText>
        </w:r>
        <w:r>
          <w:rPr>
            <w:webHidden/>
          </w:rPr>
        </w:r>
        <w:r>
          <w:rPr>
            <w:webHidden/>
          </w:rPr>
          <w:fldChar w:fldCharType="separate"/>
        </w:r>
        <w:r>
          <w:rPr>
            <w:webHidden/>
          </w:rPr>
          <w:t>15</w:t>
        </w:r>
        <w:r>
          <w:rPr>
            <w:webHidden/>
          </w:rPr>
          <w:fldChar w:fldCharType="end"/>
        </w:r>
      </w:hyperlink>
    </w:p>
    <w:p w14:paraId="1FC98F06" w14:textId="4CFDC8B8"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89" w:history="1">
        <w:r w:rsidRPr="00023078">
          <w:rPr>
            <w:rStyle w:val="Hyperlink"/>
          </w:rPr>
          <w:t>3.2</w:t>
        </w:r>
        <w:r>
          <w:rPr>
            <w:rFonts w:asciiTheme="minorHAnsi" w:eastAsiaTheme="minorEastAsia" w:hAnsiTheme="minorHAnsi" w:cstheme="minorBidi"/>
            <w:iCs w:val="0"/>
            <w:kern w:val="2"/>
            <w:sz w:val="24"/>
            <w:szCs w:val="24"/>
            <w14:ligatures w14:val="standardContextual"/>
          </w:rPr>
          <w:tab/>
        </w:r>
        <w:r w:rsidRPr="00023078">
          <w:rPr>
            <w:rStyle w:val="Hyperlink"/>
          </w:rPr>
          <w:t>Structure and genomic organisation</w:t>
        </w:r>
        <w:r>
          <w:rPr>
            <w:webHidden/>
          </w:rPr>
          <w:tab/>
        </w:r>
        <w:r>
          <w:rPr>
            <w:webHidden/>
          </w:rPr>
          <w:fldChar w:fldCharType="begin"/>
        </w:r>
        <w:r>
          <w:rPr>
            <w:webHidden/>
          </w:rPr>
          <w:instrText xml:space="preserve"> PAGEREF _Toc219281389 \h </w:instrText>
        </w:r>
        <w:r>
          <w:rPr>
            <w:webHidden/>
          </w:rPr>
        </w:r>
        <w:r>
          <w:rPr>
            <w:webHidden/>
          </w:rPr>
          <w:fldChar w:fldCharType="separate"/>
        </w:r>
        <w:r>
          <w:rPr>
            <w:webHidden/>
          </w:rPr>
          <w:t>16</w:t>
        </w:r>
        <w:r>
          <w:rPr>
            <w:webHidden/>
          </w:rPr>
          <w:fldChar w:fldCharType="end"/>
        </w:r>
      </w:hyperlink>
    </w:p>
    <w:p w14:paraId="1280AE3A" w14:textId="02241F9A"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0" w:history="1">
        <w:r w:rsidRPr="00023078">
          <w:rPr>
            <w:rStyle w:val="Hyperlink"/>
          </w:rPr>
          <w:t>3.3</w:t>
        </w:r>
        <w:r>
          <w:rPr>
            <w:rFonts w:asciiTheme="minorHAnsi" w:eastAsiaTheme="minorEastAsia" w:hAnsiTheme="minorHAnsi" w:cstheme="minorBidi"/>
            <w:iCs w:val="0"/>
            <w:kern w:val="2"/>
            <w:sz w:val="24"/>
            <w:szCs w:val="24"/>
            <w14:ligatures w14:val="standardContextual"/>
          </w:rPr>
          <w:tab/>
        </w:r>
        <w:r w:rsidRPr="00023078">
          <w:rPr>
            <w:rStyle w:val="Hyperlink"/>
          </w:rPr>
          <w:t>Viral infection and replication</w:t>
        </w:r>
        <w:r>
          <w:rPr>
            <w:webHidden/>
          </w:rPr>
          <w:tab/>
        </w:r>
        <w:r>
          <w:rPr>
            <w:webHidden/>
          </w:rPr>
          <w:fldChar w:fldCharType="begin"/>
        </w:r>
        <w:r>
          <w:rPr>
            <w:webHidden/>
          </w:rPr>
          <w:instrText xml:space="preserve"> PAGEREF _Toc219281390 \h </w:instrText>
        </w:r>
        <w:r>
          <w:rPr>
            <w:webHidden/>
          </w:rPr>
        </w:r>
        <w:r>
          <w:rPr>
            <w:webHidden/>
          </w:rPr>
          <w:fldChar w:fldCharType="separate"/>
        </w:r>
        <w:r>
          <w:rPr>
            <w:webHidden/>
          </w:rPr>
          <w:t>17</w:t>
        </w:r>
        <w:r>
          <w:rPr>
            <w:webHidden/>
          </w:rPr>
          <w:fldChar w:fldCharType="end"/>
        </w:r>
      </w:hyperlink>
    </w:p>
    <w:p w14:paraId="6DA8A0C3" w14:textId="40D7438E"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1" w:history="1">
        <w:r w:rsidRPr="00023078">
          <w:rPr>
            <w:rStyle w:val="Hyperlink"/>
          </w:rPr>
          <w:t>3.4</w:t>
        </w:r>
        <w:r>
          <w:rPr>
            <w:rFonts w:asciiTheme="minorHAnsi" w:eastAsiaTheme="minorEastAsia" w:hAnsiTheme="minorHAnsi" w:cstheme="minorBidi"/>
            <w:iCs w:val="0"/>
            <w:kern w:val="2"/>
            <w:sz w:val="24"/>
            <w:szCs w:val="24"/>
            <w14:ligatures w14:val="standardContextual"/>
          </w:rPr>
          <w:tab/>
        </w:r>
        <w:r w:rsidRPr="00023078">
          <w:rPr>
            <w:rStyle w:val="Hyperlink"/>
          </w:rPr>
          <w:t>Mutation and recombination</w:t>
        </w:r>
        <w:r>
          <w:rPr>
            <w:webHidden/>
          </w:rPr>
          <w:tab/>
        </w:r>
        <w:r>
          <w:rPr>
            <w:webHidden/>
          </w:rPr>
          <w:fldChar w:fldCharType="begin"/>
        </w:r>
        <w:r>
          <w:rPr>
            <w:webHidden/>
          </w:rPr>
          <w:instrText xml:space="preserve"> PAGEREF _Toc219281391 \h </w:instrText>
        </w:r>
        <w:r>
          <w:rPr>
            <w:webHidden/>
          </w:rPr>
        </w:r>
        <w:r>
          <w:rPr>
            <w:webHidden/>
          </w:rPr>
          <w:fldChar w:fldCharType="separate"/>
        </w:r>
        <w:r>
          <w:rPr>
            <w:webHidden/>
          </w:rPr>
          <w:t>18</w:t>
        </w:r>
        <w:r>
          <w:rPr>
            <w:webHidden/>
          </w:rPr>
          <w:fldChar w:fldCharType="end"/>
        </w:r>
      </w:hyperlink>
    </w:p>
    <w:p w14:paraId="792C53CB" w14:textId="5A9BB6FE"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2" w:history="1">
        <w:r w:rsidRPr="00023078">
          <w:rPr>
            <w:rStyle w:val="Hyperlink"/>
          </w:rPr>
          <w:t>3.5</w:t>
        </w:r>
        <w:r>
          <w:rPr>
            <w:rFonts w:asciiTheme="minorHAnsi" w:eastAsiaTheme="minorEastAsia" w:hAnsiTheme="minorHAnsi" w:cstheme="minorBidi"/>
            <w:iCs w:val="0"/>
            <w:kern w:val="2"/>
            <w:sz w:val="24"/>
            <w:szCs w:val="24"/>
            <w14:ligatures w14:val="standardContextual"/>
          </w:rPr>
          <w:tab/>
        </w:r>
        <w:r w:rsidRPr="00023078">
          <w:rPr>
            <w:rStyle w:val="Hyperlink"/>
          </w:rPr>
          <w:t>Epidemiology</w:t>
        </w:r>
        <w:r>
          <w:rPr>
            <w:webHidden/>
          </w:rPr>
          <w:tab/>
        </w:r>
        <w:r>
          <w:rPr>
            <w:webHidden/>
          </w:rPr>
          <w:fldChar w:fldCharType="begin"/>
        </w:r>
        <w:r>
          <w:rPr>
            <w:webHidden/>
          </w:rPr>
          <w:instrText xml:space="preserve"> PAGEREF _Toc219281392 \h </w:instrText>
        </w:r>
        <w:r>
          <w:rPr>
            <w:webHidden/>
          </w:rPr>
        </w:r>
        <w:r>
          <w:rPr>
            <w:webHidden/>
          </w:rPr>
          <w:fldChar w:fldCharType="separate"/>
        </w:r>
        <w:r>
          <w:rPr>
            <w:webHidden/>
          </w:rPr>
          <w:t>19</w:t>
        </w:r>
        <w:r>
          <w:rPr>
            <w:webHidden/>
          </w:rPr>
          <w:fldChar w:fldCharType="end"/>
        </w:r>
      </w:hyperlink>
    </w:p>
    <w:p w14:paraId="349795CC" w14:textId="6F92CAB4"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93" w:history="1">
        <w:r w:rsidRPr="00023078">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The GMO - nature and effect of the genetic modification</w:t>
        </w:r>
        <w:r>
          <w:rPr>
            <w:webHidden/>
          </w:rPr>
          <w:tab/>
        </w:r>
        <w:r>
          <w:rPr>
            <w:webHidden/>
          </w:rPr>
          <w:fldChar w:fldCharType="begin"/>
        </w:r>
        <w:r>
          <w:rPr>
            <w:webHidden/>
          </w:rPr>
          <w:instrText xml:space="preserve"> PAGEREF _Toc219281393 \h </w:instrText>
        </w:r>
        <w:r>
          <w:rPr>
            <w:webHidden/>
          </w:rPr>
        </w:r>
        <w:r>
          <w:rPr>
            <w:webHidden/>
          </w:rPr>
          <w:fldChar w:fldCharType="separate"/>
        </w:r>
        <w:r>
          <w:rPr>
            <w:webHidden/>
          </w:rPr>
          <w:t>21</w:t>
        </w:r>
        <w:r>
          <w:rPr>
            <w:webHidden/>
          </w:rPr>
          <w:fldChar w:fldCharType="end"/>
        </w:r>
      </w:hyperlink>
    </w:p>
    <w:p w14:paraId="365A811C" w14:textId="159D3801"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4" w:history="1">
        <w:r w:rsidRPr="00023078">
          <w:rPr>
            <w:rStyle w:val="Hyperlink"/>
          </w:rPr>
          <w:t>4.1</w:t>
        </w:r>
        <w:r>
          <w:rPr>
            <w:rFonts w:asciiTheme="minorHAnsi" w:eastAsiaTheme="minorEastAsia" w:hAnsiTheme="minorHAnsi" w:cstheme="minorBidi"/>
            <w:iCs w:val="0"/>
            <w:kern w:val="2"/>
            <w:sz w:val="24"/>
            <w:szCs w:val="24"/>
            <w14:ligatures w14:val="standardContextual"/>
          </w:rPr>
          <w:tab/>
        </w:r>
        <w:r w:rsidRPr="00023078">
          <w:rPr>
            <w:rStyle w:val="Hyperlink"/>
          </w:rPr>
          <w:t>The genetic modifications</w:t>
        </w:r>
        <w:r>
          <w:rPr>
            <w:webHidden/>
          </w:rPr>
          <w:tab/>
        </w:r>
        <w:r>
          <w:rPr>
            <w:webHidden/>
          </w:rPr>
          <w:fldChar w:fldCharType="begin"/>
        </w:r>
        <w:r>
          <w:rPr>
            <w:webHidden/>
          </w:rPr>
          <w:instrText xml:space="preserve"> PAGEREF _Toc219281394 \h </w:instrText>
        </w:r>
        <w:r>
          <w:rPr>
            <w:webHidden/>
          </w:rPr>
        </w:r>
        <w:r>
          <w:rPr>
            <w:webHidden/>
          </w:rPr>
          <w:fldChar w:fldCharType="separate"/>
        </w:r>
        <w:r>
          <w:rPr>
            <w:webHidden/>
          </w:rPr>
          <w:t>21</w:t>
        </w:r>
        <w:r>
          <w:rPr>
            <w:webHidden/>
          </w:rPr>
          <w:fldChar w:fldCharType="end"/>
        </w:r>
      </w:hyperlink>
    </w:p>
    <w:p w14:paraId="4917EC62" w14:textId="2CAB3630"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5" w:history="1">
        <w:r w:rsidRPr="00023078">
          <w:rPr>
            <w:rStyle w:val="Hyperlink"/>
          </w:rPr>
          <w:t>4.2</w:t>
        </w:r>
        <w:r>
          <w:rPr>
            <w:rFonts w:asciiTheme="minorHAnsi" w:eastAsiaTheme="minorEastAsia" w:hAnsiTheme="minorHAnsi" w:cstheme="minorBidi"/>
            <w:iCs w:val="0"/>
            <w:kern w:val="2"/>
            <w:sz w:val="24"/>
            <w:szCs w:val="24"/>
            <w14:ligatures w14:val="standardContextual"/>
          </w:rPr>
          <w:tab/>
        </w:r>
        <w:r w:rsidRPr="00023078">
          <w:rPr>
            <w:rStyle w:val="Hyperlink"/>
            <w:rFonts w:cs="Calibri"/>
          </w:rPr>
          <w:t>Effects of the genetic modifications</w:t>
        </w:r>
        <w:r>
          <w:rPr>
            <w:webHidden/>
          </w:rPr>
          <w:tab/>
        </w:r>
        <w:r>
          <w:rPr>
            <w:webHidden/>
          </w:rPr>
          <w:fldChar w:fldCharType="begin"/>
        </w:r>
        <w:r>
          <w:rPr>
            <w:webHidden/>
          </w:rPr>
          <w:instrText xml:space="preserve"> PAGEREF _Toc219281395 \h </w:instrText>
        </w:r>
        <w:r>
          <w:rPr>
            <w:webHidden/>
          </w:rPr>
        </w:r>
        <w:r>
          <w:rPr>
            <w:webHidden/>
          </w:rPr>
          <w:fldChar w:fldCharType="separate"/>
        </w:r>
        <w:r>
          <w:rPr>
            <w:webHidden/>
          </w:rPr>
          <w:t>21</w:t>
        </w:r>
        <w:r>
          <w:rPr>
            <w:webHidden/>
          </w:rPr>
          <w:fldChar w:fldCharType="end"/>
        </w:r>
      </w:hyperlink>
    </w:p>
    <w:p w14:paraId="35D443F1" w14:textId="2DD41FE6"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6" w:history="1">
        <w:r w:rsidRPr="00023078">
          <w:rPr>
            <w:rStyle w:val="Hyperlink"/>
          </w:rPr>
          <w:t>4.3</w:t>
        </w:r>
        <w:r>
          <w:rPr>
            <w:rFonts w:asciiTheme="minorHAnsi" w:eastAsiaTheme="minorEastAsia" w:hAnsiTheme="minorHAnsi" w:cstheme="minorBidi"/>
            <w:iCs w:val="0"/>
            <w:kern w:val="2"/>
            <w:sz w:val="24"/>
            <w:szCs w:val="24"/>
            <w14:ligatures w14:val="standardContextual"/>
          </w:rPr>
          <w:tab/>
        </w:r>
        <w:r w:rsidRPr="00023078">
          <w:rPr>
            <w:rStyle w:val="Hyperlink"/>
          </w:rPr>
          <w:t>Characterisation of the GMO</w:t>
        </w:r>
        <w:r>
          <w:rPr>
            <w:webHidden/>
          </w:rPr>
          <w:tab/>
        </w:r>
        <w:r>
          <w:rPr>
            <w:webHidden/>
          </w:rPr>
          <w:fldChar w:fldCharType="begin"/>
        </w:r>
        <w:r>
          <w:rPr>
            <w:webHidden/>
          </w:rPr>
          <w:instrText xml:space="preserve"> PAGEREF _Toc219281396 \h </w:instrText>
        </w:r>
        <w:r>
          <w:rPr>
            <w:webHidden/>
          </w:rPr>
        </w:r>
        <w:r>
          <w:rPr>
            <w:webHidden/>
          </w:rPr>
          <w:fldChar w:fldCharType="separate"/>
        </w:r>
        <w:r>
          <w:rPr>
            <w:webHidden/>
          </w:rPr>
          <w:t>22</w:t>
        </w:r>
        <w:r>
          <w:rPr>
            <w:webHidden/>
          </w:rPr>
          <w:fldChar w:fldCharType="end"/>
        </w:r>
      </w:hyperlink>
    </w:p>
    <w:p w14:paraId="2B3F5450" w14:textId="35E1D979"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397" w:history="1">
        <w:r w:rsidRPr="00023078">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The receiving environment</w:t>
        </w:r>
        <w:r>
          <w:rPr>
            <w:webHidden/>
          </w:rPr>
          <w:tab/>
        </w:r>
        <w:r>
          <w:rPr>
            <w:webHidden/>
          </w:rPr>
          <w:fldChar w:fldCharType="begin"/>
        </w:r>
        <w:r>
          <w:rPr>
            <w:webHidden/>
          </w:rPr>
          <w:instrText xml:space="preserve"> PAGEREF _Toc219281397 \h </w:instrText>
        </w:r>
        <w:r>
          <w:rPr>
            <w:webHidden/>
          </w:rPr>
        </w:r>
        <w:r>
          <w:rPr>
            <w:webHidden/>
          </w:rPr>
          <w:fldChar w:fldCharType="separate"/>
        </w:r>
        <w:r>
          <w:rPr>
            <w:webHidden/>
          </w:rPr>
          <w:t>26</w:t>
        </w:r>
        <w:r>
          <w:rPr>
            <w:webHidden/>
          </w:rPr>
          <w:fldChar w:fldCharType="end"/>
        </w:r>
      </w:hyperlink>
    </w:p>
    <w:p w14:paraId="379239C9" w14:textId="7E45D5A9"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8" w:history="1">
        <w:r w:rsidRPr="00023078">
          <w:rPr>
            <w:rStyle w:val="Hyperlink"/>
          </w:rPr>
          <w:t>5.1</w:t>
        </w:r>
        <w:r>
          <w:rPr>
            <w:rFonts w:asciiTheme="minorHAnsi" w:eastAsiaTheme="minorEastAsia" w:hAnsiTheme="minorHAnsi" w:cstheme="minorBidi"/>
            <w:iCs w:val="0"/>
            <w:kern w:val="2"/>
            <w:sz w:val="24"/>
            <w:szCs w:val="24"/>
            <w14:ligatures w14:val="standardContextual"/>
          </w:rPr>
          <w:tab/>
        </w:r>
        <w:r w:rsidRPr="00023078">
          <w:rPr>
            <w:rStyle w:val="Hyperlink"/>
          </w:rPr>
          <w:t>Site of administration</w:t>
        </w:r>
        <w:r>
          <w:rPr>
            <w:webHidden/>
          </w:rPr>
          <w:tab/>
        </w:r>
        <w:r>
          <w:rPr>
            <w:webHidden/>
          </w:rPr>
          <w:fldChar w:fldCharType="begin"/>
        </w:r>
        <w:r>
          <w:rPr>
            <w:webHidden/>
          </w:rPr>
          <w:instrText xml:space="preserve"> PAGEREF _Toc219281398 \h </w:instrText>
        </w:r>
        <w:r>
          <w:rPr>
            <w:webHidden/>
          </w:rPr>
        </w:r>
        <w:r>
          <w:rPr>
            <w:webHidden/>
          </w:rPr>
          <w:fldChar w:fldCharType="separate"/>
        </w:r>
        <w:r>
          <w:rPr>
            <w:webHidden/>
          </w:rPr>
          <w:t>26</w:t>
        </w:r>
        <w:r>
          <w:rPr>
            <w:webHidden/>
          </w:rPr>
          <w:fldChar w:fldCharType="end"/>
        </w:r>
      </w:hyperlink>
    </w:p>
    <w:p w14:paraId="7FBF9AC0" w14:textId="473A9A89"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399" w:history="1">
        <w:r w:rsidRPr="00023078">
          <w:rPr>
            <w:rStyle w:val="Hyperlink"/>
          </w:rPr>
          <w:t>5.2</w:t>
        </w:r>
        <w:r>
          <w:rPr>
            <w:rFonts w:asciiTheme="minorHAnsi" w:eastAsiaTheme="minorEastAsia" w:hAnsiTheme="minorHAnsi" w:cstheme="minorBidi"/>
            <w:iCs w:val="0"/>
            <w:kern w:val="2"/>
            <w:sz w:val="24"/>
            <w:szCs w:val="24"/>
            <w14:ligatures w14:val="standardContextual"/>
          </w:rPr>
          <w:tab/>
        </w:r>
        <w:r w:rsidRPr="00023078">
          <w:rPr>
            <w:rStyle w:val="Hyperlink"/>
          </w:rPr>
          <w:t>Presence of related viral species in the receiving environment</w:t>
        </w:r>
        <w:r>
          <w:rPr>
            <w:webHidden/>
          </w:rPr>
          <w:tab/>
        </w:r>
        <w:r>
          <w:rPr>
            <w:webHidden/>
          </w:rPr>
          <w:fldChar w:fldCharType="begin"/>
        </w:r>
        <w:r>
          <w:rPr>
            <w:webHidden/>
          </w:rPr>
          <w:instrText xml:space="preserve"> PAGEREF _Toc219281399 \h </w:instrText>
        </w:r>
        <w:r>
          <w:rPr>
            <w:webHidden/>
          </w:rPr>
        </w:r>
        <w:r>
          <w:rPr>
            <w:webHidden/>
          </w:rPr>
          <w:fldChar w:fldCharType="separate"/>
        </w:r>
        <w:r>
          <w:rPr>
            <w:webHidden/>
          </w:rPr>
          <w:t>26</w:t>
        </w:r>
        <w:r>
          <w:rPr>
            <w:webHidden/>
          </w:rPr>
          <w:fldChar w:fldCharType="end"/>
        </w:r>
      </w:hyperlink>
    </w:p>
    <w:p w14:paraId="74A0A392" w14:textId="00990245"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00" w:history="1">
        <w:r w:rsidRPr="00023078">
          <w:rPr>
            <w:rStyle w:val="Hyperlink"/>
          </w:rPr>
          <w:t>5.3</w:t>
        </w:r>
        <w:r>
          <w:rPr>
            <w:rFonts w:asciiTheme="minorHAnsi" w:eastAsiaTheme="minorEastAsia" w:hAnsiTheme="minorHAnsi" w:cstheme="minorBidi"/>
            <w:iCs w:val="0"/>
            <w:kern w:val="2"/>
            <w:sz w:val="24"/>
            <w:szCs w:val="24"/>
            <w14:ligatures w14:val="standardContextual"/>
          </w:rPr>
          <w:tab/>
        </w:r>
        <w:r w:rsidRPr="00023078">
          <w:rPr>
            <w:rStyle w:val="Hyperlink"/>
          </w:rPr>
          <w:t>Presence of similar genetic material in the environment</w:t>
        </w:r>
        <w:r>
          <w:rPr>
            <w:webHidden/>
          </w:rPr>
          <w:tab/>
        </w:r>
        <w:r>
          <w:rPr>
            <w:webHidden/>
          </w:rPr>
          <w:fldChar w:fldCharType="begin"/>
        </w:r>
        <w:r>
          <w:rPr>
            <w:webHidden/>
          </w:rPr>
          <w:instrText xml:space="preserve"> PAGEREF _Toc219281400 \h </w:instrText>
        </w:r>
        <w:r>
          <w:rPr>
            <w:webHidden/>
          </w:rPr>
        </w:r>
        <w:r>
          <w:rPr>
            <w:webHidden/>
          </w:rPr>
          <w:fldChar w:fldCharType="separate"/>
        </w:r>
        <w:r>
          <w:rPr>
            <w:webHidden/>
          </w:rPr>
          <w:t>26</w:t>
        </w:r>
        <w:r>
          <w:rPr>
            <w:webHidden/>
          </w:rPr>
          <w:fldChar w:fldCharType="end"/>
        </w:r>
      </w:hyperlink>
    </w:p>
    <w:p w14:paraId="51B00090" w14:textId="4CE61FA8"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01" w:history="1">
        <w:r w:rsidRPr="00023078">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Previous authorisations</w:t>
        </w:r>
        <w:r>
          <w:rPr>
            <w:webHidden/>
          </w:rPr>
          <w:tab/>
        </w:r>
        <w:r>
          <w:rPr>
            <w:webHidden/>
          </w:rPr>
          <w:fldChar w:fldCharType="begin"/>
        </w:r>
        <w:r>
          <w:rPr>
            <w:webHidden/>
          </w:rPr>
          <w:instrText xml:space="preserve"> PAGEREF _Toc219281401 \h </w:instrText>
        </w:r>
        <w:r>
          <w:rPr>
            <w:webHidden/>
          </w:rPr>
        </w:r>
        <w:r>
          <w:rPr>
            <w:webHidden/>
          </w:rPr>
          <w:fldChar w:fldCharType="separate"/>
        </w:r>
        <w:r>
          <w:rPr>
            <w:webHidden/>
          </w:rPr>
          <w:t>27</w:t>
        </w:r>
        <w:r>
          <w:rPr>
            <w:webHidden/>
          </w:rPr>
          <w:fldChar w:fldCharType="end"/>
        </w:r>
      </w:hyperlink>
    </w:p>
    <w:p w14:paraId="68127D23" w14:textId="04FC1FFF"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02" w:history="1">
        <w:r w:rsidRPr="00023078">
          <w:rPr>
            <w:rStyle w:val="Hyperlink"/>
          </w:rPr>
          <w:t>6.1</w:t>
        </w:r>
        <w:r>
          <w:rPr>
            <w:rFonts w:asciiTheme="minorHAnsi" w:eastAsiaTheme="minorEastAsia" w:hAnsiTheme="minorHAnsi" w:cstheme="minorBidi"/>
            <w:iCs w:val="0"/>
            <w:kern w:val="2"/>
            <w:sz w:val="24"/>
            <w:szCs w:val="24"/>
            <w14:ligatures w14:val="standardContextual"/>
          </w:rPr>
          <w:tab/>
        </w:r>
        <w:r w:rsidRPr="00023078">
          <w:rPr>
            <w:rStyle w:val="Hyperlink"/>
          </w:rPr>
          <w:t>Australian approvals</w:t>
        </w:r>
        <w:r>
          <w:rPr>
            <w:webHidden/>
          </w:rPr>
          <w:tab/>
        </w:r>
        <w:r>
          <w:rPr>
            <w:webHidden/>
          </w:rPr>
          <w:fldChar w:fldCharType="begin"/>
        </w:r>
        <w:r>
          <w:rPr>
            <w:webHidden/>
          </w:rPr>
          <w:instrText xml:space="preserve"> PAGEREF _Toc219281402 \h </w:instrText>
        </w:r>
        <w:r>
          <w:rPr>
            <w:webHidden/>
          </w:rPr>
        </w:r>
        <w:r>
          <w:rPr>
            <w:webHidden/>
          </w:rPr>
          <w:fldChar w:fldCharType="separate"/>
        </w:r>
        <w:r>
          <w:rPr>
            <w:webHidden/>
          </w:rPr>
          <w:t>27</w:t>
        </w:r>
        <w:r>
          <w:rPr>
            <w:webHidden/>
          </w:rPr>
          <w:fldChar w:fldCharType="end"/>
        </w:r>
      </w:hyperlink>
    </w:p>
    <w:p w14:paraId="285785FA" w14:textId="3A7C73B0"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03" w:history="1">
        <w:r w:rsidRPr="00023078">
          <w:rPr>
            <w:rStyle w:val="Hyperlink"/>
          </w:rPr>
          <w:t>6.2</w:t>
        </w:r>
        <w:r>
          <w:rPr>
            <w:rFonts w:asciiTheme="minorHAnsi" w:eastAsiaTheme="minorEastAsia" w:hAnsiTheme="minorHAnsi" w:cstheme="minorBidi"/>
            <w:iCs w:val="0"/>
            <w:kern w:val="2"/>
            <w:sz w:val="24"/>
            <w:szCs w:val="24"/>
            <w14:ligatures w14:val="standardContextual"/>
          </w:rPr>
          <w:tab/>
        </w:r>
        <w:r w:rsidRPr="00023078">
          <w:rPr>
            <w:rStyle w:val="Hyperlink"/>
          </w:rPr>
          <w:t>International approvals</w:t>
        </w:r>
        <w:r>
          <w:rPr>
            <w:webHidden/>
          </w:rPr>
          <w:tab/>
        </w:r>
        <w:r>
          <w:rPr>
            <w:webHidden/>
          </w:rPr>
          <w:fldChar w:fldCharType="begin"/>
        </w:r>
        <w:r>
          <w:rPr>
            <w:webHidden/>
          </w:rPr>
          <w:instrText xml:space="preserve"> PAGEREF _Toc219281403 \h </w:instrText>
        </w:r>
        <w:r>
          <w:rPr>
            <w:webHidden/>
          </w:rPr>
        </w:r>
        <w:r>
          <w:rPr>
            <w:webHidden/>
          </w:rPr>
          <w:fldChar w:fldCharType="separate"/>
        </w:r>
        <w:r>
          <w:rPr>
            <w:webHidden/>
          </w:rPr>
          <w:t>27</w:t>
        </w:r>
        <w:r>
          <w:rPr>
            <w:webHidden/>
          </w:rPr>
          <w:fldChar w:fldCharType="end"/>
        </w:r>
      </w:hyperlink>
    </w:p>
    <w:p w14:paraId="40BB8EA1" w14:textId="650D5D7F"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404" w:history="1">
        <w:r w:rsidRPr="00023078">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023078">
          <w:rPr>
            <w:rStyle w:val="Hyperlink"/>
          </w:rPr>
          <w:t>Risk assessment</w:t>
        </w:r>
        <w:r>
          <w:rPr>
            <w:webHidden/>
          </w:rPr>
          <w:tab/>
        </w:r>
        <w:r>
          <w:rPr>
            <w:webHidden/>
          </w:rPr>
          <w:fldChar w:fldCharType="begin"/>
        </w:r>
        <w:r>
          <w:rPr>
            <w:webHidden/>
          </w:rPr>
          <w:instrText xml:space="preserve"> PAGEREF _Toc219281404 \h </w:instrText>
        </w:r>
        <w:r>
          <w:rPr>
            <w:webHidden/>
          </w:rPr>
        </w:r>
        <w:r>
          <w:rPr>
            <w:webHidden/>
          </w:rPr>
          <w:fldChar w:fldCharType="separate"/>
        </w:r>
        <w:r>
          <w:rPr>
            <w:webHidden/>
          </w:rPr>
          <w:t>28</w:t>
        </w:r>
        <w:r>
          <w:rPr>
            <w:webHidden/>
          </w:rPr>
          <w:fldChar w:fldCharType="end"/>
        </w:r>
      </w:hyperlink>
    </w:p>
    <w:p w14:paraId="765B82EA" w14:textId="4CE061A0"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05" w:history="1">
        <w:r w:rsidRPr="00023078">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Introduction</w:t>
        </w:r>
        <w:r>
          <w:rPr>
            <w:webHidden/>
          </w:rPr>
          <w:tab/>
        </w:r>
        <w:r>
          <w:rPr>
            <w:webHidden/>
          </w:rPr>
          <w:fldChar w:fldCharType="begin"/>
        </w:r>
        <w:r>
          <w:rPr>
            <w:webHidden/>
          </w:rPr>
          <w:instrText xml:space="preserve"> PAGEREF _Toc219281405 \h </w:instrText>
        </w:r>
        <w:r>
          <w:rPr>
            <w:webHidden/>
          </w:rPr>
        </w:r>
        <w:r>
          <w:rPr>
            <w:webHidden/>
          </w:rPr>
          <w:fldChar w:fldCharType="separate"/>
        </w:r>
        <w:r>
          <w:rPr>
            <w:webHidden/>
          </w:rPr>
          <w:t>28</w:t>
        </w:r>
        <w:r>
          <w:rPr>
            <w:webHidden/>
          </w:rPr>
          <w:fldChar w:fldCharType="end"/>
        </w:r>
      </w:hyperlink>
    </w:p>
    <w:p w14:paraId="2FBA2F57" w14:textId="51ECE28E"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06" w:history="1">
        <w:r w:rsidRPr="00023078">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Risk identification</w:t>
        </w:r>
        <w:r>
          <w:rPr>
            <w:webHidden/>
          </w:rPr>
          <w:tab/>
        </w:r>
        <w:r>
          <w:rPr>
            <w:webHidden/>
          </w:rPr>
          <w:fldChar w:fldCharType="begin"/>
        </w:r>
        <w:r>
          <w:rPr>
            <w:webHidden/>
          </w:rPr>
          <w:instrText xml:space="preserve"> PAGEREF _Toc219281406 \h </w:instrText>
        </w:r>
        <w:r>
          <w:rPr>
            <w:webHidden/>
          </w:rPr>
        </w:r>
        <w:r>
          <w:rPr>
            <w:webHidden/>
          </w:rPr>
          <w:fldChar w:fldCharType="separate"/>
        </w:r>
        <w:r>
          <w:rPr>
            <w:webHidden/>
          </w:rPr>
          <w:t>29</w:t>
        </w:r>
        <w:r>
          <w:rPr>
            <w:webHidden/>
          </w:rPr>
          <w:fldChar w:fldCharType="end"/>
        </w:r>
      </w:hyperlink>
    </w:p>
    <w:p w14:paraId="14B6D87A" w14:textId="5ED86CE2"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07" w:history="1">
        <w:r w:rsidRPr="00023078">
          <w:rPr>
            <w:rStyle w:val="Hyperlink"/>
          </w:rPr>
          <w:t>2.1</w:t>
        </w:r>
        <w:r>
          <w:rPr>
            <w:rFonts w:asciiTheme="minorHAnsi" w:eastAsiaTheme="minorEastAsia" w:hAnsiTheme="minorHAnsi" w:cstheme="minorBidi"/>
            <w:iCs w:val="0"/>
            <w:kern w:val="2"/>
            <w:sz w:val="24"/>
            <w:szCs w:val="24"/>
            <w14:ligatures w14:val="standardContextual"/>
          </w:rPr>
          <w:tab/>
        </w:r>
        <w:r w:rsidRPr="00023078">
          <w:rPr>
            <w:rStyle w:val="Hyperlink"/>
          </w:rPr>
          <w:t>Risk source</w:t>
        </w:r>
        <w:r>
          <w:rPr>
            <w:webHidden/>
          </w:rPr>
          <w:tab/>
        </w:r>
        <w:r>
          <w:rPr>
            <w:webHidden/>
          </w:rPr>
          <w:fldChar w:fldCharType="begin"/>
        </w:r>
        <w:r>
          <w:rPr>
            <w:webHidden/>
          </w:rPr>
          <w:instrText xml:space="preserve"> PAGEREF _Toc219281407 \h </w:instrText>
        </w:r>
        <w:r>
          <w:rPr>
            <w:webHidden/>
          </w:rPr>
        </w:r>
        <w:r>
          <w:rPr>
            <w:webHidden/>
          </w:rPr>
          <w:fldChar w:fldCharType="separate"/>
        </w:r>
        <w:r>
          <w:rPr>
            <w:webHidden/>
          </w:rPr>
          <w:t>29</w:t>
        </w:r>
        <w:r>
          <w:rPr>
            <w:webHidden/>
          </w:rPr>
          <w:fldChar w:fldCharType="end"/>
        </w:r>
      </w:hyperlink>
    </w:p>
    <w:p w14:paraId="459B78D1" w14:textId="4182CD9D"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08" w:history="1">
        <w:r w:rsidRPr="00023078">
          <w:rPr>
            <w:rStyle w:val="Hyperlink"/>
          </w:rPr>
          <w:t>2.2</w:t>
        </w:r>
        <w:r>
          <w:rPr>
            <w:rFonts w:asciiTheme="minorHAnsi" w:eastAsiaTheme="minorEastAsia" w:hAnsiTheme="minorHAnsi" w:cstheme="minorBidi"/>
            <w:iCs w:val="0"/>
            <w:kern w:val="2"/>
            <w:sz w:val="24"/>
            <w:szCs w:val="24"/>
            <w14:ligatures w14:val="standardContextual"/>
          </w:rPr>
          <w:tab/>
        </w:r>
        <w:r w:rsidRPr="00023078">
          <w:rPr>
            <w:rStyle w:val="Hyperlink"/>
          </w:rPr>
          <w:t>Causal pathway</w:t>
        </w:r>
        <w:r>
          <w:rPr>
            <w:webHidden/>
          </w:rPr>
          <w:tab/>
        </w:r>
        <w:r>
          <w:rPr>
            <w:webHidden/>
          </w:rPr>
          <w:fldChar w:fldCharType="begin"/>
        </w:r>
        <w:r>
          <w:rPr>
            <w:webHidden/>
          </w:rPr>
          <w:instrText xml:space="preserve"> PAGEREF _Toc219281408 \h </w:instrText>
        </w:r>
        <w:r>
          <w:rPr>
            <w:webHidden/>
          </w:rPr>
        </w:r>
        <w:r>
          <w:rPr>
            <w:webHidden/>
          </w:rPr>
          <w:fldChar w:fldCharType="separate"/>
        </w:r>
        <w:r>
          <w:rPr>
            <w:webHidden/>
          </w:rPr>
          <w:t>29</w:t>
        </w:r>
        <w:r>
          <w:rPr>
            <w:webHidden/>
          </w:rPr>
          <w:fldChar w:fldCharType="end"/>
        </w:r>
      </w:hyperlink>
    </w:p>
    <w:p w14:paraId="7876C21D" w14:textId="532CA6FA"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09" w:history="1">
        <w:r w:rsidRPr="00023078">
          <w:rPr>
            <w:rStyle w:val="Hyperlink"/>
          </w:rPr>
          <w:t>2.3</w:t>
        </w:r>
        <w:r>
          <w:rPr>
            <w:rFonts w:asciiTheme="minorHAnsi" w:eastAsiaTheme="minorEastAsia" w:hAnsiTheme="minorHAnsi" w:cstheme="minorBidi"/>
            <w:iCs w:val="0"/>
            <w:kern w:val="2"/>
            <w:sz w:val="24"/>
            <w:szCs w:val="24"/>
            <w14:ligatures w14:val="standardContextual"/>
          </w:rPr>
          <w:tab/>
        </w:r>
        <w:r w:rsidRPr="00023078">
          <w:rPr>
            <w:rStyle w:val="Hyperlink"/>
          </w:rPr>
          <w:t>Potential harms</w:t>
        </w:r>
        <w:r>
          <w:rPr>
            <w:webHidden/>
          </w:rPr>
          <w:tab/>
        </w:r>
        <w:r>
          <w:rPr>
            <w:webHidden/>
          </w:rPr>
          <w:fldChar w:fldCharType="begin"/>
        </w:r>
        <w:r>
          <w:rPr>
            <w:webHidden/>
          </w:rPr>
          <w:instrText xml:space="preserve"> PAGEREF _Toc219281409 \h </w:instrText>
        </w:r>
        <w:r>
          <w:rPr>
            <w:webHidden/>
          </w:rPr>
        </w:r>
        <w:r>
          <w:rPr>
            <w:webHidden/>
          </w:rPr>
          <w:fldChar w:fldCharType="separate"/>
        </w:r>
        <w:r>
          <w:rPr>
            <w:webHidden/>
          </w:rPr>
          <w:t>31</w:t>
        </w:r>
        <w:r>
          <w:rPr>
            <w:webHidden/>
          </w:rPr>
          <w:fldChar w:fldCharType="end"/>
        </w:r>
      </w:hyperlink>
    </w:p>
    <w:p w14:paraId="7F01CAB7" w14:textId="11CFD7BE"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10" w:history="1">
        <w:r w:rsidRPr="00023078">
          <w:rPr>
            <w:rStyle w:val="Hyperlink"/>
          </w:rPr>
          <w:t>2.4</w:t>
        </w:r>
        <w:r>
          <w:rPr>
            <w:rFonts w:asciiTheme="minorHAnsi" w:eastAsiaTheme="minorEastAsia" w:hAnsiTheme="minorHAnsi" w:cstheme="minorBidi"/>
            <w:iCs w:val="0"/>
            <w:kern w:val="2"/>
            <w:sz w:val="24"/>
            <w:szCs w:val="24"/>
            <w14:ligatures w14:val="standardContextual"/>
          </w:rPr>
          <w:tab/>
        </w:r>
        <w:r w:rsidRPr="00023078">
          <w:rPr>
            <w:rStyle w:val="Hyperlink"/>
          </w:rPr>
          <w:t>Postulated risk scenarios</w:t>
        </w:r>
        <w:r>
          <w:rPr>
            <w:webHidden/>
          </w:rPr>
          <w:tab/>
        </w:r>
        <w:r>
          <w:rPr>
            <w:webHidden/>
          </w:rPr>
          <w:fldChar w:fldCharType="begin"/>
        </w:r>
        <w:r>
          <w:rPr>
            <w:webHidden/>
          </w:rPr>
          <w:instrText xml:space="preserve"> PAGEREF _Toc219281410 \h </w:instrText>
        </w:r>
        <w:r>
          <w:rPr>
            <w:webHidden/>
          </w:rPr>
        </w:r>
        <w:r>
          <w:rPr>
            <w:webHidden/>
          </w:rPr>
          <w:fldChar w:fldCharType="separate"/>
        </w:r>
        <w:r>
          <w:rPr>
            <w:webHidden/>
          </w:rPr>
          <w:t>31</w:t>
        </w:r>
        <w:r>
          <w:rPr>
            <w:webHidden/>
          </w:rPr>
          <w:fldChar w:fldCharType="end"/>
        </w:r>
      </w:hyperlink>
    </w:p>
    <w:p w14:paraId="02CADC2D" w14:textId="6F7EA907"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11" w:history="1">
        <w:r w:rsidRPr="00023078">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Uncertainty</w:t>
        </w:r>
        <w:r>
          <w:rPr>
            <w:webHidden/>
          </w:rPr>
          <w:tab/>
        </w:r>
        <w:r>
          <w:rPr>
            <w:webHidden/>
          </w:rPr>
          <w:fldChar w:fldCharType="begin"/>
        </w:r>
        <w:r>
          <w:rPr>
            <w:webHidden/>
          </w:rPr>
          <w:instrText xml:space="preserve"> PAGEREF _Toc219281411 \h </w:instrText>
        </w:r>
        <w:r>
          <w:rPr>
            <w:webHidden/>
          </w:rPr>
        </w:r>
        <w:r>
          <w:rPr>
            <w:webHidden/>
          </w:rPr>
          <w:fldChar w:fldCharType="separate"/>
        </w:r>
        <w:r>
          <w:rPr>
            <w:webHidden/>
          </w:rPr>
          <w:t>42</w:t>
        </w:r>
        <w:r>
          <w:rPr>
            <w:webHidden/>
          </w:rPr>
          <w:fldChar w:fldCharType="end"/>
        </w:r>
      </w:hyperlink>
    </w:p>
    <w:p w14:paraId="3B6D4A0B" w14:textId="27271673"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12" w:history="1">
        <w:r w:rsidRPr="00023078">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Risk evaluation</w:t>
        </w:r>
        <w:r>
          <w:rPr>
            <w:webHidden/>
          </w:rPr>
          <w:tab/>
        </w:r>
        <w:r>
          <w:rPr>
            <w:webHidden/>
          </w:rPr>
          <w:fldChar w:fldCharType="begin"/>
        </w:r>
        <w:r>
          <w:rPr>
            <w:webHidden/>
          </w:rPr>
          <w:instrText xml:space="preserve"> PAGEREF _Toc219281412 \h </w:instrText>
        </w:r>
        <w:r>
          <w:rPr>
            <w:webHidden/>
          </w:rPr>
        </w:r>
        <w:r>
          <w:rPr>
            <w:webHidden/>
          </w:rPr>
          <w:fldChar w:fldCharType="separate"/>
        </w:r>
        <w:r>
          <w:rPr>
            <w:webHidden/>
          </w:rPr>
          <w:t>43</w:t>
        </w:r>
        <w:r>
          <w:rPr>
            <w:webHidden/>
          </w:rPr>
          <w:fldChar w:fldCharType="end"/>
        </w:r>
      </w:hyperlink>
    </w:p>
    <w:p w14:paraId="6ABE5B77" w14:textId="6B783019"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413" w:history="1">
        <w:r w:rsidRPr="00023078">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023078">
          <w:rPr>
            <w:rStyle w:val="Hyperlink"/>
          </w:rPr>
          <w:t>Risk management plan</w:t>
        </w:r>
        <w:r>
          <w:rPr>
            <w:webHidden/>
          </w:rPr>
          <w:tab/>
        </w:r>
        <w:r>
          <w:rPr>
            <w:webHidden/>
          </w:rPr>
          <w:fldChar w:fldCharType="begin"/>
        </w:r>
        <w:r>
          <w:rPr>
            <w:webHidden/>
          </w:rPr>
          <w:instrText xml:space="preserve"> PAGEREF _Toc219281413 \h </w:instrText>
        </w:r>
        <w:r>
          <w:rPr>
            <w:webHidden/>
          </w:rPr>
        </w:r>
        <w:r>
          <w:rPr>
            <w:webHidden/>
          </w:rPr>
          <w:fldChar w:fldCharType="separate"/>
        </w:r>
        <w:r>
          <w:rPr>
            <w:webHidden/>
          </w:rPr>
          <w:t>45</w:t>
        </w:r>
        <w:r>
          <w:rPr>
            <w:webHidden/>
          </w:rPr>
          <w:fldChar w:fldCharType="end"/>
        </w:r>
      </w:hyperlink>
    </w:p>
    <w:p w14:paraId="23C7E269" w14:textId="58C23BC9"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14" w:history="1">
        <w:r w:rsidRPr="00023078">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Background</w:t>
        </w:r>
        <w:r>
          <w:rPr>
            <w:webHidden/>
          </w:rPr>
          <w:tab/>
        </w:r>
        <w:r>
          <w:rPr>
            <w:webHidden/>
          </w:rPr>
          <w:fldChar w:fldCharType="begin"/>
        </w:r>
        <w:r>
          <w:rPr>
            <w:webHidden/>
          </w:rPr>
          <w:instrText xml:space="preserve"> PAGEREF _Toc219281414 \h </w:instrText>
        </w:r>
        <w:r>
          <w:rPr>
            <w:webHidden/>
          </w:rPr>
        </w:r>
        <w:r>
          <w:rPr>
            <w:webHidden/>
          </w:rPr>
          <w:fldChar w:fldCharType="separate"/>
        </w:r>
        <w:r>
          <w:rPr>
            <w:webHidden/>
          </w:rPr>
          <w:t>45</w:t>
        </w:r>
        <w:r>
          <w:rPr>
            <w:webHidden/>
          </w:rPr>
          <w:fldChar w:fldCharType="end"/>
        </w:r>
      </w:hyperlink>
    </w:p>
    <w:p w14:paraId="4645AB7D" w14:textId="785B158D"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15" w:history="1">
        <w:r w:rsidRPr="00023078">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Risk treatment measures for substantive risks</w:t>
        </w:r>
        <w:r>
          <w:rPr>
            <w:webHidden/>
          </w:rPr>
          <w:tab/>
        </w:r>
        <w:r>
          <w:rPr>
            <w:webHidden/>
          </w:rPr>
          <w:fldChar w:fldCharType="begin"/>
        </w:r>
        <w:r>
          <w:rPr>
            <w:webHidden/>
          </w:rPr>
          <w:instrText xml:space="preserve"> PAGEREF _Toc219281415 \h </w:instrText>
        </w:r>
        <w:r>
          <w:rPr>
            <w:webHidden/>
          </w:rPr>
        </w:r>
        <w:r>
          <w:rPr>
            <w:webHidden/>
          </w:rPr>
          <w:fldChar w:fldCharType="separate"/>
        </w:r>
        <w:r>
          <w:rPr>
            <w:webHidden/>
          </w:rPr>
          <w:t>45</w:t>
        </w:r>
        <w:r>
          <w:rPr>
            <w:webHidden/>
          </w:rPr>
          <w:fldChar w:fldCharType="end"/>
        </w:r>
      </w:hyperlink>
    </w:p>
    <w:p w14:paraId="79D0AFFA" w14:textId="719E53A2"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16" w:history="1">
        <w:r w:rsidRPr="00023078">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General risk management</w:t>
        </w:r>
        <w:r>
          <w:rPr>
            <w:webHidden/>
          </w:rPr>
          <w:tab/>
        </w:r>
        <w:r>
          <w:rPr>
            <w:webHidden/>
          </w:rPr>
          <w:fldChar w:fldCharType="begin"/>
        </w:r>
        <w:r>
          <w:rPr>
            <w:webHidden/>
          </w:rPr>
          <w:instrText xml:space="preserve"> PAGEREF _Toc219281416 \h </w:instrText>
        </w:r>
        <w:r>
          <w:rPr>
            <w:webHidden/>
          </w:rPr>
        </w:r>
        <w:r>
          <w:rPr>
            <w:webHidden/>
          </w:rPr>
          <w:fldChar w:fldCharType="separate"/>
        </w:r>
        <w:r>
          <w:rPr>
            <w:webHidden/>
          </w:rPr>
          <w:t>45</w:t>
        </w:r>
        <w:r>
          <w:rPr>
            <w:webHidden/>
          </w:rPr>
          <w:fldChar w:fldCharType="end"/>
        </w:r>
      </w:hyperlink>
    </w:p>
    <w:p w14:paraId="55FBF44B" w14:textId="047ACF1E"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17" w:history="1">
        <w:r w:rsidRPr="00023078">
          <w:rPr>
            <w:rStyle w:val="Hyperlink"/>
            <w:bCs/>
          </w:rPr>
          <w:t>3.1</w:t>
        </w:r>
        <w:r>
          <w:rPr>
            <w:rFonts w:asciiTheme="minorHAnsi" w:eastAsiaTheme="minorEastAsia" w:hAnsiTheme="minorHAnsi" w:cstheme="minorBidi"/>
            <w:iCs w:val="0"/>
            <w:kern w:val="2"/>
            <w:sz w:val="24"/>
            <w:szCs w:val="24"/>
            <w14:ligatures w14:val="standardContextual"/>
          </w:rPr>
          <w:tab/>
        </w:r>
        <w:r w:rsidRPr="00023078">
          <w:rPr>
            <w:rStyle w:val="Hyperlink"/>
          </w:rPr>
          <w:t>Limits and controls on the clinical trial</w:t>
        </w:r>
        <w:r>
          <w:rPr>
            <w:webHidden/>
          </w:rPr>
          <w:tab/>
        </w:r>
        <w:r>
          <w:rPr>
            <w:webHidden/>
          </w:rPr>
          <w:fldChar w:fldCharType="begin"/>
        </w:r>
        <w:r>
          <w:rPr>
            <w:webHidden/>
          </w:rPr>
          <w:instrText xml:space="preserve"> PAGEREF _Toc219281417 \h </w:instrText>
        </w:r>
        <w:r>
          <w:rPr>
            <w:webHidden/>
          </w:rPr>
        </w:r>
        <w:r>
          <w:rPr>
            <w:webHidden/>
          </w:rPr>
          <w:fldChar w:fldCharType="separate"/>
        </w:r>
        <w:r>
          <w:rPr>
            <w:webHidden/>
          </w:rPr>
          <w:t>45</w:t>
        </w:r>
        <w:r>
          <w:rPr>
            <w:webHidden/>
          </w:rPr>
          <w:fldChar w:fldCharType="end"/>
        </w:r>
      </w:hyperlink>
    </w:p>
    <w:p w14:paraId="3DD7BF6E" w14:textId="1D848B5E" w:rsidR="00452B9E" w:rsidRDefault="00452B9E">
      <w:pPr>
        <w:pStyle w:val="TOC3"/>
        <w:rPr>
          <w:rFonts w:asciiTheme="minorHAnsi" w:eastAsiaTheme="minorEastAsia" w:hAnsiTheme="minorHAnsi" w:cstheme="minorBidi"/>
          <w:iCs w:val="0"/>
          <w:kern w:val="2"/>
          <w:sz w:val="24"/>
          <w:szCs w:val="24"/>
          <w14:ligatures w14:val="standardContextual"/>
        </w:rPr>
      </w:pPr>
      <w:hyperlink w:anchor="_Toc219281418" w:history="1">
        <w:r w:rsidRPr="00023078">
          <w:rPr>
            <w:rStyle w:val="Hyperlink"/>
            <w:bCs/>
          </w:rPr>
          <w:t>3.2</w:t>
        </w:r>
        <w:r>
          <w:rPr>
            <w:rFonts w:asciiTheme="minorHAnsi" w:eastAsiaTheme="minorEastAsia" w:hAnsiTheme="minorHAnsi" w:cstheme="minorBidi"/>
            <w:iCs w:val="0"/>
            <w:kern w:val="2"/>
            <w:sz w:val="24"/>
            <w:szCs w:val="24"/>
            <w14:ligatures w14:val="standardContextual"/>
          </w:rPr>
          <w:tab/>
        </w:r>
        <w:r w:rsidRPr="00023078">
          <w:rPr>
            <w:rStyle w:val="Hyperlink"/>
          </w:rPr>
          <w:t>Other risk management considerations</w:t>
        </w:r>
        <w:r>
          <w:rPr>
            <w:webHidden/>
          </w:rPr>
          <w:tab/>
        </w:r>
        <w:r>
          <w:rPr>
            <w:webHidden/>
          </w:rPr>
          <w:fldChar w:fldCharType="begin"/>
        </w:r>
        <w:r>
          <w:rPr>
            <w:webHidden/>
          </w:rPr>
          <w:instrText xml:space="preserve"> PAGEREF _Toc219281418 \h </w:instrText>
        </w:r>
        <w:r>
          <w:rPr>
            <w:webHidden/>
          </w:rPr>
        </w:r>
        <w:r>
          <w:rPr>
            <w:webHidden/>
          </w:rPr>
          <w:fldChar w:fldCharType="separate"/>
        </w:r>
        <w:r>
          <w:rPr>
            <w:webHidden/>
          </w:rPr>
          <w:t>48</w:t>
        </w:r>
        <w:r>
          <w:rPr>
            <w:webHidden/>
          </w:rPr>
          <w:fldChar w:fldCharType="end"/>
        </w:r>
      </w:hyperlink>
    </w:p>
    <w:p w14:paraId="18D7C52A" w14:textId="2F22FD39"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19" w:history="1">
        <w:r w:rsidRPr="00023078">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Issues to be addressed for future releases</w:t>
        </w:r>
        <w:r>
          <w:rPr>
            <w:webHidden/>
          </w:rPr>
          <w:tab/>
        </w:r>
        <w:r>
          <w:rPr>
            <w:webHidden/>
          </w:rPr>
          <w:fldChar w:fldCharType="begin"/>
        </w:r>
        <w:r>
          <w:rPr>
            <w:webHidden/>
          </w:rPr>
          <w:instrText xml:space="preserve"> PAGEREF _Toc219281419 \h </w:instrText>
        </w:r>
        <w:r>
          <w:rPr>
            <w:webHidden/>
          </w:rPr>
        </w:r>
        <w:r>
          <w:rPr>
            <w:webHidden/>
          </w:rPr>
          <w:fldChar w:fldCharType="separate"/>
        </w:r>
        <w:r>
          <w:rPr>
            <w:webHidden/>
          </w:rPr>
          <w:t>49</w:t>
        </w:r>
        <w:r>
          <w:rPr>
            <w:webHidden/>
          </w:rPr>
          <w:fldChar w:fldCharType="end"/>
        </w:r>
      </w:hyperlink>
    </w:p>
    <w:p w14:paraId="28B3ACCF" w14:textId="3706E7CC"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0" w:history="1">
        <w:r w:rsidRPr="00023078">
          <w:rPr>
            <w:rStyle w:val="Hyperlink"/>
            <w:bCs/>
            <w:iCs/>
          </w:rPr>
          <w:t>Section 5</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Pr>
          <w:t>Conclusions of the consultation RARMP</w:t>
        </w:r>
        <w:r>
          <w:rPr>
            <w:webHidden/>
          </w:rPr>
          <w:tab/>
        </w:r>
        <w:r>
          <w:rPr>
            <w:webHidden/>
          </w:rPr>
          <w:fldChar w:fldCharType="begin"/>
        </w:r>
        <w:r>
          <w:rPr>
            <w:webHidden/>
          </w:rPr>
          <w:instrText xml:space="preserve"> PAGEREF _Toc219281420 \h </w:instrText>
        </w:r>
        <w:r>
          <w:rPr>
            <w:webHidden/>
          </w:rPr>
        </w:r>
        <w:r>
          <w:rPr>
            <w:webHidden/>
          </w:rPr>
          <w:fldChar w:fldCharType="separate"/>
        </w:r>
        <w:r>
          <w:rPr>
            <w:webHidden/>
          </w:rPr>
          <w:t>50</w:t>
        </w:r>
        <w:r>
          <w:rPr>
            <w:webHidden/>
          </w:rPr>
          <w:fldChar w:fldCharType="end"/>
        </w:r>
      </w:hyperlink>
    </w:p>
    <w:p w14:paraId="0FF93ECB" w14:textId="0DA7E9CE"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421" w:history="1">
        <w:r w:rsidRPr="00023078">
          <w:rPr>
            <w:rStyle w:val="Hyperlink"/>
          </w:rPr>
          <w:t>Chapter 4</w:t>
        </w:r>
        <w:r>
          <w:rPr>
            <w:rFonts w:asciiTheme="minorHAnsi" w:eastAsiaTheme="minorEastAsia" w:hAnsiTheme="minorHAnsi" w:cstheme="minorBidi"/>
            <w:b w:val="0"/>
            <w:bCs w:val="0"/>
            <w:caps w:val="0"/>
            <w:color w:val="auto"/>
            <w:kern w:val="2"/>
            <w:sz w:val="24"/>
            <w:szCs w:val="24"/>
            <w14:ligatures w14:val="standardContextual"/>
          </w:rPr>
          <w:tab/>
        </w:r>
        <w:r w:rsidRPr="00023078">
          <w:rPr>
            <w:rStyle w:val="Hyperlink"/>
          </w:rPr>
          <w:t>Draft licence conditions</w:t>
        </w:r>
        <w:r>
          <w:rPr>
            <w:webHidden/>
          </w:rPr>
          <w:tab/>
        </w:r>
        <w:r>
          <w:rPr>
            <w:webHidden/>
          </w:rPr>
          <w:fldChar w:fldCharType="begin"/>
        </w:r>
        <w:r>
          <w:rPr>
            <w:webHidden/>
          </w:rPr>
          <w:instrText xml:space="preserve"> PAGEREF _Toc219281421 \h </w:instrText>
        </w:r>
        <w:r>
          <w:rPr>
            <w:webHidden/>
          </w:rPr>
        </w:r>
        <w:r>
          <w:rPr>
            <w:webHidden/>
          </w:rPr>
          <w:fldChar w:fldCharType="separate"/>
        </w:r>
        <w:r>
          <w:rPr>
            <w:webHidden/>
          </w:rPr>
          <w:t>51</w:t>
        </w:r>
        <w:r>
          <w:rPr>
            <w:webHidden/>
          </w:rPr>
          <w:fldChar w:fldCharType="end"/>
        </w:r>
      </w:hyperlink>
    </w:p>
    <w:p w14:paraId="67EAB10F" w14:textId="76ECDB52"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2" w:history="1">
        <w:r w:rsidRPr="00023078">
          <w:rPr>
            <w:rStyle w:val="Hyperlink"/>
            <w:bCs/>
            <w:iCs/>
          </w:rPr>
          <w:t>Section 1</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Fonts w:cs="Calibri"/>
          </w:rPr>
          <w:t>Interpretations and Definitions</w:t>
        </w:r>
        <w:r>
          <w:rPr>
            <w:webHidden/>
          </w:rPr>
          <w:tab/>
        </w:r>
        <w:r>
          <w:rPr>
            <w:webHidden/>
          </w:rPr>
          <w:fldChar w:fldCharType="begin"/>
        </w:r>
        <w:r>
          <w:rPr>
            <w:webHidden/>
          </w:rPr>
          <w:instrText xml:space="preserve"> PAGEREF _Toc219281422 \h </w:instrText>
        </w:r>
        <w:r>
          <w:rPr>
            <w:webHidden/>
          </w:rPr>
        </w:r>
        <w:r>
          <w:rPr>
            <w:webHidden/>
          </w:rPr>
          <w:fldChar w:fldCharType="separate"/>
        </w:r>
        <w:r>
          <w:rPr>
            <w:webHidden/>
          </w:rPr>
          <w:t>51</w:t>
        </w:r>
        <w:r>
          <w:rPr>
            <w:webHidden/>
          </w:rPr>
          <w:fldChar w:fldCharType="end"/>
        </w:r>
      </w:hyperlink>
    </w:p>
    <w:p w14:paraId="319778F2" w14:textId="5494F467"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3" w:history="1">
        <w:r w:rsidRPr="00023078">
          <w:rPr>
            <w:rStyle w:val="Hyperlink"/>
            <w:bCs/>
            <w:iCs/>
          </w:rPr>
          <w:t>Section 2</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Fonts w:cs="Calibri"/>
          </w:rPr>
          <w:t>General conditions and obligations</w:t>
        </w:r>
        <w:r>
          <w:rPr>
            <w:webHidden/>
          </w:rPr>
          <w:tab/>
        </w:r>
        <w:r>
          <w:rPr>
            <w:webHidden/>
          </w:rPr>
          <w:fldChar w:fldCharType="begin"/>
        </w:r>
        <w:r>
          <w:rPr>
            <w:webHidden/>
          </w:rPr>
          <w:instrText xml:space="preserve"> PAGEREF _Toc219281423 \h </w:instrText>
        </w:r>
        <w:r>
          <w:rPr>
            <w:webHidden/>
          </w:rPr>
        </w:r>
        <w:r>
          <w:rPr>
            <w:webHidden/>
          </w:rPr>
          <w:fldChar w:fldCharType="separate"/>
        </w:r>
        <w:r>
          <w:rPr>
            <w:webHidden/>
          </w:rPr>
          <w:t>52</w:t>
        </w:r>
        <w:r>
          <w:rPr>
            <w:webHidden/>
          </w:rPr>
          <w:fldChar w:fldCharType="end"/>
        </w:r>
      </w:hyperlink>
    </w:p>
    <w:p w14:paraId="1B07B65B" w14:textId="14C948F6"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4" w:history="1">
        <w:r w:rsidRPr="00023078">
          <w:rPr>
            <w:rStyle w:val="Hyperlink"/>
            <w:bCs/>
            <w:iCs/>
          </w:rPr>
          <w:t>Section 3</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Fonts w:cs="Calibri"/>
          </w:rPr>
          <w:t>Limits and control measures</w:t>
        </w:r>
        <w:r>
          <w:rPr>
            <w:webHidden/>
          </w:rPr>
          <w:tab/>
        </w:r>
        <w:r>
          <w:rPr>
            <w:webHidden/>
          </w:rPr>
          <w:fldChar w:fldCharType="begin"/>
        </w:r>
        <w:r>
          <w:rPr>
            <w:webHidden/>
          </w:rPr>
          <w:instrText xml:space="preserve"> PAGEREF _Toc219281424 \h </w:instrText>
        </w:r>
        <w:r>
          <w:rPr>
            <w:webHidden/>
          </w:rPr>
        </w:r>
        <w:r>
          <w:rPr>
            <w:webHidden/>
          </w:rPr>
          <w:fldChar w:fldCharType="separate"/>
        </w:r>
        <w:r>
          <w:rPr>
            <w:webHidden/>
          </w:rPr>
          <w:t>55</w:t>
        </w:r>
        <w:r>
          <w:rPr>
            <w:webHidden/>
          </w:rPr>
          <w:fldChar w:fldCharType="end"/>
        </w:r>
      </w:hyperlink>
    </w:p>
    <w:p w14:paraId="11EB7DC1" w14:textId="7D46F68D"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5" w:history="1">
        <w:r w:rsidRPr="00023078">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023078">
          <w:rPr>
            <w:rStyle w:val="Hyperlink"/>
            <w:rFonts w:cs="Calibri"/>
          </w:rPr>
          <w:t>Reporting and Documentation</w:t>
        </w:r>
        <w:r>
          <w:rPr>
            <w:webHidden/>
          </w:rPr>
          <w:tab/>
        </w:r>
        <w:r>
          <w:rPr>
            <w:webHidden/>
          </w:rPr>
          <w:fldChar w:fldCharType="begin"/>
        </w:r>
        <w:r>
          <w:rPr>
            <w:webHidden/>
          </w:rPr>
          <w:instrText xml:space="preserve"> PAGEREF _Toc219281425 \h </w:instrText>
        </w:r>
        <w:r>
          <w:rPr>
            <w:webHidden/>
          </w:rPr>
        </w:r>
        <w:r>
          <w:rPr>
            <w:webHidden/>
          </w:rPr>
          <w:fldChar w:fldCharType="separate"/>
        </w:r>
        <w:r>
          <w:rPr>
            <w:webHidden/>
          </w:rPr>
          <w:t>58</w:t>
        </w:r>
        <w:r>
          <w:rPr>
            <w:webHidden/>
          </w:rPr>
          <w:fldChar w:fldCharType="end"/>
        </w:r>
      </w:hyperlink>
    </w:p>
    <w:p w14:paraId="12440D8A" w14:textId="4E2C3378"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6" w:history="1">
        <w:r w:rsidRPr="00023078">
          <w:rPr>
            <w:rStyle w:val="Hyperlink"/>
          </w:rPr>
          <w:t>Attachment A</w:t>
        </w:r>
        <w:r>
          <w:rPr>
            <w:webHidden/>
          </w:rPr>
          <w:tab/>
        </w:r>
        <w:r>
          <w:rPr>
            <w:webHidden/>
          </w:rPr>
          <w:fldChar w:fldCharType="begin"/>
        </w:r>
        <w:r>
          <w:rPr>
            <w:webHidden/>
          </w:rPr>
          <w:instrText xml:space="preserve"> PAGEREF _Toc219281426 \h </w:instrText>
        </w:r>
        <w:r>
          <w:rPr>
            <w:webHidden/>
          </w:rPr>
        </w:r>
        <w:r>
          <w:rPr>
            <w:webHidden/>
          </w:rPr>
          <w:fldChar w:fldCharType="separate"/>
        </w:r>
        <w:r>
          <w:rPr>
            <w:webHidden/>
          </w:rPr>
          <w:t>60</w:t>
        </w:r>
        <w:r>
          <w:rPr>
            <w:webHidden/>
          </w:rPr>
          <w:fldChar w:fldCharType="end"/>
        </w:r>
      </w:hyperlink>
    </w:p>
    <w:p w14:paraId="57C811FE" w14:textId="1A2FAA25" w:rsidR="00452B9E" w:rsidRDefault="00452B9E">
      <w:pPr>
        <w:pStyle w:val="TOC2"/>
        <w:rPr>
          <w:rFonts w:asciiTheme="minorHAnsi" w:eastAsiaTheme="minorEastAsia" w:hAnsiTheme="minorHAnsi" w:cstheme="minorBidi"/>
          <w:smallCaps w:val="0"/>
          <w:kern w:val="2"/>
          <w:sz w:val="24"/>
          <w:szCs w:val="24"/>
          <w:lang w:eastAsia="en-AU"/>
          <w14:ligatures w14:val="standardContextual"/>
        </w:rPr>
      </w:pPr>
      <w:hyperlink w:anchor="_Toc219281427" w:history="1">
        <w:r w:rsidRPr="00023078">
          <w:rPr>
            <w:rStyle w:val="Hyperlink"/>
          </w:rPr>
          <w:t>Attachment B Summary of reporting requirements*</w:t>
        </w:r>
        <w:r>
          <w:rPr>
            <w:webHidden/>
          </w:rPr>
          <w:tab/>
        </w:r>
        <w:r>
          <w:rPr>
            <w:webHidden/>
          </w:rPr>
          <w:fldChar w:fldCharType="begin"/>
        </w:r>
        <w:r>
          <w:rPr>
            <w:webHidden/>
          </w:rPr>
          <w:instrText xml:space="preserve"> PAGEREF _Toc219281427 \h </w:instrText>
        </w:r>
        <w:r>
          <w:rPr>
            <w:webHidden/>
          </w:rPr>
        </w:r>
        <w:r>
          <w:rPr>
            <w:webHidden/>
          </w:rPr>
          <w:fldChar w:fldCharType="separate"/>
        </w:r>
        <w:r>
          <w:rPr>
            <w:webHidden/>
          </w:rPr>
          <w:t>61</w:t>
        </w:r>
        <w:r>
          <w:rPr>
            <w:webHidden/>
          </w:rPr>
          <w:fldChar w:fldCharType="end"/>
        </w:r>
      </w:hyperlink>
    </w:p>
    <w:p w14:paraId="31671338" w14:textId="39468C84" w:rsidR="00452B9E" w:rsidRDefault="00452B9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9281428" w:history="1">
        <w:r w:rsidRPr="00023078">
          <w:rPr>
            <w:rStyle w:val="Hyperlink"/>
          </w:rPr>
          <w:t>References</w:t>
        </w:r>
        <w:r>
          <w:rPr>
            <w:webHidden/>
          </w:rPr>
          <w:tab/>
        </w:r>
        <w:r w:rsidR="008A0EB0">
          <w:rPr>
            <w:webHidden/>
          </w:rPr>
          <w:tab/>
        </w:r>
        <w:r>
          <w:rPr>
            <w:webHidden/>
          </w:rPr>
          <w:fldChar w:fldCharType="begin"/>
        </w:r>
        <w:r>
          <w:rPr>
            <w:webHidden/>
          </w:rPr>
          <w:instrText xml:space="preserve"> PAGEREF _Toc219281428 \h </w:instrText>
        </w:r>
        <w:r>
          <w:rPr>
            <w:webHidden/>
          </w:rPr>
        </w:r>
        <w:r>
          <w:rPr>
            <w:webHidden/>
          </w:rPr>
          <w:fldChar w:fldCharType="separate"/>
        </w:r>
        <w:r>
          <w:rPr>
            <w:webHidden/>
          </w:rPr>
          <w:t>63</w:t>
        </w:r>
        <w:r>
          <w:rPr>
            <w:webHidden/>
          </w:rPr>
          <w:fldChar w:fldCharType="end"/>
        </w:r>
      </w:hyperlink>
    </w:p>
    <w:p w14:paraId="21D474A3" w14:textId="5A590BEE"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9"/>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4" w:name="_Toc127695704"/>
      <w:bookmarkStart w:id="35" w:name="_Toc142471133"/>
      <w:bookmarkStart w:id="36" w:name="_Toc142987500"/>
      <w:bookmarkStart w:id="37" w:name="_Toc143058789"/>
      <w:bookmarkStart w:id="38" w:name="_Toc47536739"/>
      <w:bookmarkStart w:id="39" w:name="_Toc219281379"/>
      <w:r w:rsidRPr="0000143A">
        <w:lastRenderedPageBreak/>
        <w:t>Abbreviations</w:t>
      </w:r>
      <w:bookmarkEnd w:id="34"/>
      <w:bookmarkEnd w:id="35"/>
      <w:bookmarkEnd w:id="36"/>
      <w:bookmarkEnd w:id="37"/>
      <w:bookmarkEnd w:id="38"/>
      <w:bookmarkEnd w:id="39"/>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9C63C9" w:rsidRPr="00707A27" w14:paraId="2CCB16F4"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42BD6321" w14:textId="77777777" w:rsidR="009C63C9" w:rsidRPr="00B55EDD" w:rsidRDefault="009C63C9" w:rsidP="00387093">
            <w:pPr>
              <w:spacing w:before="0"/>
              <w:contextualSpacing/>
              <w:rPr>
                <w:rFonts w:asciiTheme="minorHAnsi" w:hAnsiTheme="minorHAnsi" w:cstheme="minorHAnsi"/>
                <w:szCs w:val="22"/>
              </w:rPr>
            </w:pPr>
            <w:proofErr w:type="spellStart"/>
            <w:r>
              <w:rPr>
                <w:rFonts w:asciiTheme="minorHAnsi" w:hAnsiTheme="minorHAnsi" w:cstheme="minorHAnsi"/>
                <w:szCs w:val="22"/>
              </w:rPr>
              <w:t>AdV</w:t>
            </w:r>
            <w:proofErr w:type="spellEnd"/>
          </w:p>
        </w:tc>
        <w:tc>
          <w:tcPr>
            <w:tcW w:w="7243" w:type="dxa"/>
            <w:tcBorders>
              <w:top w:val="single" w:sz="4" w:space="0" w:color="auto"/>
              <w:left w:val="single" w:sz="4" w:space="0" w:color="auto"/>
              <w:bottom w:val="single" w:sz="4" w:space="0" w:color="auto"/>
              <w:right w:val="single" w:sz="4" w:space="0" w:color="auto"/>
            </w:tcBorders>
          </w:tcPr>
          <w:p w14:paraId="7690D1BC" w14:textId="77777777" w:rsidR="009C63C9" w:rsidRPr="00707A27" w:rsidRDefault="009C63C9" w:rsidP="00387093">
            <w:pPr>
              <w:spacing w:before="0"/>
              <w:contextualSpacing/>
              <w:rPr>
                <w:rFonts w:asciiTheme="minorHAnsi" w:hAnsiTheme="minorHAnsi" w:cstheme="minorHAnsi"/>
                <w:szCs w:val="22"/>
              </w:rPr>
            </w:pPr>
            <w:r>
              <w:rPr>
                <w:rFonts w:asciiTheme="minorHAnsi" w:hAnsiTheme="minorHAnsi" w:cstheme="minorHAnsi"/>
                <w:szCs w:val="22"/>
              </w:rPr>
              <w:t>Adenovirus</w:t>
            </w:r>
          </w:p>
        </w:tc>
      </w:tr>
      <w:tr w:rsidR="009C63C9" w:rsidRPr="00707A27" w14:paraId="64B47E18"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063C59A6" w14:textId="77777777" w:rsidR="009C63C9" w:rsidRPr="00B55EDD" w:rsidRDefault="009C63C9" w:rsidP="00387093">
            <w:pPr>
              <w:spacing w:before="0"/>
              <w:contextualSpacing/>
              <w:rPr>
                <w:rFonts w:asciiTheme="minorHAnsi" w:hAnsiTheme="minorHAnsi" w:cstheme="minorHAnsi"/>
                <w:szCs w:val="22"/>
              </w:rPr>
            </w:pPr>
            <w:r w:rsidRPr="00B55EDD">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5447E1F6" w14:textId="77777777" w:rsidR="009C63C9" w:rsidRPr="00707A27" w:rsidRDefault="009C63C9" w:rsidP="00387093">
            <w:pPr>
              <w:spacing w:before="0"/>
              <w:contextualSpacing/>
              <w:rPr>
                <w:rFonts w:asciiTheme="minorHAnsi" w:hAnsiTheme="minorHAnsi" w:cstheme="minorHAnsi"/>
                <w:szCs w:val="22"/>
              </w:rPr>
            </w:pPr>
            <w:r w:rsidRPr="00707A27">
              <w:rPr>
                <w:rFonts w:asciiTheme="minorHAnsi" w:hAnsiTheme="minorHAnsi" w:cstheme="minorHAnsi"/>
                <w:szCs w:val="22"/>
              </w:rPr>
              <w:t>Australian Pesticides and Veterinary Medicines Authority</w:t>
            </w:r>
          </w:p>
        </w:tc>
      </w:tr>
      <w:tr w:rsidR="009C63C9" w:rsidRPr="00707A27" w14:paraId="3F85437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B5655DA" w14:textId="77777777" w:rsidR="009C63C9" w:rsidRPr="00B55EDD" w:rsidRDefault="009C63C9" w:rsidP="00387093">
            <w:pPr>
              <w:spacing w:before="20" w:after="20"/>
              <w:ind w:right="-30"/>
              <w:rPr>
                <w:rFonts w:asciiTheme="minorHAnsi" w:hAnsiTheme="minorHAnsi" w:cstheme="minorHAnsi"/>
                <w:szCs w:val="22"/>
              </w:rPr>
            </w:pPr>
            <w:r w:rsidRPr="00B55EDD">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A28850E" w14:textId="77777777" w:rsidR="009C63C9" w:rsidRPr="00707A27" w:rsidRDefault="009C63C9" w:rsidP="00387093">
            <w:pPr>
              <w:spacing w:before="20" w:after="20"/>
              <w:ind w:right="-30"/>
              <w:rPr>
                <w:rFonts w:asciiTheme="minorHAnsi" w:hAnsiTheme="minorHAnsi" w:cstheme="minorHAnsi"/>
                <w:szCs w:val="22"/>
              </w:rPr>
            </w:pPr>
            <w:proofErr w:type="spellStart"/>
            <w:r w:rsidRPr="00707A27">
              <w:rPr>
                <w:rFonts w:asciiTheme="minorHAnsi" w:hAnsiTheme="minorHAnsi" w:cstheme="minorHAnsi"/>
                <w:szCs w:val="22"/>
              </w:rPr>
              <w:t>Centers</w:t>
            </w:r>
            <w:proofErr w:type="spellEnd"/>
            <w:r w:rsidRPr="00707A27">
              <w:rPr>
                <w:rFonts w:asciiTheme="minorHAnsi" w:hAnsiTheme="minorHAnsi" w:cstheme="minorHAnsi"/>
                <w:szCs w:val="22"/>
              </w:rPr>
              <w:t xml:space="preserve"> for Disease Control and Prevention</w:t>
            </w:r>
          </w:p>
        </w:tc>
      </w:tr>
      <w:tr w:rsidR="009C63C9" w:rsidRPr="00707A27" w14:paraId="3565D61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7A6D8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51C95F9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Dealings </w:t>
            </w:r>
            <w:r>
              <w:rPr>
                <w:rFonts w:asciiTheme="minorHAnsi" w:hAnsiTheme="minorHAnsi" w:cstheme="minorHAnsi"/>
                <w:szCs w:val="22"/>
              </w:rPr>
              <w:t>I</w:t>
            </w:r>
            <w:r w:rsidRPr="00707A27">
              <w:rPr>
                <w:rFonts w:asciiTheme="minorHAnsi" w:hAnsiTheme="minorHAnsi" w:cstheme="minorHAnsi"/>
                <w:szCs w:val="22"/>
              </w:rPr>
              <w:t>nvolving Intentional Release</w:t>
            </w:r>
          </w:p>
        </w:tc>
      </w:tr>
      <w:tr w:rsidR="009C63C9" w:rsidRPr="00707A27" w14:paraId="6DF809A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ED2F1D8"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1D94BBD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9C63C9" w:rsidRPr="00707A27" w14:paraId="18650C9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F97ACAD" w14:textId="77777777" w:rsidR="009C63C9" w:rsidRPr="00FE0ADF" w:rsidRDefault="009C63C9" w:rsidP="00387093">
            <w:pPr>
              <w:contextualSpacing/>
              <w:rPr>
                <w:rFonts w:asciiTheme="minorHAnsi" w:hAnsiTheme="minorHAnsi" w:cstheme="minorHAnsi"/>
                <w:szCs w:val="22"/>
              </w:rPr>
            </w:pPr>
            <w:r w:rsidRPr="00FE0ADF">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58C854A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Food Standards Australia New Zealand</w:t>
            </w:r>
          </w:p>
        </w:tc>
      </w:tr>
      <w:tr w:rsidR="009C63C9" w:rsidRPr="00707A27" w14:paraId="137178F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7A01ED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54CB39B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9C63C9" w:rsidRPr="00707A27" w14:paraId="55A413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39AB7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5674B08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9C63C9" w:rsidRPr="00707A27" w14:paraId="452822E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288BB9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22918F0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9C63C9" w14:paraId="7EB52CC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D0F12F"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7DC1610D"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Human Research Ethics Committee</w:t>
            </w:r>
          </w:p>
        </w:tc>
      </w:tr>
      <w:tr w:rsidR="009C63C9" w14:paraId="5D437479"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83AE48"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61C1A77E"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9C63C9" w:rsidRPr="00707A27" w14:paraId="2235DA5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FD82EC7"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23878CEB"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Institutional Biosafety Committee</w:t>
            </w:r>
          </w:p>
        </w:tc>
      </w:tr>
      <w:tr w:rsidR="009C63C9" w:rsidRPr="00707A27" w14:paraId="6EF01A8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05A2E2" w14:textId="77777777" w:rsidR="009C63C9" w:rsidRPr="00B55EDD" w:rsidRDefault="009C63C9" w:rsidP="00387093">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7E466DD2"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9C63C9" w:rsidRPr="00707A27" w14:paraId="7076CB7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C37B0C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w:t>
            </w:r>
            <w:r>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4F865BA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Millilitre</w:t>
            </w:r>
          </w:p>
        </w:tc>
      </w:tr>
      <w:tr w:rsidR="009C63C9" w:rsidRPr="00707A27" w14:paraId="4163A77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8687E1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7BBA9E9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Minute</w:t>
            </w:r>
          </w:p>
        </w:tc>
      </w:tr>
      <w:tr w:rsidR="009C63C9" w:rsidRPr="00707A27" w14:paraId="1537D90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71CE73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1ADFC29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AE01C1" w:rsidRPr="00707A27" w14:paraId="5072412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0E482AE" w14:textId="2BD61415"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NPAAC</w:t>
            </w:r>
          </w:p>
        </w:tc>
        <w:tc>
          <w:tcPr>
            <w:tcW w:w="7243" w:type="dxa"/>
            <w:tcBorders>
              <w:top w:val="single" w:sz="4" w:space="0" w:color="auto"/>
              <w:left w:val="single" w:sz="4" w:space="0" w:color="auto"/>
              <w:bottom w:val="single" w:sz="4" w:space="0" w:color="auto"/>
              <w:right w:val="single" w:sz="4" w:space="0" w:color="auto"/>
            </w:tcBorders>
          </w:tcPr>
          <w:p w14:paraId="49760A34" w14:textId="64745A6D"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 xml:space="preserve">National Pathology Accreditation Advisory Council </w:t>
            </w:r>
          </w:p>
        </w:tc>
      </w:tr>
      <w:tr w:rsidR="00AE01C1" w:rsidRPr="00707A27" w14:paraId="63A36D0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BBC863F" w14:textId="5998B379"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NSQHS</w:t>
            </w:r>
          </w:p>
        </w:tc>
        <w:tc>
          <w:tcPr>
            <w:tcW w:w="7243" w:type="dxa"/>
            <w:tcBorders>
              <w:top w:val="single" w:sz="4" w:space="0" w:color="auto"/>
              <w:left w:val="single" w:sz="4" w:space="0" w:color="auto"/>
              <w:bottom w:val="single" w:sz="4" w:space="0" w:color="auto"/>
              <w:right w:val="single" w:sz="4" w:space="0" w:color="auto"/>
            </w:tcBorders>
          </w:tcPr>
          <w:p w14:paraId="1A770910" w14:textId="187A0F64"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National Safety and Quality Health Service Standards</w:t>
            </w:r>
          </w:p>
        </w:tc>
      </w:tr>
      <w:tr w:rsidR="009C63C9" w:rsidRPr="00707A27" w14:paraId="7F90F36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A8D4BF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39A8109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9C63C9" w:rsidRPr="00707A27" w14:paraId="3CCEA4C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D696F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16BBA16"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noProof/>
                <w:szCs w:val="22"/>
              </w:rPr>
              <w:t>P</w:t>
            </w:r>
            <w:r w:rsidRPr="00707A27">
              <w:rPr>
                <w:rFonts w:asciiTheme="minorHAnsi" w:hAnsiTheme="minorHAnsi" w:cstheme="minorHAnsi"/>
                <w:noProof/>
                <w:szCs w:val="22"/>
              </w:rPr>
              <w:t>ersonal Protective Equipment</w:t>
            </w:r>
          </w:p>
        </w:tc>
      </w:tr>
      <w:tr w:rsidR="009C63C9" w:rsidRPr="00707A27" w14:paraId="307264D1"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A9966D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2A0C2EF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9C63C9" w:rsidRPr="00633AAB" w14:paraId="3B06AEE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926A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1F0918BC" w14:textId="77777777" w:rsidR="009C63C9" w:rsidRPr="00633AAB" w:rsidRDefault="009C63C9" w:rsidP="00387093">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9C63C9" w:rsidRPr="00707A27" w14:paraId="7F2FB11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A7190A5" w14:textId="77777777" w:rsidR="009C63C9" w:rsidRPr="00707A27" w:rsidRDefault="009C63C9" w:rsidP="00387093">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41C6B58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9C63C9" w:rsidRPr="00707A27" w14:paraId="675932A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B3C35B5" w14:textId="77777777" w:rsidR="009C63C9" w:rsidRPr="0001639C" w:rsidRDefault="009C63C9" w:rsidP="00387093">
            <w:pPr>
              <w:contextualSpacing/>
              <w:rPr>
                <w:rFonts w:asciiTheme="minorHAnsi" w:hAnsiTheme="minorHAnsi" w:cstheme="minorHAnsi"/>
                <w:szCs w:val="22"/>
              </w:rPr>
            </w:pPr>
            <w:r w:rsidRPr="0001639C">
              <w:rPr>
                <w:rFonts w:asciiTheme="minorHAnsi" w:hAnsiTheme="minorHAnsi" w:cstheme="minorHAnsi"/>
                <w:szCs w:val="22"/>
              </w:rPr>
              <w:t>the Act</w:t>
            </w:r>
          </w:p>
        </w:tc>
        <w:tc>
          <w:tcPr>
            <w:tcW w:w="7243" w:type="dxa"/>
            <w:tcBorders>
              <w:top w:val="single" w:sz="4" w:space="0" w:color="auto"/>
              <w:left w:val="single" w:sz="4" w:space="0" w:color="auto"/>
              <w:bottom w:val="single" w:sz="4" w:space="0" w:color="auto"/>
              <w:right w:val="single" w:sz="4" w:space="0" w:color="auto"/>
            </w:tcBorders>
          </w:tcPr>
          <w:p w14:paraId="0FE5361A"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9C63C9" w:rsidRPr="00633AAB" w14:paraId="2659D2A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F8F4C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60D35467" w14:textId="77777777" w:rsidR="009C63C9" w:rsidRPr="00633AAB" w:rsidRDefault="009C63C9" w:rsidP="00387093">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9C63C9" w:rsidRPr="00707A27" w14:paraId="71265C7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F3255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30EC37D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9C63C9" w:rsidRPr="00707A27" w14:paraId="3A809EA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7B7022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72DA447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9C63C9" w:rsidRPr="00707A27" w14:paraId="282BEB6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3546E5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09193C53"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p>
        </w:tc>
      </w:tr>
      <w:tr w:rsidR="009C63C9" w:rsidRPr="00707A27" w14:paraId="474026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7F3CC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1EF565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9C63C9" w:rsidRPr="00707A27" w14:paraId="28EB365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0D9B7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3C12664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World Health Organization</w:t>
            </w:r>
          </w:p>
        </w:tc>
      </w:tr>
    </w:tbl>
    <w:p w14:paraId="3CF9F3C0" w14:textId="05EBDC96" w:rsidR="00F24F57" w:rsidRPr="0000143A" w:rsidRDefault="00F24F57" w:rsidP="00F56FE9">
      <w:pPr>
        <w:sectPr w:rsidR="00F24F57" w:rsidRPr="0000143A" w:rsidSect="00406E1A">
          <w:footerReference w:type="default" r:id="rId20"/>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40" w:name="_Toc301341824"/>
      <w:bookmarkStart w:id="41" w:name="_Toc47536740"/>
      <w:bookmarkStart w:id="42" w:name="_Ref57107670"/>
      <w:bookmarkStart w:id="43" w:name="_Ref57107703"/>
      <w:bookmarkStart w:id="44" w:name="_Ref57107745"/>
      <w:bookmarkStart w:id="45" w:name="_Ref57107833"/>
      <w:bookmarkStart w:id="46" w:name="_Ref57107847"/>
      <w:bookmarkStart w:id="47" w:name="_Ref57118890"/>
      <w:bookmarkStart w:id="48" w:name="_Ref57118926"/>
      <w:bookmarkStart w:id="49" w:name="_Ref57118937"/>
      <w:bookmarkStart w:id="50" w:name="_Ref57118949"/>
      <w:bookmarkStart w:id="51" w:name="_Ref57118962"/>
      <w:bookmarkStart w:id="52" w:name="_Ref57119022"/>
      <w:bookmarkStart w:id="53" w:name="_Ref57119079"/>
      <w:bookmarkStart w:id="54" w:name="_Ref57119151"/>
      <w:bookmarkStart w:id="55" w:name="_Ref57119245"/>
      <w:bookmarkStart w:id="56" w:name="_Ref58589090"/>
      <w:bookmarkStart w:id="57" w:name="_Ref58589095"/>
      <w:bookmarkStart w:id="58" w:name="_Ref58746019"/>
      <w:bookmarkStart w:id="59" w:name="_Ref61526715"/>
      <w:bookmarkStart w:id="60" w:name="_Ref61527328"/>
      <w:bookmarkStart w:id="61" w:name="_Ref67313083"/>
      <w:bookmarkStart w:id="62" w:name="_Ref67319228"/>
      <w:bookmarkStart w:id="63" w:name="_Ref67475058"/>
      <w:bookmarkStart w:id="64" w:name="_Ref67481049"/>
      <w:bookmarkStart w:id="65" w:name="_Ref67492375"/>
      <w:bookmarkStart w:id="66" w:name="_Ref67492394"/>
      <w:bookmarkStart w:id="67" w:name="_Ref67492471"/>
      <w:bookmarkStart w:id="68" w:name="_Ref67493429"/>
      <w:bookmarkStart w:id="69" w:name="_Ref68594429"/>
      <w:bookmarkStart w:id="70" w:name="_Ref68612879"/>
      <w:bookmarkStart w:id="71" w:name="_Ref68615635"/>
      <w:bookmarkStart w:id="72" w:name="_Ref68615652"/>
      <w:bookmarkStart w:id="73" w:name="_Toc219281380"/>
      <w:bookmarkStart w:id="74" w:name="_Toc142471144"/>
      <w:bookmarkStart w:id="75" w:name="_Toc142987511"/>
      <w:bookmarkStart w:id="76" w:name="_Toc143058800"/>
      <w:bookmarkStart w:id="77" w:name="_Toc94337984"/>
      <w:bookmarkStart w:id="78" w:name="_Toc97019206"/>
      <w:r w:rsidRPr="0000143A">
        <w:lastRenderedPageBreak/>
        <w:t>Risk assessment context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A30124D" w14:textId="77777777" w:rsidR="00F4070C" w:rsidRPr="006E06B6" w:rsidRDefault="00F4070C" w:rsidP="006E06B6">
      <w:pPr>
        <w:pStyle w:val="2RARMP"/>
      </w:pPr>
      <w:bookmarkStart w:id="79" w:name="_Toc202859546"/>
      <w:bookmarkStart w:id="80" w:name="_Toc301341825"/>
      <w:bookmarkStart w:id="81" w:name="_Toc446425382"/>
      <w:bookmarkStart w:id="82" w:name="_Toc47536741"/>
      <w:bookmarkStart w:id="83" w:name="_Ref62051078"/>
      <w:bookmarkStart w:id="84" w:name="_Toc219281381"/>
      <w:r w:rsidRPr="006E06B6">
        <w:t>Background</w:t>
      </w:r>
      <w:bookmarkEnd w:id="79"/>
      <w:bookmarkEnd w:id="80"/>
      <w:bookmarkEnd w:id="81"/>
      <w:bookmarkEnd w:id="82"/>
      <w:bookmarkEnd w:id="83"/>
      <w:bookmarkEnd w:id="84"/>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4D347C2F"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68" w:tooltip="OGTR, 2013 #1" w:history="1">
        <w:r w:rsidR="0027195B">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21" w:history="1">
        <w:r w:rsidR="00023B69" w:rsidRPr="007B1825">
          <w:rPr>
            <w:rStyle w:val="Hyperlink"/>
          </w:rPr>
          <w:t>OGTR website</w:t>
        </w:r>
      </w:hyperlink>
      <w:r w:rsidR="00023B69">
        <w:rPr>
          <w:rStyle w:val="Hyperlink"/>
        </w:rPr>
        <w:t>)</w:t>
      </w:r>
      <w:r w:rsidRPr="00425DA7">
        <w:rPr>
          <w:rStyle w:val="Hyperlink"/>
          <w:u w:val="none"/>
        </w:rPr>
        <w:t>.</w:t>
      </w:r>
    </w:p>
    <w:p w14:paraId="3F14C6BE" w14:textId="46A6E00B" w:rsidR="005A6602" w:rsidRPr="005A6602" w:rsidRDefault="00AE01C1"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1E7664">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F1464B7" w:rsidR="00533D84" w:rsidRPr="00C63E8D" w:rsidRDefault="00533D84" w:rsidP="006F72AC">
      <w:pPr>
        <w:pStyle w:val="Caption-Figure"/>
        <w:rPr>
          <w:b/>
        </w:rPr>
      </w:pPr>
      <w:bookmarkStart w:id="85" w:name="_Ref383596632"/>
      <w:r w:rsidRPr="00C63E8D">
        <w:t>Figure</w:t>
      </w:r>
      <w:bookmarkEnd w:id="85"/>
      <w:r w:rsidR="00AE01C1">
        <w:t xml:space="preserve"> 1</w:t>
      </w:r>
      <w:r w:rsidR="004D4C8A" w:rsidRPr="00C63E8D">
        <w:rPr>
          <w:noProof/>
        </w:rPr>
        <w:t>.</w:t>
      </w:r>
      <w:bookmarkStart w:id="86" w:name="_Ref256168805"/>
      <w:r w:rsidR="004D4C8A" w:rsidRPr="00C63E8D">
        <w:t xml:space="preserve"> </w:t>
      </w:r>
      <w:r w:rsidR="001266B9" w:rsidRPr="00C63E8D">
        <w:t xml:space="preserve">Summary of parameters </w:t>
      </w:r>
      <w:r w:rsidRPr="00C63E8D">
        <w:t>used to establish the risk assessment context</w:t>
      </w:r>
      <w:bookmarkEnd w:id="86"/>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65F14309" w14:textId="69406A2B" w:rsidR="00425DA7" w:rsidRPr="00534844" w:rsidRDefault="00C009AF" w:rsidP="00534844">
      <w:pPr>
        <w:pStyle w:val="RARMPnumberedparagraphs"/>
        <w:rPr>
          <w:szCs w:val="22"/>
        </w:rPr>
      </w:pPr>
      <w:r w:rsidRPr="00937960">
        <w:t xml:space="preserve">In accordance with Section 50A of the Act, this application </w:t>
      </w:r>
      <w:proofErr w:type="gramStart"/>
      <w:r w:rsidRPr="00937960">
        <w:t>is considered to be</w:t>
      </w:r>
      <w:proofErr w:type="gramEnd"/>
      <w:r w:rsidRPr="00937960">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0EEB8964" w14:textId="77777777" w:rsidR="00BE23F9" w:rsidRPr="00503030" w:rsidRDefault="00BE23F9" w:rsidP="00BE23F9">
      <w:pPr>
        <w:pStyle w:val="3RARMP"/>
        <w:tabs>
          <w:tab w:val="clear" w:pos="284"/>
          <w:tab w:val="num" w:pos="567"/>
        </w:tabs>
        <w:spacing w:before="240"/>
      </w:pPr>
      <w:bookmarkStart w:id="87" w:name="_Ref425251282"/>
      <w:bookmarkStart w:id="88" w:name="_Toc475694691"/>
      <w:bookmarkStart w:id="89" w:name="_Toc47536742"/>
      <w:bookmarkStart w:id="90" w:name="_Toc219281382"/>
      <w:r w:rsidRPr="00503030">
        <w:lastRenderedPageBreak/>
        <w:t>Interface with other regulatory schemes</w:t>
      </w:r>
      <w:bookmarkEnd w:id="87"/>
      <w:bookmarkEnd w:id="88"/>
      <w:bookmarkEnd w:id="89"/>
      <w:bookmarkEnd w:id="90"/>
    </w:p>
    <w:p w14:paraId="103FA8E3" w14:textId="54ACF6E0" w:rsidR="00F364D2" w:rsidRPr="00F364D2" w:rsidRDefault="00F364D2" w:rsidP="00F364D2">
      <w:pPr>
        <w:pStyle w:val="RARMPnumberedparagraphs"/>
      </w:pPr>
      <w:r w:rsidRPr="00F364D2">
        <w:t xml:space="preserve">Gene technology </w:t>
      </w:r>
      <w:r w:rsidR="005E504D" w:rsidRPr="00F364D2">
        <w:t xml:space="preserve">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5E504D" w:rsidRPr="009D5274">
        <w:t>Agriculture, Fisheries and Forestry</w:t>
      </w:r>
      <w:r w:rsidR="005E504D">
        <w:t xml:space="preserve"> (DAFF)</w:t>
      </w:r>
      <w:r w:rsidRPr="00F364D2">
        <w:t xml:space="preserv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4E125789"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Pr="00F364D2">
        <w:fldChar w:fldCharType="separate"/>
      </w:r>
      <w:r w:rsidRPr="00F364D2">
        <w:rPr>
          <w:noProof/>
        </w:rPr>
        <w:t>(</w:t>
      </w:r>
      <w:hyperlink w:anchor="_ENREF_64" w:tooltip="National Health and Medical Research Council, 2018 #2" w:history="1">
        <w:r w:rsidR="0027195B" w:rsidRPr="00F364D2">
          <w:rPr>
            <w:noProof/>
          </w:rPr>
          <w:t>National Health and Medical Research Council et al., 2018</w:t>
        </w:r>
      </w:hyperlink>
      <w:r w:rsidRPr="00F364D2">
        <w:rPr>
          <w:noProof/>
        </w:rPr>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11B531AC" w:rsidR="00F364D2" w:rsidRPr="00F364D2" w:rsidRDefault="00F364D2" w:rsidP="00F364D2">
      <w:pPr>
        <w:pStyle w:val="RARMPnumberedparagraphs"/>
      </w:pPr>
      <w:r w:rsidRPr="00F364D2">
        <w:t xml:space="preserve">Approval by a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w:t>
      </w:r>
      <w:r w:rsidR="003208BB">
        <w:t>GMO</w:t>
      </w:r>
      <w:r w:rsidR="003208BB" w:rsidRPr="00F364D2">
        <w:t xml:space="preserve"> </w:t>
      </w:r>
      <w:r w:rsidRPr="00F364D2">
        <w:t>accounting and reconciliation.</w:t>
      </w:r>
    </w:p>
    <w:p w14:paraId="6A40EA4F" w14:textId="52A4C3D2" w:rsidR="00F364D2" w:rsidRPr="00F364D2" w:rsidRDefault="00736347" w:rsidP="00F364D2">
      <w:pPr>
        <w:pStyle w:val="RARMPnumberedparagraphs"/>
      </w:pPr>
      <w:r>
        <w:t>DAFF</w:t>
      </w:r>
      <w:r w:rsidR="00F364D2" w:rsidRPr="00F364D2">
        <w:t xml:space="preserve"> </w:t>
      </w:r>
      <w:r w:rsidRPr="00F364D2">
        <w:t xml:space="preserve">administers Australian biosecurity conditions for the importation of biological products under the </w:t>
      </w:r>
      <w:r>
        <w:rPr>
          <w:i/>
        </w:rPr>
        <w:t>Biosecurity Act 2015</w:t>
      </w:r>
      <w:r w:rsidRPr="00F364D2">
        <w:t>. Biological products include animal or microbial derived products such as foods, therapeutics, laboratory materials and vaccines (including GM</w:t>
      </w:r>
      <w:r w:rsidR="003208BB">
        <w:t>O</w:t>
      </w:r>
      <w:r w:rsidRPr="00F364D2">
        <w:t>)</w:t>
      </w:r>
      <w:r w:rsidR="00F364D2" w:rsidRPr="00F364D2">
        <w:t>.</w:t>
      </w:r>
    </w:p>
    <w:p w14:paraId="6612A0BC" w14:textId="4DBEC138" w:rsidR="00E24D19" w:rsidRDefault="00F364D2" w:rsidP="00F364D2">
      <w:pPr>
        <w:pStyle w:val="RARMPnumberedparagraphs"/>
      </w:pPr>
      <w:r w:rsidRPr="00F364D2">
        <w:lastRenderedPageBreak/>
        <w:t xml:space="preserve">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disease control (</w:t>
      </w:r>
      <w:hyperlink r:id="rId23"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r w:rsidR="00AE01C1">
        <w:t xml:space="preserve">National Pathology Accreditation Advisory Council; </w:t>
      </w:r>
      <w:hyperlink r:id="rId24" w:history="1">
        <w:r w:rsidRPr="00F364D2">
          <w:rPr>
            <w:rStyle w:val="Hyperlink"/>
          </w:rPr>
          <w:t>NPAAC</w:t>
        </w:r>
      </w:hyperlink>
      <w:r>
        <w:t>).</w:t>
      </w:r>
    </w:p>
    <w:p w14:paraId="38E33D4F" w14:textId="059F2D23" w:rsidR="00E7463C" w:rsidRDefault="00E7463C" w:rsidP="00B74ABD">
      <w:pPr>
        <w:pStyle w:val="RARMPnumberedparagraphs"/>
      </w:pPr>
      <w:hyperlink r:id="rId25" w:history="1">
        <w:r w:rsidRPr="000D648E">
          <w:rPr>
            <w:rStyle w:val="Hyperlink"/>
            <w:szCs w:val="22"/>
          </w:rPr>
          <w:t>NPAAC</w:t>
        </w:r>
      </w:hyperlink>
      <w:r w:rsidRPr="00273E51">
        <w:t xml:space="preserve"> advises </w:t>
      </w:r>
      <w:r>
        <w:t>C</w:t>
      </w:r>
      <w:r w:rsidRPr="00273E51">
        <w:t xml:space="preserve">ommonwealth, </w:t>
      </w:r>
      <w:r>
        <w:t>State and T</w:t>
      </w:r>
      <w:r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t xml:space="preserve"> (APA)</w:t>
      </w:r>
      <w:r w:rsidRPr="00273E51">
        <w:t xml:space="preserve">.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6" w:history="1">
        <w:r w:rsidRPr="00273E51">
          <w:t>NATA</w:t>
        </w:r>
      </w:hyperlink>
      <w:r>
        <w:t xml:space="preserve">). </w:t>
      </w:r>
    </w:p>
    <w:p w14:paraId="75B34058" w14:textId="72647F19" w:rsidR="00B74ABD" w:rsidRPr="00273E51" w:rsidRDefault="00B74ABD" w:rsidP="00E7463C">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7"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63257873" w:rsidR="00B74ABD" w:rsidRPr="00DC2DD2"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described in the </w:t>
      </w:r>
      <w:hyperlink r:id="rId28" w:history="1">
        <w:r w:rsidRPr="00273E51">
          <w:rPr>
            <w:rStyle w:val="Hyperlink"/>
          </w:rPr>
          <w:t>Australian Guidelines for the Prevention and Control of Infection in Healthcare (2019)</w:t>
        </w:r>
      </w:hyperlink>
      <w:r w:rsidRPr="00273E51">
        <w:t>.</w:t>
      </w:r>
    </w:p>
    <w:p w14:paraId="23C90725" w14:textId="4F02E334" w:rsidR="000B3797" w:rsidRPr="006E06B6" w:rsidRDefault="00E3313D" w:rsidP="006E06B6">
      <w:pPr>
        <w:pStyle w:val="2RARMP"/>
      </w:pPr>
      <w:bookmarkStart w:id="91" w:name="_Toc202859548"/>
      <w:bookmarkStart w:id="92" w:name="_Ref233341201"/>
      <w:bookmarkStart w:id="93" w:name="_Toc301341827"/>
      <w:bookmarkStart w:id="94" w:name="_Toc47536743"/>
      <w:bookmarkStart w:id="95" w:name="_Ref57107423"/>
      <w:bookmarkStart w:id="96" w:name="_Toc219281383"/>
      <w:r w:rsidRPr="006E06B6">
        <w:t xml:space="preserve">The proposed </w:t>
      </w:r>
      <w:bookmarkEnd w:id="91"/>
      <w:bookmarkEnd w:id="92"/>
      <w:bookmarkEnd w:id="93"/>
      <w:r w:rsidR="00AC5442" w:rsidRPr="006E06B6">
        <w:t>dealings</w:t>
      </w:r>
      <w:bookmarkEnd w:id="94"/>
      <w:bookmarkEnd w:id="95"/>
      <w:bookmarkEnd w:id="96"/>
    </w:p>
    <w:p w14:paraId="0FEA1F95" w14:textId="0EBCE6EC" w:rsidR="00AD70A8" w:rsidRPr="00E52B4D" w:rsidRDefault="00534844" w:rsidP="00A83B97">
      <w:pPr>
        <w:pStyle w:val="RARMPnumberedparagraphs"/>
        <w:rPr>
          <w:strike/>
          <w:szCs w:val="22"/>
        </w:rPr>
      </w:pPr>
      <w:r w:rsidRPr="00534844">
        <w:t xml:space="preserve">Ferring Pharmaceuticals Pty Ltd (Ferring) </w:t>
      </w:r>
      <w:r w:rsidR="00AE207E" w:rsidRPr="00AE2169">
        <w:t xml:space="preserve">is seeking authorisation to carry out </w:t>
      </w:r>
      <w:r w:rsidR="00AE207E">
        <w:t xml:space="preserve">Phase </w:t>
      </w:r>
      <w:r>
        <w:t>3 and 3b</w:t>
      </w:r>
      <w:r w:rsidR="00AE207E">
        <w:t xml:space="preserve"> </w:t>
      </w:r>
      <w:r w:rsidR="00AE207E" w:rsidRPr="00AE2169">
        <w:t>clinical trial</w:t>
      </w:r>
      <w:r w:rsidR="003B450F">
        <w:t>s</w:t>
      </w:r>
      <w:r w:rsidR="00AE207E" w:rsidRPr="00AE2169">
        <w:t xml:space="preserve"> to assess the safety and efficacy of a genetically modified (GM) </w:t>
      </w:r>
      <w:r w:rsidR="00AE207E">
        <w:t>human adenovirus (</w:t>
      </w:r>
      <w:proofErr w:type="spellStart"/>
      <w:r w:rsidR="00AE207E">
        <w:t>HAdV</w:t>
      </w:r>
      <w:proofErr w:type="spellEnd"/>
      <w:r w:rsidR="00AE207E">
        <w:t xml:space="preserve">) </w:t>
      </w:r>
      <w:proofErr w:type="spellStart"/>
      <w:r w:rsidRPr="00534844">
        <w:t>nadofaragene</w:t>
      </w:r>
      <w:proofErr w:type="spellEnd"/>
      <w:r w:rsidRPr="00534844">
        <w:t xml:space="preserve"> </w:t>
      </w:r>
      <w:proofErr w:type="spellStart"/>
      <w:r w:rsidRPr="00534844">
        <w:t>firadenovec</w:t>
      </w:r>
      <w:proofErr w:type="spellEnd"/>
      <w:r w:rsidRPr="00534844">
        <w:t xml:space="preserve"> (also known as </w:t>
      </w:r>
      <w:proofErr w:type="spellStart"/>
      <w:r w:rsidRPr="00534844">
        <w:t>nadofaragene</w:t>
      </w:r>
      <w:proofErr w:type="spellEnd"/>
      <w:r w:rsidRPr="00534844">
        <w:t xml:space="preserve"> </w:t>
      </w:r>
      <w:proofErr w:type="spellStart"/>
      <w:r w:rsidRPr="00534844">
        <w:t>firadenovec-vncg</w:t>
      </w:r>
      <w:proofErr w:type="spellEnd"/>
      <w:r w:rsidRPr="00534844">
        <w:t xml:space="preserve">, </w:t>
      </w:r>
      <w:proofErr w:type="spellStart"/>
      <w:r w:rsidRPr="00534844">
        <w:t>rAd</w:t>
      </w:r>
      <w:proofErr w:type="spellEnd"/>
      <w:r w:rsidRPr="00534844">
        <w:t xml:space="preserve">-IFN/Syn3 and </w:t>
      </w:r>
      <w:r w:rsidR="00DC1EB4" w:rsidRPr="00534844">
        <w:t>ADSTILADRIN</w:t>
      </w:r>
      <w:r w:rsidRPr="00534844">
        <w:t>), in Australia</w:t>
      </w:r>
      <w:r w:rsidR="00204367">
        <w:rPr>
          <w:szCs w:val="22"/>
        </w:rPr>
        <w:t>.</w:t>
      </w:r>
      <w:r w:rsidR="00AD70A8" w:rsidRPr="00E52B4D">
        <w:rPr>
          <w:szCs w:val="22"/>
        </w:rPr>
        <w:t xml:space="preserve"> </w:t>
      </w:r>
      <w:r w:rsidRPr="006A1B7A">
        <w:t>The GM therapeutic is administered by intravesical (bladder) instillation.</w:t>
      </w:r>
      <w:r w:rsidR="002B5AC3">
        <w:t xml:space="preserve"> </w:t>
      </w:r>
    </w:p>
    <w:p w14:paraId="40B31AAC" w14:textId="554134DD" w:rsidR="00520F69" w:rsidRPr="00E52B4D" w:rsidRDefault="00F364D2" w:rsidP="000C6B7A">
      <w:pPr>
        <w:pStyle w:val="RARMPnumberedparagraphs"/>
        <w:rPr>
          <w:szCs w:val="22"/>
        </w:rPr>
      </w:pPr>
      <w:r>
        <w:rPr>
          <w:szCs w:val="22"/>
        </w:rPr>
        <w:t>The dealings involved in the proposed clinical trial are</w:t>
      </w:r>
      <w:r w:rsidR="00E3313D" w:rsidRPr="00E52B4D">
        <w:rPr>
          <w:szCs w:val="22"/>
        </w:rPr>
        <w:t>:</w:t>
      </w:r>
    </w:p>
    <w:p w14:paraId="15FDF7D2" w14:textId="397BD975" w:rsidR="00790EDC" w:rsidRDefault="0001639C" w:rsidP="00B50718">
      <w:pPr>
        <w:pStyle w:val="ListParagraph"/>
        <w:numPr>
          <w:ilvl w:val="0"/>
          <w:numId w:val="6"/>
        </w:numPr>
        <w:ind w:left="851" w:hanging="425"/>
        <w:rPr>
          <w:szCs w:val="22"/>
        </w:rPr>
      </w:pPr>
      <w:r>
        <w:rPr>
          <w:szCs w:val="22"/>
        </w:rPr>
        <w:t>i</w:t>
      </w:r>
      <w:r w:rsidR="00790EDC" w:rsidRPr="00E52B4D">
        <w:rPr>
          <w:szCs w:val="22"/>
        </w:rPr>
        <w:t>mport</w:t>
      </w:r>
      <w:r w:rsidR="00F364D2">
        <w:rPr>
          <w:szCs w:val="22"/>
        </w:rPr>
        <w:t xml:space="preserve"> the </w:t>
      </w:r>
      <w:proofErr w:type="gramStart"/>
      <w:r w:rsidR="00F364D2">
        <w:rPr>
          <w:szCs w:val="22"/>
        </w:rPr>
        <w:t>GMO</w:t>
      </w:r>
      <w:r w:rsidR="000A1DC3">
        <w:rPr>
          <w:szCs w:val="22"/>
        </w:rPr>
        <w:t>;</w:t>
      </w:r>
      <w:proofErr w:type="gramEnd"/>
    </w:p>
    <w:p w14:paraId="738C812C" w14:textId="74A2FD2D" w:rsidR="00F364D2" w:rsidRDefault="00B81E89" w:rsidP="00B50718">
      <w:pPr>
        <w:pStyle w:val="ListParagraph"/>
        <w:numPr>
          <w:ilvl w:val="0"/>
          <w:numId w:val="6"/>
        </w:numPr>
        <w:ind w:left="851" w:hanging="425"/>
        <w:rPr>
          <w:szCs w:val="22"/>
        </w:rPr>
      </w:pPr>
      <w:r>
        <w:rPr>
          <w:szCs w:val="22"/>
        </w:rPr>
        <w:t xml:space="preserve">conduct the following </w:t>
      </w:r>
      <w:r w:rsidR="00AE01C1">
        <w:rPr>
          <w:szCs w:val="22"/>
        </w:rPr>
        <w:t xml:space="preserve">experiments </w:t>
      </w:r>
      <w:r>
        <w:rPr>
          <w:szCs w:val="22"/>
        </w:rPr>
        <w:t>with the GMO:</w:t>
      </w:r>
    </w:p>
    <w:p w14:paraId="06B26370" w14:textId="3C89D90F" w:rsidR="00B81E89" w:rsidRDefault="00B81E89" w:rsidP="00B50718">
      <w:pPr>
        <w:pStyle w:val="ListParagraph"/>
        <w:numPr>
          <w:ilvl w:val="1"/>
          <w:numId w:val="6"/>
        </w:numPr>
        <w:rPr>
          <w:szCs w:val="22"/>
        </w:rPr>
      </w:pPr>
      <w:r>
        <w:rPr>
          <w:szCs w:val="22"/>
        </w:rPr>
        <w:t>prepar</w:t>
      </w:r>
      <w:r w:rsidR="00AE207E">
        <w:rPr>
          <w:szCs w:val="22"/>
        </w:rPr>
        <w:t>e</w:t>
      </w:r>
      <w:r>
        <w:rPr>
          <w:szCs w:val="22"/>
        </w:rPr>
        <w:t xml:space="preserve"> the GMO for administration to trial </w:t>
      </w:r>
      <w:proofErr w:type="gramStart"/>
      <w:r>
        <w:rPr>
          <w:szCs w:val="22"/>
        </w:rPr>
        <w:t>participants;</w:t>
      </w:r>
      <w:proofErr w:type="gramEnd"/>
    </w:p>
    <w:p w14:paraId="11A00352" w14:textId="117F19AC" w:rsidR="00B81E89" w:rsidRDefault="00B81E89" w:rsidP="00B50718">
      <w:pPr>
        <w:pStyle w:val="ListParagraph"/>
        <w:numPr>
          <w:ilvl w:val="1"/>
          <w:numId w:val="6"/>
        </w:numPr>
        <w:rPr>
          <w:szCs w:val="22"/>
        </w:rPr>
      </w:pPr>
      <w:r>
        <w:rPr>
          <w:szCs w:val="22"/>
        </w:rPr>
        <w:lastRenderedPageBreak/>
        <w:t>administ</w:t>
      </w:r>
      <w:r w:rsidR="00061A01">
        <w:rPr>
          <w:szCs w:val="22"/>
        </w:rPr>
        <w:t>er</w:t>
      </w:r>
      <w:r>
        <w:rPr>
          <w:szCs w:val="22"/>
        </w:rPr>
        <w:t xml:space="preserve"> the GMO to clinical trial participants by </w:t>
      </w:r>
      <w:r w:rsidR="00C75C8B" w:rsidRPr="006A1B7A">
        <w:t xml:space="preserve">intravesical (bladder) </w:t>
      </w:r>
      <w:proofErr w:type="gramStart"/>
      <w:r w:rsidR="00C75C8B" w:rsidRPr="006A1B7A">
        <w:t>instillation</w:t>
      </w:r>
      <w:r>
        <w:rPr>
          <w:szCs w:val="22"/>
        </w:rPr>
        <w:t>;</w:t>
      </w:r>
      <w:proofErr w:type="gramEnd"/>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F52C254" w14:textId="55CE9017" w:rsidR="00B81E89" w:rsidRPr="00C901FC" w:rsidRDefault="00C901FC" w:rsidP="00B50718">
      <w:pPr>
        <w:pStyle w:val="ListParagraph"/>
        <w:numPr>
          <w:ilvl w:val="1"/>
          <w:numId w:val="6"/>
        </w:numPr>
        <w:rPr>
          <w:szCs w:val="22"/>
        </w:rPr>
      </w:pPr>
      <w:r w:rsidRPr="00C901FC">
        <w:rPr>
          <w:szCs w:val="22"/>
        </w:rPr>
        <w:t xml:space="preserve">analyse </w:t>
      </w:r>
      <w:r w:rsidR="00061A01">
        <w:rPr>
          <w:szCs w:val="22"/>
        </w:rPr>
        <w:t xml:space="preserve">the </w:t>
      </w:r>
      <w:proofErr w:type="gramStart"/>
      <w:r w:rsidR="00061A01">
        <w:rPr>
          <w:szCs w:val="22"/>
        </w:rPr>
        <w:t>samples</w:t>
      </w:r>
      <w:r w:rsidR="00B81E89" w:rsidRPr="00C901FC">
        <w:rPr>
          <w:szCs w:val="22"/>
        </w:rPr>
        <w:t>;</w:t>
      </w:r>
      <w:proofErr w:type="gramEnd"/>
    </w:p>
    <w:p w14:paraId="32132129" w14:textId="5DE7DBC5"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Pr>
          <w:szCs w:val="22"/>
        </w:rPr>
        <w:t xml:space="preserve"> the</w:t>
      </w:r>
      <w:r w:rsidR="006B682E">
        <w:rPr>
          <w:szCs w:val="22"/>
        </w:rPr>
        <w:t xml:space="preserve"> </w:t>
      </w:r>
      <w:proofErr w:type="gramStart"/>
      <w:r w:rsidR="006B682E">
        <w:rPr>
          <w:szCs w:val="22"/>
        </w:rPr>
        <w:t>GMO</w:t>
      </w:r>
      <w:r w:rsidR="000A1DC3">
        <w:rPr>
          <w:szCs w:val="22"/>
        </w:rPr>
        <w:t>;</w:t>
      </w:r>
      <w:proofErr w:type="gramEnd"/>
    </w:p>
    <w:p w14:paraId="22EBF238" w14:textId="32D3F9B3" w:rsidR="00520F69" w:rsidRPr="00E52B4D" w:rsidRDefault="00520F69" w:rsidP="00B50718">
      <w:pPr>
        <w:pStyle w:val="ListParagraph"/>
        <w:numPr>
          <w:ilvl w:val="0"/>
          <w:numId w:val="6"/>
        </w:numPr>
        <w:ind w:left="851" w:hanging="425"/>
        <w:rPr>
          <w:szCs w:val="22"/>
        </w:rPr>
      </w:pPr>
      <w:r w:rsidRPr="00E52B4D">
        <w:rPr>
          <w:szCs w:val="22"/>
        </w:rPr>
        <w:t>dispos</w:t>
      </w:r>
      <w:r w:rsidR="00061A01">
        <w:rPr>
          <w:szCs w:val="22"/>
        </w:rPr>
        <w:t>e</w:t>
      </w:r>
      <w:r w:rsidR="00B81E89">
        <w:rPr>
          <w:szCs w:val="22"/>
        </w:rPr>
        <w:t xml:space="preserve"> of the</w:t>
      </w:r>
      <w:r w:rsidR="006B682E">
        <w:rPr>
          <w:szCs w:val="22"/>
        </w:rPr>
        <w:t xml:space="preserve"> </w:t>
      </w:r>
      <w:proofErr w:type="gramStart"/>
      <w:r w:rsidR="006B682E">
        <w:rPr>
          <w:szCs w:val="22"/>
        </w:rPr>
        <w:t>GMO</w:t>
      </w:r>
      <w:r w:rsidR="00514965">
        <w:rPr>
          <w:szCs w:val="22"/>
        </w:rPr>
        <w:t>;</w:t>
      </w:r>
      <w:proofErr w:type="gramEnd"/>
      <w:r w:rsidRPr="00E52B4D">
        <w:rPr>
          <w:szCs w:val="22"/>
        </w:rPr>
        <w:t xml:space="preserve"> </w:t>
      </w:r>
    </w:p>
    <w:p w14:paraId="50B81D64" w14:textId="272E1C7B" w:rsidR="00E3313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xml:space="preserve">, supply </w:t>
      </w:r>
      <w:r w:rsidR="00061A01">
        <w:rPr>
          <w:szCs w:val="22"/>
        </w:rPr>
        <w:t>and</w:t>
      </w:r>
      <w:r w:rsidR="00E3313D" w:rsidRPr="00E52B4D">
        <w:rPr>
          <w:szCs w:val="22"/>
        </w:rPr>
        <w:t xml:space="preserve"> use of the GMO for the purposes of, or </w:t>
      </w:r>
      <w:proofErr w:type="gramStart"/>
      <w:r w:rsidR="00E3313D" w:rsidRPr="00E52B4D">
        <w:rPr>
          <w:szCs w:val="22"/>
        </w:rPr>
        <w:t>in the course of</w:t>
      </w:r>
      <w:proofErr w:type="gramEnd"/>
      <w:r w:rsidR="00E3313D" w:rsidRPr="00E52B4D">
        <w:rPr>
          <w:szCs w:val="22"/>
        </w:rPr>
        <w:t>, any of the</w:t>
      </w:r>
      <w:r w:rsidR="00061A01">
        <w:rPr>
          <w:szCs w:val="22"/>
        </w:rPr>
        <w:t>se dealings</w:t>
      </w:r>
      <w:r w:rsidR="00E3313D" w:rsidRPr="00E52B4D">
        <w:rPr>
          <w:szCs w:val="22"/>
        </w:rPr>
        <w:t>.</w:t>
      </w:r>
    </w:p>
    <w:p w14:paraId="119919FB" w14:textId="7622756E" w:rsidR="007F4350" w:rsidRPr="00E52B4D" w:rsidRDefault="007F4350" w:rsidP="009265BE">
      <w:pPr>
        <w:pStyle w:val="RARMPnumberedparagraphs"/>
      </w:pPr>
      <w:r w:rsidRPr="008E4C60">
        <w:t>Licence DIR 217 was issued on 17 October 2025 for dealings associated with the commercial supply of the GMO in Australia</w:t>
      </w:r>
      <w:r w:rsidR="000558A8">
        <w:t xml:space="preserve"> and covers import, transport, storage and disposal of the GMO. </w:t>
      </w:r>
      <w:r w:rsidR="00AC424E">
        <w:t>Therefore,</w:t>
      </w:r>
      <w:r w:rsidR="000558A8">
        <w:t xml:space="preserve"> to avoid duplication, for this licence only dealings occurring at the clinical trial site or downstream dealings such as transport and disposal of clinical waste containing the GMO will be assessed. </w:t>
      </w:r>
    </w:p>
    <w:p w14:paraId="4D22B748" w14:textId="77777777" w:rsidR="003D53C8" w:rsidRPr="00FF5669" w:rsidRDefault="003D53C8" w:rsidP="003D53C8">
      <w:pPr>
        <w:pStyle w:val="Style3"/>
        <w:numPr>
          <w:ilvl w:val="2"/>
          <w:numId w:val="2"/>
        </w:numPr>
        <w:tabs>
          <w:tab w:val="clear" w:pos="284"/>
          <w:tab w:val="num" w:pos="1985"/>
        </w:tabs>
      </w:pPr>
      <w:bookmarkStart w:id="97" w:name="_Ref56778381"/>
      <w:bookmarkStart w:id="98" w:name="_Toc61015620"/>
      <w:bookmarkStart w:id="99" w:name="_Toc219281384"/>
      <w:bookmarkStart w:id="100" w:name="_Toc47536744"/>
      <w:bookmarkStart w:id="101" w:name="_Ref57107502"/>
      <w:bookmarkStart w:id="102" w:name="_Ref57107516"/>
      <w:bookmarkStart w:id="103" w:name="_Ref57107551"/>
      <w:bookmarkStart w:id="104" w:name="_Ref57107555"/>
      <w:bookmarkStart w:id="105" w:name="_Ref57107559"/>
      <w:bookmarkStart w:id="106" w:name="_Ref57107567"/>
      <w:bookmarkStart w:id="107" w:name="_Ref57107597"/>
      <w:bookmarkStart w:id="108" w:name="_Ref57107659"/>
      <w:bookmarkStart w:id="109" w:name="_Ref57107711"/>
      <w:bookmarkStart w:id="110" w:name="_Ref58746028"/>
      <w:bookmarkStart w:id="111" w:name="_Ref61527344"/>
      <w:bookmarkStart w:id="112" w:name="_Ref67313111"/>
      <w:r w:rsidRPr="00FF5669">
        <w:t>The proposed limits of the trial (duration, scale, location, people)</w:t>
      </w:r>
      <w:bookmarkEnd w:id="97"/>
      <w:bookmarkEnd w:id="98"/>
      <w:bookmarkEnd w:id="99"/>
    </w:p>
    <w:p w14:paraId="47DE1F25" w14:textId="38996214" w:rsidR="003D53C8" w:rsidRPr="005B15D3" w:rsidRDefault="003D53C8" w:rsidP="00423C2D">
      <w:pPr>
        <w:pStyle w:val="RARMPnumberedparagraphs"/>
      </w:pPr>
      <w:r w:rsidRPr="00961290">
        <w:t xml:space="preserve">The </w:t>
      </w:r>
      <w:r w:rsidR="00612239" w:rsidRPr="00ED21FD">
        <w:t>clinical</w:t>
      </w:r>
      <w:r w:rsidR="00612239" w:rsidRPr="00796CCD">
        <w:t xml:space="preserve"> trial is proposed to take place over a </w:t>
      </w:r>
      <w:r w:rsidR="00CD32AE">
        <w:t>5</w:t>
      </w:r>
      <w:r w:rsidR="00612239" w:rsidRPr="00796CCD">
        <w:t xml:space="preserve">-year period from the date of issue of the licence. </w:t>
      </w:r>
      <w:r w:rsidR="00612239">
        <w:t>Up</w:t>
      </w:r>
      <w:r w:rsidR="00612239" w:rsidRPr="00796CCD">
        <w:t xml:space="preserve"> </w:t>
      </w:r>
      <w:r w:rsidR="00612239">
        <w:t xml:space="preserve">to </w:t>
      </w:r>
      <w:r w:rsidR="00CD32AE">
        <w:t>13</w:t>
      </w:r>
      <w:r w:rsidR="00612239" w:rsidRPr="00796CCD">
        <w:t xml:space="preserve"> </w:t>
      </w:r>
      <w:r w:rsidR="00612239">
        <w:t>participant</w:t>
      </w:r>
      <w:r w:rsidR="00612239" w:rsidRPr="00796CCD">
        <w:t xml:space="preserve">s in Australia </w:t>
      </w:r>
      <w:r w:rsidR="00CD32AE">
        <w:t xml:space="preserve">(5 for the Phase 3 and 8 for the Phase 3b) </w:t>
      </w:r>
      <w:r w:rsidR="00612239" w:rsidRPr="00796CCD">
        <w:t xml:space="preserve">would receive </w:t>
      </w:r>
      <w:r w:rsidR="00CD32AE">
        <w:t>multiple</w:t>
      </w:r>
      <w:r w:rsidR="00612239">
        <w:t xml:space="preserve"> </w:t>
      </w:r>
      <w:r w:rsidR="00612239" w:rsidRPr="00796CCD">
        <w:t>doses of the GMO</w:t>
      </w:r>
      <w:r w:rsidR="00612239">
        <w:t xml:space="preserve"> via </w:t>
      </w:r>
      <w:r w:rsidR="00CD32AE" w:rsidRPr="006A1B7A">
        <w:t>intravesical</w:t>
      </w:r>
      <w:r w:rsidR="00612239">
        <w:t xml:space="preserve"> </w:t>
      </w:r>
      <w:r w:rsidR="00612239" w:rsidRPr="005B15D3">
        <w:t>i</w:t>
      </w:r>
      <w:r w:rsidR="00923406">
        <w:t>nstillation</w:t>
      </w:r>
      <w:r w:rsidR="000857B8" w:rsidRPr="005B15D3">
        <w:t>.</w:t>
      </w:r>
      <w:r w:rsidRPr="005B15D3">
        <w:t xml:space="preserve"> </w:t>
      </w:r>
    </w:p>
    <w:p w14:paraId="4561A220" w14:textId="6C611BFE" w:rsidR="00A878C6" w:rsidRDefault="003D53C8" w:rsidP="0001639C">
      <w:pPr>
        <w:pStyle w:val="RARMPnumberedparagraphs"/>
      </w:pPr>
      <w:r w:rsidRPr="00961290">
        <w:t xml:space="preserve">The </w:t>
      </w:r>
      <w:r w:rsidR="00A929CB" w:rsidRPr="00796CCD">
        <w:t xml:space="preserve">clinical trial </w:t>
      </w:r>
      <w:r w:rsidR="005B15D3">
        <w:t xml:space="preserve">is proposed to </w:t>
      </w:r>
      <w:r w:rsidR="00A929CB" w:rsidRPr="00796CCD">
        <w:t xml:space="preserve">take place at </w:t>
      </w:r>
      <w:r w:rsidR="0010495F">
        <w:t xml:space="preserve">up to </w:t>
      </w:r>
      <w:r w:rsidR="005B15D3">
        <w:t>10 different</w:t>
      </w:r>
      <w:r w:rsidR="00A929CB" w:rsidRPr="00796CCD">
        <w:t xml:space="preserve"> </w:t>
      </w:r>
      <w:r w:rsidR="008356FF">
        <w:t xml:space="preserve">clinical trial facilities and </w:t>
      </w:r>
      <w:r w:rsidR="008356FF" w:rsidRPr="00796CCD">
        <w:t>hospitals</w:t>
      </w:r>
      <w:r w:rsidR="00A929CB" w:rsidRPr="00796CCD">
        <w:t xml:space="preserve"> in </w:t>
      </w:r>
      <w:r w:rsidR="00A878C6">
        <w:t>New South Wales</w:t>
      </w:r>
      <w:r w:rsidR="005B15D3">
        <w:t xml:space="preserve"> and </w:t>
      </w:r>
      <w:r w:rsidR="00A878C6">
        <w:t>Victoria</w:t>
      </w:r>
      <w:r w:rsidR="008356FF" w:rsidRPr="008356FF">
        <w:t>.</w:t>
      </w:r>
    </w:p>
    <w:p w14:paraId="37EAF9DF" w14:textId="00A2D8BA" w:rsidR="003D53C8" w:rsidRPr="00FF5669" w:rsidRDefault="003D53C8" w:rsidP="00423C2D">
      <w:pPr>
        <w:pStyle w:val="RARMPnumberedparagraphs"/>
      </w:pPr>
      <w:bookmarkStart w:id="113" w:name="_Ref58250515"/>
      <w:r w:rsidRPr="00961290">
        <w:t xml:space="preserve">Only trained and authorised staff would </w:t>
      </w:r>
      <w:r>
        <w:t>conduct dealings with the GMO</w:t>
      </w:r>
      <w:r w:rsidRPr="00961290">
        <w:t>.</w:t>
      </w:r>
      <w:r>
        <w:t xml:space="preserve"> Administration of the </w:t>
      </w:r>
      <w:r w:rsidRPr="00FF5669">
        <w:t xml:space="preserve">GMO </w:t>
      </w:r>
      <w:r w:rsidR="00A929CB" w:rsidRPr="00FF5669">
        <w:t>to</w:t>
      </w:r>
      <w:r w:rsidRPr="00FF5669">
        <w:t xml:space="preserve"> trial participants would be conducted by highly trained staff. </w:t>
      </w:r>
      <w:bookmarkEnd w:id="113"/>
    </w:p>
    <w:p w14:paraId="4C80AEFC" w14:textId="50E04CAF" w:rsidR="003D53C8" w:rsidRPr="00FF5669" w:rsidRDefault="003D53C8" w:rsidP="003D53C8">
      <w:pPr>
        <w:pStyle w:val="Style3"/>
        <w:numPr>
          <w:ilvl w:val="2"/>
          <w:numId w:val="2"/>
        </w:numPr>
        <w:tabs>
          <w:tab w:val="clear" w:pos="284"/>
          <w:tab w:val="num" w:pos="1985"/>
        </w:tabs>
      </w:pPr>
      <w:bookmarkStart w:id="114" w:name="_Ref57040802"/>
      <w:bookmarkStart w:id="115" w:name="_Toc61015621"/>
      <w:bookmarkStart w:id="116" w:name="_Toc219281385"/>
      <w:r w:rsidRPr="00FF5669">
        <w:t>The proposed controls to restrict the spread and persistence of the GMO in the environment</w:t>
      </w:r>
      <w:bookmarkEnd w:id="114"/>
      <w:bookmarkEnd w:id="115"/>
      <w:bookmarkEnd w:id="116"/>
    </w:p>
    <w:p w14:paraId="7FC5E49E" w14:textId="47EAA73F" w:rsidR="003D53C8" w:rsidRPr="00941480" w:rsidRDefault="003D53C8" w:rsidP="00423C2D">
      <w:pPr>
        <w:pStyle w:val="RARMPnumberedparagraphs"/>
      </w:pPr>
      <w:r w:rsidRPr="00941480">
        <w:t xml:space="preserve">The applicant has proposed </w:t>
      </w:r>
      <w:proofErr w:type="gramStart"/>
      <w:r w:rsidRPr="00941480">
        <w:t>a number of</w:t>
      </w:r>
      <w:proofErr w:type="gramEnd"/>
      <w:r w:rsidRPr="00941480">
        <w:t xml:space="preserve"> controls to minimise exposure to the GMO, and to restrict the spread and persistence of the GMO in the environment. These include:</w:t>
      </w:r>
    </w:p>
    <w:p w14:paraId="65E070E4" w14:textId="4CD8A759" w:rsidR="003D53C8" w:rsidRPr="00923406" w:rsidRDefault="00C961CD" w:rsidP="00923406">
      <w:pPr>
        <w:pStyle w:val="ListParagraph"/>
        <w:numPr>
          <w:ilvl w:val="0"/>
          <w:numId w:val="65"/>
        </w:numPr>
        <w:spacing w:before="0" w:after="0"/>
        <w:contextualSpacing/>
      </w:pPr>
      <w:r>
        <w:rPr>
          <w:rFonts w:asciiTheme="minorHAnsi" w:hAnsiTheme="minorHAnsi" w:cstheme="minorHAnsi"/>
        </w:rPr>
        <w:t>Only</w:t>
      </w:r>
      <w:r>
        <w:t xml:space="preserve"> trained personnel would conduct dealings with the GMO.</w:t>
      </w:r>
      <w:r w:rsidR="00923406">
        <w:t xml:space="preserve"> Staff preparing and administering the GMO would be experienced in the use and disposal of sharps.</w:t>
      </w:r>
    </w:p>
    <w:p w14:paraId="6E57BF74" w14:textId="118CCC90" w:rsidR="003D53C8" w:rsidRPr="007D6A58" w:rsidRDefault="00926D8A" w:rsidP="0001323A">
      <w:pPr>
        <w:pStyle w:val="ListParagraph"/>
        <w:numPr>
          <w:ilvl w:val="0"/>
          <w:numId w:val="65"/>
        </w:numPr>
        <w:spacing w:before="0" w:after="0"/>
        <w:contextualSpacing/>
        <w:rPr>
          <w:rFonts w:asciiTheme="minorHAnsi" w:hAnsiTheme="minorHAnsi" w:cstheme="minorHAnsi"/>
        </w:rPr>
      </w:pPr>
      <w:r>
        <w:t xml:space="preserve">Staff considered to be </w:t>
      </w:r>
      <w:r w:rsidR="00883D65">
        <w:t xml:space="preserve">at </w:t>
      </w:r>
      <w:r>
        <w:t xml:space="preserve">risk (see </w:t>
      </w:r>
      <w:r w:rsidRPr="008E72D8">
        <w:t xml:space="preserve">Paragraph </w:t>
      </w:r>
      <w:r w:rsidR="002A3513" w:rsidRPr="008E72D8">
        <w:fldChar w:fldCharType="begin"/>
      </w:r>
      <w:r w:rsidR="002A3513" w:rsidRPr="008E72D8">
        <w:instrText xml:space="preserve"> REF _Ref216019262 \r \h </w:instrText>
      </w:r>
      <w:r w:rsidR="008E72D8">
        <w:instrText xml:space="preserve"> \* MERGEFORMAT </w:instrText>
      </w:r>
      <w:r w:rsidR="002A3513" w:rsidRPr="008E72D8">
        <w:fldChar w:fldCharType="separate"/>
      </w:r>
      <w:r w:rsidR="000558A8">
        <w:t>42</w:t>
      </w:r>
      <w:r w:rsidR="002A3513" w:rsidRPr="008E72D8">
        <w:fldChar w:fldCharType="end"/>
      </w:r>
      <w:r>
        <w:t>) would be excluded from handling the GMO.</w:t>
      </w:r>
    </w:p>
    <w:p w14:paraId="3758C32C" w14:textId="6044893A" w:rsidR="003D53C8" w:rsidRPr="007D6A58" w:rsidRDefault="00C467D8" w:rsidP="0001323A">
      <w:pPr>
        <w:pStyle w:val="ListParagraph"/>
        <w:numPr>
          <w:ilvl w:val="0"/>
          <w:numId w:val="65"/>
        </w:numPr>
        <w:spacing w:before="0" w:after="0"/>
        <w:contextualSpacing/>
        <w:rPr>
          <w:rFonts w:asciiTheme="minorHAnsi" w:hAnsiTheme="minorHAnsi" w:cstheme="minorHAnsi"/>
        </w:rPr>
      </w:pPr>
      <w:r>
        <w:t>Staff preparing or administering the GMO would be required to wear appropriate PPE during the procedures</w:t>
      </w:r>
      <w:r>
        <w:rPr>
          <w:i/>
        </w:rPr>
        <w:t>.</w:t>
      </w:r>
    </w:p>
    <w:p w14:paraId="5EAFB95A" w14:textId="1E3B75C0" w:rsidR="003D53C8" w:rsidRDefault="00691BD4" w:rsidP="0001323A">
      <w:pPr>
        <w:pStyle w:val="ListParagraph"/>
        <w:numPr>
          <w:ilvl w:val="0"/>
          <w:numId w:val="65"/>
        </w:numPr>
        <w:spacing w:before="0" w:after="0"/>
        <w:contextualSpacing/>
      </w:pPr>
      <w:r>
        <w:t xml:space="preserve">Transport </w:t>
      </w:r>
      <w:r w:rsidR="00F84856">
        <w:t xml:space="preserve">to </w:t>
      </w:r>
      <w:r w:rsidR="00833A21">
        <w:t xml:space="preserve">and </w:t>
      </w:r>
      <w:r w:rsidR="00833A21" w:rsidRPr="00C67316">
        <w:t xml:space="preserve">storage of the GMO </w:t>
      </w:r>
      <w:r w:rsidR="00F84856">
        <w:t xml:space="preserve">at </w:t>
      </w:r>
      <w:r w:rsidR="00833A21">
        <w:t xml:space="preserve">a </w:t>
      </w:r>
      <w:r w:rsidR="00833A21" w:rsidRPr="00C67316">
        <w:t xml:space="preserve">clinical trial </w:t>
      </w:r>
      <w:r w:rsidR="00604C0C">
        <w:t>facility</w:t>
      </w:r>
      <w:r w:rsidR="00604C0C" w:rsidRPr="00C67316">
        <w:t xml:space="preserve"> </w:t>
      </w:r>
      <w:r w:rsidR="00833A21">
        <w:t>where it will be administered will</w:t>
      </w:r>
      <w:r w:rsidR="00833A21" w:rsidRPr="00C67316">
        <w:t xml:space="preserve"> be in accordance with the Regulator’s </w:t>
      </w:r>
      <w:r w:rsidR="00833A21" w:rsidRPr="00252095">
        <w:rPr>
          <w:i/>
          <w:iCs/>
        </w:rPr>
        <w:t xml:space="preserve">Guidelines for the Transport, Storage and Disposal of GMOs </w:t>
      </w:r>
      <w:r w:rsidR="00833A21" w:rsidRPr="00AD6F2D">
        <w:t>(TSDs</w:t>
      </w:r>
      <w:r w:rsidR="00833A21">
        <w:t xml:space="preserve">). </w:t>
      </w:r>
    </w:p>
    <w:p w14:paraId="3784A42A" w14:textId="59DE1595" w:rsidR="00833A21" w:rsidRDefault="00506498" w:rsidP="0001323A">
      <w:pPr>
        <w:pStyle w:val="ListParagraph"/>
        <w:numPr>
          <w:ilvl w:val="0"/>
          <w:numId w:val="65"/>
        </w:numPr>
        <w:spacing w:before="0" w:after="0"/>
        <w:contextualSpacing/>
      </w:pPr>
      <w:r>
        <w:t xml:space="preserve">Disinfecting surfaces and equipment that </w:t>
      </w:r>
      <w:proofErr w:type="gramStart"/>
      <w:r>
        <w:t>come into contact with</w:t>
      </w:r>
      <w:proofErr w:type="gramEnd"/>
      <w:r>
        <w:t xml:space="preserve"> the GMO using an effective disinfectant. </w:t>
      </w:r>
    </w:p>
    <w:p w14:paraId="732BB6B5" w14:textId="2E3ECA24" w:rsidR="00C04501" w:rsidRDefault="005001D4" w:rsidP="00CA432D">
      <w:pPr>
        <w:pStyle w:val="ListParagraph"/>
        <w:numPr>
          <w:ilvl w:val="0"/>
          <w:numId w:val="65"/>
        </w:numPr>
        <w:spacing w:before="0" w:after="0"/>
        <w:contextualSpacing/>
      </w:pPr>
      <w:r>
        <w:t xml:space="preserve">Providing patients with instructions to </w:t>
      </w:r>
      <w:r w:rsidR="00C04501">
        <w:t>add</w:t>
      </w:r>
      <w:r>
        <w:t xml:space="preserve"> </w:t>
      </w:r>
      <w:r w:rsidR="00C04501" w:rsidRPr="00C04501">
        <w:t>equal volume of virucidal agent to the toilet bowl prior to voiding and wait 15 minutes before flushing the toilet</w:t>
      </w:r>
      <w:r>
        <w:t>.</w:t>
      </w:r>
    </w:p>
    <w:p w14:paraId="424C775F" w14:textId="4E84FB76" w:rsidR="0017137D" w:rsidRDefault="00143EA3" w:rsidP="0017137D">
      <w:pPr>
        <w:pStyle w:val="3RARMP"/>
      </w:pPr>
      <w:bookmarkStart w:id="117" w:name="_Ref217296704"/>
      <w:bookmarkStart w:id="118" w:name="_Ref217296814"/>
      <w:bookmarkStart w:id="119" w:name="_Toc219281386"/>
      <w:r w:rsidRPr="00EC16F0">
        <w:t>Details of the proposed dealings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7"/>
      <w:bookmarkEnd w:id="118"/>
      <w:bookmarkEnd w:id="119"/>
    </w:p>
    <w:p w14:paraId="40B9EEC9" w14:textId="44926F82" w:rsidR="0066244D" w:rsidRPr="00FF5669" w:rsidRDefault="0066244D" w:rsidP="00321D13">
      <w:pPr>
        <w:pStyle w:val="4RARMP"/>
      </w:pPr>
      <w:r w:rsidRPr="00FF5669">
        <w:t xml:space="preserve">Manufacturing </w:t>
      </w:r>
      <w:r w:rsidR="0001639C" w:rsidRPr="00FF5669">
        <w:t xml:space="preserve">and import </w:t>
      </w:r>
      <w:r w:rsidRPr="00FF5669">
        <w:t>of the GMO</w:t>
      </w:r>
    </w:p>
    <w:p w14:paraId="7A6AABCA" w14:textId="77777777" w:rsidR="0001639C" w:rsidRPr="0001639C" w:rsidRDefault="0001639C" w:rsidP="0001639C">
      <w:pPr>
        <w:pStyle w:val="RARMPnumberedparagraphs"/>
      </w:pPr>
      <w:proofErr w:type="spellStart"/>
      <w:r w:rsidRPr="0001639C">
        <w:t>Nadofaragene</w:t>
      </w:r>
      <w:proofErr w:type="spellEnd"/>
      <w:r w:rsidRPr="0001639C">
        <w:t xml:space="preserve"> </w:t>
      </w:r>
      <w:proofErr w:type="spellStart"/>
      <w:r w:rsidRPr="0001639C">
        <w:t>firadenovec</w:t>
      </w:r>
      <w:proofErr w:type="spellEnd"/>
      <w:r w:rsidRPr="0001639C">
        <w:t xml:space="preserve"> is manufactured by </w:t>
      </w:r>
      <w:proofErr w:type="spellStart"/>
      <w:r w:rsidRPr="0001639C">
        <w:t>FinVector</w:t>
      </w:r>
      <w:proofErr w:type="spellEnd"/>
      <w:r w:rsidRPr="0001639C">
        <w:t xml:space="preserve"> Oy (</w:t>
      </w:r>
      <w:proofErr w:type="spellStart"/>
      <w:r w:rsidRPr="0001639C">
        <w:t>FinVector</w:t>
      </w:r>
      <w:proofErr w:type="spellEnd"/>
      <w:r w:rsidRPr="0001639C">
        <w:t xml:space="preserve">) in Finland. Ferring proposes to import the GM therapeutic into Australia from </w:t>
      </w:r>
      <w:proofErr w:type="spellStart"/>
      <w:r w:rsidRPr="0001639C">
        <w:t>FinVector</w:t>
      </w:r>
      <w:proofErr w:type="spellEnd"/>
      <w:r w:rsidRPr="0001639C">
        <w:t>.</w:t>
      </w:r>
      <w:r>
        <w:t xml:space="preserve"> </w:t>
      </w:r>
      <w:r w:rsidRPr="0001639C">
        <w:t xml:space="preserve">The GM therapeutic would be shipped from </w:t>
      </w:r>
      <w:proofErr w:type="spellStart"/>
      <w:r w:rsidRPr="0001639C">
        <w:t>FinVector</w:t>
      </w:r>
      <w:proofErr w:type="spellEnd"/>
      <w:r w:rsidRPr="0001639C">
        <w:t xml:space="preserve"> in sealed containers with tamper proof seals in appropriate secondary </w:t>
      </w:r>
      <w:r w:rsidRPr="0001639C">
        <w:lastRenderedPageBreak/>
        <w:t xml:space="preserve">packaging. </w:t>
      </w:r>
      <w:bookmarkStart w:id="120" w:name="_Hlk197610701"/>
      <w:r w:rsidRPr="0001639C">
        <w:t>Each unit-dose</w:t>
      </w:r>
      <w:r w:rsidRPr="0001639C">
        <w:rPr>
          <w:vertAlign w:val="superscript"/>
        </w:rPr>
        <w:footnoteReference w:id="3"/>
      </w:r>
      <w:r w:rsidRPr="0001639C">
        <w:t xml:space="preserve"> of the ready-to-use pack contains 4 single-dose vials. The unit-dose pack contains absorbent material under the vials</w:t>
      </w:r>
      <w:bookmarkEnd w:id="120"/>
      <w:r w:rsidRPr="0001639C">
        <w:t xml:space="preserve">. </w:t>
      </w:r>
    </w:p>
    <w:p w14:paraId="0FD6CB96" w14:textId="1BFF8017" w:rsidR="0032563C" w:rsidRDefault="00F56F02" w:rsidP="00F56F02">
      <w:pPr>
        <w:pStyle w:val="RARMPnumberedparagraphs"/>
      </w:pPr>
      <w:r w:rsidRPr="00F56F02">
        <w:t>When ordered by a clinic, a unit-dose pack will be distributed directly to medical facilities with a smaller shipper in a bio-hazard bag surrounded by dry ice. The unit-dose pack will not be repackaged but the box will have a serial number for distribution control.</w:t>
      </w:r>
    </w:p>
    <w:p w14:paraId="67F143B0" w14:textId="2BC116C3" w:rsidR="00923406" w:rsidRDefault="00923406" w:rsidP="00F56F02">
      <w:pPr>
        <w:pStyle w:val="RARMPnumberedparagraphs"/>
      </w:pPr>
      <w:r>
        <w:t>The GMO would be imported according to the packaging and labelling requirements of the International Air Transport Association (</w:t>
      </w:r>
      <w:bookmarkStart w:id="121" w:name="_Hlk217299508"/>
      <w:r>
        <w:t>IATA</w:t>
      </w:r>
      <w:bookmarkEnd w:id="121"/>
      <w:r>
        <w:t>) code UN 1845</w:t>
      </w:r>
      <w:r w:rsidR="006C4D24">
        <w:t xml:space="preserve"> and would be covered under </w:t>
      </w:r>
      <w:r w:rsidR="00104A5F">
        <w:t xml:space="preserve">licence </w:t>
      </w:r>
      <w:r w:rsidR="006C4D24">
        <w:t>DIR</w:t>
      </w:r>
      <w:r w:rsidR="00104A5F">
        <w:t xml:space="preserve"> </w:t>
      </w:r>
      <w:r w:rsidR="006C4D24">
        <w:t>217.</w:t>
      </w:r>
    </w:p>
    <w:p w14:paraId="496CDCE5" w14:textId="63DD642A" w:rsidR="0066244D" w:rsidRPr="00FF5669" w:rsidRDefault="0066244D" w:rsidP="00321D13">
      <w:pPr>
        <w:pStyle w:val="4RARMP"/>
      </w:pPr>
      <w:bookmarkStart w:id="122" w:name="_Ref66352797"/>
      <w:r w:rsidRPr="00FF5669">
        <w:t>Transport and storage of the GMO</w:t>
      </w:r>
      <w:bookmarkEnd w:id="122"/>
    </w:p>
    <w:p w14:paraId="2065893E" w14:textId="33140797" w:rsidR="002A3513" w:rsidRPr="002A3513" w:rsidRDefault="002A3513" w:rsidP="0066244D">
      <w:pPr>
        <w:pStyle w:val="RARMPnumberedparagraphs"/>
      </w:pPr>
      <w:r w:rsidRPr="00E86880">
        <w:t>Procedures will be in place to ensure that all transported GMOs can be accounted for, and that a loss of GMOs during transport can be detected; and</w:t>
      </w:r>
      <w:r>
        <w:t xml:space="preserve"> access to the GMO will be restricted to authorised persons conducting dealings under the licence, who have been informed by the licence holder of any licence conditions that apply to them. This includes situations where containers are left for collection in a holding area</w:t>
      </w:r>
      <w:r>
        <w:rPr>
          <w:bCs/>
          <w:lang w:val="en-US"/>
        </w:rPr>
        <w:t>.</w:t>
      </w:r>
    </w:p>
    <w:p w14:paraId="59661053" w14:textId="3B8D12CD" w:rsidR="002A3513" w:rsidRDefault="002A3513" w:rsidP="0066244D">
      <w:pPr>
        <w:pStyle w:val="RARMPnumberedparagraphs"/>
      </w:pPr>
      <w:r>
        <w:t>The external surface of the primary and secondary container will be decontaminated before and after transport.</w:t>
      </w:r>
    </w:p>
    <w:p w14:paraId="5F16A93D" w14:textId="45CA91EE" w:rsidR="000C4A55" w:rsidRDefault="00923406" w:rsidP="002A3513">
      <w:pPr>
        <w:pStyle w:val="RARMPnumberedparagraphs"/>
      </w:pPr>
      <w:r w:rsidRPr="00923406">
        <w:t xml:space="preserve">On receipt at the clinic, the unit-dose will be stored in a </w:t>
      </w:r>
      <w:r w:rsidR="00FF5669">
        <w:t xml:space="preserve">secure </w:t>
      </w:r>
      <w:r w:rsidRPr="00923406">
        <w:t>freezer until it is needed for a patient.</w:t>
      </w:r>
      <w:r w:rsidR="002A3513">
        <w:t xml:space="preserve"> Access to the GMO will be restricted to authorised persons conducting dealings under the licence, who have been informed by the licence holder of any licence conditions that apply to them.</w:t>
      </w:r>
    </w:p>
    <w:p w14:paraId="48939E1A" w14:textId="101EF548" w:rsidR="004D16FE" w:rsidRDefault="00F35BB1" w:rsidP="00F35BB1">
      <w:pPr>
        <w:pStyle w:val="RARMPnumberedparagraphs"/>
      </w:pPr>
      <w:r>
        <w:rPr>
          <w:bCs/>
        </w:rPr>
        <w:t xml:space="preserve">The proposed </w:t>
      </w:r>
      <w:r w:rsidR="00D45782" w:rsidRPr="00DC351A">
        <w:t xml:space="preserve">method of supply and storage of the GMO, as advised by the applicant, would be in accordance with the </w:t>
      </w:r>
      <w:r w:rsidR="00D45782" w:rsidRPr="00103592">
        <w:rPr>
          <w:iCs/>
        </w:rPr>
        <w:t xml:space="preserve">Regulator’s </w:t>
      </w:r>
      <w:r w:rsidR="00D45782" w:rsidRPr="00DC351A">
        <w:rPr>
          <w:i/>
        </w:rPr>
        <w:t>Guidelines for the Transport, Storage and Disposal of GMOs</w:t>
      </w:r>
      <w:r w:rsidR="00D45782">
        <w:rPr>
          <w:i/>
        </w:rPr>
        <w:t xml:space="preserve"> </w:t>
      </w:r>
      <w:r w:rsidR="00D45782" w:rsidRPr="00C51386">
        <w:t>(TSD)</w:t>
      </w:r>
      <w:r w:rsidR="007D34EC">
        <w:rPr>
          <w:bCs/>
        </w:rPr>
        <w:t xml:space="preserve">. </w:t>
      </w:r>
    </w:p>
    <w:p w14:paraId="41E13AFB" w14:textId="3BEC2A78" w:rsidR="0066244D" w:rsidRPr="00FF5669" w:rsidRDefault="0066244D" w:rsidP="00321D13">
      <w:pPr>
        <w:pStyle w:val="4RARMP"/>
      </w:pPr>
      <w:bookmarkStart w:id="123" w:name="_Ref67409772"/>
      <w:r w:rsidRPr="00FF5669">
        <w:t>Clinical trial sites</w:t>
      </w:r>
      <w:bookmarkEnd w:id="123"/>
    </w:p>
    <w:p w14:paraId="3C3D8997" w14:textId="35B4918C" w:rsidR="008356FF" w:rsidRDefault="008356FF" w:rsidP="008356FF">
      <w:pPr>
        <w:pStyle w:val="RARMPnumberedparagraphs"/>
      </w:pPr>
      <w:r w:rsidRPr="00961290">
        <w:t xml:space="preserve">The </w:t>
      </w:r>
      <w:r w:rsidRPr="00796CCD">
        <w:t xml:space="preserve">clinical trial </w:t>
      </w:r>
      <w:r>
        <w:t xml:space="preserve">is proposed to </w:t>
      </w:r>
      <w:r w:rsidRPr="00796CCD">
        <w:t xml:space="preserve">take place at </w:t>
      </w:r>
      <w:r w:rsidR="0010495F">
        <w:t xml:space="preserve">up to </w:t>
      </w:r>
      <w:r w:rsidR="002C28F8">
        <w:t>9</w:t>
      </w:r>
      <w:r>
        <w:t xml:space="preserve"> different</w:t>
      </w:r>
      <w:r w:rsidRPr="00796CCD">
        <w:t xml:space="preserve"> </w:t>
      </w:r>
      <w:r>
        <w:t xml:space="preserve">clinical trial facilities and </w:t>
      </w:r>
      <w:r w:rsidRPr="00796CCD">
        <w:t xml:space="preserve">hospitals in </w:t>
      </w:r>
      <w:r>
        <w:t xml:space="preserve">New South Wales and Victoria, </w:t>
      </w:r>
      <w:r w:rsidR="00A9721B">
        <w:t xml:space="preserve">including </w:t>
      </w:r>
      <w:r w:rsidRPr="008356FF">
        <w:t xml:space="preserve">John Hunter Hospital, Austin Health, Royal Melbourne Hospital, Cancer Care Macarthur, Barwon Health, Blacktown Hospital, Liverpool Hospital, Concord Repatriation General Hospital </w:t>
      </w:r>
      <w:r>
        <w:t>and</w:t>
      </w:r>
      <w:r w:rsidRPr="008356FF">
        <w:t xml:space="preserve"> Wollongong Private Hospital</w:t>
      </w:r>
      <w:r>
        <w:t>.</w:t>
      </w:r>
      <w:r w:rsidR="00CA432D">
        <w:t xml:space="preserve"> The activities that may be undertaken at these sites are s</w:t>
      </w:r>
      <w:r w:rsidR="00CA432D" w:rsidRPr="00CA432D">
        <w:t>torage and preparation of the GMO, administration of the GMO to participants</w:t>
      </w:r>
      <w:r w:rsidR="00A26AA3">
        <w:t>,</w:t>
      </w:r>
      <w:r w:rsidR="00CA432D" w:rsidRPr="00CA432D">
        <w:t xml:space="preserve"> and</w:t>
      </w:r>
      <w:r w:rsidR="00A26AA3" w:rsidRPr="00A26AA3">
        <w:t xml:space="preserve"> collection</w:t>
      </w:r>
      <w:r w:rsidR="00A26AA3">
        <w:t xml:space="preserve"> and</w:t>
      </w:r>
      <w:r w:rsidR="00CA432D" w:rsidRPr="00CA432D">
        <w:t xml:space="preserve"> analysis of biological samples containing the GMO.</w:t>
      </w:r>
    </w:p>
    <w:p w14:paraId="06C0FDB0" w14:textId="19560EAC" w:rsidR="004D16FE" w:rsidRDefault="008356FF" w:rsidP="009C0E98">
      <w:pPr>
        <w:pStyle w:val="RARMPnumberedparagraphs"/>
      </w:pPr>
      <w:r>
        <w:t>The applicant has selected these trial sites based on their patient populations, having suitably trained staff to conduct a clinical trial with a GMO, having procedures in place to prevent unauthorised access to the site, and having procedures in place to appropriately track, handle and dispose of the GMO.</w:t>
      </w:r>
    </w:p>
    <w:p w14:paraId="648A930C" w14:textId="5AB4DF9D" w:rsidR="00420205" w:rsidRPr="00FF5669" w:rsidRDefault="009C0E98" w:rsidP="00321D13">
      <w:pPr>
        <w:pStyle w:val="4RARMP"/>
      </w:pPr>
      <w:bookmarkStart w:id="124" w:name="_Ref66354871"/>
      <w:r w:rsidRPr="00FF5669">
        <w:t xml:space="preserve">The clinical trial </w:t>
      </w:r>
      <w:bookmarkEnd w:id="124"/>
    </w:p>
    <w:p w14:paraId="7086B2A1" w14:textId="12B23528" w:rsidR="00364C25" w:rsidRDefault="00420205" w:rsidP="00420205">
      <w:pPr>
        <w:pStyle w:val="RARMPnumberedparagraphs"/>
      </w:pPr>
      <w:r w:rsidRPr="00420205">
        <w:t>The applicant proposes</w:t>
      </w:r>
      <w:r w:rsidR="00364C25">
        <w:t xml:space="preserve"> </w:t>
      </w:r>
      <w:r w:rsidR="005B15D3">
        <w:t xml:space="preserve">to conduct </w:t>
      </w:r>
      <w:r w:rsidR="00CD32AE">
        <w:t>Phase 3 and 3b trial</w:t>
      </w:r>
      <w:r w:rsidR="00364C25">
        <w:t>s</w:t>
      </w:r>
      <w:r w:rsidRPr="00420205">
        <w:t xml:space="preserve"> </w:t>
      </w:r>
      <w:r w:rsidR="005B15D3">
        <w:t xml:space="preserve">with the GMO </w:t>
      </w:r>
      <w:r w:rsidRPr="00420205">
        <w:t>at multiple locations in Australia</w:t>
      </w:r>
      <w:r w:rsidR="00FB049E">
        <w:t xml:space="preserve"> (as noted in Section </w:t>
      </w:r>
      <w:r w:rsidR="00FB049E">
        <w:fldChar w:fldCharType="begin"/>
      </w:r>
      <w:r w:rsidR="00FB049E">
        <w:instrText xml:space="preserve"> REF _Ref67409772 \r \h </w:instrText>
      </w:r>
      <w:r w:rsidR="00FB049E">
        <w:fldChar w:fldCharType="separate"/>
      </w:r>
      <w:r w:rsidR="001E7664">
        <w:t>2.3.3</w:t>
      </w:r>
      <w:r w:rsidR="00FB049E">
        <w:fldChar w:fldCharType="end"/>
      </w:r>
      <w:r w:rsidR="00FB049E">
        <w:t>)</w:t>
      </w:r>
      <w:r w:rsidR="00F67978">
        <w:t>.</w:t>
      </w:r>
    </w:p>
    <w:p w14:paraId="11F78C6A" w14:textId="5FBA1ADA" w:rsidR="00364C25" w:rsidRPr="00364C25" w:rsidRDefault="00364C25" w:rsidP="00364C25">
      <w:pPr>
        <w:pStyle w:val="RARMPnumberedparagraphs"/>
        <w:numPr>
          <w:ilvl w:val="0"/>
          <w:numId w:val="0"/>
        </w:numPr>
        <w:rPr>
          <w:i/>
          <w:iCs/>
          <w:u w:val="single"/>
        </w:rPr>
      </w:pPr>
      <w:r w:rsidRPr="00364C25">
        <w:rPr>
          <w:i/>
          <w:iCs/>
          <w:u w:val="single"/>
        </w:rPr>
        <w:t>Phase 3 trial</w:t>
      </w:r>
    </w:p>
    <w:p w14:paraId="3B40BB41" w14:textId="6EF1C6D6" w:rsidR="00420205" w:rsidRDefault="00364C25" w:rsidP="00420205">
      <w:pPr>
        <w:pStyle w:val="RARMPnumberedparagraphs"/>
      </w:pPr>
      <w:r>
        <w:t xml:space="preserve">The Phase 3 trial is a </w:t>
      </w:r>
      <w:r w:rsidRPr="00364C25">
        <w:t xml:space="preserve">randomised, multi-centre, open label trial to evaluate the safety and efficacy of intravesical </w:t>
      </w:r>
      <w:r>
        <w:t>GMO given</w:t>
      </w:r>
      <w:r w:rsidRPr="00364C25">
        <w:t xml:space="preserve"> alone or in combination with chemotherapy (intravesical gemcitabine and docetaxel) or immunotherapy (IV pembrolizumab) in subjects with high-grade BCG-</w:t>
      </w:r>
      <w:r w:rsidRPr="00364C25">
        <w:lastRenderedPageBreak/>
        <w:t>unresponsive NMIBC.</w:t>
      </w:r>
      <w:r>
        <w:t xml:space="preserve"> Prior to screening, eligible subjects will have gone through a </w:t>
      </w:r>
      <w:r w:rsidRPr="00364C25">
        <w:t>transurethral resection of the bladder tumour</w:t>
      </w:r>
      <w:r>
        <w:t>.</w:t>
      </w:r>
    </w:p>
    <w:p w14:paraId="1B2BB80E" w14:textId="1F6B233C" w:rsidR="00D359D5" w:rsidRDefault="00364C25" w:rsidP="00A77405">
      <w:pPr>
        <w:pStyle w:val="RARMPnumberedparagraphs"/>
      </w:pPr>
      <w:r>
        <w:t xml:space="preserve">Participants will receive doses of the GMO every 3 months, then treatment is optional from 12 to 24 months. There are 3 treatment </w:t>
      </w:r>
      <w:r w:rsidR="00A77405">
        <w:t>arms:</w:t>
      </w:r>
      <w:r>
        <w:t xml:space="preserve"> </w:t>
      </w:r>
      <w:r w:rsidR="00A878C6">
        <w:t xml:space="preserve">intravesical </w:t>
      </w:r>
      <w:r>
        <w:t xml:space="preserve">GMO only, </w:t>
      </w:r>
      <w:r w:rsidR="00A878C6">
        <w:t xml:space="preserve">intravesical </w:t>
      </w:r>
      <w:r>
        <w:t xml:space="preserve">GMO + intravesical chemotherapy of </w:t>
      </w:r>
      <w:r w:rsidRPr="00364C25">
        <w:t>gemcitabine and docetaxel</w:t>
      </w:r>
      <w:r>
        <w:t xml:space="preserve"> weekly for 6 weeks then monthly, and </w:t>
      </w:r>
      <w:r w:rsidR="00A878C6">
        <w:t xml:space="preserve">intravesical </w:t>
      </w:r>
      <w:r>
        <w:t>GMO +</w:t>
      </w:r>
      <w:r w:rsidR="00A77405">
        <w:t xml:space="preserve"> intravenous (IV) immunotherapy with pembrolizumab every 6 weeks. Participants will be monitored</w:t>
      </w:r>
      <w:r w:rsidR="00A9721B">
        <w:t xml:space="preserve"> for</w:t>
      </w:r>
      <w:r w:rsidR="00A77405">
        <w:t xml:space="preserve"> up to 36 months.</w:t>
      </w:r>
    </w:p>
    <w:p w14:paraId="2C34621A" w14:textId="0A436423" w:rsidR="00364C25" w:rsidRPr="00364C25" w:rsidRDefault="00364C25" w:rsidP="00364C25">
      <w:pPr>
        <w:pStyle w:val="RARMPnumberedparagraphs"/>
        <w:numPr>
          <w:ilvl w:val="0"/>
          <w:numId w:val="0"/>
        </w:numPr>
        <w:rPr>
          <w:i/>
          <w:iCs/>
          <w:u w:val="single"/>
        </w:rPr>
      </w:pPr>
      <w:r w:rsidRPr="00364C25">
        <w:rPr>
          <w:i/>
          <w:iCs/>
          <w:u w:val="single"/>
        </w:rPr>
        <w:t>Phase 3b trial</w:t>
      </w:r>
    </w:p>
    <w:p w14:paraId="0570C0EB" w14:textId="0230C381" w:rsidR="00364C25" w:rsidRDefault="00364C25" w:rsidP="00364C25">
      <w:pPr>
        <w:pStyle w:val="RARMPnumberedparagraphs"/>
      </w:pPr>
      <w:r>
        <w:t xml:space="preserve">The Phase 3b trial is a </w:t>
      </w:r>
      <w:r w:rsidR="00A77405">
        <w:t xml:space="preserve">randomised, </w:t>
      </w:r>
      <w:r w:rsidRPr="00364C25">
        <w:t>multi-centre, open-label</w:t>
      </w:r>
      <w:r w:rsidR="00A77405">
        <w:t xml:space="preserve"> </w:t>
      </w:r>
      <w:r w:rsidRPr="00364C25">
        <w:t xml:space="preserve">trial to evaluate the safety and efficacy of </w:t>
      </w:r>
      <w:r>
        <w:t>the GMO</w:t>
      </w:r>
      <w:r w:rsidRPr="00364C25">
        <w:t xml:space="preserve"> given every 3 months versus observation in subjects with </w:t>
      </w:r>
      <w:r>
        <w:t>intermediate risk (</w:t>
      </w:r>
      <w:r w:rsidRPr="00364C25">
        <w:t>IR</w:t>
      </w:r>
      <w:r>
        <w:t>)</w:t>
      </w:r>
      <w:r w:rsidRPr="00364C25">
        <w:t xml:space="preserve"> NMIBC.</w:t>
      </w:r>
      <w:r w:rsidR="00A77405">
        <w:t xml:space="preserve"> Prior to screening, eligible subjects will have gone through a</w:t>
      </w:r>
      <w:r w:rsidR="009C37AF">
        <w:t xml:space="preserve"> </w:t>
      </w:r>
      <w:r w:rsidR="009C37AF" w:rsidRPr="00364C25">
        <w:t>transurethral resection of the bladder tumour</w:t>
      </w:r>
      <w:r w:rsidR="00A77405">
        <w:t>.</w:t>
      </w:r>
    </w:p>
    <w:p w14:paraId="4CBB98AB" w14:textId="5A06728A" w:rsidR="00364C25" w:rsidRPr="00420205" w:rsidRDefault="00A77405" w:rsidP="00364C25">
      <w:pPr>
        <w:pStyle w:val="RARMPnumberedparagraphs"/>
      </w:pPr>
      <w:r>
        <w:t>Participants will be randomised into one of 2 treatment arms. Arm 1 is the GMO administered into the bladder every 3 months for up to 24 months (maximum of 8 doses). Arm 2 is an observation arm with scheduled surveillance. GMO treatment will be offered to participants in Arm 2 i</w:t>
      </w:r>
      <w:r w:rsidR="00E374E1">
        <w:t>f</w:t>
      </w:r>
      <w:r>
        <w:t xml:space="preserve"> there is recurrence of their IR NMIBC within the 24 months. Participants will be monitored up to 60 months.</w:t>
      </w:r>
    </w:p>
    <w:p w14:paraId="1A9309BB" w14:textId="28F1EFD5" w:rsidR="0066244D" w:rsidRPr="00FF5669" w:rsidRDefault="0066244D" w:rsidP="00321D13">
      <w:pPr>
        <w:pStyle w:val="4RARMP"/>
      </w:pPr>
      <w:bookmarkStart w:id="125" w:name="_Ref67491471"/>
      <w:r w:rsidRPr="00FF5669">
        <w:t>Selection of trial participants</w:t>
      </w:r>
      <w:bookmarkEnd w:id="125"/>
    </w:p>
    <w:p w14:paraId="3C2BEB2C" w14:textId="05F0B553" w:rsidR="0001323A" w:rsidRPr="0001323A" w:rsidRDefault="008E7153" w:rsidP="0001323A">
      <w:pPr>
        <w:pStyle w:val="RARMPnumberedparagraphs"/>
      </w:pPr>
      <w:bookmarkStart w:id="126" w:name="_Hlk216692940"/>
      <w:r>
        <w:t>I</w:t>
      </w:r>
      <w:r w:rsidR="0001323A" w:rsidRPr="0001323A">
        <w:t xml:space="preserve">nclusion criteria </w:t>
      </w:r>
      <w:r w:rsidR="00E768C2">
        <w:t xml:space="preserve">proposed by the applicant </w:t>
      </w:r>
      <w:r>
        <w:t xml:space="preserve">relevant </w:t>
      </w:r>
      <w:r w:rsidR="0001323A" w:rsidRPr="0001323A">
        <w:t xml:space="preserve">to </w:t>
      </w:r>
      <w:r w:rsidR="00F22C8F">
        <w:t xml:space="preserve">this assessment </w:t>
      </w:r>
      <w:r w:rsidR="00E768C2">
        <w:t>include that trial participants must</w:t>
      </w:r>
      <w:r w:rsidR="0001323A" w:rsidRPr="0001323A">
        <w:t>:</w:t>
      </w:r>
    </w:p>
    <w:p w14:paraId="51569ED8" w14:textId="0C34C223" w:rsidR="0001323A" w:rsidRDefault="0001323A" w:rsidP="006C4245">
      <w:pPr>
        <w:numPr>
          <w:ilvl w:val="0"/>
          <w:numId w:val="85"/>
        </w:numPr>
        <w:spacing w:before="0" w:after="160"/>
        <w:ind w:left="714" w:hanging="357"/>
        <w:rPr>
          <w:rFonts w:cs="Calibri"/>
          <w:szCs w:val="22"/>
        </w:rPr>
      </w:pPr>
      <w:r w:rsidRPr="0001323A">
        <w:rPr>
          <w:rFonts w:cs="Calibri"/>
          <w:szCs w:val="22"/>
        </w:rPr>
        <w:t xml:space="preserve">be </w:t>
      </w:r>
      <w:r w:rsidR="00872795">
        <w:rPr>
          <w:rFonts w:cs="Calibri"/>
          <w:szCs w:val="22"/>
        </w:rPr>
        <w:t>18 years of age or older at screening</w:t>
      </w:r>
    </w:p>
    <w:p w14:paraId="1043624F" w14:textId="5E67BE77" w:rsidR="006C4245" w:rsidRDefault="006C4245" w:rsidP="006C4245">
      <w:pPr>
        <w:numPr>
          <w:ilvl w:val="0"/>
          <w:numId w:val="85"/>
        </w:numPr>
        <w:spacing w:before="0" w:after="160"/>
        <w:ind w:left="714" w:hanging="357"/>
        <w:rPr>
          <w:rFonts w:cs="Calibri"/>
          <w:szCs w:val="22"/>
        </w:rPr>
      </w:pPr>
      <w:r>
        <w:rPr>
          <w:rFonts w:cs="Calibri"/>
          <w:szCs w:val="22"/>
        </w:rPr>
        <w:t>Phase 3 trial only: have high-grade NMIBC that was u</w:t>
      </w:r>
      <w:r w:rsidRPr="006C4245">
        <w:rPr>
          <w:rFonts w:cs="Calibri"/>
          <w:szCs w:val="22"/>
        </w:rPr>
        <w:t>nresponsive to ≥2 courses of Bacillus Calmette-Guerin (BCG) therapy within the last 12 months</w:t>
      </w:r>
    </w:p>
    <w:p w14:paraId="6DB620FB" w14:textId="1A882BC9" w:rsidR="009D3D72" w:rsidRPr="006C4245" w:rsidRDefault="006C4245" w:rsidP="006C4245">
      <w:pPr>
        <w:numPr>
          <w:ilvl w:val="0"/>
          <w:numId w:val="85"/>
        </w:numPr>
        <w:spacing w:before="0" w:after="160"/>
        <w:ind w:left="714" w:hanging="357"/>
        <w:rPr>
          <w:rFonts w:cs="Calibri"/>
          <w:szCs w:val="22"/>
        </w:rPr>
      </w:pPr>
      <w:r>
        <w:rPr>
          <w:rFonts w:cs="Calibri"/>
          <w:szCs w:val="22"/>
        </w:rPr>
        <w:t>Phase 3b trial only: have n</w:t>
      </w:r>
      <w:r w:rsidRPr="006C4245">
        <w:rPr>
          <w:rFonts w:cs="Calibri"/>
          <w:szCs w:val="22"/>
        </w:rPr>
        <w:t>ewly diagnosed or recurrent intermediate risk (IR) non-muscle invasive bladder cancer</w:t>
      </w:r>
    </w:p>
    <w:p w14:paraId="05C6B0CE" w14:textId="71262132" w:rsidR="00CA432D" w:rsidRDefault="00CA432D" w:rsidP="006C4245">
      <w:pPr>
        <w:pStyle w:val="ListParagraph"/>
        <w:numPr>
          <w:ilvl w:val="0"/>
          <w:numId w:val="85"/>
        </w:numPr>
        <w:spacing w:before="0" w:after="160"/>
        <w:ind w:left="714" w:hanging="357"/>
        <w:contextualSpacing/>
      </w:pPr>
      <w:r>
        <w:t xml:space="preserve">female participants of </w:t>
      </w:r>
      <w:r w:rsidR="006C4245">
        <w:t>childbearing</w:t>
      </w:r>
      <w:r>
        <w:t xml:space="preserve"> potential must </w:t>
      </w:r>
      <w:r>
        <w:rPr>
          <w:rFonts w:cs="Calibri"/>
          <w:szCs w:val="22"/>
        </w:rPr>
        <w:t>have a negative highly sensitive urine or serum pregnancy test prior to study entry</w:t>
      </w:r>
      <w:r w:rsidR="006C4245">
        <w:rPr>
          <w:rFonts w:cs="Calibri"/>
          <w:szCs w:val="22"/>
        </w:rPr>
        <w:t xml:space="preserve"> </w:t>
      </w:r>
      <w:r>
        <w:t>and be willing to use effective forms of contraception during treatment and for 6 months after the last dose</w:t>
      </w:r>
    </w:p>
    <w:p w14:paraId="6A13D619" w14:textId="021154C3" w:rsidR="00A017F5" w:rsidRDefault="006C4245" w:rsidP="006C4245">
      <w:pPr>
        <w:numPr>
          <w:ilvl w:val="0"/>
          <w:numId w:val="85"/>
        </w:numPr>
        <w:spacing w:before="0" w:after="160"/>
        <w:ind w:left="714" w:hanging="357"/>
        <w:rPr>
          <w:rFonts w:cs="Calibri"/>
          <w:szCs w:val="22"/>
        </w:rPr>
      </w:pPr>
      <w:r>
        <w:t xml:space="preserve">Phase 3 trial only: </w:t>
      </w:r>
      <w:r w:rsidR="00CA432D">
        <w:t>non-sterile male participants with female partners of reproductive potential must be willing to use effective forms of contraception during treatment and for 3 months after the last dose</w:t>
      </w:r>
    </w:p>
    <w:p w14:paraId="709C71E9" w14:textId="3C8D1BB6" w:rsidR="006C4245" w:rsidRDefault="006C4245" w:rsidP="006C4245">
      <w:pPr>
        <w:numPr>
          <w:ilvl w:val="0"/>
          <w:numId w:val="85"/>
        </w:numPr>
        <w:spacing w:before="0" w:after="160"/>
        <w:ind w:left="714" w:hanging="357"/>
        <w:rPr>
          <w:rFonts w:cs="Calibri"/>
          <w:szCs w:val="22"/>
        </w:rPr>
      </w:pPr>
      <w:r>
        <w:rPr>
          <w:rFonts w:cs="Calibri"/>
          <w:szCs w:val="22"/>
        </w:rPr>
        <w:t xml:space="preserve">Phase 3b trial only: </w:t>
      </w:r>
      <w:r w:rsidRPr="006C4245">
        <w:rPr>
          <w:rFonts w:cs="Calibri"/>
          <w:szCs w:val="22"/>
        </w:rPr>
        <w:t xml:space="preserve">male participants must be willing to </w:t>
      </w:r>
      <w:r>
        <w:rPr>
          <w:rFonts w:cs="Calibri"/>
          <w:szCs w:val="22"/>
        </w:rPr>
        <w:t>use a male condom and effective contraception</w:t>
      </w:r>
      <w:r w:rsidRPr="006C4245">
        <w:rPr>
          <w:rFonts w:cs="Calibri"/>
          <w:szCs w:val="22"/>
        </w:rPr>
        <w:t xml:space="preserve"> during treatment and for 3 months after the last dose</w:t>
      </w:r>
      <w:r>
        <w:rPr>
          <w:rFonts w:cs="Calibri"/>
          <w:szCs w:val="22"/>
        </w:rPr>
        <w:t>.</w:t>
      </w:r>
    </w:p>
    <w:p w14:paraId="21594670" w14:textId="527FA402" w:rsidR="0001323A" w:rsidRPr="0001323A" w:rsidRDefault="0001323A" w:rsidP="0001323A">
      <w:pPr>
        <w:pStyle w:val="RARMPnumberedparagraphs"/>
      </w:pPr>
      <w:r w:rsidRPr="0001323A">
        <w:t xml:space="preserve">Relevant exclusion criteria </w:t>
      </w:r>
      <w:r w:rsidR="00CC0F15" w:rsidRPr="00A3140D">
        <w:t>apply to</w:t>
      </w:r>
      <w:r w:rsidR="007A04C4" w:rsidRPr="00A3140D">
        <w:t xml:space="preserve"> </w:t>
      </w:r>
      <w:r w:rsidR="00CC0F15" w:rsidRPr="00A3140D">
        <w:t>people</w:t>
      </w:r>
      <w:r w:rsidR="007A04C4" w:rsidRPr="00A3140D">
        <w:t xml:space="preserve"> </w:t>
      </w:r>
      <w:r w:rsidR="007A04C4">
        <w:t>who</w:t>
      </w:r>
      <w:r w:rsidRPr="0001323A">
        <w:t>:</w:t>
      </w:r>
    </w:p>
    <w:p w14:paraId="66D69B81" w14:textId="2C94D3E2" w:rsidR="00F56F02" w:rsidRDefault="00F56F02" w:rsidP="00F56F02">
      <w:pPr>
        <w:numPr>
          <w:ilvl w:val="0"/>
          <w:numId w:val="86"/>
        </w:numPr>
        <w:spacing w:before="0" w:after="160" w:line="259" w:lineRule="auto"/>
        <w:rPr>
          <w:rFonts w:cs="Calibri"/>
          <w:szCs w:val="22"/>
        </w:rPr>
      </w:pPr>
      <w:r>
        <w:rPr>
          <w:rFonts w:cs="Calibri"/>
          <w:szCs w:val="22"/>
        </w:rPr>
        <w:t>a</w:t>
      </w:r>
      <w:r w:rsidR="007A04C4">
        <w:rPr>
          <w:rFonts w:cs="Calibri"/>
          <w:szCs w:val="22"/>
        </w:rPr>
        <w:t>re pregnant or lactating</w:t>
      </w:r>
    </w:p>
    <w:p w14:paraId="175608B3" w14:textId="7B530270" w:rsidR="006C4245" w:rsidRPr="00F56F02" w:rsidRDefault="00F56F02" w:rsidP="00F56F02">
      <w:pPr>
        <w:numPr>
          <w:ilvl w:val="0"/>
          <w:numId w:val="86"/>
        </w:numPr>
        <w:spacing w:before="0" w:after="160" w:line="259" w:lineRule="auto"/>
        <w:rPr>
          <w:rFonts w:cs="Calibri"/>
          <w:szCs w:val="22"/>
        </w:rPr>
      </w:pPr>
      <w:r>
        <w:rPr>
          <w:rFonts w:cs="Calibri"/>
          <w:szCs w:val="22"/>
        </w:rPr>
        <w:t>refuse contraception requirements during and after treatment</w:t>
      </w:r>
      <w:r w:rsidR="007A04C4">
        <w:rPr>
          <w:rFonts w:cs="Calibri"/>
          <w:szCs w:val="22"/>
        </w:rPr>
        <w:t xml:space="preserve"> </w:t>
      </w:r>
    </w:p>
    <w:p w14:paraId="6F14BD85" w14:textId="5F4306AC" w:rsidR="006C4245" w:rsidRPr="006C4245" w:rsidRDefault="00F56F02" w:rsidP="006C4245">
      <w:pPr>
        <w:numPr>
          <w:ilvl w:val="0"/>
          <w:numId w:val="86"/>
        </w:numPr>
        <w:spacing w:before="0" w:after="160" w:line="259" w:lineRule="auto"/>
        <w:rPr>
          <w:rFonts w:cs="Calibri"/>
          <w:szCs w:val="22"/>
        </w:rPr>
      </w:pPr>
      <w:r>
        <w:rPr>
          <w:rFonts w:cs="Calibri"/>
          <w:szCs w:val="22"/>
        </w:rPr>
        <w:t>have c</w:t>
      </w:r>
      <w:r w:rsidR="006C4245" w:rsidRPr="006C4245">
        <w:rPr>
          <w:rFonts w:cs="Calibri"/>
          <w:szCs w:val="22"/>
        </w:rPr>
        <w:t xml:space="preserve">urrent or prior autoimmune disease </w:t>
      </w:r>
    </w:p>
    <w:p w14:paraId="0D93EAAB" w14:textId="78A96CE3" w:rsidR="00CB6E00" w:rsidRPr="006C4245" w:rsidRDefault="00F56F02" w:rsidP="006C4245">
      <w:pPr>
        <w:numPr>
          <w:ilvl w:val="0"/>
          <w:numId w:val="86"/>
        </w:numPr>
        <w:spacing w:before="0" w:after="160" w:line="259" w:lineRule="auto"/>
        <w:rPr>
          <w:rFonts w:cs="Calibri"/>
          <w:szCs w:val="22"/>
        </w:rPr>
      </w:pPr>
      <w:r>
        <w:rPr>
          <w:rFonts w:cs="Calibri"/>
          <w:szCs w:val="22"/>
        </w:rPr>
        <w:t>are i</w:t>
      </w:r>
      <w:r w:rsidR="006C4245" w:rsidRPr="006C4245">
        <w:rPr>
          <w:rFonts w:cs="Calibri"/>
          <w:szCs w:val="22"/>
        </w:rPr>
        <w:t xml:space="preserve">mmunocompromised, or immunodeficient, or undergoing any form of treatment known to cause immunosuppression </w:t>
      </w:r>
    </w:p>
    <w:p w14:paraId="25A4542E" w14:textId="475273E6" w:rsidR="006C4245" w:rsidRDefault="00F56F02" w:rsidP="0001323A">
      <w:pPr>
        <w:numPr>
          <w:ilvl w:val="0"/>
          <w:numId w:val="86"/>
        </w:numPr>
        <w:spacing w:before="0" w:after="160" w:line="259" w:lineRule="auto"/>
        <w:rPr>
          <w:rFonts w:cs="Calibri"/>
          <w:szCs w:val="22"/>
        </w:rPr>
      </w:pPr>
      <w:r>
        <w:rPr>
          <w:rFonts w:cs="Calibri"/>
          <w:szCs w:val="22"/>
        </w:rPr>
        <w:t>have received p</w:t>
      </w:r>
      <w:r w:rsidR="006C4245">
        <w:rPr>
          <w:rFonts w:cs="Calibri"/>
          <w:szCs w:val="22"/>
        </w:rPr>
        <w:t>revious treatment with the GMO</w:t>
      </w:r>
    </w:p>
    <w:p w14:paraId="1D748C48" w14:textId="654C9F91" w:rsidR="00AE00A3" w:rsidRDefault="00F56F02" w:rsidP="00F56F02">
      <w:pPr>
        <w:numPr>
          <w:ilvl w:val="0"/>
          <w:numId w:val="86"/>
        </w:numPr>
        <w:spacing w:before="0" w:after="160" w:line="259" w:lineRule="auto"/>
        <w:rPr>
          <w:rFonts w:cs="Calibri"/>
          <w:szCs w:val="22"/>
        </w:rPr>
      </w:pPr>
      <w:r>
        <w:rPr>
          <w:rFonts w:cs="Calibri"/>
          <w:szCs w:val="22"/>
        </w:rPr>
        <w:lastRenderedPageBreak/>
        <w:t>have u</w:t>
      </w:r>
      <w:r w:rsidR="006C4245">
        <w:rPr>
          <w:rFonts w:cs="Calibri"/>
          <w:szCs w:val="22"/>
        </w:rPr>
        <w:t>se</w:t>
      </w:r>
      <w:r>
        <w:rPr>
          <w:rFonts w:cs="Calibri"/>
          <w:szCs w:val="22"/>
        </w:rPr>
        <w:t>d</w:t>
      </w:r>
      <w:r w:rsidR="006C4245">
        <w:rPr>
          <w:rFonts w:cs="Calibri"/>
          <w:szCs w:val="22"/>
        </w:rPr>
        <w:t xml:space="preserve"> other</w:t>
      </w:r>
      <w:r w:rsidR="00B00042">
        <w:rPr>
          <w:rFonts w:cs="Calibri"/>
          <w:szCs w:val="22"/>
        </w:rPr>
        <w:t xml:space="preserve"> </w:t>
      </w:r>
      <w:r w:rsidR="00AE00A3">
        <w:rPr>
          <w:rFonts w:cs="Calibri"/>
          <w:szCs w:val="22"/>
        </w:rPr>
        <w:t>adenovirus</w:t>
      </w:r>
      <w:r w:rsidR="006C4245">
        <w:rPr>
          <w:rFonts w:cs="Calibri"/>
          <w:szCs w:val="22"/>
        </w:rPr>
        <w:t>-vector based therapies with 14 days before or after instillation of the GMO</w:t>
      </w:r>
    </w:p>
    <w:p w14:paraId="18D959DC" w14:textId="4792690C" w:rsidR="00F56F02" w:rsidRPr="00F56F02" w:rsidRDefault="00F56F02" w:rsidP="00F56F02">
      <w:pPr>
        <w:numPr>
          <w:ilvl w:val="0"/>
          <w:numId w:val="86"/>
        </w:numPr>
        <w:spacing w:before="0" w:after="160" w:line="259" w:lineRule="auto"/>
        <w:rPr>
          <w:rFonts w:cs="Calibri"/>
          <w:szCs w:val="22"/>
        </w:rPr>
      </w:pPr>
      <w:r>
        <w:rPr>
          <w:rFonts w:cs="Calibri"/>
          <w:szCs w:val="22"/>
        </w:rPr>
        <w:t xml:space="preserve">Phase 3 trial only: </w:t>
      </w:r>
      <w:r w:rsidRPr="00F56F02">
        <w:rPr>
          <w:rFonts w:cs="Calibri"/>
          <w:szCs w:val="22"/>
        </w:rPr>
        <w:t xml:space="preserve">cannot hold instillation for 1 hour </w:t>
      </w:r>
    </w:p>
    <w:p w14:paraId="5F40D10D" w14:textId="39C7E5A0" w:rsidR="00F56F02" w:rsidRDefault="00F56F02" w:rsidP="00F56F02">
      <w:pPr>
        <w:numPr>
          <w:ilvl w:val="0"/>
          <w:numId w:val="86"/>
        </w:numPr>
        <w:spacing w:before="0" w:after="160" w:line="259" w:lineRule="auto"/>
        <w:rPr>
          <w:rFonts w:cs="Calibri"/>
          <w:szCs w:val="22"/>
        </w:rPr>
      </w:pPr>
      <w:r>
        <w:rPr>
          <w:rFonts w:cs="Calibri"/>
          <w:szCs w:val="22"/>
        </w:rPr>
        <w:t>Phase 3b trial only: have</w:t>
      </w:r>
      <w:r w:rsidRPr="00F56F02">
        <w:rPr>
          <w:rFonts w:cs="Calibri"/>
          <w:szCs w:val="22"/>
        </w:rPr>
        <w:t xml:space="preserve"> significant urinary incontinence or known bladder instability</w:t>
      </w:r>
    </w:p>
    <w:p w14:paraId="34E53F28" w14:textId="13CCB2E1" w:rsidR="00F56F02" w:rsidRPr="00F56F02" w:rsidRDefault="00F56F02" w:rsidP="00F56F02">
      <w:pPr>
        <w:numPr>
          <w:ilvl w:val="0"/>
          <w:numId w:val="86"/>
        </w:numPr>
        <w:spacing w:before="0" w:after="160" w:line="259" w:lineRule="auto"/>
        <w:rPr>
          <w:rFonts w:cs="Calibri"/>
          <w:szCs w:val="22"/>
        </w:rPr>
      </w:pPr>
      <w:r>
        <w:rPr>
          <w:rFonts w:cs="Calibri"/>
          <w:szCs w:val="22"/>
        </w:rPr>
        <w:t>Phase 3b trial only: have known active hepatitis B or C.</w:t>
      </w:r>
    </w:p>
    <w:p w14:paraId="283BF610" w14:textId="4FD3B971" w:rsidR="0001323A" w:rsidRPr="004E77CE" w:rsidRDefault="0001323A" w:rsidP="0001323A">
      <w:pPr>
        <w:pStyle w:val="RARMPnumberedparagraphs"/>
        <w:rPr>
          <w:color w:val="FF0000"/>
        </w:rPr>
      </w:pPr>
      <w:r w:rsidRPr="0001323A">
        <w:rPr>
          <w:rFonts w:eastAsia="Calibri"/>
          <w:lang w:eastAsia="en-US"/>
        </w:rPr>
        <w:t xml:space="preserve">In addition, </w:t>
      </w:r>
      <w:r w:rsidRPr="0001323A">
        <w:t>participants</w:t>
      </w:r>
      <w:r w:rsidRPr="0001323A">
        <w:rPr>
          <w:rFonts w:eastAsia="Calibri"/>
          <w:lang w:eastAsia="en-US"/>
        </w:rPr>
        <w:t xml:space="preserve"> may be excluded for any reason that, in the opinion of the investigator, makes the participant unsuitable for the study.</w:t>
      </w:r>
    </w:p>
    <w:p w14:paraId="4C8D5C3C" w14:textId="7AEC533E" w:rsidR="0066244D" w:rsidRDefault="0066244D" w:rsidP="00321D13">
      <w:pPr>
        <w:pStyle w:val="4RARMP"/>
      </w:pPr>
      <w:bookmarkStart w:id="127" w:name="_Ref216279175"/>
      <w:bookmarkEnd w:id="126"/>
      <w:r>
        <w:t>Preparation of the GMO for administration</w:t>
      </w:r>
      <w:bookmarkEnd w:id="127"/>
    </w:p>
    <w:p w14:paraId="1E8E4B20" w14:textId="02AAAE37" w:rsidR="00F1309D" w:rsidRPr="003B450F" w:rsidRDefault="003B450F" w:rsidP="003B450F">
      <w:pPr>
        <w:pStyle w:val="RARMPnumberedparagraphs"/>
        <w:rPr>
          <w:rFonts w:eastAsia="Calibri"/>
          <w:lang w:eastAsia="en-US"/>
        </w:rPr>
      </w:pPr>
      <w:bookmarkStart w:id="128" w:name="_Ref216019262"/>
      <w:r>
        <w:rPr>
          <w:rFonts w:eastAsia="Calibri"/>
          <w:lang w:eastAsia="en-US"/>
        </w:rPr>
        <w:t>Qualified personnel at the trial site (e.g. pharmacists) will prepare the GMO for administration. The applicant proposes that i</w:t>
      </w:r>
      <w:r w:rsidRPr="003B450F">
        <w:rPr>
          <w:rFonts w:eastAsia="Calibri"/>
          <w:lang w:eastAsia="en-US"/>
        </w:rPr>
        <w:t>ndividuals who are immunosuppressed, immune-deficient, or pregnant should not prepare, administer, or</w:t>
      </w:r>
      <w:r>
        <w:rPr>
          <w:rFonts w:eastAsia="Calibri"/>
          <w:lang w:eastAsia="en-US"/>
        </w:rPr>
        <w:t xml:space="preserve"> </w:t>
      </w:r>
      <w:proofErr w:type="gramStart"/>
      <w:r w:rsidRPr="003B450F">
        <w:rPr>
          <w:rFonts w:eastAsia="Calibri"/>
          <w:lang w:eastAsia="en-US"/>
        </w:rPr>
        <w:t>come into contact with</w:t>
      </w:r>
      <w:proofErr w:type="gramEnd"/>
      <w:r w:rsidRPr="003B450F">
        <w:rPr>
          <w:rFonts w:eastAsia="Calibri"/>
          <w:lang w:eastAsia="en-US"/>
        </w:rPr>
        <w:t xml:space="preserve"> </w:t>
      </w:r>
      <w:r>
        <w:rPr>
          <w:rFonts w:eastAsia="Calibri"/>
          <w:lang w:eastAsia="en-US"/>
        </w:rPr>
        <w:t>the GMO</w:t>
      </w:r>
      <w:r w:rsidR="00F1309D" w:rsidRPr="003B450F">
        <w:rPr>
          <w:rFonts w:eastAsia="Calibri"/>
          <w:lang w:eastAsia="en-US"/>
        </w:rPr>
        <w:t>.</w:t>
      </w:r>
      <w:bookmarkEnd w:id="128"/>
      <w:r w:rsidR="00F1309D" w:rsidRPr="003B450F">
        <w:rPr>
          <w:rFonts w:eastAsia="Calibri"/>
          <w:lang w:eastAsia="en-US"/>
        </w:rPr>
        <w:t xml:space="preserve"> </w:t>
      </w:r>
    </w:p>
    <w:p w14:paraId="61D37531" w14:textId="06240C15" w:rsidR="00467660" w:rsidRPr="007D34EC" w:rsidRDefault="003B450F" w:rsidP="00512073">
      <w:pPr>
        <w:pStyle w:val="RARMPnumberedparagraphs"/>
      </w:pPr>
      <w:r>
        <w:t>Preparation steps will be conducted using aseptic techniques in a Class 2 biological safety cabinet (BSC-2) or equivalent to ensure sterility of the product and personnel protection.</w:t>
      </w:r>
      <w:r w:rsidR="0050101F">
        <w:t xml:space="preserve"> </w:t>
      </w:r>
      <w:r w:rsidRPr="003B450F">
        <w:t xml:space="preserve">After thawing, the contents of each </w:t>
      </w:r>
      <w:r>
        <w:t xml:space="preserve">of the 4 </w:t>
      </w:r>
      <w:r w:rsidRPr="003B450F">
        <w:t>vial</w:t>
      </w:r>
      <w:r>
        <w:t>s</w:t>
      </w:r>
      <w:r w:rsidRPr="003B450F">
        <w:t xml:space="preserve"> </w:t>
      </w:r>
      <w:r>
        <w:t>is</w:t>
      </w:r>
      <w:r w:rsidRPr="003B450F">
        <w:t xml:space="preserve"> drawn into syringes</w:t>
      </w:r>
      <w:r>
        <w:t xml:space="preserve"> and diluted to a final instillation volume of 75 mL</w:t>
      </w:r>
      <w:r w:rsidR="00512073">
        <w:t xml:space="preserve"> (3 x 10</w:t>
      </w:r>
      <w:r w:rsidR="00512073" w:rsidRPr="00512073">
        <w:rPr>
          <w:vertAlign w:val="superscript"/>
        </w:rPr>
        <w:t>11</w:t>
      </w:r>
      <w:r w:rsidR="00512073">
        <w:t xml:space="preserve"> viral particles (</w:t>
      </w:r>
      <w:proofErr w:type="spellStart"/>
      <w:r w:rsidR="00512073">
        <w:t>vp</w:t>
      </w:r>
      <w:proofErr w:type="spellEnd"/>
      <w:r w:rsidR="00512073">
        <w:t>)/mL)</w:t>
      </w:r>
      <w:r>
        <w:t xml:space="preserve">. </w:t>
      </w:r>
      <w:r w:rsidR="00512073">
        <w:t>To prevent</w:t>
      </w:r>
      <w:r>
        <w:t xml:space="preserve"> needle stick injuries, vented vial adapters are used to transfer </w:t>
      </w:r>
      <w:r w:rsidR="00512073">
        <w:t>the GMO</w:t>
      </w:r>
      <w:r>
        <w:t xml:space="preserve"> from the vial to the syringe.</w:t>
      </w:r>
    </w:p>
    <w:p w14:paraId="66E2DE18" w14:textId="1BD54798" w:rsidR="0066244D" w:rsidRDefault="00512073" w:rsidP="00321D13">
      <w:pPr>
        <w:pStyle w:val="4RARMP"/>
      </w:pPr>
      <w:r>
        <w:t>Intravesical</w:t>
      </w:r>
      <w:r w:rsidR="00C60A70">
        <w:t xml:space="preserve"> </w:t>
      </w:r>
      <w:r w:rsidR="0066244D">
        <w:t>administration of the GMO</w:t>
      </w:r>
    </w:p>
    <w:p w14:paraId="1B0AC440" w14:textId="29711976" w:rsidR="007D34EC" w:rsidRDefault="0066244D" w:rsidP="00467660">
      <w:pPr>
        <w:pStyle w:val="RARMPnumberedparagraphs"/>
      </w:pPr>
      <w:r w:rsidRPr="0066244D">
        <w:t>The GM</w:t>
      </w:r>
      <w:r w:rsidR="003224CF">
        <w:t>O</w:t>
      </w:r>
      <w:r w:rsidRPr="0066244D">
        <w:t xml:space="preserve"> </w:t>
      </w:r>
      <w:r w:rsidR="00661781">
        <w:t>would</w:t>
      </w:r>
      <w:r w:rsidR="00661781" w:rsidRPr="0066244D">
        <w:t xml:space="preserve"> </w:t>
      </w:r>
      <w:r w:rsidRPr="0066244D">
        <w:t xml:space="preserve">be administered </w:t>
      </w:r>
      <w:r w:rsidR="00740734">
        <w:t xml:space="preserve">via </w:t>
      </w:r>
      <w:r w:rsidR="00512073">
        <w:t>intravesical administration</w:t>
      </w:r>
      <w:r w:rsidRPr="0066244D">
        <w:t xml:space="preserve"> at clinical trial sites. </w:t>
      </w:r>
      <w:r w:rsidR="007D34EC">
        <w:t xml:space="preserve">The </w:t>
      </w:r>
      <w:r w:rsidR="00512073">
        <w:t>intravesical</w:t>
      </w:r>
      <w:r w:rsidR="007D34EC">
        <w:t xml:space="preserve"> administration </w:t>
      </w:r>
      <w:r w:rsidR="00661781">
        <w:t xml:space="preserve">would </w:t>
      </w:r>
      <w:r w:rsidR="007D34EC">
        <w:t xml:space="preserve">be carried out by </w:t>
      </w:r>
      <w:r w:rsidR="00512073">
        <w:t>appropriately trained clinical trial personnel (e.g. clinicians or nurses)</w:t>
      </w:r>
      <w:r w:rsidR="007D34EC">
        <w:t xml:space="preserve"> who would be wearing appropriate PPE </w:t>
      </w:r>
      <w:r w:rsidR="00512073">
        <w:t>including g</w:t>
      </w:r>
      <w:r w:rsidR="00512073" w:rsidRPr="00512073">
        <w:t>loves, eye wear (safety glasses, goggles or face shields) and lab scrubs/gowns</w:t>
      </w:r>
      <w:r w:rsidR="007D34EC">
        <w:t xml:space="preserve">. </w:t>
      </w:r>
    </w:p>
    <w:p w14:paraId="702FFAAD" w14:textId="6BBB218A" w:rsidR="007A3403" w:rsidRDefault="00512073" w:rsidP="00A81C7E">
      <w:pPr>
        <w:pStyle w:val="RARMPnumberedparagraphs"/>
      </w:pPr>
      <w:r>
        <w:t xml:space="preserve">The GMO solution (75 mL) will be instilled into the bladder </w:t>
      </w:r>
      <w:r w:rsidR="006550F5">
        <w:t xml:space="preserve">via a </w:t>
      </w:r>
      <w:r w:rsidR="006550F5" w:rsidRPr="006550F5">
        <w:t xml:space="preserve">urinary catheter </w:t>
      </w:r>
      <w:r>
        <w:t xml:space="preserve">followed by 1 hour dwell time during which the participant will be repositioned </w:t>
      </w:r>
      <w:r w:rsidR="00A81C7E">
        <w:t xml:space="preserve">every 15 minutes </w:t>
      </w:r>
      <w:r>
        <w:t>from left to right, back and abdomen to maximise</w:t>
      </w:r>
      <w:r w:rsidR="00A81C7E">
        <w:t xml:space="preserve"> </w:t>
      </w:r>
      <w:r>
        <w:t>bladder surface exposure.</w:t>
      </w:r>
      <w:r w:rsidR="00414A33">
        <w:t xml:space="preserve"> </w:t>
      </w:r>
      <w:r w:rsidR="00FB1172" w:rsidRPr="00FB1172">
        <w:t>The entire process is managed in an outpatient setting</w:t>
      </w:r>
      <w:r w:rsidR="00FB1172">
        <w:t xml:space="preserve">, </w:t>
      </w:r>
      <w:r w:rsidR="00FB1172" w:rsidRPr="00FB1172">
        <w:t>amounting to roughly 2 to 2.5 hours in total</w:t>
      </w:r>
      <w:r w:rsidR="00FB1172">
        <w:t xml:space="preserve"> </w:t>
      </w:r>
      <w:r w:rsidR="00FB1172" w:rsidRPr="00FB1172">
        <w:t xml:space="preserve">per visit </w:t>
      </w:r>
      <w:r w:rsidR="00FB1172">
        <w:t>for trial participants.</w:t>
      </w:r>
    </w:p>
    <w:p w14:paraId="0C66A9A2" w14:textId="77777777" w:rsidR="00467660" w:rsidRDefault="00467660" w:rsidP="00321D13">
      <w:pPr>
        <w:pStyle w:val="4RARMP"/>
      </w:pPr>
      <w:r>
        <w:t>Decontamination and disposal of the GMO</w:t>
      </w:r>
    </w:p>
    <w:p w14:paraId="655BABA1" w14:textId="65D88A48" w:rsidR="002D117A" w:rsidRPr="002D117A" w:rsidRDefault="00467660" w:rsidP="00512073">
      <w:pPr>
        <w:pStyle w:val="RARMPnumberedparagraphs"/>
      </w:pPr>
      <w:r w:rsidRPr="0066244D">
        <w:t xml:space="preserve">Following administration, all residual </w:t>
      </w:r>
      <w:r w:rsidR="007C3C2F">
        <w:t xml:space="preserve">GMO </w:t>
      </w:r>
      <w:r w:rsidRPr="0066244D">
        <w:t>and associated waste which has</w:t>
      </w:r>
      <w:r w:rsidR="007C3C2F">
        <w:t xml:space="preserve"> </w:t>
      </w:r>
      <w:proofErr w:type="gramStart"/>
      <w:r w:rsidR="007C3C2F">
        <w:t>come into contact with</w:t>
      </w:r>
      <w:proofErr w:type="gramEnd"/>
      <w:r w:rsidR="007C3C2F">
        <w:t xml:space="preserve"> the GMO </w:t>
      </w:r>
      <w:r w:rsidRPr="0066244D">
        <w:t>w</w:t>
      </w:r>
      <w:r w:rsidR="00F47982">
        <w:t>ou</w:t>
      </w:r>
      <w:r w:rsidRPr="0066244D">
        <w:t>l</w:t>
      </w:r>
      <w:r w:rsidR="00F47982">
        <w:t>d</w:t>
      </w:r>
      <w:r w:rsidRPr="0066244D">
        <w:t xml:space="preserve"> be </w:t>
      </w:r>
      <w:r w:rsidR="007C3C2F">
        <w:t xml:space="preserve">disposed </w:t>
      </w:r>
      <w:r w:rsidR="00F47982">
        <w:t xml:space="preserve">of </w:t>
      </w:r>
      <w:r w:rsidR="007C3C2F" w:rsidRPr="0066244D">
        <w:t>in accordance with the relevant State and Territory legislat</w:t>
      </w:r>
      <w:r w:rsidR="00CB0BE4">
        <w:t>e</w:t>
      </w:r>
      <w:r w:rsidR="00423C2D">
        <w:t>d</w:t>
      </w:r>
      <w:r w:rsidR="007C3C2F" w:rsidRPr="0066244D">
        <w:t xml:space="preserve"> procedures for clinical/medical waste disposal</w:t>
      </w:r>
      <w:r w:rsidR="009B5605">
        <w:t>,</w:t>
      </w:r>
      <w:r w:rsidR="007C3C2F" w:rsidRPr="0066244D">
        <w:t xml:space="preserve"> </w:t>
      </w:r>
      <w:r w:rsidR="00F47982">
        <w:t>which can include</w:t>
      </w:r>
      <w:r w:rsidR="007C3C2F" w:rsidRPr="0066244D">
        <w:t xml:space="preserve"> high temperature incineration</w:t>
      </w:r>
      <w:r w:rsidRPr="0066244D">
        <w:t xml:space="preserve">. </w:t>
      </w:r>
      <w:r w:rsidR="00CD4131">
        <w:t>A</w:t>
      </w:r>
      <w:r w:rsidR="007C3C2F">
        <w:t xml:space="preserve">ny </w:t>
      </w:r>
      <w:r w:rsidRPr="0066244D">
        <w:t xml:space="preserve">unused </w:t>
      </w:r>
      <w:r w:rsidR="00AC2564">
        <w:t>vials of the</w:t>
      </w:r>
      <w:r w:rsidRPr="0066244D">
        <w:t xml:space="preserve"> GM</w:t>
      </w:r>
      <w:r w:rsidR="007C3C2F">
        <w:t>O</w:t>
      </w:r>
      <w:r w:rsidRPr="0066244D">
        <w:t xml:space="preserve"> </w:t>
      </w:r>
      <w:r w:rsidR="00E54946">
        <w:t>w</w:t>
      </w:r>
      <w:r w:rsidR="00665948">
        <w:t>ould</w:t>
      </w:r>
      <w:r w:rsidRPr="0066244D">
        <w:t xml:space="preserve"> be </w:t>
      </w:r>
      <w:r w:rsidR="00701CC0">
        <w:t xml:space="preserve">also </w:t>
      </w:r>
      <w:r w:rsidRPr="0066244D">
        <w:t xml:space="preserve">disposed </w:t>
      </w:r>
      <w:r w:rsidR="00D7118A">
        <w:t xml:space="preserve">of </w:t>
      </w:r>
      <w:r w:rsidR="00701CC0">
        <w:t xml:space="preserve">using </w:t>
      </w:r>
      <w:r w:rsidR="00CD4131">
        <w:t>the same process.</w:t>
      </w:r>
      <w:r w:rsidR="007C3C2F">
        <w:t xml:space="preserve"> Disposal </w:t>
      </w:r>
      <w:r w:rsidR="00E54946">
        <w:t>w</w:t>
      </w:r>
      <w:r w:rsidR="00665948">
        <w:t>ould</w:t>
      </w:r>
      <w:r w:rsidR="007C3C2F">
        <w:t xml:space="preserve"> be carried out by external service providers</w:t>
      </w:r>
      <w:r w:rsidR="00AE18AA">
        <w:t xml:space="preserve"> via the clinical waste stream</w:t>
      </w:r>
      <w:r>
        <w:t>.</w:t>
      </w:r>
    </w:p>
    <w:p w14:paraId="1B113B9D" w14:textId="539B1558" w:rsidR="007C3C2F" w:rsidRDefault="00C04501" w:rsidP="00467660">
      <w:pPr>
        <w:pStyle w:val="RARMPnumberedparagraphs"/>
      </w:pPr>
      <w:r>
        <w:t xml:space="preserve">Any surfaces or equipment that </w:t>
      </w:r>
      <w:proofErr w:type="gramStart"/>
      <w:r>
        <w:t>come into contact with</w:t>
      </w:r>
      <w:proofErr w:type="gramEnd"/>
      <w:r>
        <w:t xml:space="preserve"> the GMO will be decontaminated using an effective disinfectant, including </w:t>
      </w:r>
      <w:r w:rsidRPr="00C04501">
        <w:t>0.25% p</w:t>
      </w:r>
      <w:r w:rsidR="0098338F">
        <w:t>e</w:t>
      </w:r>
      <w:r w:rsidRPr="00C04501">
        <w:t>racetic acid, iodine, 10% bleach</w:t>
      </w:r>
      <w:r>
        <w:t xml:space="preserve"> or </w:t>
      </w:r>
      <w:r w:rsidRPr="00C04501">
        <w:t>0.5 % sodium hypochlorite</w:t>
      </w:r>
      <w:r>
        <w:t>.</w:t>
      </w:r>
    </w:p>
    <w:p w14:paraId="0FAF3873" w14:textId="5552C6A4" w:rsidR="00A81C7E" w:rsidRPr="00467660" w:rsidRDefault="00A81C7E" w:rsidP="00A81C7E">
      <w:pPr>
        <w:pStyle w:val="RARMPnumberedparagraphs"/>
      </w:pPr>
      <w:r>
        <w:t>As there may be transient, low-level shedding of the GMO in urine for several days after administration, for 2 days after instillation the participants will be instructed to add an equal volume of virucidal agent to the toilet bowl prior to voiding and wait 15 minutes before flushing the toilet.</w:t>
      </w:r>
    </w:p>
    <w:p w14:paraId="40062206" w14:textId="7BE72A28" w:rsidR="0066244D" w:rsidRDefault="0066244D" w:rsidP="00321D13">
      <w:pPr>
        <w:pStyle w:val="4RARMP"/>
      </w:pPr>
      <w:r>
        <w:t>Sample collection and analysis</w:t>
      </w:r>
    </w:p>
    <w:p w14:paraId="656B45D1" w14:textId="0E7B5EA3" w:rsidR="00467660" w:rsidRDefault="00CA6E01" w:rsidP="00467660">
      <w:pPr>
        <w:pStyle w:val="RARMPnumberedparagraphs"/>
      </w:pPr>
      <w:r>
        <w:t xml:space="preserve">Biological samples </w:t>
      </w:r>
      <w:r w:rsidR="00482286">
        <w:t>such as blood</w:t>
      </w:r>
      <w:r w:rsidR="00A1391E">
        <w:t xml:space="preserve">, urine, </w:t>
      </w:r>
      <w:r w:rsidR="0010495F">
        <w:t>and tissue biopsies (bladder and/or prostatic urethra) for disease evaluation and pregnancy testing (if clinically indicated) will be collected prior to each dose of the GMO.</w:t>
      </w:r>
    </w:p>
    <w:p w14:paraId="105EBDB3" w14:textId="0EDD6EE1" w:rsidR="0010495F" w:rsidRDefault="0010495F" w:rsidP="00467660">
      <w:pPr>
        <w:pStyle w:val="RARMPnumberedparagraphs"/>
      </w:pPr>
      <w:r>
        <w:t>The s</w:t>
      </w:r>
      <w:r w:rsidRPr="0010495F">
        <w:t>amples will be collected by clinicians</w:t>
      </w:r>
      <w:r>
        <w:t xml:space="preserve"> or </w:t>
      </w:r>
      <w:r w:rsidRPr="0010495F">
        <w:t xml:space="preserve">nurses at participating sites as per </w:t>
      </w:r>
      <w:r w:rsidR="00FF5669">
        <w:t xml:space="preserve">the </w:t>
      </w:r>
      <w:r w:rsidRPr="0010495F">
        <w:t>site’s standard operating procedures</w:t>
      </w:r>
      <w:r w:rsidR="00FF5669">
        <w:t xml:space="preserve">, including while wearing PPE such as </w:t>
      </w:r>
      <w:r w:rsidR="00FF5669" w:rsidRPr="00FF5669">
        <w:t xml:space="preserve">gloves, mask and eye wear </w:t>
      </w:r>
      <w:r w:rsidR="00FF5669">
        <w:lastRenderedPageBreak/>
        <w:t>(</w:t>
      </w:r>
      <w:r w:rsidR="00FF5669" w:rsidRPr="00FF5669">
        <w:t>safety glasses, googles or face shields</w:t>
      </w:r>
      <w:r w:rsidR="00FF5669">
        <w:t>). In addition,</w:t>
      </w:r>
      <w:r>
        <w:t xml:space="preserve"> a </w:t>
      </w:r>
      <w:r w:rsidRPr="0010495F">
        <w:t>trial-specific laboratory manual will be provided to the participating sites</w:t>
      </w:r>
      <w:r>
        <w:t xml:space="preserve"> </w:t>
      </w:r>
      <w:r w:rsidRPr="0010495F">
        <w:t>describing in detail how to handle, store and transport the biological samples</w:t>
      </w:r>
      <w:r>
        <w:t>.</w:t>
      </w:r>
    </w:p>
    <w:p w14:paraId="6E4946E0" w14:textId="118BF456" w:rsidR="00467660" w:rsidRDefault="00467660" w:rsidP="00467660">
      <w:pPr>
        <w:pStyle w:val="RARMPnumberedparagraphs"/>
      </w:pPr>
      <w:r>
        <w:t xml:space="preserve">After collection, </w:t>
      </w:r>
      <w:r w:rsidR="005355D9">
        <w:t>clinical site staff may need to process the samples according to the study protocol</w:t>
      </w:r>
      <w:r>
        <w:t>.</w:t>
      </w:r>
      <w:r w:rsidR="00B4044E">
        <w:t xml:space="preserve"> All sample processing </w:t>
      </w:r>
      <w:r w:rsidR="00EE7EDC">
        <w:t xml:space="preserve">steps </w:t>
      </w:r>
      <w:r w:rsidR="00DB592B">
        <w:t xml:space="preserve">would </w:t>
      </w:r>
      <w:r w:rsidR="00EE7EDC">
        <w:t xml:space="preserve">be performed following appropriate safety precautions and in compliance with </w:t>
      </w:r>
      <w:r w:rsidR="009E477C">
        <w:t xml:space="preserve">standard clinical pathology procedures </w:t>
      </w:r>
      <w:r w:rsidR="00535E00">
        <w:t xml:space="preserve">or other relevant guidelines. </w:t>
      </w:r>
    </w:p>
    <w:p w14:paraId="293D3B8F" w14:textId="68D4D0EF" w:rsidR="00535E00" w:rsidRDefault="0010495F" w:rsidP="00467660">
      <w:pPr>
        <w:pStyle w:val="RARMPnumberedparagraphs"/>
      </w:pPr>
      <w:r>
        <w:t>Samples may be analysed at the clinical trial sites, transported to a central</w:t>
      </w:r>
      <w:r w:rsidR="000353A8">
        <w:t xml:space="preserve"> laboratory </w:t>
      </w:r>
      <w:r w:rsidR="00C62988">
        <w:t xml:space="preserve">in Australia </w:t>
      </w:r>
      <w:r w:rsidR="000353A8">
        <w:t xml:space="preserve">or exported </w:t>
      </w:r>
      <w:r w:rsidR="009F15CE">
        <w:t xml:space="preserve">for analysis. </w:t>
      </w:r>
    </w:p>
    <w:p w14:paraId="458C42AB" w14:textId="567D6977" w:rsidR="0066244D" w:rsidRPr="00FF5669" w:rsidRDefault="0066244D" w:rsidP="00321D13">
      <w:pPr>
        <w:pStyle w:val="4RARMP"/>
      </w:pPr>
      <w:r w:rsidRPr="00FF5669">
        <w:t>Personal protective clothing</w:t>
      </w:r>
    </w:p>
    <w:p w14:paraId="10CB6568" w14:textId="411F490D" w:rsidR="00420205" w:rsidRDefault="00420205" w:rsidP="00420205">
      <w:pPr>
        <w:pStyle w:val="RARMPnumberedparagraphs"/>
      </w:pPr>
      <w:r>
        <w:t xml:space="preserve">Clinical trial staff </w:t>
      </w:r>
      <w:r w:rsidR="00F47982">
        <w:t>involved in the preparation</w:t>
      </w:r>
      <w:r w:rsidR="00C62988">
        <w:t xml:space="preserve"> and </w:t>
      </w:r>
      <w:r>
        <w:t xml:space="preserve">administration of the GMO to trial participants and </w:t>
      </w:r>
      <w:r w:rsidR="00F47982">
        <w:t xml:space="preserve">in the </w:t>
      </w:r>
      <w:r>
        <w:t xml:space="preserve">clean-up of spills </w:t>
      </w:r>
      <w:r w:rsidR="00E54946">
        <w:t>w</w:t>
      </w:r>
      <w:r w:rsidR="00F47982">
        <w:t>ould</w:t>
      </w:r>
      <w:r>
        <w:t xml:space="preserve"> wear </w:t>
      </w:r>
      <w:r w:rsidR="00A759FF">
        <w:t>PPE</w:t>
      </w:r>
      <w:r w:rsidR="00512073">
        <w:t xml:space="preserve">, for example </w:t>
      </w:r>
      <w:r w:rsidR="00A759FF" w:rsidRPr="00A759FF">
        <w:t xml:space="preserve">gloves, gown, plastic apron, surgical mask, </w:t>
      </w:r>
      <w:r w:rsidR="00512073">
        <w:t>and eye wear (safety glasses, goggles or face shield)</w:t>
      </w:r>
      <w:r>
        <w:t xml:space="preserve">. </w:t>
      </w:r>
    </w:p>
    <w:p w14:paraId="3754D312" w14:textId="58B5B46F" w:rsidR="0066244D" w:rsidRPr="00FF5669" w:rsidRDefault="0066244D" w:rsidP="00321D13">
      <w:pPr>
        <w:pStyle w:val="4RARMP"/>
      </w:pPr>
      <w:bookmarkStart w:id="129" w:name="_Ref66355079"/>
      <w:r w:rsidRPr="00FF5669">
        <w:t>Training</w:t>
      </w:r>
      <w:bookmarkEnd w:id="129"/>
    </w:p>
    <w:p w14:paraId="1F7E2D36" w14:textId="09F53274" w:rsidR="00215EFE" w:rsidRDefault="00215EFE" w:rsidP="00CD4131">
      <w:pPr>
        <w:pStyle w:val="RARMPnumberedparagraphs"/>
      </w:pPr>
      <w:r>
        <w:t xml:space="preserve">If the licence is issued, </w:t>
      </w:r>
      <w:r w:rsidR="00A759FF">
        <w:t>Ferring</w:t>
      </w:r>
      <w:r>
        <w:t xml:space="preserve"> would have responsibility for ensuring training of personnel and compliance with licence conditions. </w:t>
      </w:r>
    </w:p>
    <w:p w14:paraId="0956D53E" w14:textId="5D2B685B" w:rsidR="003E1F9E" w:rsidRDefault="003E1F9E" w:rsidP="00CD4131">
      <w:pPr>
        <w:pStyle w:val="RARMPnumberedparagraphs"/>
      </w:pPr>
      <w:r>
        <w:t xml:space="preserve">The applicant has </w:t>
      </w:r>
      <w:r w:rsidR="00C62988">
        <w:t xml:space="preserve">indicated </w:t>
      </w:r>
      <w:r>
        <w:t>that appropriate training (e.g. training i</w:t>
      </w:r>
      <w:r w:rsidR="00DE1360">
        <w:t>n</w:t>
      </w:r>
      <w:r>
        <w:t xml:space="preserve"> all procedures specific to the GMO including preparation</w:t>
      </w:r>
      <w:r w:rsidR="00B444FE">
        <w:t xml:space="preserve">, handling, administration, spill procedures, containment and disposal etc.) materials </w:t>
      </w:r>
      <w:r w:rsidR="00181A35">
        <w:t xml:space="preserve">would </w:t>
      </w:r>
      <w:r w:rsidR="00B444FE">
        <w:t xml:space="preserve">be provided to all </w:t>
      </w:r>
      <w:r w:rsidR="00B20748">
        <w:t xml:space="preserve">personnel involved in the trial. </w:t>
      </w:r>
    </w:p>
    <w:p w14:paraId="4DD7EAA7" w14:textId="38855901" w:rsidR="00CD4131" w:rsidRPr="00B0496A" w:rsidRDefault="00296264" w:rsidP="00CD4131">
      <w:pPr>
        <w:pStyle w:val="RARMPnumberedparagraphs"/>
      </w:pPr>
      <w:r>
        <w:t xml:space="preserve">The doses of GMO </w:t>
      </w:r>
      <w:r w:rsidR="00181A35">
        <w:t xml:space="preserve">would </w:t>
      </w:r>
      <w:r>
        <w:t xml:space="preserve">be prepared by trained </w:t>
      </w:r>
      <w:r w:rsidR="00DA2010">
        <w:t>pharmacists or pharmacy technicians in a BSC-2</w:t>
      </w:r>
      <w:r w:rsidR="000E56D4">
        <w:t>. Those staff would be trained on the preparation of the GMO and handling of sharps to minimise the likelihood of exposure.</w:t>
      </w:r>
    </w:p>
    <w:p w14:paraId="37B84004" w14:textId="6A42A324" w:rsidR="00DD3088" w:rsidRDefault="0066244D" w:rsidP="00321D13">
      <w:pPr>
        <w:pStyle w:val="4RARMP"/>
      </w:pPr>
      <w:r>
        <w:t>Accountability and Monitoring</w:t>
      </w:r>
    </w:p>
    <w:p w14:paraId="7C0B47D8" w14:textId="211EFEE8" w:rsidR="005153A1" w:rsidRPr="005153A1" w:rsidRDefault="00BC7478" w:rsidP="007C3C2F">
      <w:pPr>
        <w:pStyle w:val="RARMPnumberedparagraphs"/>
      </w:pPr>
      <w:r>
        <w:rPr>
          <w:bCs/>
          <w:lang w:val="en-US"/>
        </w:rPr>
        <w:t xml:space="preserve">The applicant has proposed that trial participants </w:t>
      </w:r>
      <w:r w:rsidR="00181A35">
        <w:rPr>
          <w:bCs/>
          <w:lang w:val="en-US"/>
        </w:rPr>
        <w:t xml:space="preserve">would </w:t>
      </w:r>
      <w:r>
        <w:rPr>
          <w:bCs/>
          <w:lang w:val="en-US"/>
        </w:rPr>
        <w:t xml:space="preserve">be instructed to monitor themselves for </w:t>
      </w:r>
      <w:r w:rsidR="00A8337B">
        <w:rPr>
          <w:bCs/>
          <w:lang w:val="en-US"/>
        </w:rPr>
        <w:t xml:space="preserve">signs of infection or adverse reactions such as fever, </w:t>
      </w:r>
      <w:r w:rsidR="00407D19">
        <w:rPr>
          <w:bCs/>
          <w:lang w:val="en-US"/>
        </w:rPr>
        <w:t>flu-like symptoms or injection site reactions</w:t>
      </w:r>
      <w:r w:rsidR="00AC2564">
        <w:rPr>
          <w:bCs/>
          <w:lang w:val="en-US"/>
        </w:rPr>
        <w:t>.</w:t>
      </w:r>
    </w:p>
    <w:p w14:paraId="19797D0A" w14:textId="278CBB49" w:rsidR="007C3C2F" w:rsidRPr="00CD4131" w:rsidRDefault="005153A1" w:rsidP="007C3C2F">
      <w:pPr>
        <w:pStyle w:val="RARMPnumberedparagraphs"/>
      </w:pPr>
      <w:r>
        <w:rPr>
          <w:bCs/>
          <w:lang w:val="en-US"/>
        </w:rPr>
        <w:t xml:space="preserve">Any unintended exposure to the GMO through injury or direct contact would be reported to the Regulator. </w:t>
      </w:r>
      <w:r w:rsidR="00AC2564">
        <w:rPr>
          <w:bCs/>
          <w:lang w:val="en-US"/>
        </w:rPr>
        <w:t xml:space="preserve"> </w:t>
      </w:r>
    </w:p>
    <w:p w14:paraId="4582F23D" w14:textId="47571BB1" w:rsidR="00CD4131" w:rsidRPr="00FF5669" w:rsidRDefault="00CD4131" w:rsidP="00321D13">
      <w:pPr>
        <w:pStyle w:val="4RARMP"/>
      </w:pPr>
      <w:r w:rsidRPr="00FF5669">
        <w:t>Contingency plans</w:t>
      </w:r>
    </w:p>
    <w:p w14:paraId="0283EFA9" w14:textId="019F9738" w:rsidR="00CC67E8" w:rsidRDefault="00611489" w:rsidP="002A3513">
      <w:pPr>
        <w:pStyle w:val="RARMPnumberedparagraphs"/>
      </w:pPr>
      <w:r>
        <w:t xml:space="preserve">In the event of </w:t>
      </w:r>
      <w:r w:rsidR="001312BF">
        <w:t>exposure of people to the GMO via sharps injury or contact with broken skin, the applicant p</w:t>
      </w:r>
      <w:r w:rsidR="002026A9">
        <w:t xml:space="preserve">roposes </w:t>
      </w:r>
      <w:r w:rsidR="00D46357">
        <w:t xml:space="preserve">such persons </w:t>
      </w:r>
      <w:r w:rsidR="003846D0">
        <w:t xml:space="preserve">would </w:t>
      </w:r>
      <w:r w:rsidR="00D46357">
        <w:t>be instructed to</w:t>
      </w:r>
      <w:r w:rsidR="002A3513">
        <w:t xml:space="preserve"> i</w:t>
      </w:r>
      <w:r w:rsidR="00D46357">
        <w:t xml:space="preserve">mplement institutional </w:t>
      </w:r>
      <w:r w:rsidR="00CC67E8">
        <w:t>needlestick or exposure guidelines</w:t>
      </w:r>
      <w:r w:rsidR="002A3513">
        <w:t>, which may include the following:</w:t>
      </w:r>
    </w:p>
    <w:p w14:paraId="55745112" w14:textId="259D18C2" w:rsidR="002A3513" w:rsidRDefault="00DE1360" w:rsidP="00D46357">
      <w:pPr>
        <w:pStyle w:val="RARMPnumberedparagraphs"/>
        <w:numPr>
          <w:ilvl w:val="1"/>
          <w:numId w:val="5"/>
        </w:numPr>
      </w:pPr>
      <w:r>
        <w:t>e</w:t>
      </w:r>
      <w:r w:rsidR="002A3513">
        <w:t xml:space="preserve">ncourage bleeding at the </w:t>
      </w:r>
      <w:proofErr w:type="gramStart"/>
      <w:r w:rsidR="002A3513">
        <w:t>site;</w:t>
      </w:r>
      <w:proofErr w:type="gramEnd"/>
    </w:p>
    <w:p w14:paraId="488F41CF" w14:textId="456C8F65" w:rsidR="00CC67E8" w:rsidRDefault="00DE1360" w:rsidP="00D46357">
      <w:pPr>
        <w:pStyle w:val="RARMPnumberedparagraphs"/>
        <w:numPr>
          <w:ilvl w:val="1"/>
          <w:numId w:val="5"/>
        </w:numPr>
      </w:pPr>
      <w:r>
        <w:t>w</w:t>
      </w:r>
      <w:r w:rsidR="00CC67E8">
        <w:t xml:space="preserve">ash the area thoroughly with soap and </w:t>
      </w:r>
      <w:proofErr w:type="gramStart"/>
      <w:r w:rsidR="00CC67E8">
        <w:t>water;</w:t>
      </w:r>
      <w:proofErr w:type="gramEnd"/>
    </w:p>
    <w:p w14:paraId="24831F98" w14:textId="31DD2092" w:rsidR="0030179B" w:rsidRDefault="00DE1360" w:rsidP="00D46357">
      <w:pPr>
        <w:pStyle w:val="RARMPnumberedparagraphs"/>
        <w:numPr>
          <w:ilvl w:val="1"/>
          <w:numId w:val="5"/>
        </w:numPr>
      </w:pPr>
      <w:r>
        <w:t>s</w:t>
      </w:r>
      <w:r w:rsidR="002A3513">
        <w:t>eek appropriate medical attention</w:t>
      </w:r>
      <w:r w:rsidR="0030179B">
        <w:t>;</w:t>
      </w:r>
      <w:r w:rsidR="0045169F">
        <w:t xml:space="preserve"> and</w:t>
      </w:r>
    </w:p>
    <w:p w14:paraId="319FEDDB" w14:textId="0B375F74" w:rsidR="00CD4131" w:rsidRDefault="00DE1360" w:rsidP="00D46357">
      <w:pPr>
        <w:pStyle w:val="RARMPnumberedparagraphs"/>
        <w:numPr>
          <w:ilvl w:val="1"/>
          <w:numId w:val="5"/>
        </w:numPr>
      </w:pPr>
      <w:r>
        <w:t>r</w:t>
      </w:r>
      <w:r w:rsidR="0030179B">
        <w:t xml:space="preserve">eport the incident to the </w:t>
      </w:r>
      <w:r w:rsidR="002A3513">
        <w:t xml:space="preserve">principal investigator, who will inform the </w:t>
      </w:r>
      <w:r w:rsidR="00AD384B">
        <w:t xml:space="preserve">licence holder, </w:t>
      </w:r>
      <w:r w:rsidR="002A3513">
        <w:t>who will notify the Regulator</w:t>
      </w:r>
      <w:r w:rsidR="00CD4131">
        <w:t>.</w:t>
      </w:r>
    </w:p>
    <w:p w14:paraId="526C7114" w14:textId="6A62C477" w:rsidR="00D3674C" w:rsidRDefault="005D238F" w:rsidP="00D3674C">
      <w:pPr>
        <w:pStyle w:val="RARMPnumberedparagraphs"/>
      </w:pPr>
      <w:r>
        <w:t xml:space="preserve">In the event of unintentional release of the GMO </w:t>
      </w:r>
      <w:r w:rsidR="00F76609">
        <w:t xml:space="preserve">due to spills, </w:t>
      </w:r>
      <w:r w:rsidR="002134C2">
        <w:t xml:space="preserve">personnel </w:t>
      </w:r>
      <w:r w:rsidR="003846D0">
        <w:t xml:space="preserve">would </w:t>
      </w:r>
      <w:r w:rsidR="002134C2">
        <w:t>be instr</w:t>
      </w:r>
      <w:r w:rsidR="00230B7C">
        <w:t xml:space="preserve">ucted to follow spill management procedures, including </w:t>
      </w:r>
      <w:proofErr w:type="gramStart"/>
      <w:r w:rsidR="00230B7C">
        <w:t>that;</w:t>
      </w:r>
      <w:proofErr w:type="gramEnd"/>
    </w:p>
    <w:p w14:paraId="20260745" w14:textId="66559385" w:rsidR="00230B7C" w:rsidRDefault="00DE1360" w:rsidP="00230B7C">
      <w:pPr>
        <w:pStyle w:val="RARMPnumberedparagraphs"/>
        <w:numPr>
          <w:ilvl w:val="1"/>
          <w:numId w:val="5"/>
        </w:numPr>
      </w:pPr>
      <w:r>
        <w:t>t</w:t>
      </w:r>
      <w:r w:rsidR="00230B7C">
        <w:t xml:space="preserve">he GMO will be contained to prevent further </w:t>
      </w:r>
      <w:proofErr w:type="gramStart"/>
      <w:r w:rsidR="00230B7C">
        <w:t>dispersal;</w:t>
      </w:r>
      <w:proofErr w:type="gramEnd"/>
    </w:p>
    <w:p w14:paraId="0E3A3C2D" w14:textId="7C093FDC" w:rsidR="00230B7C" w:rsidRDefault="00DE1360" w:rsidP="00230B7C">
      <w:pPr>
        <w:pStyle w:val="RARMPnumberedparagraphs"/>
        <w:numPr>
          <w:ilvl w:val="1"/>
          <w:numId w:val="5"/>
        </w:numPr>
      </w:pPr>
      <w:r>
        <w:t>p</w:t>
      </w:r>
      <w:r w:rsidR="00230B7C">
        <w:t>ersons cleaning up the GMO will wear PPE</w:t>
      </w:r>
      <w:r w:rsidR="00125BDC">
        <w:t xml:space="preserve"> including gloves, gown, </w:t>
      </w:r>
      <w:r w:rsidR="002A3513">
        <w:t>plastic apron, surgical mask</w:t>
      </w:r>
      <w:r w:rsidR="00125BDC">
        <w:t xml:space="preserve">, and </w:t>
      </w:r>
      <w:r w:rsidR="002A3513">
        <w:t>eye shield</w:t>
      </w:r>
      <w:r w:rsidR="00125BDC">
        <w:t xml:space="preserve"> or </w:t>
      </w:r>
      <w:proofErr w:type="gramStart"/>
      <w:r w:rsidR="002A3513">
        <w:t>goggles</w:t>
      </w:r>
      <w:r w:rsidR="00125BDC">
        <w:t>;</w:t>
      </w:r>
      <w:proofErr w:type="gramEnd"/>
    </w:p>
    <w:p w14:paraId="22BA9FD6" w14:textId="09E3E65E" w:rsidR="00125BDC" w:rsidRDefault="00DE1360" w:rsidP="00230B7C">
      <w:pPr>
        <w:pStyle w:val="RARMPnumberedparagraphs"/>
        <w:numPr>
          <w:ilvl w:val="1"/>
          <w:numId w:val="5"/>
        </w:numPr>
      </w:pPr>
      <w:r>
        <w:t>t</w:t>
      </w:r>
      <w:r w:rsidR="00C442D1">
        <w:t xml:space="preserve">he exposed area will be decontaminated with an appropriate chemical disinfectant effective against the </w:t>
      </w:r>
      <w:proofErr w:type="gramStart"/>
      <w:r w:rsidR="00C442D1">
        <w:t>GMO;</w:t>
      </w:r>
      <w:proofErr w:type="gramEnd"/>
    </w:p>
    <w:p w14:paraId="531BF8DC" w14:textId="243707FE" w:rsidR="00C442D1" w:rsidRDefault="00DE1360" w:rsidP="00230B7C">
      <w:pPr>
        <w:pStyle w:val="RARMPnumberedparagraphs"/>
        <w:numPr>
          <w:ilvl w:val="1"/>
          <w:numId w:val="5"/>
        </w:numPr>
      </w:pPr>
      <w:r>
        <w:lastRenderedPageBreak/>
        <w:t>a</w:t>
      </w:r>
      <w:r w:rsidR="00C442D1">
        <w:t xml:space="preserve">ny material used to clean up the spill </w:t>
      </w:r>
      <w:r w:rsidR="00365DDA">
        <w:t xml:space="preserve">or PPE worn during the </w:t>
      </w:r>
      <w:r>
        <w:t>clean-up</w:t>
      </w:r>
      <w:r w:rsidR="00365DDA">
        <w:t xml:space="preserve"> will be </w:t>
      </w:r>
      <w:proofErr w:type="gramStart"/>
      <w:r w:rsidR="00365DDA">
        <w:t>decontaminated;</w:t>
      </w:r>
      <w:proofErr w:type="gramEnd"/>
    </w:p>
    <w:p w14:paraId="3424386C" w14:textId="6E3A5B69" w:rsidR="00365DDA" w:rsidRDefault="00DE1360" w:rsidP="00230B7C">
      <w:pPr>
        <w:pStyle w:val="RARMPnumberedparagraphs"/>
        <w:numPr>
          <w:ilvl w:val="1"/>
          <w:numId w:val="5"/>
        </w:numPr>
      </w:pPr>
      <w:r>
        <w:t>c</w:t>
      </w:r>
      <w:r w:rsidR="00365DDA">
        <w:t>linical trial staff will notify the licence holder as soon as reasonably practicable</w:t>
      </w:r>
      <w:r w:rsidR="0070543C">
        <w:t>;</w:t>
      </w:r>
      <w:r>
        <w:t xml:space="preserve"> and</w:t>
      </w:r>
    </w:p>
    <w:p w14:paraId="71B18B9D" w14:textId="4FD1B791" w:rsidR="0070543C" w:rsidRPr="00E52B4D" w:rsidRDefault="00DE1360" w:rsidP="00230B7C">
      <w:pPr>
        <w:pStyle w:val="RARMPnumberedparagraphs"/>
        <w:numPr>
          <w:ilvl w:val="1"/>
          <w:numId w:val="5"/>
        </w:numPr>
      </w:pPr>
      <w:r>
        <w:t>t</w:t>
      </w:r>
      <w:r w:rsidR="0070543C">
        <w:t xml:space="preserve">he licence holder will notify the Regulator as soon as reasonably practicable. </w:t>
      </w:r>
    </w:p>
    <w:p w14:paraId="08D96F19" w14:textId="32EE7FC7" w:rsidR="00A63D42" w:rsidRPr="00342143" w:rsidRDefault="006F39CD" w:rsidP="006E06B6">
      <w:pPr>
        <w:pStyle w:val="2RARMP"/>
      </w:pPr>
      <w:bookmarkStart w:id="130" w:name="_Toc47536745"/>
      <w:bookmarkStart w:id="131" w:name="_Ref57119182"/>
      <w:bookmarkStart w:id="132" w:name="_Toc219281387"/>
      <w:r w:rsidRPr="00342143">
        <w:t>P</w:t>
      </w:r>
      <w:r w:rsidR="00A63D42" w:rsidRPr="00342143">
        <w:t>arent organism</w:t>
      </w:r>
      <w:bookmarkEnd w:id="130"/>
      <w:bookmarkEnd w:id="131"/>
      <w:bookmarkEnd w:id="132"/>
    </w:p>
    <w:p w14:paraId="1887D72B" w14:textId="2D07DF34" w:rsidR="006F39CD" w:rsidRPr="00342143" w:rsidRDefault="00DF34BB" w:rsidP="00D808EE">
      <w:pPr>
        <w:pStyle w:val="RARMPnumberedparagraphs"/>
        <w:rPr>
          <w:rFonts w:cs="Calibri"/>
          <w:szCs w:val="22"/>
        </w:rPr>
      </w:pPr>
      <w:bookmarkStart w:id="133" w:name="_Toc94337968"/>
      <w:bookmarkStart w:id="134" w:name="_Toc97019190"/>
      <w:bookmarkStart w:id="135" w:name="_Toc121209907"/>
      <w:bookmarkEnd w:id="74"/>
      <w:bookmarkEnd w:id="75"/>
      <w:bookmarkEnd w:id="76"/>
      <w:r w:rsidRPr="00342143">
        <w:rPr>
          <w:szCs w:val="22"/>
        </w:rPr>
        <w:t>The characteristics of the parent organism provide a baseline for comparing the potential for harm from dealings with the GMO. The GM therapeutic is derived from the human adenovirus species C serotype 5 (HAdV-C5)</w:t>
      </w:r>
      <w:r w:rsidR="006F39CD" w:rsidRPr="00342143">
        <w:rPr>
          <w:szCs w:val="22"/>
        </w:rPr>
        <w:t xml:space="preserve">. As such, the relevant biological properties of </w:t>
      </w:r>
      <w:proofErr w:type="spellStart"/>
      <w:r w:rsidR="00377C07" w:rsidRPr="00342143">
        <w:rPr>
          <w:szCs w:val="22"/>
        </w:rPr>
        <w:t>HAdV</w:t>
      </w:r>
      <w:r w:rsidR="00203D1E" w:rsidRPr="00342143">
        <w:rPr>
          <w:szCs w:val="22"/>
        </w:rPr>
        <w:t>s</w:t>
      </w:r>
      <w:proofErr w:type="spellEnd"/>
      <w:r w:rsidR="000A2759" w:rsidRPr="00342143">
        <w:rPr>
          <w:szCs w:val="22"/>
        </w:rPr>
        <w:t xml:space="preserve"> </w:t>
      </w:r>
      <w:r w:rsidR="006F39CD" w:rsidRPr="00342143">
        <w:rPr>
          <w:szCs w:val="22"/>
        </w:rPr>
        <w:t>will be discussed here.</w:t>
      </w:r>
    </w:p>
    <w:p w14:paraId="1807B011" w14:textId="6005000E" w:rsidR="00875E49" w:rsidRPr="00342143" w:rsidRDefault="001301FE" w:rsidP="00D5389D">
      <w:pPr>
        <w:pStyle w:val="RARMPnumberedparagraphs"/>
        <w:rPr>
          <w:rFonts w:cs="Calibri"/>
          <w:szCs w:val="22"/>
        </w:rPr>
      </w:pPr>
      <w:r w:rsidRPr="00342143">
        <w:rPr>
          <w:szCs w:val="22"/>
        </w:rPr>
        <w:t>Adenoviruses (</w:t>
      </w:r>
      <w:proofErr w:type="spellStart"/>
      <w:r w:rsidRPr="00342143">
        <w:rPr>
          <w:szCs w:val="22"/>
        </w:rPr>
        <w:t>AdVs</w:t>
      </w:r>
      <w:proofErr w:type="spellEnd"/>
      <w:r w:rsidRPr="00342143">
        <w:rPr>
          <w:szCs w:val="22"/>
        </w:rPr>
        <w:t xml:space="preserve">) are within the genus </w:t>
      </w:r>
      <w:proofErr w:type="spellStart"/>
      <w:r w:rsidRPr="00342143">
        <w:rPr>
          <w:szCs w:val="22"/>
        </w:rPr>
        <w:t>Mastadenovirus</w:t>
      </w:r>
      <w:proofErr w:type="spellEnd"/>
      <w:r w:rsidRPr="00342143">
        <w:rPr>
          <w:szCs w:val="22"/>
        </w:rPr>
        <w:t xml:space="preserve"> in the Adenoviridae family </w:t>
      </w:r>
      <w:r w:rsidRPr="00342143">
        <w:rPr>
          <w:szCs w:val="22"/>
        </w:rPr>
        <w:fldChar w:fldCharType="begin"/>
      </w:r>
      <w:r w:rsidR="005B0F2F" w:rsidRPr="00342143">
        <w:rPr>
          <w:szCs w:val="22"/>
        </w:rPr>
        <w:instrText xml:space="preserve"> ADDIN EN.CITE &lt;EndNote&gt;&lt;Cite&gt;&lt;Author&gt;Scarsella&lt;/Author&gt;&lt;Year&gt;2024&lt;/Year&gt;&lt;RecNum&gt;45&lt;/RecNum&gt;&lt;DisplayText&gt;(Scarsella et al., 2024)&lt;/DisplayText&gt;&lt;record&gt;&lt;rec-number&gt;45&lt;/rec-number&gt;&lt;foreign-keys&gt;&lt;key app="EN" db-id="dpase2e2oz5rwce9azspp95nf9xvswxp2rvd" timestamp="1765243750"&gt;45&lt;/key&gt;&lt;/foreign-keys&gt;&lt;ref-type name="Journal Article"&gt;17&lt;/ref-type&gt;&lt;contributors&gt;&lt;authors&gt;&lt;author&gt;Scarsella, Luca&lt;/author&gt;&lt;author&gt;Ehrke-Schulz, Eric&lt;/author&gt;&lt;author&gt;Paulussen, Michael&lt;/author&gt;&lt;author&gt;Thal, Serge C.&lt;/author&gt;&lt;author&gt;Ehrhardt, Anja&lt;/author&gt;&lt;author&gt;Aydin, Malik&lt;/author&gt;&lt;/authors&gt;&lt;/contributors&gt;&lt;titles&gt;&lt;title&gt;Advances of Recombinant Adenoviral Vectors in Preclinical and Clinical Applications&lt;/title&gt;&lt;secondary-title&gt;Viruses&lt;/secondary-title&gt;&lt;/titles&gt;&lt;periodical&gt;&lt;full-title&gt;Viruses&lt;/full-title&gt;&lt;/periodical&gt;&lt;pages&gt;377&lt;/pages&gt;&lt;volume&gt;16&lt;/volume&gt;&lt;number&gt;3&lt;/number&gt;&lt;dates&gt;&lt;year&gt;2024&lt;/year&gt;&lt;/dates&gt;&lt;isbn&gt;1999-4915&lt;/isbn&gt;&lt;accession-num&gt;doi:10.3390/v16030377&lt;/accession-num&gt;&lt;urls&gt;&lt;related-urls&gt;&lt;url&gt;https://www.mdpi.com/1999-4915/16/3/377&lt;/url&gt;&lt;/related-urls&gt;&lt;/urls&gt;&lt;/record&gt;&lt;/Cite&gt;&lt;/EndNote&gt;</w:instrText>
      </w:r>
      <w:r w:rsidRPr="00342143">
        <w:rPr>
          <w:szCs w:val="22"/>
        </w:rPr>
        <w:fldChar w:fldCharType="separate"/>
      </w:r>
      <w:r w:rsidRPr="00342143">
        <w:rPr>
          <w:noProof/>
          <w:szCs w:val="22"/>
        </w:rPr>
        <w:t>(</w:t>
      </w:r>
      <w:hyperlink w:anchor="_ENREF_82" w:tooltip="Scarsella, 2024 #45" w:history="1">
        <w:r w:rsidR="0027195B" w:rsidRPr="00342143">
          <w:rPr>
            <w:noProof/>
            <w:szCs w:val="22"/>
          </w:rPr>
          <w:t>Scarsella et al., 2024</w:t>
        </w:r>
      </w:hyperlink>
      <w:r w:rsidRPr="00342143">
        <w:rPr>
          <w:noProof/>
          <w:szCs w:val="22"/>
        </w:rPr>
        <w:t>)</w:t>
      </w:r>
      <w:r w:rsidRPr="00342143">
        <w:rPr>
          <w:szCs w:val="22"/>
        </w:rPr>
        <w:fldChar w:fldCharType="end"/>
      </w:r>
      <w:r w:rsidRPr="00342143">
        <w:rPr>
          <w:szCs w:val="22"/>
        </w:rPr>
        <w:t xml:space="preserve"> and are classified as Risk Group 2 microorganisms </w:t>
      </w:r>
      <w:r w:rsidRPr="00342143">
        <w:rPr>
          <w:szCs w:val="22"/>
        </w:rPr>
        <w:fldChar w:fldCharType="begin"/>
      </w:r>
      <w:r w:rsidRPr="00342143">
        <w:rPr>
          <w:szCs w:val="22"/>
        </w:rPr>
        <w:instrText xml:space="preserve"> ADDIN EN.CITE &lt;EndNote&gt;&lt;Cite&gt;&lt;Author&gt;Standards Australia/New Zealand&lt;/Author&gt;&lt;Year&gt;2022&lt;/Year&gt;&lt;RecNum&gt;15056&lt;/RecNum&gt;&lt;DisplayText&gt;(Standards Australia/New Zealand, 2022)&lt;/DisplayText&gt;&lt;record&gt;&lt;rec-number&gt;15056&lt;/rec-number&gt;&lt;foreign-keys&gt;&lt;key app="EN" db-id="vf22ax0roe9ssce55r0vrezirwdtv52edrxs" timestamp="1728365743"&gt;15056&lt;/key&gt;&lt;/foreign-keys&gt;&lt;ref-type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Pr="00342143">
        <w:rPr>
          <w:szCs w:val="22"/>
        </w:rPr>
        <w:fldChar w:fldCharType="separate"/>
      </w:r>
      <w:r w:rsidRPr="00342143">
        <w:rPr>
          <w:szCs w:val="22"/>
        </w:rPr>
        <w:t>(</w:t>
      </w:r>
      <w:hyperlink w:anchor="_ENREF_87" w:tooltip="Standards Australia/New Zealand, 2022 #15056" w:history="1">
        <w:r w:rsidR="0027195B" w:rsidRPr="00342143">
          <w:rPr>
            <w:szCs w:val="22"/>
          </w:rPr>
          <w:t>Standards Australia/New Zealand, 2022</w:t>
        </w:r>
      </w:hyperlink>
      <w:r w:rsidRPr="00342143">
        <w:rPr>
          <w:szCs w:val="22"/>
        </w:rPr>
        <w:t>)</w:t>
      </w:r>
      <w:r w:rsidRPr="00342143">
        <w:rPr>
          <w:szCs w:val="22"/>
        </w:rPr>
        <w:fldChar w:fldCharType="end"/>
      </w:r>
      <w:r w:rsidRPr="00342143">
        <w:rPr>
          <w:szCs w:val="22"/>
        </w:rPr>
        <w:t xml:space="preserve">. </w:t>
      </w:r>
      <w:proofErr w:type="spellStart"/>
      <w:r w:rsidRPr="00342143">
        <w:rPr>
          <w:szCs w:val="22"/>
        </w:rPr>
        <w:t>HAdVs</w:t>
      </w:r>
      <w:proofErr w:type="spellEnd"/>
      <w:r w:rsidRPr="00342143">
        <w:rPr>
          <w:szCs w:val="22"/>
        </w:rPr>
        <w:t xml:space="preserve"> are common pathogens of humans. They can cause periodic outbreaks of respiratory diseases, problems in ocular, gastrointestinal, and </w:t>
      </w:r>
      <w:proofErr w:type="spellStart"/>
      <w:r w:rsidRPr="00342143">
        <w:rPr>
          <w:szCs w:val="22"/>
        </w:rPr>
        <w:t>genito</w:t>
      </w:r>
      <w:proofErr w:type="spellEnd"/>
      <w:r w:rsidRPr="00342143">
        <w:rPr>
          <w:szCs w:val="22"/>
        </w:rPr>
        <w:t xml:space="preserve">-urinary systems. Occasionally, they can lead to metabolic disorders </w:t>
      </w:r>
      <w:bookmarkStart w:id="136" w:name="_Hlk198293128"/>
      <w:r w:rsidRPr="00342143">
        <w:rPr>
          <w:szCs w:val="22"/>
        </w:rPr>
        <w:fldChar w:fldCharType="begin"/>
      </w:r>
      <w:r w:rsidRPr="00342143">
        <w:rPr>
          <w:szCs w:val="22"/>
        </w:rPr>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342143">
        <w:rPr>
          <w:szCs w:val="22"/>
        </w:rPr>
        <w:fldChar w:fldCharType="separate"/>
      </w:r>
      <w:r w:rsidRPr="00342143">
        <w:rPr>
          <w:szCs w:val="22"/>
        </w:rPr>
        <w:t>(</w:t>
      </w:r>
      <w:hyperlink w:anchor="_ENREF_41" w:tooltip="Ismail, 2018 #11593" w:history="1">
        <w:r w:rsidR="0027195B" w:rsidRPr="00342143">
          <w:rPr>
            <w:szCs w:val="22"/>
          </w:rPr>
          <w:t>Ismail et al., 2018a</w:t>
        </w:r>
      </w:hyperlink>
      <w:r w:rsidRPr="00342143">
        <w:rPr>
          <w:szCs w:val="22"/>
        </w:rPr>
        <w:t>)</w:t>
      </w:r>
      <w:r w:rsidRPr="00342143">
        <w:rPr>
          <w:szCs w:val="22"/>
        </w:rPr>
        <w:fldChar w:fldCharType="end"/>
      </w:r>
      <w:bookmarkEnd w:id="136"/>
      <w:r w:rsidRPr="00342143">
        <w:rPr>
          <w:szCs w:val="22"/>
        </w:rPr>
        <w:t xml:space="preserve">. </w:t>
      </w:r>
      <w:proofErr w:type="spellStart"/>
      <w:r w:rsidRPr="00342143">
        <w:rPr>
          <w:szCs w:val="22"/>
        </w:rPr>
        <w:t>HAdVs</w:t>
      </w:r>
      <w:proofErr w:type="spellEnd"/>
      <w:r w:rsidRPr="00342143">
        <w:rPr>
          <w:szCs w:val="22"/>
        </w:rPr>
        <w:t xml:space="preserve"> are categorised into 7 species, A to G, based on their serology, sequence homology, serum neutralisation, haemagglutinin properties and genomic sequence </w:t>
      </w:r>
      <w:r w:rsidR="007E7CF4" w:rsidRPr="00342143">
        <w:rPr>
          <w:szCs w:val="22"/>
        </w:rPr>
        <w:fldChar w:fldCharType="begin">
          <w:fldData xml:space="preserve">PEVuZE5vdGU+PENpdGU+PEF1dGhvcj5Cb3RzPC9BdXRob3I+PFllYXI+MjAyMDwvWWVhcj48UmVj
TnVtPjI5PC9SZWNOdW0+PERpc3BsYXlUZXh0PihCb3RzIGFuZCBIb2ViZW4sIDIwMjA7IExhbmdl
IGV0IGFsLiwgMjAxOTsgTGVpa2FzIGV0IGFsLiwgMjAyM2EpPC9EaXNwbGF5VGV4dD48cmVjb3Jk
PjxyZWMtbnVtYmVyPjI5PC9yZWMtbnVtYmVyPjxmb3JlaWduLWtleXM+PGtleSBhcHA9IkVOIiBk
Yi1pZD0iZHBhc2UyZTJvejVyd2NlOWF6c3BwOTVuZjl4dnN3eHAycnZkIiB0aW1lc3RhbXA9IjE3
NjUyNDM2ODIiPjI5PC9rZXk+PC9mb3JlaWduLWtleXM+PHJlZi10eXBlIG5hbWU9IkpvdXJuYWwg
QXJ0aWNsZSI+MTc8L3JlZi10eXBlPjxjb250cmlidXRvcnM+PGF1dGhvcnM+PGF1dGhvcj5Cb3Rz
LCBTZWxhcyBULiBGLjwvYXV0aG9yPjxhdXRob3I+SG9lYmVuLCBSb2IgQy48L2F1dGhvcj48L2F1
dGhvcnM+PC9jb250cmlidXRvcnM+PHRpdGxlcz48dGl0bGU+Tm9uLUh1bWFuIFByaW1hdGUtRGVy
aXZlZCBBZGVub3ZpcnVzZXMgZm9yIEZ1dHVyZSBVc2UgYXMgT25jb2x5dGljIEFnZW50cz88L3Rp
dGxlPjxzZWNvbmRhcnktdGl0bGU+SW50ZXJuYXRpb25hbCBqb3VybmFsIG9mIG1vbGVjdWxhciBz
Y2llbmNlczwvc2Vjb25kYXJ5LXRpdGxlPjxhbHQtdGl0bGU+SW50IEogTW9sIFNjaTwvYWx0LXRp
dGxlPjwvdGl0bGVzPjxhbHQtcGVyaW9kaWNhbD48ZnVsbC10aXRsZT5JbnRlcm5hdGlvbmFsIGpv
dXJuYWwgb2YgbW9sZWN1bGFyIHNjaWVuY2VzPC9mdWxsLXRpdGxlPjxhYmJyLTE+SW50IEogTW9s
IFNjaTwvYWJici0xPjwvYWx0LXBlcmlvZGljYWw+PHBhZ2VzPjQ4MjE8L3BhZ2VzPjx2b2x1bWU+
MjE8L3ZvbHVtZT48bnVtYmVyPjE0PC9udW1iZXI+PGtleXdvcmRzPjxrZXl3b3JkPmFkZW5vdmly
YWwgdmVjdG9yPC9rZXl3b3JkPjxrZXl3b3JkPmFudGktdHVtb3IgaW1tdW5pdHk8L2tleXdvcmQ+
PGtleXdvcmQ+Z2VuZXRpYyByZWNvbWJpbmF0aW9uPC9rZXl3b3JkPjxrZXl3b3JkPmh1bWFuIGFk
ZW5vdmlydXM8L2tleXdvcmQ+PGtleXdvcmQ+bm9uLWh1bWFuIHByaW1hdGUgYWRlbm92aXJ1czwv
a2V5d29yZD48a2V5d29yZD5vbmNvbHlzaXM8L2tleXdvcmQ+PGtleXdvcmQ+b25jb2x5dGljIHZp
cnVzPC9rZXl3b3JkPjxrZXl3b3JkPnRheG9ub215PC9rZXl3b3JkPjwva2V5d29yZHM+PGRhdGVz
Pjx5ZWFyPjIwMjA8L3llYXI+PC9kYXRlcz48cHVibGlzaGVyPk1EUEk8L3B1Ymxpc2hlcj48aXNi
bj4xNDIyLTAwNjc8L2lzYm4+PGFjY2Vzc2lvbi1udW0+MzI2NTA0MDU8L2FjY2Vzc2lvbi1udW0+
PHVybHM+PHJlbGF0ZWQtdXJscz48dXJsPmh0dHBzOi8vcHVibWVkLm5jYmkubmxtLm5paC5nb3Yv
MzI2NTA0MDU8L3VybD48dXJsPmh0dHBzOi8vd3d3Lm5jYmkubmxtLm5paC5nb3YvcG1jL2FydGlj
bGVzL1BNQzc0MDQwMzMvPC91cmw+PC9yZWxhdGVkLXVybHM+PC91cmxzPjxlbGVjdHJvbmljLXJl
c291cmNlLW51bT4xMC4zMzkwL2lqbXMyMTE0NDgyMTwvZWxlY3Ryb25pYy1yZXNvdXJjZS1udW0+
PHJlbW90ZS1kYXRhYmFzZS1uYW1lPlB1Yk1lZDwvcmVtb3RlLWRhdGFiYXNlLW5hbWU+PGxhbmd1
YWdlPmVuZzwvbGFuZ3VhZ2U+PC9yZWNvcmQ+PC9DaXRlPjxDaXRlPjxBdXRob3I+TGFuZ2U8L0F1
dGhvcj48WWVhcj4yMDE5PC9ZZWFyPjxSZWNOdW0+MzA8L1JlY051bT48cmVjb3JkPjxyZWMtbnVt
YmVyPjMwPC9yZWMtbnVtYmVyPjxmb3JlaWduLWtleXM+PGtleSBhcHA9IkVOIiBkYi1pZD0iZHBh
c2UyZTJvejVyd2NlOWF6c3BwOTVuZjl4dnN3eHAycnZkIiB0aW1lc3RhbXA9IjE3NjUyNDM2ODIi
PjMwPC9rZXk+PC9mb3JlaWduLWtleXM+PHJlZi10eXBlIG5hbWU9IkpvdXJuYWwgQXJ0aWNsZSI+
MTc8L3JlZi10eXBlPjxjb250cmlidXRvcnM+PGF1dGhvcnM+PGF1dGhvcj5MYW5nZSwgQ2hyaXN0
aWFuIEUuPC9hdXRob3I+PGF1dGhvcj5OaWFtYSwgRmFiaWVuIFIuPC9hdXRob3I+PGF1dGhvcj5D
YW1lcm9uLCBLZW5uZXRoPC9hdXRob3I+PGF1dGhvcj5PbHNvbiwgU2FyYWggSC48L2F1dGhvcj48
YXV0aG9yPkFpbWUgTmluYSwgUm9jazwvYXV0aG9yPjxhdXRob3I+T25kemllLCBBbGFpbjwvYXV0
aG9yPjxhdXRob3I+Qm91bmdhLCBHZXJhcmQ8L2F1dGhvcj48YXV0aG9yPlNtaXRoLCBCcmV0dCBS
LjwvYXV0aG9yPjxhdXRob3I+UGFudGUsIEphc21pbmU8L2F1dGhvcj48YXV0aG9yPlJlZWQsIFBh
dHJpY2lhPC9hdXRob3I+PGF1dGhvcj5UYW11ZmUsIFViYWxkPC9hdXRob3I+PGF1dGhvcj5MYXVk
aXNvaXQsIEFubmU8L2F1dGhvcj48YXV0aG9yPkdvbGRzdGVpbiwgVHJhY2V5PC9hdXRob3I+PGF1
dGhvcj5CYWdhbWJvdWxhIE1wYXNzaSwgUm9tYWluPC9hdXRob3I+PGF1dGhvcj5Kb2x5LCBEYW1p
ZW4gTy48L2F1dGhvcj48L2F1dGhvcnM+PC9jb250cmlidXRvcnM+PHRpdGxlcz48dGl0bGU+Rmly
c3QgZXZpZGVuY2Ugb2YgYSBuZXcgc2ltaWFuIGFkZW5vdmlydXMgY2x1c3RlcmluZyB3aXRoIEh1
bWFuIG1hc3RhZGVub3ZpcnVzIEYgdmlydXNlczwvdGl0bGU+PHNlY29uZGFyeS10aXRsZT5WaXJv
bG9neSBKb3VybmFsPC9zZWNvbmRhcnktdGl0bGU+PC90aXRsZXM+PHBlcmlvZGljYWw+PGZ1bGwt
dGl0bGU+Vmlyb2xvZ3kgSm91cm5hbDwvZnVsbC10aXRsZT48L3BlcmlvZGljYWw+PHBhZ2VzPjE0
NzwvcGFnZXM+PHZvbHVtZT4xNjwvdm9sdW1lPjxudW1iZXI+MTwvbnVtYmVyPjxkYXRlcz48eWVh
cj4yMDE5PC95ZWFyPjxwdWItZGF0ZXM+PGRhdGU+MjAxOS8xMS8yNzwvZGF0ZT48L3B1Yi1kYXRl
cz48L2RhdGVzPjxpc2JuPjE3NDMtNDIyWDwvaXNibj48dXJscz48cmVsYXRlZC11cmxzPjx1cmw+
aHR0cHM6Ly9kb2kub3JnLzEwLjExODYvczEyOTg1LTAxOS0xMjQ4LXo8L3VybD48L3JlbGF0ZWQt
dXJscz48L3VybHM+PGVsZWN0cm9uaWMtcmVzb3VyY2UtbnVtPjEwLjExODYvczEyOTg1LTAxOS0x
MjQ4LXo8L2VsZWN0cm9uaWMtcmVzb3VyY2UtbnVtPjwvcmVjb3JkPjwvQ2l0ZT48Q2l0ZT48QXV0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AE6FB5" w:rsidRPr="00342143">
        <w:rPr>
          <w:szCs w:val="22"/>
        </w:rPr>
        <w:instrText xml:space="preserve"> ADDIN EN.CITE </w:instrText>
      </w:r>
      <w:r w:rsidR="00AE6FB5" w:rsidRPr="00342143">
        <w:rPr>
          <w:szCs w:val="22"/>
        </w:rPr>
        <w:fldChar w:fldCharType="begin">
          <w:fldData xml:space="preserve">PEVuZE5vdGU+PENpdGU+PEF1dGhvcj5Cb3RzPC9BdXRob3I+PFllYXI+MjAyMDwvWWVhcj48UmVj
TnVtPjI5PC9SZWNOdW0+PERpc3BsYXlUZXh0PihCb3RzIGFuZCBIb2ViZW4sIDIwMjA7IExhbmdl
IGV0IGFsLiwgMjAxOTsgTGVpa2FzIGV0IGFsLiwgMjAyM2EpPC9EaXNwbGF5VGV4dD48cmVjb3Jk
PjxyZWMtbnVtYmVyPjI5PC9yZWMtbnVtYmVyPjxmb3JlaWduLWtleXM+PGtleSBhcHA9IkVOIiBk
Yi1pZD0iZHBhc2UyZTJvejVyd2NlOWF6c3BwOTVuZjl4dnN3eHAycnZkIiB0aW1lc3RhbXA9IjE3
NjUyNDM2ODIiPjI5PC9rZXk+PC9mb3JlaWduLWtleXM+PHJlZi10eXBlIG5hbWU9IkpvdXJuYWwg
QXJ0aWNsZSI+MTc8L3JlZi10eXBlPjxjb250cmlidXRvcnM+PGF1dGhvcnM+PGF1dGhvcj5Cb3Rz
LCBTZWxhcyBULiBGLjwvYXV0aG9yPjxhdXRob3I+SG9lYmVuLCBSb2IgQy48L2F1dGhvcj48L2F1
dGhvcnM+PC9jb250cmlidXRvcnM+PHRpdGxlcz48dGl0bGU+Tm9uLUh1bWFuIFByaW1hdGUtRGVy
aXZlZCBBZGVub3ZpcnVzZXMgZm9yIEZ1dHVyZSBVc2UgYXMgT25jb2x5dGljIEFnZW50cz88L3Rp
dGxlPjxzZWNvbmRhcnktdGl0bGU+SW50ZXJuYXRpb25hbCBqb3VybmFsIG9mIG1vbGVjdWxhciBz
Y2llbmNlczwvc2Vjb25kYXJ5LXRpdGxlPjxhbHQtdGl0bGU+SW50IEogTW9sIFNjaTwvYWx0LXRp
dGxlPjwvdGl0bGVzPjxhbHQtcGVyaW9kaWNhbD48ZnVsbC10aXRsZT5JbnRlcm5hdGlvbmFsIGpv
dXJuYWwgb2YgbW9sZWN1bGFyIHNjaWVuY2VzPC9mdWxsLXRpdGxlPjxhYmJyLTE+SW50IEogTW9s
IFNjaTwvYWJici0xPjwvYWx0LXBlcmlvZGljYWw+PHBhZ2VzPjQ4MjE8L3BhZ2VzPjx2b2x1bWU+
MjE8L3ZvbHVtZT48bnVtYmVyPjE0PC9udW1iZXI+PGtleXdvcmRzPjxrZXl3b3JkPmFkZW5vdmly
YWwgdmVjdG9yPC9rZXl3b3JkPjxrZXl3b3JkPmFudGktdHVtb3IgaW1tdW5pdHk8L2tleXdvcmQ+
PGtleXdvcmQ+Z2VuZXRpYyByZWNvbWJpbmF0aW9uPC9rZXl3b3JkPjxrZXl3b3JkPmh1bWFuIGFk
ZW5vdmlydXM8L2tleXdvcmQ+PGtleXdvcmQ+bm9uLWh1bWFuIHByaW1hdGUgYWRlbm92aXJ1czwv
a2V5d29yZD48a2V5d29yZD5vbmNvbHlzaXM8L2tleXdvcmQ+PGtleXdvcmQ+b25jb2x5dGljIHZp
cnVzPC9rZXl3b3JkPjxrZXl3b3JkPnRheG9ub215PC9rZXl3b3JkPjwva2V5d29yZHM+PGRhdGVz
Pjx5ZWFyPjIwMjA8L3llYXI+PC9kYXRlcz48cHVibGlzaGVyPk1EUEk8L3B1Ymxpc2hlcj48aXNi
bj4xNDIyLTAwNjc8L2lzYm4+PGFjY2Vzc2lvbi1udW0+MzI2NTA0MDU8L2FjY2Vzc2lvbi1udW0+
PHVybHM+PHJlbGF0ZWQtdXJscz48dXJsPmh0dHBzOi8vcHVibWVkLm5jYmkubmxtLm5paC5nb3Yv
MzI2NTA0MDU8L3VybD48dXJsPmh0dHBzOi8vd3d3Lm5jYmkubmxtLm5paC5nb3YvcG1jL2FydGlj
bGVzL1BNQzc0MDQwMzMvPC91cmw+PC9yZWxhdGVkLXVybHM+PC91cmxzPjxlbGVjdHJvbmljLXJl
c291cmNlLW51bT4xMC4zMzkwL2lqbXMyMTE0NDgyMTwvZWxlY3Ryb25pYy1yZXNvdXJjZS1udW0+
PHJlbW90ZS1kYXRhYmFzZS1uYW1lPlB1Yk1lZDwvcmVtb3RlLWRhdGFiYXNlLW5hbWU+PGxhbmd1
YWdlPmVuZzwvbGFuZ3VhZ2U+PC9yZWNvcmQ+PC9DaXRlPjxDaXRlPjxBdXRob3I+TGFuZ2U8L0F1
dGhvcj48WWVhcj4yMDE5PC9ZZWFyPjxSZWNOdW0+MzA8L1JlY051bT48cmVjb3JkPjxyZWMtbnVt
YmVyPjMwPC9yZWMtbnVtYmVyPjxmb3JlaWduLWtleXM+PGtleSBhcHA9IkVOIiBkYi1pZD0iZHBh
c2UyZTJvejVyd2NlOWF6c3BwOTVuZjl4dnN3eHAycnZkIiB0aW1lc3RhbXA9IjE3NjUyNDM2ODIi
PjMwPC9rZXk+PC9mb3JlaWduLWtleXM+PHJlZi10eXBlIG5hbWU9IkpvdXJuYWwgQXJ0aWNsZSI+
MTc8L3JlZi10eXBlPjxjb250cmlidXRvcnM+PGF1dGhvcnM+PGF1dGhvcj5MYW5nZSwgQ2hyaXN0
aWFuIEUuPC9hdXRob3I+PGF1dGhvcj5OaWFtYSwgRmFiaWVuIFIuPC9hdXRob3I+PGF1dGhvcj5D
YW1lcm9uLCBLZW5uZXRoPC9hdXRob3I+PGF1dGhvcj5PbHNvbiwgU2FyYWggSC48L2F1dGhvcj48
YXV0aG9yPkFpbWUgTmluYSwgUm9jazwvYXV0aG9yPjxhdXRob3I+T25kemllLCBBbGFpbjwvYXV0
aG9yPjxhdXRob3I+Qm91bmdhLCBHZXJhcmQ8L2F1dGhvcj48YXV0aG9yPlNtaXRoLCBCcmV0dCBS
LjwvYXV0aG9yPjxhdXRob3I+UGFudGUsIEphc21pbmU8L2F1dGhvcj48YXV0aG9yPlJlZWQsIFBh
dHJpY2lhPC9hdXRob3I+PGF1dGhvcj5UYW11ZmUsIFViYWxkPC9hdXRob3I+PGF1dGhvcj5MYXVk
aXNvaXQsIEFubmU8L2F1dGhvcj48YXV0aG9yPkdvbGRzdGVpbiwgVHJhY2V5PC9hdXRob3I+PGF1
dGhvcj5CYWdhbWJvdWxhIE1wYXNzaSwgUm9tYWluPC9hdXRob3I+PGF1dGhvcj5Kb2x5LCBEYW1p
ZW4gTy48L2F1dGhvcj48L2F1dGhvcnM+PC9jb250cmlidXRvcnM+PHRpdGxlcz48dGl0bGU+Rmly
c3QgZXZpZGVuY2Ugb2YgYSBuZXcgc2ltaWFuIGFkZW5vdmlydXMgY2x1c3RlcmluZyB3aXRoIEh1
bWFuIG1hc3RhZGVub3ZpcnVzIEYgdmlydXNlczwvdGl0bGU+PHNlY29uZGFyeS10aXRsZT5WaXJv
bG9neSBKb3VybmFsPC9zZWNvbmRhcnktdGl0bGU+PC90aXRsZXM+PHBlcmlvZGljYWw+PGZ1bGwt
dGl0bGU+Vmlyb2xvZ3kgSm91cm5hbDwvZnVsbC10aXRsZT48L3BlcmlvZGljYWw+PHBhZ2VzPjE0
NzwvcGFnZXM+PHZvbHVtZT4xNjwvdm9sdW1lPjxudW1iZXI+MTwvbnVtYmVyPjxkYXRlcz48eWVh
cj4yMDE5PC95ZWFyPjxwdWItZGF0ZXM+PGRhdGU+MjAxOS8xMS8yNzwvZGF0ZT48L3B1Yi1kYXRl
cz48L2RhdGVzPjxpc2JuPjE3NDMtNDIyWDwvaXNibj48dXJscz48cmVsYXRlZC11cmxzPjx1cmw+
aHR0cHM6Ly9kb2kub3JnLzEwLjExODYvczEyOTg1LTAxOS0xMjQ4LXo8L3VybD48L3JlbGF0ZWQt
dXJscz48L3VybHM+PGVsZWN0cm9uaWMtcmVzb3VyY2UtbnVtPjEwLjExODYvczEyOTg1LTAxOS0x
MjQ4LXo8L2VsZWN0cm9uaWMtcmVzb3VyY2UtbnVtPjwvcmVjb3JkPjwvQ2l0ZT48Q2l0ZT48QXV0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AE6FB5" w:rsidRPr="00342143">
        <w:rPr>
          <w:szCs w:val="22"/>
        </w:rPr>
        <w:instrText xml:space="preserve"> ADDIN EN.CITE.DATA </w:instrText>
      </w:r>
      <w:r w:rsidR="00AE6FB5" w:rsidRPr="00342143">
        <w:rPr>
          <w:szCs w:val="22"/>
        </w:rPr>
      </w:r>
      <w:r w:rsidR="00AE6FB5" w:rsidRPr="00342143">
        <w:rPr>
          <w:szCs w:val="22"/>
        </w:rPr>
        <w:fldChar w:fldCharType="end"/>
      </w:r>
      <w:r w:rsidR="007E7CF4" w:rsidRPr="00342143">
        <w:rPr>
          <w:szCs w:val="22"/>
        </w:rPr>
      </w:r>
      <w:r w:rsidR="007E7CF4" w:rsidRPr="00342143">
        <w:rPr>
          <w:szCs w:val="22"/>
        </w:rPr>
        <w:fldChar w:fldCharType="separate"/>
      </w:r>
      <w:r w:rsidR="00AE6FB5" w:rsidRPr="00342143">
        <w:rPr>
          <w:noProof/>
          <w:szCs w:val="22"/>
        </w:rPr>
        <w:t>(</w:t>
      </w:r>
      <w:hyperlink w:anchor="_ENREF_14" w:tooltip="Bots, 2020 #29" w:history="1">
        <w:r w:rsidR="0027195B" w:rsidRPr="00342143">
          <w:rPr>
            <w:noProof/>
            <w:szCs w:val="22"/>
          </w:rPr>
          <w:t>Bots and Hoeben, 2020</w:t>
        </w:r>
      </w:hyperlink>
      <w:r w:rsidR="00AE6FB5" w:rsidRPr="00342143">
        <w:rPr>
          <w:noProof/>
          <w:szCs w:val="22"/>
        </w:rPr>
        <w:t xml:space="preserve">; </w:t>
      </w:r>
      <w:hyperlink w:anchor="_ENREF_47" w:tooltip="Lange, 2019 #30" w:history="1">
        <w:r w:rsidR="0027195B" w:rsidRPr="00342143">
          <w:rPr>
            <w:noProof/>
            <w:szCs w:val="22"/>
          </w:rPr>
          <w:t>Lange et al., 2019</w:t>
        </w:r>
      </w:hyperlink>
      <w:r w:rsidR="00AE6FB5" w:rsidRPr="00342143">
        <w:rPr>
          <w:noProof/>
          <w:szCs w:val="22"/>
        </w:rPr>
        <w:t xml:space="preserve">; </w:t>
      </w:r>
      <w:hyperlink w:anchor="_ENREF_50" w:tooltip="Leikas, 2023 #163" w:history="1">
        <w:r w:rsidR="0027195B" w:rsidRPr="00342143">
          <w:rPr>
            <w:noProof/>
            <w:szCs w:val="22"/>
          </w:rPr>
          <w:t>Leikas et al., 2023a</w:t>
        </w:r>
      </w:hyperlink>
      <w:r w:rsidR="00AE6FB5" w:rsidRPr="00342143">
        <w:rPr>
          <w:noProof/>
          <w:szCs w:val="22"/>
        </w:rPr>
        <w:t>)</w:t>
      </w:r>
      <w:r w:rsidR="007E7CF4" w:rsidRPr="00342143">
        <w:rPr>
          <w:szCs w:val="22"/>
        </w:rPr>
        <w:fldChar w:fldCharType="end"/>
      </w:r>
      <w:r w:rsidRPr="00342143">
        <w:rPr>
          <w:szCs w:val="22"/>
        </w:rPr>
        <w:t xml:space="preserve">. Up to 116 genotypes of </w:t>
      </w:r>
      <w:proofErr w:type="spellStart"/>
      <w:r w:rsidRPr="00342143">
        <w:rPr>
          <w:szCs w:val="22"/>
        </w:rPr>
        <w:t>HAdV</w:t>
      </w:r>
      <w:proofErr w:type="spellEnd"/>
      <w:r w:rsidRPr="00342143">
        <w:rPr>
          <w:szCs w:val="22"/>
        </w:rPr>
        <w:t xml:space="preserve"> have been assigned (</w:t>
      </w:r>
      <w:proofErr w:type="spellStart"/>
      <w:r>
        <w:fldChar w:fldCharType="begin"/>
      </w:r>
      <w:r>
        <w:instrText>HYPERLINK "http://hadvwg.gmu.edu/"</w:instrText>
      </w:r>
      <w:r>
        <w:fldChar w:fldCharType="separate"/>
      </w:r>
      <w:r w:rsidRPr="00342143">
        <w:rPr>
          <w:rStyle w:val="Hyperlink"/>
          <w:szCs w:val="22"/>
        </w:rPr>
        <w:t>HAdV</w:t>
      </w:r>
      <w:proofErr w:type="spellEnd"/>
      <w:r w:rsidRPr="00342143">
        <w:rPr>
          <w:rStyle w:val="Hyperlink"/>
          <w:szCs w:val="22"/>
        </w:rPr>
        <w:t xml:space="preserve"> Working Group website</w:t>
      </w:r>
      <w:r>
        <w:fldChar w:fldCharType="end"/>
      </w:r>
      <w:r w:rsidRPr="00342143">
        <w:rPr>
          <w:szCs w:val="22"/>
        </w:rPr>
        <w:t xml:space="preserve">, accessed June 2025). Different </w:t>
      </w:r>
      <w:proofErr w:type="spellStart"/>
      <w:r w:rsidRPr="00342143">
        <w:rPr>
          <w:szCs w:val="22"/>
        </w:rPr>
        <w:t>HAdV</w:t>
      </w:r>
      <w:proofErr w:type="spellEnd"/>
      <w:r w:rsidRPr="00342143">
        <w:rPr>
          <w:szCs w:val="22"/>
        </w:rPr>
        <w:t xml:space="preserve"> species are associated with different diseases: species C, E and some B species are the most common cause of respiratory diseases; species A, F, G and some D species are responsible for gastrointestinal infections; species D and E can also cause ocular diseases, and some B species can cause urinary tract infections </w:t>
      </w:r>
      <w:r w:rsidR="007E7CF4" w:rsidRPr="00342143">
        <w:rPr>
          <w:szCs w:val="22"/>
        </w:rPr>
        <w:fldChar w:fldCharType="begin">
          <w:fldData xml:space="preserve">PEVuZE5vdGU+PENpdGU+PEF1dGhvcj5Jc21haWw8L0F1dGhvcj48WWVhcj4yMDE4PC9ZZWFyPjxS
ZWNOdW0+MTE1OTM8L1JlY051bT48RGlzcGxheVRleHQ+KElzbWFpbCBldCBhbC4sIDIwMThhOyBM
ZWlrYXMgZXQgYWwuLCAyMDIzYSk8L0Rpc3BsYXlUZXh0PjxyZWNvcmQ+PHJlYy1udW1iZXI+MTE1
OTM8L3JlYy1udW1iZXI+PGZvcmVpZ24ta2V5cz48a2V5IGFwcD0iRU4iIGRiLWlkPSJ2ZjIyYXgw
cm9lOXNzY2U1NXIwdnJlemlyd2R0djUyZWRyeHMiIHRpbWVzdGFtcD0iMTYyNTEwOTk1NiI+MTE1
OTM8L2tleT48L2ZvcmVpZ24ta2V5cz48cmVmLXR5cGUgbmFtZT0iSm91cm5hbCBBcnRpY2xlIj4x
NzwvcmVmLXR5cGU+PGNvbnRyaWJ1dG9ycz48YXV0aG9ycz48YXV0aG9yPklzbWFpbCwgQXNocmFm
YWxpIE08L2F1dGhvcj48YXV0aG9yPkN1aSwgVGlhbmdlPC9hdXRob3I+PGF1dGhvcj5Eb21tYXJh
anUsIEthbHBhbmE8L2F1dGhvcj48YXV0aG9yPlNpbmdoLCBHdXJkZWVwPC9hdXRob3I+PGF1dGhv
cj5EZWhnaGFuLCBTaG9hbGVoPC9hdXRob3I+PGF1dGhvcj5TZXRvLCBKYXNvbjwvYXV0aG9yPjxh
dXRob3I+U2hyaXZhc3RhdmEsIFN1c21pdGE8L2F1dGhvcj48YXV0aG9yPkZlZG9yb3ZhLCBOYWRp
YSBCPC9hdXRob3I+PGF1dGhvcj5HdXB0YSwgTmVoYTwvYXV0aG9yPjxhdXRob3I+U3RvY2t3ZWxs
LCBUaW1vdGh5IEIgJUogRW1lcmdpbmcgbWljcm9iZXM8L2F1dGhvcj48YXV0aG9yPmluZmVjdGlv
bnM8L2F1dGhvcj48L2F1dGhvcnM+PC9jb250cmlidXRvcnM+PHRpdGxlcz48dGl0bGU+R2Vub21p
YyBhbmFseXNpcyBvZiBhIGxhcmdlIHNldCBvZiBjdXJyZW50bHnigJRhbmQgaGlzdG9yaWNhbGx5
4oCUaW1wb3J0YW50IGh1bWFuIGFkZW5vdmlydXMgcGF0aG9nZW5zPC90aXRsZT48c2Vjb25kYXJ5
LXRpdGxlPkVtZXJnaW5nIE1pY3JvYmVzICZhbXA7IEluZmVjdGlvbnM8L3NlY29uZGFyeS10aXRs
ZT48L3RpdGxlcz48cGVyaW9kaWNhbD48ZnVsbC10aXRsZT5FbWVyZ2luZyBNaWNyb2JlcyAmYW1w
OyBJbmZlY3Rpb25zPC9mdWxsLXRpdGxlPjwvcGVyaW9kaWNhbD48cGFnZXM+MS0yMjwvcGFnZXM+
PHZvbHVtZT43PC92b2x1bWU+PG51bWJlcj4xPC9udW1iZXI+PGRhdGVzPjx5ZWFyPjIwMTg8L3ll
YXI+PC9kYXRlcz48aXNibj4yMjIyLTE3NTE8L2lzYm4+PHVybHM+PC91cmxzPjwvcmVjb3JkPjwv
Q2l0ZT48Q2l0ZT48QXV0aG9yPkxlaWthczwvQXV0aG9yPjxZZWFyPjIwMjM8L1llYXI+PFJlY051
bT4xNjM8L1JlY051bT48cmVjb3JkPjxyZWMtbnVtYmVyPjE2MzwvcmVjLW51bWJlcj48Zm9yZWln
bi1rZXlzPjxrZXkgYXBwPSJFTiIgZGItaWQ9InZlcndlMmZ4ajVmZXY3ZXBmejh4dGR2ZXowMjVm
ZXNlemUweiIgdGltZXN0YW1wPSIxNzMzMjc1MzkzIj4xNjM8L2tleT48L2ZvcmVpZ24ta2V5cz48
cmVmLXR5cGUgbmFtZT0iSm91cm5hbCBBcnRpY2xlIj4xNzwvcmVmLXR5cGU+PGNvbnRyaWJ1dG9y
cz48YXV0aG9ycz48YXV0aG9yPkxlaWthcywgQWxla3NpIEo8L2F1dGhvcj48YXV0aG9yPllsw6Qt
SGVydHR1YWxhLCBTZXBwbzwvYXV0aG9yPjxhdXRob3I+SGFydGlrYWluZW4sIEp1aGEgRUs8L2F1
dGhvcj48L2F1dGhvcnM+PC9jb250cmlidXRvcnM+PHRpdGxlcz48dGl0bGU+QWRlbm92aXJhbCBH
ZW5lIFRoZXJhcHkgVmVjdG9ycyBpbiBDbGluaWNhbCBVc2XigJRCYXNpYyBBc3BlY3RzIHdpdGgg
YSBTcGVjaWFsIFJlZmVyZW5jZSB0byBSZXBsaWNhdGlvbi1Db21wZXRlbnQgQWRlbm92aXJ1cyBG
b3JtYXRpb24gYW5kIEl0cyBJbXBhY3Qgb24gQ2xpbmljYWwgU2FmZXR5PC90aXRsZT48c2Vjb25k
YXJ5LXRpdGxlPkludGVybmF0aW9uYWwgSm91cm5hbCBvZiBNb2xlY3VsYXIgU2NpZW5jZXM8L3Nl
Y29uZGFyeS10aXRsZT48L3RpdGxlcz48cGVyaW9kaWNhbD48ZnVsbC10aXRsZT5JbnRlcm5hdGlv
bmFsIEpvdXJuYWwgb2YgTW9sZWN1bGFyIFNjaWVuY2VzPC9mdWxsLXRpdGxlPjwvcGVyaW9kaWNh
bD48cGFnZXM+MTY1MTk8L3BhZ2VzPjx2b2x1bWU+MjQ8L3ZvbHVtZT48bnVtYmVyPjIyPC9udW1i
ZXI+PGRhdGVzPjx5ZWFyPjIwMjM8L3llYXI+PC9kYXRlcz48aXNibj4xNDIyLTAwNjc8L2lzYm4+
PHVybHM+PC91cmxzPjwvcmVjb3JkPjwvQ2l0ZT48L0VuZE5vdGU+
</w:fldData>
        </w:fldChar>
      </w:r>
      <w:r w:rsidR="00901505" w:rsidRPr="00342143">
        <w:rPr>
          <w:szCs w:val="22"/>
        </w:rPr>
        <w:instrText xml:space="preserve"> ADDIN EN.CITE </w:instrText>
      </w:r>
      <w:r w:rsidR="00901505" w:rsidRPr="00342143">
        <w:rPr>
          <w:szCs w:val="22"/>
        </w:rPr>
        <w:fldChar w:fldCharType="begin">
          <w:fldData xml:space="preserve">PEVuZE5vdGU+PENpdGU+PEF1dGhvcj5Jc21haWw8L0F1dGhvcj48WWVhcj4yMDE4PC9ZZWFyPjxS
ZWNOdW0+MTE1OTM8L1JlY051bT48RGlzcGxheVRleHQ+KElzbWFpbCBldCBhbC4sIDIwMThhOyBM
ZWlrYXMgZXQgYWwuLCAyMDIzYSk8L0Rpc3BsYXlUZXh0PjxyZWNvcmQ+PHJlYy1udW1iZXI+MTE1
OTM8L3JlYy1udW1iZXI+PGZvcmVpZ24ta2V5cz48a2V5IGFwcD0iRU4iIGRiLWlkPSJ2ZjIyYXgw
cm9lOXNzY2U1NXIwdnJlemlyd2R0djUyZWRyeHMiIHRpbWVzdGFtcD0iMTYyNTEwOTk1NiI+MTE1
OTM8L2tleT48L2ZvcmVpZ24ta2V5cz48cmVmLXR5cGUgbmFtZT0iSm91cm5hbCBBcnRpY2xlIj4x
NzwvcmVmLXR5cGU+PGNvbnRyaWJ1dG9ycz48YXV0aG9ycz48YXV0aG9yPklzbWFpbCwgQXNocmFm
YWxpIE08L2F1dGhvcj48YXV0aG9yPkN1aSwgVGlhbmdlPC9hdXRob3I+PGF1dGhvcj5Eb21tYXJh
anUsIEthbHBhbmE8L2F1dGhvcj48YXV0aG9yPlNpbmdoLCBHdXJkZWVwPC9hdXRob3I+PGF1dGhv
cj5EZWhnaGFuLCBTaG9hbGVoPC9hdXRob3I+PGF1dGhvcj5TZXRvLCBKYXNvbjwvYXV0aG9yPjxh
dXRob3I+U2hyaXZhc3RhdmEsIFN1c21pdGE8L2F1dGhvcj48YXV0aG9yPkZlZG9yb3ZhLCBOYWRp
YSBCPC9hdXRob3I+PGF1dGhvcj5HdXB0YSwgTmVoYTwvYXV0aG9yPjxhdXRob3I+U3RvY2t3ZWxs
LCBUaW1vdGh5IEIgJUogRW1lcmdpbmcgbWljcm9iZXM8L2F1dGhvcj48YXV0aG9yPmluZmVjdGlv
bnM8L2F1dGhvcj48L2F1dGhvcnM+PC9jb250cmlidXRvcnM+PHRpdGxlcz48dGl0bGU+R2Vub21p
YyBhbmFseXNpcyBvZiBhIGxhcmdlIHNldCBvZiBjdXJyZW50bHnigJRhbmQgaGlzdG9yaWNhbGx5
4oCUaW1wb3J0YW50IGh1bWFuIGFkZW5vdmlydXMgcGF0aG9nZW5zPC90aXRsZT48c2Vjb25kYXJ5
LXRpdGxlPkVtZXJnaW5nIE1pY3JvYmVzICZhbXA7IEluZmVjdGlvbnM8L3NlY29uZGFyeS10aXRs
ZT48L3RpdGxlcz48cGVyaW9kaWNhbD48ZnVsbC10aXRsZT5FbWVyZ2luZyBNaWNyb2JlcyAmYW1w
OyBJbmZlY3Rpb25zPC9mdWxsLXRpdGxlPjwvcGVyaW9kaWNhbD48cGFnZXM+MS0yMjwvcGFnZXM+
PHZvbHVtZT43PC92b2x1bWU+PG51bWJlcj4xPC9udW1iZXI+PGRhdGVzPjx5ZWFyPjIwMTg8L3ll
YXI+PC9kYXRlcz48aXNibj4yMjIyLTE3NTE8L2lzYm4+PHVybHM+PC91cmxzPjwvcmVjb3JkPjwv
Q2l0ZT48Q2l0ZT48QXV0aG9yPkxlaWthczwvQXV0aG9yPjxZZWFyPjIwMjM8L1llYXI+PFJlY051
bT4xNjM8L1JlY051bT48cmVjb3JkPjxyZWMtbnVtYmVyPjE2MzwvcmVjLW51bWJlcj48Zm9yZWln
bi1rZXlzPjxrZXkgYXBwPSJFTiIgZGItaWQ9InZlcndlMmZ4ajVmZXY3ZXBmejh4dGR2ZXowMjVm
ZXNlemUweiIgdGltZXN0YW1wPSIxNzMzMjc1MzkzIj4xNjM8L2tleT48L2ZvcmVpZ24ta2V5cz48
cmVmLXR5cGUgbmFtZT0iSm91cm5hbCBBcnRpY2xlIj4xNzwvcmVmLXR5cGU+PGNvbnRyaWJ1dG9y
cz48YXV0aG9ycz48YXV0aG9yPkxlaWthcywgQWxla3NpIEo8L2F1dGhvcj48YXV0aG9yPllsw6Qt
SGVydHR1YWxhLCBTZXBwbzwvYXV0aG9yPjxhdXRob3I+SGFydGlrYWluZW4sIEp1aGEgRUs8L2F1
dGhvcj48L2F1dGhvcnM+PC9jb250cmlidXRvcnM+PHRpdGxlcz48dGl0bGU+QWRlbm92aXJhbCBH
ZW5lIFRoZXJhcHkgVmVjdG9ycyBpbiBDbGluaWNhbCBVc2XigJRCYXNpYyBBc3BlY3RzIHdpdGgg
YSBTcGVjaWFsIFJlZmVyZW5jZSB0byBSZXBsaWNhdGlvbi1Db21wZXRlbnQgQWRlbm92aXJ1cyBG
b3JtYXRpb24gYW5kIEl0cyBJbXBhY3Qgb24gQ2xpbmljYWwgU2FmZXR5PC90aXRsZT48c2Vjb25k
YXJ5LXRpdGxlPkludGVybmF0aW9uYWwgSm91cm5hbCBvZiBNb2xlY3VsYXIgU2NpZW5jZXM8L3Nl
Y29uZGFyeS10aXRsZT48L3RpdGxlcz48cGVyaW9kaWNhbD48ZnVsbC10aXRsZT5JbnRlcm5hdGlv
bmFsIEpvdXJuYWwgb2YgTW9sZWN1bGFyIFNjaWVuY2VzPC9mdWxsLXRpdGxlPjwvcGVyaW9kaWNh
bD48cGFnZXM+MTY1MTk8L3BhZ2VzPjx2b2x1bWU+MjQ8L3ZvbHVtZT48bnVtYmVyPjIyPC9udW1i
ZXI+PGRhdGVzPjx5ZWFyPjIwMjM8L3llYXI+PC9kYXRlcz48aXNibj4xNDIyLTAwNjc8L2lzYm4+
PHVybHM+PC91cmxzPjwvcmVjb3JkPjwvQ2l0ZT48L0VuZE5vdGU+
</w:fldData>
        </w:fldChar>
      </w:r>
      <w:r w:rsidR="00901505" w:rsidRPr="00342143">
        <w:rPr>
          <w:szCs w:val="22"/>
        </w:rPr>
        <w:instrText xml:space="preserve"> ADDIN EN.CITE.DATA </w:instrText>
      </w:r>
      <w:r w:rsidR="00901505" w:rsidRPr="00342143">
        <w:rPr>
          <w:szCs w:val="22"/>
        </w:rPr>
      </w:r>
      <w:r w:rsidR="00901505" w:rsidRPr="00342143">
        <w:rPr>
          <w:szCs w:val="22"/>
        </w:rPr>
        <w:fldChar w:fldCharType="end"/>
      </w:r>
      <w:r w:rsidR="007E7CF4" w:rsidRPr="00342143">
        <w:rPr>
          <w:szCs w:val="22"/>
        </w:rPr>
      </w:r>
      <w:r w:rsidR="007E7CF4" w:rsidRPr="00342143">
        <w:rPr>
          <w:szCs w:val="22"/>
        </w:rPr>
        <w:fldChar w:fldCharType="separate"/>
      </w:r>
      <w:r w:rsidR="00AE6FB5" w:rsidRPr="00342143">
        <w:rPr>
          <w:noProof/>
          <w:szCs w:val="22"/>
        </w:rPr>
        <w:t>(</w:t>
      </w:r>
      <w:hyperlink w:anchor="_ENREF_41" w:tooltip="Ismail, 2018 #11593" w:history="1">
        <w:r w:rsidR="0027195B" w:rsidRPr="00342143">
          <w:rPr>
            <w:noProof/>
            <w:szCs w:val="22"/>
          </w:rPr>
          <w:t>Ismail et al., 2018a</w:t>
        </w:r>
      </w:hyperlink>
      <w:r w:rsidR="00AE6FB5" w:rsidRPr="00342143">
        <w:rPr>
          <w:noProof/>
          <w:szCs w:val="22"/>
        </w:rPr>
        <w:t xml:space="preserve">; </w:t>
      </w:r>
      <w:hyperlink w:anchor="_ENREF_50" w:tooltip="Leikas, 2023 #163" w:history="1">
        <w:r w:rsidR="0027195B" w:rsidRPr="00342143">
          <w:rPr>
            <w:noProof/>
            <w:szCs w:val="22"/>
          </w:rPr>
          <w:t>Leikas et al., 2023a</w:t>
        </w:r>
      </w:hyperlink>
      <w:r w:rsidR="00AE6FB5" w:rsidRPr="00342143">
        <w:rPr>
          <w:noProof/>
          <w:szCs w:val="22"/>
        </w:rPr>
        <w:t>)</w:t>
      </w:r>
      <w:r w:rsidR="007E7CF4" w:rsidRPr="00342143">
        <w:rPr>
          <w:szCs w:val="22"/>
        </w:rPr>
        <w:fldChar w:fldCharType="end"/>
      </w:r>
      <w:r w:rsidR="0008671A" w:rsidRPr="00342143">
        <w:rPr>
          <w:szCs w:val="22"/>
        </w:rPr>
        <w:t xml:space="preserve">. </w:t>
      </w:r>
    </w:p>
    <w:p w14:paraId="25176EC5" w14:textId="2098E761" w:rsidR="00D5389D" w:rsidRPr="00342143" w:rsidRDefault="001301FE" w:rsidP="00D5389D">
      <w:pPr>
        <w:pStyle w:val="RARMPnumberedparagraphs"/>
        <w:rPr>
          <w:rFonts w:cs="Calibri"/>
          <w:szCs w:val="22"/>
        </w:rPr>
      </w:pPr>
      <w:r w:rsidRPr="00342143">
        <w:rPr>
          <w:szCs w:val="22"/>
        </w:rPr>
        <w:t xml:space="preserve">Human adenovirus-C5 belongs to species C, which comprises 5 serotypes (C1, C2, C5, C6 and C57) that are commonly associated with acute respiratory tract infections in children </w:t>
      </w:r>
      <w:r w:rsidRPr="00342143">
        <w:rPr>
          <w:szCs w:val="22"/>
        </w:rPr>
        <w:fldChar w:fldCharType="begin">
          <w:fldData xml:space="preserve">PEVuZE5vdGU+PENpdGU+PEF1dGhvcj5XdXJ6ZWw8L0F1dGhvcj48WWVhcj4yMDE0PC9ZZWFyPjxS
ZWNOdW0+MzI8L1JlY051bT48RGlzcGxheVRleHQ+KE1lbm5lY2hldCBldCBhbC4sIDIwMTliOyBX
dXJ6ZWwgZXQgYWwuLCAyMDE0KTwvRGlzcGxheVRleHQ+PHJlY29yZD48cmVjLW51bWJlcj4zMjwv
cmVjLW51bWJlcj48Zm9yZWlnbi1rZXlzPjxrZXkgYXBwPSJFTiIgZGItaWQ9ImRwYXNlMmUyb3o1
cndjZTlhenNwcDk1bmY5eHZzd3hwMnJ2ZCIgdGltZXN0YW1wPSIxNzY1MjQzNjk5Ij4zMjwva2V5
PjwvZm9yZWlnbi1rZXlzPjxyZWYtdHlwZSBuYW1lPSJKb3VybmFsIEFydGljbGUiPjE3PC9yZWYt
dHlwZT48Y29udHJpYnV0b3JzPjxhdXRob3JzPjxhdXRob3I+V3VyemVsLCBELiBGLjwvYXV0aG9y
PjxhdXRob3I+TWFja2F5LCBJLiBNLjwvYXV0aG9yPjxhdXRob3I+TWFyY2hhbnQsIEouIE0uPC9h
dXRob3I+PGF1dGhvcj5XYW5nLCBDLiBZLjwvYXV0aG9yPjxhdXRob3I+WWVya292aWNoLCBTLiBU
LjwvYXV0aG9yPjxhdXRob3I+VXBoYW0sIEouIFcuPC9hdXRob3I+PGF1dGhvcj5TbWl0aC1WYXVn
aGFuLCBILiBDLjwvYXV0aG9yPjxhdXRob3I+UGV0c2t5LCBILiBMLjwvYXV0aG9yPjxhdXRob3I+
Q2hhbmcsIEEuIEIuPC9hdXRob3I+PC9hdXRob3JzPjwvY29udHJpYnV0b3JzPjxhdXRoLWFkZHJl
c3M+UXVlZW5zbGFuZCBDaGlsZHJlbiZhcG9zO3MgTWVkaWNhbCBSZXNlYXJjaCBJbnN0aXR1dGUs
IFRoZSBVbml2ZXJzaXR5IG9mIFF1ZWVuc2xhbmQgUXVlZW5zbGFuZCBDaGlsZHJlbiZhcG9zO3Mg
UmVzcGlyYXRvcnkgQ2VudHJlLCBSb3lhbCBDaGlsZHJlbiZhcG9zO3MgSG9zcGl0YWwuJiN4RDtR
dWVlbnNsYW5kIFBhZWRpYXRyaWMgSW5mZWN0aW91cyBEaXNlYXNlcyBMYWJvcmF0b3J5LCBRdWVl
bnNsYW5kIENoaWxkcmVuJmFwb3M7cyBNZWRpY2FsIFJlc2VhcmNoIEluc3RpdHV0ZSwgU2lyIEFs
YmVydCBTYWt6ZXdza2kgVmlydXMgUmVzZWFyY2ggQ2VudHJlLCBDaGlsZHJlbiZhcG9zO3MgSGVh
bHRoIFF1ZWVuc2xhbmQgSG9zcGl0YWwgYW5kIEhlYWx0aCBTZXJ2aWNlLCBUaGUgVW5pdmVyc2l0
eSBvZiBRdWVlbnNsYW5kLCBIZXJzdG9uLiYjeEQ7UXVlZW5zbGFuZCBMdW5nIFRyYW5zcGxhbnQg
U2VydmljZSwgUHJpbmNlIENoYXJsZXMgSG9zcGl0YWwuJiN4RDtTY2hvb2wgb2YgTWVkaWNpbmUs
IFRoZSBVbml2ZXJzaXR5IG9mIFF1ZWVuc2xhbmQsIEJyaXNiYW5lLiYjeEQ7Q2hpbGQgSGVhbHRo
IERpdmlzaW9uLCBNZW56aWVzIFNjaG9vbCBvZiBIZWFsdGggUmVzZWFyY2gsIENoYXJsZXMgRGFy
d2luIFVuaXZlcnNpdHksIERhcndpbiwgQXVzdHJhbGlhLiYjeEQ7UXVlZW5zbGFuZCBDaGlsZHJl
biZhcG9zO3MgUmVzcGlyYXRvcnkgQ2VudHJlLCBSb3lhbCBDaGlsZHJlbiZhcG9zO3MgSG9zcGl0
YWwgUXVlZW5zbGFuZCBDaGlsZHJlbiZhcG9zO3MgTWVkaWNhbCBSZXNlYXJjaCBJbnN0aXR1dGUs
IFF1ZWVuc2xhbmQgVW5pdmVyc2l0eSBvZiBUZWNobm9sb2d5LCBCcmlzYmFuZS4mI3hEO1F1ZWVu
c2xhbmQgQ2hpbGRyZW4mYXBvcztzIFJlc3BpcmF0b3J5IENlbnRyZSwgUm95YWwgQ2hpbGRyZW4m
YXBvcztzIEhvc3BpdGFsIFF1ZWVuc2xhbmQgQ2hpbGRyZW4mYXBvcztzIE1lZGljYWwgUmVzZWFy
Y2ggSW5zdGl0dXRlLCBRdWVlbnNsYW5kIFVuaXZlcnNpdHkgb2YgVGVjaG5vbG9neSwgQnJpc2Jh
bmUgQ2hpbGQgSGVhbHRoIERpdmlzaW9uLCBNZW56aWVzIFNjaG9vbCBvZiBIZWFsdGggUmVzZWFy
Y2gsIENoYXJsZXMgRGFyd2luIFVuaXZlcnNpdHksIERhcndpbiwgQXVzdHJhbGlhLjwvYXV0aC1h
ZGRyZXNzPjx0aXRsZXM+PHRpdGxlPkFkZW5vdmlydXMgc3BlY2llcyBDIGlzIGFzc29jaWF0ZWQg
d2l0aCBjaHJvbmljIHN1cHB1cmF0aXZlIGx1bmcgZGlzZWFzZXMgaW4gY2hpbGRyZW48L3RpdGxl
PjxzZWNvbmRhcnktdGl0bGU+Q2xpbiBJbmZlY3QgRGlzPC9zZWNvbmRhcnktdGl0bGU+PC90aXRs
ZXM+PHBlcmlvZGljYWw+PGZ1bGwtdGl0bGU+Q2xpbiBJbmZlY3QgRGlzPC9mdWxsLXRpdGxlPjwv
cGVyaW9kaWNhbD48cGFnZXM+MzQtNDA8L3BhZ2VzPjx2b2x1bWU+NTk8L3ZvbHVtZT48bnVtYmVy
PjE8L251bWJlcj48ZWRpdGlvbj4yMDE0LzA0LzIyPC9lZGl0aW9uPjxrZXl3b3Jkcz48a2V5d29y
ZD5BZGVub3ZpcnVzIEluZmVjdGlvbnMsIEh1bWFuL2VwaWRlbWlvbG9neS8qdmlyb2xvZ3k8L2tl
eXdvcmQ+PGtleXdvcmQ+QWRlbm92aXJ1c2VzLCBIdW1hbi8qY2xhc3NpZmljYXRpb24vZ2VuZXRp
Y3MvaXNvbGF0aW9uICZhbXA7IHB1cmlmaWNhdGlvbjwva2V5d29yZD48a2V5d29yZD5Ccm9uY2hp
b2xpdGlzLCBWaXJhbC9lcGlkZW1pb2xvZ3kvKnZpcm9sb2d5PC9rZXl3b3JkPjxrZXl3b3JkPkJy
b25jaG9hbHZlb2xhciBMYXZhZ2UgRmx1aWQvdmlyb2xvZ3k8L2tleXdvcmQ+PGtleXdvcmQ+Q2hp
bGQ8L2tleXdvcmQ+PGtleXdvcmQ+Q2hpbGQsIFByZXNjaG9vbDwva2V5d29yZD48a2V5d29yZD5D
aHJvbmljIERpc2Vhc2U8L2tleXdvcmQ+PGtleXdvcmQ+Q29ob3J0IFN0dWRpZXM8L2tleXdvcmQ+
PGtleXdvcmQ+RmVtYWxlPC9rZXl3b3JkPjxrZXl3b3JkPkdlbm90eXBpbmcgVGVjaG5pcXVlczwv
a2V5d29yZD48a2V5d29yZD5IdW1hbnM8L2tleXdvcmQ+PGtleXdvcmQ+SW5mYW50PC9rZXl3b3Jk
PjxrZXl3b3JkPkxvbmdpdHVkaW5hbCBTdHVkaWVzPC9rZXl3b3JkPjxrZXl3b3JkPk1hbGU8L2tl
eXdvcmQ+PGtleXdvcmQ+UHJvc3BlY3RpdmUgU3R1ZGllczwva2V5d29yZD48a2V5d29yZD5icm9u
Y2hpZWN0YXNpczwva2V5d29yZD48a2V5d29yZD5jaGlsZHJlbjwva2V5d29yZD48a2V5d29yZD5w
cm90cmFjdGVkIGJhY3RlcmlhbCBicm9uY2hpdGlzPC9rZXl3b3JkPjxrZXl3b3JkPnJlc3BpcmF0
b3J5IGJhY3RlcmlhPC9rZXl3b3JkPjxrZXl3b3JkPnJlc3BpcmF0b3J5IHZpcnVzZXM8L2tleXdv
cmQ+PC9rZXl3b3Jkcz48ZGF0ZXM+PHllYXI+MjAxNDwveWVhcj48cHViLWRhdGVzPjxkYXRlPkp1
bCAxPC9kYXRlPjwvcHViLWRhdGVzPjwvZGF0ZXM+PGlzYm4+MTA1OC00ODM4IChQcmludCkmI3hE
OzEwNTgtNDgzODwvaXNibj48YWNjZXNzaW9uLW51bT4yNDc0ODUxOTwvYWNjZXNzaW9uLW51bT48
dXJscz48L3VybHM+PGN1c3RvbTI+UE1DNDMwNTEzNzwvY3VzdG9tMj48ZWxlY3Ryb25pYy1yZXNv
dXJjZS1udW0+MTAuMTA5My9jaWQvY2l1MjI1PC9lbGVjdHJvbmljLXJlc291cmNlLW51bT48cmVt
b3RlLWRhdGFiYXNlLXByb3ZpZGVyPk5MTTwvcmVtb3RlLWRhdGFiYXNlLXByb3ZpZGVyPjxsYW5n
dWFnZT5lbmc8L2xhbmd1YWdlPjwvcmVjb3JkPjwvQ2l0ZT48Q2l0ZT48QXV0aG9yPk1lbm5lY2hl
dDwvQXV0aG9yPjxZZWFyPjIwMTk8L1llYXI+PFJlY051bT4zMTwvUmVjTnVtPjxyZWNvcmQ+PHJl
Yy1udW1iZXI+MzE8L3JlYy1udW1iZXI+PGZvcmVpZ24ta2V5cz48a2V5IGFwcD0iRU4iIGRiLWlk
PSJkcGFzZTJlMm96NXJ3Y2U5YXpzcHA5NW5mOXh2c3d4cDJydmQiIHRpbWVzdGFtcD0iMTc2NTI0
MzY4NCI+MzE8L2tleT48L2ZvcmVpZ24ta2V5cz48cmVmLXR5cGUgbmFtZT0iSm91cm5hbCBBcnRp
Y2xlIj4xNzwvcmVmLXR5cGU+PGNvbnRyaWJ1dG9ycz48YXV0aG9ycz48YXV0aG9yPk1lbm5lY2hl
dCwgRnJhbmNrIEouIEQuPC9hdXRob3I+PGF1dGhvcj5QYXJpcywgT2PDqWFuZTwvYXV0aG9yPjxh
dXRob3I+T3VvYmEsIEFsaW5lIFJhaXNzYTwvYXV0aG9yPjxhdXRob3I+U2FsYXphciBBcmVuYXMs
IFNvZmlhPC9hdXRob3I+PGF1dGhvcj5TaXJpbWEsIFNvZGlvbW9uIEIuPC9hdXRob3I+PGF1dGhv
cj5UYWtvdWRqb3UgRHpvbW8sIEd1eSBSLjwvYXV0aG9yPjxhdXRob3I+RGlhcnJhLCBBbWlkb3U8
L2F1dGhvcj48YXV0aG9yPlRyYW9yZSwgSXNpZG9yZSBULjwvYXV0aG9yPjxhdXRob3I+S2FuaWEs
IERyYW1hbmU8L2F1dGhvcj48YXV0aG9yPkVpY2hob2x6LCBLYXJzdGVuPC9hdXRob3I+PGF1dGhv
cj5XZWF2ZXIsIEVyaWMgQS48L2F1dGhvcj48YXV0aG9yPlR1YWlsbG9uLCBFZG91YXJkPC9hdXRo
b3I+PGF1dGhvcj5LcmVtZXIsIEVyaWMgSi48L2F1dGhvcj48L2F1dGhvcnM+PC9jb250cmlidXRv
cnM+PHRpdGxlcz48dGl0bGU+QSByZXZpZXcgb2YgNjUgeWVhcnMgb2YgaHVtYW4gYWRlbm92aXJ1
cyBzZXJvcHJldmFsZW5jZTwvdGl0bGU+PHNlY29uZGFyeS10aXRsZT5FeHBlcnQgUmV2aWV3IG9m
IFZhY2NpbmVzPC9zZWNvbmRhcnktdGl0bGU+PC90aXRsZXM+PHBlcmlvZGljYWw+PGZ1bGwtdGl0
bGU+RXhwZXJ0IFJldmlldyBvZiBWYWNjaW5lczwvZnVsbC10aXRsZT48L3BlcmlvZGljYWw+PHBh
Z2VzPjU5Ny02MTM8L3BhZ2VzPjx2b2x1bWU+MTg8L3ZvbHVtZT48bnVtYmVyPjY8L251bWJlcj48
ZGF0ZXM+PHllYXI+MjAxOTwveWVhcj48cHViLWRhdGVzPjxkYXRlPjIwMTkvMDYvMDM8L2RhdGU+
PC9wdWItZGF0ZXM+PC9kYXRlcz48cHVibGlzaGVyPlRheWxvciAmYW1wOyBGcmFuY2lzPC9wdWJs
aXNoZXI+PGlzYm4+MTQ3Ni0wNTg0PC9pc2JuPjx1cmxzPjxyZWxhdGVkLXVybHM+PHVybD5odHRw
czovL2RvaS5vcmcvMTAuMTA4MC8xNDc2MDU4NC4yMDE5LjE1ODgxMTM8L3VybD48L3JlbGF0ZWQt
dXJscz48L3VybHM+PGVsZWN0cm9uaWMtcmVzb3VyY2UtbnVtPjEwLjEwODAvMTQ3NjA1ODQuMjAx
OS4xNTg4MTEzPC9lbGVjdHJvbmljLXJlc291cmNlLW51bT48L3JlY29yZD48L0NpdGU+PC9FbmRO
b3RlPgB=
</w:fldData>
        </w:fldChar>
      </w:r>
      <w:r w:rsidR="002219B9">
        <w:rPr>
          <w:szCs w:val="22"/>
        </w:rPr>
        <w:instrText xml:space="preserve"> ADDIN EN.CITE </w:instrText>
      </w:r>
      <w:r w:rsidR="002219B9">
        <w:rPr>
          <w:szCs w:val="22"/>
        </w:rPr>
        <w:fldChar w:fldCharType="begin">
          <w:fldData xml:space="preserve">PEVuZE5vdGU+PENpdGU+PEF1dGhvcj5XdXJ6ZWw8L0F1dGhvcj48WWVhcj4yMDE0PC9ZZWFyPjxS
ZWNOdW0+MzI8L1JlY051bT48RGlzcGxheVRleHQ+KE1lbm5lY2hldCBldCBhbC4sIDIwMTliOyBX
dXJ6ZWwgZXQgYWwuLCAyMDE0KTwvRGlzcGxheVRleHQ+PHJlY29yZD48cmVjLW51bWJlcj4zMjwv
cmVjLW51bWJlcj48Zm9yZWlnbi1rZXlzPjxrZXkgYXBwPSJFTiIgZGItaWQ9ImRwYXNlMmUyb3o1
cndjZTlhenNwcDk1bmY5eHZzd3hwMnJ2ZCIgdGltZXN0YW1wPSIxNzY1MjQzNjk5Ij4zMjwva2V5
PjwvZm9yZWlnbi1rZXlzPjxyZWYtdHlwZSBuYW1lPSJKb3VybmFsIEFydGljbGUiPjE3PC9yZWYt
dHlwZT48Y29udHJpYnV0b3JzPjxhdXRob3JzPjxhdXRob3I+V3VyemVsLCBELiBGLjwvYXV0aG9y
PjxhdXRob3I+TWFja2F5LCBJLiBNLjwvYXV0aG9yPjxhdXRob3I+TWFyY2hhbnQsIEouIE0uPC9h
dXRob3I+PGF1dGhvcj5XYW5nLCBDLiBZLjwvYXV0aG9yPjxhdXRob3I+WWVya292aWNoLCBTLiBU
LjwvYXV0aG9yPjxhdXRob3I+VXBoYW0sIEouIFcuPC9hdXRob3I+PGF1dGhvcj5TbWl0aC1WYXVn
aGFuLCBILiBDLjwvYXV0aG9yPjxhdXRob3I+UGV0c2t5LCBILiBMLjwvYXV0aG9yPjxhdXRob3I+
Q2hhbmcsIEEuIEIuPC9hdXRob3I+PC9hdXRob3JzPjwvY29udHJpYnV0b3JzPjxhdXRoLWFkZHJl
c3M+UXVlZW5zbGFuZCBDaGlsZHJlbiZhcG9zO3MgTWVkaWNhbCBSZXNlYXJjaCBJbnN0aXR1dGUs
IFRoZSBVbml2ZXJzaXR5IG9mIFF1ZWVuc2xhbmQgUXVlZW5zbGFuZCBDaGlsZHJlbiZhcG9zO3Mg
UmVzcGlyYXRvcnkgQ2VudHJlLCBSb3lhbCBDaGlsZHJlbiZhcG9zO3MgSG9zcGl0YWwuJiN4RDtR
dWVlbnNsYW5kIFBhZWRpYXRyaWMgSW5mZWN0aW91cyBEaXNlYXNlcyBMYWJvcmF0b3J5LCBRdWVl
bnNsYW5kIENoaWxkcmVuJmFwb3M7cyBNZWRpY2FsIFJlc2VhcmNoIEluc3RpdHV0ZSwgU2lyIEFs
YmVydCBTYWt6ZXdza2kgVmlydXMgUmVzZWFyY2ggQ2VudHJlLCBDaGlsZHJlbiZhcG9zO3MgSGVh
bHRoIFF1ZWVuc2xhbmQgSG9zcGl0YWwgYW5kIEhlYWx0aCBTZXJ2aWNlLCBUaGUgVW5pdmVyc2l0
eSBvZiBRdWVlbnNsYW5kLCBIZXJzdG9uLiYjeEQ7UXVlZW5zbGFuZCBMdW5nIFRyYW5zcGxhbnQg
U2VydmljZSwgUHJpbmNlIENoYXJsZXMgSG9zcGl0YWwuJiN4RDtTY2hvb2wgb2YgTWVkaWNpbmUs
IFRoZSBVbml2ZXJzaXR5IG9mIFF1ZWVuc2xhbmQsIEJyaXNiYW5lLiYjeEQ7Q2hpbGQgSGVhbHRo
IERpdmlzaW9uLCBNZW56aWVzIFNjaG9vbCBvZiBIZWFsdGggUmVzZWFyY2gsIENoYXJsZXMgRGFy
d2luIFVuaXZlcnNpdHksIERhcndpbiwgQXVzdHJhbGlhLiYjeEQ7UXVlZW5zbGFuZCBDaGlsZHJl
biZhcG9zO3MgUmVzcGlyYXRvcnkgQ2VudHJlLCBSb3lhbCBDaGlsZHJlbiZhcG9zO3MgSG9zcGl0
YWwgUXVlZW5zbGFuZCBDaGlsZHJlbiZhcG9zO3MgTWVkaWNhbCBSZXNlYXJjaCBJbnN0aXR1dGUs
IFF1ZWVuc2xhbmQgVW5pdmVyc2l0eSBvZiBUZWNobm9sb2d5LCBCcmlzYmFuZS4mI3hEO1F1ZWVu
c2xhbmQgQ2hpbGRyZW4mYXBvcztzIFJlc3BpcmF0b3J5IENlbnRyZSwgUm95YWwgQ2hpbGRyZW4m
YXBvcztzIEhvc3BpdGFsIFF1ZWVuc2xhbmQgQ2hpbGRyZW4mYXBvcztzIE1lZGljYWwgUmVzZWFy
Y2ggSW5zdGl0dXRlLCBRdWVlbnNsYW5kIFVuaXZlcnNpdHkgb2YgVGVjaG5vbG9neSwgQnJpc2Jh
bmUgQ2hpbGQgSGVhbHRoIERpdmlzaW9uLCBNZW56aWVzIFNjaG9vbCBvZiBIZWFsdGggUmVzZWFy
Y2gsIENoYXJsZXMgRGFyd2luIFVuaXZlcnNpdHksIERhcndpbiwgQXVzdHJhbGlhLjwvYXV0aC1h
ZGRyZXNzPjx0aXRsZXM+PHRpdGxlPkFkZW5vdmlydXMgc3BlY2llcyBDIGlzIGFzc29jaWF0ZWQg
d2l0aCBjaHJvbmljIHN1cHB1cmF0aXZlIGx1bmcgZGlzZWFzZXMgaW4gY2hpbGRyZW48L3RpdGxl
PjxzZWNvbmRhcnktdGl0bGU+Q2xpbiBJbmZlY3QgRGlzPC9zZWNvbmRhcnktdGl0bGU+PC90aXRs
ZXM+PHBlcmlvZGljYWw+PGZ1bGwtdGl0bGU+Q2xpbiBJbmZlY3QgRGlzPC9mdWxsLXRpdGxlPjwv
cGVyaW9kaWNhbD48cGFnZXM+MzQtNDA8L3BhZ2VzPjx2b2x1bWU+NTk8L3ZvbHVtZT48bnVtYmVy
PjE8L251bWJlcj48ZWRpdGlvbj4yMDE0LzA0LzIyPC9lZGl0aW9uPjxrZXl3b3Jkcz48a2V5d29y
ZD5BZGVub3ZpcnVzIEluZmVjdGlvbnMsIEh1bWFuL2VwaWRlbWlvbG9neS8qdmlyb2xvZ3k8L2tl
eXdvcmQ+PGtleXdvcmQ+QWRlbm92aXJ1c2VzLCBIdW1hbi8qY2xhc3NpZmljYXRpb24vZ2VuZXRp
Y3MvaXNvbGF0aW9uICZhbXA7IHB1cmlmaWNhdGlvbjwva2V5d29yZD48a2V5d29yZD5Ccm9uY2hp
b2xpdGlzLCBWaXJhbC9lcGlkZW1pb2xvZ3kvKnZpcm9sb2d5PC9rZXl3b3JkPjxrZXl3b3JkPkJy
b25jaG9hbHZlb2xhciBMYXZhZ2UgRmx1aWQvdmlyb2xvZ3k8L2tleXdvcmQ+PGtleXdvcmQ+Q2hp
bGQ8L2tleXdvcmQ+PGtleXdvcmQ+Q2hpbGQsIFByZXNjaG9vbDwva2V5d29yZD48a2V5d29yZD5D
aHJvbmljIERpc2Vhc2U8L2tleXdvcmQ+PGtleXdvcmQ+Q29ob3J0IFN0dWRpZXM8L2tleXdvcmQ+
PGtleXdvcmQ+RmVtYWxlPC9rZXl3b3JkPjxrZXl3b3JkPkdlbm90eXBpbmcgVGVjaG5pcXVlczwv
a2V5d29yZD48a2V5d29yZD5IdW1hbnM8L2tleXdvcmQ+PGtleXdvcmQ+SW5mYW50PC9rZXl3b3Jk
PjxrZXl3b3JkPkxvbmdpdHVkaW5hbCBTdHVkaWVzPC9rZXl3b3JkPjxrZXl3b3JkPk1hbGU8L2tl
eXdvcmQ+PGtleXdvcmQ+UHJvc3BlY3RpdmUgU3R1ZGllczwva2V5d29yZD48a2V5d29yZD5icm9u
Y2hpZWN0YXNpczwva2V5d29yZD48a2V5d29yZD5jaGlsZHJlbjwva2V5d29yZD48a2V5d29yZD5w
cm90cmFjdGVkIGJhY3RlcmlhbCBicm9uY2hpdGlzPC9rZXl3b3JkPjxrZXl3b3JkPnJlc3BpcmF0
b3J5IGJhY3RlcmlhPC9rZXl3b3JkPjxrZXl3b3JkPnJlc3BpcmF0b3J5IHZpcnVzZXM8L2tleXdv
cmQ+PC9rZXl3b3Jkcz48ZGF0ZXM+PHllYXI+MjAxNDwveWVhcj48cHViLWRhdGVzPjxkYXRlPkp1
bCAxPC9kYXRlPjwvcHViLWRhdGVzPjwvZGF0ZXM+PGlzYm4+MTA1OC00ODM4IChQcmludCkmI3hE
OzEwNTgtNDgzODwvaXNibj48YWNjZXNzaW9uLW51bT4yNDc0ODUxOTwvYWNjZXNzaW9uLW51bT48
dXJscz48L3VybHM+PGN1c3RvbTI+UE1DNDMwNTEzNzwvY3VzdG9tMj48ZWxlY3Ryb25pYy1yZXNv
dXJjZS1udW0+MTAuMTA5My9jaWQvY2l1MjI1PC9lbGVjdHJvbmljLXJlc291cmNlLW51bT48cmVt
b3RlLWRhdGFiYXNlLXByb3ZpZGVyPk5MTTwvcmVtb3RlLWRhdGFiYXNlLXByb3ZpZGVyPjxsYW5n
dWFnZT5lbmc8L2xhbmd1YWdlPjwvcmVjb3JkPjwvQ2l0ZT48Q2l0ZT48QXV0aG9yPk1lbm5lY2hl
dDwvQXV0aG9yPjxZZWFyPjIwMTk8L1llYXI+PFJlY051bT4zMTwvUmVjTnVtPjxyZWNvcmQ+PHJl
Yy1udW1iZXI+MzE8L3JlYy1udW1iZXI+PGZvcmVpZ24ta2V5cz48a2V5IGFwcD0iRU4iIGRiLWlk
PSJkcGFzZTJlMm96NXJ3Y2U5YXpzcHA5NW5mOXh2c3d4cDJydmQiIHRpbWVzdGFtcD0iMTc2NTI0
MzY4NCI+MzE8L2tleT48L2ZvcmVpZ24ta2V5cz48cmVmLXR5cGUgbmFtZT0iSm91cm5hbCBBcnRp
Y2xlIj4xNzwvcmVmLXR5cGU+PGNvbnRyaWJ1dG9ycz48YXV0aG9ycz48YXV0aG9yPk1lbm5lY2hl
dCwgRnJhbmNrIEouIEQuPC9hdXRob3I+PGF1dGhvcj5QYXJpcywgT2PDqWFuZTwvYXV0aG9yPjxh
dXRob3I+T3VvYmEsIEFsaW5lIFJhaXNzYTwvYXV0aG9yPjxhdXRob3I+U2FsYXphciBBcmVuYXMs
IFNvZmlhPC9hdXRob3I+PGF1dGhvcj5TaXJpbWEsIFNvZGlvbW9uIEIuPC9hdXRob3I+PGF1dGhv
cj5UYWtvdWRqb3UgRHpvbW8sIEd1eSBSLjwvYXV0aG9yPjxhdXRob3I+RGlhcnJhLCBBbWlkb3U8
L2F1dGhvcj48YXV0aG9yPlRyYW9yZSwgSXNpZG9yZSBULjwvYXV0aG9yPjxhdXRob3I+S2FuaWEs
IERyYW1hbmU8L2F1dGhvcj48YXV0aG9yPkVpY2hob2x6LCBLYXJzdGVuPC9hdXRob3I+PGF1dGhv
cj5XZWF2ZXIsIEVyaWMgQS48L2F1dGhvcj48YXV0aG9yPlR1YWlsbG9uLCBFZG91YXJkPC9hdXRo
b3I+PGF1dGhvcj5LcmVtZXIsIEVyaWMgSi48L2F1dGhvcj48L2F1dGhvcnM+PC9jb250cmlidXRv
cnM+PHRpdGxlcz48dGl0bGU+QSByZXZpZXcgb2YgNjUgeWVhcnMgb2YgaHVtYW4gYWRlbm92aXJ1
cyBzZXJvcHJldmFsZW5jZTwvdGl0bGU+PHNlY29uZGFyeS10aXRsZT5FeHBlcnQgUmV2aWV3IG9m
IFZhY2NpbmVzPC9zZWNvbmRhcnktdGl0bGU+PC90aXRsZXM+PHBlcmlvZGljYWw+PGZ1bGwtdGl0
bGU+RXhwZXJ0IFJldmlldyBvZiBWYWNjaW5lczwvZnVsbC10aXRsZT48L3BlcmlvZGljYWw+PHBh
Z2VzPjU5Ny02MTM8L3BhZ2VzPjx2b2x1bWU+MTg8L3ZvbHVtZT48bnVtYmVyPjY8L251bWJlcj48
ZGF0ZXM+PHllYXI+MjAxOTwveWVhcj48cHViLWRhdGVzPjxkYXRlPjIwMTkvMDYvMDM8L2RhdGU+
PC9wdWItZGF0ZXM+PC9kYXRlcz48cHVibGlzaGVyPlRheWxvciAmYW1wOyBGcmFuY2lzPC9wdWJs
aXNoZXI+PGlzYm4+MTQ3Ni0wNTg0PC9pc2JuPjx1cmxzPjxyZWxhdGVkLXVybHM+PHVybD5odHRw
czovL2RvaS5vcmcvMTAuMTA4MC8xNDc2MDU4NC4yMDE5LjE1ODgxMTM8L3VybD48L3JlbGF0ZWQt
dXJscz48L3VybHM+PGVsZWN0cm9uaWMtcmVzb3VyY2UtbnVtPjEwLjEwODAvMTQ3NjA1ODQuMjAx
OS4xNTg4MTEzPC9lbGVjdHJvbmljLXJlc291cmNlLW51bT48L3JlY29yZD48L0NpdGU+PC9FbmRO
b3RlPgB=
</w:fldData>
        </w:fldChar>
      </w:r>
      <w:r w:rsidR="002219B9">
        <w:rPr>
          <w:szCs w:val="22"/>
        </w:rPr>
        <w:instrText xml:space="preserve"> ADDIN EN.CITE.DATA </w:instrText>
      </w:r>
      <w:r w:rsidR="002219B9">
        <w:rPr>
          <w:szCs w:val="22"/>
        </w:rPr>
      </w:r>
      <w:r w:rsidR="002219B9">
        <w:rPr>
          <w:szCs w:val="22"/>
        </w:rPr>
        <w:fldChar w:fldCharType="end"/>
      </w:r>
      <w:r w:rsidRPr="00342143">
        <w:rPr>
          <w:szCs w:val="22"/>
        </w:rPr>
      </w:r>
      <w:r w:rsidRPr="00342143">
        <w:rPr>
          <w:szCs w:val="22"/>
        </w:rPr>
        <w:fldChar w:fldCharType="separate"/>
      </w:r>
      <w:r w:rsidR="002219B9">
        <w:rPr>
          <w:noProof/>
          <w:szCs w:val="22"/>
        </w:rPr>
        <w:t>(</w:t>
      </w:r>
      <w:hyperlink w:anchor="_ENREF_61" w:tooltip="Mennechet, 2019 #31" w:history="1">
        <w:r w:rsidR="0027195B">
          <w:rPr>
            <w:noProof/>
            <w:szCs w:val="22"/>
          </w:rPr>
          <w:t>Mennechet et al., 2019b</w:t>
        </w:r>
      </w:hyperlink>
      <w:r w:rsidR="002219B9">
        <w:rPr>
          <w:noProof/>
          <w:szCs w:val="22"/>
        </w:rPr>
        <w:t xml:space="preserve">; </w:t>
      </w:r>
      <w:hyperlink w:anchor="_ENREF_102" w:tooltip="Wurzel, 2014 #32" w:history="1">
        <w:r w:rsidR="0027195B">
          <w:rPr>
            <w:noProof/>
            <w:szCs w:val="22"/>
          </w:rPr>
          <w:t>Wurzel et al., 2014</w:t>
        </w:r>
      </w:hyperlink>
      <w:r w:rsidR="002219B9">
        <w:rPr>
          <w:noProof/>
          <w:szCs w:val="22"/>
        </w:rPr>
        <w:t>)</w:t>
      </w:r>
      <w:r w:rsidRPr="00342143">
        <w:rPr>
          <w:szCs w:val="22"/>
        </w:rPr>
        <w:fldChar w:fldCharType="end"/>
      </w:r>
      <w:r w:rsidRPr="00342143">
        <w:rPr>
          <w:szCs w:val="22"/>
        </w:rPr>
        <w:t xml:space="preserve">. Despite the high prevalence of </w:t>
      </w:r>
      <w:proofErr w:type="spellStart"/>
      <w:r w:rsidRPr="00342143">
        <w:rPr>
          <w:szCs w:val="22"/>
        </w:rPr>
        <w:t>HAdV</w:t>
      </w:r>
      <w:proofErr w:type="spellEnd"/>
      <w:r w:rsidRPr="00342143">
        <w:rPr>
          <w:szCs w:val="22"/>
        </w:rPr>
        <w:t xml:space="preserve">-C in the population, HAdV-C5 vectors have been frequently used in clinical trials as cancer therapies </w:t>
      </w:r>
      <w:r w:rsidR="007E7CF4" w:rsidRPr="00342143">
        <w:rPr>
          <w:szCs w:val="22"/>
        </w:rPr>
        <w:fldChar w:fldCharType="begin">
          <w:fldData xml:space="preserve">PEVuZE5vdGU+PENpdGU+PEF1dGhvcj5TYXRvLURhaGxtYW48L0F1dGhvcj48WWVhcj4yMDIwPC9Z
ZWFyPjxSZWNOdW0+NTk8L1JlY051bT48RGlzcGxheVRleHQ+KExlaWthcyBldCBhbC4sIDIwMjNh
OyBTYXRvLURhaGxtYW4gZXQgYWwuLCAyMDIwOyBTaGF3IGFuZCBTdXp1a2ksIDIwMTkpPC9EaXNw
bGF5VGV4dD48cmVjb3JkPjxyZWMtbnVtYmVyPjU5PC9yZWMtbnVtYmVyPjxmb3JlaWduLWtleXM+
PGtleSBhcHA9IkVOIiBkYi1pZD0idmVyd2UyZnhqNWZldjdlcGZ6OHh0ZHZlejAyNWZlc2V6ZTB6
IiB0aW1lc3RhbXA9IjE3MzMyNzUxMTYiPjU5PC9rZXk+PC9mb3JlaWduLWtleXM+PHJlZi10eXBl
IG5hbWU9IkpvdXJuYWwgQXJ0aWNsZSI+MTc8L3JlZi10eXBlPjxjb250cmlidXRvcnM+PGF1dGhv
cnM+PGF1dGhvcj5TYXRvLURhaGxtYW4sIE0uPC9hdXRob3I+PGF1dGhvcj5Sb2FjaCwgQi4gTC48
L2F1dGhvcj48YXV0aG9yPllhbWFtb3RvLCBNLjwvYXV0aG9yPjwvYXV0aG9ycz48L2NvbnRyaWJ1
dG9ycz48YXV0aC1hZGRyZXNzPkRpdmlzaW9uIG9mIEJhc2ljIGFuZCBUcmFuc2xhdGlvbmFsIFJl
c2VhcmNoLCBEZXBhcnRtZW50IG9mIFN1cmdlcnksIFVuaXZlcnNpdHkgb2YgTWlubmVzb3RhLCBN
TUMgMTk1LCA0MjAgRGVsYXdhcmUgU3QgU0UsIE1pbm5lYXBvbGlzLCBNTiA1NTQ1NSwgVVNBLiYj
eEQ7TWFzb25pYyBDYW5jZXIgQ2VudGVyLCBVbml2ZXJzaXR5IG9mIE1pbm5lc290YSwgTWlubmVh
cG9saXMsIE1OIDU1NDU1LCBVU0EuJiN4RDtNQ0RCJmFtcDtHIFByb2dyYW0sIENvbGxlZ2Ugb2Yg
QmlvbG9naWNhbCBTY2llbmNlcywgVW5pdmVyc2l0eSBvZiBNaW5uZXNvdGEsIE1pbm5lYXBvbGlz
LCBNTiA1NTQ1NSwgVVNBLiYjeEQ7SW5zdGl0dXRlIG9mIE1vbGVjdWxhciBWaXJvbG9neSwgVW5p
dmVyc2l0eSBvZiBNaW5uZXNvdGEsIE1pbm5lYXBvbGlzLCBNTiA1NTQ1NSwgVVNBLjwvYXV0aC1h
ZGRyZXNzPjx0aXRsZXM+PHRpdGxlPlRoZSBSb2xlIG9mIEFkZW5vdmlydXMgaW4gQ2FuY2VyIFRo
ZXJhcHk8L3RpdGxlPjxzZWNvbmRhcnktdGl0bGU+Q2FuY2VycyAoQmFzZWwpPC9zZWNvbmRhcnkt
dGl0bGU+PC90aXRsZXM+PHBlcmlvZGljYWw+PGZ1bGwtdGl0bGU+Q2FuY2VycyAoQmFzZWwpPC9m
dWxsLXRpdGxlPjwvcGVyaW9kaWNhbD48dm9sdW1lPjEyPC92b2x1bWU+PG51bWJlcj4xMTwvbnVt
YmVyPjxlZGl0aW9uPjIwMjAvMTAvMzA8L2VkaXRpb24+PGRhdGVzPjx5ZWFyPjIwMjA8L3llYXI+
PHB1Yi1kYXRlcz48ZGF0ZT5PY3QgMjY8L2RhdGU+PC9wdWItZGF0ZXM+PC9kYXRlcz48aXNibj4y
MDcyLTY2OTQgKFByaW50KSYjeEQ7MjA3Mi02Njk0IChMaW5raW5nKTwvaXNibj48YWNjZXNzaW9u
LW51bT4zMzExNDQ2NzwvYWNjZXNzaW9uLW51bT48dXJscz48cmVsYXRlZC11cmxzPjx1cmw+aHR0
cHM6Ly93d3cubmNiaS5ubG0ubmloLmdvdi9wdWJtZWQvMzMxMTQ0Njc8L3VybD48L3JlbGF0ZWQt
dXJscz48L3VybHM+PGN1c3RvbTI+UE1DNzY5MzMxMDwvY3VzdG9tMj48ZWxlY3Ryb25pYy1yZXNv
dXJjZS1udW0+MTAuMzM5MC9jYW5jZXJzMTIxMTMxMjE8L2VsZWN0cm9uaWMtcmVzb3VyY2UtbnVt
PjwvcmVjb3JkPjwvQ2l0ZT48Q2l0ZT48QXV0aG9yPlNoYXc8L0F1dGhvcj48WWVhcj4yMDE5PC9Z
ZWFyPjxSZWNOdW0+NjA8L1JlY051bT48cmVjb3JkPjxyZWMtbnVtYmVyPjYwPC9yZWMtbnVtYmVy
Pjxmb3JlaWduLWtleXM+PGtleSBhcHA9IkVOIiBkYi1pZD0idmVyd2UyZnhqNWZldjdlcGZ6OHh0
ZHZlejAyNWZlc2V6ZTB6IiB0aW1lc3RhbXA9IjE3MzMyNzUxMTYiPjYwPC9rZXk+PC9mb3JlaWdu
LWtleXM+PHJlZi10eXBlIG5hbWU9IkpvdXJuYWwgQXJ0aWNsZSI+MTc8L3JlZi10eXBlPjxjb250
cmlidXRvcnM+PGF1dGhvcnM+PGF1dGhvcj5TaGF3LCBBLiBSLjwvYXV0aG9yPjxhdXRob3I+U3V6
dWtpLCBNLjwvYXV0aG9yPjwvYXV0aG9ycz48L2NvbnRyaWJ1dG9ycz48YXV0aC1hZGRyZXNzPkRl
cGFydG1lbnQgb2YgTWVkaWNpbmUsIEJheWxvciBDb2xsZWdlIG9mIE1lZGljaW5lLCBIb3VzdG9u
LCBUWCwgVVNBLiYjeEQ7QmF5bG9yIENvbGxlZ2Ugb2YgTWVkaWNpbmUsIENlbnRlciBmb3IgQ2Vs
bCBHZW5lIFRoZXJhcHksIFRleGFzIENoaWxkcmVuJmFwb3M7cyBIb3NwaXRhbCwgSG91c3RvbiBN
ZXRob2Rpc3QgSG9zcGl0YWwsIEhvdXN0b24sIFRYLCBVU0EuPC9hdXRoLWFkZHJlc3M+PHRpdGxl
cz48dGl0bGU+SW1tdW5vbG9neSBvZiBBZGVub3ZpcmFsIFZlY3RvcnMgaW4gQ2FuY2VyIFRoZXJh
cHk8L3RpdGxlPjxzZWNvbmRhcnktdGl0bGU+TW9sIFRoZXIgTWV0aG9kcyBDbGluIERldjwvc2Vj
b25kYXJ5LXRpdGxlPjwvdGl0bGVzPjxwZXJpb2RpY2FsPjxmdWxsLXRpdGxlPk1vbCBUaGVyIE1l
dGhvZHMgQ2xpbiBEZXY8L2Z1bGwtdGl0bGU+PC9wZXJpb2RpY2FsPjxwYWdlcz40MTgtNDI5PC9w
YWdlcz48dm9sdW1lPjE1PC92b2x1bWU+PGVkaXRpb24+MjAyMC8wMS8wMTwvZWRpdGlvbj48ZGF0
ZXM+PHllYXI+MjAxOTwveWVhcj48cHViLWRhdGVzPjxkYXRlPkRlYyAxMzwvZGF0ZT48L3B1Yi1k
YXRlcz48L2RhdGVzPjxpc2JuPjIzMjktMDUwMSAoUHJpbnQpJiN4RDsyMzI5LTA1MDEgKExpbmtp
bmcpPC9pc2JuPjxhY2Nlc3Npb24tbnVtPjMxODkwNzM0PC9hY2Nlc3Npb24tbnVtPjx1cmxzPjxy
ZWxhdGVkLXVybHM+PHVybD5odHRwczovL3d3dy5uY2JpLm5sbS5uaWguZ292L3B1Ym1lZC8zMTg5
MDczNDwvdXJsPjwvcmVsYXRlZC11cmxzPjwvdXJscz48Y3VzdG9tMj5QTUM2OTA5MTI5PC9jdXN0
b20yPjxlbGVjdHJvbmljLXJlc291cmNlLW51bT4xMC4xMDE2L2oub210bS4yMDE5LjExLjAwMTwv
ZWxlY3Ryb25pYy1yZXNvdXJjZS1udW0+PC9yZWNvcmQ+PC9DaXRlPjxDaXRlPjxBdXRob3I+TGVp
a2FzPC9BdXRob3I+PFllYXI+MjAyMzwvWWVhcj48UmVjTnVtPjE2MzwvUmVjTnVtPjxyZWNvcmQ+
PHJlYy1udW1iZXI+MTYzPC9yZWMtbnVtYmVyPjxmb3JlaWduLWtleXM+PGtleSBhcHA9IkVOIiBk
Yi1pZD0idmVyd2UyZnhqNWZldjdlcGZ6OHh0ZHZlejAyNWZlc2V6ZTB6IiB0aW1lc3RhbXA9IjE3
MzMyNzUzOTMiPjE2Mzwva2V5PjwvZm9yZWlnbi1rZXlzPjxyZWYtdHlwZSBuYW1lPSJKb3VybmFs
IEFydGljbGUiPjE3PC9yZWYtdHlwZT48Y29udHJpYnV0b3JzPjxhdXRob3JzPjxhdXRob3I+TGVp
a2FzLCBBbGVrc2kgSjwvYXV0aG9yPjxhdXRob3I+WWzDpC1IZXJ0dHVhbGEsIFNlcHBvPC9hdXRo
b3I+PGF1dGhvcj5IYXJ0aWthaW5lbiwgSnVoYSBFSzwvYXV0aG9yPjwvYXV0aG9ycz48L2NvbnRy
aWJ1dG9ycz48dGl0bGVzPjx0aXRsZT5BZGVub3ZpcmFsIEdlbmUgVGhlcmFweSBWZWN0b3JzIGlu
IENsaW5pY2FsIFVzZeKAlEJhc2ljIEFzcGVjdHMgd2l0aCBhIFNwZWNpYWwgUmVmZXJlbmNlIHRv
IFJlcGxpY2F0aW9uLUNvbXBldGVudCBBZGVub3ZpcnVzIEZvcm1hdGlvbiBhbmQgSXRzIEltcGFj
dCBvbiBDbGluaWNhbCBTYWZldHk8L3RpdGxlPjxzZWNvbmRhcnktdGl0bGU+SW50ZXJuYXRpb25h
bCBKb3VybmFsIG9mIE1vbGVjdWxhciBTY2llbmNlczwvc2Vjb25kYXJ5LXRpdGxlPjwvdGl0bGVz
PjxwZXJpb2RpY2FsPjxmdWxsLXRpdGxlPkludGVybmF0aW9uYWwgSm91cm5hbCBvZiBNb2xlY3Vs
YXIgU2NpZW5jZXM8L2Z1bGwtdGl0bGU+PC9wZXJpb2RpY2FsPjxwYWdlcz4xNjUxOTwvcGFnZXM+
PHZvbHVtZT4yNDwvdm9sdW1lPjxudW1iZXI+MjI8L251bWJlcj48ZGF0ZXM+PHllYXI+MjAyMzwv
eWVhcj48L2RhdGVzPjxpc2JuPjE0MjItMDA2NzwvaXNibj48dXJscz48L3VybHM+PC9yZWNvcmQ+
PC9DaXRlPjwvRW5kTm90ZT5=
</w:fldData>
        </w:fldChar>
      </w:r>
      <w:r w:rsidR="000F689C" w:rsidRPr="00342143">
        <w:rPr>
          <w:szCs w:val="22"/>
        </w:rPr>
        <w:instrText xml:space="preserve"> ADDIN EN.CITE </w:instrText>
      </w:r>
      <w:r w:rsidR="000F689C" w:rsidRPr="00342143">
        <w:rPr>
          <w:szCs w:val="22"/>
        </w:rPr>
        <w:fldChar w:fldCharType="begin">
          <w:fldData xml:space="preserve">PEVuZE5vdGU+PENpdGU+PEF1dGhvcj5TYXRvLURhaGxtYW48L0F1dGhvcj48WWVhcj4yMDIwPC9Z
ZWFyPjxSZWNOdW0+NTk8L1JlY051bT48RGlzcGxheVRleHQ+KExlaWthcyBldCBhbC4sIDIwMjNh
OyBTYXRvLURhaGxtYW4gZXQgYWwuLCAyMDIwOyBTaGF3IGFuZCBTdXp1a2ksIDIwMTkpPC9EaXNw
bGF5VGV4dD48cmVjb3JkPjxyZWMtbnVtYmVyPjU5PC9yZWMtbnVtYmVyPjxmb3JlaWduLWtleXM+
PGtleSBhcHA9IkVOIiBkYi1pZD0idmVyd2UyZnhqNWZldjdlcGZ6OHh0ZHZlejAyNWZlc2V6ZTB6
IiB0aW1lc3RhbXA9IjE3MzMyNzUxMTYiPjU5PC9rZXk+PC9mb3JlaWduLWtleXM+PHJlZi10eXBl
IG5hbWU9IkpvdXJuYWwgQXJ0aWNsZSI+MTc8L3JlZi10eXBlPjxjb250cmlidXRvcnM+PGF1dGhv
cnM+PGF1dGhvcj5TYXRvLURhaGxtYW4sIE0uPC9hdXRob3I+PGF1dGhvcj5Sb2FjaCwgQi4gTC48
L2F1dGhvcj48YXV0aG9yPllhbWFtb3RvLCBNLjwvYXV0aG9yPjwvYXV0aG9ycz48L2NvbnRyaWJ1
dG9ycz48YXV0aC1hZGRyZXNzPkRpdmlzaW9uIG9mIEJhc2ljIGFuZCBUcmFuc2xhdGlvbmFsIFJl
c2VhcmNoLCBEZXBhcnRtZW50IG9mIFN1cmdlcnksIFVuaXZlcnNpdHkgb2YgTWlubmVzb3RhLCBN
TUMgMTk1LCA0MjAgRGVsYXdhcmUgU3QgU0UsIE1pbm5lYXBvbGlzLCBNTiA1NTQ1NSwgVVNBLiYj
eEQ7TWFzb25pYyBDYW5jZXIgQ2VudGVyLCBVbml2ZXJzaXR5IG9mIE1pbm5lc290YSwgTWlubmVh
cG9saXMsIE1OIDU1NDU1LCBVU0EuJiN4RDtNQ0RCJmFtcDtHIFByb2dyYW0sIENvbGxlZ2Ugb2Yg
QmlvbG9naWNhbCBTY2llbmNlcywgVW5pdmVyc2l0eSBvZiBNaW5uZXNvdGEsIE1pbm5lYXBvbGlz
LCBNTiA1NTQ1NSwgVVNBLiYjeEQ7SW5zdGl0dXRlIG9mIE1vbGVjdWxhciBWaXJvbG9neSwgVW5p
dmVyc2l0eSBvZiBNaW5uZXNvdGEsIE1pbm5lYXBvbGlzLCBNTiA1NTQ1NSwgVVNBLjwvYXV0aC1h
ZGRyZXNzPjx0aXRsZXM+PHRpdGxlPlRoZSBSb2xlIG9mIEFkZW5vdmlydXMgaW4gQ2FuY2VyIFRo
ZXJhcHk8L3RpdGxlPjxzZWNvbmRhcnktdGl0bGU+Q2FuY2VycyAoQmFzZWwpPC9zZWNvbmRhcnkt
dGl0bGU+PC90aXRsZXM+PHBlcmlvZGljYWw+PGZ1bGwtdGl0bGU+Q2FuY2VycyAoQmFzZWwpPC9m
dWxsLXRpdGxlPjwvcGVyaW9kaWNhbD48dm9sdW1lPjEyPC92b2x1bWU+PG51bWJlcj4xMTwvbnVt
YmVyPjxlZGl0aW9uPjIwMjAvMTAvMzA8L2VkaXRpb24+PGRhdGVzPjx5ZWFyPjIwMjA8L3llYXI+
PHB1Yi1kYXRlcz48ZGF0ZT5PY3QgMjY8L2RhdGU+PC9wdWItZGF0ZXM+PC9kYXRlcz48aXNibj4y
MDcyLTY2OTQgKFByaW50KSYjeEQ7MjA3Mi02Njk0IChMaW5raW5nKTwvaXNibj48YWNjZXNzaW9u
LW51bT4zMzExNDQ2NzwvYWNjZXNzaW9uLW51bT48dXJscz48cmVsYXRlZC11cmxzPjx1cmw+aHR0
cHM6Ly93d3cubmNiaS5ubG0ubmloLmdvdi9wdWJtZWQvMzMxMTQ0Njc8L3VybD48L3JlbGF0ZWQt
dXJscz48L3VybHM+PGN1c3RvbTI+UE1DNzY5MzMxMDwvY3VzdG9tMj48ZWxlY3Ryb25pYy1yZXNv
dXJjZS1udW0+MTAuMzM5MC9jYW5jZXJzMTIxMTMxMjE8L2VsZWN0cm9uaWMtcmVzb3VyY2UtbnVt
PjwvcmVjb3JkPjwvQ2l0ZT48Q2l0ZT48QXV0aG9yPlNoYXc8L0F1dGhvcj48WWVhcj4yMDE5PC9Z
ZWFyPjxSZWNOdW0+NjA8L1JlY051bT48cmVjb3JkPjxyZWMtbnVtYmVyPjYwPC9yZWMtbnVtYmVy
Pjxmb3JlaWduLWtleXM+PGtleSBhcHA9IkVOIiBkYi1pZD0idmVyd2UyZnhqNWZldjdlcGZ6OHh0
ZHZlejAyNWZlc2V6ZTB6IiB0aW1lc3RhbXA9IjE3MzMyNzUxMTYiPjYwPC9rZXk+PC9mb3JlaWdu
LWtleXM+PHJlZi10eXBlIG5hbWU9IkpvdXJuYWwgQXJ0aWNsZSI+MTc8L3JlZi10eXBlPjxjb250
cmlidXRvcnM+PGF1dGhvcnM+PGF1dGhvcj5TaGF3LCBBLiBSLjwvYXV0aG9yPjxhdXRob3I+U3V6
dWtpLCBNLjwvYXV0aG9yPjwvYXV0aG9ycz48L2NvbnRyaWJ1dG9ycz48YXV0aC1hZGRyZXNzPkRl
cGFydG1lbnQgb2YgTWVkaWNpbmUsIEJheWxvciBDb2xsZWdlIG9mIE1lZGljaW5lLCBIb3VzdG9u
LCBUWCwgVVNBLiYjeEQ7QmF5bG9yIENvbGxlZ2Ugb2YgTWVkaWNpbmUsIENlbnRlciBmb3IgQ2Vs
bCBHZW5lIFRoZXJhcHksIFRleGFzIENoaWxkcmVuJmFwb3M7cyBIb3NwaXRhbCwgSG91c3RvbiBN
ZXRob2Rpc3QgSG9zcGl0YWwsIEhvdXN0b24sIFRYLCBVU0EuPC9hdXRoLWFkZHJlc3M+PHRpdGxl
cz48dGl0bGU+SW1tdW5vbG9neSBvZiBBZGVub3ZpcmFsIFZlY3RvcnMgaW4gQ2FuY2VyIFRoZXJh
cHk8L3RpdGxlPjxzZWNvbmRhcnktdGl0bGU+TW9sIFRoZXIgTWV0aG9kcyBDbGluIERldjwvc2Vj
b25kYXJ5LXRpdGxlPjwvdGl0bGVzPjxwZXJpb2RpY2FsPjxmdWxsLXRpdGxlPk1vbCBUaGVyIE1l
dGhvZHMgQ2xpbiBEZXY8L2Z1bGwtdGl0bGU+PC9wZXJpb2RpY2FsPjxwYWdlcz40MTgtNDI5PC9w
YWdlcz48dm9sdW1lPjE1PC92b2x1bWU+PGVkaXRpb24+MjAyMC8wMS8wMTwvZWRpdGlvbj48ZGF0
ZXM+PHllYXI+MjAxOTwveWVhcj48cHViLWRhdGVzPjxkYXRlPkRlYyAxMzwvZGF0ZT48L3B1Yi1k
YXRlcz48L2RhdGVzPjxpc2JuPjIzMjktMDUwMSAoUHJpbnQpJiN4RDsyMzI5LTA1MDEgKExpbmtp
bmcpPC9pc2JuPjxhY2Nlc3Npb24tbnVtPjMxODkwNzM0PC9hY2Nlc3Npb24tbnVtPjx1cmxzPjxy
ZWxhdGVkLXVybHM+PHVybD5odHRwczovL3d3dy5uY2JpLm5sbS5uaWguZ292L3B1Ym1lZC8zMTg5
MDczNDwvdXJsPjwvcmVsYXRlZC11cmxzPjwvdXJscz48Y3VzdG9tMj5QTUM2OTA5MTI5PC9jdXN0
b20yPjxlbGVjdHJvbmljLXJlc291cmNlLW51bT4xMC4xMDE2L2oub210bS4yMDE5LjExLjAwMTwv
ZWxlY3Ryb25pYy1yZXNvdXJjZS1udW0+PC9yZWNvcmQ+PC9DaXRlPjxDaXRlPjxBdXRob3I+TGVp
a2FzPC9BdXRob3I+PFllYXI+MjAyMzwvWWVhcj48UmVjTnVtPjE2MzwvUmVjTnVtPjxyZWNvcmQ+
PHJlYy1udW1iZXI+MTYzPC9yZWMtbnVtYmVyPjxmb3JlaWduLWtleXM+PGtleSBhcHA9IkVOIiBk
Yi1pZD0idmVyd2UyZnhqNWZldjdlcGZ6OHh0ZHZlejAyNWZlc2V6ZTB6IiB0aW1lc3RhbXA9IjE3
MzMyNzUzOTMiPjE2Mzwva2V5PjwvZm9yZWlnbi1rZXlzPjxyZWYtdHlwZSBuYW1lPSJKb3VybmFs
IEFydGljbGUiPjE3PC9yZWYtdHlwZT48Y29udHJpYnV0b3JzPjxhdXRob3JzPjxhdXRob3I+TGVp
a2FzLCBBbGVrc2kgSjwvYXV0aG9yPjxhdXRob3I+WWzDpC1IZXJ0dHVhbGEsIFNlcHBvPC9hdXRo
b3I+PGF1dGhvcj5IYXJ0aWthaW5lbiwgSnVoYSBFSzwvYXV0aG9yPjwvYXV0aG9ycz48L2NvbnRy
aWJ1dG9ycz48dGl0bGVzPjx0aXRsZT5BZGVub3ZpcmFsIEdlbmUgVGhlcmFweSBWZWN0b3JzIGlu
IENsaW5pY2FsIFVzZeKAlEJhc2ljIEFzcGVjdHMgd2l0aCBhIFNwZWNpYWwgUmVmZXJlbmNlIHRv
IFJlcGxpY2F0aW9uLUNvbXBldGVudCBBZGVub3ZpcnVzIEZvcm1hdGlvbiBhbmQgSXRzIEltcGFj
dCBvbiBDbGluaWNhbCBTYWZldHk8L3RpdGxlPjxzZWNvbmRhcnktdGl0bGU+SW50ZXJuYXRpb25h
bCBKb3VybmFsIG9mIE1vbGVjdWxhciBTY2llbmNlczwvc2Vjb25kYXJ5LXRpdGxlPjwvdGl0bGVz
PjxwZXJpb2RpY2FsPjxmdWxsLXRpdGxlPkludGVybmF0aW9uYWwgSm91cm5hbCBvZiBNb2xlY3Vs
YXIgU2NpZW5jZXM8L2Z1bGwtdGl0bGU+PC9wZXJpb2RpY2FsPjxwYWdlcz4xNjUxOTwvcGFnZXM+
PHZvbHVtZT4yNDwvdm9sdW1lPjxudW1iZXI+MjI8L251bWJlcj48ZGF0ZXM+PHllYXI+MjAyMzwv
eWVhcj48L2RhdGVzPjxpc2JuPjE0MjItMDA2NzwvaXNibj48dXJscz48L3VybHM+PC9yZWNvcmQ+
PC9DaXRlPjwvRW5kTm90ZT5=
</w:fldData>
        </w:fldChar>
      </w:r>
      <w:r w:rsidR="000F689C" w:rsidRPr="00342143">
        <w:rPr>
          <w:szCs w:val="22"/>
        </w:rPr>
        <w:instrText xml:space="preserve"> ADDIN EN.CITE.DATA </w:instrText>
      </w:r>
      <w:r w:rsidR="000F689C" w:rsidRPr="00342143">
        <w:rPr>
          <w:szCs w:val="22"/>
        </w:rPr>
      </w:r>
      <w:r w:rsidR="000F689C" w:rsidRPr="00342143">
        <w:rPr>
          <w:szCs w:val="22"/>
        </w:rPr>
        <w:fldChar w:fldCharType="end"/>
      </w:r>
      <w:r w:rsidR="007E7CF4" w:rsidRPr="00342143">
        <w:rPr>
          <w:szCs w:val="22"/>
        </w:rPr>
      </w:r>
      <w:r w:rsidR="007E7CF4" w:rsidRPr="00342143">
        <w:rPr>
          <w:szCs w:val="22"/>
        </w:rPr>
        <w:fldChar w:fldCharType="separate"/>
      </w:r>
      <w:r w:rsidR="00AE6FB5" w:rsidRPr="00342143">
        <w:rPr>
          <w:noProof/>
          <w:szCs w:val="22"/>
        </w:rPr>
        <w:t>(</w:t>
      </w:r>
      <w:hyperlink w:anchor="_ENREF_50" w:tooltip="Leikas, 2023 #163" w:history="1">
        <w:r w:rsidR="0027195B" w:rsidRPr="00342143">
          <w:rPr>
            <w:noProof/>
            <w:szCs w:val="22"/>
          </w:rPr>
          <w:t>Leikas et al., 2023a</w:t>
        </w:r>
      </w:hyperlink>
      <w:r w:rsidR="00AE6FB5" w:rsidRPr="00342143">
        <w:rPr>
          <w:noProof/>
          <w:szCs w:val="22"/>
        </w:rPr>
        <w:t xml:space="preserve">; </w:t>
      </w:r>
      <w:hyperlink w:anchor="_ENREF_81" w:tooltip="Sato-Dahlman, 2020 #59" w:history="1">
        <w:r w:rsidR="0027195B" w:rsidRPr="00342143">
          <w:rPr>
            <w:noProof/>
            <w:szCs w:val="22"/>
          </w:rPr>
          <w:t>Sato-Dahlman et al., 2020</w:t>
        </w:r>
      </w:hyperlink>
      <w:r w:rsidR="00AE6FB5" w:rsidRPr="00342143">
        <w:rPr>
          <w:noProof/>
          <w:szCs w:val="22"/>
        </w:rPr>
        <w:t xml:space="preserve">; </w:t>
      </w:r>
      <w:hyperlink w:anchor="_ENREF_83" w:tooltip="Shaw, 2019 #60" w:history="1">
        <w:r w:rsidR="0027195B" w:rsidRPr="00342143">
          <w:rPr>
            <w:noProof/>
            <w:szCs w:val="22"/>
          </w:rPr>
          <w:t>Shaw and Suzuki, 2019</w:t>
        </w:r>
      </w:hyperlink>
      <w:r w:rsidR="00AE6FB5" w:rsidRPr="00342143">
        <w:rPr>
          <w:noProof/>
          <w:szCs w:val="22"/>
        </w:rPr>
        <w:t>)</w:t>
      </w:r>
      <w:r w:rsidR="007E7CF4" w:rsidRPr="00342143">
        <w:rPr>
          <w:szCs w:val="22"/>
        </w:rPr>
        <w:fldChar w:fldCharType="end"/>
      </w:r>
      <w:r w:rsidR="00CD6FBF" w:rsidRPr="00342143">
        <w:rPr>
          <w:szCs w:val="22"/>
        </w:rPr>
        <w:t>.</w:t>
      </w:r>
    </w:p>
    <w:p w14:paraId="13670F59" w14:textId="12A95C98" w:rsidR="00634C1B" w:rsidRPr="00FC51AB" w:rsidRDefault="000A657C" w:rsidP="00FC51AB">
      <w:pPr>
        <w:pStyle w:val="3RARMP"/>
      </w:pPr>
      <w:bookmarkStart w:id="137" w:name="_Ref216339715"/>
      <w:bookmarkStart w:id="138" w:name="_Ref216432270"/>
      <w:bookmarkStart w:id="139" w:name="_Toc219281388"/>
      <w:r w:rsidRPr="00FA0361">
        <w:t>Pathology</w:t>
      </w:r>
      <w:bookmarkEnd w:id="137"/>
      <w:bookmarkEnd w:id="138"/>
      <w:bookmarkEnd w:id="139"/>
    </w:p>
    <w:p w14:paraId="221E72EA" w14:textId="5AD393DC" w:rsidR="00A33F90" w:rsidRPr="00E52B4D" w:rsidRDefault="00A26BD6" w:rsidP="00A33F90">
      <w:pPr>
        <w:pStyle w:val="RARMPnumberedparagraphs"/>
        <w:rPr>
          <w:szCs w:val="22"/>
        </w:rPr>
      </w:pPr>
      <w:r>
        <w:rPr>
          <w:szCs w:val="22"/>
        </w:rPr>
        <w:t>Human adenoviruses</w:t>
      </w:r>
      <w:r w:rsidR="00BB20C2" w:rsidRPr="00E52B4D">
        <w:rPr>
          <w:szCs w:val="22"/>
        </w:rPr>
        <w:t xml:space="preserve"> are common </w:t>
      </w:r>
      <w:r w:rsidR="00203D1E">
        <w:rPr>
          <w:szCs w:val="22"/>
        </w:rPr>
        <w:t xml:space="preserve">human </w:t>
      </w:r>
      <w:r w:rsidR="00BB20C2" w:rsidRPr="00E52B4D">
        <w:rPr>
          <w:szCs w:val="22"/>
        </w:rPr>
        <w:t xml:space="preserve">pathogens and </w:t>
      </w:r>
      <w:r w:rsidR="00A33F90" w:rsidRPr="00E52B4D">
        <w:rPr>
          <w:szCs w:val="22"/>
        </w:rPr>
        <w:t>cause a wide range of illnesses such as common cold</w:t>
      </w:r>
      <w:r w:rsidR="00203D1E">
        <w:rPr>
          <w:szCs w:val="22"/>
        </w:rPr>
        <w:t>;</w:t>
      </w:r>
      <w:r w:rsidR="00A33F90" w:rsidRPr="00E52B4D">
        <w:rPr>
          <w:szCs w:val="22"/>
        </w:rPr>
        <w:t xml:space="preserve"> sore throat</w:t>
      </w:r>
      <w:r w:rsidR="00203D1E">
        <w:rPr>
          <w:szCs w:val="22"/>
        </w:rPr>
        <w:t>;</w:t>
      </w:r>
      <w:r w:rsidR="00A33F90" w:rsidRPr="00E52B4D">
        <w:rPr>
          <w:szCs w:val="22"/>
        </w:rPr>
        <w:t xml:space="preserve"> bronchitis</w:t>
      </w:r>
      <w:r w:rsidR="00203D1E">
        <w:rPr>
          <w:szCs w:val="22"/>
        </w:rPr>
        <w:t>;</w:t>
      </w:r>
      <w:r w:rsidR="00A33F90" w:rsidRPr="00E52B4D">
        <w:rPr>
          <w:szCs w:val="22"/>
        </w:rPr>
        <w:t xml:space="preserve"> pneumonia</w:t>
      </w:r>
      <w:r w:rsidR="00203D1E">
        <w:rPr>
          <w:szCs w:val="22"/>
        </w:rPr>
        <w:t>;</w:t>
      </w:r>
      <w:r w:rsidR="00A33F90" w:rsidRPr="00E52B4D">
        <w:rPr>
          <w:szCs w:val="22"/>
        </w:rPr>
        <w:t xml:space="preserve"> diarrhoea</w:t>
      </w:r>
      <w:r w:rsidR="00203D1E">
        <w:rPr>
          <w:szCs w:val="22"/>
        </w:rPr>
        <w:t>;</w:t>
      </w:r>
      <w:r w:rsidR="00A33F90" w:rsidRPr="00E52B4D">
        <w:rPr>
          <w:szCs w:val="22"/>
        </w:rPr>
        <w:t xml:space="preserve"> conjunctivitis</w:t>
      </w:r>
      <w:r w:rsidR="00203D1E">
        <w:rPr>
          <w:szCs w:val="22"/>
        </w:rPr>
        <w:t>;</w:t>
      </w:r>
      <w:r w:rsidR="00A33F90" w:rsidRPr="00E52B4D">
        <w:rPr>
          <w:szCs w:val="22"/>
        </w:rPr>
        <w:t xml:space="preserve"> fever</w:t>
      </w:r>
      <w:r w:rsidR="00203D1E">
        <w:rPr>
          <w:szCs w:val="22"/>
        </w:rPr>
        <w:t>;</w:t>
      </w:r>
      <w:r w:rsidR="00A33F90" w:rsidRPr="00E52B4D">
        <w:rPr>
          <w:szCs w:val="22"/>
        </w:rPr>
        <w:t xml:space="preserve"> inflammation of the stomach, intestine and bladder</w:t>
      </w:r>
      <w:r w:rsidR="00203D1E">
        <w:rPr>
          <w:szCs w:val="22"/>
        </w:rPr>
        <w:t>;</w:t>
      </w:r>
      <w:r w:rsidR="00A33F90" w:rsidRPr="00E52B4D">
        <w:rPr>
          <w:szCs w:val="22"/>
        </w:rPr>
        <w:t xml:space="preserve"> and neurologic disease (conditions that affect the brain and spinal cord)</w:t>
      </w:r>
      <w:r w:rsidR="00905693">
        <w:rPr>
          <w:szCs w:val="22"/>
        </w:rPr>
        <w:t xml:space="preserve"> </w:t>
      </w:r>
      <w:r w:rsidR="00905693">
        <w:rPr>
          <w:szCs w:val="22"/>
        </w:rPr>
        <w:fldChar w:fldCharType="begin">
          <w:fldData xml:space="preserve">PEVuZE5vdGU+PENpdGU+PEF1dGhvcj5DREM8L0F1dGhvcj48WWVhcj4yMDE5PC9ZZWFyPjxSZWNO
dW0+NjM8L1JlY051bT48RGlzcGxheVRleHQ+KENEQywgMjAxOWE7IExlaWthcyBldCBhbC4sIDIw
MjNhOyBQdWJsaWMgSGVhbHRoIEFnZW5jeSBvZiBDYW5hZGEsIDIwMTQpPC9EaXNwbGF5VGV4dD48
cmVjb3JkPjxyZWMtbnVtYmVyPjYzPC9yZWMtbnVtYmVyPjxmb3JlaWduLWtleXM+PGtleSBhcHA9
IkVOIiBkYi1pZD0idmVyd2UyZnhqNWZldjdlcGZ6OHh0ZHZlejAyNWZlc2V6ZTB6IiB0aW1lc3Rh
bXA9IjE3MzMyNzUxMTYiPjYzPC9rZXk+PC9mb3JlaWduLWtleXM+PHJlZi10eXBlIG5hbWU9Ildl
YiBQYWdlIj4xMjwvcmVmLXR5cGU+PGNvbnRyaWJ1dG9ycz48YXV0aG9ycz48YXV0aG9yPkNEQyA8
L2F1dGhvcj48L2F1dGhvcnM+PC9jb250cmlidXRvcnM+PHRpdGxlcz48dGl0bGU+QWRlbm92aXJ1
c2VzIC0gU3ltcHRvbXM8L3RpdGxlPjwvdGl0bGVzPjx2b2x1bWU+MjAyMDwvdm9sdW1lPjxudW1i
ZXI+RGVjZW1iZXIgMjAyMDwvbnVtYmVyPjxkYXRlcz48eWVhcj4yMDE5PC95ZWFyPjwvZGF0ZXM+
PHB1Yi1sb2NhdGlvbj5DZW50cmVzIGZvciBEaXNlYXNlIENvbnRyb2wgYW5kIFByZXZlbnRpb248
L3B1Yi1sb2NhdGlvbj48dXJscz48cmVsYXRlZC11cmxzPjx1cmw+aHR0cHM6Ly93d3cuY2RjLmdv
di9hZGVub3ZpcnVzL2Fib3V0L3N5bXB0b21zLmh0bWw8L3VybD48L3JlbGF0ZWQtdXJscz48L3Vy
bHM+PC9yZWNvcmQ+PC9DaXRlPjxDaXRlPjxBdXRob3I+UHVibGljIEhlYWx0aCBBZ2VuY3kgb2Yg
Q2FuYWRhPC9BdXRob3I+PFllYXI+MjAxNDwvWWVhcj48UmVjTnVtPjY0PC9SZWNOdW0+PHJlY29y
ZD48cmVjLW51bWJlcj42NDwvcmVjLW51bWJlcj48Zm9yZWlnbi1rZXlzPjxrZXkgYXBwPSJFTiIg
ZGItaWQ9InZlcndlMmZ4ajVmZXY3ZXBmejh4dGR2ZXowMjVmZXNlemUweiIgdGltZXN0YW1wPSIx
NzMzMjc1MTE2Ij42NDwva2V5PjwvZm9yZWlnbi1rZXlzPjxyZWYtdHlwZSBuYW1lPSJXZWIgUGFn
ZSI+MTI8L3JlZi10eXBlPjxjb250cmlidXRvcnM+PGF1dGhvcnM+PGF1dGhvcj5QdWJsaWMgSGVh
bHRoIEFnZW5jeSBvZiBDYW5hZGEsPC9hdXRob3I+PC9hdXRob3JzPjwvY29udHJpYnV0b3JzPjx0
aXRsZXM+PHRpdGxlPlBhdGhvZ2VuIFNhZmV0eSBEYXRhIFNoZWV0czogSW5mZWN0aW91cyBTdWJz
dGFuY2VzIOKAkyBBZGVub3ZpcnVzIHR5cGVzIDEsIDIsIDMsIDQsIDUgYW5kIDc8L3RpdGxlPjwv
dGl0bGVzPjx2b2x1bWU+MjAyMDwvdm9sdW1lPjxudW1iZXI+MTAgRGVjZW1iZXIgMjAyMDwvbnVt
YmVyPjxkYXRlcz48eWVhcj4yMDE0PC95ZWFyPjwvZGF0ZXM+PHB1Ymxpc2hlcj5Hb3Zlcm5tZW50
IG9mIENhbmFkYTwvcHVibGlzaGVyPjx1cmxzPjxyZWxhdGVkLXVybHM+PHVybD5odHRwczovL3d3
dy5jYW5hZGEuY2EvZW4vcHVibGljLWhlYWx0aC9zZXJ2aWNlcy9sYWJvcmF0b3J5LWJpb3NhZmV0
eS1iaW9zZWN1cml0eS9wYXRob2dlbi1zYWZldHktZGF0YS1zaGVldHMtcmlzay1hc3Nlc3NtZW50
L2FkZW5vdmlydXMtdHlwZXMtMS0yLTMtNC01LTctcGF0aG9nZW4tc2FmZXR5LWRhdGEtc2hlZXQu
aHRtbDwvdXJsPjwvcmVsYXRlZC11cmxzPjwvdXJscz48L3JlY29yZD48L0NpdGU+PENpdGU+PEF1
dGhvcj5MZWlrYXM8L0F1dGhvcj48WWVhcj4yMDIzPC9ZZWFyPjxSZWNOdW0+MTYzPC9SZWNOdW0+
PHJlY29yZD48cmVjLW51bWJlcj4xNjM8L3JlYy1udW1iZXI+PGZvcmVpZ24ta2V5cz48a2V5IGFw
cD0iRU4iIGRiLWlkPSJ2ZXJ3ZTJmeGo1ZmV2N2VwZno4eHRkdmV6MDI1ZmVzZXplMHoiIHRpbWVz
dGFtcD0iMTczMzI3NTM5MyI+MTYzPC9rZXk+PC9mb3JlaWduLWtleXM+PHJlZi10eXBlIG5hbWU9
IkpvdXJuYWwgQXJ0aWNsZSI+MTc8L3JlZi10eXBlPjxjb250cmlidXRvcnM+PGF1dGhvcnM+PGF1
dGhvcj5MZWlrYXMsIEFsZWtzaSBKPC9hdXRob3I+PGF1dGhvcj5ZbMOkLUhlcnR0dWFsYSwgU2Vw
cG88L2F1dGhvcj48YXV0aG9yPkhhcnRpa2FpbmVuLCBKdWhhIEVLPC9hdXRob3I+PC9hdXRob3Jz
PjwvY29udHJpYnV0b3JzPjx0aXRsZXM+PHRpdGxlPkFkZW5vdmlyYWwgR2VuZSBUaGVyYXB5IFZl
Y3RvcnMgaW4gQ2xpbmljYWwgVXNl4oCUQmFzaWMgQXNwZWN0cyB3aXRoIGEgU3BlY2lhbCBSZWZl
cmVuY2UgdG8gUmVwbGljYXRpb24tQ29tcGV0ZW50IEFkZW5vdmlydXMgRm9ybWF0aW9uIGFuZCBJ
dHMgSW1wYWN0IG9uIENsaW5pY2FsIFNhZmV0eTwvdGl0bGU+PHNlY29uZGFyeS10aXRsZT5JbnRl
cm5hdGlvbmFsIEpvdXJuYWwgb2YgTW9sZWN1bGFyIFNjaWVuY2VzPC9zZWNvbmRhcnktdGl0bGU+
PC90aXRsZXM+PHBlcmlvZGljYWw+PGZ1bGwtdGl0bGU+SW50ZXJuYXRpb25hbCBKb3VybmFsIG9m
IE1vbGVjdWxhciBTY2llbmNlczwvZnVsbC10aXRsZT48L3BlcmlvZGljYWw+PHBhZ2VzPjE2NTE5
PC9wYWdlcz48dm9sdW1lPjI0PC92b2x1bWU+PG51bWJlcj4yMjwvbnVtYmVyPjxkYXRlcz48eWVh
cj4yMDIzPC95ZWFyPjwvZGF0ZXM+PGlzYm4+MTQyMi0wMDY3PC9pc2JuPjx1cmxzPjwvdXJscz48
L3JlY29yZD48L0NpdGU+PC9FbmROb3RlPn==
</w:fldData>
        </w:fldChar>
      </w:r>
      <w:r w:rsidR="00AE6FB5">
        <w:rPr>
          <w:szCs w:val="22"/>
        </w:rPr>
        <w:instrText xml:space="preserve"> ADDIN EN.CITE </w:instrText>
      </w:r>
      <w:r w:rsidR="00AE6FB5">
        <w:rPr>
          <w:szCs w:val="22"/>
        </w:rPr>
        <w:fldChar w:fldCharType="begin">
          <w:fldData xml:space="preserve">PEVuZE5vdGU+PENpdGU+PEF1dGhvcj5DREM8L0F1dGhvcj48WWVhcj4yMDE5PC9ZZWFyPjxSZWNO
dW0+NjM8L1JlY051bT48RGlzcGxheVRleHQ+KENEQywgMjAxOWE7IExlaWthcyBldCBhbC4sIDIw
MjNhOyBQdWJsaWMgSGVhbHRoIEFnZW5jeSBvZiBDYW5hZGEsIDIwMTQpPC9EaXNwbGF5VGV4dD48
cmVjb3JkPjxyZWMtbnVtYmVyPjYzPC9yZWMtbnVtYmVyPjxmb3JlaWduLWtleXM+PGtleSBhcHA9
IkVOIiBkYi1pZD0idmVyd2UyZnhqNWZldjdlcGZ6OHh0ZHZlejAyNWZlc2V6ZTB6IiB0aW1lc3Rh
bXA9IjE3MzMyNzUxMTYiPjYzPC9rZXk+PC9mb3JlaWduLWtleXM+PHJlZi10eXBlIG5hbWU9Ildl
YiBQYWdlIj4xMjwvcmVmLXR5cGU+PGNvbnRyaWJ1dG9ycz48YXV0aG9ycz48YXV0aG9yPkNEQyA8
L2F1dGhvcj48L2F1dGhvcnM+PC9jb250cmlidXRvcnM+PHRpdGxlcz48dGl0bGU+QWRlbm92aXJ1
c2VzIC0gU3ltcHRvbXM8L3RpdGxlPjwvdGl0bGVzPjx2b2x1bWU+MjAyMDwvdm9sdW1lPjxudW1i
ZXI+RGVjZW1iZXIgMjAyMDwvbnVtYmVyPjxkYXRlcz48eWVhcj4yMDE5PC95ZWFyPjwvZGF0ZXM+
PHB1Yi1sb2NhdGlvbj5DZW50cmVzIGZvciBEaXNlYXNlIENvbnRyb2wgYW5kIFByZXZlbnRpb248
L3B1Yi1sb2NhdGlvbj48dXJscz48cmVsYXRlZC11cmxzPjx1cmw+aHR0cHM6Ly93d3cuY2RjLmdv
di9hZGVub3ZpcnVzL2Fib3V0L3N5bXB0b21zLmh0bWw8L3VybD48L3JlbGF0ZWQtdXJscz48L3Vy
bHM+PC9yZWNvcmQ+PC9DaXRlPjxDaXRlPjxBdXRob3I+UHVibGljIEhlYWx0aCBBZ2VuY3kgb2Yg
Q2FuYWRhPC9BdXRob3I+PFllYXI+MjAxNDwvWWVhcj48UmVjTnVtPjY0PC9SZWNOdW0+PHJlY29y
ZD48cmVjLW51bWJlcj42NDwvcmVjLW51bWJlcj48Zm9yZWlnbi1rZXlzPjxrZXkgYXBwPSJFTiIg
ZGItaWQ9InZlcndlMmZ4ajVmZXY3ZXBmejh4dGR2ZXowMjVmZXNlemUweiIgdGltZXN0YW1wPSIx
NzMzMjc1MTE2Ij42NDwva2V5PjwvZm9yZWlnbi1rZXlzPjxyZWYtdHlwZSBuYW1lPSJXZWIgUGFn
ZSI+MTI8L3JlZi10eXBlPjxjb250cmlidXRvcnM+PGF1dGhvcnM+PGF1dGhvcj5QdWJsaWMgSGVh
bHRoIEFnZW5jeSBvZiBDYW5hZGEsPC9hdXRob3I+PC9hdXRob3JzPjwvY29udHJpYnV0b3JzPjx0
aXRsZXM+PHRpdGxlPlBhdGhvZ2VuIFNhZmV0eSBEYXRhIFNoZWV0czogSW5mZWN0aW91cyBTdWJz
dGFuY2VzIOKAkyBBZGVub3ZpcnVzIHR5cGVzIDEsIDIsIDMsIDQsIDUgYW5kIDc8L3RpdGxlPjwv
dGl0bGVzPjx2b2x1bWU+MjAyMDwvdm9sdW1lPjxudW1iZXI+MTAgRGVjZW1iZXIgMjAyMDwvbnVt
YmVyPjxkYXRlcz48eWVhcj4yMDE0PC95ZWFyPjwvZGF0ZXM+PHB1Ymxpc2hlcj5Hb3Zlcm5tZW50
IG9mIENhbmFkYTwvcHVibGlzaGVyPjx1cmxzPjxyZWxhdGVkLXVybHM+PHVybD5odHRwczovL3d3
dy5jYW5hZGEuY2EvZW4vcHVibGljLWhlYWx0aC9zZXJ2aWNlcy9sYWJvcmF0b3J5LWJpb3NhZmV0
eS1iaW9zZWN1cml0eS9wYXRob2dlbi1zYWZldHktZGF0YS1zaGVldHMtcmlzay1hc3Nlc3NtZW50
L2FkZW5vdmlydXMtdHlwZXMtMS0yLTMtNC01LTctcGF0aG9nZW4tc2FmZXR5LWRhdGEtc2hlZXQu
aHRtbDwvdXJsPjwvcmVsYXRlZC11cmxzPjwvdXJscz48L3JlY29yZD48L0NpdGU+PENpdGU+PEF1
dGhvcj5MZWlrYXM8L0F1dGhvcj48WWVhcj4yMDIzPC9ZZWFyPjxSZWNOdW0+MTYzPC9SZWNOdW0+
PHJlY29yZD48cmVjLW51bWJlcj4xNjM8L3JlYy1udW1iZXI+PGZvcmVpZ24ta2V5cz48a2V5IGFw
cD0iRU4iIGRiLWlkPSJ2ZXJ3ZTJmeGo1ZmV2N2VwZno4eHRkdmV6MDI1ZmVzZXplMHoiIHRpbWVz
dGFtcD0iMTczMzI3NTM5MyI+MTYzPC9rZXk+PC9mb3JlaWduLWtleXM+PHJlZi10eXBlIG5hbWU9
IkpvdXJuYWwgQXJ0aWNsZSI+MTc8L3JlZi10eXBlPjxjb250cmlidXRvcnM+PGF1dGhvcnM+PGF1
dGhvcj5MZWlrYXMsIEFsZWtzaSBKPC9hdXRob3I+PGF1dGhvcj5ZbMOkLUhlcnR0dWFsYSwgU2Vw
cG88L2F1dGhvcj48YXV0aG9yPkhhcnRpa2FpbmVuLCBKdWhhIEVLPC9hdXRob3I+PC9hdXRob3Jz
PjwvY29udHJpYnV0b3JzPjx0aXRsZXM+PHRpdGxlPkFkZW5vdmlyYWwgR2VuZSBUaGVyYXB5IFZl
Y3RvcnMgaW4gQ2xpbmljYWwgVXNl4oCUQmFzaWMgQXNwZWN0cyB3aXRoIGEgU3BlY2lhbCBSZWZl
cmVuY2UgdG8gUmVwbGljYXRpb24tQ29tcGV0ZW50IEFkZW5vdmlydXMgRm9ybWF0aW9uIGFuZCBJ
dHMgSW1wYWN0IG9uIENsaW5pY2FsIFNhZmV0eTwvdGl0bGU+PHNlY29uZGFyeS10aXRsZT5JbnRl
cm5hdGlvbmFsIEpvdXJuYWwgb2YgTW9sZWN1bGFyIFNjaWVuY2VzPC9zZWNvbmRhcnktdGl0bGU+
PC90aXRsZXM+PHBlcmlvZGljYWw+PGZ1bGwtdGl0bGU+SW50ZXJuYXRpb25hbCBKb3VybmFsIG9m
IE1vbGVjdWxhciBTY2llbmNlczwvZnVsbC10aXRsZT48L3BlcmlvZGljYWw+PHBhZ2VzPjE2NTE5
PC9wYWdlcz48dm9sdW1lPjI0PC92b2x1bWU+PG51bWJlcj4yMjwvbnVtYmVyPjxkYXRlcz48eWVh
cj4yMDIzPC95ZWFyPjwvZGF0ZXM+PGlzYm4+MTQyMi0wMDY3PC9pc2JuPjx1cmxzPjwvdXJscz48
L3JlY29yZD48L0NpdGU+PC9FbmROb3RlPn==
</w:fldData>
        </w:fldChar>
      </w:r>
      <w:r w:rsidR="00AE6FB5">
        <w:rPr>
          <w:szCs w:val="22"/>
        </w:rPr>
        <w:instrText xml:space="preserve"> ADDIN EN.CITE.DATA </w:instrText>
      </w:r>
      <w:r w:rsidR="00AE6FB5">
        <w:rPr>
          <w:szCs w:val="22"/>
        </w:rPr>
      </w:r>
      <w:r w:rsidR="00AE6FB5">
        <w:rPr>
          <w:szCs w:val="22"/>
        </w:rPr>
        <w:fldChar w:fldCharType="end"/>
      </w:r>
      <w:r w:rsidR="00905693">
        <w:rPr>
          <w:szCs w:val="22"/>
        </w:rPr>
      </w:r>
      <w:r w:rsidR="00905693">
        <w:rPr>
          <w:szCs w:val="22"/>
        </w:rPr>
        <w:fldChar w:fldCharType="separate"/>
      </w:r>
      <w:r w:rsidR="00AE6FB5">
        <w:rPr>
          <w:noProof/>
          <w:szCs w:val="22"/>
        </w:rPr>
        <w:t>(</w:t>
      </w:r>
      <w:hyperlink w:anchor="_ENREF_15" w:tooltip="CDC, 2019 #63" w:history="1">
        <w:r w:rsidR="0027195B">
          <w:rPr>
            <w:noProof/>
            <w:szCs w:val="22"/>
          </w:rPr>
          <w:t>CDC, 2019a</w:t>
        </w:r>
      </w:hyperlink>
      <w:r w:rsidR="00AE6FB5">
        <w:rPr>
          <w:noProof/>
          <w:szCs w:val="22"/>
        </w:rPr>
        <w:t xml:space="preserve">; </w:t>
      </w:r>
      <w:hyperlink w:anchor="_ENREF_50" w:tooltip="Leikas, 2023 #163" w:history="1">
        <w:r w:rsidR="0027195B">
          <w:rPr>
            <w:noProof/>
            <w:szCs w:val="22"/>
          </w:rPr>
          <w:t>Leikas et al., 2023a</w:t>
        </w:r>
      </w:hyperlink>
      <w:r w:rsidR="00AE6FB5">
        <w:rPr>
          <w:noProof/>
          <w:szCs w:val="22"/>
        </w:rPr>
        <w:t xml:space="preserve">; </w:t>
      </w:r>
      <w:hyperlink w:anchor="_ENREF_70" w:tooltip="Public Health Agency of Canada, 2014 #64" w:history="1">
        <w:r w:rsidR="0027195B">
          <w:rPr>
            <w:noProof/>
            <w:szCs w:val="22"/>
          </w:rPr>
          <w:t>Public Health Agency of Canada, 2014</w:t>
        </w:r>
      </w:hyperlink>
      <w:r w:rsidR="00AE6FB5">
        <w:rPr>
          <w:noProof/>
          <w:szCs w:val="22"/>
        </w:rPr>
        <w:t>)</w:t>
      </w:r>
      <w:r w:rsidR="00905693">
        <w:rPr>
          <w:szCs w:val="22"/>
        </w:rPr>
        <w:fldChar w:fldCharType="end"/>
      </w:r>
      <w:r w:rsidR="00BB20C2" w:rsidRPr="00E52B4D">
        <w:rPr>
          <w:szCs w:val="22"/>
        </w:rPr>
        <w:t>.</w:t>
      </w:r>
      <w:r w:rsidR="00570A85" w:rsidRPr="00E52B4D">
        <w:rPr>
          <w:szCs w:val="22"/>
        </w:rPr>
        <w:t xml:space="preserve"> </w:t>
      </w:r>
    </w:p>
    <w:p w14:paraId="1D7FA7E3" w14:textId="21C40B40" w:rsidR="00BB20C2" w:rsidRPr="00E52B4D" w:rsidRDefault="00A26BD6" w:rsidP="00570A85">
      <w:pPr>
        <w:pStyle w:val="RARMPnumberedparagraphs"/>
        <w:rPr>
          <w:szCs w:val="22"/>
        </w:rPr>
      </w:pPr>
      <w:r>
        <w:rPr>
          <w:szCs w:val="22"/>
        </w:rPr>
        <w:t>I</w:t>
      </w:r>
      <w:r w:rsidRPr="00E52B4D">
        <w:rPr>
          <w:szCs w:val="22"/>
        </w:rPr>
        <w:t>nfection</w:t>
      </w:r>
      <w:r>
        <w:rPr>
          <w:szCs w:val="22"/>
        </w:rPr>
        <w:t xml:space="preserve">s with </w:t>
      </w:r>
      <w:proofErr w:type="spellStart"/>
      <w:r w:rsidRPr="00E52B4D">
        <w:rPr>
          <w:szCs w:val="22"/>
        </w:rPr>
        <w:t>HAdV</w:t>
      </w:r>
      <w:proofErr w:type="spellEnd"/>
      <w:r>
        <w:rPr>
          <w:szCs w:val="22"/>
        </w:rPr>
        <w:t xml:space="preserve"> </w:t>
      </w:r>
      <w:r w:rsidR="00371906">
        <w:rPr>
          <w:szCs w:val="22"/>
        </w:rPr>
        <w:t>are</w:t>
      </w:r>
      <w:r w:rsidR="00570A85" w:rsidRPr="00E52B4D">
        <w:rPr>
          <w:szCs w:val="22"/>
        </w:rPr>
        <w:t xml:space="preserve"> generally mild </w:t>
      </w:r>
      <w:r w:rsidR="007E1B4E" w:rsidRPr="00E52B4D">
        <w:rPr>
          <w:szCs w:val="22"/>
        </w:rPr>
        <w:t>and self-limiting</w:t>
      </w:r>
      <w:r w:rsidR="009F330D">
        <w:rPr>
          <w:szCs w:val="22"/>
        </w:rPr>
        <w:t>,</w:t>
      </w:r>
      <w:r w:rsidR="007E1B4E" w:rsidRPr="00E52B4D">
        <w:rPr>
          <w:szCs w:val="22"/>
        </w:rPr>
        <w:t xml:space="preserve"> </w:t>
      </w:r>
      <w:r w:rsidR="00570A85" w:rsidRPr="00E52B4D">
        <w:rPr>
          <w:szCs w:val="22"/>
        </w:rPr>
        <w:t>but</w:t>
      </w:r>
      <w:r w:rsidR="009F330D">
        <w:rPr>
          <w:szCs w:val="22"/>
        </w:rPr>
        <w:t xml:space="preserve"> could be more severe or lethal</w:t>
      </w:r>
      <w:r w:rsidR="00570A85" w:rsidRPr="00E52B4D">
        <w:rPr>
          <w:szCs w:val="22"/>
        </w:rPr>
        <w:t xml:space="preserve"> </w:t>
      </w:r>
      <w:r w:rsidR="00D8314F">
        <w:rPr>
          <w:szCs w:val="22"/>
        </w:rPr>
        <w:t xml:space="preserve">in </w:t>
      </w:r>
      <w:r w:rsidR="009F330D">
        <w:rPr>
          <w:szCs w:val="22"/>
        </w:rPr>
        <w:t>immunocompromised individuals</w:t>
      </w:r>
      <w:r w:rsidR="00206229">
        <w:rPr>
          <w:szCs w:val="22"/>
        </w:rPr>
        <w:t xml:space="preserve"> or </w:t>
      </w:r>
      <w:r>
        <w:rPr>
          <w:szCs w:val="22"/>
        </w:rPr>
        <w:t xml:space="preserve">in </w:t>
      </w:r>
      <w:r w:rsidR="00206229">
        <w:rPr>
          <w:szCs w:val="22"/>
        </w:rPr>
        <w:t>the very young</w:t>
      </w:r>
      <w:r w:rsidR="00D8314F">
        <w:rPr>
          <w:szCs w:val="22"/>
        </w:rPr>
        <w:t xml:space="preserve"> </w:t>
      </w:r>
      <w:r w:rsidR="007E7CF4">
        <w:rPr>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szCs w:val="22"/>
        </w:rPr>
        <w:instrText xml:space="preserve"> ADDIN EN.CITE </w:instrText>
      </w:r>
      <w:r w:rsidR="002219B9">
        <w:rPr>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szCs w:val="22"/>
        </w:rPr>
        <w:instrText xml:space="preserve"> ADDIN EN.CITE.DATA </w:instrText>
      </w:r>
      <w:r w:rsidR="002219B9">
        <w:rPr>
          <w:szCs w:val="22"/>
        </w:rPr>
      </w:r>
      <w:r w:rsidR="002219B9">
        <w:rPr>
          <w:szCs w:val="22"/>
        </w:rPr>
        <w:fldChar w:fldCharType="end"/>
      </w:r>
      <w:r w:rsidR="007E7CF4">
        <w:rPr>
          <w:szCs w:val="22"/>
        </w:rPr>
      </w:r>
      <w:r w:rsidR="007E7CF4">
        <w:rPr>
          <w:szCs w:val="22"/>
        </w:rPr>
        <w:fldChar w:fldCharType="separate"/>
      </w:r>
      <w:r w:rsidR="002219B9">
        <w:rPr>
          <w:noProof/>
          <w:szCs w:val="22"/>
        </w:rPr>
        <w:t>(</w:t>
      </w:r>
      <w:hyperlink w:anchor="_ENREF_50" w:tooltip="Leikas, 2023 #163" w:history="1">
        <w:r w:rsidR="0027195B">
          <w:rPr>
            <w:noProof/>
            <w:szCs w:val="22"/>
          </w:rPr>
          <w:t>Leikas et al., 2023a</w:t>
        </w:r>
      </w:hyperlink>
      <w:r w:rsidR="002219B9">
        <w:rPr>
          <w:noProof/>
          <w:szCs w:val="22"/>
        </w:rPr>
        <w:t xml:space="preserve">; </w:t>
      </w:r>
      <w:hyperlink w:anchor="_ENREF_60" w:tooltip="Mennechet, 2019 #58" w:history="1">
        <w:r w:rsidR="0027195B">
          <w:rPr>
            <w:noProof/>
            <w:szCs w:val="22"/>
          </w:rPr>
          <w:t>Mennechet et al., 2019a</w:t>
        </w:r>
      </w:hyperlink>
      <w:r w:rsidR="002219B9">
        <w:rPr>
          <w:noProof/>
          <w:szCs w:val="22"/>
        </w:rPr>
        <w:t>)</w:t>
      </w:r>
      <w:r w:rsidR="007E7CF4">
        <w:rPr>
          <w:szCs w:val="22"/>
        </w:rPr>
        <w:fldChar w:fldCharType="end"/>
      </w:r>
      <w:r w:rsidR="00570A85" w:rsidRPr="00E52B4D">
        <w:rPr>
          <w:szCs w:val="22"/>
        </w:rPr>
        <w:t xml:space="preserve">. </w:t>
      </w:r>
      <w:r w:rsidR="00BB20C2" w:rsidRPr="00E52B4D">
        <w:rPr>
          <w:szCs w:val="22"/>
        </w:rPr>
        <w:t xml:space="preserve">Overall, </w:t>
      </w:r>
      <w:proofErr w:type="spellStart"/>
      <w:r w:rsidR="005A0A38" w:rsidRPr="00E52B4D">
        <w:rPr>
          <w:szCs w:val="22"/>
        </w:rPr>
        <w:t>H</w:t>
      </w:r>
      <w:r w:rsidR="00F136DB" w:rsidRPr="00E52B4D">
        <w:rPr>
          <w:szCs w:val="22"/>
        </w:rPr>
        <w:t>Ad</w:t>
      </w:r>
      <w:r w:rsidR="009D79A9" w:rsidRPr="00E52B4D">
        <w:rPr>
          <w:szCs w:val="22"/>
        </w:rPr>
        <w:t>V</w:t>
      </w:r>
      <w:proofErr w:type="spellEnd"/>
      <w:r w:rsidR="00BB20C2" w:rsidRPr="00E52B4D">
        <w:rPr>
          <w:szCs w:val="22"/>
        </w:rPr>
        <w:t xml:space="preserve"> infections are responsible for about </w:t>
      </w:r>
      <w:r w:rsidR="005A0A38"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245BC5">
        <w:rPr>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6" w:tooltip="Allard and Vantarakis, 2017 #25" w:history="1">
        <w:r w:rsidR="0027195B">
          <w:rPr>
            <w:noProof/>
            <w:szCs w:val="22"/>
          </w:rPr>
          <w:t>Allard and Vantarakis, 2017</w:t>
        </w:r>
      </w:hyperlink>
      <w:r w:rsidR="00402F97">
        <w:rPr>
          <w:noProof/>
          <w:szCs w:val="22"/>
        </w:rPr>
        <w:t>)</w:t>
      </w:r>
      <w:r w:rsidR="00402F97">
        <w:rPr>
          <w:szCs w:val="22"/>
        </w:rPr>
        <w:fldChar w:fldCharType="end"/>
      </w:r>
      <w:r w:rsidR="004165BA">
        <w:rPr>
          <w:szCs w:val="22"/>
        </w:rPr>
        <w:t xml:space="preserve"> and </w:t>
      </w:r>
      <w:r w:rsidR="00CB0BE4">
        <w:rPr>
          <w:szCs w:val="22"/>
        </w:rPr>
        <w:t xml:space="preserve">are </w:t>
      </w:r>
      <w:r w:rsidR="004165BA">
        <w:rPr>
          <w:szCs w:val="22"/>
        </w:rPr>
        <w:t xml:space="preserve">the most common cause of </w:t>
      </w:r>
      <w:r w:rsidR="00781FDE">
        <w:rPr>
          <w:szCs w:val="22"/>
        </w:rPr>
        <w:t xml:space="preserve">conjunctivitis </w:t>
      </w:r>
      <w:r w:rsidR="004165BA">
        <w:rPr>
          <w:szCs w:val="22"/>
        </w:rPr>
        <w:t xml:space="preserve">in the world </w:t>
      </w:r>
      <w:r w:rsidR="004E20C9">
        <w:rPr>
          <w:szCs w:val="22"/>
        </w:rPr>
        <w:fldChar w:fldCharType="begin"/>
      </w:r>
      <w:r w:rsidR="00824706">
        <w:rPr>
          <w:szCs w:val="22"/>
        </w:rPr>
        <w:instrText xml:space="preserve"> ADDIN EN.CITE &lt;EndNote&gt;&lt;Cite&gt;&lt;Author&gt;Pihos&lt;/Author&gt;&lt;Year&gt;2013&lt;/Year&gt;&lt;RecNum&gt;66&lt;/RecNum&gt;&lt;DisplayText&gt;(Pihos, 2013)&lt;/DisplayText&gt;&lt;record&gt;&lt;rec-number&gt;66&lt;/rec-number&gt;&lt;foreign-keys&gt;&lt;key app="EN" db-id="verwe2fxj5fev7epfz8xtdvez025feseze0z" timestamp="1733275116"&gt;66&lt;/key&gt;&lt;/foreign-keys&gt;&lt;ref-type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4E20C9">
        <w:rPr>
          <w:szCs w:val="22"/>
        </w:rPr>
        <w:fldChar w:fldCharType="separate"/>
      </w:r>
      <w:r w:rsidR="004E20C9">
        <w:rPr>
          <w:noProof/>
          <w:szCs w:val="22"/>
        </w:rPr>
        <w:t>(</w:t>
      </w:r>
      <w:hyperlink w:anchor="_ENREF_69" w:tooltip="Pihos, 2013 #66" w:history="1">
        <w:r w:rsidR="0027195B">
          <w:rPr>
            <w:noProof/>
            <w:szCs w:val="22"/>
          </w:rPr>
          <w:t>Pihos, 2013</w:t>
        </w:r>
      </w:hyperlink>
      <w:r w:rsidR="004E20C9">
        <w:rPr>
          <w:noProof/>
          <w:szCs w:val="22"/>
        </w:rPr>
        <w:t>)</w:t>
      </w:r>
      <w:r w:rsidR="004E20C9">
        <w:rPr>
          <w:szCs w:val="22"/>
        </w:rPr>
        <w:fldChar w:fldCharType="end"/>
      </w:r>
      <w:r w:rsidR="004165BA">
        <w:rPr>
          <w:szCs w:val="22"/>
        </w:rPr>
        <w:t xml:space="preserve">. </w:t>
      </w:r>
    </w:p>
    <w:p w14:paraId="2BCFC3E3" w14:textId="0C61230F" w:rsidR="007507C5" w:rsidRDefault="00BB20C2" w:rsidP="00BB20C2">
      <w:pPr>
        <w:pStyle w:val="RARMPnumberedparagraphs"/>
        <w:rPr>
          <w:rFonts w:cs="Calibri"/>
          <w:szCs w:val="22"/>
        </w:rPr>
      </w:pPr>
      <w:r w:rsidRPr="00E52B4D">
        <w:rPr>
          <w:szCs w:val="22"/>
        </w:rPr>
        <w:t xml:space="preserve">Outbreaks of </w:t>
      </w:r>
      <w:proofErr w:type="spellStart"/>
      <w:r w:rsidR="005A0A38" w:rsidRPr="00E52B4D">
        <w:rPr>
          <w:szCs w:val="22"/>
        </w:rPr>
        <w:t>H</w:t>
      </w:r>
      <w:r w:rsidR="00F136DB" w:rsidRPr="00E52B4D">
        <w:rPr>
          <w:szCs w:val="22"/>
        </w:rPr>
        <w:t>Ad</w:t>
      </w:r>
      <w:r w:rsidR="00103AAC" w:rsidRPr="00E52B4D">
        <w:rPr>
          <w:szCs w:val="22"/>
        </w:rPr>
        <w:t>Vs</w:t>
      </w:r>
      <w:proofErr w:type="spellEnd"/>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summer, however infections can occur throughout the year. </w:t>
      </w:r>
      <w:r w:rsidR="006A658B">
        <w:rPr>
          <w:szCs w:val="22"/>
        </w:rPr>
        <w:t xml:space="preserve">After natural </w:t>
      </w:r>
      <w:proofErr w:type="spellStart"/>
      <w:r w:rsidR="006A658B">
        <w:rPr>
          <w:szCs w:val="22"/>
        </w:rPr>
        <w:t>HAdV</w:t>
      </w:r>
      <w:proofErr w:type="spellEnd"/>
      <w:r w:rsidR="006A658B">
        <w:rPr>
          <w:szCs w:val="22"/>
        </w:rPr>
        <w:t xml:space="preserve"> infection, t</w:t>
      </w:r>
      <w:r w:rsidRPr="00E52B4D">
        <w:rPr>
          <w:szCs w:val="22"/>
        </w:rPr>
        <w:t xml:space="preserve">he incubation period of </w:t>
      </w:r>
      <w:proofErr w:type="spellStart"/>
      <w:r w:rsidRPr="00E52B4D">
        <w:rPr>
          <w:szCs w:val="22"/>
        </w:rPr>
        <w:t>HAdVs</w:t>
      </w:r>
      <w:proofErr w:type="spellEnd"/>
      <w:r w:rsidRPr="00E52B4D">
        <w:rPr>
          <w:szCs w:val="22"/>
        </w:rPr>
        <w:t xml:space="preserve"> ranges from 2 days to 2 weeks, depending on the viral 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245BC5">
        <w:rPr>
          <w:rFonts w:cs="Calibri"/>
          <w:szCs w:val="22"/>
        </w:rPr>
        <w:instrText xml:space="preserve"> ADDIN EN.CITE &lt;EndNote&gt;&lt;Cite&gt;&lt;Author&gt;Allard and Vantarakis&lt;/Author&gt;&lt;Year&gt;2017&lt;/Year&gt;&lt;RecNum&gt;25&lt;/RecNum&gt;&lt;DisplayText&gt;(Allard and Vantarakis, 2017; Public Health Agency of Canada, 2014)&lt;/DisplayText&gt;&lt;record&gt;&lt;rec-number&gt;25&lt;/rec-number&gt;&lt;foreign-keys&gt;&lt;key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Canada&lt;/Author&gt;&lt;Year&gt;2014&lt;/Year&gt;&lt;RecNum&gt;64&lt;/RecNum&gt;&lt;record&gt;&lt;rec-number&gt;64&lt;/rec-number&gt;&lt;foreign-keys&gt;&lt;key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5B0F2F">
        <w:rPr>
          <w:rFonts w:cs="Calibri"/>
          <w:noProof/>
          <w:szCs w:val="22"/>
        </w:rPr>
        <w:t>(</w:t>
      </w:r>
      <w:hyperlink w:anchor="_ENREF_6" w:tooltip="Allard and Vantarakis, 2017 #25" w:history="1">
        <w:r w:rsidR="0027195B">
          <w:rPr>
            <w:rFonts w:cs="Calibri"/>
            <w:noProof/>
            <w:szCs w:val="22"/>
          </w:rPr>
          <w:t>Allard and Vantarakis, 2017</w:t>
        </w:r>
      </w:hyperlink>
      <w:r w:rsidR="005B0F2F">
        <w:rPr>
          <w:rFonts w:cs="Calibri"/>
          <w:noProof/>
          <w:szCs w:val="22"/>
        </w:rPr>
        <w:t xml:space="preserve">; </w:t>
      </w:r>
      <w:hyperlink w:anchor="_ENREF_70" w:tooltip="Public Health Agency of Canada, 2014 #64" w:history="1">
        <w:r w:rsidR="0027195B">
          <w:rPr>
            <w:rFonts w:cs="Calibri"/>
            <w:noProof/>
            <w:szCs w:val="22"/>
          </w:rPr>
          <w:t>Public Health Agency of Canada, 2014</w:t>
        </w:r>
      </w:hyperlink>
      <w:r w:rsidR="005B0F2F">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For respiratory infections, the incubation period is generally 4-8 days</w:t>
      </w:r>
      <w:r w:rsidR="0062700D">
        <w:rPr>
          <w:rFonts w:cs="Calibri"/>
          <w:szCs w:val="22"/>
        </w:rPr>
        <w:t>,</w:t>
      </w:r>
      <w:r w:rsidR="00324DD5">
        <w:rPr>
          <w:rFonts w:cs="Calibri"/>
          <w:szCs w:val="22"/>
        </w:rPr>
        <w:t xml:space="preserve"> whereas</w:t>
      </w:r>
      <w:r w:rsidR="00FD22E3">
        <w:rPr>
          <w:rFonts w:cs="Calibri"/>
          <w:szCs w:val="22"/>
        </w:rPr>
        <w:t xml:space="preserve"> it is</w:t>
      </w:r>
      <w:r w:rsidR="00324DD5">
        <w:rPr>
          <w:rFonts w:cs="Calibri"/>
          <w:szCs w:val="22"/>
        </w:rPr>
        <w:t xml:space="preserve"> 3-10 days for intestinal infections</w:t>
      </w:r>
      <w:r w:rsidR="001D17E3">
        <w:rPr>
          <w:rFonts w:cs="Calibri"/>
          <w:szCs w:val="22"/>
        </w:rPr>
        <w:t xml:space="preserve"> </w:t>
      </w:r>
      <w:r w:rsidR="0020234E">
        <w:rPr>
          <w:rFonts w:cs="Calibri"/>
          <w:szCs w:val="22"/>
        </w:rPr>
        <w:fldChar w:fldCharType="begin"/>
      </w:r>
      <w:r w:rsidR="00245BC5">
        <w:rPr>
          <w:rFonts w:cs="Calibr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6" w:tooltip="Allard and Vantarakis, 2017 #25" w:history="1">
        <w:r w:rsidR="0027195B">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infecti</w:t>
      </w:r>
      <w:r w:rsidR="006A658B">
        <w:rPr>
          <w:rFonts w:cs="Calibri"/>
          <w:szCs w:val="22"/>
        </w:rPr>
        <w:t xml:space="preserve">on </w:t>
      </w:r>
      <w:r w:rsidR="00324DD5">
        <w:rPr>
          <w:rFonts w:cs="Calibri"/>
          <w:szCs w:val="22"/>
        </w:rPr>
        <w:t xml:space="preserve">usually last </w:t>
      </w:r>
      <w:r w:rsidR="00125703">
        <w:rPr>
          <w:rFonts w:cs="Calibri"/>
          <w:szCs w:val="22"/>
        </w:rPr>
        <w:t xml:space="preserve">for a few days to a week but for </w:t>
      </w:r>
      <w:r w:rsidR="00324DD5">
        <w:rPr>
          <w:rFonts w:cs="Calibri"/>
          <w:szCs w:val="22"/>
        </w:rPr>
        <w:t xml:space="preserve">the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656E8050" w14:textId="45DE1F68" w:rsidR="00CD6FBF" w:rsidRDefault="00A26BD6" w:rsidP="00B37F6E">
      <w:pPr>
        <w:pStyle w:val="RARMPnumberedparagraphs"/>
        <w:rPr>
          <w:rFonts w:asciiTheme="minorHAnsi" w:hAnsiTheme="minorHAnsi"/>
          <w:szCs w:val="22"/>
        </w:rPr>
      </w:pPr>
      <w:r>
        <w:rPr>
          <w:rFonts w:asciiTheme="minorHAnsi" w:hAnsiTheme="minorHAnsi"/>
          <w:szCs w:val="22"/>
        </w:rPr>
        <w:t xml:space="preserve">The parental species, </w:t>
      </w:r>
      <w:proofErr w:type="spellStart"/>
      <w:r w:rsidR="00CD6FBF">
        <w:rPr>
          <w:rFonts w:asciiTheme="minorHAnsi" w:hAnsiTheme="minorHAnsi"/>
          <w:szCs w:val="22"/>
        </w:rPr>
        <w:t>HAdV</w:t>
      </w:r>
      <w:proofErr w:type="spellEnd"/>
      <w:r w:rsidR="00CD6FBF">
        <w:rPr>
          <w:rFonts w:asciiTheme="minorHAnsi" w:hAnsiTheme="minorHAnsi"/>
          <w:szCs w:val="22"/>
        </w:rPr>
        <w:t>-C</w:t>
      </w:r>
      <w:r>
        <w:rPr>
          <w:rFonts w:asciiTheme="minorHAnsi" w:hAnsiTheme="minorHAnsi"/>
          <w:szCs w:val="22"/>
        </w:rPr>
        <w:t>,</w:t>
      </w:r>
      <w:r w:rsidR="00CD6FBF">
        <w:rPr>
          <w:rFonts w:asciiTheme="minorHAnsi" w:hAnsiTheme="minorHAnsi"/>
          <w:szCs w:val="22"/>
        </w:rPr>
        <w:t xml:space="preserve"> has been mainly associated with acute respiratory tract infections in children and is the most common serotype reported in most populations</w:t>
      </w:r>
      <w:r w:rsidR="003F5A55">
        <w:rPr>
          <w:rFonts w:asciiTheme="minorHAnsi" w:hAnsiTheme="minorHAnsi"/>
          <w:szCs w:val="22"/>
        </w:rPr>
        <w:t>, with ant</w:t>
      </w:r>
      <w:r>
        <w:rPr>
          <w:rFonts w:asciiTheme="minorHAnsi" w:hAnsiTheme="minorHAnsi"/>
          <w:szCs w:val="22"/>
        </w:rPr>
        <w:t>i</w:t>
      </w:r>
      <w:r w:rsidR="003F5A55">
        <w:rPr>
          <w:rFonts w:asciiTheme="minorHAnsi" w:hAnsiTheme="minorHAnsi"/>
          <w:szCs w:val="22"/>
        </w:rPr>
        <w:t>-</w:t>
      </w:r>
      <w:r w:rsidR="003F5A55">
        <w:rPr>
          <w:rFonts w:asciiTheme="minorHAnsi" w:hAnsiTheme="minorHAnsi"/>
          <w:szCs w:val="22"/>
        </w:rPr>
        <w:lastRenderedPageBreak/>
        <w:t>HAdV</w:t>
      </w:r>
      <w:r w:rsidR="006A1285">
        <w:rPr>
          <w:rFonts w:asciiTheme="minorHAnsi" w:hAnsiTheme="minorHAnsi"/>
          <w:szCs w:val="22"/>
        </w:rPr>
        <w:t>-C5 antibodies detected in almost 85% of the population</w:t>
      </w:r>
      <w:r w:rsidR="00CD6FBF">
        <w:rPr>
          <w:rFonts w:asciiTheme="minorHAnsi" w:hAnsiTheme="minorHAnsi"/>
          <w:szCs w:val="22"/>
        </w:rPr>
        <w:t xml:space="preserve"> </w:t>
      </w:r>
      <w:r w:rsidR="00425C51">
        <w:rPr>
          <w:rFonts w:asciiTheme="minorHAnsi" w:hAnsiTheme="minorHAnsi"/>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rFonts w:asciiTheme="minorHAnsi" w:hAnsiTheme="minorHAnsi"/>
          <w:szCs w:val="22"/>
        </w:rPr>
        <w:instrText xml:space="preserve"> ADDIN EN.CITE </w:instrText>
      </w:r>
      <w:r w:rsidR="002219B9">
        <w:rPr>
          <w:rFonts w:asciiTheme="minorHAnsi" w:hAnsiTheme="minorHAnsi"/>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rFonts w:asciiTheme="minorHAnsi" w:hAnsiTheme="minorHAnsi"/>
          <w:szCs w:val="22"/>
        </w:rPr>
        <w:instrText xml:space="preserve"> ADDIN EN.CITE.DATA </w:instrText>
      </w:r>
      <w:r w:rsidR="002219B9">
        <w:rPr>
          <w:rFonts w:asciiTheme="minorHAnsi" w:hAnsiTheme="minorHAnsi"/>
          <w:szCs w:val="22"/>
        </w:rPr>
      </w:r>
      <w:r w:rsidR="002219B9">
        <w:rPr>
          <w:rFonts w:asciiTheme="minorHAnsi" w:hAnsiTheme="minorHAnsi"/>
          <w:szCs w:val="22"/>
        </w:rPr>
        <w:fldChar w:fldCharType="end"/>
      </w:r>
      <w:r w:rsidR="00425C51">
        <w:rPr>
          <w:rFonts w:asciiTheme="minorHAnsi" w:hAnsiTheme="minorHAnsi"/>
          <w:szCs w:val="22"/>
        </w:rPr>
      </w:r>
      <w:r w:rsidR="00425C51">
        <w:rPr>
          <w:rFonts w:asciiTheme="minorHAnsi" w:hAnsiTheme="minorHAnsi"/>
          <w:szCs w:val="22"/>
        </w:rPr>
        <w:fldChar w:fldCharType="separate"/>
      </w:r>
      <w:r w:rsidR="002219B9">
        <w:rPr>
          <w:rFonts w:asciiTheme="minorHAnsi" w:hAnsiTheme="minorHAnsi"/>
          <w:noProof/>
          <w:szCs w:val="22"/>
        </w:rPr>
        <w:t>(</w:t>
      </w:r>
      <w:hyperlink w:anchor="_ENREF_50" w:tooltip="Leikas, 2023 #163" w:history="1">
        <w:r w:rsidR="0027195B">
          <w:rPr>
            <w:rFonts w:asciiTheme="minorHAnsi" w:hAnsiTheme="minorHAnsi"/>
            <w:noProof/>
            <w:szCs w:val="22"/>
          </w:rPr>
          <w:t>Leikas et al., 2023a</w:t>
        </w:r>
      </w:hyperlink>
      <w:r w:rsidR="002219B9">
        <w:rPr>
          <w:rFonts w:asciiTheme="minorHAnsi" w:hAnsiTheme="minorHAnsi"/>
          <w:noProof/>
          <w:szCs w:val="22"/>
        </w:rPr>
        <w:t xml:space="preserve">; </w:t>
      </w:r>
      <w:hyperlink w:anchor="_ENREF_60" w:tooltip="Mennechet, 2019 #58" w:history="1">
        <w:r w:rsidR="0027195B">
          <w:rPr>
            <w:rFonts w:asciiTheme="minorHAnsi" w:hAnsiTheme="minorHAnsi"/>
            <w:noProof/>
            <w:szCs w:val="22"/>
          </w:rPr>
          <w:t>Mennechet et al., 2019a</w:t>
        </w:r>
      </w:hyperlink>
      <w:r w:rsidR="002219B9">
        <w:rPr>
          <w:rFonts w:asciiTheme="minorHAnsi" w:hAnsiTheme="minorHAnsi"/>
          <w:noProof/>
          <w:szCs w:val="22"/>
        </w:rPr>
        <w:t>)</w:t>
      </w:r>
      <w:r w:rsidR="00425C51">
        <w:rPr>
          <w:rFonts w:asciiTheme="minorHAnsi" w:hAnsiTheme="minorHAnsi"/>
          <w:szCs w:val="22"/>
        </w:rPr>
        <w:fldChar w:fldCharType="end"/>
      </w:r>
      <w:r w:rsidR="0041114C">
        <w:rPr>
          <w:rFonts w:asciiTheme="minorHAnsi" w:hAnsiTheme="minorHAnsi"/>
          <w:szCs w:val="22"/>
        </w:rPr>
        <w:t xml:space="preserve">. </w:t>
      </w:r>
    </w:p>
    <w:p w14:paraId="40E2A64B" w14:textId="1E766F20" w:rsidR="00922F34" w:rsidRDefault="003534AF" w:rsidP="00FA0361">
      <w:pPr>
        <w:pStyle w:val="3RARMP"/>
      </w:pPr>
      <w:bookmarkStart w:id="140" w:name="_Ref66268738"/>
      <w:bookmarkStart w:id="141" w:name="_Ref66268748"/>
      <w:bookmarkStart w:id="142" w:name="_Toc219281389"/>
      <w:bookmarkStart w:id="143" w:name="_Toc53666209"/>
      <w:bookmarkStart w:id="144" w:name="_Toc53675470"/>
      <w:r>
        <w:t xml:space="preserve">Structure </w:t>
      </w:r>
      <w:r w:rsidRPr="00FA0361">
        <w:t>and</w:t>
      </w:r>
      <w:r>
        <w:t xml:space="preserve"> genomic organisation</w:t>
      </w:r>
      <w:bookmarkEnd w:id="140"/>
      <w:bookmarkEnd w:id="141"/>
      <w:bookmarkEnd w:id="142"/>
      <w:r>
        <w:t xml:space="preserve"> </w:t>
      </w:r>
      <w:bookmarkEnd w:id="143"/>
      <w:bookmarkEnd w:id="144"/>
    </w:p>
    <w:p w14:paraId="04909CFE" w14:textId="2B03C3EC" w:rsidR="00BB20C2" w:rsidRPr="00E52B4D" w:rsidRDefault="00A26BD6" w:rsidP="003534AF">
      <w:pPr>
        <w:pStyle w:val="RARMPnumberedparagraphs"/>
        <w:rPr>
          <w:rFonts w:cs="Calibri"/>
          <w:strike/>
          <w:szCs w:val="22"/>
        </w:rPr>
      </w:pPr>
      <w:r>
        <w:rPr>
          <w:szCs w:val="22"/>
        </w:rPr>
        <w:t>Adenoviruse</w:t>
      </w:r>
      <w:r w:rsidRPr="00E52B4D">
        <w:rPr>
          <w:szCs w:val="22"/>
        </w:rPr>
        <w:t xml:space="preserve">s </w:t>
      </w:r>
      <w:r w:rsidR="000A657C" w:rsidRPr="00E52B4D">
        <w:rPr>
          <w:szCs w:val="22"/>
        </w:rPr>
        <w:t xml:space="preserve">are non-enveloped, double-stranded DNA viruses with an icosahedral </w:t>
      </w:r>
      <w:r w:rsidR="006C1B8E">
        <w:rPr>
          <w:szCs w:val="22"/>
        </w:rPr>
        <w:t xml:space="preserve">capsid comprising of </w:t>
      </w:r>
      <w:r w:rsidR="004B757C">
        <w:rPr>
          <w:szCs w:val="22"/>
        </w:rPr>
        <w:t xml:space="preserve">3 </w:t>
      </w:r>
      <w:r w:rsidR="006C1B8E">
        <w:rPr>
          <w:szCs w:val="22"/>
        </w:rPr>
        <w:t>major (</w:t>
      </w:r>
      <w:proofErr w:type="spellStart"/>
      <w:r w:rsidR="006C1B8E">
        <w:rPr>
          <w:szCs w:val="22"/>
        </w:rPr>
        <w:t>hexon</w:t>
      </w:r>
      <w:proofErr w:type="spellEnd"/>
      <w:r w:rsidR="006C1B8E">
        <w:rPr>
          <w:szCs w:val="22"/>
        </w:rPr>
        <w:t xml:space="preserve">, penton base and </w:t>
      </w:r>
      <w:proofErr w:type="spellStart"/>
      <w:r w:rsidR="006C1B8E">
        <w:rPr>
          <w:szCs w:val="22"/>
        </w:rPr>
        <w:t>fiber</w:t>
      </w:r>
      <w:proofErr w:type="spellEnd"/>
      <w:r w:rsidR="006C1B8E">
        <w:rPr>
          <w:szCs w:val="22"/>
        </w:rPr>
        <w:t xml:space="preserve">) and </w:t>
      </w:r>
      <w:r w:rsidR="004B757C">
        <w:rPr>
          <w:szCs w:val="22"/>
        </w:rPr>
        <w:t xml:space="preserve">4 </w:t>
      </w:r>
      <w:r w:rsidR="006C1B8E">
        <w:rPr>
          <w:szCs w:val="22"/>
        </w:rPr>
        <w:t>minor (protein IX, VIII, IIIa and VI) proteins;</w:t>
      </w:r>
      <w:r w:rsidR="000A657C" w:rsidRPr="00E52B4D">
        <w:rPr>
          <w:szCs w:val="22"/>
        </w:rPr>
        <w:t xml:space="preserve"> </w:t>
      </w:r>
      <w:r w:rsidR="00931054">
        <w:rPr>
          <w:szCs w:val="22"/>
        </w:rPr>
        <w:t xml:space="preserve">other proteins (V, VII, </w:t>
      </w:r>
      <w:r w:rsidR="00931054">
        <w:rPr>
          <w:rFonts w:cs="Calibri"/>
          <w:szCs w:val="22"/>
        </w:rPr>
        <w:t>µ</w:t>
      </w:r>
      <w:r w:rsidR="00931054">
        <w:rPr>
          <w:szCs w:val="22"/>
        </w:rPr>
        <w:t xml:space="preserve">, Iva2, terminal protein and adenovirus protease); </w:t>
      </w:r>
      <w:r w:rsidR="000A657C" w:rsidRPr="00E52B4D">
        <w:rPr>
          <w:szCs w:val="22"/>
        </w:rPr>
        <w:t>and a core</w:t>
      </w:r>
      <w:r w:rsidR="006968F1">
        <w:rPr>
          <w:szCs w:val="22"/>
        </w:rPr>
        <w:t xml:space="preserve"> that contains DNA</w:t>
      </w:r>
      <w:r w:rsidR="006C1B8E">
        <w:rPr>
          <w:szCs w:val="22"/>
        </w:rPr>
        <w:t xml:space="preserve"> </w:t>
      </w:r>
      <w:r w:rsidR="004E20C9">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 </w:instrText>
      </w:r>
      <w:r w:rsidR="00824706">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25C51">
        <w:rPr>
          <w:noProof/>
          <w:szCs w:val="22"/>
        </w:rPr>
        <w:t>(</w:t>
      </w:r>
      <w:hyperlink w:anchor="_ENREF_75" w:tooltip="Robinson, 2011 #67" w:history="1">
        <w:r w:rsidR="0027195B">
          <w:rPr>
            <w:noProof/>
            <w:szCs w:val="22"/>
          </w:rPr>
          <w:t>Robinson et al., 2011</w:t>
        </w:r>
      </w:hyperlink>
      <w:r w:rsidR="00425C51">
        <w:rPr>
          <w:noProof/>
          <w:szCs w:val="22"/>
        </w:rPr>
        <w:t xml:space="preserve">; </w:t>
      </w:r>
      <w:hyperlink w:anchor="_ENREF_104" w:tooltip="Yu, 2017 #68" w:history="1">
        <w:r w:rsidR="0027195B">
          <w:rPr>
            <w:noProof/>
            <w:szCs w:val="22"/>
          </w:rPr>
          <w:t>Yu et al., 2017</w:t>
        </w:r>
      </w:hyperlink>
      <w:r w:rsidR="00425C51">
        <w:rPr>
          <w:noProof/>
          <w:szCs w:val="22"/>
        </w:rPr>
        <w:t>)</w:t>
      </w:r>
      <w:r w:rsidR="004E20C9">
        <w:rPr>
          <w:szCs w:val="22"/>
        </w:rPr>
        <w:fldChar w:fldCharType="end"/>
      </w:r>
      <w:r w:rsidR="0075015A">
        <w:rPr>
          <w:szCs w:val="22"/>
        </w:rPr>
        <w:t xml:space="preserve">. </w:t>
      </w:r>
      <w:r w:rsidR="00BB20C2" w:rsidRPr="00E52B4D">
        <w:rPr>
          <w:szCs w:val="22"/>
        </w:rPr>
        <w:t xml:space="preserve">The genome of </w:t>
      </w:r>
      <w:proofErr w:type="spellStart"/>
      <w:r w:rsidR="00F136DB" w:rsidRPr="00E52B4D">
        <w:rPr>
          <w:szCs w:val="22"/>
        </w:rPr>
        <w:t>Ad</w:t>
      </w:r>
      <w:r w:rsidR="009D79A9" w:rsidRPr="00E52B4D">
        <w:rPr>
          <w:szCs w:val="22"/>
        </w:rPr>
        <w:t>V</w:t>
      </w:r>
      <w:r w:rsidR="00F136DB" w:rsidRPr="00E52B4D">
        <w:rPr>
          <w:szCs w:val="22"/>
        </w:rPr>
        <w:t>s</w:t>
      </w:r>
      <w:proofErr w:type="spellEnd"/>
      <w:r w:rsidR="00BB20C2" w:rsidRPr="00E52B4D">
        <w:rPr>
          <w:szCs w:val="22"/>
        </w:rPr>
        <w:t xml:space="preserve"> </w:t>
      </w:r>
      <w:r>
        <w:rPr>
          <w:szCs w:val="22"/>
        </w:rPr>
        <w:t>is</w:t>
      </w:r>
      <w:r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5B0F2F">
        <w:rPr>
          <w:szCs w:val="22"/>
        </w:rPr>
        <w:instrText xml:space="preserve"> ADDIN EN.CITE </w:instrText>
      </w:r>
      <w:r w:rsidR="005B0F2F">
        <w:rPr>
          <w:szCs w:val="22"/>
        </w:rPr>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5B0F2F">
        <w:rPr>
          <w:szCs w:val="22"/>
        </w:rPr>
        <w:instrText xml:space="preserve"> ADDIN EN.CITE.DATA </w:instrText>
      </w:r>
      <w:r w:rsidR="005B0F2F">
        <w:rPr>
          <w:szCs w:val="22"/>
        </w:rPr>
      </w:r>
      <w:r w:rsidR="005B0F2F">
        <w:rPr>
          <w:szCs w:val="22"/>
        </w:rPr>
        <w:fldChar w:fldCharType="end"/>
      </w:r>
      <w:r w:rsidR="008E0433">
        <w:rPr>
          <w:szCs w:val="22"/>
        </w:rPr>
      </w:r>
      <w:r w:rsidR="008E0433">
        <w:rPr>
          <w:szCs w:val="22"/>
        </w:rPr>
        <w:fldChar w:fldCharType="separate"/>
      </w:r>
      <w:r w:rsidR="005B0F2F">
        <w:rPr>
          <w:noProof/>
          <w:szCs w:val="22"/>
        </w:rPr>
        <w:t>(</w:t>
      </w:r>
      <w:hyperlink w:anchor="_ENREF_17" w:tooltip="Charman, 2019 #69" w:history="1">
        <w:r w:rsidR="0027195B">
          <w:rPr>
            <w:noProof/>
            <w:szCs w:val="22"/>
          </w:rPr>
          <w:t>Charman et al., 2019</w:t>
        </w:r>
      </w:hyperlink>
      <w:r w:rsidR="005B0F2F">
        <w:rPr>
          <w:noProof/>
          <w:szCs w:val="22"/>
        </w:rPr>
        <w:t xml:space="preserve">; </w:t>
      </w:r>
      <w:hyperlink w:anchor="_ENREF_48" w:tooltip="Lasaro, 2009 #70" w:history="1">
        <w:r w:rsidR="0027195B">
          <w:rPr>
            <w:noProof/>
            <w:szCs w:val="22"/>
          </w:rPr>
          <w:t>Lasaro and Ertl, 2009</w:t>
        </w:r>
      </w:hyperlink>
      <w:r w:rsidR="005B0F2F">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1C12335B" w14:textId="57F51B48" w:rsidR="00311516" w:rsidRPr="00E52B4D" w:rsidRDefault="006968F1" w:rsidP="00C6295B">
      <w:pPr>
        <w:pStyle w:val="RARMPnumberedparagraphs"/>
        <w:rPr>
          <w:szCs w:val="22"/>
        </w:rPr>
      </w:pPr>
      <w:r>
        <w:rPr>
          <w:szCs w:val="22"/>
        </w:rPr>
        <w:t xml:space="preserve">The </w:t>
      </w:r>
      <w:proofErr w:type="spellStart"/>
      <w:r w:rsidR="0023386B" w:rsidRPr="00E52B4D">
        <w:rPr>
          <w:szCs w:val="22"/>
        </w:rPr>
        <w:t>H</w:t>
      </w:r>
      <w:r w:rsidR="00F136DB" w:rsidRPr="00E52B4D">
        <w:rPr>
          <w:szCs w:val="22"/>
        </w:rPr>
        <w:t>Ad</w:t>
      </w:r>
      <w:r w:rsidR="00C309F2" w:rsidRPr="00E52B4D">
        <w:rPr>
          <w:szCs w:val="22"/>
        </w:rPr>
        <w:t>V</w:t>
      </w:r>
      <w:proofErr w:type="spellEnd"/>
      <w:r w:rsidR="009D1B37" w:rsidRPr="00E52B4D">
        <w:rPr>
          <w:szCs w:val="22"/>
        </w:rPr>
        <w:t xml:space="preserve"> genome </w:t>
      </w:r>
      <w:r w:rsidR="000863C7" w:rsidRPr="00E52B4D">
        <w:rPr>
          <w:szCs w:val="22"/>
        </w:rPr>
        <w:t>co</w:t>
      </w:r>
      <w:r w:rsidR="0084682A">
        <w:rPr>
          <w:szCs w:val="22"/>
        </w:rPr>
        <w:t>nsists of</w:t>
      </w:r>
      <w:r w:rsidR="009D1B37" w:rsidRPr="00E52B4D">
        <w:rPr>
          <w:szCs w:val="22"/>
        </w:rPr>
        <w:t xml:space="preserve"> early and late </w:t>
      </w:r>
      <w:r w:rsidR="00C6295B" w:rsidRPr="00E52B4D">
        <w:rPr>
          <w:szCs w:val="22"/>
        </w:rPr>
        <w:t>genes</w:t>
      </w:r>
      <w:r w:rsidR="003A7E24">
        <w:rPr>
          <w:szCs w:val="22"/>
        </w:rPr>
        <w:t>,</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163EB7">
        <w:rPr>
          <w:szCs w:val="22"/>
        </w:rPr>
        <w:t>Figure 2</w:t>
      </w:r>
      <w:r w:rsidR="00922F34" w:rsidRPr="00BE17CC">
        <w:rPr>
          <w:szCs w:val="22"/>
        </w:rPr>
        <w:t xml:space="preserve">). </w:t>
      </w:r>
      <w:r w:rsidR="0084682A">
        <w:rPr>
          <w:szCs w:val="22"/>
        </w:rPr>
        <w:t>The e</w:t>
      </w:r>
      <w:r w:rsidR="00922F34" w:rsidRPr="00E52B4D">
        <w:rPr>
          <w:szCs w:val="22"/>
        </w:rPr>
        <w:t>arly genes (E</w:t>
      </w:r>
      <w:r w:rsidR="00922357" w:rsidRPr="00E52B4D">
        <w:rPr>
          <w:szCs w:val="22"/>
        </w:rPr>
        <w:t>1</w:t>
      </w:r>
      <w:r w:rsidR="00922F34" w:rsidRPr="00E52B4D">
        <w:rPr>
          <w:szCs w:val="22"/>
        </w:rPr>
        <w:t xml:space="preserve">, E2, E3 and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UmVjTnVtPjcxPC9SZWNOdW0+PERpc3BsYXlUZXh0PihBZmtoYW1pIGV0IGFsLiwgMjAxNjsgTGFz
YXJvIGFuZCBFcnRsLCAyMDA5OyBSb3kgZXQgYWwuLCAyMDA0OyBTYWhhIGFuZCBQYXJrcywgMjAx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5B0F2F">
        <w:rPr>
          <w:szCs w:val="22"/>
        </w:rPr>
        <w:instrText xml:space="preserve"> ADDIN EN.CITE </w:instrText>
      </w:r>
      <w:r w:rsidR="005B0F2F">
        <w:rPr>
          <w:szCs w:val="22"/>
        </w:rPr>
        <w:fldChar w:fldCharType="begin">
          <w:fldData xml:space="preserve">PEVuZE5vdGU+PENpdGU+PEF1dGhvcj5BZmtoYW1pPC9BdXRob3I+PFllYXI+MjAxNjwvWWVhcj48
UmVjTnVtPjcxPC9SZWNOdW0+PERpc3BsYXlUZXh0PihBZmtoYW1pIGV0IGFsLiwgMjAxNjsgTGFz
YXJvIGFuZCBFcnRsLCAyMDA5OyBSb3kgZXQgYWwuLCAyMDA0OyBTYWhhIGFuZCBQYXJrcywgMjAx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5B0F2F">
        <w:rPr>
          <w:szCs w:val="22"/>
        </w:rPr>
        <w:instrText xml:space="preserve"> ADDIN EN.CITE.DATA </w:instrText>
      </w:r>
      <w:r w:rsidR="005B0F2F">
        <w:rPr>
          <w:szCs w:val="22"/>
        </w:rPr>
      </w:r>
      <w:r w:rsidR="005B0F2F">
        <w:rPr>
          <w:szCs w:val="22"/>
        </w:rPr>
        <w:fldChar w:fldCharType="end"/>
      </w:r>
      <w:r w:rsidR="00AE7809">
        <w:rPr>
          <w:szCs w:val="22"/>
        </w:rPr>
      </w:r>
      <w:r w:rsidR="00AE7809">
        <w:rPr>
          <w:szCs w:val="22"/>
        </w:rPr>
        <w:fldChar w:fldCharType="separate"/>
      </w:r>
      <w:r w:rsidR="005B0F2F">
        <w:rPr>
          <w:noProof/>
          <w:szCs w:val="22"/>
        </w:rPr>
        <w:t>(</w:t>
      </w:r>
      <w:hyperlink w:anchor="_ENREF_4" w:tooltip="Afkhami, 2016 #71" w:history="1">
        <w:r w:rsidR="0027195B">
          <w:rPr>
            <w:noProof/>
            <w:szCs w:val="22"/>
          </w:rPr>
          <w:t>Afkhami et al., 2016</w:t>
        </w:r>
      </w:hyperlink>
      <w:r w:rsidR="005B0F2F">
        <w:rPr>
          <w:noProof/>
          <w:szCs w:val="22"/>
        </w:rPr>
        <w:t xml:space="preserve">; </w:t>
      </w:r>
      <w:hyperlink w:anchor="_ENREF_48" w:tooltip="Lasaro, 2009 #70" w:history="1">
        <w:r w:rsidR="0027195B">
          <w:rPr>
            <w:noProof/>
            <w:szCs w:val="22"/>
          </w:rPr>
          <w:t>Lasaro and Ertl, 2009</w:t>
        </w:r>
      </w:hyperlink>
      <w:r w:rsidR="005B0F2F">
        <w:rPr>
          <w:noProof/>
          <w:szCs w:val="22"/>
        </w:rPr>
        <w:t xml:space="preserve">; </w:t>
      </w:r>
      <w:hyperlink w:anchor="_ENREF_76" w:tooltip="Roy, 2004 #73" w:history="1">
        <w:r w:rsidR="0027195B">
          <w:rPr>
            <w:noProof/>
            <w:szCs w:val="22"/>
          </w:rPr>
          <w:t>Roy et al., 2004</w:t>
        </w:r>
      </w:hyperlink>
      <w:r w:rsidR="005B0F2F">
        <w:rPr>
          <w:noProof/>
          <w:szCs w:val="22"/>
        </w:rPr>
        <w:t xml:space="preserve">; </w:t>
      </w:r>
      <w:hyperlink w:anchor="_ENREF_79" w:tooltip="Saha, 2017 #72" w:history="1">
        <w:r w:rsidR="0027195B">
          <w:rPr>
            <w:noProof/>
            <w:szCs w:val="22"/>
          </w:rPr>
          <w:t>Saha and Parks, 2017</w:t>
        </w:r>
      </w:hyperlink>
      <w:r w:rsidR="005B0F2F">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drawing>
          <wp:inline distT="0" distB="0" distL="0" distR="0" wp14:anchorId="1D2013C2" wp14:editId="25F0490D">
            <wp:extent cx="5831840" cy="3093085"/>
            <wp:effectExtent l="0" t="0" r="0" b="0"/>
            <wp:docPr id="9" name="Picture 9" descr="Figure 2: Functions, organisation and structure of adenovirus genome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Functions, organisation and structure of adenovirus genome (Afkhami et al., 2016)."/>
                    <pic:cNvPicPr/>
                  </pic:nvPicPr>
                  <pic:blipFill>
                    <a:blip r:embed="rId29"/>
                    <a:stretch>
                      <a:fillRect/>
                    </a:stretch>
                  </pic:blipFill>
                  <pic:spPr>
                    <a:xfrm>
                      <a:off x="0" y="0"/>
                      <a:ext cx="5831840" cy="3093085"/>
                    </a:xfrm>
                    <a:prstGeom prst="rect">
                      <a:avLst/>
                    </a:prstGeom>
                  </pic:spPr>
                </pic:pic>
              </a:graphicData>
            </a:graphic>
          </wp:inline>
        </w:drawing>
      </w:r>
    </w:p>
    <w:p w14:paraId="3ADFF70E" w14:textId="4718269D" w:rsidR="009D1B37" w:rsidRPr="00293759" w:rsidRDefault="002F0258" w:rsidP="006F72AC">
      <w:pPr>
        <w:pStyle w:val="Caption-Figure"/>
      </w:pPr>
      <w:bookmarkStart w:id="145" w:name="_Ref55375993"/>
      <w:r>
        <w:t>Figure</w:t>
      </w:r>
      <w:bookmarkEnd w:id="145"/>
      <w:r w:rsidR="00163EB7">
        <w:t xml:space="preserve"> 2</w:t>
      </w:r>
      <w:r>
        <w:t>:</w:t>
      </w:r>
      <w:r w:rsidR="009D1B37" w:rsidRPr="00293759">
        <w:t xml:space="preserve"> Functions, organisation and structure of adenovirus genome</w:t>
      </w:r>
      <w:r w:rsidR="002C1F94">
        <w:t xml:space="preserve"> </w:t>
      </w:r>
      <w:r w:rsidR="00AE7809">
        <w:fldChar w:fldCharType="begin"/>
      </w:r>
      <w:r w:rsidR="00824706">
        <w:instrText xml:space="preserve"> ADDIN EN.CITE &lt;EndNote&gt;&lt;Cite&gt;&lt;Author&gt;Afkhami&lt;/Author&gt;&lt;Year&gt;2016&lt;/Year&gt;&lt;RecNum&gt;71&lt;/RecNum&gt;&lt;DisplayText&gt;(Afkhami et al., 2016)&lt;/DisplayText&gt;&lt;record&gt;&lt;rec-number&gt;71&lt;/rec-number&gt;&lt;foreign-keys&gt;&lt;key app="EN" db-id="verwe2fxj5fev7epfz8xtdvez025feseze0z" timestamp="1733275116"&gt;71&lt;/key&gt;&lt;/foreign-keys&gt;&lt;ref-type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fldChar w:fldCharType="separate"/>
      </w:r>
      <w:r w:rsidR="00AE7809">
        <w:rPr>
          <w:noProof/>
        </w:rPr>
        <w:t>(</w:t>
      </w:r>
      <w:hyperlink w:anchor="_ENREF_4" w:tooltip="Afkhami, 2016 #71" w:history="1">
        <w:r w:rsidR="0027195B">
          <w:rPr>
            <w:noProof/>
          </w:rPr>
          <w:t>Afkhami et al., 2016</w:t>
        </w:r>
      </w:hyperlink>
      <w:r w:rsidR="00AE7809">
        <w:rPr>
          <w:noProof/>
        </w:rPr>
        <w:t>)</w:t>
      </w:r>
      <w:r w:rsidR="00AE7809">
        <w:fldChar w:fldCharType="end"/>
      </w:r>
      <w:r w:rsidR="009D1B37" w:rsidRPr="00293759">
        <w:t>.</w:t>
      </w:r>
    </w:p>
    <w:p w14:paraId="775A4A32" w14:textId="73B29358" w:rsidR="004D6F30" w:rsidRPr="00E52B4D" w:rsidRDefault="00FB56FB" w:rsidP="004D6F30">
      <w:pPr>
        <w:pStyle w:val="RARMPnumberedparagraphs"/>
        <w:rPr>
          <w:szCs w:val="22"/>
        </w:rPr>
      </w:pPr>
      <w:bookmarkStart w:id="146" w:name="_Ref63065892"/>
      <w:r w:rsidRPr="00E52B4D">
        <w:rPr>
          <w:szCs w:val="22"/>
        </w:rPr>
        <w:t xml:space="preserve">The </w:t>
      </w:r>
      <w:r w:rsidR="000863C7" w:rsidRPr="00E52B4D">
        <w:rPr>
          <w:szCs w:val="22"/>
        </w:rPr>
        <w:t xml:space="preserve">E1 </w:t>
      </w:r>
      <w:r w:rsidR="00664285">
        <w:rPr>
          <w:szCs w:val="22"/>
        </w:rPr>
        <w:t>gene</w:t>
      </w:r>
      <w:r w:rsidR="00215CAA">
        <w:rPr>
          <w:szCs w:val="22"/>
        </w:rPr>
        <w:t xml:space="preserve"> </w:t>
      </w:r>
      <w:r w:rsidR="00371906">
        <w:rPr>
          <w:szCs w:val="22"/>
        </w:rPr>
        <w:t>is composed of</w:t>
      </w:r>
      <w:r w:rsidRPr="00E52B4D">
        <w:rPr>
          <w:szCs w:val="22"/>
        </w:rPr>
        <w:t xml:space="preserve"> E1A and E1</w:t>
      </w:r>
      <w:r w:rsidR="000863C7" w:rsidRPr="00E52B4D">
        <w:rPr>
          <w:szCs w:val="22"/>
        </w:rPr>
        <w:t xml:space="preserve">B. </w:t>
      </w:r>
      <w:r w:rsidR="00371906">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w:t>
      </w:r>
      <w:r w:rsidR="00371906">
        <w:rPr>
          <w:szCs w:val="22"/>
        </w:rPr>
        <w:t>proteins produced from the E1A genes</w:t>
      </w:r>
      <w:r w:rsidR="004D6F30" w:rsidRPr="00E52B4D">
        <w:rPr>
          <w:szCs w:val="22"/>
        </w:rPr>
        <w:t xml:space="preserve">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6" w:tooltip="Roy, 2004 #73" w:history="1">
        <w:r w:rsidR="0027195B">
          <w:rPr>
            <w:noProof/>
            <w:szCs w:val="22"/>
          </w:rPr>
          <w:t>Roy et al., 2004</w:t>
        </w:r>
      </w:hyperlink>
      <w:r w:rsidR="00AE7809">
        <w:rPr>
          <w:noProof/>
          <w:szCs w:val="22"/>
        </w:rPr>
        <w:t xml:space="preserve">; </w:t>
      </w:r>
      <w:hyperlink w:anchor="_ENREF_79" w:tooltip="Saha, 2017 #72" w:history="1">
        <w:r w:rsidR="0027195B">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assists in viral replication and is mainly required for the export of viral late mRNA (L1 to L5) from the host-cell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w:t>
      </w:r>
      <w:r w:rsidR="00A26BD6">
        <w:rPr>
          <w:szCs w:val="22"/>
        </w:rPr>
        <w:t>,</w:t>
      </w:r>
      <w:r w:rsidR="00C95B9F">
        <w:rPr>
          <w:szCs w:val="22"/>
        </w:rPr>
        <w:t xml:space="preserve">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6" w:tooltip="Roy, 2004 #73" w:history="1">
        <w:r w:rsidR="0027195B">
          <w:rPr>
            <w:noProof/>
            <w:szCs w:val="22"/>
          </w:rPr>
          <w:t>Roy et al., 2004</w:t>
        </w:r>
      </w:hyperlink>
      <w:r w:rsidR="00AE7809">
        <w:rPr>
          <w:noProof/>
          <w:szCs w:val="22"/>
        </w:rPr>
        <w:t xml:space="preserve">; </w:t>
      </w:r>
      <w:hyperlink w:anchor="_ENREF_79" w:tooltip="Saha, 2017 #72" w:history="1">
        <w:r w:rsidR="0027195B">
          <w:rPr>
            <w:noProof/>
            <w:szCs w:val="22"/>
          </w:rPr>
          <w:t>Saha and Parks, 2017</w:t>
        </w:r>
      </w:hyperlink>
      <w:r w:rsidR="00AE7809">
        <w:rPr>
          <w:noProof/>
          <w:szCs w:val="22"/>
        </w:rPr>
        <w:t>)</w:t>
      </w:r>
      <w:r w:rsidR="00AE7809">
        <w:rPr>
          <w:szCs w:val="22"/>
        </w:rPr>
        <w:fldChar w:fldCharType="end"/>
      </w:r>
      <w:r w:rsidR="004D6F30" w:rsidRPr="00E52B4D">
        <w:rPr>
          <w:szCs w:val="22"/>
        </w:rPr>
        <w:t>.</w:t>
      </w:r>
      <w:bookmarkEnd w:id="146"/>
      <w:r w:rsidR="004D6F30" w:rsidRPr="00E52B4D">
        <w:rPr>
          <w:szCs w:val="22"/>
        </w:rPr>
        <w:t xml:space="preserve"> </w:t>
      </w:r>
    </w:p>
    <w:p w14:paraId="30AF70F1" w14:textId="2E975464" w:rsidR="00BB20C2" w:rsidRDefault="004D6F30" w:rsidP="009D1B37">
      <w:pPr>
        <w:pStyle w:val="RARMPnumberedparagraphs"/>
        <w:rPr>
          <w:szCs w:val="22"/>
        </w:rPr>
      </w:pPr>
      <w:bookmarkStart w:id="147" w:name="_Ref63065922"/>
      <w:r w:rsidRPr="00E52B4D">
        <w:rPr>
          <w:szCs w:val="22"/>
        </w:rPr>
        <w:t xml:space="preserve">The E2 </w:t>
      </w:r>
      <w:r w:rsidR="00664285">
        <w:rPr>
          <w:szCs w:val="22"/>
        </w:rPr>
        <w:t>gene</w:t>
      </w:r>
      <w:r w:rsidR="008B1707">
        <w:rPr>
          <w:szCs w:val="22"/>
        </w:rPr>
        <w:t xml:space="preserve"> </w:t>
      </w:r>
      <w:r w:rsidR="00A26BD6">
        <w:rPr>
          <w:szCs w:val="22"/>
        </w:rPr>
        <w:t>consists of</w:t>
      </w:r>
      <w:r w:rsidR="008B1707">
        <w:rPr>
          <w:szCs w:val="22"/>
        </w:rPr>
        <w:t xml:space="preserve"> </w:t>
      </w:r>
      <w:r w:rsidR="00B7319E" w:rsidRPr="00E52B4D">
        <w:rPr>
          <w:szCs w:val="22"/>
        </w:rPr>
        <w:t>E2A and E2B</w:t>
      </w:r>
      <w:r w:rsidR="00C7544A">
        <w:rPr>
          <w:szCs w:val="22"/>
        </w:rPr>
        <w:t>,</w:t>
      </w:r>
      <w:r w:rsidR="00B7319E" w:rsidRPr="00E52B4D">
        <w:rPr>
          <w:szCs w:val="22"/>
        </w:rPr>
        <w:t xml:space="preserve"> that </w:t>
      </w:r>
      <w:r w:rsidR="00FB56FB" w:rsidRPr="00E52B4D">
        <w:rPr>
          <w:szCs w:val="22"/>
        </w:rPr>
        <w:t>encode E2 proteins</w:t>
      </w:r>
      <w:r w:rsidR="00C7544A">
        <w:rPr>
          <w:szCs w:val="22"/>
        </w:rPr>
        <w:t>.</w:t>
      </w:r>
      <w:r w:rsidR="00FB56FB" w:rsidRPr="00E52B4D">
        <w:rPr>
          <w:szCs w:val="22"/>
        </w:rPr>
        <w:t xml:space="preserve"> </w:t>
      </w:r>
      <w:r w:rsidR="00C7544A">
        <w:rPr>
          <w:szCs w:val="22"/>
        </w:rPr>
        <w:t>The E2 proteins</w:t>
      </w:r>
      <w:r w:rsidR="00C7544A" w:rsidRPr="00E52B4D">
        <w:rPr>
          <w:szCs w:val="22"/>
        </w:rPr>
        <w:t xml:space="preserve"> </w:t>
      </w:r>
      <w:r w:rsidR="00FB56FB" w:rsidRPr="00E52B4D">
        <w:rPr>
          <w:szCs w:val="22"/>
        </w:rPr>
        <w:t>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6" w:tooltip="Roy, 2004 #73" w:history="1">
        <w:r w:rsidR="0027195B">
          <w:rPr>
            <w:noProof/>
            <w:szCs w:val="22"/>
          </w:rPr>
          <w:t>Roy et al., 2004</w:t>
        </w:r>
      </w:hyperlink>
      <w:r w:rsidR="00AE7809">
        <w:rPr>
          <w:noProof/>
          <w:szCs w:val="22"/>
        </w:rPr>
        <w:t xml:space="preserve">; </w:t>
      </w:r>
      <w:hyperlink w:anchor="_ENREF_79" w:tooltip="Saha, 2017 #72" w:history="1">
        <w:r w:rsidR="0027195B">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w:t>
      </w:r>
      <w:r w:rsidR="001D2D95">
        <w:rPr>
          <w:szCs w:val="22"/>
        </w:rPr>
        <w:t>aid the virus in evading the host immune response</w:t>
      </w:r>
      <w:r w:rsidRPr="00E52B4D">
        <w:rPr>
          <w:szCs w:val="22"/>
        </w:rPr>
        <w:t xml:space="preserve">.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bookmarkEnd w:id="147"/>
    </w:p>
    <w:p w14:paraId="7E2670E7" w14:textId="6FDBDAC4" w:rsidR="0041114C" w:rsidRDefault="0084682A" w:rsidP="0041114C">
      <w:pPr>
        <w:pStyle w:val="RARMPnumberedparagraphs"/>
      </w:pPr>
      <w:r>
        <w:lastRenderedPageBreak/>
        <w:t>I</w:t>
      </w:r>
      <w:r w:rsidR="00425C51">
        <w:t xml:space="preserve">nteractions of proteins encoded by the adenovirus genome </w:t>
      </w:r>
      <w:r>
        <w:t>are</w:t>
      </w:r>
      <w:r w:rsidR="00425C51">
        <w:t xml:space="preserve"> required to form a mature infectious particle. </w:t>
      </w:r>
      <w:r w:rsidR="0041114C">
        <w:t xml:space="preserve">The </w:t>
      </w:r>
      <w:r w:rsidR="00F02A5D">
        <w:t xml:space="preserve">3 </w:t>
      </w:r>
      <w:r w:rsidR="0041114C">
        <w:t>major proteins (</w:t>
      </w:r>
      <w:proofErr w:type="spellStart"/>
      <w:r w:rsidR="0041114C">
        <w:t>hexon</w:t>
      </w:r>
      <w:proofErr w:type="spellEnd"/>
      <w:r w:rsidR="0041114C">
        <w:t xml:space="preserve">, penton and </w:t>
      </w:r>
      <w:proofErr w:type="spellStart"/>
      <w:r w:rsidR="0041114C">
        <w:t>fib</w:t>
      </w:r>
      <w:r w:rsidR="003F6085">
        <w:t>er</w:t>
      </w:r>
      <w:proofErr w:type="spellEnd"/>
      <w:r w:rsidR="0041114C">
        <w:t>) form the external capsid structure and “spikes” of the viral particle. The viral core proteins (V, VII and</w:t>
      </w:r>
      <w:r w:rsidR="003F6085">
        <w:t xml:space="preserve"> Mu</w:t>
      </w:r>
      <w:r w:rsidR="0041114C">
        <w:t xml:space="preserve">) mediate the interactions between the core and the capsid, while the minor proteins (IIIa, VI, VIII and IX) contribute to the structure and stability of the virion by acting as cement proteins, connecting the major structural proteins with each other and </w:t>
      </w:r>
      <w:r w:rsidR="00C7544A">
        <w:t xml:space="preserve">with </w:t>
      </w:r>
      <w:r w:rsidR="0041114C">
        <w:t>the viral core (see Figure 3)</w:t>
      </w:r>
      <w:r w:rsidR="00D130A7">
        <w:t xml:space="preserve"> </w:t>
      </w:r>
      <w:r w:rsidR="00F4140A">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0F689C">
        <w:instrText xml:space="preserve"> ADDIN EN.CITE </w:instrText>
      </w:r>
      <w:r w:rsidR="000F689C">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0F689C">
        <w:instrText xml:space="preserve"> ADDIN EN.CITE.DATA </w:instrText>
      </w:r>
      <w:r w:rsidR="000F689C">
        <w:fldChar w:fldCharType="end"/>
      </w:r>
      <w:r w:rsidR="00F4140A">
        <w:fldChar w:fldCharType="separate"/>
      </w:r>
      <w:r w:rsidR="00F4140A">
        <w:rPr>
          <w:noProof/>
        </w:rPr>
        <w:t>(</w:t>
      </w:r>
      <w:hyperlink w:anchor="_ENREF_55" w:tooltip="Liu, 2010 #74" w:history="1">
        <w:r w:rsidR="0027195B">
          <w:rPr>
            <w:noProof/>
          </w:rPr>
          <w:t>Liu et al., 2010</w:t>
        </w:r>
      </w:hyperlink>
      <w:r w:rsidR="00F4140A">
        <w:rPr>
          <w:noProof/>
        </w:rPr>
        <w:t xml:space="preserve">; </w:t>
      </w:r>
      <w:hyperlink w:anchor="_ENREF_72" w:tooltip="Reddy, 2010 #75" w:history="1">
        <w:r w:rsidR="0027195B">
          <w:rPr>
            <w:noProof/>
          </w:rPr>
          <w:t>Reddy et al., 2010</w:t>
        </w:r>
      </w:hyperlink>
      <w:r w:rsidR="00F4140A">
        <w:rPr>
          <w:noProof/>
        </w:rPr>
        <w:t xml:space="preserve">; </w:t>
      </w:r>
      <w:hyperlink w:anchor="_ENREF_73" w:tooltip="Reddy, 2014 #76" w:history="1">
        <w:r w:rsidR="0027195B">
          <w:rPr>
            <w:noProof/>
          </w:rPr>
          <w:t>Reddy and Nemerow, 2014</w:t>
        </w:r>
      </w:hyperlink>
      <w:r w:rsidR="00F4140A">
        <w:rPr>
          <w:noProof/>
        </w:rPr>
        <w:t>)</w:t>
      </w:r>
      <w:r w:rsidR="00F4140A">
        <w:fldChar w:fldCharType="end"/>
      </w:r>
      <w:r w:rsidR="0041114C">
        <w:t>. These viral core and minor proteins are synthesised as precursors</w:t>
      </w:r>
      <w:r w:rsidR="00C7544A">
        <w:t>, then</w:t>
      </w:r>
      <w:r w:rsidR="0041114C">
        <w:t xml:space="preserve"> processed by adenovirus protease during assembly to form a mature infectious particle. The assembly of the final viral particle is thought to follow a sequential assembly pathway, whereby an empty capsid is formed prior to genome packaging </w:t>
      </w:r>
      <w:r w:rsidR="0041114C">
        <w:fldChar w:fldCharType="begin">
          <w:fldData xml:space="preserve">PEVuZE5vdGU+PENpdGU+PEF1dGhvcj5NYTwvQXV0aG9yPjxZZWFyPjIwMTE8L1llYXI+PFJlY051
bT43NzwvUmVjTnVtPjxEaXNwbGF5VGV4dD4oQWhpIGFuZCBNaXR0YWwsIDIwMTY7IE1hIGFuZCBI
ZWFyaW5nLCAyMDExOyBNYW5nZWwgYW5kIFNhbiBNYXJ0aW4sIDIwMTQ7IFNhbiBNYXJ0aW4sIDIw
MTIpPC9EaXNwbGF5VGV4dD48cmVjb3JkPjxyZWMtbnVtYmVyPjc3PC9yZWMtbnVtYmVyPjxmb3Jl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0F689C">
        <w:instrText xml:space="preserve"> ADDIN EN.CITE </w:instrText>
      </w:r>
      <w:r w:rsidR="000F689C">
        <w:fldChar w:fldCharType="begin">
          <w:fldData xml:space="preserve">PEVuZE5vdGU+PENpdGU+PEF1dGhvcj5NYTwvQXV0aG9yPjxZZWFyPjIwMTE8L1llYXI+PFJlY051
bT43NzwvUmVjTnVtPjxEaXNwbGF5VGV4dD4oQWhpIGFuZCBNaXR0YWwsIDIwMTY7IE1hIGFuZCBI
ZWFyaW5nLCAyMDExOyBNYW5nZWwgYW5kIFNhbiBNYXJ0aW4sIDIwMTQ7IFNhbiBNYXJ0aW4sIDIw
MTIpPC9EaXNwbGF5VGV4dD48cmVjb3JkPjxyZWMtbnVtYmVyPjc3PC9yZWMtbnVtYmVyPjxmb3Jl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0F689C">
        <w:instrText xml:space="preserve"> ADDIN EN.CITE.DATA </w:instrText>
      </w:r>
      <w:r w:rsidR="000F689C">
        <w:fldChar w:fldCharType="end"/>
      </w:r>
      <w:r w:rsidR="0041114C">
        <w:fldChar w:fldCharType="separate"/>
      </w:r>
      <w:r w:rsidR="005B0F2F">
        <w:rPr>
          <w:noProof/>
        </w:rPr>
        <w:t>(</w:t>
      </w:r>
      <w:hyperlink w:anchor="_ENREF_5" w:tooltip="Ahi, 2016 #80" w:history="1">
        <w:r w:rsidR="0027195B">
          <w:rPr>
            <w:noProof/>
          </w:rPr>
          <w:t>Ahi and Mittal, 2016</w:t>
        </w:r>
      </w:hyperlink>
      <w:r w:rsidR="005B0F2F">
        <w:rPr>
          <w:noProof/>
        </w:rPr>
        <w:t xml:space="preserve">; </w:t>
      </w:r>
      <w:hyperlink w:anchor="_ENREF_57" w:tooltip="Ma, 2011 #77" w:history="1">
        <w:r w:rsidR="0027195B">
          <w:rPr>
            <w:noProof/>
          </w:rPr>
          <w:t>Ma and Hearing, 2011</w:t>
        </w:r>
      </w:hyperlink>
      <w:r w:rsidR="005B0F2F">
        <w:rPr>
          <w:noProof/>
        </w:rPr>
        <w:t xml:space="preserve">; </w:t>
      </w:r>
      <w:hyperlink w:anchor="_ENREF_58" w:tooltip="Mangel, 2014 #78" w:history="1">
        <w:r w:rsidR="0027195B">
          <w:rPr>
            <w:noProof/>
          </w:rPr>
          <w:t>Mangel and San Martin, 2014</w:t>
        </w:r>
      </w:hyperlink>
      <w:r w:rsidR="005B0F2F">
        <w:rPr>
          <w:noProof/>
        </w:rPr>
        <w:t xml:space="preserve">; </w:t>
      </w:r>
      <w:hyperlink w:anchor="_ENREF_80" w:tooltip="San Martin, 2012 #79" w:history="1">
        <w:r w:rsidR="0027195B">
          <w:rPr>
            <w:noProof/>
          </w:rPr>
          <w:t>San Martin, 2012</w:t>
        </w:r>
      </w:hyperlink>
      <w:r w:rsidR="005B0F2F">
        <w:rPr>
          <w:noProof/>
        </w:rPr>
        <w:t>)</w:t>
      </w:r>
      <w:r w:rsidR="0041114C">
        <w:fldChar w:fldCharType="end"/>
      </w:r>
      <w:r w:rsidR="0041114C">
        <w:t>.</w:t>
      </w:r>
    </w:p>
    <w:p w14:paraId="355264C1" w14:textId="77777777" w:rsidR="00425C51" w:rsidRDefault="00425C51" w:rsidP="00425C51">
      <w:pPr>
        <w:pStyle w:val="RARMPnumberedparagraphs"/>
        <w:numPr>
          <w:ilvl w:val="0"/>
          <w:numId w:val="0"/>
        </w:numPr>
      </w:pPr>
    </w:p>
    <w:p w14:paraId="19EEFC6C" w14:textId="3FF28756" w:rsidR="0041114C" w:rsidRDefault="0041114C" w:rsidP="0041114C">
      <w:pPr>
        <w:pStyle w:val="RARMPnumberedparagraphs"/>
        <w:numPr>
          <w:ilvl w:val="0"/>
          <w:numId w:val="0"/>
        </w:numPr>
        <w:jc w:val="center"/>
      </w:pPr>
      <w:r>
        <w:rPr>
          <w:noProof/>
        </w:rPr>
        <w:drawing>
          <wp:inline distT="0" distB="0" distL="0" distR="0" wp14:anchorId="541044B8" wp14:editId="0D41E39A">
            <wp:extent cx="3688715" cy="2597150"/>
            <wp:effectExtent l="0" t="0" r="6985" b="0"/>
            <wp:docPr id="4" name="Picture 4" descr="Figure 3: Structural model of human adenovirus (Benevento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tructural model of human adenovirus (Benevento et al., 20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8715" cy="2597150"/>
                    </a:xfrm>
                    <a:prstGeom prst="rect">
                      <a:avLst/>
                    </a:prstGeom>
                    <a:noFill/>
                  </pic:spPr>
                </pic:pic>
              </a:graphicData>
            </a:graphic>
          </wp:inline>
        </w:drawing>
      </w:r>
    </w:p>
    <w:p w14:paraId="563EBE57" w14:textId="2DEE39AE" w:rsidR="0041114C" w:rsidRPr="0041114C" w:rsidRDefault="0041114C" w:rsidP="0041114C">
      <w:pPr>
        <w:pStyle w:val="Caption-Figure"/>
        <w:rPr>
          <w:szCs w:val="24"/>
        </w:rPr>
      </w:pPr>
      <w:r>
        <w:t xml:space="preserve">Figure 3: Structural model of human adenovirus </w:t>
      </w:r>
      <w:r w:rsidR="00425C51">
        <w:fldChar w:fldCharType="begin"/>
      </w:r>
      <w:r w:rsidR="000F689C">
        <w:instrText xml:space="preserve"> ADDIN EN.CITE &lt;EndNote&gt;&lt;Cite&gt;&lt;Author&gt;Benevento&lt;/Author&gt;&lt;Year&gt;2014&lt;/Year&gt;&lt;RecNum&gt;81&lt;/RecNum&gt;&lt;DisplayText&gt;(Benevento et al., 2014)&lt;/DisplayText&gt;&lt;record&gt;&lt;rec-number&gt;81&lt;/rec-number&gt;&lt;foreign-keys&gt;&lt;key app="EN" db-id="verwe2fxj5fev7epfz8xtdvez025feseze0z" timestamp="1733275116"&gt;81&lt;/key&gt;&lt;/foreign-keys&gt;&lt;ref-type name="Journal Article"&gt;17&lt;/ref-type&gt;&lt;contributors&gt;&lt;authors&gt;&lt;author&gt;Benevento, M.&lt;/author&gt;&lt;author&gt;Di Palma, S.&lt;/author&gt;&lt;author&gt;Snijder, J.&lt;/author&gt;&lt;author&gt;Moyer, C. L.&lt;/author&gt;&lt;author&gt;Reddy, V. S.&lt;/author&gt;&lt;author&gt;Nemerow, G. R.&lt;/author&gt;&lt;author&gt;Heck, A. J.&lt;/author&gt;&lt;/authors&gt;&lt;/contributors&gt;&lt;auth-address&gt;From Biomolecular Mass Spectrometry and Proteomics, Bijvoet Centre for Biomolecular Research and Utrecht Institute for Pharmaceutical Sciences, University of Utrecht, Padualaan 8, 3584 CH Utrecht, The Netherlands.&lt;/auth-address&gt;&lt;titles&gt;&lt;title&gt;Adenovirus composition, proteolysis, and disassembly studied by in-depth qualitative and quantitative proteomics&lt;/title&gt;&lt;secondary-title&gt;J Biol Chem&lt;/secondary-title&gt;&lt;/titles&gt;&lt;periodical&gt;&lt;full-title&gt;J Biol Chem&lt;/full-title&gt;&lt;/periodical&gt;&lt;pages&gt;11421-30&lt;/pages&gt;&lt;volume&gt;289&lt;/volume&gt;&lt;number&gt;16&lt;/number&gt;&lt;edition&gt;2014/03/05&lt;/edition&gt;&lt;keywords&gt;&lt;keyword&gt;Adenoviruses, Human/*physiology/ultrastructure&lt;/keyword&gt;&lt;keyword&gt;Cell Line&lt;/keyword&gt;&lt;keyword&gt;Humans&lt;/keyword&gt;&lt;keyword&gt;*Proteomics&lt;/keyword&gt;&lt;keyword&gt;Viral Proteins/*metabolism&lt;/keyword&gt;&lt;keyword&gt;Virus Assembly/*physiology&lt;/keyword&gt;&lt;keyword&gt;Adenovirus&lt;/keyword&gt;&lt;keyword&gt;Mass Spectrometry (MS)&lt;/keyword&gt;&lt;keyword&gt;Proteomics&lt;/keyword&gt;&lt;keyword&gt;Virus Entry&lt;/keyword&gt;&lt;keyword&gt;Virus Structure&lt;/keyword&gt;&lt;/keywords&gt;&lt;dates&gt;&lt;year&gt;2014&lt;/year&gt;&lt;pub-dates&gt;&lt;date&gt;Apr 18&lt;/date&gt;&lt;/pub-dates&gt;&lt;/dates&gt;&lt;isbn&gt;1083-351X (Electronic)&amp;#xD;0021-9258 (Linking)&lt;/isbn&gt;&lt;accession-num&gt;24591515&lt;/accession-num&gt;&lt;urls&gt;&lt;related-urls&gt;&lt;url&gt;https://www.ncbi.nlm.nih.gov/pubmed/24591515&lt;/url&gt;&lt;/related-urls&gt;&lt;/urls&gt;&lt;custom2&gt;PMC4036278&lt;/custom2&gt;&lt;electronic-resource-num&gt;10.1074/jbc.M113.537498&lt;/electronic-resource-num&gt;&lt;/record&gt;&lt;/Cite&gt;&lt;/EndNote&gt;</w:instrText>
      </w:r>
      <w:r w:rsidR="00425C51">
        <w:fldChar w:fldCharType="separate"/>
      </w:r>
      <w:r w:rsidR="00425C51">
        <w:rPr>
          <w:noProof/>
        </w:rPr>
        <w:t>(</w:t>
      </w:r>
      <w:hyperlink w:anchor="_ENREF_9" w:tooltip="Benevento, 2014 #81" w:history="1">
        <w:r w:rsidR="0027195B">
          <w:rPr>
            <w:noProof/>
          </w:rPr>
          <w:t>Benevento et al., 2014</w:t>
        </w:r>
      </w:hyperlink>
      <w:r w:rsidR="00425C51">
        <w:rPr>
          <w:noProof/>
        </w:rPr>
        <w:t>)</w:t>
      </w:r>
      <w:r w:rsidR="00425C51">
        <w:fldChar w:fldCharType="end"/>
      </w:r>
    </w:p>
    <w:p w14:paraId="441C20BC" w14:textId="5F32C2E9" w:rsidR="003534AF" w:rsidRDefault="007032F0" w:rsidP="00FA0361">
      <w:pPr>
        <w:pStyle w:val="3RARMP"/>
      </w:pPr>
      <w:bookmarkStart w:id="148" w:name="_Toc219281390"/>
      <w:r>
        <w:t xml:space="preserve">Viral </w:t>
      </w:r>
      <w:r w:rsidRPr="00FA0361">
        <w:t>infection</w:t>
      </w:r>
      <w:r>
        <w:t xml:space="preserve"> and r</w:t>
      </w:r>
      <w:r w:rsidR="003534AF">
        <w:t>eplication</w:t>
      </w:r>
      <w:bookmarkEnd w:id="148"/>
    </w:p>
    <w:p w14:paraId="028DCEB3" w14:textId="4BC87813" w:rsidR="004970D0" w:rsidRPr="00E52B4D" w:rsidRDefault="00C7544A" w:rsidP="004970D0">
      <w:pPr>
        <w:pStyle w:val="RARMPnumberedparagraphs"/>
        <w:rPr>
          <w:rFonts w:cs="Calibri"/>
          <w:szCs w:val="22"/>
        </w:rPr>
      </w:pPr>
      <w:bookmarkStart w:id="149" w:name="_Ref63065900"/>
      <w:r>
        <w:rPr>
          <w:szCs w:val="22"/>
        </w:rPr>
        <w:t>Adenoviruse</w:t>
      </w:r>
      <w:r w:rsidRPr="00E52B4D">
        <w:rPr>
          <w:szCs w:val="22"/>
        </w:rPr>
        <w:t xml:space="preserve">s </w:t>
      </w:r>
      <w:r w:rsidR="007032F0" w:rsidRPr="00E52B4D">
        <w:rPr>
          <w:szCs w:val="22"/>
        </w:rPr>
        <w:t>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proofErr w:type="spellStart"/>
      <w:r w:rsidR="00F84347" w:rsidRPr="00E52B4D">
        <w:rPr>
          <w:szCs w:val="22"/>
        </w:rPr>
        <w:t>AdVs</w:t>
      </w:r>
      <w:proofErr w:type="spellEnd"/>
      <w:r w:rsidR="00F84347" w:rsidRPr="00E52B4D">
        <w:rPr>
          <w:szCs w:val="22"/>
        </w:rPr>
        <w:t xml:space="preserve"> most frequently infect epithelia of the upper or lower respiratory tract, </w:t>
      </w:r>
      <w:r w:rsidR="00F84347">
        <w:rPr>
          <w:szCs w:val="22"/>
        </w:rPr>
        <w:t>eyes</w:t>
      </w:r>
      <w:r w:rsidR="00F84347" w:rsidRPr="00E52B4D">
        <w:rPr>
          <w:szCs w:val="22"/>
        </w:rPr>
        <w:t>, gastrointestinal and urinary tract</w:t>
      </w:r>
      <w:r w:rsidR="00F84347">
        <w:rPr>
          <w:szCs w:val="22"/>
        </w:rPr>
        <w:t xml:space="preserve"> tissues</w:t>
      </w:r>
      <w:r w:rsidR="00F84347" w:rsidRPr="00E52B4D">
        <w:rPr>
          <w:szCs w:val="22"/>
        </w:rPr>
        <w:t xml:space="preserve">. </w:t>
      </w:r>
      <w:r w:rsidR="00CE4088">
        <w:rPr>
          <w:szCs w:val="22"/>
        </w:rPr>
        <w:t xml:space="preserve">The tropism of </w:t>
      </w:r>
      <w:proofErr w:type="spellStart"/>
      <w:r w:rsidR="00CE4088">
        <w:rPr>
          <w:szCs w:val="22"/>
        </w:rPr>
        <w:t>AdVs</w:t>
      </w:r>
      <w:proofErr w:type="spellEnd"/>
      <w:r w:rsidR="00CE4088">
        <w:rPr>
          <w:szCs w:val="22"/>
        </w:rPr>
        <w:t xml:space="preserve"> is </w:t>
      </w:r>
      <w:r w:rsidR="003E762D">
        <w:rPr>
          <w:szCs w:val="22"/>
        </w:rPr>
        <w:t>largely dependent on the species</w:t>
      </w:r>
      <w:r w:rsidR="00350576">
        <w:rPr>
          <w:szCs w:val="22"/>
        </w:rPr>
        <w:t>;</w:t>
      </w:r>
      <w:r w:rsidR="003E762D">
        <w:rPr>
          <w:szCs w:val="22"/>
        </w:rPr>
        <w:t xml:space="preserve"> species A, F and G infecting gastr</w:t>
      </w:r>
      <w:r w:rsidR="00083F92">
        <w:rPr>
          <w:szCs w:val="22"/>
        </w:rPr>
        <w:t xml:space="preserve">ointestinal cells, species C, E and </w:t>
      </w:r>
      <w:r w:rsidR="00062EAC">
        <w:rPr>
          <w:szCs w:val="22"/>
        </w:rPr>
        <w:t>some B species infecting the respiratory tract</w:t>
      </w:r>
      <w:r w:rsidR="00F9110C">
        <w:rPr>
          <w:szCs w:val="22"/>
        </w:rPr>
        <w:t>,</w:t>
      </w:r>
      <w:r w:rsidR="00062EAC">
        <w:rPr>
          <w:szCs w:val="22"/>
        </w:rPr>
        <w:t xml:space="preserve"> </w:t>
      </w:r>
      <w:r w:rsidR="0073285B">
        <w:rPr>
          <w:szCs w:val="22"/>
        </w:rPr>
        <w:t>the rest of species B infecting the urinary tract</w:t>
      </w:r>
      <w:r w:rsidR="00B61503">
        <w:rPr>
          <w:szCs w:val="22"/>
        </w:rPr>
        <w:t xml:space="preserve"> </w:t>
      </w:r>
      <w:r w:rsidR="00F9110C">
        <w:rPr>
          <w:szCs w:val="22"/>
        </w:rPr>
        <w:t xml:space="preserve">and species D infecting </w:t>
      </w:r>
      <w:r w:rsidR="00B67837">
        <w:rPr>
          <w:szCs w:val="22"/>
        </w:rPr>
        <w:t>the conjunctiva</w:t>
      </w:r>
      <w:r w:rsidR="001C4A94">
        <w:rPr>
          <w:szCs w:val="22"/>
        </w:rPr>
        <w:t xml:space="preserve"> of the eye</w:t>
      </w:r>
      <w:r w:rsidR="00B67837">
        <w:rPr>
          <w:szCs w:val="22"/>
        </w:rPr>
        <w:t xml:space="preserve"> </w:t>
      </w:r>
      <w:r w:rsidR="00215382">
        <w:rPr>
          <w:szCs w:val="22"/>
        </w:rPr>
        <w:fldChar w:fldCharType="begin"/>
      </w:r>
      <w:r w:rsidR="00AE6FB5">
        <w:rPr>
          <w:szCs w:val="22"/>
        </w:rPr>
        <w:instrText xml:space="preserve"> ADDIN EN.CITE &lt;EndNote&gt;&lt;Cite&gt;&lt;Author&gt;Leikas&lt;/Author&gt;&lt;Year&gt;2023&lt;/Year&gt;&lt;RecNum&gt;163&lt;/RecNum&gt;&lt;DisplayText&gt;(Leikas et al., 2023a)&lt;/DisplayText&gt;&lt;record&gt;&lt;rec-number&gt;163&lt;/rec-number&gt;&lt;foreign-keys&gt;&lt;key app="EN" db-id="verwe2fxj5fev7epfz8xtdvez025feseze0z" timestamp="1733275393"&gt;163&lt;/key&gt;&lt;/foreign-keys&gt;&lt;ref-type name="Journal Article"&gt;17&lt;/ref-type&gt;&lt;contributors&gt;&lt;authors&gt;&lt;author&gt;Leikas, Aleksi J&lt;/author&gt;&lt;author&gt;Ylä-Herttuala, Seppo&lt;/author&gt;&lt;author&gt;Hartikainen, Juha EK&lt;/author&gt;&lt;/authors&gt;&lt;/contributors&gt;&lt;titles&gt;&lt;title&gt;Adenoviral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urls&gt;&lt;/urls&gt;&lt;/record&gt;&lt;/Cite&gt;&lt;/EndNote&gt;</w:instrText>
      </w:r>
      <w:r w:rsidR="00215382">
        <w:rPr>
          <w:szCs w:val="22"/>
        </w:rPr>
        <w:fldChar w:fldCharType="separate"/>
      </w:r>
      <w:r w:rsidR="00AE6FB5">
        <w:rPr>
          <w:noProof/>
          <w:szCs w:val="22"/>
        </w:rPr>
        <w:t>(</w:t>
      </w:r>
      <w:hyperlink w:anchor="_ENREF_50" w:tooltip="Leikas, 2023 #163" w:history="1">
        <w:r w:rsidR="0027195B">
          <w:rPr>
            <w:noProof/>
            <w:szCs w:val="22"/>
          </w:rPr>
          <w:t>Leikas et al., 2023a</w:t>
        </w:r>
      </w:hyperlink>
      <w:r w:rsidR="00AE6FB5">
        <w:rPr>
          <w:noProof/>
          <w:szCs w:val="22"/>
        </w:rPr>
        <w:t>)</w:t>
      </w:r>
      <w:r w:rsidR="00215382">
        <w:rPr>
          <w:szCs w:val="22"/>
        </w:rPr>
        <w:fldChar w:fldCharType="end"/>
      </w:r>
      <w:r w:rsidR="0073285B">
        <w:rPr>
          <w:szCs w:val="22"/>
        </w:rPr>
        <w:t xml:space="preserve">. </w:t>
      </w:r>
      <w:bookmarkEnd w:id="149"/>
    </w:p>
    <w:p w14:paraId="42CA3219" w14:textId="3451BFCB" w:rsidR="007032F0" w:rsidRPr="00E52B4D" w:rsidRDefault="00C7544A" w:rsidP="007022DE">
      <w:pPr>
        <w:pStyle w:val="RARMPnumberedparagraphs"/>
        <w:rPr>
          <w:rFonts w:cs="Calibri"/>
          <w:szCs w:val="22"/>
        </w:rPr>
      </w:pPr>
      <w:r>
        <w:rPr>
          <w:szCs w:val="22"/>
        </w:rPr>
        <w:t>Human adenoviruse</w:t>
      </w:r>
      <w:r w:rsidRPr="00E52B4D">
        <w:rPr>
          <w:szCs w:val="22"/>
        </w:rPr>
        <w:t xml:space="preserve">s </w:t>
      </w:r>
      <w:r w:rsidR="002D7027">
        <w:rPr>
          <w:szCs w:val="22"/>
        </w:rPr>
        <w:t xml:space="preserve">use the </w:t>
      </w:r>
      <w:r w:rsidR="002D7027" w:rsidRPr="00E52B4D">
        <w:rPr>
          <w:rFonts w:asciiTheme="minorHAnsi" w:hAnsiTheme="minorHAnsi" w:cstheme="minorHAnsi"/>
          <w:szCs w:val="22"/>
          <w:lang w:val="en-US"/>
        </w:rPr>
        <w:t>Coxsackie-adenovirus receptor (</w:t>
      </w:r>
      <w:r w:rsidR="002D7027" w:rsidRPr="00E52B4D">
        <w:rPr>
          <w:rFonts w:asciiTheme="minorHAnsi" w:hAnsiTheme="minorHAnsi" w:cstheme="minorHAnsi"/>
          <w:szCs w:val="22"/>
        </w:rPr>
        <w:t>CAR)</w:t>
      </w:r>
      <w:r w:rsidR="002D7027" w:rsidRPr="00E52B4D">
        <w:rPr>
          <w:szCs w:val="22"/>
        </w:rPr>
        <w:t xml:space="preserve"> </w:t>
      </w:r>
      <w:r w:rsidR="002D7027">
        <w:rPr>
          <w:szCs w:val="22"/>
        </w:rPr>
        <w:t>transmembrane proteins, CD46, CD80, CD86 and s</w:t>
      </w:r>
      <w:r w:rsidR="00F25E18">
        <w:rPr>
          <w:szCs w:val="22"/>
        </w:rPr>
        <w:t>iali</w:t>
      </w:r>
      <w:r w:rsidR="002D7027">
        <w:rPr>
          <w:szCs w:val="22"/>
        </w:rPr>
        <w:t xml:space="preserve">c acid to enter the host cells </w:t>
      </w:r>
      <w:r w:rsidR="00471E29">
        <w:rPr>
          <w:szCs w:val="22"/>
        </w:rPr>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5B0F2F">
        <w:rPr>
          <w:szCs w:val="22"/>
        </w:rPr>
        <w:instrText xml:space="preserve"> ADDIN EN.CITE </w:instrText>
      </w:r>
      <w:r w:rsidR="005B0F2F">
        <w:rPr>
          <w:szCs w:val="22"/>
        </w:rPr>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5B0F2F">
        <w:rPr>
          <w:szCs w:val="22"/>
        </w:rPr>
        <w:instrText xml:space="preserve"> ADDIN EN.CITE.DATA </w:instrText>
      </w:r>
      <w:r w:rsidR="005B0F2F">
        <w:rPr>
          <w:szCs w:val="22"/>
        </w:rPr>
      </w:r>
      <w:r w:rsidR="005B0F2F">
        <w:rPr>
          <w:szCs w:val="22"/>
        </w:rPr>
        <w:fldChar w:fldCharType="end"/>
      </w:r>
      <w:r w:rsidR="00471E29">
        <w:rPr>
          <w:szCs w:val="22"/>
        </w:rPr>
      </w:r>
      <w:r w:rsidR="00471E29">
        <w:rPr>
          <w:szCs w:val="22"/>
        </w:rPr>
        <w:fldChar w:fldCharType="separate"/>
      </w:r>
      <w:r w:rsidR="005B0F2F">
        <w:rPr>
          <w:noProof/>
          <w:szCs w:val="22"/>
        </w:rPr>
        <w:t>(</w:t>
      </w:r>
      <w:hyperlink w:anchor="_ENREF_54" w:tooltip="Lion, 2019 #83" w:history="1">
        <w:r w:rsidR="0027195B">
          <w:rPr>
            <w:noProof/>
            <w:szCs w:val="22"/>
          </w:rPr>
          <w:t>Lion, 2019</w:t>
        </w:r>
      </w:hyperlink>
      <w:r w:rsidR="005B0F2F">
        <w:rPr>
          <w:noProof/>
          <w:szCs w:val="22"/>
        </w:rPr>
        <w:t xml:space="preserve">; </w:t>
      </w:r>
      <w:hyperlink w:anchor="_ENREF_105" w:tooltip="Zhang, 2005 #82" w:history="1">
        <w:r w:rsidR="0027195B">
          <w:rPr>
            <w:noProof/>
            <w:szCs w:val="22"/>
          </w:rPr>
          <w:t>Zhang and Bergelson, 2005</w:t>
        </w:r>
      </w:hyperlink>
      <w:r w:rsidR="005B0F2F">
        <w:rPr>
          <w:noProof/>
          <w:szCs w:val="22"/>
        </w:rPr>
        <w:t>)</w:t>
      </w:r>
      <w:r w:rsidR="00471E29">
        <w:rPr>
          <w:szCs w:val="22"/>
        </w:rPr>
        <w:fldChar w:fldCharType="end"/>
      </w:r>
      <w:r w:rsidR="007032F0" w:rsidRPr="002D7027">
        <w:rPr>
          <w:szCs w:val="22"/>
        </w:rPr>
        <w:t xml:space="preserve">. </w:t>
      </w:r>
      <w:r w:rsidR="00190990" w:rsidRPr="00190990">
        <w:rPr>
          <w:i/>
          <w:szCs w:val="22"/>
        </w:rPr>
        <w:t xml:space="preserve">In vitro </w:t>
      </w:r>
      <w:r w:rsidR="00190990">
        <w:rPr>
          <w:szCs w:val="22"/>
        </w:rPr>
        <w:t xml:space="preserve">studies with </w:t>
      </w:r>
      <w:proofErr w:type="spellStart"/>
      <w:r w:rsidR="00190990">
        <w:rPr>
          <w:szCs w:val="22"/>
        </w:rPr>
        <w:t>HAdV</w:t>
      </w:r>
      <w:proofErr w:type="spellEnd"/>
      <w:r w:rsidR="00190990">
        <w:rPr>
          <w:szCs w:val="22"/>
        </w:rPr>
        <w:t xml:space="preserve">-C also showed that vitamin K-dependent blood factors including Factor X (FX) increases the binding efficiency of </w:t>
      </w:r>
      <w:proofErr w:type="spellStart"/>
      <w:r w:rsidR="00190990">
        <w:rPr>
          <w:szCs w:val="22"/>
        </w:rPr>
        <w:t>HAdV</w:t>
      </w:r>
      <w:proofErr w:type="spellEnd"/>
      <w:r w:rsidR="00190990">
        <w:rPr>
          <w:szCs w:val="22"/>
        </w:rPr>
        <w:t xml:space="preserve">-C to hepatocytes </w:t>
      </w:r>
      <w:r w:rsidR="00D24350">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0F689C">
        <w:rPr>
          <w:szCs w:val="22"/>
        </w:rPr>
        <w:instrText xml:space="preserve"> ADDIN EN.CITE </w:instrText>
      </w:r>
      <w:r w:rsidR="000F689C">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0F689C">
        <w:rPr>
          <w:szCs w:val="22"/>
        </w:rPr>
        <w:instrText xml:space="preserve"> ADDIN EN.CITE.DATA </w:instrText>
      </w:r>
      <w:r w:rsidR="000F689C">
        <w:rPr>
          <w:szCs w:val="22"/>
        </w:rPr>
      </w:r>
      <w:r w:rsidR="000F689C">
        <w:rPr>
          <w:szCs w:val="22"/>
        </w:rPr>
        <w:fldChar w:fldCharType="end"/>
      </w:r>
      <w:r w:rsidR="00D24350">
        <w:rPr>
          <w:szCs w:val="22"/>
        </w:rPr>
      </w:r>
      <w:r w:rsidR="00D24350">
        <w:rPr>
          <w:szCs w:val="22"/>
        </w:rPr>
        <w:fldChar w:fldCharType="separate"/>
      </w:r>
      <w:r w:rsidR="00D24350">
        <w:rPr>
          <w:noProof/>
          <w:szCs w:val="22"/>
        </w:rPr>
        <w:t>(</w:t>
      </w:r>
      <w:hyperlink w:anchor="_ENREF_101" w:tooltip="Weaver, 2011 #85" w:history="1">
        <w:r w:rsidR="0027195B">
          <w:rPr>
            <w:noProof/>
            <w:szCs w:val="22"/>
          </w:rPr>
          <w:t>Weaver et al., 2011</w:t>
        </w:r>
      </w:hyperlink>
      <w:r w:rsidR="00D24350">
        <w:rPr>
          <w:noProof/>
          <w:szCs w:val="22"/>
        </w:rPr>
        <w:t>)</w:t>
      </w:r>
      <w:r w:rsidR="00D24350">
        <w:rPr>
          <w:szCs w:val="22"/>
        </w:rPr>
        <w:fldChar w:fldCharType="end"/>
      </w:r>
      <w:r w:rsidR="00190990">
        <w:rPr>
          <w:szCs w:val="22"/>
        </w:rPr>
        <w:t xml:space="preserve">. </w:t>
      </w:r>
    </w:p>
    <w:p w14:paraId="5BA1C465" w14:textId="7FC2EB83" w:rsidR="00642002" w:rsidRPr="00E52B4D" w:rsidRDefault="00706070" w:rsidP="003E0F12">
      <w:pPr>
        <w:pStyle w:val="RARMPnumberedparagraphs"/>
        <w:rPr>
          <w:szCs w:val="22"/>
        </w:rPr>
      </w:pPr>
      <w:r>
        <w:rPr>
          <w:szCs w:val="22"/>
        </w:rPr>
        <w:t>R</w:t>
      </w:r>
      <w:r w:rsidR="007032F0" w:rsidRPr="00E52B4D">
        <w:rPr>
          <w:szCs w:val="22"/>
        </w:rPr>
        <w:t xml:space="preserve">eplication of </w:t>
      </w:r>
      <w:proofErr w:type="spellStart"/>
      <w:r w:rsidR="007032F0" w:rsidRPr="00E52B4D">
        <w:rPr>
          <w:szCs w:val="22"/>
        </w:rPr>
        <w:t>AdVs</w:t>
      </w:r>
      <w:proofErr w:type="spellEnd"/>
      <w:r w:rsidR="007032F0" w:rsidRPr="00E52B4D">
        <w:rPr>
          <w:szCs w:val="22"/>
        </w:rPr>
        <w:t xml:space="preserve"> </w:t>
      </w:r>
      <w:r>
        <w:rPr>
          <w:szCs w:val="22"/>
        </w:rPr>
        <w:t>occurs</w:t>
      </w:r>
      <w:r w:rsidR="007032F0" w:rsidRPr="00E52B4D">
        <w:rPr>
          <w:szCs w:val="22"/>
        </w:rPr>
        <w:t xml:space="preserve"> in the </w:t>
      </w:r>
      <w:r w:rsidR="00CD4073" w:rsidRPr="00E52B4D">
        <w:rPr>
          <w:szCs w:val="22"/>
        </w:rPr>
        <w:t xml:space="preserve">nucleus of the </w:t>
      </w:r>
      <w:r w:rsidR="007032F0" w:rsidRPr="00E52B4D">
        <w:rPr>
          <w:szCs w:val="22"/>
        </w:rPr>
        <w:t>host</w:t>
      </w:r>
      <w:r w:rsidR="00FA0361" w:rsidRPr="00E52B4D">
        <w:rPr>
          <w:szCs w:val="22"/>
        </w:rPr>
        <w:t xml:space="preserve"> </w:t>
      </w:r>
      <w:r w:rsidR="007032F0" w:rsidRPr="00E52B4D">
        <w:rPr>
          <w:szCs w:val="22"/>
        </w:rPr>
        <w:t>cell</w:t>
      </w:r>
      <w:r>
        <w:rPr>
          <w:szCs w:val="22"/>
        </w:rPr>
        <w:t>,</w:t>
      </w:r>
      <w:r w:rsidR="007032F0" w:rsidRPr="00E52B4D">
        <w:rPr>
          <w:szCs w:val="22"/>
        </w:rPr>
        <w:t xml:space="preserve"> </w:t>
      </w:r>
      <w:r>
        <w:rPr>
          <w:szCs w:val="22"/>
        </w:rPr>
        <w:t>using</w:t>
      </w:r>
      <w:r w:rsidR="00CD4073" w:rsidRPr="00E52B4D">
        <w:rPr>
          <w:szCs w:val="22"/>
        </w:rPr>
        <w:t xml:space="preserve"> the </w:t>
      </w:r>
      <w:r w:rsidR="007032F0" w:rsidRPr="00E52B4D">
        <w:rPr>
          <w:szCs w:val="22"/>
        </w:rPr>
        <w:t>host</w:t>
      </w:r>
      <w:r w:rsidR="00FA0361" w:rsidRPr="00E52B4D">
        <w:rPr>
          <w:szCs w:val="22"/>
        </w:rPr>
        <w:t xml:space="preserve"> </w:t>
      </w:r>
      <w:r w:rsidR="007032F0" w:rsidRPr="00E52B4D">
        <w:rPr>
          <w:szCs w:val="22"/>
        </w:rPr>
        <w:t xml:space="preserve">cell nuclear machinery </w:t>
      </w:r>
      <w:r w:rsidR="004970D0" w:rsidRPr="00E52B4D">
        <w:rPr>
          <w:szCs w:val="22"/>
        </w:rPr>
        <w:t>to make copies of itself</w:t>
      </w:r>
      <w:r w:rsidR="00293759" w:rsidRPr="00E52B4D">
        <w:rPr>
          <w:szCs w:val="22"/>
        </w:rPr>
        <w:t xml:space="preserve"> (</w:t>
      </w:r>
      <w:r w:rsidR="00163EB7">
        <w:rPr>
          <w:szCs w:val="22"/>
        </w:rPr>
        <w:t>Figure 4</w:t>
      </w:r>
      <w:r w:rsidR="00293759" w:rsidRPr="00E52B4D">
        <w:rPr>
          <w:szCs w:val="22"/>
        </w:rPr>
        <w:t>)</w:t>
      </w:r>
      <w:r w:rsidR="007032F0" w:rsidRPr="00E52B4D">
        <w:rPr>
          <w:szCs w:val="22"/>
        </w:rPr>
        <w:t xml:space="preserve">. </w:t>
      </w:r>
      <w:r w:rsidR="00EC4C41">
        <w:rPr>
          <w:szCs w:val="22"/>
        </w:rPr>
        <w:t>Following attachment to cell membrane receptors</w:t>
      </w:r>
      <w:r>
        <w:rPr>
          <w:szCs w:val="22"/>
        </w:rPr>
        <w:t xml:space="preserve"> (</w:t>
      </w:r>
      <w:r w:rsidR="00BE3173">
        <w:rPr>
          <w:szCs w:val="22"/>
        </w:rPr>
        <w:t xml:space="preserve">steps </w:t>
      </w:r>
      <w:r>
        <w:rPr>
          <w:szCs w:val="22"/>
        </w:rPr>
        <w:t>1</w:t>
      </w:r>
      <w:r w:rsidR="00D57B72">
        <w:rPr>
          <w:szCs w:val="22"/>
        </w:rPr>
        <w:t>-3</w:t>
      </w:r>
      <w:r>
        <w:rPr>
          <w:szCs w:val="22"/>
        </w:rPr>
        <w:t>)</w:t>
      </w:r>
      <w:r w:rsidR="00EC4C41">
        <w:rPr>
          <w:szCs w:val="22"/>
        </w:rPr>
        <w:t xml:space="preserve">, </w:t>
      </w:r>
      <w:r w:rsidR="003E0F12" w:rsidRPr="00E52B4D">
        <w:rPr>
          <w:szCs w:val="22"/>
        </w:rPr>
        <w:t xml:space="preserve">the </w:t>
      </w:r>
      <w:proofErr w:type="spellStart"/>
      <w:r w:rsidR="003E0F12" w:rsidRPr="00E52B4D">
        <w:rPr>
          <w:szCs w:val="22"/>
        </w:rPr>
        <w:t>AdV</w:t>
      </w:r>
      <w:proofErr w:type="spellEnd"/>
      <w:r w:rsidR="003E0F12" w:rsidRPr="00E52B4D">
        <w:rPr>
          <w:szCs w:val="22"/>
        </w:rPr>
        <w:t xml:space="preserve"> </w:t>
      </w:r>
      <w:r w:rsidR="00C23D0A">
        <w:rPr>
          <w:szCs w:val="22"/>
        </w:rPr>
        <w:t>enters</w:t>
      </w:r>
      <w:r w:rsidR="00EC4C41">
        <w:rPr>
          <w:szCs w:val="22"/>
        </w:rPr>
        <w:t xml:space="preserve"> the host cell </w:t>
      </w:r>
      <w:r w:rsidR="005C3478">
        <w:rPr>
          <w:szCs w:val="22"/>
        </w:rPr>
        <w:t>and</w:t>
      </w:r>
      <w:r w:rsidR="007022DE" w:rsidRPr="00E52B4D">
        <w:rPr>
          <w:szCs w:val="22"/>
        </w:rPr>
        <w:t xml:space="preserve"> is uncoated </w:t>
      </w:r>
      <w:r w:rsidR="005C3478">
        <w:rPr>
          <w:szCs w:val="22"/>
        </w:rPr>
        <w:t>to</w:t>
      </w:r>
      <w:r w:rsidR="00C95B9F">
        <w:rPr>
          <w:szCs w:val="22"/>
        </w:rPr>
        <w:t xml:space="preserve"> release </w:t>
      </w:r>
      <w:r w:rsidR="00C95B9F" w:rsidRPr="007507C5">
        <w:rPr>
          <w:szCs w:val="22"/>
        </w:rPr>
        <w:t>viral particles</w:t>
      </w:r>
      <w:r w:rsidR="002B3270">
        <w:rPr>
          <w:szCs w:val="22"/>
        </w:rPr>
        <w:t xml:space="preserve"> </w:t>
      </w:r>
      <w:r>
        <w:rPr>
          <w:szCs w:val="22"/>
        </w:rPr>
        <w:t>(</w:t>
      </w:r>
      <w:r w:rsidR="00BE3173">
        <w:rPr>
          <w:szCs w:val="22"/>
        </w:rPr>
        <w:t xml:space="preserve">step </w:t>
      </w:r>
      <w:r>
        <w:rPr>
          <w:szCs w:val="22"/>
        </w:rPr>
        <w:t>4)</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w:t>
      </w:r>
      <w:r>
        <w:rPr>
          <w:szCs w:val="22"/>
        </w:rPr>
        <w:t xml:space="preserve"> (</w:t>
      </w:r>
      <w:r w:rsidR="00BE3173">
        <w:rPr>
          <w:szCs w:val="22"/>
        </w:rPr>
        <w:t xml:space="preserve">step </w:t>
      </w:r>
      <w:r>
        <w:rPr>
          <w:szCs w:val="22"/>
        </w:rPr>
        <w:t>5)</w:t>
      </w:r>
      <w:r w:rsidR="00311516" w:rsidRPr="007507C5">
        <w:rPr>
          <w:szCs w:val="22"/>
        </w:rPr>
        <w:t xml:space="preserve"> where the transcription </w:t>
      </w:r>
      <w:r w:rsidR="004B6FF5" w:rsidRPr="004B6FF5">
        <w:rPr>
          <w:szCs w:val="22"/>
        </w:rPr>
        <w:t xml:space="preserve">of early phase genes </w:t>
      </w:r>
      <w:r w:rsidR="00C95B9F" w:rsidRPr="007507C5">
        <w:rPr>
          <w:szCs w:val="22"/>
        </w:rPr>
        <w:t>occurs</w:t>
      </w:r>
      <w:r w:rsidR="00D57B72">
        <w:rPr>
          <w:szCs w:val="22"/>
        </w:rPr>
        <w:t xml:space="preserve"> (</w:t>
      </w:r>
      <w:r w:rsidR="00BE3173">
        <w:rPr>
          <w:szCs w:val="22"/>
        </w:rPr>
        <w:t xml:space="preserve">step </w:t>
      </w:r>
      <w:r w:rsidR="00D57B72">
        <w:rPr>
          <w:szCs w:val="22"/>
        </w:rPr>
        <w:t>6)</w:t>
      </w:r>
      <w:r w:rsidR="008E0433">
        <w:rPr>
          <w:szCs w:val="22"/>
        </w:rPr>
        <w:t xml:space="preserve"> </w:t>
      </w:r>
      <w:r w:rsidR="008E0433">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 </w:instrText>
      </w:r>
      <w:r w:rsidR="00824706">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EN.CITE.DATA </w:instrText>
      </w:r>
      <w:r w:rsidR="00824706">
        <w:rPr>
          <w:szCs w:val="22"/>
        </w:rPr>
      </w:r>
      <w:r w:rsidR="00824706">
        <w:rPr>
          <w:szCs w:val="22"/>
        </w:rPr>
        <w:fldChar w:fldCharType="end"/>
      </w:r>
      <w:r w:rsidR="008E0433">
        <w:rPr>
          <w:szCs w:val="22"/>
        </w:rPr>
      </w:r>
      <w:r w:rsidR="008E0433">
        <w:rPr>
          <w:szCs w:val="22"/>
        </w:rPr>
        <w:fldChar w:fldCharType="separate"/>
      </w:r>
      <w:r w:rsidR="008E0433">
        <w:rPr>
          <w:noProof/>
          <w:szCs w:val="22"/>
        </w:rPr>
        <w:t>(</w:t>
      </w:r>
      <w:hyperlink w:anchor="_ENREF_17" w:tooltip="Charman, 2019 #69" w:history="1">
        <w:r w:rsidR="0027195B">
          <w:rPr>
            <w:noProof/>
            <w:szCs w:val="22"/>
          </w:rPr>
          <w:t>Charman et al., 2019</w:t>
        </w:r>
      </w:hyperlink>
      <w:r w:rsidR="008E0433">
        <w:rPr>
          <w:noProof/>
          <w:szCs w:val="22"/>
        </w:rPr>
        <w:t>)</w:t>
      </w:r>
      <w:r w:rsidR="008E0433">
        <w:rPr>
          <w:szCs w:val="22"/>
        </w:rPr>
        <w:fldChar w:fldCharType="end"/>
      </w:r>
      <w:r w:rsidR="007032F0" w:rsidRPr="007507C5">
        <w:rPr>
          <w:szCs w:val="22"/>
        </w:rPr>
        <w:t>.</w:t>
      </w:r>
      <w:r w:rsidR="003E0F12" w:rsidRPr="007507C5">
        <w:rPr>
          <w:szCs w:val="22"/>
        </w:rPr>
        <w:t xml:space="preserve"> </w:t>
      </w:r>
      <w:r w:rsidR="003D71FB">
        <w:rPr>
          <w:rFonts w:asciiTheme="minorHAnsi" w:hAnsiTheme="minorHAnsi" w:cstheme="minorHAnsi"/>
          <w:szCs w:val="22"/>
        </w:rPr>
        <w:t>V</w:t>
      </w:r>
      <w:r w:rsidR="00293759" w:rsidRPr="007507C5">
        <w:rPr>
          <w:rFonts w:asciiTheme="minorHAnsi" w:hAnsiTheme="minorHAnsi" w:cstheme="minorHAnsi"/>
          <w:szCs w:val="22"/>
        </w:rPr>
        <w:t xml:space="preserve">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proofErr w:type="gramStart"/>
      <w:r w:rsidR="00C95B9F" w:rsidRPr="007507C5">
        <w:rPr>
          <w:rFonts w:asciiTheme="minorHAnsi" w:hAnsiTheme="minorHAnsi" w:cstheme="minorHAnsi"/>
          <w:szCs w:val="22"/>
        </w:rPr>
        <w:t>made</w:t>
      </w:r>
      <w:proofErr w:type="gramEnd"/>
      <w:r w:rsidR="003D71FB">
        <w:rPr>
          <w:rFonts w:asciiTheme="minorHAnsi" w:hAnsiTheme="minorHAnsi" w:cstheme="minorHAnsi"/>
          <w:szCs w:val="22"/>
        </w:rPr>
        <w:t xml:space="preserve"> and</w:t>
      </w:r>
      <w:r w:rsidR="003E0F12" w:rsidRPr="007507C5">
        <w:rPr>
          <w:rFonts w:asciiTheme="minorHAnsi" w:hAnsiTheme="minorHAnsi" w:cstheme="minorHAnsi"/>
          <w:szCs w:val="22"/>
        </w:rPr>
        <w:t xml:space="preserv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assembled</w:t>
      </w:r>
      <w:r w:rsidR="00D57B72">
        <w:rPr>
          <w:rFonts w:asciiTheme="minorHAnsi" w:hAnsiTheme="minorHAnsi" w:cstheme="minorHAnsi"/>
          <w:szCs w:val="22"/>
        </w:rPr>
        <w:t xml:space="preserve"> (</w:t>
      </w:r>
      <w:r w:rsidR="00BE3173">
        <w:rPr>
          <w:rFonts w:asciiTheme="minorHAnsi" w:hAnsiTheme="minorHAnsi" w:cstheme="minorHAnsi"/>
          <w:szCs w:val="22"/>
        </w:rPr>
        <w:t xml:space="preserve">steps </w:t>
      </w:r>
      <w:r w:rsidR="00D57B72">
        <w:rPr>
          <w:rFonts w:asciiTheme="minorHAnsi" w:hAnsiTheme="minorHAnsi" w:cstheme="minorHAnsi"/>
          <w:szCs w:val="22"/>
        </w:rPr>
        <w:t>7-9)</w:t>
      </w:r>
      <w:r w:rsidR="003E0F12" w:rsidRPr="007507C5">
        <w:rPr>
          <w:rFonts w:asciiTheme="minorHAnsi" w:hAnsiTheme="minorHAnsi" w:cstheme="minorHAnsi"/>
          <w:szCs w:val="22"/>
        </w:rPr>
        <w:t>.</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w:t>
      </w:r>
      <w:r w:rsidR="00D57B72">
        <w:rPr>
          <w:rFonts w:asciiTheme="minorHAnsi" w:hAnsiTheme="minorHAnsi" w:cstheme="minorHAnsi"/>
          <w:szCs w:val="22"/>
        </w:rPr>
        <w:t xml:space="preserve"> (</w:t>
      </w:r>
      <w:r w:rsidR="00BE3173">
        <w:rPr>
          <w:rFonts w:asciiTheme="minorHAnsi" w:hAnsiTheme="minorHAnsi" w:cstheme="minorHAnsi"/>
          <w:szCs w:val="22"/>
        </w:rPr>
        <w:t xml:space="preserve">step </w:t>
      </w:r>
      <w:r w:rsidR="00D57B72">
        <w:rPr>
          <w:rFonts w:asciiTheme="minorHAnsi" w:hAnsiTheme="minorHAnsi" w:cstheme="minorHAnsi"/>
          <w:szCs w:val="22"/>
        </w:rPr>
        <w:t>10)</w:t>
      </w:r>
      <w:r w:rsidR="00311516" w:rsidRPr="00E52B4D">
        <w:rPr>
          <w:rFonts w:asciiTheme="minorHAnsi" w:hAnsiTheme="minorHAnsi" w:cstheme="minorHAnsi"/>
          <w:szCs w:val="22"/>
        </w:rPr>
        <w:t xml:space="preserve"> </w:t>
      </w:r>
      <w:r w:rsidR="00B80D1A">
        <w:rPr>
          <w:rFonts w:asciiTheme="minorHAnsi" w:hAnsiTheme="minorHAnsi" w:cstheme="minorHAnsi"/>
          <w:szCs w:val="22"/>
        </w:rPr>
        <w:fldChar w:fldCharType="begin"/>
      </w:r>
      <w:r w:rsidR="00B80D1A">
        <w:rPr>
          <w:rFonts w:asciiTheme="minorHAnsi" w:hAnsiTheme="minorHAnsi" w:cstheme="minorHAnsi"/>
          <w:szCs w:val="22"/>
        </w:rPr>
        <w:instrText xml:space="preserve"> ADDIN EN.CITE &lt;EndNote&gt;&lt;Cite&gt;&lt;Author&gt;Waye&lt;/Author&gt;&lt;Year&gt;2010&lt;/Year&gt;&lt;RecNum&gt;104&lt;/RecNum&gt;&lt;DisplayText&gt;(Waye and Sing, 2010)&lt;/DisplayText&gt;&lt;record&gt;&lt;rec-number&gt;104&lt;/rec-number&gt;&lt;foreign-keys&gt;&lt;key app="EN" db-id="verwe2fxj5fev7epfz8xtdvez025feseze0z" timestamp="1733275116"&gt;104&lt;/key&gt;&lt;/foreign-keys&gt;&lt;ref-type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Adenoviruses&lt;/title&gt;&lt;secondary-title&gt;Pharmaceuticals&lt;/secondary-title&gt;&lt;alt-title&gt;Pharmaceuticals (Basel)&lt;/alt-title&gt;&lt;/titles&gt;&lt;periodical&gt;&lt;full-title&gt;Pharmaceuticals&lt;/full-title&gt;&lt;abbr-1&gt;Pharmaceuticals (Basel)&lt;/abbr-1&gt;&lt;/periodical&gt;&lt;alt-periodical&gt;&lt;full-title&gt;Pharmaceuticals&lt;/full-title&gt;&lt;abbr-1&gt;Pharmaceuticals (Basel)&lt;/abbr-1&gt;&lt;/alt-periodical&gt;&lt;pages&gt;3343-3354&lt;/pages&gt;&lt;volume&gt;3&lt;/volume&gt;&lt;number&gt;10&lt;/number&gt;&lt;keywords&gt;&lt;keyword&gt;adenovirus&lt;/keyword&gt;&lt;keyword&gt;pharmaceuticals&lt;/keyword&gt;&lt;keyword&gt;microRNA&lt;/keyword&gt;&lt;/keywords&gt;&lt;dates&gt;&lt;year&gt;2010&lt;/year&gt;&lt;/dates&gt;&lt;publisher&gt;MDPI&lt;/publisher&gt;&lt;isbn&gt;1424-8247&lt;/isbn&gt;&lt;accession-num&gt;PMC4034094&lt;/accession-num&gt;&lt;urls&gt;&lt;related-urls&gt;&lt;url&gt;https://www.ncbi.nlm.nih.gov/pmc/articles/PMC4034094/&lt;/url&gt;&lt;/related-urls&gt;&lt;/urls&gt;&lt;electronic-resource-num&gt;10.3390/ph3103343&lt;/electronic-resource-num&gt;&lt;remote-database-name&gt;PMC&lt;/remote-database-name&gt;&lt;language&gt;eng&lt;/language&gt;&lt;/record&gt;&lt;/Cite&gt;&lt;/EndNote&gt;</w:instrText>
      </w:r>
      <w:r w:rsidR="00B80D1A">
        <w:rPr>
          <w:rFonts w:asciiTheme="minorHAnsi" w:hAnsiTheme="minorHAnsi" w:cstheme="minorHAnsi"/>
          <w:szCs w:val="22"/>
        </w:rPr>
        <w:fldChar w:fldCharType="separate"/>
      </w:r>
      <w:r w:rsidR="00B80D1A">
        <w:rPr>
          <w:rFonts w:asciiTheme="minorHAnsi" w:hAnsiTheme="minorHAnsi" w:cstheme="minorHAnsi"/>
          <w:noProof/>
          <w:szCs w:val="22"/>
        </w:rPr>
        <w:t>(</w:t>
      </w:r>
      <w:hyperlink w:anchor="_ENREF_100" w:tooltip="Waye, 2010 #104" w:history="1">
        <w:r w:rsidR="0027195B">
          <w:rPr>
            <w:rFonts w:asciiTheme="minorHAnsi" w:hAnsiTheme="minorHAnsi" w:cstheme="minorHAnsi"/>
            <w:noProof/>
            <w:szCs w:val="22"/>
          </w:rPr>
          <w:t>Waye and Sing, 2010</w:t>
        </w:r>
      </w:hyperlink>
      <w:r w:rsidR="00B80D1A">
        <w:rPr>
          <w:rFonts w:asciiTheme="minorHAnsi" w:hAnsiTheme="minorHAnsi" w:cstheme="minorHAnsi"/>
          <w:noProof/>
          <w:szCs w:val="22"/>
        </w:rPr>
        <w:t>)</w:t>
      </w:r>
      <w:r w:rsidR="00B80D1A">
        <w:rPr>
          <w:rFonts w:asciiTheme="minorHAnsi" w:hAnsiTheme="minorHAnsi" w:cstheme="minorHAnsi"/>
          <w:szCs w:val="22"/>
        </w:rPr>
        <w:fldChar w:fldCharType="end"/>
      </w:r>
      <w:r w:rsidR="00311516" w:rsidRPr="00E52B4D">
        <w:rPr>
          <w:rFonts w:asciiTheme="minorHAnsi" w:hAnsiTheme="minorHAnsi" w:cstheme="minorHAnsi"/>
          <w:szCs w:val="22"/>
        </w:rPr>
        <w:t xml:space="preserve">. </w:t>
      </w:r>
    </w:p>
    <w:p w14:paraId="09B3269D" w14:textId="77FDD535" w:rsidR="00696C8A" w:rsidRPr="00D76253" w:rsidRDefault="001C33D9" w:rsidP="00293759">
      <w:pPr>
        <w:jc w:val="center"/>
        <w:rPr>
          <w:color w:val="000000" w:themeColor="text1"/>
        </w:rPr>
      </w:pPr>
      <w:r>
        <w:rPr>
          <w:noProof/>
          <w:color w:val="000000" w:themeColor="text1"/>
        </w:rPr>
        <w:lastRenderedPageBreak/>
        <w:drawing>
          <wp:inline distT="0" distB="0" distL="0" distR="0" wp14:anchorId="5FE95BD2" wp14:editId="1DCF3EA0">
            <wp:extent cx="3851910" cy="3628609"/>
            <wp:effectExtent l="0" t="0" r="0" b="0"/>
            <wp:doc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pic:cNvPicPr/>
                  </pic:nvPicPr>
                  <pic:blipFill>
                    <a:blip r:embed="rId31">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2605A029" w:rsidR="002F0258" w:rsidRPr="006F72AC" w:rsidRDefault="007E3AE5" w:rsidP="006F72AC">
      <w:pPr>
        <w:pStyle w:val="Caption-Figure"/>
      </w:pPr>
      <w:bookmarkStart w:id="150" w:name="_Ref56495625"/>
      <w:r w:rsidRPr="006F72AC">
        <w:t xml:space="preserve">Figure </w:t>
      </w:r>
      <w:r w:rsidR="00706070">
        <w:t>4</w:t>
      </w:r>
      <w:bookmarkEnd w:id="150"/>
      <w:r w:rsidR="00696C8A" w:rsidRPr="006F72AC">
        <w:t>: Overview of the adenovirus replication cycle</w:t>
      </w:r>
      <w:r w:rsidR="008E0433" w:rsidRPr="006F72AC">
        <w:t xml:space="preserve"> </w:t>
      </w:r>
      <w:r w:rsidR="008E0433" w:rsidRPr="006F72AC">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 </w:instrText>
      </w:r>
      <w:r w:rsidR="00824706">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EN.CITE.DATA </w:instrText>
      </w:r>
      <w:r w:rsidR="00824706">
        <w:fldChar w:fldCharType="end"/>
      </w:r>
      <w:r w:rsidR="008E0433" w:rsidRPr="006F72AC">
        <w:fldChar w:fldCharType="separate"/>
      </w:r>
      <w:r w:rsidR="008E0433" w:rsidRPr="006F72AC">
        <w:rPr>
          <w:noProof/>
        </w:rPr>
        <w:t>(</w:t>
      </w:r>
      <w:hyperlink w:anchor="_ENREF_17" w:tooltip="Charman, 2019 #69" w:history="1">
        <w:r w:rsidR="0027195B" w:rsidRPr="006F72AC">
          <w:rPr>
            <w:noProof/>
          </w:rPr>
          <w:t>Charman et al., 2019</w:t>
        </w:r>
      </w:hyperlink>
      <w:r w:rsidR="008E0433" w:rsidRPr="006F72AC">
        <w:rPr>
          <w:noProof/>
        </w:rPr>
        <w:t>)</w:t>
      </w:r>
      <w:r w:rsidR="008E0433" w:rsidRPr="006F72AC">
        <w:fldChar w:fldCharType="end"/>
      </w:r>
      <w:r w:rsidR="00696C8A" w:rsidRPr="006F72AC">
        <w:t xml:space="preserve">. </w:t>
      </w:r>
      <w:bookmarkStart w:id="151" w:name="_Ref33532574"/>
      <w:bookmarkStart w:id="152" w:name="_Ref33534091"/>
      <w:bookmarkStart w:id="153" w:name="_Toc53666213"/>
      <w:bookmarkStart w:id="154" w:name="_Toc53675474"/>
      <w:r w:rsidR="00D57B72" w:rsidRPr="00D57B72">
        <w:t>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w:t>
      </w:r>
    </w:p>
    <w:p w14:paraId="6D9FBCF7" w14:textId="42CD2A51" w:rsidR="00922F34" w:rsidRPr="00961290" w:rsidRDefault="00922F34" w:rsidP="00FA0361">
      <w:pPr>
        <w:pStyle w:val="3RARMP"/>
      </w:pPr>
      <w:bookmarkStart w:id="155" w:name="_Ref57119116"/>
      <w:bookmarkStart w:id="156" w:name="_Toc219281391"/>
      <w:r>
        <w:t>Mutation and recombination</w:t>
      </w:r>
      <w:bookmarkEnd w:id="151"/>
      <w:bookmarkEnd w:id="152"/>
      <w:bookmarkEnd w:id="153"/>
      <w:bookmarkEnd w:id="154"/>
      <w:bookmarkEnd w:id="155"/>
      <w:bookmarkEnd w:id="156"/>
    </w:p>
    <w:p w14:paraId="33B8D487" w14:textId="442D9EDD" w:rsidR="00AE359A" w:rsidRPr="00F54914" w:rsidRDefault="00C67260" w:rsidP="00F54914">
      <w:pPr>
        <w:pStyle w:val="RARMPnumberedparagraphs"/>
      </w:pPr>
      <w:r>
        <w:rPr>
          <w:rFonts w:cs="Calibri"/>
          <w:szCs w:val="22"/>
        </w:rPr>
        <w:t>Adenovirus</w:t>
      </w:r>
      <w:r w:rsidRPr="00D73A9A">
        <w:rPr>
          <w:rFonts w:cs="Calibri"/>
          <w:szCs w:val="22"/>
        </w:rPr>
        <w:t xml:space="preserve"> </w:t>
      </w:r>
      <w:r w:rsidR="009F1628" w:rsidRPr="00D73A9A">
        <w:rPr>
          <w:rFonts w:cs="Calibri"/>
          <w:szCs w:val="22"/>
        </w:rPr>
        <w:t>DNA is maintained as multiple episomal copies in the cytoplasm of infected cells</w:t>
      </w:r>
      <w:r w:rsidR="009F1628">
        <w:rPr>
          <w:rFonts w:cs="Calibri"/>
          <w:szCs w:val="22"/>
        </w:rPr>
        <w:t xml:space="preserve"> </w:t>
      </w:r>
      <w:r w:rsidR="009F1628">
        <w:rPr>
          <w:rFonts w:cs="Calibri"/>
          <w:szCs w:val="22"/>
        </w:rPr>
        <w:fldChar w:fldCharType="begin"/>
      </w:r>
      <w:r w:rsidR="00824706">
        <w:rPr>
          <w:rFonts w:cs="Calibri"/>
          <w:szCs w:val="22"/>
        </w:rPr>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9F1628">
        <w:rPr>
          <w:rFonts w:cs="Calibri"/>
          <w:szCs w:val="22"/>
        </w:rPr>
        <w:fldChar w:fldCharType="separate"/>
      </w:r>
      <w:r w:rsidR="009F1628">
        <w:rPr>
          <w:rFonts w:cs="Calibri"/>
          <w:noProof/>
          <w:szCs w:val="22"/>
        </w:rPr>
        <w:t>(</w:t>
      </w:r>
      <w:hyperlink w:anchor="_ENREF_34" w:tooltip="Harui, 1999 #87" w:history="1">
        <w:r w:rsidR="0027195B">
          <w:rPr>
            <w:rFonts w:cs="Calibri"/>
            <w:noProof/>
            <w:szCs w:val="22"/>
          </w:rPr>
          <w:t>Harui et al., 1999</w:t>
        </w:r>
      </w:hyperlink>
      <w:r w:rsidR="009F1628">
        <w:rPr>
          <w:rFonts w:cs="Calibri"/>
          <w:noProof/>
          <w:szCs w:val="22"/>
        </w:rPr>
        <w:t>)</w:t>
      </w:r>
      <w:r w:rsidR="009F1628">
        <w:rPr>
          <w:rFonts w:cs="Calibri"/>
          <w:szCs w:val="22"/>
        </w:rPr>
        <w:fldChar w:fldCharType="end"/>
      </w:r>
      <w:r w:rsidR="00F76E47">
        <w:rPr>
          <w:rFonts w:cs="Calibri"/>
          <w:szCs w:val="22"/>
        </w:rPr>
        <w:t xml:space="preserve"> and</w:t>
      </w:r>
      <w:r w:rsidR="009F1628">
        <w:rPr>
          <w:rFonts w:cs="Calibri"/>
          <w:szCs w:val="22"/>
        </w:rPr>
        <w:t xml:space="preserve"> </w:t>
      </w:r>
      <w:proofErr w:type="spellStart"/>
      <w:r w:rsidR="003E0F12" w:rsidRPr="00C61325">
        <w:rPr>
          <w:rFonts w:cs="Calibri"/>
          <w:szCs w:val="22"/>
        </w:rPr>
        <w:t>AdVs</w:t>
      </w:r>
      <w:proofErr w:type="spellEnd"/>
      <w:r w:rsidR="003E0F12" w:rsidRPr="00C61325">
        <w:rPr>
          <w:rFonts w:cs="Calibri"/>
          <w:szCs w:val="22"/>
        </w:rPr>
        <w:t xml:space="preserve"> do not have </w:t>
      </w:r>
      <w:r w:rsidR="003E0F12" w:rsidRPr="00D73A9A">
        <w:rPr>
          <w:rFonts w:cs="Calibri"/>
          <w:szCs w:val="22"/>
        </w:rPr>
        <w:t xml:space="preserve">the machinery for </w:t>
      </w:r>
      <w:r w:rsidR="00C95B9F" w:rsidRPr="00D73A9A">
        <w:rPr>
          <w:rFonts w:cs="Calibri"/>
          <w:szCs w:val="22"/>
        </w:rPr>
        <w:t xml:space="preserve">efficient </w:t>
      </w:r>
      <w:r w:rsidR="003E0F12" w:rsidRPr="00D73A9A">
        <w:rPr>
          <w:rFonts w:cs="Calibri"/>
          <w:szCs w:val="22"/>
        </w:rPr>
        <w:t>inte</w:t>
      </w:r>
      <w:r w:rsidR="00FA0361" w:rsidRPr="00D73A9A">
        <w:rPr>
          <w:rFonts w:cs="Calibri"/>
          <w:szCs w:val="22"/>
        </w:rPr>
        <w:t>gration into the host genome</w:t>
      </w:r>
      <w:r w:rsidR="00F76E47">
        <w:rPr>
          <w:rFonts w:cs="Calibri"/>
          <w:szCs w:val="22"/>
        </w:rPr>
        <w:t xml:space="preserve">. Instances </w:t>
      </w:r>
      <w:r w:rsidR="00C27641">
        <w:rPr>
          <w:rFonts w:cs="Calibri"/>
          <w:szCs w:val="22"/>
        </w:rPr>
        <w:t>of</w:t>
      </w:r>
      <w:r w:rsidR="00A0296C" w:rsidRPr="00D73A9A">
        <w:rPr>
          <w:rFonts w:cs="Calibri"/>
          <w:szCs w:val="22"/>
        </w:rPr>
        <w:t xml:space="preserve"> </w:t>
      </w:r>
      <w:proofErr w:type="spellStart"/>
      <w:r w:rsidR="00B400CF" w:rsidRPr="00D73A9A">
        <w:rPr>
          <w:rFonts w:cs="Calibri"/>
          <w:szCs w:val="22"/>
        </w:rPr>
        <w:t>AdVs</w:t>
      </w:r>
      <w:proofErr w:type="spellEnd"/>
      <w:r w:rsidR="00B400CF" w:rsidRPr="00D73A9A">
        <w:rPr>
          <w:rFonts w:cs="Calibri"/>
          <w:szCs w:val="22"/>
        </w:rPr>
        <w:t xml:space="preserve"> </w:t>
      </w:r>
      <w:r w:rsidR="00C27641">
        <w:rPr>
          <w:rFonts w:cs="Calibri"/>
          <w:szCs w:val="22"/>
        </w:rPr>
        <w:t>integrati</w:t>
      </w:r>
      <w:r w:rsidR="001455CA">
        <w:rPr>
          <w:rFonts w:cs="Calibri"/>
          <w:szCs w:val="22"/>
        </w:rPr>
        <w:t xml:space="preserve">on </w:t>
      </w:r>
      <w:r w:rsidR="007E09C3">
        <w:rPr>
          <w:rFonts w:cs="Calibri"/>
          <w:szCs w:val="22"/>
        </w:rPr>
        <w:t xml:space="preserve">are considered </w:t>
      </w:r>
      <w:r w:rsidR="00925338" w:rsidRPr="00D73A9A">
        <w:rPr>
          <w:rFonts w:cs="Calibri"/>
          <w:szCs w:val="22"/>
        </w:rPr>
        <w:t>rare</w:t>
      </w:r>
      <w:r w:rsidR="00215382">
        <w:rPr>
          <w:rFonts w:cs="Calibri"/>
          <w:szCs w:val="22"/>
        </w:rPr>
        <w:t xml:space="preserve">, </w:t>
      </w:r>
      <w:r>
        <w:rPr>
          <w:rFonts w:cs="Calibri"/>
          <w:szCs w:val="22"/>
        </w:rPr>
        <w:t xml:space="preserve">and </w:t>
      </w:r>
      <w:r w:rsidR="00215382">
        <w:rPr>
          <w:rFonts w:cs="Calibri"/>
          <w:szCs w:val="22"/>
        </w:rPr>
        <w:t xml:space="preserve">random integration of virus DNA into the host genome has been observed </w:t>
      </w:r>
      <w:r>
        <w:rPr>
          <w:rFonts w:cs="Calibri"/>
          <w:szCs w:val="22"/>
        </w:rPr>
        <w:t xml:space="preserve">only </w:t>
      </w:r>
      <w:r w:rsidR="00215382">
        <w:rPr>
          <w:rFonts w:cs="Calibri"/>
          <w:szCs w:val="22"/>
        </w:rPr>
        <w:t>in very rare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MjAxNWEpPC9EaXNwbGF5VGV4dD48cmVjb3JkPjxyZWMtbnVtYmVyPjg3PC9yZWMtbnVtYmVyPjxm
b3JlaWduLWtleXM+PGtleSBhcHA9IkVOIiBkYi1pZD0idmVyd2UyZnhqNWZldjdlcGZ6OHh0ZHZl
ejAyNWZlc2V6ZTB6IiB0aW1lc3RhbXA9IjE3MzMyNzUxMTYiPjg3PC9rZXk+PC9mb3JlaWduLWtl
eXM+PHJlZi10eXBlIG5hbWU9IkpvdXJuYWwgQXJ0aWNsZSI+MTc8L3JlZi10eXBlPjxjb250cmli
dXRvcnM+PGF1dGhvcnM+PGF1dGhvcj5IYXJ1aSwgQS48L2F1dGhvcj48YXV0aG9yPlN1enVraSwg
Uy48L2F1dGhvcj48YXV0aG9yPktvY2hhbmVrLCBTLjwvYXV0aG9yPjxhdXRob3I+TWl0YW5pLCBL
LjwvYXV0aG9yPjwvYXV0aG9ycz48L2NvbnRyaWJ1dG9ycz48dGl0bGVzPjx0aXRsZT5GcmVxdWVu
Y3kgYW5kIHN0YWJpbGl0eSBvZiBjaHJvbW9zb21hbCBpbnRlZ3JhdGlvbiBvZiBhZGVub3ZpcnVz
IHZlY3RvcnM8L3RpdGxlPjxzZWNvbmRhcnktdGl0bGU+Sm91cm5hbCBvZiB2aXJvbG9neTwvc2Vj
b25kYXJ5LXRpdGxlPjxhbHQtdGl0bGU+SiBWaXJvbDwvYWx0LXRpdGxlPjwvdGl0bGVzPjxwZXJp
b2RpY2FsPjxmdWxsLXRpdGxlPkpvdXJuYWwgb2YgVmlyb2xvZ3k8L2Z1bGwtdGl0bGU+PC9wZXJp
b2RpY2FsPjxhbHQtcGVyaW9kaWNhbD48ZnVsbC10aXRsZT5KIFZpcm9sPC9mdWxsLXRpdGxlPjwv
YWx0LXBlcmlvZGljYWw+PHBhZ2VzPjYxNDEtNjE0NjwvcGFnZXM+PHZvbHVtZT43Mzwvdm9sdW1l
PjxudW1iZXI+NzwvbnVtYmVyPjxrZXl3b3Jkcz48a2V5d29yZD4zVDMgQ2VsbHM8L2tleXdvcmQ+
PGtleXdvcmQ+QWRlbm92aXJ1cyBFMSBQcm90ZWlucy9nZW5ldGljczwva2V5d29yZD48a2V5d29y
ZD5BZGVub3ZpcnVzZXMsIEh1bWFuLypnZW5ldGljczwva2V5d29yZD48a2V5d29yZD5BbmltYWxz
PC9rZXl3b3JkPjxrZXl3b3JkPkNITyBDZWxsczwva2V5d29yZD48a2V5d29yZD5DT1MgQ2VsbHM8
L2tleXdvcmQ+PGtleXdvcmQ+Q2VsbCBMaW5lPC9rZXl3b3JkPjxrZXl3b3JkPkNobG9yb2NlYnVz
IGFldGhpb3BzPC9rZXl3b3JkPjxrZXl3b3JkPkNyaWNldGluYWU8L2tleXdvcmQ+PGtleXdvcmQ+
R2VuZSBFeHByZXNzaW9uPC9rZXl3b3JkPjxrZXl3b3JkPkdlbmV0aWMgVmVjdG9ycy8qZ2VuZXRp
Y3M8L2tleXdvcmQ+PGtleXdvcmQ+SGVMYSBDZWxsczwva2V5d29yZD48a2V5d29yZD5IZWxwZXIg
VmlydXNlczwva2V5d29yZD48a2V5d29yZD5IdW1hbnM8L2tleXdvcmQ+PGtleXdvcmQ+TWljZTwv
a2V5d29yZD48a2V5d29yZD5WZXJvIENlbGxzPC9rZXl3b3JkPjxrZXl3b3JkPipWaXJ1cyBJbnRl
Z3JhdGlvbjwva2V5d29yZD48L2tleXdvcmRzPjxkYXRlcz48eWVhcj4xOTk5PC95ZWFyPjwvZGF0
ZXM+PHB1Ymxpc2hlcj5BbWVyaWNhbiBTb2NpZXR5IGZvciBNaWNyb2Jpb2xvZ3k8L3B1Ymxpc2hl
cj48aXNibj4wMDIyLTUzOFgmI3hEOzEwOTgtNTUxNDwvaXNibj48YWNjZXNzaW9uLW51bT4xMDM2
NDM3MzwvYWNjZXNzaW9uLW51bT48dXJscz48cmVsYXRlZC11cmxzPjx1cmw+aHR0cHM6Ly9wdWJt
ZWQubmNiaS5ubG0ubmloLmdvdi8xMDM2NDM3MzwvdXJsPjx1cmw+aHR0cHM6Ly93d3cubmNiaS5u
bG0ubmloLmdvdi9wbWMvYXJ0aWNsZXMvUE1DMTEyNjgyLzwvdXJsPjwvcmVsYXRlZC11cmxzPjwv
dXJscz48ZWxlY3Ryb25pYy1yZXNvdXJjZS1udW0+MTAuMTEyOC9KVkkuNzMuNy42MTQxLTYxNDYu
MTk5OTwvZWxlY3Ryb25pYy1yZXNvdXJjZS1udW0+PHJlbW90ZS1kYXRhYmFzZS1uYW1lPlB1Yk1l
ZDwvcmVtb3RlLWRhdGFiYXNlLW5hbWU+PGxhbmd1YWdlPmVuZzwvbGFuZ3VhZ2U+PC9yZWNvcmQ+
PC9DaXRlPjxDaXRlPjxBdXRob3I+RGVzZmFyZ2VzPC9BdXRob3I+PFllYXI+MjAxMjwvWWVhcj48
UmVjTnVtPjg4PC9SZWNOdW0+PHJlY29yZD48cmVjLW51bWJlcj44ODwvcmVjLW51bWJlcj48Zm9y
ZWlnbi1rZXlzPjxrZXkgYXBwPSJFTiIgZGItaWQ9InZlcndlMmZ4ajVmZXY3ZXBmejh4dGR2ZXow
MjVmZXNlemUweiIgdGltZXN0YW1wPSIxNzMzMjc1MTE2Ij44ODwva2V5PjwvZm9yZWlnbi1rZXlz
PjxyZWYtdHlwZSBuYW1lPSJCb29rIFNlY3Rpb24iPjU8L3JlZi10eXBlPjxjb250cmlidXRvcnM+
PGF1dGhvcnM+PGF1dGhvcj5EZXNmYXJnZXMsIFPDqWJhc3RpZW48L2F1dGhvcj48YXV0aG9yPkNp
dWZmaSwgQW5nZWxhPC9hdXRob3I+PC9hdXRob3JzPjxzZWNvbmRhcnktYXV0aG9ycz48YXV0aG9y
PldpdHphbnksIEfDvG50aGVyPC9hdXRob3I+PC9zZWNvbmRhcnktYXV0aG9ycz48L2NvbnRyaWJ1
dG9ycz48dGl0bGVzPjx0aXRsZT5WaXJhbCBJbnRlZ3JhdGlvbiBhbmQgQ29uc2VxdWVuY2VzIG9u
IEhvc3QgR2VuZSBFeHByZXNzaW9uPC90aXRsZT48c2Vjb25kYXJ5LXRpdGxlPlZpcnVzZXM6IEVz
c2VudGlhbCBBZ2VudHMgb2YgTGlmZTwvc2Vjb25kYXJ5LXRpdGxlPjwvdGl0bGVzPjxwYWdlcz4x
NDctMTc1PC9wYWdlcz48ZGF0ZXM+PHllYXI+MjAxMjwveWVhcj48L2RhdGVzPjxwdWItbG9jYXRp
b24+RG9yZHJlY2h0PC9wdWItbG9jYXRpb24+PHB1Ymxpc2hlcj5TcHJpbmdlciBOZXRoZXJsYW5k
czwvcHVibGlzaGVyPjxpc2JuPjk3OC05NC0wMDctNDg5OS02PC9pc2JuPjxsYWJlbD5EZXNmYXJn
ZXMyMDEyPC9sYWJlbD48dXJscz48cmVsYXRlZC11cmxzPjx1cmw+aHR0cHM6Ly9kb2kub3JnLzEw
LjEwMDcvOTc4LTk0LTAwNy00ODk5LTZfNzwvdXJsPjwvcmVsYXRlZC11cmxzPjwvdXJscz48ZWxl
Y3Ryb25pYy1yZXNvdXJjZS1udW0+MTAuMTAwNy85NzgtOTQtMDA3LTQ4OTktNl83PC9lbGVjdHJv
bmljLXJlc291cmNlLW51bT48L3JlY29yZD48L0NpdGU+PENpdGU+PEF1dGhvcj5EZWhnaGFuPC9B
dXRob3I+PFllYXI+MjAxOTwvWWVhcj48UmVjTnVtPjg5PC9SZWNOdW0+PHJlY29yZD48cmVjLW51
bWJlcj44OTwvcmVjLW51bWJlcj48Zm9yZWlnbi1rZXlzPjxrZXkgYXBwPSJFTiIgZGItaWQ9InZl
cndlMmZ4ajVmZXY3ZXBmejh4dGR2ZXowMjVmZXNlemUweiIgdGltZXN0YW1wPSIxNzMzMjc1MTE2
Ij44OTwva2V5PjwvZm9yZWlnbi1rZXlzPjxyZWYtdHlwZSBuYW1lPSJKb3VybmFsIEFydGljbGUi
PjE3PC9yZWYtdHlwZT48Y29udHJpYnV0b3JzPjxhdXRob3JzPjxhdXRob3I+RGVoZ2hhbiwgU2hv
YWxlaDwvYXV0aG9yPjxhdXRob3I+U2V0bywgSmFzb248L2F1dGhvcj48YXV0aG9yPkxpdSwgRWxp
emFiZXRoIEIuPC9hdXRob3I+PGF1dGhvcj5Jc21haWwsIEFzaHJhZmFsaSBNLjwvYXV0aG9yPjxh
dXRob3I+TWFkdXB1LCBSYW1hbmE8L2F1dGhvcj48YXV0aG9yPkhlaW0sIEFsYmVydDwvYXV0aG9y
PjxhdXRob3I+Sm9uZXMsIE1vcnJpcyBTLjwvYXV0aG9yPjxhdXRob3I+RHllciwgRGF2aWQgVy48
L2F1dGhvcj48YXV0aG9yPkNob2Rvc2gsIEphbWVzPC9hdXRob3I+PGF1dGhvcj5TZXRvLCBEb25h
bGQ8L2F1dGhvcj48L2F1dGhvcnM+PC9jb250cmlidXRvcnM+PHRpdGxlcz48dGl0bGU+QSBab29u
b3RpYyBBZGVub3ZpcmFsIEh1bWFuIFBhdGhvZ2VuIEVtZXJnZWQgdGhyb3VnaCBHZW5vbWljIFJl
Y29tYmluYXRpb24gYW1vbmcgSHVtYW4gYW5kIE5vbmh1bWFuIFNpbWlhbiBIb3N0czwvdGl0bGU+
PC90aXRsZXM+PHBhZ2VzPmUwMDU2NC0xOTwvcGFnZXM+PHZvbHVtZT45Mzwvdm9sdW1lPjxudW1i
ZXI+MTg8L251bWJlcj48ZGF0ZXM+PHllYXI+MjAxOTwveWVhcj48L2RhdGVzPjx1cmxzPjxyZWxh
dGVkLXVybHM+PHVybD5odHRwczovL2p2aS5hc20ub3JnL2NvbnRlbnQvanZpLzkzLzE4L2UwMDU2
NC0xOS5mdWxsLnBkZjwvdXJsPjwvcmVsYXRlZC11cmxzPjwvdXJscz48ZWxlY3Ryb25pYy1yZXNv
dXJjZS1udW0+MTAuMTEyOC9KVkkuMDA1NjQtMTkgJUogSm91cm5hbCBvZiBWaXJvbG9neTwvZWxl
Y3Ryb25pYy1yZXNvdXJjZS1udW0+PC9yZWNvcmQ+PC9DaXRlPjxDaXRlPjxBdXRob3I+SG9wcGU8
L0F1dGhvcj48WWVhcj4yMDE1PC9ZZWFyPjxSZWNOdW0+OTA8L1JlY051bT48cmVjb3JkPjxyZWMt
bnVtYmVyPjkwPC9yZWMtbnVtYmVyPjxmb3JlaWduLWtleXM+PGtleSBhcHA9IkVOIiBkYi1pZD0i
dmVyd2UyZnhqNWZldjdlcGZ6OHh0ZHZlejAyNWZlc2V6ZTB6IiB0aW1lc3RhbXA9IjE3MzMyNzUx
MTYiPjkwPC9rZXk+PC9mb3JlaWduLWtleXM+PHJlZi10eXBlIG5hbWU9IkpvdXJuYWwgQXJ0aWNs
ZSI+MTc8L3JlZi10eXBlPjxjb250cmlidXRvcnM+PGF1dGhvcnM+PGF1dGhvcj5Ib3BwZSwgRWls
ZWVuPC9hdXRob3I+PGF1dGhvcj5QYXVseSwgTWF1ZGU8L2F1dGhvcj48YXV0aG9yPkdpbGxlc3Bp
ZSwgVGhvbWFzIFIuPC9hdXRob3I+PGF1dGhvcj5Ba291YS1Lb2ZmaSwgQ2hhbnRhbDwvYXV0aG9y
PjxhdXRob3I+SG9obWFubiwgR290dGZyaWVkPC9hdXRob3I+PGF1dGhvcj5GcnV0aCwgQmFyYmFy
YTwvYXV0aG9yPjxhdXRob3I+S2FyaGVtZXJlLCBTdG9teTwvYXV0aG9yPjxhdXRob3I+TWFkaW5k
YSwgTmFkw6hnZSBGLjwvYXV0aG9yPjxhdXRob3I+TXVnaXNoYSwgTGF3cmVuY2U8L2F1dGhvcj48
YXV0aG9yPk11eWVtYmUsIEplYW4tSmFjcXVlczwvYXV0aG9yPjxhdXRob3I+VG9kZCwgQW5nZWxp
cXVlPC9hdXRob3I+PGF1dGhvcj5QZXRyemVsa292YSwgS2xhcmEgSi48L2F1dGhvcj48YXV0aG9y
PkdyYXksIE1hcnlrZTwvYXV0aG9yPjxhdXRob3I+Um9iYmlucywgTWFydGhhPC9hdXRob3I+PGF1
dGhvcj5CZXJnbCwgUmljaGFyZCBBLjwvYXV0aG9yPjxhdXRob3I+V2l0dGlnLCBSb21hbiBNLjwv
YXV0aG9yPjxhdXRob3I+WnViZXJiw7xobGVyLCBLbGF1czwvYXV0aG9yPjxhdXRob3I+Qm9lc2No
LCBDaHJpc3RvcGhlPC9hdXRob3I+PGF1dGhvcj5TY2h1YmVydCwgR3JpdDwvYXV0aG9yPjxhdXRo
b3I+TGVlbmRlcnR6LCBGYWJpYW4gSC48L2F1dGhvcj48YXV0aG9yPkVobGVycywgQmVybmhhcmQ8
L2F1dGhvcj48YXV0aG9yPkNhbHZpZ25hYy1TcGVuY2VyLCBTw6liYXN0aWVuPC9hdXRob3I+PC9h
dXRob3JzPjwvY29udHJpYnV0b3JzPjx0aXRsZXM+PHRpdGxlPk11bHRpcGxlIENyb3NzLVNwZWNp
ZXMgVHJhbnNtaXNzaW9uIEV2ZW50cyBvZiBIdW1hbiBBZGVub3ZpcnVzZXMgKEhBZFYpIGR1cmlu
ZyBIb21pbmluZSBFdm9sdXRpb248L3RpdGxlPjxzZWNvbmRhcnktdGl0bGU+TW9sZWN1bGFyIEJp
b2xvZ3kgYW5kIEV2b2x1dGlvbjwvc2Vjb25kYXJ5LXRpdGxlPjwvdGl0bGVzPjxwZXJpb2RpY2Fs
PjxmdWxsLXRpdGxlPk1vbGVjdWxhciBCaW9sb2d5IGFuZCBFdm9sdXRpb248L2Z1bGwtdGl0bGU+
PC9wZXJpb2RpY2FsPjxwYWdlcz4yMDcyLTIwODQ8L3BhZ2VzPjx2b2x1bWU+MzI8L3ZvbHVtZT48
bnVtYmVyPjg8L251bWJlcj48ZGF0ZXM+PHllYXI+MjAxNTwveWVhcj48L2RhdGVzPjxpc2JuPjA3
MzctNDAzODwvaXNibj48dXJscz48cmVsYXRlZC11cmxzPjx1cmw+aHR0cHM6Ly9kb2kub3JnLzEw
LjEwOTMvbW9sYmV2L21zdjA5MDwvdXJsPjwvcmVsYXRlZC11cmxzPjwvdXJscz48ZWxlY3Ryb25p
Yy1yZXNvdXJjZS1udW0+MTAuMTA5My9tb2xiZXYvbXN2MDkwICVKIE1vbGVjdWxhciBCaW9sb2d5
IGFuZCBFdm9sdXRpb248L2VsZWN0cm9uaWMtcmVzb3VyY2UtbnVtPjxhY2Nlc3MtZGF0ZT4xMS8y
My8yMDIwPC9hY2Nlc3MtZGF0ZT48L3JlY29yZD48L0NpdGU+PC9FbmROb3RlPgB=
</w:fldData>
        </w:fldChar>
      </w:r>
      <w:r w:rsidR="002219B9">
        <w:rPr>
          <w:rFonts w:cs="Calibri"/>
          <w:szCs w:val="22"/>
        </w:rPr>
        <w:instrText xml:space="preserve"> ADDIN EN.CITE </w:instrText>
      </w:r>
      <w:r w:rsidR="002219B9">
        <w:rPr>
          <w:rFonts w:cs="Calibri"/>
          <w:szCs w:val="22"/>
        </w:rPr>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MjAxNWEpPC9EaXNwbGF5VGV4dD48cmVjb3JkPjxyZWMtbnVtYmVyPjg3PC9yZWMtbnVtYmVyPjxm
b3JlaWduLWtleXM+PGtleSBhcHA9IkVOIiBkYi1pZD0idmVyd2UyZnhqNWZldjdlcGZ6OHh0ZHZl
ejAyNWZlc2V6ZTB6IiB0aW1lc3RhbXA9IjE3MzMyNzUxMTYiPjg3PC9rZXk+PC9mb3JlaWduLWtl
eXM+PHJlZi10eXBlIG5hbWU9IkpvdXJuYWwgQXJ0aWNsZSI+MTc8L3JlZi10eXBlPjxjb250cmli
dXRvcnM+PGF1dGhvcnM+PGF1dGhvcj5IYXJ1aSwgQS48L2F1dGhvcj48YXV0aG9yPlN1enVraSwg
Uy48L2F1dGhvcj48YXV0aG9yPktvY2hhbmVrLCBTLjwvYXV0aG9yPjxhdXRob3I+TWl0YW5pLCBL
LjwvYXV0aG9yPjwvYXV0aG9ycz48L2NvbnRyaWJ1dG9ycz48dGl0bGVzPjx0aXRsZT5GcmVxdWVu
Y3kgYW5kIHN0YWJpbGl0eSBvZiBjaHJvbW9zb21hbCBpbnRlZ3JhdGlvbiBvZiBhZGVub3ZpcnVz
IHZlY3RvcnM8L3RpdGxlPjxzZWNvbmRhcnktdGl0bGU+Sm91cm5hbCBvZiB2aXJvbG9neTwvc2Vj
b25kYXJ5LXRpdGxlPjxhbHQtdGl0bGU+SiBWaXJvbDwvYWx0LXRpdGxlPjwvdGl0bGVzPjxwZXJp
b2RpY2FsPjxmdWxsLXRpdGxlPkpvdXJuYWwgb2YgVmlyb2xvZ3k8L2Z1bGwtdGl0bGU+PC9wZXJp
b2RpY2FsPjxhbHQtcGVyaW9kaWNhbD48ZnVsbC10aXRsZT5KIFZpcm9sPC9mdWxsLXRpdGxlPjwv
YWx0LXBlcmlvZGljYWw+PHBhZ2VzPjYxNDEtNjE0NjwvcGFnZXM+PHZvbHVtZT43Mzwvdm9sdW1l
PjxudW1iZXI+NzwvbnVtYmVyPjxrZXl3b3Jkcz48a2V5d29yZD4zVDMgQ2VsbHM8L2tleXdvcmQ+
PGtleXdvcmQ+QWRlbm92aXJ1cyBFMSBQcm90ZWlucy9nZW5ldGljczwva2V5d29yZD48a2V5d29y
ZD5BZGVub3ZpcnVzZXMsIEh1bWFuLypnZW5ldGljczwva2V5d29yZD48a2V5d29yZD5BbmltYWxz
PC9rZXl3b3JkPjxrZXl3b3JkPkNITyBDZWxsczwva2V5d29yZD48a2V5d29yZD5DT1MgQ2VsbHM8
L2tleXdvcmQ+PGtleXdvcmQ+Q2VsbCBMaW5lPC9rZXl3b3JkPjxrZXl3b3JkPkNobG9yb2NlYnVz
IGFldGhpb3BzPC9rZXl3b3JkPjxrZXl3b3JkPkNyaWNldGluYWU8L2tleXdvcmQ+PGtleXdvcmQ+
R2VuZSBFeHByZXNzaW9uPC9rZXl3b3JkPjxrZXl3b3JkPkdlbmV0aWMgVmVjdG9ycy8qZ2VuZXRp
Y3M8L2tleXdvcmQ+PGtleXdvcmQ+SGVMYSBDZWxsczwva2V5d29yZD48a2V5d29yZD5IZWxwZXIg
VmlydXNlczwva2V5d29yZD48a2V5d29yZD5IdW1hbnM8L2tleXdvcmQ+PGtleXdvcmQ+TWljZTwv
a2V5d29yZD48a2V5d29yZD5WZXJvIENlbGxzPC9rZXl3b3JkPjxrZXl3b3JkPipWaXJ1cyBJbnRl
Z3JhdGlvbjwva2V5d29yZD48L2tleXdvcmRzPjxkYXRlcz48eWVhcj4xOTk5PC95ZWFyPjwvZGF0
ZXM+PHB1Ymxpc2hlcj5BbWVyaWNhbiBTb2NpZXR5IGZvciBNaWNyb2Jpb2xvZ3k8L3B1Ymxpc2hl
cj48aXNibj4wMDIyLTUzOFgmI3hEOzEwOTgtNTUxNDwvaXNibj48YWNjZXNzaW9uLW51bT4xMDM2
NDM3MzwvYWNjZXNzaW9uLW51bT48dXJscz48cmVsYXRlZC11cmxzPjx1cmw+aHR0cHM6Ly9wdWJt
ZWQubmNiaS5ubG0ubmloLmdvdi8xMDM2NDM3MzwvdXJsPjx1cmw+aHR0cHM6Ly93d3cubmNiaS5u
bG0ubmloLmdvdi9wbWMvYXJ0aWNsZXMvUE1DMTEyNjgyLzwvdXJsPjwvcmVsYXRlZC11cmxzPjwv
dXJscz48ZWxlY3Ryb25pYy1yZXNvdXJjZS1udW0+MTAuMTEyOC9KVkkuNzMuNy42MTQxLTYxNDYu
MTk5OTwvZWxlY3Ryb25pYy1yZXNvdXJjZS1udW0+PHJlbW90ZS1kYXRhYmFzZS1uYW1lPlB1Yk1l
ZDwvcmVtb3RlLWRhdGFiYXNlLW5hbWU+PGxhbmd1YWdlPmVuZzwvbGFuZ3VhZ2U+PC9yZWNvcmQ+
PC9DaXRlPjxDaXRlPjxBdXRob3I+RGVzZmFyZ2VzPC9BdXRob3I+PFllYXI+MjAxMjwvWWVhcj48
UmVjTnVtPjg4PC9SZWNOdW0+PHJlY29yZD48cmVjLW51bWJlcj44ODwvcmVjLW51bWJlcj48Zm9y
ZWlnbi1rZXlzPjxrZXkgYXBwPSJFTiIgZGItaWQ9InZlcndlMmZ4ajVmZXY3ZXBmejh4dGR2ZXow
MjVmZXNlemUweiIgdGltZXN0YW1wPSIxNzMzMjc1MTE2Ij44ODwva2V5PjwvZm9yZWlnbi1rZXlz
PjxyZWYtdHlwZSBuYW1lPSJCb29rIFNlY3Rpb24iPjU8L3JlZi10eXBlPjxjb250cmlidXRvcnM+
PGF1dGhvcnM+PGF1dGhvcj5EZXNmYXJnZXMsIFPDqWJhc3RpZW48L2F1dGhvcj48YXV0aG9yPkNp
dWZmaSwgQW5nZWxhPC9hdXRob3I+PC9hdXRob3JzPjxzZWNvbmRhcnktYXV0aG9ycz48YXV0aG9y
PldpdHphbnksIEfDvG50aGVyPC9hdXRob3I+PC9zZWNvbmRhcnktYXV0aG9ycz48L2NvbnRyaWJ1
dG9ycz48dGl0bGVzPjx0aXRsZT5WaXJhbCBJbnRlZ3JhdGlvbiBhbmQgQ29uc2VxdWVuY2VzIG9u
IEhvc3QgR2VuZSBFeHByZXNzaW9uPC90aXRsZT48c2Vjb25kYXJ5LXRpdGxlPlZpcnVzZXM6IEVz
c2VudGlhbCBBZ2VudHMgb2YgTGlmZTwvc2Vjb25kYXJ5LXRpdGxlPjwvdGl0bGVzPjxwYWdlcz4x
NDctMTc1PC9wYWdlcz48ZGF0ZXM+PHllYXI+MjAxMjwveWVhcj48L2RhdGVzPjxwdWItbG9jYXRp
b24+RG9yZHJlY2h0PC9wdWItbG9jYXRpb24+PHB1Ymxpc2hlcj5TcHJpbmdlciBOZXRoZXJsYW5k
czwvcHVibGlzaGVyPjxpc2JuPjk3OC05NC0wMDctNDg5OS02PC9pc2JuPjxsYWJlbD5EZXNmYXJn
ZXMyMDEyPC9sYWJlbD48dXJscz48cmVsYXRlZC11cmxzPjx1cmw+aHR0cHM6Ly9kb2kub3JnLzEw
LjEwMDcvOTc4LTk0LTAwNy00ODk5LTZfNzwvdXJsPjwvcmVsYXRlZC11cmxzPjwvdXJscz48ZWxl
Y3Ryb25pYy1yZXNvdXJjZS1udW0+MTAuMTAwNy85NzgtOTQtMDA3LTQ4OTktNl83PC9lbGVjdHJv
bmljLXJlc291cmNlLW51bT48L3JlY29yZD48L0NpdGU+PENpdGU+PEF1dGhvcj5EZWhnaGFuPC9B
dXRob3I+PFllYXI+MjAxOTwvWWVhcj48UmVjTnVtPjg5PC9SZWNOdW0+PHJlY29yZD48cmVjLW51
bWJlcj44OTwvcmVjLW51bWJlcj48Zm9yZWlnbi1rZXlzPjxrZXkgYXBwPSJFTiIgZGItaWQ9InZl
cndlMmZ4ajVmZXY3ZXBmejh4dGR2ZXowMjVmZXNlemUweiIgdGltZXN0YW1wPSIxNzMzMjc1MTE2
Ij44OTwva2V5PjwvZm9yZWlnbi1rZXlzPjxyZWYtdHlwZSBuYW1lPSJKb3VybmFsIEFydGljbGUi
PjE3PC9yZWYtdHlwZT48Y29udHJpYnV0b3JzPjxhdXRob3JzPjxhdXRob3I+RGVoZ2hhbiwgU2hv
YWxlaDwvYXV0aG9yPjxhdXRob3I+U2V0bywgSmFzb248L2F1dGhvcj48YXV0aG9yPkxpdSwgRWxp
emFiZXRoIEIuPC9hdXRob3I+PGF1dGhvcj5Jc21haWwsIEFzaHJhZmFsaSBNLjwvYXV0aG9yPjxh
dXRob3I+TWFkdXB1LCBSYW1hbmE8L2F1dGhvcj48YXV0aG9yPkhlaW0sIEFsYmVydDwvYXV0aG9y
PjxhdXRob3I+Sm9uZXMsIE1vcnJpcyBTLjwvYXV0aG9yPjxhdXRob3I+RHllciwgRGF2aWQgVy48
L2F1dGhvcj48YXV0aG9yPkNob2Rvc2gsIEphbWVzPC9hdXRob3I+PGF1dGhvcj5TZXRvLCBEb25h
bGQ8L2F1dGhvcj48L2F1dGhvcnM+PC9jb250cmlidXRvcnM+PHRpdGxlcz48dGl0bGU+QSBab29u
b3RpYyBBZGVub3ZpcmFsIEh1bWFuIFBhdGhvZ2VuIEVtZXJnZWQgdGhyb3VnaCBHZW5vbWljIFJl
Y29tYmluYXRpb24gYW1vbmcgSHVtYW4gYW5kIE5vbmh1bWFuIFNpbWlhbiBIb3N0czwvdGl0bGU+
PC90aXRsZXM+PHBhZ2VzPmUwMDU2NC0xOTwvcGFnZXM+PHZvbHVtZT45Mzwvdm9sdW1lPjxudW1i
ZXI+MTg8L251bWJlcj48ZGF0ZXM+PHllYXI+MjAxOTwveWVhcj48L2RhdGVzPjx1cmxzPjxyZWxh
dGVkLXVybHM+PHVybD5odHRwczovL2p2aS5hc20ub3JnL2NvbnRlbnQvanZpLzkzLzE4L2UwMDU2
NC0xOS5mdWxsLnBkZjwvdXJsPjwvcmVsYXRlZC11cmxzPjwvdXJscz48ZWxlY3Ryb25pYy1yZXNv
dXJjZS1udW0+MTAuMTEyOC9KVkkuMDA1NjQtMTkgJUogSm91cm5hbCBvZiBWaXJvbG9neTwvZWxl
Y3Ryb25pYy1yZXNvdXJjZS1udW0+PC9yZWNvcmQ+PC9DaXRlPjxDaXRlPjxBdXRob3I+SG9wcGU8
L0F1dGhvcj48WWVhcj4yMDE1PC9ZZWFyPjxSZWNOdW0+OTA8L1JlY051bT48cmVjb3JkPjxyZWMt
bnVtYmVyPjkwPC9yZWMtbnVtYmVyPjxmb3JlaWduLWtleXM+PGtleSBhcHA9IkVOIiBkYi1pZD0i
dmVyd2UyZnhqNWZldjdlcGZ6OHh0ZHZlejAyNWZlc2V6ZTB6IiB0aW1lc3RhbXA9IjE3MzMyNzUx
MTYiPjkwPC9rZXk+PC9mb3JlaWduLWtleXM+PHJlZi10eXBlIG5hbWU9IkpvdXJuYWwgQXJ0aWNs
ZSI+MTc8L3JlZi10eXBlPjxjb250cmlidXRvcnM+PGF1dGhvcnM+PGF1dGhvcj5Ib3BwZSwgRWls
ZWVuPC9hdXRob3I+PGF1dGhvcj5QYXVseSwgTWF1ZGU8L2F1dGhvcj48YXV0aG9yPkdpbGxlc3Bp
ZSwgVGhvbWFzIFIuPC9hdXRob3I+PGF1dGhvcj5Ba291YS1Lb2ZmaSwgQ2hhbnRhbDwvYXV0aG9y
PjxhdXRob3I+SG9obWFubiwgR290dGZyaWVkPC9hdXRob3I+PGF1dGhvcj5GcnV0aCwgQmFyYmFy
YTwvYXV0aG9yPjxhdXRob3I+S2FyaGVtZXJlLCBTdG9teTwvYXV0aG9yPjxhdXRob3I+TWFkaW5k
YSwgTmFkw6hnZSBGLjwvYXV0aG9yPjxhdXRob3I+TXVnaXNoYSwgTGF3cmVuY2U8L2F1dGhvcj48
YXV0aG9yPk11eWVtYmUsIEplYW4tSmFjcXVlczwvYXV0aG9yPjxhdXRob3I+VG9kZCwgQW5nZWxp
cXVlPC9hdXRob3I+PGF1dGhvcj5QZXRyemVsa292YSwgS2xhcmEgSi48L2F1dGhvcj48YXV0aG9y
PkdyYXksIE1hcnlrZTwvYXV0aG9yPjxhdXRob3I+Um9iYmlucywgTWFydGhhPC9hdXRob3I+PGF1
dGhvcj5CZXJnbCwgUmljaGFyZCBBLjwvYXV0aG9yPjxhdXRob3I+V2l0dGlnLCBSb21hbiBNLjwv
YXV0aG9yPjxhdXRob3I+WnViZXJiw7xobGVyLCBLbGF1czwvYXV0aG9yPjxhdXRob3I+Qm9lc2No
LCBDaHJpc3RvcGhlPC9hdXRob3I+PGF1dGhvcj5TY2h1YmVydCwgR3JpdDwvYXV0aG9yPjxhdXRo
b3I+TGVlbmRlcnR6LCBGYWJpYW4gSC48L2F1dGhvcj48YXV0aG9yPkVobGVycywgQmVybmhhcmQ8
L2F1dGhvcj48YXV0aG9yPkNhbHZpZ25hYy1TcGVuY2VyLCBTw6liYXN0aWVuPC9hdXRob3I+PC9h
dXRob3JzPjwvY29udHJpYnV0b3JzPjx0aXRsZXM+PHRpdGxlPk11bHRpcGxlIENyb3NzLVNwZWNp
ZXMgVHJhbnNtaXNzaW9uIEV2ZW50cyBvZiBIdW1hbiBBZGVub3ZpcnVzZXMgKEhBZFYpIGR1cmlu
ZyBIb21pbmluZSBFdm9sdXRpb248L3RpdGxlPjxzZWNvbmRhcnktdGl0bGU+TW9sZWN1bGFyIEJp
b2xvZ3kgYW5kIEV2b2x1dGlvbjwvc2Vjb25kYXJ5LXRpdGxlPjwvdGl0bGVzPjxwZXJpb2RpY2Fs
PjxmdWxsLXRpdGxlPk1vbGVjdWxhciBCaW9sb2d5IGFuZCBFdm9sdXRpb248L2Z1bGwtdGl0bGU+
PC9wZXJpb2RpY2FsPjxwYWdlcz4yMDcyLTIwODQ8L3BhZ2VzPjx2b2x1bWU+MzI8L3ZvbHVtZT48
bnVtYmVyPjg8L251bWJlcj48ZGF0ZXM+PHllYXI+MjAxNTwveWVhcj48L2RhdGVzPjxpc2JuPjA3
MzctNDAzODwvaXNibj48dXJscz48cmVsYXRlZC11cmxzPjx1cmw+aHR0cHM6Ly9kb2kub3JnLzEw
LjEwOTMvbW9sYmV2L21zdjA5MDwvdXJsPjwvcmVsYXRlZC11cmxzPjwvdXJscz48ZWxlY3Ryb25p
Yy1yZXNvdXJjZS1udW0+MTAuMTA5My9tb2xiZXYvbXN2MDkwICVKIE1vbGVjdWxhciBCaW9sb2d5
IGFuZCBFdm9sdXRpb248L2VsZWN0cm9uaWMtcmVzb3VyY2UtbnVtPjxhY2Nlc3MtZGF0ZT4xMS8y
My8yMDIwPC9hY2Nlc3MtZGF0ZT48L3JlY29yZD48L0NpdGU+PC9FbmROb3RlPgB=
</w:fldData>
        </w:fldChar>
      </w:r>
      <w:r w:rsidR="002219B9">
        <w:rPr>
          <w:rFonts w:cs="Calibri"/>
          <w:szCs w:val="22"/>
        </w:rPr>
        <w:instrText xml:space="preserve"> ADDIN EN.CITE.DATA </w:instrText>
      </w:r>
      <w:r w:rsidR="002219B9">
        <w:rPr>
          <w:rFonts w:cs="Calibri"/>
          <w:szCs w:val="22"/>
        </w:rPr>
      </w:r>
      <w:r w:rsidR="002219B9">
        <w:rPr>
          <w:rFonts w:cs="Calibri"/>
          <w:szCs w:val="22"/>
        </w:rPr>
        <w:fldChar w:fldCharType="end"/>
      </w:r>
      <w:r w:rsidR="00BD2A96">
        <w:rPr>
          <w:rFonts w:cs="Calibri"/>
          <w:szCs w:val="22"/>
        </w:rPr>
      </w:r>
      <w:r w:rsidR="00BD2A96">
        <w:rPr>
          <w:rFonts w:cs="Calibri"/>
          <w:szCs w:val="22"/>
        </w:rPr>
        <w:fldChar w:fldCharType="separate"/>
      </w:r>
      <w:r w:rsidR="002219B9">
        <w:rPr>
          <w:rFonts w:cs="Calibri"/>
          <w:noProof/>
          <w:szCs w:val="22"/>
        </w:rPr>
        <w:t>(</w:t>
      </w:r>
      <w:hyperlink w:anchor="_ENREF_21" w:tooltip="Dehghan, 2019 #89" w:history="1">
        <w:r w:rsidR="0027195B">
          <w:rPr>
            <w:rFonts w:cs="Calibri"/>
            <w:noProof/>
            <w:szCs w:val="22"/>
          </w:rPr>
          <w:t>Dehghan et al., 2019</w:t>
        </w:r>
      </w:hyperlink>
      <w:r w:rsidR="002219B9">
        <w:rPr>
          <w:rFonts w:cs="Calibri"/>
          <w:noProof/>
          <w:szCs w:val="22"/>
        </w:rPr>
        <w:t xml:space="preserve">; </w:t>
      </w:r>
      <w:hyperlink w:anchor="_ENREF_22" w:tooltip="Desfarges, 2012 #88" w:history="1">
        <w:r w:rsidR="0027195B">
          <w:rPr>
            <w:rFonts w:cs="Calibri"/>
            <w:noProof/>
            <w:szCs w:val="22"/>
          </w:rPr>
          <w:t>Desfarges and Ciuffi, 2012</w:t>
        </w:r>
      </w:hyperlink>
      <w:r w:rsidR="002219B9">
        <w:rPr>
          <w:rFonts w:cs="Calibri"/>
          <w:noProof/>
          <w:szCs w:val="22"/>
        </w:rPr>
        <w:t xml:space="preserve">; </w:t>
      </w:r>
      <w:hyperlink w:anchor="_ENREF_34" w:tooltip="Harui, 1999 #87" w:history="1">
        <w:r w:rsidR="0027195B">
          <w:rPr>
            <w:rFonts w:cs="Calibri"/>
            <w:noProof/>
            <w:szCs w:val="22"/>
          </w:rPr>
          <w:t>Harui et al., 1999</w:t>
        </w:r>
      </w:hyperlink>
      <w:r w:rsidR="002219B9">
        <w:rPr>
          <w:rFonts w:cs="Calibri"/>
          <w:noProof/>
          <w:szCs w:val="22"/>
        </w:rPr>
        <w:t xml:space="preserve">; </w:t>
      </w:r>
      <w:hyperlink w:anchor="_ENREF_37" w:tooltip="Hoppe, 2015 #90" w:history="1">
        <w:r w:rsidR="0027195B">
          <w:rPr>
            <w:rFonts w:cs="Calibri"/>
            <w:noProof/>
            <w:szCs w:val="22"/>
          </w:rPr>
          <w:t>Hoppe et al., 2015a</w:t>
        </w:r>
      </w:hyperlink>
      <w:r w:rsidR="002219B9">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p>
    <w:p w14:paraId="7CC91355" w14:textId="54A6FB5B" w:rsidR="00A0296C" w:rsidRPr="00A27FD2" w:rsidRDefault="002C3C43" w:rsidP="00A27FD2">
      <w:pPr>
        <w:pStyle w:val="RARMPnumberedparagraphs"/>
        <w:rPr>
          <w:rFonts w:cs="Calibri"/>
          <w:szCs w:val="22"/>
        </w:rPr>
      </w:pPr>
      <w:r w:rsidRPr="00D73A9A">
        <w:rPr>
          <w:rFonts w:cs="Calibri"/>
          <w:szCs w:val="22"/>
        </w:rPr>
        <w:t xml:space="preserve">Where a cell is infected by multiple </w:t>
      </w:r>
      <w:proofErr w:type="spellStart"/>
      <w:r w:rsidR="00AF1831" w:rsidRPr="00D73A9A">
        <w:rPr>
          <w:rFonts w:cs="Calibri"/>
          <w:szCs w:val="22"/>
        </w:rPr>
        <w:t>A</w:t>
      </w:r>
      <w:r w:rsidR="007400CF">
        <w:rPr>
          <w:rFonts w:cs="Calibri"/>
          <w:szCs w:val="22"/>
        </w:rPr>
        <w:t>d</w:t>
      </w:r>
      <w:r w:rsidR="00AF1831" w:rsidRPr="00D73A9A">
        <w:rPr>
          <w:rFonts w:cs="Calibri"/>
          <w:szCs w:val="22"/>
        </w:rPr>
        <w:t>Vs</w:t>
      </w:r>
      <w:proofErr w:type="spellEnd"/>
      <w:r w:rsidR="00AF1831" w:rsidRPr="00D73A9A">
        <w:rPr>
          <w:rFonts w:cs="Calibri"/>
          <w:szCs w:val="22"/>
        </w:rPr>
        <w:t xml:space="preserve">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6F72AC">
        <w:rPr>
          <w:rFonts w:cs="Calibri"/>
          <w:szCs w:val="22"/>
        </w:rPr>
        <w:t>,</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 xml:space="preserve">the molecular evolution of </w:t>
      </w:r>
      <w:proofErr w:type="spellStart"/>
      <w:r w:rsidR="00AF1831" w:rsidRPr="00D73A9A">
        <w:rPr>
          <w:rFonts w:cs="Calibri"/>
          <w:szCs w:val="22"/>
        </w:rPr>
        <w:t>AdVs</w:t>
      </w:r>
      <w:proofErr w:type="spellEnd"/>
      <w:r w:rsidR="008B1707" w:rsidRPr="00D73A9A">
        <w:rPr>
          <w:rFonts w:cs="Calibri"/>
          <w:szCs w:val="22"/>
        </w:rPr>
        <w:t xml:space="preserve"> through </w:t>
      </w:r>
      <w:r w:rsidRPr="00D73A9A">
        <w:rPr>
          <w:rFonts w:cs="Calibri"/>
          <w:szCs w:val="22"/>
        </w:rPr>
        <w:t>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017B58" w:rsidRPr="00D73A9A">
        <w:rPr>
          <w:rFonts w:cs="Calibri"/>
          <w:szCs w:val="22"/>
        </w:rPr>
        <w:t>homology</w:t>
      </w:r>
      <w:r w:rsidR="000C0834">
        <w:rPr>
          <w:rFonts w:cs="Calibri"/>
          <w:szCs w:val="22"/>
        </w:rPr>
        <w:t xml:space="preserve"> </w:t>
      </w:r>
      <w:r w:rsidR="00BD2A96">
        <w:rPr>
          <w:rFonts w:cs="Calibri"/>
          <w:szCs w:val="22"/>
        </w:rPr>
        <w:fldChar w:fldCharType="begin"/>
      </w:r>
      <w:r w:rsidR="00824706">
        <w:rPr>
          <w:rFonts w:cs="Calibri"/>
          <w:szCs w:val="22"/>
        </w:rPr>
        <w:instrText xml:space="preserve"> ADDIN EN.CITE &lt;EndNote&gt;&lt;Cite&gt;&lt;Author&gt;Lukashev&lt;/Author&gt;&lt;Year&gt;2008&lt;/Year&gt;&lt;RecNum&gt;92&lt;/RecNum&gt;&lt;DisplayText&gt;(Lukashev et al., 2008)&lt;/DisplayText&gt;&lt;record&gt;&lt;rec-number&gt;92&lt;/rec-number&gt;&lt;foreign-keys&gt;&lt;key app="EN" db-id="verwe2fxj5fev7epfz8xtdvez025feseze0z" timestamp="1733275116"&gt;92&lt;/key&gt;&lt;/foreign-keys&gt;&lt;ref-type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56" w:tooltip="Lukashev, 2008 #92" w:history="1">
        <w:r w:rsidR="0027195B">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w:t>
      </w:r>
    </w:p>
    <w:p w14:paraId="24A7330B" w14:textId="7A411A6B" w:rsidR="00B412FD" w:rsidRDefault="004D0CE9" w:rsidP="00CC36F3">
      <w:pPr>
        <w:pStyle w:val="RARMPnumberedparagraphs"/>
        <w:rPr>
          <w:rFonts w:cs="Calibri"/>
          <w:szCs w:val="22"/>
        </w:rPr>
      </w:pPr>
      <w:r>
        <w:rPr>
          <w:rFonts w:cs="Calibri"/>
          <w:szCs w:val="22"/>
        </w:rPr>
        <w:t xml:space="preserve">Bioinformatic analysis of </w:t>
      </w:r>
      <w:proofErr w:type="spellStart"/>
      <w:r>
        <w:rPr>
          <w:rFonts w:cs="Calibri"/>
          <w:szCs w:val="22"/>
        </w:rPr>
        <w:t>HAdV</w:t>
      </w:r>
      <w:proofErr w:type="spellEnd"/>
      <w:r>
        <w:rPr>
          <w:rFonts w:cs="Calibri"/>
          <w:szCs w:val="22"/>
        </w:rPr>
        <w:t>-C suggests that homologous recombination in the capsid (</w:t>
      </w:r>
      <w:proofErr w:type="spellStart"/>
      <w:r>
        <w:rPr>
          <w:rFonts w:cs="Calibri"/>
          <w:szCs w:val="22"/>
        </w:rPr>
        <w:t>hexon</w:t>
      </w:r>
      <w:proofErr w:type="spellEnd"/>
      <w:r>
        <w:rPr>
          <w:rFonts w:cs="Calibri"/>
          <w:szCs w:val="22"/>
        </w:rPr>
        <w:t xml:space="preserve">, penton and </w:t>
      </w:r>
      <w:proofErr w:type="spellStart"/>
      <w:r w:rsidRPr="004E271E">
        <w:rPr>
          <w:rFonts w:cs="Calibri"/>
          <w:szCs w:val="22"/>
        </w:rPr>
        <w:t>fiber</w:t>
      </w:r>
      <w:proofErr w:type="spellEnd"/>
      <w:r w:rsidRPr="004E271E">
        <w:rPr>
          <w:rFonts w:cs="Calibri"/>
          <w:szCs w:val="22"/>
        </w:rPr>
        <w:t xml:space="preserve">) and E3 genes </w:t>
      </w:r>
      <w:r w:rsidR="004E271E">
        <w:rPr>
          <w:rFonts w:cs="Calibri"/>
          <w:szCs w:val="22"/>
        </w:rPr>
        <w:t>were</w:t>
      </w:r>
      <w:r w:rsidRPr="004E271E">
        <w:rPr>
          <w:rFonts w:cs="Calibri"/>
          <w:szCs w:val="22"/>
        </w:rPr>
        <w:t xml:space="preserve"> not</w:t>
      </w:r>
      <w:r>
        <w:rPr>
          <w:rFonts w:cs="Calibri"/>
          <w:szCs w:val="22"/>
        </w:rPr>
        <w:t xml:space="preserve"> </w:t>
      </w:r>
      <w:r w:rsidR="0002583C">
        <w:rPr>
          <w:rFonts w:cs="Calibri"/>
          <w:szCs w:val="22"/>
        </w:rPr>
        <w:t xml:space="preserve">common and </w:t>
      </w:r>
      <w:r w:rsidR="00D24350">
        <w:rPr>
          <w:rFonts w:cs="Calibri"/>
          <w:szCs w:val="22"/>
        </w:rPr>
        <w:t>were</w:t>
      </w:r>
      <w:r w:rsidR="004E271E">
        <w:rPr>
          <w:rFonts w:cs="Calibri"/>
          <w:szCs w:val="22"/>
        </w:rPr>
        <w:t xml:space="preserve"> </w:t>
      </w:r>
      <w:r w:rsidR="0002583C">
        <w:rPr>
          <w:rFonts w:cs="Calibri"/>
          <w:szCs w:val="22"/>
        </w:rPr>
        <w:t xml:space="preserve">not </w:t>
      </w:r>
      <w:r>
        <w:rPr>
          <w:rFonts w:cs="Calibri"/>
          <w:szCs w:val="22"/>
        </w:rPr>
        <w:t>major contributor</w:t>
      </w:r>
      <w:r w:rsidR="00D24350">
        <w:rPr>
          <w:rFonts w:cs="Calibri"/>
          <w:szCs w:val="22"/>
        </w:rPr>
        <w:t>s</w:t>
      </w:r>
      <w:r>
        <w:rPr>
          <w:rFonts w:cs="Calibri"/>
          <w:szCs w:val="22"/>
        </w:rPr>
        <w:t xml:space="preserve"> to the diversity seen in </w:t>
      </w:r>
      <w:proofErr w:type="spellStart"/>
      <w:r>
        <w:rPr>
          <w:rFonts w:cs="Calibri"/>
          <w:szCs w:val="22"/>
        </w:rPr>
        <w:t>HAdV</w:t>
      </w:r>
      <w:proofErr w:type="spellEnd"/>
      <w:r>
        <w:rPr>
          <w:rFonts w:cs="Calibri"/>
          <w:szCs w:val="22"/>
        </w:rPr>
        <w:t xml:space="preserve">-C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 </w:instrText>
      </w:r>
      <w:r w:rsidR="000F689C">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EN.CITE.DATA </w:instrText>
      </w:r>
      <w:r w:rsidR="000F689C">
        <w:rPr>
          <w:rFonts w:cs="Calibri"/>
          <w:szCs w:val="22"/>
        </w:rPr>
      </w:r>
      <w:r w:rsidR="000F689C">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27195B">
          <w:rPr>
            <w:rFonts w:cs="Calibri"/>
            <w:noProof/>
            <w:szCs w:val="22"/>
          </w:rPr>
          <w:t>Dhingra et al., 2019</w:t>
        </w:r>
      </w:hyperlink>
      <w:r w:rsidR="00D24350">
        <w:rPr>
          <w:rFonts w:cs="Calibri"/>
          <w:noProof/>
          <w:szCs w:val="22"/>
        </w:rPr>
        <w:t>)</w:t>
      </w:r>
      <w:r w:rsidR="00D24350">
        <w:rPr>
          <w:rFonts w:cs="Calibri"/>
          <w:szCs w:val="22"/>
        </w:rPr>
        <w:fldChar w:fldCharType="end"/>
      </w:r>
      <w:r w:rsidR="00120F6A">
        <w:rPr>
          <w:rFonts w:cs="Calibri"/>
          <w:szCs w:val="22"/>
        </w:rPr>
        <w:t>,</w:t>
      </w:r>
      <w:r w:rsidR="00120F6A" w:rsidRPr="00120F6A">
        <w:rPr>
          <w:rFonts w:cs="Calibri"/>
          <w:szCs w:val="22"/>
        </w:rPr>
        <w:t xml:space="preserve"> </w:t>
      </w:r>
      <w:r w:rsidR="00120F6A">
        <w:rPr>
          <w:rFonts w:cs="Calibri"/>
          <w:szCs w:val="22"/>
        </w:rPr>
        <w:t xml:space="preserve">although </w:t>
      </w:r>
      <w:r w:rsidR="00120F6A" w:rsidRPr="0070333A">
        <w:rPr>
          <w:rFonts w:cs="Calibri"/>
          <w:szCs w:val="22"/>
        </w:rPr>
        <w:t xml:space="preserve">a more recent study </w:t>
      </w:r>
      <w:r w:rsidR="00120F6A">
        <w:rPr>
          <w:rFonts w:cs="Calibri"/>
          <w:szCs w:val="22"/>
        </w:rPr>
        <w:t xml:space="preserve">using </w:t>
      </w:r>
      <w:r w:rsidR="00120F6A" w:rsidRPr="00120F6A">
        <w:rPr>
          <w:rFonts w:cs="Calibri"/>
          <w:szCs w:val="22"/>
        </w:rPr>
        <w:t>phylogenetic analyses</w:t>
      </w:r>
      <w:r w:rsidR="00120F6A">
        <w:rPr>
          <w:rFonts w:cs="Calibri"/>
          <w:szCs w:val="22"/>
        </w:rPr>
        <w:t xml:space="preserve"> demonstrated that</w:t>
      </w:r>
      <w:r w:rsidR="00120F6A" w:rsidRPr="0070333A">
        <w:rPr>
          <w:rFonts w:cs="Calibri"/>
          <w:szCs w:val="22"/>
        </w:rPr>
        <w:t xml:space="preserve"> the E3 </w:t>
      </w:r>
      <w:r w:rsidR="00120F6A">
        <w:rPr>
          <w:rFonts w:cs="Calibri"/>
          <w:szCs w:val="22"/>
        </w:rPr>
        <w:t xml:space="preserve">region </w:t>
      </w:r>
      <w:r w:rsidR="00120F6A" w:rsidRPr="0070333A">
        <w:rPr>
          <w:rFonts w:cs="Calibri"/>
          <w:szCs w:val="22"/>
        </w:rPr>
        <w:t xml:space="preserve">may act as recombination hotspots for </w:t>
      </w:r>
      <w:proofErr w:type="spellStart"/>
      <w:r w:rsidR="00120F6A" w:rsidRPr="0070333A">
        <w:rPr>
          <w:rFonts w:cs="Calibri"/>
          <w:szCs w:val="22"/>
        </w:rPr>
        <w:t>HAdV</w:t>
      </w:r>
      <w:proofErr w:type="spellEnd"/>
      <w:r w:rsidR="00120F6A" w:rsidRPr="0070333A">
        <w:rPr>
          <w:rFonts w:cs="Calibri"/>
          <w:szCs w:val="22"/>
        </w:rPr>
        <w:t xml:space="preserve">-C </w:t>
      </w:r>
      <w:r w:rsidR="00120F6A" w:rsidRPr="0070333A">
        <w:rPr>
          <w:rFonts w:cs="Calibri"/>
          <w:szCs w:val="22"/>
        </w:rPr>
        <w:fldChar w:fldCharType="begin"/>
      </w:r>
      <w:r w:rsidR="00120F6A" w:rsidRPr="0070333A">
        <w:rPr>
          <w:rFonts w:cs="Calibri"/>
          <w:szCs w:val="22"/>
        </w:rPr>
        <w:instrText xml:space="preserve"> ADDIN EN.CITE &lt;EndNote&gt;&lt;Cite&gt;&lt;Author&gt;Fang&lt;/Author&gt;&lt;Year&gt;2024&lt;/Year&gt;&lt;RecNum&gt;92&lt;/RecNum&gt;&lt;DisplayText&gt;(Fang et al., 2024)&lt;/DisplayText&gt;&lt;record&gt;&lt;rec-number&gt;92&lt;/rec-number&gt;&lt;foreign-keys&gt;&lt;key app="EN" db-id="pzsxp9tvnxtsa6ead0bp00pydtwzsetz0vv2" timestamp="1761268457"&gt;92&lt;/key&gt;&lt;/foreign-keys&gt;&lt;ref-type name="Journal Article"&gt;17&lt;/ref-type&gt;&lt;contributors&gt;&lt;authors&gt;&lt;author&gt;Fang, Bin&lt;/author&gt;&lt;author&gt;Lai, Juan&lt;/author&gt;&lt;author&gt;Liu, Yongfeng&lt;/author&gt;&lt;author&gt;Liu, Lin-lin&lt;/author&gt;&lt;author&gt;Yu, Xiao&lt;/author&gt;&lt;author&gt;Li, Xiang&lt;/author&gt;&lt;author&gt;Ke, Haili&lt;/author&gt;&lt;author&gt;Zhang, Xianfeng&lt;/author&gt;&lt;author&gt;Zhang, Xin&lt;/author&gt;&lt;/authors&gt;&lt;/contributors&gt;&lt;titles&gt;&lt;title&gt;Hybrid sequencing for detailed genetic characterization of human adenoviruses&lt;/title&gt;&lt;secondary-title&gt;Scientific Reports&lt;/secondary-title&gt;&lt;/titles&gt;&lt;periodical&gt;&lt;full-title&gt;Scientific Reports&lt;/full-title&gt;&lt;/periodical&gt;&lt;pages&gt;29490&lt;/pages&gt;&lt;volume&gt;14&lt;/volume&gt;&lt;number&gt;1&lt;/number&gt;&lt;dates&gt;&lt;year&gt;2024&lt;/year&gt;&lt;pub-dates&gt;&lt;date&gt;2024/11/27&lt;/date&gt;&lt;/pub-dates&gt;&lt;/dates&gt;&lt;isbn&gt;2045-2322&lt;/isbn&gt;&lt;urls&gt;&lt;related-urls&gt;&lt;url&gt;https://doi.org/10.1038/s41598-024-78960-9&lt;/url&gt;&lt;/related-urls&gt;&lt;/urls&gt;&lt;electronic-resource-num&gt;10.1038/s41598-024-78960-9&lt;/electronic-resource-num&gt;&lt;/record&gt;&lt;/Cite&gt;&lt;/EndNote&gt;</w:instrText>
      </w:r>
      <w:r w:rsidR="00120F6A" w:rsidRPr="0070333A">
        <w:rPr>
          <w:rFonts w:cs="Calibri"/>
          <w:szCs w:val="22"/>
        </w:rPr>
        <w:fldChar w:fldCharType="separate"/>
      </w:r>
      <w:r w:rsidR="00120F6A" w:rsidRPr="0070333A">
        <w:rPr>
          <w:rFonts w:cs="Calibri"/>
          <w:szCs w:val="22"/>
        </w:rPr>
        <w:t>(</w:t>
      </w:r>
      <w:hyperlink w:anchor="_ENREF_26" w:tooltip="Fang, 2024 #92" w:history="1">
        <w:r w:rsidR="0027195B" w:rsidRPr="002219B9">
          <w:rPr>
            <w:rFonts w:cs="Calibri"/>
            <w:szCs w:val="22"/>
          </w:rPr>
          <w:t>Fang et al., 2024</w:t>
        </w:r>
      </w:hyperlink>
      <w:r w:rsidR="00120F6A" w:rsidRPr="0070333A">
        <w:rPr>
          <w:rFonts w:cs="Calibri"/>
          <w:szCs w:val="22"/>
        </w:rPr>
        <w:t>)</w:t>
      </w:r>
      <w:r w:rsidR="00120F6A" w:rsidRPr="0070333A">
        <w:rPr>
          <w:rFonts w:cs="Calibri"/>
          <w:szCs w:val="22"/>
        </w:rPr>
        <w:fldChar w:fldCharType="end"/>
      </w:r>
      <w:r w:rsidR="00805F9C">
        <w:rPr>
          <w:rFonts w:cs="Calibri"/>
          <w:szCs w:val="22"/>
        </w:rPr>
        <w:t>.</w:t>
      </w:r>
      <w:r w:rsidR="00B412FD">
        <w:rPr>
          <w:rFonts w:cs="Calibri"/>
          <w:szCs w:val="22"/>
        </w:rPr>
        <w:t xml:space="preserve"> </w:t>
      </w:r>
      <w:r w:rsidR="00B412FD" w:rsidRPr="00B412FD">
        <w:rPr>
          <w:rFonts w:cs="Calibri"/>
          <w:szCs w:val="22"/>
        </w:rPr>
        <w:t xml:space="preserve">The </w:t>
      </w:r>
      <w:proofErr w:type="spellStart"/>
      <w:r w:rsidR="00B412FD" w:rsidRPr="00B412FD">
        <w:rPr>
          <w:rFonts w:cs="Calibri"/>
          <w:szCs w:val="22"/>
        </w:rPr>
        <w:t>hexon</w:t>
      </w:r>
      <w:proofErr w:type="spellEnd"/>
      <w:r w:rsidR="00B412FD" w:rsidRPr="00B412FD">
        <w:rPr>
          <w:rFonts w:cs="Calibri"/>
          <w:szCs w:val="22"/>
        </w:rPr>
        <w:t xml:space="preserve"> protein is a major constituent of the viral capsid and is suggested to be critical for the development of </w:t>
      </w:r>
      <w:proofErr w:type="spellStart"/>
      <w:r w:rsidR="00C67260">
        <w:rPr>
          <w:rFonts w:cs="Calibri"/>
          <w:szCs w:val="22"/>
        </w:rPr>
        <w:t>AdV</w:t>
      </w:r>
      <w:proofErr w:type="spellEnd"/>
      <w:r w:rsidR="00C67260" w:rsidRPr="00B412FD">
        <w:rPr>
          <w:rFonts w:cs="Calibri"/>
          <w:szCs w:val="22"/>
        </w:rPr>
        <w:t xml:space="preserve"> </w:t>
      </w:r>
      <w:r w:rsidR="00B412FD" w:rsidRPr="00B412FD">
        <w:rPr>
          <w:rFonts w:cs="Calibri"/>
          <w:szCs w:val="22"/>
        </w:rPr>
        <w:t xml:space="preserve">vaccines </w:t>
      </w:r>
      <w:r w:rsidR="003208BB">
        <w:rPr>
          <w:rFonts w:cs="Calibri"/>
          <w:szCs w:val="22"/>
        </w:rPr>
        <w:t xml:space="preserve">or therapeutics </w:t>
      </w:r>
      <w:r w:rsidR="00B412FD" w:rsidRPr="00B412FD">
        <w:rPr>
          <w:rFonts w:cs="Calibri"/>
          <w:szCs w:val="22"/>
        </w:rPr>
        <w:t xml:space="preserve">by forming the serum neutralisation epitope; the penton and </w:t>
      </w:r>
      <w:proofErr w:type="spellStart"/>
      <w:r w:rsidR="00B412FD" w:rsidRPr="00B412FD">
        <w:rPr>
          <w:rFonts w:cs="Calibri"/>
          <w:szCs w:val="22"/>
        </w:rPr>
        <w:t>fib</w:t>
      </w:r>
      <w:r w:rsidR="003F6085">
        <w:rPr>
          <w:rFonts w:cs="Calibri"/>
          <w:szCs w:val="22"/>
        </w:rPr>
        <w:t>er</w:t>
      </w:r>
      <w:proofErr w:type="spellEnd"/>
      <w:r w:rsidR="00B412FD" w:rsidRPr="00B412FD">
        <w:rPr>
          <w:rFonts w:cs="Calibri"/>
          <w:szCs w:val="22"/>
        </w:rPr>
        <w:t xml:space="preserve"> proteins are responsible for host cell binding and internalisation; and the E3 proteins facilitate immune evasion by the virus </w:t>
      </w:r>
      <w:r w:rsidR="00B412FD" w:rsidRPr="00B412FD">
        <w:rPr>
          <w:rFonts w:cs="Calibri"/>
          <w:szCs w:val="22"/>
        </w:rPr>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5B0F2F">
        <w:rPr>
          <w:rFonts w:cs="Calibri"/>
          <w:szCs w:val="22"/>
        </w:rPr>
        <w:instrText xml:space="preserve"> ADDIN EN.CITE </w:instrText>
      </w:r>
      <w:r w:rsidR="005B0F2F">
        <w:rPr>
          <w:rFonts w:cs="Calibri"/>
          <w:szCs w:val="22"/>
        </w:rPr>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5B0F2F">
        <w:rPr>
          <w:rFonts w:cs="Calibri"/>
          <w:szCs w:val="22"/>
        </w:rPr>
        <w:instrText xml:space="preserve"> ADDIN EN.CITE.DATA </w:instrText>
      </w:r>
      <w:r w:rsidR="005B0F2F">
        <w:rPr>
          <w:rFonts w:cs="Calibri"/>
          <w:szCs w:val="22"/>
        </w:rPr>
      </w:r>
      <w:r w:rsidR="005B0F2F">
        <w:rPr>
          <w:rFonts w:cs="Calibri"/>
          <w:szCs w:val="22"/>
        </w:rPr>
        <w:fldChar w:fldCharType="end"/>
      </w:r>
      <w:r w:rsidR="00B412FD" w:rsidRPr="00B412FD">
        <w:rPr>
          <w:rFonts w:cs="Calibri"/>
          <w:szCs w:val="22"/>
        </w:rPr>
      </w:r>
      <w:r w:rsidR="00B412FD" w:rsidRPr="00B412FD">
        <w:rPr>
          <w:rFonts w:cs="Calibri"/>
          <w:szCs w:val="22"/>
        </w:rPr>
        <w:fldChar w:fldCharType="separate"/>
      </w:r>
      <w:r w:rsidR="005B0F2F">
        <w:rPr>
          <w:rFonts w:cs="Calibri"/>
          <w:noProof/>
          <w:szCs w:val="22"/>
        </w:rPr>
        <w:t>(</w:t>
      </w:r>
      <w:hyperlink w:anchor="_ENREF_42" w:tooltip="Ismail, 2018 #56" w:history="1">
        <w:r w:rsidR="0027195B">
          <w:rPr>
            <w:rFonts w:cs="Calibri"/>
            <w:noProof/>
            <w:szCs w:val="22"/>
          </w:rPr>
          <w:t>Ismail et al., 2018b</w:t>
        </w:r>
      </w:hyperlink>
      <w:r w:rsidR="005B0F2F">
        <w:rPr>
          <w:rFonts w:cs="Calibri"/>
          <w:noProof/>
          <w:szCs w:val="22"/>
        </w:rPr>
        <w:t xml:space="preserve">; </w:t>
      </w:r>
      <w:hyperlink w:anchor="_ENREF_75" w:tooltip="Robinson, 2011 #67" w:history="1">
        <w:r w:rsidR="0027195B">
          <w:rPr>
            <w:rFonts w:cs="Calibri"/>
            <w:noProof/>
            <w:szCs w:val="22"/>
          </w:rPr>
          <w:t>Robinson et al., 2011</w:t>
        </w:r>
      </w:hyperlink>
      <w:r w:rsidR="005B0F2F">
        <w:rPr>
          <w:rFonts w:cs="Calibri"/>
          <w:noProof/>
          <w:szCs w:val="22"/>
        </w:rPr>
        <w:t>)</w:t>
      </w:r>
      <w:r w:rsidR="00B412FD" w:rsidRPr="00B412FD">
        <w:rPr>
          <w:rFonts w:cs="Calibri"/>
          <w:szCs w:val="22"/>
        </w:rPr>
        <w:fldChar w:fldCharType="end"/>
      </w:r>
      <w:r w:rsidR="00B412FD" w:rsidRPr="00B412FD">
        <w:rPr>
          <w:rFonts w:cs="Calibri"/>
          <w:szCs w:val="22"/>
        </w:rPr>
        <w:t xml:space="preserve">. </w:t>
      </w:r>
      <w:r w:rsidR="00B412FD">
        <w:rPr>
          <w:rFonts w:cs="Calibri"/>
          <w:szCs w:val="22"/>
        </w:rPr>
        <w:t>The lack of h</w:t>
      </w:r>
      <w:r w:rsidR="00B412FD" w:rsidRPr="00B412FD">
        <w:rPr>
          <w:rFonts w:cs="Calibri"/>
          <w:szCs w:val="22"/>
        </w:rPr>
        <w:t>omologous recombination in the</w:t>
      </w:r>
      <w:r w:rsidR="00C95B9E">
        <w:rPr>
          <w:rFonts w:cs="Calibri"/>
          <w:szCs w:val="22"/>
        </w:rPr>
        <w:t xml:space="preserve"> capsid and E3 genes</w:t>
      </w:r>
      <w:r w:rsidR="00B412FD" w:rsidRPr="00B412FD">
        <w:rPr>
          <w:rFonts w:cs="Calibri"/>
          <w:szCs w:val="22"/>
        </w:rPr>
        <w:t xml:space="preserve"> </w:t>
      </w:r>
      <w:r w:rsidR="00B412FD">
        <w:rPr>
          <w:rFonts w:cs="Calibri"/>
          <w:szCs w:val="22"/>
        </w:rPr>
        <w:t xml:space="preserve">of </w:t>
      </w:r>
      <w:proofErr w:type="spellStart"/>
      <w:r w:rsidR="00B412FD">
        <w:rPr>
          <w:rFonts w:cs="Calibri"/>
          <w:szCs w:val="22"/>
        </w:rPr>
        <w:t>HAdV</w:t>
      </w:r>
      <w:proofErr w:type="spellEnd"/>
      <w:r w:rsidR="00B412FD">
        <w:rPr>
          <w:rFonts w:cs="Calibri"/>
          <w:szCs w:val="22"/>
        </w:rPr>
        <w:t xml:space="preserve">-C reduces the likelihood of </w:t>
      </w:r>
      <w:proofErr w:type="spellStart"/>
      <w:r w:rsidR="00B412FD">
        <w:rPr>
          <w:rFonts w:cs="Calibri"/>
          <w:szCs w:val="22"/>
        </w:rPr>
        <w:t>HAdV</w:t>
      </w:r>
      <w:proofErr w:type="spellEnd"/>
      <w:r w:rsidR="00B412FD">
        <w:rPr>
          <w:rFonts w:cs="Calibri"/>
          <w:szCs w:val="22"/>
        </w:rPr>
        <w:t xml:space="preserve">-C </w:t>
      </w:r>
      <w:r w:rsidR="00B412FD" w:rsidRPr="00B412FD">
        <w:rPr>
          <w:rFonts w:cs="Calibri"/>
          <w:szCs w:val="22"/>
        </w:rPr>
        <w:t>alter</w:t>
      </w:r>
      <w:r w:rsidR="00C67260">
        <w:rPr>
          <w:rFonts w:cs="Calibri"/>
          <w:szCs w:val="22"/>
        </w:rPr>
        <w:t>ing</w:t>
      </w:r>
      <w:r w:rsidR="00B412FD">
        <w:rPr>
          <w:rFonts w:cs="Calibri"/>
          <w:szCs w:val="22"/>
        </w:rPr>
        <w:t xml:space="preserve"> its </w:t>
      </w:r>
      <w:r w:rsidR="00B412FD" w:rsidRPr="00B412FD">
        <w:rPr>
          <w:rFonts w:cs="Calibri"/>
          <w:szCs w:val="22"/>
        </w:rPr>
        <w:t xml:space="preserve">cell tropism </w:t>
      </w:r>
      <w:r w:rsidR="00B412FD">
        <w:rPr>
          <w:rFonts w:cs="Calibri"/>
          <w:szCs w:val="22"/>
        </w:rPr>
        <w:t xml:space="preserve">and </w:t>
      </w:r>
      <w:r w:rsidR="00F725E8">
        <w:rPr>
          <w:rFonts w:cs="Calibri"/>
          <w:szCs w:val="22"/>
        </w:rPr>
        <w:t xml:space="preserve">of </w:t>
      </w:r>
      <w:r w:rsidR="002E113A">
        <w:rPr>
          <w:rFonts w:cs="Calibri"/>
          <w:szCs w:val="22"/>
        </w:rPr>
        <w:t>alter</w:t>
      </w:r>
      <w:r w:rsidR="00F725E8">
        <w:rPr>
          <w:rFonts w:cs="Calibri"/>
          <w:szCs w:val="22"/>
        </w:rPr>
        <w:t>ing</w:t>
      </w:r>
      <w:r w:rsidR="002E113A">
        <w:rPr>
          <w:rFonts w:cs="Calibri"/>
          <w:szCs w:val="22"/>
        </w:rPr>
        <w:t xml:space="preserve"> </w:t>
      </w:r>
      <w:r w:rsidR="00B412FD">
        <w:rPr>
          <w:rFonts w:cs="Calibri"/>
          <w:szCs w:val="22"/>
        </w:rPr>
        <w:t>it</w:t>
      </w:r>
      <w:r w:rsidR="00B412FD" w:rsidRPr="00B412FD">
        <w:rPr>
          <w:rFonts w:cs="Calibri"/>
          <w:szCs w:val="22"/>
        </w:rPr>
        <w:t>s ability to evade the immune system</w:t>
      </w:r>
      <w:r w:rsidR="00B412FD">
        <w:rPr>
          <w:rFonts w:cs="Calibri"/>
          <w:szCs w:val="22"/>
        </w:rPr>
        <w:t>.</w:t>
      </w:r>
    </w:p>
    <w:p w14:paraId="412343FD" w14:textId="613EE1F9" w:rsidR="002B3270" w:rsidRPr="00A27FD2" w:rsidRDefault="00441138" w:rsidP="002B3270">
      <w:pPr>
        <w:pStyle w:val="RARMPnumberedparagraphs"/>
        <w:rPr>
          <w:rFonts w:cs="Calibri"/>
          <w:szCs w:val="22"/>
        </w:rPr>
      </w:pPr>
      <w:r>
        <w:rPr>
          <w:rFonts w:cs="Calibri"/>
          <w:szCs w:val="22"/>
        </w:rPr>
        <w:t xml:space="preserve">In addition, bioinformatic analysis also showed very low sequence diversity in the minor capsid proteins (IIIa, V, VI, VII, VIII and IX), suggesting that these proteins are well conserved between all </w:t>
      </w:r>
      <w:proofErr w:type="spellStart"/>
      <w:r>
        <w:rPr>
          <w:rFonts w:cs="Calibri"/>
          <w:szCs w:val="22"/>
        </w:rPr>
        <w:t>HAdV</w:t>
      </w:r>
      <w:proofErr w:type="spellEnd"/>
      <w:r>
        <w:rPr>
          <w:rFonts w:cs="Calibri"/>
          <w:szCs w:val="22"/>
        </w:rPr>
        <w:t>-C</w:t>
      </w:r>
      <w:r w:rsidR="00F725E8">
        <w:rPr>
          <w:rFonts w:cs="Calibri"/>
          <w:szCs w:val="22"/>
        </w:rPr>
        <w:t xml:space="preserve"> s</w:t>
      </w:r>
      <w:r w:rsidR="00FE220C">
        <w:rPr>
          <w:rFonts w:cs="Calibri"/>
          <w:szCs w:val="22"/>
        </w:rPr>
        <w:t>erotypes</w:t>
      </w:r>
      <w:r>
        <w:rPr>
          <w:rFonts w:cs="Calibri"/>
          <w:szCs w:val="22"/>
        </w:rPr>
        <w:t xml:space="preserve">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 </w:instrText>
      </w:r>
      <w:r w:rsidR="000F689C">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EN.CITE.DATA </w:instrText>
      </w:r>
      <w:r w:rsidR="000F689C">
        <w:rPr>
          <w:rFonts w:cs="Calibri"/>
          <w:szCs w:val="22"/>
        </w:rPr>
      </w:r>
      <w:r w:rsidR="000F689C">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27195B">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 xml:space="preserve">. However, genome analysis of 51 circulating species </w:t>
      </w:r>
      <w:proofErr w:type="spellStart"/>
      <w:r>
        <w:rPr>
          <w:rFonts w:cs="Calibri"/>
          <w:szCs w:val="22"/>
        </w:rPr>
        <w:t>HAdV</w:t>
      </w:r>
      <w:proofErr w:type="spellEnd"/>
      <w:r>
        <w:rPr>
          <w:rFonts w:cs="Calibri"/>
          <w:szCs w:val="22"/>
        </w:rPr>
        <w:t xml:space="preserve">-C </w:t>
      </w:r>
      <w:r>
        <w:rPr>
          <w:rFonts w:cs="Calibri"/>
          <w:szCs w:val="22"/>
        </w:rPr>
        <w:lastRenderedPageBreak/>
        <w:t xml:space="preserve">revealed that the evolution of </w:t>
      </w:r>
      <w:proofErr w:type="spellStart"/>
      <w:r>
        <w:rPr>
          <w:rFonts w:cs="Calibri"/>
          <w:szCs w:val="22"/>
        </w:rPr>
        <w:t>HAdV</w:t>
      </w:r>
      <w:proofErr w:type="spellEnd"/>
      <w:r>
        <w:rPr>
          <w:rFonts w:cs="Calibri"/>
          <w:szCs w:val="22"/>
        </w:rPr>
        <w:t xml:space="preserve">-C may be the result of recombination events in the early genes (e.g. E1 and E4)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 </w:instrText>
      </w:r>
      <w:r w:rsidR="000F689C">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EN.CITE.DATA </w:instrText>
      </w:r>
      <w:r w:rsidR="000F689C">
        <w:rPr>
          <w:rFonts w:cs="Calibri"/>
          <w:szCs w:val="22"/>
        </w:rPr>
      </w:r>
      <w:r w:rsidR="000F689C">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27195B">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w:t>
      </w:r>
      <w:r w:rsidR="00B412FD">
        <w:rPr>
          <w:rFonts w:cs="Calibri"/>
          <w:szCs w:val="22"/>
        </w:rPr>
        <w:t xml:space="preserve"> </w:t>
      </w:r>
      <w:r w:rsidR="002B3270">
        <w:rPr>
          <w:rFonts w:cs="Calibri"/>
          <w:szCs w:val="22"/>
        </w:rPr>
        <w:t>Bio</w:t>
      </w:r>
      <w:r w:rsidR="002B3270" w:rsidRPr="00E52B4D">
        <w:rPr>
          <w:rFonts w:cs="Calibri"/>
          <w:szCs w:val="22"/>
        </w:rPr>
        <w:t>informatic</w:t>
      </w:r>
      <w:r w:rsidR="002B3270">
        <w:rPr>
          <w:rFonts w:cs="Calibri"/>
          <w:szCs w:val="22"/>
        </w:rPr>
        <w:t>s</w:t>
      </w:r>
      <w:r w:rsidR="002B3270" w:rsidRPr="00E52B4D">
        <w:rPr>
          <w:rFonts w:cs="Calibri"/>
          <w:szCs w:val="22"/>
        </w:rPr>
        <w:t xml:space="preserve"> analysis </w:t>
      </w:r>
      <w:r w:rsidR="002B3270">
        <w:rPr>
          <w:rFonts w:cs="Calibri"/>
          <w:szCs w:val="22"/>
        </w:rPr>
        <w:t xml:space="preserve">also </w:t>
      </w:r>
      <w:r w:rsidR="002B3270" w:rsidRPr="00E52B4D">
        <w:rPr>
          <w:rFonts w:cs="Calibri"/>
          <w:szCs w:val="22"/>
        </w:rPr>
        <w:t xml:space="preserve">suggested </w:t>
      </w:r>
      <w:r w:rsidR="002B3270">
        <w:rPr>
          <w:rFonts w:cs="Calibri"/>
          <w:szCs w:val="22"/>
        </w:rPr>
        <w:t xml:space="preserve">that HAdV-E4, a species E </w:t>
      </w:r>
      <w:proofErr w:type="spellStart"/>
      <w:r w:rsidR="002B3270">
        <w:rPr>
          <w:rFonts w:cs="Calibri"/>
          <w:szCs w:val="22"/>
        </w:rPr>
        <w:t>AdV</w:t>
      </w:r>
      <w:proofErr w:type="spellEnd"/>
      <w:r w:rsidR="002B3270">
        <w:rPr>
          <w:rFonts w:cs="Calibri"/>
          <w:szCs w:val="22"/>
        </w:rPr>
        <w:t xml:space="preserve">, was a result of a </w:t>
      </w:r>
      <w:r w:rsidR="002B3270" w:rsidRPr="00E52B4D">
        <w:rPr>
          <w:rFonts w:cs="Calibri"/>
          <w:szCs w:val="22"/>
        </w:rPr>
        <w:t xml:space="preserve">recombination event between species B and </w:t>
      </w:r>
      <w:r w:rsidR="002B3270" w:rsidRPr="00D73A9A">
        <w:rPr>
          <w:rFonts w:cs="Calibri"/>
          <w:szCs w:val="22"/>
        </w:rPr>
        <w:t>C</w:t>
      </w:r>
      <w:r w:rsidR="002B3270">
        <w:rPr>
          <w:rFonts w:cs="Calibri"/>
          <w:szCs w:val="22"/>
        </w:rPr>
        <w:t xml:space="preserve"> </w:t>
      </w:r>
      <w:r w:rsidR="002B3270">
        <w:rPr>
          <w:rFonts w:cs="Calibri"/>
          <w:szCs w:val="22"/>
        </w:rPr>
        <w:fldChar w:fldCharType="begin"/>
      </w:r>
      <w:r w:rsidR="002B3270">
        <w:rPr>
          <w:rFonts w:cs="Calibri"/>
          <w:szCs w:val="22"/>
        </w:rPr>
        <w:instrText xml:space="preserve"> ADDIN EN.CITE &lt;EndNote&gt;&lt;Cite&gt;&lt;Author&gt;Gruber&lt;/Author&gt;&lt;Year&gt;1993&lt;/Year&gt;&lt;RecNum&gt;93&lt;/RecNum&gt;&lt;DisplayText&gt;(Gruber et al., 1993)&lt;/DisplayText&gt;&lt;record&gt;&lt;rec-number&gt;93&lt;/rec-number&gt;&lt;foreign-keys&gt;&lt;key app="EN" db-id="verwe2fxj5fev7epfz8xtdvez025feseze0z" timestamp="1733275116"&gt;93&lt;/key&gt;&lt;/foreign-keys&gt;&lt;ref-type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2B3270">
        <w:rPr>
          <w:rFonts w:cs="Calibri"/>
          <w:szCs w:val="22"/>
        </w:rPr>
        <w:fldChar w:fldCharType="separate"/>
      </w:r>
      <w:r w:rsidR="002B3270">
        <w:rPr>
          <w:rFonts w:cs="Calibri"/>
          <w:noProof/>
          <w:szCs w:val="22"/>
        </w:rPr>
        <w:t>(</w:t>
      </w:r>
      <w:hyperlink w:anchor="_ENREF_33" w:tooltip="Gruber, 1993 #93" w:history="1">
        <w:r w:rsidR="0027195B">
          <w:rPr>
            <w:rFonts w:cs="Calibri"/>
            <w:noProof/>
            <w:szCs w:val="22"/>
          </w:rPr>
          <w:t>Gruber et al., 1993</w:t>
        </w:r>
      </w:hyperlink>
      <w:r w:rsidR="002B3270">
        <w:rPr>
          <w:rFonts w:cs="Calibri"/>
          <w:noProof/>
          <w:szCs w:val="22"/>
        </w:rPr>
        <w:t>)</w:t>
      </w:r>
      <w:r w:rsidR="002B3270">
        <w:rPr>
          <w:rFonts w:cs="Calibri"/>
          <w:szCs w:val="22"/>
        </w:rPr>
        <w:fldChar w:fldCharType="end"/>
      </w:r>
      <w:r w:rsidR="002B3270">
        <w:rPr>
          <w:rFonts w:cs="Calibri"/>
          <w:szCs w:val="22"/>
        </w:rPr>
        <w:t xml:space="preserve">. </w:t>
      </w:r>
    </w:p>
    <w:p w14:paraId="33E3C0D5" w14:textId="54E45D02" w:rsidR="00FA0361" w:rsidRPr="00D73A9A" w:rsidRDefault="00311516" w:rsidP="00FA0361">
      <w:pPr>
        <w:pStyle w:val="3RARMP"/>
      </w:pPr>
      <w:bookmarkStart w:id="157" w:name="_Toc219281392"/>
      <w:bookmarkStart w:id="158" w:name="_Ref32244989"/>
      <w:bookmarkStart w:id="159" w:name="_Ref32507204"/>
      <w:bookmarkStart w:id="160" w:name="_Toc53666214"/>
      <w:bookmarkStart w:id="161" w:name="_Toc53675475"/>
      <w:r w:rsidRPr="00D73A9A">
        <w:t>Epidemiology</w:t>
      </w:r>
      <w:bookmarkStart w:id="162" w:name="_Toc53666217"/>
      <w:bookmarkStart w:id="163" w:name="_Toc53675478"/>
      <w:bookmarkEnd w:id="157"/>
    </w:p>
    <w:p w14:paraId="5F6A9823" w14:textId="2A525716" w:rsidR="00943D21" w:rsidRPr="00D73A9A" w:rsidRDefault="00943D21" w:rsidP="00321D13">
      <w:pPr>
        <w:pStyle w:val="4RARMP"/>
        <w:rPr>
          <w:shd w:val="clear" w:color="auto" w:fill="FFFFFF"/>
        </w:rPr>
      </w:pPr>
      <w:bookmarkStart w:id="164" w:name="_Ref216339978"/>
      <w:r w:rsidRPr="00D73A9A">
        <w:rPr>
          <w:shd w:val="clear" w:color="auto" w:fill="FFFFFF"/>
        </w:rPr>
        <w:t>Host range and transmissibility</w:t>
      </w:r>
      <w:bookmarkEnd w:id="164"/>
    </w:p>
    <w:p w14:paraId="63A94BF9" w14:textId="70E2083A" w:rsidR="00EB20ED" w:rsidRPr="0025285F" w:rsidRDefault="00B92B65" w:rsidP="0025285F">
      <w:pPr>
        <w:pStyle w:val="RARMPnumberedparagraphs"/>
        <w:rPr>
          <w:rFonts w:cs="Calibri"/>
          <w:szCs w:val="22"/>
        </w:rPr>
      </w:pPr>
      <w:r w:rsidRPr="00B92B65">
        <w:rPr>
          <w:szCs w:val="22"/>
        </w:rPr>
        <w:t xml:space="preserve">Humans are the natural host for </w:t>
      </w:r>
      <w:proofErr w:type="spellStart"/>
      <w:r w:rsidRPr="00B92B65">
        <w:rPr>
          <w:szCs w:val="22"/>
        </w:rPr>
        <w:t>HAdVs</w:t>
      </w:r>
      <w:proofErr w:type="spellEnd"/>
      <w:r w:rsidRPr="00B92B65">
        <w:rPr>
          <w:szCs w:val="22"/>
        </w:rPr>
        <w:t xml:space="preserve"> and most do not infect animals via natural routes </w:t>
      </w:r>
      <w:r w:rsidRPr="00B92B65">
        <w:rPr>
          <w:szCs w:val="22"/>
        </w:rPr>
        <w:fldChar w:fldCharType="begin"/>
      </w:r>
      <w:r w:rsidRPr="00B92B65">
        <w:rPr>
          <w:szCs w:val="22"/>
        </w:rPr>
        <w:instrText xml:space="preserve"> ADDIN EN.CITE &lt;EndNote&gt;&lt;Cite&gt;&lt;Author&gt;Liaci&lt;/Author&gt;&lt;Year&gt;2025&lt;/Year&gt;&lt;RecNum&gt;97&lt;/RecNum&gt;&lt;DisplayText&gt;(Liaci et al., 2025)&lt;/DisplayText&gt;&lt;record&gt;&lt;rec-number&gt;97&lt;/rec-number&gt;&lt;foreign-keys&gt;&lt;key app="EN" db-id="pzsxp9tvnxtsa6ead0bp00pydtwzsetz0vv2" timestamp="1761285020"&gt;97&lt;/key&gt;&lt;/foreign-keys&gt;&lt;ref-type name="Journal Article"&gt;17&lt;/ref-type&gt;&lt;contributors&gt;&lt;authors&gt;&lt;author&gt;Liaci, A. Manuel&lt;/author&gt;&lt;author&gt;Chandra, Naresh&lt;/author&gt;&lt;author&gt;Vodnala, Sharvani Munender&lt;/author&gt;&lt;author&gt;Strebl, Michael&lt;/author&gt;&lt;author&gt;Kumar, Pravin&lt;/author&gt;&lt;author&gt;Pfenning, Vanessa&lt;/author&gt;&lt;author&gt;Bachmann, Paul&lt;/author&gt;&lt;author&gt;Caraballo, Rémi&lt;/author&gt;&lt;author&gt;Chai, Wengang&lt;/author&gt;&lt;author&gt;Johansson, Emil&lt;/author&gt;&lt;author&gt;Elofsson, Mikael&lt;/author&gt;&lt;author&gt;Feizi, Ten&lt;/author&gt;&lt;author&gt;Liu, Yan&lt;/author&gt;&lt;author&gt;Stehle, Thilo&lt;/author&gt;&lt;author&gt;Arnberg, Niklas&lt;/author&gt;&lt;/authors&gt;&lt;/contributors&gt;&lt;titles&gt;&lt;title&gt;Extended receptor repertoire of an adenovirus associated with human obesity&lt;/title&gt;&lt;secondary-title&gt;PLOS Pathogens&lt;/secondary-title&gt;&lt;/titles&gt;&lt;periodical&gt;&lt;full-title&gt;PLOS Pathogens&lt;/full-title&gt;&lt;/periodical&gt;&lt;pages&gt;e1012892&lt;/pages&gt;&lt;volume&gt;21&lt;/volume&gt;&lt;number&gt;1&lt;/number&gt;&lt;dates&gt;&lt;year&gt;2025&lt;/year&gt;&lt;/dates&gt;&lt;publisher&gt;Public Library of Science&lt;/publisher&gt;&lt;urls&gt;&lt;related-urls&gt;&lt;url&gt;https://doi.org/10.1371/journal.ppat.1012892&lt;/url&gt;&lt;/related-urls&gt;&lt;/urls&gt;&lt;electronic-resource-num&gt;10.1371/journal.ppat.1012892&lt;/electronic-resource-num&gt;&lt;/record&gt;&lt;/Cite&gt;&lt;/EndNote&gt;</w:instrText>
      </w:r>
      <w:r w:rsidRPr="00B92B65">
        <w:rPr>
          <w:szCs w:val="22"/>
        </w:rPr>
        <w:fldChar w:fldCharType="separate"/>
      </w:r>
      <w:r w:rsidRPr="00B92B65">
        <w:rPr>
          <w:szCs w:val="22"/>
        </w:rPr>
        <w:t>(</w:t>
      </w:r>
      <w:hyperlink w:anchor="_ENREF_52" w:tooltip="Liaci, 2025 #97" w:history="1">
        <w:r w:rsidR="0027195B" w:rsidRPr="002219B9">
          <w:rPr>
            <w:szCs w:val="22"/>
          </w:rPr>
          <w:t>Liaci et al., 2025</w:t>
        </w:r>
      </w:hyperlink>
      <w:r w:rsidRPr="00B92B65">
        <w:rPr>
          <w:szCs w:val="22"/>
        </w:rPr>
        <w:t>)</w:t>
      </w:r>
      <w:r w:rsidRPr="00B92B65">
        <w:rPr>
          <w:szCs w:val="22"/>
        </w:rPr>
        <w:fldChar w:fldCharType="end"/>
      </w:r>
      <w:r w:rsidRPr="00B92B65">
        <w:rPr>
          <w:szCs w:val="22"/>
        </w:rPr>
        <w:t xml:space="preserve">. Although there is evidence to suggest that </w:t>
      </w:r>
      <w:proofErr w:type="spellStart"/>
      <w:r w:rsidRPr="00B92B65">
        <w:rPr>
          <w:szCs w:val="22"/>
        </w:rPr>
        <w:t>AdVs</w:t>
      </w:r>
      <w:proofErr w:type="spellEnd"/>
      <w:r w:rsidRPr="00B92B65">
        <w:rPr>
          <w:szCs w:val="22"/>
        </w:rPr>
        <w:t xml:space="preserve"> have crossed the host species barrier especially between human and non-human primates, this is considered a rare event </w:t>
      </w:r>
      <w:r w:rsidRPr="00B92B65">
        <w:rPr>
          <w:szCs w:val="22"/>
        </w:rPr>
        <w:fldChar w:fldCharType="begin">
          <w:fldData xml:space="preserve">PEVuZE5vdGU+PENpdGU+PEF1dGhvcj5Ib3BwZTwvQXV0aG9yPjxZZWFyPjIwMTU8L1llYXI+PFJl
Y051bT44NDwvUmVjTnVtPjxEaXNwbGF5VGV4dD4oQm9ya2VuaGFnZW4gZXQgYWwuLCAyMDE5OyBI
b3BwZSBldCBhbC4sIDIwMTViKTwvRGlzcGxheVRleHQ+PHJlY29yZD48cmVjLW51bWJlcj44NDwv
cmVjLW51bWJlcj48Zm9yZWlnbi1rZXlzPjxrZXkgYXBwPSJFTiIgZGItaWQ9InB6c3hwOXR2bnh0
c2E2ZWFkMGJwMDBweWR0d3pzZXR6MHZ2MiIgdGltZXN0YW1wPSIxNzYxMjU5NDg2Ij44NDwva2V5
PjwvZm9yZWlnbi1rZXlzPjxyZWYtdHlwZSBuYW1lPSJKb3VybmFsIEFydGljbGUiPjE3PC9yZWYt
dHlwZT48Y29udHJpYnV0b3JzPjxhdXRob3JzPjxhdXRob3I+SG9wcGUsIEUuPC9hdXRob3I+PGF1
dGhvcj5QYXVseSwgTS48L2F1dGhvcj48YXV0aG9yPkdpbGxlc3BpZSwgVC4gUi48L2F1dGhvcj48
YXV0aG9yPkFrb3VhLUtvZmZpLCBDLjwvYXV0aG9yPjxhdXRob3I+SG9obWFubiwgRy48L2F1dGhv
cj48YXV0aG9yPkZydXRoLCBCLjwvYXV0aG9yPjxhdXRob3I+S2FyaGVtZXJlLCBTLjwvYXV0aG9y
PjxhdXRob3I+TWFkaW5kYSwgTi4gRi48L2F1dGhvcj48YXV0aG9yPk11Z2lzaGEsIEwuPC9hdXRo
b3I+PGF1dGhvcj5NdXllbWJlLCBKLiBKLjwvYXV0aG9yPjxhdXRob3I+VG9kZCwgQS48L2F1dGhv
cj48YXV0aG9yPlBldHJ6ZWxrb3ZhLCBLLiBKLjwvYXV0aG9yPjxhdXRob3I+R3JheSwgTS48L2F1
dGhvcj48YXV0aG9yPlJvYmJpbnMsIE0uPC9hdXRob3I+PGF1dGhvcj5CZXJnbCwgUi4gQS48L2F1
dGhvcj48YXV0aG9yPldpdHRpZywgUi4gTS48L2F1dGhvcj48YXV0aG9yPlp1YmVyYsO8aGxlciwg
Sy48L2F1dGhvcj48YXV0aG9yPkJvZXNjaCwgQy48L2F1dGhvcj48YXV0aG9yPlNjaHViZXJ0LCBH
LjwvYXV0aG9yPjxhdXRob3I+TGVlbmRlcnR6LCBGLiBILjwvYXV0aG9yPjxhdXRob3I+RWhsZXJz
LCBCLjwvYXV0aG9yPjxhdXRob3I+Q2FsdmlnbmFjLVNwZW5jZXIsIFMuPC9hdXRob3I+PC9hdXRo
b3JzPjwvY29udHJpYnV0b3JzPjxhdXRoLWFkZHJlc3M+RGl2aXNpb24gMTIgJnF1b3Q7TWVhc2xl
cywgTXVtcHMsIFJ1YmVsbGEgYW5kIFZpcnVzZXMgYWZmZWN0aW5nIGltbXVub2NvbXByb21pc2Vk
IHBhdGllbnRzJnF1b3Q7LCBSb2JlcnQgS29jaCBJbnN0aXR1dGUsIEJlcmxpbiwgR2VybWFueS4m
I3hEO0RpdmlzaW9uIDEyICZxdW90O01lYXNsZXMsIE11bXBzLCBSdWJlbGxhIGFuZCBWaXJ1c2Vz
IGFmZmVjdGluZyBpbW11bm9jb21wcm9taXNlZCBwYXRpZW50cyZxdW90OywgUm9iZXJ0IEtvY2gg
SW5zdGl0dXRlLCBCZXJsaW4sIEdlcm1hbnkgRXBpZGVtaW9sb2d5IG9mIGhpZ2hseSBwYXRob2dl
bmljIG1pY3Jvb3JnYW5pc21zLCBSb2JlcnQgS29jaCBJbnN0aXR1dGUsIEJlcmxpbiwgR2VybWFu
eS4mI3hEO0RlcGFydG1lbnQgb2YgRW52aXJvbm1lbnRhbCBTY2llbmNlcyBhbmQgUHJvZ3JhbSBp
biBQb3B1bGF0aW9uIEJpb2xvZ3ksIEVjb2xvZ3kgYW5kIEV2b2x1dGlvbiwgRW1vcnkgVW5pdmVy
c2l0eSBEZXBhcnRtZW50IG9mIEVudmlyb25tZW50YWwgSGVhbHRoLCBSb2xsaW5zIFNjaG9vbCBv
ZiBQdWJsaWMgSGVhbHRoLCBFbW9yeSBVbml2ZXJzaXR5LiYjeEQ7Q2VudHJlIGRlIFJlY2hlcmNo
ZSBwb3VyIGxlIETDqXZlbG9wcGVtZW50LCBVbml2ZXJzaXTDqSBBbGFzc2FuZSBPdWF0dGFyYSBk
ZSBCb3Vha2UsIEJvdWFrZSwgQ8O0dGUgZCZhcG9zO0l2b2lyZS4mI3hEO0RlcGFydG1lbnQgb2Yg
UHJpbWF0b2xvZ3ksIE1heCBQbGFuY2sgSW5zdGl0dXRlIGZvciBFdm9sdXRpb25hcnkgQW50aHJv
cG9sb2d5LCBMZWlwemlnLCBHZXJtYW55LiYjeEQ7RGl2aXNpb24gb2YgTmV1cm9iaW9sb2d5LCBM
dWR3aWctTWF4aW1pbGlhbnMtVW5pdmVyc2l0eSwgTXVuaWNoLCBHZXJtYW55IENlbnRyZSBmb3Ig
UmVzZWFyY2ggYW5kIENvbnNlcnZhdGlvbiwgUm95YWwgWm9vb2xvZ2ljYWwgU29jaWV0eSBvZiBB
bnR3ZXJwLCBBbnR3ZXJwLCBCZWxnaXVtLiYjeEQ7SW5zdGl0dXQgTmF0aW9uYWwgZGUgUmVjaGVy
Y2hlIEJpb23DqWRpY2FsZSwgS2luc2hhc2EsIERlbW9jcmF0aWMgUmVwdWJsaWMgb2YgQ29uZ28u
JiN4RDtFcGlkZW1pb2xvZ3kgb2YgaGlnaGx5IHBhdGhvZ2VuaWMgbWljcm9vcmdhbmlzbXMsIFJv
YmVydCBLb2NoIEluc3RpdHV0ZSwgQmVybGluLCBHZXJtYW55IERlcGFydG1lbnQgb2YgUHJpbWF0
b2xvZ3ksIE1heCBQbGFuY2sgSW5zdGl0dXRlIGZvciBFdm9sdXRpb25hcnkgQW50aHJvcG9sb2d5
LCBMZWlwemlnLCBHZXJtYW55IEluc3RpdHV0IGRlIFJlY2hlcmNoZSBlbiBFY29sb2dpZSBUcm9w
aWNhbGUsIExpYnJldmlsbGUsIEdhYm9uLiYjeEQ7Q29sbGVnZSBvZiBWZXRlcmluYXJ5IE1lZGlj
aW5lLCBBbmltYWwgUmVzb3VyY2VzIGFuZCBCaW9zZWN1cml0eSwgTWFrZXJlcmUgVW5pdmVyc2l0
eSwgS2FtcGFsYSwgVWdhbmRhIENvbnNlcnZhdGlvbiAmYW1wOyBFY29zeXN0ZW0gSGVhbHRoIEFs
bGlhbmNlIChDRUhBKSwgS2FtcGFsYSwgVWdhbmRhLiYjeEQ7V29ybGQgV2lsZGxpZmUgRm91bmRh
dGlvbiAoV1dGKSwgRHphbmdhIFNhbmdoYSBQcm90ZWN0ZWQgQXJlYXMsIEJhbmd1aSwgQ2VudHJh
bCBBZnJpY2FuIFJlcHVibGljLiYjeEQ7SW5zdGl0dXRlIG9mIFZlcnRlYnJhdGUgQmlvbG9neSwg
QWNhZGVteSBvZiBTY2llbmNlcywgQnJubywgQ3plY2ggUmVwdWJsaWMgRGVwYXJ0bWVudCBvZiBQ
YXRob2xvZ3kgYW5kIFBhcmFzaXRvbG9neSwgVW5pdmVyc2l0eSBvZiBWZXRlcmluYXJ5IGFuZCBQ
aGFybWFjZXV0aWNhbCBTY2llbmNlcywgQnJubywgQ3plY2ggUmVwdWJsaWMgQmlvbG9neSBDZW50
cmUsIEluc3RpdHV0ZSBvZiBQYXJhc2l0b2xvZ3ksIEFjYWRlbXkgb2YgU2NpZW5jZXMgb2YgdGhl
IEN6ZWNoIFJlcHVibGljLCBDZXNrZSBCdWRlam92aWNlLCBDemVjaCBSZXB1YmxpYyBMaWJlcmVj
IFpvbywgTGliZXJlYywgQ3plY2ggUmVwdWJsaWMuJiN4RDtJbnRlcm5hdGlvbmFsIEdvcmlsbGEg
Q29uc2VydmF0aW9uIFByb2dyYW0sIEtpZ2FsaSwgUndhbmRhLiYjeEQ7Tm9ydGggQ2Fyb2xpbmEg
Wm9vbG9naWNhbCBQYXJrLCBBc2hlYm9ybywgTkMuJiN4RDtEZXBhcnRtZW50IG9mIFByaW1hdG9s
b2d5LCBNYXggUGxhbmNrIEluc3RpdHV0ZSBmb3IgRXZvbHV0aW9uYXJ5IEFudGhyb3BvbG9neSwg
TGVpcHppZywgR2VybWFueSBUYcOvIENoaW1wYW56ZWUgUHJvamVjdCwgQ2VudHJlIFN1aXNzZSBk
ZSBSZWNoZXJjaGVzIFNjaWVudGlmaXF1ZXMsIEFiaWRqYW4sIEPDtHRlIGQmYXBvcztJdm9pcmUu
JiN4RDtJbnN0aXR1dGUgb2YgQmlvbG9neSwgVW5pdmVyc2l0eSBvZiBOZXVjaGF0ZWwsIE5ldWNo
YXRlbCwgU3dpdHplcmxhbmQgQnVkb25nbyBDb25zZXJ2YXRpb24gRmllbGQgU3RhdGlvbiwgTWFz
aW5kaSwgVWdhbmRhIFNjaG9vbCBvZiBQc3ljaG9sb2d5LCBVbml2ZXJzaXR5IG9mIFN0LiBBbmRy
ZXdzLCBTdC4gQW5kcmV3cywgU2NvdGxhbmQsIFVuaXRlZCBLaW5nZG9tLiYjeEQ7RXBpZGVtaW9s
b2d5IG9mIGhpZ2hseSBwYXRob2dlbmljIG1pY3Jvb3JnYW5pc21zLCBSb2JlcnQgS29jaCBJbnN0
aXR1dGUsIEJlcmxpbiwgR2VybWFueS4mI3hEO0RpdmlzaW9uIDEyICZxdW90O01lYXNsZXMsIE11
bXBzLCBSdWJlbGxhIGFuZCBWaXJ1c2VzIGFmZmVjdGluZyBpbW11bm9jb21wcm9taXNlZCBwYXRp
ZW50cyZxdW90OywgUm9iZXJ0IEtvY2ggSW5zdGl0dXRlLCBCZXJsaW4sIEdlcm1hbnkgY2Fsdmln
bmFjc0Bya2kuZGUgZWhsZXJzYkBya2kuZGUuJiN4RDtFcGlkZW1pb2xvZ3kgb2YgaGlnaGx5IHBh
dGhvZ2VuaWMgbWljcm9vcmdhbmlzbXMsIFJvYmVydCBLb2NoIEluc3RpdHV0ZSwgQmVybGluLCBH
ZXJtYW55IGNhbHZpZ25hY3NAcmtpLmRlIGVobGVyc2JAcmtpLmRlLjwvYXV0aC1hZGRyZXNzPjx0
aXRsZXM+PHRpdGxlPk11bHRpcGxlIENyb3NzLVNwZWNpZXMgVHJhbnNtaXNzaW9uIEV2ZW50cyBv
ZiBIdW1hbiBBZGVub3ZpcnVzZXMgKEhBZFYpIGR1cmluZyBIb21pbmluZSBFdm9sdXRpb248L3Rp
dGxlPjxzZWNvbmRhcnktdGl0bGU+TW9sIEJpb2wgRXZvbDwvc2Vjb25kYXJ5LXRpdGxlPjwvdGl0
bGVzPjxwZXJpb2RpY2FsPjxmdWxsLXRpdGxlPk1vbCBCaW9sIEV2b2w8L2Z1bGwtdGl0bGU+PC9w
ZXJpb2RpY2FsPjxwYWdlcz4yMDcyLTg0PC9wYWdlcz48dm9sdW1lPjMyPC92b2x1bWU+PG51bWJl
cj44PC9udW1iZXI+PGVkaXRpb24+MjAxNTA0MDk8L2VkaXRpb24+PGtleXdvcmRzPjxrZXl3b3Jk
PipBZGVub3ZpcmlkYWUvZ2VuZXRpY3MvcGF0aG9nZW5pY2l0eTwva2V5d29yZD48a2V5d29yZD4q
QWRlbm92aXJpZGFlIEluZmVjdGlvbnMvZ2VuZXRpY3MvdHJhbnNtaXNzaW9uPC9rZXl3b3JkPjxr
ZXl3b3JkPkFuaW1hbHM8L2tleXdvcmQ+PGtleXdvcmQ+KkV2b2x1dGlvbiwgTW9sZWN1bGFyPC9r
ZXl3b3JkPjxrZXl3b3JkPkhvbWluaWRhZS8qdmlyb2xvZ3k8L2tleXdvcmQ+PGtleXdvcmQ+SHVt
YW5zPC9rZXl3b3JkPjxrZXl3b3JkPlNwZWNpZXMgU3BlY2lmaWNpdHk8L2tleXdvcmQ+PGtleXdv
cmQ+Wm9vbm9zZXMvZ2VuZXRpY3MvdHJhbnNtaXNzaW9uPC9rZXl3b3JkPjxrZXl3b3JkPkFmcmlj
YW4gZ3JlYXQgYXBlczwva2V5d29yZD48a2V5d29yZD5hZGVub3ZpcnVzPC9rZXl3b3JkPjxrZXl3
b3JkPnpvb25vc2lzPC9rZXl3b3JkPjwva2V5d29yZHM+PGRhdGVzPjx5ZWFyPjIwMTU8L3llYXI+
PHB1Yi1kYXRlcz48ZGF0ZT5BdWc8L2RhdGU+PC9wdWItZGF0ZXM+PC9kYXRlcz48aXNibj4wNzM3
LTQwMzggKFByaW50KSYjeEQ7MDczNy00MDM4PC9pc2JuPjxhY2Nlc3Npb24tbnVtPjI1ODYyMTQx
PC9hY2Nlc3Npb24tbnVtPjx1cmxzPjwvdXJscz48Y3VzdG9tMj5QTUM0ODMzMDc1PC9jdXN0b20y
PjxlbGVjdHJvbmljLXJlc291cmNlLW51bT4xMC4xMDkzL21vbGJldi9tc3YwOTA8L2VsZWN0cm9u
aWMtcmVzb3VyY2UtbnVtPjxyZW1vdGUtZGF0YWJhc2UtcHJvdmlkZXI+TkxNPC9yZW1vdGUtZGF0
YWJhc2UtcHJvdmlkZXI+PGxhbmd1YWdlPmVuZzwvbGFuZ3VhZ2U+PC9yZWNvcmQ+PC9DaXRlPjxD
aXRlPjxBdXRob3I+Qm9ya2VuaGFnZW48L0F1dGhvcj48WWVhcj4yMDE5PC9ZZWFyPjxSZWNOdW0+
MTIzPC9SZWNOdW0+PHJlY29yZD48cmVjLW51bWJlcj4xMjM8L3JlYy1udW1iZXI+PGZvcmVpZ24t
a2V5cz48a2V5IGFwcD0iRU4iIGRiLWlkPSJwenN4cDl0dm54dHNhNmVhZDBicDAwcHlkdHd6c2V0
ejB2djIiIHRpbWVzdGFtcD0iMTc2MTgwMTk1MSI+MTIzPC9rZXk+PC9mb3JlaWduLWtleXM+PHJl
Zi10eXBlIG5hbWU9IkpvdXJuYWwgQXJ0aWNsZSI+MTc8L3JlZi10eXBlPjxjb250cmlidXRvcnM+
PGF1dGhvcnM+PGF1dGhvcj5Cb3JrZW5oYWdlbiwgTC4gSy48L2F1dGhvcj48YXV0aG9yPkZpZWxk
aG91c2UsIEouIEsuPC9hdXRob3I+PGF1dGhvcj5TZXRvLCBELjwvYXV0aG9yPjxhdXRob3I+R3Jh
eSwgRy4gQy48L2F1dGhvcj48L2F1dGhvcnM+PC9jb250cmlidXRvcnM+PGF1dGgtYWRkcmVzcz5E
aXZpc2lvbiBvZiBJbmZlY3Rpb3VzIERpc2Vhc2VzLCBTY2hvb2wgb2YgTWVkaWNpbmUgYW5kIEds
b2JhbCBIZWFsdGggSW5zdGl0dXRlLCBEdWtlIFVuaXZlcnNpdHksIER1cmhhbSwgTkMsIFVTQS4m
I3hEO0Jpb2luZm9ybWF0aWNzIGFuZCBDb21wdXRhdGlvbmFsIEJpb2xvZ3kgUHJvZ3JhbSwgU2No
b29sIG9mIFN5c3RlbXMgQmlvbG9neSwgR2VvcmdlIE1hc29uIFVuaXZlcnNpdHksIE1hbmFzc2Fz
LCBWQSwgVVNBLiYjeEQ7R2xvYmFsIEhlYWx0aCBSZXNlYXJjaCBDZW50ZXIsIER1a2UgS3Vuc2hh
biBVbml2ZXJzaXR5LCBLdW5zaGFuLCBQZW9wbGUmYXBvcztzIFJlcHVibGljIG9mIENoaW5hLiYj
eEQ7UHJvZ3JhbSBpbiBFbWVyZ2luZyBJbmZlY3Rpb3VzIERpc2Vhc2VzLCBEdWtlLU5VUyBNZWRp
Y2FsIFNjaG9vbCwgU2luZ2Fwb3JlLCBTaW5nYXBvcmUuPC9hdXRoLWFkZHJlc3M+PHRpdGxlcz48
dGl0bGU+QXJlIGFkZW5vdmlydXNlcyB6b29ub3RpYz8gQSBzeXN0ZW1hdGljIHJldmlldyBvZiB0
aGUgZXZpZGVuY2U8L3RpdGxlPjxzZWNvbmRhcnktdGl0bGU+RW1lcmcgTWljcm9iZXMgSW5mZWN0
PC9zZWNvbmRhcnktdGl0bGU+PC90aXRsZXM+PHBlcmlvZGljYWw+PGZ1bGwtdGl0bGU+RW1lcmcg
TWljcm9iZXMgSW5mZWN0PC9mdWxsLXRpdGxlPjwvcGVyaW9kaWNhbD48cGFnZXM+MTY3OS0xNjg3
PC9wYWdlcz48dm9sdW1lPjg8L3ZvbHVtZT48bnVtYmVyPjE8L251bWJlcj48a2V5d29yZHM+PGtl
eXdvcmQ+QWRlbm92aXJpZGFlL2dlbmV0aWNzLypwaHlzaW9sb2d5PC9rZXl3b3JkPjxrZXl3b3Jk
PkFkZW5vdmlyaWRhZSBJbmZlY3Rpb25zLyp0cmFuc21pc3Npb24vKnZldGVyaW5hcnkvdmlyb2xv
Z3k8L2tleXdvcmQ+PGtleXdvcmQ+QW5pbWFsczwva2V5d29yZD48a2V5d29yZD5DYXRzPC9rZXl3
b3JkPjxrZXl3b3JkPkRvZ3M8L2tleXdvcmQ+PGtleXdvcmQ+R29hdHM8L2tleXdvcmQ+PGtleXdv
cmQ+SG9zdCBTcGVjaWZpY2l0eTwva2V5d29yZD48a2V5d29yZD5IdW1hbnM8L2tleXdvcmQ+PGtl
eXdvcmQ+UGh5bG9nZW55PC9rZXl3b3JkPjxrZXl3b3JkPlNoZWVwPC9rZXl3b3JkPjxrZXl3b3Jk
PlN3aW5lPC9rZXl3b3JkPjxrZXl3b3JkPlpvb25vc2VzLyp0cmFuc21pc3Npb24vdmlyb2xvZ3k8
L2tleXdvcmQ+PGtleXdvcmQ+QWRlbm92aXJ1czwva2V5d29yZD48a2V5d29yZD5hbnRocm9wb3pv
b25vc2lzPC9rZXl3b3JkPjxrZXl3b3JkPmNyb3NzLXNwZWNpZXM8L2tleXdvcmQ+PGtleXdvcmQ+
em9vYW50aHJvcG9ub3Npczwva2V5d29yZD48a2V5d29yZD56b29ub3RpYzwva2V5d29yZD48L2tl
eXdvcmRzPjxkYXRlcz48eWVhcj4yMDE5PC95ZWFyPjwvZGF0ZXM+PGlzYm4+MjIyMi0xNzUxPC9p
c2JuPjxhY2Nlc3Npb24tbnVtPjMxNzQ5NDA5PC9hY2Nlc3Npb24tbnVtPjx1cmxzPjwvdXJscz48
Y3VzdG9tMT5ObyBwb3RlbnRpYWwgY29uZmxpY3Qgb2YgaW50ZXJlc3Qgd2FzIHJlcG9ydGVkIGJ5
IHRoZSBhdXRob3JzLjwvY3VzdG9tMT48Y3VzdG9tMj5QTUM2ODgyNDI5PC9jdXN0b20yPjxlbGVj
dHJvbmljLXJlc291cmNlLW51bT4xMC4xMDgwLzIyMjIxNzUxLjIwMTkuMTY5MDk1MzwvZWxlY3Ry
b25pYy1yZXNvdXJjZS1udW0+PHJlbW90ZS1kYXRhYmFzZS1wcm92aWRlcj5OTE08L3JlbW90ZS1k
YXRhYmFzZS1wcm92aWRlcj48bGFuZ3VhZ2U+ZW5nPC9sYW5ndWFnZT48L3JlY29yZD48L0NpdGU+
PC9FbmROb3RlPgB=
</w:fldData>
        </w:fldChar>
      </w:r>
      <w:r w:rsidR="002219B9">
        <w:rPr>
          <w:szCs w:val="22"/>
        </w:rPr>
        <w:instrText xml:space="preserve"> ADDIN EN.CITE </w:instrText>
      </w:r>
      <w:r w:rsidR="002219B9">
        <w:rPr>
          <w:szCs w:val="22"/>
        </w:rPr>
        <w:fldChar w:fldCharType="begin">
          <w:fldData xml:space="preserve">PEVuZE5vdGU+PENpdGU+PEF1dGhvcj5Ib3BwZTwvQXV0aG9yPjxZZWFyPjIwMTU8L1llYXI+PFJl
Y051bT44NDwvUmVjTnVtPjxEaXNwbGF5VGV4dD4oQm9ya2VuaGFnZW4gZXQgYWwuLCAyMDE5OyBI
b3BwZSBldCBhbC4sIDIwMTViKTwvRGlzcGxheVRleHQ+PHJlY29yZD48cmVjLW51bWJlcj44NDwv
cmVjLW51bWJlcj48Zm9yZWlnbi1rZXlzPjxrZXkgYXBwPSJFTiIgZGItaWQ9InB6c3hwOXR2bnh0
c2E2ZWFkMGJwMDBweWR0d3pzZXR6MHZ2MiIgdGltZXN0YW1wPSIxNzYxMjU5NDg2Ij44NDwva2V5
PjwvZm9yZWlnbi1rZXlzPjxyZWYtdHlwZSBuYW1lPSJKb3VybmFsIEFydGljbGUiPjE3PC9yZWYt
dHlwZT48Y29udHJpYnV0b3JzPjxhdXRob3JzPjxhdXRob3I+SG9wcGUsIEUuPC9hdXRob3I+PGF1
dGhvcj5QYXVseSwgTS48L2F1dGhvcj48YXV0aG9yPkdpbGxlc3BpZSwgVC4gUi48L2F1dGhvcj48
YXV0aG9yPkFrb3VhLUtvZmZpLCBDLjwvYXV0aG9yPjxhdXRob3I+SG9obWFubiwgRy48L2F1dGhv
cj48YXV0aG9yPkZydXRoLCBCLjwvYXV0aG9yPjxhdXRob3I+S2FyaGVtZXJlLCBTLjwvYXV0aG9y
PjxhdXRob3I+TWFkaW5kYSwgTi4gRi48L2F1dGhvcj48YXV0aG9yPk11Z2lzaGEsIEwuPC9hdXRo
b3I+PGF1dGhvcj5NdXllbWJlLCBKLiBKLjwvYXV0aG9yPjxhdXRob3I+VG9kZCwgQS48L2F1dGhv
cj48YXV0aG9yPlBldHJ6ZWxrb3ZhLCBLLiBKLjwvYXV0aG9yPjxhdXRob3I+R3JheSwgTS48L2F1
dGhvcj48YXV0aG9yPlJvYmJpbnMsIE0uPC9hdXRob3I+PGF1dGhvcj5CZXJnbCwgUi4gQS48L2F1
dGhvcj48YXV0aG9yPldpdHRpZywgUi4gTS48L2F1dGhvcj48YXV0aG9yPlp1YmVyYsO8aGxlciwg
Sy48L2F1dGhvcj48YXV0aG9yPkJvZXNjaCwgQy48L2F1dGhvcj48YXV0aG9yPlNjaHViZXJ0LCBH
LjwvYXV0aG9yPjxhdXRob3I+TGVlbmRlcnR6LCBGLiBILjwvYXV0aG9yPjxhdXRob3I+RWhsZXJz
LCBCLjwvYXV0aG9yPjxhdXRob3I+Q2FsdmlnbmFjLVNwZW5jZXIsIFMuPC9hdXRob3I+PC9hdXRo
b3JzPjwvY29udHJpYnV0b3JzPjxhdXRoLWFkZHJlc3M+RGl2aXNpb24gMTIgJnF1b3Q7TWVhc2xl
cywgTXVtcHMsIFJ1YmVsbGEgYW5kIFZpcnVzZXMgYWZmZWN0aW5nIGltbXVub2NvbXByb21pc2Vk
IHBhdGllbnRzJnF1b3Q7LCBSb2JlcnQgS29jaCBJbnN0aXR1dGUsIEJlcmxpbiwgR2VybWFueS4m
I3hEO0RpdmlzaW9uIDEyICZxdW90O01lYXNsZXMsIE11bXBzLCBSdWJlbGxhIGFuZCBWaXJ1c2Vz
IGFmZmVjdGluZyBpbW11bm9jb21wcm9taXNlZCBwYXRpZW50cyZxdW90OywgUm9iZXJ0IEtvY2gg
SW5zdGl0dXRlLCBCZXJsaW4sIEdlcm1hbnkgRXBpZGVtaW9sb2d5IG9mIGhpZ2hseSBwYXRob2dl
bmljIG1pY3Jvb3JnYW5pc21zLCBSb2JlcnQgS29jaCBJbnN0aXR1dGUsIEJlcmxpbiwgR2VybWFu
eS4mI3hEO0RlcGFydG1lbnQgb2YgRW52aXJvbm1lbnRhbCBTY2llbmNlcyBhbmQgUHJvZ3JhbSBp
biBQb3B1bGF0aW9uIEJpb2xvZ3ksIEVjb2xvZ3kgYW5kIEV2b2x1dGlvbiwgRW1vcnkgVW5pdmVy
c2l0eSBEZXBhcnRtZW50IG9mIEVudmlyb25tZW50YWwgSGVhbHRoLCBSb2xsaW5zIFNjaG9vbCBv
ZiBQdWJsaWMgSGVhbHRoLCBFbW9yeSBVbml2ZXJzaXR5LiYjeEQ7Q2VudHJlIGRlIFJlY2hlcmNo
ZSBwb3VyIGxlIETDqXZlbG9wcGVtZW50LCBVbml2ZXJzaXTDqSBBbGFzc2FuZSBPdWF0dGFyYSBk
ZSBCb3Vha2UsIEJvdWFrZSwgQ8O0dGUgZCZhcG9zO0l2b2lyZS4mI3hEO0RlcGFydG1lbnQgb2Yg
UHJpbWF0b2xvZ3ksIE1heCBQbGFuY2sgSW5zdGl0dXRlIGZvciBFdm9sdXRpb25hcnkgQW50aHJv
cG9sb2d5LCBMZWlwemlnLCBHZXJtYW55LiYjeEQ7RGl2aXNpb24gb2YgTmV1cm9iaW9sb2d5LCBM
dWR3aWctTWF4aW1pbGlhbnMtVW5pdmVyc2l0eSwgTXVuaWNoLCBHZXJtYW55IENlbnRyZSBmb3Ig
UmVzZWFyY2ggYW5kIENvbnNlcnZhdGlvbiwgUm95YWwgWm9vb2xvZ2ljYWwgU29jaWV0eSBvZiBB
bnR3ZXJwLCBBbnR3ZXJwLCBCZWxnaXVtLiYjeEQ7SW5zdGl0dXQgTmF0aW9uYWwgZGUgUmVjaGVy
Y2hlIEJpb23DqWRpY2FsZSwgS2luc2hhc2EsIERlbW9jcmF0aWMgUmVwdWJsaWMgb2YgQ29uZ28u
JiN4RDtFcGlkZW1pb2xvZ3kgb2YgaGlnaGx5IHBhdGhvZ2VuaWMgbWljcm9vcmdhbmlzbXMsIFJv
YmVydCBLb2NoIEluc3RpdHV0ZSwgQmVybGluLCBHZXJtYW55IERlcGFydG1lbnQgb2YgUHJpbWF0
b2xvZ3ksIE1heCBQbGFuY2sgSW5zdGl0dXRlIGZvciBFdm9sdXRpb25hcnkgQW50aHJvcG9sb2d5
LCBMZWlwemlnLCBHZXJtYW55IEluc3RpdHV0IGRlIFJlY2hlcmNoZSBlbiBFY29sb2dpZSBUcm9w
aWNhbGUsIExpYnJldmlsbGUsIEdhYm9uLiYjeEQ7Q29sbGVnZSBvZiBWZXRlcmluYXJ5IE1lZGlj
aW5lLCBBbmltYWwgUmVzb3VyY2VzIGFuZCBCaW9zZWN1cml0eSwgTWFrZXJlcmUgVW5pdmVyc2l0
eSwgS2FtcGFsYSwgVWdhbmRhIENvbnNlcnZhdGlvbiAmYW1wOyBFY29zeXN0ZW0gSGVhbHRoIEFs
bGlhbmNlIChDRUhBKSwgS2FtcGFsYSwgVWdhbmRhLiYjeEQ7V29ybGQgV2lsZGxpZmUgRm91bmRh
dGlvbiAoV1dGKSwgRHphbmdhIFNhbmdoYSBQcm90ZWN0ZWQgQXJlYXMsIEJhbmd1aSwgQ2VudHJh
bCBBZnJpY2FuIFJlcHVibGljLiYjeEQ7SW5zdGl0dXRlIG9mIFZlcnRlYnJhdGUgQmlvbG9neSwg
QWNhZGVteSBvZiBTY2llbmNlcywgQnJubywgQ3plY2ggUmVwdWJsaWMgRGVwYXJ0bWVudCBvZiBQ
YXRob2xvZ3kgYW5kIFBhcmFzaXRvbG9neSwgVW5pdmVyc2l0eSBvZiBWZXRlcmluYXJ5IGFuZCBQ
aGFybWFjZXV0aWNhbCBTY2llbmNlcywgQnJubywgQ3plY2ggUmVwdWJsaWMgQmlvbG9neSBDZW50
cmUsIEluc3RpdHV0ZSBvZiBQYXJhc2l0b2xvZ3ksIEFjYWRlbXkgb2YgU2NpZW5jZXMgb2YgdGhl
IEN6ZWNoIFJlcHVibGljLCBDZXNrZSBCdWRlam92aWNlLCBDemVjaCBSZXB1YmxpYyBMaWJlcmVj
IFpvbywgTGliZXJlYywgQ3plY2ggUmVwdWJsaWMuJiN4RDtJbnRlcm5hdGlvbmFsIEdvcmlsbGEg
Q29uc2VydmF0aW9uIFByb2dyYW0sIEtpZ2FsaSwgUndhbmRhLiYjeEQ7Tm9ydGggQ2Fyb2xpbmEg
Wm9vbG9naWNhbCBQYXJrLCBBc2hlYm9ybywgTkMuJiN4RDtEZXBhcnRtZW50IG9mIFByaW1hdG9s
b2d5LCBNYXggUGxhbmNrIEluc3RpdHV0ZSBmb3IgRXZvbHV0aW9uYXJ5IEFudGhyb3BvbG9neSwg
TGVpcHppZywgR2VybWFueSBUYcOvIENoaW1wYW56ZWUgUHJvamVjdCwgQ2VudHJlIFN1aXNzZSBk
ZSBSZWNoZXJjaGVzIFNjaWVudGlmaXF1ZXMsIEFiaWRqYW4sIEPDtHRlIGQmYXBvcztJdm9pcmUu
JiN4RDtJbnN0aXR1dGUgb2YgQmlvbG9neSwgVW5pdmVyc2l0eSBvZiBOZXVjaGF0ZWwsIE5ldWNo
YXRlbCwgU3dpdHplcmxhbmQgQnVkb25nbyBDb25zZXJ2YXRpb24gRmllbGQgU3RhdGlvbiwgTWFz
aW5kaSwgVWdhbmRhIFNjaG9vbCBvZiBQc3ljaG9sb2d5LCBVbml2ZXJzaXR5IG9mIFN0LiBBbmRy
ZXdzLCBTdC4gQW5kcmV3cywgU2NvdGxhbmQsIFVuaXRlZCBLaW5nZG9tLiYjeEQ7RXBpZGVtaW9s
b2d5IG9mIGhpZ2hseSBwYXRob2dlbmljIG1pY3Jvb3JnYW5pc21zLCBSb2JlcnQgS29jaCBJbnN0
aXR1dGUsIEJlcmxpbiwgR2VybWFueS4mI3hEO0RpdmlzaW9uIDEyICZxdW90O01lYXNsZXMsIE11
bXBzLCBSdWJlbGxhIGFuZCBWaXJ1c2VzIGFmZmVjdGluZyBpbW11bm9jb21wcm9taXNlZCBwYXRp
ZW50cyZxdW90OywgUm9iZXJ0IEtvY2ggSW5zdGl0dXRlLCBCZXJsaW4sIEdlcm1hbnkgY2Fsdmln
bmFjc0Bya2kuZGUgZWhsZXJzYkBya2kuZGUuJiN4RDtFcGlkZW1pb2xvZ3kgb2YgaGlnaGx5IHBh
dGhvZ2VuaWMgbWljcm9vcmdhbmlzbXMsIFJvYmVydCBLb2NoIEluc3RpdHV0ZSwgQmVybGluLCBH
ZXJtYW55IGNhbHZpZ25hY3NAcmtpLmRlIGVobGVyc2JAcmtpLmRlLjwvYXV0aC1hZGRyZXNzPjx0
aXRsZXM+PHRpdGxlPk11bHRpcGxlIENyb3NzLVNwZWNpZXMgVHJhbnNtaXNzaW9uIEV2ZW50cyBv
ZiBIdW1hbiBBZGVub3ZpcnVzZXMgKEhBZFYpIGR1cmluZyBIb21pbmluZSBFdm9sdXRpb248L3Rp
dGxlPjxzZWNvbmRhcnktdGl0bGU+TW9sIEJpb2wgRXZvbDwvc2Vjb25kYXJ5LXRpdGxlPjwvdGl0
bGVzPjxwZXJpb2RpY2FsPjxmdWxsLXRpdGxlPk1vbCBCaW9sIEV2b2w8L2Z1bGwtdGl0bGU+PC9w
ZXJpb2RpY2FsPjxwYWdlcz4yMDcyLTg0PC9wYWdlcz48dm9sdW1lPjMyPC92b2x1bWU+PG51bWJl
cj44PC9udW1iZXI+PGVkaXRpb24+MjAxNTA0MDk8L2VkaXRpb24+PGtleXdvcmRzPjxrZXl3b3Jk
PipBZGVub3ZpcmlkYWUvZ2VuZXRpY3MvcGF0aG9nZW5pY2l0eTwva2V5d29yZD48a2V5d29yZD4q
QWRlbm92aXJpZGFlIEluZmVjdGlvbnMvZ2VuZXRpY3MvdHJhbnNtaXNzaW9uPC9rZXl3b3JkPjxr
ZXl3b3JkPkFuaW1hbHM8L2tleXdvcmQ+PGtleXdvcmQ+KkV2b2x1dGlvbiwgTW9sZWN1bGFyPC9r
ZXl3b3JkPjxrZXl3b3JkPkhvbWluaWRhZS8qdmlyb2xvZ3k8L2tleXdvcmQ+PGtleXdvcmQ+SHVt
YW5zPC9rZXl3b3JkPjxrZXl3b3JkPlNwZWNpZXMgU3BlY2lmaWNpdHk8L2tleXdvcmQ+PGtleXdv
cmQ+Wm9vbm9zZXMvZ2VuZXRpY3MvdHJhbnNtaXNzaW9uPC9rZXl3b3JkPjxrZXl3b3JkPkFmcmlj
YW4gZ3JlYXQgYXBlczwva2V5d29yZD48a2V5d29yZD5hZGVub3ZpcnVzPC9rZXl3b3JkPjxrZXl3
b3JkPnpvb25vc2lzPC9rZXl3b3JkPjwva2V5d29yZHM+PGRhdGVzPjx5ZWFyPjIwMTU8L3llYXI+
PHB1Yi1kYXRlcz48ZGF0ZT5BdWc8L2RhdGU+PC9wdWItZGF0ZXM+PC9kYXRlcz48aXNibj4wNzM3
LTQwMzggKFByaW50KSYjeEQ7MDczNy00MDM4PC9pc2JuPjxhY2Nlc3Npb24tbnVtPjI1ODYyMTQx
PC9hY2Nlc3Npb24tbnVtPjx1cmxzPjwvdXJscz48Y3VzdG9tMj5QTUM0ODMzMDc1PC9jdXN0b20y
PjxlbGVjdHJvbmljLXJlc291cmNlLW51bT4xMC4xMDkzL21vbGJldi9tc3YwOTA8L2VsZWN0cm9u
aWMtcmVzb3VyY2UtbnVtPjxyZW1vdGUtZGF0YWJhc2UtcHJvdmlkZXI+TkxNPC9yZW1vdGUtZGF0
YWJhc2UtcHJvdmlkZXI+PGxhbmd1YWdlPmVuZzwvbGFuZ3VhZ2U+PC9yZWNvcmQ+PC9DaXRlPjxD
aXRlPjxBdXRob3I+Qm9ya2VuaGFnZW48L0F1dGhvcj48WWVhcj4yMDE5PC9ZZWFyPjxSZWNOdW0+
MTIzPC9SZWNOdW0+PHJlY29yZD48cmVjLW51bWJlcj4xMjM8L3JlYy1udW1iZXI+PGZvcmVpZ24t
a2V5cz48a2V5IGFwcD0iRU4iIGRiLWlkPSJwenN4cDl0dm54dHNhNmVhZDBicDAwcHlkdHd6c2V0
ejB2djIiIHRpbWVzdGFtcD0iMTc2MTgwMTk1MSI+MTIzPC9rZXk+PC9mb3JlaWduLWtleXM+PHJl
Zi10eXBlIG5hbWU9IkpvdXJuYWwgQXJ0aWNsZSI+MTc8L3JlZi10eXBlPjxjb250cmlidXRvcnM+
PGF1dGhvcnM+PGF1dGhvcj5Cb3JrZW5oYWdlbiwgTC4gSy48L2F1dGhvcj48YXV0aG9yPkZpZWxk
aG91c2UsIEouIEsuPC9hdXRob3I+PGF1dGhvcj5TZXRvLCBELjwvYXV0aG9yPjxhdXRob3I+R3Jh
eSwgRy4gQy48L2F1dGhvcj48L2F1dGhvcnM+PC9jb250cmlidXRvcnM+PGF1dGgtYWRkcmVzcz5E
aXZpc2lvbiBvZiBJbmZlY3Rpb3VzIERpc2Vhc2VzLCBTY2hvb2wgb2YgTWVkaWNpbmUgYW5kIEds
b2JhbCBIZWFsdGggSW5zdGl0dXRlLCBEdWtlIFVuaXZlcnNpdHksIER1cmhhbSwgTkMsIFVTQS4m
I3hEO0Jpb2luZm9ybWF0aWNzIGFuZCBDb21wdXRhdGlvbmFsIEJpb2xvZ3kgUHJvZ3JhbSwgU2No
b29sIG9mIFN5c3RlbXMgQmlvbG9neSwgR2VvcmdlIE1hc29uIFVuaXZlcnNpdHksIE1hbmFzc2Fz
LCBWQSwgVVNBLiYjeEQ7R2xvYmFsIEhlYWx0aCBSZXNlYXJjaCBDZW50ZXIsIER1a2UgS3Vuc2hh
biBVbml2ZXJzaXR5LCBLdW5zaGFuLCBQZW9wbGUmYXBvcztzIFJlcHVibGljIG9mIENoaW5hLiYj
eEQ7UHJvZ3JhbSBpbiBFbWVyZ2luZyBJbmZlY3Rpb3VzIERpc2Vhc2VzLCBEdWtlLU5VUyBNZWRp
Y2FsIFNjaG9vbCwgU2luZ2Fwb3JlLCBTaW5nYXBvcmUuPC9hdXRoLWFkZHJlc3M+PHRpdGxlcz48
dGl0bGU+QXJlIGFkZW5vdmlydXNlcyB6b29ub3RpYz8gQSBzeXN0ZW1hdGljIHJldmlldyBvZiB0
aGUgZXZpZGVuY2U8L3RpdGxlPjxzZWNvbmRhcnktdGl0bGU+RW1lcmcgTWljcm9iZXMgSW5mZWN0
PC9zZWNvbmRhcnktdGl0bGU+PC90aXRsZXM+PHBlcmlvZGljYWw+PGZ1bGwtdGl0bGU+RW1lcmcg
TWljcm9iZXMgSW5mZWN0PC9mdWxsLXRpdGxlPjwvcGVyaW9kaWNhbD48cGFnZXM+MTY3OS0xNjg3
PC9wYWdlcz48dm9sdW1lPjg8L3ZvbHVtZT48bnVtYmVyPjE8L251bWJlcj48a2V5d29yZHM+PGtl
eXdvcmQ+QWRlbm92aXJpZGFlL2dlbmV0aWNzLypwaHlzaW9sb2d5PC9rZXl3b3JkPjxrZXl3b3Jk
PkFkZW5vdmlyaWRhZSBJbmZlY3Rpb25zLyp0cmFuc21pc3Npb24vKnZldGVyaW5hcnkvdmlyb2xv
Z3k8L2tleXdvcmQ+PGtleXdvcmQ+QW5pbWFsczwva2V5d29yZD48a2V5d29yZD5DYXRzPC9rZXl3
b3JkPjxrZXl3b3JkPkRvZ3M8L2tleXdvcmQ+PGtleXdvcmQ+R29hdHM8L2tleXdvcmQ+PGtleXdv
cmQ+SG9zdCBTcGVjaWZpY2l0eTwva2V5d29yZD48a2V5d29yZD5IdW1hbnM8L2tleXdvcmQ+PGtl
eXdvcmQ+UGh5bG9nZW55PC9rZXl3b3JkPjxrZXl3b3JkPlNoZWVwPC9rZXl3b3JkPjxrZXl3b3Jk
PlN3aW5lPC9rZXl3b3JkPjxrZXl3b3JkPlpvb25vc2VzLyp0cmFuc21pc3Npb24vdmlyb2xvZ3k8
L2tleXdvcmQ+PGtleXdvcmQ+QWRlbm92aXJ1czwva2V5d29yZD48a2V5d29yZD5hbnRocm9wb3pv
b25vc2lzPC9rZXl3b3JkPjxrZXl3b3JkPmNyb3NzLXNwZWNpZXM8L2tleXdvcmQ+PGtleXdvcmQ+
em9vYW50aHJvcG9ub3Npczwva2V5d29yZD48a2V5d29yZD56b29ub3RpYzwva2V5d29yZD48L2tl
eXdvcmRzPjxkYXRlcz48eWVhcj4yMDE5PC95ZWFyPjwvZGF0ZXM+PGlzYm4+MjIyMi0xNzUxPC9p
c2JuPjxhY2Nlc3Npb24tbnVtPjMxNzQ5NDA5PC9hY2Nlc3Npb24tbnVtPjx1cmxzPjwvdXJscz48
Y3VzdG9tMT5ObyBwb3RlbnRpYWwgY29uZmxpY3Qgb2YgaW50ZXJlc3Qgd2FzIHJlcG9ydGVkIGJ5
IHRoZSBhdXRob3JzLjwvY3VzdG9tMT48Y3VzdG9tMj5QTUM2ODgyNDI5PC9jdXN0b20yPjxlbGVj
dHJvbmljLXJlc291cmNlLW51bT4xMC4xMDgwLzIyMjIxNzUxLjIwMTkuMTY5MDk1MzwvZWxlY3Ry
b25pYy1yZXNvdXJjZS1udW0+PHJlbW90ZS1kYXRhYmFzZS1wcm92aWRlcj5OTE08L3JlbW90ZS1k
YXRhYmFzZS1wcm92aWRlcj48bGFuZ3VhZ2U+ZW5nPC9sYW5ndWFnZT48L3JlY29yZD48L0NpdGU+
PC9FbmROb3RlPgB=
</w:fldData>
        </w:fldChar>
      </w:r>
      <w:r w:rsidR="002219B9">
        <w:rPr>
          <w:szCs w:val="22"/>
        </w:rPr>
        <w:instrText xml:space="preserve"> ADDIN EN.CITE.DATA </w:instrText>
      </w:r>
      <w:r w:rsidR="002219B9">
        <w:rPr>
          <w:szCs w:val="22"/>
        </w:rPr>
      </w:r>
      <w:r w:rsidR="002219B9">
        <w:rPr>
          <w:szCs w:val="22"/>
        </w:rPr>
        <w:fldChar w:fldCharType="end"/>
      </w:r>
      <w:r w:rsidRPr="00B92B65">
        <w:rPr>
          <w:szCs w:val="22"/>
        </w:rPr>
      </w:r>
      <w:r w:rsidRPr="00B92B65">
        <w:rPr>
          <w:szCs w:val="22"/>
        </w:rPr>
        <w:fldChar w:fldCharType="separate"/>
      </w:r>
      <w:r w:rsidR="002219B9">
        <w:rPr>
          <w:noProof/>
          <w:szCs w:val="22"/>
        </w:rPr>
        <w:t>(</w:t>
      </w:r>
      <w:hyperlink w:anchor="_ENREF_13" w:tooltip="Borkenhagen, 2019 #123" w:history="1">
        <w:r w:rsidR="0027195B">
          <w:rPr>
            <w:noProof/>
            <w:szCs w:val="22"/>
          </w:rPr>
          <w:t>Borkenhagen et al., 2019</w:t>
        </w:r>
      </w:hyperlink>
      <w:r w:rsidR="002219B9">
        <w:rPr>
          <w:noProof/>
          <w:szCs w:val="22"/>
        </w:rPr>
        <w:t xml:space="preserve">; </w:t>
      </w:r>
      <w:hyperlink w:anchor="_ENREF_38" w:tooltip="Hoppe, 2015 #84" w:history="1">
        <w:r w:rsidR="0027195B">
          <w:rPr>
            <w:noProof/>
            <w:szCs w:val="22"/>
          </w:rPr>
          <w:t>Hoppe et al., 2015b</w:t>
        </w:r>
      </w:hyperlink>
      <w:r w:rsidR="002219B9">
        <w:rPr>
          <w:noProof/>
          <w:szCs w:val="22"/>
        </w:rPr>
        <w:t>)</w:t>
      </w:r>
      <w:r w:rsidRPr="00B92B65">
        <w:rPr>
          <w:szCs w:val="22"/>
        </w:rPr>
        <w:fldChar w:fldCharType="end"/>
      </w:r>
      <w:r w:rsidRPr="00B92B65">
        <w:rPr>
          <w:szCs w:val="22"/>
        </w:rPr>
        <w:t xml:space="preserve">. Experimentally, mice, cotton rats, hamsters, guinea pigs, tree shrews and rabbits can be infected with </w:t>
      </w:r>
      <w:proofErr w:type="spellStart"/>
      <w:r w:rsidRPr="00B92B65">
        <w:rPr>
          <w:szCs w:val="22"/>
        </w:rPr>
        <w:t>HAdVs</w:t>
      </w:r>
      <w:proofErr w:type="spellEnd"/>
      <w:r w:rsidRPr="00B92B65">
        <w:rPr>
          <w:szCs w:val="22"/>
        </w:rPr>
        <w:t xml:space="preserve"> </w:t>
      </w:r>
      <w:r w:rsidRPr="00B92B65">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Pr="00B92B65">
        <w:rPr>
          <w:szCs w:val="22"/>
        </w:rPr>
        <w:instrText xml:space="preserve"> ADDIN EN.CITE </w:instrText>
      </w:r>
      <w:r w:rsidRPr="00B92B65">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Pr="00B92B65">
        <w:rPr>
          <w:szCs w:val="22"/>
        </w:rPr>
        <w:instrText xml:space="preserve"> ADDIN EN.CITE.DATA </w:instrText>
      </w:r>
      <w:r w:rsidRPr="00B92B65">
        <w:rPr>
          <w:szCs w:val="22"/>
        </w:rPr>
      </w:r>
      <w:r w:rsidRPr="00B92B65">
        <w:rPr>
          <w:szCs w:val="22"/>
        </w:rPr>
        <w:fldChar w:fldCharType="end"/>
      </w:r>
      <w:r w:rsidRPr="00B92B65">
        <w:rPr>
          <w:szCs w:val="22"/>
        </w:rPr>
      </w:r>
      <w:r w:rsidRPr="00B92B65">
        <w:rPr>
          <w:szCs w:val="22"/>
        </w:rPr>
        <w:fldChar w:fldCharType="separate"/>
      </w:r>
      <w:r w:rsidRPr="00B92B65">
        <w:rPr>
          <w:szCs w:val="22"/>
        </w:rPr>
        <w:t>(</w:t>
      </w:r>
      <w:hyperlink w:anchor="_ENREF_10" w:tooltip="Bertzbach, 2021 #120" w:history="1">
        <w:r w:rsidR="0027195B" w:rsidRPr="002219B9">
          <w:rPr>
            <w:szCs w:val="22"/>
          </w:rPr>
          <w:t>Bertzbach et al., 2021</w:t>
        </w:r>
      </w:hyperlink>
      <w:r w:rsidRPr="00B92B65">
        <w:rPr>
          <w:szCs w:val="22"/>
        </w:rPr>
        <w:t xml:space="preserve">; </w:t>
      </w:r>
      <w:hyperlink w:anchor="_ENREF_43" w:tooltip="Ismail, 2019 #95" w:history="1">
        <w:r w:rsidR="0027195B" w:rsidRPr="002219B9">
          <w:rPr>
            <w:szCs w:val="22"/>
          </w:rPr>
          <w:t>Ismail et al., 2019</w:t>
        </w:r>
      </w:hyperlink>
      <w:r w:rsidRPr="00B92B65">
        <w:rPr>
          <w:szCs w:val="22"/>
        </w:rPr>
        <w:t>)</w:t>
      </w:r>
      <w:r w:rsidRPr="00B92B65">
        <w:rPr>
          <w:szCs w:val="22"/>
        </w:rPr>
        <w:fldChar w:fldCharType="end"/>
      </w:r>
      <w:r w:rsidRPr="00B92B65">
        <w:rPr>
          <w:szCs w:val="22"/>
        </w:rPr>
        <w:t xml:space="preserve">. Whereas some animals such as hamsters can be permissive to </w:t>
      </w:r>
      <w:proofErr w:type="spellStart"/>
      <w:r w:rsidRPr="00B92B65">
        <w:rPr>
          <w:szCs w:val="22"/>
        </w:rPr>
        <w:t>HAdV</w:t>
      </w:r>
      <w:proofErr w:type="spellEnd"/>
      <w:r w:rsidRPr="00B92B65">
        <w:rPr>
          <w:szCs w:val="22"/>
        </w:rPr>
        <w:t xml:space="preserve"> replication in experimental conditions </w:t>
      </w:r>
      <w:r w:rsidRPr="00B92B65">
        <w:rPr>
          <w:szCs w:val="22"/>
        </w:rPr>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Pr="00B92B65">
        <w:rPr>
          <w:szCs w:val="22"/>
        </w:rPr>
        <w:instrText xml:space="preserve"> ADDIN EN.CITE </w:instrText>
      </w:r>
      <w:r w:rsidRPr="00B92B65">
        <w:rPr>
          <w:szCs w:val="22"/>
        </w:rPr>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Pr="00B92B65">
        <w:rPr>
          <w:szCs w:val="22"/>
        </w:rPr>
        <w:instrText xml:space="preserve"> ADDIN EN.CITE.DATA </w:instrText>
      </w:r>
      <w:r w:rsidRPr="00B92B65">
        <w:rPr>
          <w:szCs w:val="22"/>
        </w:rPr>
      </w:r>
      <w:r w:rsidRPr="00B92B65">
        <w:rPr>
          <w:szCs w:val="22"/>
        </w:rPr>
        <w:fldChar w:fldCharType="end"/>
      </w:r>
      <w:r w:rsidRPr="00B92B65">
        <w:rPr>
          <w:szCs w:val="22"/>
        </w:rPr>
      </w:r>
      <w:r w:rsidRPr="00B92B65">
        <w:rPr>
          <w:szCs w:val="22"/>
        </w:rPr>
        <w:fldChar w:fldCharType="separate"/>
      </w:r>
      <w:r w:rsidRPr="00B92B65">
        <w:rPr>
          <w:szCs w:val="22"/>
        </w:rPr>
        <w:t>(</w:t>
      </w:r>
      <w:hyperlink w:anchor="_ENREF_93" w:tooltip="Tollefson, 2017 #122" w:history="1">
        <w:r w:rsidR="0027195B" w:rsidRPr="002219B9">
          <w:rPr>
            <w:szCs w:val="22"/>
          </w:rPr>
          <w:t>Tollefson et al., 2017</w:t>
        </w:r>
      </w:hyperlink>
      <w:r w:rsidRPr="00B92B65">
        <w:rPr>
          <w:szCs w:val="22"/>
        </w:rPr>
        <w:t>)</w:t>
      </w:r>
      <w:r w:rsidRPr="00B92B65">
        <w:rPr>
          <w:szCs w:val="22"/>
        </w:rPr>
        <w:fldChar w:fldCharType="end"/>
      </w:r>
      <w:r w:rsidRPr="00B92B65">
        <w:rPr>
          <w:szCs w:val="22"/>
        </w:rPr>
        <w:t xml:space="preserve">, in most animals, infections with </w:t>
      </w:r>
      <w:proofErr w:type="spellStart"/>
      <w:r w:rsidRPr="00B92B65">
        <w:rPr>
          <w:szCs w:val="22"/>
        </w:rPr>
        <w:t>HAdV</w:t>
      </w:r>
      <w:proofErr w:type="spellEnd"/>
      <w:r w:rsidRPr="00B92B65">
        <w:rPr>
          <w:szCs w:val="22"/>
        </w:rPr>
        <w:t xml:space="preserve"> are abortive even when they induce tissue pathology </w:t>
      </w:r>
      <w:r w:rsidRPr="00B92B65">
        <w:rPr>
          <w:szCs w:val="22"/>
        </w:rPr>
        <w:fldChar w:fldCharType="begin"/>
      </w:r>
      <w:r w:rsidRPr="00B92B65">
        <w:rPr>
          <w:szCs w:val="22"/>
        </w:rPr>
        <w:instrText xml:space="preserve"> ADDIN EN.CITE &lt;EndNote&gt;&lt;Cite&gt;&lt;Author&gt;Jogler&lt;/Author&gt;&lt;Year&gt;2006&lt;/Year&gt;&lt;RecNum&gt;121&lt;/RecNum&gt;&lt;DisplayText&gt;(Jogler et al., 2006)&lt;/DisplayText&gt;&lt;record&gt;&lt;rec-number&gt;121&lt;/rec-number&gt;&lt;foreign-keys&gt;&lt;key app="EN" db-id="pzsxp9tvnxtsa6ead0bp00pydtwzsetz0vv2" timestamp="1761801299"&gt;121&lt;/key&gt;&lt;/foreign-keys&gt;&lt;ref-type name="Journal Article"&gt;17&lt;/ref-type&gt;&lt;contributors&gt;&lt;authors&gt;&lt;author&gt;Christian Jogler&lt;/author&gt;&lt;author&gt;Dennis Hoffmann&lt;/author&gt;&lt;author&gt;Dirk Theegarten&lt;/author&gt;&lt;author&gt;Thomas Grunwald&lt;/author&gt;&lt;author&gt;Klaus Überla&lt;/author&gt;&lt;author&gt;Oliver Wildner&lt;/author&gt;&lt;/authors&gt;&lt;/contributors&gt;&lt;titles&gt;&lt;title&gt;Replication Properties of Human Adenovirus In Vivo and in Cultures of Primary Cells from Different Animal Species&lt;/title&gt;&lt;secondary-title&gt;Journal of Virology&lt;/secondary-title&gt;&lt;/titles&gt;&lt;periodical&gt;&lt;full-title&gt;Journal of Virology&lt;/full-title&gt;&lt;/periodical&gt;&lt;pages&gt;3549-3558&lt;/pages&gt;&lt;volume&gt;80&lt;/volume&gt;&lt;number&gt;7&lt;/number&gt;&lt;dates&gt;&lt;year&gt;2006&lt;/year&gt;&lt;/dates&gt;&lt;urls&gt;&lt;related-urls&gt;&lt;url&gt;https://journals.asm.org/doi/abs/10.1128/jvi.80.7.3549-3558.2006&lt;/url&gt;&lt;/related-urls&gt;&lt;/urls&gt;&lt;electronic-resource-num&gt;doi:10.1128/jvi.80.7.3549-3558.2006&lt;/electronic-resource-num&gt;&lt;/record&gt;&lt;/Cite&gt;&lt;/EndNote&gt;</w:instrText>
      </w:r>
      <w:r w:rsidRPr="00B92B65">
        <w:rPr>
          <w:szCs w:val="22"/>
        </w:rPr>
        <w:fldChar w:fldCharType="separate"/>
      </w:r>
      <w:r w:rsidRPr="00B92B65">
        <w:rPr>
          <w:szCs w:val="22"/>
        </w:rPr>
        <w:t>(</w:t>
      </w:r>
      <w:hyperlink w:anchor="_ENREF_44" w:tooltip="Jogler, 2006 #121" w:history="1">
        <w:r w:rsidR="0027195B" w:rsidRPr="002219B9">
          <w:rPr>
            <w:szCs w:val="22"/>
          </w:rPr>
          <w:t>Jogler et al., 2006</w:t>
        </w:r>
      </w:hyperlink>
      <w:r w:rsidRPr="00B92B65">
        <w:rPr>
          <w:szCs w:val="22"/>
        </w:rPr>
        <w:t>)</w:t>
      </w:r>
      <w:r w:rsidRPr="00B92B65">
        <w:rPr>
          <w:szCs w:val="22"/>
        </w:rPr>
        <w:fldChar w:fldCharType="end"/>
      </w:r>
      <w:r w:rsidRPr="00B92B65">
        <w:rPr>
          <w:szCs w:val="22"/>
        </w:rPr>
        <w:t xml:space="preserve">. HAdV-11p was shown to undergo abortive infection in canine (MDCK), hamster (CHO) and mouse (McCoy and C127) cell lines </w:t>
      </w:r>
      <w:r w:rsidRPr="00B92B65">
        <w:rPr>
          <w:szCs w:val="22"/>
        </w:rPr>
        <w:fldChar w:fldCharType="begin"/>
      </w:r>
      <w:r w:rsidRPr="00B92B65">
        <w:rPr>
          <w:szCs w:val="22"/>
        </w:rPr>
        <w:instrText xml:space="preserve"> ADDIN EN.CITE &lt;EndNote&gt;&lt;Cite&gt;&lt;Author&gt;Gokumakulapalle&lt;/Author&gt;&lt;Year&gt;2021&lt;/Year&gt;&lt;RecNum&gt;118&lt;/RecNum&gt;&lt;DisplayText&gt;(Gokumakulapalle et al., 2021)&lt;/DisplayText&gt;&lt;record&gt;&lt;rec-number&gt;118&lt;/rec-number&gt;&lt;foreign-keys&gt;&lt;key app="EN" db-id="pzsxp9tvnxtsa6ead0bp00pydtwzsetz0vv2" timestamp="1761798655"&gt;118&lt;/key&gt;&lt;/foreign-keys&gt;&lt;ref-type name="Journal Article"&gt;17&lt;/ref-type&gt;&lt;contributors&gt;&lt;authors&gt;&lt;author&gt;Gokumakulapalle, M.&lt;/author&gt;&lt;author&gt;Wang, L.&lt;/author&gt;&lt;author&gt;Mei, Y. F.&lt;/author&gt;&lt;/authors&gt;&lt;/contributors&gt;&lt;auth-address&gt;Department of Clinical Microbiology and Virology, Umeå University, Umeå, Sweden.&lt;/auth-address&gt;&lt;titles&gt;&lt;title&gt;Susceptibility of Dog, Hamster, and Mouse Cells to the Replication-Competent Adenovirus 11p E1/E3 Green Fluorescence Protein Vector Has Implications for the Selection of Animal Vaccine Models&lt;/title&gt;&lt;secondary-title&gt;Front Microbiol&lt;/secondary-title&gt;&lt;/titles&gt;&lt;periodical&gt;&lt;full-title&gt;Front Microbiol&lt;/full-title&gt;&lt;/periodical&gt;&lt;pages&gt;698999&lt;/pages&gt;&lt;volume&gt;12&lt;/volume&gt;&lt;edition&gt;20211027&lt;/edition&gt;&lt;keywords&gt;&lt;keyword&gt;DNA replication&lt;/keyword&gt;&lt;keyword&gt;E1/E3 vector&lt;/keyword&gt;&lt;keyword&gt;GFP expression&lt;/keyword&gt;&lt;keyword&gt;QPCR assay&lt;/keyword&gt;&lt;keyword&gt;RCAd11pGFP&lt;/keyword&gt;&lt;keyword&gt;animal cells&lt;/keyword&gt;&lt;keyword&gt;cytotoxicity&lt;/keyword&gt;&lt;keyword&gt;susceptibility&lt;/keyword&gt;&lt;/keywords&gt;&lt;dates&gt;&lt;year&gt;2021&lt;/year&gt;&lt;/dates&gt;&lt;isbn&gt;1664-302X (Print)&amp;#xD;1664-302x&lt;/isbn&gt;&lt;accession-num&gt;34777270&lt;/accession-num&gt;&lt;urls&gt;&lt;/urls&gt;&lt;custom1&gt;The authors declare that the research was conducted in the absence of any commercial or financial relationships that could be construed as a potential conflict of interest.&lt;/custom1&gt;&lt;custom2&gt;PMC8578929&lt;/custom2&gt;&lt;electronic-resource-num&gt;10.3389/fmicb.2021.698999&lt;/electronic-resource-num&gt;&lt;remote-database-provider&gt;NLM&lt;/remote-database-provider&gt;&lt;language&gt;eng&lt;/language&gt;&lt;/record&gt;&lt;/Cite&gt;&lt;/EndNote&gt;</w:instrText>
      </w:r>
      <w:r w:rsidRPr="00B92B65">
        <w:rPr>
          <w:szCs w:val="22"/>
        </w:rPr>
        <w:fldChar w:fldCharType="separate"/>
      </w:r>
      <w:r w:rsidRPr="00B92B65">
        <w:rPr>
          <w:szCs w:val="22"/>
        </w:rPr>
        <w:t>(</w:t>
      </w:r>
      <w:hyperlink w:anchor="_ENREF_31" w:tooltip="Gokumakulapalle, 2021 #118" w:history="1">
        <w:r w:rsidR="0027195B" w:rsidRPr="002219B9">
          <w:rPr>
            <w:szCs w:val="22"/>
          </w:rPr>
          <w:t>Gokumakulapalle et al., 2021</w:t>
        </w:r>
      </w:hyperlink>
      <w:r w:rsidRPr="00B92B65">
        <w:rPr>
          <w:szCs w:val="22"/>
        </w:rPr>
        <w:t>)</w:t>
      </w:r>
      <w:r w:rsidRPr="00B92B65">
        <w:rPr>
          <w:szCs w:val="22"/>
        </w:rPr>
        <w:fldChar w:fldCharType="end"/>
      </w:r>
      <w:r w:rsidRPr="00B92B65">
        <w:rPr>
          <w:szCs w:val="22"/>
        </w:rPr>
        <w:t xml:space="preserve"> but could productively infect Vero cells (kidney epithelial) from African green monkey </w:t>
      </w:r>
      <w:r w:rsidRPr="00B92B65">
        <w:rPr>
          <w:szCs w:val="22"/>
        </w:rPr>
        <w:fldChar w:fldCharType="begin"/>
      </w:r>
      <w:r w:rsidRPr="00B92B65">
        <w:rPr>
          <w:szCs w:val="22"/>
        </w:rPr>
        <w:instrText xml:space="preserve"> ADDIN EN.CITE &lt;EndNote&gt;&lt;Cite&gt;&lt;Author&gt;Gokumakulapalle&lt;/Author&gt;&lt;Year&gt;2016&lt;/Year&gt;&lt;RecNum&gt;119&lt;/RecNum&gt;&lt;DisplayText&gt;(Gokumakulapalle and Mei, 2016)&lt;/DisplayText&gt;&lt;record&gt;&lt;rec-number&gt;119&lt;/rec-number&gt;&lt;foreign-keys&gt;&lt;key app="EN" db-id="pzsxp9tvnxtsa6ead0bp00pydtwzsetz0vv2" timestamp="1761799415"&gt;119&lt;/key&gt;&lt;/foreign-keys&gt;&lt;ref-type name="Journal Article"&gt;17&lt;/ref-type&gt;&lt;contributors&gt;&lt;authors&gt;&lt;author&gt;Gokumakulapalle, Madhuri&lt;/author&gt;&lt;author&gt;Mei, Ya-Fang&lt;/author&gt;&lt;/authors&gt;&lt;/contributors&gt;&lt;titles&gt;&lt;title&gt;Replication-competent human adenovirus 11p vectors can propagate in Vero cells&lt;/title&gt;&lt;secondary-title&gt;Virology&lt;/secondary-title&gt;&lt;/titles&gt;&lt;periodical&gt;&lt;full-title&gt;Virology&lt;/full-title&gt;&lt;/periodical&gt;&lt;pages&gt;42-51&lt;/pages&gt;&lt;volume&gt;495&lt;/volume&gt;&lt;keywords&gt;&lt;keyword&gt;Propagate&lt;/keyword&gt;&lt;keyword&gt;RCAd11pGFP vectors&lt;/keyword&gt;&lt;keyword&gt;Vero cells&lt;/keyword&gt;&lt;/keywords&gt;&lt;dates&gt;&lt;year&gt;2016&lt;/year&gt;&lt;pub-dates&gt;&lt;date&gt;2016/08/01/&lt;/date&gt;&lt;/pub-dates&gt;&lt;/dates&gt;&lt;isbn&gt;0042-6822&lt;/isbn&gt;&lt;urls&gt;&lt;related-urls&gt;&lt;url&gt;https://www.sciencedirect.com/science/article/pii/S0042682216300964&lt;/url&gt;&lt;/related-urls&gt;&lt;/urls&gt;&lt;electronic-resource-num&gt;https://doi.org/10.1016/j.virol.2016.04.029&lt;/electronic-resource-num&gt;&lt;/record&gt;&lt;/Cite&gt;&lt;/EndNote&gt;</w:instrText>
      </w:r>
      <w:r w:rsidRPr="00B92B65">
        <w:rPr>
          <w:szCs w:val="22"/>
        </w:rPr>
        <w:fldChar w:fldCharType="separate"/>
      </w:r>
      <w:r w:rsidRPr="00B92B65">
        <w:rPr>
          <w:szCs w:val="22"/>
        </w:rPr>
        <w:t>(</w:t>
      </w:r>
      <w:hyperlink w:anchor="_ENREF_30" w:tooltip="Gokumakulapalle, 2016 #119" w:history="1">
        <w:r w:rsidR="0027195B" w:rsidRPr="002219B9">
          <w:rPr>
            <w:szCs w:val="22"/>
          </w:rPr>
          <w:t>Gokumakulapalle and Mei, 2016</w:t>
        </w:r>
      </w:hyperlink>
      <w:r w:rsidRPr="00B92B65">
        <w:rPr>
          <w:szCs w:val="22"/>
        </w:rPr>
        <w:t>)</w:t>
      </w:r>
      <w:r w:rsidRPr="00B92B65">
        <w:rPr>
          <w:szCs w:val="22"/>
        </w:rPr>
        <w:fldChar w:fldCharType="end"/>
      </w:r>
      <w:r w:rsidR="00C71E2B">
        <w:rPr>
          <w:szCs w:val="22"/>
        </w:rPr>
        <w:t>.</w:t>
      </w:r>
    </w:p>
    <w:p w14:paraId="7CDC13C3" w14:textId="7685CAAC" w:rsidR="00834030" w:rsidRPr="00800C63"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 xml:space="preserve">Transmission of </w:t>
      </w:r>
      <w:proofErr w:type="spellStart"/>
      <w:r w:rsidR="00C71E2B">
        <w:rPr>
          <w:rFonts w:asciiTheme="minorHAnsi" w:hAnsiTheme="minorHAnsi"/>
          <w:szCs w:val="22"/>
        </w:rPr>
        <w:t>H</w:t>
      </w:r>
      <w:r w:rsidRPr="00E52B4D">
        <w:rPr>
          <w:rFonts w:asciiTheme="minorHAnsi" w:hAnsiTheme="minorHAnsi"/>
          <w:szCs w:val="22"/>
        </w:rPr>
        <w:t>AdVs</w:t>
      </w:r>
      <w:proofErr w:type="spellEnd"/>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w:t>
      </w:r>
      <w:r w:rsidR="000B3DDF">
        <w:rPr>
          <w:rFonts w:asciiTheme="minorHAnsi" w:hAnsiTheme="minorHAnsi"/>
          <w:szCs w:val="22"/>
        </w:rPr>
        <w:t xml:space="preserve">respiratory aerosols, </w:t>
      </w:r>
      <w:r w:rsidR="00D22CD7" w:rsidRPr="00E52B4D">
        <w:rPr>
          <w:rFonts w:asciiTheme="minorHAnsi" w:hAnsiTheme="minorHAnsi"/>
          <w:szCs w:val="22"/>
        </w:rPr>
        <w:t xml:space="preserve">conjunctival </w:t>
      </w:r>
      <w:r w:rsidR="0061205C">
        <w:rPr>
          <w:rFonts w:asciiTheme="minorHAnsi" w:hAnsiTheme="minorHAnsi"/>
          <w:szCs w:val="22"/>
        </w:rPr>
        <w:t>secretions</w:t>
      </w:r>
      <w:r w:rsidRPr="00E52B4D">
        <w:rPr>
          <w:rFonts w:asciiTheme="minorHAnsi" w:hAnsiTheme="minorHAnsi"/>
          <w:szCs w:val="22"/>
        </w:rPr>
        <w:t xml:space="preserve"> </w:t>
      </w:r>
      <w:r w:rsidR="00D22CD7" w:rsidRPr="00E52B4D">
        <w:rPr>
          <w:rFonts w:asciiTheme="minorHAnsi" w:hAnsiTheme="minorHAnsi"/>
          <w:szCs w:val="22"/>
        </w:rPr>
        <w:t xml:space="preserve">or </w:t>
      </w:r>
      <w:r w:rsidR="00F725E8">
        <w:rPr>
          <w:rFonts w:asciiTheme="minorHAnsi" w:hAnsiTheme="minorHAnsi"/>
          <w:szCs w:val="22"/>
        </w:rPr>
        <w:t xml:space="preserve">via </w:t>
      </w:r>
      <w:r w:rsidR="00667373">
        <w:rPr>
          <w:rFonts w:asciiTheme="minorHAnsi" w:hAnsiTheme="minorHAnsi"/>
          <w:szCs w:val="22"/>
        </w:rPr>
        <w:t xml:space="preserve">the </w:t>
      </w:r>
      <w:r w:rsidR="00D22CD7" w:rsidRPr="00E52B4D">
        <w:rPr>
          <w:rFonts w:asciiTheme="minorHAnsi" w:hAnsiTheme="minorHAnsi"/>
          <w:szCs w:val="22"/>
        </w:rPr>
        <w:t xml:space="preserve">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OyBMZWlrYXMgZXQgYWwuLCAyMDIzYSk8L0Rpc3BsYXlUZXh0PjxyZWNvcmQ+PHJlYy1udW1iZXI+
OTk8L3JlYy1udW1iZXI+PGZvcmVpZ24ta2V5cz48a2V5IGFwcD0iRU4iIGRiLWlkPSJ2ZXJ3ZTJm
eGo1ZmV2N2VwZno4eHRkdmV6MDI1ZmVzZXplMHoiIHRpbWVzdGFtcD0iMTczMzI3NTExNiI+OTk8
L2tleT48L2ZvcmVpZ24ta2V5cz48cmVmLXR5cGUgbmFtZT0iSm91cm5hbCBBcnRpY2xlIj4xNzwv
cmVmLXR5cGU+PGNvbnRyaWJ1dG9ycz48YXV0aG9ycz48YXV0aG9yPktoYW5hbCwgU3VicmF0PC9h
dXRob3I+PGF1dGhvcj5HaGltaXJlLCBQcmFuaXRhPC9hdXRob3I+PGF1dGhvcj5EaGFtb29uLCBB
bWl0IFMuPC9hdXRob3I+PC9hdXRob3JzPjwvY29udHJpYnV0b3JzPjx0aXRsZXM+PHRpdGxlPlRo
ZSBSZXBlcnRvaXJlIG9mIEFkZW5vdmlydXMgaW4gSHVtYW4gRGlzZWFzZTogVGhlIElubm9jdW91
cyB0byB0aGUgRGVhZGx5PC90aXRsZT48c2Vjb25kYXJ5LXRpdGxlPkJpb21lZGljaW5lczwvc2Vj
b25kYXJ5LXRpdGxlPjxhbHQtdGl0bGU+QmlvbWVkaWNpbmVzPC9hbHQtdGl0bGU+PC90aXRsZXM+
PHBlcmlvZGljYWw+PGZ1bGwtdGl0bGU+QmlvbWVkaWNpbmVzPC9mdWxsLXRpdGxlPjxhYmJyLTE+
QmlvbWVkaWNpbmVzPC9hYmJyLTE+PC9wZXJpb2RpY2FsPjxhbHQtcGVyaW9kaWNhbD48ZnVsbC10
aXRsZT5CaW9tZWRpY2luZXM8L2Z1bGwtdGl0bGU+PGFiYnItMT5CaW9tZWRpY2luZXM8L2FiYnIt
MT48L2FsdC1wZXJpb2RpY2FsPjxwYWdlcz4zMDwvcGFnZXM+PHZvbHVtZT42PC92b2x1bWU+PG51
bWJlcj4xPC9udW1iZXI+PGtleXdvcmRzPjxrZXl3b3JkPmFkZW5vdmlydXM8L2tleXdvcmQ+PGtl
eXdvcmQ+YmlvbG9neTwva2V5d29yZD48a2V5d29yZD5pbW11bm9jb21wZXRlbnQ8L2tleXdvcmQ+
PGtleXdvcmQ+aW1tdW5vY29tcHJvbWlzZWQ8L2tleXdvcmQ+PC9rZXl3b3Jkcz48ZGF0ZXM+PHll
YXI+MjAxODwveWVhcj48L2RhdGVzPjxwdWJsaXNoZXI+TURQSTwvcHVibGlzaGVyPjxpc2JuPjIy
MjctOTA1OTwvaXNibj48YWNjZXNzaW9uLW51bT4yOTUxODk4NTwvYWNjZXNzaW9uLW51bT48dXJs
cz48cmVsYXRlZC11cmxzPjx1cmw+aHR0cHM6Ly9wdWJtZWQubmNiaS5ubG0ubmloLmdvdi8yOTUx
ODk4NTwvdXJsPjx1cmw+aHR0cHM6Ly93d3cubmNiaS5ubG0ubmloLmdvdi9wbWMvYXJ0aWNsZXMv
UE1DNTg3NDY4Ny88L3VybD48L3JlbGF0ZWQtdXJscz48L3VybHM+PGVsZWN0cm9uaWMtcmVzb3Vy
Y2UtbnVtPjEwLjMzOTAvYmlvbWVkaWNpbmVzNjAxMDAzMDwvZWxlY3Ryb25pYy1yZXNvdXJjZS1u
dW0+PHJlbW90ZS1kYXRhYmFzZS1uYW1lPlB1Yk1lZDwvcmVtb3RlLWRhdGFiYXNlLW5hbWU+PGxh
bmd1YWdlPmVuZzwvbGFuZ3VhZ2U+PC9yZWNvcmQ+PC9DaXRlPjxDaXRlPjxBdXRob3I+QWxsYXJk
IGFuZCBWYW50YXJha2lzPC9BdXRob3I+PFllYXI+MjAxNzwvWWVhcj48UmVjTnVtPjI1PC9SZWNO
dW0+PHJlY29yZD48cmVjLW51bWJlcj4yNTwvcmVjLW51bWJlcj48Zm9yZWlnbi1rZXlzPjxrZXkg
YXBwPSJFTiIgZGItaWQ9ImRwYXNlMmUyb3o1cndjZTlhenNwcDk1bmY5eHZzd3hwMnJ2ZCIgdGlt
ZXN0YW1wPSIxNzY1MjQzNjc4Ij4yNTwva2V5PjwvZm9yZWlnbi1rZXlzPjxyZWYtdHlwZSBuYW1l
PSJCb29rIj42PC9yZWYtdHlwZT48Y29udHJpYnV0b3JzPjxhdXRob3JzPjxhdXRob3I+QWxsYXJk
IGFuZCBWYW50YXJha2lzLDwvYXV0aG9yPjwvYXV0aG9ycz48L2NvbnRyaWJ1dG9ycz48dGl0bGVz
Pjx0aXRsZT5BZGVub3ZpcnVzZXMuPC90aXRsZT48L3RpdGxlcz48ZGF0ZXM+PHllYXI+MjAxNzwv
eWVhcj48L2RhdGVzPjxwdWItbG9jYXRpb24+SW46IEouQi4gUm9zZSBhbmQgQi4gSmltw6luZXot
Q2lzbmVyb3MsIChlZHMpIEdsb2JhbCBXYXRlciBQYXRob2dlbiBQcm9qZWN0LiAgIGh0dHA6Ly93
d3cud2F0ZXJwYXRob2dlbnMub3JnIChKLlMgTWVzY2hrZSwgYW5kIFIuIEdpcm9uZXMgKGVkcykg
UGFydCAzIFZpcnVzZXMpIGh0dHA6Ly93d3cud2F0ZXJwYXRob2dlbnMub3JnL2Jvb2svYWRlbm92
aXJ1c2VzIE1pY2hpZ2FuIFN0YXRlIFVuaXZlcnNpdHksIEUuIExhbnNpbmcsIE1JLCBVTkVTQ08u
IGh0dHBzOi8vZG9pLm9yZy8xMC4xNDMyMS93YXRlcnBhdGhvZ2Vucy4xMTwvcHViLWxvY2F0aW9u
Pjx1cmxzPjxyZWxhdGVkLXVybHM+PHVybD5odHRwczovL3d3dy53YXRlcnBhdGhvZ2Vucy5vcmcv
Ym9vay9hZGVub3ZpcnVzZXM8L3VybD48L3JlbGF0ZWQtdXJscz48L3VybHM+PC9yZWNvcmQ+PC9D
aXRlPjxDaXRlPjxBdXRob3I+R3JheTwvQXV0aG9yPjxZZWFyPjIwMTg8L1llYXI+PFJlY051bT4x
MDA8L1JlY051bT48cmVjb3JkPjxyZWMtbnVtYmVyPjEwMDwvcmVjLW51bWJlcj48Zm9yZWlnbi1r
ZXlzPjxrZXkgYXBwPSJFTiIgZGItaWQ9InZlcndlMmZ4ajVmZXY3ZXBmejh4dGR2ZXowMjVmZXNl
emUweiIgdGltZXN0YW1wPSIxNzMzMjc1MTE2Ij4xMDA8L2tleT48L2ZvcmVpZ24ta2V5cz48cmVm
LXR5cGUgbmFtZT0iSm91cm5hbCBBcnRpY2xlIj4xNzwvcmVmLXR5cGU+PGNvbnRyaWJ1dG9ycz48
YXV0aG9ycz48YXV0aG9yPkdyYXksIEdyZWdvcnkgQy48L2F1dGhvcj48YXV0aG9yPkVyZG1hbiwg
RGVhbiBELjwvYXV0aG9yPjwvYXV0aG9ycz48L2NvbnRyaWJ1dG9ycz48dGl0bGVzPjx0aXRsZT5B
ZGVub3ZpcnVzIFZhY2NpbmVzPC90aXRsZT48c2Vjb25kYXJ5LXRpdGxlPlBsb3RraW4mYXBvcztz
IFZhY2NpbmVzPC9zZWNvbmRhcnktdGl0bGU+PGFsdC10aXRsZT5QbG90a2luJmFwb3M7cyBWYWNj
aW5lczwvYWx0LXRpdGxlPjwvdGl0bGVzPjxwZXJpb2RpY2FsPjxmdWxsLXRpdGxlPlBsb3RraW4m
YXBvcztzIFZhY2NpbmVzPC9mdWxsLXRpdGxlPjxhYmJyLTE+UGxvdGtpbiZhcG9zO3MgVmFjY2lu
ZXM8L2FiYnItMT48L3BlcmlvZGljYWw+PGFsdC1wZXJpb2RpY2FsPjxmdWxsLXRpdGxlPlBsb3Rr
aW4mYXBvcztzIFZhY2NpbmVzPC9mdWxsLXRpdGxlPjxhYmJyLTE+UGxvdGtpbiZhcG9zO3MgVmFj
Y2luZXM8L2FiYnItMT48L2FsdC1wZXJpb2RpY2FsPjxwYWdlcz4xMjEtMTMzLmU4PC9wYWdlcz48
ZWRpdGlvbj4yMDE3LzA3LzE3PC9lZGl0aW9uPjxkYXRlcz48eWVhcj4yMDE4PC95ZWFyPjwvZGF0
ZXM+PGFjY2Vzc2lvbi1udW0+UE1DNzE1MTg4NTwvYWNjZXNzaW9uLW51bT48dXJscz48cmVsYXRl
ZC11cmxzPjx1cmw+aHR0cHM6Ly93d3cubmNiaS5ubG0ubmloLmdvdi9wbWMvYXJ0aWNsZXMvUE1D
NzE1MTg4NS88L3VybD48L3JlbGF0ZWQtdXJscz48L3VybHM+PGVsZWN0cm9uaWMtcmVzb3VyY2Ut
bnVtPjEwLjEwMTYvQjk3OC0wLTMyMy0zNTc2MS02LjAwMDEwLTk8L2VsZWN0cm9uaWMtcmVzb3Vy
Y2UtbnVtPjxyZW1vdGUtZGF0YWJhc2UtbmFtZT5QTUM8L3JlbW90ZS1kYXRhYmFzZS1uYW1lPjxs
YW5ndWFnZT5lbmc8L2xhbmd1YWdlPjwvcmVjb3JkPjwvQ2l0ZT48Q2l0ZT48QXV0aG9yPkNEQzwv
QXV0aG9yPjxZZWFyPjIwMTk8L1llYXI+PFJlY051bT4xMDE8L1JlY051bT48cmVjb3JkPjxyZWMt
bnVtYmVyPjEwMTwvcmVjLW51bWJlcj48Zm9yZWlnbi1rZXlzPjxrZXkgYXBwPSJFTiIgZGItaWQ9
InZlcndlMmZ4ajVmZXY3ZXBmejh4dGR2ZXowMjVmZXNlemUweiIgdGltZXN0YW1wPSIxNzMzMjc1
MTE2Ij4xMDE8L2tleT48L2ZvcmVpZ24ta2V5cz48cmVmLXR5cGUgbmFtZT0iV2ViIFBhZ2UiPjEy
PC9yZWYtdHlwZT48Y29udHJpYnV0b3JzPjxhdXRob3JzPjxhdXRob3I+Q0RDIDwvYXV0aG9yPjwv
YXV0aG9ycz48L2NvbnRyaWJ1dG9ycz48dGl0bGVzPjx0aXRsZT5BZGVub3ZpcnVzZXMgLSBUcmFu
c21pc3Npb248L3RpdGxlPjwvdGl0bGVzPjxudW1iZXI+RGVjZW1iZXIgMjAyMDwvbnVtYmVyPjxk
YXRlcz48eWVhcj4yMDE5PC95ZWFyPjwvZGF0ZXM+PHVybHM+PHJlbGF0ZWQtdXJscz48dXJsPmh0
dHBzOi8vd3d3LmNkYy5nb3YvYWRlbm92aXJ1cy9hYm91dC90cmFuc21pc3Npb24uaHRtbDwvdXJs
PjwvcmVsYXRlZC11cmxzPjwvdXJscz48YWNjZXNzLWRhdGU+SmFudWFyeSAyMDIwPC9hY2Nlc3Mt
ZGF0ZT48L3JlY29yZD48L0NpdGU+PENpdGU+PEF1dGhvcj5MZWlrYXM8L0F1dGhvcj48WWVhcj4y
MDIzPC9ZZWFyPjxSZWNOdW0+MTYzPC9SZWNOdW0+PHJlY29yZD48cmVjLW51bWJlcj4xNjM8L3Jl
Yy1udW1iZXI+PGZvcmVpZ24ta2V5cz48a2V5IGFwcD0iRU4iIGRiLWlkPSJ2ZXJ3ZTJmeGo1ZmV2
N2VwZno4eHRkdmV6MDI1ZmVzZXplMHoiIHRpbWVzdGFtcD0iMTczMzI3NTM5MyI+MTYzPC9rZXk+
PC9mb3JlaWduLWtleXM+PHJlZi10eXBlIG5hbWU9IkpvdXJuYWwgQXJ0aWNsZSI+MTc8L3JlZi10
eXBlPjxjb250cmlidXRvcnM+PGF1dGhvcnM+PGF1dGhvcj5MZWlrYXMsIEFsZWtzaSBKPC9hdXRo
b3I+PGF1dGhvcj5ZbMOkLUhlcnR0dWFsYSwgU2VwcG88L2F1dGhvcj48YXV0aG9yPkhhcnRpa2Fp
bmVuLCBKdWhhIEVLPC9hdXRob3I+PC9hdXRob3JzPjwvY29udHJpYnV0b3JzPjx0aXRsZXM+PHRp
dGxlPkFkZW5vdmlyYWwgR2VuZSBUaGVyYXB5IFZlY3RvcnMgaW4gQ2xpbmljYWwgVXNl4oCUQmFz
aWMgQXNwZWN0cyB3aXRoIGEgU3BlY2lhbCBSZWZlcmVuY2UgdG8gUmVwbGljYXRpb24tQ29tcGV0
ZW50IEFkZW5vdmlydXMgRm9ybWF0aW9uIGFuZCBJdHMgSW1wYWN0IG9uIENsaW5pY2FsIFNhZmV0
eTwvdGl0bGU+PHNlY29uZGFyeS10aXRsZT5JbnRlcm5hdGlvbmFsIEpvdXJuYWwgb2YgTW9sZWN1
bGFyIFNjaWVuY2VzPC9zZWNvbmRhcnktdGl0bGU+PC90aXRsZXM+PHBlcmlvZGljYWw+PGZ1bGwt
dGl0bGU+SW50ZXJuYXRpb25hbCBKb3VybmFsIG9mIE1vbGVjdWxhciBTY2llbmNlczwvZnVsbC10
aXRsZT48L3BlcmlvZGljYWw+PHBhZ2VzPjE2NTE5PC9wYWdlcz48dm9sdW1lPjI0PC92b2x1bWU+
PG51bWJlcj4yMjwvbnVtYmVyPjxkYXRlcz48eWVhcj4yMDIzPC95ZWFyPjwvZGF0ZXM+PGlzYm4+
MTQyMi0wMDY3PC9pc2JuPjx1cmxzPjwvdXJscz48L3JlY29yZD48L0NpdGU+PC9FbmROb3RlPgB=
</w:fldData>
        </w:fldChar>
      </w:r>
      <w:r w:rsidR="00AE6FB5">
        <w:rPr>
          <w:rFonts w:asciiTheme="minorHAnsi" w:hAnsiTheme="minorHAnsi"/>
          <w:szCs w:val="22"/>
        </w:rPr>
        <w:instrText xml:space="preserve"> ADDIN EN.CITE </w:instrText>
      </w:r>
      <w:r w:rsidR="00AE6FB5">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OyBMZWlrYXMgZXQgYWwuLCAyMDIzYSk8L0Rpc3BsYXlUZXh0PjxyZWNvcmQ+PHJlYy1udW1iZXI+
OTk8L3JlYy1udW1iZXI+PGZvcmVpZ24ta2V5cz48a2V5IGFwcD0iRU4iIGRiLWlkPSJ2ZXJ3ZTJm
eGo1ZmV2N2VwZno4eHRkdmV6MDI1ZmVzZXplMHoiIHRpbWVzdGFtcD0iMTczMzI3NTExNiI+OTk8
L2tleT48L2ZvcmVpZ24ta2V5cz48cmVmLXR5cGUgbmFtZT0iSm91cm5hbCBBcnRpY2xlIj4xNzwv
cmVmLXR5cGU+PGNvbnRyaWJ1dG9ycz48YXV0aG9ycz48YXV0aG9yPktoYW5hbCwgU3VicmF0PC9h
dXRob3I+PGF1dGhvcj5HaGltaXJlLCBQcmFuaXRhPC9hdXRob3I+PGF1dGhvcj5EaGFtb29uLCBB
bWl0IFMuPC9hdXRob3I+PC9hdXRob3JzPjwvY29udHJpYnV0b3JzPjx0aXRsZXM+PHRpdGxlPlRo
ZSBSZXBlcnRvaXJlIG9mIEFkZW5vdmlydXMgaW4gSHVtYW4gRGlzZWFzZTogVGhlIElubm9jdW91
cyB0byB0aGUgRGVhZGx5PC90aXRsZT48c2Vjb25kYXJ5LXRpdGxlPkJpb21lZGljaW5lczwvc2Vj
b25kYXJ5LXRpdGxlPjxhbHQtdGl0bGU+QmlvbWVkaWNpbmVzPC9hbHQtdGl0bGU+PC90aXRsZXM+
PHBlcmlvZGljYWw+PGZ1bGwtdGl0bGU+QmlvbWVkaWNpbmVzPC9mdWxsLXRpdGxlPjxhYmJyLTE+
QmlvbWVkaWNpbmVzPC9hYmJyLTE+PC9wZXJpb2RpY2FsPjxhbHQtcGVyaW9kaWNhbD48ZnVsbC10
aXRsZT5CaW9tZWRpY2luZXM8L2Z1bGwtdGl0bGU+PGFiYnItMT5CaW9tZWRpY2luZXM8L2FiYnIt
MT48L2FsdC1wZXJpb2RpY2FsPjxwYWdlcz4zMDwvcGFnZXM+PHZvbHVtZT42PC92b2x1bWU+PG51
bWJlcj4xPC9udW1iZXI+PGtleXdvcmRzPjxrZXl3b3JkPmFkZW5vdmlydXM8L2tleXdvcmQ+PGtl
eXdvcmQ+YmlvbG9neTwva2V5d29yZD48a2V5d29yZD5pbW11bm9jb21wZXRlbnQ8L2tleXdvcmQ+
PGtleXdvcmQ+aW1tdW5vY29tcHJvbWlzZWQ8L2tleXdvcmQ+PC9rZXl3b3Jkcz48ZGF0ZXM+PHll
YXI+MjAxODwveWVhcj48L2RhdGVzPjxwdWJsaXNoZXI+TURQSTwvcHVibGlzaGVyPjxpc2JuPjIy
MjctOTA1OTwvaXNibj48YWNjZXNzaW9uLW51bT4yOTUxODk4NTwvYWNjZXNzaW9uLW51bT48dXJs
cz48cmVsYXRlZC11cmxzPjx1cmw+aHR0cHM6Ly9wdWJtZWQubmNiaS5ubG0ubmloLmdvdi8yOTUx
ODk4NTwvdXJsPjx1cmw+aHR0cHM6Ly93d3cubmNiaS5ubG0ubmloLmdvdi9wbWMvYXJ0aWNsZXMv
UE1DNTg3NDY4Ny88L3VybD48L3JlbGF0ZWQtdXJscz48L3VybHM+PGVsZWN0cm9uaWMtcmVzb3Vy
Y2UtbnVtPjEwLjMzOTAvYmlvbWVkaWNpbmVzNjAxMDAzMDwvZWxlY3Ryb25pYy1yZXNvdXJjZS1u
dW0+PHJlbW90ZS1kYXRhYmFzZS1uYW1lPlB1Yk1lZDwvcmVtb3RlLWRhdGFiYXNlLW5hbWU+PGxh
bmd1YWdlPmVuZzwvbGFuZ3VhZ2U+PC9yZWNvcmQ+PC9DaXRlPjxDaXRlPjxBdXRob3I+QWxsYXJk
IGFuZCBWYW50YXJha2lzPC9BdXRob3I+PFllYXI+MjAxNzwvWWVhcj48UmVjTnVtPjI1PC9SZWNO
dW0+PHJlY29yZD48cmVjLW51bWJlcj4yNTwvcmVjLW51bWJlcj48Zm9yZWlnbi1rZXlzPjxrZXkg
YXBwPSJFTiIgZGItaWQ9ImRwYXNlMmUyb3o1cndjZTlhenNwcDk1bmY5eHZzd3hwMnJ2ZCIgdGlt
ZXN0YW1wPSIxNzY1MjQzNjc4Ij4yNTwva2V5PjwvZm9yZWlnbi1rZXlzPjxyZWYtdHlwZSBuYW1l
PSJCb29rIj42PC9yZWYtdHlwZT48Y29udHJpYnV0b3JzPjxhdXRob3JzPjxhdXRob3I+QWxsYXJk
IGFuZCBWYW50YXJha2lzLDwvYXV0aG9yPjwvYXV0aG9ycz48L2NvbnRyaWJ1dG9ycz48dGl0bGVz
Pjx0aXRsZT5BZGVub3ZpcnVzZXMuPC90aXRsZT48L3RpdGxlcz48ZGF0ZXM+PHllYXI+MjAxNzwv
eWVhcj48L2RhdGVzPjxwdWItbG9jYXRpb24+SW46IEouQi4gUm9zZSBhbmQgQi4gSmltw6luZXot
Q2lzbmVyb3MsIChlZHMpIEdsb2JhbCBXYXRlciBQYXRob2dlbiBQcm9qZWN0LiAgIGh0dHA6Ly93
d3cud2F0ZXJwYXRob2dlbnMub3JnIChKLlMgTWVzY2hrZSwgYW5kIFIuIEdpcm9uZXMgKGVkcykg
UGFydCAzIFZpcnVzZXMpIGh0dHA6Ly93d3cud2F0ZXJwYXRob2dlbnMub3JnL2Jvb2svYWRlbm92
aXJ1c2VzIE1pY2hpZ2FuIFN0YXRlIFVuaXZlcnNpdHksIEUuIExhbnNpbmcsIE1JLCBVTkVTQ08u
IGh0dHBzOi8vZG9pLm9yZy8xMC4xNDMyMS93YXRlcnBhdGhvZ2Vucy4xMTwvcHViLWxvY2F0aW9u
Pjx1cmxzPjxyZWxhdGVkLXVybHM+PHVybD5odHRwczovL3d3dy53YXRlcnBhdGhvZ2Vucy5vcmcv
Ym9vay9hZGVub3ZpcnVzZXM8L3VybD48L3JlbGF0ZWQtdXJscz48L3VybHM+PC9yZWNvcmQ+PC9D
aXRlPjxDaXRlPjxBdXRob3I+R3JheTwvQXV0aG9yPjxZZWFyPjIwMTg8L1llYXI+PFJlY051bT4x
MDA8L1JlY051bT48cmVjb3JkPjxyZWMtbnVtYmVyPjEwMDwvcmVjLW51bWJlcj48Zm9yZWlnbi1r
ZXlzPjxrZXkgYXBwPSJFTiIgZGItaWQ9InZlcndlMmZ4ajVmZXY3ZXBmejh4dGR2ZXowMjVmZXNl
emUweiIgdGltZXN0YW1wPSIxNzMzMjc1MTE2Ij4xMDA8L2tleT48L2ZvcmVpZ24ta2V5cz48cmVm
LXR5cGUgbmFtZT0iSm91cm5hbCBBcnRpY2xlIj4xNzwvcmVmLXR5cGU+PGNvbnRyaWJ1dG9ycz48
YXV0aG9ycz48YXV0aG9yPkdyYXksIEdyZWdvcnkgQy48L2F1dGhvcj48YXV0aG9yPkVyZG1hbiwg
RGVhbiBELjwvYXV0aG9yPjwvYXV0aG9ycz48L2NvbnRyaWJ1dG9ycz48dGl0bGVzPjx0aXRsZT5B
ZGVub3ZpcnVzIFZhY2NpbmVzPC90aXRsZT48c2Vjb25kYXJ5LXRpdGxlPlBsb3RraW4mYXBvcztz
IFZhY2NpbmVzPC9zZWNvbmRhcnktdGl0bGU+PGFsdC10aXRsZT5QbG90a2luJmFwb3M7cyBWYWNj
aW5lczwvYWx0LXRpdGxlPjwvdGl0bGVzPjxwZXJpb2RpY2FsPjxmdWxsLXRpdGxlPlBsb3RraW4m
YXBvcztzIFZhY2NpbmVzPC9mdWxsLXRpdGxlPjxhYmJyLTE+UGxvdGtpbiZhcG9zO3MgVmFjY2lu
ZXM8L2FiYnItMT48L3BlcmlvZGljYWw+PGFsdC1wZXJpb2RpY2FsPjxmdWxsLXRpdGxlPlBsb3Rr
aW4mYXBvcztzIFZhY2NpbmVzPC9mdWxsLXRpdGxlPjxhYmJyLTE+UGxvdGtpbiZhcG9zO3MgVmFj
Y2luZXM8L2FiYnItMT48L2FsdC1wZXJpb2RpY2FsPjxwYWdlcz4xMjEtMTMzLmU4PC9wYWdlcz48
ZWRpdGlvbj4yMDE3LzA3LzE3PC9lZGl0aW9uPjxkYXRlcz48eWVhcj4yMDE4PC95ZWFyPjwvZGF0
ZXM+PGFjY2Vzc2lvbi1udW0+UE1DNzE1MTg4NTwvYWNjZXNzaW9uLW51bT48dXJscz48cmVsYXRl
ZC11cmxzPjx1cmw+aHR0cHM6Ly93d3cubmNiaS5ubG0ubmloLmdvdi9wbWMvYXJ0aWNsZXMvUE1D
NzE1MTg4NS88L3VybD48L3JlbGF0ZWQtdXJscz48L3VybHM+PGVsZWN0cm9uaWMtcmVzb3VyY2Ut
bnVtPjEwLjEwMTYvQjk3OC0wLTMyMy0zNTc2MS02LjAwMDEwLTk8L2VsZWN0cm9uaWMtcmVzb3Vy
Y2UtbnVtPjxyZW1vdGUtZGF0YWJhc2UtbmFtZT5QTUM8L3JlbW90ZS1kYXRhYmFzZS1uYW1lPjxs
YW5ndWFnZT5lbmc8L2xhbmd1YWdlPjwvcmVjb3JkPjwvQ2l0ZT48Q2l0ZT48QXV0aG9yPkNEQzwv
QXV0aG9yPjxZZWFyPjIwMTk8L1llYXI+PFJlY051bT4xMDE8L1JlY051bT48cmVjb3JkPjxyZWMt
bnVtYmVyPjEwMTwvcmVjLW51bWJlcj48Zm9yZWlnbi1rZXlzPjxrZXkgYXBwPSJFTiIgZGItaWQ9
InZlcndlMmZ4ajVmZXY3ZXBmejh4dGR2ZXowMjVmZXNlemUweiIgdGltZXN0YW1wPSIxNzMzMjc1
MTE2Ij4xMDE8L2tleT48L2ZvcmVpZ24ta2V5cz48cmVmLXR5cGUgbmFtZT0iV2ViIFBhZ2UiPjEy
PC9yZWYtdHlwZT48Y29udHJpYnV0b3JzPjxhdXRob3JzPjxhdXRob3I+Q0RDIDwvYXV0aG9yPjwv
YXV0aG9ycz48L2NvbnRyaWJ1dG9ycz48dGl0bGVzPjx0aXRsZT5BZGVub3ZpcnVzZXMgLSBUcmFu
c21pc3Npb248L3RpdGxlPjwvdGl0bGVzPjxudW1iZXI+RGVjZW1iZXIgMjAyMDwvbnVtYmVyPjxk
YXRlcz48eWVhcj4yMDE5PC95ZWFyPjwvZGF0ZXM+PHVybHM+PHJlbGF0ZWQtdXJscz48dXJsPmh0
dHBzOi8vd3d3LmNkYy5nb3YvYWRlbm92aXJ1cy9hYm91dC90cmFuc21pc3Npb24uaHRtbDwvdXJs
PjwvcmVsYXRlZC11cmxzPjwvdXJscz48YWNjZXNzLWRhdGU+SmFudWFyeSAyMDIwPC9hY2Nlc3Mt
ZGF0ZT48L3JlY29yZD48L0NpdGU+PENpdGU+PEF1dGhvcj5MZWlrYXM8L0F1dGhvcj48WWVhcj4y
MDIzPC9ZZWFyPjxSZWNOdW0+MTYzPC9SZWNOdW0+PHJlY29yZD48cmVjLW51bWJlcj4xNjM8L3Jl
Yy1udW1iZXI+PGZvcmVpZ24ta2V5cz48a2V5IGFwcD0iRU4iIGRiLWlkPSJ2ZXJ3ZTJmeGo1ZmV2
N2VwZno4eHRkdmV6MDI1ZmVzZXplMHoiIHRpbWVzdGFtcD0iMTczMzI3NTM5MyI+MTYzPC9rZXk+
PC9mb3JlaWduLWtleXM+PHJlZi10eXBlIG5hbWU9IkpvdXJuYWwgQXJ0aWNsZSI+MTc8L3JlZi10
eXBlPjxjb250cmlidXRvcnM+PGF1dGhvcnM+PGF1dGhvcj5MZWlrYXMsIEFsZWtzaSBKPC9hdXRo
b3I+PGF1dGhvcj5ZbMOkLUhlcnR0dWFsYSwgU2VwcG88L2F1dGhvcj48YXV0aG9yPkhhcnRpa2Fp
bmVuLCBKdWhhIEVLPC9hdXRob3I+PC9hdXRob3JzPjwvY29udHJpYnV0b3JzPjx0aXRsZXM+PHRp
dGxlPkFkZW5vdmlyYWwgR2VuZSBUaGVyYXB5IFZlY3RvcnMgaW4gQ2xpbmljYWwgVXNl4oCUQmFz
aWMgQXNwZWN0cyB3aXRoIGEgU3BlY2lhbCBSZWZlcmVuY2UgdG8gUmVwbGljYXRpb24tQ29tcGV0
ZW50IEFkZW5vdmlydXMgRm9ybWF0aW9uIGFuZCBJdHMgSW1wYWN0IG9uIENsaW5pY2FsIFNhZmV0
eTwvdGl0bGU+PHNlY29uZGFyeS10aXRsZT5JbnRlcm5hdGlvbmFsIEpvdXJuYWwgb2YgTW9sZWN1
bGFyIFNjaWVuY2VzPC9zZWNvbmRhcnktdGl0bGU+PC90aXRsZXM+PHBlcmlvZGljYWw+PGZ1bGwt
dGl0bGU+SW50ZXJuYXRpb25hbCBKb3VybmFsIG9mIE1vbGVjdWxhciBTY2llbmNlczwvZnVsbC10
aXRsZT48L3BlcmlvZGljYWw+PHBhZ2VzPjE2NTE5PC9wYWdlcz48dm9sdW1lPjI0PC92b2x1bWU+
PG51bWJlcj4yMjwvbnVtYmVyPjxkYXRlcz48eWVhcj4yMDIzPC95ZWFyPjwvZGF0ZXM+PGlzYm4+
MTQyMi0wMDY3PC9pc2JuPjx1cmxzPjwvdXJscz48L3JlY29yZD48L0NpdGU+PC9FbmROb3RlPgB=
</w:fldData>
        </w:fldChar>
      </w:r>
      <w:r w:rsidR="00AE6FB5">
        <w:rPr>
          <w:rFonts w:asciiTheme="minorHAnsi" w:hAnsiTheme="minorHAnsi"/>
          <w:szCs w:val="22"/>
        </w:rPr>
        <w:instrText xml:space="preserve"> ADDIN EN.CITE.DATA </w:instrText>
      </w:r>
      <w:r w:rsidR="00AE6FB5">
        <w:rPr>
          <w:rFonts w:asciiTheme="minorHAnsi" w:hAnsiTheme="minorHAnsi"/>
          <w:szCs w:val="22"/>
        </w:rPr>
      </w:r>
      <w:r w:rsidR="00AE6FB5">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AE6FB5">
        <w:rPr>
          <w:rFonts w:asciiTheme="minorHAnsi" w:hAnsiTheme="minorHAnsi"/>
          <w:noProof/>
          <w:szCs w:val="22"/>
        </w:rPr>
        <w:t>(</w:t>
      </w:r>
      <w:hyperlink w:anchor="_ENREF_6" w:tooltip="Allard and Vantarakis, 2017 #25" w:history="1">
        <w:r w:rsidR="0027195B">
          <w:rPr>
            <w:rFonts w:asciiTheme="minorHAnsi" w:hAnsiTheme="minorHAnsi"/>
            <w:noProof/>
            <w:szCs w:val="22"/>
          </w:rPr>
          <w:t>Allard and Vantarakis, 2017</w:t>
        </w:r>
      </w:hyperlink>
      <w:r w:rsidR="00AE6FB5">
        <w:rPr>
          <w:rFonts w:asciiTheme="minorHAnsi" w:hAnsiTheme="minorHAnsi"/>
          <w:noProof/>
          <w:szCs w:val="22"/>
        </w:rPr>
        <w:t xml:space="preserve">; </w:t>
      </w:r>
      <w:hyperlink w:anchor="_ENREF_16" w:tooltip="CDC, 2019 #101" w:history="1">
        <w:r w:rsidR="0027195B">
          <w:rPr>
            <w:rFonts w:asciiTheme="minorHAnsi" w:hAnsiTheme="minorHAnsi"/>
            <w:noProof/>
            <w:szCs w:val="22"/>
          </w:rPr>
          <w:t>CDC, 2019b</w:t>
        </w:r>
      </w:hyperlink>
      <w:r w:rsidR="00AE6FB5">
        <w:rPr>
          <w:rFonts w:asciiTheme="minorHAnsi" w:hAnsiTheme="minorHAnsi"/>
          <w:noProof/>
          <w:szCs w:val="22"/>
        </w:rPr>
        <w:t xml:space="preserve">; </w:t>
      </w:r>
      <w:hyperlink w:anchor="_ENREF_32" w:tooltip="Gray, 2018 #100" w:history="1">
        <w:r w:rsidR="0027195B">
          <w:rPr>
            <w:rFonts w:asciiTheme="minorHAnsi" w:hAnsiTheme="minorHAnsi"/>
            <w:noProof/>
            <w:szCs w:val="22"/>
          </w:rPr>
          <w:t>Gray and Erdman, 2018</w:t>
        </w:r>
      </w:hyperlink>
      <w:r w:rsidR="00AE6FB5">
        <w:rPr>
          <w:rFonts w:asciiTheme="minorHAnsi" w:hAnsiTheme="minorHAnsi"/>
          <w:noProof/>
          <w:szCs w:val="22"/>
        </w:rPr>
        <w:t xml:space="preserve">; </w:t>
      </w:r>
      <w:hyperlink w:anchor="_ENREF_45" w:tooltip="Khanal, 2018 #99" w:history="1">
        <w:r w:rsidR="0027195B">
          <w:rPr>
            <w:rFonts w:asciiTheme="minorHAnsi" w:hAnsiTheme="minorHAnsi"/>
            <w:noProof/>
            <w:szCs w:val="22"/>
          </w:rPr>
          <w:t>Khanal et al., 2018</w:t>
        </w:r>
      </w:hyperlink>
      <w:r w:rsidR="00AE6FB5">
        <w:rPr>
          <w:rFonts w:asciiTheme="minorHAnsi" w:hAnsiTheme="minorHAnsi"/>
          <w:noProof/>
          <w:szCs w:val="22"/>
        </w:rPr>
        <w:t xml:space="preserve">; </w:t>
      </w:r>
      <w:hyperlink w:anchor="_ENREF_50" w:tooltip="Leikas, 2023 #163" w:history="1">
        <w:r w:rsidR="0027195B">
          <w:rPr>
            <w:rFonts w:asciiTheme="minorHAnsi" w:hAnsiTheme="minorHAnsi"/>
            <w:noProof/>
            <w:szCs w:val="22"/>
          </w:rPr>
          <w:t>Leikas et al., 2023a</w:t>
        </w:r>
      </w:hyperlink>
      <w:r w:rsidR="00AE6FB5">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245BC5">
        <w:rPr>
          <w:rFonts w:asciiTheme="minorHAnsi" w:hAnsi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6" w:tooltip="Allard and Vantarakis, 2017 #25" w:history="1">
        <w:r w:rsidR="0027195B">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r w:rsidR="00901505" w:rsidRPr="00800C63">
        <w:rPr>
          <w:rFonts w:asciiTheme="minorHAnsi" w:hAnsiTheme="minorHAnsi"/>
          <w:szCs w:val="22"/>
        </w:rPr>
        <w:t>T</w:t>
      </w:r>
      <w:r w:rsidR="0094001D" w:rsidRPr="00800C63">
        <w:rPr>
          <w:rFonts w:asciiTheme="minorHAnsi" w:hAnsiTheme="minorHAnsi"/>
          <w:szCs w:val="22"/>
        </w:rPr>
        <w:t xml:space="preserve">he infectious dose for </w:t>
      </w:r>
      <w:proofErr w:type="spellStart"/>
      <w:r w:rsidR="0094001D" w:rsidRPr="00800C63">
        <w:rPr>
          <w:rFonts w:asciiTheme="minorHAnsi" w:hAnsiTheme="minorHAnsi"/>
          <w:szCs w:val="22"/>
        </w:rPr>
        <w:t>AdV</w:t>
      </w:r>
      <w:proofErr w:type="spellEnd"/>
      <w:r w:rsidR="0094001D" w:rsidRPr="00800C63">
        <w:rPr>
          <w:rFonts w:asciiTheme="minorHAnsi" w:hAnsiTheme="minorHAnsi"/>
          <w:szCs w:val="22"/>
        </w:rPr>
        <w:t xml:space="preserve"> serotype 7 is more than 150 viral units, administered as nasal drops, but inhalation of as few as 5 </w:t>
      </w:r>
      <w:proofErr w:type="spellStart"/>
      <w:r w:rsidR="0094001D" w:rsidRPr="00800C63">
        <w:rPr>
          <w:rFonts w:asciiTheme="minorHAnsi" w:hAnsiTheme="minorHAnsi"/>
          <w:szCs w:val="22"/>
        </w:rPr>
        <w:t>AdV</w:t>
      </w:r>
      <w:proofErr w:type="spellEnd"/>
      <w:r w:rsidR="0094001D" w:rsidRPr="00800C63">
        <w:rPr>
          <w:rFonts w:asciiTheme="minorHAnsi" w:hAnsiTheme="minorHAnsi"/>
          <w:szCs w:val="22"/>
        </w:rPr>
        <w:t xml:space="preserve"> particles can cause disease in susceptible individuals</w:t>
      </w:r>
      <w:r w:rsidR="00901505" w:rsidRPr="00800C63">
        <w:rPr>
          <w:rFonts w:asciiTheme="minorHAnsi" w:hAnsiTheme="minorHAnsi"/>
          <w:szCs w:val="22"/>
        </w:rPr>
        <w:t xml:space="preserve"> </w:t>
      </w:r>
      <w:r w:rsidR="000F689C" w:rsidRPr="00800C63">
        <w:rPr>
          <w:rFonts w:cs="Calibri"/>
          <w:szCs w:val="22"/>
          <w:lang w:val="en-US"/>
        </w:rPr>
        <w:fldChar w:fldCharType="begin">
          <w:fldData xml:space="preserve">PEVuZE5vdGU+PENpdGU+PEF1dGhvcj5QdWJsaWMgSGVhbHRoIEFnZW5jeSBvZiBDYW5hZGE8L0F1
dGhvcj48WWVhcj4yMDE0PC9ZZWFyPjxSZWNOdW0+NjQ8L1JlY051bT48RGlzcGxheVRleHQ+KE11
c2hlciwgMjAwMzsgUHVibGljIEhlYWx0aCBBZ2VuY3kgb2YgQ2FuYWRhLCAyMDE0KTwvRGlzcGxh
eVRleHQ+PHJlY29yZD48cmVjLW51bWJlcj42NDwvcmVjLW51bWJlcj48Zm9yZWlnbi1rZXlzPjxr
ZXkgYXBwPSJFTiIgZGItaWQ9InZlcndlMmZ4ajVmZXY3ZXBmejh4dGR2ZXowMjVmZXNlemUweiIg
dGltZXN0YW1wPSIxNzMzMjc1MTE2Ij42NDwva2V5PjwvZm9yZWlnbi1rZXlzPjxyZWYtdHlwZSBu
YW1lPSJXZWIgUGFnZSI+MTI8L3JlZi10eXBlPjxjb250cmlidXRvcnM+PGF1dGhvcnM+PGF1dGhv
cj5QdWJsaWMgSGVhbHRoIEFnZW5jeSBvZiBDYW5hZGEsPC9hdXRob3I+PC9hdXRob3JzPjwvY29u
dHJpYnV0b3JzPjx0aXRsZXM+PHRpdGxlPlBhdGhvZ2VuIFNhZmV0eSBEYXRhIFNoZWV0czogSW5m
ZWN0aW91cyBTdWJzdGFuY2VzIOKAkyBBZGVub3ZpcnVzIHR5cGVzIDEsIDIsIDMsIDQsIDUgYW5k
IDc8L3RpdGxlPjwvdGl0bGVzPjx2b2x1bWU+MjAyMDwvdm9sdW1lPjxudW1iZXI+MTAgRGVjZW1i
ZXIgMjAyMDwvbnVtYmVyPjxkYXRlcz48eWVhcj4yMDE0PC95ZWFyPjwvZGF0ZXM+PHB1Ymxpc2hl
cj5Hb3Zlcm5tZW50IG9mIENhbmFkYTwvcHVibGlzaGVyPjx1cmxzPjxyZWxhdGVkLXVybHM+PHVy
bD5odHRwczovL3d3dy5jYW5hZGEuY2EvZW4vcHVibGljLWhlYWx0aC9zZXJ2aWNlcy9sYWJvcmF0
b3J5LWJpb3NhZmV0eS1iaW9zZWN1cml0eS9wYXRob2dlbi1zYWZldHktZGF0YS1zaGVldHMtcmlz
ay1hc3Nlc3NtZW50L2FkZW5vdmlydXMtdHlwZXMtMS0yLTMtNC01LTctcGF0aG9nZW4tc2FmZXR5
LWRhdGEtc2hlZXQuaHRtbDwvdXJsPjwvcmVsYXRlZC11cmxzPjwvdXJscz48L3JlY29yZD48L0Np
dGU+PENpdGU+PEF1dGhvcj5NdXNoZXI8L0F1dGhvcj48WWVhcj4yMDAzPC9ZZWFyPjxSZWNOdW0+
MjwvUmVjTnVtPjxyZWNvcmQ+PHJlYy1udW1iZXI+MjwvcmVjLW51bWJlcj48Zm9yZWlnbi1rZXlz
PjxrZXkgYXBwPSJFTiIgZGItaWQ9ImRwYXNlMmUyb3o1cndjZTlhenNwcDk1bmY5eHZzd3hwMnJ2
ZCIgdGltZXN0YW1wPSIxNzY1MjQzNjA3Ij4yPC9rZXk+PC9mb3JlaWduLWtleXM+PHJlZi10eXBl
IG5hbWU9IkpvdXJuYWwgQXJ0aWNsZSI+MTc8L3JlZi10eXBlPjxjb250cmlidXRvcnM+PGF1dGhv
cnM+PGF1dGhvcj5NdXNoZXIsIEQuIE0uPC9hdXRob3I+PC9hdXRob3JzPjwvY29udHJpYnV0b3Jz
PjxhdXRoLWFkZHJlc3M+TWVkaWNhbCBTZXJ2aWNlLCBJbmZlY3Rpb3VzIERpc2Vhc2UgU2VjdGlv
biwgVmV0ZXJhbnMgQWZmYWlycyBNZWRpY2FsIENlbnRlciwgYW5kIHRoZSBEZXBhcnRtZW50IG9m
IE1lZGljaW5lLCBCYXlsb3IgQ29sbGVnZSBvZiBNZWRpY2luZSwgSG91c3RvbiwgVVNBLjwvYXV0
aC1hZGRyZXNzPjx0aXRsZXM+PHRpdGxlPkhvdyBjb250YWdpb3VzIGFyZSBjb21tb24gcmVzcGly
YXRvcnkgdHJhY3QgaW5mZWN0aW9ucz88L3RpdGxlPjxzZWNvbmRhcnktdGl0bGU+TiBFbmdsIEog
TWVkPC9zZWNvbmRhcnktdGl0bGU+PC90aXRsZXM+PHBlcmlvZGljYWw+PGZ1bGwtdGl0bGU+TiBF
bmdsIEogTWVkPC9mdWxsLXRpdGxlPjwvcGVyaW9kaWNhbD48cGFnZXM+MTI1Ni02NjwvcGFnZXM+
PHZvbHVtZT4zNDg8L3ZvbHVtZT48bnVtYmVyPjEzPC9udW1iZXI+PGVkaXRpb24+MjAwMy8wMy8y
ODwvZWRpdGlvbj48a2V5d29yZHM+PGtleXdvcmQ+QWRlbm92aXJpZGFlL3BhdGhvZ2VuaWNpdHk8
L2tleXdvcmQ+PGtleXdvcmQ+QmFjdGVyaWFsIEluZmVjdGlvbnMvKnRyYW5zbWlzc2lvbjwva2V5
d29yZD48a2V5d29yZD5IdW1hbnM8L2tleXdvcmQ+PGtleXdvcmQ+TXljb2JhY3Rlcml1bSB0dWJl
cmN1bG9zaXMvcGF0aG9nZW5pY2l0eTwva2V5d29yZD48a2V5d29yZD5OZWlzc2VyaWEgbWVuaW5n
aXRpZGlzL3BhdGhvZ2VuaWNpdHk8L2tleXdvcmQ+PGtleXdvcmQ+T3J0aG9teXhvdmlyaWRhZS9w
YXRob2dlbmljaXR5PC9rZXl3b3JkPjxrZXl3b3JkPlJlc3BpcmF0b3J5IFN5bmN5dGlhbCBWaXJ1
c2VzL3BhdGhvZ2VuaWNpdHk8L2tleXdvcmQ+PGtleXdvcmQ+UmVzcGlyYXRvcnkgVHJhY3QgSW5m
ZWN0aW9ucy8qdHJhbnNtaXNzaW9uPC9rZXl3b3JkPjxrZXl3b3JkPlJoaW5vdmlydXMvcGF0aG9n
ZW5pY2l0eTwva2V5d29yZD48a2V5d29yZD5TdHJlcHRvY29jY3VzIHBuZXVtb25pYWUvcGF0aG9n
ZW5pY2l0eTwva2V5d29yZD48a2V5d29yZD5TdHJlcHRvY29jY3VzIHB5b2dlbmVzL3BhdGhvZ2Vu
aWNpdHk8L2tleXdvcmQ+PGtleXdvcmQ+VmlydWxlbmNlPC9rZXl3b3JkPjxrZXl3b3JkPlZpcnVz
IERpc2Vhc2VzLyp0cmFuc21pc3Npb248L2tleXdvcmQ+PC9rZXl3b3Jkcz48ZGF0ZXM+PHllYXI+
MjAwMzwveWVhcj48cHViLWRhdGVzPjxkYXRlPk1hciAyNzwvZGF0ZT48L3B1Yi1kYXRlcz48L2Rh
dGVzPjxpc2JuPjAwMjgtNDc5MzwvaXNibj48YWNjZXNzaW9uLW51bT4xMjY2MDM5MDwvYWNjZXNz
aW9uLW51bT48dXJscz48L3VybHM+PGVsZWN0cm9uaWMtcmVzb3VyY2UtbnVtPjEwLjEwNTYvTkVK
TXJhMDIxNzcxPC9lbGVjdHJvbmljLXJlc291cmNlLW51bT48cmVtb3RlLWRhdGFiYXNlLXByb3Zp
ZGVyPk5MTTwvcmVtb3RlLWRhdGFiYXNlLXByb3ZpZGVyPjxsYW5ndWFnZT5lbmc8L2xhbmd1YWdl
PjwvcmVjb3JkPjwvQ2l0ZT48L0VuZE5vdGU+AG==
</w:fldData>
        </w:fldChar>
      </w:r>
      <w:r w:rsidR="000F689C" w:rsidRPr="00800C63">
        <w:rPr>
          <w:rFonts w:cs="Calibri"/>
          <w:szCs w:val="22"/>
          <w:lang w:val="en-US"/>
        </w:rPr>
        <w:instrText xml:space="preserve"> ADDIN EN.CITE </w:instrText>
      </w:r>
      <w:r w:rsidR="000F689C" w:rsidRPr="00800C63">
        <w:rPr>
          <w:rFonts w:cs="Calibri"/>
          <w:szCs w:val="22"/>
          <w:lang w:val="en-US"/>
        </w:rPr>
        <w:fldChar w:fldCharType="begin">
          <w:fldData xml:space="preserve">PEVuZE5vdGU+PENpdGU+PEF1dGhvcj5QdWJsaWMgSGVhbHRoIEFnZW5jeSBvZiBDYW5hZGE8L0F1
dGhvcj48WWVhcj4yMDE0PC9ZZWFyPjxSZWNOdW0+NjQ8L1JlY051bT48RGlzcGxheVRleHQ+KE11
c2hlciwgMjAwMzsgUHVibGljIEhlYWx0aCBBZ2VuY3kgb2YgQ2FuYWRhLCAyMDE0KTwvRGlzcGxh
eVRleHQ+PHJlY29yZD48cmVjLW51bWJlcj42NDwvcmVjLW51bWJlcj48Zm9yZWlnbi1rZXlzPjxr
ZXkgYXBwPSJFTiIgZGItaWQ9InZlcndlMmZ4ajVmZXY3ZXBmejh4dGR2ZXowMjVmZXNlemUweiIg
dGltZXN0YW1wPSIxNzMzMjc1MTE2Ij42NDwva2V5PjwvZm9yZWlnbi1rZXlzPjxyZWYtdHlwZSBu
YW1lPSJXZWIgUGFnZSI+MTI8L3JlZi10eXBlPjxjb250cmlidXRvcnM+PGF1dGhvcnM+PGF1dGhv
cj5QdWJsaWMgSGVhbHRoIEFnZW5jeSBvZiBDYW5hZGEsPC9hdXRob3I+PC9hdXRob3JzPjwvY29u
dHJpYnV0b3JzPjx0aXRsZXM+PHRpdGxlPlBhdGhvZ2VuIFNhZmV0eSBEYXRhIFNoZWV0czogSW5m
ZWN0aW91cyBTdWJzdGFuY2VzIOKAkyBBZGVub3ZpcnVzIHR5cGVzIDEsIDIsIDMsIDQsIDUgYW5k
IDc8L3RpdGxlPjwvdGl0bGVzPjx2b2x1bWU+MjAyMDwvdm9sdW1lPjxudW1iZXI+MTAgRGVjZW1i
ZXIgMjAyMDwvbnVtYmVyPjxkYXRlcz48eWVhcj4yMDE0PC95ZWFyPjwvZGF0ZXM+PHB1Ymxpc2hl
cj5Hb3Zlcm5tZW50IG9mIENhbmFkYTwvcHVibGlzaGVyPjx1cmxzPjxyZWxhdGVkLXVybHM+PHVy
bD5odHRwczovL3d3dy5jYW5hZGEuY2EvZW4vcHVibGljLWhlYWx0aC9zZXJ2aWNlcy9sYWJvcmF0
b3J5LWJpb3NhZmV0eS1iaW9zZWN1cml0eS9wYXRob2dlbi1zYWZldHktZGF0YS1zaGVldHMtcmlz
ay1hc3Nlc3NtZW50L2FkZW5vdmlydXMtdHlwZXMtMS0yLTMtNC01LTctcGF0aG9nZW4tc2FmZXR5
LWRhdGEtc2hlZXQuaHRtbDwvdXJsPjwvcmVsYXRlZC11cmxzPjwvdXJscz48L3JlY29yZD48L0Np
dGU+PENpdGU+PEF1dGhvcj5NdXNoZXI8L0F1dGhvcj48WWVhcj4yMDAzPC9ZZWFyPjxSZWNOdW0+
MjwvUmVjTnVtPjxyZWNvcmQ+PHJlYy1udW1iZXI+MjwvcmVjLW51bWJlcj48Zm9yZWlnbi1rZXlz
PjxrZXkgYXBwPSJFTiIgZGItaWQ9ImRwYXNlMmUyb3o1cndjZTlhenNwcDk1bmY5eHZzd3hwMnJ2
ZCIgdGltZXN0YW1wPSIxNzY1MjQzNjA3Ij4yPC9rZXk+PC9mb3JlaWduLWtleXM+PHJlZi10eXBl
IG5hbWU9IkpvdXJuYWwgQXJ0aWNsZSI+MTc8L3JlZi10eXBlPjxjb250cmlidXRvcnM+PGF1dGhv
cnM+PGF1dGhvcj5NdXNoZXIsIEQuIE0uPC9hdXRob3I+PC9hdXRob3JzPjwvY29udHJpYnV0b3Jz
PjxhdXRoLWFkZHJlc3M+TWVkaWNhbCBTZXJ2aWNlLCBJbmZlY3Rpb3VzIERpc2Vhc2UgU2VjdGlv
biwgVmV0ZXJhbnMgQWZmYWlycyBNZWRpY2FsIENlbnRlciwgYW5kIHRoZSBEZXBhcnRtZW50IG9m
IE1lZGljaW5lLCBCYXlsb3IgQ29sbGVnZSBvZiBNZWRpY2luZSwgSG91c3RvbiwgVVNBLjwvYXV0
aC1hZGRyZXNzPjx0aXRsZXM+PHRpdGxlPkhvdyBjb250YWdpb3VzIGFyZSBjb21tb24gcmVzcGly
YXRvcnkgdHJhY3QgaW5mZWN0aW9ucz88L3RpdGxlPjxzZWNvbmRhcnktdGl0bGU+TiBFbmdsIEog
TWVkPC9zZWNvbmRhcnktdGl0bGU+PC90aXRsZXM+PHBlcmlvZGljYWw+PGZ1bGwtdGl0bGU+TiBF
bmdsIEogTWVkPC9mdWxsLXRpdGxlPjwvcGVyaW9kaWNhbD48cGFnZXM+MTI1Ni02NjwvcGFnZXM+
PHZvbHVtZT4zNDg8L3ZvbHVtZT48bnVtYmVyPjEzPC9udW1iZXI+PGVkaXRpb24+MjAwMy8wMy8y
ODwvZWRpdGlvbj48a2V5d29yZHM+PGtleXdvcmQ+QWRlbm92aXJpZGFlL3BhdGhvZ2VuaWNpdHk8
L2tleXdvcmQ+PGtleXdvcmQ+QmFjdGVyaWFsIEluZmVjdGlvbnMvKnRyYW5zbWlzc2lvbjwva2V5
d29yZD48a2V5d29yZD5IdW1hbnM8L2tleXdvcmQ+PGtleXdvcmQ+TXljb2JhY3Rlcml1bSB0dWJl
cmN1bG9zaXMvcGF0aG9nZW5pY2l0eTwva2V5d29yZD48a2V5d29yZD5OZWlzc2VyaWEgbWVuaW5n
aXRpZGlzL3BhdGhvZ2VuaWNpdHk8L2tleXdvcmQ+PGtleXdvcmQ+T3J0aG9teXhvdmlyaWRhZS9w
YXRob2dlbmljaXR5PC9rZXl3b3JkPjxrZXl3b3JkPlJlc3BpcmF0b3J5IFN5bmN5dGlhbCBWaXJ1
c2VzL3BhdGhvZ2VuaWNpdHk8L2tleXdvcmQ+PGtleXdvcmQ+UmVzcGlyYXRvcnkgVHJhY3QgSW5m
ZWN0aW9ucy8qdHJhbnNtaXNzaW9uPC9rZXl3b3JkPjxrZXl3b3JkPlJoaW5vdmlydXMvcGF0aG9n
ZW5pY2l0eTwva2V5d29yZD48a2V5d29yZD5TdHJlcHRvY29jY3VzIHBuZXVtb25pYWUvcGF0aG9n
ZW5pY2l0eTwva2V5d29yZD48a2V5d29yZD5TdHJlcHRvY29jY3VzIHB5b2dlbmVzL3BhdGhvZ2Vu
aWNpdHk8L2tleXdvcmQ+PGtleXdvcmQ+VmlydWxlbmNlPC9rZXl3b3JkPjxrZXl3b3JkPlZpcnVz
IERpc2Vhc2VzLyp0cmFuc21pc3Npb248L2tleXdvcmQ+PC9rZXl3b3Jkcz48ZGF0ZXM+PHllYXI+
MjAwMzwveWVhcj48cHViLWRhdGVzPjxkYXRlPk1hciAyNzwvZGF0ZT48L3B1Yi1kYXRlcz48L2Rh
dGVzPjxpc2JuPjAwMjgtNDc5MzwvaXNibj48YWNjZXNzaW9uLW51bT4xMjY2MDM5MDwvYWNjZXNz
aW9uLW51bT48dXJscz48L3VybHM+PGVsZWN0cm9uaWMtcmVzb3VyY2UtbnVtPjEwLjEwNTYvTkVK
TXJhMDIxNzcxPC9lbGVjdHJvbmljLXJlc291cmNlLW51bT48cmVtb3RlLWRhdGFiYXNlLXByb3Zp
ZGVyPk5MTTwvcmVtb3RlLWRhdGFiYXNlLXByb3ZpZGVyPjxsYW5ndWFnZT5lbmc8L2xhbmd1YWdl
PjwvcmVjb3JkPjwvQ2l0ZT48L0VuZE5vdGU+AG==
</w:fldData>
        </w:fldChar>
      </w:r>
      <w:r w:rsidR="000F689C" w:rsidRPr="00800C63">
        <w:rPr>
          <w:rFonts w:cs="Calibri"/>
          <w:szCs w:val="22"/>
          <w:lang w:val="en-US"/>
        </w:rPr>
        <w:instrText xml:space="preserve"> ADDIN EN.CITE.DATA </w:instrText>
      </w:r>
      <w:r w:rsidR="000F689C" w:rsidRPr="00800C63">
        <w:rPr>
          <w:rFonts w:cs="Calibri"/>
          <w:szCs w:val="22"/>
          <w:lang w:val="en-US"/>
        </w:rPr>
      </w:r>
      <w:r w:rsidR="000F689C" w:rsidRPr="00800C63">
        <w:rPr>
          <w:rFonts w:cs="Calibri"/>
          <w:szCs w:val="22"/>
          <w:lang w:val="en-US"/>
        </w:rPr>
        <w:fldChar w:fldCharType="end"/>
      </w:r>
      <w:r w:rsidR="000F689C" w:rsidRPr="00800C63">
        <w:rPr>
          <w:rFonts w:cs="Calibri"/>
          <w:szCs w:val="22"/>
          <w:lang w:val="en-US"/>
        </w:rPr>
      </w:r>
      <w:r w:rsidR="000F689C" w:rsidRPr="00800C63">
        <w:rPr>
          <w:rFonts w:cs="Calibri"/>
          <w:szCs w:val="22"/>
          <w:lang w:val="en-US"/>
        </w:rPr>
        <w:fldChar w:fldCharType="separate"/>
      </w:r>
      <w:r w:rsidR="000F689C" w:rsidRPr="00800C63">
        <w:rPr>
          <w:rFonts w:cs="Calibri"/>
          <w:noProof/>
          <w:szCs w:val="22"/>
          <w:lang w:val="en-US"/>
        </w:rPr>
        <w:t>(</w:t>
      </w:r>
      <w:hyperlink w:anchor="_ENREF_62" w:tooltip="Musher, 2003 #2" w:history="1">
        <w:r w:rsidR="0027195B" w:rsidRPr="00800C63">
          <w:rPr>
            <w:rFonts w:cs="Calibri"/>
            <w:noProof/>
            <w:szCs w:val="22"/>
            <w:lang w:val="en-US"/>
          </w:rPr>
          <w:t>Musher, 2003</w:t>
        </w:r>
      </w:hyperlink>
      <w:r w:rsidR="000F689C" w:rsidRPr="00800C63">
        <w:rPr>
          <w:rFonts w:cs="Calibri"/>
          <w:noProof/>
          <w:szCs w:val="22"/>
          <w:lang w:val="en-US"/>
        </w:rPr>
        <w:t xml:space="preserve">; </w:t>
      </w:r>
      <w:hyperlink w:anchor="_ENREF_70" w:tooltip="Public Health Agency of Canada, 2014 #64" w:history="1">
        <w:r w:rsidR="0027195B" w:rsidRPr="00800C63">
          <w:rPr>
            <w:rFonts w:cs="Calibri"/>
            <w:noProof/>
            <w:szCs w:val="22"/>
            <w:lang w:val="en-US"/>
          </w:rPr>
          <w:t>Public Health Agency of Canada, 2014</w:t>
        </w:r>
      </w:hyperlink>
      <w:r w:rsidR="000F689C" w:rsidRPr="00800C63">
        <w:rPr>
          <w:rFonts w:cs="Calibri"/>
          <w:noProof/>
          <w:szCs w:val="22"/>
          <w:lang w:val="en-US"/>
        </w:rPr>
        <w:t>)</w:t>
      </w:r>
      <w:r w:rsidR="000F689C" w:rsidRPr="00800C63">
        <w:rPr>
          <w:rFonts w:cs="Calibri"/>
          <w:szCs w:val="22"/>
          <w:lang w:val="en-US"/>
        </w:rPr>
        <w:fldChar w:fldCharType="end"/>
      </w:r>
      <w:r w:rsidR="0094001D" w:rsidRPr="00800C63">
        <w:rPr>
          <w:rFonts w:asciiTheme="minorHAnsi" w:hAnsiTheme="minorHAnsi"/>
          <w:szCs w:val="22"/>
        </w:rPr>
        <w:t>.</w:t>
      </w:r>
    </w:p>
    <w:p w14:paraId="03B3FB9C" w14:textId="23A35BEE" w:rsidR="00E33419" w:rsidRPr="00EE412C" w:rsidRDefault="0069638E" w:rsidP="00321D13">
      <w:pPr>
        <w:pStyle w:val="4RARMP"/>
        <w:rPr>
          <w:shd w:val="clear" w:color="auto" w:fill="FFFFFF"/>
        </w:rPr>
      </w:pPr>
      <w:bookmarkStart w:id="165" w:name="_Ref68594447"/>
      <w:r>
        <w:rPr>
          <w:shd w:val="clear" w:color="auto" w:fill="FFFFFF"/>
        </w:rPr>
        <w:t>Bio-distribution and s</w:t>
      </w:r>
      <w:r w:rsidR="00E33419" w:rsidRPr="00EE412C">
        <w:rPr>
          <w:shd w:val="clear" w:color="auto" w:fill="FFFFFF"/>
        </w:rPr>
        <w:t>hedding</w:t>
      </w:r>
      <w:bookmarkEnd w:id="165"/>
      <w:r w:rsidR="00E33419" w:rsidRPr="00EE412C">
        <w:rPr>
          <w:shd w:val="clear" w:color="auto" w:fill="FFFFFF"/>
        </w:rPr>
        <w:t xml:space="preserve"> </w:t>
      </w:r>
      <w:r w:rsidR="00307A0C">
        <w:rPr>
          <w:shd w:val="clear" w:color="auto" w:fill="FFFFFF"/>
        </w:rPr>
        <w:t xml:space="preserve">  </w:t>
      </w:r>
    </w:p>
    <w:p w14:paraId="3EA57A43" w14:textId="6B5CFBFE" w:rsidR="0069638E" w:rsidRPr="005E05EF" w:rsidRDefault="00B80848" w:rsidP="005E05EF">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w:t>
      </w:r>
      <w:proofErr w:type="spellStart"/>
      <w:r w:rsidR="00667373">
        <w:rPr>
          <w:szCs w:val="22"/>
        </w:rPr>
        <w:t>HAdV</w:t>
      </w:r>
      <w:proofErr w:type="spellEnd"/>
      <w:r w:rsidR="00667373">
        <w:rPr>
          <w:szCs w:val="22"/>
        </w:rPr>
        <w:t>-</w:t>
      </w:r>
      <w:r w:rsidR="00134BE0">
        <w:rPr>
          <w:szCs w:val="22"/>
        </w:rPr>
        <w:t>C</w:t>
      </w:r>
      <w:r w:rsidRPr="00E52B4D">
        <w:rPr>
          <w:szCs w:val="22"/>
        </w:rPr>
        <w:t xml:space="preserve"> </w:t>
      </w:r>
      <w:r w:rsidR="001955D8" w:rsidRPr="00E52B4D">
        <w:rPr>
          <w:szCs w:val="22"/>
        </w:rPr>
        <w:t xml:space="preserve">is </w:t>
      </w:r>
      <w:r w:rsidR="00134BE0">
        <w:rPr>
          <w:szCs w:val="22"/>
        </w:rPr>
        <w:t xml:space="preserve">the respiratory tract and </w:t>
      </w:r>
      <w:r w:rsidR="009729F0">
        <w:rPr>
          <w:szCs w:val="22"/>
        </w:rPr>
        <w:t xml:space="preserve">it </w:t>
      </w:r>
      <w:r w:rsidR="00134BE0">
        <w:rPr>
          <w:szCs w:val="22"/>
        </w:rPr>
        <w:t>cause</w:t>
      </w:r>
      <w:r w:rsidR="009729F0">
        <w:rPr>
          <w:szCs w:val="22"/>
        </w:rPr>
        <w:t>s</w:t>
      </w:r>
      <w:r w:rsidR="00134BE0">
        <w:rPr>
          <w:szCs w:val="22"/>
        </w:rPr>
        <w:t xml:space="preserve"> a significant proportion of acute respiratory tract infections in children</w:t>
      </w:r>
      <w:r w:rsidR="009F1628">
        <w:rPr>
          <w:szCs w:val="22"/>
        </w:rPr>
        <w:t xml:space="preserve"> </w:t>
      </w:r>
      <w:r w:rsidR="004E20C9">
        <w:rPr>
          <w:szCs w:val="22"/>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szCs w:val="22"/>
        </w:rPr>
        <w:instrText xml:space="preserve"> ADDIN EN.CITE </w:instrText>
      </w:r>
      <w:r w:rsidR="002219B9">
        <w:rPr>
          <w:szCs w:val="22"/>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szCs w:val="22"/>
        </w:rPr>
        <w:instrText xml:space="preserve"> ADDIN EN.CITE.DATA </w:instrText>
      </w:r>
      <w:r w:rsidR="002219B9">
        <w:rPr>
          <w:szCs w:val="22"/>
        </w:rPr>
      </w:r>
      <w:r w:rsidR="002219B9">
        <w:rPr>
          <w:szCs w:val="22"/>
        </w:rPr>
        <w:fldChar w:fldCharType="end"/>
      </w:r>
      <w:r w:rsidR="004E20C9">
        <w:rPr>
          <w:szCs w:val="22"/>
        </w:rPr>
      </w:r>
      <w:r w:rsidR="004E20C9">
        <w:rPr>
          <w:szCs w:val="22"/>
        </w:rPr>
        <w:fldChar w:fldCharType="separate"/>
      </w:r>
      <w:r w:rsidR="002219B9">
        <w:rPr>
          <w:noProof/>
          <w:szCs w:val="22"/>
        </w:rPr>
        <w:t>(</w:t>
      </w:r>
      <w:hyperlink w:anchor="_ENREF_60" w:tooltip="Mennechet, 2019 #58" w:history="1">
        <w:r w:rsidR="0027195B">
          <w:rPr>
            <w:noProof/>
            <w:szCs w:val="22"/>
          </w:rPr>
          <w:t>Mennechet et al., 2019a</w:t>
        </w:r>
      </w:hyperlink>
      <w:r w:rsidR="002219B9">
        <w:rPr>
          <w:noProof/>
          <w:szCs w:val="22"/>
        </w:rPr>
        <w:t>)</w:t>
      </w:r>
      <w:r w:rsidR="004E20C9">
        <w:rPr>
          <w:szCs w:val="22"/>
        </w:rPr>
        <w:fldChar w:fldCharType="end"/>
      </w:r>
      <w:r w:rsidR="001955D8" w:rsidRPr="00E52B4D">
        <w:rPr>
          <w:szCs w:val="22"/>
        </w:rPr>
        <w:t>.</w:t>
      </w:r>
      <w:r w:rsidR="00345F59">
        <w:rPr>
          <w:szCs w:val="22"/>
        </w:rPr>
        <w:t xml:space="preserve"> </w:t>
      </w:r>
      <w:r w:rsidR="00834030" w:rsidRPr="0069638E">
        <w:rPr>
          <w:szCs w:val="22"/>
        </w:rPr>
        <w:t xml:space="preserve">Following natural </w:t>
      </w:r>
      <w:proofErr w:type="spellStart"/>
      <w:r w:rsidR="00345F59" w:rsidRPr="0069638E">
        <w:rPr>
          <w:szCs w:val="22"/>
        </w:rPr>
        <w:t>HAdV</w:t>
      </w:r>
      <w:proofErr w:type="spellEnd"/>
      <w:r w:rsidR="00345F59" w:rsidRPr="0069638E">
        <w:rPr>
          <w:szCs w:val="22"/>
        </w:rPr>
        <w:t xml:space="preserve"> </w:t>
      </w:r>
      <w:r w:rsidR="00834030" w:rsidRPr="0069638E">
        <w:rPr>
          <w:szCs w:val="22"/>
        </w:rPr>
        <w:t>infection, virus particles are shed via respiratory</w:t>
      </w:r>
      <w:r w:rsidR="00070D95">
        <w:rPr>
          <w:szCs w:val="22"/>
        </w:rPr>
        <w:t xml:space="preserve"> secretions</w:t>
      </w:r>
      <w:r w:rsidR="00834030" w:rsidRPr="0069638E">
        <w:rPr>
          <w:szCs w:val="22"/>
        </w:rPr>
        <w:t xml:space="preserve"> or in the faeces. </w:t>
      </w:r>
      <w:r w:rsidR="00834030" w:rsidRPr="0069638E">
        <w:rPr>
          <w:rFonts w:eastAsiaTheme="minorHAnsi"/>
          <w:szCs w:val="22"/>
        </w:rPr>
        <w:t xml:space="preserve">Respiratory infections generate </w:t>
      </w:r>
      <w:r w:rsidR="009D13DF" w:rsidRPr="0069638E">
        <w:rPr>
          <w:rFonts w:eastAsiaTheme="minorHAnsi"/>
          <w:szCs w:val="22"/>
        </w:rPr>
        <w:t xml:space="preserve">the </w:t>
      </w:r>
      <w:r w:rsidR="00834030" w:rsidRPr="0069638E">
        <w:rPr>
          <w:rFonts w:eastAsiaTheme="minorHAnsi"/>
          <w:szCs w:val="22"/>
        </w:rPr>
        <w:t xml:space="preserve">highest viral load early post-infection with residual virus remaining for up to 2 months post-infection </w:t>
      </w:r>
      <w:r w:rsidR="00834030" w:rsidRPr="0069638E">
        <w:rPr>
          <w:rFonts w:eastAsiaTheme="minorHAnsi"/>
          <w:szCs w:val="22"/>
        </w:rPr>
        <w:fldChar w:fldCharType="begin"/>
      </w:r>
      <w:r w:rsidR="00824706">
        <w:rPr>
          <w:rFonts w:eastAsiaTheme="minorHAnsi"/>
          <w:szCs w:val="22"/>
        </w:rPr>
        <w:instrText xml:space="preserve"> ADDIN EN.CITE &lt;EndNote&gt;&lt;Cite&gt;&lt;Author&gt;Huh&lt;/Author&gt;&lt;Year&gt;2019&lt;/Year&gt;&lt;RecNum&gt;102&lt;/RecNum&gt;&lt;DisplayText&gt;(Huh et al., 2019)&lt;/DisplayText&gt;&lt;record&gt;&lt;rec-number&gt;102&lt;/rec-number&gt;&lt;foreign-keys&gt;&lt;key app="EN" db-id="verwe2fxj5fev7epfz8xtdvez025feseze0z" timestamp="1733275116"&gt;102&lt;/key&gt;&lt;/foreign-keys&gt;&lt;ref-type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834030" w:rsidRPr="0069638E">
        <w:rPr>
          <w:rFonts w:eastAsiaTheme="minorHAnsi"/>
          <w:szCs w:val="22"/>
        </w:rPr>
        <w:fldChar w:fldCharType="separate"/>
      </w:r>
      <w:r w:rsidR="00834030" w:rsidRPr="0069638E">
        <w:rPr>
          <w:rFonts w:eastAsiaTheme="minorHAnsi"/>
          <w:noProof/>
          <w:szCs w:val="22"/>
        </w:rPr>
        <w:t>(</w:t>
      </w:r>
      <w:hyperlink w:anchor="_ENREF_39" w:tooltip="Huh, 2019 #102" w:history="1">
        <w:r w:rsidR="0027195B" w:rsidRPr="0069638E">
          <w:rPr>
            <w:rFonts w:eastAsiaTheme="minorHAnsi"/>
            <w:noProof/>
            <w:szCs w:val="22"/>
          </w:rPr>
          <w:t>Huh et al., 2019</w:t>
        </w:r>
      </w:hyperlink>
      <w:r w:rsidR="00834030" w:rsidRPr="0069638E">
        <w:rPr>
          <w:rFonts w:eastAsiaTheme="minorHAnsi"/>
          <w:noProof/>
          <w:szCs w:val="22"/>
        </w:rPr>
        <w:t>)</w:t>
      </w:r>
      <w:r w:rsidR="00834030" w:rsidRPr="0069638E">
        <w:rPr>
          <w:rFonts w:eastAsiaTheme="minorHAnsi"/>
          <w:szCs w:val="22"/>
        </w:rPr>
        <w:fldChar w:fldCharType="end"/>
      </w:r>
      <w:r w:rsidR="00834030" w:rsidRPr="0069638E">
        <w:rPr>
          <w:rFonts w:eastAsiaTheme="minorHAnsi"/>
          <w:szCs w:val="22"/>
        </w:rPr>
        <w:t xml:space="preserve">. The ease of transmission of </w:t>
      </w:r>
      <w:proofErr w:type="spellStart"/>
      <w:r w:rsidR="00DF015F" w:rsidRPr="0069638E">
        <w:rPr>
          <w:rFonts w:eastAsiaTheme="minorHAnsi"/>
          <w:szCs w:val="22"/>
        </w:rPr>
        <w:t>H</w:t>
      </w:r>
      <w:r w:rsidR="00462394" w:rsidRPr="0069638E">
        <w:rPr>
          <w:rFonts w:eastAsiaTheme="minorHAnsi"/>
          <w:szCs w:val="22"/>
        </w:rPr>
        <w:t>AdV</w:t>
      </w:r>
      <w:proofErr w:type="spellEnd"/>
      <w:r w:rsidR="00834030" w:rsidRPr="0069638E">
        <w:rPr>
          <w:rFonts w:eastAsiaTheme="minorHAnsi"/>
          <w:szCs w:val="22"/>
        </w:rPr>
        <w:t xml:space="preserve"> is </w:t>
      </w:r>
      <w:r w:rsidR="000A6CA1" w:rsidRPr="0069638E">
        <w:rPr>
          <w:rFonts w:eastAsiaTheme="minorHAnsi"/>
          <w:szCs w:val="22"/>
        </w:rPr>
        <w:t xml:space="preserve">thought to be </w:t>
      </w:r>
      <w:r w:rsidR="00834030" w:rsidRPr="0069638E">
        <w:rPr>
          <w:rFonts w:eastAsiaTheme="minorHAnsi"/>
          <w:szCs w:val="22"/>
        </w:rPr>
        <w:t xml:space="preserve">facilitated by very high levels of viral particles shed into sputum or oral secretions of </w:t>
      </w:r>
      <w:r w:rsidR="009D13DF" w:rsidRPr="0069638E">
        <w:rPr>
          <w:rFonts w:eastAsiaTheme="minorHAnsi"/>
          <w:szCs w:val="22"/>
        </w:rPr>
        <w:t xml:space="preserve">the </w:t>
      </w:r>
      <w:r w:rsidR="00834030" w:rsidRPr="0069638E">
        <w:rPr>
          <w:rFonts w:eastAsiaTheme="minorHAnsi"/>
          <w:szCs w:val="22"/>
        </w:rPr>
        <w:t xml:space="preserve">infected </w:t>
      </w:r>
      <w:r w:rsidR="002F0258" w:rsidRPr="0069638E">
        <w:rPr>
          <w:rFonts w:eastAsiaTheme="minorHAnsi"/>
          <w:szCs w:val="22"/>
        </w:rPr>
        <w:t>person</w:t>
      </w:r>
      <w:r w:rsidR="00402F97" w:rsidRPr="0069638E">
        <w:rPr>
          <w:rFonts w:eastAsiaTheme="minorHAnsi"/>
          <w:szCs w:val="22"/>
        </w:rPr>
        <w:t xml:space="preserve"> </w:t>
      </w:r>
      <w:r w:rsidR="00402F97" w:rsidRPr="0069638E">
        <w:rPr>
          <w:rFonts w:eastAsiaTheme="minorHAnsi"/>
          <w:szCs w:val="22"/>
        </w:rPr>
        <w:fldChar w:fldCharType="begin"/>
      </w:r>
      <w:r w:rsidR="00245BC5">
        <w:rPr>
          <w:rFonts w:eastAsia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sidRPr="0069638E">
        <w:rPr>
          <w:rFonts w:eastAsiaTheme="minorHAnsi"/>
          <w:szCs w:val="22"/>
        </w:rPr>
        <w:fldChar w:fldCharType="separate"/>
      </w:r>
      <w:r w:rsidR="00402F97" w:rsidRPr="0069638E">
        <w:rPr>
          <w:rFonts w:eastAsiaTheme="minorHAnsi"/>
          <w:noProof/>
          <w:szCs w:val="22"/>
        </w:rPr>
        <w:t>(</w:t>
      </w:r>
      <w:hyperlink w:anchor="_ENREF_6" w:tooltip="Allard and Vantarakis, 2017 #25" w:history="1">
        <w:r w:rsidR="0027195B" w:rsidRPr="0069638E">
          <w:rPr>
            <w:rFonts w:eastAsiaTheme="minorHAnsi"/>
            <w:noProof/>
            <w:szCs w:val="22"/>
          </w:rPr>
          <w:t>Allard and Vantarakis, 2017</w:t>
        </w:r>
      </w:hyperlink>
      <w:r w:rsidR="00402F97" w:rsidRPr="0069638E">
        <w:rPr>
          <w:rFonts w:eastAsiaTheme="minorHAnsi"/>
          <w:noProof/>
          <w:szCs w:val="22"/>
        </w:rPr>
        <w:t>)</w:t>
      </w:r>
      <w:r w:rsidR="00402F97" w:rsidRPr="0069638E">
        <w:rPr>
          <w:rFonts w:eastAsiaTheme="minorHAnsi"/>
          <w:szCs w:val="22"/>
        </w:rPr>
        <w:fldChar w:fldCharType="end"/>
      </w:r>
      <w:r w:rsidR="00834030" w:rsidRPr="0069638E">
        <w:rPr>
          <w:rFonts w:eastAsiaTheme="minorHAnsi"/>
          <w:szCs w:val="22"/>
        </w:rPr>
        <w:t xml:space="preserve">. </w:t>
      </w:r>
      <w:r w:rsidR="005E05EF" w:rsidRPr="005E05EF">
        <w:rPr>
          <w:rFonts w:eastAsiaTheme="minorHAnsi"/>
          <w:szCs w:val="22"/>
        </w:rPr>
        <w:t xml:space="preserve"> </w:t>
      </w:r>
      <w:r w:rsidR="00A01A87" w:rsidRPr="005E05EF">
        <w:rPr>
          <w:rFonts w:eastAsiaTheme="minorHAnsi"/>
          <w:szCs w:val="22"/>
        </w:rPr>
        <w:t xml:space="preserve"> </w:t>
      </w:r>
    </w:p>
    <w:p w14:paraId="5984AACB" w14:textId="55D12A82" w:rsidR="00A2318D" w:rsidRPr="00A2318D" w:rsidRDefault="001C26D7" w:rsidP="00A2318D">
      <w:pPr>
        <w:pStyle w:val="RARMPnumberedparagraphs"/>
        <w:rPr>
          <w:rFonts w:eastAsiaTheme="minorHAnsi"/>
          <w:szCs w:val="22"/>
        </w:rPr>
      </w:pPr>
      <w:proofErr w:type="spellStart"/>
      <w:r w:rsidRPr="00E52B4D">
        <w:rPr>
          <w:rFonts w:eastAsiaTheme="minorHAnsi"/>
          <w:szCs w:val="22"/>
        </w:rPr>
        <w:t>HAdV</w:t>
      </w:r>
      <w:proofErr w:type="spellEnd"/>
      <w:r w:rsidRPr="00E52B4D">
        <w:rPr>
          <w:rFonts w:eastAsiaTheme="minorHAnsi"/>
          <w:szCs w:val="22"/>
        </w:rPr>
        <w:t xml:space="preserve">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w:t>
      </w:r>
      <w:r w:rsidR="00F725E8">
        <w:rPr>
          <w:rFonts w:eastAsiaTheme="minorHAnsi"/>
          <w:szCs w:val="22"/>
        </w:rPr>
        <w:t xml:space="preserve">the </w:t>
      </w:r>
      <w:r w:rsidR="00F725E8" w:rsidRPr="00E52B4D">
        <w:rPr>
          <w:rFonts w:eastAsiaTheme="minorHAnsi"/>
          <w:szCs w:val="22"/>
        </w:rPr>
        <w:t>HAdV-</w:t>
      </w:r>
      <w:r w:rsidR="00F725E8">
        <w:rPr>
          <w:rFonts w:eastAsiaTheme="minorHAnsi"/>
          <w:szCs w:val="22"/>
        </w:rPr>
        <w:t>E</w:t>
      </w:r>
      <w:r w:rsidR="00F725E8" w:rsidRPr="00E52B4D">
        <w:rPr>
          <w:rFonts w:eastAsiaTheme="minorHAnsi"/>
          <w:szCs w:val="22"/>
        </w:rPr>
        <w:t>4 and HAdV-</w:t>
      </w:r>
      <w:r w:rsidR="00F725E8">
        <w:rPr>
          <w:rFonts w:eastAsiaTheme="minorHAnsi"/>
          <w:szCs w:val="22"/>
        </w:rPr>
        <w:t>B</w:t>
      </w:r>
      <w:r w:rsidR="00F725E8" w:rsidRPr="00E52B4D">
        <w:rPr>
          <w:rFonts w:eastAsiaTheme="minorHAnsi"/>
          <w:szCs w:val="22"/>
        </w:rPr>
        <w:t>7</w:t>
      </w:r>
      <w:r w:rsidR="00F725E8">
        <w:rPr>
          <w:rFonts w:eastAsiaTheme="minorHAnsi"/>
          <w:szCs w:val="22"/>
        </w:rPr>
        <w:t xml:space="preserve"> </w:t>
      </w:r>
      <w:r w:rsidRPr="00E52B4D">
        <w:rPr>
          <w:rFonts w:eastAsiaTheme="minorHAnsi"/>
          <w:szCs w:val="22"/>
        </w:rPr>
        <w:t xml:space="preserve">serotypes. Over 50% of the vaccine recipients tested positive for </w:t>
      </w:r>
      <w:proofErr w:type="spellStart"/>
      <w:r w:rsidR="00462394">
        <w:rPr>
          <w:rFonts w:eastAsiaTheme="minorHAnsi"/>
          <w:szCs w:val="22"/>
        </w:rPr>
        <w:t>AdV</w:t>
      </w:r>
      <w:proofErr w:type="spellEnd"/>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245BC5">
        <w:rPr>
          <w:rFonts w:eastAsia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6" w:tooltip="Allard and Vantarakis, 2017 #25" w:history="1">
        <w:r w:rsidR="0027195B">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66" w:name="_Ref61526584"/>
      <w:bookmarkEnd w:id="162"/>
      <w:bookmarkEnd w:id="163"/>
      <w:r>
        <w:rPr>
          <w:shd w:val="clear" w:color="auto" w:fill="FFFFFF"/>
        </w:rPr>
        <w:t>P</w:t>
      </w:r>
      <w:r w:rsidR="0077488B">
        <w:rPr>
          <w:shd w:val="clear" w:color="auto" w:fill="FFFFFF"/>
        </w:rPr>
        <w:t>revalence</w:t>
      </w:r>
      <w:bookmarkEnd w:id="166"/>
    </w:p>
    <w:p w14:paraId="68721BD3" w14:textId="0D273C23" w:rsidR="003C69BB" w:rsidRPr="003C69BB" w:rsidRDefault="00B2605C" w:rsidP="00DF5A57">
      <w:pPr>
        <w:pStyle w:val="RARMPnumberedparagraphs"/>
      </w:pPr>
      <w:r w:rsidRPr="00B2605C">
        <w:rPr>
          <w:rFonts w:eastAsiaTheme="minorHAnsi"/>
        </w:rPr>
        <w:t xml:space="preserve">An estimation of the seroprevalence for different </w:t>
      </w:r>
      <w:proofErr w:type="spellStart"/>
      <w:r w:rsidRPr="00B2605C">
        <w:rPr>
          <w:rFonts w:eastAsiaTheme="minorHAnsi"/>
        </w:rPr>
        <w:t>HAdV</w:t>
      </w:r>
      <w:proofErr w:type="spellEnd"/>
      <w:r w:rsidRPr="00B2605C">
        <w:rPr>
          <w:rFonts w:eastAsiaTheme="minorHAnsi"/>
        </w:rPr>
        <w:t xml:space="preserve"> has been drawn from published literature. Seroprevalence in different countries ranges from 2%-96%. The highest worldwide seroprevalence is for HAdV4, 5 and 6 belonging to groups C and E </w:t>
      </w:r>
      <w:r w:rsidRPr="00B2605C">
        <w:rPr>
          <w:rFonts w:eastAsiaTheme="minorHAnsi"/>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Pr="00B2605C">
        <w:rPr>
          <w:rFonts w:eastAsiaTheme="minorHAnsi"/>
        </w:rPr>
        <w:instrText xml:space="preserve"> ADDIN EN.CITE </w:instrText>
      </w:r>
      <w:r w:rsidRPr="00B2605C">
        <w:rPr>
          <w:rFonts w:eastAsiaTheme="minorHAnsi"/>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Pr="00B2605C">
        <w:rPr>
          <w:rFonts w:eastAsiaTheme="minorHAnsi"/>
        </w:rPr>
        <w:instrText xml:space="preserve"> ADDIN EN.CITE.DATA </w:instrText>
      </w:r>
      <w:r w:rsidRPr="00B2605C">
        <w:rPr>
          <w:rFonts w:eastAsiaTheme="minorHAnsi"/>
        </w:rPr>
      </w:r>
      <w:r w:rsidRPr="00B2605C">
        <w:rPr>
          <w:rFonts w:eastAsiaTheme="minorHAnsi"/>
        </w:rPr>
        <w:fldChar w:fldCharType="end"/>
      </w:r>
      <w:r w:rsidRPr="00B2605C">
        <w:rPr>
          <w:rFonts w:eastAsiaTheme="minorHAnsi"/>
        </w:rPr>
      </w:r>
      <w:r w:rsidRPr="00B2605C">
        <w:rPr>
          <w:rFonts w:eastAsiaTheme="minorHAnsi"/>
        </w:rPr>
        <w:fldChar w:fldCharType="separate"/>
      </w:r>
      <w:r w:rsidRPr="00B2605C">
        <w:rPr>
          <w:rFonts w:eastAsiaTheme="minorHAnsi"/>
        </w:rPr>
        <w:t>(</w:t>
      </w:r>
      <w:hyperlink w:anchor="_ENREF_36" w:tooltip="Hong, 2025 #54" w:history="1">
        <w:r w:rsidR="0027195B" w:rsidRPr="0027195B">
          <w:rPr>
            <w:rFonts w:eastAsiaTheme="minorHAnsi"/>
          </w:rPr>
          <w:t>Hong et al., 2025</w:t>
        </w:r>
      </w:hyperlink>
      <w:r w:rsidRPr="00B2605C">
        <w:rPr>
          <w:rFonts w:eastAsiaTheme="minorHAnsi"/>
        </w:rPr>
        <w:t>)</w:t>
      </w:r>
      <w:r w:rsidRPr="00B2605C">
        <w:rPr>
          <w:rFonts w:eastAsiaTheme="minorHAnsi"/>
        </w:rPr>
        <w:fldChar w:fldCharType="end"/>
      </w:r>
      <w:r>
        <w:rPr>
          <w:rFonts w:eastAsiaTheme="minorHAnsi"/>
        </w:rPr>
        <w:t xml:space="preserve">. </w:t>
      </w:r>
      <w:r w:rsidR="00E11988">
        <w:rPr>
          <w:rFonts w:eastAsiaTheme="minorHAnsi"/>
        </w:rPr>
        <w:t>An</w:t>
      </w:r>
      <w:r w:rsidR="009672AF">
        <w:rPr>
          <w:rFonts w:eastAsiaTheme="minorHAnsi"/>
        </w:rPr>
        <w:t xml:space="preserve"> estimation of </w:t>
      </w:r>
      <w:r w:rsidR="00E11988">
        <w:rPr>
          <w:rFonts w:eastAsiaTheme="minorHAnsi"/>
        </w:rPr>
        <w:t xml:space="preserve">the </w:t>
      </w:r>
      <w:proofErr w:type="spellStart"/>
      <w:r w:rsidR="00E11988">
        <w:rPr>
          <w:rFonts w:eastAsiaTheme="minorHAnsi"/>
        </w:rPr>
        <w:t>seroprevalance</w:t>
      </w:r>
      <w:proofErr w:type="spellEnd"/>
      <w:r w:rsidR="00E11988">
        <w:rPr>
          <w:rFonts w:eastAsiaTheme="minorHAnsi"/>
        </w:rPr>
        <w:t xml:space="preserve"> of </w:t>
      </w:r>
      <w:r w:rsidR="009672AF">
        <w:rPr>
          <w:rFonts w:eastAsiaTheme="minorHAnsi"/>
        </w:rPr>
        <w:t>H</w:t>
      </w:r>
      <w:r w:rsidR="009672AF" w:rsidRPr="009672AF">
        <w:rPr>
          <w:rFonts w:eastAsiaTheme="minorHAnsi"/>
        </w:rPr>
        <w:t>A</w:t>
      </w:r>
      <w:r w:rsidR="00E11988">
        <w:rPr>
          <w:rFonts w:eastAsiaTheme="minorHAnsi"/>
        </w:rPr>
        <w:t xml:space="preserve">dV-E4, -C5, -D26 and -B35 </w:t>
      </w:r>
      <w:r w:rsidR="0077488B">
        <w:rPr>
          <w:rFonts w:eastAsiaTheme="minorHAnsi"/>
        </w:rPr>
        <w:t xml:space="preserve">(serotypes commonly </w:t>
      </w:r>
      <w:r w:rsidR="00427B17">
        <w:rPr>
          <w:rFonts w:eastAsiaTheme="minorHAnsi"/>
        </w:rPr>
        <w:t xml:space="preserve">tested </w:t>
      </w:r>
      <w:r w:rsidR="00E11988">
        <w:rPr>
          <w:rFonts w:eastAsiaTheme="minorHAnsi"/>
        </w:rPr>
        <w:t>in the clinic</w:t>
      </w:r>
      <w:r w:rsidR="00427B17">
        <w:rPr>
          <w:rFonts w:eastAsiaTheme="minorHAnsi"/>
        </w:rPr>
        <w:t>s or used in clinical/pre-clinical trials</w:t>
      </w:r>
      <w:r w:rsidR="0077488B">
        <w:rPr>
          <w:rFonts w:eastAsiaTheme="minorHAnsi"/>
        </w:rPr>
        <w:t>)</w:t>
      </w:r>
      <w:r w:rsidR="009672AF">
        <w:rPr>
          <w:rFonts w:eastAsiaTheme="minorHAnsi"/>
        </w:rPr>
        <w:t xml:space="preserve"> </w:t>
      </w:r>
      <w:r w:rsidR="00E11988">
        <w:rPr>
          <w:rFonts w:eastAsiaTheme="minorHAnsi"/>
        </w:rPr>
        <w:t xml:space="preserve">is shown in Figure </w:t>
      </w:r>
      <w:r w:rsidR="00F725E8">
        <w:rPr>
          <w:rFonts w:eastAsiaTheme="minorHAnsi"/>
        </w:rPr>
        <w:t xml:space="preserve">5, </w:t>
      </w:r>
      <w:r w:rsidR="009672AF">
        <w:rPr>
          <w:rFonts w:eastAsiaTheme="minorHAnsi"/>
        </w:rPr>
        <w:t>based on approximately 30 studies published over the past 20 years</w:t>
      </w:r>
      <w:r w:rsidR="00E11988">
        <w:rPr>
          <w:rFonts w:eastAsiaTheme="minorHAnsi"/>
        </w:rPr>
        <w:t xml:space="preserve"> </w:t>
      </w:r>
      <w:r w:rsidR="004E20C9">
        <w:rPr>
          <w:rFonts w:eastAsiaTheme="minorHAnsi"/>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rFonts w:eastAsiaTheme="minorHAnsi"/>
        </w:rPr>
        <w:instrText xml:space="preserve"> ADDIN EN.CITE </w:instrText>
      </w:r>
      <w:r w:rsidR="002219B9">
        <w:rPr>
          <w:rFonts w:eastAsiaTheme="minorHAnsi"/>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rFonts w:eastAsiaTheme="minorHAnsi"/>
        </w:rPr>
        <w:instrText xml:space="preserve"> ADDIN EN.CITE.DATA </w:instrText>
      </w:r>
      <w:r w:rsidR="002219B9">
        <w:rPr>
          <w:rFonts w:eastAsiaTheme="minorHAnsi"/>
        </w:rPr>
      </w:r>
      <w:r w:rsidR="002219B9">
        <w:rPr>
          <w:rFonts w:eastAsiaTheme="minorHAnsi"/>
        </w:rPr>
        <w:fldChar w:fldCharType="end"/>
      </w:r>
      <w:r w:rsidR="004E20C9">
        <w:rPr>
          <w:rFonts w:eastAsiaTheme="minorHAnsi"/>
        </w:rPr>
      </w:r>
      <w:r w:rsidR="004E20C9">
        <w:rPr>
          <w:rFonts w:eastAsiaTheme="minorHAnsi"/>
        </w:rPr>
        <w:fldChar w:fldCharType="separate"/>
      </w:r>
      <w:r w:rsidR="002219B9">
        <w:rPr>
          <w:rFonts w:eastAsiaTheme="minorHAnsi"/>
          <w:noProof/>
        </w:rPr>
        <w:t>(</w:t>
      </w:r>
      <w:hyperlink w:anchor="_ENREF_60" w:tooltip="Mennechet, 2019 #58" w:history="1">
        <w:r w:rsidR="0027195B">
          <w:rPr>
            <w:rFonts w:eastAsiaTheme="minorHAnsi"/>
            <w:noProof/>
          </w:rPr>
          <w:t>Mennechet et al., 2019a</w:t>
        </w:r>
      </w:hyperlink>
      <w:r w:rsidR="002219B9">
        <w:rPr>
          <w:rFonts w:eastAsiaTheme="minorHAnsi"/>
          <w:noProof/>
        </w:rPr>
        <w:t>)</w:t>
      </w:r>
      <w:r w:rsidR="004E20C9">
        <w:rPr>
          <w:rFonts w:eastAsiaTheme="minorHAnsi"/>
        </w:rPr>
        <w:fldChar w:fldCharType="end"/>
      </w:r>
      <w:r w:rsidR="00E11988">
        <w:rPr>
          <w:rFonts w:eastAsiaTheme="minorHAnsi"/>
        </w:rPr>
        <w:t>.</w:t>
      </w:r>
      <w:r w:rsidR="009672AF">
        <w:rPr>
          <w:rFonts w:eastAsiaTheme="minorHAnsi"/>
        </w:rPr>
        <w:t xml:space="preserve"> </w:t>
      </w:r>
      <w:r w:rsidR="001C1B28">
        <w:rPr>
          <w:rFonts w:eastAsiaTheme="minorHAnsi"/>
        </w:rPr>
        <w:t>HAdV-</w:t>
      </w:r>
      <w:r w:rsidR="00F7219B">
        <w:rPr>
          <w:rFonts w:eastAsiaTheme="minorHAnsi"/>
        </w:rPr>
        <w:t>C</w:t>
      </w:r>
      <w:r w:rsidR="001C1B28">
        <w:rPr>
          <w:rFonts w:eastAsiaTheme="minorHAnsi"/>
        </w:rPr>
        <w:t xml:space="preserve">5 is the most widely reported and has the highest </w:t>
      </w:r>
      <w:proofErr w:type="spellStart"/>
      <w:r w:rsidR="001C1B28">
        <w:rPr>
          <w:rFonts w:eastAsiaTheme="minorHAnsi"/>
        </w:rPr>
        <w:t>seroprevalance</w:t>
      </w:r>
      <w:proofErr w:type="spellEnd"/>
      <w:r w:rsidR="001C1B28">
        <w:rPr>
          <w:rFonts w:eastAsiaTheme="minorHAnsi"/>
        </w:rPr>
        <w:t xml:space="preserve"> global</w:t>
      </w:r>
      <w:r w:rsidR="001B3441">
        <w:rPr>
          <w:rFonts w:eastAsiaTheme="minorHAnsi"/>
        </w:rPr>
        <w:t xml:space="preserve">ly. </w:t>
      </w:r>
    </w:p>
    <w:p w14:paraId="7AB29338" w14:textId="25BB6222" w:rsidR="00094AEB" w:rsidRPr="00800C63" w:rsidRDefault="001B3441" w:rsidP="00DF5A57">
      <w:pPr>
        <w:pStyle w:val="RARMPnumberedparagraphs"/>
      </w:pPr>
      <w:r>
        <w:rPr>
          <w:rFonts w:eastAsiaTheme="minorHAnsi"/>
        </w:rPr>
        <w:t xml:space="preserve">In Australia, </w:t>
      </w:r>
      <w:r w:rsidR="003C69BB">
        <w:rPr>
          <w:rFonts w:eastAsiaTheme="minorHAnsi"/>
        </w:rPr>
        <w:t>the Laboratory Virology and Serology (</w:t>
      </w:r>
      <w:proofErr w:type="spellStart"/>
      <w:r w:rsidR="003C69BB">
        <w:rPr>
          <w:rFonts w:eastAsiaTheme="minorHAnsi"/>
        </w:rPr>
        <w:t>LabVISE</w:t>
      </w:r>
      <w:proofErr w:type="spellEnd"/>
      <w:r w:rsidR="003C69BB">
        <w:rPr>
          <w:rFonts w:eastAsiaTheme="minorHAnsi"/>
        </w:rPr>
        <w:t xml:space="preserve">) reports from </w:t>
      </w:r>
      <w:r w:rsidR="009F1628">
        <w:rPr>
          <w:rFonts w:eastAsiaTheme="minorHAnsi"/>
        </w:rPr>
        <w:t xml:space="preserve">the Department of Health </w:t>
      </w:r>
      <w:r w:rsidR="00070D95">
        <w:rPr>
          <w:rFonts w:eastAsiaTheme="minorHAnsi"/>
        </w:rPr>
        <w:t xml:space="preserve">and Aged Care </w:t>
      </w:r>
      <w:r w:rsidR="009F1628">
        <w:rPr>
          <w:rFonts w:eastAsiaTheme="minorHAnsi"/>
        </w:rPr>
        <w:t>(1991-</w:t>
      </w:r>
      <w:r w:rsidR="003C69BB">
        <w:rPr>
          <w:rFonts w:eastAsiaTheme="minorHAnsi"/>
        </w:rPr>
        <w:t>2000</w:t>
      </w:r>
      <w:r w:rsidR="009F1628">
        <w:rPr>
          <w:rFonts w:eastAsiaTheme="minorHAnsi"/>
        </w:rPr>
        <w:t>)</w:t>
      </w:r>
      <w:r w:rsidR="003C69BB">
        <w:rPr>
          <w:rFonts w:eastAsiaTheme="minorHAnsi"/>
        </w:rPr>
        <w:t xml:space="preserve"> showed an average of about 1400 reported cases of adenovirus </w:t>
      </w:r>
      <w:r w:rsidR="003C69BB">
        <w:rPr>
          <w:rFonts w:eastAsiaTheme="minorHAnsi"/>
        </w:rPr>
        <w:lastRenderedPageBreak/>
        <w:t xml:space="preserve">infection </w:t>
      </w:r>
      <w:r w:rsidR="0077488B">
        <w:rPr>
          <w:rFonts w:eastAsiaTheme="minorHAnsi"/>
        </w:rPr>
        <w:t xml:space="preserve">per year over 10 years </w:t>
      </w:r>
      <w:r w:rsidR="004E20C9">
        <w:rPr>
          <w:rFonts w:eastAsiaTheme="minorHAnsi"/>
        </w:rPr>
        <w:fldChar w:fldCharType="begin"/>
      </w:r>
      <w:r w:rsidR="00824706">
        <w:rPr>
          <w:rFonts w:eastAsiaTheme="minorHAnsi"/>
        </w:rPr>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4E20C9">
        <w:rPr>
          <w:rFonts w:eastAsiaTheme="minorHAnsi"/>
        </w:rPr>
        <w:fldChar w:fldCharType="separate"/>
      </w:r>
      <w:r w:rsidR="004E20C9">
        <w:rPr>
          <w:rFonts w:eastAsiaTheme="minorHAnsi"/>
          <w:noProof/>
        </w:rPr>
        <w:t>(</w:t>
      </w:r>
      <w:hyperlink w:anchor="_ENREF_86" w:tooltip="Spencer, 2002 #103" w:history="1">
        <w:r w:rsidR="0027195B">
          <w:rPr>
            <w:rFonts w:eastAsiaTheme="minorHAnsi"/>
            <w:noProof/>
          </w:rPr>
          <w:t>Spencer, 2002</w:t>
        </w:r>
      </w:hyperlink>
      <w:r w:rsidR="004E20C9">
        <w:rPr>
          <w:rFonts w:eastAsiaTheme="minorHAnsi"/>
          <w:noProof/>
        </w:rPr>
        <w:t>)</w:t>
      </w:r>
      <w:r w:rsidR="004E20C9">
        <w:rPr>
          <w:rFonts w:eastAsiaTheme="minorHAnsi"/>
        </w:rPr>
        <w:fldChar w:fldCharType="end"/>
      </w:r>
      <w:r w:rsidR="0077488B">
        <w:rPr>
          <w:rFonts w:eastAsiaTheme="minorHAnsi"/>
        </w:rPr>
        <w:t xml:space="preserve">. It is important to note that </w:t>
      </w:r>
      <w:r w:rsidR="001B3D5A">
        <w:rPr>
          <w:rFonts w:eastAsiaTheme="minorHAnsi"/>
        </w:rPr>
        <w:t xml:space="preserve">the </w:t>
      </w:r>
      <w:r w:rsidR="0077488B">
        <w:rPr>
          <w:rFonts w:eastAsiaTheme="minorHAnsi"/>
        </w:rPr>
        <w:t xml:space="preserve">majority of </w:t>
      </w:r>
      <w:r w:rsidR="00F725E8">
        <w:rPr>
          <w:rFonts w:eastAsiaTheme="minorHAnsi"/>
        </w:rPr>
        <w:t xml:space="preserve">reported </w:t>
      </w:r>
      <w:proofErr w:type="spellStart"/>
      <w:r w:rsidR="00F725E8">
        <w:rPr>
          <w:rFonts w:eastAsiaTheme="minorHAnsi"/>
        </w:rPr>
        <w:t>AdV</w:t>
      </w:r>
      <w:proofErr w:type="spellEnd"/>
      <w:r w:rsidR="00F725E8">
        <w:rPr>
          <w:rFonts w:eastAsiaTheme="minorHAnsi"/>
        </w:rPr>
        <w:t xml:space="preserve"> </w:t>
      </w:r>
      <w:r w:rsidR="0077488B">
        <w:rPr>
          <w:rFonts w:eastAsiaTheme="minorHAnsi"/>
        </w:rPr>
        <w:t>infection</w:t>
      </w:r>
      <w:r w:rsidR="00F725E8">
        <w:rPr>
          <w:rFonts w:eastAsiaTheme="minorHAnsi"/>
        </w:rPr>
        <w:t>s</w:t>
      </w:r>
      <w:r w:rsidR="0077488B">
        <w:rPr>
          <w:rFonts w:eastAsiaTheme="minorHAnsi"/>
        </w:rPr>
        <w:t xml:space="preserve"> have not been serotyped</w:t>
      </w:r>
      <w:r w:rsidR="000A2855">
        <w:rPr>
          <w:rFonts w:eastAsiaTheme="minorHAnsi"/>
        </w:rPr>
        <w:t xml:space="preserve"> and that testing</w:t>
      </w:r>
      <w:r w:rsidR="009F1628">
        <w:rPr>
          <w:rFonts w:eastAsiaTheme="minorHAnsi"/>
        </w:rPr>
        <w:t xml:space="preserve"> for adenovirus </w:t>
      </w:r>
      <w:r w:rsidR="000A2855">
        <w:rPr>
          <w:rFonts w:eastAsiaTheme="minorHAnsi"/>
        </w:rPr>
        <w:t>infections</w:t>
      </w:r>
      <w:r w:rsidR="009F1628">
        <w:rPr>
          <w:rFonts w:eastAsiaTheme="minorHAnsi"/>
        </w:rPr>
        <w:t xml:space="preserve"> may not be common in Australia</w:t>
      </w:r>
      <w:r w:rsidR="0077488B">
        <w:rPr>
          <w:rFonts w:eastAsiaTheme="minorHAnsi"/>
        </w:rPr>
        <w:t xml:space="preserve">. However, these numbers </w:t>
      </w:r>
      <w:r w:rsidR="004C3A74" w:rsidRPr="00800C63">
        <w:rPr>
          <w:rFonts w:eastAsiaTheme="minorHAnsi"/>
        </w:rPr>
        <w:t xml:space="preserve">indicate that </w:t>
      </w:r>
      <w:proofErr w:type="spellStart"/>
      <w:r w:rsidR="004C3A74" w:rsidRPr="00800C63">
        <w:rPr>
          <w:rFonts w:eastAsiaTheme="minorHAnsi"/>
        </w:rPr>
        <w:t>HAdVs</w:t>
      </w:r>
      <w:proofErr w:type="spellEnd"/>
      <w:r w:rsidR="004C3A74" w:rsidRPr="00800C63">
        <w:rPr>
          <w:rFonts w:eastAsiaTheme="minorHAnsi"/>
        </w:rPr>
        <w:t xml:space="preserve"> are present in the Australian environment</w:t>
      </w:r>
      <w:r w:rsidR="0077488B" w:rsidRPr="00800C63">
        <w:rPr>
          <w:rFonts w:eastAsiaTheme="minorHAnsi"/>
        </w:rPr>
        <w:t xml:space="preserve">. </w:t>
      </w:r>
      <w:r w:rsidR="00015850" w:rsidRPr="00015850">
        <w:rPr>
          <w:rFonts w:eastAsiaTheme="minorHAnsi"/>
        </w:rPr>
        <w:t xml:space="preserve">In 2025, </w:t>
      </w:r>
      <w:r w:rsidR="002B0CA5">
        <w:rPr>
          <w:rFonts w:eastAsiaTheme="minorHAnsi"/>
        </w:rPr>
        <w:t xml:space="preserve">the </w:t>
      </w:r>
      <w:r w:rsidR="00015850" w:rsidRPr="00015850">
        <w:rPr>
          <w:rFonts w:eastAsiaTheme="minorHAnsi"/>
        </w:rPr>
        <w:t>Australian Respiratory Surveillance Report</w:t>
      </w:r>
      <w:r w:rsidR="00015850">
        <w:rPr>
          <w:rFonts w:eastAsiaTheme="minorHAnsi"/>
        </w:rPr>
        <w:t xml:space="preserve"> showed that</w:t>
      </w:r>
      <w:r w:rsidR="00015850" w:rsidRPr="00015850">
        <w:rPr>
          <w:rFonts w:eastAsiaTheme="minorHAnsi"/>
        </w:rPr>
        <w:t xml:space="preserve"> adenovirus was identified in 4.7% of samples tested for respiratory pathogens among people with influenza-like illness attending general practice sites (</w:t>
      </w:r>
      <w:hyperlink r:id="rId32" w:history="1">
        <w:r w:rsidR="00015850" w:rsidRPr="00015850">
          <w:rPr>
            <w:rStyle w:val="Hyperlink"/>
            <w:rFonts w:eastAsiaTheme="minorHAnsi"/>
          </w:rPr>
          <w:t>Australian Respiratory Surveillance Report 2025</w:t>
        </w:r>
      </w:hyperlink>
      <w:r w:rsidR="00015850" w:rsidRPr="00015850">
        <w:rPr>
          <w:rFonts w:eastAsiaTheme="minorHAnsi"/>
        </w:rPr>
        <w:t>, accessed November 2025).</w:t>
      </w:r>
    </w:p>
    <w:p w14:paraId="3F52D8AE" w14:textId="77777777" w:rsidR="00E11988" w:rsidRDefault="00E11988" w:rsidP="00E11988">
      <w:pPr>
        <w:pStyle w:val="RARMPnumberedparagraphs"/>
        <w:numPr>
          <w:ilvl w:val="0"/>
          <w:numId w:val="0"/>
        </w:numPr>
      </w:pPr>
    </w:p>
    <w:p w14:paraId="0CD1CE3E" w14:textId="77777777" w:rsidR="00E11988" w:rsidRDefault="00E11988" w:rsidP="00E11988">
      <w:pPr>
        <w:pStyle w:val="RARMPnumberedparagraphs"/>
        <w:numPr>
          <w:ilvl w:val="0"/>
          <w:numId w:val="0"/>
        </w:numPr>
      </w:pPr>
    </w:p>
    <w:p w14:paraId="7FFE74CB" w14:textId="7607DE18" w:rsidR="00E11988" w:rsidRDefault="00E11988" w:rsidP="00E11988">
      <w:pPr>
        <w:pStyle w:val="RARMPnumberedparagraphs"/>
        <w:numPr>
          <w:ilvl w:val="0"/>
          <w:numId w:val="0"/>
        </w:numPr>
        <w:jc w:val="center"/>
      </w:pPr>
      <w:r>
        <w:rPr>
          <w:noProof/>
        </w:rPr>
        <w:drawing>
          <wp:inline distT="0" distB="0" distL="0" distR="0" wp14:anchorId="2B5EFB3C" wp14:editId="7B036042">
            <wp:extent cx="4310742" cy="2357176"/>
            <wp:effectExtent l="0" t="0" r="0" b="5080"/>
            <wp:docPr id="3" name="Picture 3" descr="Figure 5: Seroprevalance for adenovirus types used in the clinic (Mennechet et al., 20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eroprevalance for adenovirus types used in the clinic (Mennechet et al., 2019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5282" cy="2365127"/>
                    </a:xfrm>
                    <a:prstGeom prst="rect">
                      <a:avLst/>
                    </a:prstGeom>
                    <a:noFill/>
                  </pic:spPr>
                </pic:pic>
              </a:graphicData>
            </a:graphic>
          </wp:inline>
        </w:drawing>
      </w:r>
    </w:p>
    <w:p w14:paraId="26E043CB" w14:textId="5B85691B" w:rsidR="00E11988" w:rsidRPr="00340E83" w:rsidRDefault="00E11988" w:rsidP="00340E83">
      <w:pPr>
        <w:pStyle w:val="figure"/>
      </w:pPr>
      <w:r w:rsidRPr="00340E83">
        <w:t xml:space="preserve">Figure </w:t>
      </w:r>
      <w:r w:rsidR="00D14885">
        <w:t>5</w:t>
      </w:r>
      <w:r w:rsidRPr="00340E83">
        <w:t xml:space="preserve">: </w:t>
      </w:r>
      <w:proofErr w:type="spellStart"/>
      <w:r w:rsidRPr="00340E83">
        <w:t>Seroprevalance</w:t>
      </w:r>
      <w:proofErr w:type="spellEnd"/>
      <w:r w:rsidRPr="00340E83">
        <w:t xml:space="preserve"> for adenovirus types used in the clinic </w:t>
      </w:r>
      <w:r w:rsidR="004E20C9">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instrText xml:space="preserve"> ADDIN EN.CITE </w:instrText>
      </w:r>
      <w:r w:rsidR="002219B9">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instrText xml:space="preserve"> ADDIN EN.CITE.DATA </w:instrText>
      </w:r>
      <w:r w:rsidR="002219B9">
        <w:fldChar w:fldCharType="end"/>
      </w:r>
      <w:r w:rsidR="004E20C9">
        <w:fldChar w:fldCharType="separate"/>
      </w:r>
      <w:r w:rsidR="002219B9">
        <w:rPr>
          <w:noProof/>
        </w:rPr>
        <w:t>(</w:t>
      </w:r>
      <w:hyperlink w:anchor="_ENREF_60" w:tooltip="Mennechet, 2019 #58" w:history="1">
        <w:r w:rsidR="0027195B">
          <w:rPr>
            <w:noProof/>
          </w:rPr>
          <w:t>Mennechet et al., 2019a</w:t>
        </w:r>
      </w:hyperlink>
      <w:r w:rsidR="002219B9">
        <w:rPr>
          <w:noProof/>
        </w:rPr>
        <w:t>)</w:t>
      </w:r>
      <w:r w:rsidR="004E20C9">
        <w:fldChar w:fldCharType="end"/>
      </w:r>
    </w:p>
    <w:p w14:paraId="124A0BCF" w14:textId="3CE65F58" w:rsidR="00E97F86" w:rsidRPr="00E97F86" w:rsidRDefault="00AC1027" w:rsidP="00321D13">
      <w:pPr>
        <w:pStyle w:val="4RARMP"/>
      </w:pPr>
      <w:bookmarkStart w:id="167" w:name="_Ref57107869"/>
      <w:bookmarkStart w:id="168" w:name="_Ref32930850"/>
      <w:bookmarkStart w:id="169" w:name="_Toc53666215"/>
      <w:bookmarkStart w:id="170" w:name="_Toc53675476"/>
      <w:bookmarkEnd w:id="158"/>
      <w:bookmarkEnd w:id="159"/>
      <w:bookmarkEnd w:id="160"/>
      <w:bookmarkEnd w:id="161"/>
      <w:r>
        <w:rPr>
          <w:shd w:val="clear" w:color="auto" w:fill="FFFFFF"/>
        </w:rPr>
        <w:t>Control, e</w:t>
      </w:r>
      <w:r w:rsidR="00922F34" w:rsidRPr="00E97F86">
        <w:rPr>
          <w:shd w:val="clear" w:color="auto" w:fill="FFFFFF"/>
        </w:rPr>
        <w:t>nvironmental stability and decontamination methods</w:t>
      </w:r>
      <w:bookmarkEnd w:id="167"/>
      <w:r w:rsidR="00922F34" w:rsidRPr="00E97F86">
        <w:rPr>
          <w:shd w:val="clear" w:color="auto" w:fill="FFFFFF"/>
        </w:rPr>
        <w:t xml:space="preserve"> </w:t>
      </w:r>
      <w:bookmarkEnd w:id="168"/>
      <w:bookmarkEnd w:id="169"/>
      <w:bookmarkEnd w:id="170"/>
    </w:p>
    <w:p w14:paraId="6E186446" w14:textId="194AF632" w:rsidR="00AC1027" w:rsidRPr="00785BD8" w:rsidRDefault="00E26A08" w:rsidP="00785BD8">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proofErr w:type="spellStart"/>
      <w:r w:rsidR="00462394">
        <w:rPr>
          <w:rFonts w:cs="Calibri"/>
          <w:szCs w:val="22"/>
        </w:rPr>
        <w:t>H</w:t>
      </w:r>
      <w:r w:rsidR="00496952" w:rsidRPr="00E52B4D">
        <w:rPr>
          <w:rFonts w:cs="Calibri"/>
          <w:szCs w:val="22"/>
        </w:rPr>
        <w:t>AdV</w:t>
      </w:r>
      <w:proofErr w:type="spellEnd"/>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immunocompromised patients or those with severe </w:t>
      </w:r>
      <w:r w:rsidR="000602AE" w:rsidRPr="00E52B4D">
        <w:rPr>
          <w:rFonts w:cs="Calibri"/>
          <w:szCs w:val="22"/>
        </w:rPr>
        <w:t>disease</w:t>
      </w:r>
      <w:r w:rsidR="00AC1027" w:rsidRPr="00E52B4D">
        <w:rPr>
          <w:rFonts w:cs="Calibri"/>
          <w:szCs w:val="22"/>
        </w:rPr>
        <w:t xml:space="preserve">. </w:t>
      </w:r>
      <w:r w:rsidR="005C6F06">
        <w:rPr>
          <w:rFonts w:cs="Calibri"/>
          <w:szCs w:val="22"/>
        </w:rPr>
        <w:t>A</w:t>
      </w:r>
      <w:r w:rsidR="005C6F06" w:rsidRPr="00D73A9A">
        <w:rPr>
          <w:rFonts w:cs="Calibri"/>
          <w:szCs w:val="22"/>
        </w:rPr>
        <w:t>ntiviral agents</w:t>
      </w:r>
      <w:r w:rsidR="005C6F06">
        <w:rPr>
          <w:rFonts w:cs="Calibri"/>
          <w:szCs w:val="22"/>
        </w:rPr>
        <w:t xml:space="preserve"> such as Cidofovir and </w:t>
      </w:r>
      <w:proofErr w:type="spellStart"/>
      <w:r w:rsidR="005C6F06">
        <w:rPr>
          <w:rFonts w:cs="Calibri"/>
          <w:szCs w:val="22"/>
        </w:rPr>
        <w:t>Ribavarin</w:t>
      </w:r>
      <w:proofErr w:type="spellEnd"/>
      <w:r w:rsidR="005C6F06" w:rsidRPr="00D73A9A">
        <w:rPr>
          <w:rFonts w:cs="Calibri"/>
          <w:szCs w:val="22"/>
        </w:rPr>
        <w:t xml:space="preserve"> </w:t>
      </w:r>
      <w:r w:rsidR="005D7A89">
        <w:rPr>
          <w:rFonts w:cs="Calibri"/>
          <w:szCs w:val="22"/>
        </w:rPr>
        <w:t xml:space="preserve">are </w:t>
      </w:r>
      <w:r w:rsidR="005C6F06" w:rsidRPr="00D73A9A">
        <w:rPr>
          <w:rFonts w:cs="Calibri"/>
          <w:szCs w:val="22"/>
        </w:rPr>
        <w:t xml:space="preserve">commonly used </w:t>
      </w:r>
      <w:r w:rsidR="005C6F06">
        <w:rPr>
          <w:rFonts w:cs="Calibri"/>
          <w:szCs w:val="22"/>
        </w:rPr>
        <w:t>as first line adenoviral therapies</w:t>
      </w:r>
      <w:r w:rsidR="005C6F06" w:rsidRPr="00D73A9A">
        <w:rPr>
          <w:rFonts w:cs="Calibri"/>
          <w:szCs w:val="22"/>
        </w:rPr>
        <w:t xml:space="preserve"> </w:t>
      </w:r>
      <w:r w:rsidR="005C6F06">
        <w:rPr>
          <w:rFonts w:cs="Calibri"/>
          <w:szCs w:val="22"/>
        </w:rPr>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B80D1A">
        <w:rPr>
          <w:rFonts w:cs="Calibri"/>
          <w:szCs w:val="22"/>
        </w:rPr>
        <w:instrText xml:space="preserve"> ADDIN EN.CITE </w:instrText>
      </w:r>
      <w:r w:rsidR="00B80D1A">
        <w:rPr>
          <w:rFonts w:cs="Calibri"/>
          <w:szCs w:val="22"/>
        </w:rPr>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B80D1A">
        <w:rPr>
          <w:rFonts w:cs="Calibri"/>
          <w:szCs w:val="22"/>
        </w:rPr>
        <w:instrText xml:space="preserve"> ADDIN EN.CITE.DATA </w:instrText>
      </w:r>
      <w:r w:rsidR="00B80D1A">
        <w:rPr>
          <w:rFonts w:cs="Calibri"/>
          <w:szCs w:val="22"/>
        </w:rPr>
      </w:r>
      <w:r w:rsidR="00B80D1A">
        <w:rPr>
          <w:rFonts w:cs="Calibri"/>
          <w:szCs w:val="22"/>
        </w:rPr>
        <w:fldChar w:fldCharType="end"/>
      </w:r>
      <w:r w:rsidR="005C6F06">
        <w:rPr>
          <w:rFonts w:cs="Calibri"/>
          <w:szCs w:val="22"/>
        </w:rPr>
      </w:r>
      <w:r w:rsidR="005C6F06">
        <w:rPr>
          <w:rFonts w:cs="Calibri"/>
          <w:szCs w:val="22"/>
        </w:rPr>
        <w:fldChar w:fldCharType="separate"/>
      </w:r>
      <w:r w:rsidR="00B80D1A">
        <w:rPr>
          <w:rFonts w:cs="Calibri"/>
          <w:noProof/>
          <w:szCs w:val="22"/>
        </w:rPr>
        <w:t>(</w:t>
      </w:r>
      <w:hyperlink w:anchor="_ENREF_15" w:tooltip="CDC, 2019 #63" w:history="1">
        <w:r w:rsidR="0027195B">
          <w:rPr>
            <w:rFonts w:cs="Calibri"/>
            <w:noProof/>
            <w:szCs w:val="22"/>
          </w:rPr>
          <w:t>CDC, 2019a</w:t>
        </w:r>
      </w:hyperlink>
      <w:r w:rsidR="00B80D1A">
        <w:rPr>
          <w:rFonts w:cs="Calibri"/>
          <w:noProof/>
          <w:szCs w:val="22"/>
        </w:rPr>
        <w:t xml:space="preserve">; </w:t>
      </w:r>
      <w:hyperlink w:anchor="_ENREF_54" w:tooltip="Lion, 2019 #83" w:history="1">
        <w:r w:rsidR="0027195B">
          <w:rPr>
            <w:rFonts w:cs="Calibri"/>
            <w:noProof/>
            <w:szCs w:val="22"/>
          </w:rPr>
          <w:t>Lion, 2019</w:t>
        </w:r>
      </w:hyperlink>
      <w:r w:rsidR="00B80D1A">
        <w:rPr>
          <w:rFonts w:cs="Calibri"/>
          <w:noProof/>
          <w:szCs w:val="22"/>
        </w:rPr>
        <w:t xml:space="preserve">; </w:t>
      </w:r>
      <w:hyperlink w:anchor="_ENREF_100" w:tooltip="Waye, 2010 #104" w:history="1">
        <w:r w:rsidR="0027195B">
          <w:rPr>
            <w:rFonts w:cs="Calibri"/>
            <w:noProof/>
            <w:szCs w:val="22"/>
          </w:rPr>
          <w:t>Waye and Sing, 2010</w:t>
        </w:r>
      </w:hyperlink>
      <w:r w:rsidR="00B80D1A">
        <w:rPr>
          <w:rFonts w:cs="Calibri"/>
          <w:noProof/>
          <w:szCs w:val="22"/>
        </w:rPr>
        <w:t>)</w:t>
      </w:r>
      <w:r w:rsidR="005C6F06">
        <w:rPr>
          <w:rFonts w:cs="Calibri"/>
          <w:szCs w:val="22"/>
        </w:rPr>
        <w:fldChar w:fldCharType="end"/>
      </w:r>
      <w:r w:rsidR="005C6F06" w:rsidRPr="0011547C">
        <w:rPr>
          <w:rFonts w:cs="Calibri"/>
          <w:szCs w:val="22"/>
        </w:rPr>
        <w:t>.</w:t>
      </w:r>
      <w:r w:rsidR="00785BD8">
        <w:rPr>
          <w:rFonts w:cs="Calibri"/>
          <w:szCs w:val="22"/>
        </w:rPr>
        <w:t xml:space="preserve"> </w:t>
      </w:r>
      <w:r w:rsidR="00425D4D" w:rsidRPr="00785BD8">
        <w:rPr>
          <w:rFonts w:cs="Calibri"/>
          <w:szCs w:val="22"/>
        </w:rPr>
        <w:t>T</w:t>
      </w:r>
      <w:r w:rsidR="00AC1027" w:rsidRPr="00785BD8">
        <w:rPr>
          <w:rFonts w:cs="Calibri"/>
          <w:szCs w:val="22"/>
        </w:rPr>
        <w:t xml:space="preserve">here are currently no </w:t>
      </w:r>
      <w:proofErr w:type="spellStart"/>
      <w:r w:rsidR="00F725E8">
        <w:rPr>
          <w:rFonts w:cs="Calibri"/>
          <w:szCs w:val="22"/>
        </w:rPr>
        <w:t>AdV</w:t>
      </w:r>
      <w:proofErr w:type="spellEnd"/>
      <w:r w:rsidR="00AC1027" w:rsidRPr="00785BD8">
        <w:rPr>
          <w:rFonts w:cs="Calibri"/>
          <w:szCs w:val="22"/>
        </w:rPr>
        <w:t>-</w:t>
      </w:r>
      <w:r w:rsidR="009D13DF" w:rsidRPr="00785BD8">
        <w:rPr>
          <w:rFonts w:cs="Calibri"/>
          <w:szCs w:val="22"/>
        </w:rPr>
        <w:t xml:space="preserve">specific drugs </w:t>
      </w:r>
      <w:r w:rsidR="005C6F06" w:rsidRPr="00785BD8">
        <w:rPr>
          <w:rFonts w:cs="Calibri"/>
          <w:szCs w:val="22"/>
        </w:rPr>
        <w:t>to treat infection</w:t>
      </w:r>
      <w:r w:rsidR="00471E29" w:rsidRPr="00785BD8">
        <w:rPr>
          <w:rFonts w:cs="Calibri"/>
          <w:szCs w:val="22"/>
        </w:rPr>
        <w:t xml:space="preserve"> </w:t>
      </w:r>
      <w:r w:rsidR="00B80D1A">
        <w:rPr>
          <w:rFonts w:cs="Calibri"/>
          <w:szCs w:val="22"/>
        </w:rPr>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B80D1A">
        <w:rPr>
          <w:rFonts w:cs="Calibri"/>
          <w:szCs w:val="22"/>
        </w:rPr>
        <w:instrText xml:space="preserve"> ADDIN EN.CITE </w:instrText>
      </w:r>
      <w:r w:rsidR="00B80D1A">
        <w:rPr>
          <w:rFonts w:cs="Calibri"/>
          <w:szCs w:val="22"/>
        </w:rPr>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B80D1A">
        <w:rPr>
          <w:rFonts w:cs="Calibri"/>
          <w:szCs w:val="22"/>
        </w:rPr>
        <w:instrText xml:space="preserve"> ADDIN EN.CITE.DATA </w:instrText>
      </w:r>
      <w:r w:rsidR="00B80D1A">
        <w:rPr>
          <w:rFonts w:cs="Calibri"/>
          <w:szCs w:val="22"/>
        </w:rPr>
      </w:r>
      <w:r w:rsidR="00B80D1A">
        <w:rPr>
          <w:rFonts w:cs="Calibri"/>
          <w:szCs w:val="22"/>
        </w:rPr>
        <w:fldChar w:fldCharType="end"/>
      </w:r>
      <w:r w:rsidR="00B80D1A">
        <w:rPr>
          <w:rFonts w:cs="Calibri"/>
          <w:szCs w:val="22"/>
        </w:rPr>
      </w:r>
      <w:r w:rsidR="00B80D1A">
        <w:rPr>
          <w:rFonts w:cs="Calibri"/>
          <w:szCs w:val="22"/>
        </w:rPr>
        <w:fldChar w:fldCharType="separate"/>
      </w:r>
      <w:r w:rsidR="00B80D1A">
        <w:rPr>
          <w:rFonts w:cs="Calibri"/>
          <w:noProof/>
          <w:szCs w:val="22"/>
        </w:rPr>
        <w:t>(</w:t>
      </w:r>
      <w:hyperlink w:anchor="_ENREF_15" w:tooltip="CDC, 2019 #63" w:history="1">
        <w:r w:rsidR="0027195B">
          <w:rPr>
            <w:rFonts w:cs="Calibri"/>
            <w:noProof/>
            <w:szCs w:val="22"/>
          </w:rPr>
          <w:t>CDC, 2019a</w:t>
        </w:r>
      </w:hyperlink>
      <w:r w:rsidR="00B80D1A">
        <w:rPr>
          <w:rFonts w:cs="Calibri"/>
          <w:noProof/>
          <w:szCs w:val="22"/>
        </w:rPr>
        <w:t xml:space="preserve">; </w:t>
      </w:r>
      <w:hyperlink w:anchor="_ENREF_100" w:tooltip="Waye, 2010 #104" w:history="1">
        <w:r w:rsidR="0027195B">
          <w:rPr>
            <w:rFonts w:cs="Calibri"/>
            <w:noProof/>
            <w:szCs w:val="22"/>
          </w:rPr>
          <w:t>Waye and Sing, 2010</w:t>
        </w:r>
      </w:hyperlink>
      <w:r w:rsidR="00B80D1A">
        <w:rPr>
          <w:rFonts w:cs="Calibri"/>
          <w:noProof/>
          <w:szCs w:val="22"/>
        </w:rPr>
        <w:t>)</w:t>
      </w:r>
      <w:r w:rsidR="00B80D1A">
        <w:rPr>
          <w:rFonts w:cs="Calibri"/>
          <w:szCs w:val="22"/>
        </w:rPr>
        <w:fldChar w:fldCharType="end"/>
      </w:r>
      <w:r w:rsidR="00AC1027" w:rsidRPr="00785BD8">
        <w:rPr>
          <w:rFonts w:cs="Calibri"/>
          <w:szCs w:val="22"/>
        </w:rPr>
        <w:t>.</w:t>
      </w:r>
      <w:r w:rsidR="00C61325" w:rsidRPr="00785BD8">
        <w:rPr>
          <w:rFonts w:cs="Calibri"/>
          <w:szCs w:val="22"/>
        </w:rPr>
        <w:t xml:space="preserve"> </w:t>
      </w:r>
    </w:p>
    <w:p w14:paraId="3826B29E" w14:textId="6A03780A" w:rsidR="00F74DB8" w:rsidRPr="00D73A9A" w:rsidRDefault="00F725E8" w:rsidP="00F74DB8">
      <w:pPr>
        <w:pStyle w:val="RARMPnumberedparagraphs"/>
        <w:rPr>
          <w:rFonts w:eastAsiaTheme="minorHAnsi" w:cs="Calibri"/>
          <w:szCs w:val="22"/>
        </w:rPr>
      </w:pPr>
      <w:r>
        <w:rPr>
          <w:rFonts w:cs="Calibri"/>
          <w:szCs w:val="22"/>
        </w:rPr>
        <w:t xml:space="preserve">Adenoviruses </w:t>
      </w:r>
      <w:r w:rsidR="000E6783" w:rsidRPr="00D73A9A">
        <w:rPr>
          <w:rFonts w:cs="Calibri"/>
          <w:szCs w:val="22"/>
        </w:rPr>
        <w:t xml:space="preserve">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5B0F2F">
        <w:rPr>
          <w:rFonts w:cs="Calibri"/>
          <w:szCs w:val="22"/>
        </w:rPr>
        <w:instrText xml:space="preserve"> ADDIN EN.CITE </w:instrText>
      </w:r>
      <w:r w:rsidR="005B0F2F">
        <w:rPr>
          <w:rFonts w:cs="Calibri"/>
          <w:szCs w:val="22"/>
        </w:rPr>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5B0F2F">
        <w:rPr>
          <w:rFonts w:cs="Calibri"/>
          <w:szCs w:val="22"/>
        </w:rPr>
        <w:instrText xml:space="preserve"> ADDIN EN.CITE.DATA </w:instrText>
      </w:r>
      <w:r w:rsidR="005B0F2F">
        <w:rPr>
          <w:rFonts w:cs="Calibri"/>
          <w:szCs w:val="22"/>
        </w:rPr>
      </w:r>
      <w:r w:rsidR="005B0F2F">
        <w:rPr>
          <w:rFonts w:cs="Calibri"/>
          <w:szCs w:val="22"/>
        </w:rPr>
        <w:fldChar w:fldCharType="end"/>
      </w:r>
      <w:r w:rsidR="00225DE1">
        <w:rPr>
          <w:rFonts w:cs="Calibri"/>
          <w:szCs w:val="22"/>
        </w:rPr>
      </w:r>
      <w:r w:rsidR="00225DE1">
        <w:rPr>
          <w:rFonts w:cs="Calibri"/>
          <w:szCs w:val="22"/>
        </w:rPr>
        <w:fldChar w:fldCharType="separate"/>
      </w:r>
      <w:r w:rsidR="005B0F2F">
        <w:rPr>
          <w:rFonts w:cs="Calibri"/>
          <w:noProof/>
          <w:szCs w:val="22"/>
        </w:rPr>
        <w:t>(</w:t>
      </w:r>
      <w:hyperlink w:anchor="_ENREF_32" w:tooltip="Gray, 2018 #100" w:history="1">
        <w:r w:rsidR="0027195B">
          <w:rPr>
            <w:rFonts w:cs="Calibri"/>
            <w:noProof/>
            <w:szCs w:val="22"/>
          </w:rPr>
          <w:t>Gray and Erdman, 2018</w:t>
        </w:r>
      </w:hyperlink>
      <w:r w:rsidR="005B0F2F">
        <w:rPr>
          <w:rFonts w:cs="Calibri"/>
          <w:noProof/>
          <w:szCs w:val="22"/>
        </w:rPr>
        <w:t xml:space="preserve">; </w:t>
      </w:r>
      <w:hyperlink w:anchor="_ENREF_70" w:tooltip="Public Health Agency of Canada, 2014 #64" w:history="1">
        <w:r w:rsidR="0027195B">
          <w:rPr>
            <w:rFonts w:cs="Calibri"/>
            <w:noProof/>
            <w:szCs w:val="22"/>
          </w:rPr>
          <w:t>Public Health Agency of Canada, 2014</w:t>
        </w:r>
      </w:hyperlink>
      <w:r w:rsidR="005B0F2F">
        <w:rPr>
          <w:rFonts w:cs="Calibri"/>
          <w:noProof/>
          <w:szCs w:val="22"/>
        </w:rPr>
        <w:t xml:space="preserve">; </w:t>
      </w:r>
      <w:hyperlink w:anchor="_ENREF_77" w:tooltip="Rutala, 2006 #105" w:history="1">
        <w:r w:rsidR="0027195B">
          <w:rPr>
            <w:rFonts w:cs="Calibri"/>
            <w:noProof/>
            <w:szCs w:val="22"/>
          </w:rPr>
          <w:t>Rutala et al., 2006</w:t>
        </w:r>
      </w:hyperlink>
      <w:r w:rsidR="005B0F2F">
        <w:rPr>
          <w:rFonts w:cs="Calibri"/>
          <w:noProof/>
          <w:szCs w:val="22"/>
        </w:rPr>
        <w:t>)</w:t>
      </w:r>
      <w:r w:rsidR="00225DE1">
        <w:rPr>
          <w:rFonts w:cs="Calibri"/>
          <w:szCs w:val="22"/>
        </w:rPr>
        <w:fldChar w:fldCharType="end"/>
      </w:r>
      <w:r w:rsidR="000E6783" w:rsidRPr="00D73A9A">
        <w:rPr>
          <w:rFonts w:cs="Calibri"/>
          <w:szCs w:val="22"/>
        </w:rPr>
        <w:t xml:space="preserve">. </w:t>
      </w:r>
      <w:r>
        <w:rPr>
          <w:rFonts w:cs="Calibri"/>
          <w:szCs w:val="22"/>
        </w:rPr>
        <w:t>They</w:t>
      </w:r>
      <w:r w:rsidRPr="00D73A9A">
        <w:rPr>
          <w:rFonts w:cs="Calibri"/>
          <w:szCs w:val="22"/>
        </w:rPr>
        <w:t xml:space="preserve"> </w:t>
      </w:r>
      <w:r w:rsidR="000E6783" w:rsidRPr="00D73A9A">
        <w:rPr>
          <w:rFonts w:cs="Calibri"/>
          <w:szCs w:val="22"/>
        </w:rPr>
        <w:t>are also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 </w:instrText>
      </w:r>
      <w:r w:rsidR="00824706">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91" w:tooltip="Thompson, 2003 #106" w:history="1">
        <w:r w:rsidR="0027195B">
          <w:rPr>
            <w:rFonts w:cs="Calibri"/>
            <w:noProof/>
            <w:szCs w:val="22"/>
          </w:rPr>
          <w:t>Thompson et al., 2003</w:t>
        </w:r>
      </w:hyperlink>
      <w:r w:rsidR="00225DE1">
        <w:rPr>
          <w:rFonts w:cs="Calibri"/>
          <w:noProof/>
          <w:szCs w:val="22"/>
        </w:rPr>
        <w:t xml:space="preserve">; </w:t>
      </w:r>
      <w:hyperlink w:anchor="_ENREF_92" w:tooltip="Thurston-Enriquez, 2003 #107" w:history="1">
        <w:r w:rsidR="0027195B">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t>wastewater</w:t>
      </w:r>
      <w:r w:rsidR="00E33419" w:rsidRPr="00D73A9A">
        <w:rPr>
          <w:rFonts w:cs="Calibri"/>
          <w:szCs w:val="22"/>
        </w:rPr>
        <w:t xml:space="preserve"> and </w:t>
      </w:r>
      <w:r w:rsidR="00922F34" w:rsidRPr="00D73A9A">
        <w:rPr>
          <w:rFonts w:cs="Calibri"/>
          <w:szCs w:val="22"/>
        </w:rPr>
        <w:t>sewage, river</w:t>
      </w:r>
      <w:r w:rsidR="004F565D">
        <w:rPr>
          <w:rFonts w:cs="Calibri"/>
          <w:szCs w:val="22"/>
        </w:rPr>
        <w:t>s</w:t>
      </w:r>
      <w:r w:rsidR="00922F34" w:rsidRPr="00D73A9A">
        <w:rPr>
          <w:rFonts w:cs="Calibri"/>
          <w:szCs w:val="22"/>
        </w:rPr>
        <w:t>, ocean</w:t>
      </w:r>
      <w:r w:rsidR="004F565D">
        <w:rPr>
          <w:rFonts w:cs="Calibri"/>
          <w:szCs w:val="22"/>
        </w:rPr>
        <w:t>s,</w:t>
      </w:r>
      <w:r w:rsidR="00922F34" w:rsidRPr="00D73A9A">
        <w:rPr>
          <w:rFonts w:cs="Calibri"/>
          <w:szCs w:val="22"/>
        </w:rPr>
        <w:t xml:space="preserve"> swimming pool</w:t>
      </w:r>
      <w:r w:rsidR="004F565D">
        <w:rPr>
          <w:rFonts w:cs="Calibri"/>
          <w:szCs w:val="22"/>
        </w:rPr>
        <w:t>s</w:t>
      </w:r>
      <w:r w:rsidR="00922F34" w:rsidRPr="00D73A9A">
        <w:rPr>
          <w:rFonts w:cs="Calibri"/>
          <w:szCs w:val="22"/>
        </w:rPr>
        <w:t xml:space="preserve"> w</w:t>
      </w:r>
      <w:r w:rsidR="00F74DB8" w:rsidRPr="00D73A9A">
        <w:rPr>
          <w:rFonts w:cs="Calibri"/>
          <w:szCs w:val="22"/>
        </w:rPr>
        <w:t xml:space="preserve">ater </w:t>
      </w:r>
      <w:r w:rsidR="004F565D">
        <w:rPr>
          <w:rFonts w:cs="Calibri"/>
          <w:szCs w:val="22"/>
        </w:rPr>
        <w:t>and</w:t>
      </w:r>
      <w:r w:rsidR="00F74DB8" w:rsidRPr="00D73A9A">
        <w:rPr>
          <w:rFonts w:cs="Calibri"/>
          <w:szCs w:val="22"/>
        </w:rPr>
        <w:t xml:space="preserve"> drinking water</w:t>
      </w:r>
      <w:r w:rsidR="00225DE1">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70" w:tooltip="Public Health Agency of Canada, 2014 #64" w:history="1">
        <w:r w:rsidR="0027195B">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4D19FF2E" w:rsidR="00496952" w:rsidRPr="001B3441" w:rsidRDefault="00F725E8" w:rsidP="00496952">
      <w:pPr>
        <w:pStyle w:val="RARMPnumberedparagraphs"/>
        <w:rPr>
          <w:rFonts w:eastAsiaTheme="minorHAnsi" w:cs="Calibri"/>
          <w:szCs w:val="22"/>
        </w:rPr>
      </w:pPr>
      <w:r>
        <w:rPr>
          <w:rFonts w:cs="Calibri"/>
          <w:szCs w:val="22"/>
        </w:rPr>
        <w:t>Adenoviruses</w:t>
      </w:r>
      <w:r w:rsidR="00496952" w:rsidRPr="007507C5">
        <w:rPr>
          <w:rFonts w:cs="Calibri"/>
          <w:szCs w:val="22"/>
        </w:rPr>
        <w:t xml:space="preserve"> are very stable in the environment at pH 6-8 and below </w:t>
      </w:r>
      <w:r w:rsidR="00496952" w:rsidRPr="00584437">
        <w:rPr>
          <w:rFonts w:cs="Calibri"/>
          <w:szCs w:val="22"/>
        </w:rPr>
        <w:t>40</w:t>
      </w:r>
      <w:r w:rsidR="00584437" w:rsidRPr="00584437">
        <w:rPr>
          <w:rFonts w:cs="Calibri"/>
          <w:szCs w:val="22"/>
          <w:vertAlign w:val="superscript"/>
        </w:rPr>
        <w:t>°</w:t>
      </w:r>
      <w:r w:rsidR="00496952" w:rsidRPr="00584437">
        <w:rPr>
          <w:rFonts w:cs="Calibri"/>
          <w:szCs w:val="22"/>
        </w:rPr>
        <w:t>C</w:t>
      </w:r>
      <w:r w:rsidR="00931ED2">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&lt;EndNote&gt;&lt;Cite&gt;&lt;Author&gt;Rexroad&lt;/Author&gt;&lt;Year&gt;2006&lt;/Year&gt;&lt;RecNum&gt;108&lt;/RecNum&gt;&lt;DisplayText&gt;(Rexroad et al., 2006)&lt;/DisplayText&gt;&lt;record&gt;&lt;rec-number&gt;108&lt;/rec-number&gt;&lt;foreign-keys&gt;&lt;key app="EN" db-id="verwe2fxj5fev7epfz8xtdvez025feseze0z" timestamp="1733275116"&gt;108&lt;/key&gt;&lt;/foreign-keys&gt;&lt;ref-type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74" w:tooltip="Rexroad, 2006 #108" w:history="1">
        <w:r w:rsidR="0027195B">
          <w:rPr>
            <w:rFonts w:cs="Calibri"/>
            <w:noProof/>
            <w:szCs w:val="22"/>
          </w:rPr>
          <w:t>Rexroad et al., 2006</w:t>
        </w:r>
      </w:hyperlink>
      <w:r w:rsidR="00D22400">
        <w:rPr>
          <w:rFonts w:cs="Calibri"/>
          <w:noProof/>
          <w:szCs w:val="22"/>
        </w:rPr>
        <w:t>)</w:t>
      </w:r>
      <w:r w:rsidR="00D22400">
        <w:rPr>
          <w:rFonts w:cs="Calibri"/>
          <w:szCs w:val="22"/>
        </w:rPr>
        <w:fldChar w:fldCharType="end"/>
      </w:r>
      <w:r w:rsidR="00496952"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proofErr w:type="spellStart"/>
      <w:r w:rsidR="00496952" w:rsidRPr="007507C5">
        <w:rPr>
          <w:rFonts w:cs="Calibri"/>
          <w:szCs w:val="22"/>
          <w:lang w:val="en-US"/>
        </w:rPr>
        <w:t>Ad</w:t>
      </w:r>
      <w:r w:rsidR="00225DE1">
        <w:rPr>
          <w:rFonts w:cs="Calibri"/>
          <w:szCs w:val="22"/>
          <w:lang w:val="en-US"/>
        </w:rPr>
        <w:t>V</w:t>
      </w:r>
      <w:proofErr w:type="spellEnd"/>
      <w:r w:rsidR="00496952" w:rsidRPr="007507C5">
        <w:rPr>
          <w:rFonts w:cs="Calibri"/>
          <w:szCs w:val="22"/>
          <w:lang w:val="en-US"/>
        </w:rPr>
        <w:t xml:space="preserve"> </w:t>
      </w:r>
      <w:r w:rsidR="009B338E" w:rsidRPr="007507C5">
        <w:rPr>
          <w:rFonts w:cs="Calibri"/>
          <w:szCs w:val="22"/>
          <w:lang w:val="en-US"/>
        </w:rPr>
        <w:t>can survive</w:t>
      </w:r>
      <w:r w:rsidR="00496952" w:rsidRPr="007507C5">
        <w:rPr>
          <w:rFonts w:cs="Calibri"/>
          <w:szCs w:val="22"/>
          <w:lang w:val="en-US"/>
        </w:rPr>
        <w:t xml:space="preserve"> up to 10 days on</w:t>
      </w:r>
      <w:r w:rsidR="009B338E" w:rsidRPr="007507C5">
        <w:rPr>
          <w:rFonts w:cs="Calibri"/>
          <w:szCs w:val="22"/>
          <w:lang w:val="en-US"/>
        </w:rPr>
        <w:t xml:space="preserve"> paper under ambient conditions and</w:t>
      </w:r>
      <w:r w:rsidR="00496952" w:rsidRPr="007507C5">
        <w:rPr>
          <w:rFonts w:cs="Calibri"/>
          <w:szCs w:val="22"/>
          <w:lang w:val="en-US"/>
        </w:rPr>
        <w:t xml:space="preserve"> </w:t>
      </w:r>
      <w:r w:rsidR="009B338E" w:rsidRPr="007507C5">
        <w:rPr>
          <w:rFonts w:cs="Calibri"/>
          <w:szCs w:val="22"/>
          <w:lang w:val="en-US"/>
        </w:rPr>
        <w:t>for</w:t>
      </w:r>
      <w:r w:rsidR="00496952"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824706">
        <w:rPr>
          <w:rFonts w:cs="Calibri"/>
          <w:szCs w:val="22"/>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70" w:tooltip="Public Health Agency of Canada, 2014 #64" w:history="1">
        <w:r w:rsidR="0027195B">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00496952" w:rsidRPr="007507C5">
        <w:rPr>
          <w:rFonts w:cs="Calibri"/>
          <w:szCs w:val="22"/>
          <w:lang w:val="en-US"/>
        </w:rPr>
        <w:t xml:space="preserve">. </w:t>
      </w:r>
      <w:r w:rsidR="00917D8D">
        <w:rPr>
          <w:rFonts w:cs="Calibri"/>
          <w:szCs w:val="22"/>
          <w:lang w:val="en-US"/>
        </w:rPr>
        <w:t xml:space="preserve">Therefore, </w:t>
      </w:r>
      <w:proofErr w:type="spellStart"/>
      <w:r w:rsidR="00917D8D">
        <w:rPr>
          <w:rFonts w:cs="Calibri"/>
          <w:szCs w:val="22"/>
          <w:lang w:val="en-US"/>
        </w:rPr>
        <w:t>AdVs</w:t>
      </w:r>
      <w:proofErr w:type="spellEnd"/>
      <w:r w:rsidR="00917D8D">
        <w:rPr>
          <w:rFonts w:cs="Calibri"/>
          <w:szCs w:val="22"/>
          <w:lang w:val="en-US"/>
        </w:rPr>
        <w:t xml:space="preserve"> survival time depends on the relative humidity, temperature and on the type of surface </w:t>
      </w:r>
      <w:r w:rsidR="000D67F4">
        <w:rPr>
          <w:rFonts w:cs="Calibri"/>
          <w:szCs w:val="22"/>
          <w:lang w:val="en-US"/>
        </w:rPr>
        <w:fldChar w:fldCharType="begin"/>
      </w:r>
      <w:r w:rsidR="000F689C">
        <w:rPr>
          <w:rFonts w:cs="Calibri"/>
          <w:szCs w:val="22"/>
          <w:lang w:val="en-US"/>
        </w:rPr>
        <w:instrText xml:space="preserve"> ADDIN EN.CITE &lt;EndNote&gt;&lt;Cite&gt;&lt;Author&gt;Abad&lt;/Author&gt;&lt;Year&gt;1994&lt;/Year&gt;&lt;RecNum&gt;109&lt;/RecNum&gt;&lt;DisplayText&gt;(Abad et al., 1994)&lt;/DisplayText&gt;&lt;record&gt;&lt;rec-number&gt;109&lt;/rec-number&gt;&lt;foreign-keys&gt;&lt;key app="EN" db-id="verwe2fxj5fev7epfz8xtdvez025feseze0z" timestamp="1733275117"&gt;109&lt;/key&gt;&lt;/foreign-keys&gt;&lt;ref-type name="Journal Article"&gt;17&lt;/ref-type&gt;&lt;contributors&gt;&lt;authors&gt;&lt;author&gt;Abad, F. X.&lt;/author&gt;&lt;author&gt;Pintó, R. M.&lt;/author&gt;&lt;author&gt;Bosch, A.&lt;/author&gt;&lt;/authors&gt;&lt;/contributors&gt;&lt;titles&gt;&lt;title&gt;Survival of enteric viruses on environmental fomites&lt;/title&gt;&lt;secondary-title&gt;Applied and environmental microbiology&lt;/secondary-title&gt;&lt;alt-title&gt;Appl Environ Microbiol&lt;/alt-title&gt;&lt;/titles&gt;&lt;periodical&gt;&lt;full-title&gt;Applied and environmental microbiology&lt;/full-title&gt;&lt;/periodical&gt;&lt;pages&gt;3704-3710&lt;/pages&gt;&lt;volume&gt;60&lt;/volume&gt;&lt;number&gt;10&lt;/number&gt;&lt;keywords&gt;&lt;keyword&gt;Adenoviruses, Human/isolation &amp;amp; purification&lt;/keyword&gt;&lt;keyword&gt;Bacteriophages/isolation &amp;amp; purification&lt;/keyword&gt;&lt;keyword&gt;Bacteroides fragilis/virology&lt;/keyword&gt;&lt;keyword&gt;Desiccation&lt;/keyword&gt;&lt;keyword&gt;Enterovirus/*isolation &amp;amp; purification&lt;/keyword&gt;&lt;keyword&gt;Enterovirus Infections/transmission&lt;/keyword&gt;&lt;keyword&gt;*Environmental Microbiology&lt;/keyword&gt;&lt;keyword&gt;Feces/microbiology&lt;/keyword&gt;&lt;keyword&gt;Hepatovirus/isolation &amp;amp; purification&lt;/keyword&gt;&lt;keyword&gt;Humans&lt;/keyword&gt;&lt;keyword&gt;Humidity&lt;/keyword&gt;&lt;keyword&gt;Poliovirus/isolation &amp;amp; purification&lt;/keyword&gt;&lt;keyword&gt;Rotavirus/isolation &amp;amp; purification&lt;/keyword&gt;&lt;keyword&gt;Surface Properties&lt;/keyword&gt;&lt;keyword&gt;Temperature&lt;/keyword&gt;&lt;keyword&gt;Time Factors&lt;/keyword&gt;&lt;/keywords&gt;&lt;dates&gt;&lt;year&gt;1994&lt;/year&gt;&lt;/dates&gt;&lt;isbn&gt;0099-2240&amp;#xD;1098-5336&lt;/isbn&gt;&lt;accession-num&gt;7986043&lt;/accession-num&gt;&lt;urls&gt;&lt;related-urls&gt;&lt;url&gt;https://pubmed.ncbi.nlm.nih.gov/7986043&lt;/url&gt;&lt;url&gt;https://www.ncbi.nlm.nih.gov/pmc/articles/PMC201876/&lt;/url&gt;&lt;/related-urls&gt;&lt;/urls&gt;&lt;electronic-resource-num&gt;10.1128/AEM.60.10.3704-3710.1994&lt;/electronic-resource-num&gt;&lt;remote-database-name&gt;PubMed&lt;/remote-database-name&gt;&lt;language&gt;eng&lt;/language&gt;&lt;/record&gt;&lt;/Cite&gt;&lt;/EndNote&gt;</w:instrText>
      </w:r>
      <w:r w:rsidR="000D67F4">
        <w:rPr>
          <w:rFonts w:cs="Calibri"/>
          <w:szCs w:val="22"/>
          <w:lang w:val="en-US"/>
        </w:rPr>
        <w:fldChar w:fldCharType="separate"/>
      </w:r>
      <w:r w:rsidR="000D67F4">
        <w:rPr>
          <w:rFonts w:cs="Calibri"/>
          <w:noProof/>
          <w:szCs w:val="22"/>
          <w:lang w:val="en-US"/>
        </w:rPr>
        <w:t>(</w:t>
      </w:r>
      <w:hyperlink w:anchor="_ENREF_1" w:tooltip="Abad, 1994 #109" w:history="1">
        <w:r w:rsidR="0027195B">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400E7472" w14:textId="6773142A" w:rsidR="001B3441" w:rsidRPr="001B3441" w:rsidRDefault="0027586D" w:rsidP="001B3441">
      <w:pPr>
        <w:pStyle w:val="RARMPnumberedparagraphs"/>
        <w:rPr>
          <w:rFonts w:eastAsiaTheme="minorHAnsi"/>
          <w:szCs w:val="22"/>
        </w:rPr>
      </w:pPr>
      <w:r>
        <w:rPr>
          <w:szCs w:val="22"/>
        </w:rPr>
        <w:t>W</w:t>
      </w:r>
      <w:r w:rsidRPr="00E52B4D">
        <w:rPr>
          <w:szCs w:val="22"/>
        </w:rPr>
        <w:t>orldwide</w:t>
      </w:r>
      <w:r>
        <w:rPr>
          <w:szCs w:val="22"/>
        </w:rPr>
        <w:t xml:space="preserve">, </w:t>
      </w:r>
      <w:proofErr w:type="spellStart"/>
      <w:r w:rsidR="001B3441">
        <w:rPr>
          <w:szCs w:val="22"/>
        </w:rPr>
        <w:t>H</w:t>
      </w:r>
      <w:r w:rsidR="001B3441" w:rsidRPr="00E52B4D">
        <w:rPr>
          <w:szCs w:val="22"/>
        </w:rPr>
        <w:t>AdVs</w:t>
      </w:r>
      <w:proofErr w:type="spellEnd"/>
      <w:r w:rsidR="001B3441" w:rsidRPr="00E52B4D">
        <w:rPr>
          <w:szCs w:val="22"/>
        </w:rPr>
        <w:t xml:space="preserve"> have been detected in water</w:t>
      </w:r>
      <w:r>
        <w:rPr>
          <w:szCs w:val="22"/>
        </w:rPr>
        <w:t xml:space="preserve"> sample</w:t>
      </w:r>
      <w:r w:rsidR="001B3441" w:rsidRPr="00E52B4D">
        <w:rPr>
          <w:szCs w:val="22"/>
        </w:rPr>
        <w:t xml:space="preserve">s </w:t>
      </w:r>
      <w:r>
        <w:rPr>
          <w:szCs w:val="22"/>
        </w:rPr>
        <w:t xml:space="preserve">of different kinds </w:t>
      </w:r>
      <w:r w:rsidR="001B3441" w:rsidRPr="00E52B4D">
        <w:rPr>
          <w:szCs w:val="22"/>
        </w:rPr>
        <w:t>including wastewater, river water, drinking water, ocean and swimming pools</w:t>
      </w:r>
      <w:r w:rsidR="001B3441">
        <w:rPr>
          <w:szCs w:val="22"/>
        </w:rPr>
        <w:t xml:space="preserve"> </w:t>
      </w:r>
      <w:r w:rsidR="001B3441">
        <w:rPr>
          <w:szCs w:val="22"/>
        </w:rPr>
        <w:fldChar w:fldCharType="begin"/>
      </w:r>
      <w:r w:rsidR="00245BC5">
        <w:rPr>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szCs w:val="22"/>
        </w:rPr>
        <w:fldChar w:fldCharType="separate"/>
      </w:r>
      <w:r w:rsidR="001B3441">
        <w:rPr>
          <w:noProof/>
          <w:szCs w:val="22"/>
        </w:rPr>
        <w:t>(</w:t>
      </w:r>
      <w:hyperlink w:anchor="_ENREF_6" w:tooltip="Allard and Vantarakis, 2017 #25" w:history="1">
        <w:r w:rsidR="0027195B">
          <w:rPr>
            <w:noProof/>
            <w:szCs w:val="22"/>
          </w:rPr>
          <w:t>Allard and Vantarakis, 2017</w:t>
        </w:r>
      </w:hyperlink>
      <w:r w:rsidR="001B3441">
        <w:rPr>
          <w:noProof/>
          <w:szCs w:val="22"/>
        </w:rPr>
        <w:t>)</w:t>
      </w:r>
      <w:r w:rsidR="001B3441">
        <w:rPr>
          <w:szCs w:val="22"/>
        </w:rPr>
        <w:fldChar w:fldCharType="end"/>
      </w:r>
      <w:r w:rsidR="001B3441" w:rsidRPr="00E52B4D">
        <w:rPr>
          <w:szCs w:val="22"/>
        </w:rPr>
        <w:t xml:space="preserve">. </w:t>
      </w:r>
      <w:r w:rsidR="00F725E8">
        <w:rPr>
          <w:szCs w:val="22"/>
        </w:rPr>
        <w:t>They</w:t>
      </w:r>
      <w:r w:rsidR="00F725E8" w:rsidRPr="00E52B4D">
        <w:rPr>
          <w:szCs w:val="22"/>
        </w:rPr>
        <w:t xml:space="preserve"> </w:t>
      </w:r>
      <w:r w:rsidR="001B3441" w:rsidRPr="00E52B4D">
        <w:rPr>
          <w:szCs w:val="22"/>
        </w:rPr>
        <w:t xml:space="preserve">are </w:t>
      </w:r>
      <w:r w:rsidR="00E155F6">
        <w:rPr>
          <w:szCs w:val="22"/>
        </w:rPr>
        <w:t>often</w:t>
      </w:r>
      <w:r w:rsidR="001B3441" w:rsidRPr="00E52B4D">
        <w:rPr>
          <w:szCs w:val="22"/>
        </w:rPr>
        <w:t xml:space="preserve"> detected in</w:t>
      </w:r>
      <w:r w:rsidR="001B3441" w:rsidRPr="00E52B4D">
        <w:rPr>
          <w:rFonts w:eastAsiaTheme="minorHAnsi"/>
          <w:szCs w:val="22"/>
        </w:rPr>
        <w:t xml:space="preserve"> high concentrations in domestic sewage and sludge in various countries </w:t>
      </w:r>
      <w:r w:rsidR="001B3441" w:rsidRPr="00E52B4D">
        <w:rPr>
          <w:rFonts w:eastAsiaTheme="minorHAnsi"/>
          <w:szCs w:val="22"/>
        </w:rPr>
        <w:lastRenderedPageBreak/>
        <w:t xml:space="preserve">and in some situations </w:t>
      </w:r>
      <w:r w:rsidR="001B3441">
        <w:rPr>
          <w:rFonts w:eastAsiaTheme="minorHAnsi"/>
          <w:szCs w:val="22"/>
        </w:rPr>
        <w:t>may be</w:t>
      </w:r>
      <w:r w:rsidR="001B3441" w:rsidRPr="00E52B4D">
        <w:rPr>
          <w:rFonts w:eastAsiaTheme="minorHAnsi"/>
          <w:szCs w:val="22"/>
        </w:rPr>
        <w:t xml:space="preserve"> used in surveillance for faecal contamination</w:t>
      </w:r>
      <w:r w:rsidR="001B3441">
        <w:rPr>
          <w:rFonts w:eastAsiaTheme="minorHAnsi"/>
          <w:szCs w:val="22"/>
        </w:rPr>
        <w:t xml:space="preserve"> </w:t>
      </w:r>
      <w:r w:rsidR="001B3441">
        <w:rPr>
          <w:rFonts w:eastAsiaTheme="minorHAnsi"/>
          <w:szCs w:val="22"/>
        </w:rPr>
        <w:fldChar w:fldCharType="begin"/>
      </w:r>
      <w:r w:rsidR="00245BC5">
        <w:rPr>
          <w:rFonts w:eastAsia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rFonts w:eastAsiaTheme="minorHAnsi"/>
          <w:szCs w:val="22"/>
        </w:rPr>
        <w:fldChar w:fldCharType="separate"/>
      </w:r>
      <w:r w:rsidR="001B3441">
        <w:rPr>
          <w:rFonts w:eastAsiaTheme="minorHAnsi"/>
          <w:noProof/>
          <w:szCs w:val="22"/>
        </w:rPr>
        <w:t>(</w:t>
      </w:r>
      <w:hyperlink w:anchor="_ENREF_6" w:tooltip="Allard and Vantarakis, 2017 #25" w:history="1">
        <w:r w:rsidR="0027195B">
          <w:rPr>
            <w:rFonts w:eastAsiaTheme="minorHAnsi"/>
            <w:noProof/>
            <w:szCs w:val="22"/>
          </w:rPr>
          <w:t>Allard and Vantarakis, 2017</w:t>
        </w:r>
      </w:hyperlink>
      <w:r w:rsidR="001B3441">
        <w:rPr>
          <w:rFonts w:eastAsiaTheme="minorHAnsi"/>
          <w:noProof/>
          <w:szCs w:val="22"/>
        </w:rPr>
        <w:t>)</w:t>
      </w:r>
      <w:r w:rsidR="001B3441">
        <w:rPr>
          <w:rFonts w:eastAsiaTheme="minorHAnsi"/>
          <w:szCs w:val="22"/>
        </w:rPr>
        <w:fldChar w:fldCharType="end"/>
      </w:r>
      <w:r w:rsidR="001B3441" w:rsidRPr="00E52B4D">
        <w:rPr>
          <w:rFonts w:eastAsiaTheme="minorHAnsi"/>
          <w:szCs w:val="22"/>
        </w:rPr>
        <w:t>.</w:t>
      </w:r>
    </w:p>
    <w:p w14:paraId="105DA7C4" w14:textId="447B52E0" w:rsidR="005C048B" w:rsidRPr="007507C5" w:rsidRDefault="0027586D" w:rsidP="005C048B">
      <w:pPr>
        <w:pStyle w:val="RARMPnumberedparagraphs"/>
        <w:rPr>
          <w:rFonts w:cs="Calibri"/>
          <w:szCs w:val="22"/>
        </w:rPr>
      </w:pPr>
      <w:r>
        <w:rPr>
          <w:rFonts w:cs="Calibri"/>
          <w:szCs w:val="22"/>
        </w:rPr>
        <w:t>Adenoviruses</w:t>
      </w:r>
      <w:r w:rsidR="00056A93">
        <w:rPr>
          <w:rFonts w:eastAsiaTheme="minorEastAsia" w:cs="Calibri"/>
          <w:szCs w:val="22"/>
        </w:rPr>
        <w:t xml:space="preserve"> </w:t>
      </w:r>
      <w:r w:rsidR="005C048B" w:rsidRPr="007507C5">
        <w:rPr>
          <w:rFonts w:eastAsiaTheme="minorEastAsia" w:cs="Calibri"/>
          <w:szCs w:val="22"/>
        </w:rPr>
        <w:t xml:space="preserve">are </w:t>
      </w:r>
      <w:r>
        <w:rPr>
          <w:rFonts w:eastAsiaTheme="minorEastAsia" w:cs="Calibri"/>
          <w:szCs w:val="22"/>
        </w:rPr>
        <w:t>reported</w:t>
      </w:r>
      <w:r w:rsidRPr="007507C5">
        <w:rPr>
          <w:rFonts w:eastAsiaTheme="minorEastAsia" w:cs="Calibri"/>
          <w:szCs w:val="22"/>
        </w:rPr>
        <w:t xml:space="preserve"> </w:t>
      </w:r>
      <w:r w:rsidR="00496952" w:rsidRPr="007507C5">
        <w:rPr>
          <w:rFonts w:eastAsiaTheme="minorEastAsia" w:cs="Calibri"/>
          <w:szCs w:val="22"/>
        </w:rPr>
        <w:t xml:space="preserve">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w:t>
      </w:r>
      <w:proofErr w:type="spellStart"/>
      <w:r w:rsidR="00584437">
        <w:t>phthalaldehyde</w:t>
      </w:r>
      <w:proofErr w:type="spellEnd"/>
      <w:r w:rsidR="00584437">
        <w:t xml:space="preserve"> and </w:t>
      </w:r>
      <w:r w:rsidR="00584437" w:rsidRPr="00E7491B">
        <w:t>2.4% glutaraldehyde</w:t>
      </w:r>
      <w:r w:rsidR="00ED1EF5">
        <w:t xml:space="preserve"> </w:t>
      </w:r>
      <w:r w:rsidR="00225DE1">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 </w:instrText>
      </w:r>
      <w:r w:rsidR="00824706">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EN.CITE.DATA </w:instrText>
      </w:r>
      <w:r w:rsidR="00824706">
        <w:fldChar w:fldCharType="end"/>
      </w:r>
      <w:r w:rsidR="00225DE1">
        <w:fldChar w:fldCharType="separate"/>
      </w:r>
      <w:r w:rsidR="00D22400">
        <w:rPr>
          <w:noProof/>
        </w:rPr>
        <w:t>(</w:t>
      </w:r>
      <w:hyperlink w:anchor="_ENREF_59" w:tooltip="McCormick, 2004 #110" w:history="1">
        <w:r w:rsidR="0027195B">
          <w:rPr>
            <w:noProof/>
          </w:rPr>
          <w:t>McCormick and Maheshwari, 2004</w:t>
        </w:r>
      </w:hyperlink>
      <w:r w:rsidR="00D22400">
        <w:rPr>
          <w:noProof/>
        </w:rPr>
        <w:t xml:space="preserve">; </w:t>
      </w:r>
      <w:hyperlink w:anchor="_ENREF_77" w:tooltip="Rutala, 2006 #105" w:history="1">
        <w:r w:rsidR="0027195B">
          <w:rPr>
            <w:noProof/>
          </w:rPr>
          <w:t>Rutala et al., 2006</w:t>
        </w:r>
      </w:hyperlink>
      <w:r w:rsidR="00D22400">
        <w:rPr>
          <w:noProof/>
        </w:rPr>
        <w:t>)</w:t>
      </w:r>
      <w:r w:rsidR="00225DE1">
        <w:fldChar w:fldCharType="end"/>
      </w:r>
      <w:r w:rsidR="00584437">
        <w:t xml:space="preserve">. </w:t>
      </w:r>
      <w:proofErr w:type="spellStart"/>
      <w:r w:rsidR="00901505" w:rsidRPr="00800C63">
        <w:t>AdVs</w:t>
      </w:r>
      <w:proofErr w:type="spellEnd"/>
      <w:r w:rsidR="00901505" w:rsidRPr="00800C63">
        <w:t xml:space="preserve"> can also be inactivated by contact with 1:5 dilution of bleach (sodium hypochlorite) </w:t>
      </w:r>
      <w:r w:rsidR="00901505" w:rsidRPr="00800C63">
        <w:rPr>
          <w:rFonts w:cs="Calibri"/>
          <w:szCs w:val="22"/>
          <w:lang w:val="en-US"/>
        </w:rPr>
        <w:fldChar w:fldCharType="begin"/>
      </w:r>
      <w:r w:rsidR="00901505" w:rsidRPr="00800C63">
        <w:rPr>
          <w:rFonts w:cs="Calibri"/>
          <w:szCs w:val="22"/>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901505" w:rsidRPr="00800C63">
        <w:rPr>
          <w:rFonts w:cs="Calibri"/>
          <w:szCs w:val="22"/>
          <w:lang w:val="en-US"/>
        </w:rPr>
        <w:fldChar w:fldCharType="separate"/>
      </w:r>
      <w:r w:rsidR="00901505" w:rsidRPr="00800C63">
        <w:rPr>
          <w:rFonts w:cs="Calibri"/>
          <w:noProof/>
          <w:szCs w:val="22"/>
          <w:lang w:val="en-US"/>
        </w:rPr>
        <w:t>(</w:t>
      </w:r>
      <w:hyperlink w:anchor="_ENREF_70" w:tooltip="Public Health Agency of Canada, 2014 #64" w:history="1">
        <w:r w:rsidR="0027195B" w:rsidRPr="00800C63">
          <w:rPr>
            <w:rFonts w:cs="Calibri"/>
            <w:noProof/>
            <w:szCs w:val="22"/>
            <w:lang w:val="en-US"/>
          </w:rPr>
          <w:t>Public Health Agency of Canada, 2014</w:t>
        </w:r>
      </w:hyperlink>
      <w:r w:rsidR="00901505" w:rsidRPr="00800C63">
        <w:rPr>
          <w:rFonts w:cs="Calibri"/>
          <w:noProof/>
          <w:szCs w:val="22"/>
          <w:lang w:val="en-US"/>
        </w:rPr>
        <w:t>)</w:t>
      </w:r>
      <w:r w:rsidR="00901505" w:rsidRPr="00800C63">
        <w:rPr>
          <w:rFonts w:cs="Calibri"/>
          <w:szCs w:val="22"/>
          <w:lang w:val="en-US"/>
        </w:rPr>
        <w:fldChar w:fldCharType="end"/>
      </w:r>
      <w:r w:rsidR="00901505" w:rsidRPr="00800C63">
        <w:rPr>
          <w:rFonts w:cs="Calibri"/>
          <w:szCs w:val="22"/>
          <w:lang w:val="en-US"/>
        </w:rPr>
        <w:t xml:space="preserve">. </w:t>
      </w:r>
      <w:r w:rsidR="006D6EFF">
        <w:t xml:space="preserve">In addition, </w:t>
      </w:r>
      <w:proofErr w:type="spellStart"/>
      <w:r w:rsidR="006D6EFF">
        <w:t>AdVs</w:t>
      </w:r>
      <w:proofErr w:type="spellEnd"/>
      <w:r w:rsidR="006D6EFF">
        <w:t xml:space="preserve">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bGFyZCBhbmQgVmFudGFyYWtpczwvQXV0aG9yPjxZZWFyPjIwMTc8L1llYXI+PFJlY051bT4yNTwv
UmVjTnVtPjxyZWNvcmQ+PHJlYy1udW1iZXI+MjU8L3JlYy1udW1iZXI+PGZvcmVpZ24ta2V5cz48
a2V5IGFwcD0iRU4iIGRiLWlkPSJkcGFzZTJlMm96NXJ3Y2U5YXpzcHA5NW5mOXh2c3d4cDJydmQi
IHRpbWVzdGFtcD0iMTc2NTI0MzY3OCI+MjU8L2tleT48L2ZvcmVpZ24ta2V5cz48cmVmLXR5cGUg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245BC5">
        <w:instrText xml:space="preserve"> ADDIN EN.CITE </w:instrText>
      </w:r>
      <w:r w:rsidR="00245BC5">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bGFyZCBhbmQgVmFudGFyYWtpczwvQXV0aG9yPjxZZWFyPjIwMTc8L1llYXI+PFJlY051bT4yNTwv
UmVjTnVtPjxyZWNvcmQ+PHJlYy1udW1iZXI+MjU8L3JlYy1udW1iZXI+PGZvcmVpZ24ta2V5cz48
a2V5IGFwcD0iRU4iIGRiLWlkPSJkcGFzZTJlMm96NXJ3Y2U5YXpzcHA5NW5mOXh2c3d4cDJydmQi
IHRpbWVzdGFtcD0iMTc2NTI0MzY3OCI+MjU8L2tleT48L2ZvcmVpZ24ta2V5cz48cmVmLXR5cGUg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245BC5">
        <w:instrText xml:space="preserve"> ADDIN EN.CITE.DATA </w:instrText>
      </w:r>
      <w:r w:rsidR="00245BC5">
        <w:fldChar w:fldCharType="end"/>
      </w:r>
      <w:r w:rsidR="00225DE1">
        <w:fldChar w:fldCharType="separate"/>
      </w:r>
      <w:r w:rsidR="005B0F2F">
        <w:rPr>
          <w:noProof/>
        </w:rPr>
        <w:t>(</w:t>
      </w:r>
      <w:hyperlink w:anchor="_ENREF_6" w:tooltip="Allard and Vantarakis, 2017 #25" w:history="1">
        <w:r w:rsidR="0027195B">
          <w:rPr>
            <w:noProof/>
          </w:rPr>
          <w:t>Allard and Vantarakis, 2017</w:t>
        </w:r>
      </w:hyperlink>
      <w:r w:rsidR="005B0F2F">
        <w:rPr>
          <w:noProof/>
        </w:rPr>
        <w:t xml:space="preserve">; </w:t>
      </w:r>
      <w:hyperlink w:anchor="_ENREF_32" w:tooltip="Gray, 2018 #100" w:history="1">
        <w:r w:rsidR="0027195B">
          <w:rPr>
            <w:noProof/>
          </w:rPr>
          <w:t>Gray and Erdman, 2018</w:t>
        </w:r>
      </w:hyperlink>
      <w:r w:rsidR="005B0F2F">
        <w:rPr>
          <w:noProof/>
        </w:rPr>
        <w:t xml:space="preserve">; </w:t>
      </w:r>
      <w:hyperlink w:anchor="_ENREF_70" w:tooltip="Public Health Agency of Canada, 2014 #64" w:history="1">
        <w:r w:rsidR="0027195B">
          <w:rPr>
            <w:noProof/>
          </w:rPr>
          <w:t>Public Health Agency of Canada, 2014</w:t>
        </w:r>
      </w:hyperlink>
      <w:r w:rsidR="005B0F2F">
        <w:rPr>
          <w:noProof/>
        </w:rPr>
        <w:t>)</w:t>
      </w:r>
      <w:r w:rsidR="00225DE1">
        <w:fldChar w:fldCharType="end"/>
      </w:r>
      <w:r w:rsidR="006D6EFF" w:rsidRPr="00E7491B">
        <w:t>.</w:t>
      </w:r>
      <w:r w:rsidR="006D6EFF">
        <w:t xml:space="preserve"> </w:t>
      </w:r>
    </w:p>
    <w:p w14:paraId="7A5F7E64" w14:textId="3D132C51" w:rsidR="00A63D42" w:rsidRPr="00537344" w:rsidRDefault="00A63D42" w:rsidP="006E06B6">
      <w:pPr>
        <w:pStyle w:val="2RARMP"/>
      </w:pPr>
      <w:bookmarkStart w:id="171" w:name="_Toc209859572"/>
      <w:bookmarkStart w:id="172" w:name="_Ref220914220"/>
      <w:bookmarkStart w:id="173" w:name="_Ref220920025"/>
      <w:bookmarkStart w:id="174" w:name="_Ref256776892"/>
      <w:bookmarkStart w:id="175" w:name="_Toc274904750"/>
      <w:bookmarkStart w:id="176" w:name="_Toc291151800"/>
      <w:bookmarkStart w:id="177" w:name="_Toc309054004"/>
      <w:bookmarkStart w:id="178" w:name="_Toc309833696"/>
      <w:bookmarkStart w:id="179" w:name="_Toc311188357"/>
      <w:bookmarkStart w:id="180" w:name="_Toc377743562"/>
      <w:bookmarkStart w:id="181" w:name="_Toc47536749"/>
      <w:bookmarkStart w:id="182" w:name="_Toc219281393"/>
      <w:r w:rsidRPr="00537344">
        <w:t>The GM</w:t>
      </w:r>
      <w:r w:rsidR="00F65589" w:rsidRPr="00537344">
        <w:t>O</w:t>
      </w:r>
      <w:r w:rsidR="006B13DE" w:rsidRPr="00537344">
        <w:t xml:space="preserve"> -</w:t>
      </w:r>
      <w:r w:rsidRPr="00537344">
        <w:t xml:space="preserve"> nature and effect of the genetic modification</w:t>
      </w:r>
      <w:bookmarkEnd w:id="171"/>
      <w:bookmarkEnd w:id="172"/>
      <w:bookmarkEnd w:id="173"/>
      <w:bookmarkEnd w:id="174"/>
      <w:bookmarkEnd w:id="175"/>
      <w:bookmarkEnd w:id="176"/>
      <w:bookmarkEnd w:id="177"/>
      <w:bookmarkEnd w:id="178"/>
      <w:bookmarkEnd w:id="179"/>
      <w:bookmarkEnd w:id="180"/>
      <w:bookmarkEnd w:id="181"/>
      <w:bookmarkEnd w:id="182"/>
    </w:p>
    <w:p w14:paraId="311BDD53" w14:textId="54A7246B" w:rsidR="002B13BC" w:rsidRPr="003E2C69" w:rsidRDefault="002B13BC" w:rsidP="002B13BC">
      <w:pPr>
        <w:pStyle w:val="3RARMP"/>
      </w:pPr>
      <w:bookmarkStart w:id="183" w:name="_Toc47536750"/>
      <w:bookmarkStart w:id="184" w:name="_Ref57118981"/>
      <w:bookmarkStart w:id="185" w:name="_Ref57118992"/>
      <w:bookmarkStart w:id="186" w:name="_Ref57119428"/>
      <w:bookmarkStart w:id="187" w:name="_Toc219281394"/>
      <w:bookmarkStart w:id="188" w:name="_Toc194221362"/>
      <w:bookmarkStart w:id="189" w:name="_Toc195684934"/>
      <w:bookmarkStart w:id="190" w:name="_Toc209859574"/>
      <w:bookmarkStart w:id="191" w:name="_Ref236199314"/>
      <w:bookmarkStart w:id="192" w:name="_Toc274904753"/>
      <w:bookmarkStart w:id="193" w:name="_Toc291151804"/>
      <w:bookmarkStart w:id="194" w:name="_Ref191716974"/>
      <w:r w:rsidRPr="003E2C69">
        <w:t>The genetic modification</w:t>
      </w:r>
      <w:bookmarkEnd w:id="183"/>
      <w:r w:rsidR="00FB0B9D" w:rsidRPr="003E2C69">
        <w:t>s</w:t>
      </w:r>
      <w:bookmarkEnd w:id="184"/>
      <w:bookmarkEnd w:id="185"/>
      <w:bookmarkEnd w:id="186"/>
      <w:bookmarkEnd w:id="187"/>
    </w:p>
    <w:p w14:paraId="0813F98A" w14:textId="27F3D06D" w:rsidR="00EA4395" w:rsidRPr="003E2C69" w:rsidRDefault="00D9769B" w:rsidP="00D9769B">
      <w:pPr>
        <w:pStyle w:val="RARMPnumberedparagraphs"/>
        <w:rPr>
          <w:rFonts w:cs="Calibri"/>
          <w:szCs w:val="22"/>
        </w:rPr>
      </w:pPr>
      <w:proofErr w:type="spellStart"/>
      <w:r w:rsidRPr="003E2C69">
        <w:rPr>
          <w:rFonts w:cs="Calibri"/>
          <w:szCs w:val="22"/>
        </w:rPr>
        <w:t>Nadofaragene</w:t>
      </w:r>
      <w:proofErr w:type="spellEnd"/>
      <w:r w:rsidRPr="003E2C69">
        <w:rPr>
          <w:rFonts w:cs="Calibri"/>
          <w:szCs w:val="22"/>
        </w:rPr>
        <w:t xml:space="preserve"> </w:t>
      </w:r>
      <w:proofErr w:type="spellStart"/>
      <w:r w:rsidRPr="003E2C69">
        <w:rPr>
          <w:rFonts w:cs="Calibri"/>
          <w:szCs w:val="22"/>
        </w:rPr>
        <w:t>firadenovec</w:t>
      </w:r>
      <w:proofErr w:type="spellEnd"/>
      <w:r w:rsidRPr="003E2C69">
        <w:rPr>
          <w:rFonts w:cs="Calibri"/>
          <w:szCs w:val="22"/>
        </w:rPr>
        <w:t xml:space="preserve"> is a replication-deficient recombinant </w:t>
      </w:r>
      <w:proofErr w:type="spellStart"/>
      <w:r w:rsidRPr="003E2C69">
        <w:rPr>
          <w:rFonts w:cs="Calibri"/>
          <w:szCs w:val="22"/>
        </w:rPr>
        <w:t>HAdV</w:t>
      </w:r>
      <w:proofErr w:type="spellEnd"/>
      <w:r w:rsidRPr="003E2C69">
        <w:rPr>
          <w:rFonts w:cs="Calibri"/>
          <w:szCs w:val="22"/>
        </w:rPr>
        <w:t xml:space="preserve"> carrying a gene encoding the human interferon alpha-2b (</w:t>
      </w:r>
      <w:proofErr w:type="spellStart"/>
      <w:r w:rsidRPr="003E2C69">
        <w:rPr>
          <w:rFonts w:cs="Calibri"/>
          <w:szCs w:val="22"/>
        </w:rPr>
        <w:t>hIFN</w:t>
      </w:r>
      <w:proofErr w:type="spellEnd"/>
      <w:r w:rsidRPr="003E2C69">
        <w:rPr>
          <w:rFonts w:cs="Calibri"/>
          <w:szCs w:val="22"/>
        </w:rPr>
        <w:t>-α2b) protein.</w:t>
      </w:r>
    </w:p>
    <w:p w14:paraId="40E7FBC7" w14:textId="3442D862" w:rsidR="00801057" w:rsidRPr="003E2C69" w:rsidRDefault="00D9769B" w:rsidP="00BA725F">
      <w:pPr>
        <w:pStyle w:val="RARMPnumberedparagraphs"/>
        <w:rPr>
          <w:rFonts w:cs="Calibri"/>
          <w:szCs w:val="22"/>
        </w:rPr>
      </w:pPr>
      <w:r w:rsidRPr="003E2C69">
        <w:t xml:space="preserve">This GM therapeutic was developed from HAdV-C5 by deleting specific gene sequences to improve safety and replacing a deleted DNA sequence with a </w:t>
      </w:r>
      <w:proofErr w:type="spellStart"/>
      <w:r w:rsidRPr="003E2C69">
        <w:rPr>
          <w:i/>
          <w:iCs/>
        </w:rPr>
        <w:t>hIFN</w:t>
      </w:r>
      <w:proofErr w:type="spellEnd"/>
      <w:r w:rsidRPr="003E2C69">
        <w:rPr>
          <w:i/>
          <w:iCs/>
        </w:rPr>
        <w:t>-α2b</w:t>
      </w:r>
      <w:r w:rsidRPr="003E2C69">
        <w:t xml:space="preserve"> gene expression cassette. The identities of the deletions have been declared Confidential Commercial Information (CCI). Under section 185 of the Act, the CCI is made available to the prescribed experts and agencies that are consulted on the RARMP for this application</w:t>
      </w:r>
      <w:r w:rsidR="00801057" w:rsidRPr="003E2C69">
        <w:t>.</w:t>
      </w:r>
    </w:p>
    <w:bookmarkEnd w:id="188"/>
    <w:bookmarkEnd w:id="189"/>
    <w:bookmarkEnd w:id="190"/>
    <w:bookmarkEnd w:id="191"/>
    <w:bookmarkEnd w:id="192"/>
    <w:bookmarkEnd w:id="193"/>
    <w:p w14:paraId="13D53B4E" w14:textId="41127833" w:rsidR="00B40F88" w:rsidRPr="003E2C69" w:rsidRDefault="00D9769B" w:rsidP="00D9769B">
      <w:pPr>
        <w:pStyle w:val="RARMPnumberedparagraphs"/>
        <w:rPr>
          <w:rFonts w:cs="Calibri"/>
          <w:szCs w:val="22"/>
        </w:rPr>
      </w:pPr>
      <w:r w:rsidRPr="003E2C69">
        <w:rPr>
          <w:rFonts w:cs="Calibri"/>
        </w:rPr>
        <w:t xml:space="preserve">The GM therapeutic was generated through recombination between a plasmid containing the </w:t>
      </w:r>
      <w:proofErr w:type="spellStart"/>
      <w:r w:rsidRPr="003E2C69">
        <w:rPr>
          <w:rFonts w:cs="Calibri"/>
        </w:rPr>
        <w:t>hIFN</w:t>
      </w:r>
      <w:proofErr w:type="spellEnd"/>
      <w:r w:rsidRPr="003E2C69">
        <w:rPr>
          <w:rFonts w:cs="Calibri"/>
        </w:rPr>
        <w:t xml:space="preserve">-α2b gene and a viral derivative, followed by </w:t>
      </w:r>
      <w:r w:rsidRPr="00800C63">
        <w:rPr>
          <w:rFonts w:cs="Calibri"/>
          <w:i/>
          <w:iCs/>
        </w:rPr>
        <w:t>in vitro</w:t>
      </w:r>
      <w:r w:rsidRPr="003E2C69">
        <w:rPr>
          <w:rFonts w:cs="Calibri"/>
        </w:rPr>
        <w:t xml:space="preserve"> co-transfection into a human cell line for viral production. The human cells provide necessary proteins during virus propagation. However, this production process may lead to the GM therapeutic containing a small percentage of replication-competent adenovirus (RCA)</w:t>
      </w:r>
      <w:r w:rsidR="003E117E">
        <w:rPr>
          <w:rFonts w:cs="Calibri"/>
        </w:rPr>
        <w:t xml:space="preserve"> that is attenuated compared to the parent adenovirus</w:t>
      </w:r>
      <w:r w:rsidRPr="003E2C69">
        <w:rPr>
          <w:rFonts w:cs="Calibri"/>
        </w:rPr>
        <w:t>. Information on how the GM therapeutic was generated and the identity of the human cell line have also been declared CCI.</w:t>
      </w:r>
    </w:p>
    <w:p w14:paraId="7976F977" w14:textId="4AA2F526" w:rsidR="00D9769B" w:rsidRPr="003E2C69" w:rsidRDefault="00D9769B" w:rsidP="00D9769B">
      <w:pPr>
        <w:pStyle w:val="3RARMP"/>
        <w:rPr>
          <w:rFonts w:cs="Calibri"/>
          <w:szCs w:val="22"/>
        </w:rPr>
      </w:pPr>
      <w:bookmarkStart w:id="195" w:name="_Toc219281395"/>
      <w:r w:rsidRPr="003E2C69">
        <w:rPr>
          <w:rFonts w:cs="Calibri"/>
          <w:szCs w:val="22"/>
        </w:rPr>
        <w:t>Effects of the genetic modifications</w:t>
      </w:r>
      <w:bookmarkEnd w:id="195"/>
    </w:p>
    <w:p w14:paraId="00D14672" w14:textId="77777777" w:rsidR="00737721" w:rsidRPr="003E2C69" w:rsidRDefault="00737721" w:rsidP="00737721">
      <w:pPr>
        <w:pStyle w:val="4RARMP"/>
      </w:pPr>
      <w:r w:rsidRPr="003E2C69">
        <w:t>Deletion of regions from HAdV-C5</w:t>
      </w:r>
    </w:p>
    <w:p w14:paraId="5041E56B" w14:textId="7F976AD9" w:rsidR="00865024" w:rsidRPr="003E2C69" w:rsidRDefault="00865024" w:rsidP="00865024">
      <w:pPr>
        <w:pStyle w:val="RARMPnumberedparagraphs"/>
      </w:pPr>
      <w:r w:rsidRPr="003E2C69">
        <w:t>The GM therapeutic was made safer due to the removal of specific DNA sequences from the HAdV-C5 genome. Details of the deletions have been declared CCI.</w:t>
      </w:r>
    </w:p>
    <w:p w14:paraId="203F293F" w14:textId="2DE6B54E" w:rsidR="00737721" w:rsidRPr="003E2C69" w:rsidRDefault="00865024" w:rsidP="00737721">
      <w:pPr>
        <w:pStyle w:val="4RARMP"/>
      </w:pPr>
      <w:r w:rsidRPr="003E2C69">
        <w:t xml:space="preserve">Insertion of the </w:t>
      </w:r>
      <w:proofErr w:type="spellStart"/>
      <w:r w:rsidRPr="003E2C69">
        <w:t>hIFN</w:t>
      </w:r>
      <w:proofErr w:type="spellEnd"/>
      <w:r w:rsidRPr="003E2C69">
        <w:t>-α2b gene expression cassette</w:t>
      </w:r>
    </w:p>
    <w:p w14:paraId="54BC12B1" w14:textId="564E5390" w:rsidR="00865024" w:rsidRPr="003E2C69" w:rsidRDefault="00865024" w:rsidP="00865024">
      <w:pPr>
        <w:pStyle w:val="RARMPnumberedparagraphs"/>
      </w:pPr>
      <w:r w:rsidRPr="003E2C69">
        <w:t xml:space="preserve">The GM therapeutic is intended as a treatment of BCG-unresponsive NMIBC. It contains an introduced </w:t>
      </w:r>
      <w:proofErr w:type="spellStart"/>
      <w:r w:rsidRPr="003E2C69">
        <w:rPr>
          <w:i/>
          <w:iCs/>
        </w:rPr>
        <w:t>hIFN</w:t>
      </w:r>
      <w:proofErr w:type="spellEnd"/>
      <w:r w:rsidRPr="003E2C69">
        <w:rPr>
          <w:i/>
          <w:iCs/>
        </w:rPr>
        <w:t>-α2b</w:t>
      </w:r>
      <w:r w:rsidRPr="003E2C69">
        <w:t xml:space="preserve"> gene expression cassette which produces the </w:t>
      </w:r>
      <w:proofErr w:type="spellStart"/>
      <w:r w:rsidRPr="003E2C69">
        <w:t>hIFN</w:t>
      </w:r>
      <w:proofErr w:type="spellEnd"/>
      <w:r w:rsidRPr="003E2C69">
        <w:t>-α2b protein in patients receiving the therapeutic.</w:t>
      </w:r>
    </w:p>
    <w:p w14:paraId="1C44AFDF" w14:textId="7389DCD2" w:rsidR="00865024" w:rsidRPr="003E2C69" w:rsidRDefault="00865024" w:rsidP="00865024">
      <w:pPr>
        <w:pStyle w:val="RARMPnumberedparagraphs"/>
      </w:pPr>
      <w:r w:rsidRPr="003E2C69">
        <w:t xml:space="preserve">Interferons (IFNs) are produced by the innate </w:t>
      </w:r>
      <w:bookmarkStart w:id="196" w:name="_Hlk190188399"/>
      <w:r w:rsidRPr="003E2C69">
        <w:t>immune system</w:t>
      </w:r>
      <w:bookmarkEnd w:id="196"/>
      <w:r w:rsidRPr="003E2C69">
        <w:rPr>
          <w:rFonts w:ascii="Times-Roman" w:hAnsi="Times-Roman" w:cs="Times-Roman"/>
          <w:sz w:val="20"/>
          <w:szCs w:val="20"/>
        </w:rPr>
        <w:t xml:space="preserve"> </w:t>
      </w:r>
      <w:r w:rsidRPr="003E2C69">
        <w:t>via Toll</w:t>
      </w:r>
      <w:r w:rsidRPr="003E2C69">
        <w:rPr>
          <w:rFonts w:ascii="Cambria Math" w:hAnsi="Cambria Math" w:cs="Cambria Math"/>
        </w:rPr>
        <w:t>‑</w:t>
      </w:r>
      <w:r w:rsidRPr="003E2C69">
        <w:t xml:space="preserve">like receptor (TLR) stimulation and other signalling cascades. </w:t>
      </w:r>
      <w:bookmarkStart w:id="197" w:name="_Hlk192175042"/>
      <w:r w:rsidRPr="003E2C69">
        <w:t>There are 3 main classes of IFNs in humans: IFN</w:t>
      </w:r>
      <w:r w:rsidRPr="003E2C69">
        <w:rPr>
          <w:rFonts w:ascii="Cambria Math" w:hAnsi="Cambria Math" w:cs="Cambria Math"/>
        </w:rPr>
        <w:t>‑</w:t>
      </w:r>
      <w:r w:rsidRPr="003E2C69">
        <w:t xml:space="preserve">α, </w:t>
      </w:r>
      <w:r w:rsidRPr="003E2C69">
        <w:rPr>
          <w:rFonts w:ascii="Cambria Math" w:hAnsi="Cambria Math" w:cs="Cambria Math"/>
        </w:rPr>
        <w:t>‑</w:t>
      </w:r>
      <w:r w:rsidRPr="003E2C69">
        <w:t xml:space="preserve">β and </w:t>
      </w:r>
      <w:r w:rsidRPr="003E2C69">
        <w:rPr>
          <w:rFonts w:ascii="Cambria Math" w:hAnsi="Cambria Math" w:cs="Cambria Math"/>
        </w:rPr>
        <w:t>‑</w:t>
      </w:r>
      <w:r w:rsidRPr="003E2C69">
        <w:t>γ, with IFN</w:t>
      </w:r>
      <w:r w:rsidRPr="003E2C69">
        <w:rPr>
          <w:rFonts w:ascii="Cambria Math" w:hAnsi="Cambria Math" w:cs="Cambria Math"/>
        </w:rPr>
        <w:t>‑</w:t>
      </w:r>
      <w:r w:rsidRPr="003E2C69">
        <w:t xml:space="preserve">α and </w:t>
      </w:r>
      <w:r w:rsidRPr="003E2C69">
        <w:rPr>
          <w:rFonts w:ascii="Cambria Math" w:hAnsi="Cambria Math" w:cs="Cambria Math"/>
        </w:rPr>
        <w:t>‑</w:t>
      </w:r>
      <w:r w:rsidRPr="003E2C69">
        <w:t xml:space="preserve">β belonging to the type I IFNs </w:t>
      </w:r>
      <w:r w:rsidRPr="003E2C69">
        <w:fldChar w:fldCharType="begin"/>
      </w:r>
      <w:r w:rsidR="005B0F2F" w:rsidRPr="003E2C69">
        <w:instrText xml:space="preserve"> ADDIN EN.CITE &lt;EndNote&gt;&lt;Cite&gt;&lt;Author&gt;Shi&lt;/Author&gt;&lt;Year&gt;2022&lt;/Year&gt;&lt;RecNum&gt;40&lt;/RecNum&gt;&lt;DisplayText&gt;(Shi et al., 2022)&lt;/DisplayText&gt;&lt;record&gt;&lt;rec-number&gt;40&lt;/rec-number&gt;&lt;foreign-keys&gt;&lt;key app="EN" db-id="dpase2e2oz5rwce9azspp95nf9xvswxp2rvd" timestamp="1765243737"&gt;40&lt;/key&gt;&lt;/foreign-keys&gt;&lt;ref-type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Pr="003E2C69">
        <w:fldChar w:fldCharType="separate"/>
      </w:r>
      <w:r w:rsidRPr="003E2C69">
        <w:rPr>
          <w:noProof/>
        </w:rPr>
        <w:t>(</w:t>
      </w:r>
      <w:hyperlink w:anchor="_ENREF_84" w:tooltip="Shi, 2022 #40" w:history="1">
        <w:r w:rsidR="0027195B" w:rsidRPr="003E2C69">
          <w:rPr>
            <w:noProof/>
          </w:rPr>
          <w:t>Shi et al., 2022</w:t>
        </w:r>
      </w:hyperlink>
      <w:r w:rsidRPr="003E2C69">
        <w:rPr>
          <w:noProof/>
        </w:rPr>
        <w:t>)</w:t>
      </w:r>
      <w:r w:rsidRPr="003E2C69">
        <w:fldChar w:fldCharType="end"/>
      </w:r>
      <w:r w:rsidRPr="003E2C69">
        <w:t>.</w:t>
      </w:r>
    </w:p>
    <w:p w14:paraId="121BC50C" w14:textId="137AB8AF" w:rsidR="00865024" w:rsidRPr="003E2C69" w:rsidRDefault="00865024" w:rsidP="00865024">
      <w:pPr>
        <w:pStyle w:val="RARMPnumberedparagraphs"/>
      </w:pPr>
      <w:r w:rsidRPr="003E2C69">
        <w:t xml:space="preserve">IFN-α </w:t>
      </w:r>
      <w:bookmarkEnd w:id="197"/>
      <w:r w:rsidRPr="003E2C69">
        <w:t xml:space="preserve">is a key cytokine produced primarily by monocytes/macrophages and can also be </w:t>
      </w:r>
      <w:r w:rsidR="00C65992" w:rsidRPr="003E2C69">
        <w:t>synthesi</w:t>
      </w:r>
      <w:r w:rsidR="00C65992">
        <w:t>s</w:t>
      </w:r>
      <w:r w:rsidR="00C65992" w:rsidRPr="003E2C69">
        <w:t xml:space="preserve">ed </w:t>
      </w:r>
      <w:r w:rsidRPr="003E2C69">
        <w:t>by B cells and fibroblasts. There are 13 different human IFN-α subtype proteins expressed from 14 human IFN</w:t>
      </w:r>
      <w:r w:rsidRPr="003E2C69">
        <w:rPr>
          <w:rFonts w:ascii="Cambria Math" w:hAnsi="Cambria Math" w:cs="Cambria Math"/>
        </w:rPr>
        <w:t>‑</w:t>
      </w:r>
      <w:r w:rsidRPr="003E2C69">
        <w:t xml:space="preserve">α genes </w:t>
      </w:r>
      <w:r w:rsidRPr="003E2C69">
        <w:fldChar w:fldCharType="begin"/>
      </w:r>
      <w:r w:rsidR="005B0F2F" w:rsidRPr="003E2C69">
        <w:instrText xml:space="preserve"> ADDIN EN.CITE &lt;EndNote&gt;&lt;Cite&gt;&lt;Author&gt;Shi&lt;/Author&gt;&lt;Year&gt;2022&lt;/Year&gt;&lt;RecNum&gt;40&lt;/RecNum&gt;&lt;DisplayText&gt;(Shi et al., 2022)&lt;/DisplayText&gt;&lt;record&gt;&lt;rec-number&gt;40&lt;/rec-number&gt;&lt;foreign-keys&gt;&lt;key app="EN" db-id="dpase2e2oz5rwce9azspp95nf9xvswxp2rvd" timestamp="1765243737"&gt;40&lt;/key&gt;&lt;/foreign-keys&gt;&lt;ref-type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Pr="003E2C69">
        <w:fldChar w:fldCharType="separate"/>
      </w:r>
      <w:r w:rsidRPr="003E2C69">
        <w:rPr>
          <w:noProof/>
        </w:rPr>
        <w:t>(</w:t>
      </w:r>
      <w:hyperlink w:anchor="_ENREF_84" w:tooltip="Shi, 2022 #40" w:history="1">
        <w:r w:rsidR="0027195B" w:rsidRPr="003E2C69">
          <w:rPr>
            <w:noProof/>
          </w:rPr>
          <w:t>Shi et al., 2022</w:t>
        </w:r>
      </w:hyperlink>
      <w:r w:rsidRPr="003E2C69">
        <w:rPr>
          <w:noProof/>
        </w:rPr>
        <w:t>)</w:t>
      </w:r>
      <w:r w:rsidRPr="003E2C69">
        <w:fldChar w:fldCharType="end"/>
      </w:r>
      <w:r w:rsidRPr="003E2C69">
        <w:t xml:space="preserve">. </w:t>
      </w:r>
    </w:p>
    <w:p w14:paraId="4E631854" w14:textId="7C6067A9" w:rsidR="00865024" w:rsidRPr="003E2C69" w:rsidRDefault="00865024" w:rsidP="00865024">
      <w:pPr>
        <w:pStyle w:val="RARMPnumberedparagraphs"/>
      </w:pPr>
      <w:r w:rsidRPr="003E2C69">
        <w:t xml:space="preserve">IFN-α2b is one of 3 IFN-α2 variants sharing the same properties </w:t>
      </w:r>
      <w:r w:rsidRPr="003E2C69">
        <w:fldChar w:fldCharType="begin"/>
      </w:r>
      <w:r w:rsidR="005B0F2F" w:rsidRPr="003E2C69">
        <w:instrText xml:space="preserve"> ADDIN EN.CITE &lt;EndNote&gt;&lt;Cite&gt;&lt;Author&gt;Gibbert&lt;/Author&gt;&lt;Year&gt;2013&lt;/Year&gt;&lt;RecNum&gt;24&lt;/RecNum&gt;&lt;DisplayText&gt;(Gibbert et al., 2013)&lt;/DisplayText&gt;&lt;record&gt;&lt;rec-number&gt;24&lt;/rec-number&gt;&lt;foreign-keys&gt;&lt;key app="EN" db-id="dpase2e2oz5rwce9azspp95nf9xvswxp2rvd" timestamp="1765243673"&gt;24&lt;/key&gt;&lt;/foreign-keys&gt;&lt;ref-type name="Journal Article"&gt;17&lt;/ref-type&gt;&lt;contributors&gt;&lt;authors&gt;&lt;author&gt;Gibbert, K.&lt;/author&gt;&lt;author&gt;Schlaak, J. F.&lt;/author&gt;&lt;author&gt;Yang, D.&lt;/author&gt;&lt;author&gt;Dittmer, U.&lt;/author&gt;&lt;/authors&gt;&lt;/contributors&gt;&lt;titles&gt;&lt;title&gt;IFN-α subtypes: distinct biological activities in anti-viral therapy&lt;/title&gt;&lt;secondary-title&gt;British journal of pharmacology&lt;/secondary-title&gt;&lt;alt-title&gt;Br J Pharmacol&lt;/alt-title&gt;&lt;/titles&gt;&lt;periodical&gt;&lt;full-title&gt;British journal of pharmacology&lt;/full-title&gt;&lt;abbr-1&gt;Br J Pharmacol&lt;/abbr-1&gt;&lt;/periodical&gt;&lt;alt-periodical&gt;&lt;full-title&gt;British journal of pharmacology&lt;/full-title&gt;&lt;abbr-1&gt;Br J Pharmacol&lt;/abbr-1&gt;&lt;/alt-periodical&gt;&lt;pages&gt;1048-1058&lt;/pages&gt;&lt;volume&gt;168&lt;/volume&gt;&lt;number&gt;5&lt;/number&gt;&lt;keywords&gt;&lt;keyword&gt;Animals&lt;/keyword&gt;&lt;keyword&gt;Antiviral Agents/pharmacology/*therapeutic use&lt;/keyword&gt;&lt;keyword&gt;Humans&lt;/keyword&gt;&lt;keyword&gt;Interferon Type I/pharmacology/physiology/*therapeutic use&lt;/keyword&gt;&lt;keyword&gt;Protein Subunits/pharmacology/*therapeutic use&lt;/keyword&gt;&lt;keyword&gt;Virus Diseases/*drug therapy&lt;/keyword&gt;&lt;/keywords&gt;&lt;dates&gt;&lt;year&gt;2013&lt;/year&gt;&lt;/dates&gt;&lt;publisher&gt;Blackwell Publishing Ltd&lt;/publisher&gt;&lt;isbn&gt;1476-5381&amp;#xD;0007-1188&lt;/isbn&gt;&lt;accession-num&gt;23072338&lt;/accession-num&gt;&lt;urls&gt;&lt;related-urls&gt;&lt;url&gt;https://www.ncbi.nlm.nih.gov/pubmed/23072338&lt;/url&gt;&lt;url&gt;https://www.ncbi.nlm.nih.gov/pmc/articles/PMC3594665/&lt;/url&gt;&lt;/related-urls&gt;&lt;/urls&gt;&lt;electronic-resource-num&gt;10.1111/bph.12010&lt;/electronic-resource-num&gt;&lt;remote-database-name&gt;PubMed&lt;/remote-database-name&gt;&lt;language&gt;eng&lt;/language&gt;&lt;/record&gt;&lt;/Cite&gt;&lt;/EndNote&gt;</w:instrText>
      </w:r>
      <w:r w:rsidRPr="003E2C69">
        <w:fldChar w:fldCharType="separate"/>
      </w:r>
      <w:r w:rsidRPr="003E2C69">
        <w:rPr>
          <w:noProof/>
        </w:rPr>
        <w:t>(</w:t>
      </w:r>
      <w:hyperlink w:anchor="_ENREF_29" w:tooltip="Gibbert, 2013 #24" w:history="1">
        <w:r w:rsidR="0027195B" w:rsidRPr="003E2C69">
          <w:rPr>
            <w:noProof/>
          </w:rPr>
          <w:t>Gibbert et al., 2013</w:t>
        </w:r>
      </w:hyperlink>
      <w:r w:rsidRPr="003E2C69">
        <w:rPr>
          <w:noProof/>
        </w:rPr>
        <w:t>)</w:t>
      </w:r>
      <w:r w:rsidRPr="003E2C69">
        <w:fldChar w:fldCharType="end"/>
      </w:r>
      <w:r w:rsidRPr="003E2C69">
        <w:t>. The</w:t>
      </w:r>
      <w:r w:rsidRPr="003E2C69">
        <w:rPr>
          <w:rFonts w:ascii="MinionPro-Regular" w:hAnsi="MinionPro-Regular" w:cs="MinionPro-Regular"/>
          <w:sz w:val="18"/>
          <w:szCs w:val="18"/>
        </w:rPr>
        <w:t xml:space="preserve"> </w:t>
      </w:r>
      <w:proofErr w:type="spellStart"/>
      <w:r w:rsidRPr="003E2C69">
        <w:rPr>
          <w:rFonts w:asciiTheme="minorHAnsi" w:hAnsiTheme="minorHAnsi" w:cstheme="minorHAnsi"/>
        </w:rPr>
        <w:t>h</w:t>
      </w:r>
      <w:r w:rsidRPr="003E2C69">
        <w:t>IFN</w:t>
      </w:r>
      <w:proofErr w:type="spellEnd"/>
      <w:r w:rsidRPr="003E2C69">
        <w:noBreakHyphen/>
        <w:t xml:space="preserve">α2b protein regulates expression of many genes involved in antiviral and antiproliferative activities and has been used in hepatitis and cancer treatments </w:t>
      </w:r>
      <w:r w:rsidRPr="003E2C69">
        <w:fldChar w:fldCharType="begin"/>
      </w:r>
      <w:r w:rsidR="005B0F2F" w:rsidRPr="003E2C69">
        <w:instrText xml:space="preserve"> ADDIN EN.CITE &lt;EndNote&gt;&lt;Cite&gt;&lt;Author&gt;Asmana Ningrum&lt;/Author&gt;&lt;Year&gt;2014&lt;/Year&gt;&lt;RecNum&gt;21&lt;/RecNum&gt;&lt;DisplayText&gt;(Asmana Ningrum, 2014)&lt;/DisplayText&gt;&lt;record&gt;&lt;rec-number&gt;21&lt;/rec-number&gt;&lt;foreign-keys&gt;&lt;key app="EN" db-id="dpase2e2oz5rwce9azspp95nf9xvswxp2rvd" timestamp="1765243663"&gt;21&lt;/key&gt;&lt;/foreign-keys&gt;&lt;ref-type name="Journal Article"&gt;17&lt;/ref-type&gt;&lt;contributors&gt;&lt;authors&gt;&lt;author&gt;Asmana Ningrum, Ratih&lt;/author&gt;&lt;/authors&gt;&lt;/contributors&gt;&lt;titles&gt;&lt;title&gt;Human interferon alpha-2b: a therapeutic protein for cancer treatment&lt;/title&gt;&lt;secondary-title&gt;Scientifica&lt;/secondary-title&gt;&lt;/titles&gt;&lt;periodical&gt;&lt;full-title&gt;Scientifica&lt;/full-title&gt;&lt;/periodical&gt;&lt;pages&gt;970315&lt;/pages&gt;&lt;volume&gt;2014&lt;/volume&gt;&lt;number&gt;1&lt;/number&gt;&lt;dates&gt;&lt;year&gt;2014&lt;/year&gt;&lt;/dates&gt;&lt;isbn&gt;2090-908X&lt;/isbn&gt;&lt;urls&gt;&lt;related-urls&gt;&lt;url&gt;https://onlinelibrary.wiley.com/doi/abs/10.1155/2014/970315&lt;/url&gt;&lt;/related-urls&gt;&lt;/urls&gt;&lt;electronic-resource-num&gt;https://doi.org/10.1155/2014/970315&lt;/electronic-resource-num&gt;&lt;/record&gt;&lt;/Cite&gt;&lt;/EndNote&gt;</w:instrText>
      </w:r>
      <w:r w:rsidRPr="003E2C69">
        <w:fldChar w:fldCharType="separate"/>
      </w:r>
      <w:r w:rsidRPr="003E2C69">
        <w:rPr>
          <w:noProof/>
        </w:rPr>
        <w:t>(</w:t>
      </w:r>
      <w:hyperlink w:anchor="_ENREF_7" w:tooltip="Asmana Ningrum, 2014 #21" w:history="1">
        <w:r w:rsidR="0027195B" w:rsidRPr="003E2C69">
          <w:rPr>
            <w:noProof/>
          </w:rPr>
          <w:t>Asmana Ningrum, 2014</w:t>
        </w:r>
      </w:hyperlink>
      <w:r w:rsidRPr="003E2C69">
        <w:rPr>
          <w:noProof/>
        </w:rPr>
        <w:t>)</w:t>
      </w:r>
      <w:r w:rsidRPr="003E2C69">
        <w:fldChar w:fldCharType="end"/>
      </w:r>
      <w:r w:rsidRPr="003E2C69">
        <w:t xml:space="preserve">. It also plays a role in mediating an immune response and is involved in antigen recognition and processing, leading to T-cell, natural killer and dendritic cell activation (Martini et al., 2023). Therefore, the actions of the GM therapeutic are multi-fold and include direct cytotoxicity on cancer cells, </w:t>
      </w:r>
      <w:r w:rsidRPr="003E2C69">
        <w:lastRenderedPageBreak/>
        <w:t xml:space="preserve">antiangiogenic effects, increased tumour cell immunogenicity and activation of key immune cells </w:t>
      </w:r>
      <w:r w:rsidRPr="003E2C69">
        <w:fldChar w:fldCharType="begin"/>
      </w:r>
      <w:r w:rsidR="005B0F2F" w:rsidRPr="003E2C69">
        <w:instrText xml:space="preserve"> ADDIN EN.CITE &lt;EndNote&gt;&lt;Cite&gt;&lt;Author&gt;Konety&lt;/Author&gt;&lt;Year&gt;2024&lt;/Year&gt;&lt;RecNum&gt;4&lt;/RecNum&gt;&lt;DisplayText&gt;(Konety et al., 2024)&lt;/DisplayText&gt;&lt;record&gt;&lt;rec-number&gt;4&lt;/rec-number&gt;&lt;foreign-keys&gt;&lt;key app="EN" db-id="dpase2e2oz5rwce9azspp95nf9xvswxp2rvd" timestamp="1765243611"&gt;4&lt;/key&gt;&lt;/foreign-keys&gt;&lt;ref-type name="Journal Article"&gt;17&lt;/ref-type&gt;&lt;contributors&gt;&lt;authors&gt;&lt;author&gt;Konety, Badrinath R.&lt;/author&gt;&lt;author&gt;Shore, Neal D.&lt;/author&gt;&lt;author&gt;Sant, Grannum R.&lt;/author&gt;&lt;/authors&gt;&lt;/contributors&gt;&lt;titles&gt;&lt;title&gt;Clinical use of nadofaragene firadenovec-vncg&lt;/title&gt;&lt;secondary-title&gt;Therapeutic Advances in Urology&lt;/secondary-title&gt;&lt;/titles&gt;&lt;periodical&gt;&lt;full-title&gt;Therapeutic Advances in Urology&lt;/full-title&gt;&lt;/periodical&gt;&lt;pages&gt;17562872241280005&lt;/pages&gt;&lt;volume&gt;16&lt;/volume&gt;&lt;keywords&gt;&lt;keyword&gt;BCG unresponsive bladder cancer, bladder cancer, gene therapy&lt;/keyword&gt;&lt;/keywords&gt;&lt;dates&gt;&lt;year&gt;2024&lt;/year&gt;&lt;/dates&gt;&lt;urls&gt;&lt;related-urls&gt;&lt;url&gt;https://journals.sagepub.com/doi/abs/10.1177/17562872241280005&lt;/url&gt;&lt;/related-urls&gt;&lt;/urls&gt;&lt;electronic-resource-num&gt;10.1177/17562872241280005&lt;/electronic-resource-num&gt;&lt;/record&gt;&lt;/Cite&gt;&lt;/EndNote&gt;</w:instrText>
      </w:r>
      <w:r w:rsidRPr="003E2C69">
        <w:fldChar w:fldCharType="separate"/>
      </w:r>
      <w:r w:rsidRPr="003E2C69">
        <w:rPr>
          <w:noProof/>
        </w:rPr>
        <w:t>(</w:t>
      </w:r>
      <w:hyperlink w:anchor="_ENREF_46" w:tooltip="Konety, 2024 #4" w:history="1">
        <w:r w:rsidR="0027195B" w:rsidRPr="003E2C69">
          <w:rPr>
            <w:noProof/>
          </w:rPr>
          <w:t>Konety et al., 2024</w:t>
        </w:r>
      </w:hyperlink>
      <w:r w:rsidRPr="003E2C69">
        <w:rPr>
          <w:noProof/>
        </w:rPr>
        <w:t>)</w:t>
      </w:r>
      <w:r w:rsidRPr="003E2C69">
        <w:fldChar w:fldCharType="end"/>
      </w:r>
      <w:r w:rsidRPr="003E2C69">
        <w:t>.</w:t>
      </w:r>
    </w:p>
    <w:p w14:paraId="5BD27552" w14:textId="21B169EB" w:rsidR="00865024" w:rsidRPr="003E2C69" w:rsidRDefault="00865024" w:rsidP="00865024">
      <w:pPr>
        <w:pStyle w:val="RARMPnumberedparagraphs"/>
      </w:pPr>
      <w:bookmarkStart w:id="198" w:name="_Hlk193446121"/>
      <w:r w:rsidRPr="003E2C69">
        <w:t xml:space="preserve">The </w:t>
      </w:r>
      <w:bookmarkStart w:id="199" w:name="_Hlk192175229"/>
      <w:proofErr w:type="spellStart"/>
      <w:r w:rsidRPr="003E2C69">
        <w:rPr>
          <w:i/>
          <w:iCs/>
        </w:rPr>
        <w:t>hIFN</w:t>
      </w:r>
      <w:proofErr w:type="spellEnd"/>
      <w:r w:rsidRPr="003E2C69">
        <w:rPr>
          <w:i/>
          <w:iCs/>
        </w:rPr>
        <w:t>-α2b</w:t>
      </w:r>
      <w:bookmarkEnd w:id="199"/>
      <w:r w:rsidRPr="003E2C69">
        <w:t xml:space="preserve"> gene expression is driven by a strong promoter and an associated enhancer sequence.</w:t>
      </w:r>
      <w:bookmarkEnd w:id="198"/>
      <w:r w:rsidRPr="003E2C69">
        <w:t xml:space="preserve"> Details of the </w:t>
      </w:r>
      <w:proofErr w:type="spellStart"/>
      <w:r w:rsidRPr="003E2C69">
        <w:t>hIFN</w:t>
      </w:r>
      <w:proofErr w:type="spellEnd"/>
      <w:r w:rsidRPr="003E2C69">
        <w:t>-α2b protein, the promoter and the enhancer have been declared CCI</w:t>
      </w:r>
      <w:r w:rsidR="001D54E8" w:rsidRPr="003E2C69">
        <w:t>.</w:t>
      </w:r>
      <w:r w:rsidR="0038490B">
        <w:t xml:space="preserve"> </w:t>
      </w:r>
      <w:r w:rsidR="0038490B" w:rsidRPr="0038490B">
        <w:t>Under section 185 of the Act, the CCI is made available to the prescribed experts and agencies that are consulted on the RARMP for this application.</w:t>
      </w:r>
    </w:p>
    <w:p w14:paraId="1C319E31" w14:textId="112F0402" w:rsidR="00737721" w:rsidRPr="003E2C69" w:rsidRDefault="00865024" w:rsidP="00737721">
      <w:pPr>
        <w:pStyle w:val="4RARMP"/>
      </w:pPr>
      <w:bookmarkStart w:id="200" w:name="_Ref216339301"/>
      <w:r w:rsidRPr="003E2C69">
        <w:t>Toxicity or adverse response associated with the genetic modifications</w:t>
      </w:r>
      <w:bookmarkEnd w:id="200"/>
    </w:p>
    <w:p w14:paraId="6412963A" w14:textId="1B6196F7" w:rsidR="00D9769B" w:rsidRPr="003E2C69" w:rsidRDefault="001D54E8" w:rsidP="00737721">
      <w:pPr>
        <w:pStyle w:val="RARMPnumberedparagraphs"/>
      </w:pPr>
      <w:r w:rsidRPr="003E2C69">
        <w:t xml:space="preserve">The GM therapeutic is a </w:t>
      </w:r>
      <w:r w:rsidR="00C65992">
        <w:t>GM</w:t>
      </w:r>
      <w:r w:rsidRPr="003E2C69">
        <w:t xml:space="preserve"> </w:t>
      </w:r>
      <w:proofErr w:type="spellStart"/>
      <w:r w:rsidRPr="003E2C69">
        <w:t>HAdV</w:t>
      </w:r>
      <w:proofErr w:type="spellEnd"/>
      <w:r w:rsidRPr="003E2C69">
        <w:t xml:space="preserve"> intended for use as a therapeutic for patients with high-grade BCG-unresponsive NMIBC. The GM therapeutic functions to increase anticancer activity via immunostimulatory, antiangiogenic and apoptotic effects </w:t>
      </w:r>
      <w:r w:rsidRPr="003E2C69">
        <w:fldChar w:fldCharType="begin"/>
      </w:r>
      <w:r w:rsidR="005B0F2F" w:rsidRPr="003E2C69">
        <w:instrText xml:space="preserve"> ADDIN EN.CITE &lt;EndNote&gt;&lt;Cite&gt;&lt;Author&gt;Lee&lt;/Author&gt;&lt;Year&gt;2023&lt;/Year&gt;&lt;RecNum&gt;47&lt;/RecNum&gt;&lt;DisplayText&gt;(Lee, 2023)&lt;/DisplayText&gt;&lt;record&gt;&lt;rec-number&gt;47&lt;/rec-number&gt;&lt;foreign-keys&gt;&lt;key app="EN" db-id="dpase2e2oz5rwce9azspp95nf9xvswxp2rvd" timestamp="1765243770"&gt;47&lt;/key&gt;&lt;/foreign-keys&gt;&lt;ref-type name="Journal Article"&gt;17&lt;/ref-type&gt;&lt;contributors&gt;&lt;authors&gt;&lt;author&gt;Lee, A.&lt;/author&gt;&lt;/authors&gt;&lt;/contributors&gt;&lt;auth-address&gt;Springer Nature, Mairangi Bay, Private Bag 65901, Auckland, 0754, New Zealand. dru@adis.com.&lt;/auth-address&gt;&lt;titles&gt;&lt;title&gt;Nadofaragene Firadenovec: First Approval&lt;/title&gt;&lt;secondary-title&gt;Drugs&lt;/secondary-title&gt;&lt;/titles&gt;&lt;periodical&gt;&lt;full-title&gt;Drugs&lt;/full-title&gt;&lt;/periodical&gt;&lt;pages&gt;353-357&lt;/pages&gt;&lt;volume&gt;83&lt;/volume&gt;&lt;number&gt;4&lt;/number&gt;&lt;edition&gt;2023/03/02&lt;/edition&gt;&lt;keywords&gt;&lt;keyword&gt;Adult&lt;/keyword&gt;&lt;keyword&gt;Humans&lt;/keyword&gt;&lt;keyword&gt;BCG Vaccine/therapeutic use&lt;/keyword&gt;&lt;keyword&gt;Adjuvants, Immunologic/therapeutic use&lt;/keyword&gt;&lt;keyword&gt;Administration, Intravesical&lt;/keyword&gt;&lt;keyword&gt;*Antineoplastic Agents/pharmacology/therapeutic use&lt;/keyword&gt;&lt;keyword&gt;*Urinary Bladder Neoplasms/drug therapy/genetics/pathology&lt;/keyword&gt;&lt;keyword&gt;Interferon-alpha/therapeutic use&lt;/keyword&gt;&lt;keyword&gt;Neoplasm Invasiveness&lt;/keyword&gt;&lt;keyword&gt;Neoplasm Recurrence, Local&lt;/keyword&gt;&lt;/keywords&gt;&lt;dates&gt;&lt;year&gt;2023&lt;/year&gt;&lt;pub-dates&gt;&lt;date&gt;Mar&lt;/date&gt;&lt;/pub-dates&gt;&lt;/dates&gt;&lt;isbn&gt;0012-6667 (Print)&amp;#xD;0012-6667&lt;/isbn&gt;&lt;accession-num&gt;36856952&lt;/accession-num&gt;&lt;urls&gt;&lt;/urls&gt;&lt;custom2&gt;PMC10239371 offered an opportunity to comment on the article. Changes resulting from any comments received were made by the authors on the basis of scientific completeness and accuracy. Arnold Lee is a salaried employee of Adis International Ltd/Springer Nature, and declares no relevant conflicts of interest. All authors contributed to the review and are responsible for the article content.&lt;/custom2&gt;&lt;electronic-resource-num&gt;10.1007/s40265-023-01846-z&lt;/electronic-resource-num&gt;&lt;remote-database-provider&gt;NLM&lt;/remote-database-provider&gt;&lt;language&gt;eng&lt;/language&gt;&lt;/record&gt;&lt;/Cite&gt;&lt;/EndNote&gt;</w:instrText>
      </w:r>
      <w:r w:rsidRPr="003E2C69">
        <w:fldChar w:fldCharType="separate"/>
      </w:r>
      <w:r w:rsidRPr="003E2C69">
        <w:rPr>
          <w:noProof/>
        </w:rPr>
        <w:t>(</w:t>
      </w:r>
      <w:hyperlink w:anchor="_ENREF_49" w:tooltip="Lee, 2023 #47" w:history="1">
        <w:r w:rsidR="0027195B" w:rsidRPr="003E2C69">
          <w:rPr>
            <w:noProof/>
          </w:rPr>
          <w:t>Lee, 2023</w:t>
        </w:r>
      </w:hyperlink>
      <w:r w:rsidRPr="003E2C69">
        <w:rPr>
          <w:noProof/>
        </w:rPr>
        <w:t>)</w:t>
      </w:r>
      <w:r w:rsidRPr="003E2C69">
        <w:fldChar w:fldCharType="end"/>
      </w:r>
      <w:r w:rsidRPr="003E2C69">
        <w:t>.</w:t>
      </w:r>
    </w:p>
    <w:p w14:paraId="346E474E" w14:textId="10DB8DF2" w:rsidR="001D54E8" w:rsidRPr="003E2C69" w:rsidRDefault="001D54E8" w:rsidP="001D54E8">
      <w:pPr>
        <w:pStyle w:val="RARMPnumberedparagraphs"/>
      </w:pPr>
      <w:r w:rsidRPr="003E2C69">
        <w:t xml:space="preserve">The GM therapeutic will produce the </w:t>
      </w:r>
      <w:bookmarkStart w:id="201" w:name="_Hlk194566520"/>
      <w:r w:rsidRPr="003E2C69">
        <w:t>IFN-α2b protein</w:t>
      </w:r>
      <w:bookmarkEnd w:id="201"/>
      <w:r w:rsidRPr="003E2C69">
        <w:t xml:space="preserve">, which has been used extensively in clinical applications for treatment of some viral infections and for treatment for various cancers </w:t>
      </w:r>
      <w:r w:rsidRPr="003E2C69">
        <w:fldChar w:fldCharType="begin"/>
      </w:r>
      <w:r w:rsidR="005B0F2F" w:rsidRPr="003E2C69">
        <w:instrText xml:space="preserve"> ADDIN EN.CITE &lt;EndNote&gt;&lt;Cite&gt;&lt;Author&gt;Xiong&lt;/Author&gt;&lt;Year&gt;2022&lt;/Year&gt;&lt;RecNum&gt;42&lt;/RecNum&gt;&lt;DisplayText&gt;(Xiong et al., 2022)&lt;/DisplayText&gt;&lt;record&gt;&lt;rec-number&gt;42&lt;/rec-number&gt;&lt;foreign-keys&gt;&lt;key app="EN" db-id="dpase2e2oz5rwce9azspp95nf9xvswxp2rvd" timestamp="1765243745"&gt;42&lt;/key&gt;&lt;/foreign-keys&gt;&lt;ref-type name="Journal Article"&gt;17&lt;/ref-type&gt;&lt;contributors&gt;&lt;authors&gt;&lt;author&gt;Xiong, Fei&lt;/author&gt;&lt;author&gt;Wang, Qi&lt;/author&gt;&lt;author&gt;Wu, Guan-hua&lt;/author&gt;&lt;author&gt;Liu, Wen-zheng&lt;/author&gt;&lt;author&gt;Wang, Bing&lt;/author&gt;&lt;author&gt;Chen, Yong-jun&lt;/author&gt;&lt;/authors&gt;&lt;/contributors&gt;&lt;titles&gt;&lt;title&gt;Direct and indirect effects of IFN-α2b in malignancy treatment: not only an archer but also an arrow&lt;/title&gt;&lt;secondary-title&gt;Biomarker Research&lt;/secondary-title&gt;&lt;/titles&gt;&lt;periodical&gt;&lt;full-title&gt;Biomarker Research&lt;/full-title&gt;&lt;/periodical&gt;&lt;pages&gt;69&lt;/pages&gt;&lt;volume&gt;10&lt;/volume&gt;&lt;number&gt;1&lt;/number&gt;&lt;dates&gt;&lt;year&gt;2022&lt;/year&gt;&lt;pub-dates&gt;&lt;date&gt;2022/09/14&lt;/date&gt;&lt;/pub-dates&gt;&lt;/dates&gt;&lt;isbn&gt;2050-7771&lt;/isbn&gt;&lt;urls&gt;&lt;related-urls&gt;&lt;url&gt;https://doi.org/10.1186/s40364-022-00415-y&lt;/url&gt;&lt;/related-urls&gt;&lt;/urls&gt;&lt;electronic-resource-num&gt;10.1186/s40364-022-00415-y&lt;/electronic-resource-num&gt;&lt;/record&gt;&lt;/Cite&gt;&lt;/EndNote&gt;</w:instrText>
      </w:r>
      <w:r w:rsidRPr="003E2C69">
        <w:fldChar w:fldCharType="separate"/>
      </w:r>
      <w:r w:rsidRPr="003E2C69">
        <w:rPr>
          <w:noProof/>
        </w:rPr>
        <w:t>(</w:t>
      </w:r>
      <w:hyperlink w:anchor="_ENREF_103" w:tooltip="Xiong, 2022 #42" w:history="1">
        <w:r w:rsidR="0027195B" w:rsidRPr="003E2C69">
          <w:rPr>
            <w:noProof/>
          </w:rPr>
          <w:t>Xiong et al., 2022</w:t>
        </w:r>
      </w:hyperlink>
      <w:r w:rsidRPr="003E2C69">
        <w:rPr>
          <w:noProof/>
        </w:rPr>
        <w:t>)</w:t>
      </w:r>
      <w:r w:rsidRPr="003E2C69">
        <w:fldChar w:fldCharType="end"/>
      </w:r>
      <w:r w:rsidRPr="003E2C69">
        <w:t xml:space="preserve">. In the past, treatments </w:t>
      </w:r>
      <w:r w:rsidR="002C3604">
        <w:t>involving administration of</w:t>
      </w:r>
      <w:r w:rsidR="002C3604" w:rsidRPr="003E2C69">
        <w:t xml:space="preserve"> </w:t>
      </w:r>
      <w:r w:rsidRPr="003E2C69">
        <w:t xml:space="preserve">the IFN-α2b protein have been </w:t>
      </w:r>
      <w:r w:rsidR="002C3604">
        <w:t xml:space="preserve">through </w:t>
      </w:r>
      <w:r w:rsidRPr="003E2C69">
        <w:t>intramuscular, subcutaneous, intralesional, or intravenous</w:t>
      </w:r>
      <w:r w:rsidR="002C3604">
        <w:t xml:space="preserve"> routes</w:t>
      </w:r>
      <w:r w:rsidRPr="003E2C69">
        <w:t xml:space="preserve">, but not intravesical instillation. The commercially available IFN-α2b protein, registered in the USA as INTRON A, has been used to treat patients with hepatitis B and C, and various virus-induced tumours. According to the </w:t>
      </w:r>
      <w:hyperlink r:id="rId34" w:history="1">
        <w:r w:rsidRPr="003E2C69">
          <w:rPr>
            <w:rStyle w:val="Hyperlink"/>
          </w:rPr>
          <w:t>Product Information for INTRON A</w:t>
        </w:r>
      </w:hyperlink>
      <w:r w:rsidRPr="003E2C69">
        <w:t xml:space="preserve">, most of the adverse reactions possibly related to </w:t>
      </w:r>
      <w:bookmarkStart w:id="202" w:name="_Hlk194572537"/>
      <w:r w:rsidRPr="003E2C69">
        <w:t>INTRON A</w:t>
      </w:r>
      <w:bookmarkEnd w:id="202"/>
      <w:r w:rsidRPr="003E2C69">
        <w:t xml:space="preserve"> therapy during clinical trials were mild to moderate in severity and were manageable. Some were transient and most diminished with continued therapy. The most frequently reported adverse reactions were “flu-like” symptoms, particularly fever, headache, chills, myalgia, and fatigue. In nonclinical studies included in the product information, mice, rats and cynomolgus monkeys have been used for repeat-dose toxicity testing of INTRON A. The doses for mice (0.1, 1.0 million international units [IU]/kg/day) injected for 9 days, rats (4, 20, 100 million IU/kg/day) injected for 3 months and cynomolgus monkeys (0.25, 0.75, 1.1, 2.5 million IU/kg/day) injected for 1 month revealed no evidence of toxicity. However, high doses (20 and 100 million IU/kg/day) injected daily for 3 months in cynomolgus monkeys </w:t>
      </w:r>
      <w:r w:rsidR="00926409">
        <w:t>resulted in</w:t>
      </w:r>
      <w:r w:rsidR="00926409" w:rsidRPr="003E2C69">
        <w:t xml:space="preserve"> </w:t>
      </w:r>
      <w:r w:rsidRPr="003E2C69">
        <w:t xml:space="preserve">toxicity and mortality. Due to the known species-specificity of interferon, the effects in animals are unlikely to be predictive of those in humans. </w:t>
      </w:r>
    </w:p>
    <w:p w14:paraId="05B240B9" w14:textId="77777777" w:rsidR="001D54E8" w:rsidRPr="003E2C69" w:rsidRDefault="001D54E8" w:rsidP="001D54E8">
      <w:pPr>
        <w:pStyle w:val="RARMPnumberedparagraphs"/>
      </w:pPr>
      <w:r w:rsidRPr="003E2C69">
        <w:t>According to information provided by the applicant, nonclinical studies of the GM therapeutic indicated that no unacceptable toxicities were seen in animals following intravesical administration of 5 × 10</w:t>
      </w:r>
      <w:r w:rsidRPr="003E2C69">
        <w:rPr>
          <w:vertAlign w:val="superscript"/>
        </w:rPr>
        <w:t>11</w:t>
      </w:r>
      <w:r w:rsidRPr="003E2C69">
        <w:t xml:space="preserve"> viral particles (</w:t>
      </w:r>
      <w:proofErr w:type="spellStart"/>
      <w:r w:rsidRPr="003E2C69">
        <w:t>vp</w:t>
      </w:r>
      <w:proofErr w:type="spellEnd"/>
      <w:r w:rsidRPr="003E2C69">
        <w:t>)/</w:t>
      </w:r>
      <w:proofErr w:type="spellStart"/>
      <w:r w:rsidRPr="003E2C69">
        <w:t>mL.</w:t>
      </w:r>
      <w:proofErr w:type="spellEnd"/>
      <w:r w:rsidRPr="003E2C69">
        <w:t xml:space="preserve"> The predominant safety finding following the intravesical administration of the GM therapeutic to monkeys was a reversible exacerbation of local irritation produced by the dosing procedure.</w:t>
      </w:r>
    </w:p>
    <w:p w14:paraId="23B0367D" w14:textId="4BAC3174" w:rsidR="001D54E8" w:rsidRPr="003E2C69" w:rsidRDefault="001D54E8" w:rsidP="001D54E8">
      <w:pPr>
        <w:pStyle w:val="RARMPnumberedparagraphs"/>
      </w:pPr>
      <w:r w:rsidRPr="003E2C69">
        <w:t xml:space="preserve">The GM therapeutic was tested for adverse effects in cynomolgus monkeys following intravesical administration targeting the urothelium to treat urinary bladder cancer </w:t>
      </w:r>
      <w:r w:rsidRPr="003E2C69">
        <w:fldChar w:fldCharType="begin"/>
      </w:r>
      <w:r w:rsidRPr="003E2C69">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Pr="003E2C69">
        <w:fldChar w:fldCharType="separate"/>
      </w:r>
      <w:r w:rsidRPr="003E2C69">
        <w:t>(</w:t>
      </w:r>
      <w:hyperlink w:anchor="_ENREF_97" w:tooltip="Veneziale, 2011 #7132" w:history="1">
        <w:r w:rsidR="0027195B" w:rsidRPr="003E2C69">
          <w:t>Veneziale et al., 2011</w:t>
        </w:r>
      </w:hyperlink>
      <w:r w:rsidRPr="003E2C69">
        <w:t>)</w:t>
      </w:r>
      <w:r w:rsidRPr="003E2C69">
        <w:fldChar w:fldCharType="end"/>
      </w:r>
      <w:r w:rsidRPr="003E2C69">
        <w:t>. Animals were repeat</w:t>
      </w:r>
      <w:r w:rsidR="003D198E">
        <w:t>edly</w:t>
      </w:r>
      <w:r w:rsidRPr="003E2C69">
        <w:t xml:space="preserve"> dosed with an interval of 90 days with either 2.5 x 10</w:t>
      </w:r>
      <w:r w:rsidRPr="003E2C69">
        <w:rPr>
          <w:vertAlign w:val="superscript"/>
        </w:rPr>
        <w:t>11</w:t>
      </w:r>
      <w:r w:rsidRPr="003E2C69">
        <w:t xml:space="preserve"> </w:t>
      </w:r>
      <w:proofErr w:type="spellStart"/>
      <w:r w:rsidRPr="003E2C69">
        <w:t>vp</w:t>
      </w:r>
      <w:proofErr w:type="spellEnd"/>
      <w:r w:rsidRPr="003E2C69">
        <w:t xml:space="preserve"> or 1.25 x 10</w:t>
      </w:r>
      <w:r w:rsidRPr="003E2C69">
        <w:rPr>
          <w:vertAlign w:val="superscript"/>
        </w:rPr>
        <w:t>13</w:t>
      </w:r>
      <w:r w:rsidRPr="003E2C69">
        <w:t> </w:t>
      </w:r>
      <w:proofErr w:type="spellStart"/>
      <w:r w:rsidRPr="003E2C69">
        <w:t>vp</w:t>
      </w:r>
      <w:proofErr w:type="spellEnd"/>
      <w:r w:rsidRPr="003E2C69">
        <w:t>. Adverse events, such as inflammation and ulceration of the bladder and irritation in the ureters, urethra and kidneys</w:t>
      </w:r>
      <w:r w:rsidR="00C65992">
        <w:t>,</w:t>
      </w:r>
      <w:r w:rsidRPr="003E2C69">
        <w:t xml:space="preserve"> were observed which resolved within 2 months after re-dosing.</w:t>
      </w:r>
    </w:p>
    <w:p w14:paraId="2E9C4574" w14:textId="63CA939D" w:rsidR="00A63D42" w:rsidRPr="003E2C69" w:rsidRDefault="00A63D42" w:rsidP="00A63D42">
      <w:pPr>
        <w:pStyle w:val="3RARMP"/>
      </w:pPr>
      <w:bookmarkStart w:id="203" w:name="_Ref191179873"/>
      <w:bookmarkStart w:id="204" w:name="_Ref191179862"/>
      <w:bookmarkStart w:id="205" w:name="_Ref191179846"/>
      <w:bookmarkStart w:id="206" w:name="_Toc291151810"/>
      <w:bookmarkStart w:id="207" w:name="_Toc309054010"/>
      <w:bookmarkStart w:id="208" w:name="_Toc309833702"/>
      <w:bookmarkStart w:id="209" w:name="_Toc311188364"/>
      <w:bookmarkStart w:id="210" w:name="_Toc377743566"/>
      <w:bookmarkStart w:id="211" w:name="_Toc47536752"/>
      <w:bookmarkStart w:id="212" w:name="_Ref67302050"/>
      <w:bookmarkStart w:id="213" w:name="_Ref67302090"/>
      <w:bookmarkStart w:id="214" w:name="_Toc219281396"/>
      <w:bookmarkStart w:id="215" w:name="_Ref191289522"/>
      <w:bookmarkStart w:id="216" w:name="_Ref191289538"/>
      <w:bookmarkStart w:id="217" w:name="_Ref187133049"/>
      <w:bookmarkStart w:id="218" w:name="_Toc169061700"/>
      <w:bookmarkEnd w:id="194"/>
      <w:r w:rsidRPr="003E2C69">
        <w:t xml:space="preserve">Characterisation of the </w:t>
      </w:r>
      <w:bookmarkEnd w:id="203"/>
      <w:bookmarkEnd w:id="204"/>
      <w:bookmarkEnd w:id="205"/>
      <w:bookmarkEnd w:id="206"/>
      <w:bookmarkEnd w:id="207"/>
      <w:bookmarkEnd w:id="208"/>
      <w:bookmarkEnd w:id="209"/>
      <w:r w:rsidR="00D14BDE" w:rsidRPr="003E2C69">
        <w:t>GM</w:t>
      </w:r>
      <w:bookmarkEnd w:id="210"/>
      <w:bookmarkEnd w:id="211"/>
      <w:r w:rsidR="00970831" w:rsidRPr="003E2C69">
        <w:t>O</w:t>
      </w:r>
      <w:bookmarkEnd w:id="212"/>
      <w:bookmarkEnd w:id="213"/>
      <w:bookmarkEnd w:id="214"/>
    </w:p>
    <w:p w14:paraId="5CB45D5B" w14:textId="59E02C5F" w:rsidR="00A36F49" w:rsidRPr="003E2C69" w:rsidRDefault="00107127" w:rsidP="00261FAD">
      <w:pPr>
        <w:pStyle w:val="RARMPnumberedparagraphs"/>
        <w:rPr>
          <w:rFonts w:cs="Calibri"/>
          <w:szCs w:val="22"/>
        </w:rPr>
      </w:pPr>
      <w:r w:rsidRPr="003E2C69">
        <w:rPr>
          <w:rFonts w:cs="Calibri"/>
          <w:szCs w:val="22"/>
        </w:rPr>
        <w:t>The GMO is engineered on the HAdV-C5 backbone except for the introduced transgene, thus the cell-host recognition in the GMO relies on the same mechanism as the wild-type HAdV-C5 and depends on the recognition of CAR</w:t>
      </w:r>
      <w:r w:rsidR="003D198E">
        <w:rPr>
          <w:rFonts w:cs="Calibri"/>
          <w:szCs w:val="22"/>
        </w:rPr>
        <w:t xml:space="preserve"> for cell transduction,</w:t>
      </w:r>
      <w:r w:rsidRPr="003E2C69">
        <w:rPr>
          <w:rFonts w:cs="Calibri"/>
          <w:szCs w:val="22"/>
        </w:rPr>
        <w:t xml:space="preserve"> which are highly expressed on the surface of cancer cells</w:t>
      </w:r>
      <w:r w:rsidR="00261FAD" w:rsidRPr="003E2C69">
        <w:rPr>
          <w:rFonts w:cs="Calibri"/>
          <w:szCs w:val="22"/>
        </w:rPr>
        <w:t>.</w:t>
      </w:r>
    </w:p>
    <w:p w14:paraId="49F3ED65" w14:textId="05BA4C47" w:rsidR="00107127" w:rsidRPr="003E2C69" w:rsidRDefault="00107127" w:rsidP="00261FAD">
      <w:pPr>
        <w:pStyle w:val="RARMPnumberedparagraphs"/>
        <w:rPr>
          <w:rFonts w:cs="Calibri"/>
          <w:szCs w:val="22"/>
        </w:rPr>
      </w:pPr>
      <w:r w:rsidRPr="003E2C69">
        <w:rPr>
          <w:rFonts w:cs="Calibri"/>
          <w:szCs w:val="22"/>
        </w:rPr>
        <w:t>Data obtained from pre-clinical and clinical studies using the proposed GMO has been used to characterise the GMO.</w:t>
      </w:r>
    </w:p>
    <w:p w14:paraId="664A46BD" w14:textId="42A8DAF8" w:rsidR="005A3E53" w:rsidRPr="003E2C69" w:rsidRDefault="00A63D42" w:rsidP="00107127">
      <w:pPr>
        <w:pStyle w:val="4RARMP"/>
      </w:pPr>
      <w:bookmarkStart w:id="219" w:name="_Ref61526734"/>
      <w:r w:rsidRPr="003E2C69">
        <w:t>Genetic stability and molecular characterisation</w:t>
      </w:r>
      <w:bookmarkEnd w:id="219"/>
    </w:p>
    <w:p w14:paraId="35D85A27" w14:textId="77777777" w:rsidR="00107127" w:rsidRPr="003E2C69" w:rsidRDefault="00107127" w:rsidP="00107127">
      <w:pPr>
        <w:pStyle w:val="RARMPnumberedparagraphs"/>
      </w:pPr>
      <w:r w:rsidRPr="003E2C69">
        <w:t>Adenoviruses in general are genetically stable (</w:t>
      </w:r>
      <w:proofErr w:type="spellStart"/>
      <w:r w:rsidRPr="003E2C69">
        <w:t>Vujadinovic</w:t>
      </w:r>
      <w:proofErr w:type="spellEnd"/>
      <w:r w:rsidRPr="003E2C69">
        <w:t xml:space="preserve"> et al., 2018). As discussed in Section </w:t>
      </w:r>
      <w:r w:rsidRPr="003E2C69">
        <w:fldChar w:fldCharType="begin"/>
      </w:r>
      <w:r w:rsidRPr="003E2C69">
        <w:instrText xml:space="preserve"> REF _Ref142304030 \n \h  \* MERGEFORMAT </w:instrText>
      </w:r>
      <w:r w:rsidRPr="003E2C69">
        <w:fldChar w:fldCharType="separate"/>
      </w:r>
      <w:r w:rsidRPr="003E2C69">
        <w:t>4.1</w:t>
      </w:r>
      <w:r w:rsidRPr="003E2C69">
        <w:fldChar w:fldCharType="end"/>
      </w:r>
      <w:r w:rsidRPr="003E2C69">
        <w:t xml:space="preserve">, due to the possible formation of RCA in the GM therapeutic during the manufacturing process, </w:t>
      </w:r>
      <w:bookmarkStart w:id="220" w:name="_Hlk199345452"/>
      <w:r w:rsidRPr="003E2C69">
        <w:lastRenderedPageBreak/>
        <w:t>the level of RCA in the final GM therapeutic product needs to be controlled. The presence of RCA contaminants constitutes a risk of unintended viral spread and host inflammation response when the viral products are used clinically. Therefore, the GM therapeutic product during manufacturing will be monitored to ensure that the level of RCA in the batches for clinical use meets the safety limit specification</w:t>
      </w:r>
      <w:bookmarkEnd w:id="220"/>
      <w:r w:rsidRPr="003E2C69">
        <w:t>.</w:t>
      </w:r>
    </w:p>
    <w:p w14:paraId="48076847" w14:textId="6E2F757C" w:rsidR="00107127" w:rsidRPr="003E2C69" w:rsidRDefault="00107127" w:rsidP="00107127">
      <w:pPr>
        <w:pStyle w:val="RARMPnumberedparagraphs"/>
      </w:pPr>
      <w:bookmarkStart w:id="221" w:name="_Hlk199169084"/>
      <w:r w:rsidRPr="003E2C69">
        <w:t xml:space="preserve">Adenovirus vectors are non-integrating and do not have a tendency to integrate or reactivate in a host </w:t>
      </w:r>
      <w:r w:rsidRPr="003E2C69">
        <w:fldChar w:fldCharType="begin"/>
      </w:r>
      <w:r w:rsidRPr="003E2C69">
        <w:instrText xml:space="preserve"> ADDIN EN.CITE &lt;EndNote&gt;&lt;Cite&gt;&lt;Author&gt;EMEA&lt;/Author&gt;&lt;Year&gt;2007&lt;/Year&gt;&lt;RecNum&gt;123&lt;/RecNum&gt;&lt;DisplayText&gt;(EMEA, 2007; FDA, 2020)&lt;/DisplayText&gt;&lt;record&gt;&lt;rec-number&gt;123&lt;/rec-number&gt;&lt;foreign-keys&gt;&lt;key app="EN" db-id="verwe2fxj5fev7epfz8xtdvez025feseze0z" timestamp="1733275117"&gt;123&lt;/key&gt;&lt;/foreign-keys&gt;&lt;ref-type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124&lt;/RecNum&gt;&lt;record&gt;&lt;rec-number&gt;124&lt;/rec-number&gt;&lt;foreign-keys&gt;&lt;key app="EN" db-id="verwe2fxj5fev7epfz8xtdvez025feseze0z" timestamp="1733275117"&gt;124&lt;/key&gt;&lt;/foreign-keys&gt;&lt;ref-type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Pr="003E2C69">
        <w:fldChar w:fldCharType="separate"/>
      </w:r>
      <w:r w:rsidRPr="003E2C69">
        <w:t>(</w:t>
      </w:r>
      <w:hyperlink w:anchor="_ENREF_25" w:tooltip="EMEA, 2007 #123" w:history="1">
        <w:r w:rsidR="0027195B" w:rsidRPr="003E2C69">
          <w:t>EMEA, 2007</w:t>
        </w:r>
      </w:hyperlink>
      <w:r w:rsidRPr="003E2C69">
        <w:t xml:space="preserve">; </w:t>
      </w:r>
      <w:hyperlink w:anchor="_ENREF_27" w:tooltip="FDA, 2020 #124" w:history="1">
        <w:r w:rsidR="0027195B" w:rsidRPr="003E2C69">
          <w:t>FDA, 2020</w:t>
        </w:r>
      </w:hyperlink>
      <w:r w:rsidRPr="003E2C69">
        <w:t>)</w:t>
      </w:r>
      <w:r w:rsidRPr="003E2C69">
        <w:fldChar w:fldCharType="end"/>
      </w:r>
      <w:r w:rsidRPr="003E2C69">
        <w:t xml:space="preserve">. The viral DNA is maintained as multiple episomal copies in the infected nuclei. Some studies in cell lines and mice have suggested plausible integration of </w:t>
      </w:r>
      <w:proofErr w:type="spellStart"/>
      <w:r w:rsidRPr="003E2C69">
        <w:t>AdV</w:t>
      </w:r>
      <w:proofErr w:type="spellEnd"/>
      <w:r w:rsidRPr="003E2C69">
        <w:t xml:space="preserve"> vectors into host genomes at very low frequencies </w:t>
      </w:r>
      <w:r w:rsidRPr="003E2C69">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3E2C69">
        <w:instrText xml:space="preserve"> ADDIN EN.CITE </w:instrText>
      </w:r>
      <w:r w:rsidRPr="003E2C69">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3E2C69">
        <w:instrText xml:space="preserve"> ADDIN EN.CITE.DATA </w:instrText>
      </w:r>
      <w:r w:rsidRPr="003E2C69">
        <w:fldChar w:fldCharType="end"/>
      </w:r>
      <w:r w:rsidRPr="003E2C69">
        <w:fldChar w:fldCharType="separate"/>
      </w:r>
      <w:r w:rsidRPr="003E2C69">
        <w:t>(</w:t>
      </w:r>
      <w:hyperlink w:anchor="_ENREF_35" w:tooltip="Hillgenberg, 2001 #125" w:history="1">
        <w:r w:rsidR="0027195B" w:rsidRPr="003E2C69">
          <w:t>Hillgenberg et al., 2001</w:t>
        </w:r>
      </w:hyperlink>
      <w:r w:rsidRPr="003E2C69">
        <w:t xml:space="preserve">; </w:t>
      </w:r>
      <w:hyperlink w:anchor="_ENREF_89" w:tooltip="Stephen, 2010 #126" w:history="1">
        <w:r w:rsidR="0027195B" w:rsidRPr="003E2C69">
          <w:t>Stephen et al., 2010</w:t>
        </w:r>
      </w:hyperlink>
      <w:r w:rsidRPr="003E2C69">
        <w:t>)</w:t>
      </w:r>
      <w:r w:rsidRPr="003E2C69">
        <w:fldChar w:fldCharType="end"/>
      </w:r>
      <w:r w:rsidRPr="003E2C69">
        <w:t xml:space="preserve">. However, a search of the scientific literature did not find any clinical or human studies that showed integration of an </w:t>
      </w:r>
      <w:proofErr w:type="spellStart"/>
      <w:r w:rsidRPr="003E2C69">
        <w:t>AdV</w:t>
      </w:r>
      <w:proofErr w:type="spellEnd"/>
      <w:r w:rsidRPr="003E2C69">
        <w:t xml:space="preserve"> vector into the host genome</w:t>
      </w:r>
      <w:bookmarkEnd w:id="221"/>
      <w:r w:rsidRPr="003E2C69">
        <w:t>.</w:t>
      </w:r>
    </w:p>
    <w:p w14:paraId="6DAB8599" w14:textId="1182B440" w:rsidR="00107127" w:rsidRPr="003E2C69" w:rsidRDefault="00107127" w:rsidP="00107127">
      <w:pPr>
        <w:pStyle w:val="RARMPnumberedparagraphs"/>
        <w:rPr>
          <w:rFonts w:cs="Calibri"/>
          <w:szCs w:val="22"/>
        </w:rPr>
      </w:pPr>
      <w:r w:rsidRPr="003E2C69">
        <w:t>The entire vector genome of this GM therapeutic has been sequenced and aligns with the HAdV-C5 genome except for the intended modifications.</w:t>
      </w:r>
    </w:p>
    <w:p w14:paraId="263C8683" w14:textId="77777777" w:rsidR="002871F7" w:rsidRPr="003E2C69" w:rsidRDefault="002871F7" w:rsidP="00321D13">
      <w:pPr>
        <w:pStyle w:val="4RARMP"/>
      </w:pPr>
      <w:bookmarkStart w:id="222" w:name="_Ref67488930"/>
      <w:r w:rsidRPr="003E2C69">
        <w:t>Stability in the environment and decontamination</w:t>
      </w:r>
      <w:bookmarkEnd w:id="222"/>
    </w:p>
    <w:p w14:paraId="219379A4" w14:textId="5CCBA4E7" w:rsidR="002871F7" w:rsidRPr="003E2C69" w:rsidRDefault="002871F7" w:rsidP="0099407F">
      <w:pPr>
        <w:pStyle w:val="RARMPnumberedparagraphs"/>
        <w:rPr>
          <w:b/>
        </w:rPr>
      </w:pPr>
      <w:r w:rsidRPr="003E2C69">
        <w:rPr>
          <w:rFonts w:cs="Calibri"/>
        </w:rPr>
        <w:t xml:space="preserve">The stability of this GMO in the environment (surfaces, water types and sediments) has not been tested. </w:t>
      </w:r>
      <w:r w:rsidRPr="003E2C69">
        <w:t>Methods of decontamination effective against the parent organism, HAdV-C</w:t>
      </w:r>
      <w:r w:rsidR="00107127" w:rsidRPr="003E2C69">
        <w:t>5</w:t>
      </w:r>
      <w:r w:rsidRPr="003E2C69">
        <w:t xml:space="preserve">, are expected to be equally effective against the GMO (see </w:t>
      </w:r>
      <w:r w:rsidRPr="003E2C69">
        <w:fldChar w:fldCharType="begin"/>
      </w:r>
      <w:r w:rsidRPr="003E2C69">
        <w:instrText xml:space="preserve"> REF _Ref57107833 \n \h </w:instrText>
      </w:r>
      <w:r w:rsidRPr="003E2C69">
        <w:fldChar w:fldCharType="separate"/>
      </w:r>
      <w:r w:rsidR="001E7664" w:rsidRPr="003E2C69">
        <w:t>Chapter 1</w:t>
      </w:r>
      <w:r w:rsidRPr="003E2C69">
        <w:fldChar w:fldCharType="end"/>
      </w:r>
      <w:r w:rsidRPr="003E2C69">
        <w:t>, Section</w:t>
      </w:r>
      <w:r w:rsidR="00285402" w:rsidRPr="003E2C69">
        <w:t xml:space="preserve"> </w:t>
      </w:r>
      <w:r w:rsidR="00285402" w:rsidRPr="003E2C69">
        <w:rPr>
          <w:highlight w:val="yellow"/>
        </w:rPr>
        <w:fldChar w:fldCharType="begin"/>
      </w:r>
      <w:r w:rsidR="00285402" w:rsidRPr="003E2C69">
        <w:instrText xml:space="preserve"> REF _Ref57107869 \n \h </w:instrText>
      </w:r>
      <w:r w:rsidR="00285402" w:rsidRPr="003E2C69">
        <w:rPr>
          <w:highlight w:val="yellow"/>
        </w:rPr>
      </w:r>
      <w:r w:rsidR="00285402" w:rsidRPr="003E2C69">
        <w:rPr>
          <w:highlight w:val="yellow"/>
        </w:rPr>
        <w:fldChar w:fldCharType="separate"/>
      </w:r>
      <w:r w:rsidR="00285402" w:rsidRPr="003E2C69">
        <w:t>3.5.4</w:t>
      </w:r>
      <w:r w:rsidR="00285402" w:rsidRPr="003E2C69">
        <w:rPr>
          <w:highlight w:val="yellow"/>
        </w:rPr>
        <w:fldChar w:fldCharType="end"/>
      </w:r>
      <w:r w:rsidRPr="003E2C69">
        <w:t>).</w:t>
      </w:r>
    </w:p>
    <w:p w14:paraId="33A5A53C" w14:textId="7F651A88" w:rsidR="00226C07" w:rsidRPr="003E2C69" w:rsidRDefault="002E27F4" w:rsidP="00321D13">
      <w:pPr>
        <w:pStyle w:val="4RARMP"/>
      </w:pPr>
      <w:bookmarkStart w:id="223" w:name="_Ref67475081"/>
      <w:bookmarkStart w:id="224" w:name="_Ref216280904"/>
      <w:r w:rsidRPr="003E2C69">
        <w:t xml:space="preserve">Pre-clinical studies using </w:t>
      </w:r>
      <w:r w:rsidR="0099407F" w:rsidRPr="003E2C69">
        <w:t>the GMO</w:t>
      </w:r>
      <w:bookmarkEnd w:id="223"/>
      <w:bookmarkEnd w:id="224"/>
    </w:p>
    <w:p w14:paraId="6C712E2B" w14:textId="1A00061E" w:rsidR="00107127" w:rsidRPr="003E2C69" w:rsidRDefault="00107127" w:rsidP="004A7E1C">
      <w:pPr>
        <w:pStyle w:val="RARMPnumberedparagraphs"/>
        <w:rPr>
          <w:rFonts w:eastAsiaTheme="minorHAnsi"/>
          <w:szCs w:val="22"/>
        </w:rPr>
      </w:pPr>
      <w:r w:rsidRPr="003E2C69">
        <w:rPr>
          <w:rFonts w:eastAsiaTheme="minorHAnsi"/>
          <w:szCs w:val="22"/>
        </w:rPr>
        <w:t>The GM therapeutic has been evaluated in pre</w:t>
      </w:r>
      <w:r w:rsidR="0075711B" w:rsidRPr="003E2C69">
        <w:rPr>
          <w:rFonts w:eastAsiaTheme="minorHAnsi"/>
          <w:szCs w:val="22"/>
        </w:rPr>
        <w:t>-</w:t>
      </w:r>
      <w:r w:rsidRPr="003E2C69">
        <w:rPr>
          <w:rFonts w:eastAsiaTheme="minorHAnsi"/>
          <w:szCs w:val="22"/>
        </w:rPr>
        <w:t xml:space="preserve">clinical studies </w:t>
      </w:r>
      <w:r w:rsidRPr="003E2C69">
        <w:rPr>
          <w:rFonts w:eastAsiaTheme="minorHAnsi"/>
          <w:i/>
          <w:iCs/>
          <w:szCs w:val="22"/>
        </w:rPr>
        <w:t>in vitro</w:t>
      </w:r>
      <w:r w:rsidRPr="003E2C69">
        <w:rPr>
          <w:rFonts w:eastAsiaTheme="minorHAnsi"/>
          <w:szCs w:val="22"/>
        </w:rPr>
        <w:t xml:space="preserve"> using cancer cell lines and </w:t>
      </w:r>
      <w:r w:rsidRPr="003E2C69">
        <w:rPr>
          <w:rFonts w:eastAsiaTheme="minorHAnsi"/>
          <w:i/>
          <w:iCs/>
          <w:szCs w:val="22"/>
        </w:rPr>
        <w:t xml:space="preserve">in vivo </w:t>
      </w:r>
      <w:r w:rsidRPr="003E2C69">
        <w:rPr>
          <w:rFonts w:eastAsiaTheme="minorHAnsi"/>
          <w:szCs w:val="22"/>
        </w:rPr>
        <w:t>in various animal models</w:t>
      </w:r>
      <w:r w:rsidR="00321079" w:rsidRPr="003E2C69">
        <w:rPr>
          <w:rFonts w:eastAsiaTheme="minorHAnsi"/>
          <w:szCs w:val="22"/>
        </w:rPr>
        <w:t>.</w:t>
      </w:r>
    </w:p>
    <w:p w14:paraId="111A7CDE" w14:textId="1519AAF9" w:rsidR="00107127" w:rsidRPr="003E2C69" w:rsidRDefault="00107127" w:rsidP="00107127">
      <w:pPr>
        <w:pStyle w:val="RARMPnumberedparagraphs"/>
      </w:pPr>
      <w:r w:rsidRPr="003E2C69">
        <w:rPr>
          <w:i/>
          <w:iCs/>
        </w:rPr>
        <w:t>In vitro</w:t>
      </w:r>
      <w:r w:rsidRPr="003E2C69">
        <w:t xml:space="preserve"> pharmacology data from several cancer cell lines, including urothelial cancer cell lines, has shown that transduction with the GMO produces biologically active IFN-α2b protein in a time and dose-dependent manner </w:t>
      </w:r>
      <w:r w:rsidRPr="003E2C69">
        <w:fldChar w:fldCharType="begin">
          <w:fldData xml:space="preserve">PEVuZE5vdGU+PENpdGU+PEF1dGhvcj5JcWJhbCBBaG1lZDwvQXV0aG9yPjxZZWFyPjIwMDE8L1ll
YXI+PFJlY051bT4xODwvUmVjTnVtPjxEaXNwbGF5VGV4dD4oQWRhbSBldCBhbC4sIDIwMDc7IEJl
bmVkaWN0IGV0IGFsLiwgMjAwNDsgSXFiYWwgQWhtZWQgZXQgYWwuLCAyMDAxKTwvRGlzcGxheVRl
eHQ+PHJlY29yZD48cmVjLW51bWJlcj4xODwvcmVjLW51bWJlcj48Zm9yZWlnbi1rZXlzPjxrZXkg
YXBwPSJFTiIgZGItaWQ9ImRwYXNlMmUyb3o1cndjZTlhenNwcDk1bmY5eHZzd3hwMnJ2ZCIgdGlt
ZXN0YW1wPSIxNzY1MjQzNjU0Ij4xODwva2V5PjwvZm9yZWlnbi1rZXlzPjxyZWYtdHlwZSBuYW1l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ZWFyPjxSZWNOdW0+MTc8L1JlY051bT48cmVjb3JkPjxyZWMtbnVtYmVyPjE3PC9yZWMtbnVtYmVy
Pjxmb3JlaWduLWtleXM+PGtleSBhcHA9IkVOIiBkYi1pZD0iZHBhc2UyZTJvejVyd2NlOWF6c3Bw
OTVuZjl4dnN3eHAycnZkIiB0aW1lc3RhbXA9IjE3NjUyNDM2NTIiPjE3PC9rZXk+PC9mb3JlaWdu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L0F1dGhvcj48WWVhcj4yMDA3PC9ZZWFyPjxSZWNOdW0+MTY8L1JlY051bT48cmVjb3JkPjxyZWMt
bnVtYmVyPjE2PC9yZWMtbnVtYmVyPjxmb3JlaWduLWtleXM+PGtleSBhcHA9IkVOIiBkYi1pZD0i
ZHBhc2UyZTJvejVyd2NlOWF6c3BwOTVuZjl4dnN3eHAycnZkIiB0aW1lc3RhbXA9IjE3NjUyNDM2
NDgiPjE2PC9rZXk+PC9mb3JlaWduLWtleXM+PHJlZi10eXBlIG5hbWU9IkpvdXJuYWwgQXJ0aWNs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5B0F2F" w:rsidRPr="003E2C69">
        <w:instrText xml:space="preserve"> ADDIN EN.CITE </w:instrText>
      </w:r>
      <w:r w:rsidR="005B0F2F" w:rsidRPr="003E2C69">
        <w:fldChar w:fldCharType="begin">
          <w:fldData xml:space="preserve">PEVuZE5vdGU+PENpdGU+PEF1dGhvcj5JcWJhbCBBaG1lZDwvQXV0aG9yPjxZZWFyPjIwMDE8L1ll
YXI+PFJlY051bT4xODwvUmVjTnVtPjxEaXNwbGF5VGV4dD4oQWRhbSBldCBhbC4sIDIwMDc7IEJl
bmVkaWN0IGV0IGFsLiwgMjAwNDsgSXFiYWwgQWhtZWQgZXQgYWwuLCAyMDAxKTwvRGlzcGxheVRl
eHQ+PHJlY29yZD48cmVjLW51bWJlcj4xODwvcmVjLW51bWJlcj48Zm9yZWlnbi1rZXlzPjxrZXkg
YXBwPSJFTiIgZGItaWQ9ImRwYXNlMmUyb3o1cndjZTlhenNwcDk1bmY5eHZzd3hwMnJ2ZCIgdGlt
ZXN0YW1wPSIxNzY1MjQzNjU0Ij4xODwva2V5PjwvZm9yZWlnbi1rZXlzPjxyZWYtdHlwZSBuYW1l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ZWFyPjxSZWNOdW0+MTc8L1JlY051bT48cmVjb3JkPjxyZWMtbnVtYmVyPjE3PC9yZWMtbnVtYmVy
Pjxmb3JlaWduLWtleXM+PGtleSBhcHA9IkVOIiBkYi1pZD0iZHBhc2UyZTJvejVyd2NlOWF6c3Bw
OTVuZjl4dnN3eHAycnZkIiB0aW1lc3RhbXA9IjE3NjUyNDM2NTIiPjE3PC9rZXk+PC9mb3JlaWdu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L0F1dGhvcj48WWVhcj4yMDA3PC9ZZWFyPjxSZWNOdW0+MTY8L1JlY051bT48cmVjb3JkPjxyZWMt
bnVtYmVyPjE2PC9yZWMtbnVtYmVyPjxmb3JlaWduLWtleXM+PGtleSBhcHA9IkVOIiBkYi1pZD0i
ZHBhc2UyZTJvejVyd2NlOWF6c3BwOTVuZjl4dnN3eHAycnZkIiB0aW1lc3RhbXA9IjE3NjUyNDM2
NDgiPjE2PC9rZXk+PC9mb3JlaWduLWtleXM+PHJlZi10eXBlIG5hbWU9IkpvdXJuYWwgQXJ0aWNs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3" w:tooltip="Adam, 2007 #16" w:history="1">
        <w:r w:rsidR="0027195B" w:rsidRPr="003E2C69">
          <w:rPr>
            <w:noProof/>
          </w:rPr>
          <w:t>Adam et al., 2007</w:t>
        </w:r>
      </w:hyperlink>
      <w:r w:rsidRPr="003E2C69">
        <w:rPr>
          <w:noProof/>
        </w:rPr>
        <w:t xml:space="preserve">; </w:t>
      </w:r>
      <w:hyperlink w:anchor="_ENREF_8" w:tooltip="Benedict, 2004 #17" w:history="1">
        <w:r w:rsidR="0027195B" w:rsidRPr="003E2C69">
          <w:rPr>
            <w:noProof/>
          </w:rPr>
          <w:t>Benedict et al., 2004</w:t>
        </w:r>
      </w:hyperlink>
      <w:r w:rsidRPr="003E2C69">
        <w:rPr>
          <w:noProof/>
        </w:rPr>
        <w:t xml:space="preserve">; </w:t>
      </w:r>
      <w:hyperlink w:anchor="_ENREF_40" w:tooltip="Iqbal Ahmed, 2001 #18" w:history="1">
        <w:r w:rsidR="0027195B" w:rsidRPr="003E2C69">
          <w:rPr>
            <w:noProof/>
          </w:rPr>
          <w:t>Iqbal Ahmed et al., 2001</w:t>
        </w:r>
      </w:hyperlink>
      <w:r w:rsidRPr="003E2C69">
        <w:rPr>
          <w:noProof/>
        </w:rPr>
        <w:t>)</w:t>
      </w:r>
      <w:r w:rsidRPr="003E2C69">
        <w:fldChar w:fldCharType="end"/>
      </w:r>
      <w:r w:rsidRPr="003E2C69">
        <w:t xml:space="preserve">. Treatment of a human liver cancer cell line with the GMO resulted in inhibition of cell growth and potent cellular toxicity, with an increase in caspase 3 induction and DNA fragmentation and resulted in apoptosis </w:t>
      </w:r>
      <w:r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 </w:instrText>
      </w:r>
      <w:r w:rsidR="005B0F2F"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8" w:tooltip="Benedict, 2004 #17" w:history="1">
        <w:r w:rsidR="0027195B" w:rsidRPr="003E2C69">
          <w:rPr>
            <w:noProof/>
          </w:rPr>
          <w:t>Benedict et al., 2004</w:t>
        </w:r>
      </w:hyperlink>
      <w:r w:rsidRPr="003E2C69">
        <w:rPr>
          <w:noProof/>
        </w:rPr>
        <w:t>)</w:t>
      </w:r>
      <w:r w:rsidRPr="003E2C69">
        <w:fldChar w:fldCharType="end"/>
      </w:r>
      <w:r w:rsidRPr="003E2C69">
        <w:t>.</w:t>
      </w:r>
    </w:p>
    <w:p w14:paraId="4034F8BC" w14:textId="77DBC837" w:rsidR="00107127" w:rsidRPr="003E2C69" w:rsidRDefault="00107127" w:rsidP="00107127">
      <w:pPr>
        <w:pStyle w:val="RARMPnumberedparagraphs"/>
      </w:pPr>
      <w:r w:rsidRPr="003E2C69">
        <w:t xml:space="preserve">The anti-tumour efficacy of the GMO has been demonstrated in several animal species. Intra-tumoral or intravenous administration of the GMO was found to prolong survival and suppression of tumour growth was demonstrated in a dose dependent manner </w:t>
      </w:r>
      <w:r w:rsidRPr="003E2C69">
        <w:fldChar w:fldCharType="begin">
          <w:fldData xml:space="preserve">PEVuZE5vdGU+PENpdGU+PEF1dGhvcj5JcWJhbCBBaG1lZDwvQXV0aG9yPjxZZWFyPjIwMDE8L1ll
YXI+PFJlY051bT4xODwvUmVjTnVtPjxEaXNwbGF5VGV4dD4oSXFiYWwgQWhtZWQgZXQgYWwuLCAy
MDAxKTwvRGlzcGxheVRleHQ+PHJlY29yZD48cmVjLW51bWJlcj4xODwvcmVjLW51bWJlcj48Zm9y
ZWlnbi1rZXlzPjxrZXkgYXBwPSJFTiIgZGItaWQ9ImRwYXNlMmUyb3o1cndjZTlhenNwcDk1bmY5
eHZzd3hwMnJ2ZCIgdGltZXN0YW1wPSIxNzY1MjQzNjU0Ij4xODwva2V5PjwvZm9yZWlnbi1rZXlz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5B0F2F" w:rsidRPr="003E2C69">
        <w:instrText xml:space="preserve"> ADDIN EN.CITE </w:instrText>
      </w:r>
      <w:r w:rsidR="005B0F2F" w:rsidRPr="003E2C69">
        <w:fldChar w:fldCharType="begin">
          <w:fldData xml:space="preserve">PEVuZE5vdGU+PENpdGU+PEF1dGhvcj5JcWJhbCBBaG1lZDwvQXV0aG9yPjxZZWFyPjIwMDE8L1ll
YXI+PFJlY051bT4xODwvUmVjTnVtPjxEaXNwbGF5VGV4dD4oSXFiYWwgQWhtZWQgZXQgYWwuLCAy
MDAxKTwvRGlzcGxheVRleHQ+PHJlY29yZD48cmVjLW51bWJlcj4xODwvcmVjLW51bWJlcj48Zm9y
ZWlnbi1rZXlzPjxrZXkgYXBwPSJFTiIgZGItaWQ9ImRwYXNlMmUyb3o1cndjZTlhenNwcDk1bmY5
eHZzd3hwMnJ2ZCIgdGltZXN0YW1wPSIxNzY1MjQzNjU0Ij4xODwva2V5PjwvZm9yZWlnbi1rZXlz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40" w:tooltip="Iqbal Ahmed, 2001 #18" w:history="1">
        <w:r w:rsidR="0027195B" w:rsidRPr="003E2C69">
          <w:rPr>
            <w:noProof/>
          </w:rPr>
          <w:t>Iqbal Ahmed et al., 2001</w:t>
        </w:r>
      </w:hyperlink>
      <w:r w:rsidRPr="003E2C69">
        <w:rPr>
          <w:noProof/>
        </w:rPr>
        <w:t>)</w:t>
      </w:r>
      <w:r w:rsidRPr="003E2C69">
        <w:fldChar w:fldCharType="end"/>
      </w:r>
      <w:r w:rsidRPr="003E2C69">
        <w:t xml:space="preserve">. In a mouse orthotopic xenograft tumour model for NMIBC, high concentrations of IFN-α2b were expressed in bladders of mice following intravesical administration of the GMO formulated with the excipient Syn3 and bladder tumours significantly regressed </w:t>
      </w:r>
      <w:r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 </w:instrText>
      </w:r>
      <w:r w:rsidR="005B0F2F"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8" w:tooltip="Benedict, 2004 #17" w:history="1">
        <w:r w:rsidR="0027195B" w:rsidRPr="003E2C69">
          <w:rPr>
            <w:noProof/>
          </w:rPr>
          <w:t>Benedict et al., 2004</w:t>
        </w:r>
      </w:hyperlink>
      <w:r w:rsidRPr="003E2C69">
        <w:rPr>
          <w:noProof/>
        </w:rPr>
        <w:t>)</w:t>
      </w:r>
      <w:r w:rsidRPr="003E2C69">
        <w:fldChar w:fldCharType="end"/>
      </w:r>
      <w:r w:rsidRPr="003E2C69">
        <w:t xml:space="preserve">. Syn3 has been identified as an excipient that can increase </w:t>
      </w:r>
      <w:proofErr w:type="spellStart"/>
      <w:r w:rsidRPr="003E2C69">
        <w:t>AdV</w:t>
      </w:r>
      <w:proofErr w:type="spellEnd"/>
      <w:r w:rsidRPr="003E2C69">
        <w:t xml:space="preserve">-mediated gene transfer and expression in the bladder epithelium </w:t>
      </w:r>
      <w:r w:rsidRPr="003E2C69">
        <w:fldChar w:fldCharType="begin">
          <w:fldData xml:space="preserve">PEVuZE5vdGU+PENpdGU+PEF1dGhvcj5Db25ub3I8L0F1dGhvcj48WWVhcj4yMDAxPC9ZZWFyPjxS
ZWNOdW0+MTU8L1JlY051bT48RGlzcGxheVRleHQ+KENvbm5vciBldCBhbC4sIDIwMDEpPC9EaXNw
bGF5VGV4dD48cmVjb3JkPjxyZWMtbnVtYmVyPjE1PC9yZWMtbnVtYmVyPjxmb3JlaWduLWtleXM+
PGtleSBhcHA9IkVOIiBkYi1pZD0iZHBhc2UyZTJvejVyd2NlOWF6c3BwOTVuZjl4dnN3eHAycnZk
IiB0aW1lc3RhbXA9IjE3NjUyNDM2NDgiPjE1PC9rZXk+PC9mb3JlaWduLWtleXM+PHJlZi10eXBl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B0F2F" w:rsidRPr="003E2C69">
        <w:instrText xml:space="preserve"> ADDIN EN.CITE </w:instrText>
      </w:r>
      <w:r w:rsidR="005B0F2F" w:rsidRPr="003E2C69">
        <w:fldChar w:fldCharType="begin">
          <w:fldData xml:space="preserve">PEVuZE5vdGU+PENpdGU+PEF1dGhvcj5Db25ub3I8L0F1dGhvcj48WWVhcj4yMDAxPC9ZZWFyPjxS
ZWNOdW0+MTU8L1JlY051bT48RGlzcGxheVRleHQ+KENvbm5vciBldCBhbC4sIDIwMDEpPC9EaXNw
bGF5VGV4dD48cmVjb3JkPjxyZWMtbnVtYmVyPjE1PC9yZWMtbnVtYmVyPjxmb3JlaWduLWtleXM+
PGtleSBhcHA9IkVOIiBkYi1pZD0iZHBhc2UyZTJvejVyd2NlOWF6c3BwOTVuZjl4dnN3eHAycnZk
IiB0aW1lc3RhbXA9IjE3NjUyNDM2NDgiPjE1PC9rZXk+PC9mb3JlaWduLWtleXM+PHJlZi10eXBl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19" w:tooltip="Connor, 2001 #15" w:history="1">
        <w:r w:rsidR="0027195B" w:rsidRPr="003E2C69">
          <w:rPr>
            <w:noProof/>
          </w:rPr>
          <w:t>Connor et al., 2001</w:t>
        </w:r>
      </w:hyperlink>
      <w:r w:rsidRPr="003E2C69">
        <w:rPr>
          <w:noProof/>
        </w:rPr>
        <w:t>)</w:t>
      </w:r>
      <w:r w:rsidRPr="003E2C69">
        <w:fldChar w:fldCharType="end"/>
      </w:r>
      <w:r w:rsidRPr="003E2C69">
        <w:t>.</w:t>
      </w:r>
    </w:p>
    <w:p w14:paraId="4B3724F4" w14:textId="315573E9" w:rsidR="00107127" w:rsidRPr="003E2C69" w:rsidRDefault="00107127" w:rsidP="00107127">
      <w:pPr>
        <w:pStyle w:val="RARMPnumberedparagraphs"/>
      </w:pPr>
      <w:r w:rsidRPr="003E2C69">
        <w:t>According to information provided by the applicant, in a pilot study, cynomolgus monkeys following intravesical administration of 2.5 x 10</w:t>
      </w:r>
      <w:r w:rsidRPr="003E2C69">
        <w:rPr>
          <w:vertAlign w:val="superscript"/>
        </w:rPr>
        <w:t>13</w:t>
      </w:r>
      <w:r w:rsidRPr="003E2C69">
        <w:t xml:space="preserve"> </w:t>
      </w:r>
      <w:proofErr w:type="spellStart"/>
      <w:r w:rsidRPr="003E2C69">
        <w:t>vp</w:t>
      </w:r>
      <w:proofErr w:type="spellEnd"/>
      <w:r w:rsidRPr="003E2C69">
        <w:t xml:space="preserve"> GMO with Syn3 showed peak urinary IFN-α2b protein concentrations &gt;10,000 - 50,000 </w:t>
      </w:r>
      <w:proofErr w:type="spellStart"/>
      <w:r w:rsidRPr="003E2C69">
        <w:t>pg</w:t>
      </w:r>
      <w:proofErr w:type="spellEnd"/>
      <w:r w:rsidRPr="003E2C69">
        <w:t>/mL and concentrations remained above background levels for 14 days. IFN-α2b expression was mainly localised and confined to the bladder and urine. IFN-α2b expression was attenuated after re-dosing, possibly due to neutralising antibodies to the adenovirus and/or IFN</w:t>
      </w:r>
      <w:r w:rsidRPr="003E2C69">
        <w:noBreakHyphen/>
        <w:t xml:space="preserve">α2b protein. Similar results of attenuated IFN-α2b expression following re-dosing were also observed in the rat model </w:t>
      </w:r>
      <w:r w:rsidRPr="003E2C69">
        <w:fldChar w:fldCharType="begin"/>
      </w:r>
      <w:r w:rsidR="005B0F2F" w:rsidRPr="003E2C69">
        <w:instrText xml:space="preserve"> ADDIN EN.CITE &lt;EndNote&gt;&lt;Cite&gt;&lt;Author&gt;Connor&lt;/Author&gt;&lt;Year&gt;2005&lt;/Year&gt;&lt;RecNum&gt;34&lt;/RecNum&gt;&lt;DisplayText&gt;(Connor et al., 2005)&lt;/DisplayText&gt;&lt;record&gt;&lt;rec-number&gt;34&lt;/rec-number&gt;&lt;foreign-keys&gt;&lt;key app="EN" db-id="dpase2e2oz5rwce9azspp95nf9xvswxp2rvd" timestamp="1765243706"&gt;34&lt;/key&gt;&lt;/foreign-keys&gt;&lt;ref-type name="Journal Article"&gt;17&lt;/ref-type&gt;&lt;contributors&gt;&lt;authors&gt;&lt;author&gt;Connor, Robert J.&lt;/author&gt;&lt;author&gt;Anderson, Jennifer M.&lt;/author&gt;&lt;author&gt;Machemer, Todd&lt;/author&gt;&lt;author&gt;Maneval, Daniel C.&lt;/author&gt;&lt;author&gt;Engler, Heidrun&lt;/author&gt;&lt;/authors&gt;&lt;/contributors&gt;&lt;titles&gt;&lt;title&gt;Sustained intravesical interferon protein exposure is achieved using an adenoviral-mediated gene delivery system: A study in rats evaluating dosing regimens&lt;/title&gt;&lt;secondary-title&gt;Urology&lt;/secondary-title&gt;&lt;/titles&gt;&lt;periodical&gt;&lt;full-title&gt;Urology&lt;/full-title&gt;&lt;/periodical&gt;&lt;pages&gt;224-229&lt;/pages&gt;&lt;volume&gt;66&lt;/volume&gt;&lt;number&gt;1&lt;/number&gt;&lt;dates&gt;&lt;year&gt;2005&lt;/year&gt;&lt;pub-dates&gt;&lt;date&gt;2005/07/01/&lt;/date&gt;&lt;/pub-dates&gt;&lt;/dates&gt;&lt;isbn&gt;0090-4295&lt;/isbn&gt;&lt;urls&gt;&lt;related-urls&gt;&lt;url&gt;https://www.sciencedirect.com/science/article/pii/S0090429505002189&lt;/url&gt;&lt;/related-urls&gt;&lt;/urls&gt;&lt;electronic-resource-num&gt;https://doi.org/10.1016/j.urology.2005.02.015&lt;/electronic-resource-num&gt;&lt;/record&gt;&lt;/Cite&gt;&lt;/EndNote&gt;</w:instrText>
      </w:r>
      <w:r w:rsidRPr="003E2C69">
        <w:fldChar w:fldCharType="separate"/>
      </w:r>
      <w:r w:rsidRPr="003E2C69">
        <w:rPr>
          <w:noProof/>
        </w:rPr>
        <w:t>(</w:t>
      </w:r>
      <w:hyperlink w:anchor="_ENREF_18" w:tooltip="Connor, 2005 #34" w:history="1">
        <w:r w:rsidR="0027195B" w:rsidRPr="003E2C69">
          <w:rPr>
            <w:noProof/>
          </w:rPr>
          <w:t>Connor et al., 2005</w:t>
        </w:r>
      </w:hyperlink>
      <w:r w:rsidRPr="003E2C69">
        <w:rPr>
          <w:noProof/>
        </w:rPr>
        <w:t>)</w:t>
      </w:r>
      <w:r w:rsidRPr="003E2C69">
        <w:fldChar w:fldCharType="end"/>
      </w:r>
      <w:r w:rsidRPr="003E2C69">
        <w:t>.</w:t>
      </w:r>
    </w:p>
    <w:p w14:paraId="1D918A9F" w14:textId="0944EFC0" w:rsidR="00107127" w:rsidRPr="003E2C69" w:rsidRDefault="00107127" w:rsidP="00107127">
      <w:pPr>
        <w:pStyle w:val="RARMPnumberedparagraphs"/>
      </w:pPr>
      <w:r w:rsidRPr="003E2C69">
        <w:t>The systemic exposure of the GMO</w:t>
      </w:r>
      <w:r w:rsidR="006D3036">
        <w:t>,</w:t>
      </w:r>
      <w:r w:rsidRPr="003E2C69">
        <w:t xml:space="preserve"> as measured by copies of GMO</w:t>
      </w:r>
      <w:r w:rsidR="00EB1317">
        <w:t>-</w:t>
      </w:r>
      <w:r w:rsidRPr="003E2C69">
        <w:t>specific DNA/mL in blood and plasma in the different toxicology studies in monkey and rat</w:t>
      </w:r>
      <w:r w:rsidR="006D3036">
        <w:t>,</w:t>
      </w:r>
      <w:r w:rsidRPr="003E2C69">
        <w:t xml:space="preserve"> was low and close to the low level of quantification for all doses and for both species (Information provided by the applicant).</w:t>
      </w:r>
    </w:p>
    <w:p w14:paraId="737FB167" w14:textId="6A6C695B" w:rsidR="00107127" w:rsidRPr="003E2C69" w:rsidRDefault="002C3604" w:rsidP="00107127">
      <w:pPr>
        <w:pStyle w:val="RARMPnumberedparagraphs"/>
      </w:pPr>
      <w:r>
        <w:t>In a different study, b</w:t>
      </w:r>
      <w:r w:rsidR="00107127" w:rsidRPr="003E2C69">
        <w:t>iodistribution and shedding of the GMO were analysed in cynomolgus monkeys by real-time quantitative PCR (qPCR) assay following intravesical administration of the GMO with the doses of 2.5 x 10</w:t>
      </w:r>
      <w:r w:rsidR="00107127" w:rsidRPr="003E2C69">
        <w:rPr>
          <w:vertAlign w:val="superscript"/>
        </w:rPr>
        <w:t>11</w:t>
      </w:r>
      <w:r w:rsidR="00107127" w:rsidRPr="003E2C69">
        <w:t xml:space="preserve"> or 1.25 x 10</w:t>
      </w:r>
      <w:r w:rsidR="00107127" w:rsidRPr="003E2C69">
        <w:rPr>
          <w:vertAlign w:val="superscript"/>
        </w:rPr>
        <w:t>13</w:t>
      </w:r>
      <w:r w:rsidR="00107127" w:rsidRPr="003E2C69">
        <w:t xml:space="preserve"> </w:t>
      </w:r>
      <w:proofErr w:type="spellStart"/>
      <w:r w:rsidR="00107127" w:rsidRPr="003E2C69">
        <w:t>vp</w:t>
      </w:r>
      <w:proofErr w:type="spellEnd"/>
      <w:r w:rsidR="00107127" w:rsidRPr="003E2C69">
        <w:t xml:space="preserve"> </w:t>
      </w:r>
      <w:r w:rsidR="00107127" w:rsidRPr="003E2C69">
        <w:fldChar w:fldCharType="begin"/>
      </w:r>
      <w:r w:rsidR="00107127" w:rsidRPr="003E2C69">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00107127" w:rsidRPr="003E2C69">
        <w:fldChar w:fldCharType="separate"/>
      </w:r>
      <w:r w:rsidR="00107127" w:rsidRPr="003E2C69">
        <w:t>(</w:t>
      </w:r>
      <w:hyperlink w:anchor="_ENREF_97" w:tooltip="Veneziale, 2011 #7132" w:history="1">
        <w:r w:rsidR="0027195B" w:rsidRPr="003E2C69">
          <w:t>Veneziale et al., 2011</w:t>
        </w:r>
      </w:hyperlink>
      <w:r w:rsidR="00107127" w:rsidRPr="003E2C69">
        <w:t>)</w:t>
      </w:r>
      <w:r w:rsidR="00107127" w:rsidRPr="003E2C69">
        <w:fldChar w:fldCharType="end"/>
      </w:r>
      <w:r w:rsidR="00107127" w:rsidRPr="003E2C69">
        <w:t xml:space="preserve">. Urine, blood and tissue samples </w:t>
      </w:r>
      <w:r w:rsidR="00107127" w:rsidRPr="003E2C69">
        <w:lastRenderedPageBreak/>
        <w:t>(liver, kidney, bladder and gonads) were collected at various time points from Day 1 to Day 148. Most urine samples tested positive for the GMO DNA-fragments that were amplified (GMO-specific DNA) in the first two days after each dose. On Day 15 and Day 105 (15 days post-second dose), urine from only one and two of the 32 monkeys tested positive, respectively. None of the urine samples tested positive on week 12, prior to the second dose. As expected, due to the route of administration, GMO-specific DNA was detected in bladder tissue on Day 8 post-first dose and Day 98 (8 days post-second dose) in both the low and high-dose group. In blood samples, GMO-specific DNA was detected at low levels in the low-dose group during the first 24 hours in a limited number of monkeys (2/16 post-first dose and 1/10 post-second dose). In the high</w:t>
      </w:r>
      <w:r w:rsidR="00107127" w:rsidRPr="003E2C69">
        <w:noBreakHyphen/>
        <w:t>dose group, two-thirds of the monkeys (11/16 for first dose and 7/10 for repeat dose) tested positive during the first 24 hours. Detection was below quantifiable levels in all monkeys for the remaining samples collected on Days 8, 15, 98 and 148. Low levels of GMO-specific DNA were detected in kidney (1/16 at Day 148) and liver (2/16 at Day 8) in the low dose group. For the high dose group, higher levels of GMO-specific DNA were detected in kidney (3/16 at Day 98) and liver (5/16 at Day 8). In the high dose group</w:t>
      </w:r>
      <w:r w:rsidR="00EB1317">
        <w:t>,</w:t>
      </w:r>
      <w:r w:rsidR="00107127" w:rsidRPr="003E2C69">
        <w:t xml:space="preserve"> GMO-specific DNA was also detected in gonads of one male and one female on Day 8. These monkeys also had the highest level of GMO-specific DNA in their blood samples. GMO-specific DNA was not detected in gonads beyond Day 8.</w:t>
      </w:r>
    </w:p>
    <w:p w14:paraId="3D9EC3F1" w14:textId="46D72864" w:rsidR="00321079" w:rsidRPr="003E2C69" w:rsidRDefault="00107127" w:rsidP="00107127">
      <w:pPr>
        <w:pStyle w:val="RARMPnumberedparagraphs"/>
        <w:rPr>
          <w:rFonts w:eastAsiaTheme="minorHAnsi"/>
          <w:szCs w:val="22"/>
        </w:rPr>
      </w:pPr>
      <w:r w:rsidRPr="003E2C69">
        <w:t>The applicant stated that the potential of the GMO for genotoxicity or carcinogenicity, or for toxicity to reproduction and development, has not been studied.</w:t>
      </w:r>
      <w:r w:rsidR="00321079" w:rsidRPr="003E2C69">
        <w:rPr>
          <w:rFonts w:eastAsiaTheme="minorHAnsi"/>
          <w:szCs w:val="22"/>
        </w:rPr>
        <w:t xml:space="preserve"> </w:t>
      </w:r>
    </w:p>
    <w:p w14:paraId="5F3F2E7F" w14:textId="42B72453" w:rsidR="00CD6818" w:rsidRPr="003E2C69" w:rsidRDefault="002871F7" w:rsidP="00321D13">
      <w:pPr>
        <w:pStyle w:val="4RARMP"/>
      </w:pPr>
      <w:bookmarkStart w:id="225" w:name="_Ref67300410"/>
      <w:bookmarkStart w:id="226" w:name="_Ref216702339"/>
      <w:r w:rsidRPr="003E2C69">
        <w:t xml:space="preserve">Clinical trials </w:t>
      </w:r>
      <w:bookmarkEnd w:id="225"/>
      <w:r w:rsidR="00180ABB" w:rsidRPr="003E2C69">
        <w:t>of the GMO</w:t>
      </w:r>
      <w:bookmarkEnd w:id="226"/>
    </w:p>
    <w:p w14:paraId="35045F4D" w14:textId="775B125E" w:rsidR="00773F63" w:rsidRPr="003E2C69" w:rsidRDefault="00180ABB" w:rsidP="00180ABB">
      <w:pPr>
        <w:pStyle w:val="RARMPnumberedparagraphs"/>
      </w:pPr>
      <w:r w:rsidRPr="003E2C69">
        <w:t xml:space="preserve">The GM therapeutic has been studied in 4 clinical trials from Phase 1 to 3 in the USA for intravesical recombinant </w:t>
      </w:r>
      <w:proofErr w:type="spellStart"/>
      <w:r w:rsidRPr="003E2C69">
        <w:t>AdV</w:t>
      </w:r>
      <w:proofErr w:type="spellEnd"/>
      <w:r w:rsidRPr="003E2C69">
        <w:t xml:space="preserve"> mediated IFN-α2b gene therapy formulated with Syn3 in patients with high-grade BCG-unresponsive NMIBC (Table 1)</w:t>
      </w:r>
      <w:r w:rsidR="00773F63" w:rsidRPr="003E2C69">
        <w:t xml:space="preserve">. </w:t>
      </w:r>
      <w:r w:rsidR="00803C6D" w:rsidRPr="003E2C69">
        <w:t xml:space="preserve"> </w:t>
      </w:r>
    </w:p>
    <w:p w14:paraId="59FD1490" w14:textId="77777777" w:rsidR="00180ABB" w:rsidRPr="003E2C69" w:rsidRDefault="00180ABB" w:rsidP="00180ABB">
      <w:pPr>
        <w:pStyle w:val="RARMPnumberedparagraphs"/>
        <w:numPr>
          <w:ilvl w:val="0"/>
          <w:numId w:val="0"/>
        </w:numPr>
        <w:rPr>
          <w:b/>
          <w:bCs/>
        </w:rPr>
      </w:pPr>
      <w:r w:rsidRPr="003E2C69">
        <w:rPr>
          <w:b/>
          <w:bCs/>
        </w:rPr>
        <w:t>Table 1. Summary of previous clinical trials using the GMO</w:t>
      </w:r>
    </w:p>
    <w:tbl>
      <w:tblPr>
        <w:tblStyle w:val="TableGrid"/>
        <w:tblW w:w="0" w:type="auto"/>
        <w:tblCellMar>
          <w:top w:w="57" w:type="dxa"/>
          <w:left w:w="57" w:type="dxa"/>
          <w:bottom w:w="57" w:type="dxa"/>
          <w:right w:w="57" w:type="dxa"/>
        </w:tblCellMar>
        <w:tblLook w:val="04A0" w:firstRow="1" w:lastRow="0" w:firstColumn="1" w:lastColumn="0" w:noHBand="0" w:noVBand="1"/>
        <w:tblCaption w:val="Summary of previous clinical trials using CG0070 GMO"/>
        <w:tblDescription w:val="This table describes previous clinical trials with the GMO. The column headings are Number, Study design, Number treated, Main adverse events and References."/>
      </w:tblPr>
      <w:tblGrid>
        <w:gridCol w:w="407"/>
        <w:gridCol w:w="2891"/>
        <w:gridCol w:w="764"/>
        <w:gridCol w:w="3685"/>
        <w:gridCol w:w="1316"/>
      </w:tblGrid>
      <w:tr w:rsidR="003E2C69" w:rsidRPr="003E2C69" w14:paraId="2905EFD8" w14:textId="77777777" w:rsidTr="0073540C">
        <w:trPr>
          <w:trHeight w:val="283"/>
          <w:tblHeader/>
        </w:trPr>
        <w:tc>
          <w:tcPr>
            <w:tcW w:w="0" w:type="auto"/>
            <w:shd w:val="clear" w:color="auto" w:fill="E6E6E6" w:themeFill="background1" w:themeFillShade="E6"/>
            <w:vAlign w:val="center"/>
          </w:tcPr>
          <w:p w14:paraId="5D0AD118"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No.</w:t>
            </w:r>
          </w:p>
        </w:tc>
        <w:tc>
          <w:tcPr>
            <w:tcW w:w="0" w:type="auto"/>
            <w:shd w:val="clear" w:color="auto" w:fill="E6E6E6" w:themeFill="background1" w:themeFillShade="E6"/>
            <w:vAlign w:val="center"/>
          </w:tcPr>
          <w:p w14:paraId="03047E6F"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Clinical study</w:t>
            </w:r>
          </w:p>
        </w:tc>
        <w:tc>
          <w:tcPr>
            <w:tcW w:w="0" w:type="auto"/>
            <w:shd w:val="clear" w:color="auto" w:fill="E6E6E6" w:themeFill="background1" w:themeFillShade="E6"/>
            <w:vAlign w:val="center"/>
          </w:tcPr>
          <w:p w14:paraId="5E730D56"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No. treated</w:t>
            </w:r>
          </w:p>
        </w:tc>
        <w:tc>
          <w:tcPr>
            <w:tcW w:w="0" w:type="auto"/>
            <w:shd w:val="clear" w:color="auto" w:fill="E6E6E6" w:themeFill="background1" w:themeFillShade="E6"/>
            <w:vAlign w:val="center"/>
          </w:tcPr>
          <w:p w14:paraId="7ED3921A"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Adverse events (AE)</w:t>
            </w:r>
            <w:r w:rsidRPr="003E2C69">
              <w:t>*</w:t>
            </w:r>
          </w:p>
        </w:tc>
        <w:tc>
          <w:tcPr>
            <w:tcW w:w="0" w:type="auto"/>
            <w:shd w:val="clear" w:color="auto" w:fill="E6E6E6" w:themeFill="background1" w:themeFillShade="E6"/>
            <w:vAlign w:val="center"/>
          </w:tcPr>
          <w:p w14:paraId="1598FBF0"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References</w:t>
            </w:r>
          </w:p>
        </w:tc>
      </w:tr>
      <w:tr w:rsidR="003E2C69" w:rsidRPr="003E2C69" w14:paraId="17E6AC5E" w14:textId="77777777" w:rsidTr="0073540C">
        <w:tc>
          <w:tcPr>
            <w:tcW w:w="0" w:type="auto"/>
            <w:vAlign w:val="center"/>
          </w:tcPr>
          <w:p w14:paraId="63CEFA26"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1</w:t>
            </w:r>
          </w:p>
        </w:tc>
        <w:tc>
          <w:tcPr>
            <w:tcW w:w="0" w:type="auto"/>
          </w:tcPr>
          <w:p w14:paraId="165F64FD"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A Phase 1 study of the safety and tolerability of intravesical administration of SCH 721015 in patients with transitional cell carcinoma of the bladder</w:t>
            </w:r>
          </w:p>
        </w:tc>
        <w:tc>
          <w:tcPr>
            <w:tcW w:w="0" w:type="auto"/>
          </w:tcPr>
          <w:p w14:paraId="64B207F0"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17</w:t>
            </w:r>
          </w:p>
        </w:tc>
        <w:tc>
          <w:tcPr>
            <w:tcW w:w="0" w:type="auto"/>
          </w:tcPr>
          <w:p w14:paraId="1CE76DB6"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All patients had at least one AE of grade 1 or 2. Common treatment-related AEs included micturition urgency (88%), headache (59%), fatigue (47%) and nausea (35%).</w:t>
            </w:r>
            <w:r w:rsidRPr="003E2C69">
              <w:rPr>
                <w:rFonts w:ascii="Times New Roman" w:hAnsi="Times New Roman"/>
                <w:sz w:val="20"/>
                <w:szCs w:val="20"/>
              </w:rPr>
              <w:t xml:space="preserve"> </w:t>
            </w:r>
            <w:r w:rsidRPr="003E2C69">
              <w:rPr>
                <w:rFonts w:asciiTheme="minorHAnsi" w:hAnsiTheme="minorHAnsi" w:cstheme="minorHAnsi"/>
                <w:sz w:val="20"/>
                <w:szCs w:val="20"/>
              </w:rPr>
              <w:t>No dose-limiting changes in laboratory parameters were reported, but transient decreases in total white blood cell counts, neutrophil counts, and lymphocyte counts were observed.</w:t>
            </w:r>
          </w:p>
        </w:tc>
        <w:tc>
          <w:tcPr>
            <w:tcW w:w="0" w:type="auto"/>
          </w:tcPr>
          <w:p w14:paraId="7568ABB1" w14:textId="77777777" w:rsidR="00180ABB" w:rsidRPr="003E2C69" w:rsidRDefault="00180ABB" w:rsidP="0073540C">
            <w:pPr>
              <w:spacing w:before="40" w:after="40"/>
              <w:rPr>
                <w:sz w:val="20"/>
                <w:szCs w:val="20"/>
              </w:rPr>
            </w:pPr>
            <w:hyperlink r:id="rId35" w:history="1">
              <w:r w:rsidRPr="003E2C69">
                <w:rPr>
                  <w:rStyle w:val="Hyperlink"/>
                  <w:rFonts w:asciiTheme="minorHAnsi" w:hAnsiTheme="minorHAnsi" w:cstheme="minorHAnsi"/>
                  <w:sz w:val="20"/>
                  <w:szCs w:val="20"/>
                </w:rPr>
                <w:t>NCT00536588</w:t>
              </w:r>
            </w:hyperlink>
          </w:p>
          <w:p w14:paraId="4B8F9791" w14:textId="77777777" w:rsidR="00180ABB" w:rsidRPr="003E2C69" w:rsidRDefault="00180ABB" w:rsidP="0073540C">
            <w:pPr>
              <w:spacing w:before="40" w:after="40"/>
              <w:rPr>
                <w:rStyle w:val="Hyperlink"/>
                <w:rFonts w:asciiTheme="minorHAnsi" w:hAnsiTheme="minorHAnsi" w:cstheme="minorHAnsi"/>
                <w:sz w:val="20"/>
                <w:szCs w:val="20"/>
              </w:rPr>
            </w:pPr>
          </w:p>
          <w:p w14:paraId="5EB66FAA" w14:textId="5081D9BD" w:rsidR="00180ABB" w:rsidRPr="003E2C69" w:rsidRDefault="00180ABB" w:rsidP="0073540C">
            <w:pPr>
              <w:spacing w:before="40" w:after="40"/>
              <w:rPr>
                <w:rStyle w:val="Hyperlink"/>
                <w:rFonts w:asciiTheme="minorHAnsi" w:hAnsiTheme="minorHAnsi" w:cstheme="minorHAnsi"/>
                <w:sz w:val="20"/>
                <w:szCs w:val="20"/>
                <w:u w:val="none"/>
              </w:rPr>
            </w:pPr>
            <w:r w:rsidRPr="003E2C69">
              <w:rPr>
                <w:rStyle w:val="Hyperlink"/>
                <w:rFonts w:asciiTheme="minorHAnsi" w:hAnsiTheme="minorHAnsi" w:cstheme="minorHAnsi"/>
                <w:sz w:val="20"/>
                <w:szCs w:val="20"/>
                <w:u w:val="none"/>
              </w:rPr>
              <w:fldChar w:fldCharType="begin">
                <w:fldData xml:space="preserve">PEVuZE5vdGU+PENpdGU+PEF1dGhvcj5EaW5uZXk8L0F1dGhvcj48WWVhcj4yMDEzPC9ZZWFyPjxS
ZWNOdW0+MjA8L1JlY051bT48RGlzcGxheVRleHQ+KERpbm5leSBldCBhbC4sIDIwMTMpPC9EaXNw
bGF5VGV4dD48cmVjb3JkPjxyZWMtbnVtYmVyPjIwPC9yZWMtbnVtYmVyPjxmb3JlaWduLWtleXM+
PGtleSBhcHA9IkVOIiBkYi1pZD0iZHBhc2UyZTJvejVyd2NlOWF6c3BwOTVuZjl4dnN3eHAycnZk
IiB0aW1lc3RhbXA9IjE3NjUyNDM2NjAiPjIwPC9rZXk+PC9mb3JlaWduLWtleXM+PHJlZi10eXBl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005B0F2F" w:rsidRPr="003E2C69">
              <w:rPr>
                <w:rStyle w:val="Hyperlink"/>
                <w:rFonts w:asciiTheme="minorHAnsi" w:hAnsiTheme="minorHAnsi" w:cstheme="minorHAnsi"/>
                <w:sz w:val="20"/>
                <w:szCs w:val="20"/>
                <w:u w:val="none"/>
              </w:rPr>
              <w:instrText xml:space="preserve"> ADDIN EN.CITE </w:instrText>
            </w:r>
            <w:r w:rsidR="005B0F2F" w:rsidRPr="003E2C69">
              <w:rPr>
                <w:rStyle w:val="Hyperlink"/>
                <w:rFonts w:asciiTheme="minorHAnsi" w:hAnsiTheme="minorHAnsi" w:cstheme="minorHAnsi"/>
                <w:sz w:val="20"/>
                <w:szCs w:val="20"/>
                <w:u w:val="none"/>
              </w:rPr>
              <w:fldChar w:fldCharType="begin">
                <w:fldData xml:space="preserve">PEVuZE5vdGU+PENpdGU+PEF1dGhvcj5EaW5uZXk8L0F1dGhvcj48WWVhcj4yMDEzPC9ZZWFyPjxS
ZWNOdW0+MjA8L1JlY051bT48RGlzcGxheVRleHQ+KERpbm5leSBldCBhbC4sIDIwMTMpPC9EaXNw
bGF5VGV4dD48cmVjb3JkPjxyZWMtbnVtYmVyPjIwPC9yZWMtbnVtYmVyPjxmb3JlaWduLWtleXM+
PGtleSBhcHA9IkVOIiBkYi1pZD0iZHBhc2UyZTJvejVyd2NlOWF6c3BwOTVuZjl4dnN3eHAycnZk
IiB0aW1lc3RhbXA9IjE3NjUyNDM2NjAiPjIwPC9rZXk+PC9mb3JlaWduLWtleXM+PHJlZi10eXBl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005B0F2F" w:rsidRPr="003E2C69">
              <w:rPr>
                <w:rStyle w:val="Hyperlink"/>
                <w:rFonts w:asciiTheme="minorHAnsi" w:hAnsiTheme="minorHAnsi" w:cstheme="minorHAnsi"/>
                <w:sz w:val="20"/>
                <w:szCs w:val="20"/>
                <w:u w:val="none"/>
              </w:rPr>
              <w:instrText xml:space="preserve"> ADDIN EN.CITE.DATA </w:instrText>
            </w:r>
            <w:r w:rsidR="005B0F2F" w:rsidRPr="003E2C69">
              <w:rPr>
                <w:rStyle w:val="Hyperlink"/>
                <w:rFonts w:asciiTheme="minorHAnsi" w:hAnsiTheme="minorHAnsi" w:cstheme="minorHAnsi"/>
                <w:sz w:val="20"/>
                <w:szCs w:val="20"/>
                <w:u w:val="none"/>
              </w:rPr>
            </w:r>
            <w:r w:rsidR="005B0F2F" w:rsidRPr="003E2C69">
              <w:rPr>
                <w:rStyle w:val="Hyperlink"/>
                <w:rFonts w:asciiTheme="minorHAnsi" w:hAnsiTheme="minorHAnsi" w:cstheme="minorHAnsi"/>
                <w:sz w:val="20"/>
                <w:szCs w:val="20"/>
                <w:u w:val="none"/>
              </w:rPr>
              <w:fldChar w:fldCharType="end"/>
            </w:r>
            <w:r w:rsidRPr="003E2C69">
              <w:rPr>
                <w:rStyle w:val="Hyperlink"/>
                <w:rFonts w:asciiTheme="minorHAnsi" w:hAnsiTheme="minorHAnsi" w:cstheme="minorHAnsi"/>
                <w:sz w:val="20"/>
                <w:szCs w:val="20"/>
                <w:u w:val="none"/>
              </w:rPr>
            </w:r>
            <w:r w:rsidRPr="003E2C69">
              <w:rPr>
                <w:rStyle w:val="Hyperlink"/>
                <w:rFonts w:asciiTheme="minorHAnsi" w:hAnsiTheme="minorHAnsi" w:cstheme="minorHAnsi"/>
                <w:sz w:val="20"/>
                <w:szCs w:val="20"/>
                <w:u w:val="none"/>
              </w:rPr>
              <w:fldChar w:fldCharType="separate"/>
            </w:r>
            <w:r w:rsidRPr="003E2C69">
              <w:rPr>
                <w:rStyle w:val="Hyperlink"/>
                <w:rFonts w:asciiTheme="minorHAnsi" w:hAnsiTheme="minorHAnsi" w:cstheme="minorHAnsi"/>
                <w:noProof/>
                <w:sz w:val="20"/>
                <w:szCs w:val="20"/>
                <w:u w:val="none"/>
              </w:rPr>
              <w:t>(</w:t>
            </w:r>
            <w:hyperlink w:anchor="_ENREF_24" w:tooltip="Dinney, 2013 #20" w:history="1">
              <w:r w:rsidR="0027195B" w:rsidRPr="003E2C69">
                <w:rPr>
                  <w:rFonts w:asciiTheme="minorHAnsi" w:hAnsiTheme="minorHAnsi" w:cstheme="minorHAnsi"/>
                  <w:noProof/>
                  <w:sz w:val="20"/>
                  <w:szCs w:val="20"/>
                </w:rPr>
                <w:t>Dinney et al., 2013</w:t>
              </w:r>
            </w:hyperlink>
            <w:r w:rsidRPr="003E2C69">
              <w:rPr>
                <w:rStyle w:val="Hyperlink"/>
                <w:rFonts w:asciiTheme="minorHAnsi" w:hAnsiTheme="minorHAnsi" w:cstheme="minorHAnsi"/>
                <w:noProof/>
                <w:sz w:val="20"/>
                <w:szCs w:val="20"/>
                <w:u w:val="none"/>
              </w:rPr>
              <w:t>)</w:t>
            </w:r>
            <w:r w:rsidRPr="003E2C69">
              <w:rPr>
                <w:rStyle w:val="Hyperlink"/>
                <w:rFonts w:asciiTheme="minorHAnsi" w:hAnsiTheme="minorHAnsi" w:cstheme="minorHAnsi"/>
                <w:sz w:val="20"/>
                <w:szCs w:val="20"/>
                <w:u w:val="none"/>
              </w:rPr>
              <w:fldChar w:fldCharType="end"/>
            </w:r>
          </w:p>
        </w:tc>
      </w:tr>
      <w:tr w:rsidR="003E2C69" w:rsidRPr="003E2C69" w14:paraId="58CCC114" w14:textId="77777777" w:rsidTr="0073540C">
        <w:tc>
          <w:tcPr>
            <w:tcW w:w="0" w:type="auto"/>
            <w:vAlign w:val="center"/>
          </w:tcPr>
          <w:p w14:paraId="076F634D"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2</w:t>
            </w:r>
          </w:p>
        </w:tc>
        <w:tc>
          <w:tcPr>
            <w:tcW w:w="0" w:type="auto"/>
          </w:tcPr>
          <w:p w14:paraId="57412995"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Phase 1b intravesical administration of SCH 721015 (Ad-</w:t>
            </w:r>
            <w:proofErr w:type="spellStart"/>
            <w:r w:rsidRPr="003E2C69">
              <w:rPr>
                <w:rFonts w:asciiTheme="minorHAnsi" w:hAnsiTheme="minorHAnsi" w:cstheme="minorHAnsi"/>
                <w:sz w:val="20"/>
                <w:szCs w:val="20"/>
              </w:rPr>
              <w:t>IFNa</w:t>
            </w:r>
            <w:proofErr w:type="spellEnd"/>
            <w:r w:rsidRPr="003E2C69">
              <w:rPr>
                <w:rFonts w:asciiTheme="minorHAnsi" w:hAnsiTheme="minorHAnsi" w:cstheme="minorHAnsi"/>
                <w:sz w:val="20"/>
                <w:szCs w:val="20"/>
              </w:rPr>
              <w:t>) in admixture with SCH 209702 (Syn3) for the treatment of BCG refractory superficial bladder cancer</w:t>
            </w:r>
          </w:p>
        </w:tc>
        <w:tc>
          <w:tcPr>
            <w:tcW w:w="0" w:type="auto"/>
          </w:tcPr>
          <w:p w14:paraId="79E52433"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7</w:t>
            </w:r>
          </w:p>
        </w:tc>
        <w:tc>
          <w:tcPr>
            <w:tcW w:w="0" w:type="auto"/>
          </w:tcPr>
          <w:p w14:paraId="66AAA805"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One AE reported as a non-serious worsening of lower urinary tract symptoms from one patient.</w:t>
            </w:r>
          </w:p>
        </w:tc>
        <w:tc>
          <w:tcPr>
            <w:tcW w:w="0" w:type="auto"/>
          </w:tcPr>
          <w:p w14:paraId="3BFCAC72" w14:textId="77777777" w:rsidR="00180ABB" w:rsidRPr="003E2C69" w:rsidRDefault="00180ABB" w:rsidP="0073540C">
            <w:pPr>
              <w:spacing w:before="40" w:after="40"/>
              <w:rPr>
                <w:sz w:val="20"/>
                <w:szCs w:val="20"/>
              </w:rPr>
            </w:pPr>
            <w:hyperlink r:id="rId36" w:history="1">
              <w:r w:rsidRPr="003E2C69">
                <w:rPr>
                  <w:rStyle w:val="Hyperlink"/>
                  <w:rFonts w:asciiTheme="minorHAnsi" w:hAnsiTheme="minorHAnsi" w:cstheme="minorHAnsi"/>
                  <w:sz w:val="20"/>
                  <w:szCs w:val="20"/>
                </w:rPr>
                <w:t>NCT01162785</w:t>
              </w:r>
            </w:hyperlink>
          </w:p>
          <w:p w14:paraId="67706914" w14:textId="77777777" w:rsidR="00180ABB" w:rsidRPr="003E2C69" w:rsidRDefault="00180ABB" w:rsidP="0073540C">
            <w:pPr>
              <w:spacing w:before="40" w:after="40"/>
              <w:rPr>
                <w:rFonts w:asciiTheme="minorHAnsi" w:hAnsiTheme="minorHAnsi" w:cstheme="minorHAnsi"/>
                <w:sz w:val="20"/>
                <w:szCs w:val="20"/>
              </w:rPr>
            </w:pPr>
          </w:p>
          <w:p w14:paraId="5E7C1209" w14:textId="2E2C0AEA"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fldChar w:fldCharType="begin">
                <w:fldData xml:space="preserve">PEVuZE5vdGU+PENpdGU+PEF1dGhvcj5OYXZhaTwvQXV0aG9yPjxZZWFyPjIwMTY8L1llYXI+PFJl
Y051bT4xNDwvUmVjTnVtPjxEaXNwbGF5VGV4dD4oTmF2YWkgZXQgYWwuLCAyMDE2KTwvRGlzcGxh
eVRleHQ+PHJlY29yZD48cmVjLW51bWJlcj4xNDwvcmVjLW51bWJlcj48Zm9yZWlnbi1rZXlzPjxr
ZXkgYXBwPSJFTiIgZGItaWQ9ImRwYXNlMmUyb3o1cndjZTlhenNwcDk1bmY5eHZzd3hwMnJ2ZCIg
dGltZXN0YW1wPSIxNzY1MjQzNjQ4Ij4xNDwva2V5PjwvZm9yZWlnbi1rZXlzPjxyZWYtdHlwZSBu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005B0F2F" w:rsidRPr="003E2C69">
              <w:rPr>
                <w:rFonts w:asciiTheme="minorHAnsi" w:hAnsiTheme="minorHAnsi" w:cstheme="minorHAnsi"/>
                <w:sz w:val="20"/>
                <w:szCs w:val="20"/>
              </w:rPr>
              <w:instrText xml:space="preserve"> ADDIN EN.CITE </w:instrText>
            </w:r>
            <w:r w:rsidR="005B0F2F" w:rsidRPr="003E2C69">
              <w:rPr>
                <w:rFonts w:asciiTheme="minorHAnsi" w:hAnsiTheme="minorHAnsi" w:cstheme="minorHAnsi"/>
                <w:sz w:val="20"/>
                <w:szCs w:val="20"/>
              </w:rPr>
              <w:fldChar w:fldCharType="begin">
                <w:fldData xml:space="preserve">PEVuZE5vdGU+PENpdGU+PEF1dGhvcj5OYXZhaTwvQXV0aG9yPjxZZWFyPjIwMTY8L1llYXI+PFJl
Y051bT4xNDwvUmVjTnVtPjxEaXNwbGF5VGV4dD4oTmF2YWkgZXQgYWwuLCAyMDE2KTwvRGlzcGxh
eVRleHQ+PHJlY29yZD48cmVjLW51bWJlcj4xNDwvcmVjLW51bWJlcj48Zm9yZWlnbi1rZXlzPjxr
ZXkgYXBwPSJFTiIgZGItaWQ9ImRwYXNlMmUyb3o1cndjZTlhenNwcDk1bmY5eHZzd3hwMnJ2ZCIg
dGltZXN0YW1wPSIxNzY1MjQzNjQ4Ij4xNDwva2V5PjwvZm9yZWlnbi1rZXlzPjxyZWYtdHlwZSBu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005B0F2F" w:rsidRPr="003E2C69">
              <w:rPr>
                <w:rFonts w:asciiTheme="minorHAnsi" w:hAnsiTheme="minorHAnsi" w:cstheme="minorHAnsi"/>
                <w:sz w:val="20"/>
                <w:szCs w:val="20"/>
              </w:rPr>
              <w:instrText xml:space="preserve"> ADDIN EN.CITE.DATA </w:instrText>
            </w:r>
            <w:r w:rsidR="005B0F2F" w:rsidRPr="003E2C69">
              <w:rPr>
                <w:rFonts w:asciiTheme="minorHAnsi" w:hAnsiTheme="minorHAnsi" w:cstheme="minorHAnsi"/>
                <w:sz w:val="20"/>
                <w:szCs w:val="20"/>
              </w:rPr>
            </w:r>
            <w:r w:rsidR="005B0F2F" w:rsidRPr="003E2C69">
              <w:rPr>
                <w:rFonts w:asciiTheme="minorHAnsi" w:hAnsiTheme="minorHAnsi" w:cstheme="minorHAnsi"/>
                <w:sz w:val="20"/>
                <w:szCs w:val="20"/>
              </w:rPr>
              <w:fldChar w:fldCharType="end"/>
            </w:r>
            <w:r w:rsidRPr="003E2C69">
              <w:rPr>
                <w:rFonts w:asciiTheme="minorHAnsi" w:hAnsiTheme="minorHAnsi" w:cstheme="minorHAnsi"/>
                <w:sz w:val="20"/>
                <w:szCs w:val="20"/>
              </w:rPr>
            </w:r>
            <w:r w:rsidRPr="003E2C69">
              <w:rPr>
                <w:rFonts w:asciiTheme="minorHAnsi" w:hAnsiTheme="minorHAnsi" w:cstheme="minorHAnsi"/>
                <w:sz w:val="20"/>
                <w:szCs w:val="20"/>
              </w:rPr>
              <w:fldChar w:fldCharType="separate"/>
            </w:r>
            <w:r w:rsidRPr="003E2C69">
              <w:rPr>
                <w:rFonts w:asciiTheme="minorHAnsi" w:hAnsiTheme="minorHAnsi" w:cstheme="minorHAnsi"/>
                <w:noProof/>
                <w:sz w:val="20"/>
                <w:szCs w:val="20"/>
              </w:rPr>
              <w:t>(</w:t>
            </w:r>
            <w:hyperlink w:anchor="_ENREF_65" w:tooltip="Navai, 2016 #14" w:history="1">
              <w:r w:rsidR="0027195B" w:rsidRPr="003E2C69">
                <w:rPr>
                  <w:rFonts w:asciiTheme="minorHAnsi" w:hAnsiTheme="minorHAnsi" w:cstheme="minorHAnsi"/>
                  <w:noProof/>
                  <w:sz w:val="20"/>
                  <w:szCs w:val="20"/>
                </w:rPr>
                <w:t>Navai et al., 2016</w:t>
              </w:r>
            </w:hyperlink>
            <w:r w:rsidRPr="003E2C69">
              <w:rPr>
                <w:rFonts w:asciiTheme="minorHAnsi" w:hAnsiTheme="minorHAnsi" w:cstheme="minorHAnsi"/>
                <w:noProof/>
                <w:sz w:val="20"/>
                <w:szCs w:val="20"/>
              </w:rPr>
              <w:t>)</w:t>
            </w:r>
            <w:r w:rsidRPr="003E2C69">
              <w:rPr>
                <w:rFonts w:asciiTheme="minorHAnsi" w:hAnsiTheme="minorHAnsi" w:cstheme="minorHAnsi"/>
                <w:sz w:val="20"/>
                <w:szCs w:val="20"/>
              </w:rPr>
              <w:fldChar w:fldCharType="end"/>
            </w:r>
          </w:p>
        </w:tc>
      </w:tr>
      <w:tr w:rsidR="003E2C69" w:rsidRPr="003E2C69" w14:paraId="3454E652" w14:textId="77777777" w:rsidTr="0073540C">
        <w:tc>
          <w:tcPr>
            <w:tcW w:w="0" w:type="auto"/>
            <w:vAlign w:val="center"/>
          </w:tcPr>
          <w:p w14:paraId="421805FD"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3</w:t>
            </w:r>
          </w:p>
        </w:tc>
        <w:tc>
          <w:tcPr>
            <w:tcW w:w="0" w:type="auto"/>
          </w:tcPr>
          <w:p w14:paraId="2EAAA011"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 xml:space="preserve">A Phase 2, randomized, open label, parallel arm study to evaluate the safety and efficacy of </w:t>
            </w:r>
            <w:proofErr w:type="spellStart"/>
            <w:r w:rsidRPr="003E2C69">
              <w:rPr>
                <w:rFonts w:asciiTheme="minorHAnsi" w:hAnsiTheme="minorHAnsi" w:cstheme="minorHAnsi"/>
                <w:sz w:val="20"/>
                <w:szCs w:val="20"/>
              </w:rPr>
              <w:t>rAd</w:t>
            </w:r>
            <w:proofErr w:type="spellEnd"/>
            <w:r w:rsidRPr="003E2C69">
              <w:rPr>
                <w:rFonts w:asciiTheme="minorHAnsi" w:hAnsiTheme="minorHAnsi" w:cstheme="minorHAnsi"/>
                <w:sz w:val="20"/>
                <w:szCs w:val="20"/>
              </w:rPr>
              <w:t xml:space="preserve">-IFN/Syn3 following intravesical administration in subjects with high grade, BCG </w:t>
            </w:r>
            <w:r w:rsidRPr="003E2C69">
              <w:rPr>
                <w:rFonts w:asciiTheme="minorHAnsi" w:hAnsiTheme="minorHAnsi" w:cstheme="minorHAnsi"/>
                <w:sz w:val="20"/>
                <w:szCs w:val="20"/>
              </w:rPr>
              <w:lastRenderedPageBreak/>
              <w:t>refractory or relapsed superficial bladder cancer</w:t>
            </w:r>
          </w:p>
        </w:tc>
        <w:tc>
          <w:tcPr>
            <w:tcW w:w="0" w:type="auto"/>
          </w:tcPr>
          <w:p w14:paraId="62CB67E4"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lastRenderedPageBreak/>
              <w:t>40</w:t>
            </w:r>
          </w:p>
        </w:tc>
        <w:tc>
          <w:tcPr>
            <w:tcW w:w="0" w:type="auto"/>
          </w:tcPr>
          <w:p w14:paraId="305D8D1E"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97.5% patients experienced at least one AE, with slightly more AEs in the 3×10</w:t>
            </w:r>
            <w:r w:rsidRPr="003E2C69">
              <w:rPr>
                <w:rFonts w:asciiTheme="minorHAnsi" w:hAnsiTheme="minorHAnsi" w:cstheme="minorHAnsi"/>
                <w:sz w:val="20"/>
                <w:szCs w:val="20"/>
                <w:vertAlign w:val="superscript"/>
              </w:rPr>
              <w:t>11</w:t>
            </w:r>
            <w:r w:rsidRPr="003E2C69">
              <w:rPr>
                <w:rFonts w:asciiTheme="minorHAnsi" w:hAnsiTheme="minorHAnsi" w:cstheme="minorHAnsi"/>
                <w:sz w:val="20"/>
                <w:szCs w:val="20"/>
              </w:rPr>
              <w:t xml:space="preserve"> </w:t>
            </w:r>
            <w:proofErr w:type="spellStart"/>
            <w:r w:rsidRPr="003E2C69">
              <w:rPr>
                <w:rFonts w:asciiTheme="minorHAnsi" w:hAnsiTheme="minorHAnsi" w:cstheme="minorHAnsi"/>
                <w:sz w:val="20"/>
                <w:szCs w:val="20"/>
              </w:rPr>
              <w:t>vp</w:t>
            </w:r>
            <w:proofErr w:type="spellEnd"/>
            <w:r w:rsidRPr="003E2C69">
              <w:rPr>
                <w:rFonts w:asciiTheme="minorHAnsi" w:hAnsiTheme="minorHAnsi" w:cstheme="minorHAnsi"/>
                <w:sz w:val="20"/>
                <w:szCs w:val="20"/>
              </w:rPr>
              <w:t>/mL dose group compared to the 1×10</w:t>
            </w:r>
            <w:r w:rsidRPr="003E2C69">
              <w:rPr>
                <w:rFonts w:asciiTheme="minorHAnsi" w:hAnsiTheme="minorHAnsi" w:cstheme="minorHAnsi"/>
                <w:sz w:val="20"/>
                <w:szCs w:val="20"/>
                <w:vertAlign w:val="superscript"/>
              </w:rPr>
              <w:t>11</w:t>
            </w:r>
            <w:r w:rsidRPr="003E2C69">
              <w:rPr>
                <w:rFonts w:asciiTheme="minorHAnsi" w:hAnsiTheme="minorHAnsi" w:cstheme="minorHAnsi"/>
                <w:sz w:val="20"/>
                <w:szCs w:val="20"/>
              </w:rPr>
              <w:t xml:space="preserve"> </w:t>
            </w:r>
            <w:proofErr w:type="spellStart"/>
            <w:r w:rsidRPr="003E2C69">
              <w:rPr>
                <w:rFonts w:asciiTheme="minorHAnsi" w:hAnsiTheme="minorHAnsi" w:cstheme="minorHAnsi"/>
                <w:sz w:val="20"/>
                <w:szCs w:val="20"/>
              </w:rPr>
              <w:t>vp</w:t>
            </w:r>
            <w:proofErr w:type="spellEnd"/>
            <w:r w:rsidRPr="003E2C69">
              <w:rPr>
                <w:rFonts w:asciiTheme="minorHAnsi" w:hAnsiTheme="minorHAnsi" w:cstheme="minorHAnsi"/>
                <w:sz w:val="20"/>
                <w:szCs w:val="20"/>
              </w:rPr>
              <w:t>/mL dose group. Most AEs were Grade 2 or lower, while 9 patients (22.5%) had AEs of Grade 3. There were no Grade 4 or 5 events.</w:t>
            </w:r>
          </w:p>
        </w:tc>
        <w:tc>
          <w:tcPr>
            <w:tcW w:w="0" w:type="auto"/>
          </w:tcPr>
          <w:p w14:paraId="0FFB71F9" w14:textId="77777777" w:rsidR="00180ABB" w:rsidRPr="003E2C69" w:rsidRDefault="00180ABB" w:rsidP="0073540C">
            <w:pPr>
              <w:spacing w:before="40" w:after="40"/>
              <w:rPr>
                <w:sz w:val="20"/>
                <w:szCs w:val="20"/>
              </w:rPr>
            </w:pPr>
            <w:hyperlink r:id="rId37" w:history="1">
              <w:r w:rsidRPr="003E2C69">
                <w:rPr>
                  <w:rStyle w:val="Hyperlink"/>
                  <w:rFonts w:asciiTheme="minorHAnsi" w:hAnsiTheme="minorHAnsi" w:cstheme="minorHAnsi"/>
                  <w:sz w:val="20"/>
                  <w:szCs w:val="20"/>
                </w:rPr>
                <w:t>NCT01687244</w:t>
              </w:r>
            </w:hyperlink>
          </w:p>
          <w:p w14:paraId="3C50082B" w14:textId="77777777" w:rsidR="00180ABB" w:rsidRPr="003E2C69" w:rsidRDefault="00180ABB" w:rsidP="0073540C">
            <w:pPr>
              <w:spacing w:before="40" w:after="40"/>
              <w:rPr>
                <w:rFonts w:cstheme="minorHAnsi"/>
                <w:sz w:val="20"/>
                <w:szCs w:val="20"/>
              </w:rPr>
            </w:pPr>
          </w:p>
          <w:p w14:paraId="655621A0" w14:textId="347790C8"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3E2C69">
              <w:rPr>
                <w:rFonts w:asciiTheme="minorHAnsi" w:hAnsiTheme="minorHAnsi" w:cstheme="minorHAnsi"/>
                <w:sz w:val="20"/>
                <w:szCs w:val="20"/>
              </w:rPr>
              <w:instrText xml:space="preserve"> ADDIN EN.CITE </w:instrText>
            </w:r>
            <w:r w:rsidRPr="003E2C69">
              <w:rPr>
                <w:rFonts w:asciiTheme="minorHAnsi"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3E2C69">
              <w:rPr>
                <w:rFonts w:asciiTheme="minorHAnsi" w:hAnsiTheme="minorHAnsi" w:cstheme="minorHAnsi"/>
                <w:sz w:val="20"/>
                <w:szCs w:val="20"/>
              </w:rPr>
              <w:instrText xml:space="preserve"> ADDIN EN.CITE.DATA </w:instrText>
            </w:r>
            <w:r w:rsidRPr="003E2C69">
              <w:rPr>
                <w:rFonts w:asciiTheme="minorHAnsi" w:hAnsiTheme="minorHAnsi" w:cstheme="minorHAnsi"/>
                <w:sz w:val="20"/>
                <w:szCs w:val="20"/>
              </w:rPr>
            </w:r>
            <w:r w:rsidRPr="003E2C69">
              <w:rPr>
                <w:rFonts w:asciiTheme="minorHAnsi" w:hAnsiTheme="minorHAnsi" w:cstheme="minorHAnsi"/>
                <w:sz w:val="20"/>
                <w:szCs w:val="20"/>
              </w:rPr>
              <w:fldChar w:fldCharType="end"/>
            </w:r>
            <w:r w:rsidRPr="003E2C69">
              <w:rPr>
                <w:rFonts w:asciiTheme="minorHAnsi" w:hAnsiTheme="minorHAnsi" w:cstheme="minorHAnsi"/>
                <w:sz w:val="20"/>
                <w:szCs w:val="20"/>
              </w:rPr>
            </w:r>
            <w:r w:rsidRPr="003E2C69">
              <w:rPr>
                <w:rFonts w:asciiTheme="minorHAnsi" w:hAnsiTheme="minorHAnsi" w:cstheme="minorHAnsi"/>
                <w:sz w:val="20"/>
                <w:szCs w:val="20"/>
              </w:rPr>
              <w:fldChar w:fldCharType="separate"/>
            </w:r>
            <w:r w:rsidRPr="003E2C69">
              <w:rPr>
                <w:rFonts w:asciiTheme="minorHAnsi" w:hAnsiTheme="minorHAnsi" w:cstheme="minorHAnsi"/>
                <w:noProof/>
                <w:sz w:val="20"/>
                <w:szCs w:val="20"/>
              </w:rPr>
              <w:t>(</w:t>
            </w:r>
            <w:hyperlink w:anchor="_ENREF_85" w:tooltip="Shore, 2017 #37" w:history="1">
              <w:r w:rsidR="0027195B" w:rsidRPr="003E2C69">
                <w:rPr>
                  <w:rFonts w:asciiTheme="minorHAnsi" w:hAnsiTheme="minorHAnsi" w:cstheme="minorHAnsi"/>
                  <w:noProof/>
                  <w:sz w:val="20"/>
                  <w:szCs w:val="20"/>
                </w:rPr>
                <w:t>Shore et al., 2017</w:t>
              </w:r>
            </w:hyperlink>
            <w:r w:rsidRPr="003E2C69">
              <w:rPr>
                <w:rFonts w:asciiTheme="minorHAnsi" w:hAnsiTheme="minorHAnsi" w:cstheme="minorHAnsi"/>
                <w:noProof/>
                <w:sz w:val="20"/>
                <w:szCs w:val="20"/>
              </w:rPr>
              <w:t>)</w:t>
            </w:r>
            <w:r w:rsidRPr="003E2C69">
              <w:rPr>
                <w:rFonts w:asciiTheme="minorHAnsi" w:hAnsiTheme="minorHAnsi" w:cstheme="minorHAnsi"/>
                <w:sz w:val="20"/>
                <w:szCs w:val="20"/>
              </w:rPr>
              <w:fldChar w:fldCharType="end"/>
            </w:r>
          </w:p>
        </w:tc>
      </w:tr>
      <w:tr w:rsidR="003E2C69" w:rsidRPr="003E2C69" w14:paraId="16032BE4" w14:textId="77777777" w:rsidTr="0073540C">
        <w:tc>
          <w:tcPr>
            <w:tcW w:w="0" w:type="auto"/>
            <w:vAlign w:val="center"/>
          </w:tcPr>
          <w:p w14:paraId="3814A08C"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4</w:t>
            </w:r>
          </w:p>
        </w:tc>
        <w:tc>
          <w:tcPr>
            <w:tcW w:w="0" w:type="auto"/>
          </w:tcPr>
          <w:p w14:paraId="0A5FDCA6"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A Phase III, open label study to evaluate the safety and efficacy of INSTILADRIN® (</w:t>
            </w:r>
            <w:proofErr w:type="spellStart"/>
            <w:r w:rsidRPr="003E2C69">
              <w:rPr>
                <w:rFonts w:asciiTheme="minorHAnsi" w:hAnsiTheme="minorHAnsi" w:cstheme="minorHAnsi"/>
                <w:sz w:val="20"/>
                <w:szCs w:val="20"/>
              </w:rPr>
              <w:t>rAd</w:t>
            </w:r>
            <w:proofErr w:type="spellEnd"/>
            <w:r w:rsidRPr="003E2C69">
              <w:rPr>
                <w:rFonts w:asciiTheme="minorHAnsi" w:hAnsiTheme="minorHAnsi" w:cstheme="minorHAnsi"/>
                <w:sz w:val="20"/>
                <w:szCs w:val="20"/>
              </w:rPr>
              <w:t xml:space="preserve">-IFN)/Syn3) administered </w:t>
            </w:r>
            <w:proofErr w:type="spellStart"/>
            <w:r w:rsidRPr="003E2C69">
              <w:rPr>
                <w:rFonts w:asciiTheme="minorHAnsi" w:hAnsiTheme="minorHAnsi" w:cstheme="minorHAnsi"/>
                <w:sz w:val="20"/>
                <w:szCs w:val="20"/>
              </w:rPr>
              <w:t>intravesically</w:t>
            </w:r>
            <w:proofErr w:type="spellEnd"/>
            <w:r w:rsidRPr="003E2C69">
              <w:rPr>
                <w:rFonts w:asciiTheme="minorHAnsi" w:hAnsiTheme="minorHAnsi" w:cstheme="minorHAnsi"/>
                <w:sz w:val="20"/>
                <w:szCs w:val="20"/>
              </w:rPr>
              <w:t xml:space="preserve"> to patients with high-grade, BCG unresponsive non-muscle invasive bladder cancer (NMIBC)</w:t>
            </w:r>
          </w:p>
        </w:tc>
        <w:tc>
          <w:tcPr>
            <w:tcW w:w="0" w:type="auto"/>
          </w:tcPr>
          <w:p w14:paraId="1AA09237" w14:textId="77777777" w:rsidR="00180ABB" w:rsidRPr="003E2C69" w:rsidRDefault="00180ABB" w:rsidP="0073540C">
            <w:pPr>
              <w:spacing w:before="40" w:after="40"/>
              <w:rPr>
                <w:rFonts w:asciiTheme="minorHAnsi" w:hAnsiTheme="minorHAnsi" w:cstheme="minorHAnsi"/>
                <w:sz w:val="20"/>
                <w:szCs w:val="20"/>
                <w:vertAlign w:val="subscript"/>
              </w:rPr>
            </w:pPr>
            <w:r w:rsidRPr="003E2C69">
              <w:rPr>
                <w:rFonts w:asciiTheme="minorHAnsi" w:hAnsiTheme="minorHAnsi" w:cstheme="minorHAnsi"/>
                <w:sz w:val="20"/>
                <w:szCs w:val="20"/>
              </w:rPr>
              <w:t>157</w:t>
            </w:r>
          </w:p>
        </w:tc>
        <w:tc>
          <w:tcPr>
            <w:tcW w:w="0" w:type="auto"/>
          </w:tcPr>
          <w:p w14:paraId="1D160D84"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93.0% patients experienced an AE. Most AEs were Grade 2 or lower, while 31 patients (19.7%) and 3 patients (1.9%) had AEs of Grade 3 and 4, respectively. GMO-related AEs occurred in 70.7% of patients; 6 (3.8%) patients had a GMO-related Grade 3 AE. No GMO-related Grade 4 or 5 AEs were reported.</w:t>
            </w:r>
          </w:p>
        </w:tc>
        <w:tc>
          <w:tcPr>
            <w:tcW w:w="0" w:type="auto"/>
          </w:tcPr>
          <w:p w14:paraId="72114A01" w14:textId="77777777" w:rsidR="00180ABB" w:rsidRPr="003E2C69" w:rsidRDefault="00180ABB" w:rsidP="0073540C">
            <w:pPr>
              <w:spacing w:before="40" w:after="40"/>
              <w:rPr>
                <w:sz w:val="20"/>
                <w:szCs w:val="20"/>
              </w:rPr>
            </w:pPr>
            <w:hyperlink r:id="rId38" w:history="1">
              <w:r w:rsidRPr="003E2C69">
                <w:rPr>
                  <w:rStyle w:val="Hyperlink"/>
                  <w:rFonts w:asciiTheme="minorHAnsi" w:hAnsiTheme="minorHAnsi" w:cstheme="minorHAnsi"/>
                  <w:sz w:val="20"/>
                  <w:szCs w:val="20"/>
                </w:rPr>
                <w:t>NCT02773849</w:t>
              </w:r>
            </w:hyperlink>
          </w:p>
          <w:p w14:paraId="1C510C64" w14:textId="77777777" w:rsidR="00180ABB" w:rsidRPr="003E2C69" w:rsidRDefault="00180ABB" w:rsidP="0073540C">
            <w:pPr>
              <w:spacing w:before="40" w:after="40"/>
              <w:rPr>
                <w:rFonts w:cstheme="minorHAnsi"/>
                <w:sz w:val="20"/>
                <w:szCs w:val="20"/>
              </w:rPr>
            </w:pPr>
          </w:p>
          <w:p w14:paraId="6C550DE6" w14:textId="52E4A59A"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fldChar w:fldCharType="begin">
                <w:fldData xml:space="preserve">PEVuZE5vdGU+PENpdGU+PEF1dGhvcj5Cb29yamlhbjwvQXV0aG9yPjxZZWFyPjIwMjE8L1llYXI+
PFJlY051bT4xMzwvUmVjTnVtPjxEaXNwbGF5VGV4dD4oQm9vcmppYW4gZXQgYWwuLCAyMDIxKTwv
RGlzcGxheVRleHQ+PHJlY29yZD48cmVjLW51bWJlcj4xMzwvcmVjLW51bWJlcj48Zm9yZWlnbi1r
ZXlzPjxrZXkgYXBwPSJFTiIgZGItaWQ9ImRwYXNlMmUyb3o1cndjZTlhenNwcDk1bmY5eHZzd3hw
MnJ2ZCIgdGltZXN0YW1wPSIxNzY1MjQzNjQ3Ij4xMzwva2V5PjwvZm9yZWlnbi1rZXlzPjxyZWYt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005B0F2F" w:rsidRPr="003E2C69">
              <w:rPr>
                <w:rFonts w:asciiTheme="minorHAnsi" w:hAnsiTheme="minorHAnsi" w:cstheme="minorHAnsi"/>
                <w:sz w:val="20"/>
                <w:szCs w:val="20"/>
              </w:rPr>
              <w:instrText xml:space="preserve"> ADDIN EN.CITE </w:instrText>
            </w:r>
            <w:r w:rsidR="005B0F2F" w:rsidRPr="003E2C69">
              <w:rPr>
                <w:rFonts w:asciiTheme="minorHAnsi" w:hAnsiTheme="minorHAnsi" w:cstheme="minorHAnsi"/>
                <w:sz w:val="20"/>
                <w:szCs w:val="20"/>
              </w:rPr>
              <w:fldChar w:fldCharType="begin">
                <w:fldData xml:space="preserve">PEVuZE5vdGU+PENpdGU+PEF1dGhvcj5Cb29yamlhbjwvQXV0aG9yPjxZZWFyPjIwMjE8L1llYXI+
PFJlY051bT4xMzwvUmVjTnVtPjxEaXNwbGF5VGV4dD4oQm9vcmppYW4gZXQgYWwuLCAyMDIxKTwv
RGlzcGxheVRleHQ+PHJlY29yZD48cmVjLW51bWJlcj4xMzwvcmVjLW51bWJlcj48Zm9yZWlnbi1r
ZXlzPjxrZXkgYXBwPSJFTiIgZGItaWQ9ImRwYXNlMmUyb3o1cndjZTlhenNwcDk1bmY5eHZzd3hw
MnJ2ZCIgdGltZXN0YW1wPSIxNzY1MjQzNjQ3Ij4xMzwva2V5PjwvZm9yZWlnbi1rZXlzPjxyZWYt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005B0F2F" w:rsidRPr="003E2C69">
              <w:rPr>
                <w:rFonts w:asciiTheme="minorHAnsi" w:hAnsiTheme="minorHAnsi" w:cstheme="minorHAnsi"/>
                <w:sz w:val="20"/>
                <w:szCs w:val="20"/>
              </w:rPr>
              <w:instrText xml:space="preserve"> ADDIN EN.CITE.DATA </w:instrText>
            </w:r>
            <w:r w:rsidR="005B0F2F" w:rsidRPr="003E2C69">
              <w:rPr>
                <w:rFonts w:asciiTheme="minorHAnsi" w:hAnsiTheme="minorHAnsi" w:cstheme="minorHAnsi"/>
                <w:sz w:val="20"/>
                <w:szCs w:val="20"/>
              </w:rPr>
            </w:r>
            <w:r w:rsidR="005B0F2F" w:rsidRPr="003E2C69">
              <w:rPr>
                <w:rFonts w:asciiTheme="minorHAnsi" w:hAnsiTheme="minorHAnsi" w:cstheme="minorHAnsi"/>
                <w:sz w:val="20"/>
                <w:szCs w:val="20"/>
              </w:rPr>
              <w:fldChar w:fldCharType="end"/>
            </w:r>
            <w:r w:rsidRPr="003E2C69">
              <w:rPr>
                <w:rFonts w:asciiTheme="minorHAnsi" w:hAnsiTheme="minorHAnsi" w:cstheme="minorHAnsi"/>
                <w:sz w:val="20"/>
                <w:szCs w:val="20"/>
              </w:rPr>
            </w:r>
            <w:r w:rsidRPr="003E2C69">
              <w:rPr>
                <w:rFonts w:asciiTheme="minorHAnsi" w:hAnsiTheme="minorHAnsi" w:cstheme="minorHAnsi"/>
                <w:sz w:val="20"/>
                <w:szCs w:val="20"/>
              </w:rPr>
              <w:fldChar w:fldCharType="separate"/>
            </w:r>
            <w:r w:rsidRPr="003E2C69">
              <w:rPr>
                <w:rFonts w:asciiTheme="minorHAnsi" w:hAnsiTheme="minorHAnsi" w:cstheme="minorHAnsi"/>
                <w:noProof/>
                <w:sz w:val="20"/>
                <w:szCs w:val="20"/>
              </w:rPr>
              <w:t>(</w:t>
            </w:r>
            <w:hyperlink w:anchor="_ENREF_12" w:tooltip="Boorjian, 2021 #13" w:history="1">
              <w:r w:rsidR="0027195B" w:rsidRPr="003E2C69">
                <w:rPr>
                  <w:rFonts w:asciiTheme="minorHAnsi" w:hAnsiTheme="minorHAnsi" w:cstheme="minorHAnsi"/>
                  <w:noProof/>
                  <w:sz w:val="20"/>
                  <w:szCs w:val="20"/>
                </w:rPr>
                <w:t>Boorjian et al., 2021</w:t>
              </w:r>
            </w:hyperlink>
            <w:r w:rsidRPr="003E2C69">
              <w:rPr>
                <w:rFonts w:asciiTheme="minorHAnsi" w:hAnsiTheme="minorHAnsi" w:cstheme="minorHAnsi"/>
                <w:noProof/>
                <w:sz w:val="20"/>
                <w:szCs w:val="20"/>
              </w:rPr>
              <w:t>)</w:t>
            </w:r>
            <w:r w:rsidRPr="003E2C69">
              <w:rPr>
                <w:rFonts w:asciiTheme="minorHAnsi" w:hAnsiTheme="minorHAnsi" w:cstheme="minorHAnsi"/>
                <w:sz w:val="20"/>
                <w:szCs w:val="20"/>
              </w:rPr>
              <w:fldChar w:fldCharType="end"/>
            </w:r>
          </w:p>
        </w:tc>
      </w:tr>
    </w:tbl>
    <w:p w14:paraId="0C54C655" w14:textId="12B77CB5" w:rsidR="00180ABB" w:rsidRPr="00B20E17" w:rsidRDefault="00180ABB" w:rsidP="00180ABB">
      <w:pPr>
        <w:pStyle w:val="RARMPnumberedparagraphs"/>
        <w:numPr>
          <w:ilvl w:val="0"/>
          <w:numId w:val="0"/>
        </w:numPr>
        <w:rPr>
          <w:sz w:val="20"/>
          <w:szCs w:val="20"/>
        </w:rPr>
      </w:pPr>
      <w:r w:rsidRPr="00B20E17">
        <w:rPr>
          <w:sz w:val="20"/>
          <w:szCs w:val="20"/>
        </w:rPr>
        <w:t xml:space="preserve">*Based on </w:t>
      </w:r>
      <w:hyperlink r:id="rId39" w:history="1">
        <w:r w:rsidRPr="00B20E17">
          <w:rPr>
            <w:rStyle w:val="Hyperlink"/>
            <w:sz w:val="20"/>
            <w:szCs w:val="20"/>
          </w:rPr>
          <w:t>Common Terminology Criteria for Adverse Events (CTCAE)</w:t>
        </w:r>
      </w:hyperlink>
      <w:r w:rsidRPr="00B20E17">
        <w:rPr>
          <w:sz w:val="20"/>
          <w:szCs w:val="20"/>
        </w:rPr>
        <w:t>: Grade 1 - Mild; Grade 2 -  Moderate; Grade 3 - Severe or medically significant but not immediately life-threatening; Grade 4 - Life-threatening consequences; Grade 5 - Death.</w:t>
      </w:r>
    </w:p>
    <w:p w14:paraId="2D903306" w14:textId="26A9D65A" w:rsidR="00180ABB" w:rsidRPr="003E2C69" w:rsidRDefault="00180ABB" w:rsidP="00180ABB">
      <w:pPr>
        <w:pStyle w:val="RARMPnumberedparagraphs"/>
      </w:pPr>
      <w:r w:rsidRPr="003E2C69">
        <w:t>The Phase 1 trial assessed the safety, tolerability, and maximum tolerated dose (MTD) of the intravesical administered GMO in patients with transitional cell carcinoma of the bladder. No dose limiting toxicity was identified, and no significant GMO-related adverse events were observed. Therefore, the MTD was not reached in this trial and therefore the 2 highest doses (1×10</w:t>
      </w:r>
      <w:r w:rsidRPr="003E2C69">
        <w:rPr>
          <w:vertAlign w:val="superscript"/>
        </w:rPr>
        <w:t>11</w:t>
      </w:r>
      <w:r w:rsidRPr="003E2C69">
        <w:t xml:space="preserve"> </w:t>
      </w:r>
      <w:proofErr w:type="spellStart"/>
      <w:r w:rsidRPr="003E2C69">
        <w:t>vp</w:t>
      </w:r>
      <w:proofErr w:type="spellEnd"/>
      <w:r w:rsidRPr="003E2C69">
        <w:t>/mL and 3×10</w:t>
      </w:r>
      <w:r w:rsidRPr="003E2C69">
        <w:rPr>
          <w:vertAlign w:val="superscript"/>
        </w:rPr>
        <w:t>11</w:t>
      </w:r>
      <w:r w:rsidRPr="003E2C69">
        <w:t xml:space="preserve"> </w:t>
      </w:r>
      <w:proofErr w:type="spellStart"/>
      <w:r w:rsidRPr="003E2C69">
        <w:t>vp</w:t>
      </w:r>
      <w:proofErr w:type="spellEnd"/>
      <w:r w:rsidRPr="003E2C69">
        <w:t>/mL) were selected for the Phase 2 trial. qPCR analysis of blood samples showed no GMO</w:t>
      </w:r>
      <w:r w:rsidRPr="003E2C69">
        <w:noBreakHyphen/>
        <w:t>specific DNA detected in any samples collected</w:t>
      </w:r>
      <w:r w:rsidR="00E1448A" w:rsidRPr="00E1448A">
        <w:t xml:space="preserve"> at 2, 6 and 72 hours post dose </w:t>
      </w:r>
      <w:r w:rsidRPr="003E2C69">
        <w:t>from the 17 patients. The presence of GMO</w:t>
      </w:r>
      <w:r w:rsidRPr="003E2C69">
        <w:noBreakHyphen/>
        <w:t>derived DNA was also assessed in urine using qPCR. Generally, a higher frequency of detection of samples positive for GMO-derived DNA and persistence of presence correlated with increase in dose level with correspondingly more quantifiable samples at higher doses. At the highest dose concentration of 3 × 10</w:t>
      </w:r>
      <w:r w:rsidRPr="003E2C69">
        <w:rPr>
          <w:vertAlign w:val="superscript"/>
        </w:rPr>
        <w:t>11</w:t>
      </w:r>
      <w:r w:rsidRPr="003E2C69">
        <w:t xml:space="preserve"> </w:t>
      </w:r>
      <w:proofErr w:type="spellStart"/>
      <w:r w:rsidRPr="003E2C69">
        <w:t>vp</w:t>
      </w:r>
      <w:proofErr w:type="spellEnd"/>
      <w:r w:rsidRPr="003E2C69">
        <w:t>/mL, quantifiable DNA in urine was noted up to Day 3 in 3 of 4 patients, with detectable levels of DNA in urine persisting up to Day 14. Detection of DNA by qPCR does not necessarily indicate the presence of intact GMO in urine. Infectivity assessment of qPCR-positive samples was not performed.</w:t>
      </w:r>
    </w:p>
    <w:p w14:paraId="10023184" w14:textId="77777777" w:rsidR="00180ABB" w:rsidRPr="003E2C69" w:rsidRDefault="00180ABB" w:rsidP="00180ABB">
      <w:pPr>
        <w:pStyle w:val="RARMPnumberedparagraphs"/>
      </w:pPr>
      <w:r w:rsidRPr="003E2C69">
        <w:t>The Phase 1b trial assessed safety and tolerability of 2 intravesical administrations of the GMO (dose of 3×10</w:t>
      </w:r>
      <w:r w:rsidRPr="003E2C69">
        <w:rPr>
          <w:vertAlign w:val="superscript"/>
        </w:rPr>
        <w:t>11</w:t>
      </w:r>
      <w:r w:rsidRPr="003E2C69">
        <w:t xml:space="preserve"> </w:t>
      </w:r>
      <w:proofErr w:type="spellStart"/>
      <w:r w:rsidRPr="003E2C69">
        <w:t>vp</w:t>
      </w:r>
      <w:proofErr w:type="spellEnd"/>
      <w:r w:rsidRPr="003E2C69">
        <w:t>/mL) in patients with BCG-refractory NMIBC. It showed that treatment was generally well tolerated and a second instillation on Day 4 did not have any notable benefits for sustained IFN</w:t>
      </w:r>
      <w:r w:rsidRPr="003E2C69">
        <w:noBreakHyphen/>
        <w:t>α2b protein synthesis.</w:t>
      </w:r>
    </w:p>
    <w:p w14:paraId="3F32619B" w14:textId="3E9F2F27" w:rsidR="00180ABB" w:rsidRPr="003E2C69" w:rsidRDefault="00180ABB" w:rsidP="00180ABB">
      <w:pPr>
        <w:pStyle w:val="RARMPnumberedparagraphs"/>
      </w:pPr>
      <w:r w:rsidRPr="003E2C69">
        <w:t>The Phase 2 trial evaluated safety and efficacy in patients with high-grade BCG-refractory or relapsed NMIBC at two dose levels (1×10</w:t>
      </w:r>
      <w:r w:rsidRPr="003E2C69">
        <w:rPr>
          <w:vertAlign w:val="superscript"/>
        </w:rPr>
        <w:t>11</w:t>
      </w:r>
      <w:r w:rsidRPr="003E2C69">
        <w:t xml:space="preserve"> </w:t>
      </w:r>
      <w:proofErr w:type="spellStart"/>
      <w:r w:rsidRPr="003E2C69">
        <w:t>vp</w:t>
      </w:r>
      <w:proofErr w:type="spellEnd"/>
      <w:r w:rsidRPr="003E2C69">
        <w:t>/mL and 3×10</w:t>
      </w:r>
      <w:r w:rsidRPr="003E2C69">
        <w:rPr>
          <w:vertAlign w:val="superscript"/>
        </w:rPr>
        <w:t>11</w:t>
      </w:r>
      <w:r w:rsidRPr="003E2C69">
        <w:t xml:space="preserve"> </w:t>
      </w:r>
      <w:proofErr w:type="spellStart"/>
      <w:r w:rsidRPr="003E2C69">
        <w:t>vp</w:t>
      </w:r>
      <w:proofErr w:type="spellEnd"/>
      <w:r w:rsidRPr="003E2C69">
        <w:t>/mL). The 3×10</w:t>
      </w:r>
      <w:r w:rsidRPr="003E2C69">
        <w:rPr>
          <w:vertAlign w:val="superscript"/>
        </w:rPr>
        <w:t>11</w:t>
      </w:r>
      <w:r w:rsidRPr="003E2C69">
        <w:t xml:space="preserve"> </w:t>
      </w:r>
      <w:proofErr w:type="spellStart"/>
      <w:r w:rsidRPr="003E2C69">
        <w:t>vp</w:t>
      </w:r>
      <w:proofErr w:type="spellEnd"/>
      <w:r w:rsidRPr="003E2C69">
        <w:t>/mL dose, administered every 3 months, showed numerically higher efficacy and was well tolerated. None of the 40 patients that received their initial dose had measurable GMO DNA in their blood</w:t>
      </w:r>
      <w:r w:rsidR="00C514DE">
        <w:t xml:space="preserve"> samples collected </w:t>
      </w:r>
      <w:proofErr w:type="gramStart"/>
      <w:r w:rsidR="00C514DE" w:rsidRPr="00C514DE">
        <w:t>2, 4 and 12</w:t>
      </w:r>
      <w:r w:rsidR="00C514DE">
        <w:t xml:space="preserve"> days</w:t>
      </w:r>
      <w:proofErr w:type="gramEnd"/>
      <w:r w:rsidR="00C514DE">
        <w:t xml:space="preserve"> post dose</w:t>
      </w:r>
      <w:r w:rsidRPr="003E2C69">
        <w:t xml:space="preserve">. Of the 23 patients receiving a second dose at month 4 day 1, one patient had a positive test result for the GMO DNA in blood </w:t>
      </w:r>
      <w:r w:rsidR="00C514DE">
        <w:t xml:space="preserve">at day 2 </w:t>
      </w:r>
      <w:r w:rsidRPr="003E2C69">
        <w:t xml:space="preserve">following the second dose. All 40 patients had measurable amounts of </w:t>
      </w:r>
      <w:bookmarkStart w:id="227" w:name="_Hlk194853178"/>
      <w:r w:rsidRPr="003E2C69">
        <w:t xml:space="preserve">the GMO </w:t>
      </w:r>
      <w:bookmarkEnd w:id="227"/>
      <w:r w:rsidRPr="003E2C69">
        <w:t xml:space="preserve">DNA in urine after their initial dose. The number of patients with GMO DNA in urine slightly declined to 33 patients (84.6%) at month 1 day 12. Of 23 patients receiving dose 2, pre-dose levels of 20 patients (87.0%) were negative for the GMO </w:t>
      </w:r>
      <w:proofErr w:type="gramStart"/>
      <w:r w:rsidRPr="003E2C69">
        <w:t>DNA</w:t>
      </w:r>
      <w:proofErr w:type="gramEnd"/>
      <w:r w:rsidRPr="003E2C69">
        <w:t xml:space="preserve"> and 3 patients (13.0%) had measurable GMO DNA in urine resulting from the first dose. At month 4 day 4, 19 patients (90.5%) receiving dose 2 had GMO DNA in urine but this dropped to 6 patients (28.6%) by month 4 day 12.</w:t>
      </w:r>
    </w:p>
    <w:p w14:paraId="0AD74A2F" w14:textId="35B13A71" w:rsidR="00180ABB" w:rsidRPr="003E2C69" w:rsidRDefault="00180ABB" w:rsidP="00180ABB">
      <w:pPr>
        <w:pStyle w:val="RARMPnumberedparagraphs"/>
      </w:pPr>
      <w:r w:rsidRPr="003E2C69">
        <w:t xml:space="preserve">The Phase 3 trial </w:t>
      </w:r>
      <w:r w:rsidR="00EB1317" w:rsidRPr="003E2C69">
        <w:t>focus</w:t>
      </w:r>
      <w:r w:rsidR="00EB1317">
        <w:t xml:space="preserve">ed </w:t>
      </w:r>
      <w:r w:rsidRPr="003E2C69">
        <w:t>on confirming the safety and efficacy of the 3×10</w:t>
      </w:r>
      <w:r w:rsidRPr="003E2C69">
        <w:rPr>
          <w:vertAlign w:val="superscript"/>
        </w:rPr>
        <w:t>11</w:t>
      </w:r>
      <w:r w:rsidRPr="003E2C69">
        <w:t xml:space="preserve"> </w:t>
      </w:r>
      <w:proofErr w:type="spellStart"/>
      <w:r w:rsidRPr="003E2C69">
        <w:t>vp</w:t>
      </w:r>
      <w:proofErr w:type="spellEnd"/>
      <w:r w:rsidRPr="003E2C69">
        <w:t>/mL dose of intravesical administered GMO in high-grade BCG-unresponsive NMIBC. It measured the complete response rate in patients with CIS and secondary outcomes such as duration of complete response and high-grade recurrence-free survival or patients with papillary disease.</w:t>
      </w:r>
    </w:p>
    <w:p w14:paraId="00459C82" w14:textId="77777777" w:rsidR="00180ABB" w:rsidRPr="003E2C69" w:rsidRDefault="00180ABB" w:rsidP="00180ABB">
      <w:pPr>
        <w:pStyle w:val="RARMPnumberedparagraphs"/>
      </w:pPr>
      <w:r w:rsidRPr="003E2C69">
        <w:lastRenderedPageBreak/>
        <w:t>The safety of the GMO was also evaluated in the Phase 2 and Phase 3 trials with AEs recorded as shown in Table 1. The most frequently reported AEs (occurring in ≥10% of patients overall) in these trials were micturition urgency, dysuria, fatigue, pollakiuria, haematuria, nocturia, urinary tract infection, pyrexia, chills, nausea, diarrhoea, and urinary incontinence. No GMO-related Grade 4 or 5 AEs were reported.</w:t>
      </w:r>
    </w:p>
    <w:p w14:paraId="232FAC62" w14:textId="0991D9E2" w:rsidR="00180ABB" w:rsidRPr="003E2C69" w:rsidRDefault="00180ABB" w:rsidP="00180ABB">
      <w:pPr>
        <w:pStyle w:val="RARMPnumberedparagraphs"/>
      </w:pPr>
      <w:r w:rsidRPr="003E2C69">
        <w:t>Immunogenicity was evaluated through the measurement of anti-</w:t>
      </w:r>
      <w:proofErr w:type="spellStart"/>
      <w:r w:rsidRPr="003E2C69">
        <w:t>AdV</w:t>
      </w:r>
      <w:proofErr w:type="spellEnd"/>
      <w:r w:rsidRPr="003E2C69">
        <w:t xml:space="preserve"> 5 antibody levels in serum following the intravesical administrations of the GMO in the clinical trials. Five patients (29.4%) in the Phase 1 trial, 22 patients (55.0%) in the Phase 2 trial and 97 patients (72.4%) in the Phase 3 trial revealed a significant anti-</w:t>
      </w:r>
      <w:proofErr w:type="spellStart"/>
      <w:r w:rsidRPr="003E2C69">
        <w:t>AdV</w:t>
      </w:r>
      <w:proofErr w:type="spellEnd"/>
      <w:r w:rsidRPr="003E2C69">
        <w:t xml:space="preserve"> antibody response.</w:t>
      </w:r>
    </w:p>
    <w:p w14:paraId="2A75AD23" w14:textId="1A6564C9" w:rsidR="00FB7E35" w:rsidRPr="00EF68D8" w:rsidRDefault="00FB7E35" w:rsidP="006E06B6">
      <w:pPr>
        <w:pStyle w:val="2RARMP"/>
      </w:pPr>
      <w:bookmarkStart w:id="228" w:name="_Ref191119091"/>
      <w:bookmarkStart w:id="229" w:name="_Toc291151811"/>
      <w:bookmarkStart w:id="230" w:name="_Toc309054012"/>
      <w:bookmarkStart w:id="231" w:name="_Toc309833704"/>
      <w:bookmarkStart w:id="232" w:name="_Toc311188365"/>
      <w:bookmarkStart w:id="233" w:name="_Toc377743567"/>
      <w:bookmarkStart w:id="234" w:name="_Toc46243660"/>
      <w:bookmarkStart w:id="235" w:name="_Toc47536753"/>
      <w:bookmarkStart w:id="236" w:name="_Toc219281397"/>
      <w:bookmarkStart w:id="237" w:name="_Toc219529474"/>
      <w:bookmarkStart w:id="238" w:name="_Ref233512151"/>
      <w:bookmarkStart w:id="239" w:name="_Ref233520982"/>
      <w:bookmarkStart w:id="240" w:name="_Ref235515052"/>
      <w:bookmarkStart w:id="241" w:name="_Toc159907353"/>
      <w:bookmarkEnd w:id="0"/>
      <w:bookmarkEnd w:id="1"/>
      <w:bookmarkEnd w:id="2"/>
      <w:bookmarkEnd w:id="77"/>
      <w:bookmarkEnd w:id="78"/>
      <w:bookmarkEnd w:id="133"/>
      <w:bookmarkEnd w:id="134"/>
      <w:bookmarkEnd w:id="135"/>
      <w:bookmarkEnd w:id="215"/>
      <w:bookmarkEnd w:id="216"/>
      <w:bookmarkEnd w:id="217"/>
      <w:bookmarkEnd w:id="218"/>
      <w:r w:rsidRPr="00EF68D8">
        <w:t>The receiving environment</w:t>
      </w:r>
      <w:bookmarkEnd w:id="228"/>
      <w:bookmarkEnd w:id="229"/>
      <w:bookmarkEnd w:id="230"/>
      <w:bookmarkEnd w:id="231"/>
      <w:bookmarkEnd w:id="232"/>
      <w:bookmarkEnd w:id="233"/>
      <w:bookmarkEnd w:id="234"/>
      <w:bookmarkEnd w:id="235"/>
      <w:bookmarkEnd w:id="236"/>
    </w:p>
    <w:p w14:paraId="7F7FCF6C" w14:textId="4A5354E7" w:rsidR="00FB7E35" w:rsidRPr="00E52B4D" w:rsidRDefault="00FB7E35" w:rsidP="00FB7E35">
      <w:pPr>
        <w:pStyle w:val="RARMPnumberedparagraphs"/>
        <w:rPr>
          <w:rFonts w:cs="Calibri"/>
        </w:rPr>
      </w:pPr>
      <w:bookmarkStart w:id="242" w:name="_Toc291151812"/>
      <w:bookmarkStart w:id="243" w:name="_Toc309054013"/>
      <w:bookmarkStart w:id="244" w:name="_Toc309833705"/>
      <w:bookmarkStart w:id="245" w:name="_Toc311188366"/>
      <w:bookmarkStart w:id="246" w:name="_Toc377743568"/>
      <w:bookmarkEnd w:id="237"/>
      <w:bookmarkEnd w:id="238"/>
      <w:bookmarkEnd w:id="239"/>
      <w:bookmarkEnd w:id="240"/>
      <w:r w:rsidRPr="00E52B4D">
        <w:rPr>
          <w:rFonts w:cs="Calibri"/>
        </w:rPr>
        <w:t>The receiving environment forms part of the context for assessing risks as</w:t>
      </w:r>
      <w:r w:rsidR="00D16BB2">
        <w:rPr>
          <w:rFonts w:cs="Calibri"/>
        </w:rPr>
        <w:t xml:space="preserve">sociated with dealings with </w:t>
      </w:r>
      <w:r w:rsidR="003208BB">
        <w:rPr>
          <w:rFonts w:cs="Calibri"/>
        </w:rPr>
        <w:t xml:space="preserve">the </w:t>
      </w:r>
      <w:r w:rsidR="00D16BB2">
        <w:rPr>
          <w:rFonts w:cs="Calibri"/>
        </w:rPr>
        <w:t>GM</w:t>
      </w:r>
      <w:r w:rsidR="003208BB">
        <w:rPr>
          <w:rFonts w:cs="Calibri"/>
        </w:rPr>
        <w:t>O</w:t>
      </w:r>
      <w:r w:rsidR="0047524B" w:rsidRPr="00E52B4D">
        <w:rPr>
          <w:rFonts w:cs="Calibri"/>
        </w:rPr>
        <w:t xml:space="preserve"> </w:t>
      </w:r>
      <w:r w:rsidR="00C1090B" w:rsidRPr="00E52B4D">
        <w:rPr>
          <w:rFonts w:cs="Calibri"/>
        </w:rPr>
        <w:fldChar w:fldCharType="begin"/>
      </w:r>
      <w:r w:rsidR="00824706">
        <w:rPr>
          <w:rFonts w:cs="Calibri"/>
        </w:rPr>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68" w:tooltip="OGTR, 2013 #1" w:history="1">
        <w:r w:rsidR="0027195B"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645907AD" w:rsidR="00FB7E35" w:rsidRPr="006404A8" w:rsidRDefault="00FB7E35" w:rsidP="00FB7E35">
      <w:pPr>
        <w:pStyle w:val="3RARMP"/>
      </w:pPr>
      <w:bookmarkStart w:id="247" w:name="_Toc46243661"/>
      <w:bookmarkStart w:id="248" w:name="_Toc47536754"/>
      <w:bookmarkStart w:id="249" w:name="_Toc219281398"/>
      <w:bookmarkEnd w:id="242"/>
      <w:bookmarkEnd w:id="243"/>
      <w:bookmarkEnd w:id="244"/>
      <w:bookmarkEnd w:id="245"/>
      <w:bookmarkEnd w:id="246"/>
      <w:r>
        <w:t>Site of</w:t>
      </w:r>
      <w:r w:rsidR="001D17E3">
        <w:t xml:space="preserve"> </w:t>
      </w:r>
      <w:bookmarkEnd w:id="247"/>
      <w:bookmarkEnd w:id="248"/>
      <w:r w:rsidR="003208BB">
        <w:t>administration</w:t>
      </w:r>
      <w:bookmarkEnd w:id="249"/>
    </w:p>
    <w:p w14:paraId="2194BC29" w14:textId="0F3E9AC6"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w:t>
      </w:r>
      <w:r w:rsidR="00D27651">
        <w:rPr>
          <w:rFonts w:cs="Calibri"/>
        </w:rPr>
        <w:t xml:space="preserve">be </w:t>
      </w:r>
      <w:r w:rsidR="0084061D">
        <w:rPr>
          <w:rFonts w:cs="Calibri"/>
        </w:rPr>
        <w:t>the bladder of participants with NMIBC, administered via intravesical instillation by experienced clinicians in a hospital.</w:t>
      </w:r>
    </w:p>
    <w:p w14:paraId="601FD0C1" w14:textId="497D3826"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w:t>
      </w:r>
      <w:r w:rsidR="006C1559">
        <w:t>, however none of the procedures are expected to generate aerosols</w:t>
      </w:r>
      <w:r w:rsidRPr="00B408DC">
        <w:t xml:space="preserve">.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fldChar w:fldCharType="begin"/>
      </w:r>
      <w:r w:rsidR="00824706">
        <w:instrText xml:space="preserve"> ADDIN EN.CITE &lt;EndNote&gt;&lt;Cite&gt;&lt;Author&gt;National Health and Medical Research Council&lt;/Author&gt;&lt;Year&gt;2019&lt;/Year&gt;&lt;RecNum&gt;45&lt;/RecNum&gt;&lt;DisplayText&gt;(National Health and Medical Research Council, 2019)&lt;/DisplayText&gt;&lt;record&gt;&lt;rec-number&gt;45&lt;/rec-number&gt;&lt;foreign-keys&gt;&lt;key app="EN" db-id="verwe2fxj5fev7epfz8xtdvez025feseze0z" timestamp="1732074052"&gt;45&lt;/key&gt;&lt;/foreign-keys&gt;&lt;ref-type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fldChar w:fldCharType="separate"/>
      </w:r>
      <w:r>
        <w:rPr>
          <w:noProof/>
        </w:rPr>
        <w:t>(</w:t>
      </w:r>
      <w:hyperlink w:anchor="_ENREF_63" w:tooltip="National Health and Medical Research Council, 2019 #45" w:history="1">
        <w:r w:rsidR="0027195B">
          <w:rPr>
            <w:noProof/>
          </w:rPr>
          <w:t>National Health and Medical Research Council, 2019</w:t>
        </w:r>
      </w:hyperlink>
      <w:r>
        <w:rPr>
          <w:noProof/>
        </w:rPr>
        <w:t>)</w:t>
      </w:r>
      <w:r>
        <w:fldChar w:fldCharType="end"/>
      </w:r>
      <w:r>
        <w:t>.</w:t>
      </w:r>
    </w:p>
    <w:p w14:paraId="62514B5D" w14:textId="53A0A55F" w:rsidR="00655C2D" w:rsidRPr="0085598D" w:rsidRDefault="00655C2D" w:rsidP="00E66EF8">
      <w:pPr>
        <w:pStyle w:val="RARMPnumberedparagraphs"/>
        <w:rPr>
          <w:rFonts w:cs="Calibri"/>
        </w:rPr>
      </w:pPr>
      <w:r w:rsidRPr="0085598D">
        <w:rPr>
          <w:rFonts w:cs="Calibri"/>
        </w:rPr>
        <w:t xml:space="preserve"> The </w:t>
      </w:r>
      <w:r w:rsidR="00D16BB2" w:rsidRPr="0085598D">
        <w:rPr>
          <w:rFonts w:cs="Calibri"/>
        </w:rPr>
        <w:t>principal route by which the GMO</w:t>
      </w:r>
      <w:r w:rsidRPr="0085598D">
        <w:rPr>
          <w:rFonts w:cs="Calibri"/>
        </w:rPr>
        <w:t xml:space="preserve"> may enter the wider environment following </w:t>
      </w:r>
      <w:r w:rsidR="003208BB">
        <w:rPr>
          <w:rFonts w:cs="Calibri"/>
        </w:rPr>
        <w:t>administration</w:t>
      </w:r>
      <w:r w:rsidR="003208BB" w:rsidRPr="0085598D">
        <w:rPr>
          <w:rFonts w:cs="Calibri"/>
        </w:rPr>
        <w:t xml:space="preserve"> </w:t>
      </w:r>
      <w:r w:rsidRPr="0085598D">
        <w:rPr>
          <w:rFonts w:cs="Calibri"/>
        </w:rPr>
        <w:t>is via shedding.</w:t>
      </w:r>
      <w:r w:rsidR="00E66EF8" w:rsidRPr="0085598D">
        <w:rPr>
          <w:rFonts w:cs="Calibri"/>
        </w:rPr>
        <w:t xml:space="preserve"> </w:t>
      </w:r>
      <w:r w:rsidR="0075711B" w:rsidRPr="00B23C8E">
        <w:rPr>
          <w:rFonts w:cs="Calibri"/>
        </w:rPr>
        <w:t>As discussed in Section</w:t>
      </w:r>
      <w:r w:rsidR="003C1AE0" w:rsidRPr="00B23C8E">
        <w:rPr>
          <w:rFonts w:cs="Calibri"/>
        </w:rPr>
        <w:t xml:space="preserve">s </w:t>
      </w:r>
      <w:r w:rsidR="003C1AE0" w:rsidRPr="00B23C8E">
        <w:rPr>
          <w:rFonts w:cs="Calibri"/>
        </w:rPr>
        <w:fldChar w:fldCharType="begin"/>
      </w:r>
      <w:r w:rsidR="003C1AE0" w:rsidRPr="00B23C8E">
        <w:rPr>
          <w:rFonts w:cs="Calibri"/>
        </w:rPr>
        <w:instrText xml:space="preserve"> REF _Ref67475081 \n \h </w:instrText>
      </w:r>
      <w:r w:rsidR="003C1AE0" w:rsidRPr="00B23C8E">
        <w:rPr>
          <w:rFonts w:cs="Calibri"/>
        </w:rPr>
      </w:r>
      <w:r w:rsidR="003C1AE0" w:rsidRPr="00B23C8E">
        <w:rPr>
          <w:rFonts w:cs="Calibri"/>
        </w:rPr>
        <w:fldChar w:fldCharType="separate"/>
      </w:r>
      <w:r w:rsidR="003C1AE0" w:rsidRPr="00B23C8E">
        <w:rPr>
          <w:rFonts w:cs="Calibri"/>
        </w:rPr>
        <w:t>4.3.3</w:t>
      </w:r>
      <w:r w:rsidR="003C1AE0" w:rsidRPr="00B23C8E">
        <w:rPr>
          <w:rFonts w:cs="Calibri"/>
        </w:rPr>
        <w:fldChar w:fldCharType="end"/>
      </w:r>
      <w:r w:rsidR="003C1AE0" w:rsidRPr="00B23C8E">
        <w:rPr>
          <w:rFonts w:cs="Calibri"/>
        </w:rPr>
        <w:t xml:space="preserve"> and </w:t>
      </w:r>
      <w:r w:rsidR="003C1AE0" w:rsidRPr="00B23C8E">
        <w:rPr>
          <w:rFonts w:cs="Calibri"/>
        </w:rPr>
        <w:fldChar w:fldCharType="begin"/>
      </w:r>
      <w:r w:rsidR="003C1AE0" w:rsidRPr="00B23C8E">
        <w:rPr>
          <w:rFonts w:cs="Calibri"/>
        </w:rPr>
        <w:instrText xml:space="preserve"> REF _Ref216702339 \n \h </w:instrText>
      </w:r>
      <w:r w:rsidR="003C1AE0" w:rsidRPr="00B23C8E">
        <w:rPr>
          <w:rFonts w:cs="Calibri"/>
        </w:rPr>
      </w:r>
      <w:r w:rsidR="003C1AE0" w:rsidRPr="00B23C8E">
        <w:rPr>
          <w:rFonts w:cs="Calibri"/>
        </w:rPr>
        <w:fldChar w:fldCharType="separate"/>
      </w:r>
      <w:r w:rsidR="003C1AE0" w:rsidRPr="00B23C8E">
        <w:rPr>
          <w:rFonts w:cs="Calibri"/>
        </w:rPr>
        <w:t>4.3.4</w:t>
      </w:r>
      <w:r w:rsidR="003C1AE0" w:rsidRPr="00B23C8E">
        <w:rPr>
          <w:rFonts w:cs="Calibri"/>
        </w:rPr>
        <w:fldChar w:fldCharType="end"/>
      </w:r>
      <w:r w:rsidR="006C1559" w:rsidRPr="00B23C8E">
        <w:rPr>
          <w:rFonts w:cs="Calibri"/>
        </w:rPr>
        <w:t>, t</w:t>
      </w:r>
      <w:r w:rsidR="00D82810" w:rsidRPr="00B23C8E">
        <w:rPr>
          <w:rFonts w:cs="Calibri"/>
        </w:rPr>
        <w:t xml:space="preserve">he </w:t>
      </w:r>
      <w:r w:rsidR="00E66EF8" w:rsidRPr="00B23C8E">
        <w:rPr>
          <w:rFonts w:cs="Calibri"/>
        </w:rPr>
        <w:t>GMO may be shed</w:t>
      </w:r>
      <w:r w:rsidR="003208BB" w:rsidRPr="00B23C8E">
        <w:rPr>
          <w:rFonts w:cs="Calibri"/>
        </w:rPr>
        <w:t xml:space="preserve"> in minimal quantities</w:t>
      </w:r>
      <w:r w:rsidR="00E66EF8" w:rsidRPr="00B23C8E">
        <w:rPr>
          <w:rFonts w:cs="Calibri"/>
        </w:rPr>
        <w:t xml:space="preserve"> in </w:t>
      </w:r>
      <w:r w:rsidR="0030087F" w:rsidRPr="00B23C8E">
        <w:rPr>
          <w:rFonts w:cs="Calibri"/>
        </w:rPr>
        <w:t xml:space="preserve">urine </w:t>
      </w:r>
      <w:r w:rsidR="00E66EF8" w:rsidRPr="00B23C8E">
        <w:rPr>
          <w:rFonts w:cs="Calibri"/>
        </w:rPr>
        <w:t>after the administration of the GMO</w:t>
      </w:r>
      <w:r w:rsidR="00D82810" w:rsidRPr="00B23C8E">
        <w:rPr>
          <w:rFonts w:cs="Calibri"/>
        </w:rPr>
        <w:t xml:space="preserve"> </w:t>
      </w:r>
      <w:r w:rsidR="002242B5" w:rsidRPr="00B23C8E">
        <w:rPr>
          <w:rFonts w:cs="Calibri"/>
        </w:rPr>
        <w:t xml:space="preserve">for </w:t>
      </w:r>
      <w:r w:rsidR="00EF68D8" w:rsidRPr="00B23C8E">
        <w:rPr>
          <w:rFonts w:cs="Calibri"/>
        </w:rPr>
        <w:t>severa</w:t>
      </w:r>
      <w:r w:rsidR="003E2C69" w:rsidRPr="00B23C8E">
        <w:rPr>
          <w:rFonts w:cs="Calibri"/>
        </w:rPr>
        <w:t xml:space="preserve">l </w:t>
      </w:r>
      <w:r w:rsidR="003208BB" w:rsidRPr="00B23C8E">
        <w:rPr>
          <w:rFonts w:cs="Calibri"/>
        </w:rPr>
        <w:t>days</w:t>
      </w:r>
      <w:r w:rsidR="00E66EF8" w:rsidRPr="00B23C8E">
        <w:rPr>
          <w:rFonts w:cs="Calibri"/>
        </w:rPr>
        <w:t xml:space="preserve">. </w:t>
      </w:r>
      <w:r w:rsidR="00480CDA" w:rsidRPr="0085598D">
        <w:rPr>
          <w:rFonts w:cs="Calibri"/>
        </w:rPr>
        <w:t>Furt</w:t>
      </w:r>
      <w:r w:rsidR="00D16BB2" w:rsidRPr="0085598D">
        <w:rPr>
          <w:rFonts w:cs="Calibri"/>
        </w:rPr>
        <w:t>her, 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w:t>
      </w:r>
      <w:r w:rsidR="003208BB">
        <w:rPr>
          <w:rFonts w:cs="Calibri"/>
        </w:rPr>
        <w:t>GMO</w:t>
      </w:r>
      <w:r w:rsidRPr="0085598D">
        <w:rPr>
          <w:rFonts w:cs="Calibri"/>
        </w:rPr>
        <w:t>.</w:t>
      </w:r>
      <w:r w:rsidR="001866A6">
        <w:rPr>
          <w:rFonts w:cs="Calibri"/>
        </w:rPr>
        <w:t xml:space="preserve"> Another route by which the GMO may enter the wider environment is via accidental spills of the GMO during or after administration, or during transport or storage, or following disposal of the vials or syringes contaminated with the GMO.</w:t>
      </w:r>
    </w:p>
    <w:p w14:paraId="0BB549E4" w14:textId="7822EB67" w:rsidR="00FB7E35" w:rsidRPr="00D16361" w:rsidRDefault="00FB7E35" w:rsidP="00FB7E35">
      <w:pPr>
        <w:pStyle w:val="3RARMP"/>
      </w:pPr>
      <w:bookmarkStart w:id="250" w:name="_Toc377743569"/>
      <w:bookmarkStart w:id="251" w:name="_Toc46243662"/>
      <w:bookmarkStart w:id="252" w:name="_Toc47536755"/>
      <w:bookmarkStart w:id="253" w:name="_Ref57119212"/>
      <w:bookmarkStart w:id="254" w:name="_Toc219281399"/>
      <w:bookmarkStart w:id="255" w:name="_Toc169061702"/>
      <w:bookmarkStart w:id="256" w:name="_Ref190155019"/>
      <w:bookmarkStart w:id="257" w:name="_Ref190670449"/>
      <w:bookmarkStart w:id="258" w:name="_Ref190670474"/>
      <w:bookmarkStart w:id="259" w:name="_Ref190670740"/>
      <w:bookmarkStart w:id="260" w:name="_Ref191365337"/>
      <w:bookmarkStart w:id="261" w:name="_Ref191365347"/>
      <w:bookmarkStart w:id="262" w:name="_Ref191716941"/>
      <w:bookmarkStart w:id="263" w:name="_Ref191956918"/>
      <w:bookmarkStart w:id="264" w:name="_Ref206392980"/>
      <w:bookmarkStart w:id="265" w:name="_Toc219529476"/>
      <w:bookmarkStart w:id="266" w:name="_Ref227915152"/>
      <w:bookmarkStart w:id="267" w:name="_Ref227997583"/>
      <w:bookmarkStart w:id="268" w:name="_Ref227997971"/>
      <w:bookmarkStart w:id="269" w:name="_Ref235845124"/>
      <w:r w:rsidRPr="00D16361">
        <w:t xml:space="preserve">Presence of related </w:t>
      </w:r>
      <w:r w:rsidR="00282A86">
        <w:t>vira</w:t>
      </w:r>
      <w:r w:rsidRPr="00D16361">
        <w:t>l species in the receiving environment</w:t>
      </w:r>
      <w:bookmarkEnd w:id="250"/>
      <w:bookmarkEnd w:id="251"/>
      <w:bookmarkEnd w:id="252"/>
      <w:bookmarkEnd w:id="253"/>
      <w:bookmarkEnd w:id="254"/>
    </w:p>
    <w:p w14:paraId="496255E2" w14:textId="78123D2A" w:rsidR="0050440D" w:rsidRPr="00E52B4D" w:rsidRDefault="0050440D" w:rsidP="00FB235C">
      <w:pPr>
        <w:pStyle w:val="RARMPnumberedparagraphs"/>
        <w:rPr>
          <w:rFonts w:eastAsia="Advm1046a" w:cs="Calibri"/>
        </w:rPr>
      </w:pPr>
      <w:bookmarkStart w:id="270" w:name="_Ref270935195"/>
      <w:bookmarkStart w:id="271" w:name="_Toc291151816"/>
      <w:bookmarkStart w:id="272" w:name="_Toc309054017"/>
      <w:bookmarkStart w:id="273" w:name="_Toc309833709"/>
      <w:bookmarkStart w:id="274" w:name="_Toc311188370"/>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57C9800B" w:rsidR="009C75F5" w:rsidRDefault="00F136DB" w:rsidP="009D2EEA">
      <w:pPr>
        <w:pStyle w:val="RARMPnumberedparagraphs"/>
        <w:rPr>
          <w:rFonts w:cs="Calibri"/>
        </w:rPr>
      </w:pPr>
      <w:proofErr w:type="spellStart"/>
      <w:r w:rsidRPr="00E52B4D">
        <w:rPr>
          <w:rFonts w:cs="Calibri"/>
        </w:rPr>
        <w:t>AdVs</w:t>
      </w:r>
      <w:proofErr w:type="spellEnd"/>
      <w:r w:rsidR="009D2EEA" w:rsidRPr="00E52B4D">
        <w:rPr>
          <w:rFonts w:cs="Calibri"/>
        </w:rPr>
        <w:t xml:space="preserve"> belong to </w:t>
      </w:r>
      <w:r w:rsidR="003F047D">
        <w:rPr>
          <w:rFonts w:cs="Calibri"/>
        </w:rPr>
        <w:t>five</w:t>
      </w:r>
      <w:r w:rsidR="009D2EEA" w:rsidRPr="00E52B4D">
        <w:rPr>
          <w:rFonts w:cs="Calibri"/>
        </w:rPr>
        <w:t xml:space="preserve"> </w:t>
      </w:r>
      <w:r w:rsidR="00F00212">
        <w:rPr>
          <w:rFonts w:cs="Calibri"/>
        </w:rPr>
        <w:t xml:space="preserve">genera: </w:t>
      </w:r>
      <w:proofErr w:type="spellStart"/>
      <w:r w:rsidR="00756911" w:rsidRPr="00E52B4D">
        <w:rPr>
          <w:rFonts w:cs="Calibri"/>
          <w:i/>
        </w:rPr>
        <w:t>A</w:t>
      </w:r>
      <w:r w:rsidR="009D2EEA" w:rsidRPr="00E52B4D">
        <w:rPr>
          <w:rFonts w:cs="Calibri"/>
          <w:i/>
        </w:rPr>
        <w:t>viadenoviruses</w:t>
      </w:r>
      <w:proofErr w:type="spellEnd"/>
      <w:r w:rsidR="00F00212">
        <w:rPr>
          <w:rFonts w:cs="Calibri"/>
        </w:rPr>
        <w:t xml:space="preserve"> (infecting birds), </w:t>
      </w:r>
      <w:proofErr w:type="spellStart"/>
      <w:r w:rsidR="00756911" w:rsidRPr="00E52B4D">
        <w:rPr>
          <w:rFonts w:cs="Calibri"/>
          <w:i/>
        </w:rPr>
        <w:t>M</w:t>
      </w:r>
      <w:r w:rsidR="009D2EEA" w:rsidRPr="00E52B4D">
        <w:rPr>
          <w:rFonts w:cs="Calibri"/>
          <w:i/>
        </w:rPr>
        <w:t>astadenovirus</w:t>
      </w:r>
      <w:proofErr w:type="spellEnd"/>
      <w:r w:rsidR="00F00212">
        <w:rPr>
          <w:rFonts w:cs="Calibri"/>
        </w:rPr>
        <w:t xml:space="preserve"> (infecting mammals), </w:t>
      </w:r>
      <w:proofErr w:type="spellStart"/>
      <w:r w:rsidR="00F00212" w:rsidRPr="0018441A">
        <w:rPr>
          <w:rFonts w:cs="Calibri"/>
          <w:i/>
        </w:rPr>
        <w:t>Atadenovirus</w:t>
      </w:r>
      <w:proofErr w:type="spellEnd"/>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lizards and </w:t>
      </w:r>
      <w:r w:rsidR="000F2049">
        <w:rPr>
          <w:rFonts w:cs="Calibri"/>
        </w:rPr>
        <w:t xml:space="preserve">some </w:t>
      </w:r>
      <w:r w:rsidR="00F00212">
        <w:rPr>
          <w:rFonts w:cs="Calibri"/>
        </w:rPr>
        <w:t xml:space="preserve">mammals), </w:t>
      </w:r>
      <w:proofErr w:type="spellStart"/>
      <w:r w:rsidR="00F00212" w:rsidRPr="0018441A">
        <w:rPr>
          <w:rFonts w:cs="Calibri"/>
          <w:i/>
        </w:rPr>
        <w:t>Siadenovirus</w:t>
      </w:r>
      <w:proofErr w:type="spellEnd"/>
      <w:r w:rsidR="00F00212">
        <w:rPr>
          <w:rFonts w:cs="Calibri"/>
        </w:rPr>
        <w:t xml:space="preserve"> (infecting</w:t>
      </w:r>
      <w:r w:rsidR="000F2049">
        <w:rPr>
          <w:rFonts w:cs="Calibri"/>
        </w:rPr>
        <w:t xml:space="preserve"> one species of frog and </w:t>
      </w:r>
      <w:r w:rsidR="006C1559">
        <w:rPr>
          <w:rFonts w:cs="Calibri"/>
        </w:rPr>
        <w:t xml:space="preserve">one species of </w:t>
      </w:r>
      <w:r w:rsidR="000F2049">
        <w:rPr>
          <w:rFonts w:cs="Calibri"/>
        </w:rPr>
        <w:t>tortoise and multiple species of domestic, wild and captive birds</w:t>
      </w:r>
      <w:r w:rsidR="00F00212">
        <w:rPr>
          <w:rFonts w:cs="Calibri"/>
        </w:rPr>
        <w:t xml:space="preserve">) and </w:t>
      </w:r>
      <w:proofErr w:type="spellStart"/>
      <w:r w:rsidR="00F00212" w:rsidRPr="0018441A">
        <w:rPr>
          <w:rFonts w:cs="Calibri"/>
          <w:i/>
        </w:rPr>
        <w:t>Ichtadenovirus</w:t>
      </w:r>
      <w:proofErr w:type="spellEnd"/>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Y051bT4zMDwvUmVjTnVtPjxEaXNwbGF5VGV4dD4oTGFuZ2UgZXQgYWwuLCAyMDE5OyBUb25nIGV0
IGFsLiwgMjAxMDsgVmF6IGV0IGFsLiwgMjAyMCk8L0Rpc3BsYXlUZXh0PjxyZWNvcmQ+PHJlYy1u
dW1iZXI+MzA8L3JlYy1udW1iZXI+PGZvcmVpZ24ta2V5cz48a2V5IGFwcD0iRU4iIGRiLWlkPSJk
cGFzZTJlMm96NXJ3Y2U5YXpzcHA5NW5mOXh2c3d4cDJydmQiIHRpbWVzdGFtcD0iMTc2NTI0MzY4
MiI+MzA8L2tleT48L2ZvcmVpZ24ta2V5cz48cmVmLXR5cGUgbmFtZT0iSm91cm5hbCBBcnRpY2xl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245BC5">
        <w:rPr>
          <w:rFonts w:cs="Calibri"/>
        </w:rPr>
        <w:instrText xml:space="preserve"> ADDIN EN.CITE </w:instrText>
      </w:r>
      <w:r w:rsidR="00245BC5">
        <w:rPr>
          <w:rFonts w:cs="Calibri"/>
        </w:rPr>
        <w:fldChar w:fldCharType="begin">
          <w:fldData xml:space="preserve">PEVuZE5vdGU+PENpdGU+PEF1dGhvcj5MYW5nZTwvQXV0aG9yPjxZZWFyPjIwMTk8L1llYXI+PFJl
Y051bT4zMDwvUmVjTnVtPjxEaXNwbGF5VGV4dD4oTGFuZ2UgZXQgYWwuLCAyMDE5OyBUb25nIGV0
IGFsLiwgMjAxMDsgVmF6IGV0IGFsLiwgMjAyMCk8L0Rpc3BsYXlUZXh0PjxyZWNvcmQ+PHJlYy1u
dW1iZXI+MzA8L3JlYy1udW1iZXI+PGZvcmVpZ24ta2V5cz48a2V5IGFwcD0iRU4iIGRiLWlkPSJk
cGFzZTJlMm96NXJ3Y2U5YXpzcHA5NW5mOXh2c3d4cDJydmQiIHRpbWVzdGFtcD0iMTc2NTI0MzY4
MiI+MzA8L2tleT48L2ZvcmVpZ24ta2V5cz48cmVmLXR5cGUgbmFtZT0iSm91cm5hbCBBcnRpY2xl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245BC5">
        <w:rPr>
          <w:rFonts w:cs="Calibri"/>
        </w:rPr>
        <w:instrText xml:space="preserve"> ADDIN EN.CITE.DATA </w:instrText>
      </w:r>
      <w:r w:rsidR="00245BC5">
        <w:rPr>
          <w:rFonts w:cs="Calibri"/>
        </w:rPr>
      </w:r>
      <w:r w:rsidR="00245BC5">
        <w:rPr>
          <w:rFonts w:cs="Calibri"/>
        </w:rPr>
        <w:fldChar w:fldCharType="end"/>
      </w:r>
      <w:r w:rsidR="00480194">
        <w:rPr>
          <w:rFonts w:cs="Calibri"/>
        </w:rPr>
      </w:r>
      <w:r w:rsidR="00480194">
        <w:rPr>
          <w:rFonts w:cs="Calibri"/>
        </w:rPr>
        <w:fldChar w:fldCharType="separate"/>
      </w:r>
      <w:r w:rsidR="005B0F2F">
        <w:rPr>
          <w:rFonts w:cs="Calibri"/>
          <w:noProof/>
        </w:rPr>
        <w:t>(</w:t>
      </w:r>
      <w:hyperlink w:anchor="_ENREF_47" w:tooltip="Lange, 2019 #30" w:history="1">
        <w:r w:rsidR="0027195B">
          <w:rPr>
            <w:rFonts w:cs="Calibri"/>
            <w:noProof/>
          </w:rPr>
          <w:t>Lange et al., 2019</w:t>
        </w:r>
      </w:hyperlink>
      <w:r w:rsidR="005B0F2F">
        <w:rPr>
          <w:rFonts w:cs="Calibri"/>
          <w:noProof/>
        </w:rPr>
        <w:t xml:space="preserve">; </w:t>
      </w:r>
      <w:hyperlink w:anchor="_ENREF_94" w:tooltip="Tong, 2010 #135" w:history="1">
        <w:r w:rsidR="0027195B">
          <w:rPr>
            <w:rFonts w:cs="Calibri"/>
            <w:noProof/>
          </w:rPr>
          <w:t>Tong et al., 2010</w:t>
        </w:r>
      </w:hyperlink>
      <w:r w:rsidR="005B0F2F">
        <w:rPr>
          <w:rFonts w:cs="Calibri"/>
          <w:noProof/>
        </w:rPr>
        <w:t xml:space="preserve">; </w:t>
      </w:r>
      <w:hyperlink w:anchor="_ENREF_96" w:tooltip="Vaz, 2020 #134" w:history="1">
        <w:r w:rsidR="0027195B">
          <w:rPr>
            <w:rFonts w:cs="Calibri"/>
            <w:noProof/>
          </w:rPr>
          <w:t>Vaz et al., 2020</w:t>
        </w:r>
      </w:hyperlink>
      <w:r w:rsidR="005B0F2F">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humans</w:t>
      </w:r>
      <w:r w:rsidR="00247083" w:rsidRPr="00E52B4D">
        <w:rPr>
          <w:rFonts w:cs="Calibri"/>
        </w:rPr>
        <w:t xml:space="preserve"> </w:t>
      </w:r>
      <w:r w:rsidR="002A0D79" w:rsidRPr="00E52B4D">
        <w:rPr>
          <w:rFonts w:cs="Calibri"/>
        </w:rPr>
        <w:t>and animals</w:t>
      </w:r>
      <w:r w:rsidR="002A0D79">
        <w:rPr>
          <w:rFonts w:cs="Calibri"/>
        </w:rPr>
        <w:t>,</w:t>
      </w:r>
      <w:r w:rsidR="002A0D79" w:rsidRPr="00E52B4D">
        <w:rPr>
          <w:rFonts w:cs="Calibri"/>
        </w:rPr>
        <w:t xml:space="preserve"> </w:t>
      </w:r>
      <w:r w:rsidR="00247083" w:rsidRPr="00E52B4D">
        <w:rPr>
          <w:rFonts w:cs="Calibri"/>
        </w:rPr>
        <w:t>and can be found in all environments where humans or animals congregate in groups</w:t>
      </w:r>
      <w:r w:rsidR="009D2EEA" w:rsidRPr="00E52B4D">
        <w:rPr>
          <w:rFonts w:cs="Calibri"/>
        </w:rPr>
        <w:t xml:space="preserve"> </w:t>
      </w:r>
      <w:r w:rsidR="009D2EEA" w:rsidRPr="00E52B4D">
        <w:rPr>
          <w:rFonts w:cs="Calibri"/>
        </w:rPr>
        <w:fldChar w:fldCharType="begin"/>
      </w:r>
      <w:r w:rsidR="00824706">
        <w:rPr>
          <w:rFonts w:cs="Calibri"/>
        </w:rPr>
        <w:instrText xml:space="preserve"> ADDIN EN.CITE &lt;EndNote&gt;&lt;Cite&gt;&lt;Author&gt;Usman&lt;/Author&gt;&lt;Year&gt;2020&lt;/Year&gt;&lt;RecNum&gt;136&lt;/RecNum&gt;&lt;DisplayText&gt;(Usman and Suarez, 2020)&lt;/DisplayText&gt;&lt;record&gt;&lt;rec-number&gt;136&lt;/rec-number&gt;&lt;foreign-keys&gt;&lt;key app="EN" db-id="verwe2fxj5fev7epfz8xtdvez025feseze0z" timestamp="1733275117"&gt;136&lt;/key&gt;&lt;/foreign-keys&gt;&lt;ref-type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related-urls&gt;&lt;url&gt;https://www.ncbi.nlm.nih.gov/books/NBK559072/&lt;/url&gt;&lt;/related-urls&gt;&lt;/urls&gt;&lt;/record&gt;&lt;/Cite&gt;&lt;/EndNote&gt;</w:instrText>
      </w:r>
      <w:r w:rsidR="009D2EEA" w:rsidRPr="00E52B4D">
        <w:rPr>
          <w:rFonts w:cs="Calibri"/>
        </w:rPr>
        <w:fldChar w:fldCharType="separate"/>
      </w:r>
      <w:r w:rsidR="009D2EEA" w:rsidRPr="00E52B4D">
        <w:rPr>
          <w:rFonts w:cs="Calibri"/>
          <w:noProof/>
        </w:rPr>
        <w:t>(</w:t>
      </w:r>
      <w:hyperlink w:anchor="_ENREF_95" w:tooltip="Usman, 2020 #136" w:history="1">
        <w:r w:rsidR="0027195B" w:rsidRPr="00E52B4D">
          <w:rPr>
            <w:rFonts w:cs="Calibri"/>
            <w:noProof/>
          </w:rPr>
          <w:t>Usman and Suarez, 2020</w:t>
        </w:r>
      </w:hyperlink>
      <w:r w:rsidR="009D2EEA" w:rsidRPr="00E52B4D">
        <w:rPr>
          <w:rFonts w:cs="Calibri"/>
          <w:noProof/>
        </w:rPr>
        <w:t>)</w:t>
      </w:r>
      <w:r w:rsidR="009D2EEA" w:rsidRPr="00E52B4D">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proofErr w:type="spellStart"/>
      <w:r w:rsidRPr="00E52B4D">
        <w:rPr>
          <w:rFonts w:cs="Calibri"/>
        </w:rPr>
        <w:t>AdVs</w:t>
      </w:r>
      <w:proofErr w:type="spellEnd"/>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4031D9">
        <w:rPr>
          <w:rFonts w:cs="Calibri"/>
        </w:rPr>
        <w:t>is</w:t>
      </w:r>
      <w:r w:rsidR="00870E8D" w:rsidRPr="00E52B4D">
        <w:rPr>
          <w:rFonts w:cs="Calibri"/>
        </w:rPr>
        <w:t xml:space="preserve"> in Section </w:t>
      </w:r>
      <w:r w:rsidR="009B70AD">
        <w:rPr>
          <w:rFonts w:cs="Calibri"/>
        </w:rPr>
        <w:fldChar w:fldCharType="begin"/>
      </w:r>
      <w:r w:rsidR="009B70AD">
        <w:rPr>
          <w:rFonts w:cs="Calibri"/>
        </w:rPr>
        <w:instrText xml:space="preserve"> REF _Ref57107869 \r \h </w:instrText>
      </w:r>
      <w:r w:rsidR="009B70AD">
        <w:rPr>
          <w:rFonts w:cs="Calibri"/>
        </w:rPr>
      </w:r>
      <w:r w:rsidR="009B70AD">
        <w:rPr>
          <w:rFonts w:cs="Calibri"/>
        </w:rPr>
        <w:fldChar w:fldCharType="separate"/>
      </w:r>
      <w:r w:rsidR="001E7664">
        <w:rPr>
          <w:rFonts w:cs="Calibri"/>
        </w:rPr>
        <w:t>3.5.4</w:t>
      </w:r>
      <w:r w:rsidR="009B70AD">
        <w:rPr>
          <w:rFonts w:cs="Calibri"/>
        </w:rPr>
        <w:fldChar w:fldCharType="end"/>
      </w:r>
      <w:r w:rsidR="009D2EEA" w:rsidRPr="00E52B4D">
        <w:rPr>
          <w:rFonts w:cs="Calibri"/>
        </w:rPr>
        <w:t xml:space="preserve">. </w:t>
      </w:r>
    </w:p>
    <w:p w14:paraId="525B6F5A" w14:textId="4306531F" w:rsidR="009D2EEA" w:rsidRDefault="000775C8" w:rsidP="009D2EEA">
      <w:pPr>
        <w:pStyle w:val="RARMPnumberedparagraphs"/>
        <w:rPr>
          <w:rFonts w:cs="Calibri"/>
        </w:rPr>
      </w:pPr>
      <w:r>
        <w:rPr>
          <w:rFonts w:cs="Calibri"/>
        </w:rPr>
        <w:t xml:space="preserve">The </w:t>
      </w:r>
      <w:proofErr w:type="spellStart"/>
      <w:r>
        <w:rPr>
          <w:rFonts w:cs="Calibri"/>
        </w:rPr>
        <w:t>prevalance</w:t>
      </w:r>
      <w:proofErr w:type="spellEnd"/>
      <w:r>
        <w:rPr>
          <w:rFonts w:cs="Calibri"/>
        </w:rPr>
        <w:t xml:space="preserve"> of </w:t>
      </w:r>
      <w:proofErr w:type="spellStart"/>
      <w:r>
        <w:rPr>
          <w:rFonts w:cs="Calibri"/>
        </w:rPr>
        <w:t>HAdVs</w:t>
      </w:r>
      <w:proofErr w:type="spellEnd"/>
      <w:r>
        <w:rPr>
          <w:rFonts w:cs="Calibri"/>
        </w:rPr>
        <w:t xml:space="preserve"> in Australia based on the reported cases and </w:t>
      </w:r>
      <w:proofErr w:type="spellStart"/>
      <w:r>
        <w:rPr>
          <w:rFonts w:cs="Calibri"/>
        </w:rPr>
        <w:t>seroprevalance</w:t>
      </w:r>
      <w:proofErr w:type="spellEnd"/>
      <w:r>
        <w:rPr>
          <w:rFonts w:cs="Calibri"/>
        </w:rPr>
        <w:t xml:space="preserve"> is low</w:t>
      </w:r>
      <w:r w:rsidR="002A0D79">
        <w:rPr>
          <w:rFonts w:cs="Calibri"/>
        </w:rPr>
        <w:t>,</w:t>
      </w:r>
      <w:r>
        <w:rPr>
          <w:rFonts w:cs="Calibri"/>
        </w:rPr>
        <w:t xml:space="preserve"> as mentioned in 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1E7664">
        <w:rPr>
          <w:rFonts w:cs="Calibri"/>
        </w:rPr>
        <w:t>3.5.3</w:t>
      </w:r>
      <w:r w:rsidR="009B70AD">
        <w:rPr>
          <w:rFonts w:cs="Calibri"/>
        </w:rPr>
        <w:fldChar w:fldCharType="end"/>
      </w:r>
      <w:r w:rsidR="0040730C" w:rsidRPr="00E52B4D">
        <w:rPr>
          <w:rFonts w:cs="Calibri"/>
        </w:rPr>
        <w:t>.</w:t>
      </w:r>
      <w:r w:rsidR="00DF5A57">
        <w:rPr>
          <w:rFonts w:cs="Calibri"/>
        </w:rPr>
        <w:t xml:space="preserve"> </w:t>
      </w:r>
    </w:p>
    <w:p w14:paraId="65235BB1" w14:textId="72629EF2" w:rsidR="00FB7E35" w:rsidRPr="006404A8" w:rsidRDefault="00FB7E35" w:rsidP="00BD40B7">
      <w:pPr>
        <w:pStyle w:val="3RARMP"/>
      </w:pPr>
      <w:bookmarkStart w:id="275" w:name="_Toc377743570"/>
      <w:bookmarkStart w:id="276" w:name="_Toc46243663"/>
      <w:bookmarkStart w:id="277" w:name="_Toc47536756"/>
      <w:bookmarkStart w:id="278" w:name="_Toc219281400"/>
      <w:r w:rsidRPr="006404A8">
        <w:lastRenderedPageBreak/>
        <w:t xml:space="preserve">Presence of similar </w:t>
      </w:r>
      <w:r w:rsidR="00282A86">
        <w:t xml:space="preserve">genetic material </w:t>
      </w:r>
      <w:r w:rsidRPr="006404A8">
        <w:t>in the environment</w:t>
      </w:r>
      <w:bookmarkEnd w:id="270"/>
      <w:bookmarkEnd w:id="271"/>
      <w:bookmarkEnd w:id="272"/>
      <w:bookmarkEnd w:id="273"/>
      <w:bookmarkEnd w:id="274"/>
      <w:bookmarkEnd w:id="275"/>
      <w:bookmarkEnd w:id="276"/>
      <w:bookmarkEnd w:id="277"/>
      <w:bookmarkEnd w:id="278"/>
    </w:p>
    <w:p w14:paraId="03F1B19D" w14:textId="1FD6E2B6" w:rsidR="00D022D7" w:rsidRDefault="00282A86" w:rsidP="008F3EEF">
      <w:pPr>
        <w:pStyle w:val="RARMPnumberedparagraphs"/>
        <w:rPr>
          <w:rFonts w:cs="Calibri"/>
        </w:rPr>
      </w:pPr>
      <w:bookmarkStart w:id="279" w:name="_Toc311188371"/>
      <w:r w:rsidRPr="00D022D7">
        <w:rPr>
          <w:rFonts w:cs="Calibri"/>
        </w:rPr>
        <w:t xml:space="preserve">The balance of a system could be perturbed by the introduction of new genetic material through horizontal gene transfer or through release of </w:t>
      </w:r>
      <w:r w:rsidR="00480CDA" w:rsidRPr="00D022D7">
        <w:rPr>
          <w:rFonts w:cs="Calibri"/>
        </w:rPr>
        <w:t>GMO</w:t>
      </w:r>
      <w:r w:rsidRPr="00D022D7">
        <w:rPr>
          <w:rFonts w:cs="Calibri"/>
        </w:rPr>
        <w:t xml:space="preserve"> into the environment. However, the effect of perturbation </w:t>
      </w:r>
      <w:r w:rsidR="00785BD8" w:rsidRPr="00D022D7">
        <w:rPr>
          <w:rFonts w:cs="Calibri"/>
        </w:rPr>
        <w:t>would</w:t>
      </w:r>
      <w:r w:rsidRPr="00D022D7">
        <w:rPr>
          <w:rFonts w:cs="Calibri"/>
        </w:rPr>
        <w:t xml:space="preserve"> be relatively small if the genetic material was already present in the system and did not confer any selective advantage to an organism th</w:t>
      </w:r>
      <w:r w:rsidR="00F91D23" w:rsidRPr="00D022D7">
        <w:rPr>
          <w:rFonts w:cs="Calibri"/>
        </w:rPr>
        <w:t>at gained this genetic material</w:t>
      </w:r>
      <w:r w:rsidR="001866A6">
        <w:rPr>
          <w:rFonts w:cs="Calibri"/>
        </w:rPr>
        <w:t>.</w:t>
      </w:r>
    </w:p>
    <w:p w14:paraId="3B9C7B5B" w14:textId="00A9E271" w:rsidR="00415211" w:rsidRPr="00D022D7" w:rsidRDefault="0084061D" w:rsidP="008F3EEF">
      <w:pPr>
        <w:pStyle w:val="RARMPnumberedparagraphs"/>
        <w:rPr>
          <w:rFonts w:cs="Calibri"/>
        </w:rPr>
      </w:pPr>
      <w:r w:rsidRPr="000E47CD">
        <w:t xml:space="preserve">All the viral genes in the GM therapeutic are the same or </w:t>
      </w:r>
      <w:proofErr w:type="gramStart"/>
      <w:r w:rsidRPr="000E47CD">
        <w:t>similar to</w:t>
      </w:r>
      <w:proofErr w:type="gramEnd"/>
      <w:r w:rsidRPr="000E47CD">
        <w:t xml:space="preserve"> those present in naturally occurring </w:t>
      </w:r>
      <w:proofErr w:type="spellStart"/>
      <w:r w:rsidRPr="000E47CD">
        <w:t>HAdVs</w:t>
      </w:r>
      <w:proofErr w:type="spellEnd"/>
      <w:r w:rsidRPr="000E47CD">
        <w:t xml:space="preserve">. The </w:t>
      </w:r>
      <w:proofErr w:type="spellStart"/>
      <w:r w:rsidRPr="000E47CD">
        <w:rPr>
          <w:i/>
          <w:iCs/>
        </w:rPr>
        <w:t>hIFN</w:t>
      </w:r>
      <w:proofErr w:type="spellEnd"/>
      <w:r w:rsidRPr="000E47CD">
        <w:rPr>
          <w:i/>
          <w:iCs/>
        </w:rPr>
        <w:t>-</w:t>
      </w:r>
      <w:r w:rsidRPr="000E47CD">
        <w:rPr>
          <w:rFonts w:cs="Calibri"/>
          <w:i/>
          <w:iCs/>
        </w:rPr>
        <w:t>α</w:t>
      </w:r>
      <w:r w:rsidRPr="000E47CD">
        <w:rPr>
          <w:i/>
          <w:iCs/>
        </w:rPr>
        <w:t>2b</w:t>
      </w:r>
      <w:r w:rsidRPr="000E47CD">
        <w:t xml:space="preserve"> gene introduced into the GM therapeutic was derived </w:t>
      </w:r>
      <w:r>
        <w:t xml:space="preserve">from </w:t>
      </w:r>
      <w:r w:rsidRPr="002B0539">
        <w:t>humans</w:t>
      </w:r>
      <w:r>
        <w:t>, and so similar genetic material would already be present in the environment.</w:t>
      </w:r>
    </w:p>
    <w:p w14:paraId="4F09F9A2" w14:textId="1DE8BEB4" w:rsidR="00FB7E35" w:rsidRPr="00304A09" w:rsidRDefault="00FB7E35" w:rsidP="006E06B6">
      <w:pPr>
        <w:pStyle w:val="2RARMP"/>
      </w:pPr>
      <w:bookmarkStart w:id="280" w:name="_Toc46243664"/>
      <w:bookmarkStart w:id="281" w:name="_Toc47536757"/>
      <w:bookmarkStart w:id="282" w:name="_Ref67493452"/>
      <w:bookmarkStart w:id="283" w:name="_Toc219281401"/>
      <w:bookmarkEnd w:id="279"/>
      <w:r w:rsidRPr="00304A09">
        <w:t>Previous authorisations</w:t>
      </w:r>
      <w:bookmarkEnd w:id="280"/>
      <w:bookmarkEnd w:id="281"/>
      <w:bookmarkEnd w:id="282"/>
      <w:bookmarkEnd w:id="283"/>
    </w:p>
    <w:p w14:paraId="6DB8A8E2" w14:textId="5C9766FE" w:rsidR="0084061D" w:rsidRDefault="0084061D" w:rsidP="0084061D">
      <w:pPr>
        <w:pStyle w:val="3RARMP"/>
      </w:pPr>
      <w:bookmarkStart w:id="284" w:name="_Ref216451926"/>
      <w:bookmarkStart w:id="285" w:name="_Toc219281402"/>
      <w:bookmarkStart w:id="286" w:name="_Toc20804197"/>
      <w:r w:rsidRPr="0084061D">
        <w:t>Australian approvals</w:t>
      </w:r>
      <w:bookmarkEnd w:id="284"/>
      <w:bookmarkEnd w:id="285"/>
    </w:p>
    <w:bookmarkEnd w:id="286"/>
    <w:p w14:paraId="466AF089" w14:textId="77777777" w:rsidR="008A7B57" w:rsidRDefault="0084061D" w:rsidP="009D2A6D">
      <w:pPr>
        <w:pStyle w:val="RARMPnumberedparagraphs"/>
        <w:rPr>
          <w:rFonts w:cs="Calibri"/>
        </w:rPr>
      </w:pPr>
      <w:r>
        <w:rPr>
          <w:rFonts w:cs="Calibri"/>
        </w:rPr>
        <w:t xml:space="preserve">In October 2025, the Regulator issued a licence for the </w:t>
      </w:r>
      <w:r w:rsidR="00A759FF">
        <w:rPr>
          <w:rFonts w:cs="Calibri"/>
        </w:rPr>
        <w:t>c</w:t>
      </w:r>
      <w:r w:rsidR="00A759FF" w:rsidRPr="00A759FF">
        <w:rPr>
          <w:rFonts w:cs="Calibri"/>
        </w:rPr>
        <w:t xml:space="preserve">ommercial supply of </w:t>
      </w:r>
      <w:proofErr w:type="spellStart"/>
      <w:r w:rsidR="00A759FF" w:rsidRPr="00A759FF">
        <w:rPr>
          <w:rFonts w:cs="Calibri"/>
        </w:rPr>
        <w:t>nadofaragene</w:t>
      </w:r>
      <w:proofErr w:type="spellEnd"/>
      <w:r w:rsidR="00A759FF" w:rsidRPr="00A759FF">
        <w:rPr>
          <w:rFonts w:cs="Calibri"/>
        </w:rPr>
        <w:t xml:space="preserve"> </w:t>
      </w:r>
      <w:proofErr w:type="spellStart"/>
      <w:r w:rsidR="00A759FF" w:rsidRPr="00A759FF">
        <w:rPr>
          <w:rFonts w:cs="Calibri"/>
        </w:rPr>
        <w:t>firadenovec</w:t>
      </w:r>
      <w:proofErr w:type="spellEnd"/>
      <w:r w:rsidR="00A759FF" w:rsidRPr="00A759FF">
        <w:rPr>
          <w:rFonts w:cs="Calibri"/>
        </w:rPr>
        <w:t xml:space="preserve"> for bladder cancer treatment</w:t>
      </w:r>
      <w:r w:rsidR="00A759FF">
        <w:rPr>
          <w:rFonts w:cs="Calibri"/>
        </w:rPr>
        <w:t xml:space="preserve"> (</w:t>
      </w:r>
      <w:hyperlink r:id="rId40" w:history="1">
        <w:r w:rsidR="00A759FF" w:rsidRPr="00A759FF">
          <w:rPr>
            <w:rStyle w:val="Hyperlink"/>
            <w:rFonts w:cs="Calibri"/>
          </w:rPr>
          <w:t>DIR 217</w:t>
        </w:r>
      </w:hyperlink>
      <w:r w:rsidR="00A759FF">
        <w:rPr>
          <w:rFonts w:cs="Calibri"/>
        </w:rPr>
        <w:t xml:space="preserve">). This licence covers dealings only related to the commercial supply of the GMO, being </w:t>
      </w:r>
      <w:r w:rsidR="00A759FF" w:rsidRPr="00A759FF">
        <w:rPr>
          <w:rFonts w:cs="Calibri"/>
        </w:rPr>
        <w:t>import, transport</w:t>
      </w:r>
      <w:r w:rsidR="00A759FF">
        <w:rPr>
          <w:rFonts w:cs="Calibri"/>
        </w:rPr>
        <w:t>,</w:t>
      </w:r>
      <w:r w:rsidR="00A759FF" w:rsidRPr="00A759FF">
        <w:rPr>
          <w:rFonts w:cs="Calibri"/>
        </w:rPr>
        <w:t xml:space="preserve"> dispos</w:t>
      </w:r>
      <w:r w:rsidR="00A759FF">
        <w:rPr>
          <w:rFonts w:cs="Calibri"/>
        </w:rPr>
        <w:t>al and possession, but not experimentation (i.e. clinical trials)</w:t>
      </w:r>
      <w:r w:rsidR="00781D9F">
        <w:rPr>
          <w:rFonts w:cs="Calibri"/>
        </w:rPr>
        <w:t>.</w:t>
      </w:r>
    </w:p>
    <w:p w14:paraId="3954EDE3" w14:textId="1524369C" w:rsidR="00A759FF" w:rsidRPr="00A759FF" w:rsidRDefault="00A759FF" w:rsidP="009D2A6D">
      <w:pPr>
        <w:pStyle w:val="RARMPnumberedparagraphs"/>
        <w:rPr>
          <w:rFonts w:cs="Calibri"/>
        </w:rPr>
      </w:pPr>
      <w:r w:rsidRPr="000E47CD">
        <w:rPr>
          <w:rFonts w:asciiTheme="minorHAnsi" w:hAnsiTheme="minorHAnsi" w:cstheme="minorHAnsi"/>
        </w:rPr>
        <w:t xml:space="preserve">As </w:t>
      </w:r>
      <w:proofErr w:type="spellStart"/>
      <w:r w:rsidRPr="000E47CD">
        <w:rPr>
          <w:rFonts w:asciiTheme="minorHAnsi" w:hAnsiTheme="minorHAnsi" w:cstheme="minorHAnsi"/>
        </w:rPr>
        <w:t>nadofaragene</w:t>
      </w:r>
      <w:proofErr w:type="spellEnd"/>
      <w:r w:rsidRPr="000E47CD">
        <w:rPr>
          <w:rFonts w:asciiTheme="minorHAnsi" w:hAnsiTheme="minorHAnsi" w:cstheme="minorHAnsi"/>
        </w:rPr>
        <w:t xml:space="preserve"> </w:t>
      </w:r>
      <w:proofErr w:type="spellStart"/>
      <w:r w:rsidRPr="000E47CD">
        <w:rPr>
          <w:rFonts w:asciiTheme="minorHAnsi" w:hAnsiTheme="minorHAnsi" w:cstheme="minorHAnsi"/>
        </w:rPr>
        <w:t>firadenovec</w:t>
      </w:r>
      <w:proofErr w:type="spellEnd"/>
      <w:r w:rsidRPr="000E47CD">
        <w:rPr>
          <w:rFonts w:asciiTheme="minorHAnsi" w:hAnsiTheme="minorHAnsi" w:cstheme="minorHAnsi"/>
        </w:rPr>
        <w:t xml:space="preserve"> is manufactured overseas, a permit from DAFF will be required for its import into Australia.</w:t>
      </w:r>
    </w:p>
    <w:p w14:paraId="7525E732" w14:textId="4554D842" w:rsidR="00A759FF" w:rsidRDefault="00A759FF" w:rsidP="00A759FF">
      <w:pPr>
        <w:pStyle w:val="3RARMP"/>
      </w:pPr>
      <w:bookmarkStart w:id="287" w:name="_Ref216451961"/>
      <w:bookmarkStart w:id="288" w:name="_Toc219281403"/>
      <w:r>
        <w:t>International approvals</w:t>
      </w:r>
      <w:bookmarkEnd w:id="287"/>
      <w:bookmarkEnd w:id="288"/>
    </w:p>
    <w:p w14:paraId="7A4F4F3B" w14:textId="2D9C1B60" w:rsidR="00A759FF" w:rsidRDefault="00A759FF" w:rsidP="00A759FF">
      <w:pPr>
        <w:pStyle w:val="RARMPnumberedparagraphs"/>
      </w:pPr>
      <w:proofErr w:type="spellStart"/>
      <w:r>
        <w:t>Nadofaragene</w:t>
      </w:r>
      <w:proofErr w:type="spellEnd"/>
      <w:r>
        <w:t xml:space="preserve"> </w:t>
      </w:r>
      <w:proofErr w:type="spellStart"/>
      <w:r>
        <w:t>firadenovec</w:t>
      </w:r>
      <w:proofErr w:type="spellEnd"/>
      <w:r>
        <w:t xml:space="preserve"> was approved by the </w:t>
      </w:r>
      <w:r w:rsidR="00C2655A">
        <w:t xml:space="preserve">Food and </w:t>
      </w:r>
      <w:r>
        <w:t>Drug Administration in the USA in December 2022 for the treatment of high-risk BCG-unresponsive NMIBC under the tradename ADSTILADRIN.</w:t>
      </w:r>
    </w:p>
    <w:p w14:paraId="0ABB2552" w14:textId="78C80214" w:rsidR="00A759FF" w:rsidRDefault="00A759FF" w:rsidP="00A759FF">
      <w:pPr>
        <w:pStyle w:val="RARMPnumberedparagraphs"/>
      </w:pPr>
      <w:hyperlink r:id="rId41" w:history="1">
        <w:r w:rsidRPr="00A759FF">
          <w:rPr>
            <w:rStyle w:val="Hyperlink"/>
          </w:rPr>
          <w:t xml:space="preserve">Clinical trials of </w:t>
        </w:r>
        <w:proofErr w:type="spellStart"/>
        <w:r w:rsidRPr="00A759FF">
          <w:rPr>
            <w:rStyle w:val="Hyperlink"/>
          </w:rPr>
          <w:t>nadofaragene</w:t>
        </w:r>
        <w:proofErr w:type="spellEnd"/>
        <w:r w:rsidRPr="00A759FF">
          <w:rPr>
            <w:rStyle w:val="Hyperlink"/>
          </w:rPr>
          <w:t xml:space="preserve"> </w:t>
        </w:r>
        <w:proofErr w:type="spellStart"/>
        <w:r w:rsidRPr="00A759FF">
          <w:rPr>
            <w:rStyle w:val="Hyperlink"/>
          </w:rPr>
          <w:t>firadenovec</w:t>
        </w:r>
        <w:proofErr w:type="spellEnd"/>
      </w:hyperlink>
      <w:r>
        <w:t xml:space="preserve"> are being conducted in the USA and Japan.</w:t>
      </w:r>
    </w:p>
    <w:p w14:paraId="1A904FA9" w14:textId="79E526D1" w:rsidR="00A759FF" w:rsidRDefault="00A759FF" w:rsidP="009D2A6D">
      <w:pPr>
        <w:pStyle w:val="RARMPnumberedparagraphs"/>
        <w:rPr>
          <w:rFonts w:cs="Calibri"/>
        </w:rPr>
        <w:sectPr w:rsidR="00A759FF" w:rsidSect="00D83417">
          <w:footerReference w:type="default" r:id="rId42"/>
          <w:pgSz w:w="11909" w:h="16834" w:code="9"/>
          <w:pgMar w:top="1418" w:right="1418" w:bottom="1418" w:left="1418" w:header="720" w:footer="720" w:gutter="0"/>
          <w:paperSrc w:first="2" w:other="2"/>
          <w:cols w:space="720"/>
          <w:rtlGutter/>
        </w:sectPr>
      </w:pPr>
    </w:p>
    <w:p w14:paraId="3ADD06EB" w14:textId="77777777" w:rsidR="00FB7E35" w:rsidRPr="0000143A" w:rsidRDefault="00FB7E35" w:rsidP="00FB7E35">
      <w:pPr>
        <w:pStyle w:val="1RARMP"/>
      </w:pPr>
      <w:bookmarkStart w:id="289" w:name="_Toc301341849"/>
      <w:bookmarkStart w:id="290" w:name="_Toc46243667"/>
      <w:bookmarkStart w:id="291" w:name="_Toc47536760"/>
      <w:bookmarkStart w:id="292" w:name="_Ref57119450"/>
      <w:bookmarkStart w:id="293" w:name="_Ref57119486"/>
      <w:bookmarkStart w:id="294" w:name="_Ref57119506"/>
      <w:bookmarkStart w:id="295" w:name="_Ref67492223"/>
      <w:bookmarkStart w:id="296" w:name="_Ref67492419"/>
      <w:bookmarkStart w:id="297" w:name="_Toc219281404"/>
      <w:r w:rsidRPr="0000143A">
        <w:lastRenderedPageBreak/>
        <w:t>Risk assessment</w:t>
      </w:r>
      <w:bookmarkEnd w:id="289"/>
      <w:bookmarkEnd w:id="290"/>
      <w:bookmarkEnd w:id="291"/>
      <w:bookmarkEnd w:id="292"/>
      <w:bookmarkEnd w:id="293"/>
      <w:bookmarkEnd w:id="294"/>
      <w:bookmarkEnd w:id="295"/>
      <w:bookmarkEnd w:id="296"/>
      <w:bookmarkEnd w:id="297"/>
    </w:p>
    <w:p w14:paraId="4C5F2FED" w14:textId="77777777" w:rsidR="00FB7E35" w:rsidRPr="0000143A" w:rsidRDefault="00FB7E35" w:rsidP="006E06B6">
      <w:pPr>
        <w:pStyle w:val="2RARMP"/>
      </w:pPr>
      <w:bookmarkStart w:id="298" w:name="_Toc301341850"/>
      <w:bookmarkStart w:id="299" w:name="_Toc446425406"/>
      <w:bookmarkStart w:id="300" w:name="_Toc46243668"/>
      <w:bookmarkStart w:id="301" w:name="_Toc47536761"/>
      <w:bookmarkStart w:id="302" w:name="_Toc219281405"/>
      <w:r w:rsidRPr="0000143A">
        <w:t>Introduction</w:t>
      </w:r>
      <w:bookmarkEnd w:id="298"/>
      <w:bookmarkEnd w:id="299"/>
      <w:bookmarkEnd w:id="300"/>
      <w:bookmarkEnd w:id="301"/>
      <w:bookmarkEnd w:id="302"/>
    </w:p>
    <w:p w14:paraId="7ABE66AB" w14:textId="1F70C74B"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163EB7">
        <w:t>Figure 7</w:t>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1E7664">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303" w:name="_Ref298160107"/>
      <w:bookmarkStart w:id="304"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43">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03"/>
    </w:p>
    <w:p w14:paraId="3E1DBE5E" w14:textId="45CD107B" w:rsidR="00FB7E35" w:rsidRPr="007E3AE5" w:rsidRDefault="007E3AE5" w:rsidP="00340E83">
      <w:pPr>
        <w:pStyle w:val="figure"/>
      </w:pPr>
      <w:bookmarkStart w:id="305" w:name="_Ref55378222"/>
      <w:bookmarkStart w:id="306" w:name="_Ref55545144"/>
      <w:r>
        <w:t>Figure</w:t>
      </w:r>
      <w:bookmarkEnd w:id="305"/>
      <w:r w:rsidR="00163EB7">
        <w:t xml:space="preserve"> 7</w:t>
      </w:r>
      <w:r>
        <w:t xml:space="preserve">: </w:t>
      </w:r>
      <w:r w:rsidR="00C63E8D">
        <w:rPr>
          <w:b/>
        </w:rPr>
        <w:t xml:space="preserve"> </w:t>
      </w:r>
      <w:r w:rsidR="00FB7E35" w:rsidRPr="00340E83">
        <w:t>The risk assessment process</w:t>
      </w:r>
      <w:bookmarkEnd w:id="304"/>
      <w:bookmarkEnd w:id="306"/>
    </w:p>
    <w:p w14:paraId="161CE475" w14:textId="4F01C572" w:rsidR="00FB7E35" w:rsidRPr="003E2C69" w:rsidRDefault="00FB7E35" w:rsidP="00EE5A10">
      <w:pPr>
        <w:pStyle w:val="RARMPnumberedparagraphs"/>
        <w:tabs>
          <w:tab w:val="clear" w:pos="567"/>
        </w:tabs>
        <w:rPr>
          <w:color w:val="000000" w:themeColor="text1"/>
        </w:rPr>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68" w:tooltip="OGTR, 2013 #1" w:history="1">
        <w:r w:rsidR="0027195B">
          <w:rPr>
            <w:noProof/>
          </w:rPr>
          <w:t>OGTR, 2013</w:t>
        </w:r>
      </w:hyperlink>
      <w:r w:rsidR="0082001F">
        <w:rPr>
          <w:noProof/>
        </w:rPr>
        <w:t>)</w:t>
      </w:r>
      <w:r w:rsidR="0082001F">
        <w:fldChar w:fldCharType="end"/>
      </w:r>
      <w:r w:rsidRPr="007C172B">
        <w:t>.</w:t>
      </w:r>
      <w:r w:rsidR="00B00731" w:rsidRPr="00B00731">
        <w:t xml:space="preserve"> </w:t>
      </w:r>
      <w:r w:rsidR="00B00731" w:rsidRPr="003E2C69">
        <w:rPr>
          <w:color w:val="000000" w:themeColor="text1"/>
        </w:rPr>
        <w:t>Risk scenarios examined in RARMPs prepared for licence applications for the same or similar GMOs, are also considered.</w:t>
      </w:r>
    </w:p>
    <w:p w14:paraId="6D751AD8" w14:textId="77777777" w:rsidR="00FB7E35" w:rsidRPr="007C172B" w:rsidRDefault="00FB7E35" w:rsidP="00EE5A10">
      <w:pPr>
        <w:pStyle w:val="RARMPnumberedparagraphs"/>
        <w:tabs>
          <w:tab w:val="clear" w:pos="567"/>
        </w:tab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68F92AD1" w:rsidR="00FB7E35" w:rsidRPr="007C172B" w:rsidRDefault="00FB7E35" w:rsidP="00EE5A10">
      <w:pPr>
        <w:pStyle w:val="RARMPnumberedparagraphs"/>
        <w:tabs>
          <w:tab w:val="clear" w:pos="567"/>
        </w:tab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163EB7">
        <w:t>Figure 8</w:t>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6E06B6">
      <w:pPr>
        <w:pStyle w:val="2RARMP"/>
      </w:pPr>
      <w:bookmarkStart w:id="307" w:name="_Toc301341851"/>
      <w:bookmarkStart w:id="308" w:name="_Toc46243669"/>
      <w:bookmarkStart w:id="309" w:name="_Toc47536762"/>
      <w:bookmarkStart w:id="310" w:name="_Toc219281406"/>
      <w:r w:rsidRPr="0000143A">
        <w:t>Risk identification</w:t>
      </w:r>
      <w:bookmarkEnd w:id="307"/>
      <w:bookmarkEnd w:id="308"/>
      <w:bookmarkEnd w:id="309"/>
      <w:bookmarkEnd w:id="310"/>
    </w:p>
    <w:p w14:paraId="4A94BE29" w14:textId="28FF7FB7"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163EB7">
        <w:t>Figure 8</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IxwUAAAUmAAAOAAAAZHJzL2Uyb0RvYy54bWzsWm1v2zYQ/j5g/0HQ98R6l23UKbK0CQoU&#10;bbFk6GdGpmxhEqlRTOz01+/uSEm2Y2dxhrlB5nxQKL7f+e6eh0e9e7+sSueeq6aQYuL6p57rcJHJ&#10;aSFmE/ePm8uToes0mokpK6XgE/eBN+77s19/ebeoxzyQc1lOuXJgEtGMF/XEnWtdjweDJpvzijWn&#10;suYCGnOpKqbhVc0GU8UWMHtVDgLPSwYLqaa1khlvGqj9YBrdM5o/z3mmv+Z5w7VTTlzYm6anouct&#10;Pgdn79h4plg9LzK7DfaCXVSsELBoN9UHpplzp4pHU1VFpmQjc32ayWog87zIOMkA0vjehjRXSt7V&#10;JMtsvJjVnZpAtRt6evG02Zf7K1Vf198UaGJRz0AX9IayLHNV4X/YpbMklT10KuNL7WRQGQ2TMEpi&#10;18mgLY2DKI2NTrM5KL4fdhK01R9XRsZeakdGfpiE2GXQrjtY282iBvtoehU0/04F13NWc9JsMwYV&#10;fFNOMZ24AexGsArM9Abl+00uHagixVA3VJOjl1APpt7WN1C5U1ut2K26fC8NQEk7hWbjWjX6isvK&#10;wcLEVWDBZFjs/nOjjX7aLrhqI8tielmUJb2g1/CLUjn3DOy91LRJ0Ohar1I4i4mbhLFHEwuJw83M&#10;pcBpOPmNXQ4Vb0Skkn4oOfYpxe88B6WRXWxZm2UZF9361Bt75bDUPgNt/35X+ww2csAIWlkK3Q2u&#10;CiEVSU+BplfZ9M9WZbnpDwa5IjcW9fJ2aU3iVk4fwCKUNGGlqbPLAn61z6zR35iCOAIRB2Kj/gqP&#10;vJSgdWlLrjOX6se2euwPtg2trrOAuDRxBQRO1yk/CbD5kR9FGMboJYrTAF7Uasvtaou4qy4kGIIP&#10;MbjOqIj9ddkWcyWr7xBAz3FNaGIig5Unrm6LF9rESgjAGT8/p04QuGqmP4vrOsOpUblokTfL70zV&#10;1mw1GPwX2XoZG29Yr+mLI4U8v9MyL8i0Ub1Gp1bt4PEYlQ7h+oBTm64/bF0cIsQ+rh9G8RC83HUe&#10;h0s/8uIgbsMlBr3W3tpg2zr30f8RCl6p/xNadAhwmDDQ/HXH1P88EFh6YpjKCm6PWuclxuQEI+O5&#10;M8T259IbP/DTNE7Ia4Mw8nxCfkBDy1eCIByNUmhHphMloT+iVdh4g+lYTpnNPz49cCfR2SFkCPHZ&#10;RCgjJLwTDO0lJMzxOCglqe+PbExKRoG/ncE9kguGBbgp1EcyGhql75TqADE8BJwzGrrWihWzuXYu&#10;pBDAoKRyoNGiNtjEhbB8t+U2LencILthnEQbZhCnngcaIqlJJZ3Ej7hbWQBwI8htoB/SO6w2RCwY&#10;xoYzG6JBbHKFcqxRLYO2OznLHjRrhegYSoYb6gjTE8SuH9j1xqGWLpmBO+mVXrZwt5NemWCKdNTi&#10;/qEIQJACYhvz+dTIJuMlb5wbVTAxK7kTYHNvQEgH7Nsq/zdUMI48/KOf3p6dgBAMMXaAq5z4QzwB&#10;wOg+thj3IZvyvWSYEvPYbVja7uop41qj/BsW0/8Ma72MPYY+mCNubq3tOTPAhvEA8Qw7DswC68eV&#10;9shAa8/ZlJtTTEy6RIOALbUj6G27uW/1kXZuM82hWUV/EPsHs/+vjxI/hUNkWr2m4wSY5xrCUsLj&#10;EaMI0rCNBpZTYA25/F6Amw6jcPSmURciI+QzduIuNZPeKIVyRN4eQPcMQ/3AN4e8wKeeQl4ipEgH&#10;7EHcmtMRedvU3xF5d+Tzjshrc3qvIZH3XOQFnmyiQYe8yQuQ14+RSMOR8O0eeAFbuxuLLUdeaj5C&#10;79bs/vHQSxdeARw1n4TezRz4EXrpHNrfuh2h9wi9W27QXvWh9wC5WMCeLinfX6ZjZQ9Ie92pJZEX&#10;mASaHw59cy3fJ9D8OPB93yajwwC+K6BsHTjn8V7NpNF+bgasP7vuzIDhvTrdq3V51uO92mEu2Fd5&#10;OZXhWyNKsNrvovBjptV3KK9+vXX2NwA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AwuvEIxwUAAAUmAAAOAAAAAAAAAAAA&#10;AAAAAC4CAABkcnMvZTJvRG9jLnhtbFBLAQItABQABgAIAAAAIQAWghTw3gAAAAkBAAAPAAAAAAAA&#10;AAAAAAAAACEIAABkcnMvZG93bnJldi54bWxQSwUGAAAAAAQABADzAAAALA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AFFC7"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C282DFA" w14:textId="74AA4C33" w:rsidR="00FB7E35" w:rsidRPr="00232F77" w:rsidRDefault="00232F77" w:rsidP="00340E83">
      <w:pPr>
        <w:pStyle w:val="figure"/>
      </w:pPr>
      <w:bookmarkStart w:id="311" w:name="_Ref55379143"/>
      <w:bookmarkStart w:id="312" w:name="_Ref475973580"/>
      <w:bookmarkStart w:id="313" w:name="_Toc34906266"/>
      <w:r>
        <w:t>Figure</w:t>
      </w:r>
      <w:bookmarkEnd w:id="311"/>
      <w:r w:rsidR="00163EB7">
        <w:t xml:space="preserve"> 8</w:t>
      </w:r>
      <w:r>
        <w:t>:</w:t>
      </w:r>
      <w:r w:rsidR="00FB7E35" w:rsidRPr="00C63E8D">
        <w:rPr>
          <w:b/>
        </w:rPr>
        <w:t xml:space="preserve"> </w:t>
      </w:r>
      <w:r w:rsidR="00FB7E35" w:rsidRPr="00340E83">
        <w:t>Components of a risk scenario</w:t>
      </w:r>
      <w:bookmarkEnd w:id="312"/>
      <w:bookmarkEnd w:id="313"/>
    </w:p>
    <w:p w14:paraId="0C78C9A8" w14:textId="494DD9E0" w:rsidR="00FB7E35" w:rsidRPr="0000143A" w:rsidRDefault="00FB7E35" w:rsidP="00FB7E35">
      <w:pPr>
        <w:pStyle w:val="RARMPnumberedparagraphs"/>
        <w:tabs>
          <w:tab w:val="clear" w:pos="567"/>
        </w:tabs>
        <w:ind w:left="360" w:hanging="360"/>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1E7664">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314" w:name="_Ref490461333"/>
      <w:bookmarkStart w:id="315" w:name="_Ref496597381"/>
      <w:bookmarkStart w:id="316" w:name="_Toc46243670"/>
      <w:bookmarkStart w:id="317" w:name="_Toc47536763"/>
      <w:bookmarkStart w:id="318" w:name="_Toc219281407"/>
      <w:r w:rsidRPr="0000143A">
        <w:t>Risk source</w:t>
      </w:r>
      <w:bookmarkEnd w:id="314"/>
      <w:bookmarkEnd w:id="315"/>
      <w:bookmarkEnd w:id="316"/>
      <w:bookmarkEnd w:id="317"/>
      <w:bookmarkEnd w:id="318"/>
    </w:p>
    <w:p w14:paraId="3D2A919B" w14:textId="0916346C" w:rsidR="000334B9" w:rsidRPr="003B6497" w:rsidRDefault="003B6497" w:rsidP="003B6497">
      <w:pPr>
        <w:pStyle w:val="RARMPnumberedparagraphs"/>
        <w:tabs>
          <w:tab w:val="clear" w:pos="567"/>
        </w:tabs>
      </w:pPr>
      <w:r>
        <w:t>T</w:t>
      </w:r>
      <w:r w:rsidRPr="003B6497">
        <w:t>he parent organism is a HAdV-</w:t>
      </w:r>
      <w:r w:rsidRPr="003E2C69">
        <w:rPr>
          <w:color w:val="000000" w:themeColor="text1"/>
        </w:rPr>
        <w:t>C5</w:t>
      </w:r>
      <w:r w:rsidR="00F1397D">
        <w:t>. Details of</w:t>
      </w:r>
      <w:r w:rsidR="00FB7E35">
        <w:t xml:space="preserve"> the pathogenicity and transmissibility of</w:t>
      </w:r>
      <w:r w:rsidR="00FB7E35" w:rsidRPr="00F6440E">
        <w:t xml:space="preserve"> </w:t>
      </w:r>
      <w:proofErr w:type="spellStart"/>
      <w:r w:rsidR="00340E83">
        <w:t>HAdV</w:t>
      </w:r>
      <w:proofErr w:type="spellEnd"/>
      <w:r w:rsidR="00340E83">
        <w:t xml:space="preserve"> </w:t>
      </w:r>
      <w:r w:rsidR="00FB7E35">
        <w:t xml:space="preserve">is </w:t>
      </w:r>
      <w:r w:rsidR="00472456">
        <w:t xml:space="preserve">discussed in </w:t>
      </w:r>
      <w:r w:rsidR="00472456">
        <w:fldChar w:fldCharType="begin"/>
      </w:r>
      <w:r w:rsidR="00472456">
        <w:instrText xml:space="preserve"> REF _Ref57118949 \r \h </w:instrText>
      </w:r>
      <w:r w:rsidR="00472456">
        <w:fldChar w:fldCharType="separate"/>
      </w:r>
      <w:r w:rsidR="001E7664">
        <w:t>Chapter 1</w:t>
      </w:r>
      <w:r w:rsidR="00472456">
        <w:fldChar w:fldCharType="end"/>
      </w:r>
      <w:r w:rsidR="00FB7E35">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proofErr w:type="spellStart"/>
      <w:r w:rsidR="00340E83">
        <w:t>HAdV</w:t>
      </w:r>
      <w:proofErr w:type="spellEnd"/>
      <w:r w:rsidR="00F6440E">
        <w:t xml:space="preserve"> infects </w:t>
      </w:r>
      <w:r w:rsidR="00340E83">
        <w:t>humans</w:t>
      </w:r>
      <w:r w:rsidR="00F1397D">
        <w:t xml:space="preserve"> and causes common cold-</w:t>
      </w:r>
      <w:r w:rsidR="00340E83">
        <w:t>like symptoms, eye</w:t>
      </w:r>
      <w:r w:rsidR="00F6440E">
        <w:t xml:space="preserve"> infections or diarrhoea.</w:t>
      </w:r>
    </w:p>
    <w:p w14:paraId="2AC87261" w14:textId="374748BF"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1E7664">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1E7664">
        <w:t>4.1</w:t>
      </w:r>
      <w:r>
        <w:fldChar w:fldCharType="end"/>
      </w:r>
      <w:r w:rsidR="00D02E9A">
        <w:t xml:space="preserve">, the GMO </w:t>
      </w:r>
      <w:r w:rsidR="003B6497" w:rsidRPr="004207A4">
        <w:t xml:space="preserve">has been modified by deleting specific gene sequences and replacing a deleted DNA sequence with the </w:t>
      </w:r>
      <w:proofErr w:type="spellStart"/>
      <w:r w:rsidR="003B6497" w:rsidRPr="004207A4">
        <w:rPr>
          <w:i/>
          <w:iCs/>
        </w:rPr>
        <w:t>hIFN</w:t>
      </w:r>
      <w:proofErr w:type="spellEnd"/>
      <w:r w:rsidR="003B6497" w:rsidRPr="004207A4">
        <w:rPr>
          <w:i/>
          <w:iCs/>
        </w:rPr>
        <w:t>-α2b</w:t>
      </w:r>
      <w:r w:rsidR="003B6497" w:rsidRPr="004207A4">
        <w:t xml:space="preserve"> gene expression cassette. This introduced gene and its encoded protein are considered further as a potential source of risk.</w:t>
      </w:r>
    </w:p>
    <w:p w14:paraId="21D24CF5" w14:textId="41F41A0E" w:rsidR="00FB7E35" w:rsidRPr="0000143A" w:rsidRDefault="00FB7E35" w:rsidP="00FB7E35">
      <w:pPr>
        <w:pStyle w:val="3RARMP"/>
      </w:pPr>
      <w:bookmarkStart w:id="319" w:name="_Toc46243671"/>
      <w:bookmarkStart w:id="320" w:name="_Toc47536764"/>
      <w:bookmarkStart w:id="321" w:name="_Toc219281408"/>
      <w:r w:rsidRPr="0000143A">
        <w:t>Causal pathway</w:t>
      </w:r>
      <w:bookmarkEnd w:id="319"/>
      <w:bookmarkEnd w:id="320"/>
      <w:bookmarkEnd w:id="321"/>
    </w:p>
    <w:p w14:paraId="1BDF27AD" w14:textId="77777777" w:rsidR="00FB7E35" w:rsidRPr="0000143A" w:rsidRDefault="00FB7E35" w:rsidP="00EE5A10">
      <w:pPr>
        <w:pStyle w:val="RARMPnumberedparagraphs"/>
        <w:tabs>
          <w:tab w:val="clear" w:pos="567"/>
        </w:tab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61EF7CD6" w:rsidR="00FB7E35" w:rsidRPr="0000143A" w:rsidRDefault="00FB7E35" w:rsidP="00FB7E35">
      <w:pPr>
        <w:pStyle w:val="BulletedRARMP"/>
        <w:tabs>
          <w:tab w:val="clear" w:pos="567"/>
          <w:tab w:val="num" w:pos="851"/>
        </w:tabs>
        <w:spacing w:after="60"/>
        <w:ind w:left="851" w:hanging="425"/>
      </w:pPr>
      <w:r>
        <w:t xml:space="preserve">the proposed dealings, which are </w:t>
      </w:r>
      <w:r w:rsidR="00BD54C7">
        <w:t xml:space="preserve">conducting experiments </w:t>
      </w:r>
      <w:r w:rsidR="00BD54C7">
        <w:rPr>
          <w:szCs w:val="22"/>
        </w:rPr>
        <w:t>with the GMO</w:t>
      </w:r>
      <w:r>
        <w:t xml:space="preserve">, </w:t>
      </w:r>
      <w:r w:rsidR="00BD54C7">
        <w:t xml:space="preserve">and </w:t>
      </w:r>
      <w:r>
        <w:t xml:space="preserve">transport or disposal of </w:t>
      </w:r>
      <w:r w:rsidR="00A460DD">
        <w:t xml:space="preserve">the GMO </w:t>
      </w:r>
      <w:r>
        <w:t xml:space="preserve">and possession (including storage) </w:t>
      </w:r>
      <w:proofErr w:type="gramStart"/>
      <w:r>
        <w:t>in the course of</w:t>
      </w:r>
      <w:proofErr w:type="gramEnd"/>
      <w:r>
        <w:t xml:space="preserve"> any of these dealings</w:t>
      </w:r>
      <w:r w:rsidR="00AC424E">
        <w:t xml:space="preserve"> (excluding any dealings already covered by licence DIR 217</w:t>
      </w:r>
      <w:proofErr w:type="gramStart"/>
      <w:r w:rsidR="00AC424E">
        <w:t>)</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lastRenderedPageBreak/>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2273F36A" w:rsidR="00FB7E35" w:rsidRPr="00961290" w:rsidRDefault="00FB7E35" w:rsidP="00FB7E35">
      <w:pPr>
        <w:pStyle w:val="BulletedRARMP"/>
        <w:tabs>
          <w:tab w:val="clear" w:pos="567"/>
          <w:tab w:val="num" w:pos="851"/>
        </w:tabs>
        <w:spacing w:after="60"/>
        <w:ind w:left="851" w:hanging="425"/>
      </w:pPr>
      <w:r w:rsidRPr="00961290">
        <w:t>routes of exposure to the GMO,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554DEEE4"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GMO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29D28250" w:rsidR="00FB7E35" w:rsidRPr="00961290" w:rsidRDefault="00FB7E35" w:rsidP="00FB7E35">
      <w:pPr>
        <w:pStyle w:val="BulletedRARMP"/>
        <w:tabs>
          <w:tab w:val="clear" w:pos="567"/>
          <w:tab w:val="num" w:pos="851"/>
        </w:tabs>
        <w:spacing w:after="60"/>
        <w:ind w:left="851" w:hanging="425"/>
      </w:pPr>
      <w:r w:rsidRPr="00961290">
        <w:t>spread and persistence of the GMO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1E176101" w14:textId="04B9930B" w:rsidR="00FB7E35" w:rsidRPr="00961290" w:rsidRDefault="00FB7E35" w:rsidP="00FB7E35">
      <w:pPr>
        <w:pStyle w:val="BulletedRARMP"/>
        <w:tabs>
          <w:tab w:val="clear" w:pos="567"/>
          <w:tab w:val="num" w:pos="851"/>
        </w:tabs>
        <w:spacing w:after="60"/>
        <w:ind w:left="851" w:hanging="425"/>
      </w:pPr>
      <w:r w:rsidRPr="00961290">
        <w:t xml:space="preserve">gene transfer by horizontal gene </w:t>
      </w:r>
      <w:proofErr w:type="gramStart"/>
      <w:r w:rsidRPr="00961290">
        <w:t>transfer</w:t>
      </w:r>
      <w:r w:rsidR="00546ED8">
        <w:t>;</w:t>
      </w:r>
      <w:proofErr w:type="gramEnd"/>
      <w:r w:rsidRPr="00961290">
        <w:t xml:space="preserve"> </w:t>
      </w:r>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6D848A88" w:rsidR="003D4576" w:rsidRPr="003D4576" w:rsidRDefault="000E1237" w:rsidP="00546ED8">
      <w:pPr>
        <w:pStyle w:val="RARMPnumberedparagraphs"/>
        <w:tabs>
          <w:tab w:val="clear" w:pos="567"/>
        </w:tabs>
      </w:pPr>
      <w:r>
        <w:t xml:space="preserve">As discussed in Chapter 1 Section </w:t>
      </w:r>
      <w:r w:rsidR="00B00731">
        <w:fldChar w:fldCharType="begin"/>
      </w:r>
      <w:r w:rsidR="00B00731">
        <w:instrText xml:space="preserve"> REF _Ref425251282 \n \h </w:instrText>
      </w:r>
      <w:r w:rsidR="00B00731">
        <w:fldChar w:fldCharType="separate"/>
      </w:r>
      <w:r w:rsidR="00B00731">
        <w:t>1.1</w:t>
      </w:r>
      <w:r w:rsidR="00B00731">
        <w:fldChar w:fldCharType="end"/>
      </w:r>
      <w:r>
        <w:t xml:space="preserve">,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fldChar w:fldCharType="separate"/>
      </w:r>
      <w:r>
        <w:rPr>
          <w:noProof/>
        </w:rPr>
        <w:t>(</w:t>
      </w:r>
      <w:hyperlink w:anchor="_ENREF_64" w:tooltip="National Health and Medical Research Council, 2018 #2" w:history="1">
        <w:r w:rsidR="0027195B">
          <w:rPr>
            <w:noProof/>
          </w:rPr>
          <w:t>National Health and Medical Research Council et al., 2018</w:t>
        </w:r>
      </w:hyperlink>
      <w:r>
        <w:rPr>
          <w:noProof/>
        </w:rPr>
        <w:t>)</w:t>
      </w:r>
      <w:r>
        <w:fldChar w:fldCharType="end"/>
      </w:r>
      <w:r>
        <w:t xml:space="preserve">. Therefore, risk scenarios in the current assessment focus primarily on risks posed to </w:t>
      </w:r>
      <w:r w:rsidRPr="00D72A1B">
        <w:t>people</w:t>
      </w:r>
      <w:r>
        <w:t xml:space="preserve"> other than the intended </w:t>
      </w:r>
      <w:r w:rsidR="003208BB">
        <w:t xml:space="preserve">GMO </w:t>
      </w:r>
      <w:r>
        <w:t>recipient,</w:t>
      </w:r>
      <w:r w:rsidRPr="00D72A1B">
        <w:t xml:space="preserve"> </w:t>
      </w:r>
      <w:r>
        <w:t>and to</w:t>
      </w:r>
      <w:r w:rsidRPr="00D72A1B">
        <w:t xml:space="preserve"> the environment, including long term persistence of the GMO, which </w:t>
      </w:r>
      <w:r>
        <w:t>may</w:t>
      </w:r>
      <w:r w:rsidRPr="00D72A1B">
        <w:t xml:space="preserve"> arise from the import, transport, st</w:t>
      </w:r>
      <w:r>
        <w:t>orage or disposal of the GMO.</w:t>
      </w:r>
      <w:r w:rsidR="007B7D58">
        <w:rPr>
          <w:color w:val="000000" w:themeColor="text1"/>
        </w:rPr>
        <w:t xml:space="preserve"> </w:t>
      </w:r>
    </w:p>
    <w:p w14:paraId="1C6B6810" w14:textId="3569F008" w:rsidR="00FB7E35" w:rsidRDefault="00FB7E35" w:rsidP="00EE5A10">
      <w:pPr>
        <w:pStyle w:val="RARMPnumberedparagraphs"/>
        <w:tabs>
          <w:tab w:val="clear" w:pos="567"/>
        </w:tabs>
      </w:pPr>
      <w:r w:rsidRPr="00961290">
        <w:t xml:space="preserve">The Act provides for substantial penalties for unauthorised dealings with GMOs or non-compliance with licence </w:t>
      </w:r>
      <w:proofErr w:type="gramStart"/>
      <w:r w:rsidRPr="00961290">
        <w:t>conditions, and</w:t>
      </w:r>
      <w:proofErr w:type="gramEnd"/>
      <w:r w:rsidRPr="00961290">
        <w:t xml:space="preserve">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05C6EBC" w14:textId="037398F4" w:rsidR="00580665" w:rsidRDefault="00580665" w:rsidP="00580665">
      <w:pPr>
        <w:pStyle w:val="RARMPnumberedparagraphs"/>
      </w:pPr>
      <w:r w:rsidRPr="00580665">
        <w:t xml:space="preserve">As mentioned in Chapter 1, Section </w:t>
      </w:r>
      <w:r w:rsidR="00612D03">
        <w:fldChar w:fldCharType="begin"/>
      </w:r>
      <w:r w:rsidR="00612D03">
        <w:instrText xml:space="preserve"> REF _Ref57119116 \n \h </w:instrText>
      </w:r>
      <w:r w:rsidR="00612D03">
        <w:fldChar w:fldCharType="separate"/>
      </w:r>
      <w:r w:rsidR="00612D03">
        <w:t>3.4</w:t>
      </w:r>
      <w:r w:rsidR="00612D03">
        <w:fldChar w:fldCharType="end"/>
      </w:r>
      <w:r w:rsidRPr="00580665">
        <w:t>, adenoviruses remain episomal throughout the infection and do not integrate into the host DNA. Similarly, the vectors derived from these adenoviruses are considered as non-integrating vectors which do not have a propensity to integrate or reactivate</w:t>
      </w:r>
      <w:r w:rsidR="000B45FA">
        <w:t xml:space="preserve"> following latency</w:t>
      </w:r>
      <w:r w:rsidRPr="00580665">
        <w:t xml:space="preserve"> in a host (EMEA, 2007; FDA, 2020). Further, adenoviral vectors </w:t>
      </w:r>
      <w:r w:rsidR="00544679">
        <w:t xml:space="preserve">(such as HAdV-C5) </w:t>
      </w:r>
      <w:r w:rsidRPr="00580665">
        <w:t xml:space="preserve">have been used extensively in clinical studies as a vaccine and </w:t>
      </w:r>
      <w:r w:rsidR="00011E9C">
        <w:t xml:space="preserve">as a </w:t>
      </w:r>
      <w:r w:rsidRPr="00580665">
        <w:t>gene therapy for almost 30 years (Crystal, 2014) and there is no evidence of integration of viral DNA into the host genome. Thus, the consequences of integration of viral DNA into a host cell genome will not be further discussed.</w:t>
      </w:r>
    </w:p>
    <w:p w14:paraId="76DFBFA4" w14:textId="52CD730F" w:rsidR="00F248AB" w:rsidRPr="00A27729" w:rsidRDefault="00F248AB" w:rsidP="00580665">
      <w:pPr>
        <w:pStyle w:val="RARMPnumberedparagraphs"/>
      </w:pPr>
      <w:r w:rsidRPr="00A27729">
        <w:t xml:space="preserve">Recombination between different </w:t>
      </w:r>
      <w:r w:rsidR="003208BB" w:rsidRPr="00A27729">
        <w:t xml:space="preserve">GMOs </w:t>
      </w:r>
      <w:r w:rsidRPr="00A27729">
        <w:t xml:space="preserve">using adenovirus platforms is highly unlikely because it is </w:t>
      </w:r>
      <w:r w:rsidR="00544679" w:rsidRPr="00A27729">
        <w:t>improbable</w:t>
      </w:r>
      <w:r w:rsidRPr="00A27729">
        <w:t xml:space="preserve"> that two or more </w:t>
      </w:r>
      <w:r w:rsidR="003208BB" w:rsidRPr="00A27729">
        <w:t>adenovirus-based</w:t>
      </w:r>
      <w:r w:rsidR="002A0824" w:rsidRPr="00A27729">
        <w:t xml:space="preserve"> therapies</w:t>
      </w:r>
      <w:r w:rsidRPr="00A27729">
        <w:t xml:space="preserve"> are administered at the same time </w:t>
      </w:r>
      <w:r w:rsidR="006063ED" w:rsidRPr="00A27729">
        <w:t>with the same route</w:t>
      </w:r>
      <w:r w:rsidR="00653A97" w:rsidRPr="00A27729">
        <w:t xml:space="preserve"> (</w:t>
      </w:r>
      <w:r w:rsidR="003B6497" w:rsidRPr="00A27729">
        <w:t>intravesical</w:t>
      </w:r>
      <w:r w:rsidR="00653A97" w:rsidRPr="00A27729">
        <w:t>)</w:t>
      </w:r>
      <w:r w:rsidRPr="00A27729">
        <w:t xml:space="preserve"> </w:t>
      </w:r>
      <w:r w:rsidR="002A0824" w:rsidRPr="00A27729">
        <w:t xml:space="preserve">and </w:t>
      </w:r>
      <w:r w:rsidRPr="00A27729">
        <w:t>the lack of homology between adenoviral vectors further reduces the possibility of recombination</w:t>
      </w:r>
      <w:r w:rsidR="002A0824" w:rsidRPr="00A27729">
        <w:t>.</w:t>
      </w:r>
      <w:r w:rsidRPr="00A27729">
        <w:t xml:space="preserve"> Thus, the potential of recombination between adenoviral </w:t>
      </w:r>
      <w:r w:rsidR="002A0824" w:rsidRPr="00A27729">
        <w:t xml:space="preserve">therapies </w:t>
      </w:r>
      <w:r w:rsidRPr="00A27729">
        <w:t xml:space="preserve">will not be further discussed. </w:t>
      </w:r>
    </w:p>
    <w:p w14:paraId="3EF2DE1E" w14:textId="063FE7E3" w:rsidR="003B6497" w:rsidRDefault="003B6497" w:rsidP="00580665">
      <w:pPr>
        <w:pStyle w:val="RARMPnumberedparagraphs"/>
      </w:pPr>
      <w:r w:rsidRPr="006F12DE">
        <w:rPr>
          <w:snapToGrid w:val="0"/>
        </w:rPr>
        <w:t xml:space="preserve">Potential sources of harm can be </w:t>
      </w:r>
      <w:r>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horizontal gene transfer (HGT)</w:t>
      </w:r>
      <w:r>
        <w:rPr>
          <w:snapToGrid w:val="0"/>
        </w:rPr>
        <w:t xml:space="preserve"> which is </w:t>
      </w:r>
      <w:r w:rsidRPr="006F12DE">
        <w:rPr>
          <w:snapToGrid w:val="0"/>
        </w:rPr>
        <w:t xml:space="preserve">the stable transfer of genetic material from one organism to another without </w:t>
      </w:r>
      <w:r>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w:t>
      </w:r>
      <w:r w:rsidRPr="006F12DE">
        <w:rPr>
          <w:snapToGrid w:val="0"/>
        </w:rPr>
        <w:lastRenderedPageBreak/>
        <w:t xml:space="preserve">organism. The novel trait may result in negative, neutral or positive effects on the fitness of the recipient organism. HGT </w:t>
      </w:r>
      <w:r>
        <w:rPr>
          <w:snapToGrid w:val="0"/>
        </w:rPr>
        <w:t xml:space="preserve">commonly occurs from cells to viruses but </w:t>
      </w:r>
      <w:r w:rsidRPr="006F12DE">
        <w:rPr>
          <w:snapToGrid w:val="0"/>
        </w:rPr>
        <w:t xml:space="preserve">rarely occurs from </w:t>
      </w:r>
      <w:r>
        <w:rPr>
          <w:snapToGrid w:val="0"/>
        </w:rPr>
        <w:t xml:space="preserve">viruses to their host cells, </w:t>
      </w:r>
      <w:proofErr w:type="gramStart"/>
      <w:r>
        <w:rPr>
          <w:snapToGrid w:val="0"/>
        </w:rPr>
        <w:t>with the exception of</w:t>
      </w:r>
      <w:proofErr w:type="gramEnd"/>
      <w:r>
        <w:rPr>
          <w:snapToGrid w:val="0"/>
        </w:rPr>
        <w:t xml:space="preserve"> retroviruses and some DNA viruses</w:t>
      </w:r>
      <w:r w:rsidRPr="006F12DE">
        <w:rPr>
          <w:snapToGrid w:val="0"/>
        </w:rPr>
        <w:t xml:space="preserve">. </w:t>
      </w:r>
      <w:r>
        <w:rPr>
          <w:snapToGrid w:val="0"/>
        </w:rPr>
        <w:t>This pathway is further considered as a potential source of risk.</w:t>
      </w:r>
    </w:p>
    <w:p w14:paraId="613B92FF" w14:textId="01E7E8E5" w:rsidR="00FB7E35" w:rsidRPr="00961290" w:rsidRDefault="00FB7E35" w:rsidP="00FB7E35">
      <w:pPr>
        <w:pStyle w:val="3RARMP"/>
        <w:spacing w:before="240"/>
      </w:pPr>
      <w:bookmarkStart w:id="322" w:name="_Toc453825264"/>
      <w:bookmarkStart w:id="323" w:name="_Toc534809825"/>
      <w:bookmarkStart w:id="324" w:name="_Toc37145972"/>
      <w:bookmarkStart w:id="325" w:name="_Toc46243672"/>
      <w:bookmarkStart w:id="326" w:name="_Toc47536765"/>
      <w:bookmarkStart w:id="327" w:name="_Toc219281409"/>
      <w:r w:rsidRPr="00961290">
        <w:t>Potential harm</w:t>
      </w:r>
      <w:bookmarkEnd w:id="322"/>
      <w:bookmarkEnd w:id="323"/>
      <w:bookmarkEnd w:id="324"/>
      <w:bookmarkEnd w:id="325"/>
      <w:bookmarkEnd w:id="326"/>
      <w:r w:rsidR="000D3070">
        <w:t>s</w:t>
      </w:r>
      <w:bookmarkEnd w:id="327"/>
    </w:p>
    <w:p w14:paraId="458319CD" w14:textId="59401F09" w:rsidR="00FB7E35" w:rsidRPr="00961290" w:rsidRDefault="000D3070" w:rsidP="00B32534">
      <w:pPr>
        <w:pStyle w:val="RARMPnumberedparagraphs"/>
        <w:tabs>
          <w:tab w:val="clear" w:pos="567"/>
        </w:tab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33E5C523" w:rsidR="00FB7E35"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p>
    <w:p w14:paraId="286D189D" w14:textId="27580E76" w:rsidR="003B6497" w:rsidRPr="00664190" w:rsidRDefault="003B6497" w:rsidP="003B6497">
      <w:pPr>
        <w:pStyle w:val="RARMPnumberedparagraphs"/>
      </w:pPr>
      <w:r w:rsidRPr="003B6497">
        <w:t xml:space="preserve">Toxicity and allergenicity of the introduced genes and their protein products have not been directly </w:t>
      </w:r>
      <w:proofErr w:type="gramStart"/>
      <w:r w:rsidRPr="003B6497">
        <w:t>considered, but</w:t>
      </w:r>
      <w:proofErr w:type="gramEnd"/>
      <w:r w:rsidRPr="003B6497">
        <w:t xml:space="preserve"> are </w:t>
      </w:r>
      <w:proofErr w:type="gramStart"/>
      <w:r w:rsidRPr="003B6497">
        <w:t>taken into account</w:t>
      </w:r>
      <w:proofErr w:type="gramEnd"/>
      <w:r w:rsidRPr="003B6497">
        <w:t xml:space="preserve"> in the context of their contribution to ill health.</w:t>
      </w:r>
    </w:p>
    <w:p w14:paraId="0B4B3E29" w14:textId="77777777" w:rsidR="00FB7E35" w:rsidRPr="0000143A" w:rsidRDefault="00FB7E35" w:rsidP="00FB7E35">
      <w:pPr>
        <w:pStyle w:val="3RARMP"/>
      </w:pPr>
      <w:bookmarkStart w:id="328" w:name="_Toc46243673"/>
      <w:bookmarkStart w:id="329" w:name="_Toc47536766"/>
      <w:bookmarkStart w:id="330" w:name="_Toc219281410"/>
      <w:r w:rsidRPr="0000143A">
        <w:t>Postulated risk scenarios</w:t>
      </w:r>
      <w:bookmarkEnd w:id="328"/>
      <w:bookmarkEnd w:id="329"/>
      <w:bookmarkEnd w:id="330"/>
    </w:p>
    <w:p w14:paraId="609C700D" w14:textId="7AEB6D4A" w:rsidR="00FB7E35" w:rsidRDefault="00FB7E35" w:rsidP="00B32534">
      <w:pPr>
        <w:pStyle w:val="RARMPnumberedparagraphs"/>
        <w:tabs>
          <w:tab w:val="clear" w:pos="567"/>
        </w:tabs>
      </w:pPr>
      <w:r w:rsidRPr="0000143A">
        <w:t>Three risk scenarios were postulated and screened to identify substantive risk</w:t>
      </w:r>
      <w:r w:rsidR="00655897">
        <w:t>s</w:t>
      </w:r>
      <w:r w:rsidRPr="0000143A">
        <w:t xml:space="preserve">.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 xml:space="preserve">in Table </w:t>
      </w:r>
      <w:r w:rsidR="0049232C" w:rsidRPr="003E2C69">
        <w:rPr>
          <w:color w:val="000000" w:themeColor="text1"/>
        </w:rPr>
        <w:t>2</w:t>
      </w:r>
      <w:r w:rsidRPr="0000143A">
        <w:t xml:space="preserve"> 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1E7664">
        <w:t>2.4.1</w:t>
      </w:r>
      <w:r w:rsidR="009B70AD">
        <w:fldChar w:fldCharType="end"/>
      </w:r>
      <w:r w:rsidR="00F10728">
        <w:t>-</w:t>
      </w:r>
      <w:r w:rsidR="009B70AD">
        <w:fldChar w:fldCharType="begin"/>
      </w:r>
      <w:r w:rsidR="009B70AD">
        <w:instrText xml:space="preserve"> REF _Ref61527106 \n \h </w:instrText>
      </w:r>
      <w:r w:rsidR="009B70AD">
        <w:fldChar w:fldCharType="separate"/>
      </w:r>
      <w:r w:rsidR="001E7664">
        <w:t>2.4.3</w:t>
      </w:r>
      <w:r w:rsidR="009B70AD">
        <w:fldChar w:fldCharType="end"/>
      </w:r>
      <w:r w:rsidR="00F10728">
        <w:t xml:space="preserve"> (this chapter)</w:t>
      </w:r>
      <w:r w:rsidRPr="0000143A">
        <w:t xml:space="preserve">. </w:t>
      </w:r>
    </w:p>
    <w:p w14:paraId="6C8395A9" w14:textId="2D12D29B" w:rsidR="00FB7E35" w:rsidRPr="00512CCF" w:rsidRDefault="00FB7E35" w:rsidP="0055420C">
      <w:pPr>
        <w:pStyle w:val="RARMPnumberedparagraphs"/>
        <w:tabs>
          <w:tab w:val="clear" w:pos="567"/>
        </w:tabs>
        <w:rPr>
          <w:b/>
          <w:bCs/>
          <w:szCs w:val="20"/>
        </w:rPr>
      </w:pPr>
      <w:r w:rsidRPr="0000143A">
        <w:t xml:space="preserve">In the context of the activities proposed by the applicant and considering both the short and long term, none of the </w:t>
      </w:r>
      <w:r w:rsidR="00655897">
        <w:t>3</w:t>
      </w:r>
      <w:r w:rsidR="00655897" w:rsidRPr="0000143A">
        <w:t xml:space="preserve"> </w:t>
      </w:r>
      <w:r w:rsidRPr="0000143A">
        <w:t>risk scenarios gave rise to any substantive risks that could be greater than negligible.</w:t>
      </w:r>
      <w:bookmarkStart w:id="331" w:name="_Ref490043887"/>
      <w:bookmarkStart w:id="332" w:name="_Ref490207084"/>
    </w:p>
    <w:p w14:paraId="0F1166AA" w14:textId="37D8D417" w:rsidR="00FB7E35" w:rsidRPr="008F7A8B" w:rsidRDefault="000D224E" w:rsidP="00787440">
      <w:pPr>
        <w:pStyle w:val="table"/>
      </w:pPr>
      <w:bookmarkStart w:id="333" w:name="_Ref191117258"/>
      <w:bookmarkStart w:id="334" w:name="_Ref222561300"/>
      <w:bookmarkStart w:id="335" w:name="_Ref376429439"/>
      <w:bookmarkEnd w:id="331"/>
      <w:bookmarkEnd w:id="332"/>
      <w:r w:rsidRPr="003E2C69">
        <w:t xml:space="preserve">Table 2. </w:t>
      </w:r>
      <w:r w:rsidR="00FB7E35" w:rsidRPr="008F7A8B">
        <w:t xml:space="preserve">Summary of </w:t>
      </w:r>
      <w:bookmarkStart w:id="336" w:name="_Hlk216278550"/>
      <w:r w:rsidR="004F05DE" w:rsidRPr="008F7A8B">
        <w:t xml:space="preserve">hypothetical </w:t>
      </w:r>
      <w:r w:rsidR="00FB7E35" w:rsidRPr="008F7A8B">
        <w:t xml:space="preserve">risk scenarios from dealings with </w:t>
      </w:r>
      <w:r w:rsidR="00785E9A">
        <w:t xml:space="preserve">the </w:t>
      </w:r>
      <w:r w:rsidR="00FB7E35" w:rsidRPr="008F7A8B">
        <w:t>GM</w:t>
      </w:r>
      <w:bookmarkEnd w:id="333"/>
      <w:bookmarkEnd w:id="334"/>
      <w:r w:rsidR="003208BB">
        <w:t>O</w:t>
      </w:r>
      <w:bookmarkEnd w:id="336"/>
      <w:r w:rsidR="00F9436A" w:rsidRPr="008F7A8B">
        <w:t xml:space="preserve"> </w:t>
      </w:r>
      <w:bookmarkEnd w:id="335"/>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9"/>
        <w:gridCol w:w="2172"/>
        <w:gridCol w:w="1358"/>
        <w:gridCol w:w="1195"/>
        <w:gridCol w:w="2635"/>
      </w:tblGrid>
      <w:tr w:rsidR="00FB7E35" w:rsidRPr="006404A8" w14:paraId="4A27E72C" w14:textId="77777777" w:rsidTr="00DC38EE">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5"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201"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751"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457"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DC38EE">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5"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201" w:type="pct"/>
            <w:tcBorders>
              <w:top w:val="single" w:sz="12" w:space="0" w:color="auto"/>
              <w:left w:val="single" w:sz="4" w:space="0" w:color="auto"/>
              <w:bottom w:val="single" w:sz="4" w:space="0" w:color="auto"/>
              <w:right w:val="single" w:sz="4" w:space="0" w:color="auto"/>
            </w:tcBorders>
          </w:tcPr>
          <w:p w14:paraId="17F83C76" w14:textId="7FC25121"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people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rsidP="00B50718">
            <w:pPr>
              <w:pStyle w:val="textfortable"/>
              <w:numPr>
                <w:ilvl w:val="0"/>
                <w:numId w:val="25"/>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Pr="0048606F" w:rsidRDefault="00313C19" w:rsidP="00B50718">
            <w:pPr>
              <w:pStyle w:val="textfortable"/>
              <w:numPr>
                <w:ilvl w:val="0"/>
                <w:numId w:val="25"/>
              </w:numPr>
              <w:jc w:val="left"/>
              <w:rPr>
                <w:rFonts w:ascii="Calibri" w:hAnsi="Calibri"/>
              </w:rPr>
            </w:pPr>
            <w:r>
              <w:rPr>
                <w:rFonts w:ascii="Calibri" w:hAnsi="Calibri"/>
              </w:rPr>
              <w:t>During i</w:t>
            </w:r>
            <w:r w:rsidR="00FB7E35" w:rsidRPr="0048606F">
              <w:rPr>
                <w:rFonts w:ascii="Calibri" w:hAnsi="Calibri"/>
              </w:rPr>
              <w:t>mport, transport or storage of the GMO</w:t>
            </w:r>
          </w:p>
          <w:p w14:paraId="3D6EED90" w14:textId="0025E67D" w:rsidR="00B70686" w:rsidRPr="00B70686" w:rsidRDefault="00B70686" w:rsidP="00B70686">
            <w:pPr>
              <w:pStyle w:val="textfortable"/>
              <w:numPr>
                <w:ilvl w:val="0"/>
                <w:numId w:val="25"/>
              </w:numPr>
              <w:jc w:val="left"/>
              <w:rPr>
                <w:rFonts w:ascii="Calibri" w:hAnsi="Calibri"/>
              </w:rPr>
            </w:pPr>
            <w:r w:rsidRPr="00B70686">
              <w:rPr>
                <w:rFonts w:ascii="Calibri" w:hAnsi="Calibri"/>
              </w:rPr>
              <w:t>Handling of samples containing the GMO</w:t>
            </w:r>
          </w:p>
          <w:p w14:paraId="2F6C7BF4" w14:textId="5E67C390" w:rsidR="00313C19" w:rsidRPr="00B70686" w:rsidRDefault="00FB7E35" w:rsidP="00B70686">
            <w:pPr>
              <w:pStyle w:val="textfortable"/>
              <w:numPr>
                <w:ilvl w:val="0"/>
                <w:numId w:val="25"/>
              </w:numPr>
              <w:jc w:val="left"/>
              <w:rPr>
                <w:rFonts w:ascii="Calibri" w:hAnsi="Calibri"/>
              </w:rPr>
            </w:pPr>
            <w:r w:rsidRPr="0048606F">
              <w:rPr>
                <w:rFonts w:ascii="Calibri" w:hAnsi="Calibri"/>
              </w:rPr>
              <w:t>Disposal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28396F84" w:rsidR="00FB7E35"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lastRenderedPageBreak/>
              <w:t>Post infection immune response due to the presence of the virus</w:t>
            </w:r>
          </w:p>
          <w:p w14:paraId="02162FEE" w14:textId="14985602" w:rsidR="00B82AC6" w:rsidRDefault="00C864C2" w:rsidP="00B82AC6">
            <w:pPr>
              <w:pStyle w:val="Style4"/>
              <w:numPr>
                <w:ilvl w:val="0"/>
                <w:numId w:val="0"/>
              </w:numPr>
              <w:jc w:val="center"/>
              <w:rPr>
                <w:rFonts w:ascii="Calibri" w:hAnsi="Calibri"/>
                <w:color w:val="auto"/>
                <w:sz w:val="20"/>
                <w:szCs w:val="20"/>
              </w:rPr>
            </w:pPr>
            <w:r>
              <w:rPr>
                <w:rFonts w:ascii="Calibri" w:hAnsi="Calibri"/>
                <w:color w:val="auto"/>
                <w:sz w:val="20"/>
                <w:szCs w:val="20"/>
              </w:rPr>
              <w:t>a</w:t>
            </w:r>
            <w:r w:rsidR="00B82AC6">
              <w:rPr>
                <w:rFonts w:ascii="Calibri" w:hAnsi="Calibri"/>
                <w:color w:val="auto"/>
                <w:sz w:val="20"/>
                <w:szCs w:val="20"/>
              </w:rPr>
              <w:t>nd/or</w:t>
            </w:r>
          </w:p>
          <w:p w14:paraId="52F08260" w14:textId="345F7A02" w:rsidR="00B82AC6" w:rsidRPr="0048606F" w:rsidRDefault="00D63584" w:rsidP="00B82AC6">
            <w:pPr>
              <w:pStyle w:val="Style4"/>
              <w:numPr>
                <w:ilvl w:val="0"/>
                <w:numId w:val="0"/>
              </w:numPr>
              <w:jc w:val="center"/>
              <w:rPr>
                <w:rFonts w:ascii="Calibri" w:hAnsi="Calibri"/>
                <w:color w:val="auto"/>
                <w:sz w:val="20"/>
                <w:szCs w:val="20"/>
              </w:rPr>
            </w:pPr>
            <w:r w:rsidRPr="00D63584">
              <w:rPr>
                <w:rFonts w:ascii="Calibri" w:hAnsi="Calibri"/>
                <w:color w:val="auto"/>
                <w:sz w:val="20"/>
                <w:szCs w:val="20"/>
              </w:rPr>
              <w:t>Expression of the IFN-α2b protein</w:t>
            </w:r>
          </w:p>
          <w:p w14:paraId="0259B53F" w14:textId="77777777" w:rsidR="00FB7E35" w:rsidRPr="0048606F" w:rsidRDefault="00FB7E35" w:rsidP="004B20AB">
            <w:pPr>
              <w:pStyle w:val="textfortable"/>
              <w:jc w:val="left"/>
              <w:rPr>
                <w:rFonts w:ascii="Calibri" w:hAnsi="Calibri"/>
              </w:rPr>
            </w:pPr>
          </w:p>
        </w:tc>
        <w:tc>
          <w:tcPr>
            <w:tcW w:w="751" w:type="pct"/>
            <w:tcBorders>
              <w:top w:val="single" w:sz="12" w:space="0" w:color="auto"/>
              <w:left w:val="single" w:sz="4" w:space="0" w:color="auto"/>
              <w:bottom w:val="single" w:sz="4" w:space="0" w:color="auto"/>
              <w:right w:val="single" w:sz="4" w:space="0" w:color="auto"/>
            </w:tcBorders>
          </w:tcPr>
          <w:p w14:paraId="468AD16E" w14:textId="039E5FED" w:rsidR="00FB7E35" w:rsidRPr="0048606F" w:rsidRDefault="00041401" w:rsidP="00F1397D">
            <w:pPr>
              <w:pStyle w:val="textfortable"/>
              <w:spacing w:before="60" w:after="60"/>
              <w:jc w:val="left"/>
              <w:rPr>
                <w:rFonts w:ascii="Calibri" w:hAnsi="Calibri"/>
              </w:rPr>
            </w:pPr>
            <w:r>
              <w:rPr>
                <w:rFonts w:ascii="Calibri" w:hAnsi="Calibri"/>
                <w:color w:val="000000" w:themeColor="text1"/>
              </w:rPr>
              <w:lastRenderedPageBreak/>
              <w:t>A</w:t>
            </w:r>
            <w:r w:rsidRPr="00050667">
              <w:rPr>
                <w:rFonts w:ascii="Calibri" w:hAnsi="Calibri"/>
                <w:color w:val="000000" w:themeColor="text1"/>
              </w:rPr>
              <w:t xml:space="preserve">dverse </w:t>
            </w:r>
            <w:r w:rsidR="00FF0635" w:rsidRPr="00050667">
              <w:rPr>
                <w:rFonts w:ascii="Calibri" w:hAnsi="Calibri"/>
                <w:color w:val="000000" w:themeColor="text1"/>
              </w:rPr>
              <w:t>immune reactions</w:t>
            </w:r>
            <w:r w:rsidR="002C4210">
              <w:rPr>
                <w:rFonts w:ascii="Calibri" w:hAnsi="Calibri"/>
                <w:color w:val="000000" w:themeColor="text1"/>
              </w:rPr>
              <w:t xml:space="preserve">; </w:t>
            </w:r>
            <w:r w:rsidR="002C4210" w:rsidRPr="002C4210">
              <w:rPr>
                <w:rFonts w:ascii="Calibri" w:hAnsi="Calibri"/>
                <w:color w:val="000000" w:themeColor="text1"/>
              </w:rPr>
              <w:t>illness, local inflammation, flu-like symptoms</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457" w:type="pct"/>
            <w:tcBorders>
              <w:top w:val="single" w:sz="12" w:space="0" w:color="auto"/>
              <w:left w:val="single" w:sz="4" w:space="0" w:color="auto"/>
              <w:bottom w:val="single" w:sz="4" w:space="0" w:color="auto"/>
              <w:right w:val="single" w:sz="12" w:space="0" w:color="auto"/>
            </w:tcBorders>
          </w:tcPr>
          <w:p w14:paraId="7F236680" w14:textId="4ABA085B"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Import and transport of the GMO would be in accordance with IATA </w:t>
            </w:r>
            <w:r w:rsidR="00E235CA">
              <w:rPr>
                <w:rFonts w:cs="Calibri"/>
                <w:sz w:val="20"/>
                <w:szCs w:val="20"/>
              </w:rPr>
              <w:t xml:space="preserve">3373 </w:t>
            </w:r>
            <w:r>
              <w:rPr>
                <w:rFonts w:cs="Calibri"/>
                <w:sz w:val="20"/>
                <w:szCs w:val="20"/>
              </w:rPr>
              <w:t xml:space="preserve">and/or the Regulator’s </w:t>
            </w:r>
            <w:r>
              <w:rPr>
                <w:rFonts w:cs="Calibri"/>
                <w:i/>
                <w:iCs/>
                <w:sz w:val="20"/>
                <w:szCs w:val="20"/>
              </w:rPr>
              <w:t>Guidelines for Transport, Storage and Disposal of GMOs</w:t>
            </w:r>
            <w:r w:rsidR="00551A0C">
              <w:rPr>
                <w:rFonts w:cs="Calibri"/>
                <w:sz w:val="20"/>
                <w:szCs w:val="20"/>
              </w:rPr>
              <w:t>.</w:t>
            </w:r>
          </w:p>
          <w:p w14:paraId="38801B98" w14:textId="2D77D1D6"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Only trained and experienced personnel would conduct dealings with the GMO, using personal protective equipment to minimise potential exposure</w:t>
            </w:r>
            <w:r w:rsidR="00551A0C">
              <w:rPr>
                <w:rFonts w:cs="Calibri"/>
                <w:sz w:val="20"/>
                <w:szCs w:val="20"/>
              </w:rPr>
              <w:t>.</w:t>
            </w:r>
          </w:p>
          <w:p w14:paraId="4B8035A0" w14:textId="64C46819"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GMO and contaminated waste disposed of as infectious clinical waste</w:t>
            </w:r>
            <w:r w:rsidR="00551A0C">
              <w:rPr>
                <w:rFonts w:cs="Calibri"/>
                <w:sz w:val="20"/>
                <w:szCs w:val="20"/>
              </w:rPr>
              <w:t>.</w:t>
            </w:r>
          </w:p>
          <w:p w14:paraId="15B266C8" w14:textId="29095BFA"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The dose received through accidental exposure during preparation or administration would be substantially less than that administered to trial participants and would not </w:t>
            </w:r>
            <w:r>
              <w:rPr>
                <w:rFonts w:cs="Calibri"/>
                <w:sz w:val="20"/>
                <w:szCs w:val="20"/>
              </w:rPr>
              <w:lastRenderedPageBreak/>
              <w:t>be sufficient to result in a serious adverse reaction in exposed persons</w:t>
            </w:r>
            <w:r w:rsidR="00551A0C">
              <w:rPr>
                <w:rFonts w:cs="Calibri"/>
                <w:sz w:val="20"/>
                <w:szCs w:val="20"/>
              </w:rPr>
              <w:t>.</w:t>
            </w:r>
          </w:p>
          <w:p w14:paraId="0B913D70" w14:textId="2E2EB2FA"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At risk people (</w:t>
            </w:r>
            <w:r w:rsidR="00D63584">
              <w:rPr>
                <w:rFonts w:cs="Calibri"/>
                <w:sz w:val="20"/>
                <w:szCs w:val="20"/>
              </w:rPr>
              <w:t>e.g.</w:t>
            </w:r>
            <w:r>
              <w:rPr>
                <w:rFonts w:cs="Calibri"/>
                <w:sz w:val="20"/>
                <w:szCs w:val="20"/>
              </w:rPr>
              <w:t xml:space="preserve"> immunosuppressed) </w:t>
            </w:r>
            <w:r w:rsidR="00655897">
              <w:rPr>
                <w:rFonts w:cs="Calibri"/>
                <w:sz w:val="20"/>
                <w:szCs w:val="20"/>
              </w:rPr>
              <w:t xml:space="preserve">would </w:t>
            </w:r>
            <w:r>
              <w:rPr>
                <w:rFonts w:cs="Calibri"/>
                <w:sz w:val="20"/>
                <w:szCs w:val="20"/>
              </w:rPr>
              <w:t>be excluded from handling the GMO</w:t>
            </w:r>
            <w:r w:rsidR="00551A0C">
              <w:rPr>
                <w:rFonts w:cs="Calibri"/>
                <w:sz w:val="20"/>
                <w:szCs w:val="20"/>
              </w:rPr>
              <w:t>.</w:t>
            </w:r>
          </w:p>
          <w:p w14:paraId="3D162F58" w14:textId="5CF1C25F" w:rsidR="00AB1706" w:rsidRDefault="00D63584" w:rsidP="00655897">
            <w:pPr>
              <w:pStyle w:val="BulletedRARMP"/>
              <w:tabs>
                <w:tab w:val="clear" w:pos="567"/>
              </w:tabs>
              <w:spacing w:before="60" w:after="60"/>
              <w:ind w:left="130" w:hanging="142"/>
              <w:rPr>
                <w:rFonts w:cs="Calibri"/>
                <w:sz w:val="20"/>
                <w:szCs w:val="20"/>
              </w:rPr>
            </w:pPr>
            <w:r w:rsidRPr="00D63584">
              <w:rPr>
                <w:rFonts w:cs="Calibri"/>
                <w:sz w:val="20"/>
                <w:szCs w:val="20"/>
              </w:rPr>
              <w:t>The GMO is replication incompetent and will not produce further viral particles to sustain an infection</w:t>
            </w:r>
            <w:r w:rsidR="00551A0C">
              <w:rPr>
                <w:rFonts w:cs="Calibri"/>
                <w:sz w:val="20"/>
                <w:szCs w:val="20"/>
              </w:rPr>
              <w:t>.</w:t>
            </w:r>
          </w:p>
          <w:p w14:paraId="7B7E038B" w14:textId="18C16E32" w:rsidR="00D63584" w:rsidRDefault="00D63584" w:rsidP="00655897">
            <w:pPr>
              <w:pStyle w:val="BulletedRARMP"/>
              <w:tabs>
                <w:tab w:val="clear" w:pos="567"/>
              </w:tabs>
              <w:spacing w:before="60" w:after="60"/>
              <w:ind w:left="130" w:hanging="142"/>
              <w:rPr>
                <w:rFonts w:cs="Calibri"/>
                <w:sz w:val="20"/>
                <w:szCs w:val="20"/>
              </w:rPr>
            </w:pPr>
            <w:r w:rsidRPr="00D63584">
              <w:rPr>
                <w:rFonts w:cs="Calibri"/>
                <w:sz w:val="20"/>
                <w:szCs w:val="20"/>
              </w:rPr>
              <w:t>The GMO has a good safety profile at doses higher than would be expected through accidental exposure</w:t>
            </w:r>
            <w:r w:rsidR="00551A0C">
              <w:rPr>
                <w:rFonts w:cs="Calibri"/>
                <w:sz w:val="20"/>
                <w:szCs w:val="20"/>
              </w:rPr>
              <w:t>.</w:t>
            </w:r>
          </w:p>
          <w:p w14:paraId="498A1EA6" w14:textId="2F4009DD" w:rsidR="00D63584" w:rsidRDefault="00D63584" w:rsidP="00655897">
            <w:pPr>
              <w:pStyle w:val="BulletedRARMP"/>
              <w:tabs>
                <w:tab w:val="clear" w:pos="567"/>
              </w:tabs>
              <w:spacing w:before="60" w:after="60"/>
              <w:ind w:left="130" w:hanging="142"/>
              <w:rPr>
                <w:rFonts w:cs="Calibri"/>
                <w:sz w:val="20"/>
                <w:szCs w:val="20"/>
              </w:rPr>
            </w:pPr>
            <w:r w:rsidRPr="004207A4">
              <w:rPr>
                <w:sz w:val="20"/>
                <w:szCs w:val="20"/>
              </w:rPr>
              <w:t>IFN-α2b protein has been extensively used in clinical applications for treatment of some viral infection and various cancers with manageable adverse reactions</w:t>
            </w:r>
            <w:r w:rsidR="00551A0C">
              <w:rPr>
                <w:sz w:val="20"/>
                <w:szCs w:val="20"/>
              </w:rPr>
              <w:t>.</w:t>
            </w:r>
          </w:p>
          <w:p w14:paraId="01536410" w14:textId="1CBC5B57"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People are regularly exposed to </w:t>
            </w:r>
            <w:proofErr w:type="spellStart"/>
            <w:proofErr w:type="gramStart"/>
            <w:r>
              <w:rPr>
                <w:rFonts w:cs="Calibri"/>
                <w:sz w:val="20"/>
                <w:szCs w:val="20"/>
              </w:rPr>
              <w:t>HAdVs</w:t>
            </w:r>
            <w:proofErr w:type="spellEnd"/>
            <w:proofErr w:type="gramEnd"/>
            <w:r>
              <w:rPr>
                <w:rFonts w:cs="Calibri"/>
                <w:sz w:val="20"/>
                <w:szCs w:val="20"/>
              </w:rPr>
              <w:t xml:space="preserve"> and the genetic modifications do not confer any pathogenic advantage over the wild type</w:t>
            </w:r>
            <w:r w:rsidR="00551A0C">
              <w:rPr>
                <w:rFonts w:cs="Calibri"/>
                <w:sz w:val="20"/>
                <w:szCs w:val="20"/>
              </w:rPr>
              <w:t>.</w:t>
            </w:r>
          </w:p>
          <w:p w14:paraId="76A905EE" w14:textId="45AFF25D"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Most of the population has pre-existing immunity to </w:t>
            </w:r>
            <w:proofErr w:type="spellStart"/>
            <w:r>
              <w:rPr>
                <w:rFonts w:cs="Calibri"/>
                <w:sz w:val="20"/>
                <w:szCs w:val="20"/>
              </w:rPr>
              <w:t>HAdVs</w:t>
            </w:r>
            <w:proofErr w:type="spellEnd"/>
            <w:r w:rsidR="00551A0C">
              <w:rPr>
                <w:rFonts w:cs="Calibri"/>
                <w:sz w:val="20"/>
                <w:szCs w:val="20"/>
              </w:rPr>
              <w:t>.</w:t>
            </w:r>
          </w:p>
          <w:p w14:paraId="469C251C" w14:textId="0622FAEC" w:rsidR="004C06C3" w:rsidRPr="0097690A" w:rsidRDefault="004C06C3" w:rsidP="00655897">
            <w:pPr>
              <w:pStyle w:val="BulletedRARMP"/>
              <w:tabs>
                <w:tab w:val="clear" w:pos="567"/>
              </w:tabs>
              <w:spacing w:before="60" w:after="60"/>
              <w:ind w:left="130" w:hanging="142"/>
              <w:rPr>
                <w:rFonts w:cs="Calibri"/>
                <w:sz w:val="20"/>
                <w:szCs w:val="20"/>
              </w:rPr>
            </w:pPr>
            <w:r>
              <w:rPr>
                <w:rFonts w:cs="Calibri"/>
                <w:sz w:val="20"/>
                <w:szCs w:val="20"/>
              </w:rPr>
              <w:t>The immune system is expected to clear the GMO quickly</w:t>
            </w:r>
            <w:r w:rsidR="00AE044B">
              <w:rPr>
                <w:rFonts w:cs="Calibri"/>
                <w:sz w:val="20"/>
                <w:szCs w:val="20"/>
              </w:rPr>
              <w:t>.</w:t>
            </w:r>
          </w:p>
        </w:tc>
      </w:tr>
      <w:tr w:rsidR="006E31CD" w:rsidRPr="006404A8" w14:paraId="4D53B5B6" w14:textId="77777777" w:rsidTr="00DC38EE">
        <w:tc>
          <w:tcPr>
            <w:tcW w:w="497" w:type="pct"/>
            <w:tcBorders>
              <w:top w:val="single" w:sz="4" w:space="0" w:color="auto"/>
              <w:left w:val="single" w:sz="12" w:space="0" w:color="auto"/>
              <w:bottom w:val="single" w:sz="4" w:space="0" w:color="auto"/>
              <w:right w:val="single" w:sz="4" w:space="0" w:color="auto"/>
            </w:tcBorders>
          </w:tcPr>
          <w:p w14:paraId="7AE7B6AC" w14:textId="632AC4C1" w:rsidR="006E31CD" w:rsidRPr="0048606F" w:rsidRDefault="009E1313" w:rsidP="00F1397D">
            <w:pPr>
              <w:pStyle w:val="textfortable"/>
              <w:spacing w:before="60" w:after="60"/>
              <w:jc w:val="left"/>
              <w:rPr>
                <w:rFonts w:ascii="Calibri" w:hAnsi="Calibri"/>
              </w:rPr>
            </w:pPr>
            <w:r>
              <w:rPr>
                <w:rFonts w:ascii="Calibri" w:hAnsi="Calibri"/>
              </w:rPr>
              <w:lastRenderedPageBreak/>
              <w:t>2</w:t>
            </w:r>
          </w:p>
        </w:tc>
        <w:tc>
          <w:tcPr>
            <w:tcW w:w="418"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181" w:type="pct"/>
            <w:tcBorders>
              <w:top w:val="single" w:sz="4" w:space="0" w:color="auto"/>
              <w:left w:val="single" w:sz="4" w:space="0" w:color="auto"/>
              <w:bottom w:val="single" w:sz="4" w:space="0" w:color="auto"/>
              <w:right w:val="single" w:sz="4" w:space="0" w:color="auto"/>
            </w:tcBorders>
          </w:tcPr>
          <w:p w14:paraId="2DC67016" w14:textId="12ECF261"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00E235CA">
              <w:rPr>
                <w:rFonts w:cs="Calibri"/>
                <w:sz w:val="20"/>
              </w:rPr>
              <w:t xml:space="preserve">, </w:t>
            </w:r>
            <w:r w:rsidR="00E235CA" w:rsidRPr="00E235CA">
              <w:rPr>
                <w:rFonts w:cs="Calibri"/>
                <w:sz w:val="20"/>
              </w:rPr>
              <w:t>shedding of the GMO from participants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41EAE24E" w:rsidR="006E31CD" w:rsidRDefault="006E31CD" w:rsidP="00952CB3">
            <w:pPr>
              <w:pStyle w:val="textfortable"/>
              <w:jc w:val="left"/>
              <w:rPr>
                <w:rFonts w:ascii="Calibri" w:hAnsi="Calibri"/>
              </w:rPr>
            </w:pPr>
            <w:r w:rsidRPr="006E31CD">
              <w:rPr>
                <w:rFonts w:ascii="Calibri" w:hAnsi="Calibri" w:cs="Calibri"/>
              </w:rPr>
              <w:t xml:space="preserve">As per </w:t>
            </w:r>
            <w:r w:rsidR="00551A0C">
              <w:rPr>
                <w:rFonts w:ascii="Calibri" w:hAnsi="Calibri" w:cs="Calibri"/>
              </w:rPr>
              <w:t xml:space="preserve">Risk </w:t>
            </w:r>
            <w:r w:rsidRPr="006E31CD">
              <w:rPr>
                <w:rFonts w:ascii="Calibri" w:hAnsi="Calibri" w:cs="Calibri"/>
              </w:rPr>
              <w:t>scenario 1</w:t>
            </w:r>
          </w:p>
        </w:tc>
        <w:tc>
          <w:tcPr>
            <w:tcW w:w="738" w:type="pct"/>
            <w:tcBorders>
              <w:top w:val="single" w:sz="4" w:space="0" w:color="auto"/>
              <w:left w:val="single" w:sz="4" w:space="0" w:color="auto"/>
              <w:bottom w:val="single" w:sz="4" w:space="0" w:color="auto"/>
              <w:right w:val="single" w:sz="4" w:space="0" w:color="auto"/>
            </w:tcBorders>
          </w:tcPr>
          <w:p w14:paraId="1DB803E7" w14:textId="10A00958" w:rsidR="006E31CD" w:rsidRPr="0048606F" w:rsidRDefault="002C4210" w:rsidP="005E2438">
            <w:pPr>
              <w:pStyle w:val="textfortable"/>
              <w:jc w:val="left"/>
              <w:rPr>
                <w:rFonts w:ascii="Calibri" w:hAnsi="Calibri"/>
              </w:rPr>
            </w:pPr>
            <w:r>
              <w:rPr>
                <w:rStyle w:val="CommentReference"/>
                <w:rFonts w:ascii="Calibri" w:hAnsi="Calibri"/>
              </w:rPr>
              <w:t>A</w:t>
            </w:r>
            <w:r w:rsidR="00FF0635" w:rsidRPr="00612D03">
              <w:rPr>
                <w:rFonts w:ascii="Calibri" w:hAnsi="Calibri" w:cs="Calibri"/>
                <w:szCs w:val="24"/>
              </w:rPr>
              <w:t>dverse immune reactions; disease in people or animals</w:t>
            </w:r>
          </w:p>
        </w:tc>
        <w:tc>
          <w:tcPr>
            <w:tcW w:w="650"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17" w:type="pct"/>
            <w:tcBorders>
              <w:top w:val="single" w:sz="4" w:space="0" w:color="auto"/>
              <w:left w:val="single" w:sz="4" w:space="0" w:color="auto"/>
              <w:bottom w:val="single" w:sz="4" w:space="0" w:color="auto"/>
              <w:right w:val="single" w:sz="12" w:space="0" w:color="auto"/>
            </w:tcBorders>
          </w:tcPr>
          <w:p w14:paraId="6388DE92" w14:textId="30C177CB" w:rsidR="00112D19" w:rsidRDefault="00622662" w:rsidP="009E1313">
            <w:pPr>
              <w:pStyle w:val="tablebullets"/>
              <w:numPr>
                <w:ilvl w:val="0"/>
                <w:numId w:val="0"/>
              </w:numPr>
              <w:spacing w:before="60"/>
              <w:rPr>
                <w:rFonts w:ascii="Calibri" w:hAnsi="Calibri"/>
              </w:rPr>
            </w:pPr>
            <w:r>
              <w:rPr>
                <w:rFonts w:ascii="Calibri" w:hAnsi="Calibri"/>
              </w:rPr>
              <w:t>As discussed in Risk Scenario 1</w:t>
            </w:r>
            <w:r w:rsidR="00E235CA">
              <w:rPr>
                <w:rFonts w:ascii="Calibri" w:hAnsi="Calibri"/>
              </w:rPr>
              <w:t xml:space="preserve"> and:</w:t>
            </w:r>
          </w:p>
          <w:p w14:paraId="5900FAC9" w14:textId="77777777" w:rsidR="00C02359" w:rsidRDefault="00DC3160" w:rsidP="00655897">
            <w:pPr>
              <w:pStyle w:val="tablebullets"/>
              <w:ind w:left="130" w:hanging="142"/>
              <w:rPr>
                <w:rFonts w:ascii="Calibri" w:hAnsi="Calibri"/>
              </w:rPr>
            </w:pPr>
            <w:r>
              <w:rPr>
                <w:rFonts w:ascii="Calibri" w:hAnsi="Calibri"/>
              </w:rPr>
              <w:t xml:space="preserve">GMO 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 </w:t>
            </w:r>
          </w:p>
          <w:p w14:paraId="79107B0E" w14:textId="169E04DC" w:rsidR="00AE7C07" w:rsidRDefault="00AE7C07" w:rsidP="00655897">
            <w:pPr>
              <w:pStyle w:val="tablebullets"/>
              <w:ind w:left="130" w:hanging="142"/>
              <w:rPr>
                <w:rFonts w:ascii="Calibri" w:hAnsi="Calibri"/>
              </w:rPr>
            </w:pPr>
            <w:r w:rsidRPr="00AE7C07">
              <w:rPr>
                <w:rFonts w:ascii="Calibri" w:hAnsi="Calibri"/>
              </w:rPr>
              <w:t>The trial participants are required to disinfect voided urine in the toilet for 2 days following treatment, minimising the amount of the GMO entering the sewerage.</w:t>
            </w:r>
          </w:p>
          <w:p w14:paraId="1CE43ED0" w14:textId="77777777" w:rsidR="00B055D3" w:rsidRDefault="00B055D3" w:rsidP="00655897">
            <w:pPr>
              <w:pStyle w:val="tablebullets"/>
              <w:ind w:left="130" w:hanging="142"/>
              <w:rPr>
                <w:rFonts w:ascii="Calibri" w:hAnsi="Calibri"/>
              </w:rPr>
            </w:pPr>
            <w:r>
              <w:rPr>
                <w:rFonts w:ascii="Calibri" w:hAnsi="Calibri"/>
              </w:rPr>
              <w:t xml:space="preserve">There are </w:t>
            </w:r>
            <w:proofErr w:type="gramStart"/>
            <w:r>
              <w:rPr>
                <w:rFonts w:ascii="Calibri" w:hAnsi="Calibri"/>
              </w:rPr>
              <w:t>a large number of</w:t>
            </w:r>
            <w:proofErr w:type="gramEnd"/>
            <w:r>
              <w:rPr>
                <w:rFonts w:ascii="Calibri" w:hAnsi="Calibri"/>
              </w:rPr>
              <w:t xml:space="preserve"> </w:t>
            </w:r>
            <w:proofErr w:type="spellStart"/>
            <w:r>
              <w:rPr>
                <w:rFonts w:ascii="Calibri" w:hAnsi="Calibri"/>
              </w:rPr>
              <w:t>HAdVs</w:t>
            </w:r>
            <w:proofErr w:type="spellEnd"/>
            <w:r>
              <w:rPr>
                <w:rFonts w:ascii="Calibri" w:hAnsi="Calibri"/>
              </w:rPr>
              <w:t xml:space="preserve"> in the sewage or water systems. </w:t>
            </w:r>
          </w:p>
          <w:p w14:paraId="70036557" w14:textId="792A07F9" w:rsidR="00B055D3" w:rsidRPr="00C02359" w:rsidRDefault="00834863" w:rsidP="00655897">
            <w:pPr>
              <w:pStyle w:val="tablebullets"/>
              <w:ind w:left="130" w:hanging="142"/>
              <w:rPr>
                <w:rFonts w:ascii="Calibri" w:hAnsi="Calibri"/>
              </w:rPr>
            </w:pPr>
            <w:r w:rsidRPr="00834863">
              <w:rPr>
                <w:rFonts w:ascii="Calibri" w:hAnsi="Calibri"/>
              </w:rPr>
              <w:lastRenderedPageBreak/>
              <w:t>GMO cannot replicate inside or outside the host, hence GMO is only available for one infection cycle.</w:t>
            </w:r>
          </w:p>
        </w:tc>
      </w:tr>
      <w:tr w:rsidR="00E235CA" w:rsidRPr="006404A8" w14:paraId="1C52C2EA" w14:textId="77777777" w:rsidTr="00173E0E">
        <w:tc>
          <w:tcPr>
            <w:tcW w:w="497" w:type="pct"/>
            <w:tcBorders>
              <w:top w:val="single" w:sz="4" w:space="0" w:color="auto"/>
              <w:left w:val="single" w:sz="12" w:space="0" w:color="auto"/>
              <w:bottom w:val="single" w:sz="4" w:space="0" w:color="auto"/>
              <w:right w:val="single" w:sz="4" w:space="0" w:color="auto"/>
            </w:tcBorders>
          </w:tcPr>
          <w:p w14:paraId="62A609AC" w14:textId="7ACB087C" w:rsidR="00E235CA" w:rsidRDefault="009E1313" w:rsidP="00F1397D">
            <w:pPr>
              <w:pStyle w:val="textfortable"/>
              <w:spacing w:before="60" w:after="60"/>
              <w:jc w:val="left"/>
              <w:rPr>
                <w:rFonts w:ascii="Calibri" w:hAnsi="Calibri"/>
              </w:rPr>
            </w:pPr>
            <w:r>
              <w:rPr>
                <w:rFonts w:ascii="Calibri" w:hAnsi="Calibri"/>
              </w:rPr>
              <w:lastRenderedPageBreak/>
              <w:t>3</w:t>
            </w:r>
          </w:p>
        </w:tc>
        <w:tc>
          <w:tcPr>
            <w:tcW w:w="418" w:type="pct"/>
            <w:tcBorders>
              <w:top w:val="single" w:sz="4" w:space="0" w:color="auto"/>
              <w:left w:val="single" w:sz="12" w:space="0" w:color="auto"/>
              <w:bottom w:val="single" w:sz="4" w:space="0" w:color="auto"/>
              <w:right w:val="single" w:sz="4" w:space="0" w:color="auto"/>
            </w:tcBorders>
          </w:tcPr>
          <w:p w14:paraId="16CDFA02" w14:textId="435B84B4" w:rsidR="00E235CA" w:rsidRDefault="009E1313" w:rsidP="00F1397D">
            <w:pPr>
              <w:pStyle w:val="textfortable"/>
              <w:spacing w:before="60" w:after="60"/>
              <w:jc w:val="left"/>
              <w:rPr>
                <w:rFonts w:ascii="Calibri" w:hAnsi="Calibri"/>
              </w:rPr>
            </w:pPr>
            <w:r>
              <w:rPr>
                <w:rFonts w:ascii="Calibri" w:hAnsi="Calibri"/>
              </w:rPr>
              <w:t>GMO</w:t>
            </w:r>
          </w:p>
        </w:tc>
        <w:tc>
          <w:tcPr>
            <w:tcW w:w="1181" w:type="pct"/>
            <w:tcBorders>
              <w:top w:val="single" w:sz="4" w:space="0" w:color="auto"/>
              <w:left w:val="single" w:sz="4" w:space="0" w:color="auto"/>
              <w:bottom w:val="single" w:sz="4" w:space="0" w:color="auto"/>
              <w:right w:val="single" w:sz="4" w:space="0" w:color="auto"/>
            </w:tcBorders>
          </w:tcPr>
          <w:p w14:paraId="79A89A76" w14:textId="7068CD5E" w:rsidR="009E1313" w:rsidRDefault="009E1313" w:rsidP="009E1313">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and animals to the GMO as </w:t>
            </w:r>
            <w:r w:rsidRPr="006E31CD">
              <w:rPr>
                <w:rFonts w:ascii="Calibri" w:hAnsi="Calibri" w:cs="Calibri"/>
                <w:sz w:val="20"/>
                <w:szCs w:val="20"/>
              </w:rPr>
              <w:t>mentioned in Risk Scenario</w:t>
            </w:r>
            <w:r w:rsidR="00A31F69">
              <w:rPr>
                <w:rFonts w:ascii="Calibri" w:hAnsi="Calibri" w:cs="Calibri"/>
                <w:sz w:val="20"/>
                <w:szCs w:val="20"/>
              </w:rPr>
              <w:t>s</w:t>
            </w:r>
            <w:r w:rsidRPr="006E31CD">
              <w:rPr>
                <w:rFonts w:ascii="Calibri" w:hAnsi="Calibri" w:cs="Calibri"/>
                <w:sz w:val="20"/>
                <w:szCs w:val="20"/>
              </w:rPr>
              <w:t xml:space="preserve"> 1</w:t>
            </w:r>
            <w:r w:rsidR="00A31F69">
              <w:rPr>
                <w:rFonts w:ascii="Calibri" w:hAnsi="Calibri" w:cs="Calibri"/>
                <w:sz w:val="20"/>
                <w:szCs w:val="20"/>
              </w:rPr>
              <w:t xml:space="preserve"> and 2</w:t>
            </w:r>
          </w:p>
          <w:p w14:paraId="6EA47E28" w14:textId="77777777" w:rsidR="000D6D8E" w:rsidRPr="00E238EF" w:rsidRDefault="000D6D8E" w:rsidP="000D6D8E">
            <w:pPr>
              <w:pStyle w:val="TableTextRARMP"/>
              <w:rPr>
                <w:color w:val="000000" w:themeColor="text1"/>
                <w:szCs w:val="20"/>
              </w:rPr>
            </w:pPr>
            <w:r w:rsidRPr="00E238EF">
              <w:rPr>
                <w:color w:val="000000" w:themeColor="text1"/>
                <w:szCs w:val="20"/>
              </w:rPr>
              <w:t>Or</w:t>
            </w:r>
          </w:p>
          <w:p w14:paraId="52CFC2B9" w14:textId="617364B2" w:rsidR="000D6D8E" w:rsidRPr="007D4152" w:rsidRDefault="000D6D8E" w:rsidP="00920E28">
            <w:pPr>
              <w:pStyle w:val="TableTextRARMP"/>
              <w:rPr>
                <w:szCs w:val="20"/>
              </w:rPr>
            </w:pPr>
            <w:r w:rsidRPr="00E238EF">
              <w:rPr>
                <w:color w:val="000000" w:themeColor="text1"/>
                <w:szCs w:val="20"/>
              </w:rPr>
              <w:t>Exposure of trial participants during treatment</w:t>
            </w:r>
          </w:p>
          <w:p w14:paraId="543A9501" w14:textId="77777777" w:rsidR="009E1313" w:rsidRPr="0048606F" w:rsidRDefault="009E1313" w:rsidP="009E1313">
            <w:pPr>
              <w:pStyle w:val="TableTextRARMP"/>
              <w:jc w:val="center"/>
              <w:rPr>
                <w:color w:val="000000" w:themeColor="text1"/>
                <w:szCs w:val="20"/>
              </w:rPr>
            </w:pPr>
            <w:r w:rsidRPr="0048606F">
              <w:rPr>
                <w:color w:val="000000" w:themeColor="text1"/>
                <w:szCs w:val="20"/>
              </w:rPr>
              <w:sym w:font="Wingdings 3" w:char="F0C8"/>
            </w:r>
          </w:p>
          <w:p w14:paraId="6673362E" w14:textId="77777777" w:rsidR="009E1313" w:rsidRPr="0048606F" w:rsidRDefault="009E1313" w:rsidP="009E1313">
            <w:pPr>
              <w:pStyle w:val="textfortable"/>
              <w:jc w:val="left"/>
              <w:rPr>
                <w:rFonts w:ascii="Calibri" w:hAnsi="Calibri"/>
              </w:rPr>
            </w:pPr>
            <w:r>
              <w:rPr>
                <w:rFonts w:ascii="Calibri" w:hAnsi="Calibri"/>
              </w:rPr>
              <w:t>Transduction of cells by GMO</w:t>
            </w:r>
          </w:p>
          <w:p w14:paraId="6CF27559" w14:textId="77777777" w:rsidR="009E1313" w:rsidRPr="0048606F" w:rsidRDefault="009E1313" w:rsidP="009E1313">
            <w:pPr>
              <w:pStyle w:val="TableTextRARMP"/>
              <w:jc w:val="center"/>
              <w:rPr>
                <w:color w:val="000000" w:themeColor="text1"/>
                <w:szCs w:val="20"/>
              </w:rPr>
            </w:pPr>
            <w:r w:rsidRPr="0048606F">
              <w:rPr>
                <w:color w:val="000000" w:themeColor="text1"/>
                <w:szCs w:val="20"/>
              </w:rPr>
              <w:sym w:font="Wingdings 3" w:char="F0C8"/>
            </w:r>
          </w:p>
          <w:p w14:paraId="2C8CD417" w14:textId="77777777" w:rsidR="009E1313" w:rsidRDefault="009E1313" w:rsidP="009E1313">
            <w:pPr>
              <w:pStyle w:val="Style4"/>
              <w:numPr>
                <w:ilvl w:val="0"/>
                <w:numId w:val="0"/>
              </w:numPr>
              <w:rPr>
                <w:rFonts w:ascii="Calibri" w:hAnsi="Calibri"/>
                <w:color w:val="auto"/>
                <w:sz w:val="20"/>
                <w:szCs w:val="20"/>
              </w:rPr>
            </w:pPr>
            <w:r>
              <w:rPr>
                <w:rFonts w:ascii="Calibri" w:hAnsi="Calibri"/>
                <w:color w:val="auto"/>
                <w:sz w:val="20"/>
                <w:szCs w:val="20"/>
              </w:rPr>
              <w:t xml:space="preserve">Transduced cells co-infected with </w:t>
            </w:r>
            <w:proofErr w:type="spellStart"/>
            <w:r>
              <w:rPr>
                <w:rFonts w:ascii="Calibri" w:hAnsi="Calibri"/>
                <w:color w:val="auto"/>
                <w:sz w:val="20"/>
                <w:szCs w:val="20"/>
              </w:rPr>
              <w:t>AdV</w:t>
            </w:r>
            <w:proofErr w:type="spellEnd"/>
          </w:p>
          <w:p w14:paraId="31B13A77" w14:textId="77777777" w:rsidR="009E1313" w:rsidRPr="006E31CD" w:rsidRDefault="009E1313" w:rsidP="009E1313">
            <w:pPr>
              <w:pStyle w:val="TableTextRARMP"/>
              <w:jc w:val="center"/>
              <w:rPr>
                <w:color w:val="000000" w:themeColor="text1"/>
                <w:szCs w:val="20"/>
              </w:rPr>
            </w:pPr>
            <w:r w:rsidRPr="0048606F">
              <w:rPr>
                <w:color w:val="000000" w:themeColor="text1"/>
                <w:szCs w:val="20"/>
              </w:rPr>
              <w:sym w:font="Wingdings 3" w:char="F0C8"/>
            </w:r>
          </w:p>
          <w:p w14:paraId="771CC556" w14:textId="77777777" w:rsidR="009E1313" w:rsidRPr="00050667" w:rsidRDefault="009E1313" w:rsidP="009E1313">
            <w:pPr>
              <w:pStyle w:val="Style4"/>
              <w:numPr>
                <w:ilvl w:val="0"/>
                <w:numId w:val="43"/>
              </w:numPr>
              <w:ind w:left="327"/>
              <w:rPr>
                <w:rFonts w:ascii="Calibri" w:hAnsi="Calibri"/>
                <w:sz w:val="20"/>
                <w:szCs w:val="20"/>
              </w:rPr>
            </w:pPr>
            <w:r>
              <w:rPr>
                <w:rFonts w:ascii="Calibri" w:hAnsi="Calibri"/>
                <w:color w:val="auto"/>
                <w:sz w:val="20"/>
                <w:szCs w:val="20"/>
              </w:rPr>
              <w:t xml:space="preserve">Complementation </w:t>
            </w:r>
            <w:r w:rsidRPr="00BE2B94">
              <w:rPr>
                <w:rFonts w:ascii="Calibri" w:hAnsi="Calibri"/>
                <w:color w:val="auto"/>
                <w:sz w:val="20"/>
                <w:szCs w:val="20"/>
              </w:rPr>
              <w:t xml:space="preserve">of </w:t>
            </w:r>
            <w:r w:rsidRPr="00050667">
              <w:rPr>
                <w:rFonts w:ascii="Calibri" w:hAnsi="Calibri"/>
                <w:sz w:val="20"/>
                <w:szCs w:val="20"/>
              </w:rPr>
              <w:t xml:space="preserve">genes responsible for viral replication and immune-evasion properties by </w:t>
            </w:r>
            <w:proofErr w:type="spellStart"/>
            <w:r w:rsidRPr="00050667">
              <w:rPr>
                <w:rFonts w:ascii="Calibri" w:hAnsi="Calibri"/>
                <w:sz w:val="20"/>
                <w:szCs w:val="20"/>
              </w:rPr>
              <w:t>AdV</w:t>
            </w:r>
            <w:proofErr w:type="spellEnd"/>
          </w:p>
          <w:p w14:paraId="25CB79D7" w14:textId="77777777" w:rsidR="009E1313" w:rsidRPr="00050667" w:rsidRDefault="009E1313" w:rsidP="009E1313">
            <w:pPr>
              <w:pStyle w:val="ListParagraph"/>
              <w:numPr>
                <w:ilvl w:val="0"/>
                <w:numId w:val="43"/>
              </w:numPr>
              <w:spacing w:before="60" w:after="60"/>
              <w:ind w:left="327"/>
              <w:rPr>
                <w:rFonts w:cs="Calibri"/>
                <w:color w:val="000000" w:themeColor="text1"/>
                <w:sz w:val="20"/>
              </w:rPr>
            </w:pPr>
            <w:r w:rsidRPr="00050667">
              <w:rPr>
                <w:rFonts w:cs="Calibri"/>
                <w:color w:val="000000" w:themeColor="text1"/>
                <w:sz w:val="20"/>
              </w:rPr>
              <w:t xml:space="preserve">Homologous recombination with </w:t>
            </w:r>
            <w:proofErr w:type="spellStart"/>
            <w:r w:rsidRPr="00050667">
              <w:rPr>
                <w:rFonts w:cs="Calibri"/>
                <w:color w:val="000000" w:themeColor="text1"/>
                <w:sz w:val="20"/>
              </w:rPr>
              <w:t>AdV</w:t>
            </w:r>
            <w:proofErr w:type="spellEnd"/>
          </w:p>
          <w:p w14:paraId="0A0E01DA" w14:textId="77777777" w:rsidR="009E1313" w:rsidRPr="00050667" w:rsidRDefault="009E1313" w:rsidP="009E1313">
            <w:pPr>
              <w:pStyle w:val="TableTextRARMP"/>
              <w:jc w:val="center"/>
              <w:rPr>
                <w:color w:val="000000" w:themeColor="text1"/>
                <w:szCs w:val="20"/>
              </w:rPr>
            </w:pPr>
            <w:r w:rsidRPr="00050667">
              <w:rPr>
                <w:color w:val="000000" w:themeColor="text1"/>
                <w:szCs w:val="20"/>
              </w:rPr>
              <w:sym w:font="Wingdings 3" w:char="F0C8"/>
            </w:r>
          </w:p>
          <w:p w14:paraId="76FCCF21" w14:textId="39AF3587" w:rsidR="00E235CA" w:rsidRPr="006E31CD" w:rsidRDefault="0098338F" w:rsidP="009E1313">
            <w:pPr>
              <w:keepNext/>
              <w:tabs>
                <w:tab w:val="left" w:pos="284"/>
              </w:tabs>
              <w:spacing w:before="60" w:after="60"/>
              <w:rPr>
                <w:rFonts w:cs="Calibri"/>
                <w:sz w:val="20"/>
              </w:rPr>
            </w:pPr>
            <w:r w:rsidRPr="0098338F">
              <w:rPr>
                <w:color w:val="000000" w:themeColor="text1"/>
                <w:sz w:val="20"/>
                <w:szCs w:val="22"/>
              </w:rPr>
              <w:t>Production of other recombinant GMOs including with increased virulence and/or host range</w:t>
            </w:r>
          </w:p>
        </w:tc>
        <w:tc>
          <w:tcPr>
            <w:tcW w:w="738" w:type="pct"/>
            <w:tcBorders>
              <w:top w:val="single" w:sz="4" w:space="0" w:color="auto"/>
              <w:left w:val="single" w:sz="4" w:space="0" w:color="auto"/>
              <w:bottom w:val="single" w:sz="4" w:space="0" w:color="auto"/>
              <w:right w:val="single" w:sz="4" w:space="0" w:color="auto"/>
            </w:tcBorders>
          </w:tcPr>
          <w:p w14:paraId="5BA30BDD" w14:textId="5804337A" w:rsidR="00E235CA" w:rsidRPr="00FF0635" w:rsidRDefault="002C4210" w:rsidP="005E2438">
            <w:pPr>
              <w:pStyle w:val="textfortable"/>
              <w:jc w:val="left"/>
              <w:rPr>
                <w:rFonts w:ascii="Calibri" w:hAnsi="Calibri" w:cs="Calibri"/>
                <w:color w:val="0000FF"/>
                <w:szCs w:val="24"/>
              </w:rPr>
            </w:pPr>
            <w:r>
              <w:rPr>
                <w:rFonts w:ascii="Calibri" w:hAnsi="Calibri"/>
                <w:color w:val="000000" w:themeColor="text1"/>
              </w:rPr>
              <w:t>A</w:t>
            </w:r>
            <w:r w:rsidR="009E1313" w:rsidRPr="00050667">
              <w:rPr>
                <w:rFonts w:ascii="Calibri" w:hAnsi="Calibri"/>
                <w:color w:val="000000" w:themeColor="text1"/>
              </w:rPr>
              <w:t>dverse immune reactions; disease in people or animals</w:t>
            </w:r>
          </w:p>
        </w:tc>
        <w:tc>
          <w:tcPr>
            <w:tcW w:w="650" w:type="pct"/>
            <w:tcBorders>
              <w:top w:val="single" w:sz="4" w:space="0" w:color="auto"/>
              <w:left w:val="single" w:sz="4" w:space="0" w:color="auto"/>
              <w:bottom w:val="single" w:sz="4" w:space="0" w:color="auto"/>
              <w:right w:val="single" w:sz="4" w:space="0" w:color="auto"/>
            </w:tcBorders>
          </w:tcPr>
          <w:p w14:paraId="190B0643" w14:textId="5030FF7C" w:rsidR="00E235CA" w:rsidRDefault="009E1313" w:rsidP="00F1397D">
            <w:pPr>
              <w:pStyle w:val="textfortable"/>
              <w:spacing w:before="60" w:after="60"/>
              <w:jc w:val="left"/>
              <w:rPr>
                <w:rFonts w:ascii="Calibri" w:hAnsi="Calibri"/>
              </w:rPr>
            </w:pPr>
            <w:r>
              <w:rPr>
                <w:rFonts w:ascii="Calibri" w:hAnsi="Calibri"/>
              </w:rPr>
              <w:t>No</w:t>
            </w:r>
          </w:p>
        </w:tc>
        <w:tc>
          <w:tcPr>
            <w:tcW w:w="1517" w:type="pct"/>
            <w:tcBorders>
              <w:top w:val="single" w:sz="4" w:space="0" w:color="auto"/>
              <w:left w:val="single" w:sz="4" w:space="0" w:color="auto"/>
              <w:bottom w:val="single" w:sz="4" w:space="0" w:color="auto"/>
              <w:right w:val="single" w:sz="12" w:space="0" w:color="auto"/>
            </w:tcBorders>
          </w:tcPr>
          <w:p w14:paraId="26226CBE" w14:textId="3EC19511" w:rsidR="009E1313" w:rsidRPr="009E1313" w:rsidRDefault="009E1313" w:rsidP="009E1313">
            <w:pPr>
              <w:pStyle w:val="BulletedRARMP"/>
              <w:numPr>
                <w:ilvl w:val="0"/>
                <w:numId w:val="0"/>
              </w:numPr>
              <w:spacing w:before="60"/>
              <w:ind w:left="-14" w:firstLine="2"/>
              <w:rPr>
                <w:sz w:val="20"/>
                <w:szCs w:val="20"/>
              </w:rPr>
            </w:pPr>
            <w:r w:rsidRPr="009E1313">
              <w:rPr>
                <w:sz w:val="20"/>
                <w:szCs w:val="20"/>
              </w:rPr>
              <w:t>As for risk scenario 1 and 2</w:t>
            </w:r>
            <w:r w:rsidR="000A22CC">
              <w:rPr>
                <w:sz w:val="20"/>
                <w:szCs w:val="20"/>
              </w:rPr>
              <w:t xml:space="preserve"> and</w:t>
            </w:r>
            <w:r w:rsidRPr="009E1313">
              <w:rPr>
                <w:sz w:val="20"/>
                <w:szCs w:val="20"/>
              </w:rPr>
              <w:t>:</w:t>
            </w:r>
          </w:p>
          <w:p w14:paraId="07CC80BB"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Co-infection of the same cell with both GMO and </w:t>
            </w:r>
            <w:proofErr w:type="spellStart"/>
            <w:r w:rsidRPr="009E1313">
              <w:rPr>
                <w:rFonts w:ascii="Calibri" w:hAnsi="Calibri" w:cs="Calibri"/>
              </w:rPr>
              <w:t>HAdV</w:t>
            </w:r>
            <w:proofErr w:type="spellEnd"/>
            <w:r w:rsidRPr="009E1313">
              <w:rPr>
                <w:rFonts w:ascii="Calibri" w:hAnsi="Calibri" w:cs="Calibri"/>
              </w:rPr>
              <w:t xml:space="preserve"> at the same time is a rare event.</w:t>
            </w:r>
          </w:p>
          <w:p w14:paraId="4B734207"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A large proportion of the population have a pre-existing immunity to HAdV-C5 reducing the likelihood of </w:t>
            </w:r>
            <w:proofErr w:type="spellStart"/>
            <w:r w:rsidRPr="009E1313">
              <w:rPr>
                <w:rFonts w:ascii="Calibri" w:hAnsi="Calibri" w:cs="Calibri"/>
              </w:rPr>
              <w:t>HAdV</w:t>
            </w:r>
            <w:proofErr w:type="spellEnd"/>
            <w:r w:rsidRPr="009E1313">
              <w:rPr>
                <w:rFonts w:ascii="Calibri" w:hAnsi="Calibri" w:cs="Calibri"/>
              </w:rPr>
              <w:t xml:space="preserve"> infection.</w:t>
            </w:r>
          </w:p>
          <w:p w14:paraId="1FB8D3F2"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There is a low probability of continuous complementation of GMO by </w:t>
            </w:r>
            <w:proofErr w:type="spellStart"/>
            <w:r w:rsidRPr="009E1313">
              <w:rPr>
                <w:rFonts w:ascii="Calibri" w:hAnsi="Calibri" w:cs="Calibri"/>
              </w:rPr>
              <w:t>HAdV</w:t>
            </w:r>
            <w:proofErr w:type="spellEnd"/>
            <w:r w:rsidRPr="009E1313">
              <w:rPr>
                <w:rFonts w:ascii="Calibri" w:hAnsi="Calibri" w:cs="Calibri"/>
              </w:rPr>
              <w:t xml:space="preserve"> because </w:t>
            </w:r>
            <w:proofErr w:type="spellStart"/>
            <w:r w:rsidRPr="009E1313">
              <w:rPr>
                <w:rFonts w:ascii="Calibri" w:hAnsi="Calibri" w:cs="Calibri"/>
              </w:rPr>
              <w:t>HAdV</w:t>
            </w:r>
            <w:proofErr w:type="spellEnd"/>
            <w:r w:rsidRPr="009E1313">
              <w:rPr>
                <w:rFonts w:ascii="Calibri" w:hAnsi="Calibri" w:cs="Calibri"/>
              </w:rPr>
              <w:t xml:space="preserve"> infection is self-limiting.</w:t>
            </w:r>
          </w:p>
          <w:p w14:paraId="10A7B6BF"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Recombination among </w:t>
            </w:r>
            <w:proofErr w:type="spellStart"/>
            <w:r w:rsidRPr="009E1313">
              <w:rPr>
                <w:rFonts w:ascii="Calibri" w:hAnsi="Calibri" w:cs="Calibri"/>
              </w:rPr>
              <w:t>AdVs</w:t>
            </w:r>
            <w:proofErr w:type="spellEnd"/>
            <w:r w:rsidRPr="009E1313">
              <w:rPr>
                <w:rFonts w:ascii="Calibri" w:hAnsi="Calibri" w:cs="Calibri"/>
              </w:rPr>
              <w:t xml:space="preserve"> is usually restricted to the same species.</w:t>
            </w:r>
          </w:p>
          <w:p w14:paraId="0D1A69F9"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Homologous recombination in </w:t>
            </w:r>
            <w:proofErr w:type="spellStart"/>
            <w:r w:rsidRPr="009E1313">
              <w:rPr>
                <w:rFonts w:ascii="Calibri" w:hAnsi="Calibri" w:cs="Calibri"/>
              </w:rPr>
              <w:t>HAdV</w:t>
            </w:r>
            <w:proofErr w:type="spellEnd"/>
            <w:r w:rsidRPr="009E1313">
              <w:rPr>
                <w:rFonts w:ascii="Calibri" w:hAnsi="Calibri" w:cs="Calibri"/>
              </w:rPr>
              <w:t>-C is more likely to occur in E1 and E4 regions, which are not involved in virus tropism.</w:t>
            </w:r>
          </w:p>
          <w:p w14:paraId="56FBFE2C" w14:textId="7D263DC5" w:rsidR="00E235CA" w:rsidRPr="00050667" w:rsidRDefault="009E1313" w:rsidP="00050667">
            <w:pPr>
              <w:pStyle w:val="tablebullets"/>
              <w:ind w:left="128" w:hanging="142"/>
              <w:rPr>
                <w:rFonts w:ascii="Calibri" w:hAnsi="Calibri" w:cs="Calibri"/>
                <w:sz w:val="22"/>
                <w:szCs w:val="22"/>
              </w:rPr>
            </w:pPr>
            <w:r w:rsidRPr="009E1313">
              <w:rPr>
                <w:rFonts w:ascii="Calibri" w:hAnsi="Calibri" w:cs="Calibri"/>
              </w:rPr>
              <w:t xml:space="preserve">Multiple recombination events would be required to produce a replication competent </w:t>
            </w:r>
            <w:proofErr w:type="spellStart"/>
            <w:r w:rsidRPr="009E1313">
              <w:rPr>
                <w:rFonts w:ascii="Calibri" w:hAnsi="Calibri" w:cs="Calibri"/>
              </w:rPr>
              <w:t>HAdV</w:t>
            </w:r>
            <w:proofErr w:type="spellEnd"/>
            <w:r w:rsidRPr="009E1313">
              <w:rPr>
                <w:rFonts w:ascii="Calibri" w:hAnsi="Calibri" w:cs="Calibri"/>
              </w:rPr>
              <w:t xml:space="preserve"> with altered tropism and immune evasion properties.</w:t>
            </w:r>
          </w:p>
        </w:tc>
      </w:tr>
    </w:tbl>
    <w:p w14:paraId="5B2CA9DA" w14:textId="78B74DB2" w:rsidR="00FB7E35" w:rsidRDefault="00FB7E35" w:rsidP="00583BD1">
      <w:pPr>
        <w:pStyle w:val="4RARMP"/>
        <w:spacing w:before="240"/>
      </w:pPr>
      <w:bookmarkStart w:id="337" w:name="Chapter_2_2_1"/>
      <w:bookmarkStart w:id="338" w:name="_Ref61527090"/>
      <w:bookmarkStart w:id="339" w:name="_Toc190509008"/>
      <w:bookmarkStart w:id="340" w:name="_Ref191460068"/>
      <w:bookmarkStart w:id="341" w:name="_Toc209859590"/>
      <w:bookmarkStart w:id="342" w:name="_Toc274904769"/>
      <w:bookmarkStart w:id="343" w:name="_Toc291151823"/>
      <w:bookmarkStart w:id="344" w:name="_Toc309054024"/>
      <w:bookmarkStart w:id="345" w:name="_Toc309833716"/>
      <w:bookmarkStart w:id="346" w:name="_Ref341344175"/>
      <w:bookmarkStart w:id="347" w:name="_Toc376438177"/>
      <w:bookmarkStart w:id="348" w:name="_Toc377743578"/>
      <w:bookmarkEnd w:id="337"/>
      <w:r>
        <w:lastRenderedPageBreak/>
        <w:t>Risk scenario 1</w:t>
      </w:r>
      <w:bookmarkEnd w:id="33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42B1E0" w14:textId="3FFF90DC" w:rsidR="00B91203" w:rsidRPr="00B91203" w:rsidRDefault="00B91203" w:rsidP="00B91203">
            <w:pPr>
              <w:pStyle w:val="Style4"/>
              <w:numPr>
                <w:ilvl w:val="0"/>
                <w:numId w:val="0"/>
              </w:numPr>
              <w:rPr>
                <w:rFonts w:ascii="Calibri" w:hAnsi="Calibri"/>
              </w:rPr>
            </w:pPr>
            <w:r w:rsidRPr="00B91203">
              <w:rPr>
                <w:rFonts w:ascii="Calibri" w:hAnsi="Calibri"/>
              </w:rPr>
              <w:t>Exposure of people to the GMO via needle-stick injury, aerosols, fomites, contact with abraded skin or mucous membranes through the following events:</w:t>
            </w:r>
          </w:p>
          <w:p w14:paraId="60AED0B7"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Preparation and administration of the GMO</w:t>
            </w:r>
          </w:p>
          <w:p w14:paraId="2D89DD84"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During import, transport or storage of the GMO</w:t>
            </w:r>
          </w:p>
          <w:p w14:paraId="5D4F19B5" w14:textId="0EF98C6A" w:rsidR="00516165" w:rsidRPr="00516165" w:rsidRDefault="00516165" w:rsidP="00516165">
            <w:pPr>
              <w:pStyle w:val="textfortable"/>
              <w:numPr>
                <w:ilvl w:val="0"/>
                <w:numId w:val="93"/>
              </w:numPr>
              <w:jc w:val="left"/>
              <w:rPr>
                <w:rFonts w:ascii="Calibri" w:hAnsi="Calibri"/>
                <w:sz w:val="22"/>
                <w:szCs w:val="22"/>
              </w:rPr>
            </w:pPr>
            <w:r w:rsidRPr="00516165">
              <w:rPr>
                <w:rFonts w:ascii="Calibri" w:hAnsi="Calibri"/>
                <w:sz w:val="22"/>
                <w:szCs w:val="22"/>
              </w:rPr>
              <w:t>Handling of samples containing the GMO</w:t>
            </w:r>
          </w:p>
          <w:p w14:paraId="1D03CD0C" w14:textId="6604B2E0"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Disposal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7A227CC" w14:textId="77777777" w:rsidR="00B91203" w:rsidRPr="00B91203" w:rsidRDefault="00B91203" w:rsidP="00B91203">
            <w:pPr>
              <w:pStyle w:val="Style4"/>
              <w:numPr>
                <w:ilvl w:val="0"/>
                <w:numId w:val="0"/>
              </w:numPr>
              <w:jc w:val="center"/>
              <w:rPr>
                <w:rFonts w:ascii="Calibri" w:hAnsi="Calibri"/>
                <w:color w:val="auto"/>
              </w:rPr>
            </w:pPr>
            <w:r w:rsidRPr="00B91203">
              <w:rPr>
                <w:rFonts w:ascii="Calibri" w:hAnsi="Calibri"/>
                <w:color w:val="auto"/>
              </w:rPr>
              <w:t>Post infection immune response due to the presence of the virus</w:t>
            </w:r>
          </w:p>
          <w:p w14:paraId="32DD8857" w14:textId="0580F1B2" w:rsidR="00B91203" w:rsidRPr="00B91203" w:rsidRDefault="00655897" w:rsidP="00B91203">
            <w:pPr>
              <w:pStyle w:val="Style4"/>
              <w:numPr>
                <w:ilvl w:val="0"/>
                <w:numId w:val="0"/>
              </w:numPr>
              <w:jc w:val="center"/>
              <w:rPr>
                <w:rFonts w:ascii="Calibri" w:hAnsi="Calibri"/>
                <w:color w:val="auto"/>
              </w:rPr>
            </w:pPr>
            <w:r>
              <w:rPr>
                <w:rFonts w:ascii="Calibri" w:hAnsi="Calibri"/>
                <w:color w:val="auto"/>
              </w:rPr>
              <w:t>a</w:t>
            </w:r>
            <w:r w:rsidRPr="00B91203">
              <w:rPr>
                <w:rFonts w:ascii="Calibri" w:hAnsi="Calibri"/>
                <w:color w:val="auto"/>
              </w:rPr>
              <w:t>nd</w:t>
            </w:r>
            <w:r w:rsidR="00B91203" w:rsidRPr="00B91203">
              <w:rPr>
                <w:rFonts w:ascii="Calibri" w:hAnsi="Calibri"/>
                <w:color w:val="auto"/>
              </w:rPr>
              <w:t>/or</w:t>
            </w:r>
          </w:p>
          <w:p w14:paraId="3CC1D15D" w14:textId="310798B5" w:rsidR="00083CBC" w:rsidRPr="00B91203" w:rsidRDefault="00834863" w:rsidP="00B91203">
            <w:pPr>
              <w:pStyle w:val="Style4"/>
              <w:numPr>
                <w:ilvl w:val="0"/>
                <w:numId w:val="0"/>
              </w:numPr>
              <w:jc w:val="center"/>
              <w:rPr>
                <w:rFonts w:ascii="Calibri" w:hAnsi="Calibri"/>
                <w:color w:val="auto"/>
                <w:sz w:val="20"/>
                <w:szCs w:val="20"/>
              </w:rPr>
            </w:pPr>
            <w:r w:rsidRPr="00834863">
              <w:rPr>
                <w:rFonts w:ascii="Calibri" w:hAnsi="Calibri"/>
                <w:color w:val="auto"/>
              </w:rPr>
              <w:t>Expression of the IFN-α2b protein</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45673D18" w:rsidR="00083CBC" w:rsidRPr="00516165" w:rsidRDefault="002C4210" w:rsidP="00FF0635">
            <w:pPr>
              <w:spacing w:before="60" w:after="60"/>
              <w:rPr>
                <w:rFonts w:asciiTheme="minorHAnsi" w:eastAsia="Calibri" w:hAnsiTheme="minorHAnsi" w:cstheme="minorHAnsi"/>
                <w:szCs w:val="22"/>
              </w:rPr>
            </w:pPr>
            <w:r>
              <w:t>A</w:t>
            </w:r>
            <w:r w:rsidR="00FF0635" w:rsidRPr="00516165">
              <w:t>dverse immune reactions</w:t>
            </w:r>
            <w:r>
              <w:t xml:space="preserve">; </w:t>
            </w:r>
            <w:r w:rsidRPr="002C4210">
              <w:t>illness, local inflammation, flu-like symptoms</w:t>
            </w:r>
          </w:p>
        </w:tc>
      </w:tr>
    </w:tbl>
    <w:p w14:paraId="69062DAB" w14:textId="77777777" w:rsidR="00FB7E35" w:rsidRPr="00BD40B7" w:rsidRDefault="00FB7E35" w:rsidP="00321D13">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321D13">
      <w:pPr>
        <w:pStyle w:val="5RARMP"/>
      </w:pPr>
      <w:r w:rsidRPr="00D152F4">
        <w:t>Ca</w:t>
      </w:r>
      <w:r>
        <w:t>us</w:t>
      </w:r>
      <w:r w:rsidRPr="00D152F4">
        <w:t>al Pathway</w:t>
      </w:r>
    </w:p>
    <w:p w14:paraId="54A3E4E2" w14:textId="2F7B05F0" w:rsidR="00B901C7" w:rsidRDefault="00051C96" w:rsidP="00051C96">
      <w:pPr>
        <w:pStyle w:val="RARMPnumberedparagraphs"/>
      </w:pPr>
      <w:r w:rsidRPr="00621CE0">
        <w:t>Peopl</w:t>
      </w:r>
      <w:r w:rsidR="0027423B">
        <w:t>e (</w:t>
      </w:r>
      <w:r w:rsidR="00360A0D">
        <w:t>other than the intended recipient</w:t>
      </w:r>
      <w:r w:rsidR="0027423B">
        <w:t xml:space="preserve">)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proofErr w:type="gramStart"/>
      <w:r w:rsidRPr="00621CE0">
        <w:t>a number of</w:t>
      </w:r>
      <w:proofErr w:type="gramEnd"/>
      <w:r w:rsidRPr="00621CE0">
        <w:t xml:space="preserve">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492DE3">
        <w:t xml:space="preserve"> or</w:t>
      </w:r>
      <w:r w:rsidR="00D16BB2">
        <w:t xml:space="preserve"> </w:t>
      </w:r>
      <w:r w:rsidR="00492DE3">
        <w:t xml:space="preserve">during </w:t>
      </w:r>
      <w:r w:rsidR="00D16BB2">
        <w:t>preparation of the GMO</w:t>
      </w:r>
      <w:r w:rsidR="00E90865">
        <w:t xml:space="preserve">. </w:t>
      </w:r>
      <w:r w:rsidR="00295350">
        <w:t xml:space="preserve">It </w:t>
      </w:r>
      <w:r w:rsidR="00E90865">
        <w:t>could</w:t>
      </w:r>
      <w:r>
        <w:t xml:space="preserve"> also be transmitted </w:t>
      </w:r>
      <w:r w:rsidR="00D33687">
        <w:t xml:space="preserve">during administration by needlestick </w:t>
      </w:r>
      <w:r w:rsidR="00AE044B">
        <w:t>injury. There</w:t>
      </w:r>
      <w:r w:rsidR="00834863">
        <w:t xml:space="preserve"> is likely to be </w:t>
      </w:r>
      <w:r w:rsidR="00834863" w:rsidRPr="00834863">
        <w:t>transient and low-level shedding of the GMO in urine</w:t>
      </w:r>
      <w:r w:rsidR="00834863">
        <w:t xml:space="preserve"> due to the method of administration</w:t>
      </w:r>
      <w:r w:rsidR="00621CE0" w:rsidRPr="00621CE0">
        <w:t xml:space="preserve">. </w:t>
      </w:r>
      <w:r w:rsidR="0036286F" w:rsidRPr="0036286F">
        <w:t>The collection of samples from trial participants could pose another route of exposure.</w:t>
      </w:r>
      <w:r w:rsidR="002D705D">
        <w:t xml:space="preserve"> </w:t>
      </w:r>
      <w:r w:rsidR="002D705D" w:rsidRPr="002D705D">
        <w:t>These exposures could result in infection with the GMO that could lead to ill health</w:t>
      </w:r>
      <w:r w:rsidR="002D705D">
        <w:t>.</w:t>
      </w:r>
    </w:p>
    <w:p w14:paraId="4D482AFF" w14:textId="77777777" w:rsidR="00A2318D" w:rsidRPr="00A81D8E" w:rsidRDefault="00A2318D" w:rsidP="00A2318D">
      <w:pPr>
        <w:pStyle w:val="RARMPnumberedparagraphs"/>
        <w:numPr>
          <w:ilvl w:val="0"/>
          <w:numId w:val="0"/>
        </w:numPr>
        <w:rPr>
          <w:i/>
        </w:rPr>
      </w:pPr>
      <w:r w:rsidRPr="00A81D8E">
        <w:rPr>
          <w:i/>
        </w:rPr>
        <w:t xml:space="preserve">Exposure during preparation and administration of the GMO </w:t>
      </w:r>
    </w:p>
    <w:p w14:paraId="69F569E8" w14:textId="697CB7EF" w:rsidR="00834863"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8E199A">
        <w:t>Chapter 1</w:t>
      </w:r>
      <w:r w:rsidR="008E199A">
        <w:fldChar w:fldCharType="end"/>
      </w:r>
      <w:r w:rsidR="008E199A">
        <w:t xml:space="preserve">, Section </w:t>
      </w:r>
      <w:r w:rsidR="008E199A">
        <w:fldChar w:fldCharType="begin"/>
      </w:r>
      <w:r w:rsidR="008E199A">
        <w:instrText xml:space="preserve"> REF _Ref56778381 \n \h </w:instrText>
      </w:r>
      <w:r w:rsidR="008E199A">
        <w:fldChar w:fldCharType="separate"/>
      </w:r>
      <w:r w:rsidR="008E199A">
        <w:t>2.1</w:t>
      </w:r>
      <w:r w:rsidR="008E199A">
        <w:fldChar w:fldCharType="end"/>
      </w:r>
      <w:r w:rsidR="00A2318D" w:rsidRPr="00A81D8E">
        <w:t xml:space="preserve">, </w:t>
      </w:r>
      <w:r w:rsidR="00643846">
        <w:t xml:space="preserve">preparation and administration of </w:t>
      </w:r>
      <w:r w:rsidR="00A2318D" w:rsidRPr="00A81D8E">
        <w:t xml:space="preserve">the GMO </w:t>
      </w:r>
      <w:r w:rsidR="00E54946">
        <w:t>will</w:t>
      </w:r>
      <w:r w:rsidR="00A2318D" w:rsidRPr="00A81D8E">
        <w:t xml:space="preserve"> be </w:t>
      </w:r>
      <w:r w:rsidR="000A2AF4">
        <w:t>carried out in clinical trial sites</w:t>
      </w:r>
      <w:r w:rsidRPr="00A81D8E">
        <w:t xml:space="preserve">. </w:t>
      </w:r>
      <w:r w:rsidR="00834863">
        <w:t xml:space="preserve">The GMO </w:t>
      </w:r>
      <w:r w:rsidR="00834863" w:rsidRPr="00834863">
        <w:t>is intended to be administered through intravesical installation performed by trained healthcare professionals</w:t>
      </w:r>
      <w:r w:rsidR="00834863">
        <w:t xml:space="preserve">. </w:t>
      </w:r>
      <w:r w:rsidR="00834863" w:rsidRPr="004207A4">
        <w:t xml:space="preserve">The risk of needle stick injuries is eliminated as the applicant stated that vented vial adapters will be used to transfer the GMO from the vial to the syringe </w:t>
      </w:r>
      <w:r w:rsidR="00834863">
        <w:t>(Chapter 1 Section</w:t>
      </w:r>
      <w:r w:rsidR="009409E5">
        <w:t xml:space="preserve"> </w:t>
      </w:r>
      <w:r w:rsidR="009409E5">
        <w:rPr>
          <w:highlight w:val="yellow"/>
        </w:rPr>
        <w:fldChar w:fldCharType="begin"/>
      </w:r>
      <w:r w:rsidR="009409E5">
        <w:instrText xml:space="preserve"> REF _Ref216279175 \n \h </w:instrText>
      </w:r>
      <w:r w:rsidR="009409E5">
        <w:rPr>
          <w:highlight w:val="yellow"/>
        </w:rPr>
      </w:r>
      <w:r w:rsidR="009409E5">
        <w:rPr>
          <w:highlight w:val="yellow"/>
        </w:rPr>
        <w:fldChar w:fldCharType="separate"/>
      </w:r>
      <w:r w:rsidR="009409E5">
        <w:t>2.3.6</w:t>
      </w:r>
      <w:r w:rsidR="009409E5">
        <w:rPr>
          <w:highlight w:val="yellow"/>
        </w:rPr>
        <w:fldChar w:fldCharType="end"/>
      </w:r>
      <w:r w:rsidR="00834863">
        <w:t xml:space="preserve">). </w:t>
      </w:r>
      <w:r w:rsidR="00834863" w:rsidRPr="004207A4">
        <w:t xml:space="preserve">There is potential for exposure of people involved in the preparation or administration of the GM therapeutic </w:t>
      </w:r>
      <w:r w:rsidR="00834863">
        <w:t>through</w:t>
      </w:r>
      <w:r w:rsidR="00834863" w:rsidRPr="004207A4">
        <w:t xml:space="preserve"> aerosol formation during preparation and/or due to breakage/spillage of the GM therapeutic or urine from patients onto surfaces</w:t>
      </w:r>
      <w:r w:rsidR="000D67F4" w:rsidRPr="00785E9A">
        <w:t>.</w:t>
      </w:r>
    </w:p>
    <w:p w14:paraId="3938B605" w14:textId="24479A41" w:rsidR="00EA616E" w:rsidRPr="00785E9A" w:rsidRDefault="00A2318D" w:rsidP="00EA50BC">
      <w:pPr>
        <w:pStyle w:val="RARMPnumberedparagraphs"/>
      </w:pPr>
      <w:r w:rsidRPr="00785E9A">
        <w:t xml:space="preserve">The GMO </w:t>
      </w:r>
      <w:r w:rsidR="00E54946" w:rsidRPr="00785E9A">
        <w:t>will</w:t>
      </w:r>
      <w:r w:rsidRPr="00785E9A">
        <w:t xml:space="preserve"> be prepared and administered by authorised, experienced and trained </w:t>
      </w:r>
      <w:r w:rsidR="00EE3FD5" w:rsidRPr="00785E9A">
        <w:t>health professionals</w:t>
      </w:r>
      <w:r w:rsidRPr="00785E9A">
        <w:t>.</w:t>
      </w:r>
      <w:r w:rsidR="00AD08A9" w:rsidRPr="00785E9A">
        <w:t xml:space="preserve"> </w:t>
      </w:r>
      <w:r w:rsidRPr="00785E9A">
        <w:t>All personnel working in settings where healthcare is provided</w:t>
      </w:r>
      <w:r w:rsidR="00413457" w:rsidRPr="00785E9A">
        <w:t xml:space="preserve">, including </w:t>
      </w:r>
      <w:r w:rsidR="003208BB" w:rsidRPr="00785E9A">
        <w:t xml:space="preserve">clinical trial </w:t>
      </w:r>
      <w:r w:rsidR="00413457" w:rsidRPr="00785E9A">
        <w:t>services,</w:t>
      </w:r>
      <w:r w:rsidRPr="00785E9A">
        <w:t xml:space="preserve"> are required to comply with the standard precautions for working with potentially infectious material, as described in the</w:t>
      </w:r>
      <w:r w:rsidRPr="00785E9A">
        <w:rPr>
          <w:i/>
        </w:rPr>
        <w:t xml:space="preserve"> Australian Guidelines for the Prevention and Control of Infection </w:t>
      </w:r>
      <w:r w:rsidR="00D16BB2" w:rsidRPr="00785E9A">
        <w:rPr>
          <w:i/>
        </w:rPr>
        <w:t xml:space="preserve">in Healthcare </w:t>
      </w:r>
      <w:r w:rsidR="00D16BB2" w:rsidRPr="00785E9A">
        <w:t>(2019</w:t>
      </w:r>
      <w:r w:rsidRPr="00785E9A">
        <w:t>)</w:t>
      </w:r>
      <w:r w:rsidR="00167609" w:rsidRPr="00785E9A">
        <w:t xml:space="preserve"> </w:t>
      </w:r>
      <w:r w:rsidR="00ED6D2C" w:rsidRPr="00785E9A">
        <w:t xml:space="preserve">and </w:t>
      </w:r>
      <w:r w:rsidR="00167609" w:rsidRPr="00785E9A">
        <w:t>the</w:t>
      </w:r>
      <w:r w:rsidR="00167609" w:rsidRPr="00785E9A">
        <w:rPr>
          <w:i/>
        </w:rPr>
        <w:t xml:space="preserve"> Australian Immunisation Handbook</w:t>
      </w:r>
      <w:r w:rsidR="001D5865" w:rsidRPr="00785E9A">
        <w:rPr>
          <w:i/>
        </w:rPr>
        <w:t>.</w:t>
      </w:r>
      <w:r w:rsidR="00B21905" w:rsidRPr="00785E9A">
        <w:t xml:space="preserve"> </w:t>
      </w:r>
    </w:p>
    <w:p w14:paraId="4A746004" w14:textId="1CE3DC29" w:rsidR="00B15558" w:rsidRDefault="00B15558" w:rsidP="00B15558">
      <w:pPr>
        <w:pStyle w:val="RARMPnumberedparagraphs"/>
      </w:pPr>
      <w:r w:rsidRPr="00A81D8E">
        <w:t xml:space="preserve">Caregivers </w:t>
      </w:r>
      <w:r w:rsidR="00413457" w:rsidRPr="00A81D8E">
        <w:t xml:space="preserve">and healthcare personnel who </w:t>
      </w:r>
      <w:r w:rsidR="00643846">
        <w:t>are in</w:t>
      </w:r>
      <w:r w:rsidR="00413457" w:rsidRPr="00A81D8E">
        <w:t xml:space="preserve"> close contact with people </w:t>
      </w:r>
      <w:r w:rsidR="00052D24">
        <w:t xml:space="preserve">treated with the GMO </w:t>
      </w:r>
      <w:r w:rsidRPr="00A81D8E">
        <w:t>may be inadvertently exposed to the GMO during administration</w:t>
      </w:r>
      <w:r w:rsidR="00B21905">
        <w:t xml:space="preserve"> via spillage</w:t>
      </w:r>
      <w:r w:rsidR="00052D24">
        <w:t xml:space="preserve"> or after patient use of bathrooms</w:t>
      </w:r>
      <w:r w:rsidR="006063ED" w:rsidRPr="006063ED">
        <w:t>.</w:t>
      </w:r>
      <w:r w:rsidR="00413457" w:rsidRPr="00A81D8E">
        <w:t xml:space="preserve"> </w:t>
      </w:r>
      <w:r w:rsidRPr="00A81D8E">
        <w:t xml:space="preserve">Caregivers </w:t>
      </w:r>
      <w:r w:rsidR="00413457" w:rsidRPr="00A81D8E">
        <w:t xml:space="preserve">and others exposed to the </w:t>
      </w:r>
      <w:r w:rsidR="00870A20">
        <w:t>GMO</w:t>
      </w:r>
      <w:r w:rsidR="00413457" w:rsidRPr="00A81D8E">
        <w:t xml:space="preserve"> in this way </w:t>
      </w:r>
      <w:r w:rsidR="00E54946">
        <w:t>will</w:t>
      </w:r>
      <w:r w:rsidRPr="00A81D8E">
        <w:t xml:space="preserve"> only be expected to be exposed to low levels of the GMO.</w:t>
      </w:r>
    </w:p>
    <w:p w14:paraId="5E2D72EF" w14:textId="120BAB0E" w:rsidR="00A2318D" w:rsidRPr="00947F92" w:rsidRDefault="00A2318D" w:rsidP="00EA616E">
      <w:pPr>
        <w:pStyle w:val="RARMPnumberedparagraphs"/>
      </w:pPr>
      <w:r w:rsidRPr="00A81D8E">
        <w:rPr>
          <w:rFonts w:cs="Calibri"/>
          <w:color w:val="000000"/>
          <w:szCs w:val="22"/>
        </w:rPr>
        <w:lastRenderedPageBreak/>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and </w:t>
      </w:r>
      <w:r w:rsidR="00ED6D2C" w:rsidRPr="00ED6D2C">
        <w:t>the</w:t>
      </w:r>
      <w:r w:rsidR="00ED6D2C" w:rsidRPr="00EA50BC">
        <w:rPr>
          <w:i/>
        </w:rPr>
        <w:t xml:space="preserve"> Australian Immunisation Handbook</w:t>
      </w:r>
      <w:r w:rsidR="00ED6D2C">
        <w:rPr>
          <w:rFonts w:cs="Calibri"/>
          <w:color w:val="000000"/>
          <w:szCs w:val="22"/>
        </w:rPr>
        <w:t xml:space="preserve"> 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w:t>
      </w:r>
      <w:r w:rsidR="00E0724A">
        <w:rPr>
          <w:rFonts w:asciiTheme="minorHAnsi" w:hAnsiTheme="minorHAnsi" w:cstheme="minorHAnsi"/>
          <w:color w:val="000000"/>
          <w:szCs w:val="22"/>
        </w:rPr>
        <w:t>GMO</w:t>
      </w:r>
      <w:r w:rsidRPr="00A81D8E">
        <w:rPr>
          <w:rFonts w:asciiTheme="minorHAnsi" w:hAnsiTheme="minorHAnsi" w:cstheme="minorHAnsi"/>
          <w:color w:val="000000"/>
          <w:szCs w:val="22"/>
        </w:rPr>
        <w:t xml:space="preserve">. </w:t>
      </w:r>
    </w:p>
    <w:p w14:paraId="5625A6A7" w14:textId="03A8614C" w:rsidR="00DC2D82" w:rsidRDefault="00DC2D82" w:rsidP="00947F92">
      <w:pPr>
        <w:pStyle w:val="RARMPnumberedparagraphs"/>
        <w:numPr>
          <w:ilvl w:val="0"/>
          <w:numId w:val="0"/>
        </w:numPr>
        <w:rPr>
          <w:i/>
          <w:iCs/>
        </w:rPr>
      </w:pPr>
      <w:r>
        <w:rPr>
          <w:i/>
          <w:iCs/>
        </w:rPr>
        <w:t>Exposure during import, transport and storage of the GMO</w:t>
      </w:r>
    </w:p>
    <w:p w14:paraId="4A8DCCD2" w14:textId="0B3D447C" w:rsidR="00BA7606" w:rsidRDefault="00DC2D82" w:rsidP="00BA7606">
      <w:pPr>
        <w:pStyle w:val="RARMPnumberedparagraphs"/>
      </w:pPr>
      <w:r>
        <w:t>Import, transport and storage of the GMO have been considered under licence application DIR 217 for the commercial supply of the GMO in Australia.</w:t>
      </w:r>
      <w:r w:rsidR="00AC424E">
        <w:t xml:space="preserve"> </w:t>
      </w:r>
      <w:r w:rsidR="00953860">
        <w:t>To avoid duplication, f</w:t>
      </w:r>
      <w:r w:rsidR="00AC424E">
        <w:t>or this licence only dealings with the GMO occurring at the clinical trial site or downstream dealings such as collection and handling of samples from participants, and transport and disposal of clinical waste containing the GMO will be assessed</w:t>
      </w:r>
      <w:r w:rsidR="00953860">
        <w:t>, while import of the GMO and any transport or storage of the GMO before reaching the clinical trial site is not included.</w:t>
      </w:r>
    </w:p>
    <w:p w14:paraId="6A36CEF0" w14:textId="7294EBC4" w:rsidR="004359E7" w:rsidRPr="00947F92" w:rsidRDefault="004359E7" w:rsidP="00947F92">
      <w:pPr>
        <w:pStyle w:val="RARMPnumberedparagraphs"/>
        <w:numPr>
          <w:ilvl w:val="0"/>
          <w:numId w:val="0"/>
        </w:numPr>
        <w:rPr>
          <w:i/>
          <w:iCs/>
        </w:rPr>
      </w:pPr>
      <w:r w:rsidRPr="00947F92">
        <w:rPr>
          <w:i/>
          <w:iCs/>
        </w:rPr>
        <w:t>Exposure through the collection of samples</w:t>
      </w:r>
    </w:p>
    <w:p w14:paraId="51F952A7" w14:textId="0C97265D" w:rsidR="00D8518F" w:rsidRDefault="004359E7" w:rsidP="00CB0F94">
      <w:pPr>
        <w:pStyle w:val="RARMPnumberedparagraphs"/>
      </w:pPr>
      <w:r w:rsidRPr="004359E7">
        <w:t>Clinical trial staff collecting samples from trial participants could also be exposed to the GMO in the samples. However, as via the shedding route, the exposure via clinical sample collection is expected to be very low. Furthermore, only trained staff will collect the samples</w:t>
      </w:r>
      <w:r w:rsidR="00BA7606">
        <w:t xml:space="preserve"> and any samples that may contain the GMO will be handled </w:t>
      </w:r>
      <w:r w:rsidR="00BA7606" w:rsidRPr="006063ED">
        <w:t xml:space="preserve">according to </w:t>
      </w:r>
      <w:r w:rsidR="00BA7606">
        <w:t xml:space="preserve">the Regulator’s </w:t>
      </w:r>
      <w:r w:rsidR="00BA7606" w:rsidRPr="006B0B65">
        <w:rPr>
          <w:i/>
        </w:rPr>
        <w:t>Guidelines for the Transport, Storage and Disposal of GMOs</w:t>
      </w:r>
      <w:r w:rsidR="00BA7606">
        <w:t xml:space="preserve"> (TSDs</w:t>
      </w:r>
      <w:r w:rsidR="00BA7606" w:rsidRPr="006F1E79">
        <w:t>)</w:t>
      </w:r>
      <w:r w:rsidR="00BA7606" w:rsidRPr="006063ED">
        <w:t xml:space="preserve"> (</w:t>
      </w:r>
      <w:r w:rsidR="00BA7606" w:rsidRPr="006063ED">
        <w:fldChar w:fldCharType="begin"/>
      </w:r>
      <w:r w:rsidR="00BA7606" w:rsidRPr="006063ED">
        <w:instrText xml:space="preserve"> REF _Ref57107703 \n \h  \* MERGEFORMAT </w:instrText>
      </w:r>
      <w:r w:rsidR="00BA7606" w:rsidRPr="006063ED">
        <w:fldChar w:fldCharType="separate"/>
      </w:r>
      <w:r w:rsidR="00BA7606">
        <w:t>Chapter 1</w:t>
      </w:r>
      <w:r w:rsidR="00BA7606" w:rsidRPr="006063ED">
        <w:fldChar w:fldCharType="end"/>
      </w:r>
      <w:r w:rsidR="00BA7606" w:rsidRPr="006063ED">
        <w:t>, Section</w:t>
      </w:r>
      <w:r w:rsidR="00BA7606">
        <w:t xml:space="preserve"> </w:t>
      </w:r>
      <w:r w:rsidR="00BA7606" w:rsidRPr="006B0B65">
        <w:rPr>
          <w:highlight w:val="yellow"/>
        </w:rPr>
        <w:fldChar w:fldCharType="begin"/>
      </w:r>
      <w:r w:rsidR="00BA7606" w:rsidRPr="00612D03">
        <w:instrText xml:space="preserve"> REF _Ref57040802 \n \h </w:instrText>
      </w:r>
      <w:r w:rsidR="00BA7606" w:rsidRPr="006B0B65">
        <w:rPr>
          <w:highlight w:val="yellow"/>
        </w:rPr>
      </w:r>
      <w:r w:rsidR="00BA7606" w:rsidRPr="006B0B65">
        <w:rPr>
          <w:highlight w:val="yellow"/>
        </w:rPr>
        <w:fldChar w:fldCharType="separate"/>
      </w:r>
      <w:r w:rsidR="00BA7606" w:rsidRPr="00612D03">
        <w:t>2.2</w:t>
      </w:r>
      <w:r w:rsidR="00BA7606" w:rsidRPr="006B0B65">
        <w:rPr>
          <w:highlight w:val="yellow"/>
        </w:rPr>
        <w:fldChar w:fldCharType="end"/>
      </w:r>
      <w:r w:rsidR="00BA7606" w:rsidRPr="006063ED">
        <w:t>)</w:t>
      </w:r>
      <w:r>
        <w:t>.</w:t>
      </w:r>
      <w:r w:rsidR="00D8518F" w:rsidRPr="00D8518F">
        <w:t xml:space="preserve"> </w:t>
      </w:r>
    </w:p>
    <w:p w14:paraId="7B2E6340" w14:textId="09873605" w:rsidR="003D2B44" w:rsidRPr="00766B37" w:rsidRDefault="00A359B9" w:rsidP="00766B37">
      <w:pPr>
        <w:pStyle w:val="RARMPnumberedparagraphs"/>
        <w:numPr>
          <w:ilvl w:val="0"/>
          <w:numId w:val="0"/>
        </w:numPr>
        <w:rPr>
          <w:i/>
        </w:rPr>
      </w:pPr>
      <w:r w:rsidRPr="003D2B44">
        <w:rPr>
          <w:i/>
        </w:rPr>
        <w:t xml:space="preserve">Exposure during disposal of </w:t>
      </w:r>
      <w:r w:rsidR="00B43BCB">
        <w:rPr>
          <w:i/>
        </w:rPr>
        <w:t xml:space="preserve">waste containing </w:t>
      </w:r>
      <w:r w:rsidRPr="003D2B44">
        <w:rPr>
          <w:i/>
        </w:rPr>
        <w:t>the GMO</w:t>
      </w:r>
    </w:p>
    <w:p w14:paraId="50ABA115" w14:textId="2ACEE294" w:rsidR="003D2B44" w:rsidRDefault="003D2B44" w:rsidP="003D2B44">
      <w:pPr>
        <w:pStyle w:val="RARMPnumberedparagraphs"/>
      </w:pPr>
      <w:r w:rsidRPr="003D2B44">
        <w:t>Individuals may be inadvertently exposed to GMO</w:t>
      </w:r>
      <w:r w:rsidR="008269FE">
        <w:t>s</w:t>
      </w:r>
      <w:r w:rsidRPr="003D2B44">
        <w:t xml:space="preserve"> while disposing of used</w:t>
      </w:r>
      <w:r w:rsidR="002265AF">
        <w:t xml:space="preserve"> </w:t>
      </w:r>
      <w:r w:rsidRPr="003D2B44">
        <w:t xml:space="preserve">or unused vials of </w:t>
      </w:r>
      <w:r>
        <w:t xml:space="preserve">the </w:t>
      </w:r>
      <w:r w:rsidR="00870A20">
        <w:t>GMO</w:t>
      </w:r>
      <w:r w:rsidR="001F7761">
        <w:t>. The two</w:t>
      </w:r>
      <w:r w:rsidRPr="003D2B44">
        <w:t xml:space="preserve"> locations where this </w:t>
      </w:r>
      <w:r>
        <w:t>is most likely to occur are at:</w:t>
      </w:r>
    </w:p>
    <w:p w14:paraId="12AD380F" w14:textId="26D1BCE6" w:rsidR="003D2B44" w:rsidRDefault="00870A20" w:rsidP="00B32374">
      <w:pPr>
        <w:pStyle w:val="RARMPnumberedparagraphs"/>
        <w:numPr>
          <w:ilvl w:val="0"/>
          <w:numId w:val="40"/>
        </w:numPr>
      </w:pPr>
      <w:r>
        <w:t>locations where</w:t>
      </w:r>
      <w:r w:rsidR="003D2B44" w:rsidRPr="003D2B44">
        <w:t xml:space="preserve"> stocks of </w:t>
      </w:r>
      <w:r w:rsidR="003D2B44">
        <w:t>the GM</w:t>
      </w:r>
      <w:r w:rsidR="00A54045">
        <w:t>O</w:t>
      </w:r>
      <w:r w:rsidR="003D2B44" w:rsidRPr="003D2B44">
        <w:t xml:space="preserve"> are </w:t>
      </w:r>
      <w:proofErr w:type="gramStart"/>
      <w:r w:rsidR="006943A7">
        <w:t>stored</w:t>
      </w:r>
      <w:r w:rsidR="00275855">
        <w:t>;</w:t>
      </w:r>
      <w:proofErr w:type="gramEnd"/>
      <w:r w:rsidR="003D2B44" w:rsidRPr="003D2B44">
        <w:t xml:space="preserve"> </w:t>
      </w:r>
    </w:p>
    <w:p w14:paraId="60198A23" w14:textId="1AB5AC54" w:rsidR="00656808" w:rsidRPr="00656808" w:rsidRDefault="003D2B44" w:rsidP="00B32374">
      <w:pPr>
        <w:pStyle w:val="RARMPnumberedparagraphs"/>
        <w:numPr>
          <w:ilvl w:val="0"/>
          <w:numId w:val="40"/>
        </w:numPr>
      </w:pPr>
      <w:r w:rsidRPr="003D2B44">
        <w:t xml:space="preserve">locations where </w:t>
      </w:r>
      <w:r>
        <w:t>the GM</w:t>
      </w:r>
      <w:r w:rsidR="00A54045">
        <w:t>O</w:t>
      </w:r>
      <w:r>
        <w:t xml:space="preserve"> </w:t>
      </w:r>
      <w:r w:rsidRPr="003D2B44">
        <w:t xml:space="preserve">is administered. </w:t>
      </w:r>
      <w:r w:rsidR="00766B37" w:rsidRPr="00766B37">
        <w:t xml:space="preserve"> </w:t>
      </w:r>
    </w:p>
    <w:p w14:paraId="08A1CD32" w14:textId="21845883" w:rsidR="00953860" w:rsidRDefault="00953860" w:rsidP="00EF5934">
      <w:pPr>
        <w:pStyle w:val="RARMPnumberedparagraphs"/>
      </w:pPr>
      <w:r>
        <w:t xml:space="preserve">As discussed above, any transport, storage or disposal of the GMO before reaching the clinical trial site is covered by licence DIR 217. </w:t>
      </w:r>
    </w:p>
    <w:p w14:paraId="673F8530" w14:textId="54374A3D" w:rsidR="00BA7606" w:rsidRDefault="00BA7606" w:rsidP="00EF5934">
      <w:pPr>
        <w:pStyle w:val="RARMPnumberedparagraphs"/>
      </w:pPr>
      <w:r>
        <w:t>If waste containing the GMO was spilled during</w:t>
      </w:r>
      <w:r w:rsidRPr="00621CE0">
        <w:t xml:space="preserve"> transport or storage, this could result in exposure to people</w:t>
      </w:r>
      <w:r>
        <w:t xml:space="preserve"> </w:t>
      </w:r>
      <w:r w:rsidRPr="00621CE0">
        <w:t>in the area</w:t>
      </w:r>
      <w:r>
        <w:t xml:space="preserve"> via aerosol or liquid contact with eyes, mucous membranes or skin. Further, people could be inadvertently exposed to the GMO via contact with materials contaminated with the GMO and subsequent hand to mouth transmission.</w:t>
      </w:r>
    </w:p>
    <w:p w14:paraId="50C5972C" w14:textId="6D87FC55" w:rsidR="000D7987" w:rsidRPr="00BA7606" w:rsidRDefault="00B57742" w:rsidP="00EF5934">
      <w:pPr>
        <w:pStyle w:val="RARMPnumberedparagraphs"/>
      </w:pPr>
      <w:r>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1E7664">
        <w:t>Chapter 1</w:t>
      </w:r>
      <w:r w:rsidR="005F591C" w:rsidRPr="00472456">
        <w:fldChar w:fldCharType="end"/>
      </w:r>
      <w:r w:rsidR="005F591C" w:rsidRPr="00472456">
        <w:t>, Sectio</w:t>
      </w:r>
      <w:r w:rsidR="002265AF">
        <w:t xml:space="preserve">n </w:t>
      </w:r>
      <w:r w:rsidR="002265AF">
        <w:fldChar w:fldCharType="begin"/>
      </w:r>
      <w:r w:rsidR="002265AF">
        <w:instrText xml:space="preserve"> REF _Ref217296814 \n \h </w:instrText>
      </w:r>
      <w:r w:rsidR="002265AF">
        <w:fldChar w:fldCharType="separate"/>
      </w:r>
      <w:r w:rsidR="002265AF">
        <w:t>2.3</w:t>
      </w:r>
      <w:r w:rsidR="002265AF">
        <w:fldChar w:fldCharType="end"/>
      </w:r>
      <w:r w:rsidR="008B6644" w:rsidRPr="00B57742">
        <w:t>, unused</w:t>
      </w:r>
      <w:r w:rsidR="008B6644">
        <w:t xml:space="preserve"> vials of the GMO</w:t>
      </w:r>
      <w:r w:rsidR="00093E9F">
        <w:t>,</w:t>
      </w:r>
      <w:r w:rsidR="008B6644">
        <w:t xml:space="preserve"> as well as the vials with residual GMO, syringes and waste contaminated with the GMO </w:t>
      </w:r>
      <w:r w:rsidR="00893BA2">
        <w:t>would</w:t>
      </w:r>
      <w:r w:rsidR="008B6644">
        <w:t xml:space="preserve"> be treated as clinical/medical waste and</w:t>
      </w:r>
      <w:r w:rsidR="008B6644" w:rsidRPr="000D7987">
        <w:rPr>
          <w:rFonts w:cs="Calibri"/>
          <w:szCs w:val="22"/>
        </w:rPr>
        <w:t xml:space="preserve"> disposed of in accordance with the </w:t>
      </w:r>
      <w:r w:rsidR="00BB0019" w:rsidRPr="000D7987">
        <w:rPr>
          <w:rFonts w:cs="Calibri"/>
          <w:szCs w:val="22"/>
        </w:rPr>
        <w:t xml:space="preserve">waste disposal </w:t>
      </w:r>
      <w:r w:rsidR="008B6644" w:rsidRPr="000D7987">
        <w:rPr>
          <w:rFonts w:cs="Calibri"/>
          <w:szCs w:val="22"/>
        </w:rPr>
        <w:t>methods approved by the Environmental Protection Agency or Health Departm</w:t>
      </w:r>
      <w:r w:rsidR="00AE4706" w:rsidRPr="000D7987">
        <w:rPr>
          <w:rFonts w:cs="Calibri"/>
          <w:szCs w:val="22"/>
        </w:rPr>
        <w:t xml:space="preserve">ent in </w:t>
      </w:r>
      <w:r w:rsidR="007E659E" w:rsidRPr="000D7987">
        <w:rPr>
          <w:rFonts w:cs="Calibri"/>
          <w:szCs w:val="22"/>
        </w:rPr>
        <w:t xml:space="preserve">the relevant </w:t>
      </w:r>
      <w:r w:rsidR="00AE4706" w:rsidRPr="000D7987">
        <w:rPr>
          <w:rFonts w:cs="Calibri"/>
          <w:szCs w:val="22"/>
        </w:rPr>
        <w:t>State or Territory</w:t>
      </w:r>
      <w:r w:rsidR="000840A6" w:rsidRPr="000D7987">
        <w:rPr>
          <w:rFonts w:cs="Calibri"/>
          <w:szCs w:val="22"/>
        </w:rPr>
        <w:t xml:space="preserve"> </w:t>
      </w:r>
      <w:r w:rsidR="000840A6" w:rsidRPr="000D7987">
        <w:rPr>
          <w:rFonts w:cs="Calibri"/>
          <w:szCs w:val="22"/>
        </w:rPr>
        <w:fldChar w:fldCharType="begin">
          <w:fldData xml:space="preserve">PEVuZE5vdGU+PENpdGU+PEF1dGhvcj5BQ1Q8L0F1dGhvcj48WWVhcj4yMDE3PC9ZZWFyPjxSZWNO
dW0+MTQyPC9SZWNOdW0+PERpc3BsYXlUZXh0PihBQ1QsIDIwMTc7IE5TVywgMjAxODsgTlQsIDIw
MTQ7IFFMRCwgMjAxOTsgU0EsIDIwMjA7IFRBUywgMjAwNzsgVklDLCAyMDIwOyBXQSwgMjAxNik8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5B0F2F">
        <w:rPr>
          <w:rFonts w:cs="Calibri"/>
          <w:szCs w:val="22"/>
        </w:rPr>
        <w:instrText xml:space="preserve"> ADDIN EN.CITE </w:instrText>
      </w:r>
      <w:r w:rsidR="005B0F2F">
        <w:rPr>
          <w:rFonts w:cs="Calibri"/>
          <w:szCs w:val="22"/>
        </w:rPr>
        <w:fldChar w:fldCharType="begin">
          <w:fldData xml:space="preserve">PEVuZE5vdGU+PENpdGU+PEF1dGhvcj5BQ1Q8L0F1dGhvcj48WWVhcj4yMDE3PC9ZZWFyPjxSZWNO
dW0+MTQyPC9SZWNOdW0+PERpc3BsYXlUZXh0PihBQ1QsIDIwMTc7IE5TVywgMjAxODsgTlQsIDIw
MTQ7IFFMRCwgMjAxOTsgU0EsIDIwMjA7IFRBUywgMjAwNzsgVklDLCAyMDIwOyBXQSwgMjAxNik8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5B0F2F">
        <w:rPr>
          <w:rFonts w:cs="Calibri"/>
          <w:szCs w:val="22"/>
        </w:rPr>
        <w:instrText xml:space="preserve"> ADDIN EN.CITE.DATA </w:instrText>
      </w:r>
      <w:r w:rsidR="005B0F2F">
        <w:rPr>
          <w:rFonts w:cs="Calibri"/>
          <w:szCs w:val="22"/>
        </w:rPr>
      </w:r>
      <w:r w:rsidR="005B0F2F">
        <w:rPr>
          <w:rFonts w:cs="Calibri"/>
          <w:szCs w:val="22"/>
        </w:rPr>
        <w:fldChar w:fldCharType="end"/>
      </w:r>
      <w:r w:rsidR="000840A6" w:rsidRPr="000D7987">
        <w:rPr>
          <w:rFonts w:cs="Calibri"/>
          <w:szCs w:val="22"/>
        </w:rPr>
      </w:r>
      <w:r w:rsidR="000840A6" w:rsidRPr="000D7987">
        <w:rPr>
          <w:rFonts w:cs="Calibri"/>
          <w:szCs w:val="22"/>
        </w:rPr>
        <w:fldChar w:fldCharType="separate"/>
      </w:r>
      <w:r w:rsidR="005B0F2F">
        <w:rPr>
          <w:rFonts w:cs="Calibri"/>
          <w:noProof/>
          <w:szCs w:val="22"/>
        </w:rPr>
        <w:t>(</w:t>
      </w:r>
      <w:hyperlink w:anchor="_ENREF_2" w:tooltip="ACT, 2017 #142" w:history="1">
        <w:r w:rsidR="0027195B">
          <w:rPr>
            <w:rFonts w:cs="Calibri"/>
            <w:noProof/>
            <w:szCs w:val="22"/>
          </w:rPr>
          <w:t>ACT, 2017</w:t>
        </w:r>
      </w:hyperlink>
      <w:r w:rsidR="005B0F2F">
        <w:rPr>
          <w:rFonts w:cs="Calibri"/>
          <w:noProof/>
          <w:szCs w:val="22"/>
        </w:rPr>
        <w:t xml:space="preserve">; </w:t>
      </w:r>
      <w:hyperlink w:anchor="_ENREF_66" w:tooltip="NSW, 2018 #143" w:history="1">
        <w:r w:rsidR="0027195B">
          <w:rPr>
            <w:rFonts w:cs="Calibri"/>
            <w:noProof/>
            <w:szCs w:val="22"/>
          </w:rPr>
          <w:t>NSW, 2018</w:t>
        </w:r>
      </w:hyperlink>
      <w:r w:rsidR="005B0F2F">
        <w:rPr>
          <w:rFonts w:cs="Calibri"/>
          <w:noProof/>
          <w:szCs w:val="22"/>
        </w:rPr>
        <w:t xml:space="preserve">; </w:t>
      </w:r>
      <w:hyperlink w:anchor="_ENREF_67" w:tooltip="NT, 2014 #144" w:history="1">
        <w:r w:rsidR="0027195B">
          <w:rPr>
            <w:rFonts w:cs="Calibri"/>
            <w:noProof/>
            <w:szCs w:val="22"/>
          </w:rPr>
          <w:t>NT, 2014</w:t>
        </w:r>
      </w:hyperlink>
      <w:r w:rsidR="005B0F2F">
        <w:rPr>
          <w:rFonts w:cs="Calibri"/>
          <w:noProof/>
          <w:szCs w:val="22"/>
        </w:rPr>
        <w:t xml:space="preserve">; </w:t>
      </w:r>
      <w:hyperlink w:anchor="_ENREF_71" w:tooltip="QLD, 2019 #145" w:history="1">
        <w:r w:rsidR="0027195B">
          <w:rPr>
            <w:rFonts w:cs="Calibri"/>
            <w:noProof/>
            <w:szCs w:val="22"/>
          </w:rPr>
          <w:t>QLD, 2019</w:t>
        </w:r>
      </w:hyperlink>
      <w:r w:rsidR="005B0F2F">
        <w:rPr>
          <w:rFonts w:cs="Calibri"/>
          <w:noProof/>
          <w:szCs w:val="22"/>
        </w:rPr>
        <w:t xml:space="preserve">; </w:t>
      </w:r>
      <w:hyperlink w:anchor="_ENREF_78" w:tooltip="SA, 2020 #146" w:history="1">
        <w:r w:rsidR="0027195B">
          <w:rPr>
            <w:rFonts w:cs="Calibri"/>
            <w:noProof/>
            <w:szCs w:val="22"/>
          </w:rPr>
          <w:t>SA, 2020</w:t>
        </w:r>
      </w:hyperlink>
      <w:r w:rsidR="005B0F2F">
        <w:rPr>
          <w:rFonts w:cs="Calibri"/>
          <w:noProof/>
          <w:szCs w:val="22"/>
        </w:rPr>
        <w:t xml:space="preserve">; </w:t>
      </w:r>
      <w:hyperlink w:anchor="_ENREF_90" w:tooltip="TAS, 2007 #147" w:history="1">
        <w:r w:rsidR="0027195B">
          <w:rPr>
            <w:rFonts w:cs="Calibri"/>
            <w:noProof/>
            <w:szCs w:val="22"/>
          </w:rPr>
          <w:t>TAS, 2007</w:t>
        </w:r>
      </w:hyperlink>
      <w:r w:rsidR="005B0F2F">
        <w:rPr>
          <w:rFonts w:cs="Calibri"/>
          <w:noProof/>
          <w:szCs w:val="22"/>
        </w:rPr>
        <w:t xml:space="preserve">; </w:t>
      </w:r>
      <w:hyperlink w:anchor="_ENREF_98" w:tooltip="VIC, 2020 #148" w:history="1">
        <w:r w:rsidR="0027195B">
          <w:rPr>
            <w:rFonts w:cs="Calibri"/>
            <w:noProof/>
            <w:szCs w:val="22"/>
          </w:rPr>
          <w:t>VIC, 2020</w:t>
        </w:r>
      </w:hyperlink>
      <w:r w:rsidR="005B0F2F">
        <w:rPr>
          <w:rFonts w:cs="Calibri"/>
          <w:noProof/>
          <w:szCs w:val="22"/>
        </w:rPr>
        <w:t xml:space="preserve">; </w:t>
      </w:r>
      <w:hyperlink w:anchor="_ENREF_99" w:tooltip="WA, 2016 #149" w:history="1">
        <w:r w:rsidR="0027195B">
          <w:rPr>
            <w:rFonts w:cs="Calibri"/>
            <w:noProof/>
            <w:szCs w:val="22"/>
          </w:rPr>
          <w:t>WA, 2016</w:t>
        </w:r>
      </w:hyperlink>
      <w:r w:rsidR="005B0F2F">
        <w:rPr>
          <w:rFonts w:cs="Calibri"/>
          <w:noProof/>
          <w:szCs w:val="22"/>
        </w:rPr>
        <w:t>)</w:t>
      </w:r>
      <w:r w:rsidR="000840A6" w:rsidRPr="000D7987">
        <w:rPr>
          <w:rFonts w:cs="Calibri"/>
          <w:szCs w:val="22"/>
        </w:rPr>
        <w:fldChar w:fldCharType="end"/>
      </w:r>
      <w:r w:rsidR="008B6644" w:rsidRPr="000D7987">
        <w:rPr>
          <w:rFonts w:cs="Calibri"/>
          <w:szCs w:val="22"/>
        </w:rPr>
        <w:t xml:space="preserve">. </w:t>
      </w:r>
      <w:r w:rsidR="000D6D8E">
        <w:rPr>
          <w:rFonts w:cs="Calibri"/>
          <w:szCs w:val="22"/>
        </w:rPr>
        <w:t xml:space="preserve">Waste containing the GMO will also be handled </w:t>
      </w:r>
      <w:r w:rsidR="000D6D8E" w:rsidRPr="006063ED">
        <w:t xml:space="preserve">according to </w:t>
      </w:r>
      <w:r w:rsidR="000D6D8E">
        <w:t xml:space="preserve">the Regulator’s </w:t>
      </w:r>
      <w:r w:rsidR="000D6D8E" w:rsidRPr="006F1E79">
        <w:rPr>
          <w:i/>
        </w:rPr>
        <w:t>Guidelines for the Transport, Storage and Disposal of GMOs</w:t>
      </w:r>
      <w:r w:rsidR="000D6D8E">
        <w:t xml:space="preserve"> (TSDs</w:t>
      </w:r>
      <w:r w:rsidR="000D6D8E" w:rsidRPr="006F1E79">
        <w:t>)</w:t>
      </w:r>
      <w:r w:rsidR="000D6D8E" w:rsidRPr="006063ED">
        <w:t xml:space="preserve"> (</w:t>
      </w:r>
      <w:r w:rsidR="000D6D8E" w:rsidRPr="006063ED">
        <w:fldChar w:fldCharType="begin"/>
      </w:r>
      <w:r w:rsidR="000D6D8E" w:rsidRPr="006063ED">
        <w:instrText xml:space="preserve"> REF _Ref57107703 \n \h  \* MERGEFORMAT </w:instrText>
      </w:r>
      <w:r w:rsidR="000D6D8E" w:rsidRPr="006063ED">
        <w:fldChar w:fldCharType="separate"/>
      </w:r>
      <w:r w:rsidR="000D6D8E">
        <w:t>Chapter 1</w:t>
      </w:r>
      <w:r w:rsidR="000D6D8E" w:rsidRPr="006063ED">
        <w:fldChar w:fldCharType="end"/>
      </w:r>
      <w:r w:rsidR="000D6D8E" w:rsidRPr="006063ED">
        <w:t>, Section</w:t>
      </w:r>
      <w:r w:rsidR="000D6D8E">
        <w:t xml:space="preserve"> </w:t>
      </w:r>
      <w:r w:rsidR="000D6D8E" w:rsidRPr="00612D03">
        <w:rPr>
          <w:highlight w:val="yellow"/>
        </w:rPr>
        <w:fldChar w:fldCharType="begin"/>
      </w:r>
      <w:r w:rsidR="000D6D8E" w:rsidRPr="00612D03">
        <w:instrText xml:space="preserve"> REF _Ref57040802 \n \h </w:instrText>
      </w:r>
      <w:r w:rsidR="000D6D8E" w:rsidRPr="00612D03">
        <w:rPr>
          <w:highlight w:val="yellow"/>
        </w:rPr>
      </w:r>
      <w:r w:rsidR="000D6D8E" w:rsidRPr="00612D03">
        <w:rPr>
          <w:highlight w:val="yellow"/>
        </w:rPr>
        <w:fldChar w:fldCharType="separate"/>
      </w:r>
      <w:r w:rsidR="000D6D8E" w:rsidRPr="00612D03">
        <w:t>2.2</w:t>
      </w:r>
      <w:r w:rsidR="000D6D8E" w:rsidRPr="00612D03">
        <w:rPr>
          <w:highlight w:val="yellow"/>
        </w:rPr>
        <w:fldChar w:fldCharType="end"/>
      </w:r>
      <w:r w:rsidR="000D6D8E" w:rsidRPr="006063ED">
        <w:t>)</w:t>
      </w:r>
      <w:r w:rsidR="000D6D8E">
        <w:t xml:space="preserve">. </w:t>
      </w:r>
      <w:r w:rsidR="007E659E" w:rsidRPr="000D7987">
        <w:rPr>
          <w:rFonts w:cs="Calibri"/>
          <w:szCs w:val="22"/>
        </w:rPr>
        <w:t xml:space="preserve">Adherence </w:t>
      </w:r>
      <w:r w:rsidR="00093E9F">
        <w:rPr>
          <w:rFonts w:cs="Calibri"/>
          <w:szCs w:val="22"/>
        </w:rPr>
        <w:t>to</w:t>
      </w:r>
      <w:r w:rsidR="00093E9F" w:rsidRPr="000D7987">
        <w:rPr>
          <w:rFonts w:cs="Calibri"/>
          <w:szCs w:val="22"/>
        </w:rPr>
        <w:t xml:space="preserve"> </w:t>
      </w:r>
      <w:r w:rsidR="007E659E" w:rsidRPr="000D7987">
        <w:rPr>
          <w:rFonts w:cs="Calibri"/>
          <w:szCs w:val="22"/>
        </w:rPr>
        <w:t xml:space="preserve">these procedures </w:t>
      </w:r>
      <w:r w:rsidR="00893BA2" w:rsidRPr="000D7987">
        <w:rPr>
          <w:rFonts w:cs="Calibri"/>
          <w:szCs w:val="22"/>
        </w:rPr>
        <w:t>would</w:t>
      </w:r>
      <w:r w:rsidR="0050231E" w:rsidRPr="000D7987">
        <w:rPr>
          <w:rFonts w:cs="Calibri"/>
          <w:szCs w:val="22"/>
        </w:rPr>
        <w:t xml:space="preserve"> reduce the </w:t>
      </w:r>
      <w:r w:rsidR="007E659E" w:rsidRPr="000D7987">
        <w:rPr>
          <w:rFonts w:cs="Calibri"/>
          <w:szCs w:val="22"/>
        </w:rPr>
        <w:t xml:space="preserve">likelihood of </w:t>
      </w:r>
      <w:r w:rsidR="00B863E1" w:rsidRPr="000D7987">
        <w:rPr>
          <w:rFonts w:cs="Calibri"/>
          <w:szCs w:val="22"/>
        </w:rPr>
        <w:t xml:space="preserve">accidental </w:t>
      </w:r>
      <w:r w:rsidR="0050231E" w:rsidRPr="000D7987">
        <w:rPr>
          <w:rFonts w:cs="Calibri"/>
          <w:szCs w:val="22"/>
        </w:rPr>
        <w:t>exposure of people or animals to the GMO.</w:t>
      </w:r>
    </w:p>
    <w:p w14:paraId="7740BD61" w14:textId="7A248B02" w:rsidR="00BA7606" w:rsidRPr="000D7987" w:rsidRDefault="00BA7606" w:rsidP="00EF5934">
      <w:pPr>
        <w:pStyle w:val="RARMPnumberedparagraphs"/>
      </w:pPr>
      <w:r>
        <w:t>Antiviral disinfectants would be used for decontamination and disinfection in the case of accidental spills of waste containing the GMO.</w:t>
      </w:r>
    </w:p>
    <w:p w14:paraId="27523D63" w14:textId="61F1FAB8" w:rsidR="0050231E" w:rsidRDefault="0050231E" w:rsidP="00EF5934">
      <w:pPr>
        <w:pStyle w:val="RARMPnumberedparagraphs"/>
      </w:pPr>
      <w:r>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w:t>
      </w:r>
    </w:p>
    <w:p w14:paraId="11090DAA" w14:textId="07A64C81" w:rsidR="00B43BCB" w:rsidRPr="007D4236" w:rsidRDefault="00B43BCB" w:rsidP="007D4236">
      <w:pPr>
        <w:pStyle w:val="RARMPnumberedparagraphs"/>
        <w:rPr>
          <w:rFonts w:cs="Calibri"/>
        </w:rPr>
      </w:pPr>
      <w:r w:rsidRPr="009231A1">
        <w:t xml:space="preserve">For </w:t>
      </w:r>
      <w:r>
        <w:t xml:space="preserve">a </w:t>
      </w:r>
      <w:r w:rsidRPr="009231A1">
        <w:t>productive infection</w:t>
      </w:r>
      <w:r>
        <w:t xml:space="preserve"> to occur</w:t>
      </w:r>
      <w:r w:rsidRPr="009231A1">
        <w:t xml:space="preserve">, individuals must be exposed to an infectious dose. Residual liquid in used vials </w:t>
      </w:r>
      <w:r>
        <w:t>and used syringes would</w:t>
      </w:r>
      <w:r w:rsidRPr="009231A1">
        <w:t xml:space="preserve"> not contain a sufficient titre to cause </w:t>
      </w:r>
      <w:r>
        <w:t xml:space="preserve">a </w:t>
      </w:r>
      <w:r w:rsidRPr="009231A1">
        <w:t xml:space="preserve">productive infection. The same </w:t>
      </w:r>
      <w:r>
        <w:t>would</w:t>
      </w:r>
      <w:r w:rsidRPr="009231A1">
        <w:t xml:space="preserve"> apply to secondary waste such as gloves that may be contaminated with the </w:t>
      </w:r>
      <w:r>
        <w:t>GMO.</w:t>
      </w:r>
      <w:r w:rsidRPr="009231A1">
        <w:t xml:space="preserve"> </w:t>
      </w:r>
      <w:r>
        <w:t>Thus, the</w:t>
      </w:r>
      <w:r w:rsidRPr="009231A1">
        <w:t xml:space="preserve"> dose received through accidental exposure </w:t>
      </w:r>
      <w:r>
        <w:t>would</w:t>
      </w:r>
      <w:r w:rsidRPr="009231A1">
        <w:t xml:space="preserve"> be far smaller than that </w:t>
      </w:r>
      <w:r w:rsidRPr="009231A1">
        <w:lastRenderedPageBreak/>
        <w:t xml:space="preserve">administered during </w:t>
      </w:r>
      <w:r>
        <w:t>the clinical trial and lower than that required for productive infection</w:t>
      </w:r>
      <w:r w:rsidRPr="009231A1">
        <w:t xml:space="preserve">. </w:t>
      </w:r>
      <w:r w:rsidRPr="003D2B44">
        <w:t xml:space="preserve">Therefore, even if an individual is inadvertently exposed to the GMO, they are unlikely to </w:t>
      </w:r>
      <w:r>
        <w:t>develop</w:t>
      </w:r>
      <w:r w:rsidRPr="003D2B44">
        <w:t xml:space="preserve"> </w:t>
      </w:r>
      <w:r>
        <w:t>an adverse immune reaction</w:t>
      </w:r>
      <w:r w:rsidRPr="002223AA">
        <w:rPr>
          <w:rFonts w:cs="Calibri"/>
        </w:rPr>
        <w:t>.</w:t>
      </w:r>
    </w:p>
    <w:p w14:paraId="5817B88A" w14:textId="7803B424" w:rsidR="00004F70" w:rsidRPr="001E3D65" w:rsidRDefault="00004F70" w:rsidP="00321D13">
      <w:pPr>
        <w:pStyle w:val="5RARMP"/>
      </w:pPr>
      <w:r w:rsidRPr="001E3D65">
        <w:t>Potential harm</w:t>
      </w:r>
    </w:p>
    <w:p w14:paraId="4AB0B274" w14:textId="2B92E8E6" w:rsidR="00BB0019" w:rsidRDefault="008C70CC" w:rsidP="00B06621">
      <w:pPr>
        <w:pStyle w:val="RARMPnumberedparagraphs"/>
      </w:pPr>
      <w:r>
        <w:t xml:space="preserve">If people are exposed to the GMO, they could </w:t>
      </w:r>
      <w:r w:rsidR="00352E54">
        <w:t xml:space="preserve">develop </w:t>
      </w:r>
      <w:r>
        <w:t>flu-like symptoms</w:t>
      </w:r>
      <w:r w:rsidR="00CD67E0">
        <w:t>, eye infections</w:t>
      </w:r>
      <w:r>
        <w:t xml:space="preserve"> or local inflammation for a short period of time before the virus </w:t>
      </w:r>
      <w:r w:rsidR="004C0731">
        <w:t xml:space="preserve">is </w:t>
      </w:r>
      <w:r>
        <w:t xml:space="preserve">cleared by the immune system. </w:t>
      </w:r>
      <w:r w:rsidR="0050231E">
        <w:t xml:space="preserve">It is </w:t>
      </w:r>
      <w:r w:rsidR="00381257">
        <w:t>plausible</w:t>
      </w:r>
      <w:r w:rsidR="00BB0019">
        <w:t xml:space="preserve"> that exposed people </w:t>
      </w:r>
      <w:r w:rsidR="00CD67E0">
        <w:t>could</w:t>
      </w:r>
      <w:r w:rsidR="00BB0019">
        <w:t xml:space="preserve"> experience </w:t>
      </w:r>
      <w:r w:rsidR="000B45FA">
        <w:t xml:space="preserve">an </w:t>
      </w:r>
      <w:r w:rsidR="002223AA">
        <w:t>adverse immune response</w:t>
      </w:r>
      <w:r w:rsidR="00CD67E0">
        <w:t xml:space="preserve"> or disease. </w:t>
      </w:r>
    </w:p>
    <w:p w14:paraId="73F3818A" w14:textId="1AE9497D" w:rsidR="00DA404C" w:rsidRDefault="002E0AC3" w:rsidP="00DA404C">
      <w:pPr>
        <w:pStyle w:val="RARMPnumberedparagraphs"/>
      </w:pPr>
      <w:r w:rsidRPr="00026249">
        <w:t>As the GMO is replication incompetent, it is unable to produce further viral particles which are required to sustain an infection. This would also mean that the IFN-</w:t>
      </w:r>
      <w:r w:rsidRPr="00026249">
        <w:rPr>
          <w:rFonts w:cs="Calibri"/>
        </w:rPr>
        <w:t>α</w:t>
      </w:r>
      <w:r w:rsidRPr="00026249">
        <w:t xml:space="preserve">2b expression would be limited to cells transduced by initial </w:t>
      </w:r>
      <w:r w:rsidR="00AC1EB7">
        <w:t>exposure to the GMO</w:t>
      </w:r>
      <w:r w:rsidR="00AC1EB7" w:rsidRPr="00026249">
        <w:t xml:space="preserve"> </w:t>
      </w:r>
      <w:r w:rsidRPr="00026249">
        <w:t xml:space="preserve">and the protein expressed would be unable to accumulate </w:t>
      </w:r>
      <w:r w:rsidR="0013653A" w:rsidRPr="0013653A">
        <w:t>other than the cells originally transduced</w:t>
      </w:r>
      <w:r w:rsidR="0013653A">
        <w:t xml:space="preserve">, </w:t>
      </w:r>
      <w:r w:rsidRPr="00026249">
        <w:t>and any reactions to the protein would be transient and only persist until the point of clearance of the GMO, limiting the magnitude of toxic effect and any immune response.</w:t>
      </w:r>
    </w:p>
    <w:p w14:paraId="4131BB0D" w14:textId="15E7EC6E" w:rsidR="002E0AC3" w:rsidRPr="00612D03" w:rsidRDefault="002E0AC3" w:rsidP="00DA404C">
      <w:pPr>
        <w:pStyle w:val="RARMPnumberedparagraphs"/>
      </w:pPr>
      <w:r w:rsidRPr="002E0AC3">
        <w:t>As discussed in Chapter 1, Section</w:t>
      </w:r>
      <w:r w:rsidR="0029461B">
        <w:t xml:space="preserve"> </w:t>
      </w:r>
      <w:r w:rsidR="0029461B" w:rsidRPr="00612D03">
        <w:rPr>
          <w:highlight w:val="yellow"/>
        </w:rPr>
        <w:fldChar w:fldCharType="begin"/>
      </w:r>
      <w:r w:rsidR="0029461B" w:rsidRPr="00612D03">
        <w:instrText xml:space="preserve"> REF _Ref216339301 \n \h </w:instrText>
      </w:r>
      <w:r w:rsidR="0029461B" w:rsidRPr="00612D03">
        <w:rPr>
          <w:highlight w:val="yellow"/>
        </w:rPr>
        <w:instrText xml:space="preserve"> \* MERGEFORMAT </w:instrText>
      </w:r>
      <w:r w:rsidR="0029461B" w:rsidRPr="00612D03">
        <w:rPr>
          <w:highlight w:val="yellow"/>
        </w:rPr>
      </w:r>
      <w:r w:rsidR="0029461B" w:rsidRPr="00612D03">
        <w:rPr>
          <w:highlight w:val="yellow"/>
        </w:rPr>
        <w:fldChar w:fldCharType="separate"/>
      </w:r>
      <w:r w:rsidR="0029461B" w:rsidRPr="00612D03">
        <w:t>4.2.3</w:t>
      </w:r>
      <w:r w:rsidR="0029461B" w:rsidRPr="00612D03">
        <w:rPr>
          <w:highlight w:val="yellow"/>
        </w:rPr>
        <w:fldChar w:fldCharType="end"/>
      </w:r>
      <w:r w:rsidRPr="00612D03">
        <w:t>, the purified IFN-α2b protein has been extensively used in clinical applications for treatment of hepatitis B and C infection and various virus induced cancers. Most of the adverse reactions related to the IFN-α2b therapy were mild to moderate and were manageable, and most diminished with continued therapy. As discussed in Chapter 1, Section 4.3.4, in the Phases 2 and 3 clinical trials of the GMO, no Grade 4 or 5 adverse events related to the GMO treatment were reported.</w:t>
      </w:r>
    </w:p>
    <w:p w14:paraId="37FC4F09" w14:textId="77777777" w:rsidR="00665EAB" w:rsidRDefault="002E0AC3" w:rsidP="00A543DA">
      <w:pPr>
        <w:pStyle w:val="RARMPnumberedparagraphs"/>
      </w:pPr>
      <w:r w:rsidRPr="00612D03">
        <w:t xml:space="preserve">As discussed in Chapter 1, Section </w:t>
      </w:r>
      <w:r w:rsidR="0029461B" w:rsidRPr="00612D03">
        <w:rPr>
          <w:highlight w:val="yellow"/>
        </w:rPr>
        <w:fldChar w:fldCharType="begin"/>
      </w:r>
      <w:r w:rsidR="0029461B" w:rsidRPr="00612D03">
        <w:instrText xml:space="preserve"> REF _Ref216339715 \n \h </w:instrText>
      </w:r>
      <w:r w:rsidR="0029461B" w:rsidRPr="00612D03">
        <w:rPr>
          <w:highlight w:val="yellow"/>
        </w:rPr>
      </w:r>
      <w:r w:rsidR="0029461B" w:rsidRPr="00612D03">
        <w:rPr>
          <w:highlight w:val="yellow"/>
        </w:rPr>
        <w:fldChar w:fldCharType="separate"/>
      </w:r>
      <w:r w:rsidR="0029461B" w:rsidRPr="00612D03">
        <w:t>3.1</w:t>
      </w:r>
      <w:r w:rsidR="0029461B" w:rsidRPr="00612D03">
        <w:rPr>
          <w:highlight w:val="yellow"/>
        </w:rPr>
        <w:fldChar w:fldCharType="end"/>
      </w:r>
      <w:r w:rsidRPr="00612D03">
        <w:t xml:space="preserve">, immunocompromised individuals and children are high-risk groups for development of severe disease following </w:t>
      </w:r>
      <w:proofErr w:type="spellStart"/>
      <w:r w:rsidRPr="00612D03">
        <w:t>HAdV</w:t>
      </w:r>
      <w:proofErr w:type="spellEnd"/>
      <w:r w:rsidRPr="00612D03">
        <w:t xml:space="preserve"> infection. In the event of accidental exposure via mucosa/broken skin, the amount of GMO transferred would be far smaller than that administered during treatment. As the GMO cannot replicate, the minimal exposure and transient nature of infection would be expected to result in very mild or negligible symptoms and would also minimise the potential for an adverse immune response to the GMO. Therefore, the accidental exposure to the GMO is not expected to result in an infection and would not result in an increased disease burden. </w:t>
      </w:r>
    </w:p>
    <w:p w14:paraId="07E85E8B" w14:textId="045B2738" w:rsidR="00A543DA" w:rsidRDefault="00863EE8" w:rsidP="00A543DA">
      <w:pPr>
        <w:pStyle w:val="RARMPnumberedparagraphs"/>
      </w:pPr>
      <w:r>
        <w:t>A</w:t>
      </w:r>
      <w:r w:rsidR="002E0AC3" w:rsidRPr="00612D03">
        <w:t>s discussed in Chapter 1, Section</w:t>
      </w:r>
      <w:r w:rsidR="0029461B" w:rsidRPr="00612D03">
        <w:t xml:space="preserve"> </w:t>
      </w:r>
      <w:r w:rsidR="0029461B" w:rsidRPr="00612D03">
        <w:rPr>
          <w:highlight w:val="yellow"/>
        </w:rPr>
        <w:fldChar w:fldCharType="begin"/>
      </w:r>
      <w:r w:rsidR="0029461B" w:rsidRPr="00612D03">
        <w:instrText xml:space="preserve"> REF _Ref61526734 \n \h </w:instrText>
      </w:r>
      <w:r w:rsidR="0029461B" w:rsidRPr="00612D03">
        <w:rPr>
          <w:highlight w:val="yellow"/>
        </w:rPr>
      </w:r>
      <w:r w:rsidR="0029461B" w:rsidRPr="00612D03">
        <w:rPr>
          <w:highlight w:val="yellow"/>
        </w:rPr>
        <w:fldChar w:fldCharType="separate"/>
      </w:r>
      <w:r w:rsidR="0029461B" w:rsidRPr="00612D03">
        <w:t>4.3.1</w:t>
      </w:r>
      <w:r w:rsidR="0029461B" w:rsidRPr="00612D03">
        <w:rPr>
          <w:highlight w:val="yellow"/>
        </w:rPr>
        <w:fldChar w:fldCharType="end"/>
      </w:r>
      <w:r w:rsidR="002E0AC3" w:rsidRPr="00612D03">
        <w:t xml:space="preserve">, </w:t>
      </w:r>
      <w:r w:rsidR="002E0AC3" w:rsidRPr="002E0AC3">
        <w:t>a very low level of RCA may</w:t>
      </w:r>
      <w:r>
        <w:t xml:space="preserve"> also</w:t>
      </w:r>
      <w:r w:rsidR="002E0AC3" w:rsidRPr="002E0AC3">
        <w:t xml:space="preserve"> be present in the GM therapeutic product. This RCA differs from the wild-type RCA as it is a recombinant virus that is unable to evade the host immune system. Therefore, it is unlikely to infect immune-competent people but could potentially infect immunosuppressed individuals. Clinical data regarding the effect of the GM therapeutic on immunosuppressed individuals are lacking as this group has been excluded from the clinical trials. If an immunosuppressed individual was to be accidentally exposed to the RCA in the therapeutic product, the number of RCA particles would be extremely low and it is unlikely that they would develop severe symptoms or the risk for disseminated </w:t>
      </w:r>
      <w:proofErr w:type="spellStart"/>
      <w:r w:rsidR="002E0AC3" w:rsidRPr="002E0AC3">
        <w:t>HAdV</w:t>
      </w:r>
      <w:proofErr w:type="spellEnd"/>
      <w:r w:rsidR="002E0AC3" w:rsidRPr="002E0AC3">
        <w:t xml:space="preserve"> infection would be significantly increased, although this is an area of some uncertainty as adults who lack antibody could be infected by as few as 5 </w:t>
      </w:r>
      <w:proofErr w:type="spellStart"/>
      <w:r w:rsidR="002E0AC3" w:rsidRPr="002E0AC3">
        <w:t>AdV</w:t>
      </w:r>
      <w:proofErr w:type="spellEnd"/>
      <w:r w:rsidR="002E0AC3" w:rsidRPr="002E0AC3">
        <w:t xml:space="preserve"> particles (see Chapter 1, Section</w:t>
      </w:r>
      <w:r w:rsidR="0094001D">
        <w:t xml:space="preserve"> </w:t>
      </w:r>
      <w:r w:rsidR="0094001D" w:rsidRPr="00612D03">
        <w:rPr>
          <w:highlight w:val="yellow"/>
        </w:rPr>
        <w:fldChar w:fldCharType="begin"/>
      </w:r>
      <w:r w:rsidR="0094001D" w:rsidRPr="00612D03">
        <w:instrText xml:space="preserve"> REF _Ref216339978 \n \h </w:instrText>
      </w:r>
      <w:r w:rsidR="0094001D" w:rsidRPr="00612D03">
        <w:rPr>
          <w:highlight w:val="yellow"/>
        </w:rPr>
      </w:r>
      <w:r w:rsidR="0094001D" w:rsidRPr="00612D03">
        <w:rPr>
          <w:highlight w:val="yellow"/>
        </w:rPr>
        <w:fldChar w:fldCharType="separate"/>
      </w:r>
      <w:r w:rsidR="0094001D" w:rsidRPr="00612D03">
        <w:t>3.5.1</w:t>
      </w:r>
      <w:r w:rsidR="0094001D" w:rsidRPr="00612D03">
        <w:rPr>
          <w:highlight w:val="yellow"/>
        </w:rPr>
        <w:fldChar w:fldCharType="end"/>
      </w:r>
      <w:r w:rsidR="002E0AC3" w:rsidRPr="002E0AC3">
        <w:t>).</w:t>
      </w:r>
      <w:r>
        <w:t xml:space="preserve"> The RCA is attenuated compared to the wild type organisms and would be able to be cleared faster than the wild type HAdv5. Even if an immunosuppressed person is exposed to the RCA, a productive infection would be likely to be transient and mild in nature </w:t>
      </w:r>
      <w:proofErr w:type="gramStart"/>
      <w:r>
        <w:t>as a result of</w:t>
      </w:r>
      <w:proofErr w:type="gramEnd"/>
      <w:r>
        <w:t xml:space="preserve"> the attenuation.</w:t>
      </w:r>
    </w:p>
    <w:p w14:paraId="282E38D4" w14:textId="39C9EDED" w:rsidR="002E0AC3" w:rsidRPr="00EE6796" w:rsidRDefault="002E0AC3" w:rsidP="00A543DA">
      <w:pPr>
        <w:pStyle w:val="RARMPnumberedparagraphs"/>
      </w:pPr>
      <w:r w:rsidRPr="00026249">
        <w:t xml:space="preserve">As per the US </w:t>
      </w:r>
      <w:hyperlink r:id="rId44" w:history="1">
        <w:r w:rsidRPr="00026249">
          <w:rPr>
            <w:rStyle w:val="Hyperlink"/>
          </w:rPr>
          <w:t xml:space="preserve">Package Insert for </w:t>
        </w:r>
        <w:r w:rsidR="00DC1EB4" w:rsidRPr="00026249">
          <w:rPr>
            <w:rStyle w:val="Hyperlink"/>
          </w:rPr>
          <w:t>ADSTILADRIN</w:t>
        </w:r>
      </w:hyperlink>
      <w:r w:rsidRPr="00026249">
        <w:t xml:space="preserve">, individuals who are immunosuppressed or immune-deficient, should not prepare, administer, or come into contact with </w:t>
      </w:r>
      <w:r w:rsidR="00DC1EB4" w:rsidRPr="00026249">
        <w:t>ADSTILADRIN</w:t>
      </w:r>
      <w:r w:rsidRPr="00026249">
        <w:t>. The applicant has also proposed that a similar precaution</w:t>
      </w:r>
      <w:r>
        <w:t xml:space="preserve"> be implemented for the clinical trials in this application. </w:t>
      </w:r>
      <w:r w:rsidRPr="00026249">
        <w:t xml:space="preserve">This would reduce the chance of immunosuppressed persons </w:t>
      </w:r>
      <w:proofErr w:type="gramStart"/>
      <w:r w:rsidRPr="00026249">
        <w:t>coming into contact with</w:t>
      </w:r>
      <w:proofErr w:type="gramEnd"/>
      <w:r w:rsidRPr="00026249">
        <w:t xml:space="preserve"> the GMO, becoming infected and potentially developing severe disease.</w:t>
      </w:r>
    </w:p>
    <w:p w14:paraId="6785523F" w14:textId="77777777" w:rsidR="00004F70" w:rsidRPr="00961290" w:rsidRDefault="00004F70" w:rsidP="00321D13">
      <w:pPr>
        <w:pStyle w:val="5RARMP"/>
      </w:pPr>
      <w:r w:rsidRPr="00961290">
        <w:t>Conclusion</w:t>
      </w:r>
    </w:p>
    <w:p w14:paraId="4DEBD943" w14:textId="46AAFF7D"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 xml:space="preserve">to the GMO </w:t>
      </w:r>
      <w:r w:rsidR="00093E9F">
        <w:t xml:space="preserve">to cause harm </w:t>
      </w:r>
      <w:r w:rsidR="002731BC">
        <w:t>via a</w:t>
      </w:r>
      <w:r w:rsidR="008A21AC">
        <w:t xml:space="preserve"> serious adverse immune reaction</w:t>
      </w:r>
      <w:r>
        <w:t xml:space="preserve"> in humans</w:t>
      </w:r>
      <w:r w:rsidR="00FD5789">
        <w:t xml:space="preserve"> </w:t>
      </w:r>
      <w:r w:rsidRPr="006404A8">
        <w:t xml:space="preserve">is not identified as a risk that could be greater than </w:t>
      </w:r>
      <w:r w:rsidRPr="006404A8">
        <w:lastRenderedPageBreak/>
        <w:t xml:space="preserve">negligible. </w:t>
      </w:r>
      <w:r w:rsidR="002731BC" w:rsidRPr="002731BC">
        <w:t>The main reasons are that</w:t>
      </w:r>
      <w:r w:rsidR="006943A7">
        <w:t xml:space="preserve"> the GMO is not expected to infect or replicate in healthy people</w:t>
      </w:r>
      <w:r w:rsidR="00D61929">
        <w:t xml:space="preserve"> and any infection resulting from potential exposure is expected to be rapidly cleared and unlikely to cause disease</w:t>
      </w:r>
      <w:r w:rsidR="006943A7">
        <w:t>.</w:t>
      </w:r>
      <w:r w:rsidR="002731BC">
        <w:t xml:space="preserve"> </w:t>
      </w:r>
      <w:r w:rsidRPr="006404A8">
        <w:t xml:space="preserve">Therefore, </w:t>
      </w:r>
      <w:r w:rsidR="00781D9F">
        <w:t>this risk scenario</w:t>
      </w:r>
      <w:r w:rsidRPr="006404A8">
        <w:t xml:space="preserve"> does not warrant further </w:t>
      </w:r>
      <w:r>
        <w:t xml:space="preserve">detailed </w:t>
      </w:r>
      <w:r w:rsidRPr="006404A8">
        <w:t>assessment.</w:t>
      </w:r>
    </w:p>
    <w:p w14:paraId="2D68106E" w14:textId="77777777" w:rsidR="00FB7E35" w:rsidRPr="00583BD1" w:rsidRDefault="00FB7E35" w:rsidP="00583BD1">
      <w:pPr>
        <w:pStyle w:val="4RARMP"/>
        <w:spacing w:before="240"/>
      </w:pPr>
      <w:r w:rsidRPr="00583BD1">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0"/>
        <w:gridCol w:w="7263"/>
      </w:tblGrid>
      <w:tr w:rsidR="009258A9" w:rsidRPr="00961290" w14:paraId="3D32A147" w14:textId="77777777" w:rsidTr="009D2E2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6770FA" w14:textId="77777777" w:rsidR="009258A9" w:rsidRPr="005F4CB8" w:rsidRDefault="009258A9" w:rsidP="009D2E20">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5565CB3C" w14:textId="77777777" w:rsidR="009258A9" w:rsidRPr="008508E0" w:rsidRDefault="009258A9" w:rsidP="009D2E20">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9258A9" w:rsidRPr="00961290" w14:paraId="1639F5E0" w14:textId="77777777" w:rsidTr="009D2E2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620186" w14:textId="77777777" w:rsidR="009258A9" w:rsidRPr="005F4CB8" w:rsidRDefault="009258A9" w:rsidP="009D2E20">
            <w:pPr>
              <w:keepNext/>
              <w:spacing w:before="40" w:after="40"/>
              <w:ind w:right="-30"/>
              <w:rPr>
                <w:rFonts w:asciiTheme="minorHAnsi" w:hAnsiTheme="minorHAnsi" w:cstheme="minorHAnsi"/>
                <w:b/>
                <w:szCs w:val="22"/>
              </w:rPr>
            </w:pPr>
            <w:r w:rsidRPr="005F4CB8">
              <w:rPr>
                <w:rFonts w:asciiTheme="minorHAnsi" w:hAnsiTheme="minorHAnsi" w:cstheme="minorHAnsi"/>
                <w:b/>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7CE15E9F" w14:textId="3B4EF598" w:rsidR="009258A9" w:rsidRPr="008508E0" w:rsidRDefault="009258A9" w:rsidP="009D2E20">
            <w:pPr>
              <w:keepNext/>
              <w:tabs>
                <w:tab w:val="left" w:pos="284"/>
              </w:tabs>
              <w:spacing w:before="60" w:after="60"/>
              <w:jc w:val="center"/>
              <w:rPr>
                <w:rFonts w:cs="Calibri"/>
                <w:szCs w:val="22"/>
              </w:rPr>
            </w:pPr>
            <w:r w:rsidRPr="008508E0">
              <w:rPr>
                <w:rFonts w:cs="Calibri"/>
                <w:szCs w:val="22"/>
              </w:rPr>
              <w:t>Release of GMO into the environment via accidental spill/un</w:t>
            </w:r>
            <w:r>
              <w:rPr>
                <w:rFonts w:cs="Calibri"/>
                <w:szCs w:val="22"/>
              </w:rPr>
              <w:t xml:space="preserve">used </w:t>
            </w:r>
            <w:r w:rsidRPr="008508E0">
              <w:rPr>
                <w:rFonts w:cs="Calibri"/>
                <w:szCs w:val="22"/>
              </w:rPr>
              <w:t>res</w:t>
            </w:r>
            <w:r>
              <w:rPr>
                <w:rFonts w:cs="Calibri"/>
                <w:szCs w:val="22"/>
              </w:rPr>
              <w:t xml:space="preserve">idues (e.g. sewerage, spills, </w:t>
            </w:r>
            <w:r w:rsidRPr="007D4236">
              <w:rPr>
                <w:rFonts w:cs="Calibri"/>
                <w:szCs w:val="28"/>
              </w:rPr>
              <w:t>shedding of the GMO from participants</w:t>
            </w:r>
            <w:r w:rsidRPr="008508E0">
              <w:rPr>
                <w:rFonts w:cs="Calibri"/>
                <w:szCs w:val="22"/>
              </w:rPr>
              <w:t>)</w:t>
            </w:r>
          </w:p>
          <w:p w14:paraId="6CF7FE02" w14:textId="77777777" w:rsidR="009258A9" w:rsidRPr="008508E0" w:rsidRDefault="009258A9" w:rsidP="009D2E20">
            <w:pPr>
              <w:spacing w:before="40" w:after="40"/>
              <w:jc w:val="center"/>
              <w:rPr>
                <w:rFonts w:cs="Calibri"/>
                <w:szCs w:val="22"/>
              </w:rPr>
            </w:pPr>
            <w:r w:rsidRPr="008508E0">
              <w:rPr>
                <w:rFonts w:cs="Calibri"/>
                <w:szCs w:val="22"/>
              </w:rPr>
              <w:sym w:font="Wingdings 3" w:char="F0C8"/>
            </w:r>
          </w:p>
          <w:p w14:paraId="00D8837F" w14:textId="77777777" w:rsidR="009258A9" w:rsidRPr="008508E0" w:rsidRDefault="009258A9" w:rsidP="009D2E20">
            <w:pPr>
              <w:spacing w:before="40" w:after="40"/>
              <w:jc w:val="center"/>
              <w:rPr>
                <w:rFonts w:cs="Calibri"/>
                <w:szCs w:val="22"/>
              </w:rPr>
            </w:pPr>
            <w:r w:rsidRPr="008508E0">
              <w:rPr>
                <w:rFonts w:cs="Calibri"/>
                <w:szCs w:val="22"/>
              </w:rPr>
              <w:t xml:space="preserve">Exposure </w:t>
            </w:r>
            <w:r>
              <w:rPr>
                <w:rFonts w:cs="Calibri"/>
                <w:szCs w:val="22"/>
              </w:rPr>
              <w:t>of</w:t>
            </w:r>
            <w:r w:rsidRPr="008508E0">
              <w:rPr>
                <w:rFonts w:cs="Calibri"/>
                <w:szCs w:val="22"/>
              </w:rPr>
              <w:t xml:space="preserve"> people or animals</w:t>
            </w:r>
          </w:p>
          <w:p w14:paraId="0D3960DA" w14:textId="77777777" w:rsidR="009258A9" w:rsidRPr="008508E0" w:rsidRDefault="009258A9" w:rsidP="009D2E20">
            <w:pPr>
              <w:spacing w:before="40" w:after="40"/>
              <w:jc w:val="center"/>
              <w:rPr>
                <w:rFonts w:cs="Calibri"/>
                <w:szCs w:val="22"/>
              </w:rPr>
            </w:pPr>
            <w:r w:rsidRPr="008508E0">
              <w:rPr>
                <w:rFonts w:cs="Calibri"/>
                <w:szCs w:val="22"/>
              </w:rPr>
              <w:t xml:space="preserve"> </w:t>
            </w:r>
            <w:r w:rsidRPr="008508E0">
              <w:rPr>
                <w:rFonts w:cs="Calibri"/>
                <w:szCs w:val="22"/>
              </w:rPr>
              <w:sym w:font="Wingdings 3" w:char="F0C8"/>
            </w:r>
          </w:p>
          <w:p w14:paraId="6D454A22" w14:textId="142E0796" w:rsidR="009258A9" w:rsidRPr="008508E0" w:rsidRDefault="009258A9" w:rsidP="009D2E20">
            <w:pPr>
              <w:pStyle w:val="textfortable"/>
              <w:rPr>
                <w:rFonts w:ascii="Calibri" w:hAnsi="Calibri" w:cs="Calibri"/>
                <w:sz w:val="22"/>
                <w:szCs w:val="22"/>
              </w:rPr>
            </w:pPr>
            <w:r w:rsidRPr="008508E0">
              <w:rPr>
                <w:rFonts w:ascii="Calibri" w:hAnsi="Calibri" w:cs="Calibri"/>
                <w:sz w:val="22"/>
                <w:szCs w:val="22"/>
              </w:rPr>
              <w:t xml:space="preserve">As per </w:t>
            </w:r>
            <w:r w:rsidR="00551A0C">
              <w:rPr>
                <w:rFonts w:ascii="Calibri" w:hAnsi="Calibri" w:cs="Calibri"/>
                <w:sz w:val="22"/>
                <w:szCs w:val="22"/>
              </w:rPr>
              <w:t xml:space="preserve">Risk </w:t>
            </w:r>
            <w:r w:rsidRPr="008508E0">
              <w:rPr>
                <w:rFonts w:ascii="Calibri" w:hAnsi="Calibri" w:cs="Calibri"/>
                <w:sz w:val="22"/>
                <w:szCs w:val="22"/>
              </w:rPr>
              <w:t>scenario 1</w:t>
            </w:r>
          </w:p>
        </w:tc>
      </w:tr>
      <w:tr w:rsidR="009258A9" w:rsidRPr="00961290" w14:paraId="53601A89" w14:textId="77777777" w:rsidTr="009D2E2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9A4374" w14:textId="77777777" w:rsidR="009258A9" w:rsidRPr="005F4CB8" w:rsidRDefault="009258A9" w:rsidP="009D2E20">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11A9201" w14:textId="2BAA2386" w:rsidR="009258A9" w:rsidRPr="008508E0" w:rsidRDefault="002C4210" w:rsidP="009D2E20">
            <w:pPr>
              <w:spacing w:before="60" w:after="60"/>
              <w:rPr>
                <w:rFonts w:asciiTheme="minorHAnsi" w:hAnsiTheme="minorHAnsi" w:cstheme="minorHAnsi"/>
                <w:szCs w:val="22"/>
              </w:rPr>
            </w:pPr>
            <w:r>
              <w:t>A</w:t>
            </w:r>
            <w:r w:rsidR="009258A9" w:rsidRPr="009258A9">
              <w:t>dverse immune reactions; disease in people or animals</w:t>
            </w:r>
          </w:p>
        </w:tc>
      </w:tr>
    </w:tbl>
    <w:p w14:paraId="371ECECB" w14:textId="086256A4"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39"/>
    <w:bookmarkEnd w:id="340"/>
    <w:bookmarkEnd w:id="341"/>
    <w:bookmarkEnd w:id="342"/>
    <w:bookmarkEnd w:id="343"/>
    <w:bookmarkEnd w:id="344"/>
    <w:bookmarkEnd w:id="345"/>
    <w:bookmarkEnd w:id="346"/>
    <w:bookmarkEnd w:id="347"/>
    <w:bookmarkEnd w:id="348"/>
    <w:p w14:paraId="2AD4C1A3" w14:textId="26DB132A" w:rsidR="005B41C4" w:rsidRDefault="005B41C4" w:rsidP="0029210D">
      <w:pPr>
        <w:pStyle w:val="RARMPnumberedparagraphs"/>
        <w:rPr>
          <w:color w:val="000000" w:themeColor="text1"/>
        </w:rPr>
      </w:pPr>
      <w:r w:rsidRPr="005B41C4">
        <w:rPr>
          <w:color w:val="000000" w:themeColor="text1"/>
        </w:rPr>
        <w:t xml:space="preserve">The GMO could be released in the environment through a spill during transport, storage or disposal where people or animals, including marine or aquatic animals could be exposed to the GMO. </w:t>
      </w:r>
      <w:r w:rsidR="00052D47" w:rsidRPr="00052D47">
        <w:rPr>
          <w:color w:val="000000" w:themeColor="text1"/>
        </w:rPr>
        <w:t>It is also possible that the GMO will be shed from participants post administration, potentially contaminating toilets, shared household items and exposing non-participants</w:t>
      </w:r>
      <w:r w:rsidR="00052D47">
        <w:rPr>
          <w:color w:val="000000" w:themeColor="text1"/>
        </w:rPr>
        <w:t xml:space="preserve">. </w:t>
      </w:r>
      <w:r w:rsidRPr="005B41C4">
        <w:rPr>
          <w:color w:val="000000" w:themeColor="text1"/>
        </w:rPr>
        <w:t>The GMO could also be released to the environment through sewerage from a toilet bowl used by a treated patient but not appropriately decontaminated. It could also be released to the environment, such as the hospital or patient home, via patient incontinence/urine. This could result in exposure of people and animals to the GMO and could potentially result in adverse immune reactions and/or disease in people and animals</w:t>
      </w:r>
      <w:r>
        <w:rPr>
          <w:color w:val="000000" w:themeColor="text1"/>
        </w:rPr>
        <w:t>.</w:t>
      </w:r>
    </w:p>
    <w:p w14:paraId="23973DE6" w14:textId="07F18735" w:rsidR="001152E1" w:rsidRDefault="00802234" w:rsidP="0029210D">
      <w:pPr>
        <w:pStyle w:val="RARMPnumberedparagraphs"/>
        <w:rPr>
          <w:color w:val="000000" w:themeColor="text1"/>
        </w:rPr>
      </w:pPr>
      <w:r w:rsidRPr="00802234">
        <w:rPr>
          <w:color w:val="000000" w:themeColor="text1"/>
        </w:rPr>
        <w:t>As discussed in Risk Scenario 1, accidental spills associated with import, transport, storage</w:t>
      </w:r>
      <w:r w:rsidR="00EC254A">
        <w:rPr>
          <w:color w:val="000000" w:themeColor="text1"/>
        </w:rPr>
        <w:t xml:space="preserve"> and </w:t>
      </w:r>
      <w:r w:rsidRPr="00802234">
        <w:rPr>
          <w:color w:val="000000" w:themeColor="text1"/>
        </w:rPr>
        <w:t xml:space="preserve">disposal have been considered, including the range of measures that are in place that would reduce the chances of GMO being released into the environment. </w:t>
      </w:r>
    </w:p>
    <w:p w14:paraId="774A92A1" w14:textId="5EF2E24C" w:rsidR="005B41C4" w:rsidRDefault="001152E1" w:rsidP="0029210D">
      <w:pPr>
        <w:pStyle w:val="RARMPnumberedparagraphs"/>
        <w:rPr>
          <w:color w:val="000000" w:themeColor="text1"/>
        </w:rPr>
      </w:pPr>
      <w:r w:rsidRPr="001152E1">
        <w:rPr>
          <w:color w:val="000000" w:themeColor="text1"/>
        </w:rPr>
        <w:t xml:space="preserve">Although shedding of live viral particles was not tested, based on the preclinical studies of shedding of the GMO following intravesical administration in cynomolgus monkeys (Chapter 1, Section </w:t>
      </w:r>
      <w:r w:rsidRPr="001152E1">
        <w:rPr>
          <w:color w:val="000000" w:themeColor="text1"/>
        </w:rPr>
        <w:fldChar w:fldCharType="begin"/>
      </w:r>
      <w:r w:rsidRPr="001152E1">
        <w:rPr>
          <w:color w:val="000000" w:themeColor="text1"/>
        </w:rPr>
        <w:instrText xml:space="preserve"> REF _Ref216280904 \n \h </w:instrText>
      </w:r>
      <w:r w:rsidRPr="001152E1">
        <w:rPr>
          <w:color w:val="000000" w:themeColor="text1"/>
        </w:rPr>
      </w:r>
      <w:r w:rsidRPr="001152E1">
        <w:rPr>
          <w:color w:val="000000" w:themeColor="text1"/>
        </w:rPr>
        <w:fldChar w:fldCharType="separate"/>
      </w:r>
      <w:r w:rsidRPr="001152E1">
        <w:rPr>
          <w:color w:val="000000" w:themeColor="text1"/>
        </w:rPr>
        <w:t>4.3.3</w:t>
      </w:r>
      <w:r w:rsidRPr="001152E1">
        <w:rPr>
          <w:color w:val="000000" w:themeColor="text1"/>
        </w:rPr>
        <w:fldChar w:fldCharType="end"/>
      </w:r>
      <w:r w:rsidRPr="001152E1">
        <w:rPr>
          <w:color w:val="000000" w:themeColor="text1"/>
        </w:rPr>
        <w:t xml:space="preserve">) and the clinical trials (Chapter 1, Section </w:t>
      </w:r>
      <w:r w:rsidRPr="001152E1">
        <w:rPr>
          <w:color w:val="000000" w:themeColor="text1"/>
        </w:rPr>
        <w:fldChar w:fldCharType="begin"/>
      </w:r>
      <w:r w:rsidRPr="001152E1">
        <w:rPr>
          <w:color w:val="000000" w:themeColor="text1"/>
        </w:rPr>
        <w:instrText xml:space="preserve"> REF _Ref216702339 \n \h </w:instrText>
      </w:r>
      <w:r w:rsidRPr="001152E1">
        <w:rPr>
          <w:color w:val="000000" w:themeColor="text1"/>
        </w:rPr>
      </w:r>
      <w:r w:rsidRPr="001152E1">
        <w:rPr>
          <w:color w:val="000000" w:themeColor="text1"/>
        </w:rPr>
        <w:fldChar w:fldCharType="separate"/>
      </w:r>
      <w:r w:rsidRPr="001152E1">
        <w:rPr>
          <w:color w:val="000000" w:themeColor="text1"/>
        </w:rPr>
        <w:t>4.3.4</w:t>
      </w:r>
      <w:r w:rsidRPr="001152E1">
        <w:rPr>
          <w:color w:val="000000" w:themeColor="text1"/>
        </w:rPr>
        <w:fldChar w:fldCharType="end"/>
      </w:r>
      <w:r w:rsidRPr="001152E1">
        <w:rPr>
          <w:color w:val="000000" w:themeColor="text1"/>
        </w:rPr>
        <w:t xml:space="preserve">), the trial participants are expected to shed the GMO in the urine for a few days post instillation, as quantifiable GMO-specific DNA was noted for up to 3 days, while GMO-specific DNA could be detected for about 15 day. </w:t>
      </w:r>
      <w:r w:rsidR="00802234" w:rsidRPr="00802234">
        <w:rPr>
          <w:color w:val="000000" w:themeColor="text1"/>
        </w:rPr>
        <w:t xml:space="preserve">As per the </w:t>
      </w:r>
      <w:hyperlink r:id="rId45" w:history="1">
        <w:r w:rsidR="00802234" w:rsidRPr="00802234">
          <w:rPr>
            <w:rStyle w:val="Hyperlink"/>
          </w:rPr>
          <w:t>Package Insert for ADSTILADRIN</w:t>
        </w:r>
      </w:hyperlink>
      <w:r w:rsidR="00802234" w:rsidRPr="00802234">
        <w:rPr>
          <w:color w:val="000000" w:themeColor="text1"/>
        </w:rPr>
        <w:t xml:space="preserve">, patients in the US receiving the treatment and their </w:t>
      </w:r>
      <w:proofErr w:type="spellStart"/>
      <w:r w:rsidR="00802234" w:rsidRPr="00802234">
        <w:rPr>
          <w:color w:val="000000" w:themeColor="text1"/>
        </w:rPr>
        <w:t>carers</w:t>
      </w:r>
      <w:proofErr w:type="spellEnd"/>
      <w:r w:rsidR="00802234" w:rsidRPr="00802234">
        <w:rPr>
          <w:color w:val="000000" w:themeColor="text1"/>
        </w:rPr>
        <w:t xml:space="preserve"> are informed that transient and low-level shedding of the GMO may occur in urine and that they must add half cup of bleach to the toilet bowl before urinating and disinfect voided urine for 15 min before flushing the toilet for 2 days following treatment. </w:t>
      </w:r>
      <w:r w:rsidR="00095089">
        <w:rPr>
          <w:color w:val="000000" w:themeColor="text1"/>
        </w:rPr>
        <w:t>S</w:t>
      </w:r>
      <w:r w:rsidR="00802234" w:rsidRPr="00802234">
        <w:rPr>
          <w:color w:val="000000" w:themeColor="text1"/>
        </w:rPr>
        <w:t xml:space="preserve">uch urine treatment </w:t>
      </w:r>
      <w:r w:rsidR="00095089">
        <w:rPr>
          <w:color w:val="000000" w:themeColor="text1"/>
        </w:rPr>
        <w:t xml:space="preserve">was also included as a condition in licence DIR 217 for commercial supply of </w:t>
      </w:r>
      <w:r w:rsidR="00802234" w:rsidRPr="00802234">
        <w:rPr>
          <w:color w:val="000000" w:themeColor="text1"/>
        </w:rPr>
        <w:t>the GM</w:t>
      </w:r>
      <w:r w:rsidR="00485E61">
        <w:rPr>
          <w:color w:val="000000" w:themeColor="text1"/>
        </w:rPr>
        <w:t>O</w:t>
      </w:r>
      <w:r w:rsidR="00802234" w:rsidRPr="00802234">
        <w:rPr>
          <w:color w:val="000000" w:themeColor="text1"/>
        </w:rPr>
        <w:t xml:space="preserve"> in Australia</w:t>
      </w:r>
      <w:r w:rsidR="00095089">
        <w:rPr>
          <w:color w:val="000000" w:themeColor="text1"/>
        </w:rPr>
        <w:t xml:space="preserve"> and w</w:t>
      </w:r>
      <w:r w:rsidR="00222AF0">
        <w:rPr>
          <w:color w:val="000000" w:themeColor="text1"/>
        </w:rPr>
        <w:t>ould</w:t>
      </w:r>
      <w:r w:rsidR="00095089">
        <w:rPr>
          <w:color w:val="000000" w:themeColor="text1"/>
        </w:rPr>
        <w:t xml:space="preserve"> be </w:t>
      </w:r>
      <w:r w:rsidR="009968C7">
        <w:rPr>
          <w:color w:val="000000" w:themeColor="text1"/>
        </w:rPr>
        <w:t>relevant</w:t>
      </w:r>
      <w:r w:rsidR="00542743">
        <w:rPr>
          <w:color w:val="000000" w:themeColor="text1"/>
        </w:rPr>
        <w:t xml:space="preserve"> for clinical trials of the GMO</w:t>
      </w:r>
      <w:r w:rsidR="00802234" w:rsidRPr="00802234">
        <w:rPr>
          <w:color w:val="000000" w:themeColor="text1"/>
        </w:rPr>
        <w:t>. This would reduce the chance of the GMO being released into sewerage. The TGA is responsible for reviewing any instructions for use of the GMO by the patient, including what information is included in the Product Information regarding precautions to take after GMO administration</w:t>
      </w:r>
      <w:r w:rsidR="00802234">
        <w:rPr>
          <w:color w:val="000000" w:themeColor="text1"/>
        </w:rPr>
        <w:t>.</w:t>
      </w:r>
    </w:p>
    <w:p w14:paraId="37840545" w14:textId="7EC191D0" w:rsidR="00802234" w:rsidRDefault="00802234" w:rsidP="0029210D">
      <w:pPr>
        <w:pStyle w:val="RARMPnumberedparagraphs"/>
        <w:rPr>
          <w:color w:val="000000" w:themeColor="text1"/>
        </w:rPr>
      </w:pPr>
      <w:r w:rsidRPr="00802234">
        <w:rPr>
          <w:color w:val="000000" w:themeColor="text1"/>
        </w:rPr>
        <w:t xml:space="preserve">In the event of a spill or unused vials or urine without correct decontamination with suitable disinfectants, the GMO could potentially survive on surfaces for up to 8 weeks at low humidity (see </w:t>
      </w:r>
      <w:r w:rsidRPr="00802234">
        <w:rPr>
          <w:color w:val="000000" w:themeColor="text1"/>
        </w:rPr>
        <w:fldChar w:fldCharType="begin"/>
      </w:r>
      <w:r w:rsidRPr="00802234">
        <w:rPr>
          <w:color w:val="000000" w:themeColor="text1"/>
        </w:rPr>
        <w:instrText xml:space="preserve"> REF _Ref58589090 \n \h  \* MERGEFORMAT </w:instrText>
      </w:r>
      <w:r w:rsidRPr="00802234">
        <w:rPr>
          <w:color w:val="000000" w:themeColor="text1"/>
        </w:rPr>
      </w:r>
      <w:r w:rsidRPr="00802234">
        <w:rPr>
          <w:color w:val="000000" w:themeColor="text1"/>
        </w:rPr>
        <w:fldChar w:fldCharType="separate"/>
      </w:r>
      <w:r w:rsidRPr="00802234">
        <w:rPr>
          <w:color w:val="000000" w:themeColor="text1"/>
        </w:rPr>
        <w:t>Chapter 1</w:t>
      </w:r>
      <w:r w:rsidRPr="00802234">
        <w:rPr>
          <w:color w:val="000000" w:themeColor="text1"/>
        </w:rPr>
        <w:fldChar w:fldCharType="end"/>
      </w:r>
      <w:r w:rsidRPr="00802234">
        <w:rPr>
          <w:color w:val="000000" w:themeColor="text1"/>
        </w:rPr>
        <w:t xml:space="preserve">, Section </w:t>
      </w:r>
      <w:r w:rsidRPr="00802234">
        <w:rPr>
          <w:color w:val="000000" w:themeColor="text1"/>
        </w:rPr>
        <w:fldChar w:fldCharType="begin"/>
      </w:r>
      <w:r w:rsidRPr="00802234">
        <w:rPr>
          <w:color w:val="000000" w:themeColor="text1"/>
        </w:rPr>
        <w:instrText xml:space="preserve"> REF _Ref57107869 \n \h  \* MERGEFORMAT </w:instrText>
      </w:r>
      <w:r w:rsidRPr="00802234">
        <w:rPr>
          <w:color w:val="000000" w:themeColor="text1"/>
        </w:rPr>
      </w:r>
      <w:r w:rsidRPr="00802234">
        <w:rPr>
          <w:color w:val="000000" w:themeColor="text1"/>
        </w:rPr>
        <w:fldChar w:fldCharType="separate"/>
      </w:r>
      <w:r w:rsidRPr="00802234">
        <w:rPr>
          <w:color w:val="000000" w:themeColor="text1"/>
        </w:rPr>
        <w:t>3.5.4</w:t>
      </w:r>
      <w:r w:rsidRPr="00802234">
        <w:rPr>
          <w:color w:val="000000" w:themeColor="text1"/>
        </w:rPr>
        <w:fldChar w:fldCharType="end"/>
      </w:r>
      <w:r w:rsidRPr="00802234">
        <w:rPr>
          <w:color w:val="000000" w:themeColor="text1"/>
        </w:rPr>
        <w:t xml:space="preserve">). In cold water or dark sediments, survival could be up to a few months (see </w:t>
      </w:r>
      <w:r w:rsidRPr="00802234">
        <w:rPr>
          <w:color w:val="000000" w:themeColor="text1"/>
        </w:rPr>
        <w:fldChar w:fldCharType="begin"/>
      </w:r>
      <w:r w:rsidRPr="00802234">
        <w:rPr>
          <w:color w:val="000000" w:themeColor="text1"/>
        </w:rPr>
        <w:instrText xml:space="preserve"> REF _Ref58589095 \n \h  \* MERGEFORMAT </w:instrText>
      </w:r>
      <w:r w:rsidRPr="00802234">
        <w:rPr>
          <w:color w:val="000000" w:themeColor="text1"/>
        </w:rPr>
      </w:r>
      <w:r w:rsidRPr="00802234">
        <w:rPr>
          <w:color w:val="000000" w:themeColor="text1"/>
        </w:rPr>
        <w:fldChar w:fldCharType="separate"/>
      </w:r>
      <w:r w:rsidRPr="00802234">
        <w:rPr>
          <w:color w:val="000000" w:themeColor="text1"/>
        </w:rPr>
        <w:t>Chapter 1</w:t>
      </w:r>
      <w:r w:rsidRPr="00802234">
        <w:rPr>
          <w:color w:val="000000" w:themeColor="text1"/>
        </w:rPr>
        <w:fldChar w:fldCharType="end"/>
      </w:r>
      <w:r w:rsidRPr="00802234">
        <w:rPr>
          <w:color w:val="000000" w:themeColor="text1"/>
        </w:rPr>
        <w:t xml:space="preserve">, Section </w:t>
      </w:r>
      <w:r w:rsidRPr="00802234">
        <w:rPr>
          <w:color w:val="000000" w:themeColor="text1"/>
        </w:rPr>
        <w:fldChar w:fldCharType="begin"/>
      </w:r>
      <w:r w:rsidRPr="00802234">
        <w:rPr>
          <w:color w:val="000000" w:themeColor="text1"/>
        </w:rPr>
        <w:instrText xml:space="preserve"> REF _Ref57107869 \n \h  \* MERGEFORMAT </w:instrText>
      </w:r>
      <w:r w:rsidRPr="00802234">
        <w:rPr>
          <w:color w:val="000000" w:themeColor="text1"/>
        </w:rPr>
      </w:r>
      <w:r w:rsidRPr="00802234">
        <w:rPr>
          <w:color w:val="000000" w:themeColor="text1"/>
        </w:rPr>
        <w:fldChar w:fldCharType="separate"/>
      </w:r>
      <w:r w:rsidRPr="00802234">
        <w:rPr>
          <w:color w:val="000000" w:themeColor="text1"/>
        </w:rPr>
        <w:t>3.5.4</w:t>
      </w:r>
      <w:r w:rsidRPr="00802234">
        <w:rPr>
          <w:color w:val="000000" w:themeColor="text1"/>
        </w:rPr>
        <w:fldChar w:fldCharType="end"/>
      </w:r>
      <w:r w:rsidRPr="00802234">
        <w:rPr>
          <w:color w:val="000000" w:themeColor="text1"/>
        </w:rPr>
        <w:t xml:space="preserve">). As </w:t>
      </w:r>
      <w:proofErr w:type="spellStart"/>
      <w:r w:rsidRPr="00802234">
        <w:rPr>
          <w:color w:val="000000" w:themeColor="text1"/>
        </w:rPr>
        <w:t>AdVs</w:t>
      </w:r>
      <w:proofErr w:type="spellEnd"/>
      <w:r w:rsidRPr="00802234">
        <w:rPr>
          <w:color w:val="000000" w:themeColor="text1"/>
        </w:rPr>
        <w:t xml:space="preserve"> are resistant to UV treatment in wastewater and can survive for a </w:t>
      </w:r>
      <w:r w:rsidRPr="00802234">
        <w:rPr>
          <w:color w:val="000000" w:themeColor="text1"/>
        </w:rPr>
        <w:lastRenderedPageBreak/>
        <w:t>long time, this could lead to the persistence of the GMO and/or recombinant adenoviruses in the environment. However, due to its non-replicating nature, the GMO would be unable to maintain a stable presence in the environment for long periods and is unlikely to spread and would eventually degrade</w:t>
      </w:r>
      <w:r>
        <w:rPr>
          <w:color w:val="000000" w:themeColor="text1"/>
        </w:rPr>
        <w:t>.</w:t>
      </w:r>
    </w:p>
    <w:p w14:paraId="26ADDCCC" w14:textId="11DEFA3D" w:rsidR="00802234" w:rsidRDefault="00802234" w:rsidP="0029210D">
      <w:pPr>
        <w:pStyle w:val="RARMPnumberedparagraphs"/>
        <w:rPr>
          <w:color w:val="000000" w:themeColor="text1"/>
        </w:rPr>
      </w:pPr>
      <w:proofErr w:type="gramStart"/>
      <w:r w:rsidRPr="00802234">
        <w:rPr>
          <w:color w:val="000000" w:themeColor="text1"/>
        </w:rPr>
        <w:t>In the event that</w:t>
      </w:r>
      <w:proofErr w:type="gramEnd"/>
      <w:r w:rsidRPr="00802234">
        <w:rPr>
          <w:color w:val="000000" w:themeColor="text1"/>
        </w:rPr>
        <w:t xml:space="preserve"> the GMO is released into sewage water, it would be markedly diluted due to the small quantity of GMO present in a large volume of liquid waste or water. Water quality studies have shown that sewerage treatment does not kill adenovirus </w:t>
      </w:r>
      <w:r w:rsidRPr="00802234">
        <w:rPr>
          <w:color w:val="000000" w:themeColor="text1"/>
        </w:rPr>
        <w:fldChar w:fldCharType="begin"/>
      </w:r>
      <w:r w:rsidRPr="00802234">
        <w:rPr>
          <w:color w:val="000000" w:themeColor="text1"/>
        </w:rPr>
        <w:instrText xml:space="preserve"> ADDIN EN.CITE &lt;EndNote&gt;&lt;Cite&gt;&lt;Author&gt;Fong&lt;/Author&gt;&lt;Year&gt;2010&lt;/Year&gt;&lt;RecNum&gt;181&lt;/RecNum&gt;&lt;DisplayText&gt;(Fong et al., 2010)&lt;/DisplayText&gt;&lt;record&gt;&lt;rec-number&gt;181&lt;/rec-number&gt;&lt;foreign-keys&gt;&lt;key app="EN" db-id="verwe2fxj5fev7epfz8xtdvez025feseze0z" timestamp="1740520527"&gt;181&lt;/key&gt;&lt;/foreign-keys&gt;&lt;ref-type name="Journal Article"&gt;17&lt;/ref-type&gt;&lt;contributors&gt;&lt;authors&gt;&lt;author&gt;Theng-Theng Fong&lt;/author&gt;&lt;author&gt;Mantha S. Phanikumar&lt;/author&gt;&lt;author&gt;Irene Xagoraraki&lt;/author&gt;&lt;author&gt;Joan B. Rose&lt;/author&gt;&lt;/authors&gt;&lt;/contributors&gt;&lt;titles&gt;&lt;title&gt;Quantitative Detection of Human Adenoviruses in Wastewater and Combined Sewer Overflows Influencing a Michigan River&lt;/title&gt;&lt;secondary-title&gt;Applied and Environmental Microbiology&lt;/secondary-title&gt;&lt;/titles&gt;&lt;periodical&gt;&lt;full-title&gt;Applied and environmental microbiology&lt;/full-title&gt;&lt;/periodical&gt;&lt;pages&gt;715-723&lt;/pages&gt;&lt;volume&gt;76&lt;/volume&gt;&lt;number&gt;3&lt;/number&gt;&lt;dates&gt;&lt;year&gt;2010&lt;/year&gt;&lt;/dates&gt;&lt;urls&gt;&lt;related-urls&gt;&lt;url&gt;https://journals.asm.org/doi/abs/10.1128/aem.01316-09&lt;/url&gt;&lt;/related-urls&gt;&lt;/urls&gt;&lt;electronic-resource-num&gt;doi:10.1128/AEM.01316-09&lt;/electronic-resource-num&gt;&lt;/record&gt;&lt;/Cite&gt;&lt;/EndNote&gt;</w:instrText>
      </w:r>
      <w:r w:rsidRPr="00802234">
        <w:rPr>
          <w:color w:val="000000" w:themeColor="text1"/>
        </w:rPr>
        <w:fldChar w:fldCharType="separate"/>
      </w:r>
      <w:r w:rsidRPr="00802234">
        <w:rPr>
          <w:color w:val="000000" w:themeColor="text1"/>
        </w:rPr>
        <w:t>(</w:t>
      </w:r>
      <w:hyperlink w:anchor="_ENREF_28" w:tooltip="Fong, 2010 #181" w:history="1">
        <w:r w:rsidR="0027195B" w:rsidRPr="00A26162">
          <w:rPr>
            <w:color w:val="000000" w:themeColor="text1"/>
          </w:rPr>
          <w:t>Fong et al., 2010</w:t>
        </w:r>
      </w:hyperlink>
      <w:r w:rsidRPr="00802234">
        <w:rPr>
          <w:color w:val="000000" w:themeColor="text1"/>
        </w:rPr>
        <w:t>)</w:t>
      </w:r>
      <w:r w:rsidRPr="00802234">
        <w:rPr>
          <w:color w:val="000000" w:themeColor="text1"/>
        </w:rPr>
        <w:fldChar w:fldCharType="end"/>
      </w:r>
      <w:r w:rsidRPr="00802234">
        <w:rPr>
          <w:color w:val="000000" w:themeColor="text1"/>
        </w:rPr>
        <w:t>, however the GMO is not able to replicate and would be unlikely to be present in high enough amounts for an infectious dose. Therefore, it is highly unlikely that infection of humans or animals could occur following exposure to an environmental source</w:t>
      </w:r>
      <w:r>
        <w:rPr>
          <w:color w:val="000000" w:themeColor="text1"/>
        </w:rPr>
        <w:t>.</w:t>
      </w:r>
    </w:p>
    <w:p w14:paraId="6D6F78DB" w14:textId="4508BCA2" w:rsidR="00EC254A" w:rsidRDefault="004323A7" w:rsidP="0029210D">
      <w:pPr>
        <w:pStyle w:val="RARMPnumberedparagraphs"/>
        <w:rPr>
          <w:color w:val="000000" w:themeColor="text1"/>
        </w:rPr>
      </w:pPr>
      <w:r>
        <w:rPr>
          <w:color w:val="000000" w:themeColor="text1"/>
        </w:rPr>
        <w:t>T</w:t>
      </w:r>
      <w:r w:rsidR="00FC4F73" w:rsidRPr="00EC254A">
        <w:rPr>
          <w:color w:val="000000" w:themeColor="text1"/>
        </w:rPr>
        <w:t>here are no data on</w:t>
      </w:r>
      <w:r w:rsidR="00FC4F73">
        <w:rPr>
          <w:color w:val="000000" w:themeColor="text1"/>
        </w:rPr>
        <w:t xml:space="preserve"> </w:t>
      </w:r>
      <w:r w:rsidR="00D53CA3">
        <w:rPr>
          <w:color w:val="000000" w:themeColor="text1"/>
        </w:rPr>
        <w:t>t</w:t>
      </w:r>
      <w:r w:rsidR="00871C5E">
        <w:rPr>
          <w:color w:val="000000" w:themeColor="text1"/>
        </w:rPr>
        <w:t xml:space="preserve">ransmission of the GMO to </w:t>
      </w:r>
      <w:r w:rsidR="00FC4F73" w:rsidRPr="00EC254A">
        <w:rPr>
          <w:color w:val="000000" w:themeColor="text1"/>
        </w:rPr>
        <w:t>babies via breastfeeding or to foetuses</w:t>
      </w:r>
      <w:r w:rsidR="00FC4F73">
        <w:rPr>
          <w:color w:val="000000" w:themeColor="text1"/>
        </w:rPr>
        <w:t xml:space="preserve"> </w:t>
      </w:r>
      <w:r w:rsidR="00FC4F73" w:rsidRPr="00EC254A">
        <w:rPr>
          <w:color w:val="000000" w:themeColor="text1"/>
        </w:rPr>
        <w:t xml:space="preserve">if </w:t>
      </w:r>
      <w:r w:rsidR="00D53CA3">
        <w:rPr>
          <w:color w:val="000000" w:themeColor="text1"/>
        </w:rPr>
        <w:t xml:space="preserve">a woman is </w:t>
      </w:r>
      <w:r w:rsidR="00FC4F73" w:rsidRPr="00EC254A">
        <w:rPr>
          <w:color w:val="000000" w:themeColor="text1"/>
        </w:rPr>
        <w:t>pregnant</w:t>
      </w:r>
      <w:r w:rsidR="00FC4F73">
        <w:rPr>
          <w:color w:val="000000" w:themeColor="text1"/>
        </w:rPr>
        <w:t xml:space="preserve"> and to non-participants through sexual activities</w:t>
      </w:r>
      <w:r w:rsidR="00093547">
        <w:rPr>
          <w:color w:val="000000" w:themeColor="text1"/>
        </w:rPr>
        <w:t xml:space="preserve">. </w:t>
      </w:r>
      <w:r w:rsidR="00D53CA3">
        <w:rPr>
          <w:color w:val="000000" w:themeColor="text1"/>
        </w:rPr>
        <w:t xml:space="preserve">However, </w:t>
      </w:r>
      <w:bookmarkStart w:id="349" w:name="_Hlk218779491"/>
      <w:r w:rsidR="00EC254A" w:rsidRPr="00EC254A">
        <w:rPr>
          <w:color w:val="000000" w:themeColor="text1"/>
        </w:rPr>
        <w:t>transmission of the GMO</w:t>
      </w:r>
      <w:bookmarkEnd w:id="349"/>
      <w:r w:rsidR="00EC254A" w:rsidRPr="00EC254A">
        <w:rPr>
          <w:color w:val="000000" w:themeColor="text1"/>
        </w:rPr>
        <w:t xml:space="preserve"> to</w:t>
      </w:r>
      <w:r w:rsidR="00D53CA3" w:rsidRPr="00D53CA3">
        <w:t xml:space="preserve"> </w:t>
      </w:r>
      <w:r w:rsidR="00D53CA3" w:rsidRPr="00D53CA3">
        <w:rPr>
          <w:color w:val="000000" w:themeColor="text1"/>
        </w:rPr>
        <w:t>babies via breastfeeding or to foetuses</w:t>
      </w:r>
      <w:r w:rsidR="00D53CA3">
        <w:rPr>
          <w:color w:val="000000" w:themeColor="text1"/>
        </w:rPr>
        <w:t xml:space="preserve"> can be prevented</w:t>
      </w:r>
      <w:r w:rsidR="00EC254A" w:rsidRPr="00EC254A">
        <w:rPr>
          <w:color w:val="000000" w:themeColor="text1"/>
        </w:rPr>
        <w:t xml:space="preserve"> as pregnant and breastfeeding women </w:t>
      </w:r>
      <w:r w:rsidR="00D53CA3">
        <w:rPr>
          <w:color w:val="000000" w:themeColor="text1"/>
        </w:rPr>
        <w:t>will be</w:t>
      </w:r>
      <w:r w:rsidR="00EC254A" w:rsidRPr="00EC254A">
        <w:rPr>
          <w:color w:val="000000" w:themeColor="text1"/>
        </w:rPr>
        <w:t xml:space="preserve"> excluded from the </w:t>
      </w:r>
      <w:r w:rsidR="00D53CA3">
        <w:rPr>
          <w:color w:val="000000" w:themeColor="text1"/>
        </w:rPr>
        <w:t xml:space="preserve">clinical </w:t>
      </w:r>
      <w:r w:rsidR="00EC254A" w:rsidRPr="00EC254A">
        <w:rPr>
          <w:color w:val="000000" w:themeColor="text1"/>
        </w:rPr>
        <w:t>trials</w:t>
      </w:r>
      <w:r w:rsidR="00EC254A">
        <w:rPr>
          <w:color w:val="000000" w:themeColor="text1"/>
        </w:rPr>
        <w:t>.</w:t>
      </w:r>
      <w:r w:rsidR="00D53CA3">
        <w:rPr>
          <w:color w:val="000000" w:themeColor="text1"/>
        </w:rPr>
        <w:t xml:space="preserve"> The </w:t>
      </w:r>
      <w:r w:rsidR="00D53CA3" w:rsidRPr="00D53CA3">
        <w:rPr>
          <w:color w:val="000000" w:themeColor="text1"/>
        </w:rPr>
        <w:t>transmission of the GMO</w:t>
      </w:r>
      <w:r w:rsidR="00D53CA3">
        <w:rPr>
          <w:color w:val="000000" w:themeColor="text1"/>
        </w:rPr>
        <w:t xml:space="preserve"> </w:t>
      </w:r>
      <w:r w:rsidR="00EF5DD1">
        <w:rPr>
          <w:color w:val="000000" w:themeColor="text1"/>
        </w:rPr>
        <w:t xml:space="preserve">to </w:t>
      </w:r>
      <w:r w:rsidR="00EF5DD1" w:rsidRPr="00EF5DD1">
        <w:rPr>
          <w:color w:val="000000" w:themeColor="text1"/>
        </w:rPr>
        <w:t>non-participants through sexual activities</w:t>
      </w:r>
      <w:r w:rsidR="00EF5DD1">
        <w:rPr>
          <w:color w:val="000000" w:themeColor="text1"/>
        </w:rPr>
        <w:t xml:space="preserve"> can be minimised </w:t>
      </w:r>
      <w:proofErr w:type="gramStart"/>
      <w:r w:rsidR="00EF5DD1">
        <w:rPr>
          <w:color w:val="000000" w:themeColor="text1"/>
        </w:rPr>
        <w:t xml:space="preserve">by the </w:t>
      </w:r>
      <w:r w:rsidR="00EF5DD1" w:rsidRPr="00EF5DD1">
        <w:rPr>
          <w:color w:val="000000" w:themeColor="text1"/>
        </w:rPr>
        <w:t>use of</w:t>
      </w:r>
      <w:proofErr w:type="gramEnd"/>
      <w:r w:rsidR="00EF5DD1" w:rsidRPr="00EF5DD1">
        <w:rPr>
          <w:color w:val="000000" w:themeColor="text1"/>
        </w:rPr>
        <w:t xml:space="preserve"> </w:t>
      </w:r>
      <w:r w:rsidR="00EF5DD1">
        <w:rPr>
          <w:color w:val="000000" w:themeColor="text1"/>
        </w:rPr>
        <w:t xml:space="preserve">effective </w:t>
      </w:r>
      <w:r w:rsidR="00EF5DD1" w:rsidRPr="00EF5DD1">
        <w:rPr>
          <w:color w:val="000000" w:themeColor="text1"/>
        </w:rPr>
        <w:t>barrier methods</w:t>
      </w:r>
      <w:r w:rsidR="00EF5DD1">
        <w:rPr>
          <w:color w:val="000000" w:themeColor="text1"/>
        </w:rPr>
        <w:t>.</w:t>
      </w:r>
      <w:r w:rsidR="00573E14">
        <w:rPr>
          <w:color w:val="000000" w:themeColor="text1"/>
        </w:rPr>
        <w:t xml:space="preserve"> One of the inclusion criteria is for participant</w:t>
      </w:r>
      <w:r w:rsidR="00725F81">
        <w:rPr>
          <w:color w:val="000000" w:themeColor="text1"/>
        </w:rPr>
        <w:t>s</w:t>
      </w:r>
      <w:r w:rsidR="00573E14">
        <w:rPr>
          <w:color w:val="000000" w:themeColor="text1"/>
        </w:rPr>
        <w:t xml:space="preserve"> to agree to use a barrier method for the duration of the trial. </w:t>
      </w:r>
    </w:p>
    <w:p w14:paraId="6297C9D8" w14:textId="674B3036" w:rsidR="00802234" w:rsidRDefault="00802234" w:rsidP="0029210D">
      <w:pPr>
        <w:pStyle w:val="RARMPnumberedparagraphs"/>
        <w:rPr>
          <w:color w:val="000000" w:themeColor="text1"/>
        </w:rPr>
      </w:pPr>
      <w:r w:rsidRPr="00802234">
        <w:rPr>
          <w:color w:val="000000" w:themeColor="text1"/>
        </w:rPr>
        <w:t xml:space="preserve">As mentioned in Chapter 1, Section </w:t>
      </w:r>
      <w:r w:rsidRPr="00802234">
        <w:rPr>
          <w:color w:val="000000" w:themeColor="text1"/>
        </w:rPr>
        <w:fldChar w:fldCharType="begin"/>
      </w:r>
      <w:r w:rsidRPr="00802234">
        <w:rPr>
          <w:color w:val="000000" w:themeColor="text1"/>
        </w:rPr>
        <w:instrText xml:space="preserve"> REF _Ref216339978 \n \h </w:instrText>
      </w:r>
      <w:r w:rsidRPr="00802234">
        <w:rPr>
          <w:color w:val="000000" w:themeColor="text1"/>
        </w:rPr>
      </w:r>
      <w:r w:rsidRPr="00802234">
        <w:rPr>
          <w:color w:val="000000" w:themeColor="text1"/>
        </w:rPr>
        <w:fldChar w:fldCharType="separate"/>
      </w:r>
      <w:r w:rsidRPr="00802234">
        <w:rPr>
          <w:color w:val="000000" w:themeColor="text1"/>
        </w:rPr>
        <w:t>3.5.1</w:t>
      </w:r>
      <w:r w:rsidRPr="00802234">
        <w:rPr>
          <w:color w:val="000000" w:themeColor="text1"/>
        </w:rPr>
        <w:fldChar w:fldCharType="end"/>
      </w:r>
      <w:r w:rsidRPr="00802234">
        <w:rPr>
          <w:color w:val="000000" w:themeColor="text1"/>
        </w:rPr>
        <w:t xml:space="preserve">, </w:t>
      </w:r>
      <w:proofErr w:type="spellStart"/>
      <w:r w:rsidRPr="00802234">
        <w:rPr>
          <w:color w:val="000000" w:themeColor="text1"/>
        </w:rPr>
        <w:t>HAdVs</w:t>
      </w:r>
      <w:proofErr w:type="spellEnd"/>
      <w:r w:rsidRPr="00802234">
        <w:rPr>
          <w:color w:val="000000" w:themeColor="text1"/>
        </w:rPr>
        <w:t xml:space="preserve">, including </w:t>
      </w:r>
      <w:proofErr w:type="spellStart"/>
      <w:r w:rsidRPr="00802234">
        <w:rPr>
          <w:color w:val="000000" w:themeColor="text1"/>
        </w:rPr>
        <w:t>HAdV</w:t>
      </w:r>
      <w:proofErr w:type="spellEnd"/>
      <w:r w:rsidRPr="00802234">
        <w:rPr>
          <w:color w:val="000000" w:themeColor="text1"/>
        </w:rPr>
        <w:t>-C serotypes, are adapted to infect humans and their ability to infect and replicate in certain mammals were only demonstrated under experimental conditions. Infections in other mammals are considered less likely under natural conditions. Given that the GMO is replication incompetent, exposure to the GMO to other mammals could only result in infection but not the replication and multiplication of the GMO</w:t>
      </w:r>
      <w:r>
        <w:rPr>
          <w:color w:val="000000" w:themeColor="text1"/>
        </w:rPr>
        <w:t>.</w:t>
      </w:r>
    </w:p>
    <w:p w14:paraId="7EC39BD7" w14:textId="7F358432" w:rsidR="0019234E" w:rsidRPr="00F05DB6" w:rsidRDefault="00802234" w:rsidP="00F05DB6">
      <w:pPr>
        <w:pStyle w:val="RARMPnumberedparagraphs"/>
        <w:rPr>
          <w:color w:val="000000" w:themeColor="text1"/>
        </w:rPr>
      </w:pPr>
      <w:proofErr w:type="spellStart"/>
      <w:r w:rsidRPr="00802234">
        <w:rPr>
          <w:color w:val="000000" w:themeColor="text1"/>
        </w:rPr>
        <w:t>HAdV</w:t>
      </w:r>
      <w:proofErr w:type="spellEnd"/>
      <w:r w:rsidRPr="00802234">
        <w:rPr>
          <w:color w:val="000000" w:themeColor="text1"/>
        </w:rPr>
        <w:t xml:space="preserve"> infection is not known to infect insects, birds and other non-mammalian aquatic organisms. Therefore, the likelihood of </w:t>
      </w:r>
      <w:proofErr w:type="spellStart"/>
      <w:r w:rsidRPr="00802234">
        <w:rPr>
          <w:color w:val="000000" w:themeColor="text1"/>
        </w:rPr>
        <w:t>HAdVs</w:t>
      </w:r>
      <w:proofErr w:type="spellEnd"/>
      <w:r w:rsidRPr="00802234">
        <w:rPr>
          <w:color w:val="000000" w:themeColor="text1"/>
        </w:rPr>
        <w:t xml:space="preserve"> infecting other species in the Australian environment in highly unlikely</w:t>
      </w:r>
      <w:r>
        <w:rPr>
          <w:color w:val="000000" w:themeColor="text1"/>
        </w:rPr>
        <w:t>.</w:t>
      </w:r>
    </w:p>
    <w:p w14:paraId="4F4C2C61" w14:textId="30BAD1DC" w:rsidR="00FB7E35" w:rsidRPr="002223AA" w:rsidRDefault="00FB7E35" w:rsidP="00321D13">
      <w:pPr>
        <w:pStyle w:val="5RARMP"/>
      </w:pPr>
      <w:r w:rsidRPr="002223AA">
        <w:t>Potential harm</w:t>
      </w:r>
    </w:p>
    <w:p w14:paraId="731C9FA1" w14:textId="0DB552D4" w:rsidR="00B93573" w:rsidRPr="00550C3C" w:rsidRDefault="00BF66CA" w:rsidP="00550C3C">
      <w:pPr>
        <w:pStyle w:val="RARMPnumberedparagraphs"/>
      </w:pPr>
      <w:r w:rsidRPr="00BF66CA">
        <w:t>Potential harms</w:t>
      </w:r>
      <w:r w:rsidR="004323A7">
        <w:t xml:space="preserve"> to people</w:t>
      </w:r>
      <w:r w:rsidRPr="00BF66CA">
        <w:t xml:space="preserve"> in this risk scenario would be the same as considered in </w:t>
      </w:r>
      <w:r w:rsidR="008571A3">
        <w:t>R</w:t>
      </w:r>
      <w:r w:rsidRPr="00BF66CA">
        <w:t xml:space="preserve">isk </w:t>
      </w:r>
      <w:r w:rsidR="008571A3">
        <w:t>S</w:t>
      </w:r>
      <w:r w:rsidRPr="00BF66CA">
        <w:t>cenario 1.</w:t>
      </w:r>
      <w:r w:rsidR="00B93573" w:rsidRPr="00550C3C">
        <w:rPr>
          <w:rFonts w:cs="Calibri"/>
        </w:rPr>
        <w:t xml:space="preserve"> </w:t>
      </w:r>
      <w:r w:rsidR="004323A7">
        <w:t xml:space="preserve">As it is highly unlikely to </w:t>
      </w:r>
      <w:r w:rsidR="004323A7" w:rsidRPr="00342AAB">
        <w:t xml:space="preserve">infect or replicate </w:t>
      </w:r>
      <w:r w:rsidR="004323A7">
        <w:t>in animals, animals are not expected to be harmed.</w:t>
      </w:r>
    </w:p>
    <w:p w14:paraId="1858D0E7" w14:textId="77777777" w:rsidR="00FB7E35" w:rsidRPr="00F362BD" w:rsidRDefault="00FB7E35" w:rsidP="00AF2557">
      <w:pPr>
        <w:pStyle w:val="5RARMP"/>
      </w:pPr>
      <w:r w:rsidRPr="00F362BD">
        <w:t>Conclusion</w:t>
      </w:r>
    </w:p>
    <w:p w14:paraId="0B6C3435" w14:textId="35DBB464" w:rsidR="00C355BD" w:rsidRPr="00550C3C" w:rsidRDefault="00BF66CA" w:rsidP="00550C3C">
      <w:pPr>
        <w:pStyle w:val="RARMPnumberedparagraphs"/>
        <w:rPr>
          <w:color w:val="000000" w:themeColor="text1"/>
        </w:rPr>
      </w:pPr>
      <w:r w:rsidRPr="00BF66CA">
        <w:rPr>
          <w:color w:val="000000" w:themeColor="text1"/>
        </w:rPr>
        <w:t xml:space="preserve">The potential for the GMO to be released into the environment and result in adverse immune reactions or disease in people or other animals is not identified as a risk that could be greater than negligible. This is for the reasons described in Risk Scenario 1. </w:t>
      </w:r>
      <w:r w:rsidR="00CF17BC" w:rsidRPr="00CF17BC">
        <w:t xml:space="preserve"> </w:t>
      </w:r>
      <w:r w:rsidR="00CF17BC" w:rsidRPr="00CF17BC">
        <w:rPr>
          <w:color w:val="000000" w:themeColor="text1"/>
        </w:rPr>
        <w:t>The main reasons are</w:t>
      </w:r>
      <w:r w:rsidR="002C1F15">
        <w:rPr>
          <w:color w:val="000000" w:themeColor="text1"/>
        </w:rPr>
        <w:t xml:space="preserve"> </w:t>
      </w:r>
      <w:r w:rsidR="00CF17BC" w:rsidRPr="00CF17BC">
        <w:rPr>
          <w:color w:val="000000" w:themeColor="text1"/>
        </w:rPr>
        <w:t xml:space="preserve">that the GMO is not expected to infect or replicate in healthy people or in animals, and any infection resulting from potential exposure is expected to be rapidly cleared and unlikely to cause disease. </w:t>
      </w:r>
      <w:r w:rsidRPr="00BF66CA">
        <w:rPr>
          <w:color w:val="000000" w:themeColor="text1"/>
        </w:rPr>
        <w:t>Therefore, this risk scenario does not warrant further assessment.</w:t>
      </w:r>
    </w:p>
    <w:p w14:paraId="6515BDE4" w14:textId="77777777" w:rsidR="00FB7E35" w:rsidRDefault="00FB7E35" w:rsidP="00583BD1">
      <w:pPr>
        <w:pStyle w:val="4RARMP"/>
        <w:spacing w:before="240"/>
      </w:pPr>
      <w:bookmarkStart w:id="350" w:name="_Ref61527106"/>
      <w:r>
        <w:lastRenderedPageBreak/>
        <w:t>Risk scenario 3</w:t>
      </w:r>
      <w:bookmarkEnd w:id="350"/>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342"/>
        <w:gridCol w:w="4166"/>
      </w:tblGrid>
      <w:tr w:rsidR="009258A9" w:rsidRPr="008508E0" w14:paraId="601E48E0" w14:textId="77777777" w:rsidTr="009D2E20">
        <w:trPr>
          <w:trHeight w:val="360"/>
          <w:tblHeader/>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D6EFC" w14:textId="77777777" w:rsidR="009258A9" w:rsidRPr="00B350BD" w:rsidRDefault="009258A9" w:rsidP="009D2E20">
            <w:pPr>
              <w:keepNext/>
              <w:spacing w:before="40" w:after="40"/>
              <w:ind w:right="-30"/>
              <w:rPr>
                <w:rFonts w:asciiTheme="minorHAnsi" w:hAnsiTheme="minorHAnsi" w:cstheme="minorHAnsi"/>
                <w:b/>
              </w:rPr>
            </w:pPr>
            <w:r w:rsidRPr="00B350BD">
              <w:rPr>
                <w:rFonts w:asciiTheme="minorHAnsi" w:hAnsiTheme="minorHAnsi" w:cstheme="minorHAnsi"/>
                <w:b/>
              </w:rPr>
              <w:t>Risk source</w:t>
            </w:r>
          </w:p>
        </w:tc>
        <w:tc>
          <w:tcPr>
            <w:tcW w:w="7508" w:type="dxa"/>
            <w:gridSpan w:val="2"/>
            <w:tcBorders>
              <w:top w:val="single" w:sz="4" w:space="0" w:color="auto"/>
              <w:left w:val="single" w:sz="4" w:space="0" w:color="auto"/>
              <w:bottom w:val="single" w:sz="4" w:space="0" w:color="auto"/>
              <w:right w:val="single" w:sz="4" w:space="0" w:color="auto"/>
            </w:tcBorders>
            <w:vAlign w:val="center"/>
            <w:hideMark/>
          </w:tcPr>
          <w:p w14:paraId="07E7BBDA" w14:textId="77777777" w:rsidR="009258A9" w:rsidRPr="008508E0" w:rsidRDefault="009258A9" w:rsidP="009D2E20">
            <w:pPr>
              <w:keepNext/>
              <w:tabs>
                <w:tab w:val="left" w:pos="540"/>
              </w:tabs>
              <w:spacing w:before="40" w:after="40"/>
              <w:ind w:right="-30"/>
              <w:jc w:val="center"/>
              <w:rPr>
                <w:rFonts w:asciiTheme="minorHAnsi" w:hAnsiTheme="minorHAnsi" w:cstheme="minorHAnsi"/>
                <w:highlight w:val="yellow"/>
              </w:rPr>
            </w:pPr>
            <w:r>
              <w:rPr>
                <w:rFonts w:asciiTheme="minorHAnsi" w:eastAsia="Calibri" w:hAnsiTheme="minorHAnsi" w:cstheme="minorHAnsi"/>
              </w:rPr>
              <w:t>GMO</w:t>
            </w:r>
          </w:p>
        </w:tc>
      </w:tr>
      <w:tr w:rsidR="009258A9" w:rsidRPr="00560F99" w14:paraId="30382A68" w14:textId="77777777" w:rsidTr="009D2E20">
        <w:trPr>
          <w:trHeight w:val="1623"/>
          <w:tblHead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4DE9970" w14:textId="77777777" w:rsidR="009258A9" w:rsidRPr="00B350BD" w:rsidRDefault="009258A9" w:rsidP="009D2E20">
            <w:pPr>
              <w:keepNext/>
              <w:spacing w:before="40" w:after="40"/>
              <w:ind w:right="-30"/>
              <w:rPr>
                <w:rFonts w:asciiTheme="minorHAnsi" w:hAnsiTheme="minorHAnsi" w:cstheme="minorHAnsi"/>
                <w:b/>
              </w:rPr>
            </w:pPr>
            <w:r w:rsidRPr="00B350BD">
              <w:rPr>
                <w:rFonts w:asciiTheme="minorHAnsi" w:hAnsiTheme="minorHAnsi" w:cstheme="minorHAnsi"/>
                <w:b/>
              </w:rPr>
              <w:t>Causal pathway</w:t>
            </w:r>
          </w:p>
        </w:tc>
        <w:tc>
          <w:tcPr>
            <w:tcW w:w="7508" w:type="dxa"/>
            <w:gridSpan w:val="2"/>
            <w:tcBorders>
              <w:top w:val="single" w:sz="4" w:space="0" w:color="auto"/>
              <w:left w:val="single" w:sz="4" w:space="0" w:color="auto"/>
              <w:bottom w:val="nil"/>
              <w:right w:val="single" w:sz="4" w:space="0" w:color="auto"/>
            </w:tcBorders>
            <w:hideMark/>
          </w:tcPr>
          <w:p w14:paraId="6AB10BEA" w14:textId="5B9EB819" w:rsidR="009258A9" w:rsidRDefault="009258A9" w:rsidP="009D2E20">
            <w:pPr>
              <w:pStyle w:val="TableTextRARMP"/>
              <w:jc w:val="center"/>
              <w:rPr>
                <w:color w:val="000000" w:themeColor="text1"/>
                <w:sz w:val="22"/>
                <w:szCs w:val="22"/>
              </w:rPr>
            </w:pPr>
            <w:r w:rsidRPr="00560F99">
              <w:rPr>
                <w:color w:val="000000" w:themeColor="text1"/>
                <w:sz w:val="22"/>
                <w:szCs w:val="22"/>
              </w:rPr>
              <w:t>Exposure of people</w:t>
            </w:r>
            <w:r>
              <w:rPr>
                <w:color w:val="000000" w:themeColor="text1"/>
                <w:sz w:val="22"/>
                <w:szCs w:val="22"/>
              </w:rPr>
              <w:t xml:space="preserve"> and animals</w:t>
            </w:r>
            <w:r w:rsidRPr="00560F99">
              <w:rPr>
                <w:color w:val="000000" w:themeColor="text1"/>
                <w:sz w:val="22"/>
                <w:szCs w:val="22"/>
              </w:rPr>
              <w:t xml:space="preserve"> to the GMO as mentioned in Risk Scenario</w:t>
            </w:r>
            <w:r w:rsidR="008571A3">
              <w:rPr>
                <w:color w:val="000000" w:themeColor="text1"/>
                <w:sz w:val="22"/>
                <w:szCs w:val="22"/>
              </w:rPr>
              <w:t>s</w:t>
            </w:r>
            <w:r w:rsidRPr="00560F99">
              <w:rPr>
                <w:color w:val="000000" w:themeColor="text1"/>
                <w:sz w:val="22"/>
                <w:szCs w:val="22"/>
              </w:rPr>
              <w:t xml:space="preserve"> 1</w:t>
            </w:r>
            <w:r w:rsidR="008571A3">
              <w:rPr>
                <w:color w:val="000000" w:themeColor="text1"/>
                <w:sz w:val="22"/>
                <w:szCs w:val="22"/>
              </w:rPr>
              <w:t xml:space="preserve"> and 2</w:t>
            </w:r>
          </w:p>
          <w:p w14:paraId="669B8F35" w14:textId="77777777" w:rsidR="000D6D8E" w:rsidRPr="000D6D8E" w:rsidRDefault="000D6D8E" w:rsidP="000D6D8E">
            <w:pPr>
              <w:pStyle w:val="TableTextRARMP"/>
              <w:jc w:val="center"/>
              <w:rPr>
                <w:color w:val="000000" w:themeColor="text1"/>
                <w:sz w:val="22"/>
                <w:szCs w:val="22"/>
              </w:rPr>
            </w:pPr>
            <w:r w:rsidRPr="000D6D8E">
              <w:rPr>
                <w:color w:val="000000" w:themeColor="text1"/>
                <w:sz w:val="22"/>
                <w:szCs w:val="22"/>
              </w:rPr>
              <w:t>Or</w:t>
            </w:r>
          </w:p>
          <w:p w14:paraId="711348C0" w14:textId="78D1D7F1" w:rsidR="000D6D8E" w:rsidRPr="00560F99" w:rsidRDefault="000D6D8E" w:rsidP="000D6D8E">
            <w:pPr>
              <w:pStyle w:val="TableTextRARMP"/>
              <w:jc w:val="center"/>
              <w:rPr>
                <w:color w:val="000000" w:themeColor="text1"/>
                <w:sz w:val="22"/>
                <w:szCs w:val="22"/>
              </w:rPr>
            </w:pPr>
            <w:r w:rsidRPr="000D6D8E">
              <w:rPr>
                <w:color w:val="000000" w:themeColor="text1"/>
                <w:sz w:val="22"/>
                <w:szCs w:val="22"/>
              </w:rPr>
              <w:t>Exposure of trial participants during treatment</w:t>
            </w:r>
          </w:p>
          <w:p w14:paraId="252312FC" w14:textId="77777777" w:rsidR="009258A9" w:rsidRPr="008508E0" w:rsidRDefault="009258A9" w:rsidP="009D2E20">
            <w:pPr>
              <w:pStyle w:val="TableTextRARMP"/>
              <w:jc w:val="center"/>
              <w:rPr>
                <w:color w:val="000000" w:themeColor="text1"/>
                <w:sz w:val="22"/>
                <w:szCs w:val="22"/>
              </w:rPr>
            </w:pPr>
            <w:r w:rsidRPr="008508E0">
              <w:rPr>
                <w:color w:val="000000" w:themeColor="text1"/>
                <w:sz w:val="22"/>
                <w:szCs w:val="22"/>
              </w:rPr>
              <w:sym w:font="Wingdings 3" w:char="F0C8"/>
            </w:r>
          </w:p>
          <w:p w14:paraId="4D9C1481" w14:textId="77777777" w:rsidR="009258A9" w:rsidRPr="00560F99" w:rsidRDefault="009258A9" w:rsidP="009D2E20">
            <w:pPr>
              <w:pStyle w:val="TableTextRARMP"/>
              <w:jc w:val="center"/>
              <w:rPr>
                <w:color w:val="000000" w:themeColor="text1"/>
                <w:sz w:val="22"/>
                <w:szCs w:val="22"/>
              </w:rPr>
            </w:pPr>
            <w:r w:rsidRPr="00560F99">
              <w:rPr>
                <w:color w:val="000000" w:themeColor="text1"/>
                <w:sz w:val="22"/>
                <w:szCs w:val="22"/>
              </w:rPr>
              <w:t>Transduction of cells by GMO</w:t>
            </w:r>
          </w:p>
          <w:p w14:paraId="77CB7339" w14:textId="77777777" w:rsidR="009258A9" w:rsidRPr="00560F99" w:rsidRDefault="009258A9" w:rsidP="009D2E20">
            <w:pPr>
              <w:pStyle w:val="TableTextRARMP"/>
              <w:jc w:val="center"/>
              <w:rPr>
                <w:color w:val="000000" w:themeColor="text1"/>
                <w:sz w:val="22"/>
                <w:szCs w:val="22"/>
              </w:rPr>
            </w:pPr>
            <w:r w:rsidRPr="008508E0">
              <w:rPr>
                <w:color w:val="000000" w:themeColor="text1"/>
                <w:sz w:val="22"/>
                <w:szCs w:val="22"/>
              </w:rPr>
              <w:sym w:font="Wingdings 3" w:char="F0C8"/>
            </w:r>
          </w:p>
          <w:p w14:paraId="53105428" w14:textId="77777777" w:rsidR="009258A9" w:rsidRPr="00560F99" w:rsidRDefault="009258A9" w:rsidP="009D2E20">
            <w:pPr>
              <w:pStyle w:val="TableTextRARMP"/>
              <w:jc w:val="center"/>
              <w:rPr>
                <w:color w:val="000000" w:themeColor="text1"/>
                <w:sz w:val="22"/>
                <w:szCs w:val="22"/>
              </w:rPr>
            </w:pPr>
            <w:r w:rsidRPr="00560F99">
              <w:rPr>
                <w:color w:val="000000" w:themeColor="text1"/>
                <w:sz w:val="22"/>
                <w:szCs w:val="22"/>
              </w:rPr>
              <w:t>Tra</w:t>
            </w:r>
            <w:r>
              <w:rPr>
                <w:color w:val="000000" w:themeColor="text1"/>
                <w:sz w:val="22"/>
                <w:szCs w:val="22"/>
              </w:rPr>
              <w:t xml:space="preserve">nsduced cells co-infected with </w:t>
            </w:r>
            <w:proofErr w:type="spellStart"/>
            <w:r w:rsidRPr="00560F99">
              <w:rPr>
                <w:color w:val="000000" w:themeColor="text1"/>
                <w:sz w:val="22"/>
                <w:szCs w:val="22"/>
              </w:rPr>
              <w:t>AdV</w:t>
            </w:r>
            <w:proofErr w:type="spellEnd"/>
          </w:p>
          <w:p w14:paraId="34796583" w14:textId="77777777" w:rsidR="009258A9" w:rsidRPr="00560F99" w:rsidRDefault="009258A9" w:rsidP="009D2E20">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9258A9" w14:paraId="79DFDF47" w14:textId="77777777" w:rsidTr="009D2E20">
        <w:trPr>
          <w:trHeight w:val="461"/>
          <w:tblHeader/>
        </w:trPr>
        <w:tc>
          <w:tcPr>
            <w:tcW w:w="1276" w:type="dxa"/>
            <w:vMerge/>
            <w:tcBorders>
              <w:top w:val="single" w:sz="4" w:space="0" w:color="auto"/>
              <w:left w:val="single" w:sz="4" w:space="0" w:color="auto"/>
              <w:right w:val="single" w:sz="4" w:space="0" w:color="auto"/>
            </w:tcBorders>
            <w:shd w:val="clear" w:color="auto" w:fill="F2F2F2" w:themeFill="background1" w:themeFillShade="F2"/>
            <w:vAlign w:val="center"/>
          </w:tcPr>
          <w:p w14:paraId="75BFAD1F" w14:textId="77777777" w:rsidR="009258A9" w:rsidRPr="00A92DE8" w:rsidRDefault="009258A9" w:rsidP="009D2E20">
            <w:pPr>
              <w:keepNext/>
              <w:spacing w:before="40" w:after="40"/>
              <w:ind w:right="-30"/>
              <w:rPr>
                <w:rFonts w:asciiTheme="minorHAnsi" w:hAnsiTheme="minorHAnsi" w:cstheme="minorHAnsi"/>
                <w:b/>
              </w:rPr>
            </w:pPr>
          </w:p>
        </w:tc>
        <w:tc>
          <w:tcPr>
            <w:tcW w:w="3342" w:type="dxa"/>
            <w:tcBorders>
              <w:top w:val="nil"/>
              <w:left w:val="single" w:sz="4" w:space="0" w:color="auto"/>
              <w:bottom w:val="nil"/>
              <w:right w:val="nil"/>
            </w:tcBorders>
          </w:tcPr>
          <w:p w14:paraId="55617A31" w14:textId="77777777" w:rsidR="009258A9" w:rsidRPr="008508E0" w:rsidRDefault="009258A9" w:rsidP="009D2E20">
            <w:pPr>
              <w:pStyle w:val="Style4"/>
              <w:numPr>
                <w:ilvl w:val="0"/>
                <w:numId w:val="0"/>
              </w:numPr>
              <w:ind w:left="9"/>
              <w:rPr>
                <w:rFonts w:ascii="Calibri" w:hAnsi="Calibri"/>
                <w:color w:val="auto"/>
              </w:rPr>
            </w:pPr>
            <w:r>
              <w:rPr>
                <w:rFonts w:ascii="Calibri" w:hAnsi="Calibri"/>
                <w:color w:val="auto"/>
              </w:rPr>
              <w:t xml:space="preserve">Complementation of </w:t>
            </w:r>
            <w:r w:rsidRPr="00034B87">
              <w:rPr>
                <w:rFonts w:ascii="Calibri" w:hAnsi="Calibri"/>
                <w:color w:val="auto"/>
              </w:rPr>
              <w:t>gene</w:t>
            </w:r>
            <w:r>
              <w:rPr>
                <w:rFonts w:ascii="Calibri" w:hAnsi="Calibri"/>
                <w:color w:val="auto"/>
              </w:rPr>
              <w:t xml:space="preserve"> sequence</w:t>
            </w:r>
            <w:r w:rsidRPr="00034B87">
              <w:rPr>
                <w:rFonts w:ascii="Calibri" w:hAnsi="Calibri"/>
                <w:color w:val="auto"/>
              </w:rPr>
              <w:t xml:space="preserve">s responsible for viral replication and </w:t>
            </w:r>
            <w:r w:rsidRPr="00034B87">
              <w:rPr>
                <w:rFonts w:ascii="Calibri" w:hAnsi="Calibri" w:cs="Calibri"/>
                <w:color w:val="auto"/>
              </w:rPr>
              <w:t>immune-evasion properties</w:t>
            </w:r>
            <w:r w:rsidRPr="00034B87">
              <w:rPr>
                <w:rFonts w:ascii="Calibri" w:hAnsi="Calibri"/>
                <w:color w:val="auto"/>
              </w:rPr>
              <w:t xml:space="preserve"> </w:t>
            </w:r>
            <w:r>
              <w:rPr>
                <w:rFonts w:ascii="Calibri" w:hAnsi="Calibri"/>
                <w:color w:val="auto"/>
              </w:rPr>
              <w:t xml:space="preserve">by </w:t>
            </w:r>
            <w:proofErr w:type="spellStart"/>
            <w:r>
              <w:rPr>
                <w:rFonts w:ascii="Calibri" w:hAnsi="Calibri"/>
                <w:color w:val="auto"/>
              </w:rPr>
              <w:t>AdV</w:t>
            </w:r>
            <w:proofErr w:type="spellEnd"/>
          </w:p>
        </w:tc>
        <w:tc>
          <w:tcPr>
            <w:tcW w:w="4166" w:type="dxa"/>
            <w:tcBorders>
              <w:top w:val="nil"/>
              <w:left w:val="nil"/>
              <w:bottom w:val="nil"/>
              <w:right w:val="single" w:sz="4" w:space="0" w:color="auto"/>
            </w:tcBorders>
          </w:tcPr>
          <w:p w14:paraId="1799946D" w14:textId="77777777" w:rsidR="009258A9" w:rsidRDefault="009258A9" w:rsidP="009D2E20">
            <w:pPr>
              <w:pStyle w:val="Style4"/>
              <w:numPr>
                <w:ilvl w:val="0"/>
                <w:numId w:val="0"/>
              </w:numPr>
              <w:ind w:left="364"/>
              <w:rPr>
                <w:rFonts w:ascii="Calibri" w:eastAsia="Calibri" w:hAnsi="Calibri" w:cs="Calibri"/>
              </w:rPr>
            </w:pPr>
            <w:r>
              <w:rPr>
                <w:rFonts w:ascii="Calibri" w:hAnsi="Calibri"/>
                <w:color w:val="auto"/>
              </w:rPr>
              <w:t xml:space="preserve">Homologous recombination with </w:t>
            </w:r>
            <w:proofErr w:type="spellStart"/>
            <w:r>
              <w:rPr>
                <w:rFonts w:ascii="Calibri" w:hAnsi="Calibri"/>
                <w:color w:val="auto"/>
              </w:rPr>
              <w:t>AdV</w:t>
            </w:r>
            <w:proofErr w:type="spellEnd"/>
            <w:r>
              <w:rPr>
                <w:rFonts w:ascii="Calibri" w:hAnsi="Calibri"/>
                <w:color w:val="auto"/>
              </w:rPr>
              <w:t xml:space="preserve"> in </w:t>
            </w:r>
            <w:r w:rsidRPr="00034B87">
              <w:rPr>
                <w:rFonts w:ascii="Calibri" w:hAnsi="Calibri"/>
                <w:color w:val="auto"/>
              </w:rPr>
              <w:t>gene</w:t>
            </w:r>
            <w:r>
              <w:rPr>
                <w:rFonts w:ascii="Calibri" w:hAnsi="Calibri"/>
                <w:color w:val="auto"/>
              </w:rPr>
              <w:t xml:space="preserve"> sequence</w:t>
            </w:r>
            <w:r w:rsidRPr="00034B87">
              <w:rPr>
                <w:rFonts w:ascii="Calibri" w:hAnsi="Calibri"/>
                <w:color w:val="auto"/>
              </w:rPr>
              <w:t xml:space="preserve">s responsible for viral replication and </w:t>
            </w:r>
            <w:r w:rsidRPr="00034B87">
              <w:rPr>
                <w:rFonts w:ascii="Calibri" w:hAnsi="Calibri" w:cs="Calibri"/>
                <w:color w:val="auto"/>
              </w:rPr>
              <w:t>immune-evasion properties</w:t>
            </w:r>
            <w:r w:rsidRPr="00034B87">
              <w:rPr>
                <w:rFonts w:ascii="Calibri" w:hAnsi="Calibri"/>
                <w:color w:val="auto"/>
              </w:rPr>
              <w:t xml:space="preserve"> </w:t>
            </w:r>
            <w:r>
              <w:rPr>
                <w:rFonts w:ascii="Calibri" w:hAnsi="Calibri"/>
                <w:color w:val="auto"/>
              </w:rPr>
              <w:t>or other regions of high homology</w:t>
            </w:r>
          </w:p>
        </w:tc>
      </w:tr>
      <w:tr w:rsidR="009258A9" w:rsidRPr="008179FB" w14:paraId="684CD9FD" w14:textId="77777777" w:rsidTr="009D2E20">
        <w:trPr>
          <w:trHeight w:val="1815"/>
          <w:tblHeader/>
        </w:trPr>
        <w:tc>
          <w:tcPr>
            <w:tcW w:w="1276" w:type="dxa"/>
            <w:vMerge/>
            <w:tcBorders>
              <w:top w:val="single" w:sz="4" w:space="0" w:color="auto"/>
              <w:left w:val="single" w:sz="4" w:space="0" w:color="auto"/>
              <w:right w:val="single" w:sz="4" w:space="0" w:color="auto"/>
            </w:tcBorders>
            <w:shd w:val="clear" w:color="auto" w:fill="F2F2F2" w:themeFill="background1" w:themeFillShade="F2"/>
            <w:vAlign w:val="center"/>
          </w:tcPr>
          <w:p w14:paraId="1C85A427" w14:textId="77777777" w:rsidR="009258A9" w:rsidRPr="00A92DE8" w:rsidRDefault="009258A9" w:rsidP="009D2E20">
            <w:pPr>
              <w:keepNext/>
              <w:spacing w:before="40" w:after="40"/>
              <w:ind w:right="-30"/>
              <w:rPr>
                <w:rFonts w:asciiTheme="minorHAnsi" w:hAnsiTheme="minorHAnsi" w:cstheme="minorHAnsi"/>
                <w:b/>
              </w:rPr>
            </w:pPr>
          </w:p>
        </w:tc>
        <w:tc>
          <w:tcPr>
            <w:tcW w:w="3342" w:type="dxa"/>
            <w:tcBorders>
              <w:top w:val="nil"/>
              <w:left w:val="single" w:sz="4" w:space="0" w:color="auto"/>
              <w:bottom w:val="single" w:sz="4" w:space="0" w:color="auto"/>
              <w:right w:val="nil"/>
            </w:tcBorders>
          </w:tcPr>
          <w:p w14:paraId="4DF71B4C" w14:textId="77777777" w:rsidR="009258A9" w:rsidRPr="00560F99" w:rsidRDefault="009258A9" w:rsidP="009D2E20">
            <w:pPr>
              <w:pStyle w:val="Style4"/>
              <w:numPr>
                <w:ilvl w:val="0"/>
                <w:numId w:val="0"/>
              </w:numPr>
              <w:ind w:hanging="360"/>
              <w:jc w:val="center"/>
              <w:rPr>
                <w:rFonts w:ascii="Calibri" w:hAnsi="Calibri" w:cs="Calibri"/>
              </w:rPr>
            </w:pPr>
            <w:r w:rsidRPr="00560F99">
              <w:rPr>
                <w:rFonts w:ascii="Calibri" w:hAnsi="Calibri" w:cs="Calibri"/>
              </w:rPr>
              <w:sym w:font="Wingdings 3" w:char="F0C8"/>
            </w:r>
          </w:p>
          <w:p w14:paraId="1BDF161E" w14:textId="77777777" w:rsidR="009258A9" w:rsidRPr="00560F99" w:rsidRDefault="009258A9" w:rsidP="009D2E20">
            <w:pPr>
              <w:pStyle w:val="Style4"/>
              <w:numPr>
                <w:ilvl w:val="0"/>
                <w:numId w:val="0"/>
              </w:numPr>
              <w:contextualSpacing/>
              <w:rPr>
                <w:rFonts w:ascii="Calibri" w:hAnsi="Calibri" w:cs="Calibri"/>
                <w:color w:val="auto"/>
              </w:rPr>
            </w:pPr>
            <w:r>
              <w:rPr>
                <w:rFonts w:ascii="Calibri" w:hAnsi="Calibri" w:cs="Calibri"/>
                <w:color w:val="auto"/>
              </w:rPr>
              <w:t>Production</w:t>
            </w:r>
            <w:r w:rsidRPr="00560F99">
              <w:rPr>
                <w:rFonts w:ascii="Calibri" w:hAnsi="Calibri" w:cs="Calibri"/>
                <w:color w:val="auto"/>
              </w:rPr>
              <w:t xml:space="preserve"> of more replication</w:t>
            </w:r>
          </w:p>
          <w:p w14:paraId="586038C4" w14:textId="77777777" w:rsidR="009258A9" w:rsidRPr="00560F99" w:rsidRDefault="009258A9" w:rsidP="009D2E20">
            <w:pPr>
              <w:pStyle w:val="Style4"/>
              <w:numPr>
                <w:ilvl w:val="0"/>
                <w:numId w:val="0"/>
              </w:numPr>
              <w:contextualSpacing/>
              <w:rPr>
                <w:rFonts w:ascii="Calibri" w:hAnsi="Calibri" w:cs="Calibri"/>
                <w:color w:val="auto"/>
              </w:rPr>
            </w:pPr>
            <w:r>
              <w:rPr>
                <w:rFonts w:ascii="Calibri" w:hAnsi="Calibri" w:cs="Calibri"/>
                <w:color w:val="auto"/>
              </w:rPr>
              <w:t xml:space="preserve">incompetent GMOs </w:t>
            </w:r>
            <w:r w:rsidRPr="003B4F29">
              <w:rPr>
                <w:rFonts w:ascii="Calibri" w:hAnsi="Calibri" w:cs="Calibri"/>
                <w:color w:val="auto"/>
              </w:rPr>
              <w:t>with immune-evasion properties</w:t>
            </w:r>
            <w:r w:rsidRPr="007D6139">
              <w:rPr>
                <w:rFonts w:ascii="Calibri" w:hAnsi="Calibri" w:cs="Calibri"/>
                <w:color w:val="auto"/>
              </w:rPr>
              <w:t xml:space="preserve"> </w:t>
            </w:r>
          </w:p>
        </w:tc>
        <w:tc>
          <w:tcPr>
            <w:tcW w:w="4166" w:type="dxa"/>
            <w:tcBorders>
              <w:top w:val="nil"/>
              <w:left w:val="nil"/>
              <w:bottom w:val="single" w:sz="4" w:space="0" w:color="auto"/>
              <w:right w:val="single" w:sz="4" w:space="0" w:color="auto"/>
            </w:tcBorders>
          </w:tcPr>
          <w:p w14:paraId="7E6E960F" w14:textId="77777777" w:rsidR="009258A9" w:rsidRPr="00560F99" w:rsidRDefault="009258A9" w:rsidP="009D2E20">
            <w:pPr>
              <w:pStyle w:val="Style4"/>
              <w:numPr>
                <w:ilvl w:val="0"/>
                <w:numId w:val="0"/>
              </w:numPr>
              <w:ind w:left="658" w:hanging="360"/>
              <w:jc w:val="center"/>
              <w:rPr>
                <w:rFonts w:ascii="Calibri" w:hAnsi="Calibri" w:cs="Calibri"/>
              </w:rPr>
            </w:pPr>
            <w:r w:rsidRPr="00560F99">
              <w:rPr>
                <w:rFonts w:ascii="Calibri" w:hAnsi="Calibri" w:cs="Calibri"/>
              </w:rPr>
              <w:sym w:font="Wingdings 3" w:char="F0C8"/>
            </w:r>
          </w:p>
          <w:p w14:paraId="737FBC00" w14:textId="77777777" w:rsidR="009258A9" w:rsidRPr="00560F99" w:rsidRDefault="009258A9" w:rsidP="009D2E20">
            <w:pPr>
              <w:pStyle w:val="Style4"/>
              <w:numPr>
                <w:ilvl w:val="0"/>
                <w:numId w:val="47"/>
              </w:numPr>
              <w:spacing w:after="0"/>
              <w:ind w:left="375" w:hanging="283"/>
              <w:contextualSpacing/>
              <w:rPr>
                <w:rFonts w:ascii="Calibri" w:hAnsi="Calibri" w:cs="Calibri"/>
              </w:rPr>
            </w:pPr>
            <w:r w:rsidRPr="00560F99">
              <w:rPr>
                <w:rFonts w:ascii="Calibri" w:hAnsi="Calibri" w:cs="Calibri"/>
              </w:rPr>
              <w:t>Formatio</w:t>
            </w:r>
            <w:r>
              <w:rPr>
                <w:rFonts w:ascii="Calibri" w:hAnsi="Calibri" w:cs="Calibri"/>
              </w:rPr>
              <w:t xml:space="preserve">n of more replication incompetent </w:t>
            </w:r>
            <w:proofErr w:type="spellStart"/>
            <w:r>
              <w:rPr>
                <w:rFonts w:ascii="Calibri" w:hAnsi="Calibri" w:cs="Calibri"/>
              </w:rPr>
              <w:t>AdV</w:t>
            </w:r>
            <w:proofErr w:type="spellEnd"/>
            <w:r>
              <w:rPr>
                <w:rFonts w:ascii="Calibri" w:hAnsi="Calibri" w:cs="Calibri"/>
              </w:rPr>
              <w:t xml:space="preserve"> expressing </w:t>
            </w:r>
            <w:r w:rsidRPr="0029529B">
              <w:rPr>
                <w:rFonts w:ascii="Calibri" w:hAnsi="Calibri" w:cs="Calibri"/>
              </w:rPr>
              <w:t>IFN-α2b</w:t>
            </w:r>
            <w:r>
              <w:rPr>
                <w:rFonts w:ascii="Calibri" w:hAnsi="Calibri" w:cs="Calibri"/>
              </w:rPr>
              <w:t xml:space="preserve"> protein </w:t>
            </w:r>
            <w:r w:rsidRPr="00133F14">
              <w:rPr>
                <w:rFonts w:ascii="Calibri" w:hAnsi="Calibri" w:cs="Calibri"/>
              </w:rPr>
              <w:t>with immune evasion properties</w:t>
            </w:r>
          </w:p>
          <w:p w14:paraId="065C4444" w14:textId="77777777" w:rsidR="009258A9" w:rsidRPr="00560F99" w:rsidRDefault="009258A9" w:rsidP="009D2E20">
            <w:pPr>
              <w:pStyle w:val="Style4"/>
              <w:numPr>
                <w:ilvl w:val="0"/>
                <w:numId w:val="0"/>
              </w:numPr>
              <w:spacing w:after="0"/>
              <w:ind w:left="233"/>
              <w:jc w:val="center"/>
              <w:rPr>
                <w:rFonts w:ascii="Calibri" w:hAnsi="Calibri" w:cs="Calibri"/>
                <w:b/>
              </w:rPr>
            </w:pPr>
            <w:r>
              <w:rPr>
                <w:rFonts w:ascii="Calibri" w:hAnsi="Calibri" w:cs="Calibri"/>
                <w:b/>
              </w:rPr>
              <w:t>AND</w:t>
            </w:r>
          </w:p>
          <w:p w14:paraId="1CB38659" w14:textId="77777777" w:rsidR="009258A9" w:rsidRDefault="009258A9" w:rsidP="009D2E20">
            <w:pPr>
              <w:pStyle w:val="Style4"/>
              <w:numPr>
                <w:ilvl w:val="0"/>
                <w:numId w:val="0"/>
              </w:numPr>
              <w:spacing w:after="0"/>
              <w:ind w:left="381"/>
              <w:contextualSpacing/>
              <w:rPr>
                <w:rFonts w:ascii="Calibri" w:hAnsi="Calibri" w:cs="Calibri"/>
              </w:rPr>
            </w:pPr>
            <w:r w:rsidRPr="00560F99">
              <w:rPr>
                <w:rFonts w:ascii="Calibri" w:hAnsi="Calibri" w:cs="Calibri"/>
              </w:rPr>
              <w:t xml:space="preserve">Replication competent </w:t>
            </w:r>
            <w:r>
              <w:rPr>
                <w:rFonts w:ascii="Calibri" w:hAnsi="Calibri" w:cs="Calibri"/>
              </w:rPr>
              <w:t>GMO without</w:t>
            </w:r>
          </w:p>
          <w:p w14:paraId="2E35CD2A" w14:textId="77777777" w:rsidR="009258A9" w:rsidRDefault="009258A9" w:rsidP="009D2E20">
            <w:pPr>
              <w:pStyle w:val="Style4"/>
              <w:numPr>
                <w:ilvl w:val="0"/>
                <w:numId w:val="0"/>
              </w:numPr>
              <w:spacing w:after="0"/>
              <w:ind w:left="381"/>
              <w:contextualSpacing/>
              <w:rPr>
                <w:rFonts w:ascii="Calibri" w:hAnsi="Calibri" w:cs="Calibri"/>
              </w:rPr>
            </w:pPr>
            <w:r w:rsidRPr="00343A55">
              <w:rPr>
                <w:rFonts w:ascii="Calibri" w:hAnsi="Calibri" w:cs="Calibri"/>
              </w:rPr>
              <w:t>IFN-α2b</w:t>
            </w:r>
            <w:r w:rsidRPr="00560F99">
              <w:rPr>
                <w:rFonts w:ascii="Calibri" w:hAnsi="Calibri" w:cs="Calibri"/>
              </w:rPr>
              <w:t xml:space="preserve"> </w:t>
            </w:r>
            <w:r w:rsidRPr="00343A55">
              <w:rPr>
                <w:rFonts w:ascii="Calibri" w:hAnsi="Calibri" w:cs="Calibri"/>
              </w:rPr>
              <w:t>expression cassette</w:t>
            </w:r>
            <w:r>
              <w:rPr>
                <w:rFonts w:ascii="Calibri" w:hAnsi="Calibri" w:cs="Calibri"/>
              </w:rPr>
              <w:t xml:space="preserve"> </w:t>
            </w:r>
          </w:p>
          <w:p w14:paraId="610C8D03" w14:textId="77777777" w:rsidR="009258A9" w:rsidRPr="005A649C" w:rsidRDefault="009258A9" w:rsidP="009D2E20">
            <w:pPr>
              <w:pStyle w:val="Style4"/>
              <w:numPr>
                <w:ilvl w:val="0"/>
                <w:numId w:val="0"/>
              </w:numPr>
              <w:ind w:left="233"/>
              <w:contextualSpacing/>
              <w:jc w:val="center"/>
              <w:rPr>
                <w:rFonts w:ascii="Calibri" w:hAnsi="Calibri" w:cs="Calibri"/>
                <w:b/>
              </w:rPr>
            </w:pPr>
            <w:r w:rsidRPr="005A649C">
              <w:rPr>
                <w:rFonts w:ascii="Calibri" w:hAnsi="Calibri" w:cs="Calibri"/>
                <w:b/>
              </w:rPr>
              <w:t>OR</w:t>
            </w:r>
          </w:p>
          <w:p w14:paraId="398A943E" w14:textId="77777777" w:rsidR="009258A9" w:rsidRPr="00FD1D24" w:rsidRDefault="009258A9" w:rsidP="009D2E20">
            <w:pPr>
              <w:pStyle w:val="Style4"/>
              <w:numPr>
                <w:ilvl w:val="0"/>
                <w:numId w:val="47"/>
              </w:numPr>
              <w:spacing w:after="0"/>
              <w:ind w:left="375" w:hanging="284"/>
              <w:contextualSpacing/>
              <w:rPr>
                <w:rFonts w:ascii="Calibri" w:eastAsia="Calibri" w:hAnsi="Calibri" w:cs="Calibri"/>
              </w:rPr>
            </w:pPr>
            <w:r>
              <w:rPr>
                <w:rFonts w:ascii="Calibri" w:hAnsi="Calibri" w:cs="Calibri"/>
              </w:rPr>
              <w:t xml:space="preserve">Replication competent </w:t>
            </w:r>
            <w:proofErr w:type="spellStart"/>
            <w:r>
              <w:rPr>
                <w:rFonts w:ascii="Calibri" w:hAnsi="Calibri" w:cs="Calibri"/>
              </w:rPr>
              <w:t>AdV</w:t>
            </w:r>
            <w:proofErr w:type="spellEnd"/>
            <w:r>
              <w:rPr>
                <w:rFonts w:ascii="Calibri" w:hAnsi="Calibri" w:cs="Calibri"/>
              </w:rPr>
              <w:t xml:space="preserve"> with defective immune evasion properties </w:t>
            </w:r>
          </w:p>
          <w:p w14:paraId="1465D46F" w14:textId="77777777" w:rsidR="009258A9" w:rsidRPr="00FD1D24" w:rsidRDefault="009258A9" w:rsidP="009D2E20">
            <w:pPr>
              <w:pStyle w:val="Style4"/>
              <w:numPr>
                <w:ilvl w:val="0"/>
                <w:numId w:val="0"/>
              </w:numPr>
              <w:spacing w:after="0"/>
              <w:ind w:left="91"/>
              <w:contextualSpacing/>
              <w:jc w:val="center"/>
              <w:rPr>
                <w:rFonts w:ascii="Calibri" w:eastAsia="Calibri" w:hAnsi="Calibri" w:cs="Calibri"/>
                <w:b/>
              </w:rPr>
            </w:pPr>
            <w:r w:rsidRPr="00FD1D24">
              <w:rPr>
                <w:rFonts w:ascii="Calibri" w:eastAsia="Calibri" w:hAnsi="Calibri" w:cs="Calibri"/>
                <w:b/>
              </w:rPr>
              <w:t>AND</w:t>
            </w:r>
          </w:p>
          <w:p w14:paraId="21936BDC" w14:textId="77777777" w:rsidR="009258A9" w:rsidRDefault="009258A9" w:rsidP="009D2E20">
            <w:pPr>
              <w:pStyle w:val="Style4"/>
              <w:numPr>
                <w:ilvl w:val="0"/>
                <w:numId w:val="0"/>
              </w:numPr>
              <w:spacing w:after="0"/>
              <w:ind w:left="375"/>
              <w:contextualSpacing/>
              <w:rPr>
                <w:rFonts w:ascii="Calibri" w:eastAsia="Calibri" w:hAnsi="Calibri" w:cs="Calibri"/>
              </w:rPr>
            </w:pPr>
            <w:r>
              <w:rPr>
                <w:rFonts w:ascii="Calibri" w:eastAsia="Calibri" w:hAnsi="Calibri" w:cs="Calibri"/>
              </w:rPr>
              <w:t xml:space="preserve">Replication incompetent GMO with immune evasion properties </w:t>
            </w:r>
          </w:p>
          <w:p w14:paraId="2F9D9FFA" w14:textId="77777777" w:rsidR="009258A9" w:rsidRPr="00FD1D24" w:rsidRDefault="009258A9" w:rsidP="009D2E20">
            <w:pPr>
              <w:pStyle w:val="Style4"/>
              <w:numPr>
                <w:ilvl w:val="0"/>
                <w:numId w:val="0"/>
              </w:numPr>
              <w:spacing w:after="0"/>
              <w:ind w:left="233"/>
              <w:contextualSpacing/>
              <w:jc w:val="center"/>
              <w:rPr>
                <w:rFonts w:ascii="Calibri" w:eastAsia="Calibri" w:hAnsi="Calibri" w:cs="Calibri"/>
                <w:b/>
              </w:rPr>
            </w:pPr>
            <w:r w:rsidRPr="00FD1D24">
              <w:rPr>
                <w:rFonts w:ascii="Calibri" w:eastAsia="Calibri" w:hAnsi="Calibri" w:cs="Calibri"/>
                <w:b/>
              </w:rPr>
              <w:t>OR</w:t>
            </w:r>
          </w:p>
          <w:p w14:paraId="4D0F177B" w14:textId="77777777" w:rsidR="009258A9" w:rsidRDefault="009258A9" w:rsidP="009D2E20">
            <w:pPr>
              <w:pStyle w:val="Style4"/>
              <w:numPr>
                <w:ilvl w:val="0"/>
                <w:numId w:val="47"/>
              </w:numPr>
              <w:spacing w:after="0"/>
              <w:ind w:left="378" w:hanging="285"/>
              <w:contextualSpacing/>
              <w:rPr>
                <w:rFonts w:ascii="Calibri" w:eastAsia="Calibri" w:hAnsi="Calibri" w:cs="Calibri"/>
              </w:rPr>
            </w:pPr>
            <w:r>
              <w:rPr>
                <w:rFonts w:ascii="Calibri" w:eastAsia="Calibri" w:hAnsi="Calibri" w:cs="Calibri"/>
              </w:rPr>
              <w:t xml:space="preserve">Replication competent </w:t>
            </w:r>
            <w:proofErr w:type="spellStart"/>
            <w:r>
              <w:rPr>
                <w:rFonts w:ascii="Calibri" w:eastAsia="Calibri" w:hAnsi="Calibri" w:cs="Calibri"/>
              </w:rPr>
              <w:t>AdV</w:t>
            </w:r>
            <w:proofErr w:type="spellEnd"/>
            <w:r>
              <w:rPr>
                <w:rFonts w:ascii="Calibri" w:eastAsia="Calibri" w:hAnsi="Calibri" w:cs="Calibri"/>
              </w:rPr>
              <w:t xml:space="preserve"> or replication incompetent GMO with altered tropism</w:t>
            </w:r>
          </w:p>
          <w:p w14:paraId="5704A578" w14:textId="77777777" w:rsidR="009258A9" w:rsidRPr="008179FB" w:rsidRDefault="009258A9" w:rsidP="009D2E20">
            <w:pPr>
              <w:pStyle w:val="Style4"/>
              <w:numPr>
                <w:ilvl w:val="0"/>
                <w:numId w:val="0"/>
              </w:numPr>
              <w:ind w:left="375"/>
              <w:contextualSpacing/>
              <w:jc w:val="center"/>
              <w:rPr>
                <w:rFonts w:ascii="Calibri" w:eastAsia="Calibri" w:hAnsi="Calibri" w:cs="Calibri"/>
              </w:rPr>
            </w:pPr>
          </w:p>
        </w:tc>
      </w:tr>
      <w:tr w:rsidR="009258A9" w:rsidRPr="00961290" w14:paraId="78FE98B0" w14:textId="77777777" w:rsidTr="009D2E20">
        <w:trPr>
          <w:trHeight w:val="360"/>
          <w:tblHeader/>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53A03D" w14:textId="77777777" w:rsidR="009258A9" w:rsidRPr="00B350BD" w:rsidRDefault="009258A9" w:rsidP="009D2E20">
            <w:pPr>
              <w:keepNext/>
              <w:spacing w:before="40" w:after="40"/>
              <w:ind w:right="-30"/>
              <w:rPr>
                <w:rFonts w:asciiTheme="minorHAnsi" w:hAnsiTheme="minorHAnsi" w:cstheme="minorHAnsi"/>
                <w:b/>
              </w:rPr>
            </w:pPr>
            <w:r w:rsidRPr="00B350BD">
              <w:rPr>
                <w:rFonts w:asciiTheme="minorHAnsi" w:hAnsiTheme="minorHAnsi" w:cstheme="minorHAnsi"/>
                <w:b/>
              </w:rPr>
              <w:t>Potential harm</w:t>
            </w:r>
          </w:p>
        </w:tc>
        <w:tc>
          <w:tcPr>
            <w:tcW w:w="7508" w:type="dxa"/>
            <w:gridSpan w:val="2"/>
            <w:tcBorders>
              <w:top w:val="single" w:sz="4" w:space="0" w:color="auto"/>
              <w:left w:val="single" w:sz="4" w:space="0" w:color="auto"/>
              <w:bottom w:val="single" w:sz="4" w:space="0" w:color="auto"/>
              <w:right w:val="single" w:sz="4" w:space="0" w:color="auto"/>
            </w:tcBorders>
            <w:vAlign w:val="center"/>
            <w:hideMark/>
          </w:tcPr>
          <w:p w14:paraId="0E37427E" w14:textId="40528F9C" w:rsidR="009258A9" w:rsidRPr="00961290" w:rsidRDefault="002C4210" w:rsidP="009D2E20">
            <w:pPr>
              <w:spacing w:before="60" w:after="60"/>
              <w:rPr>
                <w:rFonts w:asciiTheme="minorHAnsi" w:hAnsiTheme="minorHAnsi" w:cstheme="minorHAnsi"/>
              </w:rPr>
            </w:pPr>
            <w:r>
              <w:rPr>
                <w:rFonts w:cs="Calibri"/>
                <w:color w:val="000000" w:themeColor="text1"/>
              </w:rPr>
              <w:t>A</w:t>
            </w:r>
            <w:r w:rsidR="009258A9" w:rsidRPr="004875A4">
              <w:rPr>
                <w:rFonts w:cs="Calibri"/>
                <w:color w:val="000000" w:themeColor="text1"/>
              </w:rPr>
              <w:t>dverse immune reactions; disease in people or animals</w:t>
            </w:r>
          </w:p>
        </w:tc>
      </w:tr>
    </w:tbl>
    <w:p w14:paraId="2590CD24" w14:textId="77777777" w:rsidR="00FB7E35" w:rsidRPr="002B70E3" w:rsidRDefault="00FB7E35" w:rsidP="00AF2557">
      <w:pPr>
        <w:pStyle w:val="5RARMP"/>
        <w:rPr>
          <w:shd w:val="clear" w:color="auto" w:fill="FFFFFF"/>
        </w:rPr>
      </w:pPr>
      <w:r w:rsidRPr="002B70E3">
        <w:rPr>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77777777" w:rsidR="00FB7E35" w:rsidRPr="002B70E3" w:rsidRDefault="00FB7E35" w:rsidP="00AF2557">
      <w:pPr>
        <w:pStyle w:val="5RARMP"/>
        <w:rPr>
          <w:shd w:val="clear" w:color="auto" w:fill="FFFFFF"/>
        </w:rPr>
      </w:pPr>
      <w:r w:rsidRPr="002B70E3">
        <w:rPr>
          <w:shd w:val="clear" w:color="auto" w:fill="FFFFFF"/>
        </w:rPr>
        <w:t>Causal Pathway</w:t>
      </w:r>
    </w:p>
    <w:p w14:paraId="5287D212" w14:textId="7068EB81" w:rsidR="00802234" w:rsidRPr="00363E09" w:rsidRDefault="00802234" w:rsidP="00802234">
      <w:pPr>
        <w:pStyle w:val="RARMPnumberedparagraphs"/>
      </w:pPr>
      <w:r w:rsidRPr="00363E09">
        <w:rPr>
          <w:shd w:val="clear" w:color="auto" w:fill="FFFFFF"/>
        </w:rPr>
        <w:t>Transmission of GMO can occur by the pathways mentioned in Risk Scenario</w:t>
      </w:r>
      <w:r w:rsidR="002C1F15">
        <w:rPr>
          <w:shd w:val="clear" w:color="auto" w:fill="FFFFFF"/>
        </w:rPr>
        <w:t>s</w:t>
      </w:r>
      <w:r w:rsidRPr="00363E09">
        <w:rPr>
          <w:shd w:val="clear" w:color="auto" w:fill="FFFFFF"/>
        </w:rPr>
        <w:t xml:space="preserve"> 1 </w:t>
      </w:r>
      <w:r w:rsidR="002C1F15">
        <w:rPr>
          <w:shd w:val="clear" w:color="auto" w:fill="FFFFFF"/>
        </w:rPr>
        <w:t xml:space="preserve">and 2 </w:t>
      </w:r>
      <w:r w:rsidRPr="00363E09">
        <w:rPr>
          <w:shd w:val="clear" w:color="auto" w:fill="FFFFFF"/>
        </w:rPr>
        <w:t xml:space="preserve">which could potentially result in transduction of host cells. If the person or animal exposed to the GMO has an existing infection of </w:t>
      </w:r>
      <w:proofErr w:type="spellStart"/>
      <w:r w:rsidRPr="00363E09">
        <w:rPr>
          <w:shd w:val="clear" w:color="auto" w:fill="FFFFFF"/>
        </w:rPr>
        <w:t>AdVs</w:t>
      </w:r>
      <w:proofErr w:type="spellEnd"/>
      <w:r w:rsidRPr="00363E09">
        <w:rPr>
          <w:shd w:val="clear" w:color="auto" w:fill="FFFFFF"/>
        </w:rPr>
        <w:t xml:space="preserve"> at the time or acquired an </w:t>
      </w:r>
      <w:proofErr w:type="spellStart"/>
      <w:r w:rsidRPr="00363E09">
        <w:rPr>
          <w:shd w:val="clear" w:color="auto" w:fill="FFFFFF"/>
        </w:rPr>
        <w:t>AdV</w:t>
      </w:r>
      <w:proofErr w:type="spellEnd"/>
      <w:r w:rsidRPr="00363E09">
        <w:rPr>
          <w:shd w:val="clear" w:color="auto" w:fill="FFFFFF"/>
        </w:rPr>
        <w:t xml:space="preserve"> infection while the GMO is present, this co-infection could potentially result in complementation </w:t>
      </w:r>
      <w:r w:rsidR="00C2727C">
        <w:rPr>
          <w:shd w:val="clear" w:color="auto" w:fill="FFFFFF"/>
        </w:rPr>
        <w:t xml:space="preserve">or </w:t>
      </w:r>
      <w:r w:rsidRPr="00363E09">
        <w:rPr>
          <w:shd w:val="clear" w:color="auto" w:fill="FFFFFF"/>
        </w:rPr>
        <w:t xml:space="preserve">recombination of the GMO with wild-type </w:t>
      </w:r>
      <w:proofErr w:type="spellStart"/>
      <w:r w:rsidRPr="00363E09">
        <w:rPr>
          <w:shd w:val="clear" w:color="auto" w:fill="FFFFFF"/>
        </w:rPr>
        <w:t>AdVs</w:t>
      </w:r>
      <w:proofErr w:type="spellEnd"/>
      <w:r w:rsidRPr="00363E09">
        <w:rPr>
          <w:shd w:val="clear" w:color="auto" w:fill="FFFFFF"/>
        </w:rPr>
        <w:t xml:space="preserve"> and cause adverse immune reactions and/or disease in people or animals</w:t>
      </w:r>
      <w:r w:rsidR="00BC3064" w:rsidRPr="00363E09">
        <w:rPr>
          <w:shd w:val="clear" w:color="auto" w:fill="FFFFFF"/>
        </w:rPr>
        <w:t xml:space="preserve"> </w:t>
      </w:r>
      <w:bookmarkStart w:id="351" w:name="_Hlk217405862"/>
    </w:p>
    <w:p w14:paraId="25115900" w14:textId="6778EA56" w:rsidR="00363E09" w:rsidRPr="00363E09" w:rsidRDefault="00363E09" w:rsidP="00363E09">
      <w:pPr>
        <w:pStyle w:val="RARMPnumberedparagraphs"/>
        <w:numPr>
          <w:ilvl w:val="0"/>
          <w:numId w:val="0"/>
        </w:numPr>
      </w:pPr>
      <w:r w:rsidRPr="00363E09">
        <w:rPr>
          <w:i/>
        </w:rPr>
        <w:t xml:space="preserve">Complementation of gene sequences responsible for viral replication and immune-evasion properties by </w:t>
      </w:r>
      <w:proofErr w:type="spellStart"/>
      <w:r w:rsidRPr="00363E09">
        <w:rPr>
          <w:i/>
        </w:rPr>
        <w:t>AdV</w:t>
      </w:r>
      <w:proofErr w:type="spellEnd"/>
    </w:p>
    <w:p w14:paraId="163FCF22" w14:textId="676D4FC4" w:rsidR="008418BC" w:rsidRDefault="00363E09" w:rsidP="008418BC">
      <w:pPr>
        <w:pStyle w:val="RARMPnumberedparagraphs"/>
      </w:pPr>
      <w:proofErr w:type="spellStart"/>
      <w:r w:rsidRPr="00363E09">
        <w:lastRenderedPageBreak/>
        <w:t>HAdV</w:t>
      </w:r>
      <w:proofErr w:type="spellEnd"/>
      <w:r w:rsidRPr="00363E09">
        <w:t xml:space="preserve"> infects a very large portion of the human population, and </w:t>
      </w:r>
      <w:proofErr w:type="spellStart"/>
      <w:r w:rsidRPr="00363E09">
        <w:t>HAdV</w:t>
      </w:r>
      <w:proofErr w:type="spellEnd"/>
      <w:r w:rsidRPr="00363E09">
        <w:t xml:space="preserve">-C is the most widely reported serotype and has the highest seroprevalence globally (Chapter 1, Section </w:t>
      </w:r>
      <w:r w:rsidRPr="00363E09">
        <w:fldChar w:fldCharType="begin"/>
      </w:r>
      <w:r w:rsidRPr="00363E09">
        <w:instrText xml:space="preserve"> REF _Ref193119829 \n \h </w:instrText>
      </w:r>
      <w:r w:rsidRPr="00363E09">
        <w:fldChar w:fldCharType="separate"/>
      </w:r>
      <w:r w:rsidRPr="00363E09">
        <w:t>3.5.3</w:t>
      </w:r>
      <w:r w:rsidRPr="00363E09">
        <w:fldChar w:fldCharType="end"/>
      </w:r>
      <w:r w:rsidRPr="00363E09">
        <w:t xml:space="preserve">). The </w:t>
      </w:r>
      <w:proofErr w:type="spellStart"/>
      <w:r w:rsidRPr="00363E09">
        <w:t>HAdV</w:t>
      </w:r>
      <w:proofErr w:type="spellEnd"/>
      <w:r w:rsidRPr="00363E09">
        <w:t xml:space="preserve"> genome sequences are largely conserved from isolate to isolate of the same type</w:t>
      </w:r>
      <w:r w:rsidR="00C2727C">
        <w:t>,</w:t>
      </w:r>
      <w:r w:rsidR="000025FC">
        <w:t xml:space="preserve"> </w:t>
      </w:r>
      <w:r w:rsidRPr="00363E09">
        <w:t xml:space="preserve">and the genome of </w:t>
      </w:r>
      <w:proofErr w:type="spellStart"/>
      <w:r w:rsidRPr="00363E09">
        <w:t>HAdV</w:t>
      </w:r>
      <w:proofErr w:type="spellEnd"/>
      <w:r w:rsidRPr="00363E09">
        <w:t>-C is highly conserved with over 95% nucleotide identity</w:t>
      </w:r>
      <w:r w:rsidR="00C2727C">
        <w:t xml:space="preserve"> among the serotype</w:t>
      </w:r>
      <w:r w:rsidRPr="00363E09">
        <w:t xml:space="preserve"> </w:t>
      </w:r>
      <w:r w:rsidRPr="00363E09">
        <w:fldChar w:fldCharType="begin"/>
      </w:r>
      <w:r w:rsidRPr="00363E09">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363E09">
        <w:fldChar w:fldCharType="separate"/>
      </w:r>
      <w:r w:rsidRPr="00363E09">
        <w:t>(</w:t>
      </w:r>
      <w:hyperlink w:anchor="_ENREF_41" w:tooltip="Ismail, 2018 #11593" w:history="1">
        <w:r w:rsidR="0027195B" w:rsidRPr="00A26162">
          <w:t>Ismail et al., 2018a</w:t>
        </w:r>
      </w:hyperlink>
      <w:r w:rsidRPr="00363E09">
        <w:t>)</w:t>
      </w:r>
      <w:r w:rsidRPr="00363E09">
        <w:fldChar w:fldCharType="end"/>
      </w:r>
      <w:r w:rsidRPr="00363E09">
        <w:t xml:space="preserve">. Therefore, it is plausible that the gene sequences for viral replication and immune-evasion properties could be provided </w:t>
      </w:r>
      <w:r w:rsidRPr="00363E09">
        <w:rPr>
          <w:i/>
          <w:iCs/>
        </w:rPr>
        <w:t>in trans</w:t>
      </w:r>
      <w:r w:rsidRPr="00363E09">
        <w:t xml:space="preserve"> from a pre</w:t>
      </w:r>
      <w:r w:rsidRPr="00363E09">
        <w:noBreakHyphen/>
        <w:t xml:space="preserve">existing or acquired </w:t>
      </w:r>
      <w:proofErr w:type="spellStart"/>
      <w:r w:rsidRPr="00363E09">
        <w:t>HAdV</w:t>
      </w:r>
      <w:proofErr w:type="spellEnd"/>
      <w:r w:rsidRPr="00363E09">
        <w:t xml:space="preserve"> infection in persons accidentally exposed to the GMO if a co-infection in the same cell occurs. This could result in complementation by the </w:t>
      </w:r>
      <w:proofErr w:type="spellStart"/>
      <w:r w:rsidRPr="00363E09">
        <w:t>HAdV</w:t>
      </w:r>
      <w:proofErr w:type="spellEnd"/>
      <w:r w:rsidRPr="00363E09">
        <w:t xml:space="preserve"> leading to replication of the GMOs with immune evasion properties in the host. As discussed in Chapter 1, Section </w:t>
      </w:r>
      <w:r w:rsidRPr="00363E09">
        <w:fldChar w:fldCharType="begin"/>
      </w:r>
      <w:r w:rsidRPr="00363E09">
        <w:instrText xml:space="preserve"> REF _Ref193119829 \n \h </w:instrText>
      </w:r>
      <w:r w:rsidRPr="00363E09">
        <w:fldChar w:fldCharType="separate"/>
      </w:r>
      <w:r w:rsidRPr="00363E09">
        <w:t>3.5.3</w:t>
      </w:r>
      <w:r w:rsidRPr="00363E09">
        <w:fldChar w:fldCharType="end"/>
      </w:r>
      <w:r w:rsidRPr="00363E09">
        <w:t xml:space="preserve">, the reported prevalence of </w:t>
      </w:r>
      <w:proofErr w:type="spellStart"/>
      <w:r w:rsidRPr="00363E09">
        <w:t>HAdV</w:t>
      </w:r>
      <w:proofErr w:type="spellEnd"/>
      <w:r w:rsidRPr="00363E09">
        <w:t xml:space="preserve"> infection in Australia is very low, although this may be an underestimation of actual prevalence, as </w:t>
      </w:r>
      <w:proofErr w:type="spellStart"/>
      <w:r w:rsidRPr="00363E09">
        <w:t>HAdV</w:t>
      </w:r>
      <w:proofErr w:type="spellEnd"/>
      <w:r w:rsidRPr="00363E09">
        <w:t xml:space="preserve"> infection is not a reportable illness. However, </w:t>
      </w:r>
      <w:proofErr w:type="spellStart"/>
      <w:r w:rsidRPr="00363E09">
        <w:t>HAdV</w:t>
      </w:r>
      <w:proofErr w:type="spellEnd"/>
      <w:r w:rsidRPr="00363E09">
        <w:t xml:space="preserve"> infections are also self-limiting, decreasing the probability of continuous complementation of GMO by </w:t>
      </w:r>
      <w:proofErr w:type="spellStart"/>
      <w:r w:rsidRPr="00363E09">
        <w:t>HAdV</w:t>
      </w:r>
      <w:proofErr w:type="spellEnd"/>
      <w:r w:rsidRPr="00363E09">
        <w:t xml:space="preserve"> </w:t>
      </w:r>
      <w:r w:rsidRPr="00363E09">
        <w:fldChar w:fldCharType="begin">
          <w:fldData xml:space="preserve">PEVuZE5vdGU+PENpdGU+PEF1dGhvcj5MZWlrYXM8L0F1dGhvcj48WWVhcj4yMDIzPC9ZZWFyPjxS
ZWNOdW0+NDM8L1JlY051bT48RGlzcGxheVRleHQ+KExlaWthcyBldCBhbC4sIDIwMjNiOyBMaWNo
dGVuc3RlaW4gYW5kIFdvbGQsIDIwMDQpPC9EaXNwbGF5VGV4dD48cmVjb3JkPjxyZWMtbnVtYmVy
PjQzPC9yZWMtbnVtYmVyPjxmb3JlaWduLWtleXM+PGtleSBhcHA9IkVOIiBkYi1pZD0iZHBhc2Uy
ZTJvejVyd2NlOWF6c3BwOTVuZjl4dnN3eHAycnZkIiB0aW1lc3RhbXA9IjE3NjUyNDM3NDgiPjQz
PC9rZXk+PC9mb3JlaWduLWtleXM+PHJlZi10eXBlIG5hbWU9IkpvdXJuYWwgQXJ0aWNsZSI+MTc8
L3JlZi10eXBlPjxjb250cmlidXRvcnM+PGF1dGhvcnM+PGF1dGhvcj5MZWlrYXMsIEFsZWtzaSBK
LjwvYXV0aG9yPjxhdXRob3I+WWzDpC1IZXJ0dHVhbGEsIFNlcHBvPC9hdXRob3I+PGF1dGhvcj5I
YXJ0aWthaW5lbiwgSnVoYSBFLiBLLjwvYXV0aG9yPjwvYXV0aG9ycz48L2NvbnRyaWJ1dG9ycz48
dGl0bGVzPjx0aXRsZT5BZGVub3ZpcmFsIEdlbmUgVGhlcmFweSBWZWN0b3JzIGluIENsaW5pY2Fs
IFVzZeKAlEJhc2ljIEFzcGVjdHMgd2l0aCBhIFNwZWNpYWwgUmVmZXJlbmNlIHRvIFJlcGxpY2F0
aW9uLUNvbXBldGVudCBBZGVub3ZpcnVzIEZvcm1hdGlvbiBhbmQgSXRzIEltcGFjdCBvbiBDbGlu
aWNhbCBTYWZldHk8L3RpdGxlPjxzZWNvbmRhcnktdGl0bGU+SW50ZXJuYXRpb25hbCBKb3VybmFs
IG9mIE1vbGVjdWxhciBTY2llbmNlczwvc2Vjb25kYXJ5LXRpdGxlPjwvdGl0bGVzPjxwYWdlcz4x
NjUxOTwvcGFnZXM+PHZvbHVtZT4yNDwvdm9sdW1lPjxudW1iZXI+MjI8L251bWJlcj48ZGF0ZXM+
PHllYXI+MjAyMzwveWVhcj48L2RhdGVzPjxpc2JuPjE0MjItMDA2NzwvaXNibj48YWNjZXNzaW9u
LW51bT5kb2k6MTAuMzM5MC9pam1zMjQyMjE2NTE5PC9hY2Nlc3Npb24tbnVtPjx1cmxzPjxyZWxh
dGVkLXVybHM+PHVybD5odHRwczovL3d3dy5tZHBpLmNvbS8xNDIyLTAwNjcvMjQvMjIvMTY1MTk8
L3VybD48L3JlbGF0ZWQtdXJscz48L3VybHM+PC9yZWNvcmQ+PC9DaXRlPjxDaXRlPjxBdXRob3I+
TGljaHRlbnN0ZWluPC9BdXRob3I+PFllYXI+MjAwNDwvWWVhcj48UmVjTnVtPjEyMTg5PC9SZWNO
dW0+PHJlY29yZD48cmVjLW51bWJlcj4xMjE4OTwvcmVjLW51bWJlcj48Zm9yZWlnbi1rZXlzPjxr
ZXkgYXBwPSJFTiIgZGItaWQ9InZmMjJheDByb2U5c3NjZTU1cjB2cmV6aXJ3ZHR2NTJlZHJ4cyIg
dGltZXN0YW1wPSIxNjY0ODQxNzU0Ij4xMjE4OTwva2V5PjwvZm9yZWlnbi1rZXlzPjxyZWYtdHlw
ZSBuYW1lPSJKb3VybmFsIEFydGljbGUiPjE3PC9yZWYtdHlwZT48Y29udHJpYnV0b3JzPjxhdXRo
b3JzPjxhdXRob3I+TGljaHRlbnN0ZWluLCBELiBMLjwvYXV0aG9yPjxhdXRob3I+V29sZCwgVy4g
Uy48L2F1dGhvcj48L2F1dGhvcnM+PC9jb250cmlidXRvcnM+PGF1dGgtYWRkcmVzcz5WaXJSeCBJ
bmMuIFN0IExvdWlzLCBNTyA2MzAxNywgVVNBLjwvYXV0aC1hZGRyZXNzPjx0aXRsZXM+PHRpdGxl
PkV4cGVyaW1lbnRhbCBpbmZlY3Rpb25zIG9mIGh1bWFucyB3aXRoIHdpbGQtdHlwZSBhZGVub3Zp
cnVzZXMgYW5kIHdpdGggcmVwbGljYXRpb24tY29tcGV0ZW50IGFkZW5vdmlydXMgdmVjdG9yczog
cmVwbGljYXRpb24sIHNhZmV0eSwgYW5kIHRyYW5zbWlzc2lvbjwvdGl0bGU+PHNlY29uZGFyeS10
aXRsZT5DYW5jZXIgR2VuZSBUaGVyPC9zZWNvbmRhcnktdGl0bGU+PC90aXRsZXM+PHBlcmlvZGlj
YWw+PGZ1bGwtdGl0bGU+Q2FuY2VyIEdlbmUgVGhlcjwvZnVsbC10aXRsZT48L3BlcmlvZGljYWw+
PHBhZ2VzPjgxOS0yOTwvcGFnZXM+PHZvbHVtZT4xMTwvdm9sdW1lPjxudW1iZXI+MTI8L251bWJl
cj48ZWRpdGlvbj4yMDA0LzA5LzExPC9lZGl0aW9uPjxrZXl3b3Jkcz48a2V5d29yZD5BZGVub3Zp
cnVzIEluZmVjdGlvbnMsIEh1bWFuL3BoeXNpb3BhdGhvbG9neS90cmFuc21pc3Npb248L2tleXdv
cmQ+PGtleXdvcmQ+QWRlbm92aXJ1c2VzLCBIdW1hbi8qcGF0aG9nZW5pY2l0eTwva2V5d29yZD48
a2V5d29yZD5BbnRpbmVvcGxhc3RpYyBBZ2VudHMvdGhlcmFwZXV0aWMgdXNlPC9rZXl3b3JkPjxr
ZXl3b3JkPkdlbmV0aWMgVGhlcmFweS8qbWV0aG9kczwva2V5d29yZD48a2V5d29yZD5HZW5ldGlj
IFZlY3RvcnMvKnRoZXJhcGV1dGljIHVzZTwva2V5d29yZD48a2V5d29yZD5IdW1hbnM8L2tleXdv
cmQ+PGtleXdvcmQ+VmlyYWwgVmFjY2luZXMvKnRoZXJhcGV1dGljIHVzZTwva2V5d29yZD48a2V5
d29yZD5WaXJ1cyBMYXRlbmN5PC9rZXl3b3JkPjxrZXl3b3JkPlZpcnVzIFJlcGxpY2F0aW9uPC9r
ZXl3b3JkPjwva2V5d29yZHM+PGRhdGVzPjx5ZWFyPjIwMDQ8L3llYXI+PHB1Yi1kYXRlcz48ZGF0
ZT5EZWM8L2RhdGU+PC9wdWItZGF0ZXM+PC9kYXRlcz48aXNibj4wOTI5LTE5MDMgKFByaW50KSYj
eEQ7MDkyOS0xOTAzIChMaW5raW5nKTwvaXNibj48YWNjZXNzaW9uLW51bT4xNTM1OTI5MTwvYWNj
ZXNzaW9uLW51bT48dXJscz48cmVsYXRlZC11cmxzPjx1cmw+aHR0cHM6Ly93d3cubmNiaS5ubG0u
bmloLmdvdi9wdWJtZWQvMTUzNTkyOTE8L3VybD48L3JlbGF0ZWQtdXJscz48L3VybHM+PGVsZWN0
cm9uaWMtcmVzb3VyY2UtbnVtPjEwLjEwMzgvc2ouY2d0Ljc3MDA3NjU8L2VsZWN0cm9uaWMtcmVz
b3VyY2UtbnVtPjwvcmVjb3JkPjwvQ2l0ZT48L0VuZE5vdGU+AG==
</w:fldData>
        </w:fldChar>
      </w:r>
      <w:r w:rsidRPr="00363E09">
        <w:instrText xml:space="preserve"> ADDIN EN.CITE </w:instrText>
      </w:r>
      <w:r w:rsidRPr="00363E09">
        <w:fldChar w:fldCharType="begin">
          <w:fldData xml:space="preserve">PEVuZE5vdGU+PENpdGU+PEF1dGhvcj5MZWlrYXM8L0F1dGhvcj48WWVhcj4yMDIzPC9ZZWFyPjxS
ZWNOdW0+NDM8L1JlY051bT48RGlzcGxheVRleHQ+KExlaWthcyBldCBhbC4sIDIwMjNiOyBMaWNo
dGVuc3RlaW4gYW5kIFdvbGQsIDIwMDQpPC9EaXNwbGF5VGV4dD48cmVjb3JkPjxyZWMtbnVtYmVy
PjQzPC9yZWMtbnVtYmVyPjxmb3JlaWduLWtleXM+PGtleSBhcHA9IkVOIiBkYi1pZD0iZHBhc2Uy
ZTJvejVyd2NlOWF6c3BwOTVuZjl4dnN3eHAycnZkIiB0aW1lc3RhbXA9IjE3NjUyNDM3NDgiPjQz
PC9rZXk+PC9mb3JlaWduLWtleXM+PHJlZi10eXBlIG5hbWU9IkpvdXJuYWwgQXJ0aWNsZSI+MTc8
L3JlZi10eXBlPjxjb250cmlidXRvcnM+PGF1dGhvcnM+PGF1dGhvcj5MZWlrYXMsIEFsZWtzaSBK
LjwvYXV0aG9yPjxhdXRob3I+WWzDpC1IZXJ0dHVhbGEsIFNlcHBvPC9hdXRob3I+PGF1dGhvcj5I
YXJ0aWthaW5lbiwgSnVoYSBFLiBLLjwvYXV0aG9yPjwvYXV0aG9ycz48L2NvbnRyaWJ1dG9ycz48
dGl0bGVzPjx0aXRsZT5BZGVub3ZpcmFsIEdlbmUgVGhlcmFweSBWZWN0b3JzIGluIENsaW5pY2Fs
IFVzZeKAlEJhc2ljIEFzcGVjdHMgd2l0aCBhIFNwZWNpYWwgUmVmZXJlbmNlIHRvIFJlcGxpY2F0
aW9uLUNvbXBldGVudCBBZGVub3ZpcnVzIEZvcm1hdGlvbiBhbmQgSXRzIEltcGFjdCBvbiBDbGlu
aWNhbCBTYWZldHk8L3RpdGxlPjxzZWNvbmRhcnktdGl0bGU+SW50ZXJuYXRpb25hbCBKb3VybmFs
IG9mIE1vbGVjdWxhciBTY2llbmNlczwvc2Vjb25kYXJ5LXRpdGxlPjwvdGl0bGVzPjxwYWdlcz4x
NjUxOTwvcGFnZXM+PHZvbHVtZT4yNDwvdm9sdW1lPjxudW1iZXI+MjI8L251bWJlcj48ZGF0ZXM+
PHllYXI+MjAyMzwveWVhcj48L2RhdGVzPjxpc2JuPjE0MjItMDA2NzwvaXNibj48YWNjZXNzaW9u
LW51bT5kb2k6MTAuMzM5MC9pam1zMjQyMjE2NTE5PC9hY2Nlc3Npb24tbnVtPjx1cmxzPjxyZWxh
dGVkLXVybHM+PHVybD5odHRwczovL3d3dy5tZHBpLmNvbS8xNDIyLTAwNjcvMjQvMjIvMTY1MTk8
L3VybD48L3JlbGF0ZWQtdXJscz48L3VybHM+PC9yZWNvcmQ+PC9DaXRlPjxDaXRlPjxBdXRob3I+
TGljaHRlbnN0ZWluPC9BdXRob3I+PFllYXI+MjAwNDwvWWVhcj48UmVjTnVtPjEyMTg5PC9SZWNO
dW0+PHJlY29yZD48cmVjLW51bWJlcj4xMjE4OTwvcmVjLW51bWJlcj48Zm9yZWlnbi1rZXlzPjxr
ZXkgYXBwPSJFTiIgZGItaWQ9InZmMjJheDByb2U5c3NjZTU1cjB2cmV6aXJ3ZHR2NTJlZHJ4cyIg
dGltZXN0YW1wPSIxNjY0ODQxNzU0Ij4xMjE4OTwva2V5PjwvZm9yZWlnbi1rZXlzPjxyZWYtdHlw
ZSBuYW1lPSJKb3VybmFsIEFydGljbGUiPjE3PC9yZWYtdHlwZT48Y29udHJpYnV0b3JzPjxhdXRo
b3JzPjxhdXRob3I+TGljaHRlbnN0ZWluLCBELiBMLjwvYXV0aG9yPjxhdXRob3I+V29sZCwgVy4g
Uy48L2F1dGhvcj48L2F1dGhvcnM+PC9jb250cmlidXRvcnM+PGF1dGgtYWRkcmVzcz5WaXJSeCBJ
bmMuIFN0IExvdWlzLCBNTyA2MzAxNywgVVNBLjwvYXV0aC1hZGRyZXNzPjx0aXRsZXM+PHRpdGxl
PkV4cGVyaW1lbnRhbCBpbmZlY3Rpb25zIG9mIGh1bWFucyB3aXRoIHdpbGQtdHlwZSBhZGVub3Zp
cnVzZXMgYW5kIHdpdGggcmVwbGljYXRpb24tY29tcGV0ZW50IGFkZW5vdmlydXMgdmVjdG9yczog
cmVwbGljYXRpb24sIHNhZmV0eSwgYW5kIHRyYW5zbWlzc2lvbjwvdGl0bGU+PHNlY29uZGFyeS10
aXRsZT5DYW5jZXIgR2VuZSBUaGVyPC9zZWNvbmRhcnktdGl0bGU+PC90aXRsZXM+PHBlcmlvZGlj
YWw+PGZ1bGwtdGl0bGU+Q2FuY2VyIEdlbmUgVGhlcjwvZnVsbC10aXRsZT48L3BlcmlvZGljYWw+
PHBhZ2VzPjgxOS0yOTwvcGFnZXM+PHZvbHVtZT4xMTwvdm9sdW1lPjxudW1iZXI+MTI8L251bWJl
cj48ZWRpdGlvbj4yMDA0LzA5LzExPC9lZGl0aW9uPjxrZXl3b3Jkcz48a2V5d29yZD5BZGVub3Zp
cnVzIEluZmVjdGlvbnMsIEh1bWFuL3BoeXNpb3BhdGhvbG9neS90cmFuc21pc3Npb248L2tleXdv
cmQ+PGtleXdvcmQ+QWRlbm92aXJ1c2VzLCBIdW1hbi8qcGF0aG9nZW5pY2l0eTwva2V5d29yZD48
a2V5d29yZD5BbnRpbmVvcGxhc3RpYyBBZ2VudHMvdGhlcmFwZXV0aWMgdXNlPC9rZXl3b3JkPjxr
ZXl3b3JkPkdlbmV0aWMgVGhlcmFweS8qbWV0aG9kczwva2V5d29yZD48a2V5d29yZD5HZW5ldGlj
IFZlY3RvcnMvKnRoZXJhcGV1dGljIHVzZTwva2V5d29yZD48a2V5d29yZD5IdW1hbnM8L2tleXdv
cmQ+PGtleXdvcmQ+VmlyYWwgVmFjY2luZXMvKnRoZXJhcGV1dGljIHVzZTwva2V5d29yZD48a2V5
d29yZD5WaXJ1cyBMYXRlbmN5PC9rZXl3b3JkPjxrZXl3b3JkPlZpcnVzIFJlcGxpY2F0aW9uPC9r
ZXl3b3JkPjwva2V5d29yZHM+PGRhdGVzPjx5ZWFyPjIwMDQ8L3llYXI+PHB1Yi1kYXRlcz48ZGF0
ZT5EZWM8L2RhdGU+PC9wdWItZGF0ZXM+PC9kYXRlcz48aXNibj4wOTI5LTE5MDMgKFByaW50KSYj
eEQ7MDkyOS0xOTAzIChMaW5raW5nKTwvaXNibj48YWNjZXNzaW9uLW51bT4xNTM1OTI5MTwvYWNj
ZXNzaW9uLW51bT48dXJscz48cmVsYXRlZC11cmxzPjx1cmw+aHR0cHM6Ly93d3cubmNiaS5ubG0u
bmloLmdvdi9wdWJtZWQvMTUzNTkyOTE8L3VybD48L3JlbGF0ZWQtdXJscz48L3VybHM+PGVsZWN0
cm9uaWMtcmVzb3VyY2UtbnVtPjEwLjEwMzgvc2ouY2d0Ljc3MDA3NjU8L2VsZWN0cm9uaWMtcmVz
b3VyY2UtbnVtPjwvcmVjb3JkPjwvQ2l0ZT48L0VuZE5vdGU+AG==
</w:fldData>
        </w:fldChar>
      </w:r>
      <w:r w:rsidRPr="00363E09">
        <w:instrText xml:space="preserve"> ADDIN EN.CITE.DATA </w:instrText>
      </w:r>
      <w:r w:rsidRPr="00363E09">
        <w:fldChar w:fldCharType="end"/>
      </w:r>
      <w:r w:rsidRPr="00363E09">
        <w:fldChar w:fldCharType="separate"/>
      </w:r>
      <w:r w:rsidRPr="00363E09">
        <w:t>(</w:t>
      </w:r>
      <w:hyperlink w:anchor="_ENREF_51" w:tooltip="Leikas, 2023 #43" w:history="1">
        <w:r w:rsidR="0027195B" w:rsidRPr="00A26162">
          <w:t>Leikas et al., 2023b</w:t>
        </w:r>
      </w:hyperlink>
      <w:r w:rsidRPr="00363E09">
        <w:t xml:space="preserve">; </w:t>
      </w:r>
      <w:hyperlink w:anchor="_ENREF_53" w:tooltip="Lichtenstein, 2004 #12189" w:history="1">
        <w:r w:rsidR="0027195B" w:rsidRPr="00A26162">
          <w:t>Lichtenstein and Wold, 2004</w:t>
        </w:r>
      </w:hyperlink>
      <w:r w:rsidRPr="00363E09">
        <w:t>)</w:t>
      </w:r>
      <w:r w:rsidRPr="00363E09">
        <w:fldChar w:fldCharType="end"/>
      </w:r>
      <w:r w:rsidRPr="00363E09">
        <w:t xml:space="preserve">. Thus, the likelihood that a person </w:t>
      </w:r>
      <w:r w:rsidR="00CF17BC">
        <w:t>has a</w:t>
      </w:r>
      <w:r w:rsidR="00CF17BC" w:rsidRPr="00363E09">
        <w:t xml:space="preserve"> </w:t>
      </w:r>
      <w:proofErr w:type="spellStart"/>
      <w:r w:rsidRPr="00363E09">
        <w:t>HAdV</w:t>
      </w:r>
      <w:proofErr w:type="spellEnd"/>
      <w:r w:rsidRPr="00363E09">
        <w:t xml:space="preserve">-C infection that could continuously complement the missing gene sequences for viral replication and defective gene sequences for immune-evasion properties in the GMO is </w:t>
      </w:r>
      <w:r w:rsidR="002C1F15">
        <w:t xml:space="preserve">very </w:t>
      </w:r>
      <w:r w:rsidRPr="00363E09">
        <w:t>low</w:t>
      </w:r>
      <w:r w:rsidR="008418BC" w:rsidRPr="002E3EA8">
        <w:t>.</w:t>
      </w:r>
      <w:bookmarkEnd w:id="351"/>
    </w:p>
    <w:p w14:paraId="3201ECCE" w14:textId="1404F7B9" w:rsidR="00363E09" w:rsidRDefault="00363E09" w:rsidP="008418BC">
      <w:pPr>
        <w:pStyle w:val="RARMPnumberedparagraphs"/>
      </w:pPr>
      <w:r w:rsidRPr="00363E09">
        <w:t xml:space="preserve">As mentioned in Chapter 1, Section </w:t>
      </w:r>
      <w:r w:rsidRPr="00363E09">
        <w:fldChar w:fldCharType="begin"/>
      </w:r>
      <w:r w:rsidRPr="00363E09">
        <w:instrText xml:space="preserve"> REF _Ref198565357 \n \h </w:instrText>
      </w:r>
      <w:r w:rsidRPr="00363E09">
        <w:fldChar w:fldCharType="separate"/>
      </w:r>
      <w:r w:rsidRPr="00363E09">
        <w:t>3.5.1</w:t>
      </w:r>
      <w:r w:rsidRPr="00363E09">
        <w:fldChar w:fldCharType="end"/>
      </w:r>
      <w:r w:rsidRPr="00363E09">
        <w:t xml:space="preserve">, spontaneous infection of animals with </w:t>
      </w:r>
      <w:proofErr w:type="spellStart"/>
      <w:r w:rsidRPr="00363E09">
        <w:t>HAdV</w:t>
      </w:r>
      <w:proofErr w:type="spellEnd"/>
      <w:r w:rsidRPr="00363E09">
        <w:t>-C in the wild is considered unlikely and no natural infections of non-human hosts have been reported so far. Therefore, it is considered</w:t>
      </w:r>
      <w:r w:rsidR="002C1F15">
        <w:t xml:space="preserve"> highly</w:t>
      </w:r>
      <w:r w:rsidRPr="00363E09">
        <w:t xml:space="preserve"> unlikely that the GMO could replicate in animals </w:t>
      </w:r>
      <w:proofErr w:type="gramStart"/>
      <w:r w:rsidRPr="00363E09">
        <w:t>as a result of</w:t>
      </w:r>
      <w:proofErr w:type="gramEnd"/>
      <w:r w:rsidRPr="00363E09">
        <w:t xml:space="preserve"> complementation</w:t>
      </w:r>
      <w:r>
        <w:t>.</w:t>
      </w:r>
    </w:p>
    <w:p w14:paraId="43FD43B9" w14:textId="77777777" w:rsidR="00363E09" w:rsidRPr="00363E09" w:rsidRDefault="00363E09" w:rsidP="00363E09">
      <w:pPr>
        <w:pStyle w:val="RARMPnumberedparagraphs"/>
        <w:numPr>
          <w:ilvl w:val="0"/>
          <w:numId w:val="0"/>
        </w:numPr>
        <w:rPr>
          <w:i/>
          <w:iCs/>
        </w:rPr>
      </w:pPr>
      <w:r w:rsidRPr="00363E09">
        <w:rPr>
          <w:i/>
          <w:iCs/>
        </w:rPr>
        <w:t xml:space="preserve">Homologous recombination with </w:t>
      </w:r>
      <w:proofErr w:type="spellStart"/>
      <w:r w:rsidRPr="00363E09">
        <w:rPr>
          <w:i/>
          <w:iCs/>
        </w:rPr>
        <w:t>AdV</w:t>
      </w:r>
      <w:proofErr w:type="spellEnd"/>
    </w:p>
    <w:p w14:paraId="24C69BEA" w14:textId="5B1B67B1" w:rsidR="00363E09" w:rsidRDefault="00363E09" w:rsidP="008418BC">
      <w:pPr>
        <w:pStyle w:val="RARMPnumberedparagraphs"/>
      </w:pPr>
      <w:r w:rsidRPr="00363E09">
        <w:t xml:space="preserve">Recombination is common among circulating wild-type adenoviruses in nature. It is seen as a key driver for adenoviral evolution. </w:t>
      </w:r>
      <w:proofErr w:type="gramStart"/>
      <w:r w:rsidRPr="00363E09">
        <w:t>Similar to</w:t>
      </w:r>
      <w:proofErr w:type="gramEnd"/>
      <w:r w:rsidRPr="00363E09">
        <w:t xml:space="preserve"> complementation, homologous recombination requires the person or animals exposed to the GMO to be infected with a wild-type </w:t>
      </w:r>
      <w:proofErr w:type="spellStart"/>
      <w:r w:rsidRPr="00363E09">
        <w:t>AdV</w:t>
      </w:r>
      <w:proofErr w:type="spellEnd"/>
      <w:r w:rsidRPr="00363E09">
        <w:t xml:space="preserve"> at the same time. Adenoviruses are prevalent in respiratory, gastrointestinal or ocular tissue. Co-infection could also occur from contact with GMO contaminated surfaces or spills. Licence conditions will be in place to limit and control the exposure of the GMO to people or animals via inhalation or contact with mucus tissue via requirements to use PPE and th</w:t>
      </w:r>
      <w:r w:rsidR="00485E61">
        <w:t>r</w:t>
      </w:r>
      <w:r w:rsidRPr="00363E09">
        <w:t>ough transport and disposal procedures</w:t>
      </w:r>
      <w:r w:rsidR="000558A8">
        <w:t>, and for the participants to decontaminate their urine for 2 days after administration of the GMO</w:t>
      </w:r>
      <w:r>
        <w:t>.</w:t>
      </w:r>
    </w:p>
    <w:p w14:paraId="2E3EAEA5" w14:textId="442830B9" w:rsidR="003829E8" w:rsidRDefault="003829E8" w:rsidP="008418BC">
      <w:pPr>
        <w:pStyle w:val="RARMPnumberedparagraphs"/>
      </w:pPr>
      <w:r w:rsidRPr="003829E8">
        <w:t xml:space="preserve">As mentioned in Chapter 1, Section 3.4, homologous recombination is restricted to members of the same species. However, homologous recombination with closely related adenoviruses species has been observed where high sequence homology occurs (Hoppe et al., 2015; Dehghan et al., 2019). The DNA homology between </w:t>
      </w:r>
      <w:proofErr w:type="spellStart"/>
      <w:r w:rsidRPr="003829E8">
        <w:t>HAdV</w:t>
      </w:r>
      <w:proofErr w:type="spellEnd"/>
      <w:r w:rsidRPr="003829E8">
        <w:t xml:space="preserve"> species is less than 20% (Ghebremedhin, 2014) and is more than 95% in </w:t>
      </w:r>
      <w:proofErr w:type="spellStart"/>
      <w:r w:rsidRPr="003829E8">
        <w:t>HAdV</w:t>
      </w:r>
      <w:proofErr w:type="spellEnd"/>
      <w:r w:rsidRPr="003829E8">
        <w:t xml:space="preserve">-C species </w:t>
      </w:r>
      <w:r w:rsidRPr="003829E8">
        <w:fldChar w:fldCharType="begin"/>
      </w:r>
      <w:r w:rsidRPr="003829E8">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3829E8">
        <w:fldChar w:fldCharType="separate"/>
      </w:r>
      <w:r w:rsidRPr="003829E8">
        <w:t>(</w:t>
      </w:r>
      <w:hyperlink w:anchor="_ENREF_41" w:tooltip="Ismail, 2018 #11593" w:history="1">
        <w:r w:rsidR="0027195B" w:rsidRPr="00A26162">
          <w:t>Ismail et al., 2018a</w:t>
        </w:r>
      </w:hyperlink>
      <w:r w:rsidRPr="003829E8">
        <w:t>)</w:t>
      </w:r>
      <w:r w:rsidRPr="003829E8">
        <w:fldChar w:fldCharType="end"/>
      </w:r>
      <w:r w:rsidRPr="003829E8">
        <w:t>. There</w:t>
      </w:r>
      <w:r w:rsidR="00254B1E">
        <w:t>fore, there</w:t>
      </w:r>
      <w:r w:rsidRPr="003829E8">
        <w:t xml:space="preserve"> is a potential for homologous recombination between the GMO and </w:t>
      </w:r>
      <w:proofErr w:type="spellStart"/>
      <w:r w:rsidRPr="003829E8">
        <w:t>HAdV</w:t>
      </w:r>
      <w:proofErr w:type="spellEnd"/>
      <w:r w:rsidRPr="003829E8">
        <w:t>-C as they belong to the same species. If it was to occur, co-infection and recombination processes could potentially result in the generation of different GM recombinants, as described in Table 3</w:t>
      </w:r>
      <w:r>
        <w:t>.</w:t>
      </w:r>
    </w:p>
    <w:p w14:paraId="7B02B61E" w14:textId="77777777" w:rsidR="003957A3" w:rsidRPr="00787440" w:rsidRDefault="003957A3" w:rsidP="00787440">
      <w:pPr>
        <w:pStyle w:val="table"/>
      </w:pPr>
      <w:r w:rsidRPr="00787440">
        <w:t>Table 3. Theoretical recombinants of GMO and wild-type (WT) adenoviruses</w:t>
      </w:r>
    </w:p>
    <w:tbl>
      <w:tblPr>
        <w:tblStyle w:val="TableGrid"/>
        <w:tblW w:w="0" w:type="auto"/>
        <w:tblLook w:val="04A0" w:firstRow="1" w:lastRow="0" w:firstColumn="1" w:lastColumn="0" w:noHBand="0" w:noVBand="1"/>
      </w:tblPr>
      <w:tblGrid>
        <w:gridCol w:w="2372"/>
        <w:gridCol w:w="2480"/>
        <w:gridCol w:w="3050"/>
        <w:gridCol w:w="1161"/>
      </w:tblGrid>
      <w:tr w:rsidR="00703F18" w:rsidRPr="00703F18" w14:paraId="6F7E1214" w14:textId="77777777" w:rsidTr="009D2E20">
        <w:trPr>
          <w:trHeight w:val="517"/>
          <w:tblHeader/>
        </w:trPr>
        <w:tc>
          <w:tcPr>
            <w:tcW w:w="2372" w:type="dxa"/>
            <w:shd w:val="clear" w:color="auto" w:fill="BFBFBF" w:themeFill="background1" w:themeFillShade="BF"/>
          </w:tcPr>
          <w:p w14:paraId="32119DB4" w14:textId="77777777" w:rsidR="003957A3" w:rsidRPr="00703F18" w:rsidRDefault="003957A3" w:rsidP="009D2E20">
            <w:pPr>
              <w:rPr>
                <w:b/>
                <w:color w:val="000000" w:themeColor="text1"/>
              </w:rPr>
            </w:pPr>
            <w:r w:rsidRPr="00703F18">
              <w:rPr>
                <w:b/>
                <w:color w:val="000000" w:themeColor="text1"/>
              </w:rPr>
              <w:t>Recombinant region</w:t>
            </w:r>
          </w:p>
        </w:tc>
        <w:tc>
          <w:tcPr>
            <w:tcW w:w="2480" w:type="dxa"/>
            <w:shd w:val="clear" w:color="auto" w:fill="BFBFBF" w:themeFill="background1" w:themeFillShade="BF"/>
          </w:tcPr>
          <w:p w14:paraId="68DBBF28" w14:textId="77777777" w:rsidR="003957A3" w:rsidRPr="00703F18" w:rsidRDefault="003957A3" w:rsidP="009D2E20">
            <w:pPr>
              <w:rPr>
                <w:b/>
                <w:color w:val="000000" w:themeColor="text1"/>
              </w:rPr>
            </w:pPr>
            <w:r w:rsidRPr="00703F18">
              <w:rPr>
                <w:b/>
                <w:color w:val="000000" w:themeColor="text1"/>
              </w:rPr>
              <w:t>Resultant recombinant</w:t>
            </w:r>
          </w:p>
        </w:tc>
        <w:tc>
          <w:tcPr>
            <w:tcW w:w="3050" w:type="dxa"/>
            <w:shd w:val="clear" w:color="auto" w:fill="BFBFBF" w:themeFill="background1" w:themeFillShade="BF"/>
          </w:tcPr>
          <w:p w14:paraId="51414748" w14:textId="77777777" w:rsidR="003957A3" w:rsidRPr="00703F18" w:rsidRDefault="003957A3" w:rsidP="009D2E20">
            <w:pPr>
              <w:rPr>
                <w:b/>
                <w:color w:val="000000" w:themeColor="text1"/>
              </w:rPr>
            </w:pPr>
            <w:r w:rsidRPr="00703F18">
              <w:rPr>
                <w:b/>
                <w:color w:val="000000" w:themeColor="text1"/>
              </w:rPr>
              <w:t>Outcome</w:t>
            </w:r>
          </w:p>
        </w:tc>
        <w:tc>
          <w:tcPr>
            <w:tcW w:w="1161" w:type="dxa"/>
            <w:shd w:val="clear" w:color="auto" w:fill="BFBFBF" w:themeFill="background1" w:themeFillShade="BF"/>
          </w:tcPr>
          <w:p w14:paraId="5058889F" w14:textId="77777777" w:rsidR="003957A3" w:rsidRPr="00703F18" w:rsidRDefault="003957A3" w:rsidP="009D2E20">
            <w:pPr>
              <w:rPr>
                <w:b/>
                <w:color w:val="000000" w:themeColor="text1"/>
              </w:rPr>
            </w:pPr>
            <w:r w:rsidRPr="00703F18">
              <w:rPr>
                <w:b/>
                <w:color w:val="000000" w:themeColor="text1"/>
              </w:rPr>
              <w:t xml:space="preserve">Likelihood </w:t>
            </w:r>
          </w:p>
        </w:tc>
      </w:tr>
      <w:tr w:rsidR="00703F18" w:rsidRPr="00703F18" w14:paraId="22F64AD2" w14:textId="77777777" w:rsidTr="009D2E20">
        <w:trPr>
          <w:trHeight w:val="2304"/>
        </w:trPr>
        <w:tc>
          <w:tcPr>
            <w:tcW w:w="2372" w:type="dxa"/>
          </w:tcPr>
          <w:p w14:paraId="52886CB2" w14:textId="77777777" w:rsidR="003957A3" w:rsidRPr="00703F18" w:rsidRDefault="003957A3" w:rsidP="009D2E20">
            <w:pPr>
              <w:rPr>
                <w:color w:val="000000" w:themeColor="text1"/>
              </w:rPr>
            </w:pPr>
            <w:r w:rsidRPr="00703F18">
              <w:rPr>
                <w:color w:val="000000" w:themeColor="text1"/>
              </w:rPr>
              <w:t xml:space="preserve">Gene sequences for viral replication between </w:t>
            </w:r>
          </w:p>
          <w:p w14:paraId="56BEC400"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GMO </w:t>
            </w:r>
          </w:p>
          <w:p w14:paraId="6F721DF2"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WT </w:t>
            </w:r>
            <w:proofErr w:type="spellStart"/>
            <w:r w:rsidRPr="00703F18">
              <w:rPr>
                <w:color w:val="000000" w:themeColor="text1"/>
              </w:rPr>
              <w:t>AdV</w:t>
            </w:r>
            <w:proofErr w:type="spellEnd"/>
          </w:p>
        </w:tc>
        <w:tc>
          <w:tcPr>
            <w:tcW w:w="2480" w:type="dxa"/>
          </w:tcPr>
          <w:p w14:paraId="07F3C6FA"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competent GMO without functional gene sequences for </w:t>
            </w:r>
            <w:r w:rsidRPr="00703F18">
              <w:rPr>
                <w:rFonts w:cs="Calibri"/>
                <w:color w:val="000000" w:themeColor="text1"/>
              </w:rPr>
              <w:t>immune-evasion properties</w:t>
            </w:r>
          </w:p>
          <w:p w14:paraId="2E251440"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incompetent </w:t>
            </w:r>
            <w:proofErr w:type="spellStart"/>
            <w:r w:rsidRPr="00703F18">
              <w:rPr>
                <w:color w:val="000000" w:themeColor="text1"/>
              </w:rPr>
              <w:t>AdV</w:t>
            </w:r>
            <w:proofErr w:type="spellEnd"/>
            <w:r w:rsidRPr="00703F18">
              <w:rPr>
                <w:color w:val="000000" w:themeColor="text1"/>
              </w:rPr>
              <w:t xml:space="preserve"> </w:t>
            </w:r>
            <w:r w:rsidRPr="00703F18">
              <w:rPr>
                <w:color w:val="000000" w:themeColor="text1"/>
              </w:rPr>
              <w:lastRenderedPageBreak/>
              <w:t xml:space="preserve">with </w:t>
            </w:r>
            <w:proofErr w:type="spellStart"/>
            <w:r w:rsidRPr="00703F18">
              <w:rPr>
                <w:i/>
                <w:iCs/>
                <w:color w:val="000000" w:themeColor="text1"/>
              </w:rPr>
              <w:t>hIFN</w:t>
            </w:r>
            <w:proofErr w:type="spellEnd"/>
            <w:r w:rsidRPr="00703F18">
              <w:rPr>
                <w:i/>
                <w:iCs/>
                <w:color w:val="000000" w:themeColor="text1"/>
              </w:rPr>
              <w:t>-</w:t>
            </w:r>
            <w:r w:rsidRPr="00703F18">
              <w:rPr>
                <w:rFonts w:cs="Calibri"/>
                <w:i/>
                <w:iCs/>
                <w:color w:val="000000" w:themeColor="text1"/>
              </w:rPr>
              <w:t>α2b</w:t>
            </w:r>
            <w:r w:rsidRPr="00703F18">
              <w:rPr>
                <w:color w:val="000000" w:themeColor="text1"/>
              </w:rPr>
              <w:t xml:space="preserve"> gene cassette</w:t>
            </w:r>
          </w:p>
        </w:tc>
        <w:tc>
          <w:tcPr>
            <w:tcW w:w="3050" w:type="dxa"/>
          </w:tcPr>
          <w:p w14:paraId="5F86B443"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lastRenderedPageBreak/>
              <w:t>Replication competent GMO that is still less immune evasive than WT</w:t>
            </w:r>
          </w:p>
          <w:p w14:paraId="4DBE6673"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Replication incompetent </w:t>
            </w:r>
            <w:proofErr w:type="spellStart"/>
            <w:r w:rsidRPr="00703F18">
              <w:rPr>
                <w:color w:val="000000" w:themeColor="text1"/>
              </w:rPr>
              <w:t>AdV</w:t>
            </w:r>
            <w:proofErr w:type="spellEnd"/>
            <w:r w:rsidRPr="00703F18">
              <w:rPr>
                <w:color w:val="000000" w:themeColor="text1"/>
              </w:rPr>
              <w:t xml:space="preserve"> expressing </w:t>
            </w:r>
            <w:proofErr w:type="spellStart"/>
            <w:r w:rsidRPr="00703F18">
              <w:rPr>
                <w:color w:val="000000" w:themeColor="text1"/>
              </w:rPr>
              <w:t>hIFN</w:t>
            </w:r>
            <w:proofErr w:type="spellEnd"/>
            <w:r w:rsidRPr="00703F18">
              <w:rPr>
                <w:color w:val="000000" w:themeColor="text1"/>
              </w:rPr>
              <w:t>-</w:t>
            </w:r>
            <w:r w:rsidRPr="00703F18">
              <w:rPr>
                <w:rFonts w:cs="Calibri"/>
                <w:color w:val="000000" w:themeColor="text1"/>
              </w:rPr>
              <w:t>α2b</w:t>
            </w:r>
            <w:r w:rsidRPr="00703F18">
              <w:rPr>
                <w:color w:val="000000" w:themeColor="text1"/>
              </w:rPr>
              <w:t xml:space="preserve"> protein</w:t>
            </w:r>
          </w:p>
        </w:tc>
        <w:tc>
          <w:tcPr>
            <w:tcW w:w="1161" w:type="dxa"/>
          </w:tcPr>
          <w:p w14:paraId="1C6D2A23" w14:textId="77777777" w:rsidR="003957A3" w:rsidRPr="00703F18" w:rsidRDefault="003957A3" w:rsidP="009D2E20">
            <w:pPr>
              <w:rPr>
                <w:color w:val="000000" w:themeColor="text1"/>
              </w:rPr>
            </w:pPr>
            <w:r w:rsidRPr="00703F18">
              <w:rPr>
                <w:color w:val="000000" w:themeColor="text1"/>
              </w:rPr>
              <w:t xml:space="preserve">Unlikely </w:t>
            </w:r>
          </w:p>
        </w:tc>
      </w:tr>
      <w:tr w:rsidR="00703F18" w:rsidRPr="00703F18" w14:paraId="087EDFEC" w14:textId="77777777" w:rsidTr="009D2E20">
        <w:trPr>
          <w:trHeight w:val="907"/>
        </w:trPr>
        <w:tc>
          <w:tcPr>
            <w:tcW w:w="2372" w:type="dxa"/>
          </w:tcPr>
          <w:p w14:paraId="5DA1266A" w14:textId="77777777" w:rsidR="003957A3" w:rsidRPr="00703F18" w:rsidRDefault="003957A3" w:rsidP="009D2E20">
            <w:pPr>
              <w:rPr>
                <w:color w:val="000000" w:themeColor="text1"/>
              </w:rPr>
            </w:pPr>
            <w:r w:rsidRPr="00703F18">
              <w:rPr>
                <w:color w:val="000000" w:themeColor="text1"/>
              </w:rPr>
              <w:t xml:space="preserve">Gene sequences for </w:t>
            </w:r>
            <w:r w:rsidRPr="00703F18">
              <w:rPr>
                <w:rFonts w:cs="Calibri"/>
                <w:color w:val="000000" w:themeColor="text1"/>
              </w:rPr>
              <w:t>immune-evasion properties</w:t>
            </w:r>
            <w:r w:rsidRPr="00703F18">
              <w:rPr>
                <w:color w:val="000000" w:themeColor="text1"/>
              </w:rPr>
              <w:t xml:space="preserve"> between</w:t>
            </w:r>
          </w:p>
          <w:p w14:paraId="0A4B9F55"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GMO </w:t>
            </w:r>
          </w:p>
          <w:p w14:paraId="122C25CC"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WT </w:t>
            </w:r>
            <w:proofErr w:type="spellStart"/>
            <w:r w:rsidRPr="00703F18">
              <w:rPr>
                <w:color w:val="000000" w:themeColor="text1"/>
              </w:rPr>
              <w:t>AdV</w:t>
            </w:r>
            <w:proofErr w:type="spellEnd"/>
          </w:p>
        </w:tc>
        <w:tc>
          <w:tcPr>
            <w:tcW w:w="2480" w:type="dxa"/>
          </w:tcPr>
          <w:p w14:paraId="42B2B323"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incompetent GMO with functional gene sequences for </w:t>
            </w:r>
            <w:r w:rsidRPr="00703F18">
              <w:rPr>
                <w:rFonts w:cs="Calibri"/>
                <w:color w:val="000000" w:themeColor="text1"/>
              </w:rPr>
              <w:t>immune-evasion properties</w:t>
            </w:r>
          </w:p>
          <w:p w14:paraId="5C8F301D"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competent </w:t>
            </w:r>
            <w:proofErr w:type="spellStart"/>
            <w:r w:rsidRPr="00703F18">
              <w:rPr>
                <w:color w:val="000000" w:themeColor="text1"/>
              </w:rPr>
              <w:t>AdV</w:t>
            </w:r>
            <w:proofErr w:type="spellEnd"/>
            <w:r w:rsidRPr="00703F18">
              <w:rPr>
                <w:color w:val="000000" w:themeColor="text1"/>
              </w:rPr>
              <w:t xml:space="preserve"> without functional gene sequences for </w:t>
            </w:r>
            <w:r w:rsidRPr="00703F18">
              <w:rPr>
                <w:rFonts w:cs="Calibri"/>
                <w:color w:val="000000" w:themeColor="text1"/>
              </w:rPr>
              <w:t>immune-evasion properties</w:t>
            </w:r>
          </w:p>
        </w:tc>
        <w:tc>
          <w:tcPr>
            <w:tcW w:w="3050" w:type="dxa"/>
          </w:tcPr>
          <w:p w14:paraId="7C359FAC" w14:textId="346C07C1"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Replication incompetent GMO with </w:t>
            </w:r>
            <w:r w:rsidR="000D6D8E" w:rsidRPr="00703F18">
              <w:rPr>
                <w:color w:val="000000" w:themeColor="text1"/>
              </w:rPr>
              <w:t>modified</w:t>
            </w:r>
            <w:r w:rsidRPr="00703F18">
              <w:rPr>
                <w:color w:val="000000" w:themeColor="text1"/>
              </w:rPr>
              <w:t xml:space="preserve"> immune-evasive properties</w:t>
            </w:r>
          </w:p>
          <w:p w14:paraId="303B9334"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Replication competent </w:t>
            </w:r>
            <w:proofErr w:type="spellStart"/>
            <w:r w:rsidRPr="00703F18">
              <w:rPr>
                <w:color w:val="000000" w:themeColor="text1"/>
              </w:rPr>
              <w:t>AdV</w:t>
            </w:r>
            <w:proofErr w:type="spellEnd"/>
            <w:r w:rsidRPr="00703F18">
              <w:rPr>
                <w:color w:val="000000" w:themeColor="text1"/>
              </w:rPr>
              <w:t xml:space="preserve"> without immune-evasive properties (a wild </w:t>
            </w:r>
            <w:proofErr w:type="gramStart"/>
            <w:r w:rsidRPr="00703F18">
              <w:rPr>
                <w:color w:val="000000" w:themeColor="text1"/>
              </w:rPr>
              <w:t>type</w:t>
            </w:r>
            <w:proofErr w:type="gramEnd"/>
            <w:r w:rsidRPr="00703F18">
              <w:rPr>
                <w:color w:val="000000" w:themeColor="text1"/>
              </w:rPr>
              <w:t xml:space="preserve"> adenovirus unable to evade the host immune system)</w:t>
            </w:r>
          </w:p>
        </w:tc>
        <w:tc>
          <w:tcPr>
            <w:tcW w:w="1161" w:type="dxa"/>
          </w:tcPr>
          <w:p w14:paraId="788B0655" w14:textId="77777777" w:rsidR="003957A3" w:rsidRPr="00703F18" w:rsidRDefault="003957A3" w:rsidP="009D2E20">
            <w:pPr>
              <w:rPr>
                <w:color w:val="000000" w:themeColor="text1"/>
              </w:rPr>
            </w:pPr>
            <w:r w:rsidRPr="00703F18">
              <w:rPr>
                <w:color w:val="000000" w:themeColor="text1"/>
              </w:rPr>
              <w:t xml:space="preserve">Unlikely </w:t>
            </w:r>
          </w:p>
        </w:tc>
      </w:tr>
      <w:tr w:rsidR="00703F18" w:rsidRPr="00703F18" w14:paraId="74AE1257" w14:textId="77777777" w:rsidTr="009D2E20">
        <w:trPr>
          <w:trHeight w:val="2304"/>
        </w:trPr>
        <w:tc>
          <w:tcPr>
            <w:tcW w:w="2372" w:type="dxa"/>
          </w:tcPr>
          <w:p w14:paraId="066109B9" w14:textId="77777777" w:rsidR="003957A3" w:rsidRPr="00703F18" w:rsidRDefault="003957A3" w:rsidP="009D2E20">
            <w:pPr>
              <w:rPr>
                <w:color w:val="000000" w:themeColor="text1"/>
              </w:rPr>
            </w:pPr>
            <w:r w:rsidRPr="00703F18">
              <w:rPr>
                <w:color w:val="000000" w:themeColor="text1"/>
              </w:rPr>
              <w:t>Capsid genes (</w:t>
            </w:r>
            <w:proofErr w:type="spellStart"/>
            <w:r w:rsidRPr="00703F18">
              <w:rPr>
                <w:color w:val="000000" w:themeColor="text1"/>
              </w:rPr>
              <w:t>hexon</w:t>
            </w:r>
            <w:proofErr w:type="spellEnd"/>
            <w:r w:rsidRPr="00703F18">
              <w:rPr>
                <w:color w:val="000000" w:themeColor="text1"/>
              </w:rPr>
              <w:t>, penton and fibre) between</w:t>
            </w:r>
          </w:p>
          <w:p w14:paraId="53BEBF65"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GMO </w:t>
            </w:r>
          </w:p>
          <w:p w14:paraId="57C16094"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WT </w:t>
            </w:r>
            <w:proofErr w:type="spellStart"/>
            <w:r w:rsidRPr="00703F18">
              <w:rPr>
                <w:color w:val="000000" w:themeColor="text1"/>
              </w:rPr>
              <w:t>AdV</w:t>
            </w:r>
            <w:proofErr w:type="spellEnd"/>
          </w:p>
        </w:tc>
        <w:tc>
          <w:tcPr>
            <w:tcW w:w="2480" w:type="dxa"/>
          </w:tcPr>
          <w:p w14:paraId="30A2F445"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incompetent GMO with different </w:t>
            </w:r>
            <w:proofErr w:type="spellStart"/>
            <w:r w:rsidRPr="00703F18">
              <w:rPr>
                <w:color w:val="000000" w:themeColor="text1"/>
              </w:rPr>
              <w:t>hexon</w:t>
            </w:r>
            <w:proofErr w:type="spellEnd"/>
            <w:r w:rsidRPr="00703F18">
              <w:rPr>
                <w:color w:val="000000" w:themeColor="text1"/>
              </w:rPr>
              <w:t>, penton or fibre</w:t>
            </w:r>
          </w:p>
          <w:p w14:paraId="7681C11F"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competent </w:t>
            </w:r>
            <w:proofErr w:type="spellStart"/>
            <w:r w:rsidRPr="00703F18">
              <w:rPr>
                <w:color w:val="000000" w:themeColor="text1"/>
              </w:rPr>
              <w:t>AdV</w:t>
            </w:r>
            <w:proofErr w:type="spellEnd"/>
            <w:r w:rsidRPr="00703F18">
              <w:rPr>
                <w:color w:val="000000" w:themeColor="text1"/>
              </w:rPr>
              <w:t xml:space="preserve"> without the </w:t>
            </w:r>
            <w:proofErr w:type="spellStart"/>
            <w:r w:rsidRPr="00703F18">
              <w:rPr>
                <w:i/>
                <w:iCs/>
                <w:color w:val="000000" w:themeColor="text1"/>
              </w:rPr>
              <w:t>hIFN</w:t>
            </w:r>
            <w:proofErr w:type="spellEnd"/>
            <w:r w:rsidRPr="00703F18">
              <w:rPr>
                <w:i/>
                <w:iCs/>
                <w:color w:val="000000" w:themeColor="text1"/>
              </w:rPr>
              <w:t>-α2b</w:t>
            </w:r>
            <w:r w:rsidRPr="00703F18">
              <w:rPr>
                <w:color w:val="000000" w:themeColor="text1"/>
              </w:rPr>
              <w:t xml:space="preserve"> gene cassette but with different </w:t>
            </w:r>
            <w:proofErr w:type="spellStart"/>
            <w:r w:rsidRPr="00703F18">
              <w:rPr>
                <w:color w:val="000000" w:themeColor="text1"/>
              </w:rPr>
              <w:t>hexon</w:t>
            </w:r>
            <w:proofErr w:type="spellEnd"/>
            <w:r w:rsidRPr="00703F18">
              <w:rPr>
                <w:color w:val="000000" w:themeColor="text1"/>
              </w:rPr>
              <w:t>, penton or fibre</w:t>
            </w:r>
          </w:p>
        </w:tc>
        <w:tc>
          <w:tcPr>
            <w:tcW w:w="3050" w:type="dxa"/>
          </w:tcPr>
          <w:p w14:paraId="6ADABC18"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Altered tropism and host range of GMO</w:t>
            </w:r>
          </w:p>
          <w:p w14:paraId="646ECC0B"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Altered tropism and host range of </w:t>
            </w:r>
            <w:proofErr w:type="spellStart"/>
            <w:r w:rsidRPr="00703F18">
              <w:rPr>
                <w:color w:val="000000" w:themeColor="text1"/>
              </w:rPr>
              <w:t>AdV</w:t>
            </w:r>
            <w:proofErr w:type="spellEnd"/>
          </w:p>
        </w:tc>
        <w:tc>
          <w:tcPr>
            <w:tcW w:w="1161" w:type="dxa"/>
          </w:tcPr>
          <w:p w14:paraId="0996AE6C" w14:textId="77777777" w:rsidR="003957A3" w:rsidRPr="00703F18" w:rsidRDefault="003957A3" w:rsidP="009D2E20">
            <w:pPr>
              <w:rPr>
                <w:color w:val="000000" w:themeColor="text1"/>
              </w:rPr>
            </w:pPr>
            <w:r w:rsidRPr="00703F18">
              <w:rPr>
                <w:color w:val="000000" w:themeColor="text1"/>
              </w:rPr>
              <w:t>Highly unlikely</w:t>
            </w:r>
          </w:p>
        </w:tc>
      </w:tr>
    </w:tbl>
    <w:p w14:paraId="64DE8FC5" w14:textId="7840E388" w:rsidR="003829E8" w:rsidRPr="004875A4" w:rsidRDefault="003957A3" w:rsidP="003957A3">
      <w:pPr>
        <w:pStyle w:val="RARMPnumberedparagraphs"/>
        <w:rPr>
          <w:color w:val="000000" w:themeColor="text1"/>
        </w:rPr>
      </w:pPr>
      <w:r w:rsidRPr="004875A4">
        <w:rPr>
          <w:color w:val="000000" w:themeColor="text1"/>
        </w:rPr>
        <w:t>In the event of homologous recombination in the gene sequences responsible for viral replication, the GMO could regain its gene sequences for viral replication, or the corresponding region of the WT-</w:t>
      </w:r>
      <w:proofErr w:type="spellStart"/>
      <w:r w:rsidRPr="004875A4">
        <w:rPr>
          <w:color w:val="000000" w:themeColor="text1"/>
        </w:rPr>
        <w:t>AdV</w:t>
      </w:r>
      <w:proofErr w:type="spellEnd"/>
      <w:r w:rsidRPr="004875A4">
        <w:rPr>
          <w:color w:val="000000" w:themeColor="text1"/>
        </w:rPr>
        <w:t xml:space="preserve">, and become replication competent, but lose the expression cassette encoding the </w:t>
      </w:r>
      <w:proofErr w:type="spellStart"/>
      <w:r w:rsidRPr="004875A4">
        <w:rPr>
          <w:color w:val="000000" w:themeColor="text1"/>
        </w:rPr>
        <w:t>hIFN</w:t>
      </w:r>
      <w:proofErr w:type="spellEnd"/>
      <w:r w:rsidRPr="004875A4">
        <w:rPr>
          <w:color w:val="000000" w:themeColor="text1"/>
        </w:rPr>
        <w:t>-α2b protein. The WT-</w:t>
      </w:r>
      <w:proofErr w:type="spellStart"/>
      <w:r w:rsidRPr="004875A4">
        <w:rPr>
          <w:color w:val="000000" w:themeColor="text1"/>
        </w:rPr>
        <w:t>AdV</w:t>
      </w:r>
      <w:proofErr w:type="spellEnd"/>
      <w:r w:rsidRPr="004875A4">
        <w:rPr>
          <w:color w:val="000000" w:themeColor="text1"/>
        </w:rPr>
        <w:t xml:space="preserve"> could receive the </w:t>
      </w:r>
      <w:proofErr w:type="spellStart"/>
      <w:r w:rsidRPr="004875A4">
        <w:rPr>
          <w:color w:val="000000" w:themeColor="text1"/>
        </w:rPr>
        <w:t>hIFN</w:t>
      </w:r>
      <w:proofErr w:type="spellEnd"/>
      <w:r w:rsidRPr="004875A4">
        <w:rPr>
          <w:color w:val="000000" w:themeColor="text1"/>
        </w:rPr>
        <w:t xml:space="preserve">-α2b expression cassette but lose the gene sequences for viral replication, making it replication-incompetent. This would result in a replication competent GMO without the </w:t>
      </w:r>
      <w:proofErr w:type="spellStart"/>
      <w:r w:rsidRPr="004875A4">
        <w:rPr>
          <w:color w:val="000000" w:themeColor="text1"/>
        </w:rPr>
        <w:t>hIFN</w:t>
      </w:r>
      <w:proofErr w:type="spellEnd"/>
      <w:r w:rsidRPr="004875A4">
        <w:rPr>
          <w:color w:val="000000" w:themeColor="text1"/>
        </w:rPr>
        <w:t xml:space="preserve">-α2b expression cassette and functional gene sequences for immune-evasion properties; and a replication incompetent </w:t>
      </w:r>
      <w:proofErr w:type="spellStart"/>
      <w:r w:rsidRPr="004875A4">
        <w:rPr>
          <w:color w:val="000000" w:themeColor="text1"/>
        </w:rPr>
        <w:t>AdV</w:t>
      </w:r>
      <w:proofErr w:type="spellEnd"/>
      <w:r w:rsidRPr="004875A4">
        <w:rPr>
          <w:color w:val="000000" w:themeColor="text1"/>
        </w:rPr>
        <w:t xml:space="preserve"> expressing the </w:t>
      </w:r>
      <w:proofErr w:type="spellStart"/>
      <w:r w:rsidRPr="004875A4">
        <w:rPr>
          <w:color w:val="000000" w:themeColor="text1"/>
        </w:rPr>
        <w:t>hIFN</w:t>
      </w:r>
      <w:proofErr w:type="spellEnd"/>
      <w:r w:rsidRPr="004875A4">
        <w:rPr>
          <w:color w:val="000000" w:themeColor="text1"/>
        </w:rPr>
        <w:t>-α2b protein. The resulting viruses are unlikely to be more pathogenic than a WT-</w:t>
      </w:r>
      <w:proofErr w:type="spellStart"/>
      <w:r w:rsidRPr="004875A4">
        <w:rPr>
          <w:color w:val="000000" w:themeColor="text1"/>
        </w:rPr>
        <w:t>AdV</w:t>
      </w:r>
      <w:proofErr w:type="spellEnd"/>
      <w:r w:rsidRPr="004875A4">
        <w:rPr>
          <w:color w:val="000000" w:themeColor="text1"/>
        </w:rPr>
        <w:t xml:space="preserve"> strain.</w:t>
      </w:r>
    </w:p>
    <w:p w14:paraId="1A47C997" w14:textId="3BCE63C2" w:rsidR="003957A3" w:rsidRPr="004875A4" w:rsidRDefault="00F05DB6" w:rsidP="003957A3">
      <w:pPr>
        <w:pStyle w:val="RARMPnumberedparagraphs"/>
        <w:rPr>
          <w:color w:val="000000" w:themeColor="text1"/>
        </w:rPr>
      </w:pPr>
      <w:r w:rsidRPr="004875A4">
        <w:rPr>
          <w:color w:val="000000" w:themeColor="text1"/>
        </w:rPr>
        <w:t xml:space="preserve">Alternatively, in the event of homologous recombination in the gene sequences responsible for immune-evasion properties, the GMO could regain its gene sequences for immune-evasion properties but remain replication incompetent due to still lacking the genes for viral replication. The recombinant virus would not be able to replicate and would eventually be cleared by the immune system of the host. As an </w:t>
      </w:r>
      <w:proofErr w:type="spellStart"/>
      <w:r w:rsidRPr="004875A4">
        <w:rPr>
          <w:color w:val="000000" w:themeColor="text1"/>
        </w:rPr>
        <w:t>HAdV</w:t>
      </w:r>
      <w:proofErr w:type="spellEnd"/>
      <w:r w:rsidRPr="004875A4">
        <w:rPr>
          <w:color w:val="000000" w:themeColor="text1"/>
        </w:rPr>
        <w:t>, the recombinant virus is not expected to cause disease in animals.</w:t>
      </w:r>
    </w:p>
    <w:p w14:paraId="643663D2" w14:textId="240AE4BF" w:rsidR="00F05DB6" w:rsidRDefault="00F05DB6" w:rsidP="003957A3">
      <w:pPr>
        <w:pStyle w:val="RARMPnumberedparagraphs"/>
      </w:pPr>
      <w:r w:rsidRPr="00F05DB6">
        <w:t xml:space="preserve">As discussed in Chapter 1, Section </w:t>
      </w:r>
      <w:r w:rsidRPr="00F05DB6">
        <w:fldChar w:fldCharType="begin"/>
      </w:r>
      <w:r w:rsidRPr="00F05DB6">
        <w:instrText xml:space="preserve"> REF _Ref199414120 \n \h </w:instrText>
      </w:r>
      <w:r w:rsidRPr="00F05DB6">
        <w:fldChar w:fldCharType="separate"/>
      </w:r>
      <w:r w:rsidRPr="00F05DB6">
        <w:t>3.4</w:t>
      </w:r>
      <w:r w:rsidRPr="00F05DB6">
        <w:fldChar w:fldCharType="end"/>
      </w:r>
      <w:r w:rsidRPr="00F05DB6">
        <w:t xml:space="preserve">, recombination is an important source of genetic variation in viruses. Recombination of genes encoding structural proteins, such as </w:t>
      </w:r>
      <w:proofErr w:type="spellStart"/>
      <w:r w:rsidRPr="00F05DB6">
        <w:t>hexon</w:t>
      </w:r>
      <w:proofErr w:type="spellEnd"/>
      <w:r w:rsidRPr="00F05DB6">
        <w:t xml:space="preserve">, penton and </w:t>
      </w:r>
      <w:r w:rsidRPr="00F05DB6">
        <w:lastRenderedPageBreak/>
        <w:t xml:space="preserve">fibre regions of </w:t>
      </w:r>
      <w:proofErr w:type="spellStart"/>
      <w:r w:rsidRPr="00F05DB6">
        <w:t>AdV</w:t>
      </w:r>
      <w:proofErr w:type="spellEnd"/>
      <w:r w:rsidRPr="00F05DB6">
        <w:t xml:space="preserve"> can result in altered cell tropism. Recombination in </w:t>
      </w:r>
      <w:proofErr w:type="spellStart"/>
      <w:r w:rsidRPr="00F05DB6">
        <w:t>HAdV</w:t>
      </w:r>
      <w:proofErr w:type="spellEnd"/>
      <w:r w:rsidRPr="00F05DB6">
        <w:t xml:space="preserve">-C occurs most frequently in the E1 and E4 regions. The likelihood of homologous recombination at the </w:t>
      </w:r>
      <w:proofErr w:type="spellStart"/>
      <w:r w:rsidRPr="00F05DB6">
        <w:t>hexon</w:t>
      </w:r>
      <w:proofErr w:type="spellEnd"/>
      <w:r w:rsidRPr="00F05DB6">
        <w:t xml:space="preserve">, penton and fibre regions of </w:t>
      </w:r>
      <w:proofErr w:type="spellStart"/>
      <w:r w:rsidRPr="00F05DB6">
        <w:t>AdV</w:t>
      </w:r>
      <w:proofErr w:type="spellEnd"/>
      <w:r w:rsidRPr="00F05DB6">
        <w:t xml:space="preserve">, resulting in the GMO with an altered cell tropism is very low. In the event of recombination, the resulting </w:t>
      </w:r>
      <w:proofErr w:type="spellStart"/>
      <w:r w:rsidRPr="00F05DB6">
        <w:t>AdV</w:t>
      </w:r>
      <w:proofErr w:type="spellEnd"/>
      <w:r w:rsidRPr="00F05DB6">
        <w:t xml:space="preserve"> would remain replication incompetent</w:t>
      </w:r>
      <w:r>
        <w:t>.</w:t>
      </w:r>
    </w:p>
    <w:p w14:paraId="1006C966" w14:textId="69A84782" w:rsidR="00F05DB6" w:rsidRPr="00E65152" w:rsidRDefault="00F05DB6" w:rsidP="003957A3">
      <w:pPr>
        <w:pStyle w:val="RARMPnumberedparagraphs"/>
      </w:pPr>
      <w:r w:rsidRPr="00F05DB6">
        <w:t xml:space="preserve">If a recombinant replication competent </w:t>
      </w:r>
      <w:proofErr w:type="spellStart"/>
      <w:r w:rsidRPr="00F05DB6">
        <w:t>HAdV</w:t>
      </w:r>
      <w:proofErr w:type="spellEnd"/>
      <w:r w:rsidRPr="00F05DB6">
        <w:t xml:space="preserve"> is produced, it could be shed from the original host and transmitted to other hosts (human or animals) in the environment. These replication competent viruses would not contain the </w:t>
      </w:r>
      <w:proofErr w:type="spellStart"/>
      <w:r w:rsidRPr="00F05DB6">
        <w:t>hIFN</w:t>
      </w:r>
      <w:proofErr w:type="spellEnd"/>
      <w:r w:rsidRPr="00F05DB6">
        <w:t xml:space="preserve">-α2b expression cassette and would be </w:t>
      </w:r>
      <w:proofErr w:type="gramStart"/>
      <w:r w:rsidRPr="00F05DB6">
        <w:t>similar to</w:t>
      </w:r>
      <w:proofErr w:type="gramEnd"/>
      <w:r w:rsidRPr="00F05DB6">
        <w:t xml:space="preserve"> a WT-</w:t>
      </w:r>
      <w:proofErr w:type="spellStart"/>
      <w:r w:rsidRPr="00F05DB6">
        <w:t>AdV.</w:t>
      </w:r>
      <w:proofErr w:type="spellEnd"/>
      <w:r w:rsidRPr="00F05DB6">
        <w:t xml:space="preserve"> In addition, for a full reversion into a WT virus, multiple recombination events would need to occur, and this is highly unlikely</w:t>
      </w:r>
      <w:r>
        <w:t>.</w:t>
      </w:r>
    </w:p>
    <w:p w14:paraId="6AB5D3B8" w14:textId="77777777" w:rsidR="00FB7E35" w:rsidRPr="006E0388" w:rsidRDefault="00FB7E35" w:rsidP="00AF2557">
      <w:pPr>
        <w:pStyle w:val="5RARMP"/>
      </w:pPr>
      <w:r w:rsidRPr="006E0388">
        <w:t>Potential harm</w:t>
      </w:r>
    </w:p>
    <w:p w14:paraId="5C338573" w14:textId="3DADBF02" w:rsidR="00B901C7" w:rsidRDefault="00BF66CA" w:rsidP="001D17E3">
      <w:pPr>
        <w:pStyle w:val="RARMPnumberedparagraphs"/>
      </w:pPr>
      <w:r w:rsidRPr="00BF66CA">
        <w:t xml:space="preserve">If complementation were to occur, the number of replication incompetent GMO produced in the host cells would increase, resulting in increased expression of the IFN-α2b protein in the host. This is not expected to cause harm to affected individuals for reasons as discussed in Risk Scenario 1. Also, if the person exhibits any symptoms of </w:t>
      </w:r>
      <w:proofErr w:type="spellStart"/>
      <w:r w:rsidRPr="00BF66CA">
        <w:t>AdV</w:t>
      </w:r>
      <w:proofErr w:type="spellEnd"/>
      <w:r w:rsidRPr="00BF66CA">
        <w:t xml:space="preserve"> infection, effective antiviral treatments can be used to treat the infection</w:t>
      </w:r>
      <w:r w:rsidR="004C68B0">
        <w:t xml:space="preserve">. </w:t>
      </w:r>
    </w:p>
    <w:p w14:paraId="5E05FE78" w14:textId="37B623B9" w:rsidR="00BF66CA" w:rsidRPr="004C68B0" w:rsidRDefault="00BF66CA" w:rsidP="001D17E3">
      <w:pPr>
        <w:pStyle w:val="RARMPnumberedparagraphs"/>
      </w:pPr>
      <w:r w:rsidRPr="00BF66CA">
        <w:t xml:space="preserve">If homologous recombination were to occur it could result in the formation of replication competent HAdV-C5. The person exposed could potentially experience mild respiratory or eye infections depending on the route of exposure as described in Chapter 1, Section </w:t>
      </w:r>
      <w:r w:rsidRPr="00BF66CA">
        <w:fldChar w:fldCharType="begin"/>
      </w:r>
      <w:r w:rsidRPr="00BF66CA">
        <w:instrText xml:space="preserve"> REF _Ref216432270 \n \h </w:instrText>
      </w:r>
      <w:r w:rsidRPr="00BF66CA">
        <w:fldChar w:fldCharType="separate"/>
      </w:r>
      <w:r w:rsidRPr="00BF66CA">
        <w:t>3.1</w:t>
      </w:r>
      <w:r w:rsidRPr="00BF66CA">
        <w:fldChar w:fldCharType="end"/>
      </w:r>
      <w:r w:rsidRPr="00BF66CA">
        <w:t>. These infections are self-limiting and rarely need medical intervention. If needed, first line adenoviral antiviral therapies could be used (</w:t>
      </w:r>
      <w:r w:rsidRPr="00BF66CA">
        <w:fldChar w:fldCharType="begin"/>
      </w:r>
      <w:r w:rsidRPr="00BF66CA">
        <w:instrText xml:space="preserve"> REF _Ref57107833 \n \h </w:instrText>
      </w:r>
      <w:r w:rsidRPr="00BF66CA">
        <w:fldChar w:fldCharType="separate"/>
      </w:r>
      <w:r w:rsidRPr="00BF66CA">
        <w:t>Chapter 1</w:t>
      </w:r>
      <w:r w:rsidRPr="00BF66CA">
        <w:fldChar w:fldCharType="end"/>
      </w:r>
      <w:r w:rsidRPr="00BF66CA">
        <w:t xml:space="preserve">, Section </w:t>
      </w:r>
      <w:r w:rsidRPr="00BF66CA">
        <w:fldChar w:fldCharType="begin"/>
      </w:r>
      <w:r w:rsidRPr="00BF66CA">
        <w:instrText xml:space="preserve"> REF _Ref57107869 \n \h </w:instrText>
      </w:r>
      <w:r w:rsidRPr="00BF66CA">
        <w:fldChar w:fldCharType="separate"/>
      </w:r>
      <w:r w:rsidRPr="00BF66CA">
        <w:t>3.5.4</w:t>
      </w:r>
      <w:r w:rsidRPr="00BF66CA">
        <w:fldChar w:fldCharType="end"/>
      </w:r>
      <w:r w:rsidRPr="00BF66CA">
        <w:t>). Theoretically, if homologous recombination in the major capsid proteins (</w:t>
      </w:r>
      <w:proofErr w:type="spellStart"/>
      <w:r w:rsidRPr="00BF66CA">
        <w:t>HAdV</w:t>
      </w:r>
      <w:proofErr w:type="spellEnd"/>
      <w:r w:rsidRPr="00BF66CA">
        <w:t xml:space="preserve">-C) or other </w:t>
      </w:r>
      <w:proofErr w:type="spellStart"/>
      <w:r w:rsidRPr="00BF66CA">
        <w:t>AdV</w:t>
      </w:r>
      <w:proofErr w:type="spellEnd"/>
      <w:r w:rsidRPr="00BF66CA">
        <w:t xml:space="preserve"> regions with high homology occurs, it could alter the tropism and host range of the virus. However, occurrence of increased harm is unlikely as </w:t>
      </w:r>
      <w:proofErr w:type="spellStart"/>
      <w:r w:rsidRPr="00BF66CA">
        <w:t>AdV</w:t>
      </w:r>
      <w:proofErr w:type="spellEnd"/>
      <w:r w:rsidRPr="00BF66CA">
        <w:t xml:space="preserve"> do not usually cause severe disease and the resultant recombinants are unlikely to be more pathogenic than a WT-</w:t>
      </w:r>
      <w:proofErr w:type="spellStart"/>
      <w:r w:rsidRPr="00BF66CA">
        <w:t>AdV</w:t>
      </w:r>
      <w:proofErr w:type="spellEnd"/>
      <w:r w:rsidRPr="00BF66CA">
        <w:t xml:space="preserve"> strain</w:t>
      </w:r>
      <w:r>
        <w:t>.</w:t>
      </w:r>
    </w:p>
    <w:p w14:paraId="796A0B75" w14:textId="5F04F4E3" w:rsidR="00FB7E35" w:rsidRPr="00202707" w:rsidRDefault="00FB7E35" w:rsidP="00AF2557">
      <w:pPr>
        <w:pStyle w:val="5RARMP"/>
      </w:pPr>
      <w:r w:rsidRPr="00202707">
        <w:t>Conclusion</w:t>
      </w:r>
    </w:p>
    <w:p w14:paraId="69512DDB" w14:textId="1CDE1E2C" w:rsidR="006170CC" w:rsidRDefault="00BF66CA" w:rsidP="00B41F87">
      <w:pPr>
        <w:pStyle w:val="RARMPnumberedparagraphs"/>
      </w:pPr>
      <w:r w:rsidRPr="00BF66CA">
        <w:t xml:space="preserve">The exposure of people or animals to a GMO which has acquired the gene sequences responsible for viral replication, transferred the </w:t>
      </w:r>
      <w:proofErr w:type="spellStart"/>
      <w:r w:rsidRPr="00BF66CA">
        <w:t>hIFN</w:t>
      </w:r>
      <w:proofErr w:type="spellEnd"/>
      <w:r w:rsidRPr="00BF66CA">
        <w:t xml:space="preserve">-α2b protein to other </w:t>
      </w:r>
      <w:proofErr w:type="spellStart"/>
      <w:r w:rsidRPr="00BF66CA">
        <w:t>AdVs</w:t>
      </w:r>
      <w:proofErr w:type="spellEnd"/>
      <w:r w:rsidRPr="00BF66CA">
        <w:t xml:space="preserve"> or other recombinant viruses resulting in adverse immune response or disease in people or animals is not identified as a risk that could be greater than negligible. Therefore, it does not warrant further assessment</w:t>
      </w:r>
      <w:r w:rsidR="00FB7E35" w:rsidRPr="006404A8">
        <w:t>.</w:t>
      </w:r>
    </w:p>
    <w:p w14:paraId="3C0867E9" w14:textId="1567E344" w:rsidR="00C97EE9" w:rsidRDefault="00C97EE9" w:rsidP="006E06B6">
      <w:pPr>
        <w:pStyle w:val="2RARMP"/>
      </w:pPr>
      <w:bookmarkStart w:id="352" w:name="_Toc376438183"/>
      <w:bookmarkStart w:id="353" w:name="_Toc377743584"/>
      <w:bookmarkStart w:id="354" w:name="_Toc47536767"/>
      <w:bookmarkStart w:id="355" w:name="_Ref67492224"/>
      <w:bookmarkStart w:id="356" w:name="_Toc219281411"/>
      <w:r w:rsidRPr="006404A8">
        <w:t>Uncertainty</w:t>
      </w:r>
      <w:bookmarkEnd w:id="352"/>
      <w:bookmarkEnd w:id="353"/>
      <w:bookmarkEnd w:id="354"/>
      <w:bookmarkEnd w:id="355"/>
      <w:bookmarkEnd w:id="356"/>
    </w:p>
    <w:p w14:paraId="5FFB859E" w14:textId="77EBD401" w:rsidR="00C97EE9" w:rsidRPr="00703F18" w:rsidRDefault="00027FD3" w:rsidP="00027FD3">
      <w:pPr>
        <w:pStyle w:val="RARMPnumberedparagraphs"/>
        <w:rPr>
          <w:color w:val="000000" w:themeColor="text1"/>
        </w:rPr>
      </w:pPr>
      <w:r w:rsidRPr="00703F18">
        <w:rPr>
          <w:color w:val="000000" w:themeColor="text1"/>
        </w:rPr>
        <w:t xml:space="preserve">Uncertainty is an intrinsic property of risk analysis and is present in all aspects of risk analysis. This is discussed in detail in the Regulator’s </w:t>
      </w:r>
      <w:hyperlink r:id="rId46" w:history="1">
        <w:r w:rsidRPr="00703F18">
          <w:rPr>
            <w:rStyle w:val="Hyperlink"/>
            <w:color w:val="000000" w:themeColor="text1"/>
          </w:rPr>
          <w:t>Risk Analysis Framework</w:t>
        </w:r>
      </w:hyperlink>
      <w:r w:rsidRPr="00703F18">
        <w:rPr>
          <w:color w:val="000000" w:themeColor="text1"/>
        </w:rPr>
        <w:t xml:space="preserve"> document</w:t>
      </w:r>
      <w:r w:rsidR="00C97EE9" w:rsidRPr="00703F18">
        <w:rPr>
          <w:color w:val="000000" w:themeColor="text1"/>
        </w:rPr>
        <w:t>.</w:t>
      </w:r>
    </w:p>
    <w:p w14:paraId="359513AD" w14:textId="6CB999B3" w:rsidR="00FF59EC" w:rsidRPr="00703F18" w:rsidRDefault="00C97EE9" w:rsidP="0068644D">
      <w:pPr>
        <w:pStyle w:val="RARMPnumberedparagraphs"/>
        <w:rPr>
          <w:color w:val="000000" w:themeColor="text1"/>
        </w:rPr>
      </w:pPr>
      <w:r w:rsidRPr="00703F18">
        <w:rPr>
          <w:color w:val="000000" w:themeColor="text1"/>
        </w:rPr>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703F18">
        <w:rPr>
          <w:color w:val="000000" w:themeColor="text1"/>
        </w:rPr>
        <w:t>estimating</w:t>
      </w:r>
      <w:proofErr w:type="gramEnd"/>
      <w:r w:rsidRPr="00703F18">
        <w:rPr>
          <w:color w:val="000000" w:themeColor="text1"/>
        </w:rPr>
        <w:t xml:space="preserve"> the level of risk, the Regulator will take this uncertainty in</w:t>
      </w:r>
      <w:r w:rsidR="0068644D" w:rsidRPr="00703F18">
        <w:rPr>
          <w:color w:val="000000" w:themeColor="text1"/>
        </w:rPr>
        <w:t>to account in making decisions.</w:t>
      </w:r>
    </w:p>
    <w:p w14:paraId="274A6516" w14:textId="344CF1AF" w:rsidR="008057FB" w:rsidRPr="00703F18" w:rsidRDefault="00027FD3" w:rsidP="0068644D">
      <w:pPr>
        <w:pStyle w:val="RARMPnumberedparagraphs"/>
        <w:rPr>
          <w:color w:val="000000" w:themeColor="text1"/>
        </w:rPr>
      </w:pPr>
      <w:r w:rsidRPr="00703F18">
        <w:rPr>
          <w:color w:val="000000" w:themeColor="text1"/>
        </w:rPr>
        <w:t xml:space="preserve">Uncertainty can also arise from a lack of experience with the </w:t>
      </w:r>
      <w:bookmarkStart w:id="357" w:name="_Hlk199505137"/>
      <w:r w:rsidRPr="00703F18">
        <w:rPr>
          <w:color w:val="000000" w:themeColor="text1"/>
        </w:rPr>
        <w:t xml:space="preserve">GM therapeutic </w:t>
      </w:r>
      <w:bookmarkEnd w:id="357"/>
      <w:r w:rsidRPr="00703F18">
        <w:rPr>
          <w:color w:val="000000" w:themeColor="text1"/>
        </w:rPr>
        <w:t>itself. For DIR-2</w:t>
      </w:r>
      <w:r w:rsidR="00417FF1" w:rsidRPr="00703F18">
        <w:rPr>
          <w:color w:val="000000" w:themeColor="text1"/>
        </w:rPr>
        <w:t>23</w:t>
      </w:r>
      <w:r w:rsidRPr="00703F18">
        <w:rPr>
          <w:color w:val="000000" w:themeColor="text1"/>
        </w:rPr>
        <w:t xml:space="preserve">, while the potential for harm due to the RCA contamination following accidental exposure has been noted as an area of uncertainty (Risk Scenario 1), the GM therapeutic has been approved for commercial </w:t>
      </w:r>
      <w:r w:rsidR="00707B2F" w:rsidRPr="00703F18">
        <w:rPr>
          <w:color w:val="000000" w:themeColor="text1"/>
        </w:rPr>
        <w:t xml:space="preserve">supply in Australia by the Regulator and commercial </w:t>
      </w:r>
      <w:r w:rsidRPr="00703F18">
        <w:rPr>
          <w:color w:val="000000" w:themeColor="text1"/>
        </w:rPr>
        <w:t xml:space="preserve">clinical use </w:t>
      </w:r>
      <w:r w:rsidR="00707B2F" w:rsidRPr="00703F18">
        <w:rPr>
          <w:color w:val="000000" w:themeColor="text1"/>
        </w:rPr>
        <w:t>in the USA by</w:t>
      </w:r>
      <w:r w:rsidRPr="00703F18">
        <w:rPr>
          <w:color w:val="000000" w:themeColor="text1"/>
        </w:rPr>
        <w:t xml:space="preserve"> </w:t>
      </w:r>
      <w:r w:rsidR="00707B2F" w:rsidRPr="00703F18">
        <w:rPr>
          <w:color w:val="000000" w:themeColor="text1"/>
        </w:rPr>
        <w:t xml:space="preserve">the FDA </w:t>
      </w:r>
      <w:r w:rsidRPr="00703F18">
        <w:rPr>
          <w:color w:val="000000" w:themeColor="text1"/>
        </w:rPr>
        <w:t xml:space="preserve">(Chapter 1, Sections </w:t>
      </w:r>
      <w:r w:rsidRPr="00703F18">
        <w:rPr>
          <w:color w:val="000000" w:themeColor="text1"/>
        </w:rPr>
        <w:fldChar w:fldCharType="begin"/>
      </w:r>
      <w:r w:rsidRPr="00703F18">
        <w:rPr>
          <w:color w:val="000000" w:themeColor="text1"/>
        </w:rPr>
        <w:instrText xml:space="preserve"> REF _Ref216451926 \n \h </w:instrText>
      </w:r>
      <w:r w:rsidRPr="00703F18">
        <w:rPr>
          <w:color w:val="000000" w:themeColor="text1"/>
        </w:rPr>
      </w:r>
      <w:r w:rsidRPr="00703F18">
        <w:rPr>
          <w:color w:val="000000" w:themeColor="text1"/>
        </w:rPr>
        <w:fldChar w:fldCharType="separate"/>
      </w:r>
      <w:r w:rsidRPr="00703F18">
        <w:rPr>
          <w:color w:val="000000" w:themeColor="text1"/>
        </w:rPr>
        <w:t>6.1</w:t>
      </w:r>
      <w:r w:rsidRPr="00703F18">
        <w:rPr>
          <w:color w:val="000000" w:themeColor="text1"/>
        </w:rPr>
        <w:fldChar w:fldCharType="end"/>
      </w:r>
      <w:r w:rsidRPr="00703F18">
        <w:rPr>
          <w:color w:val="000000" w:themeColor="text1"/>
        </w:rPr>
        <w:t xml:space="preserve"> and </w:t>
      </w:r>
      <w:r w:rsidRPr="00703F18">
        <w:rPr>
          <w:color w:val="000000" w:themeColor="text1"/>
        </w:rPr>
        <w:fldChar w:fldCharType="begin"/>
      </w:r>
      <w:r w:rsidRPr="00703F18">
        <w:rPr>
          <w:color w:val="000000" w:themeColor="text1"/>
        </w:rPr>
        <w:instrText xml:space="preserve"> REF _Ref216451961 \n \h </w:instrText>
      </w:r>
      <w:r w:rsidRPr="00703F18">
        <w:rPr>
          <w:color w:val="000000" w:themeColor="text1"/>
        </w:rPr>
      </w:r>
      <w:r w:rsidRPr="00703F18">
        <w:rPr>
          <w:color w:val="000000" w:themeColor="text1"/>
        </w:rPr>
        <w:fldChar w:fldCharType="separate"/>
      </w:r>
      <w:r w:rsidRPr="00703F18">
        <w:rPr>
          <w:color w:val="000000" w:themeColor="text1"/>
        </w:rPr>
        <w:t>6.2</w:t>
      </w:r>
      <w:r w:rsidRPr="00703F18">
        <w:rPr>
          <w:color w:val="000000" w:themeColor="text1"/>
        </w:rPr>
        <w:fldChar w:fldCharType="end"/>
      </w:r>
      <w:r w:rsidRPr="00703F18">
        <w:rPr>
          <w:color w:val="000000" w:themeColor="text1"/>
        </w:rPr>
        <w:t xml:space="preserve">) and overall, treatment with the GM therapeutic was considered to be safe </w:t>
      </w:r>
      <w:r w:rsidRPr="00703F18">
        <w:rPr>
          <w:color w:val="000000" w:themeColor="text1"/>
        </w:rPr>
        <w:fldChar w:fldCharType="begin">
          <w:fldData xml:space="preserve">PEVuZE5vdGU+PENpdGU+PEF1dGhvcj5TdGVpbm1ldHo8L0F1dGhvcj48WWVhcj4yMDI0PC9ZZWFy
PjxSZWNOdW0+NDE8L1JlY051bT48RGlzcGxheVRleHQ+KFN0ZWlubWV0eiBldCBhbC4sIDIwMjQp
PC9EaXNwbGF5VGV4dD48cmVjb3JkPjxyZWMtbnVtYmVyPjQxPC9yZWMtbnVtYmVyPjxmb3JlaWdu
LWtleXM+PGtleSBhcHA9IkVOIiBkYi1pZD0iZHBhc2UyZTJvejVyd2NlOWF6c3BwOTVuZjl4dnN3
eHAycnZkIiB0aW1lc3RhbXA9IjE3NjUyNDM3NDAiPjQxPC9rZXk+PC9mb3JlaWduLWtleXM+PHJl
Zi10eXBlIG5hbWU9IkpvdXJuYWwgQXJ0aWNsZSI+MTc8L3JlZi10eXBlPjxjb250cmlidXRvcnM+
PGF1dGhvcnM+PGF1dGhvcj5TdGVpbm1ldHosIEEuIFIuPC9hdXRob3I+PGF1dGhvcj5Nb2trYXBh
dGksIFMuPC9hdXRob3I+PGF1dGhvcj5NY0NvbmtleSwgRC48L2F1dGhvcj48YXV0aG9yPkRpbm5l
eSwgQy4gUC48L2F1dGhvcj48L2F1dGhvcnM+PC9jb250cmlidXRvcnM+PGF1dGgtYWRkcmVzcz5E
ZXBhcnRtZW50IG9mIFVyb2xvZ3ksIFRoZSBVbml2ZXJzaXR5IG9mIFRleGFzIE1EIEFuZGVyc29u
IENhbmNlciBDZW50ZXIsIEhvdXN0b24sIFRYLCBVU0EuJiN4RDtKb2hucyBIb3BraW5zIEdyZWVu
YmVyZyBCbGFkZGVyIENhbmNlciBJbnN0aXR1dGUsIEJyYWR5IFVyb2xvZ2ljYWwgSW5zdGl0dXRl
LCBKb2hucyBIb3BraW5zIFVuaXZlcnNpdHksIEJhbHRpbW9yZSwgTUQsIFVTQS48L2F1dGgtYWRk
cmVzcz48dGl0bGVzPjx0aXRsZT5UaGUgRXZvbHV0aW9uIG9mIE5hZG9mYXJhZ2VuZSBGaXJhZGVu
b3ZlYzogQSBSZXZpZXcgYW5kIHRoZSBQYXRoIEZvcndhcmQ8L3RpdGxlPjxzZWNvbmRhcnktdGl0
bGU+QmxhZGRlciBDYW5jZXI8L3NlY29uZGFyeS10aXRsZT48L3RpdGxlcz48cGVyaW9kaWNhbD48
ZnVsbC10aXRsZT5CbGFkZGVyIENhbmNlcjwvZnVsbC10aXRsZT48L3BlcmlvZGljYWw+PHBhZ2Vz
PjEwNS0xMTI8L3BhZ2VzPjx2b2x1bWU+MTA8L3ZvbHVtZT48bnVtYmVyPjI8L251bWJlcj48ZWRp
dGlvbj4yMDI0LzA4LzEyPC9lZGl0aW9uPjxrZXl3b3Jkcz48a2V5d29yZD5JbnRlcmZlcm9uPC9r
ZXl3b3JkPjxrZXl3b3JkPmFudGlhbmdpb2dlbmljIGFnZW50czwva2V5d29yZD48a2V5d29yZD5n
ZW5lIHRoZXJhcHk8L2tleXdvcmQ+PGtleXdvcmQ+bm9uLW11c2NsZSBpbnZhc2l2ZSBibGFkZGVy
IGNhbmNlcjwva2V5d29yZD48a2V5d29yZD5EYXZpZCBNY0NvbmtleTogR3JhbnRzIG9yIGZ1bmRp
bmc6IEFzdHJhWmVuZWNhLiBIb25vcmFyaWE6IEphbnNzZW4uIEVkaXRvcmlhbDwva2V5d29yZD48
a2V5d29yZD5Cb2FyZCBtZW1iZXIgb2YgdGhpcyBqb3VybmFsLCBidXQgd2FzIG5vdCBpbnZvbHZl
ZCBpbiB0aGUgcGVlci1yZXZpZXcgcHJvY2VzcyBub3I8L2tleXdvcmQ+PGtleXdvcmQ+aGFkIGFj
Y2VzcyB0byBhbnkgaW5mb3JtYXRpb24gcmVnYXJkaW5nIGl0cyBwZWVyLXJldmlldy4gQ29saW4g
RGlubmV5OiBDb25zdWx0aW5nPC9rZXl3b3JkPjxrZXl3b3JkPmZvciBBc3RyYVplbmVjYS4gQ29u
c3VsdGluZyBhbmQgc3RvY2sgb3B0aW9ucyBmb3IgQ0cgT25jb2xvZ3kuIFJlc2VhcmNoIHN1cHBv
cnQ6PC9rZXl3b3JkPjxrZXl3b3JkPnNoYXJlZCByZXNvdXJjZXMgY292ZXJlZCBieSB0aGUgQ2Fu
Y2VyIENlbnRlciBTdXBwb3J0IEdyYW50IGZ1bmRpbmcgZnJvbSBOSUgvTkNJPC9rZXl3b3JkPjxr
ZXl3b3JkPihhd2FyZCBudW1iZXIgUDMwQ0EwMTY2NzIpLiBDcmVhdG9yIG9mIGludGVsbGVjdHVh
bCBwcm9wZXJ0eSBvd25lZCBieSBVVC9NREFDQzwva2V5d29yZD48a2V5d29yZD5yZWxhdGVkIHRv
IHRoZSB1c2Ugb2YgZ2VuZXRpYyBhbHRlcmF0aW9ucyBhcyBhIHByZWRpY3RpdmUgYmlvbWFya2Vy
IGZvciByZXNwb25zZTwva2V5d29yZD48a2V5d29yZD50byBOYWRvZmFyYWdlbmUgZmlyYWRlbm92
ZWMuIEVkaXRvcmlhbCBCb2FyZCBtZW1iZXIgb2YgdGhpcyBqb3VybmFsLCBidXQgd2FzIG5vdDwv
a2V5d29yZD48a2V5d29yZD5pbnZvbHZlZCBpbiB0aGUgcGVlci1yZXZpZXcgcHJvY2VzcyBub3Ig
aGFkIGFjY2VzcyB0byBhbnkgaW5mb3JtYXRpb24gcmVnYXJkaW5nPC9rZXl3b3JkPjxrZXl3b3Jk
Pml0cyBwZWVyLXJldmlldy48L2tleXdvcmQ+PC9rZXl3b3Jkcz48ZGF0ZXM+PHllYXI+MjAyNDwv
eWVhcj48L2RhdGVzPjxpc2JuPjIzNTItMzcyNyAoUHJpbnQpJiN4RDsyMzUyLTM3Mjc8L2lzYm4+
PGFjY2Vzc2lvbi1udW0+MzkxMzE4NzA8L2FjY2Vzc2lvbi1udW0+PHVybHM+PC91cmxzPjxjdXN0
b20yPlBNQzExMzA4NjQ3PC9jdXN0b20yPjxlbGVjdHJvbmljLXJlc291cmNlLW51bT4xMC4zMjMz
L2JsYy0yMzAwODM8L2VsZWN0cm9uaWMtcmVzb3VyY2UtbnVtPjxyZW1vdGUtZGF0YWJhc2UtcHJv
dmlkZXI+TkxNPC9yZW1vdGUtZGF0YWJhc2UtcHJvdmlkZXI+PGxhbmd1YWdlPmVuZzwvbGFuZ3Vh
Z2U+PC9yZWNvcmQ+PC9DaXRlPjwvRW5kTm90ZT5=
</w:fldData>
        </w:fldChar>
      </w:r>
      <w:r w:rsidR="00BB52B2" w:rsidRPr="00703F18">
        <w:rPr>
          <w:color w:val="000000" w:themeColor="text1"/>
        </w:rPr>
        <w:instrText xml:space="preserve"> ADDIN EN.CITE </w:instrText>
      </w:r>
      <w:r w:rsidR="00BB52B2" w:rsidRPr="00703F18">
        <w:rPr>
          <w:color w:val="000000" w:themeColor="text1"/>
        </w:rPr>
        <w:fldChar w:fldCharType="begin">
          <w:fldData xml:space="preserve">PEVuZE5vdGU+PENpdGU+PEF1dGhvcj5TdGVpbm1ldHo8L0F1dGhvcj48WWVhcj4yMDI0PC9ZZWFy
PjxSZWNOdW0+NDE8L1JlY051bT48RGlzcGxheVRleHQ+KFN0ZWlubWV0eiBldCBhbC4sIDIwMjQp
PC9EaXNwbGF5VGV4dD48cmVjb3JkPjxyZWMtbnVtYmVyPjQxPC9yZWMtbnVtYmVyPjxmb3JlaWdu
LWtleXM+PGtleSBhcHA9IkVOIiBkYi1pZD0iZHBhc2UyZTJvejVyd2NlOWF6c3BwOTVuZjl4dnN3
eHAycnZkIiB0aW1lc3RhbXA9IjE3NjUyNDM3NDAiPjQxPC9rZXk+PC9mb3JlaWduLWtleXM+PHJl
Zi10eXBlIG5hbWU9IkpvdXJuYWwgQXJ0aWNsZSI+MTc8L3JlZi10eXBlPjxjb250cmlidXRvcnM+
PGF1dGhvcnM+PGF1dGhvcj5TdGVpbm1ldHosIEEuIFIuPC9hdXRob3I+PGF1dGhvcj5Nb2trYXBh
dGksIFMuPC9hdXRob3I+PGF1dGhvcj5NY0NvbmtleSwgRC48L2F1dGhvcj48YXV0aG9yPkRpbm5l
eSwgQy4gUC48L2F1dGhvcj48L2F1dGhvcnM+PC9jb250cmlidXRvcnM+PGF1dGgtYWRkcmVzcz5E
ZXBhcnRtZW50IG9mIFVyb2xvZ3ksIFRoZSBVbml2ZXJzaXR5IG9mIFRleGFzIE1EIEFuZGVyc29u
IENhbmNlciBDZW50ZXIsIEhvdXN0b24sIFRYLCBVU0EuJiN4RDtKb2hucyBIb3BraW5zIEdyZWVu
YmVyZyBCbGFkZGVyIENhbmNlciBJbnN0aXR1dGUsIEJyYWR5IFVyb2xvZ2ljYWwgSW5zdGl0dXRl
LCBKb2hucyBIb3BraW5zIFVuaXZlcnNpdHksIEJhbHRpbW9yZSwgTUQsIFVTQS48L2F1dGgtYWRk
cmVzcz48dGl0bGVzPjx0aXRsZT5UaGUgRXZvbHV0aW9uIG9mIE5hZG9mYXJhZ2VuZSBGaXJhZGVu
b3ZlYzogQSBSZXZpZXcgYW5kIHRoZSBQYXRoIEZvcndhcmQ8L3RpdGxlPjxzZWNvbmRhcnktdGl0
bGU+QmxhZGRlciBDYW5jZXI8L3NlY29uZGFyeS10aXRsZT48L3RpdGxlcz48cGVyaW9kaWNhbD48
ZnVsbC10aXRsZT5CbGFkZGVyIENhbmNlcjwvZnVsbC10aXRsZT48L3BlcmlvZGljYWw+PHBhZ2Vz
PjEwNS0xMTI8L3BhZ2VzPjx2b2x1bWU+MTA8L3ZvbHVtZT48bnVtYmVyPjI8L251bWJlcj48ZWRp
dGlvbj4yMDI0LzA4LzEyPC9lZGl0aW9uPjxrZXl3b3Jkcz48a2V5d29yZD5JbnRlcmZlcm9uPC9r
ZXl3b3JkPjxrZXl3b3JkPmFudGlhbmdpb2dlbmljIGFnZW50czwva2V5d29yZD48a2V5d29yZD5n
ZW5lIHRoZXJhcHk8L2tleXdvcmQ+PGtleXdvcmQ+bm9uLW11c2NsZSBpbnZhc2l2ZSBibGFkZGVy
IGNhbmNlcjwva2V5d29yZD48a2V5d29yZD5EYXZpZCBNY0NvbmtleTogR3JhbnRzIG9yIGZ1bmRp
bmc6IEFzdHJhWmVuZWNhLiBIb25vcmFyaWE6IEphbnNzZW4uIEVkaXRvcmlhbDwva2V5d29yZD48
a2V5d29yZD5Cb2FyZCBtZW1iZXIgb2YgdGhpcyBqb3VybmFsLCBidXQgd2FzIG5vdCBpbnZvbHZl
ZCBpbiB0aGUgcGVlci1yZXZpZXcgcHJvY2VzcyBub3I8L2tleXdvcmQ+PGtleXdvcmQ+aGFkIGFj
Y2VzcyB0byBhbnkgaW5mb3JtYXRpb24gcmVnYXJkaW5nIGl0cyBwZWVyLXJldmlldy4gQ29saW4g
RGlubmV5OiBDb25zdWx0aW5nPC9rZXl3b3JkPjxrZXl3b3JkPmZvciBBc3RyYVplbmVjYS4gQ29u
c3VsdGluZyBhbmQgc3RvY2sgb3B0aW9ucyBmb3IgQ0cgT25jb2xvZ3kuIFJlc2VhcmNoIHN1cHBv
cnQ6PC9rZXl3b3JkPjxrZXl3b3JkPnNoYXJlZCByZXNvdXJjZXMgY292ZXJlZCBieSB0aGUgQ2Fu
Y2VyIENlbnRlciBTdXBwb3J0IEdyYW50IGZ1bmRpbmcgZnJvbSBOSUgvTkNJPC9rZXl3b3JkPjxr
ZXl3b3JkPihhd2FyZCBudW1iZXIgUDMwQ0EwMTY2NzIpLiBDcmVhdG9yIG9mIGludGVsbGVjdHVh
bCBwcm9wZXJ0eSBvd25lZCBieSBVVC9NREFDQzwva2V5d29yZD48a2V5d29yZD5yZWxhdGVkIHRv
IHRoZSB1c2Ugb2YgZ2VuZXRpYyBhbHRlcmF0aW9ucyBhcyBhIHByZWRpY3RpdmUgYmlvbWFya2Vy
IGZvciByZXNwb25zZTwva2V5d29yZD48a2V5d29yZD50byBOYWRvZmFyYWdlbmUgZmlyYWRlbm92
ZWMuIEVkaXRvcmlhbCBCb2FyZCBtZW1iZXIgb2YgdGhpcyBqb3VybmFsLCBidXQgd2FzIG5vdDwv
a2V5d29yZD48a2V5d29yZD5pbnZvbHZlZCBpbiB0aGUgcGVlci1yZXZpZXcgcHJvY2VzcyBub3Ig
aGFkIGFjY2VzcyB0byBhbnkgaW5mb3JtYXRpb24gcmVnYXJkaW5nPC9rZXl3b3JkPjxrZXl3b3Jk
Pml0cyBwZWVyLXJldmlldy48L2tleXdvcmQ+PC9rZXl3b3Jkcz48ZGF0ZXM+PHllYXI+MjAyNDwv
eWVhcj48L2RhdGVzPjxpc2JuPjIzNTItMzcyNyAoUHJpbnQpJiN4RDsyMzUyLTM3Mjc8L2lzYm4+
PGFjY2Vzc2lvbi1udW0+MzkxMzE4NzA8L2FjY2Vzc2lvbi1udW0+PHVybHM+PC91cmxzPjxjdXN0
b20yPlBNQzExMzA4NjQ3PC9jdXN0b20yPjxlbGVjdHJvbmljLXJlc291cmNlLW51bT4xMC4zMjMz
L2JsYy0yMzAwODM8L2VsZWN0cm9uaWMtcmVzb3VyY2UtbnVtPjxyZW1vdGUtZGF0YWJhc2UtcHJv
dmlkZXI+TkxNPC9yZW1vdGUtZGF0YWJhc2UtcHJvdmlkZXI+PGxhbmd1YWdlPmVuZzwvbGFuZ3Vh
Z2U+PC9yZWNvcmQ+PC9DaXRlPjwvRW5kTm90ZT5=
</w:fldData>
        </w:fldChar>
      </w:r>
      <w:r w:rsidR="00BB52B2" w:rsidRPr="00703F18">
        <w:rPr>
          <w:color w:val="000000" w:themeColor="text1"/>
        </w:rPr>
        <w:instrText xml:space="preserve"> ADDIN EN.CITE.DATA </w:instrText>
      </w:r>
      <w:r w:rsidR="00BB52B2" w:rsidRPr="00703F18">
        <w:rPr>
          <w:color w:val="000000" w:themeColor="text1"/>
        </w:rPr>
      </w:r>
      <w:r w:rsidR="00BB52B2" w:rsidRPr="00703F18">
        <w:rPr>
          <w:color w:val="000000" w:themeColor="text1"/>
        </w:rPr>
        <w:fldChar w:fldCharType="end"/>
      </w:r>
      <w:r w:rsidRPr="00703F18">
        <w:rPr>
          <w:color w:val="000000" w:themeColor="text1"/>
        </w:rPr>
      </w:r>
      <w:r w:rsidRPr="00703F18">
        <w:rPr>
          <w:color w:val="000000" w:themeColor="text1"/>
        </w:rPr>
        <w:fldChar w:fldCharType="separate"/>
      </w:r>
      <w:r w:rsidRPr="00703F18">
        <w:rPr>
          <w:noProof/>
          <w:color w:val="000000" w:themeColor="text1"/>
        </w:rPr>
        <w:t>(</w:t>
      </w:r>
      <w:hyperlink w:anchor="_ENREF_88" w:tooltip="Steinmetz, 2024 #41" w:history="1">
        <w:r w:rsidR="0027195B" w:rsidRPr="00703F18">
          <w:rPr>
            <w:noProof/>
            <w:color w:val="000000" w:themeColor="text1"/>
          </w:rPr>
          <w:t>Steinmetz et al., 2024</w:t>
        </w:r>
      </w:hyperlink>
      <w:r w:rsidRPr="00703F18">
        <w:rPr>
          <w:noProof/>
          <w:color w:val="000000" w:themeColor="text1"/>
        </w:rPr>
        <w:t>)</w:t>
      </w:r>
      <w:r w:rsidRPr="00703F18">
        <w:rPr>
          <w:color w:val="000000" w:themeColor="text1"/>
        </w:rPr>
        <w:fldChar w:fldCharType="end"/>
      </w:r>
      <w:r w:rsidR="002C2C5C" w:rsidRPr="00703F18">
        <w:rPr>
          <w:color w:val="000000" w:themeColor="text1"/>
        </w:rPr>
        <w:t xml:space="preserve">. </w:t>
      </w:r>
    </w:p>
    <w:p w14:paraId="66664177" w14:textId="3F2C0D14" w:rsidR="00C97EE9" w:rsidRPr="0062604E" w:rsidRDefault="00C97EE9" w:rsidP="00C97EE9">
      <w:pPr>
        <w:pStyle w:val="RARMPnumberedparagraphs"/>
      </w:pPr>
      <w:r w:rsidRPr="0062604E">
        <w:t xml:space="preserve">Overall, the </w:t>
      </w:r>
      <w:bookmarkStart w:id="358" w:name="_Hlk217311519"/>
      <w:r w:rsidRPr="0062604E">
        <w:t xml:space="preserve">level of uncertainty in this risk assessment is considered low </w:t>
      </w:r>
      <w:bookmarkEnd w:id="358"/>
      <w:r w:rsidRPr="0062604E">
        <w:t>and does not impact on the overall estimate of risk.</w:t>
      </w:r>
    </w:p>
    <w:p w14:paraId="75F7AD74" w14:textId="6EB1FED0" w:rsidR="00ED664E" w:rsidRPr="006404A8" w:rsidRDefault="00ED664E" w:rsidP="006E06B6">
      <w:pPr>
        <w:pStyle w:val="2RARMP"/>
      </w:pPr>
      <w:bookmarkStart w:id="359" w:name="_Toc47536768"/>
      <w:bookmarkStart w:id="360" w:name="_Ref329596058"/>
      <w:bookmarkStart w:id="361" w:name="_Ref329596068"/>
      <w:bookmarkStart w:id="362" w:name="_Toc337043444"/>
      <w:bookmarkStart w:id="363" w:name="_Toc376438182"/>
      <w:bookmarkStart w:id="364" w:name="_Toc377743583"/>
      <w:bookmarkStart w:id="365" w:name="_Toc219281412"/>
      <w:bookmarkStart w:id="366" w:name="_Toc209859597"/>
      <w:bookmarkStart w:id="367" w:name="_Toc274904777"/>
      <w:bookmarkStart w:id="368" w:name="_Toc291151830"/>
      <w:bookmarkStart w:id="369" w:name="_Toc309054030"/>
      <w:bookmarkStart w:id="370" w:name="_Toc309833722"/>
      <w:bookmarkEnd w:id="241"/>
      <w:r w:rsidRPr="006404A8">
        <w:lastRenderedPageBreak/>
        <w:t xml:space="preserve">Risk </w:t>
      </w:r>
      <w:r w:rsidR="00A2563E">
        <w:t>evaluation</w:t>
      </w:r>
      <w:bookmarkEnd w:id="359"/>
      <w:bookmarkEnd w:id="360"/>
      <w:bookmarkEnd w:id="361"/>
      <w:bookmarkEnd w:id="362"/>
      <w:bookmarkEnd w:id="363"/>
      <w:bookmarkEnd w:id="364"/>
      <w:bookmarkEnd w:id="365"/>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7CED4783" w:rsidR="00642AC6" w:rsidRPr="00642AC6" w:rsidRDefault="00A2563E" w:rsidP="00642AC6">
      <w:pPr>
        <w:pStyle w:val="RARMPnumberedparagraphs"/>
      </w:pPr>
      <w:r w:rsidRPr="00642AC6">
        <w:t xml:space="preserve">Three risk scenarios were identified whereby the proposed dealings might give rise to harm to people or the environment. This included consideration of </w:t>
      </w:r>
      <w:r w:rsidR="00642AC6" w:rsidRPr="00642AC6">
        <w:t xml:space="preserve">whether people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85B15A1" w14:textId="14DB01DD" w:rsidR="00EB2070" w:rsidRPr="00612D03" w:rsidRDefault="00034873" w:rsidP="009C1795">
      <w:pPr>
        <w:pStyle w:val="RARMPnumberedparagraphs"/>
        <w:numPr>
          <w:ilvl w:val="0"/>
          <w:numId w:val="35"/>
        </w:numPr>
      </w:pPr>
      <w:r>
        <w:t>t</w:t>
      </w:r>
      <w:r w:rsidR="00A2563E" w:rsidRPr="006404A8">
        <w:t>he</w:t>
      </w:r>
      <w:r w:rsidR="008C7ABE">
        <w:t xml:space="preserve"> </w:t>
      </w:r>
      <w:r w:rsidR="008C7ABE" w:rsidRPr="00612D03">
        <w:t xml:space="preserve">GMO </w:t>
      </w:r>
      <w:r w:rsidR="009C1795" w:rsidRPr="00612D03">
        <w:t>is replication incompetent which will prevent it from multiplying in other cells</w:t>
      </w:r>
      <w:r w:rsidR="008C7ABE" w:rsidRPr="00612D03">
        <w:t>;</w:t>
      </w:r>
      <w:r w:rsidR="009C1795" w:rsidRPr="00612D03">
        <w:t xml:space="preserve"> and</w:t>
      </w:r>
    </w:p>
    <w:p w14:paraId="7109DF96" w14:textId="7D4F49CB" w:rsidR="00642AC6" w:rsidRPr="00612D03" w:rsidRDefault="00034873" w:rsidP="00B50718">
      <w:pPr>
        <w:pStyle w:val="RARMPnumberedparagraphs"/>
        <w:numPr>
          <w:ilvl w:val="0"/>
          <w:numId w:val="35"/>
        </w:numPr>
      </w:pPr>
      <w:r w:rsidRPr="00612D03">
        <w:t>t</w:t>
      </w:r>
      <w:r w:rsidR="00642AC6" w:rsidRPr="00612D03">
        <w:t xml:space="preserve">he </w:t>
      </w:r>
      <w:r w:rsidR="00994E96" w:rsidRPr="00612D03">
        <w:t xml:space="preserve">likelihood </w:t>
      </w:r>
      <w:r w:rsidR="00642AC6" w:rsidRPr="00612D03">
        <w:t>of accidental exposure to</w:t>
      </w:r>
      <w:r w:rsidR="001D62F2" w:rsidRPr="00612D03">
        <w:t xml:space="preserve"> the GMO in people not being </w:t>
      </w:r>
      <w:r w:rsidR="00033515" w:rsidRPr="00612D03">
        <w:t>treated</w:t>
      </w:r>
      <w:r w:rsidR="00642AC6" w:rsidRPr="00612D03">
        <w:t xml:space="preserve"> </w:t>
      </w:r>
      <w:r w:rsidR="00647E50" w:rsidRPr="00612D03">
        <w:t xml:space="preserve">or animals </w:t>
      </w:r>
      <w:r w:rsidR="00893BA2" w:rsidRPr="00612D03">
        <w:t>would</w:t>
      </w:r>
      <w:r w:rsidR="00642AC6" w:rsidRPr="00612D03">
        <w:t xml:space="preserve"> be minimised due to well-established </w:t>
      </w:r>
      <w:r w:rsidR="009C1795" w:rsidRPr="00612D03">
        <w:t xml:space="preserve">clinical, </w:t>
      </w:r>
      <w:r w:rsidR="00642AC6" w:rsidRPr="00612D03">
        <w:t>import, transport, storage and disposal procedures; and</w:t>
      </w:r>
    </w:p>
    <w:p w14:paraId="167A4108" w14:textId="641B6FDD" w:rsidR="009C1795" w:rsidRPr="00612D03" w:rsidRDefault="009C1795" w:rsidP="009C1795">
      <w:pPr>
        <w:pStyle w:val="ListParagraph"/>
        <w:numPr>
          <w:ilvl w:val="0"/>
          <w:numId w:val="35"/>
        </w:numPr>
      </w:pPr>
      <w:r w:rsidRPr="00612D03">
        <w:t>the dose received through accidental exposure would be far smaller than that administered; and</w:t>
      </w:r>
    </w:p>
    <w:p w14:paraId="0B8977BF" w14:textId="43D69527" w:rsidR="00FC616D" w:rsidRPr="00FC616D" w:rsidRDefault="00642AC6" w:rsidP="00B50718">
      <w:pPr>
        <w:pStyle w:val="RARMPnumberedparagraphs"/>
        <w:numPr>
          <w:ilvl w:val="0"/>
          <w:numId w:val="35"/>
        </w:numPr>
      </w:pPr>
      <w:r w:rsidRPr="00612D03">
        <w:rPr>
          <w:rFonts w:cs="Calibri"/>
        </w:rPr>
        <w:t xml:space="preserve">complementation and recombination </w:t>
      </w:r>
      <w:r w:rsidR="00FF2954" w:rsidRPr="00612D03">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7257A197" w:rsidR="00642AC6" w:rsidRDefault="00FC616D" w:rsidP="00FC616D">
      <w:pPr>
        <w:pStyle w:val="RARMPnumberedparagraphs"/>
        <w:numPr>
          <w:ilvl w:val="0"/>
          <w:numId w:val="35"/>
        </w:numPr>
      </w:pPr>
      <w:r>
        <w:rPr>
          <w:rFonts w:cs="Calibri"/>
        </w:rPr>
        <w:t>survival and</w:t>
      </w:r>
      <w:r w:rsidR="00642AC6" w:rsidRPr="00815DA9">
        <w:rPr>
          <w:rFonts w:cs="Calibri"/>
        </w:rPr>
        <w:t xml:space="preserve"> persistence of the small </w:t>
      </w:r>
      <w:r w:rsidR="00746B45">
        <w:rPr>
          <w:rFonts w:cs="Calibri"/>
        </w:rPr>
        <w:t>amount</w:t>
      </w:r>
      <w:r w:rsidR="00642AC6" w:rsidRPr="00815DA9">
        <w:rPr>
          <w:rFonts w:cs="Calibri"/>
        </w:rPr>
        <w:t xml:space="preserve"> of GMO in the Australian aquatic </w:t>
      </w:r>
      <w:r w:rsidR="001D62F2">
        <w:rPr>
          <w:rFonts w:cs="Calibri"/>
        </w:rPr>
        <w:t xml:space="preserve">and terrestrial </w:t>
      </w:r>
      <w:r w:rsidR="00642AC6" w:rsidRPr="00815DA9">
        <w:rPr>
          <w:rFonts w:cs="Calibri"/>
        </w:rPr>
        <w:t xml:space="preserve">environment is </w:t>
      </w:r>
      <w:r w:rsidRPr="00FC616D">
        <w:rPr>
          <w:rFonts w:cs="Calibri"/>
        </w:rPr>
        <w:t>highly unlikely</w:t>
      </w:r>
      <w:r w:rsidR="00642AC6">
        <w:rPr>
          <w:rFonts w:cs="Calibri"/>
        </w:rPr>
        <w:t>.</w:t>
      </w:r>
    </w:p>
    <w:p w14:paraId="21265946" w14:textId="0F53E7A7" w:rsidR="008F5F84" w:rsidRDefault="00ED664E" w:rsidP="00781D9F">
      <w:pPr>
        <w:pStyle w:val="RARMPnumberedparagraphs"/>
        <w:sectPr w:rsidR="008F5F84" w:rsidSect="00D83417">
          <w:footerReference w:type="default" r:id="rId47"/>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781D9F">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781D9F">
        <w:t>.</w:t>
      </w:r>
      <w:r w:rsidR="00E1104A" w:rsidRPr="00C43837">
        <w:rPr>
          <w:rStyle w:val="FootnoteReference"/>
        </w:rPr>
        <w:footnoteReference w:id="4"/>
      </w:r>
    </w:p>
    <w:p w14:paraId="6A6BEB28" w14:textId="77777777" w:rsidR="00ED664E" w:rsidRPr="0000143A" w:rsidRDefault="00ED664E" w:rsidP="00ED664E">
      <w:pPr>
        <w:pStyle w:val="1RARMP"/>
      </w:pPr>
      <w:bookmarkStart w:id="371" w:name="_Toc202859581"/>
      <w:bookmarkStart w:id="372" w:name="_Toc223510482"/>
      <w:bookmarkStart w:id="373" w:name="_Toc301341858"/>
      <w:bookmarkStart w:id="374" w:name="_Toc47536769"/>
      <w:bookmarkStart w:id="375" w:name="_Ref57119365"/>
      <w:bookmarkStart w:id="376" w:name="_Toc219281413"/>
      <w:bookmarkStart w:id="377" w:name="_Toc109207389"/>
      <w:bookmarkStart w:id="378" w:name="_Toc111019337"/>
      <w:bookmarkStart w:id="379" w:name="_Toc112822925"/>
      <w:bookmarkStart w:id="380" w:name="_Toc127695746"/>
      <w:bookmarkStart w:id="381" w:name="_Toc142471173"/>
      <w:bookmarkStart w:id="382" w:name="_Toc142987540"/>
      <w:bookmarkStart w:id="383" w:name="_Toc143058829"/>
      <w:bookmarkEnd w:id="366"/>
      <w:bookmarkEnd w:id="367"/>
      <w:bookmarkEnd w:id="368"/>
      <w:bookmarkEnd w:id="369"/>
      <w:bookmarkEnd w:id="370"/>
      <w:r w:rsidRPr="0000143A">
        <w:lastRenderedPageBreak/>
        <w:t>Risk management</w:t>
      </w:r>
      <w:bookmarkEnd w:id="371"/>
      <w:bookmarkEnd w:id="372"/>
      <w:bookmarkEnd w:id="373"/>
      <w:r w:rsidRPr="0000143A">
        <w:t xml:space="preserve"> plan</w:t>
      </w:r>
      <w:bookmarkEnd w:id="374"/>
      <w:bookmarkEnd w:id="375"/>
      <w:bookmarkEnd w:id="376"/>
    </w:p>
    <w:p w14:paraId="492954E4" w14:textId="77777777" w:rsidR="00ED664E" w:rsidRPr="0000143A" w:rsidRDefault="00ED664E" w:rsidP="006E06B6">
      <w:pPr>
        <w:pStyle w:val="2RARMP"/>
      </w:pPr>
      <w:bookmarkStart w:id="384" w:name="_Toc446425415"/>
      <w:bookmarkStart w:id="385" w:name="_Toc47536770"/>
      <w:bookmarkStart w:id="386" w:name="_Toc219281414"/>
      <w:r w:rsidRPr="0000143A">
        <w:t>Background</w:t>
      </w:r>
      <w:bookmarkEnd w:id="384"/>
      <w:bookmarkEnd w:id="385"/>
      <w:bookmarkEnd w:id="386"/>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24307A25" w:rsidR="00ED664E" w:rsidRPr="0000143A" w:rsidRDefault="00ED664E" w:rsidP="008F448C">
      <w:pPr>
        <w:pStyle w:val="RARMPnumberedparagraphs"/>
        <w:tabs>
          <w:tab w:val="clear" w:pos="567"/>
        </w:tabs>
      </w:pPr>
      <w:r w:rsidRPr="0000143A">
        <w:t xml:space="preserve">All licences are subject to </w:t>
      </w:r>
      <w:r w:rsidR="00771C98">
        <w:t>3</w:t>
      </w:r>
      <w:r w:rsidR="00771C98" w:rsidRPr="0000143A">
        <w:t xml:space="preserve"> </w:t>
      </w:r>
      <w:r w:rsidRPr="0000143A">
        <w:t>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6E06B6">
      <w:pPr>
        <w:pStyle w:val="2RARMP"/>
      </w:pPr>
      <w:bookmarkStart w:id="387" w:name="_Toc47536771"/>
      <w:bookmarkStart w:id="388" w:name="_Toc219281415"/>
      <w:r w:rsidRPr="0000143A">
        <w:t>Risk treatment measures for substantive risks</w:t>
      </w:r>
      <w:bookmarkEnd w:id="387"/>
      <w:bookmarkEnd w:id="388"/>
    </w:p>
    <w:p w14:paraId="7F082CE6" w14:textId="55807897"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1E7664">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1E7664">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1E7664">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1E7664">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1E7664">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1E7664">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1E7664">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6E06B6">
      <w:pPr>
        <w:pStyle w:val="2RARMP"/>
      </w:pPr>
      <w:bookmarkStart w:id="389" w:name="_Toc47536772"/>
      <w:bookmarkStart w:id="390" w:name="_Toc219281416"/>
      <w:r w:rsidRPr="0000143A">
        <w:t>General risk management</w:t>
      </w:r>
      <w:bookmarkEnd w:id="389"/>
      <w:bookmarkEnd w:id="390"/>
    </w:p>
    <w:p w14:paraId="11E97F7B" w14:textId="6679D21B"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w:t>
      </w:r>
      <w:r>
        <w:t xml:space="preserve">draft </w:t>
      </w:r>
      <w:r w:rsidRPr="00811604">
        <w:t xml:space="preserve">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draft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91" w:name="_Toc61015662"/>
      <w:bookmarkStart w:id="392" w:name="_Toc47536773"/>
      <w:bookmarkStart w:id="393" w:name="_Toc219281417"/>
      <w:r>
        <w:t>Limits and controls on the clinical trial</w:t>
      </w:r>
      <w:bookmarkEnd w:id="391"/>
      <w:bookmarkEnd w:id="392"/>
      <w:bookmarkEnd w:id="393"/>
    </w:p>
    <w:p w14:paraId="36CC5082" w14:textId="4A844E73"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1E7664">
        <w:t>2.1</w:t>
      </w:r>
      <w:r>
        <w:fldChar w:fldCharType="end"/>
      </w:r>
      <w:r w:rsidRPr="00C1583E">
        <w:t xml:space="preserve"> and </w:t>
      </w:r>
      <w:r>
        <w:fldChar w:fldCharType="begin"/>
      </w:r>
      <w:r>
        <w:instrText xml:space="preserve"> REF _Ref57040802 \n \h </w:instrText>
      </w:r>
      <w:r>
        <w:fldChar w:fldCharType="separate"/>
      </w:r>
      <w:r w:rsidR="001E7664">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1E7664">
        <w:t>Chapter 1</w:t>
      </w:r>
      <w:r w:rsidR="00EE70D5">
        <w:fldChar w:fldCharType="end"/>
      </w:r>
      <w:r w:rsidR="00EE70D5">
        <w:t xml:space="preserve"> </w:t>
      </w:r>
      <w:r w:rsidRPr="00C1583E">
        <w:t>list th</w:t>
      </w:r>
      <w:r w:rsidRPr="00961290">
        <w:t>e limits and controls proposed</w:t>
      </w:r>
      <w:r>
        <w:t xml:space="preserve"> by </w:t>
      </w:r>
      <w:bookmarkStart w:id="394" w:name="_Hlk216191984"/>
      <w:r w:rsidR="004D2539" w:rsidRPr="00A26162">
        <w:t>Ferring</w:t>
      </w:r>
      <w:bookmarkEnd w:id="394"/>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1E7664">
        <w:t>Chapter 2</w:t>
      </w:r>
      <w:r w:rsidR="00EE70D5">
        <w:fldChar w:fldCharType="end"/>
      </w:r>
      <w:r w:rsidRPr="00961290">
        <w:t>. The appropriateness of the limits and controls is considered further in the following sections.</w:t>
      </w:r>
    </w:p>
    <w:p w14:paraId="57394E36" w14:textId="675897F7" w:rsidR="003D53C8" w:rsidRPr="00D64592" w:rsidRDefault="003D53C8" w:rsidP="003D53C8">
      <w:pPr>
        <w:pStyle w:val="4RARMP"/>
        <w:tabs>
          <w:tab w:val="clear" w:pos="284"/>
          <w:tab w:val="left" w:pos="680"/>
        </w:tabs>
      </w:pPr>
      <w:r>
        <w:lastRenderedPageBreak/>
        <w:t xml:space="preserve">Consideration of limits and controls proposed by </w:t>
      </w:r>
      <w:r w:rsidR="004D2539" w:rsidRPr="00D64592">
        <w:t>Ferring</w:t>
      </w:r>
    </w:p>
    <w:p w14:paraId="4C7A564B" w14:textId="6CE3AF03" w:rsidR="003D53C8" w:rsidRPr="00F976C8" w:rsidRDefault="003D53C8" w:rsidP="00C72058">
      <w:pPr>
        <w:pStyle w:val="RARMPnumberedparagraphs"/>
      </w:pPr>
      <w:r w:rsidRPr="00D64592">
        <w:t xml:space="preserve">The proposed clinical trial would involve a maximum of </w:t>
      </w:r>
      <w:r w:rsidR="00584849" w:rsidRPr="00D64592">
        <w:t>13</w:t>
      </w:r>
      <w:r w:rsidRPr="00D64592">
        <w:t xml:space="preserve"> participants within Australia, and dealings with the GMO would take place in medical facilities such as clinical trial </w:t>
      </w:r>
      <w:r w:rsidR="00771C98" w:rsidRPr="00D64592">
        <w:t xml:space="preserve">facilities </w:t>
      </w:r>
      <w:r w:rsidR="00AF57D9" w:rsidRPr="00D64592">
        <w:t>or</w:t>
      </w:r>
      <w:r w:rsidRPr="00D64592">
        <w:t xml:space="preserve"> hospitals. Activities that would occur outside of medical facilities include transport, storage and disposal of the GMO. The applicant has proposed to complete </w:t>
      </w:r>
      <w:r w:rsidR="009C58DD" w:rsidRPr="00D64592">
        <w:t>dealings with the GMO</w:t>
      </w:r>
      <w:r w:rsidRPr="00D64592">
        <w:t xml:space="preserve"> within </w:t>
      </w:r>
      <w:r w:rsidR="00584849" w:rsidRPr="00D64592">
        <w:t>5</w:t>
      </w:r>
      <w:r w:rsidRPr="00D64592">
        <w:t xml:space="preserve"> years of commencement. </w:t>
      </w:r>
      <w:r w:rsidR="001963E3" w:rsidRPr="00D64592">
        <w:t xml:space="preserve">A proposed licence condition limits the period when the GMO may be administered under the licence to </w:t>
      </w:r>
      <w:r w:rsidR="00584849" w:rsidRPr="00D64592">
        <w:t>5</w:t>
      </w:r>
      <w:r w:rsidR="001963E3" w:rsidRPr="00D64592">
        <w:t xml:space="preserve"> years from the date of issue of the licence. </w:t>
      </w:r>
      <w:r w:rsidR="00B96533" w:rsidRPr="00D64592">
        <w:t xml:space="preserve">Other conditions </w:t>
      </w:r>
      <w:r w:rsidRPr="00D64592">
        <w:t xml:space="preserve">maintaining the risk context and proposed limits of the trial such as </w:t>
      </w:r>
      <w:r w:rsidR="00B96533" w:rsidRPr="00D64592">
        <w:t xml:space="preserve">a </w:t>
      </w:r>
      <w:r w:rsidRPr="00D64592">
        <w:t xml:space="preserve">maximum of </w:t>
      </w:r>
      <w:r w:rsidR="00F905EC" w:rsidRPr="00D64592">
        <w:t>13</w:t>
      </w:r>
      <w:r w:rsidR="00B96533" w:rsidRPr="00D64592">
        <w:t xml:space="preserve"> </w:t>
      </w:r>
      <w:r w:rsidRPr="00D64592">
        <w:t xml:space="preserve">trial participants and </w:t>
      </w:r>
      <w:r w:rsidR="00B96533" w:rsidRPr="00D64592">
        <w:t xml:space="preserve">requirements for </w:t>
      </w:r>
      <w:r w:rsidR="00D45C84" w:rsidRPr="00D64592">
        <w:t xml:space="preserve">dealings related to preparation and administration of the GMO </w:t>
      </w:r>
      <w:r w:rsidR="00D45C84">
        <w:t>to be conducted at a clinical trial site</w:t>
      </w:r>
      <w:r w:rsidRPr="00F976C8">
        <w:t xml:space="preserve"> have been included in the draft licence.</w:t>
      </w:r>
    </w:p>
    <w:p w14:paraId="0C4D4B93" w14:textId="1A7F3222" w:rsidR="003D53C8" w:rsidRPr="00144595" w:rsidRDefault="00622167" w:rsidP="00C72058">
      <w:pPr>
        <w:pStyle w:val="RARMPnumberedparagraphs"/>
      </w:pPr>
      <w:r>
        <w:t>I</w:t>
      </w:r>
      <w:r w:rsidR="00553531" w:rsidRPr="008B7C7B">
        <w:t>mport and transport of the GMO</w:t>
      </w:r>
      <w:r w:rsidR="00553531">
        <w:t xml:space="preserve"> is covered under </w:t>
      </w:r>
      <w:r w:rsidR="00104A5F">
        <w:t xml:space="preserve">licence </w:t>
      </w:r>
      <w:r w:rsidR="00553531">
        <w:t>DIR</w:t>
      </w:r>
      <w:r w:rsidR="00104A5F">
        <w:t xml:space="preserve"> </w:t>
      </w:r>
      <w:r w:rsidR="00553531">
        <w:t>217</w:t>
      </w:r>
      <w:r>
        <w:t xml:space="preserve">. </w:t>
      </w:r>
      <w:r w:rsidR="00A751B3">
        <w:t>T</w:t>
      </w:r>
      <w:r w:rsidR="003D53C8" w:rsidRPr="008B7C7B">
        <w:t xml:space="preserve">he applicant advised that transport </w:t>
      </w:r>
      <w:r w:rsidR="00553531">
        <w:t xml:space="preserve">and disposal </w:t>
      </w:r>
      <w:r w:rsidR="003D53C8" w:rsidRPr="008B7C7B">
        <w:t xml:space="preserve">of the waste containing the GMO would be in accordance with the Regulator’s </w:t>
      </w:r>
      <w:r w:rsidR="003D53C8" w:rsidRPr="008B7C7B">
        <w:rPr>
          <w:i/>
        </w:rPr>
        <w:t>Guidelines for the Transport, Storage and Disposal of GMOs</w:t>
      </w:r>
      <w:r w:rsidR="003D53C8" w:rsidRPr="008B7C7B">
        <w:t xml:space="preserve">. These are standard protocols for the handling </w:t>
      </w:r>
      <w:r w:rsidR="003D53C8">
        <w:t xml:space="preserve">and </w:t>
      </w:r>
      <w:r w:rsidR="003D53C8" w:rsidRPr="008B7C7B">
        <w:t>minimis</w:t>
      </w:r>
      <w:r w:rsidR="003D53C8">
        <w:t>ing</w:t>
      </w:r>
      <w:r w:rsidR="003D53C8" w:rsidRPr="008B7C7B">
        <w:t xml:space="preserve"> exposure to the GMO. </w:t>
      </w:r>
      <w:r w:rsidR="003D53C8">
        <w:t xml:space="preserve">These proposed transport conditions are suitable for the GMO. Therefore, the draft licence details the minimum requirements for packaging and labelling waste contaminated with the GMO for transport and storage within a clinical trial site, as well as transport of the </w:t>
      </w:r>
      <w:r w:rsidR="00C72058">
        <w:t xml:space="preserve">samples that may contain </w:t>
      </w:r>
      <w:r w:rsidR="003D53C8">
        <w:t xml:space="preserve">GMO for </w:t>
      </w:r>
      <w:r w:rsidR="00C72058">
        <w:t>analysis</w:t>
      </w:r>
      <w:r w:rsidR="003D53C8">
        <w:t xml:space="preserve">. </w:t>
      </w:r>
      <w:r w:rsidR="003D53C8" w:rsidRPr="008B7C7B">
        <w:t xml:space="preserve">These measures would limit the </w:t>
      </w:r>
      <w:r w:rsidR="003D53C8" w:rsidRPr="00144595">
        <w:t xml:space="preserve">exposure of people and the environment to the GMO. </w:t>
      </w:r>
    </w:p>
    <w:p w14:paraId="51C6B956" w14:textId="501EF834" w:rsidR="000430F8" w:rsidRDefault="003D53C8" w:rsidP="00C72058">
      <w:pPr>
        <w:pStyle w:val="RARMPnumberedparagraphs"/>
      </w:pPr>
      <w:r w:rsidRPr="00144595">
        <w:t xml:space="preserve">There are proposed inclusion and exclusion criteria for both trial participants and staff as listed in </w:t>
      </w:r>
      <w:r w:rsidR="00EE70D5">
        <w:fldChar w:fldCharType="begin"/>
      </w:r>
      <w:r w:rsidR="00EE70D5">
        <w:instrText xml:space="preserve"> REF _Ref67492375 \n \h </w:instrText>
      </w:r>
      <w:r w:rsidR="00EE70D5">
        <w:fldChar w:fldCharType="separate"/>
      </w:r>
      <w:r w:rsidR="001E7664">
        <w:t>Chapter 1</w:t>
      </w:r>
      <w:r w:rsidR="00EE70D5">
        <w:fldChar w:fldCharType="end"/>
      </w:r>
      <w:r w:rsidRPr="00144595">
        <w:t xml:space="preserve">, Section </w:t>
      </w:r>
      <w:r w:rsidR="00C72058">
        <w:fldChar w:fldCharType="begin"/>
      </w:r>
      <w:r w:rsidR="00C72058">
        <w:instrText xml:space="preserve"> REF _Ref67491471 \n \h  \* MERGEFORMAT </w:instrText>
      </w:r>
      <w:r w:rsidR="00C72058">
        <w:fldChar w:fldCharType="separate"/>
      </w:r>
      <w:r w:rsidR="001E7664">
        <w:t>2.3.5</w:t>
      </w:r>
      <w:r w:rsidR="00C72058">
        <w:fldChar w:fldCharType="end"/>
      </w:r>
      <w:r w:rsidRPr="00144595">
        <w:t xml:space="preserve">. The inclusion and exclusion criteria for trial participants would be subject to approval by a HREC, who would consider the safety of the individuals involved in the trial. </w:t>
      </w:r>
    </w:p>
    <w:p w14:paraId="1E0C2C9E" w14:textId="1B07B96A" w:rsidR="000430F8" w:rsidRDefault="000430F8" w:rsidP="00497056">
      <w:pPr>
        <w:pStyle w:val="RARMPnumberedparagraphs"/>
      </w:pPr>
      <w:r w:rsidRPr="000430F8">
        <w:t xml:space="preserve">The relevant inclusion criteria proposed by the applicant include that the trial participants </w:t>
      </w:r>
      <w:r w:rsidRPr="00497056">
        <w:t>must</w:t>
      </w:r>
      <w:r w:rsidR="00497056">
        <w:t xml:space="preserve"> </w:t>
      </w:r>
      <w:r w:rsidR="00497056" w:rsidRPr="000430F8">
        <w:t xml:space="preserve">agree </w:t>
      </w:r>
      <w:r w:rsidR="00497056" w:rsidRPr="00612D03">
        <w:t>to use effective forms of contraception during treatment and for 6 months (female) or 3 months (male) after the last dose.</w:t>
      </w:r>
    </w:p>
    <w:p w14:paraId="2B543235" w14:textId="4D6AA900" w:rsidR="007E1BBA" w:rsidRPr="00612D03" w:rsidRDefault="007E1BBA" w:rsidP="00497056">
      <w:pPr>
        <w:pStyle w:val="RARMPnumberedparagraphs"/>
      </w:pPr>
      <w:r w:rsidRPr="00612D03">
        <w:t xml:space="preserve">Shedding in semen has not been assessed for this GMO. Due to the non-replicating nature of the GMO, sexual transmission </w:t>
      </w:r>
      <w:r w:rsidRPr="000430F8">
        <w:t>of the GMO from the trial participants is unlikely</w:t>
      </w:r>
      <w:r w:rsidR="00E450E5">
        <w:t xml:space="preserve">, however the preclinical studies with the GMO show the presence of </w:t>
      </w:r>
      <w:r w:rsidR="00E450E5" w:rsidRPr="003E2C69">
        <w:t>GMO-specific DNA</w:t>
      </w:r>
      <w:r w:rsidR="00E450E5">
        <w:t xml:space="preserve"> in the gonads of monkeys 8 days after intravesical administration of the GMO (Chapter 1 Section 4.3.3)</w:t>
      </w:r>
      <w:r w:rsidRPr="000430F8">
        <w:t xml:space="preserve">. </w:t>
      </w:r>
      <w:r w:rsidR="00E450E5">
        <w:t xml:space="preserve">Therefore, </w:t>
      </w:r>
      <w:r w:rsidR="004A2F39">
        <w:t xml:space="preserve">as a precaution, the participants should use effective </w:t>
      </w:r>
      <w:r w:rsidR="00E450E5">
        <w:t xml:space="preserve">barrier </w:t>
      </w:r>
      <w:r w:rsidR="00EF7306">
        <w:t>methods</w:t>
      </w:r>
      <w:r w:rsidR="00E450E5">
        <w:t xml:space="preserve"> to prevent pregnancy and potential exposure to the GMO during sexual </w:t>
      </w:r>
      <w:proofErr w:type="gramStart"/>
      <w:r w:rsidR="00E450E5">
        <w:t>activities</w:t>
      </w:r>
      <w:r w:rsidR="004A2F39">
        <w:t>, and</w:t>
      </w:r>
      <w:proofErr w:type="gramEnd"/>
      <w:r w:rsidR="004A2F39">
        <w:t xml:space="preserve"> not donate gametes for a period after GMO administration</w:t>
      </w:r>
      <w:r w:rsidR="00E450E5">
        <w:t xml:space="preserve">. </w:t>
      </w:r>
      <w:r w:rsidR="004A2F39">
        <w:t xml:space="preserve">Regarding donation of blood and other tissues, the Phase 2 clinical trial of the GMO showed GMO-specific DNA in the blood of 1/23 participants 2 days after the second intravesical administration of the GMO (Chapter 1 Section 4.4.4), therefore blood and organ donation after GMO administration should also be avoided as a precaution. </w:t>
      </w:r>
      <w:r w:rsidRPr="000430F8">
        <w:t xml:space="preserve">Using the conservative timeframe of </w:t>
      </w:r>
      <w:r>
        <w:t>60</w:t>
      </w:r>
      <w:r w:rsidRPr="000430F8">
        <w:t> days</w:t>
      </w:r>
      <w:r w:rsidR="00E450E5">
        <w:t xml:space="preserve"> after GMO administration</w:t>
      </w:r>
      <w:r w:rsidRPr="000430F8">
        <w:t xml:space="preserve">, as </w:t>
      </w:r>
      <w:r>
        <w:t>is standard in similar clinical trial licences</w:t>
      </w:r>
      <w:r w:rsidRPr="000430F8">
        <w:t xml:space="preserve">, </w:t>
      </w:r>
      <w:r>
        <w:t>th</w:t>
      </w:r>
      <w:r w:rsidR="00E450E5">
        <w:t>is</w:t>
      </w:r>
      <w:r>
        <w:t xml:space="preserve"> use of effective barrier </w:t>
      </w:r>
      <w:r w:rsidR="00EF7306">
        <w:t>method</w:t>
      </w:r>
      <w:r>
        <w:t xml:space="preserve"> </w:t>
      </w:r>
      <w:r w:rsidR="00E450E5">
        <w:t>as well as abstaining</w:t>
      </w:r>
      <w:r w:rsidRPr="000430F8">
        <w:t xml:space="preserve"> from blood</w:t>
      </w:r>
      <w:r>
        <w:t>, gamete</w:t>
      </w:r>
      <w:r w:rsidRPr="000430F8">
        <w:t xml:space="preserve"> or organ donation would </w:t>
      </w:r>
      <w:r>
        <w:t xml:space="preserve">further </w:t>
      </w:r>
      <w:r w:rsidRPr="000430F8">
        <w:t xml:space="preserve">minimise the potential for transmission of infectious viral particles. Therefore, the criteria included in the draft licence are that the licence holder must obtain written agreement from the trial participant </w:t>
      </w:r>
      <w:r w:rsidR="0088010B" w:rsidRPr="000430F8">
        <w:t>that</w:t>
      </w:r>
      <w:r w:rsidR="0088010B" w:rsidRPr="000430F8" w:rsidDel="0088010B">
        <w:t xml:space="preserve"> </w:t>
      </w:r>
      <w:r w:rsidRPr="000430F8">
        <w:t xml:space="preserve">they </w:t>
      </w:r>
      <w:r w:rsidR="00752A41">
        <w:t>will use</w:t>
      </w:r>
      <w:r w:rsidR="00725F81">
        <w:t xml:space="preserve"> an</w:t>
      </w:r>
      <w:r w:rsidR="00752A41">
        <w:t xml:space="preserve"> effective barrier </w:t>
      </w:r>
      <w:r w:rsidR="00573E14">
        <w:t xml:space="preserve">method for 60 days </w:t>
      </w:r>
      <w:r w:rsidR="0088010B" w:rsidRPr="000430F8">
        <w:t xml:space="preserve">after </w:t>
      </w:r>
      <w:r w:rsidR="0088010B">
        <w:t>each administration</w:t>
      </w:r>
      <w:r w:rsidR="0088010B" w:rsidRPr="000430F8">
        <w:t xml:space="preserve"> of the GMO </w:t>
      </w:r>
      <w:r w:rsidR="0088010B">
        <w:t xml:space="preserve">and </w:t>
      </w:r>
      <w:r w:rsidRPr="000430F8">
        <w:t>will not donate blood</w:t>
      </w:r>
      <w:r w:rsidR="004A2F39">
        <w:t>, gametes</w:t>
      </w:r>
      <w:r w:rsidRPr="000430F8">
        <w:t xml:space="preserve"> or organs</w:t>
      </w:r>
      <w:r w:rsidR="0088010B" w:rsidRPr="0088010B">
        <w:t xml:space="preserve"> </w:t>
      </w:r>
      <w:r w:rsidR="0088010B" w:rsidRPr="000430F8">
        <w:t>for</w:t>
      </w:r>
      <w:r w:rsidR="0088010B">
        <w:t xml:space="preserve"> the duration of the trial and</w:t>
      </w:r>
      <w:r w:rsidR="0088010B" w:rsidRPr="000430F8">
        <w:t xml:space="preserve"> </w:t>
      </w:r>
      <w:r w:rsidR="0088010B">
        <w:t>60</w:t>
      </w:r>
      <w:r w:rsidR="0088010B" w:rsidRPr="000430F8">
        <w:t xml:space="preserve"> days after the last dose of the GMO</w:t>
      </w:r>
      <w:r w:rsidR="004A2F39">
        <w:t>.</w:t>
      </w:r>
    </w:p>
    <w:p w14:paraId="4D895698" w14:textId="65C9EF69" w:rsidR="000430F8" w:rsidRDefault="000430F8" w:rsidP="00EB5ED1">
      <w:pPr>
        <w:pStyle w:val="RARMPnumberedparagraphs"/>
      </w:pPr>
      <w:r w:rsidRPr="00612D03">
        <w:t>The relevant exclusion criteria pr</w:t>
      </w:r>
      <w:r w:rsidR="00EB5ED1" w:rsidRPr="00612D03">
        <w:t xml:space="preserve">oposed by the applicant include </w:t>
      </w:r>
      <w:r w:rsidRPr="00612D03">
        <w:t xml:space="preserve">pregnant </w:t>
      </w:r>
      <w:r w:rsidR="00CC0F15" w:rsidRPr="00612D03">
        <w:t>or</w:t>
      </w:r>
      <w:r w:rsidRPr="00612D03">
        <w:t xml:space="preserve"> breastfeeding women</w:t>
      </w:r>
      <w:r w:rsidR="00CC0F15" w:rsidRPr="00612D03">
        <w:t>, and immunocompromised or immunodeficient people.</w:t>
      </w:r>
    </w:p>
    <w:p w14:paraId="64EA0BE4" w14:textId="77777777" w:rsidR="007E1BBA" w:rsidRPr="000430F8" w:rsidRDefault="007E1BBA" w:rsidP="007E1BBA">
      <w:pPr>
        <w:pStyle w:val="RARMPnumberedparagraphs"/>
      </w:pPr>
      <w:r>
        <w:t xml:space="preserve">The risk context is maintained provided the GMO can be cleared by the immune system, therefore a precautionary condition is included in the licence to exclude participants with an immunosuppressive disorder or an illness that impairs immune function. </w:t>
      </w:r>
    </w:p>
    <w:p w14:paraId="09365BDA" w14:textId="7886E3ED" w:rsidR="001C13D4" w:rsidRDefault="007E1BBA" w:rsidP="0020000A">
      <w:pPr>
        <w:pStyle w:val="RARMPnumberedparagraphs"/>
      </w:pPr>
      <w:r w:rsidRPr="000430F8">
        <w:t xml:space="preserve"> The potential transmission to babies via breastfeeding and to foetuses if pregnant women are included in the trial is minimal. However, this risk would be minimised further by excluding </w:t>
      </w:r>
      <w:r w:rsidRPr="000430F8">
        <w:lastRenderedPageBreak/>
        <w:t>breastfeeding and pregnant women</w:t>
      </w:r>
      <w:r>
        <w:t xml:space="preserve"> and a condition to exclude pregnant and breastfeeding women from</w:t>
      </w:r>
      <w:r w:rsidR="00EF7306">
        <w:t xml:space="preserve"> participating in</w:t>
      </w:r>
      <w:r>
        <w:t xml:space="preserve"> the clinical trial has been included in the draft licence.</w:t>
      </w:r>
    </w:p>
    <w:p w14:paraId="4AD91108" w14:textId="64147529" w:rsidR="003D53C8" w:rsidRPr="00E71ED5" w:rsidRDefault="001C13D4" w:rsidP="00C72058">
      <w:pPr>
        <w:pStyle w:val="RARMPnumberedparagraphs"/>
      </w:pPr>
      <w:r>
        <w:t xml:space="preserve">For the context of this RARMP, </w:t>
      </w:r>
      <w:r>
        <w:rPr>
          <w:rFonts w:eastAsia="Calibri"/>
          <w:lang w:eastAsia="en-US"/>
        </w:rPr>
        <w:t>persons who have immunosuppressive disorders</w:t>
      </w:r>
      <w:r w:rsidR="00A732F7">
        <w:rPr>
          <w:rFonts w:eastAsia="Calibri"/>
          <w:lang w:eastAsia="en-US"/>
        </w:rPr>
        <w:t xml:space="preserve"> or who are pregnant</w:t>
      </w:r>
      <w:r>
        <w:rPr>
          <w:rFonts w:eastAsia="Calibri"/>
          <w:lang w:eastAsia="en-US"/>
        </w:rPr>
        <w:t xml:space="preserve"> are considered persons at higher risk of a serious adverse event when exposed to the GMO. To manage risk and to maintain the context of the risk assessment, a</w:t>
      </w:r>
      <w:r>
        <w:t xml:space="preserve"> condition in the draft licence requires </w:t>
      </w:r>
      <w:bookmarkStart w:id="395" w:name="_Hlk218686469"/>
      <w:r w:rsidR="007E1BBA" w:rsidRPr="00C65869">
        <w:rPr>
          <w:rFonts w:asciiTheme="minorHAnsi" w:hAnsiTheme="minorHAnsi" w:cstheme="minorHAnsi"/>
          <w:szCs w:val="22"/>
        </w:rPr>
        <w:t xml:space="preserve">persons preparing or administering the GMO must be informed of the risks associated with the GMO (including risks in people suffering from </w:t>
      </w:r>
      <w:r w:rsidR="007E1BBA">
        <w:rPr>
          <w:rFonts w:asciiTheme="minorHAnsi" w:hAnsiTheme="minorHAnsi" w:cstheme="minorHAnsi"/>
          <w:szCs w:val="22"/>
        </w:rPr>
        <w:t>i</w:t>
      </w:r>
      <w:r w:rsidR="007E1BBA" w:rsidRPr="00C65869">
        <w:rPr>
          <w:rFonts w:asciiTheme="minorHAnsi" w:hAnsiTheme="minorHAnsi" w:cstheme="minorHAnsi"/>
          <w:szCs w:val="22"/>
        </w:rPr>
        <w:t>mmunosuppressive disorder or pregnant individuals)</w:t>
      </w:r>
      <w:bookmarkEnd w:id="395"/>
      <w:r>
        <w:rPr>
          <w:rFonts w:asciiTheme="minorHAnsi" w:hAnsiTheme="minorHAnsi" w:cstheme="minorHAnsi"/>
          <w:szCs w:val="22"/>
        </w:rPr>
        <w:t xml:space="preserve">. </w:t>
      </w:r>
    </w:p>
    <w:p w14:paraId="5A891B55" w14:textId="6115E53F" w:rsidR="007E1BBA" w:rsidRPr="00E71ED5" w:rsidRDefault="007E1BBA" w:rsidP="00C72058">
      <w:pPr>
        <w:pStyle w:val="RARMPnumberedparagraphs"/>
      </w:pPr>
      <w:r>
        <w:t xml:space="preserve">In addition, the </w:t>
      </w:r>
      <w:r w:rsidRPr="002F569D">
        <w:t xml:space="preserve">clinical staff </w:t>
      </w:r>
      <w:r>
        <w:t xml:space="preserve">handling the GMO </w:t>
      </w:r>
      <w:r w:rsidRPr="002F569D">
        <w:t xml:space="preserve">would wear PPE including </w:t>
      </w:r>
      <w:r w:rsidRPr="002F569D">
        <w:rPr>
          <w:rFonts w:cs="Calibri"/>
          <w:szCs w:val="20"/>
        </w:rPr>
        <w:t>gown, gloves, mask and eye protection</w:t>
      </w:r>
      <w:r>
        <w:rPr>
          <w:rFonts w:cs="Calibri"/>
          <w:szCs w:val="20"/>
        </w:rPr>
        <w:t>/face shield</w:t>
      </w:r>
      <w:r w:rsidRPr="002F569D">
        <w:t>. These practices would minimise exposure of people handling and administering the GMO (Risk scenario 1) and have been included in the draft licence conditions.</w:t>
      </w:r>
    </w:p>
    <w:p w14:paraId="729F5BFF" w14:textId="615F624F" w:rsidR="007E1BBA" w:rsidRDefault="007E1BBA" w:rsidP="00C72058">
      <w:pPr>
        <w:pStyle w:val="RARMPnumberedparagraphs"/>
      </w:pPr>
      <w:r>
        <w:t>While recombination with other adenoviruses is considered unlikely to occur, a precautionary condition is included in the licence to exclude participants who have recently received a different adenovirus</w:t>
      </w:r>
      <w:r w:rsidR="005A0741">
        <w:t>-</w:t>
      </w:r>
      <w:r>
        <w:t>based therapy</w:t>
      </w:r>
      <w:r w:rsidR="005A2F6C">
        <w:t>.</w:t>
      </w:r>
    </w:p>
    <w:p w14:paraId="61BED247" w14:textId="3D7AE7D5" w:rsidR="007E1BBA" w:rsidRPr="002F569D" w:rsidRDefault="007E1BBA" w:rsidP="00C72058">
      <w:pPr>
        <w:pStyle w:val="RARMPnumberedparagraphs"/>
      </w:pPr>
      <w:r w:rsidRPr="00612D03">
        <w:t xml:space="preserve">Due to the intravesical mode of administration, shedding of infectious viral particles from urine of the trial participants following the bladder installation is expected to last for a few days. To maintain the risk context of minimising the amount of the GMO entering the sewerage, a requirement has been included in the draft licence for the licence holder to instruct the patients to add bleach to the toilet bowl before urinating and disinfect voided urine for 15 min before flushing the toilet for 2 days following treatment, consistent with the requirements as per the </w:t>
      </w:r>
      <w:hyperlink r:id="rId48" w:history="1">
        <w:r w:rsidRPr="00612D03">
          <w:rPr>
            <w:rStyle w:val="Hyperlink"/>
          </w:rPr>
          <w:t>Package Insert for ADSTILADRIN</w:t>
        </w:r>
      </w:hyperlink>
      <w:r w:rsidRPr="00612D03">
        <w:t>.</w:t>
      </w:r>
    </w:p>
    <w:p w14:paraId="24B32D4A" w14:textId="55CDF3CB" w:rsidR="0011711E" w:rsidRDefault="0011711E" w:rsidP="00C72058">
      <w:pPr>
        <w:pStyle w:val="RARMPnumberedparagraphs"/>
      </w:pPr>
      <w:bookmarkStart w:id="396" w:name="_Ref58245790"/>
      <w:r w:rsidRPr="002F569D">
        <w:t xml:space="preserve">Conditions are included in the draft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Draft licence 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This is considered satisfactory, provided that the licence holder is only permitted to engage persons who can adhere to appropriate standards to conduct the dealings</w:t>
      </w:r>
      <w:r w:rsidR="00BF3D62">
        <w:t xml:space="preserve">. </w:t>
      </w:r>
    </w:p>
    <w:p w14:paraId="5033CCFC" w14:textId="494AB459"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fldChar w:fldCharType="begin"/>
      </w:r>
      <w:r w:rsidR="00824706">
        <w:instrText xml:space="preserve"> ADDIN EN.CITE &lt;EndNote&gt;&lt;Cite&gt;&lt;Author&gt;Biohazard Waste Industry&lt;/Author&gt;&lt;Year&gt;2010&lt;/Year&gt;&lt;RecNum&gt;53&lt;/RecNum&gt;&lt;DisplayText&gt;(Biohazard Waste Industry, 2010)&lt;/DisplayText&gt;&lt;record&gt;&lt;rec-number&gt;53&lt;/rec-number&gt;&lt;foreign-keys&gt;&lt;key app="EN" db-id="verwe2fxj5fev7epfz8xtdvez025feseze0z" timestamp="1732074052"&gt;53&lt;/key&gt;&lt;/foreign-keys&gt;&lt;ref-type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11" w:tooltip="Biohazard Waste Industry, 2010 #53" w:history="1">
        <w:r w:rsidR="0027195B">
          <w:rPr>
            <w:noProof/>
          </w:rPr>
          <w:t>Biohazard Waste Industry, 2010</w:t>
        </w:r>
      </w:hyperlink>
      <w:r>
        <w:rPr>
          <w:noProof/>
        </w:rPr>
        <w:t>)</w:t>
      </w:r>
      <w:r>
        <w:fldChar w:fldCharType="end"/>
      </w:r>
      <w:r>
        <w:t xml:space="preserve">. The clinical waste stream typically involves destruction of infectious waste by incineration or autoclaving, which are considered appropriate for disposal of the GMO. Given that </w:t>
      </w:r>
      <w:proofErr w:type="spellStart"/>
      <w:r w:rsidR="00185CD9">
        <w:t>AdV</w:t>
      </w:r>
      <w:proofErr w:type="spellEnd"/>
      <w:r w:rsidR="00185CD9">
        <w:t xml:space="preserve"> </w:t>
      </w:r>
      <w:r>
        <w:t>can persist in the environment</w:t>
      </w:r>
      <w:r w:rsidR="00185CD9">
        <w:t>,</w:t>
      </w:r>
      <w:r>
        <w:t xml:space="preserve"> </w:t>
      </w:r>
      <w:r w:rsidRPr="002F2B6C">
        <w:rPr>
          <w:rFonts w:asciiTheme="minorHAnsi" w:hAnsiTheme="minorHAnsi" w:cstheme="minorHAnsi"/>
        </w:rPr>
        <w:t>disposal measures such as burial or maceration would not ensure containment. Therefore, t</w:t>
      </w:r>
      <w:r w:rsidRPr="002F569D">
        <w:t>he draft licence requires waste disposal by external service providers to be by autoclaving or high-temperature incineration. These measures would limit the exposure of people or other animals to the GMO</w:t>
      </w:r>
      <w:r w:rsidR="0011711E" w:rsidRPr="002F569D">
        <w:t>.</w:t>
      </w:r>
    </w:p>
    <w:p w14:paraId="0DC328FB" w14:textId="2D5DAC49" w:rsidR="003D53C8" w:rsidRPr="008C40FA" w:rsidRDefault="003D53C8" w:rsidP="00C72058">
      <w:pPr>
        <w:pStyle w:val="RARMPnumberedparagraphs"/>
        <w:rPr>
          <w:color w:val="000000" w:themeColor="text1"/>
        </w:rPr>
      </w:pPr>
      <w:bookmarkStart w:id="397" w:name="_Ref22211047"/>
      <w:bookmarkEnd w:id="396"/>
      <w:r w:rsidRPr="008C40FA">
        <w:t xml:space="preserve">A standard condition is included in the draft licence requiring the licence holder to ensure that dealings are conducted </w:t>
      </w:r>
      <w:proofErr w:type="gramStart"/>
      <w:r w:rsidRPr="008C40FA">
        <w:t>so as to</w:t>
      </w:r>
      <w:proofErr w:type="gramEnd"/>
      <w:r w:rsidRPr="008C40FA">
        <w:t xml:space="preserve"> ensure containment of the GMO, not compromise the health and safety of people and minimise unintentional exposure to the GMO. A note </w:t>
      </w:r>
      <w:r w:rsidR="004B7735">
        <w:t>to</w:t>
      </w:r>
      <w:r w:rsidRPr="008C40FA">
        <w:t xml:space="preserve"> the condition explains that compliance may be achieved by only engaging persons who are required to adhere to appropriate standards to conduct the dealings.</w:t>
      </w:r>
      <w:bookmarkEnd w:id="397"/>
    </w:p>
    <w:p w14:paraId="1307D6F0" w14:textId="094A4533" w:rsidR="003D53C8" w:rsidRPr="000330FC" w:rsidRDefault="003D53C8" w:rsidP="00C72058">
      <w:pPr>
        <w:pStyle w:val="RARMPnumberedparagraphs"/>
      </w:pPr>
      <w:r w:rsidRPr="00453606">
        <w:t xml:space="preserve">Other </w:t>
      </w:r>
      <w:r w:rsidR="004B7735">
        <w:t xml:space="preserve">standard </w:t>
      </w:r>
      <w:r w:rsidRPr="00453606">
        <w:t xml:space="preserve">conditions included in the draft licence state that only people authorised by the licence holder are covered by the licence, and that the licence holder must inform all people </w:t>
      </w:r>
      <w:r w:rsidRPr="000330FC">
        <w:t>dealing with the GMO</w:t>
      </w:r>
      <w:r>
        <w:t>, other than external service providers,</w:t>
      </w:r>
      <w:r w:rsidRPr="000330FC">
        <w:t xml:space="preserve"> of applicable licence conditions.</w:t>
      </w:r>
    </w:p>
    <w:p w14:paraId="2ECD800B" w14:textId="014D5E98" w:rsidR="003D53C8" w:rsidRPr="00326ECA" w:rsidRDefault="003D53C8" w:rsidP="00C72058">
      <w:pPr>
        <w:pStyle w:val="RARMPnumberedparagraphs"/>
        <w:rPr>
          <w:rFonts w:eastAsia="Calibri"/>
        </w:rPr>
      </w:pPr>
      <w:r w:rsidRPr="000330FC">
        <w:t xml:space="preserve">Further conditions </w:t>
      </w:r>
      <w:r>
        <w:t xml:space="preserve">to be implemented </w:t>
      </w:r>
      <w:r w:rsidRPr="000330FC">
        <w:t xml:space="preserve">in the draft licence </w:t>
      </w:r>
      <w:r>
        <w:t xml:space="preserve">is </w:t>
      </w:r>
      <w:r w:rsidRPr="000330FC">
        <w:t xml:space="preserve">to ensure that a compliance management plan is in place for each clinical trial site before administration of the GMO commences at that site. The compliance management plan must detail how the licence holder intends to comply </w:t>
      </w:r>
      <w:r w:rsidRPr="000330FC">
        <w:lastRenderedPageBreak/>
        <w:t>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77777777" w:rsidR="003D53C8" w:rsidRPr="007377E3" w:rsidRDefault="003D53C8" w:rsidP="00C72058">
      <w:pPr>
        <w:pStyle w:val="RARMPnumberedparagraphs"/>
      </w:pPr>
      <w:proofErr w:type="gramStart"/>
      <w:r>
        <w:t>A number of</w:t>
      </w:r>
      <w:proofErr w:type="gramEnd"/>
      <w:r>
        <w:t xml:space="preserve"> licence conditions have been drafted to limit and control the proposed clinical trial, based on th</w:t>
      </w:r>
      <w:r w:rsidRPr="007377E3">
        <w:t>e above considerations. These include requirements to:</w:t>
      </w:r>
    </w:p>
    <w:p w14:paraId="29570F4E" w14:textId="126722A3" w:rsidR="00A732F7" w:rsidRDefault="003D53C8" w:rsidP="003D53C8">
      <w:pPr>
        <w:pStyle w:val="ListParagraph"/>
        <w:numPr>
          <w:ilvl w:val="0"/>
          <w:numId w:val="33"/>
        </w:numPr>
        <w:spacing w:before="0" w:after="0"/>
        <w:contextualSpacing/>
      </w:pPr>
      <w:r w:rsidRPr="007377E3">
        <w:t xml:space="preserve">limit the trial </w:t>
      </w:r>
      <w:r w:rsidRPr="00612D03">
        <w:t xml:space="preserve">to </w:t>
      </w:r>
      <w:r w:rsidR="000907D2" w:rsidRPr="00612D03">
        <w:t>13</w:t>
      </w:r>
      <w:r w:rsidRPr="00612D03">
        <w:t xml:space="preserve"> trial </w:t>
      </w:r>
      <w:proofErr w:type="gramStart"/>
      <w:r w:rsidRPr="007377E3">
        <w:t>participants</w:t>
      </w:r>
      <w:r w:rsidR="00A732F7">
        <w:t>;</w:t>
      </w:r>
      <w:proofErr w:type="gramEnd"/>
    </w:p>
    <w:p w14:paraId="7B14D62E" w14:textId="7ED0D802" w:rsidR="003D53C8" w:rsidRDefault="00A732F7" w:rsidP="003D53C8">
      <w:pPr>
        <w:pStyle w:val="ListParagraph"/>
        <w:numPr>
          <w:ilvl w:val="0"/>
          <w:numId w:val="33"/>
        </w:numPr>
        <w:spacing w:before="0" w:after="0"/>
        <w:contextualSpacing/>
      </w:pPr>
      <w:r>
        <w:t xml:space="preserve">the trial must be conducted at suitable clinical trial </w:t>
      </w:r>
      <w:proofErr w:type="gramStart"/>
      <w:r>
        <w:t>sites</w:t>
      </w:r>
      <w:r w:rsidR="007B1D37">
        <w:t>;</w:t>
      </w:r>
      <w:proofErr w:type="gramEnd"/>
    </w:p>
    <w:p w14:paraId="62CC58B1" w14:textId="7EA53CDB" w:rsidR="004B7735" w:rsidRPr="007377E3" w:rsidRDefault="004B7735" w:rsidP="003D53C8">
      <w:pPr>
        <w:pStyle w:val="ListParagraph"/>
        <w:numPr>
          <w:ilvl w:val="0"/>
          <w:numId w:val="33"/>
        </w:numPr>
        <w:spacing w:before="0" w:after="0"/>
        <w:contextualSpacing/>
      </w:pPr>
      <w:r>
        <w:t xml:space="preserve">limit the time when the GMO can be administered to </w:t>
      </w:r>
      <w:r w:rsidR="00416238" w:rsidRPr="00416238">
        <w:rPr>
          <w:color w:val="0000FF"/>
        </w:rPr>
        <w:t>5</w:t>
      </w:r>
      <w:r>
        <w:t xml:space="preserve"> years from issue of the </w:t>
      </w:r>
      <w:proofErr w:type="gramStart"/>
      <w:r>
        <w:t>licence;</w:t>
      </w:r>
      <w:proofErr w:type="gramEnd"/>
    </w:p>
    <w:p w14:paraId="6969A29D" w14:textId="5D58BE17" w:rsidR="003D53C8" w:rsidRPr="007377E3" w:rsidRDefault="003D53C8" w:rsidP="003D53C8">
      <w:pPr>
        <w:pStyle w:val="ListParagraph"/>
        <w:numPr>
          <w:ilvl w:val="0"/>
          <w:numId w:val="33"/>
        </w:numPr>
        <w:spacing w:before="0" w:after="0"/>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rsidP="003D53C8">
      <w:pPr>
        <w:pStyle w:val="ListParagraph"/>
        <w:numPr>
          <w:ilvl w:val="0"/>
          <w:numId w:val="33"/>
        </w:numPr>
        <w:spacing w:before="0" w:after="0"/>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rsidP="003D53C8">
      <w:pPr>
        <w:pStyle w:val="ListParagraph"/>
        <w:numPr>
          <w:ilvl w:val="0"/>
          <w:numId w:val="33"/>
        </w:numPr>
        <w:spacing w:before="0" w:after="0"/>
        <w:contextualSpacing/>
      </w:pPr>
      <w:r w:rsidRPr="007377E3">
        <w:t xml:space="preserve">ensure appropriate PPE is </w:t>
      </w:r>
      <w:proofErr w:type="gramStart"/>
      <w:r w:rsidRPr="007377E3">
        <w:t>used</w:t>
      </w:r>
      <w:r w:rsidR="007B1D37">
        <w:t>;</w:t>
      </w:r>
      <w:proofErr w:type="gramEnd"/>
    </w:p>
    <w:p w14:paraId="0C776341" w14:textId="53B37C28" w:rsidR="003D53C8" w:rsidRPr="007377E3" w:rsidRDefault="003D53C8" w:rsidP="003D53C8">
      <w:pPr>
        <w:pStyle w:val="ListParagraph"/>
        <w:numPr>
          <w:ilvl w:val="0"/>
          <w:numId w:val="33"/>
        </w:numPr>
        <w:spacing w:before="0" w:after="0"/>
        <w:contextualSpacing/>
      </w:pPr>
      <w:r w:rsidRPr="007377E3">
        <w:t xml:space="preserve">restrict personnel permitted to administer the </w:t>
      </w:r>
      <w:proofErr w:type="gramStart"/>
      <w:r w:rsidRPr="007377E3">
        <w:t>GMO</w:t>
      </w:r>
      <w:r w:rsidR="007B1D37">
        <w:t>;</w:t>
      </w:r>
      <w:proofErr w:type="gramEnd"/>
    </w:p>
    <w:p w14:paraId="5B27688A" w14:textId="59AD3E1C" w:rsidR="003D53C8" w:rsidRDefault="003D53C8" w:rsidP="007F53F0">
      <w:pPr>
        <w:pStyle w:val="ListParagraph"/>
        <w:numPr>
          <w:ilvl w:val="0"/>
          <w:numId w:val="33"/>
        </w:numPr>
        <w:spacing w:before="0" w:after="0"/>
        <w:contextualSpacing/>
      </w:pPr>
      <w:r w:rsidRPr="007377E3">
        <w:t xml:space="preserve">requiring </w:t>
      </w:r>
      <w:r w:rsidR="0043428A">
        <w:t xml:space="preserve">appropriate </w:t>
      </w:r>
      <w:r w:rsidRPr="007377E3">
        <w:t xml:space="preserve">decontamination of the GMO and materials and equipment that have been in contact with the </w:t>
      </w:r>
      <w:proofErr w:type="gramStart"/>
      <w:r w:rsidRPr="007377E3">
        <w:t>GMO</w:t>
      </w:r>
      <w:r w:rsidR="007F53F0">
        <w:t>;</w:t>
      </w:r>
      <w:proofErr w:type="gramEnd"/>
    </w:p>
    <w:p w14:paraId="5D39A504" w14:textId="65D2DAC6" w:rsidR="00416238" w:rsidRPr="00D417CC" w:rsidRDefault="00B71F84" w:rsidP="007F53F0">
      <w:pPr>
        <w:pStyle w:val="ListParagraph"/>
        <w:numPr>
          <w:ilvl w:val="0"/>
          <w:numId w:val="33"/>
        </w:numPr>
        <w:spacing w:before="0" w:after="0"/>
        <w:contextualSpacing/>
      </w:pPr>
      <w:r w:rsidRPr="00D417CC">
        <w:t>I</w:t>
      </w:r>
      <w:r w:rsidR="00416238" w:rsidRPr="00D417CC">
        <w:t>nstruct</w:t>
      </w:r>
      <w:r w:rsidRPr="00D417CC">
        <w:t>ing</w:t>
      </w:r>
      <w:r w:rsidR="00416238" w:rsidRPr="00D417CC">
        <w:t xml:space="preserve"> the patients to disinfect voided urine </w:t>
      </w:r>
      <w:r w:rsidRPr="00D417CC">
        <w:t xml:space="preserve">in the toilet bowl </w:t>
      </w:r>
      <w:r w:rsidR="00416238" w:rsidRPr="00D417CC">
        <w:t xml:space="preserve">before flushing the toilet for 2 days following </w:t>
      </w:r>
      <w:proofErr w:type="gramStart"/>
      <w:r w:rsidR="00416238" w:rsidRPr="00D417CC">
        <w:t>treatment;</w:t>
      </w:r>
      <w:proofErr w:type="gramEnd"/>
    </w:p>
    <w:p w14:paraId="11E24B41" w14:textId="1AAD6B9E" w:rsidR="003D53C8" w:rsidRDefault="003D53C8" w:rsidP="003D53C8">
      <w:pPr>
        <w:pStyle w:val="ListParagraph"/>
        <w:numPr>
          <w:ilvl w:val="0"/>
          <w:numId w:val="33"/>
        </w:numPr>
        <w:spacing w:before="0" w:after="0"/>
        <w:contextualSpacing/>
      </w:pPr>
      <w:r w:rsidRPr="007377E3">
        <w:t>transport and store the GMO and sample</w:t>
      </w:r>
      <w:r>
        <w:t xml:space="preserve">s from GMO-treated participants </w:t>
      </w:r>
      <w:r w:rsidRPr="007377E3">
        <w:t xml:space="preserve">in accordance with </w:t>
      </w:r>
      <w:r w:rsidRPr="00274CA2">
        <w:t xml:space="preserve">IATA shipping classification </w:t>
      </w:r>
      <w:r w:rsidRPr="00283970">
        <w:t>UN 3373 [Category B]</w:t>
      </w:r>
      <w:r>
        <w:t xml:space="preserve"> and/or </w:t>
      </w:r>
      <w:r w:rsidRPr="007377E3">
        <w:t xml:space="preserve">the </w:t>
      </w:r>
      <w:r>
        <w:t xml:space="preserve">minimum requirements for packaging, and labelling as detailed in the draft </w:t>
      </w:r>
      <w:proofErr w:type="gramStart"/>
      <w:r>
        <w:t>licence</w:t>
      </w:r>
      <w:r w:rsidR="007B1D37">
        <w:t>;</w:t>
      </w:r>
      <w:proofErr w:type="gramEnd"/>
    </w:p>
    <w:p w14:paraId="316DBD47" w14:textId="0998DA9B" w:rsidR="003D53C8" w:rsidRDefault="003D53C8" w:rsidP="003D53C8">
      <w:pPr>
        <w:pStyle w:val="ListParagraph"/>
        <w:numPr>
          <w:ilvl w:val="0"/>
          <w:numId w:val="33"/>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398" w:name="_Toc61015663"/>
      <w:bookmarkStart w:id="399" w:name="_Toc219281418"/>
      <w:r>
        <w:t>Other risk management considerations</w:t>
      </w:r>
      <w:bookmarkEnd w:id="398"/>
      <w:bookmarkEnd w:id="399"/>
    </w:p>
    <w:p w14:paraId="448696B0" w14:textId="77777777" w:rsidR="003D53C8" w:rsidRDefault="003D53C8" w:rsidP="00C72058">
      <w:pPr>
        <w:pStyle w:val="RARMPnumberedparagraphs"/>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A4FC7BC" w14:textId="77777777" w:rsidR="003D53C8" w:rsidRPr="007C0C74" w:rsidRDefault="003D53C8" w:rsidP="0001323A">
      <w:pPr>
        <w:pStyle w:val="ListParagraph"/>
        <w:numPr>
          <w:ilvl w:val="0"/>
          <w:numId w:val="59"/>
        </w:numPr>
        <w:spacing w:before="0" w:after="0"/>
        <w:contextualSpacing/>
      </w:pPr>
      <w:r w:rsidRPr="007C0C74">
        <w:t>applicant suitability</w:t>
      </w:r>
    </w:p>
    <w:p w14:paraId="61AE636B" w14:textId="77777777" w:rsidR="003D53C8" w:rsidRPr="007C0C74" w:rsidRDefault="003D53C8" w:rsidP="0001323A">
      <w:pPr>
        <w:pStyle w:val="ListParagraph"/>
        <w:numPr>
          <w:ilvl w:val="0"/>
          <w:numId w:val="59"/>
        </w:numPr>
        <w:spacing w:before="0" w:after="0"/>
        <w:contextualSpacing/>
      </w:pPr>
      <w:r w:rsidRPr="007C0C74">
        <w:t>contingency plans</w:t>
      </w:r>
    </w:p>
    <w:p w14:paraId="7A28DDE7" w14:textId="77777777" w:rsidR="003D53C8" w:rsidRPr="007C0C74" w:rsidRDefault="003D53C8" w:rsidP="0001323A">
      <w:pPr>
        <w:pStyle w:val="ListParagraph"/>
        <w:numPr>
          <w:ilvl w:val="0"/>
          <w:numId w:val="59"/>
        </w:numPr>
        <w:spacing w:before="0" w:after="0"/>
        <w:contextualSpacing/>
      </w:pPr>
      <w:r w:rsidRPr="007C0C74">
        <w:t>identification of the persons or classes of persons covered by the licence</w:t>
      </w:r>
    </w:p>
    <w:p w14:paraId="0CD5E58D" w14:textId="77777777" w:rsidR="003D53C8" w:rsidRPr="007C0C74" w:rsidRDefault="003D53C8" w:rsidP="0001323A">
      <w:pPr>
        <w:pStyle w:val="ListParagraph"/>
        <w:numPr>
          <w:ilvl w:val="0"/>
          <w:numId w:val="59"/>
        </w:numPr>
        <w:spacing w:before="0" w:after="0"/>
        <w:contextualSpacing/>
      </w:pPr>
      <w:r w:rsidRPr="007C0C74">
        <w:t>reporting requirements</w:t>
      </w:r>
    </w:p>
    <w:p w14:paraId="04D404CE" w14:textId="77777777" w:rsidR="003D53C8" w:rsidRDefault="003D53C8" w:rsidP="0001323A">
      <w:pPr>
        <w:pStyle w:val="ListParagraph"/>
        <w:numPr>
          <w:ilvl w:val="0"/>
          <w:numId w:val="59"/>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t>
      </w:r>
      <w:proofErr w:type="gramStart"/>
      <w:r>
        <w:t>whether or not</w:t>
      </w:r>
      <w:proofErr w:type="gramEnd"/>
      <w:r>
        <w:t xml:space="preserve">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rsidP="0001323A">
      <w:pPr>
        <w:pStyle w:val="ListParagraph"/>
        <w:numPr>
          <w:ilvl w:val="0"/>
          <w:numId w:val="60"/>
        </w:numPr>
        <w:spacing w:before="0" w:after="0"/>
        <w:contextualSpacing/>
      </w:pPr>
      <w:r>
        <w:t>any relevant convictions of the applicant</w:t>
      </w:r>
    </w:p>
    <w:p w14:paraId="680DE268" w14:textId="77777777" w:rsidR="003D53C8" w:rsidRDefault="003D53C8" w:rsidP="0001323A">
      <w:pPr>
        <w:pStyle w:val="ListParagraph"/>
        <w:numPr>
          <w:ilvl w:val="0"/>
          <w:numId w:val="60"/>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rsidP="0001323A">
      <w:pPr>
        <w:pStyle w:val="ListParagraph"/>
        <w:numPr>
          <w:ilvl w:val="0"/>
          <w:numId w:val="60"/>
        </w:numPr>
        <w:spacing w:before="0" w:after="0"/>
        <w:contextualSpacing/>
      </w:pPr>
      <w:r>
        <w:t>the capacity of the applicant to meet the conditions of the licence.</w:t>
      </w:r>
    </w:p>
    <w:p w14:paraId="3E2F1BE0" w14:textId="77777777" w:rsidR="003D53C8" w:rsidRDefault="003D53C8" w:rsidP="00C72058">
      <w:pPr>
        <w:pStyle w:val="RARMPnumberedparagraphs"/>
      </w:pPr>
      <w:r>
        <w:t>If a licence were issued, the conditions would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lastRenderedPageBreak/>
        <w:t>Contingency</w:t>
      </w:r>
      <w:r w:rsidRPr="00961290">
        <w:t xml:space="preserve"> </w:t>
      </w:r>
      <w:r>
        <w:t>p</w:t>
      </w:r>
      <w:r w:rsidRPr="00961290">
        <w:t>lan</w:t>
      </w:r>
      <w:r>
        <w:t>s</w:t>
      </w:r>
    </w:p>
    <w:p w14:paraId="132EFDA0" w14:textId="770309BB" w:rsidR="003D53C8" w:rsidRDefault="003D53C8" w:rsidP="00C72058">
      <w:pPr>
        <w:pStyle w:val="RARMPnumberedparagraphs"/>
      </w:pPr>
      <w:r>
        <w:t xml:space="preserve">Should a licence be issued, </w:t>
      </w:r>
      <w:r w:rsidR="004D2539" w:rsidRPr="00612D03">
        <w:t>Ferring</w:t>
      </w:r>
      <w:r w:rsidR="00A468DA" w:rsidRPr="00612D03">
        <w:t xml:space="preserve"> </w:t>
      </w:r>
      <w:r>
        <w:t>is</w:t>
      </w:r>
      <w:r w:rsidRPr="00961290">
        <w:t xml:space="preserve"> required to submit a contingency plan to the Regulator before </w:t>
      </w:r>
      <w:r>
        <w:t xml:space="preserve">commencing </w:t>
      </w:r>
      <w:r w:rsidRPr="00961290">
        <w:t>dealing</w:t>
      </w:r>
      <w:r>
        <w:t>s</w:t>
      </w:r>
      <w:r w:rsidRPr="00961290">
        <w:t xml:space="preserve"> with the GMO. This plan w</w:t>
      </w:r>
      <w:r>
        <w:t>ill</w:t>
      </w:r>
      <w:r w:rsidRPr="00961290">
        <w:t xml:space="preserve"> detail measures to be undertaken in the event of</w:t>
      </w:r>
      <w:r>
        <w:t>:</w:t>
      </w:r>
    </w:p>
    <w:p w14:paraId="0CC4A477" w14:textId="3C432E1D" w:rsidR="003D53C8" w:rsidRPr="005D03A7" w:rsidRDefault="003D53C8" w:rsidP="0001323A">
      <w:pPr>
        <w:pStyle w:val="ListParagraph"/>
        <w:numPr>
          <w:ilvl w:val="0"/>
          <w:numId w:val="61"/>
        </w:numPr>
        <w:spacing w:before="0" w:after="0"/>
        <w:contextualSpacing/>
      </w:pPr>
      <w:r w:rsidRPr="005D03A7">
        <w:t>the unintended release of the GMO, including spills</w:t>
      </w:r>
    </w:p>
    <w:p w14:paraId="6EE62BB0" w14:textId="77777777" w:rsidR="003D53C8" w:rsidRPr="005D03A7" w:rsidRDefault="003D53C8" w:rsidP="0001323A">
      <w:pPr>
        <w:pStyle w:val="ListParagraph"/>
        <w:numPr>
          <w:ilvl w:val="0"/>
          <w:numId w:val="61"/>
        </w:numPr>
        <w:spacing w:before="0" w:after="0"/>
        <w:contextualSpacing/>
      </w:pPr>
      <w:r w:rsidRPr="005D03A7">
        <w:t>exposure of, or transmission to persons other than trial participants</w:t>
      </w:r>
    </w:p>
    <w:p w14:paraId="0F270390" w14:textId="784CD4D1" w:rsidR="003D53C8" w:rsidRPr="005D03A7" w:rsidRDefault="003D53C8" w:rsidP="0001323A">
      <w:pPr>
        <w:pStyle w:val="ListParagraph"/>
        <w:numPr>
          <w:ilvl w:val="0"/>
          <w:numId w:val="61"/>
        </w:numPr>
        <w:spacing w:before="0" w:after="0"/>
        <w:contextualSpacing/>
      </w:pPr>
      <w:r w:rsidRPr="005D03A7">
        <w:t>a person exposed to the GMO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368D3E4D" w:rsidR="003D53C8" w:rsidRPr="00961290" w:rsidRDefault="003D53C8" w:rsidP="00C72058">
      <w:pPr>
        <w:pStyle w:val="RARMPnumberedparagraphs"/>
      </w:pPr>
      <w:r>
        <w:t>If issued, t</w:t>
      </w:r>
      <w:r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t>s</w:t>
      </w:r>
      <w:r w:rsidRPr="00961290">
        <w:t xml:space="preserve"> with the G</w:t>
      </w:r>
      <w:r>
        <w:t>MO,</w:t>
      </w:r>
      <w:r w:rsidR="00A468DA">
        <w:t xml:space="preserve"> </w:t>
      </w:r>
      <w:r w:rsidR="004D2539" w:rsidRPr="00612D03">
        <w:t>Ferring</w:t>
      </w:r>
      <w:r w:rsidRPr="00612D03">
        <w:t xml:space="preserve"> </w:t>
      </w:r>
      <w:r>
        <w:t>is</w:t>
      </w:r>
      <w:r w:rsidRPr="00961290">
        <w:t xml:space="preserve"> required to provide a list of people and organisations that </w:t>
      </w:r>
      <w:r>
        <w:t>are</w:t>
      </w:r>
      <w:r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77777777" w:rsidR="003D53C8" w:rsidRPr="00A068AA" w:rsidRDefault="003D53C8" w:rsidP="00C72058">
      <w:pPr>
        <w:pStyle w:val="RARMPnumberedparagraphs"/>
      </w:pPr>
      <w:r>
        <w:t>If issued, t</w:t>
      </w:r>
      <w:r w:rsidRPr="00A068AA">
        <w:t xml:space="preserve">he licence </w:t>
      </w:r>
      <w:r>
        <w:t xml:space="preserve">would </w:t>
      </w:r>
      <w:r w:rsidRPr="00A068AA">
        <w:t>require the licence holder to immediately report any of the following to the Regulator:</w:t>
      </w:r>
    </w:p>
    <w:p w14:paraId="5322936C" w14:textId="77777777" w:rsidR="003D53C8" w:rsidRPr="00A068AA" w:rsidRDefault="003D53C8" w:rsidP="0001323A">
      <w:pPr>
        <w:pStyle w:val="ListParagraph"/>
        <w:numPr>
          <w:ilvl w:val="0"/>
          <w:numId w:val="62"/>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rsidP="0001323A">
      <w:pPr>
        <w:pStyle w:val="ListParagraph"/>
        <w:numPr>
          <w:ilvl w:val="0"/>
          <w:numId w:val="62"/>
        </w:numPr>
        <w:spacing w:before="0" w:after="0"/>
        <w:contextualSpacing/>
      </w:pPr>
      <w:r w:rsidRPr="007672C7">
        <w:t>any contraventions of the licence by persons covered by the licence</w:t>
      </w:r>
    </w:p>
    <w:p w14:paraId="3CF1E256" w14:textId="77777777" w:rsidR="003D53C8" w:rsidRPr="007672C7" w:rsidRDefault="003D53C8" w:rsidP="0001323A">
      <w:pPr>
        <w:pStyle w:val="ListParagraph"/>
        <w:numPr>
          <w:ilvl w:val="0"/>
          <w:numId w:val="62"/>
        </w:numPr>
        <w:spacing w:before="0" w:after="0"/>
        <w:contextualSpacing/>
      </w:pPr>
      <w:r w:rsidRPr="007672C7">
        <w:t>any unintended effects of the clinical trial.</w:t>
      </w:r>
    </w:p>
    <w:p w14:paraId="2684C181" w14:textId="77777777" w:rsidR="003D53C8" w:rsidRPr="007672C7" w:rsidRDefault="003D53C8" w:rsidP="00C72058">
      <w:pPr>
        <w:pStyle w:val="RARMPnumberedparagraphs"/>
      </w:pPr>
      <w:proofErr w:type="gramStart"/>
      <w:r w:rsidRPr="007672C7">
        <w:t>A number of</w:t>
      </w:r>
      <w:proofErr w:type="gramEnd"/>
      <w:r w:rsidRPr="007672C7">
        <w:t xml:space="preserve"> written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rsidP="0001323A">
      <w:pPr>
        <w:pStyle w:val="ListParagraph"/>
        <w:numPr>
          <w:ilvl w:val="0"/>
          <w:numId w:val="63"/>
        </w:numPr>
        <w:spacing w:before="0" w:after="0"/>
        <w:contextualSpacing/>
      </w:pPr>
      <w:r w:rsidRPr="007672C7">
        <w:t>identification of the clinical trial sites where administration of the GMO to trial participants would take place</w:t>
      </w:r>
    </w:p>
    <w:p w14:paraId="795FCCD9" w14:textId="316A490B" w:rsidR="003D53C8" w:rsidRPr="007672C7" w:rsidRDefault="003D53C8" w:rsidP="0001323A">
      <w:pPr>
        <w:pStyle w:val="ListParagraph"/>
        <w:numPr>
          <w:ilvl w:val="0"/>
          <w:numId w:val="63"/>
        </w:numPr>
        <w:spacing w:before="0" w:after="0"/>
        <w:contextualSpacing/>
      </w:pPr>
      <w:r w:rsidRPr="007672C7">
        <w:t>expected date of administration with the GMO for each clinical trial site</w:t>
      </w:r>
    </w:p>
    <w:p w14:paraId="6B429C9C" w14:textId="6BC0EF3F" w:rsidR="003D53C8" w:rsidRPr="007672C7" w:rsidRDefault="003D53C8" w:rsidP="0001323A">
      <w:pPr>
        <w:pStyle w:val="ListParagraph"/>
        <w:numPr>
          <w:ilvl w:val="0"/>
          <w:numId w:val="63"/>
        </w:numPr>
        <w:spacing w:before="0" w:after="0"/>
        <w:contextualSpacing/>
      </w:pPr>
      <w:r w:rsidRPr="007672C7">
        <w:t xml:space="preserve">cease of </w:t>
      </w:r>
      <w:r>
        <w:t>administration</w:t>
      </w:r>
      <w:r w:rsidRPr="007672C7">
        <w:t xml:space="preserve"> with the GMO for each clinical trial site</w:t>
      </w:r>
      <w:r w:rsidR="00DF4F86">
        <w:t>.</w:t>
      </w:r>
      <w:r w:rsidRPr="007672C7">
        <w:t xml:space="preserv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num" w:pos="1985"/>
        </w:tabs>
      </w:pPr>
      <w:bookmarkStart w:id="400" w:name="_Ref57213894"/>
      <w:bookmarkStart w:id="401" w:name="_Toc61015664"/>
      <w:bookmarkStart w:id="402" w:name="_Toc219281419"/>
      <w:r>
        <w:t>Issues to be addressed for future releases</w:t>
      </w:r>
      <w:bookmarkEnd w:id="400"/>
      <w:bookmarkEnd w:id="401"/>
      <w:bookmarkEnd w:id="402"/>
    </w:p>
    <w:p w14:paraId="2E0369F5" w14:textId="31375A35" w:rsidR="003D53C8" w:rsidRPr="00076FB0" w:rsidRDefault="004A2BE6" w:rsidP="004A2BE6">
      <w:pPr>
        <w:pStyle w:val="RARMPnumberedparagraphs"/>
      </w:pPr>
      <w:r w:rsidRPr="00076FB0">
        <w:t xml:space="preserve">As noted in </w:t>
      </w:r>
      <w:r w:rsidRPr="00076FB0">
        <w:fldChar w:fldCharType="begin"/>
      </w:r>
      <w:r w:rsidRPr="00076FB0">
        <w:instrText xml:space="preserve"> REF _Ref67492223 \n \h </w:instrText>
      </w:r>
      <w:r w:rsidRPr="00076FB0">
        <w:fldChar w:fldCharType="separate"/>
      </w:r>
      <w:r w:rsidRPr="00076FB0">
        <w:t>Chapter 2</w:t>
      </w:r>
      <w:r w:rsidRPr="00076FB0">
        <w:fldChar w:fldCharType="end"/>
      </w:r>
      <w:r w:rsidRPr="00076FB0">
        <w:t xml:space="preserve">, </w:t>
      </w:r>
      <w:r w:rsidRPr="00076FB0">
        <w:fldChar w:fldCharType="begin"/>
      </w:r>
      <w:r w:rsidRPr="00076FB0">
        <w:instrText xml:space="preserve"> REF _Ref67492224 \n \h </w:instrText>
      </w:r>
      <w:r w:rsidRPr="00076FB0">
        <w:fldChar w:fldCharType="separate"/>
      </w:r>
      <w:r w:rsidRPr="00076FB0">
        <w:t>Section 3</w:t>
      </w:r>
      <w:r w:rsidRPr="00076FB0">
        <w:fldChar w:fldCharType="end"/>
      </w:r>
      <w:r w:rsidRPr="00076FB0">
        <w:t xml:space="preserve">, the level of uncertainty in this risk assessment is considered low and the commercial release of the GMO has been approved under the DIR 217 licence, </w:t>
      </w:r>
      <w:r w:rsidR="00DF4F86">
        <w:t xml:space="preserve">and </w:t>
      </w:r>
      <w:r w:rsidR="00DF4F86">
        <w:lastRenderedPageBreak/>
        <w:t xml:space="preserve">therefore </w:t>
      </w:r>
      <w:r w:rsidRPr="00076FB0">
        <w:t>no further issues have been identified that may be required to assess any future applica</w:t>
      </w:r>
      <w:r w:rsidR="005E711D" w:rsidRPr="00076FB0">
        <w:t>tions.</w:t>
      </w:r>
      <w:r w:rsidRPr="00076FB0">
        <w:t xml:space="preserve"> </w:t>
      </w:r>
    </w:p>
    <w:p w14:paraId="5404B013" w14:textId="77777777" w:rsidR="003D53C8" w:rsidRDefault="003D53C8" w:rsidP="003D53C8">
      <w:pPr>
        <w:pStyle w:val="Style2"/>
        <w:numPr>
          <w:ilvl w:val="1"/>
          <w:numId w:val="2"/>
        </w:numPr>
        <w:tabs>
          <w:tab w:val="num" w:pos="1985"/>
        </w:tabs>
      </w:pPr>
      <w:bookmarkStart w:id="403" w:name="_Toc61015665"/>
      <w:bookmarkStart w:id="404" w:name="_Toc219281420"/>
      <w:r>
        <w:t>Conclusions of the consultation RARMP</w:t>
      </w:r>
      <w:bookmarkEnd w:id="403"/>
      <w:bookmarkEnd w:id="404"/>
    </w:p>
    <w:p w14:paraId="52E39B19" w14:textId="431CD509" w:rsidR="003D53C8" w:rsidRDefault="003D53C8" w:rsidP="00C72058">
      <w:pPr>
        <w:pStyle w:val="RARMPnumberedparagraphs"/>
      </w:pPr>
      <w:r>
        <w:t xml:space="preserve">The risk assessment concludes that the proposed clinical trial of the GMO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4FED3937" w14:textId="44258E7D" w:rsidR="00921BE9" w:rsidRPr="0000143A" w:rsidRDefault="003D53C8" w:rsidP="00C72058">
      <w:pPr>
        <w:pStyle w:val="RARMPnumberedparagraphs"/>
      </w:pPr>
      <w:r>
        <w:t>If a licence is issued, conditions are imposed to limit the trial to the proposed scale, location and duration, and to restrict the spread and persistence of the GMO and its genetic material in the environment, as these were important considerations in establishing the context for assessing the risks.</w:t>
      </w:r>
    </w:p>
    <w:bookmarkEnd w:id="377"/>
    <w:bookmarkEnd w:id="378"/>
    <w:bookmarkEnd w:id="379"/>
    <w:bookmarkEnd w:id="380"/>
    <w:bookmarkEnd w:id="381"/>
    <w:bookmarkEnd w:id="382"/>
    <w:bookmarkEnd w:id="383"/>
    <w:p w14:paraId="01B1C279" w14:textId="77777777" w:rsidR="00F91D23" w:rsidRDefault="00F91D23" w:rsidP="00ED664E">
      <w:pPr>
        <w:sectPr w:rsidR="00F91D23" w:rsidSect="00D83417">
          <w:footerReference w:type="default" r:id="rId49"/>
          <w:pgSz w:w="11909" w:h="16834" w:code="9"/>
          <w:pgMar w:top="1418" w:right="1418" w:bottom="1418" w:left="1418" w:header="720" w:footer="720" w:gutter="0"/>
          <w:paperSrc w:first="2" w:other="2"/>
          <w:cols w:space="720"/>
          <w:rtlGutter/>
        </w:sectPr>
      </w:pPr>
    </w:p>
    <w:p w14:paraId="351CB647" w14:textId="77777777" w:rsidR="00ED664E" w:rsidRPr="0000143A" w:rsidRDefault="00ED664E" w:rsidP="00ED664E">
      <w:pPr>
        <w:pStyle w:val="1RARMP"/>
      </w:pPr>
      <w:bookmarkStart w:id="405" w:name="_Toc202859590"/>
      <w:bookmarkStart w:id="406" w:name="_Toc223510490"/>
      <w:bookmarkStart w:id="407" w:name="_Toc301341872"/>
      <w:bookmarkStart w:id="408" w:name="_Toc47536783"/>
      <w:bookmarkStart w:id="409" w:name="_Ref57118862"/>
      <w:bookmarkStart w:id="410" w:name="_Ref67989492"/>
      <w:bookmarkStart w:id="411" w:name="_Toc219281421"/>
      <w:r w:rsidRPr="0000143A">
        <w:lastRenderedPageBreak/>
        <w:t>Draft licence conditions</w:t>
      </w:r>
      <w:bookmarkEnd w:id="405"/>
      <w:bookmarkEnd w:id="406"/>
      <w:bookmarkEnd w:id="407"/>
      <w:bookmarkEnd w:id="408"/>
      <w:bookmarkEnd w:id="409"/>
      <w:bookmarkEnd w:id="410"/>
      <w:bookmarkEnd w:id="411"/>
    </w:p>
    <w:p w14:paraId="49661E0F" w14:textId="77777777" w:rsidR="00EC45A5" w:rsidRPr="00954FF2" w:rsidRDefault="00EC45A5" w:rsidP="00EC45A5">
      <w:pPr>
        <w:pStyle w:val="Style2"/>
        <w:numPr>
          <w:ilvl w:val="1"/>
          <w:numId w:val="2"/>
        </w:numPr>
        <w:tabs>
          <w:tab w:val="clear" w:pos="2241"/>
          <w:tab w:val="num" w:pos="1440"/>
          <w:tab w:val="num" w:pos="1985"/>
        </w:tabs>
        <w:ind w:left="655" w:hanging="360"/>
        <w:rPr>
          <w:rFonts w:cs="Calibri"/>
        </w:rPr>
      </w:pPr>
      <w:bookmarkStart w:id="412" w:name="_Toc215474041"/>
      <w:bookmarkStart w:id="413" w:name="_Toc219281422"/>
      <w:r w:rsidRPr="00954FF2">
        <w:rPr>
          <w:rFonts w:cs="Calibri"/>
        </w:rPr>
        <w:t>Interpretations and Definitions</w:t>
      </w:r>
      <w:bookmarkEnd w:id="412"/>
      <w:bookmarkEnd w:id="413"/>
    </w:p>
    <w:p w14:paraId="6D9C0CB3" w14:textId="77777777" w:rsidR="00EC45A5" w:rsidRPr="00954FF2" w:rsidRDefault="00EC45A5" w:rsidP="00EC45A5">
      <w:pPr>
        <w:pStyle w:val="RARMPnumberedparagraphs"/>
        <w:numPr>
          <w:ilvl w:val="0"/>
          <w:numId w:val="84"/>
        </w:numPr>
        <w:ind w:left="426"/>
        <w:rPr>
          <w:rFonts w:cs="Calibri"/>
          <w:szCs w:val="22"/>
        </w:rPr>
      </w:pPr>
      <w:r w:rsidRPr="00954FF2">
        <w:rPr>
          <w:rFonts w:cs="Calibri"/>
          <w:szCs w:val="22"/>
        </w:rPr>
        <w:t>In this licence:</w:t>
      </w:r>
    </w:p>
    <w:p w14:paraId="16A01468"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 xml:space="preserve">unless defined otherwise in this licence, words and phrases used in this licence have the same meaning as they do in the Act and the Gene Technology Regulations </w:t>
      </w:r>
      <w:proofErr w:type="gramStart"/>
      <w:r w:rsidRPr="00954FF2">
        <w:rPr>
          <w:rFonts w:ascii="Calibri" w:hAnsi="Calibri" w:cs="Calibri"/>
          <w:sz w:val="22"/>
          <w:szCs w:val="22"/>
        </w:rPr>
        <w:t>2001;</w:t>
      </w:r>
      <w:proofErr w:type="gramEnd"/>
    </w:p>
    <w:p w14:paraId="163BAA7B"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 xml:space="preserve">words importing a gender include every other </w:t>
      </w:r>
      <w:proofErr w:type="gramStart"/>
      <w:r w:rsidRPr="00954FF2">
        <w:rPr>
          <w:rFonts w:ascii="Calibri" w:hAnsi="Calibri" w:cs="Calibri"/>
          <w:sz w:val="22"/>
          <w:szCs w:val="22"/>
        </w:rPr>
        <w:t>gender;</w:t>
      </w:r>
      <w:proofErr w:type="gramEnd"/>
    </w:p>
    <w:p w14:paraId="0A07FC37"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 xml:space="preserve">words in the singular number include the plural and words in the plural include the </w:t>
      </w:r>
      <w:proofErr w:type="gramStart"/>
      <w:r w:rsidRPr="00954FF2">
        <w:rPr>
          <w:rFonts w:ascii="Calibri" w:hAnsi="Calibri" w:cs="Calibri"/>
          <w:sz w:val="22"/>
          <w:szCs w:val="22"/>
        </w:rPr>
        <w:t>singular;</w:t>
      </w:r>
      <w:proofErr w:type="gramEnd"/>
    </w:p>
    <w:p w14:paraId="6F63810D"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 xml:space="preserve">expressions used to denote persons generally (such as “person”, “party”, “someone”, “anyone”, “no one”, “one”, “another” and “whoever”), include a body politic or corporate as well as an </w:t>
      </w:r>
      <w:proofErr w:type="gramStart"/>
      <w:r w:rsidRPr="00954FF2">
        <w:rPr>
          <w:rFonts w:ascii="Calibri" w:hAnsi="Calibri" w:cs="Calibri"/>
          <w:sz w:val="22"/>
          <w:szCs w:val="22"/>
        </w:rPr>
        <w:t>individual;</w:t>
      </w:r>
      <w:proofErr w:type="gramEnd"/>
    </w:p>
    <w:p w14:paraId="575ABCF8"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954FF2">
        <w:rPr>
          <w:rFonts w:ascii="Calibri" w:hAnsi="Calibri" w:cs="Calibri"/>
          <w:sz w:val="22"/>
          <w:szCs w:val="22"/>
        </w:rPr>
        <w:t>appears;</w:t>
      </w:r>
      <w:proofErr w:type="gramEnd"/>
    </w:p>
    <w:p w14:paraId="4F1049A3"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 xml:space="preserve">where any word or phrase is given a particular meaning, other grammatical forms of that word or phrase have corresponding </w:t>
      </w:r>
      <w:proofErr w:type="gramStart"/>
      <w:r w:rsidRPr="00954FF2">
        <w:rPr>
          <w:rFonts w:ascii="Calibri" w:hAnsi="Calibri" w:cs="Calibri"/>
          <w:sz w:val="22"/>
          <w:szCs w:val="22"/>
        </w:rPr>
        <w:t>meanings;</w:t>
      </w:r>
      <w:proofErr w:type="gramEnd"/>
    </w:p>
    <w:p w14:paraId="3EE5E05C" w14:textId="77777777" w:rsidR="00EC45A5" w:rsidRPr="00954FF2" w:rsidRDefault="00EC45A5" w:rsidP="00EC45A5">
      <w:pPr>
        <w:pStyle w:val="ConditionLevel2"/>
        <w:numPr>
          <w:ilvl w:val="0"/>
          <w:numId w:val="55"/>
        </w:numPr>
        <w:rPr>
          <w:rFonts w:ascii="Calibri" w:hAnsi="Calibri" w:cs="Calibri"/>
          <w:sz w:val="22"/>
          <w:szCs w:val="22"/>
        </w:rPr>
      </w:pPr>
      <w:r w:rsidRPr="00954FF2">
        <w:rPr>
          <w:rFonts w:ascii="Calibri" w:hAnsi="Calibri" w:cs="Calibri"/>
          <w:sz w:val="22"/>
          <w:szCs w:val="22"/>
        </w:rPr>
        <w:t>specific conditions prevail over general conditions to the extent of any inconsistency.</w:t>
      </w:r>
    </w:p>
    <w:p w14:paraId="13DD03B7" w14:textId="77777777" w:rsidR="00EC45A5" w:rsidRPr="00954FF2" w:rsidRDefault="00EC45A5" w:rsidP="00EC45A5">
      <w:pPr>
        <w:pStyle w:val="RARMPnumberedparagraphs"/>
        <w:rPr>
          <w:rFonts w:cs="Calibri"/>
          <w:szCs w:val="22"/>
        </w:rPr>
      </w:pPr>
      <w:r w:rsidRPr="00954FF2">
        <w:rPr>
          <w:rFonts w:cs="Calibri"/>
          <w:szCs w:val="22"/>
        </w:rPr>
        <w:t>In this licence:</w:t>
      </w:r>
    </w:p>
    <w:p w14:paraId="20E4323D" w14:textId="77777777" w:rsidR="00EC45A5" w:rsidRPr="00954FF2" w:rsidRDefault="00EC45A5" w:rsidP="00EC45A5">
      <w:pPr>
        <w:rPr>
          <w:rFonts w:cs="Calibri"/>
          <w:szCs w:val="22"/>
        </w:rPr>
      </w:pPr>
      <w:r w:rsidRPr="00954FF2">
        <w:rPr>
          <w:rFonts w:cs="Calibri"/>
          <w:b/>
          <w:i/>
          <w:szCs w:val="22"/>
        </w:rPr>
        <w:t>‘Act’</w:t>
      </w:r>
      <w:r w:rsidRPr="00954FF2">
        <w:rPr>
          <w:rFonts w:cs="Calibri"/>
          <w:szCs w:val="22"/>
        </w:rPr>
        <w:t xml:space="preserve"> means the </w:t>
      </w:r>
      <w:r w:rsidRPr="00954FF2">
        <w:rPr>
          <w:rFonts w:cs="Calibri"/>
          <w:i/>
          <w:szCs w:val="22"/>
        </w:rPr>
        <w:t>Gene Technology Act 2000</w:t>
      </w:r>
      <w:r w:rsidRPr="00954FF2">
        <w:rPr>
          <w:rFonts w:cs="Calibri"/>
          <w:szCs w:val="22"/>
        </w:rPr>
        <w:t xml:space="preserve"> (Commonwealth) or the corresponding State Law under which this licence is issued.</w:t>
      </w:r>
    </w:p>
    <w:p w14:paraId="6D680ED2" w14:textId="77777777" w:rsidR="00EC45A5" w:rsidRPr="00954FF2" w:rsidRDefault="00EC45A5" w:rsidP="00EC45A5">
      <w:pPr>
        <w:rPr>
          <w:rFonts w:cs="Calibri"/>
          <w:szCs w:val="22"/>
        </w:rPr>
      </w:pPr>
      <w:r w:rsidRPr="00954FF2">
        <w:rPr>
          <w:rFonts w:cs="Calibri"/>
          <w:b/>
          <w:i/>
          <w:szCs w:val="22"/>
        </w:rPr>
        <w:t>‘Analytical facility’</w:t>
      </w:r>
      <w:r w:rsidRPr="00954FF2">
        <w:rPr>
          <w:rFonts w:cs="Calibri"/>
          <w:szCs w:val="22"/>
        </w:rPr>
        <w:t xml:space="preserve"> means a laboratory in Australia accredited to undertake testing of human diagnostic Samples, such as a medical testing laboratory accredited by the National Pathology Accreditation Advisory Council (NPAAC).</w:t>
      </w:r>
    </w:p>
    <w:p w14:paraId="4C0D8520" w14:textId="77777777" w:rsidR="00EC45A5" w:rsidRPr="00954FF2" w:rsidRDefault="00EC45A5" w:rsidP="00EC45A5">
      <w:pPr>
        <w:rPr>
          <w:rFonts w:cs="Calibri"/>
          <w:szCs w:val="22"/>
        </w:rPr>
      </w:pPr>
      <w:r w:rsidRPr="00954FF2">
        <w:rPr>
          <w:rFonts w:cs="Calibri"/>
          <w:b/>
          <w:i/>
          <w:szCs w:val="22"/>
        </w:rPr>
        <w:t>‘Clinical trial site’</w:t>
      </w:r>
      <w:r w:rsidRPr="00954FF2">
        <w:rPr>
          <w:rFonts w:cs="Calibri"/>
          <w:b/>
          <w:szCs w:val="22"/>
        </w:rPr>
        <w:t xml:space="preserve"> </w:t>
      </w:r>
      <w:r w:rsidRPr="00954FF2">
        <w:rPr>
          <w:rFonts w:cs="Calibri"/>
          <w:szCs w:val="22"/>
        </w:rPr>
        <w:t>means a medical facility in Australia such as a clinical trial facility and associated Pharmacy, which are notified in writing to the Regulator for the purposes of conducting this clinical trial.</w:t>
      </w:r>
    </w:p>
    <w:p w14:paraId="3DB8F9C3" w14:textId="77777777" w:rsidR="00EC45A5" w:rsidRPr="00954FF2" w:rsidRDefault="00EC45A5" w:rsidP="00EC45A5">
      <w:pPr>
        <w:rPr>
          <w:rFonts w:cs="Calibri"/>
          <w:szCs w:val="22"/>
        </w:rPr>
      </w:pPr>
      <w:r w:rsidRPr="00954FF2">
        <w:rPr>
          <w:rFonts w:cs="Calibri"/>
          <w:b/>
          <w:i/>
          <w:szCs w:val="22"/>
        </w:rPr>
        <w:t>‘Decontaminate’</w:t>
      </w:r>
      <w:r w:rsidRPr="00954FF2">
        <w:rPr>
          <w:rFonts w:cs="Calibri"/>
          <w:szCs w:val="22"/>
        </w:rPr>
        <w:t xml:space="preserve"> (or </w:t>
      </w:r>
      <w:r w:rsidRPr="00954FF2">
        <w:rPr>
          <w:rFonts w:cs="Calibri"/>
          <w:b/>
          <w:i/>
          <w:szCs w:val="22"/>
        </w:rPr>
        <w:t>‘Decontamination’</w:t>
      </w:r>
      <w:r w:rsidRPr="00954FF2">
        <w:rPr>
          <w:rFonts w:cs="Calibri"/>
          <w:szCs w:val="22"/>
        </w:rPr>
        <w:t xml:space="preserve">) means, as the case requires, kill the GMOs by one or more of the following methods: </w:t>
      </w:r>
    </w:p>
    <w:p w14:paraId="7C527F35" w14:textId="77777777" w:rsidR="00EC45A5" w:rsidRPr="00954FF2" w:rsidRDefault="00EC45A5" w:rsidP="00EC45A5">
      <w:pPr>
        <w:pStyle w:val="ConditionLevel2"/>
        <w:numPr>
          <w:ilvl w:val="0"/>
          <w:numId w:val="77"/>
        </w:numPr>
        <w:rPr>
          <w:rFonts w:ascii="Calibri" w:hAnsi="Calibri" w:cs="Calibri"/>
          <w:sz w:val="22"/>
          <w:szCs w:val="22"/>
        </w:rPr>
      </w:pPr>
      <w:r w:rsidRPr="00954FF2">
        <w:rPr>
          <w:rFonts w:ascii="Calibri" w:hAnsi="Calibri" w:cs="Calibri"/>
          <w:sz w:val="22"/>
          <w:szCs w:val="22"/>
        </w:rPr>
        <w:t xml:space="preserve">chemical </w:t>
      </w:r>
      <w:proofErr w:type="gramStart"/>
      <w:r w:rsidRPr="00954FF2">
        <w:rPr>
          <w:rFonts w:ascii="Calibri" w:hAnsi="Calibri" w:cs="Calibri"/>
          <w:sz w:val="22"/>
          <w:szCs w:val="22"/>
        </w:rPr>
        <w:t>treatment;</w:t>
      </w:r>
      <w:proofErr w:type="gramEnd"/>
    </w:p>
    <w:p w14:paraId="03E71E80" w14:textId="77777777" w:rsidR="00EC45A5" w:rsidRPr="00954FF2" w:rsidRDefault="00EC45A5" w:rsidP="00EC45A5">
      <w:pPr>
        <w:pStyle w:val="ConditionLevel2"/>
        <w:numPr>
          <w:ilvl w:val="0"/>
          <w:numId w:val="77"/>
        </w:numPr>
        <w:tabs>
          <w:tab w:val="clear" w:pos="1134"/>
          <w:tab w:val="num" w:pos="567"/>
        </w:tabs>
        <w:rPr>
          <w:rFonts w:ascii="Calibri" w:hAnsi="Calibri" w:cs="Calibri"/>
          <w:sz w:val="22"/>
          <w:szCs w:val="22"/>
        </w:rPr>
      </w:pPr>
      <w:proofErr w:type="gramStart"/>
      <w:r w:rsidRPr="00954FF2">
        <w:rPr>
          <w:rFonts w:ascii="Calibri" w:hAnsi="Calibri" w:cs="Calibri"/>
          <w:sz w:val="22"/>
          <w:szCs w:val="22"/>
        </w:rPr>
        <w:t>autoclaving;</w:t>
      </w:r>
      <w:proofErr w:type="gramEnd"/>
    </w:p>
    <w:p w14:paraId="5489CCEC" w14:textId="77777777" w:rsidR="00EC45A5" w:rsidRPr="00954FF2" w:rsidRDefault="00EC45A5" w:rsidP="00EC45A5">
      <w:pPr>
        <w:pStyle w:val="ConditionLevel2"/>
        <w:numPr>
          <w:ilvl w:val="0"/>
          <w:numId w:val="77"/>
        </w:numPr>
        <w:tabs>
          <w:tab w:val="clear" w:pos="1134"/>
          <w:tab w:val="num" w:pos="567"/>
        </w:tabs>
        <w:rPr>
          <w:rFonts w:ascii="Calibri" w:hAnsi="Calibri" w:cs="Calibri"/>
          <w:sz w:val="22"/>
          <w:szCs w:val="22"/>
        </w:rPr>
      </w:pPr>
      <w:r w:rsidRPr="00954FF2">
        <w:rPr>
          <w:rFonts w:ascii="Calibri" w:hAnsi="Calibri" w:cs="Calibri"/>
          <w:sz w:val="22"/>
          <w:szCs w:val="22"/>
        </w:rPr>
        <w:t>high-temperature incineration; or</w:t>
      </w:r>
    </w:p>
    <w:p w14:paraId="45874AF5" w14:textId="77777777" w:rsidR="00EC45A5" w:rsidRPr="00954FF2" w:rsidRDefault="00EC45A5" w:rsidP="00EC45A5">
      <w:pPr>
        <w:pStyle w:val="ConditionLevel2"/>
        <w:numPr>
          <w:ilvl w:val="0"/>
          <w:numId w:val="77"/>
        </w:numPr>
        <w:tabs>
          <w:tab w:val="clear" w:pos="1134"/>
          <w:tab w:val="num" w:pos="567"/>
        </w:tabs>
        <w:rPr>
          <w:rFonts w:ascii="Calibri" w:hAnsi="Calibri" w:cs="Calibri"/>
          <w:sz w:val="22"/>
          <w:szCs w:val="22"/>
        </w:rPr>
      </w:pPr>
      <w:r w:rsidRPr="00954FF2">
        <w:rPr>
          <w:rFonts w:ascii="Calibri" w:hAnsi="Calibri" w:cs="Calibri"/>
          <w:sz w:val="22"/>
          <w:szCs w:val="22"/>
        </w:rPr>
        <w:t>a method approved in writing by the Regulator.</w:t>
      </w:r>
    </w:p>
    <w:p w14:paraId="72536EF2" w14:textId="77777777" w:rsidR="00EC45A5" w:rsidRPr="00954FF2" w:rsidRDefault="00EC45A5" w:rsidP="00853F97">
      <w:pPr>
        <w:pStyle w:val="Notes"/>
        <w:shd w:val="clear" w:color="auto" w:fill="D9D9D9" w:themeFill="background1" w:themeFillShade="D9"/>
        <w:ind w:left="1134"/>
        <w:rPr>
          <w:rFonts w:cs="Calibri"/>
          <w:szCs w:val="22"/>
        </w:rPr>
      </w:pPr>
      <w:r w:rsidRPr="00954FF2">
        <w:rPr>
          <w:rFonts w:cs="Calibri"/>
          <w:szCs w:val="22"/>
        </w:rPr>
        <w:t>Note: 'As the case requires' has the effect that, depending on the circumstances, one or more of these techniques may not be appropriate.</w:t>
      </w:r>
    </w:p>
    <w:p w14:paraId="05D420DF" w14:textId="77777777" w:rsidR="00EC45A5" w:rsidRPr="00954FF2" w:rsidRDefault="00EC45A5" w:rsidP="00EC45A5">
      <w:pPr>
        <w:autoSpaceDE w:val="0"/>
        <w:autoSpaceDN w:val="0"/>
        <w:adjustRightInd w:val="0"/>
        <w:rPr>
          <w:rFonts w:cs="Calibri"/>
          <w:szCs w:val="22"/>
        </w:rPr>
      </w:pPr>
      <w:r w:rsidRPr="00954FF2">
        <w:rPr>
          <w:rFonts w:cs="Calibri"/>
          <w:b/>
          <w:bCs/>
          <w:i/>
          <w:iCs/>
          <w:szCs w:val="22"/>
        </w:rPr>
        <w:t xml:space="preserve">‘External service provider’ </w:t>
      </w:r>
      <w:r w:rsidRPr="00954FF2">
        <w:rPr>
          <w:rFonts w:cs="Calibri"/>
          <w:szCs w:val="22"/>
        </w:rPr>
        <w:t xml:space="preserve">means a person engaged by the licence holder solely in relation to transport, storage and/or disposal of the GMOs, </w:t>
      </w:r>
      <w:r w:rsidRPr="00954FF2">
        <w:rPr>
          <w:rFonts w:cs="Calibri"/>
          <w:color w:val="000000" w:themeColor="text1"/>
          <w:szCs w:val="22"/>
        </w:rPr>
        <w:t>or Sample analysis other than at a Clinical trial site,</w:t>
      </w:r>
      <w:r w:rsidRPr="00954FF2">
        <w:rPr>
          <w:rFonts w:cs="Calibri"/>
          <w:szCs w:val="22"/>
        </w:rPr>
        <w:t xml:space="preserve"> and who is not undertaking any dealings with the GMOs that are not for those purposes.</w:t>
      </w:r>
    </w:p>
    <w:p w14:paraId="35FDAE4E" w14:textId="77777777" w:rsidR="00EC45A5" w:rsidRPr="00954FF2" w:rsidRDefault="00EC45A5" w:rsidP="00EC45A5">
      <w:pPr>
        <w:autoSpaceDE w:val="0"/>
        <w:autoSpaceDN w:val="0"/>
        <w:adjustRightInd w:val="0"/>
        <w:rPr>
          <w:rFonts w:cs="Calibri"/>
          <w:szCs w:val="22"/>
        </w:rPr>
      </w:pPr>
      <w:r w:rsidRPr="00954FF2">
        <w:rPr>
          <w:rFonts w:eastAsia="Calibri" w:cs="Calibri"/>
          <w:b/>
          <w:i/>
          <w:color w:val="000000"/>
          <w:szCs w:val="22"/>
        </w:rPr>
        <w:t>‘GM’</w:t>
      </w:r>
      <w:r w:rsidRPr="00954FF2">
        <w:rPr>
          <w:rFonts w:eastAsia="Calibri" w:cs="Calibri"/>
          <w:color w:val="000000"/>
          <w:szCs w:val="22"/>
        </w:rPr>
        <w:t xml:space="preserve"> means </w:t>
      </w:r>
      <w:r w:rsidRPr="00954FF2">
        <w:rPr>
          <w:rFonts w:cs="Calibri"/>
          <w:szCs w:val="22"/>
        </w:rPr>
        <w:t>genetically</w:t>
      </w:r>
      <w:r w:rsidRPr="00954FF2">
        <w:rPr>
          <w:rFonts w:eastAsia="Calibri" w:cs="Calibri"/>
          <w:color w:val="000000"/>
          <w:szCs w:val="22"/>
        </w:rPr>
        <w:t xml:space="preserve"> modified.</w:t>
      </w:r>
    </w:p>
    <w:p w14:paraId="6014AF04" w14:textId="77777777" w:rsidR="00EC45A5" w:rsidRPr="00954FF2" w:rsidRDefault="00EC45A5" w:rsidP="00EC45A5">
      <w:pPr>
        <w:autoSpaceDE w:val="0"/>
        <w:autoSpaceDN w:val="0"/>
        <w:adjustRightInd w:val="0"/>
        <w:rPr>
          <w:rFonts w:cs="Calibri"/>
          <w:szCs w:val="22"/>
        </w:rPr>
      </w:pPr>
      <w:r w:rsidRPr="00954FF2">
        <w:rPr>
          <w:rFonts w:cs="Calibri"/>
          <w:b/>
          <w:szCs w:val="22"/>
        </w:rPr>
        <w:t>‘</w:t>
      </w:r>
      <w:r w:rsidRPr="00954FF2">
        <w:rPr>
          <w:rFonts w:cs="Calibri"/>
          <w:b/>
          <w:i/>
          <w:szCs w:val="22"/>
        </w:rPr>
        <w:t>GMO’</w:t>
      </w:r>
      <w:r w:rsidRPr="00954FF2">
        <w:rPr>
          <w:rFonts w:cs="Calibri"/>
          <w:b/>
          <w:szCs w:val="22"/>
        </w:rPr>
        <w:t xml:space="preserve"> </w:t>
      </w:r>
      <w:r w:rsidRPr="00954FF2">
        <w:rPr>
          <w:rFonts w:cs="Calibri"/>
          <w:szCs w:val="22"/>
        </w:rPr>
        <w:t>means the genetically modified organisms that are the subject of the dealings authorised by this licence.</w:t>
      </w:r>
    </w:p>
    <w:p w14:paraId="148B0DA3" w14:textId="77777777" w:rsidR="00EC45A5" w:rsidRPr="00954FF2" w:rsidRDefault="00EC45A5" w:rsidP="00EC45A5">
      <w:pPr>
        <w:autoSpaceDE w:val="0"/>
        <w:autoSpaceDN w:val="0"/>
        <w:adjustRightInd w:val="0"/>
        <w:rPr>
          <w:rFonts w:cs="Calibri"/>
          <w:szCs w:val="22"/>
        </w:rPr>
      </w:pPr>
      <w:r w:rsidRPr="00954FF2">
        <w:rPr>
          <w:rFonts w:cs="Calibri"/>
          <w:b/>
          <w:bCs/>
          <w:i/>
          <w:iCs/>
          <w:szCs w:val="22"/>
        </w:rPr>
        <w:lastRenderedPageBreak/>
        <w:t>‘Immunosuppressive disorder’</w:t>
      </w:r>
      <w:r w:rsidRPr="00954FF2">
        <w:rPr>
          <w:rFonts w:cs="Calibri"/>
          <w:i/>
          <w:iCs/>
          <w:szCs w:val="22"/>
        </w:rPr>
        <w:t xml:space="preserve"> </w:t>
      </w:r>
      <w:r w:rsidRPr="00954FF2">
        <w:rPr>
          <w:rFonts w:cs="Calibri"/>
          <w:szCs w:val="22"/>
        </w:rPr>
        <w:t>means a condition characterised by a weakened immune system due to underlying disease (e.g. HIV), medications (excluding anti-cancer medications) or treatment (e.g. organ transplant).</w:t>
      </w:r>
    </w:p>
    <w:p w14:paraId="3596F03F" w14:textId="77777777" w:rsidR="00EC45A5" w:rsidRPr="00954FF2" w:rsidRDefault="00EC45A5" w:rsidP="00EC45A5">
      <w:pPr>
        <w:autoSpaceDE w:val="0"/>
        <w:autoSpaceDN w:val="0"/>
        <w:adjustRightInd w:val="0"/>
        <w:rPr>
          <w:rFonts w:cs="Calibri"/>
          <w:szCs w:val="22"/>
        </w:rPr>
      </w:pPr>
      <w:r w:rsidRPr="00954FF2">
        <w:rPr>
          <w:rFonts w:cs="Calibri"/>
          <w:b/>
          <w:i/>
          <w:szCs w:val="22"/>
        </w:rPr>
        <w:t>‘NLRD’</w:t>
      </w:r>
      <w:r w:rsidRPr="00954FF2">
        <w:rPr>
          <w:rFonts w:cs="Calibri"/>
          <w:i/>
          <w:szCs w:val="22"/>
        </w:rPr>
        <w:t xml:space="preserve"> </w:t>
      </w:r>
      <w:r w:rsidRPr="00954FF2">
        <w:rPr>
          <w:rFonts w:cs="Calibri"/>
          <w:szCs w:val="22"/>
        </w:rPr>
        <w:t xml:space="preserve">is a Notifiable low risk dealing. Dealings conducted as an NLRD must be assessed by an institutional biosafety committee (IBC) before commencement and must comply with the requirements of the Gene Technology Regulations 2001. </w:t>
      </w:r>
    </w:p>
    <w:p w14:paraId="7A8B660B" w14:textId="77777777" w:rsidR="00EC45A5" w:rsidRPr="00954FF2" w:rsidRDefault="00EC45A5" w:rsidP="00EC45A5">
      <w:pPr>
        <w:autoSpaceDE w:val="0"/>
        <w:autoSpaceDN w:val="0"/>
        <w:adjustRightInd w:val="0"/>
        <w:rPr>
          <w:rFonts w:cs="Calibri"/>
          <w:i/>
          <w:szCs w:val="22"/>
        </w:rPr>
      </w:pPr>
      <w:r w:rsidRPr="00954FF2">
        <w:rPr>
          <w:rFonts w:cs="Calibri"/>
          <w:b/>
          <w:i/>
          <w:szCs w:val="22"/>
        </w:rPr>
        <w:t>‘OGTR’</w:t>
      </w:r>
      <w:r w:rsidRPr="00954FF2">
        <w:rPr>
          <w:rFonts w:cs="Calibri"/>
          <w:i/>
          <w:szCs w:val="22"/>
        </w:rPr>
        <w:t xml:space="preserve"> </w:t>
      </w:r>
      <w:r w:rsidRPr="00954FF2">
        <w:rPr>
          <w:rFonts w:cs="Calibri"/>
          <w:szCs w:val="22"/>
        </w:rPr>
        <w:t>means the Office of the Gene Technology Regulator</w:t>
      </w:r>
    </w:p>
    <w:p w14:paraId="50D6A6EF" w14:textId="77777777" w:rsidR="00EC45A5" w:rsidRPr="00954FF2" w:rsidRDefault="00EC45A5" w:rsidP="00EC45A5">
      <w:pPr>
        <w:rPr>
          <w:rFonts w:cs="Calibri"/>
          <w:szCs w:val="22"/>
        </w:rPr>
      </w:pPr>
      <w:r w:rsidRPr="00954FF2">
        <w:rPr>
          <w:rFonts w:cs="Calibri"/>
          <w:b/>
          <w:i/>
          <w:szCs w:val="22"/>
        </w:rPr>
        <w:t>‘Personal information’</w:t>
      </w:r>
      <w:r w:rsidRPr="00954FF2">
        <w:rPr>
          <w:rFonts w:cs="Calibri"/>
          <w:szCs w:val="22"/>
        </w:rPr>
        <w:t xml:space="preserve"> has the same meaning as in the </w:t>
      </w:r>
      <w:r w:rsidRPr="00954FF2">
        <w:rPr>
          <w:rFonts w:cs="Calibri"/>
          <w:i/>
          <w:szCs w:val="22"/>
        </w:rPr>
        <w:t>Privacy Act 1988</w:t>
      </w:r>
      <w:r w:rsidRPr="00954FF2">
        <w:rPr>
          <w:rFonts w:cs="Calibri"/>
          <w:szCs w:val="22"/>
        </w:rPr>
        <w:t>. Personal information means information or an opinion about an identified individual, or an individual who is reasonably identifiable:</w:t>
      </w:r>
    </w:p>
    <w:p w14:paraId="55CF113D" w14:textId="77777777" w:rsidR="00EC45A5" w:rsidRPr="00954FF2" w:rsidRDefault="00EC45A5" w:rsidP="00EC45A5">
      <w:pPr>
        <w:ind w:left="426"/>
        <w:rPr>
          <w:rFonts w:cs="Calibri"/>
          <w:szCs w:val="22"/>
        </w:rPr>
      </w:pPr>
      <w:r w:rsidRPr="00954FF2">
        <w:rPr>
          <w:rFonts w:cs="Calibri"/>
          <w:szCs w:val="22"/>
        </w:rPr>
        <w:t xml:space="preserve">(a) whether the information or opinion is true or not; and </w:t>
      </w:r>
    </w:p>
    <w:p w14:paraId="03D53904" w14:textId="77777777" w:rsidR="00EC45A5" w:rsidRPr="00954FF2" w:rsidRDefault="00EC45A5" w:rsidP="00EC45A5">
      <w:pPr>
        <w:ind w:left="426"/>
        <w:rPr>
          <w:rFonts w:cs="Calibri"/>
          <w:szCs w:val="22"/>
        </w:rPr>
      </w:pPr>
      <w:r w:rsidRPr="00954FF2">
        <w:rPr>
          <w:rFonts w:cs="Calibri"/>
          <w:szCs w:val="22"/>
        </w:rPr>
        <w:t>(b) whether the information or opinion is recorded in a material form or not.</w:t>
      </w:r>
    </w:p>
    <w:p w14:paraId="25F8F87D" w14:textId="77777777" w:rsidR="00EC45A5" w:rsidRPr="00954FF2" w:rsidRDefault="00EC45A5" w:rsidP="00EC45A5">
      <w:pPr>
        <w:rPr>
          <w:rFonts w:cs="Calibri"/>
          <w:b/>
          <w:szCs w:val="22"/>
        </w:rPr>
      </w:pPr>
      <w:r w:rsidRPr="00954FF2">
        <w:rPr>
          <w:rFonts w:eastAsia="Calibri" w:cs="Calibri"/>
          <w:b/>
          <w:i/>
          <w:color w:val="000000"/>
          <w:szCs w:val="22"/>
        </w:rPr>
        <w:t>‘Pharmacy’</w:t>
      </w:r>
      <w:r w:rsidRPr="00954FF2">
        <w:rPr>
          <w:rFonts w:eastAsia="Calibri" w:cs="Calibri"/>
          <w:color w:val="000000"/>
          <w:szCs w:val="22"/>
        </w:rPr>
        <w:t xml:space="preserve"> means a location within the Clinical trial site, where authorised staff stores, prepares, and dispenses medications in a medical environment.</w:t>
      </w:r>
    </w:p>
    <w:p w14:paraId="5B61A96D" w14:textId="77777777" w:rsidR="00EC45A5" w:rsidRPr="00954FF2" w:rsidRDefault="00EC45A5" w:rsidP="00EC45A5">
      <w:pPr>
        <w:rPr>
          <w:rFonts w:cs="Calibri"/>
          <w:szCs w:val="22"/>
        </w:rPr>
      </w:pPr>
      <w:r w:rsidRPr="00954FF2">
        <w:rPr>
          <w:rFonts w:cs="Calibri"/>
          <w:b/>
          <w:szCs w:val="22"/>
        </w:rPr>
        <w:t>‘</w:t>
      </w:r>
      <w:r w:rsidRPr="00954FF2">
        <w:rPr>
          <w:rFonts w:cs="Calibri"/>
          <w:b/>
          <w:i/>
          <w:szCs w:val="22"/>
        </w:rPr>
        <w:t>Regulations’</w:t>
      </w:r>
      <w:r w:rsidRPr="00954FF2">
        <w:rPr>
          <w:rFonts w:cs="Calibri"/>
          <w:szCs w:val="22"/>
        </w:rPr>
        <w:t xml:space="preserve"> means the </w:t>
      </w:r>
      <w:r w:rsidRPr="00954FF2">
        <w:rPr>
          <w:rFonts w:cs="Calibri"/>
          <w:i/>
          <w:szCs w:val="22"/>
        </w:rPr>
        <w:t>Gene Technology Regulations 2001</w:t>
      </w:r>
      <w:r w:rsidRPr="00954FF2">
        <w:rPr>
          <w:rFonts w:cs="Calibri"/>
          <w:szCs w:val="22"/>
        </w:rPr>
        <w:t xml:space="preserve"> (Commonwealth) or the corresponding State Law under which this licence is issued.</w:t>
      </w:r>
    </w:p>
    <w:p w14:paraId="4CADA884" w14:textId="77777777" w:rsidR="00EC45A5" w:rsidRPr="00954FF2" w:rsidRDefault="00EC45A5" w:rsidP="00EC45A5">
      <w:pPr>
        <w:spacing w:before="60" w:after="100"/>
        <w:ind w:right="-30"/>
        <w:rPr>
          <w:rFonts w:eastAsia="Calibri" w:cs="Calibri"/>
          <w:color w:val="000000"/>
          <w:szCs w:val="22"/>
        </w:rPr>
      </w:pPr>
      <w:r w:rsidRPr="00954FF2">
        <w:rPr>
          <w:rFonts w:eastAsia="Calibri" w:cs="Calibri"/>
          <w:b/>
          <w:i/>
          <w:color w:val="000000"/>
          <w:szCs w:val="22"/>
        </w:rPr>
        <w:t>‘Regulator’</w:t>
      </w:r>
      <w:r w:rsidRPr="00954FF2">
        <w:rPr>
          <w:rFonts w:eastAsia="Calibri" w:cs="Calibri"/>
          <w:color w:val="000000"/>
          <w:szCs w:val="22"/>
        </w:rPr>
        <w:t xml:space="preserve"> means the Gene Technology Regulator.</w:t>
      </w:r>
    </w:p>
    <w:p w14:paraId="3D26BBB3" w14:textId="77777777" w:rsidR="00EC45A5" w:rsidRPr="00954FF2" w:rsidRDefault="00EC45A5" w:rsidP="00EC45A5">
      <w:pPr>
        <w:rPr>
          <w:rFonts w:cs="Calibri"/>
          <w:szCs w:val="22"/>
        </w:rPr>
      </w:pPr>
      <w:r w:rsidRPr="00954FF2">
        <w:rPr>
          <w:rFonts w:cs="Calibri"/>
          <w:b/>
          <w:i/>
          <w:szCs w:val="22"/>
        </w:rPr>
        <w:t>‘Sample’</w:t>
      </w:r>
      <w:r w:rsidRPr="00954FF2">
        <w:rPr>
          <w:rFonts w:cs="Calibri"/>
          <w:szCs w:val="22"/>
        </w:rPr>
        <w:t xml:space="preserve"> means any biological material collected from a treated trial participant for analysis as part of the trial.</w:t>
      </w:r>
    </w:p>
    <w:p w14:paraId="11FBA383" w14:textId="77777777" w:rsidR="00EC45A5" w:rsidRPr="00954FF2" w:rsidRDefault="00EC45A5" w:rsidP="00EC45A5">
      <w:pPr>
        <w:rPr>
          <w:rFonts w:cs="Calibri"/>
          <w:szCs w:val="22"/>
        </w:rPr>
      </w:pPr>
      <w:r w:rsidRPr="00954FF2">
        <w:rPr>
          <w:rFonts w:cs="Calibri"/>
          <w:b/>
          <w:i/>
          <w:szCs w:val="22"/>
        </w:rPr>
        <w:t>‘Storage facility’</w:t>
      </w:r>
      <w:r w:rsidRPr="00954FF2">
        <w:rPr>
          <w:rFonts w:cs="Calibri"/>
          <w:szCs w:val="22"/>
        </w:rPr>
        <w:t xml:space="preserve"> means a third-party facility offering logistical services and distribution of clinical supplies.</w:t>
      </w:r>
    </w:p>
    <w:p w14:paraId="7DBC9820" w14:textId="77777777" w:rsidR="00EC45A5" w:rsidRPr="00954FF2" w:rsidRDefault="00EC45A5" w:rsidP="00EC45A5">
      <w:pPr>
        <w:pStyle w:val="Style2"/>
        <w:numPr>
          <w:ilvl w:val="1"/>
          <w:numId w:val="2"/>
        </w:numPr>
        <w:tabs>
          <w:tab w:val="clear" w:pos="2241"/>
          <w:tab w:val="num" w:pos="1440"/>
          <w:tab w:val="num" w:pos="1985"/>
        </w:tabs>
        <w:ind w:left="655" w:hanging="360"/>
        <w:rPr>
          <w:rFonts w:cs="Calibri"/>
        </w:rPr>
      </w:pPr>
      <w:bookmarkStart w:id="414" w:name="_Toc215474044"/>
      <w:bookmarkStart w:id="415" w:name="_Toc219281423"/>
      <w:r w:rsidRPr="00954FF2">
        <w:rPr>
          <w:rFonts w:cs="Calibri"/>
        </w:rPr>
        <w:t>General conditions and obligations</w:t>
      </w:r>
      <w:bookmarkEnd w:id="414"/>
      <w:bookmarkEnd w:id="415"/>
    </w:p>
    <w:p w14:paraId="47250507"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Holder of licence</w:t>
      </w:r>
    </w:p>
    <w:p w14:paraId="723EABB1" w14:textId="77777777" w:rsidR="00EC45A5" w:rsidRPr="00954FF2" w:rsidRDefault="00EC45A5" w:rsidP="00EC45A5">
      <w:pPr>
        <w:pStyle w:val="RARMPnumberedparagraphs"/>
        <w:rPr>
          <w:rFonts w:cs="Calibri"/>
          <w:szCs w:val="22"/>
        </w:rPr>
      </w:pPr>
      <w:r w:rsidRPr="00954FF2">
        <w:rPr>
          <w:rFonts w:cs="Calibri"/>
          <w:szCs w:val="22"/>
        </w:rPr>
        <w:t>The licence holder is Ferring Pharmaceuticals Pty Ltd.</w:t>
      </w:r>
    </w:p>
    <w:p w14:paraId="694D9072"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Remaining an Accredited Organisation</w:t>
      </w:r>
    </w:p>
    <w:p w14:paraId="5FAB5C06" w14:textId="77777777" w:rsidR="00EC45A5" w:rsidRPr="00954FF2" w:rsidRDefault="00EC45A5" w:rsidP="00EC45A5">
      <w:pPr>
        <w:pStyle w:val="RARMPnumberedparagraphs"/>
        <w:rPr>
          <w:rFonts w:cs="Calibri"/>
          <w:szCs w:val="22"/>
        </w:rPr>
      </w:pPr>
      <w:r w:rsidRPr="00954FF2">
        <w:rPr>
          <w:rFonts w:cs="Calibri"/>
          <w:szCs w:val="22"/>
        </w:rPr>
        <w:t xml:space="preserve">The licence holder must, </w:t>
      </w:r>
      <w:proofErr w:type="gramStart"/>
      <w:r w:rsidRPr="00954FF2">
        <w:rPr>
          <w:rFonts w:cs="Calibri"/>
          <w:szCs w:val="22"/>
        </w:rPr>
        <w:t>at all times</w:t>
      </w:r>
      <w:proofErr w:type="gramEnd"/>
      <w:r w:rsidRPr="00954FF2">
        <w:rPr>
          <w:rFonts w:cs="Calibri"/>
          <w:szCs w:val="22"/>
        </w:rPr>
        <w:t>, remain an accredited organisation.</w:t>
      </w:r>
    </w:p>
    <w:p w14:paraId="4BF640A0"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Validity of licence</w:t>
      </w:r>
    </w:p>
    <w:p w14:paraId="411A09ED" w14:textId="77777777" w:rsidR="00EC45A5" w:rsidRPr="00954FF2" w:rsidRDefault="00EC45A5" w:rsidP="00EC45A5">
      <w:pPr>
        <w:pStyle w:val="RARMPnumberedparagraphs"/>
        <w:rPr>
          <w:rFonts w:cs="Calibri"/>
          <w:szCs w:val="22"/>
        </w:rPr>
      </w:pPr>
      <w:r w:rsidRPr="00954FF2">
        <w:rPr>
          <w:rFonts w:cs="Calibri"/>
          <w:szCs w:val="22"/>
        </w:rPr>
        <w:t>This licence remains in force until it is suspended, cancelled or surrendered. No dealings with the GMO are authorised during any period of suspension, or after the licence has been cancelled or surrendered.</w:t>
      </w:r>
    </w:p>
    <w:p w14:paraId="1EFB8DBC" w14:textId="0B6488D0" w:rsidR="00EC45A5" w:rsidRPr="00954FF2" w:rsidRDefault="00EC45A5" w:rsidP="00EC45A5">
      <w:pPr>
        <w:pStyle w:val="Notes"/>
        <w:shd w:val="clear" w:color="auto" w:fill="D9D9D9" w:themeFill="background1" w:themeFillShade="D9"/>
        <w:rPr>
          <w:rFonts w:cs="Calibri"/>
          <w:szCs w:val="22"/>
        </w:rPr>
      </w:pPr>
      <w:r w:rsidRPr="00954FF2">
        <w:rPr>
          <w:rFonts w:cs="Calibri"/>
          <w:szCs w:val="22"/>
          <w:shd w:val="clear" w:color="auto" w:fill="D9D9D9" w:themeFill="background1" w:themeFillShade="D9"/>
        </w:rPr>
        <w:t xml:space="preserve">Note: Although this licence has no expiry date, the duration of preparation and administration of the GMO is restricted in accordance with Condition </w:t>
      </w:r>
      <w:r w:rsidRPr="00954FF2">
        <w:rPr>
          <w:rFonts w:cs="Calibri"/>
          <w:szCs w:val="22"/>
          <w:shd w:val="clear" w:color="auto" w:fill="D9D9D9" w:themeFill="background1" w:themeFillShade="D9"/>
        </w:rPr>
        <w:fldChar w:fldCharType="begin"/>
      </w:r>
      <w:r w:rsidRPr="00954FF2">
        <w:rPr>
          <w:rFonts w:cs="Calibri"/>
          <w:szCs w:val="22"/>
          <w:shd w:val="clear" w:color="auto" w:fill="D9D9D9" w:themeFill="background1" w:themeFillShade="D9"/>
        </w:rPr>
        <w:instrText xml:space="preserve"> REF _Ref68093833 \r \h  \* MERGEFORMAT </w:instrText>
      </w:r>
      <w:r w:rsidRPr="00954FF2">
        <w:rPr>
          <w:rFonts w:cs="Calibri"/>
          <w:szCs w:val="22"/>
          <w:shd w:val="clear" w:color="auto" w:fill="D9D9D9" w:themeFill="background1" w:themeFillShade="D9"/>
        </w:rPr>
      </w:r>
      <w:r w:rsidRPr="00954FF2">
        <w:rPr>
          <w:rFonts w:cs="Calibri"/>
          <w:szCs w:val="22"/>
          <w:shd w:val="clear" w:color="auto" w:fill="D9D9D9" w:themeFill="background1" w:themeFillShade="D9"/>
        </w:rPr>
        <w:fldChar w:fldCharType="separate"/>
      </w:r>
      <w:r w:rsidR="004D0670">
        <w:rPr>
          <w:rFonts w:cs="Calibri"/>
          <w:szCs w:val="22"/>
          <w:shd w:val="clear" w:color="auto" w:fill="D9D9D9" w:themeFill="background1" w:themeFillShade="D9"/>
        </w:rPr>
        <w:t>23</w:t>
      </w:r>
      <w:r w:rsidRPr="00954FF2">
        <w:rPr>
          <w:rFonts w:cs="Calibri"/>
          <w:szCs w:val="22"/>
          <w:shd w:val="clear" w:color="auto" w:fill="D9D9D9" w:themeFill="background1" w:themeFillShade="D9"/>
        </w:rPr>
        <w:fldChar w:fldCharType="end"/>
      </w:r>
      <w:r w:rsidRPr="00954FF2">
        <w:rPr>
          <w:rFonts w:cs="Calibri"/>
          <w:szCs w:val="22"/>
        </w:rPr>
        <w:t>.</w:t>
      </w:r>
    </w:p>
    <w:p w14:paraId="33792776"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Persons covered by this licence</w:t>
      </w:r>
    </w:p>
    <w:p w14:paraId="49EB9C41" w14:textId="77777777" w:rsidR="00EC45A5" w:rsidRPr="00954FF2" w:rsidRDefault="00EC45A5" w:rsidP="00EC45A5">
      <w:pPr>
        <w:pStyle w:val="RARMPnumberedparagraphs"/>
        <w:rPr>
          <w:rFonts w:cs="Calibri"/>
          <w:szCs w:val="22"/>
        </w:rPr>
      </w:pPr>
      <w:r w:rsidRPr="00954FF2">
        <w:rPr>
          <w:rFonts w:cs="Calibri"/>
          <w:szCs w:val="22"/>
        </w:rPr>
        <w:t>The persons covered by this licence are:</w:t>
      </w:r>
    </w:p>
    <w:p w14:paraId="6ED640E7" w14:textId="77777777" w:rsidR="00EC45A5" w:rsidRPr="00954FF2" w:rsidRDefault="00EC45A5" w:rsidP="00EC45A5">
      <w:pPr>
        <w:pStyle w:val="RARMPnumberedparagraphs"/>
        <w:numPr>
          <w:ilvl w:val="1"/>
          <w:numId w:val="5"/>
        </w:numPr>
        <w:rPr>
          <w:rFonts w:cs="Calibri"/>
          <w:szCs w:val="22"/>
        </w:rPr>
      </w:pPr>
      <w:r w:rsidRPr="00954FF2">
        <w:rPr>
          <w:rFonts w:cs="Calibri"/>
          <w:szCs w:val="22"/>
        </w:rPr>
        <w:t>the licence holder, and any employees, agents or External service providers engaged by the licence holder; and</w:t>
      </w:r>
    </w:p>
    <w:p w14:paraId="2C84CF36" w14:textId="77777777" w:rsidR="00EC45A5" w:rsidRPr="00954FF2" w:rsidRDefault="00EC45A5" w:rsidP="00EC45A5">
      <w:pPr>
        <w:pStyle w:val="RARMPnumberedparagraphs"/>
        <w:numPr>
          <w:ilvl w:val="1"/>
          <w:numId w:val="5"/>
        </w:numPr>
        <w:rPr>
          <w:rFonts w:cs="Calibri"/>
          <w:szCs w:val="22"/>
        </w:rPr>
      </w:pPr>
      <w:r w:rsidRPr="00954FF2">
        <w:rPr>
          <w:rFonts w:cs="Calibri"/>
          <w:szCs w:val="22"/>
        </w:rPr>
        <w:t>the project supervisor(s); and</w:t>
      </w:r>
    </w:p>
    <w:p w14:paraId="7E0E16AA" w14:textId="77777777" w:rsidR="00EC45A5" w:rsidRPr="00954FF2" w:rsidRDefault="00EC45A5" w:rsidP="00EC45A5">
      <w:pPr>
        <w:pStyle w:val="RARMPnumberedparagraphs"/>
        <w:numPr>
          <w:ilvl w:val="1"/>
          <w:numId w:val="5"/>
        </w:numPr>
        <w:rPr>
          <w:rFonts w:cs="Calibri"/>
          <w:szCs w:val="22"/>
        </w:rPr>
      </w:pPr>
      <w:r w:rsidRPr="00954FF2">
        <w:rPr>
          <w:rFonts w:cs="Calibri"/>
          <w:szCs w:val="22"/>
        </w:rPr>
        <w:t>other persons who are, or have been, engaged or otherwise authorised by the licence holder or the project supervisor to conduct any of the dealings authorised by this licence.</w:t>
      </w:r>
    </w:p>
    <w:p w14:paraId="7D8885F8" w14:textId="77777777" w:rsidR="00EC45A5" w:rsidRPr="00954FF2" w:rsidRDefault="00EC45A5" w:rsidP="00EC45A5">
      <w:pPr>
        <w:pStyle w:val="RARMPnumberedparagraphs"/>
        <w:rPr>
          <w:rFonts w:cs="Calibri"/>
          <w:szCs w:val="22"/>
        </w:rPr>
      </w:pPr>
      <w:r w:rsidRPr="00954FF2">
        <w:rPr>
          <w:rFonts w:cs="Calibri"/>
          <w:szCs w:val="22"/>
        </w:rPr>
        <w:t xml:space="preserve">To the extent that any activity by a trial participant may </w:t>
      </w:r>
      <w:proofErr w:type="gramStart"/>
      <w:r w:rsidRPr="00954FF2">
        <w:rPr>
          <w:rFonts w:cs="Calibri"/>
          <w:szCs w:val="22"/>
        </w:rPr>
        <w:t>be considered to be</w:t>
      </w:r>
      <w:proofErr w:type="gramEnd"/>
      <w:r w:rsidRPr="00954FF2">
        <w:rPr>
          <w:rFonts w:cs="Calibri"/>
          <w:szCs w:val="22"/>
        </w:rPr>
        <w:t xml:space="preserve"> a dealing with the GMO as described in </w:t>
      </w:r>
      <w:r w:rsidRPr="00954FF2">
        <w:rPr>
          <w:rFonts w:cs="Calibri"/>
          <w:b/>
          <w:bCs/>
          <w:szCs w:val="22"/>
        </w:rPr>
        <w:t xml:space="preserve">Attachment A </w:t>
      </w:r>
      <w:r w:rsidRPr="00954FF2">
        <w:rPr>
          <w:rFonts w:cs="Calibri"/>
          <w:szCs w:val="22"/>
        </w:rPr>
        <w:t>for purposes of the Act, that dealing is authorised by this licence.</w:t>
      </w:r>
    </w:p>
    <w:p w14:paraId="79887200" w14:textId="77777777" w:rsidR="00EC45A5" w:rsidRPr="00954FF2" w:rsidRDefault="00EC45A5" w:rsidP="00EC45A5">
      <w:pPr>
        <w:pStyle w:val="RARMPnumberedparagraphs"/>
        <w:rPr>
          <w:rFonts w:cs="Calibri"/>
          <w:szCs w:val="22"/>
        </w:rPr>
      </w:pPr>
      <w:r w:rsidRPr="00954FF2">
        <w:rPr>
          <w:rFonts w:cs="Calibri"/>
          <w:szCs w:val="22"/>
        </w:rPr>
        <w:lastRenderedPageBreak/>
        <w:t xml:space="preserve">The licence holder must keep a record of all persons covered by this </w:t>
      </w:r>
      <w:proofErr w:type="gramStart"/>
      <w:r w:rsidRPr="00954FF2">
        <w:rPr>
          <w:rFonts w:cs="Calibri"/>
          <w:szCs w:val="22"/>
        </w:rPr>
        <w:t>licence, and</w:t>
      </w:r>
      <w:proofErr w:type="gramEnd"/>
      <w:r w:rsidRPr="00954FF2">
        <w:rPr>
          <w:rFonts w:cs="Calibri"/>
          <w:szCs w:val="22"/>
        </w:rPr>
        <w:t xml:space="preserve"> must keep a record of the contact details of the project supervisor(s) for the licence.</w:t>
      </w:r>
    </w:p>
    <w:p w14:paraId="028A7466" w14:textId="77777777"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t>Note: Where External service providers are used, it is sufficient to record the company name and the position or job title of the person(s) conducting the dealing.</w:t>
      </w:r>
    </w:p>
    <w:p w14:paraId="14A00D0D" w14:textId="77777777" w:rsidR="00EC45A5" w:rsidRPr="00954FF2" w:rsidRDefault="00EC45A5" w:rsidP="00EC45A5">
      <w:pPr>
        <w:pStyle w:val="RARMPnumberedparagraphs"/>
        <w:rPr>
          <w:rFonts w:cs="Calibri"/>
          <w:szCs w:val="22"/>
        </w:rPr>
      </w:pPr>
      <w:bookmarkStart w:id="416" w:name="_Ref32923385"/>
      <w:r w:rsidRPr="00954FF2">
        <w:rPr>
          <w:rFonts w:cs="Calibri"/>
          <w:szCs w:val="22"/>
        </w:rPr>
        <w:t xml:space="preserve">The licence holder must provide information related to the persons covered by the licence when requested to do so in writing by the Regulator and must provide the information within </w:t>
      </w:r>
      <w:proofErr w:type="gramStart"/>
      <w:r w:rsidRPr="00954FF2">
        <w:rPr>
          <w:rFonts w:cs="Calibri"/>
          <w:szCs w:val="22"/>
        </w:rPr>
        <w:t>a time period</w:t>
      </w:r>
      <w:proofErr w:type="gramEnd"/>
      <w:r w:rsidRPr="00954FF2">
        <w:rPr>
          <w:rFonts w:cs="Calibri"/>
          <w:szCs w:val="22"/>
        </w:rPr>
        <w:t xml:space="preserve"> stipulated by the Regulator.</w:t>
      </w:r>
      <w:bookmarkEnd w:id="416"/>
    </w:p>
    <w:p w14:paraId="5B2174B4"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Description of GMOs covered</w:t>
      </w:r>
    </w:p>
    <w:p w14:paraId="2D870B16" w14:textId="77777777" w:rsidR="00EC45A5" w:rsidRPr="00954FF2" w:rsidRDefault="00EC45A5" w:rsidP="00EC45A5">
      <w:pPr>
        <w:pStyle w:val="RARMPnumberedparagraphs"/>
        <w:rPr>
          <w:rFonts w:cs="Calibri"/>
          <w:szCs w:val="22"/>
        </w:rPr>
      </w:pPr>
      <w:r w:rsidRPr="00954FF2">
        <w:rPr>
          <w:rFonts w:cs="Calibri"/>
          <w:szCs w:val="22"/>
        </w:rPr>
        <w:t xml:space="preserve">The licence authorises specific dealings in respect of the GMO identified and described in </w:t>
      </w:r>
      <w:r w:rsidRPr="00954FF2">
        <w:rPr>
          <w:rFonts w:cs="Calibri"/>
          <w:b/>
          <w:szCs w:val="22"/>
        </w:rPr>
        <w:t>Attachment A</w:t>
      </w:r>
      <w:r w:rsidRPr="00954FF2">
        <w:rPr>
          <w:rFonts w:cs="Calibri"/>
          <w:szCs w:val="22"/>
        </w:rPr>
        <w:t>.</w:t>
      </w:r>
    </w:p>
    <w:p w14:paraId="30C121D6"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Dealings authorised by this licence</w:t>
      </w:r>
    </w:p>
    <w:p w14:paraId="7C3BD638" w14:textId="77777777" w:rsidR="00EC45A5" w:rsidRPr="00954FF2" w:rsidRDefault="00EC45A5" w:rsidP="00EC45A5">
      <w:pPr>
        <w:pStyle w:val="RARMPnumberedparagraphs"/>
        <w:rPr>
          <w:rFonts w:cs="Calibri"/>
          <w:szCs w:val="22"/>
        </w:rPr>
      </w:pPr>
      <w:bookmarkStart w:id="417" w:name="_Ref65854289"/>
      <w:r w:rsidRPr="00954FF2">
        <w:rPr>
          <w:rFonts w:cs="Calibri"/>
          <w:szCs w:val="22"/>
        </w:rPr>
        <w:t xml:space="preserve">The licence holder and persons covered by this licence may conduct the following </w:t>
      </w:r>
      <w:r w:rsidRPr="00954FF2">
        <w:rPr>
          <w:rFonts w:cs="Calibri"/>
          <w:color w:val="000000"/>
          <w:szCs w:val="22"/>
        </w:rPr>
        <w:t>dealings</w:t>
      </w:r>
      <w:r w:rsidRPr="00954FF2">
        <w:rPr>
          <w:rFonts w:cs="Calibri"/>
          <w:szCs w:val="22"/>
        </w:rPr>
        <w:t xml:space="preserve"> with the GMO:</w:t>
      </w:r>
      <w:bookmarkEnd w:id="417"/>
    </w:p>
    <w:p w14:paraId="1E962D7D" w14:textId="77777777" w:rsidR="00EC45A5" w:rsidRPr="00954FF2" w:rsidRDefault="00EC45A5" w:rsidP="00EC45A5">
      <w:pPr>
        <w:pStyle w:val="ConditionLevel2"/>
        <w:rPr>
          <w:rFonts w:ascii="Calibri" w:hAnsi="Calibri" w:cs="Calibri"/>
          <w:sz w:val="22"/>
          <w:szCs w:val="22"/>
        </w:rPr>
      </w:pPr>
      <w:bookmarkStart w:id="418" w:name="_Ref65854291"/>
      <w:r w:rsidRPr="00954FF2">
        <w:rPr>
          <w:rFonts w:ascii="Calibri" w:hAnsi="Calibri" w:cs="Calibri"/>
          <w:sz w:val="22"/>
          <w:szCs w:val="22"/>
        </w:rPr>
        <w:t>conduct the following experiments with the GMO:</w:t>
      </w:r>
      <w:bookmarkEnd w:id="418"/>
    </w:p>
    <w:p w14:paraId="025BD3BB" w14:textId="77777777" w:rsidR="00EC45A5" w:rsidRPr="00954FF2" w:rsidRDefault="00EC45A5" w:rsidP="00EC45A5">
      <w:pPr>
        <w:pStyle w:val="workpracticetraits"/>
        <w:numPr>
          <w:ilvl w:val="0"/>
          <w:numId w:val="72"/>
        </w:numPr>
        <w:tabs>
          <w:tab w:val="clear" w:pos="720"/>
          <w:tab w:val="num" w:pos="1701"/>
        </w:tabs>
        <w:ind w:left="1701" w:hanging="567"/>
        <w:rPr>
          <w:rFonts w:ascii="Calibri" w:hAnsi="Calibri" w:cs="Calibri"/>
          <w:sz w:val="22"/>
          <w:szCs w:val="22"/>
        </w:rPr>
      </w:pPr>
      <w:r w:rsidRPr="00954FF2">
        <w:rPr>
          <w:rFonts w:ascii="Calibri" w:hAnsi="Calibri" w:cs="Calibri"/>
          <w:sz w:val="22"/>
          <w:szCs w:val="22"/>
        </w:rPr>
        <w:t xml:space="preserve">prepare the GMO for </w:t>
      </w:r>
      <w:proofErr w:type="gramStart"/>
      <w:r w:rsidRPr="00954FF2">
        <w:rPr>
          <w:rFonts w:ascii="Calibri" w:hAnsi="Calibri" w:cs="Calibri"/>
          <w:sz w:val="22"/>
          <w:szCs w:val="22"/>
        </w:rPr>
        <w:t>administration;</w:t>
      </w:r>
      <w:proofErr w:type="gramEnd"/>
    </w:p>
    <w:p w14:paraId="17D64CB5" w14:textId="77777777" w:rsidR="00EC45A5" w:rsidRPr="00954FF2" w:rsidRDefault="00EC45A5" w:rsidP="00EC45A5">
      <w:pPr>
        <w:pStyle w:val="workpracticetraits"/>
        <w:numPr>
          <w:ilvl w:val="0"/>
          <w:numId w:val="72"/>
        </w:numPr>
        <w:tabs>
          <w:tab w:val="clear" w:pos="720"/>
          <w:tab w:val="num" w:pos="1701"/>
        </w:tabs>
        <w:ind w:left="1701" w:hanging="567"/>
        <w:rPr>
          <w:rFonts w:ascii="Calibri" w:hAnsi="Calibri" w:cs="Calibri"/>
          <w:sz w:val="22"/>
          <w:szCs w:val="22"/>
        </w:rPr>
      </w:pPr>
      <w:r w:rsidRPr="00954FF2">
        <w:rPr>
          <w:rFonts w:ascii="Calibri" w:hAnsi="Calibri" w:cs="Calibri"/>
          <w:sz w:val="22"/>
          <w:szCs w:val="22"/>
        </w:rPr>
        <w:t xml:space="preserve">administer the GMO to clinical trial participants by intravesical </w:t>
      </w:r>
      <w:proofErr w:type="gramStart"/>
      <w:r w:rsidRPr="00954FF2">
        <w:rPr>
          <w:rFonts w:ascii="Calibri" w:hAnsi="Calibri" w:cs="Calibri"/>
          <w:sz w:val="22"/>
          <w:szCs w:val="22"/>
        </w:rPr>
        <w:t>instillation;</w:t>
      </w:r>
      <w:proofErr w:type="gramEnd"/>
    </w:p>
    <w:p w14:paraId="13496FD6" w14:textId="77777777" w:rsidR="00EC45A5" w:rsidRPr="00954FF2" w:rsidRDefault="00EC45A5" w:rsidP="00EC45A5">
      <w:pPr>
        <w:pStyle w:val="workpracticetraits"/>
        <w:numPr>
          <w:ilvl w:val="0"/>
          <w:numId w:val="72"/>
        </w:numPr>
        <w:tabs>
          <w:tab w:val="clear" w:pos="720"/>
          <w:tab w:val="num" w:pos="1701"/>
        </w:tabs>
        <w:ind w:left="1701" w:hanging="567"/>
        <w:rPr>
          <w:rFonts w:ascii="Calibri" w:hAnsi="Calibri" w:cs="Calibri"/>
          <w:sz w:val="22"/>
          <w:szCs w:val="22"/>
        </w:rPr>
      </w:pPr>
      <w:bookmarkStart w:id="419" w:name="_Ref65854292"/>
      <w:r w:rsidRPr="00954FF2">
        <w:rPr>
          <w:rFonts w:ascii="Calibri" w:hAnsi="Calibri" w:cs="Calibri"/>
          <w:sz w:val="22"/>
          <w:szCs w:val="22"/>
        </w:rPr>
        <w:t xml:space="preserve">collect Samples from trial </w:t>
      </w:r>
      <w:proofErr w:type="gramStart"/>
      <w:r w:rsidRPr="00954FF2">
        <w:rPr>
          <w:rFonts w:ascii="Calibri" w:hAnsi="Calibri" w:cs="Calibri"/>
          <w:sz w:val="22"/>
          <w:szCs w:val="22"/>
        </w:rPr>
        <w:t>participants;</w:t>
      </w:r>
      <w:bookmarkEnd w:id="419"/>
      <w:proofErr w:type="gramEnd"/>
    </w:p>
    <w:p w14:paraId="03541214" w14:textId="6E5EB0B5" w:rsidR="00EC45A5" w:rsidRPr="00954FF2" w:rsidRDefault="00EC45A5" w:rsidP="00EC45A5">
      <w:pPr>
        <w:pStyle w:val="workpracticetraits"/>
        <w:numPr>
          <w:ilvl w:val="0"/>
          <w:numId w:val="72"/>
        </w:numPr>
        <w:tabs>
          <w:tab w:val="clear" w:pos="720"/>
          <w:tab w:val="num" w:pos="1701"/>
        </w:tabs>
        <w:ind w:left="1701" w:hanging="567"/>
        <w:rPr>
          <w:rFonts w:ascii="Calibri" w:hAnsi="Calibri" w:cs="Calibri"/>
          <w:sz w:val="22"/>
          <w:szCs w:val="22"/>
        </w:rPr>
      </w:pPr>
      <w:r w:rsidRPr="00954FF2">
        <w:rPr>
          <w:rFonts w:ascii="Calibri" w:hAnsi="Calibri" w:cs="Calibri"/>
          <w:sz w:val="22"/>
          <w:szCs w:val="22"/>
        </w:rPr>
        <w:t xml:space="preserve">analyse the Samples described in </w:t>
      </w:r>
      <w:r w:rsidRPr="00954FF2">
        <w:rPr>
          <w:rFonts w:ascii="Calibri" w:hAnsi="Calibri" w:cs="Calibri"/>
          <w:sz w:val="22"/>
          <w:szCs w:val="22"/>
        </w:rPr>
        <w:fldChar w:fldCharType="begin"/>
      </w:r>
      <w:r w:rsidRPr="00954FF2">
        <w:rPr>
          <w:rFonts w:ascii="Calibri" w:hAnsi="Calibri" w:cs="Calibri"/>
          <w:sz w:val="22"/>
          <w:szCs w:val="22"/>
        </w:rPr>
        <w:instrText xml:space="preserve"> REF _Ref65854289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11</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_Ref65854291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(a)</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_Ref65854292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iii)</w:t>
      </w:r>
      <w:r w:rsidRPr="00954FF2">
        <w:rPr>
          <w:rFonts w:ascii="Calibri" w:hAnsi="Calibri" w:cs="Calibri"/>
          <w:sz w:val="22"/>
          <w:szCs w:val="22"/>
        </w:rPr>
        <w:fldChar w:fldCharType="end"/>
      </w:r>
      <w:r w:rsidRPr="00954FF2">
        <w:rPr>
          <w:rFonts w:ascii="Calibri" w:hAnsi="Calibri" w:cs="Calibri"/>
          <w:sz w:val="22"/>
          <w:szCs w:val="22"/>
        </w:rPr>
        <w:t>;</w:t>
      </w:r>
    </w:p>
    <w:p w14:paraId="4B46389F" w14:textId="77777777" w:rsidR="00EC45A5" w:rsidRPr="00954FF2" w:rsidRDefault="00EC45A5" w:rsidP="00EC45A5">
      <w:pPr>
        <w:pStyle w:val="ConditionLevel2"/>
        <w:rPr>
          <w:rFonts w:ascii="Calibri" w:hAnsi="Calibri" w:cs="Calibri"/>
          <w:sz w:val="22"/>
          <w:szCs w:val="22"/>
        </w:rPr>
      </w:pPr>
      <w:r w:rsidRPr="00954FF2">
        <w:rPr>
          <w:rFonts w:ascii="Calibri" w:hAnsi="Calibri" w:cs="Calibri"/>
          <w:sz w:val="22"/>
          <w:szCs w:val="22"/>
        </w:rPr>
        <w:t>transport of Samples or waste containing the GMO; and</w:t>
      </w:r>
    </w:p>
    <w:p w14:paraId="5FF6FDCF" w14:textId="77777777" w:rsidR="00EC45A5" w:rsidRPr="00954FF2" w:rsidRDefault="00EC45A5" w:rsidP="00EC45A5">
      <w:pPr>
        <w:pStyle w:val="ConditionLevel2"/>
        <w:rPr>
          <w:rFonts w:ascii="Calibri" w:hAnsi="Calibri" w:cs="Calibri"/>
          <w:sz w:val="22"/>
          <w:szCs w:val="22"/>
        </w:rPr>
      </w:pPr>
      <w:r w:rsidRPr="00954FF2">
        <w:rPr>
          <w:rFonts w:ascii="Calibri" w:hAnsi="Calibri" w:cs="Calibri"/>
          <w:sz w:val="22"/>
          <w:szCs w:val="22"/>
        </w:rPr>
        <w:t xml:space="preserve">dispose of Samples or waste containing the </w:t>
      </w:r>
      <w:proofErr w:type="gramStart"/>
      <w:r w:rsidRPr="00954FF2">
        <w:rPr>
          <w:rFonts w:ascii="Calibri" w:hAnsi="Calibri" w:cs="Calibri"/>
          <w:sz w:val="22"/>
          <w:szCs w:val="22"/>
        </w:rPr>
        <w:t>GMO;</w:t>
      </w:r>
      <w:proofErr w:type="gramEnd"/>
    </w:p>
    <w:p w14:paraId="2173DB12" w14:textId="77777777" w:rsidR="00EC45A5" w:rsidRPr="00954FF2" w:rsidRDefault="00EC45A5" w:rsidP="00EC45A5">
      <w:pPr>
        <w:pStyle w:val="ConditionLevel2"/>
        <w:numPr>
          <w:ilvl w:val="0"/>
          <w:numId w:val="0"/>
        </w:numPr>
        <w:rPr>
          <w:rFonts w:ascii="Calibri" w:hAnsi="Calibri" w:cs="Calibri"/>
          <w:sz w:val="22"/>
          <w:szCs w:val="22"/>
        </w:rPr>
      </w:pPr>
      <w:r w:rsidRPr="00954FF2">
        <w:rPr>
          <w:rFonts w:ascii="Calibri" w:hAnsi="Calibri" w:cs="Calibri"/>
          <w:sz w:val="22"/>
          <w:szCs w:val="22"/>
        </w:rPr>
        <w:t xml:space="preserve">and may possess, supply, use or store the GMO for the purposes of, or </w:t>
      </w:r>
      <w:proofErr w:type="gramStart"/>
      <w:r w:rsidRPr="00954FF2">
        <w:rPr>
          <w:rFonts w:ascii="Calibri" w:hAnsi="Calibri" w:cs="Calibri"/>
          <w:sz w:val="22"/>
          <w:szCs w:val="22"/>
        </w:rPr>
        <w:t>in the course of</w:t>
      </w:r>
      <w:proofErr w:type="gramEnd"/>
      <w:r w:rsidRPr="00954FF2">
        <w:rPr>
          <w:rFonts w:ascii="Calibri" w:hAnsi="Calibri" w:cs="Calibri"/>
          <w:sz w:val="22"/>
          <w:szCs w:val="22"/>
        </w:rPr>
        <w:t>, any of these dealings.</w:t>
      </w:r>
    </w:p>
    <w:p w14:paraId="74A81874" w14:textId="77777777" w:rsidR="00EC45A5" w:rsidRPr="00954FF2" w:rsidRDefault="00EC45A5" w:rsidP="00EC45A5">
      <w:pPr>
        <w:pStyle w:val="RARMPnumberedparagraphs"/>
        <w:rPr>
          <w:rFonts w:cs="Calibri"/>
          <w:szCs w:val="22"/>
        </w:rPr>
      </w:pPr>
      <w:r w:rsidRPr="00954FF2">
        <w:rPr>
          <w:rFonts w:cs="Calibri"/>
          <w:szCs w:val="22"/>
        </w:rPr>
        <w:t>This licence does not apply to dealings with the GMO conducted pursuant to another authorisation</w:t>
      </w:r>
    </w:p>
    <w:p w14:paraId="6FBF0EF4" w14:textId="77777777" w:rsidR="00EC45A5" w:rsidRPr="00954FF2" w:rsidRDefault="00EC45A5" w:rsidP="00EC45A5">
      <w:pPr>
        <w:pStyle w:val="RARMPnumberedparagraphs"/>
        <w:numPr>
          <w:ilvl w:val="0"/>
          <w:numId w:val="0"/>
        </w:numPr>
        <w:rPr>
          <w:rFonts w:cs="Calibri"/>
          <w:szCs w:val="22"/>
        </w:rPr>
      </w:pPr>
      <w:r w:rsidRPr="00954FF2">
        <w:rPr>
          <w:rFonts w:cs="Calibri"/>
          <w:szCs w:val="22"/>
        </w:rPr>
        <w:t>under the Act.</w:t>
      </w:r>
    </w:p>
    <w:p w14:paraId="0FAD8760" w14:textId="77777777" w:rsidR="00EC45A5" w:rsidRPr="00954FF2" w:rsidRDefault="00EC45A5" w:rsidP="00EC45A5">
      <w:pPr>
        <w:pStyle w:val="ConditionLevel2"/>
        <w:numPr>
          <w:ilvl w:val="0"/>
          <w:numId w:val="0"/>
        </w:numPr>
        <w:shd w:val="clear" w:color="auto" w:fill="D9D9D9" w:themeFill="background1" w:themeFillShade="D9"/>
        <w:rPr>
          <w:rFonts w:ascii="Calibri" w:hAnsi="Calibri" w:cs="Calibri"/>
          <w:i/>
          <w:iCs/>
          <w:sz w:val="22"/>
          <w:szCs w:val="22"/>
        </w:rPr>
      </w:pPr>
      <w:r w:rsidRPr="00954FF2">
        <w:rPr>
          <w:rFonts w:ascii="Calibri" w:hAnsi="Calibri" w:cs="Calibri"/>
          <w:i/>
          <w:iCs/>
          <w:sz w:val="22"/>
          <w:szCs w:val="22"/>
        </w:rPr>
        <w:t>Note: The import, transport and disposal of the GMO are authorised under the DIR-217 licence. Therefore, this licence is limited to the dealings described above, and to the supply and storage of Samples and waste containing the GMO for the purpose of these dealings, taking place at Clinical trial sites and Analytical facilities.</w:t>
      </w:r>
    </w:p>
    <w:p w14:paraId="0F2F3489"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Conditions imposed by the Act</w:t>
      </w:r>
    </w:p>
    <w:p w14:paraId="20FF2A43" w14:textId="77777777"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t>Note: The Act mandates the following 3 conditions.</w:t>
      </w:r>
    </w:p>
    <w:p w14:paraId="7805128B" w14:textId="77777777" w:rsidR="00EC45A5" w:rsidRPr="00954FF2" w:rsidRDefault="00EC45A5" w:rsidP="00EC45A5">
      <w:pPr>
        <w:pStyle w:val="Head3-subsubheading"/>
        <w:rPr>
          <w:rFonts w:ascii="Calibri" w:hAnsi="Calibri" w:cs="Calibri"/>
          <w:sz w:val="22"/>
          <w:szCs w:val="22"/>
        </w:rPr>
      </w:pPr>
      <w:r w:rsidRPr="00954FF2">
        <w:rPr>
          <w:rFonts w:ascii="Calibri" w:hAnsi="Calibri" w:cs="Calibri"/>
          <w:sz w:val="22"/>
          <w:szCs w:val="22"/>
        </w:rPr>
        <w:t>Informing people of licence conditions (section 63)</w:t>
      </w:r>
    </w:p>
    <w:p w14:paraId="75A56643" w14:textId="77777777" w:rsidR="00EC45A5" w:rsidRPr="00954FF2" w:rsidRDefault="00EC45A5" w:rsidP="00EC45A5">
      <w:pPr>
        <w:pStyle w:val="RARMPnumberedparagraphs"/>
        <w:rPr>
          <w:rFonts w:cs="Calibri"/>
          <w:szCs w:val="22"/>
        </w:rPr>
      </w:pPr>
      <w:bookmarkStart w:id="420" w:name="_Ref398654260"/>
      <w:r w:rsidRPr="00954FF2">
        <w:rPr>
          <w:rFonts w:cs="Calibri"/>
          <w:szCs w:val="22"/>
        </w:rPr>
        <w:t>The licence holder must inform any person covered by the licence, to whom a particular condition of the licence applies, of the following:</w:t>
      </w:r>
      <w:bookmarkEnd w:id="420"/>
    </w:p>
    <w:p w14:paraId="65511DA3" w14:textId="77777777" w:rsidR="00EC45A5" w:rsidRPr="00954FF2" w:rsidRDefault="00EC45A5" w:rsidP="00EC45A5">
      <w:pPr>
        <w:pStyle w:val="ConditionLevel2"/>
        <w:numPr>
          <w:ilvl w:val="0"/>
          <w:numId w:val="69"/>
        </w:numPr>
        <w:tabs>
          <w:tab w:val="left" w:pos="1134"/>
        </w:tabs>
        <w:rPr>
          <w:rFonts w:ascii="Calibri" w:hAnsi="Calibri" w:cs="Calibri"/>
          <w:sz w:val="22"/>
          <w:szCs w:val="22"/>
        </w:rPr>
      </w:pPr>
      <w:r w:rsidRPr="00954FF2">
        <w:rPr>
          <w:rFonts w:ascii="Calibri" w:hAnsi="Calibri" w:cs="Calibri"/>
          <w:sz w:val="22"/>
          <w:szCs w:val="22"/>
        </w:rPr>
        <w:t xml:space="preserve">the </w:t>
      </w:r>
      <w:proofErr w:type="gramStart"/>
      <w:r w:rsidRPr="00954FF2">
        <w:rPr>
          <w:rFonts w:ascii="Calibri" w:hAnsi="Calibri" w:cs="Calibri"/>
          <w:sz w:val="22"/>
          <w:szCs w:val="22"/>
        </w:rPr>
        <w:t>particular condition</w:t>
      </w:r>
      <w:proofErr w:type="gramEnd"/>
      <w:r w:rsidRPr="00954FF2">
        <w:rPr>
          <w:rFonts w:ascii="Calibri" w:hAnsi="Calibri" w:cs="Calibri"/>
          <w:sz w:val="22"/>
          <w:szCs w:val="22"/>
        </w:rPr>
        <w:t>, including any variations of it; and</w:t>
      </w:r>
    </w:p>
    <w:p w14:paraId="73EAD572" w14:textId="77777777" w:rsidR="00EC45A5" w:rsidRPr="00954FF2" w:rsidRDefault="00EC45A5" w:rsidP="00EC45A5">
      <w:pPr>
        <w:pStyle w:val="ConditionLevel2"/>
        <w:numPr>
          <w:ilvl w:val="0"/>
          <w:numId w:val="69"/>
        </w:numPr>
        <w:tabs>
          <w:tab w:val="left" w:pos="1134"/>
        </w:tabs>
        <w:rPr>
          <w:rFonts w:ascii="Calibri" w:hAnsi="Calibri" w:cs="Calibri"/>
          <w:sz w:val="22"/>
          <w:szCs w:val="22"/>
        </w:rPr>
      </w:pPr>
      <w:r w:rsidRPr="00954FF2">
        <w:rPr>
          <w:rFonts w:ascii="Calibri" w:hAnsi="Calibri" w:cs="Calibri"/>
          <w:sz w:val="22"/>
          <w:szCs w:val="22"/>
        </w:rPr>
        <w:t>the cancellation or suspension of the licence; and</w:t>
      </w:r>
    </w:p>
    <w:p w14:paraId="130B7173" w14:textId="77777777" w:rsidR="00EC45A5" w:rsidRPr="00954FF2" w:rsidRDefault="00EC45A5" w:rsidP="00EC45A5">
      <w:pPr>
        <w:pStyle w:val="ConditionLevel2"/>
        <w:numPr>
          <w:ilvl w:val="0"/>
          <w:numId w:val="69"/>
        </w:numPr>
        <w:tabs>
          <w:tab w:val="left" w:pos="1134"/>
        </w:tabs>
        <w:rPr>
          <w:rFonts w:ascii="Calibri" w:hAnsi="Calibri" w:cs="Calibri"/>
          <w:sz w:val="22"/>
          <w:szCs w:val="22"/>
        </w:rPr>
      </w:pPr>
      <w:r w:rsidRPr="00954FF2">
        <w:rPr>
          <w:rFonts w:ascii="Calibri" w:hAnsi="Calibri" w:cs="Calibri"/>
          <w:sz w:val="22"/>
          <w:szCs w:val="22"/>
        </w:rPr>
        <w:t>the surrender of the licence.</w:t>
      </w:r>
    </w:p>
    <w:p w14:paraId="390C0625" w14:textId="4A23444E" w:rsidR="00EC45A5" w:rsidRPr="00954FF2" w:rsidRDefault="00EC45A5" w:rsidP="00EC45A5">
      <w:pPr>
        <w:pStyle w:val="Notes"/>
        <w:shd w:val="clear" w:color="auto" w:fill="D9D9D9" w:themeFill="background1" w:themeFillShade="D9"/>
        <w:rPr>
          <w:rFonts w:cs="Calibri"/>
          <w:iCs/>
          <w:szCs w:val="22"/>
        </w:rPr>
      </w:pPr>
      <w:r w:rsidRPr="00954FF2">
        <w:rPr>
          <w:rFonts w:cs="Calibri"/>
          <w:iCs/>
          <w:szCs w:val="22"/>
        </w:rPr>
        <w:t xml:space="preserve">Note: No </w:t>
      </w:r>
      <w:proofErr w:type="gramStart"/>
      <w:r w:rsidRPr="00954FF2">
        <w:rPr>
          <w:rFonts w:cs="Calibri"/>
          <w:iCs/>
          <w:szCs w:val="22"/>
        </w:rPr>
        <w:t>particular conditions</w:t>
      </w:r>
      <w:proofErr w:type="gramEnd"/>
      <w:r w:rsidRPr="00954FF2">
        <w:rPr>
          <w:rFonts w:cs="Calibri"/>
          <w:iCs/>
          <w:szCs w:val="22"/>
        </w:rPr>
        <w:t xml:space="preserve"> of this licence apply to trial participants; therefore, Condition </w:t>
      </w:r>
      <w:r w:rsidRPr="00954FF2">
        <w:rPr>
          <w:rFonts w:cs="Calibri"/>
          <w:iCs/>
          <w:szCs w:val="22"/>
        </w:rPr>
        <w:fldChar w:fldCharType="begin"/>
      </w:r>
      <w:r w:rsidRPr="00954FF2">
        <w:rPr>
          <w:rFonts w:cs="Calibri"/>
          <w:iCs/>
          <w:szCs w:val="22"/>
        </w:rPr>
        <w:instrText xml:space="preserve"> REF _Ref398654260 \r \h  \* MERGEFORMAT </w:instrText>
      </w:r>
      <w:r w:rsidRPr="00954FF2">
        <w:rPr>
          <w:rFonts w:cs="Calibri"/>
          <w:iCs/>
          <w:szCs w:val="22"/>
        </w:rPr>
      </w:r>
      <w:r w:rsidRPr="00954FF2">
        <w:rPr>
          <w:rFonts w:cs="Calibri"/>
          <w:iCs/>
          <w:szCs w:val="22"/>
        </w:rPr>
        <w:fldChar w:fldCharType="separate"/>
      </w:r>
      <w:r w:rsidR="004D0670">
        <w:rPr>
          <w:rFonts w:cs="Calibri"/>
          <w:iCs/>
          <w:szCs w:val="22"/>
        </w:rPr>
        <w:t>13</w:t>
      </w:r>
      <w:r w:rsidRPr="00954FF2">
        <w:rPr>
          <w:rFonts w:cs="Calibri"/>
          <w:iCs/>
          <w:szCs w:val="22"/>
        </w:rPr>
        <w:fldChar w:fldCharType="end"/>
      </w:r>
      <w:r w:rsidRPr="00954FF2">
        <w:rPr>
          <w:rFonts w:cs="Calibri"/>
          <w:iCs/>
          <w:szCs w:val="22"/>
        </w:rPr>
        <w:t xml:space="preserve"> does not apply to trial participants.</w:t>
      </w:r>
    </w:p>
    <w:p w14:paraId="1D548A37" w14:textId="77777777" w:rsidR="00EC45A5" w:rsidRPr="00954FF2" w:rsidRDefault="00EC45A5" w:rsidP="00EC45A5">
      <w:pPr>
        <w:pStyle w:val="Head3-subsubheading"/>
        <w:rPr>
          <w:rFonts w:ascii="Calibri" w:hAnsi="Calibri" w:cs="Calibri"/>
          <w:sz w:val="22"/>
          <w:szCs w:val="22"/>
        </w:rPr>
      </w:pPr>
      <w:r w:rsidRPr="00954FF2">
        <w:rPr>
          <w:rFonts w:ascii="Calibri" w:hAnsi="Calibri" w:cs="Calibri"/>
          <w:sz w:val="22"/>
          <w:szCs w:val="22"/>
        </w:rPr>
        <w:lastRenderedPageBreak/>
        <w:t>Monitoring and audits (section 64)</w:t>
      </w:r>
    </w:p>
    <w:p w14:paraId="4F47327A" w14:textId="77777777" w:rsidR="00EC45A5" w:rsidRPr="00954FF2" w:rsidRDefault="00EC45A5" w:rsidP="00EC45A5">
      <w:pPr>
        <w:pStyle w:val="RARMPnumberedparagraphs"/>
        <w:rPr>
          <w:rFonts w:cs="Calibri"/>
          <w:szCs w:val="22"/>
        </w:rPr>
      </w:pPr>
      <w:bookmarkStart w:id="421" w:name="_Ref48309925"/>
      <w:r w:rsidRPr="00954FF2">
        <w:rPr>
          <w:rFonts w:cs="Calibri"/>
          <w:szCs w:val="22"/>
        </w:rPr>
        <w:t>If a person is authorised by this licence to deal with the GMO and a particular condition of this licence applies to the dealing by that person, the person must allow the Regulator, or a person authorised by the Regulator, to enter premises where the dealing is being undertaken, for the purposes of auditing or monitoring the dealing.</w:t>
      </w:r>
      <w:bookmarkEnd w:id="421"/>
    </w:p>
    <w:p w14:paraId="79684BA2" w14:textId="77777777" w:rsidR="00EC45A5" w:rsidRPr="00954FF2" w:rsidRDefault="00EC45A5" w:rsidP="00EC45A5">
      <w:pPr>
        <w:pStyle w:val="Head3-subsubheading"/>
        <w:rPr>
          <w:rFonts w:ascii="Calibri" w:hAnsi="Calibri" w:cs="Calibri"/>
          <w:sz w:val="22"/>
          <w:szCs w:val="22"/>
        </w:rPr>
      </w:pPr>
      <w:r w:rsidRPr="00954FF2">
        <w:rPr>
          <w:rFonts w:ascii="Calibri" w:hAnsi="Calibri" w:cs="Calibri"/>
          <w:sz w:val="22"/>
          <w:szCs w:val="22"/>
        </w:rPr>
        <w:t>Additional information to be given to the Regulator (section 65)</w:t>
      </w:r>
    </w:p>
    <w:p w14:paraId="312A7379" w14:textId="77777777" w:rsidR="00EC45A5" w:rsidRPr="00954FF2" w:rsidRDefault="00EC45A5" w:rsidP="00EC45A5">
      <w:pPr>
        <w:pStyle w:val="RARMPnumberedparagraphs"/>
        <w:rPr>
          <w:rFonts w:cs="Calibri"/>
          <w:szCs w:val="22"/>
        </w:rPr>
      </w:pPr>
      <w:bookmarkStart w:id="422" w:name="_Ref32923217"/>
      <w:r w:rsidRPr="00954FF2">
        <w:rPr>
          <w:rFonts w:cs="Calibri"/>
          <w:szCs w:val="22"/>
        </w:rPr>
        <w:t>The licence holder must inform the Regulator, if they become aware of:</w:t>
      </w:r>
      <w:bookmarkEnd w:id="422"/>
    </w:p>
    <w:p w14:paraId="449CB8E8" w14:textId="77777777" w:rsidR="00EC45A5" w:rsidRPr="00954FF2" w:rsidRDefault="00EC45A5" w:rsidP="00EC45A5">
      <w:pPr>
        <w:pStyle w:val="ConditionLevel2"/>
        <w:numPr>
          <w:ilvl w:val="0"/>
          <w:numId w:val="68"/>
        </w:numPr>
        <w:rPr>
          <w:rFonts w:ascii="Calibri" w:hAnsi="Calibri" w:cs="Calibri"/>
          <w:sz w:val="22"/>
          <w:szCs w:val="22"/>
        </w:rPr>
      </w:pPr>
      <w:bookmarkStart w:id="423" w:name="_Ref32923214"/>
      <w:r w:rsidRPr="00954FF2">
        <w:rPr>
          <w:rFonts w:ascii="Calibri" w:hAnsi="Calibri" w:cs="Calibri"/>
          <w:sz w:val="22"/>
          <w:szCs w:val="22"/>
        </w:rPr>
        <w:t>additional information about any risks to the health and safety of people, or to the environment, associated with the dealings authorised by the licence; or</w:t>
      </w:r>
      <w:bookmarkEnd w:id="423"/>
    </w:p>
    <w:p w14:paraId="4B6E6EDA" w14:textId="77777777" w:rsidR="00EC45A5" w:rsidRPr="00954FF2" w:rsidRDefault="00EC45A5" w:rsidP="00EC45A5">
      <w:pPr>
        <w:pStyle w:val="ConditionLevel2"/>
        <w:numPr>
          <w:ilvl w:val="0"/>
          <w:numId w:val="68"/>
        </w:numPr>
        <w:rPr>
          <w:rFonts w:ascii="Calibri" w:hAnsi="Calibri" w:cs="Calibri"/>
          <w:sz w:val="22"/>
          <w:szCs w:val="22"/>
        </w:rPr>
      </w:pPr>
      <w:bookmarkStart w:id="424" w:name="_Ref32923265"/>
      <w:r w:rsidRPr="00954FF2">
        <w:rPr>
          <w:rFonts w:ascii="Calibri" w:hAnsi="Calibri" w:cs="Calibri"/>
          <w:sz w:val="22"/>
          <w:szCs w:val="22"/>
        </w:rPr>
        <w:t>any contraventions of the licence by a person covered by the licence; or</w:t>
      </w:r>
      <w:bookmarkEnd w:id="424"/>
    </w:p>
    <w:p w14:paraId="669F817A" w14:textId="77777777" w:rsidR="00EC45A5" w:rsidRPr="00954FF2" w:rsidRDefault="00EC45A5" w:rsidP="00EC45A5">
      <w:pPr>
        <w:pStyle w:val="ConditionLevel2"/>
        <w:numPr>
          <w:ilvl w:val="0"/>
          <w:numId w:val="68"/>
        </w:numPr>
        <w:rPr>
          <w:rFonts w:ascii="Calibri" w:hAnsi="Calibri" w:cs="Calibri"/>
          <w:sz w:val="22"/>
          <w:szCs w:val="22"/>
        </w:rPr>
      </w:pPr>
      <w:bookmarkStart w:id="425" w:name="_Ref32923221"/>
      <w:r w:rsidRPr="00954FF2">
        <w:rPr>
          <w:rFonts w:ascii="Calibri" w:hAnsi="Calibri" w:cs="Calibri"/>
          <w:sz w:val="22"/>
          <w:szCs w:val="22"/>
        </w:rPr>
        <w:t>any unintended effects of the dealings authorised by the licence.</w:t>
      </w:r>
      <w:bookmarkEnd w:id="425"/>
    </w:p>
    <w:p w14:paraId="10370ED3" w14:textId="77777777" w:rsidR="00EC45A5" w:rsidRPr="00954FF2" w:rsidRDefault="00EC45A5" w:rsidP="00EE17FF">
      <w:pPr>
        <w:pStyle w:val="Notes"/>
        <w:shd w:val="clear" w:color="auto" w:fill="D9D9D9" w:themeFill="background1" w:themeFillShade="D9"/>
        <w:spacing w:after="120"/>
        <w:ind w:left="1134"/>
        <w:rPr>
          <w:rFonts w:cs="Calibri"/>
          <w:szCs w:val="22"/>
        </w:rPr>
      </w:pPr>
      <w:r w:rsidRPr="00954FF2">
        <w:rPr>
          <w:rFonts w:cs="Calibri"/>
          <w:szCs w:val="22"/>
        </w:rPr>
        <w:t>Note 1: For the purposes of this Condition:</w:t>
      </w:r>
    </w:p>
    <w:p w14:paraId="2B405E8A" w14:textId="77777777" w:rsidR="00EC45A5" w:rsidRPr="00954FF2" w:rsidRDefault="00EC45A5" w:rsidP="00EE17FF">
      <w:pPr>
        <w:pStyle w:val="Notes"/>
        <w:shd w:val="clear" w:color="auto" w:fill="D9D9D9" w:themeFill="background1" w:themeFillShade="D9"/>
        <w:spacing w:before="120" w:after="120"/>
        <w:ind w:left="1134"/>
        <w:rPr>
          <w:rFonts w:cs="Calibri"/>
          <w:szCs w:val="22"/>
        </w:rPr>
      </w:pPr>
      <w:r w:rsidRPr="00954FF2">
        <w:rPr>
          <w:rFonts w:cs="Calibri"/>
          <w:szCs w:val="22"/>
        </w:rPr>
        <w:t>(a)</w:t>
      </w:r>
      <w:r w:rsidRPr="00954FF2">
        <w:rPr>
          <w:rFonts w:cs="Calibri"/>
          <w:szCs w:val="22"/>
        </w:rPr>
        <w:tab/>
        <w:t>The licence holder is taken to have become aware of additional information if they were reckless as to whether such information existed; and</w:t>
      </w:r>
    </w:p>
    <w:p w14:paraId="5F779C36" w14:textId="77777777" w:rsidR="00EC45A5" w:rsidRDefault="00EC45A5" w:rsidP="00EE17FF">
      <w:pPr>
        <w:pStyle w:val="Notes"/>
        <w:shd w:val="clear" w:color="auto" w:fill="D9D9D9" w:themeFill="background1" w:themeFillShade="D9"/>
        <w:spacing w:before="120"/>
        <w:ind w:left="1134"/>
        <w:rPr>
          <w:rFonts w:cs="Calibri"/>
          <w:szCs w:val="22"/>
        </w:rPr>
      </w:pPr>
      <w:r w:rsidRPr="00954FF2">
        <w:rPr>
          <w:rFonts w:cs="Calibri"/>
          <w:szCs w:val="22"/>
        </w:rPr>
        <w:t>(b)</w:t>
      </w:r>
      <w:r w:rsidRPr="00954FF2">
        <w:rPr>
          <w:rFonts w:cs="Calibri"/>
          <w:szCs w:val="22"/>
        </w:rPr>
        <w:tab/>
        <w:t>The licence holder is taken to have become aware of contraventions, or unintended effects, if they were reckless as to whether such contraventions had occurred, or such unintended effects existed.</w:t>
      </w:r>
    </w:p>
    <w:p w14:paraId="55EF4AD1" w14:textId="77777777" w:rsidR="00EE17FF" w:rsidRPr="00954FF2" w:rsidRDefault="00EE17FF" w:rsidP="00EE17FF">
      <w:pPr>
        <w:pStyle w:val="Notes"/>
        <w:shd w:val="clear" w:color="auto" w:fill="D9D9D9" w:themeFill="background1" w:themeFillShade="D9"/>
        <w:ind w:left="1134"/>
        <w:rPr>
          <w:rFonts w:cs="Calibri"/>
          <w:szCs w:val="22"/>
        </w:rPr>
      </w:pPr>
    </w:p>
    <w:p w14:paraId="0AB0B9C8" w14:textId="77777777" w:rsidR="00EC45A5" w:rsidRPr="00954FF2" w:rsidRDefault="00EC45A5" w:rsidP="00EE17FF">
      <w:pPr>
        <w:pStyle w:val="Notes"/>
        <w:shd w:val="clear" w:color="auto" w:fill="D9D9D9" w:themeFill="background1" w:themeFillShade="D9"/>
        <w:ind w:left="1134"/>
        <w:rPr>
          <w:rFonts w:cs="Calibri"/>
          <w:szCs w:val="22"/>
        </w:rPr>
      </w:pPr>
      <w:r w:rsidRPr="00954FF2">
        <w:rPr>
          <w:rFonts w:cs="Calibri"/>
          <w:szCs w:val="22"/>
        </w:rPr>
        <w:t>Note 2: Contraventions of the licence may occur through the action or inaction of a person.</w:t>
      </w:r>
    </w:p>
    <w:p w14:paraId="38D3F24B" w14:textId="77777777" w:rsidR="00EC45A5" w:rsidRPr="00954FF2" w:rsidRDefault="00EC45A5" w:rsidP="00EE17FF">
      <w:pPr>
        <w:pStyle w:val="Notes"/>
        <w:shd w:val="clear" w:color="auto" w:fill="D9D9D9" w:themeFill="background1" w:themeFillShade="D9"/>
        <w:ind w:left="1134"/>
        <w:rPr>
          <w:rFonts w:cs="Calibri"/>
          <w:szCs w:val="22"/>
        </w:rPr>
      </w:pPr>
    </w:p>
    <w:p w14:paraId="3602E969" w14:textId="77777777" w:rsidR="00EC45A5" w:rsidRPr="00954FF2" w:rsidRDefault="00EC45A5" w:rsidP="00EE17FF">
      <w:pPr>
        <w:pStyle w:val="Notes"/>
        <w:shd w:val="clear" w:color="auto" w:fill="D9D9D9" w:themeFill="background1" w:themeFillShade="D9"/>
        <w:ind w:left="1134"/>
        <w:rPr>
          <w:rFonts w:cs="Calibri"/>
          <w:szCs w:val="22"/>
        </w:rPr>
      </w:pPr>
      <w:r w:rsidRPr="00954FF2">
        <w:rPr>
          <w:rFonts w:cs="Calibri"/>
          <w:szCs w:val="22"/>
        </w:rPr>
        <w:t>Note 3: Additional information includes any changes at a Clinical trial site, which might increase the likelihood of unintentional exposure of people or release of the GMO into the environment.</w:t>
      </w:r>
    </w:p>
    <w:p w14:paraId="28C12388" w14:textId="77777777" w:rsidR="00EC45A5" w:rsidRPr="00954FF2" w:rsidRDefault="00EC45A5" w:rsidP="00EE17FF">
      <w:pPr>
        <w:pStyle w:val="Notes"/>
        <w:shd w:val="clear" w:color="auto" w:fill="D9D9D9" w:themeFill="background1" w:themeFillShade="D9"/>
        <w:ind w:left="1134"/>
        <w:rPr>
          <w:rFonts w:cs="Calibri"/>
          <w:szCs w:val="22"/>
        </w:rPr>
      </w:pPr>
    </w:p>
    <w:p w14:paraId="147CEFB3" w14:textId="724F7DDE" w:rsidR="00EC45A5" w:rsidRPr="00954FF2" w:rsidRDefault="00EC45A5" w:rsidP="00EE17FF">
      <w:pPr>
        <w:pStyle w:val="Notes"/>
        <w:shd w:val="clear" w:color="auto" w:fill="D9D9D9" w:themeFill="background1" w:themeFillShade="D9"/>
        <w:ind w:left="1134"/>
        <w:rPr>
          <w:rFonts w:cs="Calibri"/>
          <w:szCs w:val="22"/>
        </w:rPr>
      </w:pPr>
      <w:r w:rsidRPr="00954FF2">
        <w:rPr>
          <w:rFonts w:cs="Calibri"/>
          <w:szCs w:val="22"/>
        </w:rPr>
        <w:t>Note 4: As example of informing immediately is contact made at the time of the incident via the OGTR free call phone number 1800 181 030</w:t>
      </w:r>
      <w:r w:rsidR="00423FC5">
        <w:rPr>
          <w:rFonts w:cs="Calibri"/>
          <w:szCs w:val="22"/>
        </w:rPr>
        <w:t xml:space="preserve"> </w:t>
      </w:r>
      <w:r w:rsidR="00423FC5" w:rsidRPr="00423FC5">
        <w:rPr>
          <w:rFonts w:cs="Calibri"/>
          <w:szCs w:val="22"/>
        </w:rPr>
        <w:t>or email to OGTR.M&amp;C@health.gov.au</w:t>
      </w:r>
      <w:r w:rsidRPr="00954FF2">
        <w:rPr>
          <w:rFonts w:cs="Calibri"/>
          <w:szCs w:val="22"/>
        </w:rPr>
        <w:t xml:space="preserve">. </w:t>
      </w:r>
    </w:p>
    <w:p w14:paraId="180470F5"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Informing the Regulator of any material changes of circumstance</w:t>
      </w:r>
    </w:p>
    <w:p w14:paraId="7D6E330D" w14:textId="77777777" w:rsidR="00EC45A5" w:rsidRPr="00954FF2" w:rsidRDefault="00EC45A5" w:rsidP="00EC45A5">
      <w:pPr>
        <w:pStyle w:val="RARMPnumberedparagraphs"/>
        <w:rPr>
          <w:rFonts w:cs="Calibri"/>
          <w:szCs w:val="22"/>
        </w:rPr>
      </w:pPr>
      <w:bookmarkStart w:id="426" w:name="_Ref32923274"/>
      <w:r w:rsidRPr="00954FF2">
        <w:rPr>
          <w:rFonts w:cs="Calibri"/>
          <w:szCs w:val="22"/>
        </w:rPr>
        <w:t>The licence holder must immediately, by notice in writing, inform the Regulator of:</w:t>
      </w:r>
      <w:bookmarkEnd w:id="426"/>
    </w:p>
    <w:p w14:paraId="07A987F1" w14:textId="77777777" w:rsidR="00EC45A5" w:rsidRPr="00954FF2" w:rsidRDefault="00EC45A5" w:rsidP="00EC45A5">
      <w:pPr>
        <w:pStyle w:val="ConditionLevel2"/>
        <w:numPr>
          <w:ilvl w:val="0"/>
          <w:numId w:val="70"/>
        </w:numPr>
        <w:rPr>
          <w:rFonts w:ascii="Calibri" w:hAnsi="Calibri" w:cs="Calibri"/>
          <w:sz w:val="22"/>
          <w:szCs w:val="22"/>
        </w:rPr>
      </w:pPr>
      <w:bookmarkStart w:id="427" w:name="_Ref32923275"/>
      <w:r w:rsidRPr="00954FF2">
        <w:rPr>
          <w:rFonts w:ascii="Calibri" w:hAnsi="Calibri" w:cs="Calibri"/>
          <w:sz w:val="22"/>
          <w:szCs w:val="22"/>
        </w:rPr>
        <w:t xml:space="preserve">any relevant conviction of the licence holder occurring after the commencement of this </w:t>
      </w:r>
      <w:proofErr w:type="gramStart"/>
      <w:r w:rsidRPr="00954FF2">
        <w:rPr>
          <w:rFonts w:ascii="Calibri" w:hAnsi="Calibri" w:cs="Calibri"/>
          <w:sz w:val="22"/>
          <w:szCs w:val="22"/>
        </w:rPr>
        <w:t>licence;</w:t>
      </w:r>
      <w:bookmarkEnd w:id="427"/>
      <w:proofErr w:type="gramEnd"/>
      <w:r w:rsidRPr="00954FF2">
        <w:rPr>
          <w:rFonts w:ascii="Calibri" w:hAnsi="Calibri" w:cs="Calibri"/>
          <w:sz w:val="22"/>
          <w:szCs w:val="22"/>
        </w:rPr>
        <w:t xml:space="preserve"> </w:t>
      </w:r>
    </w:p>
    <w:p w14:paraId="0DD0D2BD" w14:textId="77777777" w:rsidR="00EC45A5" w:rsidRPr="00954FF2" w:rsidRDefault="00EC45A5" w:rsidP="00EC45A5">
      <w:pPr>
        <w:pStyle w:val="ConditionLevel2"/>
        <w:numPr>
          <w:ilvl w:val="0"/>
          <w:numId w:val="74"/>
        </w:numPr>
        <w:rPr>
          <w:rFonts w:ascii="Calibri" w:hAnsi="Calibri" w:cs="Calibri"/>
          <w:sz w:val="22"/>
          <w:szCs w:val="22"/>
        </w:rPr>
      </w:pPr>
      <w:bookmarkStart w:id="428" w:name="_Ref32923284"/>
      <w:r w:rsidRPr="00954FF2">
        <w:rPr>
          <w:rFonts w:ascii="Calibri" w:hAnsi="Calibri" w:cs="Calibri"/>
          <w:sz w:val="22"/>
          <w:szCs w:val="22"/>
        </w:rPr>
        <w:t xml:space="preserve">any revocation or suspension after the commencement of this licence, of a licence or permit held by the licence holder under a law of the Commonwealth, a State or a foreign country, being a law relating to the health and safety of people or the </w:t>
      </w:r>
      <w:proofErr w:type="gramStart"/>
      <w:r w:rsidRPr="00954FF2">
        <w:rPr>
          <w:rFonts w:ascii="Calibri" w:hAnsi="Calibri" w:cs="Calibri"/>
          <w:sz w:val="22"/>
          <w:szCs w:val="22"/>
        </w:rPr>
        <w:t>environment;</w:t>
      </w:r>
      <w:bookmarkEnd w:id="428"/>
      <w:proofErr w:type="gramEnd"/>
      <w:r w:rsidRPr="00954FF2">
        <w:rPr>
          <w:rFonts w:ascii="Calibri" w:hAnsi="Calibri" w:cs="Calibri"/>
          <w:sz w:val="22"/>
          <w:szCs w:val="22"/>
        </w:rPr>
        <w:t xml:space="preserve"> </w:t>
      </w:r>
    </w:p>
    <w:p w14:paraId="1F315A41" w14:textId="77777777" w:rsidR="00EC45A5" w:rsidRPr="00954FF2" w:rsidRDefault="00EC45A5" w:rsidP="00EC45A5">
      <w:pPr>
        <w:pStyle w:val="ConditionLevel2"/>
        <w:numPr>
          <w:ilvl w:val="0"/>
          <w:numId w:val="74"/>
        </w:numPr>
        <w:rPr>
          <w:rFonts w:ascii="Calibri" w:hAnsi="Calibri" w:cs="Calibri"/>
          <w:sz w:val="22"/>
          <w:szCs w:val="22"/>
        </w:rPr>
      </w:pPr>
      <w:bookmarkStart w:id="429" w:name="_Ref32923294"/>
      <w:r w:rsidRPr="00954FF2">
        <w:rPr>
          <w:rFonts w:ascii="Calibri" w:hAnsi="Calibri" w:cs="Calibri"/>
          <w:sz w:val="22"/>
          <w:szCs w:val="22"/>
        </w:rPr>
        <w:t>any event or circumstances occurring after the commencement of this licence that would affect the capacity of the licence holder to meet the conditions in it.</w:t>
      </w:r>
      <w:bookmarkEnd w:id="429"/>
    </w:p>
    <w:p w14:paraId="43602EEE" w14:textId="77777777" w:rsidR="00EC45A5" w:rsidRPr="00954FF2" w:rsidRDefault="00EC45A5" w:rsidP="00EC45A5">
      <w:pPr>
        <w:pStyle w:val="RARMPnumberedparagraphs"/>
        <w:rPr>
          <w:rFonts w:cs="Calibri"/>
          <w:szCs w:val="22"/>
        </w:rPr>
      </w:pPr>
      <w:bookmarkStart w:id="430" w:name="_Ref32923415"/>
      <w:r w:rsidRPr="00954FF2">
        <w:rPr>
          <w:rFonts w:cs="Calibri"/>
          <w:szCs w:val="22"/>
        </w:rPr>
        <w:t xml:space="preserve">The licence holder must provide information related to the licence holder’s ongoing suitability to hold a licence when requested to do so in writing by the Regulator and must provide the information within </w:t>
      </w:r>
      <w:proofErr w:type="gramStart"/>
      <w:r w:rsidRPr="00954FF2">
        <w:rPr>
          <w:rFonts w:cs="Calibri"/>
          <w:szCs w:val="22"/>
        </w:rPr>
        <w:t>a time period</w:t>
      </w:r>
      <w:proofErr w:type="gramEnd"/>
      <w:r w:rsidRPr="00954FF2">
        <w:rPr>
          <w:rFonts w:cs="Calibri"/>
          <w:szCs w:val="22"/>
        </w:rPr>
        <w:t xml:space="preserve"> stipulated by the Regulator.</w:t>
      </w:r>
      <w:bookmarkEnd w:id="430"/>
    </w:p>
    <w:p w14:paraId="5BF52698"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Further conditions with respect to informing persons covered by the licence</w:t>
      </w:r>
    </w:p>
    <w:p w14:paraId="66D66FA8" w14:textId="77777777" w:rsidR="00EC45A5" w:rsidRPr="00954FF2" w:rsidRDefault="00EC45A5" w:rsidP="00EC45A5">
      <w:pPr>
        <w:pStyle w:val="RARMPnumberedparagraphs"/>
        <w:rPr>
          <w:rFonts w:cs="Calibri"/>
          <w:szCs w:val="22"/>
        </w:rPr>
      </w:pPr>
      <w:bookmarkStart w:id="431" w:name="_Ref36205282"/>
      <w:bookmarkStart w:id="432" w:name="_Ref369611247"/>
      <w:r w:rsidRPr="00954FF2">
        <w:rPr>
          <w:rFonts w:cs="Calibri"/>
          <w:szCs w:val="22"/>
        </w:rPr>
        <w:t>If a particular condition, including any variation of it, applies to an External service provider covered by this licence, the licence holder must not permit that person to conduct any dealings unless the person has been informed of the condition, including any variation to it</w:t>
      </w:r>
      <w:r w:rsidRPr="00954FF2">
        <w:rPr>
          <w:rFonts w:cs="Calibri"/>
          <w:color w:val="000000"/>
          <w:szCs w:val="22"/>
        </w:rPr>
        <w:t>.</w:t>
      </w:r>
      <w:bookmarkEnd w:id="431"/>
    </w:p>
    <w:p w14:paraId="4B866316" w14:textId="0721BF2D"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lastRenderedPageBreak/>
        <w:t xml:space="preserve">Note: Information required under Condition </w:t>
      </w:r>
      <w:r w:rsidRPr="00954FF2">
        <w:rPr>
          <w:rFonts w:cs="Calibri"/>
          <w:szCs w:val="22"/>
        </w:rPr>
        <w:fldChar w:fldCharType="begin"/>
      </w:r>
      <w:r w:rsidRPr="00954FF2">
        <w:rPr>
          <w:rFonts w:cs="Calibri"/>
          <w:szCs w:val="22"/>
        </w:rPr>
        <w:instrText xml:space="preserve"> REF _Ref36205282 \r \h  \* MERGEFORMAT </w:instrText>
      </w:r>
      <w:r w:rsidRPr="00954FF2">
        <w:rPr>
          <w:rFonts w:cs="Calibri"/>
          <w:szCs w:val="22"/>
        </w:rPr>
      </w:r>
      <w:r w:rsidRPr="00954FF2">
        <w:rPr>
          <w:rFonts w:cs="Calibri"/>
          <w:szCs w:val="22"/>
        </w:rPr>
        <w:fldChar w:fldCharType="separate"/>
      </w:r>
      <w:r w:rsidR="004D0670">
        <w:rPr>
          <w:rFonts w:cs="Calibri"/>
          <w:szCs w:val="22"/>
        </w:rPr>
        <w:t>18</w:t>
      </w:r>
      <w:r w:rsidRPr="00954FF2">
        <w:rPr>
          <w:rFonts w:cs="Calibri"/>
          <w:szCs w:val="22"/>
        </w:rPr>
        <w:fldChar w:fldCharType="end"/>
      </w:r>
      <w:r w:rsidRPr="00954FF2">
        <w:rPr>
          <w:rFonts w:cs="Calibri"/>
          <w:szCs w:val="22"/>
        </w:rPr>
        <w:t xml:space="preserve"> may be provided to External service providers who are engaged solely for storage and transport of the GMO through labelling of the outermost container of the GMO in accordance with Condition </w:t>
      </w:r>
      <w:r w:rsidRPr="00954FF2">
        <w:rPr>
          <w:rFonts w:cs="Calibri"/>
          <w:szCs w:val="22"/>
        </w:rPr>
        <w:fldChar w:fldCharType="begin"/>
      </w:r>
      <w:r w:rsidRPr="00954FF2">
        <w:rPr>
          <w:rFonts w:cs="Calibri"/>
          <w:szCs w:val="22"/>
        </w:rPr>
        <w:instrText xml:space="preserve"> REF _Ref216862329 \n \h  \* MERGEFORMAT </w:instrText>
      </w:r>
      <w:r w:rsidRPr="00954FF2">
        <w:rPr>
          <w:rFonts w:cs="Calibri"/>
          <w:szCs w:val="22"/>
        </w:rPr>
      </w:r>
      <w:r w:rsidRPr="00954FF2">
        <w:rPr>
          <w:rFonts w:cs="Calibri"/>
          <w:szCs w:val="22"/>
        </w:rPr>
        <w:fldChar w:fldCharType="separate"/>
      </w:r>
      <w:r w:rsidR="004D0670">
        <w:rPr>
          <w:rFonts w:cs="Calibri"/>
          <w:szCs w:val="22"/>
        </w:rPr>
        <w:t>35</w:t>
      </w:r>
      <w:r w:rsidRPr="00954FF2">
        <w:rPr>
          <w:rFonts w:cs="Calibri"/>
          <w:szCs w:val="22"/>
        </w:rPr>
        <w:fldChar w:fldCharType="end"/>
      </w:r>
      <w:r w:rsidRPr="00954FF2">
        <w:rPr>
          <w:rFonts w:cs="Calibri"/>
          <w:szCs w:val="22"/>
        </w:rPr>
        <w:fldChar w:fldCharType="begin"/>
      </w:r>
      <w:r w:rsidRPr="00954FF2">
        <w:rPr>
          <w:rFonts w:cs="Calibri"/>
          <w:szCs w:val="22"/>
        </w:rPr>
        <w:instrText xml:space="preserve"> REF _Ref216862341 \n \h  \* MERGEFORMAT </w:instrText>
      </w:r>
      <w:r w:rsidRPr="00954FF2">
        <w:rPr>
          <w:rFonts w:cs="Calibri"/>
          <w:szCs w:val="22"/>
        </w:rPr>
      </w:r>
      <w:r w:rsidRPr="00954FF2">
        <w:rPr>
          <w:rFonts w:cs="Calibri"/>
          <w:szCs w:val="22"/>
        </w:rPr>
        <w:fldChar w:fldCharType="separate"/>
      </w:r>
      <w:r w:rsidR="004D0670">
        <w:rPr>
          <w:rFonts w:cs="Calibri"/>
          <w:szCs w:val="22"/>
        </w:rPr>
        <w:t>(a)</w:t>
      </w:r>
      <w:r w:rsidRPr="00954FF2">
        <w:rPr>
          <w:rFonts w:cs="Calibri"/>
          <w:szCs w:val="22"/>
        </w:rPr>
        <w:fldChar w:fldCharType="end"/>
      </w:r>
      <w:r w:rsidRPr="00954FF2">
        <w:rPr>
          <w:rFonts w:cs="Calibri"/>
          <w:szCs w:val="22"/>
        </w:rPr>
        <w:t>.</w:t>
      </w:r>
    </w:p>
    <w:p w14:paraId="7D9421C6" w14:textId="77777777" w:rsidR="00EC45A5" w:rsidRPr="00954FF2" w:rsidRDefault="00EC45A5" w:rsidP="00EC45A5">
      <w:pPr>
        <w:pStyle w:val="RARMPnumberedparagraphs"/>
        <w:rPr>
          <w:rFonts w:cs="Calibri"/>
          <w:szCs w:val="22"/>
        </w:rPr>
      </w:pPr>
      <w:bookmarkStart w:id="433" w:name="_Ref216862428"/>
      <w:r w:rsidRPr="00954FF2">
        <w:rPr>
          <w:rFonts w:cs="Calibri"/>
          <w:szCs w:val="22"/>
        </w:rPr>
        <w:t>If a particular condition, including any variation of it, applies to a person with respect to any dealing, other than to an External service provider, the licence holder must not permit a person covered by this licence to conduct that dealing unless:</w:t>
      </w:r>
      <w:bookmarkEnd w:id="432"/>
      <w:bookmarkEnd w:id="433"/>
    </w:p>
    <w:p w14:paraId="36E0A084" w14:textId="77777777" w:rsidR="00EC45A5" w:rsidRPr="00954FF2" w:rsidRDefault="00EC45A5" w:rsidP="00EC45A5">
      <w:pPr>
        <w:pStyle w:val="ConditionLevel2"/>
        <w:numPr>
          <w:ilvl w:val="0"/>
          <w:numId w:val="76"/>
        </w:numPr>
        <w:rPr>
          <w:rFonts w:ascii="Calibri" w:hAnsi="Calibri" w:cs="Calibri"/>
          <w:sz w:val="22"/>
          <w:szCs w:val="22"/>
        </w:rPr>
      </w:pPr>
      <w:bookmarkStart w:id="434" w:name="_Ref33196735"/>
      <w:r w:rsidRPr="00954FF2">
        <w:rPr>
          <w:rFonts w:ascii="Calibri" w:hAnsi="Calibri" w:cs="Calibri"/>
          <w:sz w:val="22"/>
          <w:szCs w:val="22"/>
        </w:rPr>
        <w:t>the licence holder has obtained from the person a signed and dated statement that the person:</w:t>
      </w:r>
      <w:bookmarkEnd w:id="434"/>
    </w:p>
    <w:p w14:paraId="627ABDE5" w14:textId="77777777" w:rsidR="00EC45A5" w:rsidRPr="00954FF2" w:rsidRDefault="00EC45A5" w:rsidP="00EC45A5">
      <w:pPr>
        <w:pStyle w:val="ConditionLevel3"/>
        <w:rPr>
          <w:rFonts w:ascii="Calibri" w:hAnsi="Calibri" w:cs="Calibri"/>
          <w:sz w:val="22"/>
          <w:szCs w:val="22"/>
        </w:rPr>
      </w:pPr>
      <w:r w:rsidRPr="00954FF2">
        <w:rPr>
          <w:rFonts w:ascii="Calibri" w:hAnsi="Calibri" w:cs="Calibri"/>
          <w:sz w:val="22"/>
          <w:szCs w:val="22"/>
        </w:rPr>
        <w:t>has been informed by the licence holder of the condition and, when applicable, its variation; and</w:t>
      </w:r>
    </w:p>
    <w:p w14:paraId="19D3E125" w14:textId="77777777" w:rsidR="00EC45A5" w:rsidRPr="00954FF2" w:rsidRDefault="00EC45A5" w:rsidP="00EC45A5">
      <w:pPr>
        <w:pStyle w:val="ConditionLevel3"/>
        <w:rPr>
          <w:rFonts w:ascii="Calibri" w:hAnsi="Calibri" w:cs="Calibri"/>
          <w:sz w:val="22"/>
          <w:szCs w:val="22"/>
        </w:rPr>
      </w:pPr>
      <w:r w:rsidRPr="00954FF2">
        <w:rPr>
          <w:rFonts w:ascii="Calibri" w:hAnsi="Calibri" w:cs="Calibri"/>
          <w:sz w:val="22"/>
          <w:szCs w:val="22"/>
        </w:rPr>
        <w:t>has understood and agreed to be bound by the condition, or its variation; and</w:t>
      </w:r>
    </w:p>
    <w:p w14:paraId="707111F2" w14:textId="7E9F66AF" w:rsidR="00EC45A5" w:rsidRPr="00954FF2" w:rsidRDefault="00EC45A5" w:rsidP="00EC45A5">
      <w:pPr>
        <w:pStyle w:val="ConditionLevel3"/>
        <w:rPr>
          <w:rFonts w:ascii="Calibri" w:hAnsi="Calibri" w:cs="Calibri"/>
          <w:sz w:val="22"/>
          <w:szCs w:val="22"/>
        </w:rPr>
      </w:pPr>
      <w:bookmarkStart w:id="435" w:name="_Ref48042190"/>
      <w:r w:rsidRPr="00954FF2">
        <w:rPr>
          <w:rFonts w:ascii="Calibri" w:hAnsi="Calibri" w:cs="Calibri"/>
          <w:sz w:val="22"/>
          <w:szCs w:val="22"/>
        </w:rPr>
        <w:t xml:space="preserve">has been trained in accordance with sub-condition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_Ref216862428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19</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_Ref67560212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(b)</w:t>
      </w:r>
      <w:r w:rsidRPr="00954FF2">
        <w:rPr>
          <w:rFonts w:ascii="Calibri" w:hAnsi="Calibri" w:cs="Calibri"/>
          <w:sz w:val="22"/>
          <w:szCs w:val="22"/>
        </w:rPr>
        <w:fldChar w:fldCharType="end"/>
      </w:r>
      <w:r w:rsidRPr="00954FF2">
        <w:rPr>
          <w:rFonts w:ascii="Calibri" w:hAnsi="Calibri" w:cs="Calibri"/>
          <w:sz w:val="22"/>
          <w:szCs w:val="22"/>
        </w:rPr>
        <w:t xml:space="preserve"> below; and</w:t>
      </w:r>
    </w:p>
    <w:p w14:paraId="3CCA5206" w14:textId="77777777" w:rsidR="00EC45A5" w:rsidRPr="00954FF2" w:rsidRDefault="00EC45A5" w:rsidP="00EC45A5">
      <w:pPr>
        <w:pStyle w:val="ConditionLevel2"/>
        <w:numPr>
          <w:ilvl w:val="0"/>
          <w:numId w:val="76"/>
        </w:numPr>
        <w:rPr>
          <w:rFonts w:ascii="Calibri" w:hAnsi="Calibri" w:cs="Calibri"/>
          <w:sz w:val="22"/>
          <w:szCs w:val="22"/>
        </w:rPr>
      </w:pPr>
      <w:bookmarkStart w:id="436" w:name="_Ref67560212"/>
      <w:r w:rsidRPr="00954FF2">
        <w:rPr>
          <w:rFonts w:ascii="Calibri" w:hAnsi="Calibri" w:cs="Calibri"/>
          <w:sz w:val="22"/>
          <w:szCs w:val="22"/>
        </w:rPr>
        <w:t>the licence holder has trained that person in a manner which enables them to conduct the dealings in accordance with the conditions of this licence.</w:t>
      </w:r>
      <w:bookmarkEnd w:id="436"/>
    </w:p>
    <w:p w14:paraId="38B9733E" w14:textId="77777777" w:rsidR="00EC45A5" w:rsidRPr="00954FF2" w:rsidRDefault="00EC45A5" w:rsidP="00EC45A5">
      <w:pPr>
        <w:pStyle w:val="RARMPnumberedparagraphs"/>
        <w:rPr>
          <w:rFonts w:cs="Calibri"/>
          <w:szCs w:val="22"/>
        </w:rPr>
      </w:pPr>
      <w:r w:rsidRPr="00954FF2">
        <w:rPr>
          <w:rFonts w:cs="Calibri"/>
          <w:szCs w:val="22"/>
        </w:rPr>
        <w:t>The licence holder must notify all persons covered by the licence, from whom Personal information relevant to the administration and/or enforcement of the licence is collected by the licence holder, that such Personal information may be disclosed to the Regulator.</w:t>
      </w:r>
      <w:bookmarkEnd w:id="435"/>
    </w:p>
    <w:p w14:paraId="3D86DACE" w14:textId="77777777" w:rsidR="00EC45A5" w:rsidRPr="00954FF2" w:rsidRDefault="00EC45A5" w:rsidP="00EC45A5">
      <w:pPr>
        <w:pStyle w:val="RARMPnumberedparagraphs"/>
        <w:rPr>
          <w:rFonts w:cs="Calibri"/>
          <w:szCs w:val="22"/>
        </w:rPr>
      </w:pPr>
      <w:r w:rsidRPr="00954FF2">
        <w:rPr>
          <w:rFonts w:cs="Calibri"/>
          <w:szCs w:val="22"/>
        </w:rPr>
        <w:t>The licence holder must ensure that a copy of the licence is readily available to all persons covered by the licence, other than External service providers, who are conducting dealings with the GMO.</w:t>
      </w:r>
    </w:p>
    <w:p w14:paraId="7984DD09" w14:textId="77777777" w:rsidR="00EC45A5" w:rsidRPr="00954FF2" w:rsidRDefault="00EC45A5" w:rsidP="00EC45A5">
      <w:pPr>
        <w:pStyle w:val="Notes"/>
        <w:shd w:val="clear" w:color="auto" w:fill="D9D9D9" w:themeFill="background1" w:themeFillShade="D9"/>
        <w:spacing w:after="120"/>
        <w:rPr>
          <w:rFonts w:cs="Calibri"/>
          <w:szCs w:val="22"/>
        </w:rPr>
      </w:pPr>
      <w:r w:rsidRPr="00954FF2">
        <w:rPr>
          <w:rFonts w:cs="Calibri"/>
          <w:szCs w:val="22"/>
        </w:rPr>
        <w:t>Note: The licence may be made available electronically.</w:t>
      </w:r>
    </w:p>
    <w:p w14:paraId="7920980E" w14:textId="77777777" w:rsidR="00EC45A5" w:rsidRPr="00954FF2" w:rsidRDefault="00EC45A5" w:rsidP="00EC45A5">
      <w:pPr>
        <w:pStyle w:val="Style2"/>
        <w:keepLines/>
        <w:numPr>
          <w:ilvl w:val="1"/>
          <w:numId w:val="2"/>
        </w:numPr>
        <w:tabs>
          <w:tab w:val="clear" w:pos="2241"/>
          <w:tab w:val="num" w:pos="1440"/>
          <w:tab w:val="num" w:pos="1985"/>
        </w:tabs>
        <w:ind w:left="655" w:hanging="360"/>
        <w:rPr>
          <w:rFonts w:cs="Calibri"/>
        </w:rPr>
      </w:pPr>
      <w:bookmarkStart w:id="437" w:name="_Toc215474077"/>
      <w:bookmarkStart w:id="438" w:name="_Toc219281424"/>
      <w:r w:rsidRPr="00954FF2">
        <w:rPr>
          <w:rFonts w:cs="Calibri"/>
        </w:rPr>
        <w:t>Limits and control measures</w:t>
      </w:r>
      <w:bookmarkEnd w:id="437"/>
      <w:bookmarkEnd w:id="438"/>
    </w:p>
    <w:p w14:paraId="72763F9A"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Limits on clinical trials conducted under this licence</w:t>
      </w:r>
    </w:p>
    <w:p w14:paraId="3D72F427" w14:textId="77777777" w:rsidR="00EC45A5" w:rsidRPr="00954FF2" w:rsidRDefault="00EC45A5" w:rsidP="00EC45A5">
      <w:pPr>
        <w:pStyle w:val="RARMPnumberedparagraphs"/>
        <w:rPr>
          <w:rFonts w:cs="Calibri"/>
          <w:szCs w:val="22"/>
        </w:rPr>
      </w:pPr>
      <w:r w:rsidRPr="00954FF2">
        <w:rPr>
          <w:rFonts w:cs="Calibri"/>
          <w:szCs w:val="22"/>
        </w:rPr>
        <w:t>The GMO may be administered to a maximum of 13</w:t>
      </w:r>
      <w:r w:rsidRPr="00954FF2">
        <w:rPr>
          <w:rFonts w:cs="Calibri"/>
          <w:color w:val="0000FF"/>
          <w:szCs w:val="22"/>
        </w:rPr>
        <w:t xml:space="preserve"> </w:t>
      </w:r>
      <w:r w:rsidRPr="00954FF2">
        <w:rPr>
          <w:rFonts w:cs="Calibri"/>
          <w:szCs w:val="22"/>
        </w:rPr>
        <w:t>trial participants.</w:t>
      </w:r>
    </w:p>
    <w:p w14:paraId="7E0D43B9" w14:textId="77777777" w:rsidR="00EC45A5" w:rsidRPr="00954FF2" w:rsidRDefault="00EC45A5" w:rsidP="00EC45A5">
      <w:pPr>
        <w:pStyle w:val="RARMPnumberedparagraphs"/>
        <w:rPr>
          <w:rFonts w:cs="Calibri"/>
          <w:szCs w:val="22"/>
        </w:rPr>
      </w:pPr>
      <w:bookmarkStart w:id="439" w:name="_Ref68093833"/>
      <w:r w:rsidRPr="00954FF2">
        <w:rPr>
          <w:rFonts w:cs="Calibri"/>
          <w:szCs w:val="22"/>
        </w:rPr>
        <w:t>The preparation and administration of the GMO must be completed within 5 years from the date of issuing of the licence.</w:t>
      </w:r>
      <w:bookmarkEnd w:id="439"/>
    </w:p>
    <w:p w14:paraId="5DEBFBF4"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Preparation and administration of the GMO</w:t>
      </w:r>
    </w:p>
    <w:p w14:paraId="412DA146" w14:textId="77777777" w:rsidR="00EC45A5" w:rsidRPr="00954FF2" w:rsidRDefault="00EC45A5" w:rsidP="00EC45A5">
      <w:pPr>
        <w:pStyle w:val="RARMPnumberedparagraphs"/>
        <w:rPr>
          <w:rFonts w:cs="Calibri"/>
          <w:szCs w:val="22"/>
        </w:rPr>
      </w:pPr>
      <w:r w:rsidRPr="00954FF2">
        <w:rPr>
          <w:rFonts w:cs="Calibri"/>
          <w:szCs w:val="22"/>
        </w:rPr>
        <w:t>Administration of the GMO to trial participants must not commence prior to approval by a Human Research Ethics Committee.</w:t>
      </w:r>
    </w:p>
    <w:p w14:paraId="0E90C7E9" w14:textId="77777777" w:rsidR="00EC45A5" w:rsidRPr="00954FF2" w:rsidRDefault="00EC45A5" w:rsidP="00EC45A5">
      <w:pPr>
        <w:pStyle w:val="RARMPnumberedparagraphs"/>
        <w:rPr>
          <w:rFonts w:cs="Calibri"/>
          <w:szCs w:val="22"/>
        </w:rPr>
      </w:pPr>
      <w:r w:rsidRPr="00954FF2">
        <w:rPr>
          <w:rFonts w:cs="Calibri"/>
          <w:szCs w:val="22"/>
        </w:rPr>
        <w:t>The following activities must occur within a Clinical trial site:</w:t>
      </w:r>
    </w:p>
    <w:p w14:paraId="6351E213" w14:textId="77777777" w:rsidR="00EC45A5" w:rsidRPr="00954FF2" w:rsidRDefault="00EC45A5" w:rsidP="00EC45A5">
      <w:pPr>
        <w:pStyle w:val="RARMPnumberedparagraphs"/>
        <w:numPr>
          <w:ilvl w:val="1"/>
          <w:numId w:val="5"/>
        </w:numPr>
        <w:rPr>
          <w:rFonts w:cs="Calibri"/>
          <w:szCs w:val="22"/>
        </w:rPr>
      </w:pPr>
      <w:r w:rsidRPr="00954FF2">
        <w:rPr>
          <w:rFonts w:cs="Calibri"/>
          <w:szCs w:val="22"/>
        </w:rPr>
        <w:t>preparation of the GMO for administration to trial participants; and</w:t>
      </w:r>
    </w:p>
    <w:p w14:paraId="575AE817" w14:textId="77777777" w:rsidR="00EC45A5" w:rsidRPr="00954FF2" w:rsidRDefault="00EC45A5" w:rsidP="00EC45A5">
      <w:pPr>
        <w:pStyle w:val="RARMPnumberedparagraphs"/>
        <w:numPr>
          <w:ilvl w:val="1"/>
          <w:numId w:val="5"/>
        </w:numPr>
        <w:rPr>
          <w:rFonts w:cs="Calibri"/>
          <w:szCs w:val="22"/>
        </w:rPr>
      </w:pPr>
      <w:r w:rsidRPr="00954FF2">
        <w:rPr>
          <w:rFonts w:cs="Calibri"/>
          <w:szCs w:val="22"/>
        </w:rPr>
        <w:t>administration of the GMO to trial participants.</w:t>
      </w:r>
    </w:p>
    <w:p w14:paraId="5586977E" w14:textId="6431B274" w:rsidR="00EC45A5" w:rsidRPr="00954FF2" w:rsidRDefault="00EC45A5" w:rsidP="00EC45A5">
      <w:pPr>
        <w:pStyle w:val="RARMPnumberedparagraphs"/>
        <w:numPr>
          <w:ilvl w:val="0"/>
          <w:numId w:val="0"/>
        </w:numPr>
        <w:shd w:val="clear" w:color="auto" w:fill="D9D9D9" w:themeFill="background1" w:themeFillShade="D9"/>
        <w:rPr>
          <w:rFonts w:cs="Calibri"/>
          <w:i/>
          <w:iCs/>
          <w:szCs w:val="22"/>
        </w:rPr>
      </w:pPr>
      <w:r w:rsidRPr="00954FF2">
        <w:rPr>
          <w:rFonts w:cs="Calibri"/>
          <w:i/>
          <w:iCs/>
          <w:szCs w:val="22"/>
        </w:rPr>
        <w:t xml:space="preserve">Note: Before any of these activities take place, the details of each Clinical trial site must have been notified to the Regulator in accordance with Condition </w:t>
      </w:r>
      <w:r w:rsidRPr="00954FF2">
        <w:rPr>
          <w:rFonts w:cs="Calibri"/>
          <w:i/>
          <w:iCs/>
          <w:szCs w:val="22"/>
        </w:rPr>
        <w:fldChar w:fldCharType="begin"/>
      </w:r>
      <w:r w:rsidRPr="00954FF2">
        <w:rPr>
          <w:rFonts w:cs="Calibri"/>
          <w:i/>
          <w:iCs/>
          <w:szCs w:val="22"/>
        </w:rPr>
        <w:instrText xml:space="preserve"> REF _Ref216860985 \r \h  \* MERGEFORMAT </w:instrText>
      </w:r>
      <w:r w:rsidRPr="00954FF2">
        <w:rPr>
          <w:rFonts w:cs="Calibri"/>
          <w:i/>
          <w:iCs/>
          <w:szCs w:val="22"/>
        </w:rPr>
      </w:r>
      <w:r w:rsidRPr="00954FF2">
        <w:rPr>
          <w:rFonts w:cs="Calibri"/>
          <w:i/>
          <w:iCs/>
          <w:szCs w:val="22"/>
        </w:rPr>
        <w:fldChar w:fldCharType="separate"/>
      </w:r>
      <w:r w:rsidR="004D0670">
        <w:rPr>
          <w:rFonts w:cs="Calibri"/>
          <w:i/>
          <w:iCs/>
          <w:szCs w:val="22"/>
        </w:rPr>
        <w:t>41</w:t>
      </w:r>
      <w:r w:rsidRPr="00954FF2">
        <w:rPr>
          <w:rFonts w:cs="Calibri"/>
          <w:i/>
          <w:iCs/>
          <w:szCs w:val="22"/>
        </w:rPr>
        <w:fldChar w:fldCharType="end"/>
      </w:r>
      <w:r w:rsidRPr="00954FF2">
        <w:rPr>
          <w:rFonts w:cs="Calibri"/>
          <w:i/>
          <w:iCs/>
          <w:szCs w:val="22"/>
        </w:rPr>
        <w:fldChar w:fldCharType="begin"/>
      </w:r>
      <w:r w:rsidRPr="00954FF2">
        <w:rPr>
          <w:rFonts w:cs="Calibri"/>
          <w:i/>
          <w:iCs/>
          <w:szCs w:val="22"/>
        </w:rPr>
        <w:instrText xml:space="preserve"> REF _Ref33424271 \r \h  \* MERGEFORMAT </w:instrText>
      </w:r>
      <w:r w:rsidRPr="00954FF2">
        <w:rPr>
          <w:rFonts w:cs="Calibri"/>
          <w:i/>
          <w:iCs/>
          <w:szCs w:val="22"/>
        </w:rPr>
      </w:r>
      <w:r w:rsidRPr="00954FF2">
        <w:rPr>
          <w:rFonts w:cs="Calibri"/>
          <w:i/>
          <w:iCs/>
          <w:szCs w:val="22"/>
        </w:rPr>
        <w:fldChar w:fldCharType="separate"/>
      </w:r>
      <w:r w:rsidR="004D0670">
        <w:rPr>
          <w:rFonts w:cs="Calibri"/>
          <w:i/>
          <w:iCs/>
          <w:szCs w:val="22"/>
        </w:rPr>
        <w:t>(a)</w:t>
      </w:r>
      <w:r w:rsidRPr="00954FF2">
        <w:rPr>
          <w:rFonts w:cs="Calibri"/>
          <w:i/>
          <w:iCs/>
          <w:szCs w:val="22"/>
        </w:rPr>
        <w:fldChar w:fldCharType="end"/>
      </w:r>
      <w:r w:rsidRPr="00954FF2">
        <w:rPr>
          <w:rFonts w:cs="Calibri"/>
          <w:i/>
          <w:iCs/>
          <w:szCs w:val="22"/>
        </w:rPr>
        <w:t>.</w:t>
      </w:r>
    </w:p>
    <w:p w14:paraId="276E8E26"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Conditions relating to trial participants</w:t>
      </w:r>
    </w:p>
    <w:p w14:paraId="57500552" w14:textId="77777777" w:rsidR="00EC45A5" w:rsidRPr="00954FF2" w:rsidRDefault="00EC45A5" w:rsidP="00EC45A5">
      <w:pPr>
        <w:pStyle w:val="RARMPnumberedparagraphs"/>
        <w:rPr>
          <w:rFonts w:cs="Calibri"/>
          <w:szCs w:val="22"/>
        </w:rPr>
      </w:pPr>
      <w:r w:rsidRPr="00954FF2">
        <w:rPr>
          <w:rFonts w:cs="Calibri"/>
          <w:szCs w:val="22"/>
        </w:rPr>
        <w:t>The licence holder must notify each trial participant, from whom Personal information relevant to the administration and/or enforcement of the licence is collected by the licence holder, that such Personal information may be disclosed to the Regulator.</w:t>
      </w:r>
    </w:p>
    <w:p w14:paraId="33E8F980" w14:textId="77777777" w:rsidR="00EC45A5" w:rsidRPr="00954FF2" w:rsidRDefault="00EC45A5" w:rsidP="00EC45A5">
      <w:pPr>
        <w:pStyle w:val="RARMPnumberedparagraphs"/>
        <w:rPr>
          <w:rFonts w:cs="Calibri"/>
          <w:szCs w:val="22"/>
        </w:rPr>
      </w:pPr>
      <w:r w:rsidRPr="00954FF2">
        <w:rPr>
          <w:rFonts w:cs="Calibri"/>
          <w:szCs w:val="22"/>
        </w:rPr>
        <w:t>The licence holder must ensure that exclusion criteria in selecting trial participants include (though are not limited to):</w:t>
      </w:r>
    </w:p>
    <w:p w14:paraId="0BB86DC2" w14:textId="77777777" w:rsidR="00EC45A5" w:rsidRPr="00954FF2" w:rsidRDefault="00EC45A5" w:rsidP="00EC45A5">
      <w:pPr>
        <w:pStyle w:val="RARMPnumberedparagraphs"/>
        <w:numPr>
          <w:ilvl w:val="1"/>
          <w:numId w:val="5"/>
        </w:numPr>
        <w:rPr>
          <w:rFonts w:cs="Calibri"/>
          <w:szCs w:val="22"/>
        </w:rPr>
      </w:pPr>
      <w:r w:rsidRPr="00954FF2">
        <w:rPr>
          <w:rFonts w:cs="Calibri"/>
          <w:szCs w:val="22"/>
        </w:rPr>
        <w:t xml:space="preserve">pregnant and breastfeeding </w:t>
      </w:r>
      <w:proofErr w:type="gramStart"/>
      <w:r w:rsidRPr="00954FF2">
        <w:rPr>
          <w:rFonts w:cs="Calibri"/>
          <w:szCs w:val="22"/>
        </w:rPr>
        <w:t>women;</w:t>
      </w:r>
      <w:proofErr w:type="gramEnd"/>
    </w:p>
    <w:p w14:paraId="3D575F2D" w14:textId="649854F6" w:rsidR="00EC45A5" w:rsidRPr="00954FF2" w:rsidRDefault="00EC45A5" w:rsidP="00EC45A5">
      <w:pPr>
        <w:pStyle w:val="RARMPnumberedparagraphs"/>
        <w:numPr>
          <w:ilvl w:val="1"/>
          <w:numId w:val="5"/>
        </w:numPr>
        <w:rPr>
          <w:rFonts w:cs="Calibri"/>
          <w:szCs w:val="22"/>
        </w:rPr>
      </w:pPr>
      <w:r w:rsidRPr="00954FF2">
        <w:rPr>
          <w:rFonts w:cs="Calibri"/>
          <w:szCs w:val="22"/>
        </w:rPr>
        <w:lastRenderedPageBreak/>
        <w:t xml:space="preserve">any people suffering from </w:t>
      </w:r>
      <w:r w:rsidR="00423FC5">
        <w:rPr>
          <w:rFonts w:cs="Calibri"/>
          <w:szCs w:val="22"/>
        </w:rPr>
        <w:t xml:space="preserve">an </w:t>
      </w:r>
      <w:r w:rsidRPr="00954FF2">
        <w:rPr>
          <w:rFonts w:cs="Calibri"/>
          <w:szCs w:val="22"/>
        </w:rPr>
        <w:t xml:space="preserve">Immunosuppressive </w:t>
      </w:r>
      <w:proofErr w:type="gramStart"/>
      <w:r w:rsidRPr="00954FF2">
        <w:rPr>
          <w:rFonts w:cs="Calibri"/>
          <w:szCs w:val="22"/>
        </w:rPr>
        <w:t>disorder;</w:t>
      </w:r>
      <w:proofErr w:type="gramEnd"/>
    </w:p>
    <w:p w14:paraId="5BEB27EC" w14:textId="77777777" w:rsidR="00EC45A5" w:rsidRPr="00954FF2" w:rsidRDefault="00EC45A5" w:rsidP="00EC45A5">
      <w:pPr>
        <w:pStyle w:val="RARMPnumberedparagraphs"/>
        <w:numPr>
          <w:ilvl w:val="1"/>
          <w:numId w:val="5"/>
        </w:numPr>
        <w:rPr>
          <w:rFonts w:cs="Calibri"/>
          <w:szCs w:val="22"/>
        </w:rPr>
      </w:pPr>
      <w:r w:rsidRPr="00954FF2">
        <w:rPr>
          <w:rFonts w:cs="Calibri"/>
          <w:szCs w:val="22"/>
        </w:rPr>
        <w:t xml:space="preserve">those having received a prior treatment with adenovirus-vector based therapies within 60 days of participating in the </w:t>
      </w:r>
      <w:proofErr w:type="gramStart"/>
      <w:r w:rsidRPr="00954FF2">
        <w:rPr>
          <w:rFonts w:cs="Calibri"/>
          <w:szCs w:val="22"/>
        </w:rPr>
        <w:t>trial;</w:t>
      </w:r>
      <w:proofErr w:type="gramEnd"/>
    </w:p>
    <w:p w14:paraId="67677C1F" w14:textId="77777777" w:rsidR="00EC45A5" w:rsidRPr="00954FF2" w:rsidRDefault="00EC45A5" w:rsidP="00EC45A5">
      <w:pPr>
        <w:pStyle w:val="RARMPnumberedparagraphs"/>
        <w:numPr>
          <w:ilvl w:val="1"/>
          <w:numId w:val="5"/>
        </w:numPr>
        <w:rPr>
          <w:rFonts w:cs="Calibri"/>
          <w:szCs w:val="22"/>
        </w:rPr>
      </w:pPr>
      <w:r w:rsidRPr="00954FF2">
        <w:rPr>
          <w:rFonts w:cs="Calibri"/>
          <w:szCs w:val="22"/>
        </w:rPr>
        <w:t xml:space="preserve">those intending to become pregnant during the trial or during the first 60 days following each treatment with the GMO. </w:t>
      </w:r>
    </w:p>
    <w:p w14:paraId="0811A6FA" w14:textId="77777777" w:rsidR="00EC45A5" w:rsidRPr="00954FF2" w:rsidRDefault="00EC45A5" w:rsidP="00EC45A5">
      <w:pPr>
        <w:pStyle w:val="RARMPnumberedparagraphs"/>
        <w:rPr>
          <w:rFonts w:cs="Calibri"/>
          <w:szCs w:val="22"/>
        </w:rPr>
      </w:pPr>
      <w:bookmarkStart w:id="440" w:name="_Ref219300201"/>
      <w:bookmarkStart w:id="441" w:name="_Ref49849035"/>
      <w:r w:rsidRPr="00954FF2">
        <w:rPr>
          <w:rFonts w:cs="Calibri"/>
          <w:szCs w:val="22"/>
        </w:rPr>
        <w:t>Before inoculating any trial participant with the GMO, the licence holder must obtain written agreement from the trial participant that they would:</w:t>
      </w:r>
      <w:bookmarkEnd w:id="440"/>
    </w:p>
    <w:p w14:paraId="283F8602" w14:textId="242B1E4A" w:rsidR="00EC45A5" w:rsidRPr="00954FF2" w:rsidRDefault="005641A6" w:rsidP="00EC45A5">
      <w:pPr>
        <w:pStyle w:val="ConditionLevel2"/>
        <w:numPr>
          <w:ilvl w:val="0"/>
          <w:numId w:val="57"/>
        </w:numPr>
        <w:rPr>
          <w:rFonts w:ascii="Calibri" w:hAnsi="Calibri" w:cs="Calibri"/>
          <w:sz w:val="22"/>
          <w:szCs w:val="22"/>
        </w:rPr>
      </w:pPr>
      <w:r>
        <w:rPr>
          <w:rFonts w:ascii="Calibri" w:hAnsi="Calibri" w:cs="Calibri"/>
          <w:sz w:val="22"/>
          <w:szCs w:val="22"/>
        </w:rPr>
        <w:t>u</w:t>
      </w:r>
      <w:r w:rsidR="00EC45A5" w:rsidRPr="00954FF2">
        <w:rPr>
          <w:rFonts w:ascii="Calibri" w:hAnsi="Calibri" w:cs="Calibri"/>
          <w:sz w:val="22"/>
          <w:szCs w:val="22"/>
        </w:rPr>
        <w:t>se barrier method</w:t>
      </w:r>
      <w:r w:rsidR="00D51A07">
        <w:rPr>
          <w:rFonts w:ascii="Calibri" w:hAnsi="Calibri" w:cs="Calibri"/>
          <w:sz w:val="22"/>
          <w:szCs w:val="22"/>
        </w:rPr>
        <w:t>(s)</w:t>
      </w:r>
      <w:r w:rsidR="00EC45A5" w:rsidRPr="00954FF2">
        <w:rPr>
          <w:rFonts w:ascii="Calibri" w:hAnsi="Calibri" w:cs="Calibri"/>
          <w:sz w:val="22"/>
          <w:szCs w:val="22"/>
        </w:rPr>
        <w:t xml:space="preserve"> to prevent pregnancy and exposure to the GMO during any sexual activities for 60 days following each administration of the GMO; and</w:t>
      </w:r>
    </w:p>
    <w:p w14:paraId="2804D59E" w14:textId="55449BE7" w:rsidR="00EC45A5" w:rsidRPr="00954FF2" w:rsidRDefault="00EC45A5" w:rsidP="00EC45A5">
      <w:pPr>
        <w:pStyle w:val="ConditionLevel2"/>
        <w:numPr>
          <w:ilvl w:val="0"/>
          <w:numId w:val="57"/>
        </w:numPr>
        <w:rPr>
          <w:rFonts w:ascii="Calibri" w:hAnsi="Calibri" w:cs="Calibri"/>
          <w:sz w:val="22"/>
          <w:szCs w:val="22"/>
        </w:rPr>
      </w:pPr>
      <w:r w:rsidRPr="00954FF2">
        <w:rPr>
          <w:rFonts w:ascii="Calibri" w:hAnsi="Calibri" w:cs="Calibri"/>
          <w:sz w:val="22"/>
          <w:szCs w:val="22"/>
        </w:rPr>
        <w:t>not donate blood, sperm, ova, tissues or organs while participating in the trial and for 60 days after the final administration of the GMO</w:t>
      </w:r>
      <w:bookmarkEnd w:id="441"/>
      <w:r w:rsidR="003D2D04">
        <w:rPr>
          <w:rFonts w:ascii="Calibri" w:hAnsi="Calibri" w:cs="Calibri"/>
          <w:sz w:val="22"/>
          <w:szCs w:val="22"/>
        </w:rPr>
        <w:t>; and</w:t>
      </w:r>
    </w:p>
    <w:p w14:paraId="5C83CE89" w14:textId="11C2B750" w:rsidR="00EC45A5" w:rsidRPr="00954FF2" w:rsidRDefault="003D2D04" w:rsidP="00EC45A5">
      <w:pPr>
        <w:pStyle w:val="ConditionLevel2"/>
        <w:numPr>
          <w:ilvl w:val="0"/>
          <w:numId w:val="57"/>
        </w:numPr>
        <w:rPr>
          <w:rFonts w:ascii="Calibri" w:hAnsi="Calibri" w:cs="Calibri"/>
          <w:sz w:val="22"/>
          <w:szCs w:val="22"/>
        </w:rPr>
      </w:pPr>
      <w:r>
        <w:rPr>
          <w:rFonts w:ascii="Calibri" w:hAnsi="Calibri" w:cs="Calibri"/>
          <w:sz w:val="22"/>
          <w:szCs w:val="22"/>
        </w:rPr>
        <w:t>f</w:t>
      </w:r>
      <w:r w:rsidR="00EC45A5" w:rsidRPr="00954FF2">
        <w:rPr>
          <w:rFonts w:ascii="Calibri" w:hAnsi="Calibri" w:cs="Calibri"/>
          <w:sz w:val="22"/>
          <w:szCs w:val="22"/>
        </w:rPr>
        <w:t>ollow the instructions provided by the licence holder for the treatment of urine</w:t>
      </w:r>
      <w:r w:rsidR="00904BDC">
        <w:rPr>
          <w:rFonts w:ascii="Calibri" w:hAnsi="Calibri" w:cs="Calibri"/>
          <w:sz w:val="22"/>
          <w:szCs w:val="22"/>
        </w:rPr>
        <w:t xml:space="preserve"> (Condition </w:t>
      </w:r>
      <w:r w:rsidR="00904BDC">
        <w:rPr>
          <w:rFonts w:ascii="Calibri" w:hAnsi="Calibri" w:cs="Calibri"/>
          <w:sz w:val="22"/>
          <w:szCs w:val="22"/>
        </w:rPr>
        <w:fldChar w:fldCharType="begin"/>
      </w:r>
      <w:r w:rsidR="00904BDC">
        <w:rPr>
          <w:rFonts w:ascii="Calibri" w:hAnsi="Calibri" w:cs="Calibri"/>
          <w:sz w:val="22"/>
          <w:szCs w:val="22"/>
        </w:rPr>
        <w:instrText xml:space="preserve"> REF _Ref218863549 \n \h </w:instrText>
      </w:r>
      <w:r w:rsidR="00904BDC">
        <w:rPr>
          <w:rFonts w:ascii="Calibri" w:hAnsi="Calibri" w:cs="Calibri"/>
          <w:sz w:val="22"/>
          <w:szCs w:val="22"/>
        </w:rPr>
      </w:r>
      <w:r w:rsidR="00904BDC">
        <w:rPr>
          <w:rFonts w:ascii="Calibri" w:hAnsi="Calibri" w:cs="Calibri"/>
          <w:sz w:val="22"/>
          <w:szCs w:val="22"/>
        </w:rPr>
        <w:fldChar w:fldCharType="separate"/>
      </w:r>
      <w:r w:rsidR="004D0670">
        <w:rPr>
          <w:rFonts w:ascii="Calibri" w:hAnsi="Calibri" w:cs="Calibri"/>
          <w:sz w:val="22"/>
          <w:szCs w:val="22"/>
        </w:rPr>
        <w:t>29</w:t>
      </w:r>
      <w:r w:rsidR="00904BDC">
        <w:rPr>
          <w:rFonts w:ascii="Calibri" w:hAnsi="Calibri" w:cs="Calibri"/>
          <w:sz w:val="22"/>
          <w:szCs w:val="22"/>
        </w:rPr>
        <w:fldChar w:fldCharType="end"/>
      </w:r>
      <w:r w:rsidR="00904BDC">
        <w:rPr>
          <w:rFonts w:ascii="Calibri" w:hAnsi="Calibri" w:cs="Calibri"/>
          <w:sz w:val="22"/>
          <w:szCs w:val="22"/>
        </w:rPr>
        <w:t>)</w:t>
      </w:r>
      <w:r w:rsidR="00EC45A5" w:rsidRPr="00954FF2">
        <w:rPr>
          <w:rFonts w:ascii="Calibri" w:hAnsi="Calibri" w:cs="Calibri"/>
          <w:sz w:val="22"/>
          <w:szCs w:val="22"/>
        </w:rPr>
        <w:t>.</w:t>
      </w:r>
    </w:p>
    <w:p w14:paraId="47974A31" w14:textId="77777777" w:rsidR="00EC45A5" w:rsidRPr="00954FF2" w:rsidRDefault="00EC45A5" w:rsidP="005B4CC0">
      <w:pPr>
        <w:pStyle w:val="Head2-Subheading"/>
        <w:keepLines/>
        <w:spacing w:after="120"/>
        <w:outlineLvl w:val="9"/>
        <w:rPr>
          <w:rFonts w:ascii="Calibri" w:hAnsi="Calibri" w:cs="Calibri"/>
          <w:sz w:val="22"/>
          <w:szCs w:val="22"/>
        </w:rPr>
      </w:pPr>
      <w:bookmarkStart w:id="442" w:name="_Toc215474088"/>
      <w:r w:rsidRPr="00954FF2">
        <w:rPr>
          <w:rFonts w:ascii="Calibri" w:hAnsi="Calibri" w:cs="Calibri"/>
          <w:sz w:val="22"/>
          <w:szCs w:val="22"/>
        </w:rPr>
        <w:t>Preventive practices required post-administration</w:t>
      </w:r>
      <w:bookmarkEnd w:id="442"/>
      <w:r w:rsidRPr="00954FF2">
        <w:rPr>
          <w:rFonts w:ascii="Calibri" w:hAnsi="Calibri" w:cs="Calibri"/>
          <w:sz w:val="22"/>
          <w:szCs w:val="22"/>
        </w:rPr>
        <w:t xml:space="preserve">  </w:t>
      </w:r>
    </w:p>
    <w:p w14:paraId="12060D46" w14:textId="77777777" w:rsidR="00EC45A5" w:rsidRPr="00954FF2" w:rsidRDefault="00EC45A5" w:rsidP="00EC45A5">
      <w:pPr>
        <w:pStyle w:val="RARMPnumberedparagraphs"/>
        <w:rPr>
          <w:rFonts w:cs="Calibri"/>
          <w:szCs w:val="22"/>
        </w:rPr>
      </w:pPr>
      <w:bookmarkStart w:id="443" w:name="_Ref218863549"/>
      <w:r w:rsidRPr="00954FF2">
        <w:rPr>
          <w:rFonts w:cs="Calibri"/>
          <w:szCs w:val="22"/>
        </w:rPr>
        <w:t>Before inoculating a trial participant with the GMO, the licence holder must provide instructions to the trial participant to disinfect voided urine for two days following treatment with the GMO by adding half a cup of household bleach to the toilet bowl prior to urinating and wait 15 minutes before flushing.</w:t>
      </w:r>
      <w:bookmarkEnd w:id="443"/>
    </w:p>
    <w:p w14:paraId="0D37F73F"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Conditions related to the conduct of the dealings</w:t>
      </w:r>
    </w:p>
    <w:p w14:paraId="3714E3EF" w14:textId="77777777" w:rsidR="00EC45A5" w:rsidRPr="00954FF2" w:rsidRDefault="00EC45A5" w:rsidP="00EC45A5">
      <w:pPr>
        <w:pStyle w:val="RARMPnumberedparagraphs"/>
        <w:rPr>
          <w:rFonts w:cs="Calibri"/>
          <w:szCs w:val="22"/>
        </w:rPr>
      </w:pPr>
      <w:bookmarkStart w:id="444" w:name="_Ref17103564"/>
      <w:bookmarkStart w:id="445" w:name="_Ref31291662"/>
      <w:bookmarkStart w:id="446" w:name="_Ref45626020"/>
      <w:r w:rsidRPr="00954FF2">
        <w:rPr>
          <w:rFonts w:cs="Calibri"/>
          <w:szCs w:val="22"/>
        </w:rPr>
        <w:t>Conditions that apply to dealings with GMOs do not apply to Samples collected from trial participants, or other materials, or waste, that are reasonably expected not to contain the GMO. The licence holder must provide to the Regulator upon request, a written justification for this expectation.</w:t>
      </w:r>
      <w:bookmarkEnd w:id="444"/>
    </w:p>
    <w:p w14:paraId="37791C92" w14:textId="77777777" w:rsidR="00EC45A5" w:rsidRPr="00954FF2" w:rsidRDefault="00EC45A5" w:rsidP="00EC45A5">
      <w:pPr>
        <w:pStyle w:val="RARMPnumberedparagraphs"/>
        <w:rPr>
          <w:rFonts w:cs="Calibri"/>
          <w:szCs w:val="22"/>
        </w:rPr>
      </w:pPr>
      <w:bookmarkStart w:id="447" w:name="_Ref48723783"/>
      <w:r w:rsidRPr="00954FF2">
        <w:rPr>
          <w:rFonts w:cs="Calibri"/>
          <w:szCs w:val="22"/>
        </w:rPr>
        <w:t xml:space="preserve">The licence holder must ensure that dealings </w:t>
      </w:r>
      <w:bookmarkEnd w:id="445"/>
      <w:r w:rsidRPr="00954FF2">
        <w:rPr>
          <w:rFonts w:cs="Calibri"/>
          <w:szCs w:val="22"/>
        </w:rPr>
        <w:t>are only conducted in a manner which:</w:t>
      </w:r>
      <w:bookmarkEnd w:id="446"/>
      <w:bookmarkEnd w:id="447"/>
    </w:p>
    <w:p w14:paraId="3C49D139" w14:textId="77777777" w:rsidR="00EC45A5" w:rsidRPr="00954FF2" w:rsidRDefault="00EC45A5" w:rsidP="00EC45A5">
      <w:pPr>
        <w:pStyle w:val="ConditionLevel2"/>
        <w:numPr>
          <w:ilvl w:val="0"/>
          <w:numId w:val="78"/>
        </w:numPr>
        <w:rPr>
          <w:rFonts w:ascii="Calibri" w:hAnsi="Calibri" w:cs="Calibri"/>
          <w:sz w:val="22"/>
          <w:szCs w:val="22"/>
        </w:rPr>
      </w:pPr>
      <w:r w:rsidRPr="00954FF2">
        <w:rPr>
          <w:rFonts w:ascii="Calibri" w:hAnsi="Calibri" w:cs="Calibri"/>
          <w:sz w:val="22"/>
          <w:szCs w:val="22"/>
        </w:rPr>
        <w:t>does not compromise the health and safety of people; and</w:t>
      </w:r>
    </w:p>
    <w:p w14:paraId="76EC5CC8" w14:textId="77777777" w:rsidR="00EC45A5" w:rsidRPr="00954FF2" w:rsidRDefault="00EC45A5" w:rsidP="00EC45A5">
      <w:pPr>
        <w:pStyle w:val="ConditionLevel2"/>
        <w:numPr>
          <w:ilvl w:val="0"/>
          <w:numId w:val="57"/>
        </w:numPr>
        <w:rPr>
          <w:rFonts w:ascii="Calibri" w:hAnsi="Calibri" w:cs="Calibri"/>
          <w:sz w:val="22"/>
          <w:szCs w:val="22"/>
        </w:rPr>
      </w:pPr>
      <w:r w:rsidRPr="00954FF2">
        <w:rPr>
          <w:rFonts w:ascii="Calibri" w:hAnsi="Calibri" w:cs="Calibri"/>
          <w:sz w:val="22"/>
          <w:szCs w:val="22"/>
        </w:rPr>
        <w:t>minimises the exposure of persons conducting the dealings to the GMO, other than intended exposure of trial participants.</w:t>
      </w:r>
    </w:p>
    <w:p w14:paraId="64B06621" w14:textId="77777777"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t>Note: The licence holder may do this by only engaging or otherwise authorising persons to conduct dealings who are required to adhere to appropriate standards and guidelines. For example, standards developed by the National Pathology Accreditation Advisory Council for pathology practices, the Australian Guidelines for the Prevention and Control of Infection in Healthcare, Guidelines for Good Clinical Practice and the National Safety and Quality Health Service (NSQHS) Standards.</w:t>
      </w:r>
    </w:p>
    <w:p w14:paraId="5E4AFB65" w14:textId="4A5AFBF5" w:rsidR="00EC45A5" w:rsidRPr="00954FF2" w:rsidRDefault="00EC45A5" w:rsidP="00EC45A5">
      <w:pPr>
        <w:pStyle w:val="RARMPnumberedparagraphs"/>
        <w:rPr>
          <w:rFonts w:cs="Calibri"/>
          <w:szCs w:val="22"/>
        </w:rPr>
      </w:pPr>
      <w:r w:rsidRPr="00954FF2">
        <w:rPr>
          <w:rFonts w:cs="Calibri"/>
          <w:szCs w:val="22"/>
        </w:rPr>
        <w:t xml:space="preserve">The licence holder must ensure that procedures are in place to account for the GMO from import to destruction/export, and records must be made available </w:t>
      </w:r>
      <w:r w:rsidR="00904BDC">
        <w:rPr>
          <w:rFonts w:cs="Calibri"/>
          <w:szCs w:val="22"/>
        </w:rPr>
        <w:t xml:space="preserve">to </w:t>
      </w:r>
      <w:r w:rsidRPr="00954FF2">
        <w:rPr>
          <w:rFonts w:cs="Calibri"/>
          <w:szCs w:val="22"/>
        </w:rPr>
        <w:t xml:space="preserve">the Regulator on request. </w:t>
      </w:r>
    </w:p>
    <w:p w14:paraId="7D9B31BF" w14:textId="77777777" w:rsidR="00EC45A5" w:rsidRPr="00954FF2" w:rsidRDefault="00EC45A5" w:rsidP="005B4CC0">
      <w:pPr>
        <w:pStyle w:val="Head3-subsubheading"/>
        <w:rPr>
          <w:rFonts w:ascii="Calibri" w:hAnsi="Calibri" w:cs="Calibri"/>
          <w:sz w:val="22"/>
          <w:szCs w:val="22"/>
        </w:rPr>
      </w:pPr>
      <w:r w:rsidRPr="00954FF2">
        <w:rPr>
          <w:rFonts w:ascii="Calibri" w:hAnsi="Calibri" w:cs="Calibri"/>
          <w:sz w:val="22"/>
          <w:szCs w:val="22"/>
        </w:rPr>
        <w:t>Work practices at Clinical trial sites</w:t>
      </w:r>
    </w:p>
    <w:p w14:paraId="45D06758" w14:textId="5A8F0F49" w:rsidR="00EC45A5" w:rsidRPr="00954FF2" w:rsidRDefault="00EC45A5" w:rsidP="00EC45A5">
      <w:pPr>
        <w:pStyle w:val="RARMPnumberedparagraphs"/>
        <w:rPr>
          <w:rFonts w:cs="Calibri"/>
          <w:szCs w:val="22"/>
        </w:rPr>
      </w:pPr>
      <w:bookmarkStart w:id="448" w:name="_Hlk188618602"/>
      <w:r w:rsidRPr="00954FF2">
        <w:rPr>
          <w:rFonts w:cs="Calibri"/>
          <w:szCs w:val="22"/>
        </w:rPr>
        <w:t xml:space="preserve">For the purposes of Condition </w:t>
      </w:r>
      <w:r w:rsidRPr="005B6645">
        <w:rPr>
          <w:rFonts w:cs="Calibri"/>
          <w:szCs w:val="22"/>
        </w:rPr>
        <w:fldChar w:fldCharType="begin"/>
      </w:r>
      <w:r w:rsidRPr="005B6645">
        <w:rPr>
          <w:rFonts w:cs="Calibri"/>
          <w:szCs w:val="22"/>
        </w:rPr>
        <w:instrText xml:space="preserve"> REF _Ref48723783 \r \h  \* MERGEFORMAT </w:instrText>
      </w:r>
      <w:r w:rsidRPr="005B6645">
        <w:rPr>
          <w:rFonts w:cs="Calibri"/>
          <w:szCs w:val="22"/>
        </w:rPr>
      </w:r>
      <w:r w:rsidRPr="005B6645">
        <w:rPr>
          <w:rFonts w:cs="Calibri"/>
          <w:szCs w:val="22"/>
        </w:rPr>
        <w:fldChar w:fldCharType="separate"/>
      </w:r>
      <w:r w:rsidR="004D0670">
        <w:rPr>
          <w:rFonts w:cs="Calibri"/>
          <w:szCs w:val="22"/>
        </w:rPr>
        <w:t>31</w:t>
      </w:r>
      <w:r w:rsidRPr="005B6645">
        <w:rPr>
          <w:rFonts w:cs="Calibri"/>
          <w:szCs w:val="22"/>
        </w:rPr>
        <w:fldChar w:fldCharType="end"/>
      </w:r>
      <w:r w:rsidRPr="00954FF2">
        <w:rPr>
          <w:rFonts w:cs="Calibri"/>
          <w:szCs w:val="22"/>
        </w:rPr>
        <w:t>, the work practices and behaviours within a Clinical trial site must include, but are not limited to, the following</w:t>
      </w:r>
      <w:bookmarkEnd w:id="448"/>
      <w:r w:rsidRPr="00954FF2">
        <w:rPr>
          <w:rFonts w:cs="Calibri"/>
          <w:szCs w:val="22"/>
        </w:rPr>
        <w:t>:</w:t>
      </w:r>
    </w:p>
    <w:p w14:paraId="671977A7" w14:textId="4A1F2B06" w:rsidR="00EC45A5" w:rsidRPr="00954FF2" w:rsidRDefault="00EC45A5" w:rsidP="00EC45A5">
      <w:pPr>
        <w:pStyle w:val="ConditionLevel2"/>
        <w:numPr>
          <w:ilvl w:val="0"/>
          <w:numId w:val="75"/>
        </w:numPr>
        <w:rPr>
          <w:rFonts w:ascii="Calibri" w:hAnsi="Calibri" w:cs="Calibri"/>
          <w:sz w:val="22"/>
          <w:szCs w:val="22"/>
        </w:rPr>
      </w:pPr>
      <w:r w:rsidRPr="00954FF2">
        <w:rPr>
          <w:rFonts w:ascii="Calibri" w:hAnsi="Calibri" w:cs="Calibri"/>
          <w:sz w:val="22"/>
          <w:szCs w:val="22"/>
        </w:rPr>
        <w:t xml:space="preserve">preparation of the GMO must be conducted in a Class II biosafety cabinet (Class II BSC), </w:t>
      </w:r>
      <w:r w:rsidR="0098338F" w:rsidRPr="0098338F">
        <w:rPr>
          <w:rFonts w:ascii="Calibri" w:hAnsi="Calibri" w:cs="Calibri"/>
          <w:sz w:val="22"/>
          <w:szCs w:val="22"/>
        </w:rPr>
        <w:t>a negative pressure pharmaceutical isolator,</w:t>
      </w:r>
      <w:r w:rsidR="0098338F">
        <w:rPr>
          <w:rFonts w:ascii="Calibri" w:hAnsi="Calibri" w:cs="Calibri"/>
          <w:sz w:val="22"/>
          <w:szCs w:val="22"/>
        </w:rPr>
        <w:t xml:space="preserve"> </w:t>
      </w:r>
      <w:r w:rsidRPr="00954FF2">
        <w:rPr>
          <w:rFonts w:ascii="Calibri" w:hAnsi="Calibri" w:cs="Calibri"/>
          <w:sz w:val="22"/>
          <w:szCs w:val="22"/>
        </w:rPr>
        <w:t xml:space="preserve">or alternative containment equipment approved in writing by the </w:t>
      </w:r>
      <w:proofErr w:type="gramStart"/>
      <w:r w:rsidRPr="00954FF2">
        <w:rPr>
          <w:rFonts w:ascii="Calibri" w:hAnsi="Calibri" w:cs="Calibri"/>
          <w:sz w:val="22"/>
          <w:szCs w:val="22"/>
        </w:rPr>
        <w:t>Regulator;</w:t>
      </w:r>
      <w:proofErr w:type="gramEnd"/>
    </w:p>
    <w:p w14:paraId="571035F5" w14:textId="04AA035D" w:rsidR="00EC45A5" w:rsidRPr="00954FF2" w:rsidRDefault="00EC45A5" w:rsidP="00EC45A5">
      <w:pPr>
        <w:pStyle w:val="ConditionLevel2"/>
        <w:numPr>
          <w:ilvl w:val="0"/>
          <w:numId w:val="75"/>
        </w:numPr>
        <w:rPr>
          <w:rFonts w:ascii="Calibri" w:hAnsi="Calibri" w:cs="Calibri"/>
          <w:sz w:val="22"/>
          <w:szCs w:val="22"/>
        </w:rPr>
      </w:pPr>
      <w:r w:rsidRPr="00954FF2">
        <w:rPr>
          <w:rFonts w:ascii="Calibri" w:hAnsi="Calibri" w:cs="Calibri"/>
          <w:sz w:val="22"/>
          <w:szCs w:val="22"/>
        </w:rPr>
        <w:t>persons preparing the GMO must wear personal protective equipment (PPE), including gowns, gloves and eye protection</w:t>
      </w:r>
      <w:r w:rsidR="00E208BA">
        <w:rPr>
          <w:rFonts w:ascii="Calibri" w:hAnsi="Calibri" w:cs="Calibri"/>
          <w:sz w:val="22"/>
          <w:szCs w:val="22"/>
        </w:rPr>
        <w:t>.</w:t>
      </w:r>
      <w:r w:rsidRPr="00954FF2">
        <w:rPr>
          <w:rFonts w:ascii="Calibri" w:hAnsi="Calibri" w:cs="Calibri"/>
          <w:sz w:val="22"/>
          <w:szCs w:val="22"/>
        </w:rPr>
        <w:t xml:space="preserve"> In addition to this, persons administering the GMO must also wear a P2 facemask or equivalent </w:t>
      </w:r>
      <w:proofErr w:type="gramStart"/>
      <w:r w:rsidRPr="00954FF2">
        <w:rPr>
          <w:rFonts w:ascii="Calibri" w:hAnsi="Calibri" w:cs="Calibri"/>
          <w:sz w:val="22"/>
          <w:szCs w:val="22"/>
        </w:rPr>
        <w:t>facemask;</w:t>
      </w:r>
      <w:proofErr w:type="gramEnd"/>
    </w:p>
    <w:p w14:paraId="23F2CE40" w14:textId="7325B9F4" w:rsidR="00EC45A5" w:rsidRDefault="00EC45A5" w:rsidP="00EC45A5">
      <w:pPr>
        <w:pStyle w:val="ConditionLevel2"/>
        <w:numPr>
          <w:ilvl w:val="0"/>
          <w:numId w:val="75"/>
        </w:numPr>
        <w:rPr>
          <w:rFonts w:ascii="Calibri" w:hAnsi="Calibri" w:cs="Calibri"/>
          <w:sz w:val="22"/>
          <w:szCs w:val="22"/>
        </w:rPr>
      </w:pPr>
      <w:r w:rsidRPr="00954FF2">
        <w:rPr>
          <w:rFonts w:ascii="Calibri" w:hAnsi="Calibri" w:cs="Calibri"/>
          <w:sz w:val="22"/>
          <w:szCs w:val="22"/>
        </w:rPr>
        <w:t xml:space="preserve">persons preparing or administering the GMO must be informed of the risks associated with the GMO (including risks </w:t>
      </w:r>
      <w:r w:rsidRPr="009D366E">
        <w:rPr>
          <w:rFonts w:ascii="Calibri" w:hAnsi="Calibri" w:cs="Calibri"/>
          <w:sz w:val="22"/>
          <w:szCs w:val="22"/>
        </w:rPr>
        <w:t xml:space="preserve">in people suffering from </w:t>
      </w:r>
      <w:r w:rsidR="00E208BA">
        <w:rPr>
          <w:rFonts w:ascii="Calibri" w:hAnsi="Calibri" w:cs="Calibri"/>
          <w:sz w:val="22"/>
          <w:szCs w:val="22"/>
        </w:rPr>
        <w:t xml:space="preserve">an </w:t>
      </w:r>
      <w:r w:rsidRPr="009D366E">
        <w:rPr>
          <w:rFonts w:ascii="Calibri" w:hAnsi="Calibri" w:cs="Calibri"/>
          <w:sz w:val="22"/>
          <w:szCs w:val="22"/>
        </w:rPr>
        <w:t>Immunosuppressive disorder</w:t>
      </w:r>
      <w:r w:rsidRPr="00954FF2">
        <w:rPr>
          <w:rFonts w:ascii="Calibri" w:hAnsi="Calibri" w:cs="Calibri"/>
          <w:sz w:val="22"/>
          <w:szCs w:val="22"/>
        </w:rPr>
        <w:t xml:space="preserve"> or </w:t>
      </w:r>
      <w:r w:rsidRPr="00954FF2">
        <w:rPr>
          <w:rFonts w:ascii="Calibri" w:hAnsi="Calibri" w:cs="Calibri"/>
          <w:sz w:val="22"/>
          <w:szCs w:val="22"/>
        </w:rPr>
        <w:lastRenderedPageBreak/>
        <w:t xml:space="preserve">pregnant individuals) and have provided a signed statement to that effect in accordance with Condition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_Ref216862428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19</w:t>
      </w:r>
      <w:r w:rsidRPr="00954FF2">
        <w:rPr>
          <w:rFonts w:ascii="Calibri" w:hAnsi="Calibri" w:cs="Calibri"/>
          <w:sz w:val="22"/>
          <w:szCs w:val="22"/>
        </w:rPr>
        <w:fldChar w:fldCharType="end"/>
      </w:r>
      <w:r w:rsidRPr="00954FF2">
        <w:rPr>
          <w:rFonts w:ascii="Calibri" w:hAnsi="Calibri" w:cs="Calibri"/>
          <w:sz w:val="22"/>
          <w:szCs w:val="22"/>
        </w:rPr>
        <w:t xml:space="preserve">; </w:t>
      </w:r>
    </w:p>
    <w:p w14:paraId="5C85E655" w14:textId="478A7684" w:rsidR="00871412" w:rsidRPr="00954FF2" w:rsidRDefault="00871412" w:rsidP="00EC45A5">
      <w:pPr>
        <w:pStyle w:val="ConditionLevel2"/>
        <w:numPr>
          <w:ilvl w:val="0"/>
          <w:numId w:val="75"/>
        </w:numPr>
        <w:rPr>
          <w:rFonts w:ascii="Calibri" w:hAnsi="Calibri" w:cs="Calibri"/>
          <w:sz w:val="22"/>
          <w:szCs w:val="22"/>
        </w:rPr>
      </w:pPr>
      <w:r w:rsidRPr="00871412">
        <w:rPr>
          <w:rFonts w:ascii="Calibri" w:hAnsi="Calibri" w:cs="Calibri"/>
          <w:sz w:val="22"/>
          <w:szCs w:val="22"/>
        </w:rPr>
        <w:t xml:space="preserve">any broken skin (e.g. cuts, scratches, dermatitis) of persons conducting dealings not covered by PPE or clothing must be covered with a waterproof </w:t>
      </w:r>
      <w:proofErr w:type="gramStart"/>
      <w:r w:rsidRPr="00871412">
        <w:rPr>
          <w:rFonts w:ascii="Calibri" w:hAnsi="Calibri" w:cs="Calibri"/>
          <w:sz w:val="22"/>
          <w:szCs w:val="22"/>
        </w:rPr>
        <w:t>dressing</w:t>
      </w:r>
      <w:r>
        <w:rPr>
          <w:rFonts w:ascii="Calibri" w:hAnsi="Calibri" w:cs="Calibri"/>
          <w:sz w:val="22"/>
          <w:szCs w:val="22"/>
        </w:rPr>
        <w:t>;</w:t>
      </w:r>
      <w:proofErr w:type="gramEnd"/>
    </w:p>
    <w:p w14:paraId="34DF2359" w14:textId="77777777" w:rsidR="00EC45A5" w:rsidRPr="00954FF2" w:rsidRDefault="00EC45A5" w:rsidP="00EC45A5">
      <w:pPr>
        <w:pStyle w:val="ConditionLevel2"/>
        <w:numPr>
          <w:ilvl w:val="0"/>
          <w:numId w:val="75"/>
        </w:numPr>
        <w:rPr>
          <w:rFonts w:ascii="Calibri" w:hAnsi="Calibri" w:cs="Calibri"/>
          <w:sz w:val="22"/>
          <w:szCs w:val="22"/>
        </w:rPr>
      </w:pPr>
      <w:r w:rsidRPr="00954FF2">
        <w:rPr>
          <w:rFonts w:ascii="Calibri" w:hAnsi="Calibri" w:cs="Calibri"/>
          <w:sz w:val="22"/>
          <w:szCs w:val="22"/>
        </w:rPr>
        <w:t xml:space="preserve">all work surfaces must be decontaminated after they have been used for conducting dealings authorised by this </w:t>
      </w:r>
      <w:proofErr w:type="gramStart"/>
      <w:r w:rsidRPr="00954FF2">
        <w:rPr>
          <w:rFonts w:ascii="Calibri" w:hAnsi="Calibri" w:cs="Calibri"/>
          <w:sz w:val="22"/>
          <w:szCs w:val="22"/>
        </w:rPr>
        <w:t>licence;</w:t>
      </w:r>
      <w:proofErr w:type="gramEnd"/>
    </w:p>
    <w:p w14:paraId="6F5BECB7" w14:textId="77777777" w:rsidR="00EC45A5" w:rsidRPr="00954FF2" w:rsidRDefault="00EC45A5" w:rsidP="00EC45A5">
      <w:pPr>
        <w:pStyle w:val="ConditionLevel2"/>
        <w:numPr>
          <w:ilvl w:val="0"/>
          <w:numId w:val="75"/>
        </w:numPr>
        <w:rPr>
          <w:rFonts w:ascii="Calibri" w:hAnsi="Calibri" w:cs="Calibri"/>
          <w:sz w:val="22"/>
          <w:szCs w:val="22"/>
        </w:rPr>
      </w:pPr>
      <w:r w:rsidRPr="00954FF2">
        <w:rPr>
          <w:rFonts w:ascii="Calibri" w:hAnsi="Calibri" w:cs="Calibri"/>
          <w:sz w:val="22"/>
          <w:szCs w:val="22"/>
        </w:rPr>
        <w:t xml:space="preserve">equipment used for dealings with the GMO must be decontaminated after </w:t>
      </w:r>
      <w:proofErr w:type="gramStart"/>
      <w:r w:rsidRPr="00954FF2">
        <w:rPr>
          <w:rFonts w:ascii="Calibri" w:hAnsi="Calibri" w:cs="Calibri"/>
          <w:sz w:val="22"/>
          <w:szCs w:val="22"/>
        </w:rPr>
        <w:t>use;</w:t>
      </w:r>
      <w:proofErr w:type="gramEnd"/>
      <w:r w:rsidRPr="00954FF2">
        <w:rPr>
          <w:rFonts w:ascii="Calibri" w:hAnsi="Calibri" w:cs="Calibri"/>
          <w:sz w:val="22"/>
          <w:szCs w:val="22"/>
        </w:rPr>
        <w:t xml:space="preserve"> </w:t>
      </w:r>
    </w:p>
    <w:p w14:paraId="34950B16" w14:textId="7A30718F" w:rsidR="00EC45A5" w:rsidRPr="00954FF2" w:rsidRDefault="00EC45A5" w:rsidP="00EC45A5">
      <w:pPr>
        <w:pStyle w:val="ConditionLevel2"/>
        <w:numPr>
          <w:ilvl w:val="0"/>
          <w:numId w:val="75"/>
        </w:numPr>
        <w:rPr>
          <w:rFonts w:ascii="Calibri" w:hAnsi="Calibri" w:cs="Calibri"/>
          <w:sz w:val="22"/>
          <w:szCs w:val="22"/>
        </w:rPr>
      </w:pPr>
      <w:r w:rsidRPr="00954FF2">
        <w:rPr>
          <w:rFonts w:ascii="Calibri" w:hAnsi="Calibri" w:cs="Calibri"/>
          <w:sz w:val="22"/>
          <w:szCs w:val="22"/>
        </w:rPr>
        <w:t>preparation and administration of the GMO must be conducted by suitably qualified and trained staff</w:t>
      </w:r>
      <w:r w:rsidR="00C01875">
        <w:rPr>
          <w:rFonts w:ascii="Calibri" w:hAnsi="Calibri" w:cs="Calibri"/>
          <w:sz w:val="22"/>
          <w:szCs w:val="22"/>
        </w:rPr>
        <w:t>.</w:t>
      </w:r>
    </w:p>
    <w:p w14:paraId="54D72654" w14:textId="77777777" w:rsidR="00EC45A5" w:rsidRPr="00954FF2" w:rsidRDefault="00EC45A5" w:rsidP="005B4CC0">
      <w:pPr>
        <w:pStyle w:val="Head3-subsubheading"/>
        <w:rPr>
          <w:rFonts w:ascii="Calibri" w:hAnsi="Calibri" w:cs="Calibri"/>
          <w:sz w:val="22"/>
          <w:szCs w:val="22"/>
        </w:rPr>
      </w:pPr>
      <w:r w:rsidRPr="00954FF2">
        <w:rPr>
          <w:rFonts w:ascii="Calibri" w:hAnsi="Calibri" w:cs="Calibri"/>
          <w:sz w:val="22"/>
          <w:szCs w:val="22"/>
        </w:rPr>
        <w:t>Transport, storage and disposal of the GMO</w:t>
      </w:r>
    </w:p>
    <w:p w14:paraId="5CE64E76" w14:textId="77777777" w:rsidR="00EC45A5" w:rsidRPr="00954FF2" w:rsidRDefault="00EC45A5" w:rsidP="00EC45A5">
      <w:pPr>
        <w:pStyle w:val="RARMPnumberedparagraphs"/>
        <w:rPr>
          <w:rFonts w:cs="Calibri"/>
          <w:szCs w:val="22"/>
        </w:rPr>
      </w:pPr>
      <w:r w:rsidRPr="00954FF2">
        <w:rPr>
          <w:rFonts w:cs="Calibri"/>
          <w:szCs w:val="22"/>
        </w:rPr>
        <w:t xml:space="preserve">Unless covered by an NLRD, the licence holder must ensure that transport of the GMO is conducted only for the purposes of, or </w:t>
      </w:r>
      <w:proofErr w:type="gramStart"/>
      <w:r w:rsidRPr="00954FF2">
        <w:rPr>
          <w:rFonts w:cs="Calibri"/>
          <w:szCs w:val="22"/>
        </w:rPr>
        <w:t>in the course of</w:t>
      </w:r>
      <w:proofErr w:type="gramEnd"/>
      <w:r w:rsidRPr="00954FF2">
        <w:rPr>
          <w:rFonts w:cs="Calibri"/>
          <w:szCs w:val="22"/>
        </w:rPr>
        <w:t>, another dealing permitted by this licence.</w:t>
      </w:r>
    </w:p>
    <w:p w14:paraId="757BE6F8" w14:textId="1D9668DE" w:rsidR="00EC45A5" w:rsidRPr="00954FF2" w:rsidRDefault="00EC45A5" w:rsidP="00EC45A5">
      <w:pPr>
        <w:pStyle w:val="RARMPnumberedparagraphs"/>
        <w:rPr>
          <w:rFonts w:cs="Calibri"/>
          <w:szCs w:val="22"/>
        </w:rPr>
      </w:pPr>
      <w:bookmarkStart w:id="449" w:name="_Ref216862329"/>
      <w:r w:rsidRPr="00954FF2">
        <w:rPr>
          <w:rFonts w:cs="Calibri"/>
          <w:szCs w:val="22"/>
        </w:rPr>
        <w:t>The licence holder must ensure that transport and storage of the GMO follow these sub-conditions:</w:t>
      </w:r>
      <w:bookmarkEnd w:id="449"/>
    </w:p>
    <w:p w14:paraId="2D58B454" w14:textId="77777777" w:rsidR="00EC45A5" w:rsidRPr="00954FF2" w:rsidRDefault="00EC45A5" w:rsidP="00EC45A5">
      <w:pPr>
        <w:pStyle w:val="ConditionLevel2"/>
        <w:numPr>
          <w:ilvl w:val="0"/>
          <w:numId w:val="81"/>
        </w:numPr>
        <w:rPr>
          <w:rFonts w:ascii="Calibri" w:hAnsi="Calibri" w:cs="Calibri"/>
          <w:sz w:val="22"/>
          <w:szCs w:val="22"/>
        </w:rPr>
      </w:pPr>
      <w:bookmarkStart w:id="450" w:name="_Ref216862341"/>
      <w:r w:rsidRPr="00954FF2">
        <w:rPr>
          <w:rFonts w:ascii="Calibri" w:hAnsi="Calibri" w:cs="Calibri"/>
          <w:sz w:val="22"/>
          <w:szCs w:val="22"/>
        </w:rPr>
        <w:t>The GMO must be contained within sealed, unbreakable primary and secondary containers, with the outer packaging labelled to indicate at least:</w:t>
      </w:r>
      <w:bookmarkEnd w:id="450"/>
    </w:p>
    <w:p w14:paraId="3F0AB449" w14:textId="77777777" w:rsidR="00EC45A5" w:rsidRPr="00954FF2" w:rsidRDefault="00EC45A5" w:rsidP="00EC45A5">
      <w:pPr>
        <w:pStyle w:val="ConditionLevel3"/>
        <w:numPr>
          <w:ilvl w:val="2"/>
          <w:numId w:val="58"/>
        </w:numPr>
        <w:rPr>
          <w:rFonts w:ascii="Calibri" w:hAnsi="Calibri" w:cs="Calibri"/>
          <w:sz w:val="22"/>
          <w:szCs w:val="22"/>
        </w:rPr>
      </w:pPr>
      <w:r w:rsidRPr="00954FF2">
        <w:rPr>
          <w:rFonts w:ascii="Calibri" w:hAnsi="Calibri" w:cs="Calibri"/>
          <w:sz w:val="22"/>
          <w:szCs w:val="22"/>
        </w:rPr>
        <w:t>that it contains GMOs; and</w:t>
      </w:r>
    </w:p>
    <w:p w14:paraId="18B33016" w14:textId="77777777" w:rsidR="00EC45A5" w:rsidRPr="00954FF2" w:rsidRDefault="00EC45A5" w:rsidP="00EC45A5">
      <w:pPr>
        <w:pStyle w:val="ConditionLevel3"/>
        <w:rPr>
          <w:rFonts w:ascii="Calibri" w:hAnsi="Calibri" w:cs="Calibri"/>
          <w:sz w:val="22"/>
          <w:szCs w:val="22"/>
        </w:rPr>
      </w:pPr>
      <w:r w:rsidRPr="00954FF2">
        <w:rPr>
          <w:rFonts w:ascii="Calibri" w:hAnsi="Calibri" w:cs="Calibri"/>
          <w:sz w:val="22"/>
          <w:szCs w:val="22"/>
        </w:rPr>
        <w:t>that it contains biohazardous material as designated by a biohazard label; and</w:t>
      </w:r>
    </w:p>
    <w:p w14:paraId="2D486E1F" w14:textId="77777777" w:rsidR="00EC45A5" w:rsidRPr="00954FF2" w:rsidRDefault="00EC45A5" w:rsidP="00EC45A5">
      <w:pPr>
        <w:pStyle w:val="ConditionLevel3"/>
        <w:rPr>
          <w:rFonts w:ascii="Calibri" w:hAnsi="Calibri" w:cs="Calibri"/>
          <w:sz w:val="22"/>
          <w:szCs w:val="22"/>
        </w:rPr>
      </w:pPr>
      <w:bookmarkStart w:id="451" w:name="_Ref216863267"/>
      <w:r w:rsidRPr="00954FF2">
        <w:rPr>
          <w:rFonts w:ascii="Calibri" w:hAnsi="Calibri" w:cs="Calibri"/>
          <w:sz w:val="22"/>
          <w:szCs w:val="22"/>
        </w:rPr>
        <w:t>the contact details for the licence holder; and</w:t>
      </w:r>
      <w:bookmarkEnd w:id="451"/>
    </w:p>
    <w:p w14:paraId="4EB56298" w14:textId="77777777" w:rsidR="00EC45A5" w:rsidRPr="00954FF2" w:rsidRDefault="00EC45A5" w:rsidP="00EC45A5">
      <w:pPr>
        <w:pStyle w:val="ConditionLevel3"/>
        <w:rPr>
          <w:rFonts w:ascii="Calibri" w:hAnsi="Calibri" w:cs="Calibri"/>
          <w:sz w:val="22"/>
          <w:szCs w:val="22"/>
        </w:rPr>
      </w:pPr>
      <w:bookmarkStart w:id="452" w:name="_Ref216863281"/>
      <w:r w:rsidRPr="00954FF2">
        <w:rPr>
          <w:rFonts w:ascii="Calibri" w:hAnsi="Calibri" w:cs="Calibri"/>
          <w:sz w:val="22"/>
          <w:szCs w:val="22"/>
        </w:rPr>
        <w:t>instructions to notify the licence holder in case of loss or spill of the GMO; and</w:t>
      </w:r>
      <w:bookmarkEnd w:id="452"/>
    </w:p>
    <w:p w14:paraId="1F943810" w14:textId="77777777" w:rsidR="00EC45A5" w:rsidRPr="00954FF2" w:rsidRDefault="00EC45A5" w:rsidP="00EC45A5">
      <w:pPr>
        <w:pStyle w:val="ConditionLevel3"/>
        <w:numPr>
          <w:ilvl w:val="1"/>
          <w:numId w:val="54"/>
        </w:numPr>
        <w:rPr>
          <w:rFonts w:ascii="Calibri" w:hAnsi="Calibri" w:cs="Calibri"/>
          <w:sz w:val="22"/>
          <w:szCs w:val="22"/>
        </w:rPr>
      </w:pPr>
      <w:r w:rsidRPr="00954FF2">
        <w:rPr>
          <w:rFonts w:ascii="Calibri" w:hAnsi="Calibri" w:cs="Calibri"/>
          <w:sz w:val="22"/>
          <w:szCs w:val="22"/>
        </w:rPr>
        <w:t>the external surface of the primary and secondary containers must be decontaminated prior to and after transport; and</w:t>
      </w:r>
    </w:p>
    <w:p w14:paraId="1437854C" w14:textId="461447E1" w:rsidR="00EC45A5" w:rsidRPr="00954FF2" w:rsidRDefault="00EC45A5" w:rsidP="00EC45A5">
      <w:pPr>
        <w:pStyle w:val="ConditionLevel3"/>
        <w:numPr>
          <w:ilvl w:val="1"/>
          <w:numId w:val="54"/>
        </w:numPr>
        <w:rPr>
          <w:rFonts w:ascii="Calibri" w:hAnsi="Calibri" w:cs="Calibri"/>
          <w:sz w:val="22"/>
          <w:szCs w:val="22"/>
        </w:rPr>
      </w:pPr>
      <w:bookmarkStart w:id="453" w:name="_Ref216863302"/>
      <w:r w:rsidRPr="00954FF2">
        <w:rPr>
          <w:rFonts w:ascii="Calibri" w:hAnsi="Calibri" w:cs="Calibri"/>
          <w:sz w:val="22"/>
          <w:szCs w:val="22"/>
        </w:rPr>
        <w:t xml:space="preserve">procedures must be in place to ensure that </w:t>
      </w:r>
      <w:r w:rsidR="00C01875">
        <w:rPr>
          <w:rFonts w:ascii="Calibri" w:hAnsi="Calibri" w:cs="Calibri"/>
          <w:sz w:val="22"/>
          <w:szCs w:val="22"/>
        </w:rPr>
        <w:t xml:space="preserve">the </w:t>
      </w:r>
      <w:r w:rsidRPr="00954FF2">
        <w:rPr>
          <w:rFonts w:ascii="Calibri" w:hAnsi="Calibri" w:cs="Calibri"/>
          <w:sz w:val="22"/>
          <w:szCs w:val="22"/>
        </w:rPr>
        <w:t>GMO can be accounted for and that a loss of GMOs during transport or storage or failure of delivery can be detected; and</w:t>
      </w:r>
      <w:bookmarkEnd w:id="453"/>
    </w:p>
    <w:p w14:paraId="31017307" w14:textId="572DB409" w:rsidR="00EC45A5" w:rsidRPr="00954FF2" w:rsidRDefault="00EC45A5" w:rsidP="00EC45A5">
      <w:pPr>
        <w:pStyle w:val="ConditionLevel3"/>
        <w:numPr>
          <w:ilvl w:val="1"/>
          <w:numId w:val="54"/>
        </w:numPr>
        <w:rPr>
          <w:rFonts w:ascii="Calibri" w:hAnsi="Calibri" w:cs="Calibri"/>
          <w:sz w:val="22"/>
          <w:szCs w:val="22"/>
        </w:rPr>
      </w:pPr>
      <w:r w:rsidRPr="00954FF2">
        <w:rPr>
          <w:rFonts w:ascii="Calibri" w:hAnsi="Calibri" w:cs="Calibri"/>
          <w:sz w:val="22"/>
          <w:szCs w:val="22"/>
        </w:rPr>
        <w:t xml:space="preserve">access to the GMO is restricted to authorised persons for whom Condition </w:t>
      </w:r>
      <w:r w:rsidRPr="00954FF2">
        <w:rPr>
          <w:rFonts w:ascii="Calibri" w:hAnsi="Calibri" w:cs="Calibri"/>
          <w:sz w:val="22"/>
          <w:szCs w:val="22"/>
        </w:rPr>
        <w:fldChar w:fldCharType="begin"/>
      </w:r>
      <w:r w:rsidRPr="00954FF2">
        <w:rPr>
          <w:rFonts w:ascii="Calibri" w:hAnsi="Calibri" w:cs="Calibri"/>
          <w:sz w:val="22"/>
          <w:szCs w:val="22"/>
        </w:rPr>
        <w:instrText xml:space="preserve"> REF _Ref36205282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18</w:t>
      </w:r>
      <w:r w:rsidRPr="00954FF2">
        <w:rPr>
          <w:rFonts w:ascii="Calibri" w:hAnsi="Calibri" w:cs="Calibri"/>
          <w:sz w:val="22"/>
          <w:szCs w:val="22"/>
        </w:rPr>
        <w:fldChar w:fldCharType="end"/>
      </w:r>
      <w:r w:rsidRPr="00954FF2">
        <w:rPr>
          <w:rFonts w:ascii="Calibri" w:hAnsi="Calibri" w:cs="Calibri"/>
          <w:sz w:val="22"/>
          <w:szCs w:val="22"/>
        </w:rPr>
        <w:t xml:space="preserve"> or Condition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_Ref216862428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19</w:t>
      </w:r>
      <w:r w:rsidRPr="00954FF2">
        <w:rPr>
          <w:rFonts w:ascii="Calibri" w:hAnsi="Calibri" w:cs="Calibri"/>
          <w:sz w:val="22"/>
          <w:szCs w:val="22"/>
        </w:rPr>
        <w:fldChar w:fldCharType="end"/>
      </w:r>
      <w:r w:rsidRPr="00954FF2">
        <w:rPr>
          <w:rFonts w:ascii="Calibri" w:hAnsi="Calibri" w:cs="Calibri"/>
          <w:sz w:val="22"/>
          <w:szCs w:val="22"/>
        </w:rPr>
        <w:t xml:space="preserve"> has been met (i.e. the GMO is within a locked unit or an area which has restricted access). This includes situations where containers are left for collection in a holding area, or left unattended prior to Decontamination; and</w:t>
      </w:r>
    </w:p>
    <w:p w14:paraId="1FA692C9" w14:textId="77777777" w:rsidR="00EC45A5" w:rsidRPr="00954FF2" w:rsidRDefault="00EC45A5" w:rsidP="00C01875">
      <w:pPr>
        <w:pStyle w:val="Notes"/>
        <w:shd w:val="clear" w:color="auto" w:fill="D9D9D9" w:themeFill="background1" w:themeFillShade="D9"/>
        <w:ind w:left="1134"/>
        <w:rPr>
          <w:rFonts w:cs="Calibri"/>
          <w:szCs w:val="22"/>
        </w:rPr>
      </w:pPr>
      <w:r w:rsidRPr="00954FF2">
        <w:rPr>
          <w:rFonts w:cs="Calibri"/>
          <w:szCs w:val="22"/>
        </w:rPr>
        <w:t>Note: All stored GMOs remain the responsibility of the licence holder.</w:t>
      </w:r>
    </w:p>
    <w:p w14:paraId="5459E82F" w14:textId="77777777" w:rsidR="00EC45A5" w:rsidRPr="00954FF2" w:rsidRDefault="00EC45A5" w:rsidP="00EC45A5">
      <w:pPr>
        <w:pStyle w:val="ConditionLevel3"/>
        <w:numPr>
          <w:ilvl w:val="1"/>
          <w:numId w:val="54"/>
        </w:numPr>
        <w:rPr>
          <w:rFonts w:ascii="Calibri" w:hAnsi="Calibri" w:cs="Calibri"/>
          <w:sz w:val="22"/>
          <w:szCs w:val="22"/>
        </w:rPr>
      </w:pPr>
      <w:r w:rsidRPr="00954FF2">
        <w:rPr>
          <w:rFonts w:ascii="Calibri" w:hAnsi="Calibri" w:cs="Calibri"/>
          <w:sz w:val="22"/>
          <w:szCs w:val="22"/>
        </w:rPr>
        <w:t xml:space="preserve">if the GMO is being transported or stored with a coolant (e.g. dry ice, liquid nitrogen or any other coolant) which will release a gas, a mechanism to allow the escape of the gas must be included. If water ice is used as a </w:t>
      </w:r>
      <w:proofErr w:type="gramStart"/>
      <w:r w:rsidRPr="00954FF2">
        <w:rPr>
          <w:rFonts w:ascii="Calibri" w:hAnsi="Calibri" w:cs="Calibri"/>
          <w:sz w:val="22"/>
          <w:szCs w:val="22"/>
        </w:rPr>
        <w:t>coolant</w:t>
      </w:r>
      <w:proofErr w:type="gramEnd"/>
      <w:r w:rsidRPr="00954FF2">
        <w:rPr>
          <w:rFonts w:ascii="Calibri" w:hAnsi="Calibri" w:cs="Calibri"/>
          <w:sz w:val="22"/>
          <w:szCs w:val="22"/>
        </w:rPr>
        <w:t xml:space="preserve"> then the outer packaging should be constructed </w:t>
      </w:r>
      <w:proofErr w:type="gramStart"/>
      <w:r w:rsidRPr="00954FF2">
        <w:rPr>
          <w:rFonts w:ascii="Calibri" w:hAnsi="Calibri" w:cs="Calibri"/>
          <w:sz w:val="22"/>
          <w:szCs w:val="22"/>
        </w:rPr>
        <w:t>so as to</w:t>
      </w:r>
      <w:proofErr w:type="gramEnd"/>
      <w:r w:rsidRPr="00954FF2">
        <w:rPr>
          <w:rFonts w:ascii="Calibri" w:hAnsi="Calibri" w:cs="Calibri"/>
          <w:sz w:val="22"/>
          <w:szCs w:val="22"/>
        </w:rPr>
        <w:t xml:space="preserve"> prevent any leakage. All containers must be able to withstand the temperatures to which they will be subjected; and </w:t>
      </w:r>
    </w:p>
    <w:p w14:paraId="182D31A3" w14:textId="77777777" w:rsidR="00EC45A5" w:rsidRPr="00954FF2" w:rsidRDefault="00EC45A5" w:rsidP="00EC45A5">
      <w:pPr>
        <w:pStyle w:val="ConditionLevel3"/>
        <w:numPr>
          <w:ilvl w:val="0"/>
          <w:numId w:val="0"/>
        </w:numPr>
        <w:shd w:val="clear" w:color="auto" w:fill="D9D9D9" w:themeFill="background1" w:themeFillShade="D9"/>
        <w:ind w:left="1134"/>
        <w:rPr>
          <w:rFonts w:ascii="Calibri" w:hAnsi="Calibri" w:cs="Calibri"/>
          <w:i/>
          <w:iCs/>
          <w:sz w:val="22"/>
          <w:szCs w:val="22"/>
        </w:rPr>
      </w:pPr>
      <w:r w:rsidRPr="00954FF2">
        <w:rPr>
          <w:rFonts w:ascii="Calibri" w:hAnsi="Calibri" w:cs="Calibri"/>
          <w:i/>
          <w:iCs/>
          <w:sz w:val="22"/>
          <w:szCs w:val="22"/>
        </w:rPr>
        <w:t>Note: When transporting and storing with coolants, it is preferable for coolants to be used outside of the secondary container.</w:t>
      </w:r>
    </w:p>
    <w:p w14:paraId="18D5F689" w14:textId="77777777" w:rsidR="00EC45A5" w:rsidRPr="00954FF2" w:rsidRDefault="00EC45A5" w:rsidP="00EC45A5">
      <w:pPr>
        <w:pStyle w:val="ConditionLevel3"/>
        <w:numPr>
          <w:ilvl w:val="1"/>
          <w:numId w:val="54"/>
        </w:numPr>
        <w:rPr>
          <w:rFonts w:ascii="Calibri" w:hAnsi="Calibri" w:cs="Calibri"/>
          <w:sz w:val="22"/>
          <w:szCs w:val="22"/>
        </w:rPr>
      </w:pPr>
      <w:bookmarkStart w:id="454" w:name="_Ref219301959"/>
      <w:r w:rsidRPr="00954FF2">
        <w:rPr>
          <w:rFonts w:ascii="Calibri" w:hAnsi="Calibri" w:cs="Calibri"/>
          <w:sz w:val="22"/>
          <w:szCs w:val="22"/>
        </w:rPr>
        <w:t>a consolidated record of all GMOs being stored under this condition is maintained and made available to the Regulator upon request; and</w:t>
      </w:r>
      <w:bookmarkEnd w:id="454"/>
    </w:p>
    <w:p w14:paraId="635FA1B6" w14:textId="03679153" w:rsidR="00EC45A5" w:rsidRPr="00954FF2" w:rsidRDefault="00EC45A5" w:rsidP="00EC45A5">
      <w:pPr>
        <w:pStyle w:val="ConditionLevel3"/>
        <w:numPr>
          <w:ilvl w:val="1"/>
          <w:numId w:val="54"/>
        </w:numPr>
        <w:rPr>
          <w:rFonts w:ascii="Calibri" w:hAnsi="Calibri" w:cs="Calibri"/>
          <w:sz w:val="22"/>
          <w:szCs w:val="22"/>
        </w:rPr>
      </w:pPr>
      <w:r w:rsidRPr="00954FF2">
        <w:rPr>
          <w:rFonts w:ascii="Calibri" w:hAnsi="Calibri" w:cs="Calibri"/>
          <w:sz w:val="22"/>
          <w:szCs w:val="22"/>
        </w:rPr>
        <w:t xml:space="preserve">for the purposes of transport entirely within a building, where the GMO is accompanied by an authorised person for whom Condition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_Ref216862428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19</w:t>
      </w:r>
      <w:r w:rsidRPr="00954FF2">
        <w:rPr>
          <w:rFonts w:ascii="Calibri" w:hAnsi="Calibri" w:cs="Calibri"/>
          <w:sz w:val="22"/>
          <w:szCs w:val="22"/>
        </w:rPr>
        <w:fldChar w:fldCharType="end"/>
      </w:r>
      <w:r w:rsidRPr="00954FF2">
        <w:rPr>
          <w:rFonts w:ascii="Calibri" w:hAnsi="Calibri" w:cs="Calibri"/>
          <w:sz w:val="22"/>
          <w:szCs w:val="22"/>
        </w:rPr>
        <w:t xml:space="preserve"> has been met, Conditions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_Ref216862329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35</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_Ref216862341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(a)</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_Ref216863267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iii)</w:t>
      </w:r>
      <w:r w:rsidRPr="00954FF2">
        <w:rPr>
          <w:rFonts w:ascii="Calibri" w:hAnsi="Calibri" w:cs="Calibri"/>
          <w:sz w:val="22"/>
          <w:szCs w:val="22"/>
        </w:rPr>
        <w:fldChar w:fldCharType="end"/>
      </w:r>
      <w:r w:rsidRPr="00954FF2">
        <w:rPr>
          <w:rFonts w:ascii="Calibri" w:hAnsi="Calibri" w:cs="Calibri"/>
          <w:sz w:val="22"/>
          <w:szCs w:val="22"/>
        </w:rPr>
        <w:t xml:space="preserve">,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_Ref216862329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35</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_Ref216862341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(a)</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_Ref216863281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iv)</w:t>
      </w:r>
      <w:r w:rsidRPr="00954FF2">
        <w:rPr>
          <w:rFonts w:ascii="Calibri" w:hAnsi="Calibri" w:cs="Calibri"/>
          <w:sz w:val="22"/>
          <w:szCs w:val="22"/>
        </w:rPr>
        <w:fldChar w:fldCharType="end"/>
      </w:r>
      <w:r w:rsidRPr="00954FF2">
        <w:rPr>
          <w:rFonts w:ascii="Calibri" w:hAnsi="Calibri" w:cs="Calibri"/>
          <w:sz w:val="22"/>
          <w:szCs w:val="22"/>
        </w:rPr>
        <w:t xml:space="preserve"> and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_Ref216862329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35</w:t>
      </w:r>
      <w:r w:rsidRPr="00954FF2">
        <w:rPr>
          <w:rFonts w:ascii="Calibri" w:hAnsi="Calibri" w:cs="Calibri"/>
          <w:sz w:val="22"/>
          <w:szCs w:val="22"/>
        </w:rPr>
        <w:fldChar w:fldCharType="end"/>
      </w:r>
      <w:r w:rsidRPr="00954FF2">
        <w:rPr>
          <w:rFonts w:ascii="Calibri" w:hAnsi="Calibri" w:cs="Calibri"/>
          <w:sz w:val="22"/>
          <w:szCs w:val="22"/>
        </w:rPr>
        <w:fldChar w:fldCharType="begin"/>
      </w:r>
      <w:r w:rsidRPr="00954FF2">
        <w:rPr>
          <w:rFonts w:ascii="Calibri" w:hAnsi="Calibri" w:cs="Calibri"/>
          <w:sz w:val="22"/>
          <w:szCs w:val="22"/>
        </w:rPr>
        <w:instrText xml:space="preserve"> REF _Ref216863302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(c)</w:t>
      </w:r>
      <w:r w:rsidRPr="00954FF2">
        <w:rPr>
          <w:rFonts w:ascii="Calibri" w:hAnsi="Calibri" w:cs="Calibri"/>
          <w:sz w:val="22"/>
          <w:szCs w:val="22"/>
        </w:rPr>
        <w:fldChar w:fldCharType="end"/>
      </w:r>
      <w:r w:rsidRPr="00954FF2">
        <w:rPr>
          <w:rFonts w:ascii="Calibri" w:hAnsi="Calibri" w:cs="Calibri"/>
          <w:sz w:val="22"/>
          <w:szCs w:val="22"/>
        </w:rPr>
        <w:t xml:space="preserve"> do not apply. </w:t>
      </w:r>
    </w:p>
    <w:p w14:paraId="66CBA8F1" w14:textId="77777777" w:rsidR="00EC45A5" w:rsidRPr="00954FF2" w:rsidRDefault="00EC45A5" w:rsidP="00EC45A5">
      <w:pPr>
        <w:pStyle w:val="RARMPnumberedparagraphs"/>
        <w:rPr>
          <w:rFonts w:cs="Calibri"/>
          <w:szCs w:val="22"/>
        </w:rPr>
      </w:pPr>
      <w:bookmarkStart w:id="455" w:name="_Ref66194556"/>
      <w:r w:rsidRPr="00954FF2">
        <w:rPr>
          <w:rFonts w:cs="Calibri"/>
          <w:szCs w:val="22"/>
        </w:rPr>
        <w:t>The licence holder must ensure that all GMOs and waste reasonably expected to contain the GMO are Decontaminated:</w:t>
      </w:r>
      <w:bookmarkEnd w:id="455"/>
    </w:p>
    <w:p w14:paraId="2E1D1FFC" w14:textId="01AE31C7" w:rsidR="00EC45A5" w:rsidRPr="00954FF2" w:rsidRDefault="00E208BA" w:rsidP="00EC45A5">
      <w:pPr>
        <w:pStyle w:val="ConditionLevel2"/>
        <w:numPr>
          <w:ilvl w:val="0"/>
          <w:numId w:val="91"/>
        </w:numPr>
        <w:rPr>
          <w:rFonts w:ascii="Calibri" w:hAnsi="Calibri" w:cs="Calibri"/>
          <w:sz w:val="22"/>
          <w:szCs w:val="22"/>
        </w:rPr>
      </w:pPr>
      <w:r>
        <w:rPr>
          <w:rFonts w:ascii="Calibri" w:hAnsi="Calibri" w:cs="Calibri"/>
          <w:sz w:val="22"/>
          <w:szCs w:val="22"/>
        </w:rPr>
        <w:t>p</w:t>
      </w:r>
      <w:r w:rsidR="00EC45A5" w:rsidRPr="00954FF2">
        <w:rPr>
          <w:rFonts w:ascii="Calibri" w:hAnsi="Calibri" w:cs="Calibri"/>
          <w:sz w:val="22"/>
          <w:szCs w:val="22"/>
        </w:rPr>
        <w:t>rior to disposal, unless the method of disposal is also a method of Decontamination; and</w:t>
      </w:r>
    </w:p>
    <w:p w14:paraId="2E60D8BF" w14:textId="12B84330" w:rsidR="00EC45A5" w:rsidRPr="00954FF2" w:rsidRDefault="00E208BA" w:rsidP="00EC45A5">
      <w:pPr>
        <w:pStyle w:val="ConditionLevel2"/>
        <w:rPr>
          <w:rFonts w:ascii="Calibri" w:hAnsi="Calibri" w:cs="Calibri"/>
          <w:sz w:val="22"/>
          <w:szCs w:val="22"/>
        </w:rPr>
      </w:pPr>
      <w:r>
        <w:rPr>
          <w:rFonts w:ascii="Calibri" w:hAnsi="Calibri" w:cs="Calibri"/>
          <w:sz w:val="22"/>
          <w:szCs w:val="22"/>
        </w:rPr>
        <w:lastRenderedPageBreak/>
        <w:t>b</w:t>
      </w:r>
      <w:r w:rsidR="00EC45A5" w:rsidRPr="00954FF2">
        <w:rPr>
          <w:rFonts w:ascii="Calibri" w:hAnsi="Calibri" w:cs="Calibri"/>
          <w:sz w:val="22"/>
          <w:szCs w:val="22"/>
        </w:rPr>
        <w:t>efore or upon suspension, cancellation or surrender of the licence, unless covered by another authorisation under the Act, or exported; and</w:t>
      </w:r>
    </w:p>
    <w:p w14:paraId="5467D4D4" w14:textId="41F63C24" w:rsidR="00EC45A5" w:rsidRPr="00954FF2" w:rsidRDefault="00E208BA" w:rsidP="00EC45A5">
      <w:pPr>
        <w:pStyle w:val="ConditionLevel2"/>
        <w:rPr>
          <w:rFonts w:ascii="Calibri" w:hAnsi="Calibri" w:cs="Calibri"/>
          <w:sz w:val="22"/>
          <w:szCs w:val="22"/>
        </w:rPr>
      </w:pPr>
      <w:r>
        <w:rPr>
          <w:rFonts w:ascii="Calibri" w:hAnsi="Calibri" w:cs="Calibri"/>
          <w:sz w:val="22"/>
          <w:szCs w:val="22"/>
        </w:rPr>
        <w:t>b</w:t>
      </w:r>
      <w:r w:rsidR="00EC45A5" w:rsidRPr="00954FF2">
        <w:rPr>
          <w:rFonts w:ascii="Calibri" w:hAnsi="Calibri" w:cs="Calibri"/>
          <w:sz w:val="22"/>
          <w:szCs w:val="22"/>
        </w:rPr>
        <w:t>y autoclaving, chemical treatment, high-temperature incineration or any other method approved in writing by the Regulator.</w:t>
      </w:r>
    </w:p>
    <w:p w14:paraId="2E5CA0C2" w14:textId="77777777" w:rsidR="00EC45A5" w:rsidRPr="00954FF2" w:rsidRDefault="00EC45A5" w:rsidP="00EC45A5">
      <w:pPr>
        <w:pStyle w:val="RARMPnumberedparagraphs"/>
        <w:rPr>
          <w:rFonts w:cs="Calibri"/>
          <w:szCs w:val="22"/>
        </w:rPr>
      </w:pPr>
      <w:r w:rsidRPr="00954FF2">
        <w:rPr>
          <w:rFonts w:cs="Calibri"/>
          <w:szCs w:val="22"/>
        </w:rPr>
        <w:t>Where transport is conducted by External service providers for the purposes of destruction, the licence holder must ensure that the GMO, or waste reasonably expected to contain the GMO, enters the clinical waste stream for Decontamination via autoclaving or high-temperature incineration.</w:t>
      </w:r>
    </w:p>
    <w:p w14:paraId="329000DA" w14:textId="77777777"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t>Note: In the event of a spill during transport by an External service provider, compliance with relevant State or Territory legislation and regulations to manage clinical or biohazardous spills is sufficient.</w:t>
      </w:r>
    </w:p>
    <w:p w14:paraId="597D84E2" w14:textId="77777777" w:rsidR="00EC45A5" w:rsidRPr="00954FF2" w:rsidRDefault="00EC45A5" w:rsidP="005B4CC0">
      <w:pPr>
        <w:pStyle w:val="Head2-Subheading"/>
        <w:spacing w:after="120"/>
        <w:outlineLvl w:val="9"/>
        <w:rPr>
          <w:rFonts w:ascii="Calibri" w:hAnsi="Calibri" w:cs="Calibri"/>
          <w:sz w:val="22"/>
          <w:szCs w:val="22"/>
        </w:rPr>
      </w:pPr>
      <w:r w:rsidRPr="00954FF2">
        <w:rPr>
          <w:rFonts w:ascii="Calibri" w:hAnsi="Calibri" w:cs="Calibri"/>
          <w:sz w:val="22"/>
          <w:szCs w:val="22"/>
        </w:rPr>
        <w:t>Contingency plans</w:t>
      </w:r>
    </w:p>
    <w:p w14:paraId="3F5FBC33" w14:textId="77777777" w:rsidR="00EC45A5" w:rsidRPr="00954FF2" w:rsidRDefault="00EC45A5" w:rsidP="00EC45A5">
      <w:pPr>
        <w:pStyle w:val="RARMPnumberedparagraphs"/>
        <w:rPr>
          <w:rFonts w:cs="Calibri"/>
          <w:szCs w:val="22"/>
        </w:rPr>
      </w:pPr>
      <w:bookmarkStart w:id="456" w:name="_Ref29215656"/>
      <w:r w:rsidRPr="00954FF2">
        <w:rPr>
          <w:rFonts w:cs="Calibri"/>
          <w:szCs w:val="22"/>
        </w:rPr>
        <w:t>The licence holder must ensure that any person (other than a trial participant) exposed to the GMO is offered prompt medical advice. The clinician must be provided with any relevant information about the GMO.</w:t>
      </w:r>
      <w:bookmarkEnd w:id="456"/>
    </w:p>
    <w:p w14:paraId="56C3D228" w14:textId="77777777" w:rsidR="00EC45A5" w:rsidRPr="00954FF2" w:rsidRDefault="00EC45A5" w:rsidP="00EC45A5">
      <w:pPr>
        <w:pStyle w:val="RARMPnumberedparagraphs"/>
        <w:rPr>
          <w:rFonts w:cs="Calibri"/>
          <w:szCs w:val="22"/>
        </w:rPr>
      </w:pPr>
      <w:bookmarkStart w:id="457" w:name="_Ref466357660"/>
      <w:bookmarkStart w:id="458" w:name="_Ref33201549"/>
      <w:r w:rsidRPr="00954FF2">
        <w:rPr>
          <w:rFonts w:cs="Calibri"/>
          <w:szCs w:val="22"/>
        </w:rPr>
        <w:t>If there is a spill or an unintentional release of GMO at a Storage facility or Clinical trial site, the following measures must be implemented:</w:t>
      </w:r>
      <w:bookmarkEnd w:id="457"/>
      <w:bookmarkEnd w:id="458"/>
    </w:p>
    <w:p w14:paraId="31623C5F" w14:textId="77777777" w:rsidR="00EC45A5" w:rsidRPr="00954FF2" w:rsidRDefault="00EC45A5" w:rsidP="00EC45A5">
      <w:pPr>
        <w:pStyle w:val="ConditionLevel2"/>
        <w:numPr>
          <w:ilvl w:val="0"/>
          <w:numId w:val="83"/>
        </w:numPr>
        <w:rPr>
          <w:rFonts w:ascii="Calibri" w:hAnsi="Calibri" w:cs="Calibri"/>
          <w:sz w:val="22"/>
          <w:szCs w:val="22"/>
        </w:rPr>
      </w:pPr>
      <w:bookmarkStart w:id="459" w:name="_Ref33447110"/>
      <w:r w:rsidRPr="00954FF2">
        <w:rPr>
          <w:rFonts w:ascii="Calibri" w:hAnsi="Calibri" w:cs="Calibri"/>
          <w:sz w:val="22"/>
          <w:szCs w:val="22"/>
        </w:rPr>
        <w:t>the GMO must be contained to prevent further dispersal;</w:t>
      </w:r>
      <w:bookmarkEnd w:id="459"/>
      <w:r w:rsidRPr="00954FF2">
        <w:rPr>
          <w:rFonts w:ascii="Calibri" w:hAnsi="Calibri" w:cs="Calibri"/>
          <w:sz w:val="22"/>
          <w:szCs w:val="22"/>
        </w:rPr>
        <w:t xml:space="preserve"> and</w:t>
      </w:r>
    </w:p>
    <w:p w14:paraId="20B2DB4F" w14:textId="77777777" w:rsidR="00EC45A5" w:rsidRPr="00954FF2" w:rsidRDefault="00EC45A5" w:rsidP="00EC45A5">
      <w:pPr>
        <w:pStyle w:val="ConditionLevel2"/>
        <w:numPr>
          <w:ilvl w:val="0"/>
          <w:numId w:val="83"/>
        </w:numPr>
        <w:rPr>
          <w:rFonts w:ascii="Calibri" w:hAnsi="Calibri" w:cs="Calibri"/>
          <w:sz w:val="22"/>
          <w:szCs w:val="22"/>
        </w:rPr>
      </w:pPr>
      <w:r w:rsidRPr="00954FF2">
        <w:rPr>
          <w:rFonts w:ascii="Calibri" w:hAnsi="Calibri" w:cs="Calibri"/>
          <w:sz w:val="22"/>
          <w:szCs w:val="22"/>
        </w:rPr>
        <w:t>persons cleaning up the GMO must wear appropriate PPE; and</w:t>
      </w:r>
    </w:p>
    <w:p w14:paraId="08943487" w14:textId="77777777" w:rsidR="00EC45A5" w:rsidRPr="00954FF2" w:rsidRDefault="00EC45A5" w:rsidP="00EC45A5">
      <w:pPr>
        <w:pStyle w:val="ConditionLevel2"/>
        <w:rPr>
          <w:rFonts w:ascii="Calibri" w:hAnsi="Calibri" w:cs="Calibri"/>
          <w:sz w:val="22"/>
          <w:szCs w:val="22"/>
        </w:rPr>
      </w:pPr>
      <w:r w:rsidRPr="00954FF2">
        <w:rPr>
          <w:rFonts w:ascii="Calibri" w:hAnsi="Calibri" w:cs="Calibri"/>
          <w:sz w:val="22"/>
          <w:szCs w:val="22"/>
        </w:rPr>
        <w:t>the exposed area must be decontaminated with an appropriate chemical disinfectant effective against the GMO; and</w:t>
      </w:r>
    </w:p>
    <w:p w14:paraId="38AFD5D1" w14:textId="77777777" w:rsidR="00EC45A5" w:rsidRPr="00954FF2" w:rsidRDefault="00EC45A5" w:rsidP="00EC45A5">
      <w:pPr>
        <w:pStyle w:val="ConditionLevel2"/>
        <w:rPr>
          <w:rFonts w:ascii="Calibri" w:hAnsi="Calibri" w:cs="Calibri"/>
          <w:sz w:val="22"/>
          <w:szCs w:val="22"/>
        </w:rPr>
      </w:pPr>
      <w:r w:rsidRPr="00954FF2">
        <w:rPr>
          <w:rFonts w:ascii="Calibri" w:hAnsi="Calibri" w:cs="Calibri"/>
          <w:sz w:val="22"/>
          <w:szCs w:val="22"/>
        </w:rPr>
        <w:t>any material used to clean up the spill or PPE worn during clean-up of the spill must be Decontaminated; and</w:t>
      </w:r>
    </w:p>
    <w:p w14:paraId="4CAA844C" w14:textId="77777777" w:rsidR="00EC45A5" w:rsidRPr="00954FF2" w:rsidRDefault="00EC45A5" w:rsidP="00EC45A5">
      <w:pPr>
        <w:pStyle w:val="ConditionLevel2"/>
        <w:rPr>
          <w:rFonts w:ascii="Calibri" w:hAnsi="Calibri" w:cs="Calibri"/>
          <w:sz w:val="22"/>
          <w:szCs w:val="22"/>
        </w:rPr>
      </w:pPr>
      <w:r w:rsidRPr="00954FF2">
        <w:rPr>
          <w:rFonts w:ascii="Calibri" w:hAnsi="Calibri" w:cs="Calibri"/>
          <w:sz w:val="22"/>
          <w:szCs w:val="22"/>
        </w:rPr>
        <w:t>the licence holder must be notified as soon as reasonably possible.</w:t>
      </w:r>
    </w:p>
    <w:p w14:paraId="44A23B7D" w14:textId="77777777" w:rsidR="00EC45A5" w:rsidRPr="00954FF2" w:rsidRDefault="00EC45A5" w:rsidP="00EC45A5">
      <w:pPr>
        <w:pStyle w:val="Style2"/>
        <w:keepLines/>
        <w:widowControl w:val="0"/>
        <w:numPr>
          <w:ilvl w:val="1"/>
          <w:numId w:val="2"/>
        </w:numPr>
        <w:tabs>
          <w:tab w:val="clear" w:pos="2241"/>
          <w:tab w:val="num" w:pos="1440"/>
          <w:tab w:val="num" w:pos="1985"/>
        </w:tabs>
        <w:ind w:left="655" w:hanging="360"/>
        <w:rPr>
          <w:rFonts w:cs="Calibri"/>
        </w:rPr>
      </w:pPr>
      <w:bookmarkStart w:id="460" w:name="_Toc215474106"/>
      <w:bookmarkStart w:id="461" w:name="_Toc219281425"/>
      <w:r w:rsidRPr="00954FF2">
        <w:rPr>
          <w:rFonts w:cs="Calibri"/>
        </w:rPr>
        <w:t>Reporting and Documentation</w:t>
      </w:r>
      <w:bookmarkEnd w:id="460"/>
      <w:bookmarkEnd w:id="461"/>
    </w:p>
    <w:p w14:paraId="1ED1091F" w14:textId="49719A5C"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t xml:space="preserve">Note: The following licence conditions are imposed to demonstrate compliance with other conditions and facilitate monitoring of compliance by staff of the OGTR. Notices and reports may be by email to </w:t>
      </w:r>
      <w:hyperlink r:id="rId50" w:history="1">
        <w:r w:rsidRPr="00954FF2">
          <w:rPr>
            <w:rStyle w:val="Hyperlink"/>
            <w:rFonts w:cs="Calibri"/>
            <w:szCs w:val="22"/>
          </w:rPr>
          <w:t>OGTR.M&amp;C@health.gov.au</w:t>
        </w:r>
      </w:hyperlink>
      <w:r w:rsidRPr="00954FF2">
        <w:rPr>
          <w:rStyle w:val="Hyperlink"/>
          <w:rFonts w:cs="Calibri"/>
          <w:szCs w:val="22"/>
        </w:rPr>
        <w:t xml:space="preserve">. </w:t>
      </w:r>
      <w:r w:rsidRPr="00954FF2">
        <w:rPr>
          <w:rFonts w:cs="Calibri"/>
          <w:szCs w:val="22"/>
        </w:rPr>
        <w:t xml:space="preserve">A summary of notification and reporting requirements is provided at </w:t>
      </w:r>
      <w:r w:rsidRPr="00954FF2">
        <w:rPr>
          <w:rFonts w:cs="Calibri"/>
          <w:b/>
          <w:szCs w:val="22"/>
        </w:rPr>
        <w:t>Attachment B</w:t>
      </w:r>
      <w:r w:rsidRPr="00954FF2">
        <w:rPr>
          <w:rFonts w:cs="Calibri"/>
          <w:szCs w:val="22"/>
        </w:rPr>
        <w:t>.</w:t>
      </w:r>
    </w:p>
    <w:p w14:paraId="5457B484" w14:textId="129D50D1" w:rsidR="00EC45A5" w:rsidRPr="00954FF2" w:rsidRDefault="00EC45A5" w:rsidP="00EC45A5">
      <w:pPr>
        <w:pStyle w:val="RARMPnumberedparagraphs"/>
        <w:rPr>
          <w:rFonts w:cs="Calibri"/>
          <w:szCs w:val="22"/>
        </w:rPr>
      </w:pPr>
      <w:bookmarkStart w:id="462" w:name="_Ref217315639"/>
      <w:bookmarkStart w:id="463" w:name="_Ref14782896"/>
      <w:bookmarkStart w:id="464" w:name="_Ref29215168"/>
      <w:r w:rsidRPr="00954FF2">
        <w:rPr>
          <w:rFonts w:cs="Calibri"/>
          <w:szCs w:val="22"/>
        </w:rPr>
        <w:t xml:space="preserve">The licence holder must notify the Regulator, in writing, of the name and address of each storage facility </w:t>
      </w:r>
      <w:r w:rsidR="00640440">
        <w:rPr>
          <w:rFonts w:cs="Calibri"/>
          <w:szCs w:val="22"/>
        </w:rPr>
        <w:t xml:space="preserve">before </w:t>
      </w:r>
      <w:r w:rsidRPr="00954FF2">
        <w:rPr>
          <w:rFonts w:cs="Calibri"/>
          <w:szCs w:val="22"/>
        </w:rPr>
        <w:t>commencement of dealings at that location.</w:t>
      </w:r>
      <w:bookmarkEnd w:id="462"/>
    </w:p>
    <w:p w14:paraId="43B50604" w14:textId="77777777" w:rsidR="00EC45A5" w:rsidRPr="00954FF2" w:rsidRDefault="00EC45A5" w:rsidP="00EC45A5">
      <w:pPr>
        <w:pStyle w:val="RARMPnumberedparagraphs"/>
        <w:rPr>
          <w:rFonts w:cs="Calibri"/>
          <w:szCs w:val="22"/>
        </w:rPr>
      </w:pPr>
      <w:bookmarkStart w:id="465" w:name="_Ref216860985"/>
      <w:r w:rsidRPr="00954FF2">
        <w:rPr>
          <w:rFonts w:cs="Calibri"/>
          <w:szCs w:val="22"/>
        </w:rPr>
        <w:t>At least 14 days prior to first administering the GMO at each Clinical trial site, or a timeframe agreed to in writing by the Regulator, the licence holder must provide the Regulator with a Compliance Management Plan for that Clinical trial site, specifying:</w:t>
      </w:r>
      <w:bookmarkEnd w:id="463"/>
      <w:bookmarkEnd w:id="465"/>
    </w:p>
    <w:p w14:paraId="12B4AE08" w14:textId="77777777" w:rsidR="00EC45A5" w:rsidRPr="00954FF2" w:rsidRDefault="00EC45A5" w:rsidP="00EC45A5">
      <w:pPr>
        <w:pStyle w:val="ConditionLevel2"/>
        <w:numPr>
          <w:ilvl w:val="0"/>
          <w:numId w:val="73"/>
        </w:numPr>
        <w:rPr>
          <w:rFonts w:ascii="Calibri" w:hAnsi="Calibri" w:cs="Calibri"/>
          <w:sz w:val="22"/>
          <w:szCs w:val="22"/>
        </w:rPr>
      </w:pPr>
      <w:bookmarkStart w:id="466" w:name="_Ref33424271"/>
      <w:r w:rsidRPr="00954FF2">
        <w:rPr>
          <w:rFonts w:ascii="Calibri" w:hAnsi="Calibri" w:cs="Calibri"/>
          <w:sz w:val="22"/>
          <w:szCs w:val="22"/>
        </w:rPr>
        <w:t xml:space="preserve">the name, address and description of the Clinical trial site, including any associated Pharmacies/storage areas/Analytical </w:t>
      </w:r>
      <w:proofErr w:type="gramStart"/>
      <w:r w:rsidRPr="00954FF2">
        <w:rPr>
          <w:rFonts w:ascii="Calibri" w:hAnsi="Calibri" w:cs="Calibri"/>
          <w:sz w:val="22"/>
          <w:szCs w:val="22"/>
        </w:rPr>
        <w:t>facilities;</w:t>
      </w:r>
      <w:bookmarkEnd w:id="466"/>
      <w:proofErr w:type="gramEnd"/>
    </w:p>
    <w:p w14:paraId="388535EF" w14:textId="77777777"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 xml:space="preserve">the role and contact details for key persons responsible for the management of the trial at the </w:t>
      </w:r>
      <w:proofErr w:type="gramStart"/>
      <w:r w:rsidRPr="00954FF2">
        <w:rPr>
          <w:rFonts w:ascii="Calibri" w:hAnsi="Calibri" w:cs="Calibri"/>
          <w:sz w:val="22"/>
          <w:szCs w:val="22"/>
        </w:rPr>
        <w:t>site;</w:t>
      </w:r>
      <w:proofErr w:type="gramEnd"/>
    </w:p>
    <w:p w14:paraId="6972E12C" w14:textId="77777777"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 xml:space="preserve">that the Institutional Biosafety Committee (IBC) associated with the site (if any) has been notified of the trial and have been consulted regarding site specific </w:t>
      </w:r>
      <w:proofErr w:type="gramStart"/>
      <w:r w:rsidRPr="00954FF2">
        <w:rPr>
          <w:rFonts w:ascii="Calibri" w:hAnsi="Calibri" w:cs="Calibri"/>
          <w:sz w:val="22"/>
          <w:szCs w:val="22"/>
        </w:rPr>
        <w:t>procedures;</w:t>
      </w:r>
      <w:proofErr w:type="gramEnd"/>
    </w:p>
    <w:p w14:paraId="77353C88" w14:textId="648F81B6"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 xml:space="preserve">the proposed reporting structure for the trial at the site and how the reporting structure enables the licence holder to become aware of all reportable events including but not limited to Condition </w:t>
      </w:r>
      <w:r w:rsidRPr="00954FF2">
        <w:rPr>
          <w:rFonts w:ascii="Calibri" w:hAnsi="Calibri" w:cs="Calibri"/>
          <w:sz w:val="22"/>
          <w:szCs w:val="22"/>
        </w:rPr>
        <w:fldChar w:fldCharType="begin"/>
      </w:r>
      <w:r w:rsidRPr="00954FF2">
        <w:rPr>
          <w:rFonts w:ascii="Calibri" w:hAnsi="Calibri" w:cs="Calibri"/>
          <w:sz w:val="22"/>
          <w:szCs w:val="22"/>
        </w:rPr>
        <w:instrText xml:space="preserve"> REF _Ref32923217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15</w:t>
      </w:r>
      <w:r w:rsidRPr="00954FF2">
        <w:rPr>
          <w:rFonts w:ascii="Calibri" w:hAnsi="Calibri" w:cs="Calibri"/>
          <w:sz w:val="22"/>
          <w:szCs w:val="22"/>
        </w:rPr>
        <w:fldChar w:fldCharType="end"/>
      </w:r>
      <w:r w:rsidRPr="00954FF2">
        <w:rPr>
          <w:rFonts w:ascii="Calibri" w:hAnsi="Calibri" w:cs="Calibri"/>
          <w:sz w:val="22"/>
          <w:szCs w:val="22"/>
        </w:rPr>
        <w:t xml:space="preserve">, </w:t>
      </w:r>
      <w:r w:rsidRPr="00954FF2">
        <w:rPr>
          <w:rFonts w:ascii="Calibri" w:hAnsi="Calibri" w:cs="Calibri"/>
          <w:sz w:val="22"/>
          <w:szCs w:val="22"/>
        </w:rPr>
        <w:fldChar w:fldCharType="begin"/>
      </w:r>
      <w:r w:rsidRPr="00954FF2">
        <w:rPr>
          <w:rFonts w:ascii="Calibri" w:hAnsi="Calibri" w:cs="Calibri"/>
          <w:sz w:val="22"/>
          <w:szCs w:val="22"/>
        </w:rPr>
        <w:instrText xml:space="preserve"> REF _Ref32923274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16</w:t>
      </w:r>
      <w:r w:rsidRPr="00954FF2">
        <w:rPr>
          <w:rFonts w:ascii="Calibri" w:hAnsi="Calibri" w:cs="Calibri"/>
          <w:sz w:val="22"/>
          <w:szCs w:val="22"/>
        </w:rPr>
        <w:fldChar w:fldCharType="end"/>
      </w:r>
      <w:r w:rsidRPr="00954FF2">
        <w:rPr>
          <w:rFonts w:ascii="Calibri" w:hAnsi="Calibri" w:cs="Calibri"/>
          <w:sz w:val="22"/>
          <w:szCs w:val="22"/>
        </w:rPr>
        <w:t xml:space="preserve">, </w:t>
      </w:r>
      <w:r w:rsidRPr="00954FF2">
        <w:rPr>
          <w:rFonts w:ascii="Calibri" w:hAnsi="Calibri" w:cs="Calibri"/>
          <w:sz w:val="22"/>
          <w:szCs w:val="22"/>
        </w:rPr>
        <w:fldChar w:fldCharType="begin"/>
      </w:r>
      <w:r w:rsidRPr="00954FF2">
        <w:rPr>
          <w:rFonts w:ascii="Calibri" w:hAnsi="Calibri" w:cs="Calibri"/>
          <w:sz w:val="22"/>
          <w:szCs w:val="22"/>
        </w:rPr>
        <w:instrText xml:space="preserve"> REF _Ref216861794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42</w:t>
      </w:r>
      <w:r w:rsidRPr="00954FF2">
        <w:rPr>
          <w:rFonts w:ascii="Calibri" w:hAnsi="Calibri" w:cs="Calibri"/>
          <w:sz w:val="22"/>
          <w:szCs w:val="22"/>
        </w:rPr>
        <w:fldChar w:fldCharType="end"/>
      </w:r>
      <w:r w:rsidRPr="00954FF2">
        <w:rPr>
          <w:rFonts w:ascii="Calibri" w:hAnsi="Calibri" w:cs="Calibri"/>
          <w:sz w:val="22"/>
          <w:szCs w:val="22"/>
        </w:rPr>
        <w:t xml:space="preserve"> and </w:t>
      </w:r>
      <w:r w:rsidRPr="00954FF2">
        <w:rPr>
          <w:rFonts w:ascii="Calibri" w:hAnsi="Calibri" w:cs="Calibri"/>
          <w:sz w:val="22"/>
          <w:szCs w:val="22"/>
        </w:rPr>
        <w:fldChar w:fldCharType="begin"/>
      </w:r>
      <w:r w:rsidRPr="00954FF2">
        <w:rPr>
          <w:rFonts w:ascii="Calibri" w:hAnsi="Calibri" w:cs="Calibri"/>
          <w:sz w:val="22"/>
          <w:szCs w:val="22"/>
        </w:rPr>
        <w:instrText xml:space="preserve"> REF _Ref29290354 \n \h  \* MERGEFORMAT </w:instrText>
      </w:r>
      <w:r w:rsidRPr="00954FF2">
        <w:rPr>
          <w:rFonts w:ascii="Calibri" w:hAnsi="Calibri" w:cs="Calibri"/>
          <w:sz w:val="22"/>
          <w:szCs w:val="22"/>
        </w:rPr>
      </w:r>
      <w:r w:rsidRPr="00954FF2">
        <w:rPr>
          <w:rFonts w:ascii="Calibri" w:hAnsi="Calibri" w:cs="Calibri"/>
          <w:sz w:val="22"/>
          <w:szCs w:val="22"/>
        </w:rPr>
        <w:fldChar w:fldCharType="separate"/>
      </w:r>
      <w:r w:rsidR="004D0670">
        <w:rPr>
          <w:rFonts w:ascii="Calibri" w:hAnsi="Calibri" w:cs="Calibri"/>
          <w:sz w:val="22"/>
          <w:szCs w:val="22"/>
        </w:rPr>
        <w:t>43</w:t>
      </w:r>
      <w:r w:rsidRPr="00954FF2">
        <w:rPr>
          <w:rFonts w:ascii="Calibri" w:hAnsi="Calibri" w:cs="Calibri"/>
          <w:sz w:val="22"/>
          <w:szCs w:val="22"/>
        </w:rPr>
        <w:fldChar w:fldCharType="end"/>
      </w:r>
      <w:r w:rsidRPr="00954FF2">
        <w:rPr>
          <w:rFonts w:ascii="Calibri" w:hAnsi="Calibri" w:cs="Calibri"/>
          <w:sz w:val="22"/>
          <w:szCs w:val="22"/>
        </w:rPr>
        <w:t>;</w:t>
      </w:r>
    </w:p>
    <w:p w14:paraId="50602EA8" w14:textId="77777777" w:rsidR="00EC45A5" w:rsidRPr="00954FF2" w:rsidRDefault="00EC45A5" w:rsidP="00EC45A5">
      <w:pPr>
        <w:pStyle w:val="ConditionLevel2"/>
        <w:numPr>
          <w:ilvl w:val="0"/>
          <w:numId w:val="73"/>
        </w:numPr>
        <w:rPr>
          <w:rFonts w:ascii="Calibri" w:hAnsi="Calibri" w:cs="Calibri"/>
          <w:sz w:val="22"/>
          <w:szCs w:val="22"/>
        </w:rPr>
      </w:pPr>
      <w:bookmarkStart w:id="467" w:name="_Ref24457320"/>
      <w:r w:rsidRPr="00954FF2">
        <w:rPr>
          <w:rFonts w:ascii="Calibri" w:hAnsi="Calibri" w:cs="Calibri"/>
          <w:sz w:val="22"/>
          <w:szCs w:val="22"/>
        </w:rPr>
        <w:lastRenderedPageBreak/>
        <w:t xml:space="preserve">details of how the persons covered by the licence (for that type of dealing) will be informed of licence conditions applicable to them and how they will be trained to safely conduct the </w:t>
      </w:r>
      <w:proofErr w:type="gramStart"/>
      <w:r w:rsidRPr="00954FF2">
        <w:rPr>
          <w:rFonts w:ascii="Calibri" w:hAnsi="Calibri" w:cs="Calibri"/>
          <w:sz w:val="22"/>
          <w:szCs w:val="22"/>
        </w:rPr>
        <w:t>dealings;</w:t>
      </w:r>
      <w:bookmarkEnd w:id="467"/>
      <w:proofErr w:type="gramEnd"/>
    </w:p>
    <w:p w14:paraId="14EAC99C" w14:textId="77777777"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 xml:space="preserve">the person(s) or class of persons administering the </w:t>
      </w:r>
      <w:proofErr w:type="gramStart"/>
      <w:r w:rsidRPr="00954FF2">
        <w:rPr>
          <w:rFonts w:ascii="Calibri" w:hAnsi="Calibri" w:cs="Calibri"/>
          <w:sz w:val="22"/>
          <w:szCs w:val="22"/>
        </w:rPr>
        <w:t>GMO;</w:t>
      </w:r>
      <w:proofErr w:type="gramEnd"/>
      <w:r w:rsidRPr="00954FF2">
        <w:rPr>
          <w:rFonts w:ascii="Calibri" w:hAnsi="Calibri" w:cs="Calibri"/>
          <w:sz w:val="22"/>
          <w:szCs w:val="22"/>
        </w:rPr>
        <w:t xml:space="preserve"> </w:t>
      </w:r>
    </w:p>
    <w:p w14:paraId="0E4532B4" w14:textId="77777777"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 xml:space="preserve">where, within the site, the GMO is expected to be </w:t>
      </w:r>
      <w:proofErr w:type="gramStart"/>
      <w:r w:rsidRPr="00954FF2">
        <w:rPr>
          <w:rFonts w:ascii="Calibri" w:hAnsi="Calibri" w:cs="Calibri"/>
          <w:sz w:val="22"/>
          <w:szCs w:val="22"/>
        </w:rPr>
        <w:t>administered;</w:t>
      </w:r>
      <w:proofErr w:type="gramEnd"/>
    </w:p>
    <w:p w14:paraId="0FB6CC61" w14:textId="77777777"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the expected date of first administration; and</w:t>
      </w:r>
    </w:p>
    <w:p w14:paraId="72CB666C" w14:textId="048F7F69" w:rsidR="00EC45A5" w:rsidRPr="00954FF2" w:rsidRDefault="00EC45A5" w:rsidP="00EC45A5">
      <w:pPr>
        <w:pStyle w:val="ConditionLevel2"/>
        <w:numPr>
          <w:ilvl w:val="0"/>
          <w:numId w:val="73"/>
        </w:numPr>
        <w:rPr>
          <w:rFonts w:ascii="Calibri" w:hAnsi="Calibri" w:cs="Calibri"/>
          <w:sz w:val="22"/>
          <w:szCs w:val="22"/>
        </w:rPr>
      </w:pPr>
      <w:r w:rsidRPr="00954FF2">
        <w:rPr>
          <w:rFonts w:ascii="Calibri" w:hAnsi="Calibri" w:cs="Calibri"/>
          <w:sz w:val="22"/>
          <w:szCs w:val="22"/>
        </w:rPr>
        <w:t xml:space="preserve">how compliance with Condition </w:t>
      </w:r>
      <w:r w:rsidRPr="008F1770">
        <w:rPr>
          <w:rFonts w:ascii="Calibri" w:hAnsi="Calibri" w:cs="Calibri"/>
          <w:sz w:val="22"/>
          <w:szCs w:val="22"/>
        </w:rPr>
        <w:fldChar w:fldCharType="begin"/>
      </w:r>
      <w:r w:rsidRPr="008F1770">
        <w:rPr>
          <w:rFonts w:ascii="Calibri" w:hAnsi="Calibri" w:cs="Calibri"/>
          <w:sz w:val="22"/>
          <w:szCs w:val="22"/>
        </w:rPr>
        <w:instrText xml:space="preserve"> REF _Ref48723783 \r \h  \* MERGEFORMAT </w:instrText>
      </w:r>
      <w:r w:rsidRPr="008F1770">
        <w:rPr>
          <w:rFonts w:ascii="Calibri" w:hAnsi="Calibri" w:cs="Calibri"/>
          <w:sz w:val="22"/>
          <w:szCs w:val="22"/>
        </w:rPr>
      </w:r>
      <w:r w:rsidRPr="008F1770">
        <w:rPr>
          <w:rFonts w:ascii="Calibri" w:hAnsi="Calibri" w:cs="Calibri"/>
          <w:sz w:val="22"/>
          <w:szCs w:val="22"/>
        </w:rPr>
        <w:fldChar w:fldCharType="separate"/>
      </w:r>
      <w:r w:rsidR="004D0670">
        <w:rPr>
          <w:rFonts w:ascii="Calibri" w:hAnsi="Calibri" w:cs="Calibri"/>
          <w:sz w:val="22"/>
          <w:szCs w:val="22"/>
        </w:rPr>
        <w:t>31</w:t>
      </w:r>
      <w:r w:rsidRPr="008F1770">
        <w:rPr>
          <w:rFonts w:ascii="Calibri" w:hAnsi="Calibri" w:cs="Calibri"/>
          <w:sz w:val="22"/>
          <w:szCs w:val="22"/>
        </w:rPr>
        <w:fldChar w:fldCharType="end"/>
      </w:r>
      <w:r w:rsidRPr="00954FF2">
        <w:rPr>
          <w:rFonts w:ascii="Calibri" w:hAnsi="Calibri" w:cs="Calibri"/>
          <w:sz w:val="22"/>
          <w:szCs w:val="22"/>
        </w:rPr>
        <w:t xml:space="preserve"> will be achieved in relation to preparation of participant Samples for analysis </w:t>
      </w:r>
      <w:proofErr w:type="gramStart"/>
      <w:r w:rsidRPr="00954FF2">
        <w:rPr>
          <w:rFonts w:ascii="Calibri" w:hAnsi="Calibri" w:cs="Calibri"/>
          <w:sz w:val="22"/>
          <w:szCs w:val="22"/>
        </w:rPr>
        <w:t>subsequent to</w:t>
      </w:r>
      <w:proofErr w:type="gramEnd"/>
      <w:r w:rsidRPr="00954FF2">
        <w:rPr>
          <w:rFonts w:ascii="Calibri" w:hAnsi="Calibri" w:cs="Calibri"/>
          <w:sz w:val="22"/>
          <w:szCs w:val="22"/>
        </w:rPr>
        <w:t xml:space="preserve"> administering the GMO.</w:t>
      </w:r>
    </w:p>
    <w:p w14:paraId="00253E7D" w14:textId="77777777" w:rsidR="00EC45A5" w:rsidRPr="00954FF2" w:rsidRDefault="00EC45A5" w:rsidP="00EC45A5">
      <w:pPr>
        <w:pStyle w:val="Notes"/>
        <w:shd w:val="clear" w:color="auto" w:fill="D9D9D9" w:themeFill="background1" w:themeFillShade="D9"/>
        <w:rPr>
          <w:rFonts w:cs="Calibri"/>
          <w:szCs w:val="22"/>
        </w:rPr>
      </w:pPr>
      <w:r w:rsidRPr="00954FF2">
        <w:rPr>
          <w:rFonts w:cs="Calibri"/>
          <w:szCs w:val="22"/>
        </w:rPr>
        <w:t xml:space="preserve">Note: </w:t>
      </w:r>
      <w:proofErr w:type="gramStart"/>
      <w:r w:rsidRPr="00954FF2">
        <w:rPr>
          <w:rFonts w:cs="Calibri"/>
          <w:szCs w:val="22"/>
        </w:rPr>
        <w:t>For the purpose of</w:t>
      </w:r>
      <w:proofErr w:type="gramEnd"/>
      <w:r w:rsidRPr="00954FF2">
        <w:rPr>
          <w:rFonts w:cs="Calibri"/>
          <w:szCs w:val="22"/>
        </w:rPr>
        <w:t xml:space="preserve"> finding out whether the Act has been complied with, an OGTR inspector may, if entry is at a reasonable time, enter a facility occupied by the licence holder or a person covered by the licence and exercise monitoring powers.</w:t>
      </w:r>
    </w:p>
    <w:p w14:paraId="2FDB01A0" w14:textId="178C27F3" w:rsidR="00EC45A5" w:rsidRPr="00954FF2" w:rsidRDefault="00EC45A5" w:rsidP="00EC45A5">
      <w:pPr>
        <w:pStyle w:val="RARMPnumberedparagraphs"/>
        <w:rPr>
          <w:rFonts w:cs="Calibri"/>
          <w:szCs w:val="22"/>
        </w:rPr>
      </w:pPr>
      <w:bookmarkStart w:id="468" w:name="_Ref216861794"/>
      <w:r w:rsidRPr="00954FF2">
        <w:rPr>
          <w:rFonts w:cs="Calibri"/>
          <w:szCs w:val="22"/>
        </w:rPr>
        <w:t>For each Clinical trial site, the licence holder must notify the Regulator, in writing, of the end of the clinical trial, no later than 30 days</w:t>
      </w:r>
      <w:r w:rsidR="00640440">
        <w:rPr>
          <w:rFonts w:cs="Calibri"/>
          <w:szCs w:val="22"/>
        </w:rPr>
        <w:t xml:space="preserve"> after</w:t>
      </w:r>
      <w:r w:rsidRPr="00954FF2">
        <w:rPr>
          <w:rFonts w:cs="Calibri"/>
          <w:szCs w:val="22"/>
        </w:rPr>
        <w:t>:</w:t>
      </w:r>
      <w:bookmarkEnd w:id="468"/>
    </w:p>
    <w:p w14:paraId="7FDA2426" w14:textId="568F157D" w:rsidR="00EC45A5" w:rsidRPr="00954FF2" w:rsidRDefault="00640440" w:rsidP="00EC45A5">
      <w:pPr>
        <w:pStyle w:val="ConditionLevel2"/>
        <w:numPr>
          <w:ilvl w:val="0"/>
          <w:numId w:val="82"/>
        </w:numPr>
        <w:rPr>
          <w:rFonts w:ascii="Calibri" w:hAnsi="Calibri" w:cs="Calibri"/>
          <w:sz w:val="22"/>
          <w:szCs w:val="22"/>
        </w:rPr>
      </w:pPr>
      <w:bookmarkStart w:id="469" w:name="_Ref219302004"/>
      <w:r>
        <w:rPr>
          <w:rFonts w:ascii="Calibri" w:hAnsi="Calibri" w:cs="Calibri"/>
          <w:sz w:val="22"/>
          <w:szCs w:val="22"/>
        </w:rPr>
        <w:t>t</w:t>
      </w:r>
      <w:r w:rsidR="00EC45A5" w:rsidRPr="00954FF2">
        <w:rPr>
          <w:rFonts w:ascii="Calibri" w:hAnsi="Calibri" w:cs="Calibri"/>
          <w:sz w:val="22"/>
          <w:szCs w:val="22"/>
        </w:rPr>
        <w:t>he final dose being administered; or</w:t>
      </w:r>
      <w:bookmarkEnd w:id="469"/>
    </w:p>
    <w:p w14:paraId="6EA9C9E7" w14:textId="0F918ABF" w:rsidR="00EC45A5" w:rsidRPr="00954FF2" w:rsidRDefault="00640440" w:rsidP="00EC45A5">
      <w:pPr>
        <w:pStyle w:val="ConditionLevel2"/>
        <w:numPr>
          <w:ilvl w:val="0"/>
          <w:numId w:val="57"/>
        </w:numPr>
        <w:rPr>
          <w:rFonts w:ascii="Calibri" w:hAnsi="Calibri" w:cs="Calibri"/>
          <w:sz w:val="22"/>
          <w:szCs w:val="22"/>
        </w:rPr>
      </w:pPr>
      <w:r>
        <w:rPr>
          <w:rFonts w:ascii="Calibri" w:hAnsi="Calibri" w:cs="Calibri"/>
          <w:sz w:val="22"/>
          <w:szCs w:val="22"/>
        </w:rPr>
        <w:t>t</w:t>
      </w:r>
      <w:r w:rsidR="00EC45A5" w:rsidRPr="00954FF2">
        <w:rPr>
          <w:rFonts w:ascii="Calibri" w:hAnsi="Calibri" w:cs="Calibri"/>
          <w:sz w:val="22"/>
          <w:szCs w:val="22"/>
        </w:rPr>
        <w:t xml:space="preserve">he decision that no further participants will be treated at the site. </w:t>
      </w:r>
    </w:p>
    <w:p w14:paraId="02B385C1" w14:textId="77777777" w:rsidR="00EC45A5" w:rsidRPr="00954FF2" w:rsidRDefault="00EC45A5" w:rsidP="00EC45A5">
      <w:pPr>
        <w:pStyle w:val="RARMPnumberedparagraphs"/>
        <w:rPr>
          <w:rFonts w:cs="Calibri"/>
          <w:szCs w:val="22"/>
        </w:rPr>
      </w:pPr>
      <w:bookmarkStart w:id="470" w:name="_Ref29290354"/>
      <w:bookmarkEnd w:id="464"/>
      <w:r w:rsidRPr="00954FF2">
        <w:rPr>
          <w:rFonts w:cs="Calibri"/>
          <w:szCs w:val="22"/>
        </w:rPr>
        <w:t>The licence holder must inform the Regulator as soon as reasonably possible:</w:t>
      </w:r>
      <w:bookmarkEnd w:id="470"/>
    </w:p>
    <w:p w14:paraId="3C1EE0B4" w14:textId="77777777" w:rsidR="00EC45A5" w:rsidRPr="00954FF2" w:rsidRDefault="00EC45A5" w:rsidP="00EC45A5">
      <w:pPr>
        <w:pStyle w:val="ConditionLevel2"/>
        <w:numPr>
          <w:ilvl w:val="0"/>
          <w:numId w:val="106"/>
        </w:numPr>
        <w:rPr>
          <w:rFonts w:ascii="Calibri" w:hAnsi="Calibri" w:cs="Calibri"/>
          <w:sz w:val="22"/>
          <w:szCs w:val="22"/>
        </w:rPr>
      </w:pPr>
      <w:bookmarkStart w:id="471" w:name="_Ref33203034"/>
      <w:r w:rsidRPr="00954FF2">
        <w:rPr>
          <w:rFonts w:ascii="Calibri" w:hAnsi="Calibri" w:cs="Calibri"/>
          <w:sz w:val="22"/>
          <w:szCs w:val="22"/>
        </w:rPr>
        <w:t xml:space="preserve">in the event of a loss or spill of the </w:t>
      </w:r>
      <w:proofErr w:type="gramStart"/>
      <w:r w:rsidRPr="00954FF2">
        <w:rPr>
          <w:rFonts w:ascii="Calibri" w:hAnsi="Calibri" w:cs="Calibri"/>
          <w:sz w:val="22"/>
          <w:szCs w:val="22"/>
        </w:rPr>
        <w:t>GMO;</w:t>
      </w:r>
      <w:proofErr w:type="gramEnd"/>
      <w:r w:rsidRPr="00954FF2">
        <w:rPr>
          <w:rFonts w:ascii="Calibri" w:hAnsi="Calibri" w:cs="Calibri"/>
          <w:sz w:val="22"/>
          <w:szCs w:val="22"/>
        </w:rPr>
        <w:t xml:space="preserve"> </w:t>
      </w:r>
      <w:bookmarkEnd w:id="471"/>
    </w:p>
    <w:p w14:paraId="079F3DF3" w14:textId="77777777" w:rsidR="00EC45A5" w:rsidRPr="00954FF2" w:rsidRDefault="00EC45A5" w:rsidP="00EC45A5">
      <w:pPr>
        <w:pStyle w:val="ConditionLevel2"/>
        <w:numPr>
          <w:ilvl w:val="0"/>
          <w:numId w:val="57"/>
        </w:numPr>
        <w:rPr>
          <w:rFonts w:ascii="Calibri" w:hAnsi="Calibri" w:cs="Calibri"/>
          <w:sz w:val="22"/>
          <w:szCs w:val="22"/>
        </w:rPr>
      </w:pPr>
      <w:bookmarkStart w:id="472" w:name="_Ref33203035"/>
      <w:r w:rsidRPr="00954FF2">
        <w:rPr>
          <w:rFonts w:ascii="Calibri" w:hAnsi="Calibri" w:cs="Calibri"/>
          <w:sz w:val="22"/>
          <w:szCs w:val="22"/>
        </w:rPr>
        <w:t>in the event of the exposure of a person other than a trial participant to the GMO; and</w:t>
      </w:r>
      <w:bookmarkEnd w:id="472"/>
    </w:p>
    <w:p w14:paraId="0318549E" w14:textId="2148A1FB" w:rsidR="00EC45A5" w:rsidRPr="00954FF2" w:rsidRDefault="00EC45A5" w:rsidP="00EC45A5">
      <w:pPr>
        <w:pStyle w:val="ConditionLevel2"/>
        <w:numPr>
          <w:ilvl w:val="0"/>
          <w:numId w:val="57"/>
        </w:numPr>
        <w:rPr>
          <w:rFonts w:ascii="Calibri" w:hAnsi="Calibri" w:cs="Calibri"/>
          <w:sz w:val="22"/>
          <w:szCs w:val="22"/>
        </w:rPr>
      </w:pPr>
      <w:bookmarkStart w:id="473" w:name="_Ref46934464"/>
      <w:r w:rsidRPr="00954FF2">
        <w:rPr>
          <w:rFonts w:ascii="Calibri" w:hAnsi="Calibri" w:cs="Calibri"/>
          <w:sz w:val="22"/>
          <w:szCs w:val="22"/>
        </w:rPr>
        <w:t>if a trial participant has not followed the procedures described in the instructions provided by the licence holder</w:t>
      </w:r>
      <w:r w:rsidR="00FA7510">
        <w:rPr>
          <w:rFonts w:ascii="Calibri" w:hAnsi="Calibri" w:cs="Calibri"/>
          <w:sz w:val="22"/>
          <w:szCs w:val="22"/>
        </w:rPr>
        <w:t xml:space="preserve"> </w:t>
      </w:r>
      <w:r w:rsidR="00FA7510" w:rsidRPr="00FA7510">
        <w:rPr>
          <w:rFonts w:ascii="Calibri" w:hAnsi="Calibri" w:cs="Calibri"/>
          <w:sz w:val="22"/>
          <w:szCs w:val="22"/>
        </w:rPr>
        <w:t xml:space="preserve">under Conditions </w:t>
      </w:r>
      <w:r w:rsidR="00FA7510">
        <w:rPr>
          <w:rFonts w:ascii="Calibri" w:hAnsi="Calibri" w:cs="Calibri"/>
          <w:sz w:val="22"/>
          <w:szCs w:val="22"/>
        </w:rPr>
        <w:fldChar w:fldCharType="begin"/>
      </w:r>
      <w:r w:rsidR="00FA7510">
        <w:rPr>
          <w:rFonts w:ascii="Calibri" w:hAnsi="Calibri" w:cs="Calibri"/>
          <w:sz w:val="22"/>
          <w:szCs w:val="22"/>
        </w:rPr>
        <w:instrText xml:space="preserve"> REF _Ref219300201 \n \h </w:instrText>
      </w:r>
      <w:r w:rsidR="00FA7510">
        <w:rPr>
          <w:rFonts w:ascii="Calibri" w:hAnsi="Calibri" w:cs="Calibri"/>
          <w:sz w:val="22"/>
          <w:szCs w:val="22"/>
        </w:rPr>
      </w:r>
      <w:r w:rsidR="00FA7510">
        <w:rPr>
          <w:rFonts w:ascii="Calibri" w:hAnsi="Calibri" w:cs="Calibri"/>
          <w:sz w:val="22"/>
          <w:szCs w:val="22"/>
        </w:rPr>
        <w:fldChar w:fldCharType="separate"/>
      </w:r>
      <w:r w:rsidR="004D0670">
        <w:rPr>
          <w:rFonts w:ascii="Calibri" w:hAnsi="Calibri" w:cs="Calibri"/>
          <w:sz w:val="22"/>
          <w:szCs w:val="22"/>
        </w:rPr>
        <w:t>28</w:t>
      </w:r>
      <w:r w:rsidR="00FA7510">
        <w:rPr>
          <w:rFonts w:ascii="Calibri" w:hAnsi="Calibri" w:cs="Calibri"/>
          <w:sz w:val="22"/>
          <w:szCs w:val="22"/>
        </w:rPr>
        <w:fldChar w:fldCharType="end"/>
      </w:r>
      <w:r w:rsidR="00FA7510" w:rsidRPr="00FA7510">
        <w:rPr>
          <w:rFonts w:ascii="Calibri" w:hAnsi="Calibri" w:cs="Calibri"/>
          <w:sz w:val="22"/>
          <w:szCs w:val="22"/>
        </w:rPr>
        <w:t xml:space="preserve"> and </w:t>
      </w:r>
      <w:r w:rsidR="00FA7510">
        <w:rPr>
          <w:rFonts w:ascii="Calibri" w:hAnsi="Calibri" w:cs="Calibri"/>
          <w:sz w:val="22"/>
          <w:szCs w:val="22"/>
        </w:rPr>
        <w:fldChar w:fldCharType="begin"/>
      </w:r>
      <w:r w:rsidR="00FA7510">
        <w:rPr>
          <w:rFonts w:ascii="Calibri" w:hAnsi="Calibri" w:cs="Calibri"/>
          <w:sz w:val="22"/>
          <w:szCs w:val="22"/>
        </w:rPr>
        <w:instrText xml:space="preserve"> REF _Ref218863549 \n \h </w:instrText>
      </w:r>
      <w:r w:rsidR="00FA7510">
        <w:rPr>
          <w:rFonts w:ascii="Calibri" w:hAnsi="Calibri" w:cs="Calibri"/>
          <w:sz w:val="22"/>
          <w:szCs w:val="22"/>
        </w:rPr>
      </w:r>
      <w:r w:rsidR="00FA7510">
        <w:rPr>
          <w:rFonts w:ascii="Calibri" w:hAnsi="Calibri" w:cs="Calibri"/>
          <w:sz w:val="22"/>
          <w:szCs w:val="22"/>
        </w:rPr>
        <w:fldChar w:fldCharType="separate"/>
      </w:r>
      <w:r w:rsidR="004D0670">
        <w:rPr>
          <w:rFonts w:ascii="Calibri" w:hAnsi="Calibri" w:cs="Calibri"/>
          <w:sz w:val="22"/>
          <w:szCs w:val="22"/>
        </w:rPr>
        <w:t>29</w:t>
      </w:r>
      <w:r w:rsidR="00FA7510">
        <w:rPr>
          <w:rFonts w:ascii="Calibri" w:hAnsi="Calibri" w:cs="Calibri"/>
          <w:sz w:val="22"/>
          <w:szCs w:val="22"/>
        </w:rPr>
        <w:fldChar w:fldCharType="end"/>
      </w:r>
      <w:r w:rsidRPr="00954FF2">
        <w:rPr>
          <w:rFonts w:ascii="Calibri" w:hAnsi="Calibri" w:cs="Calibri"/>
          <w:sz w:val="22"/>
          <w:szCs w:val="22"/>
        </w:rPr>
        <w:t>.</w:t>
      </w:r>
      <w:bookmarkEnd w:id="473"/>
    </w:p>
    <w:p w14:paraId="6B565451" w14:textId="5772F3DC" w:rsidR="00921020" w:rsidRPr="00921020" w:rsidRDefault="00EC45A5" w:rsidP="00EC45A5">
      <w:pPr>
        <w:pStyle w:val="RARMPnumberedparagraphs"/>
      </w:pPr>
      <w:bookmarkStart w:id="474" w:name="_Ref32923470"/>
      <w:r w:rsidRPr="00954FF2">
        <w:rPr>
          <w:rFonts w:cs="Calibri"/>
          <w:szCs w:val="22"/>
        </w:rPr>
        <w:t xml:space="preserve">Upon request from the Regulator, the licence holder must provide any signed records or documentation collected under a condition of this licence, within </w:t>
      </w:r>
      <w:proofErr w:type="gramStart"/>
      <w:r w:rsidRPr="00954FF2">
        <w:rPr>
          <w:rFonts w:cs="Calibri"/>
          <w:szCs w:val="22"/>
        </w:rPr>
        <w:t>a time period</w:t>
      </w:r>
      <w:proofErr w:type="gramEnd"/>
      <w:r w:rsidRPr="00954FF2">
        <w:rPr>
          <w:rFonts w:cs="Calibri"/>
          <w:szCs w:val="22"/>
        </w:rPr>
        <w:t xml:space="preserve"> stipulated by the Regulator.</w:t>
      </w:r>
      <w:bookmarkEnd w:id="474"/>
    </w:p>
    <w:p w14:paraId="7A1DC243" w14:textId="77777777" w:rsidR="00783CF2" w:rsidRDefault="00783CF2" w:rsidP="00921020">
      <w:pPr>
        <w:rPr>
          <w:rFonts w:cs="Arial"/>
        </w:rPr>
        <w:sectPr w:rsidR="00783CF2" w:rsidSect="00263EE3">
          <w:headerReference w:type="even" r:id="rId51"/>
          <w:footerReference w:type="even" r:id="rId52"/>
          <w:footerReference w:type="default" r:id="rId53"/>
          <w:headerReference w:type="first" r:id="rId54"/>
          <w:footerReference w:type="first" r:id="rId55"/>
          <w:pgSz w:w="11906" w:h="16838" w:code="9"/>
          <w:pgMar w:top="1247" w:right="1134" w:bottom="1247" w:left="1247" w:header="680" w:footer="510" w:gutter="0"/>
          <w:cols w:space="708"/>
          <w:docGrid w:linePitch="326"/>
        </w:sectPr>
      </w:pPr>
    </w:p>
    <w:p w14:paraId="5BC08E9E" w14:textId="77777777" w:rsidR="00921020" w:rsidRPr="00595BE6" w:rsidRDefault="00921020" w:rsidP="00115B62">
      <w:pPr>
        <w:pStyle w:val="Head2-Subheading"/>
      </w:pPr>
      <w:bookmarkStart w:id="475" w:name="_Toc219281426"/>
      <w:r w:rsidRPr="00115B62">
        <w:lastRenderedPageBreak/>
        <w:t>Attachment</w:t>
      </w:r>
      <w:r w:rsidRPr="00595BE6">
        <w:t> A</w:t>
      </w:r>
      <w:bookmarkEnd w:id="475"/>
    </w:p>
    <w:p w14:paraId="052C300C" w14:textId="71D37968" w:rsidR="00921020" w:rsidRPr="00A8275A" w:rsidRDefault="00921020" w:rsidP="00921020">
      <w:pPr>
        <w:tabs>
          <w:tab w:val="left" w:pos="90"/>
          <w:tab w:val="left" w:pos="2040"/>
          <w:tab w:val="left" w:pos="4975"/>
          <w:tab w:val="left" w:pos="6812"/>
        </w:tabs>
        <w:rPr>
          <w:b/>
          <w:bCs/>
          <w:szCs w:val="22"/>
        </w:rPr>
      </w:pPr>
      <w:r w:rsidRPr="0015131A">
        <w:rPr>
          <w:b/>
          <w:bCs/>
          <w:szCs w:val="22"/>
        </w:rPr>
        <w:t xml:space="preserve">DIR </w:t>
      </w:r>
      <w:r w:rsidRPr="00A8275A">
        <w:rPr>
          <w:b/>
          <w:bCs/>
          <w:szCs w:val="22"/>
        </w:rPr>
        <w:t xml:space="preserve">No: </w:t>
      </w:r>
      <w:r w:rsidR="006F4134" w:rsidRPr="00A8275A">
        <w:rPr>
          <w:b/>
          <w:bCs/>
          <w:szCs w:val="22"/>
        </w:rPr>
        <w:t>2</w:t>
      </w:r>
      <w:r w:rsidR="006A7C0E" w:rsidRPr="00A8275A">
        <w:rPr>
          <w:b/>
          <w:bCs/>
          <w:szCs w:val="22"/>
        </w:rPr>
        <w:t>2</w:t>
      </w:r>
      <w:r w:rsidR="006F4134" w:rsidRPr="00A8275A">
        <w:rPr>
          <w:b/>
          <w:bCs/>
          <w:szCs w:val="22"/>
        </w:rPr>
        <w:t>3</w:t>
      </w:r>
    </w:p>
    <w:p w14:paraId="0B3BFE60" w14:textId="49943186" w:rsidR="00921020" w:rsidRPr="00A8275A" w:rsidRDefault="00921020" w:rsidP="00921020">
      <w:pPr>
        <w:tabs>
          <w:tab w:val="left" w:pos="2835"/>
        </w:tabs>
        <w:ind w:left="2835" w:hanging="2835"/>
        <w:rPr>
          <w:bCs/>
          <w:szCs w:val="22"/>
        </w:rPr>
      </w:pPr>
      <w:r w:rsidRPr="00A8275A">
        <w:rPr>
          <w:b/>
          <w:bCs/>
          <w:szCs w:val="22"/>
        </w:rPr>
        <w:t>Full Title:</w:t>
      </w:r>
      <w:r w:rsidRPr="00A8275A">
        <w:rPr>
          <w:szCs w:val="22"/>
        </w:rPr>
        <w:t xml:space="preserve"> </w:t>
      </w:r>
      <w:r w:rsidRPr="00A8275A">
        <w:rPr>
          <w:szCs w:val="22"/>
        </w:rPr>
        <w:tab/>
      </w:r>
      <w:r w:rsidR="000A3385" w:rsidRPr="00A8275A">
        <w:rPr>
          <w:szCs w:val="22"/>
        </w:rPr>
        <w:t xml:space="preserve">Clinical trials of a genetically modified </w:t>
      </w:r>
      <w:r w:rsidR="008E4E75">
        <w:rPr>
          <w:szCs w:val="22"/>
        </w:rPr>
        <w:t>adeno</w:t>
      </w:r>
      <w:r w:rsidR="000A3385" w:rsidRPr="00A8275A">
        <w:rPr>
          <w:szCs w:val="22"/>
        </w:rPr>
        <w:t>virus for treatment of bladder cancer</w:t>
      </w:r>
    </w:p>
    <w:p w14:paraId="7EECD9F8" w14:textId="110573BD" w:rsidR="00921020" w:rsidRPr="00A8275A" w:rsidRDefault="006A7C0E" w:rsidP="007E7DDC">
      <w:pPr>
        <w:ind w:left="2835" w:hanging="2835"/>
        <w:rPr>
          <w:b/>
          <w:bCs/>
          <w:szCs w:val="22"/>
          <w:u w:val="single"/>
        </w:rPr>
      </w:pPr>
      <w:r w:rsidRPr="00A8275A">
        <w:rPr>
          <w:b/>
          <w:bCs/>
          <w:szCs w:val="22"/>
          <w:u w:val="single"/>
        </w:rPr>
        <w:t xml:space="preserve">Licence </w:t>
      </w:r>
      <w:r w:rsidR="007E7DDC" w:rsidRPr="00A8275A">
        <w:rPr>
          <w:b/>
          <w:bCs/>
          <w:szCs w:val="22"/>
          <w:u w:val="single"/>
        </w:rPr>
        <w:t>H</w:t>
      </w:r>
      <w:r w:rsidRPr="00A8275A">
        <w:rPr>
          <w:b/>
          <w:bCs/>
          <w:szCs w:val="22"/>
          <w:u w:val="single"/>
        </w:rPr>
        <w:t>older</w:t>
      </w:r>
      <w:r w:rsidR="007E7DDC" w:rsidRPr="00A8275A">
        <w:rPr>
          <w:b/>
          <w:bCs/>
          <w:szCs w:val="22"/>
          <w:u w:val="single"/>
        </w:rPr>
        <w:t>:</w:t>
      </w:r>
      <w:r w:rsidR="00921020" w:rsidRPr="00A8275A">
        <w:rPr>
          <w:szCs w:val="22"/>
        </w:rPr>
        <w:tab/>
      </w:r>
      <w:r w:rsidR="000A3385" w:rsidRPr="00A8275A">
        <w:rPr>
          <w:szCs w:val="22"/>
        </w:rPr>
        <w:t>Ferring Pharmaceuticals</w:t>
      </w:r>
      <w:r w:rsidR="00921020" w:rsidRPr="00A8275A">
        <w:rPr>
          <w:szCs w:val="22"/>
        </w:rPr>
        <w:t xml:space="preserve"> Pty Ltd</w:t>
      </w:r>
    </w:p>
    <w:p w14:paraId="3052DE4A" w14:textId="77777777" w:rsidR="00921020" w:rsidRPr="00A8275A" w:rsidRDefault="00921020" w:rsidP="00921020">
      <w:pPr>
        <w:tabs>
          <w:tab w:val="left" w:pos="2835"/>
        </w:tabs>
        <w:ind w:left="2835" w:hanging="2835"/>
        <w:rPr>
          <w:b/>
          <w:szCs w:val="22"/>
          <w:u w:val="single"/>
        </w:rPr>
      </w:pPr>
      <w:r w:rsidRPr="00A8275A">
        <w:rPr>
          <w:b/>
          <w:szCs w:val="22"/>
          <w:u w:val="single"/>
        </w:rPr>
        <w:t>GMO Description</w:t>
      </w:r>
    </w:p>
    <w:p w14:paraId="76268F00" w14:textId="77777777" w:rsidR="00921020" w:rsidRPr="00A8275A" w:rsidRDefault="00921020" w:rsidP="00921020">
      <w:pPr>
        <w:tabs>
          <w:tab w:val="left" w:pos="0"/>
        </w:tabs>
        <w:rPr>
          <w:b/>
          <w:bCs/>
          <w:szCs w:val="22"/>
        </w:rPr>
      </w:pPr>
      <w:r w:rsidRPr="00A8275A">
        <w:rPr>
          <w:b/>
          <w:bCs/>
          <w:szCs w:val="22"/>
        </w:rPr>
        <w:t>GMOs covered by this licence:</w:t>
      </w:r>
    </w:p>
    <w:p w14:paraId="4048F633" w14:textId="42F2B121" w:rsidR="00921020" w:rsidRPr="00A8275A" w:rsidRDefault="007E7DDC" w:rsidP="00921020">
      <w:pPr>
        <w:tabs>
          <w:tab w:val="left" w:pos="90"/>
        </w:tabs>
        <w:rPr>
          <w:bCs/>
          <w:szCs w:val="22"/>
        </w:rPr>
      </w:pPr>
      <w:r w:rsidRPr="00A8275A">
        <w:rPr>
          <w:bCs/>
          <w:szCs w:val="22"/>
        </w:rPr>
        <w:t>Human adenovirus C serotype 5 modified by deleting specific gene sequences to improve safety and replacing a deleted gene sequence with a human interferon alfa-2b (</w:t>
      </w:r>
      <w:proofErr w:type="spellStart"/>
      <w:r w:rsidRPr="00A8275A">
        <w:rPr>
          <w:bCs/>
          <w:i/>
          <w:iCs/>
          <w:szCs w:val="22"/>
        </w:rPr>
        <w:t>hIFN</w:t>
      </w:r>
      <w:proofErr w:type="spellEnd"/>
      <w:r w:rsidRPr="00A8275A">
        <w:rPr>
          <w:bCs/>
          <w:i/>
          <w:iCs/>
          <w:szCs w:val="22"/>
        </w:rPr>
        <w:t>-α2b</w:t>
      </w:r>
      <w:r w:rsidRPr="00A8275A">
        <w:rPr>
          <w:bCs/>
          <w:szCs w:val="22"/>
        </w:rPr>
        <w:t xml:space="preserve">) gene expression cassette. The identities of the deleted gene sequences and the regulatory elements included in the </w:t>
      </w:r>
      <w:proofErr w:type="spellStart"/>
      <w:r w:rsidRPr="00A8275A">
        <w:rPr>
          <w:bCs/>
          <w:i/>
          <w:iCs/>
          <w:szCs w:val="22"/>
        </w:rPr>
        <w:t>hIFN</w:t>
      </w:r>
      <w:proofErr w:type="spellEnd"/>
      <w:r w:rsidRPr="00A8275A">
        <w:rPr>
          <w:bCs/>
          <w:i/>
          <w:iCs/>
          <w:szCs w:val="22"/>
        </w:rPr>
        <w:t>-α2b</w:t>
      </w:r>
      <w:r w:rsidRPr="00A8275A">
        <w:rPr>
          <w:bCs/>
          <w:szCs w:val="22"/>
        </w:rPr>
        <w:t xml:space="preserve"> gene expression cassette have been declared Confidential Commercial Information (CCI) under s185 of the Act.</w:t>
      </w:r>
    </w:p>
    <w:p w14:paraId="4A19DE77" w14:textId="77777777" w:rsidR="00921020" w:rsidRPr="00A8275A" w:rsidRDefault="00921020" w:rsidP="00921020">
      <w:pPr>
        <w:tabs>
          <w:tab w:val="left" w:pos="90"/>
        </w:tabs>
        <w:rPr>
          <w:b/>
          <w:bCs/>
          <w:szCs w:val="22"/>
        </w:rPr>
      </w:pPr>
      <w:r w:rsidRPr="00A8275A">
        <w:rPr>
          <w:b/>
          <w:bCs/>
          <w:szCs w:val="22"/>
        </w:rPr>
        <w:t>Parent Organisms:</w:t>
      </w:r>
    </w:p>
    <w:p w14:paraId="5D785033" w14:textId="77777777" w:rsidR="00921020" w:rsidRPr="00A8275A" w:rsidRDefault="00921020" w:rsidP="00921020">
      <w:pPr>
        <w:tabs>
          <w:tab w:val="left" w:pos="90"/>
        </w:tabs>
        <w:ind w:left="2835" w:hanging="2835"/>
        <w:rPr>
          <w:szCs w:val="22"/>
        </w:rPr>
      </w:pPr>
      <w:r w:rsidRPr="00A8275A">
        <w:rPr>
          <w:szCs w:val="22"/>
        </w:rPr>
        <w:t>Common Name:</w:t>
      </w:r>
      <w:r w:rsidRPr="00A8275A">
        <w:rPr>
          <w:szCs w:val="22"/>
        </w:rPr>
        <w:tab/>
      </w:r>
      <w:r w:rsidRPr="00A8275A">
        <w:rPr>
          <w:iCs/>
          <w:szCs w:val="22"/>
        </w:rPr>
        <w:t>Human adenovirus</w:t>
      </w:r>
    </w:p>
    <w:p w14:paraId="6BA98D9D" w14:textId="306F4D2E" w:rsidR="00921020" w:rsidRPr="00A8275A" w:rsidRDefault="00921020" w:rsidP="00921020">
      <w:pPr>
        <w:tabs>
          <w:tab w:val="left" w:pos="90"/>
        </w:tabs>
        <w:ind w:left="2835" w:hanging="2835"/>
        <w:rPr>
          <w:szCs w:val="22"/>
        </w:rPr>
      </w:pPr>
      <w:r w:rsidRPr="00A8275A">
        <w:rPr>
          <w:szCs w:val="22"/>
        </w:rPr>
        <w:t>Scientific Name:</w:t>
      </w:r>
      <w:r w:rsidRPr="00A8275A">
        <w:rPr>
          <w:szCs w:val="22"/>
        </w:rPr>
        <w:tab/>
      </w:r>
      <w:r w:rsidRPr="00A8275A">
        <w:rPr>
          <w:iCs/>
          <w:szCs w:val="22"/>
        </w:rPr>
        <w:t xml:space="preserve">Human adenovirus C serotype </w:t>
      </w:r>
      <w:r w:rsidR="007E7DDC" w:rsidRPr="00A8275A">
        <w:rPr>
          <w:iCs/>
          <w:szCs w:val="22"/>
        </w:rPr>
        <w:t>5</w:t>
      </w:r>
    </w:p>
    <w:p w14:paraId="62AABF1D" w14:textId="77777777" w:rsidR="00921020" w:rsidRPr="00A8275A" w:rsidRDefault="00921020" w:rsidP="00921020">
      <w:pPr>
        <w:tabs>
          <w:tab w:val="left" w:pos="90"/>
        </w:tabs>
        <w:ind w:left="2835" w:hanging="2835"/>
        <w:rPr>
          <w:b/>
          <w:bCs/>
          <w:szCs w:val="22"/>
        </w:rPr>
      </w:pPr>
      <w:r w:rsidRPr="00A8275A">
        <w:rPr>
          <w:b/>
          <w:bCs/>
          <w:szCs w:val="22"/>
        </w:rPr>
        <w:t>Modified traits:</w:t>
      </w:r>
    </w:p>
    <w:p w14:paraId="4B7297C6" w14:textId="51E54B9E" w:rsidR="00921020" w:rsidRPr="00A8275A" w:rsidRDefault="00921020" w:rsidP="00921020">
      <w:pPr>
        <w:ind w:left="2835" w:hanging="2835"/>
        <w:rPr>
          <w:szCs w:val="22"/>
        </w:rPr>
      </w:pPr>
      <w:r w:rsidRPr="00A8275A">
        <w:rPr>
          <w:szCs w:val="22"/>
        </w:rPr>
        <w:t>Categories:</w:t>
      </w:r>
      <w:r w:rsidRPr="00A8275A">
        <w:rPr>
          <w:szCs w:val="22"/>
        </w:rPr>
        <w:tab/>
      </w:r>
      <w:r w:rsidR="00E8702A" w:rsidRPr="00A8275A">
        <w:t>Human therapeutic</w:t>
      </w:r>
    </w:p>
    <w:p w14:paraId="564E3E7F" w14:textId="563E7C83" w:rsidR="006E10AE" w:rsidRDefault="00921020" w:rsidP="0098338F">
      <w:pPr>
        <w:ind w:left="2835" w:hanging="2835"/>
        <w:sectPr w:rsidR="006E10AE" w:rsidSect="008F70A1">
          <w:footerReference w:type="default" r:id="rId56"/>
          <w:pgSz w:w="11909" w:h="16834" w:code="9"/>
          <w:pgMar w:top="1418" w:right="1418" w:bottom="1418" w:left="1418" w:header="720" w:footer="720" w:gutter="0"/>
          <w:paperSrc w:first="2" w:other="2"/>
          <w:cols w:space="720"/>
        </w:sectPr>
      </w:pPr>
      <w:r w:rsidRPr="00A8275A">
        <w:rPr>
          <w:szCs w:val="22"/>
        </w:rPr>
        <w:t>Description:</w:t>
      </w:r>
      <w:r w:rsidRPr="00A8275A">
        <w:rPr>
          <w:szCs w:val="22"/>
        </w:rPr>
        <w:tab/>
      </w:r>
      <w:r w:rsidR="007E7DDC" w:rsidRPr="00A8275A">
        <w:rPr>
          <w:szCs w:val="22"/>
        </w:rPr>
        <w:t xml:space="preserve">The adenovirus has been modified to be replication incompetent and carries a </w:t>
      </w:r>
      <w:proofErr w:type="spellStart"/>
      <w:r w:rsidR="007E7DDC" w:rsidRPr="00A8275A">
        <w:rPr>
          <w:i/>
          <w:iCs/>
          <w:szCs w:val="22"/>
        </w:rPr>
        <w:t>hIFN</w:t>
      </w:r>
      <w:proofErr w:type="spellEnd"/>
      <w:r w:rsidR="007E7DDC" w:rsidRPr="00A8275A">
        <w:rPr>
          <w:i/>
          <w:iCs/>
          <w:szCs w:val="22"/>
        </w:rPr>
        <w:t>-α2b</w:t>
      </w:r>
      <w:r w:rsidR="007E7DDC" w:rsidRPr="00A8275A">
        <w:rPr>
          <w:szCs w:val="22"/>
        </w:rPr>
        <w:t xml:space="preserve"> gene for the treatment of adult patients with high-grade Bacillus Calmette-Guérin (BCG)-unresponsive non-muscle invasive bladder cancer</w:t>
      </w:r>
      <w:r w:rsidR="009148B6" w:rsidRPr="00A8275A">
        <w:rPr>
          <w:szCs w:val="22"/>
        </w:rPr>
        <w:t xml:space="preserve"> (NMIBC) or intermediate risk (IR) NMIBC</w:t>
      </w:r>
      <w:r w:rsidRPr="00A8275A">
        <w:rPr>
          <w:szCs w:val="22"/>
        </w:rPr>
        <w:t>.</w:t>
      </w:r>
    </w:p>
    <w:p w14:paraId="46E3F737" w14:textId="4200BE3A" w:rsidR="00594131" w:rsidRPr="005B4CC0" w:rsidRDefault="00594131" w:rsidP="00452B9E">
      <w:pPr>
        <w:pStyle w:val="Head2-Subheading"/>
      </w:pPr>
      <w:bookmarkStart w:id="476" w:name="_Toc219281427"/>
      <w:r w:rsidRPr="005B4CC0">
        <w:lastRenderedPageBreak/>
        <w:t>Attachment B</w:t>
      </w:r>
      <w:r w:rsidR="008D264A" w:rsidRPr="005B4CC0">
        <w:t xml:space="preserve"> Summary of reporting requirements*</w:t>
      </w:r>
      <w:bookmarkEnd w:id="476"/>
    </w:p>
    <w:tbl>
      <w:tblPr>
        <w:tblStyle w:val="TableGrid"/>
        <w:tblpPr w:leftFromText="180" w:rightFromText="180" w:vertAnchor="text" w:horzAnchor="margin" w:tblpY="115"/>
        <w:tblW w:w="9072" w:type="dxa"/>
        <w:tblLook w:val="04A0" w:firstRow="1" w:lastRow="0" w:firstColumn="1" w:lastColumn="0" w:noHBand="0" w:noVBand="1"/>
      </w:tblPr>
      <w:tblGrid>
        <w:gridCol w:w="6116"/>
        <w:gridCol w:w="1051"/>
        <w:gridCol w:w="1905"/>
      </w:tblGrid>
      <w:tr w:rsidR="008D264A" w:rsidRPr="008D264A" w:rsidDel="00CF234F" w14:paraId="4C27C3A5" w14:textId="77777777" w:rsidTr="008D264A">
        <w:tc>
          <w:tcPr>
            <w:tcW w:w="6116" w:type="dxa"/>
            <w:shd w:val="clear" w:color="auto" w:fill="F2F2F2" w:themeFill="background1" w:themeFillShade="F2"/>
          </w:tcPr>
          <w:p w14:paraId="46807DB1" w14:textId="77777777" w:rsidR="008D264A" w:rsidRPr="008D264A" w:rsidRDefault="008D264A" w:rsidP="008D264A">
            <w:pPr>
              <w:pStyle w:val="certaddress"/>
              <w:spacing w:before="120" w:after="120"/>
              <w:ind w:left="0"/>
              <w:rPr>
                <w:rFonts w:ascii="Calibri" w:hAnsi="Calibri" w:cs="Calibri"/>
                <w:b/>
                <w:color w:val="auto"/>
              </w:rPr>
            </w:pPr>
            <w:r w:rsidRPr="008D264A">
              <w:rPr>
                <w:rFonts w:ascii="Calibri" w:hAnsi="Calibri" w:cs="Calibri"/>
                <w:b/>
                <w:color w:val="auto"/>
              </w:rPr>
              <w:t>Prior to the commencement of the trial</w:t>
            </w:r>
          </w:p>
        </w:tc>
        <w:tc>
          <w:tcPr>
            <w:tcW w:w="1051" w:type="dxa"/>
            <w:shd w:val="clear" w:color="auto" w:fill="F2F2F2" w:themeFill="background1" w:themeFillShade="F2"/>
          </w:tcPr>
          <w:p w14:paraId="4A62D055" w14:textId="77777777" w:rsidR="008D264A" w:rsidRPr="008D264A" w:rsidRDefault="008D264A" w:rsidP="008D264A">
            <w:pPr>
              <w:pStyle w:val="certaddress"/>
              <w:spacing w:before="120" w:after="120"/>
              <w:ind w:left="-57" w:right="-57"/>
              <w:rPr>
                <w:rFonts w:ascii="Calibri" w:hAnsi="Calibri" w:cs="Calibri"/>
                <w:b/>
                <w:color w:val="auto"/>
              </w:rPr>
            </w:pPr>
            <w:r w:rsidRPr="008D264A">
              <w:rPr>
                <w:rFonts w:ascii="Calibri" w:hAnsi="Calibri" w:cs="Calibri"/>
                <w:b/>
                <w:color w:val="auto"/>
              </w:rPr>
              <w:t>Condition</w:t>
            </w:r>
          </w:p>
        </w:tc>
        <w:tc>
          <w:tcPr>
            <w:tcW w:w="1905" w:type="dxa"/>
            <w:shd w:val="clear" w:color="auto" w:fill="F2F2F2" w:themeFill="background1" w:themeFillShade="F2"/>
          </w:tcPr>
          <w:p w14:paraId="4BDF2F56" w14:textId="77777777" w:rsidR="008D264A" w:rsidRPr="008D264A" w:rsidDel="00CF234F" w:rsidRDefault="008D264A" w:rsidP="008D264A">
            <w:pPr>
              <w:pStyle w:val="certaddress"/>
              <w:spacing w:before="120" w:after="120"/>
              <w:ind w:left="0"/>
              <w:rPr>
                <w:rFonts w:ascii="Calibri" w:hAnsi="Calibri" w:cs="Calibri"/>
                <w:b/>
                <w:color w:val="auto"/>
              </w:rPr>
            </w:pPr>
            <w:r w:rsidRPr="008D264A">
              <w:rPr>
                <w:rFonts w:ascii="Calibri" w:hAnsi="Calibri" w:cs="Calibri"/>
                <w:b/>
                <w:color w:val="auto"/>
              </w:rPr>
              <w:t>Timeframe for reporting</w:t>
            </w:r>
          </w:p>
        </w:tc>
      </w:tr>
      <w:tr w:rsidR="008D264A" w:rsidRPr="008D264A" w14:paraId="27119004" w14:textId="77777777" w:rsidTr="008D264A">
        <w:tc>
          <w:tcPr>
            <w:tcW w:w="6116" w:type="dxa"/>
          </w:tcPr>
          <w:p w14:paraId="155989FB" w14:textId="6E44A610"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The name and address of each Storage facility</w:t>
            </w:r>
          </w:p>
        </w:tc>
        <w:tc>
          <w:tcPr>
            <w:tcW w:w="1051" w:type="dxa"/>
          </w:tcPr>
          <w:p w14:paraId="270F288B" w14:textId="7AC79A37" w:rsidR="008D264A" w:rsidRPr="004A0362" w:rsidRDefault="00662B32"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_Ref217315639 \n \h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40</w:t>
            </w:r>
            <w:r w:rsidRPr="004A0362">
              <w:rPr>
                <w:rFonts w:ascii="Calibri" w:hAnsi="Calibri" w:cs="Calibri"/>
                <w:color w:val="auto"/>
              </w:rPr>
              <w:fldChar w:fldCharType="end"/>
            </w:r>
          </w:p>
        </w:tc>
        <w:tc>
          <w:tcPr>
            <w:tcW w:w="1905" w:type="dxa"/>
          </w:tcPr>
          <w:p w14:paraId="0B93257B" w14:textId="3AF0E23D" w:rsidR="008D264A" w:rsidRPr="008D264A" w:rsidRDefault="00662B32" w:rsidP="008D264A">
            <w:pPr>
              <w:pStyle w:val="certaddress"/>
              <w:ind w:left="0"/>
              <w:rPr>
                <w:rFonts w:ascii="Calibri" w:hAnsi="Calibri" w:cs="Calibri"/>
                <w:color w:val="auto"/>
              </w:rPr>
            </w:pPr>
            <w:r w:rsidRPr="00662B32">
              <w:rPr>
                <w:rFonts w:ascii="Calibri" w:hAnsi="Calibri" w:cs="Calibri"/>
                <w:color w:val="auto"/>
              </w:rPr>
              <w:t>Before commencement of dealings at that location</w:t>
            </w:r>
          </w:p>
        </w:tc>
      </w:tr>
      <w:tr w:rsidR="008D264A" w:rsidRPr="008D264A" w14:paraId="4AD56465" w14:textId="77777777" w:rsidTr="008D264A">
        <w:tc>
          <w:tcPr>
            <w:tcW w:w="6116" w:type="dxa"/>
          </w:tcPr>
          <w:p w14:paraId="2C895CC5"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A written Compliance Management Plan for each Clinical trial site:</w:t>
            </w:r>
          </w:p>
          <w:p w14:paraId="2CB8C483" w14:textId="77777777" w:rsidR="008D264A" w:rsidRPr="008D264A" w:rsidRDefault="008D264A" w:rsidP="008D264A">
            <w:pPr>
              <w:pStyle w:val="ListParagraph"/>
              <w:numPr>
                <w:ilvl w:val="0"/>
                <w:numId w:val="87"/>
              </w:numPr>
              <w:contextualSpacing/>
              <w:rPr>
                <w:rFonts w:cs="Calibri"/>
                <w:szCs w:val="22"/>
              </w:rPr>
            </w:pPr>
            <w:r w:rsidRPr="008D264A">
              <w:rPr>
                <w:rFonts w:cs="Calibri"/>
                <w:szCs w:val="22"/>
              </w:rPr>
              <w:t xml:space="preserve">the name, address and description of the Clinical trial site, including any associated Pharmacies/storage areas/Analytical </w:t>
            </w:r>
            <w:proofErr w:type="gramStart"/>
            <w:r w:rsidRPr="008D264A">
              <w:rPr>
                <w:rFonts w:cs="Calibri"/>
                <w:szCs w:val="22"/>
              </w:rPr>
              <w:t>facilities;</w:t>
            </w:r>
            <w:proofErr w:type="gramEnd"/>
          </w:p>
          <w:p w14:paraId="4757B25A"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 xml:space="preserve">the role and contact details for key persons responsible for the management of the trial at the </w:t>
            </w:r>
            <w:proofErr w:type="gramStart"/>
            <w:r w:rsidRPr="008D264A">
              <w:rPr>
                <w:rFonts w:ascii="Calibri" w:hAnsi="Calibri" w:cs="Calibri"/>
                <w:color w:val="auto"/>
              </w:rPr>
              <w:t>site;</w:t>
            </w:r>
            <w:proofErr w:type="gramEnd"/>
          </w:p>
          <w:p w14:paraId="0A61FB98"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 xml:space="preserve">that the Institutional Biosafety Committee (IBC) associated with the site (if any) has been notified of the trial and have been consulted regarding site specific </w:t>
            </w:r>
            <w:proofErr w:type="gramStart"/>
            <w:r w:rsidRPr="008D264A">
              <w:rPr>
                <w:rFonts w:ascii="Calibri" w:hAnsi="Calibri" w:cs="Calibri"/>
                <w:color w:val="auto"/>
              </w:rPr>
              <w:t>procedures;</w:t>
            </w:r>
            <w:proofErr w:type="gramEnd"/>
          </w:p>
          <w:p w14:paraId="6BFDA1F9"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the proposed reporting structure for the trial at the site</w:t>
            </w:r>
            <w:r w:rsidRPr="008D264A">
              <w:rPr>
                <w:rFonts w:ascii="Calibri" w:hAnsi="Calibri" w:cs="Calibri"/>
              </w:rPr>
              <w:t xml:space="preserve"> </w:t>
            </w:r>
            <w:r w:rsidRPr="008D264A">
              <w:rPr>
                <w:rFonts w:ascii="Calibri" w:hAnsi="Calibri" w:cs="Calibri"/>
                <w:color w:val="auto"/>
              </w:rPr>
              <w:t xml:space="preserve">and how the reporting structure enables the licence holder to become aware of all reportable </w:t>
            </w:r>
            <w:proofErr w:type="gramStart"/>
            <w:r w:rsidRPr="008D264A">
              <w:rPr>
                <w:rFonts w:ascii="Calibri" w:hAnsi="Calibri" w:cs="Calibri"/>
                <w:color w:val="auto"/>
              </w:rPr>
              <w:t>events;</w:t>
            </w:r>
            <w:proofErr w:type="gramEnd"/>
          </w:p>
          <w:p w14:paraId="7C3BD0A7"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 xml:space="preserve">details of how the persons covered by the licence (for that type of dealing) will be informed of licence conditions applicable to them and how they will be trained to safely conduct the </w:t>
            </w:r>
            <w:proofErr w:type="gramStart"/>
            <w:r w:rsidRPr="008D264A">
              <w:rPr>
                <w:rFonts w:ascii="Calibri" w:hAnsi="Calibri" w:cs="Calibri"/>
                <w:color w:val="auto"/>
              </w:rPr>
              <w:t>dealings;</w:t>
            </w:r>
            <w:proofErr w:type="gramEnd"/>
          </w:p>
          <w:p w14:paraId="1DC098F8"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 xml:space="preserve">the person(s) or class of persons administering the </w:t>
            </w:r>
            <w:proofErr w:type="gramStart"/>
            <w:r w:rsidRPr="008D264A">
              <w:rPr>
                <w:rFonts w:ascii="Calibri" w:hAnsi="Calibri" w:cs="Calibri"/>
                <w:color w:val="auto"/>
              </w:rPr>
              <w:t>GMO;</w:t>
            </w:r>
            <w:proofErr w:type="gramEnd"/>
            <w:r w:rsidRPr="008D264A">
              <w:rPr>
                <w:rFonts w:ascii="Calibri" w:hAnsi="Calibri" w:cs="Calibri"/>
                <w:color w:val="auto"/>
              </w:rPr>
              <w:t xml:space="preserve"> </w:t>
            </w:r>
          </w:p>
          <w:p w14:paraId="00B93724"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 xml:space="preserve">where, within the site, the GMO is expected to be </w:t>
            </w:r>
            <w:proofErr w:type="gramStart"/>
            <w:r w:rsidRPr="008D264A">
              <w:rPr>
                <w:rFonts w:ascii="Calibri" w:hAnsi="Calibri" w:cs="Calibri"/>
                <w:color w:val="auto"/>
              </w:rPr>
              <w:t>administered;</w:t>
            </w:r>
            <w:proofErr w:type="gramEnd"/>
          </w:p>
          <w:p w14:paraId="5C8519C6" w14:textId="77777777" w:rsidR="008D264A" w:rsidRPr="008D264A" w:rsidRDefault="008D264A" w:rsidP="008D264A">
            <w:pPr>
              <w:pStyle w:val="certaddress"/>
              <w:numPr>
                <w:ilvl w:val="0"/>
                <w:numId w:val="87"/>
              </w:numPr>
              <w:rPr>
                <w:rFonts w:ascii="Calibri" w:hAnsi="Calibri" w:cs="Calibri"/>
                <w:color w:val="auto"/>
              </w:rPr>
            </w:pPr>
            <w:r w:rsidRPr="008D264A">
              <w:rPr>
                <w:rFonts w:ascii="Calibri" w:hAnsi="Calibri" w:cs="Calibri"/>
                <w:color w:val="auto"/>
              </w:rPr>
              <w:t>expected date of first administration; and</w:t>
            </w:r>
          </w:p>
          <w:p w14:paraId="793A9586" w14:textId="1448A9C4" w:rsidR="008D264A" w:rsidRPr="008D264A" w:rsidRDefault="008D264A" w:rsidP="008D264A">
            <w:pPr>
              <w:pStyle w:val="ListParagraph"/>
              <w:numPr>
                <w:ilvl w:val="0"/>
                <w:numId w:val="87"/>
              </w:numPr>
              <w:contextualSpacing/>
              <w:rPr>
                <w:rFonts w:cs="Calibri"/>
                <w:szCs w:val="22"/>
              </w:rPr>
            </w:pPr>
            <w:r w:rsidRPr="008D264A">
              <w:rPr>
                <w:rFonts w:cs="Calibri"/>
                <w:szCs w:val="22"/>
              </w:rPr>
              <w:t xml:space="preserve">how compliance with Condition </w:t>
            </w:r>
            <w:r w:rsidRPr="008D264A">
              <w:rPr>
                <w:rFonts w:cs="Calibri"/>
                <w:szCs w:val="22"/>
              </w:rPr>
              <w:fldChar w:fldCharType="begin"/>
            </w:r>
            <w:r w:rsidRPr="008D264A">
              <w:rPr>
                <w:rFonts w:cs="Calibri"/>
                <w:szCs w:val="22"/>
              </w:rPr>
              <w:instrText xml:space="preserve"> REF _Ref48723783 \r \h  \* MERGEFORMAT </w:instrText>
            </w:r>
            <w:r w:rsidRPr="008D264A">
              <w:rPr>
                <w:rFonts w:cs="Calibri"/>
                <w:szCs w:val="22"/>
              </w:rPr>
            </w:r>
            <w:r w:rsidRPr="008D264A">
              <w:rPr>
                <w:rFonts w:cs="Calibri"/>
                <w:szCs w:val="22"/>
              </w:rPr>
              <w:fldChar w:fldCharType="separate"/>
            </w:r>
            <w:r w:rsidRPr="008D264A">
              <w:rPr>
                <w:rFonts w:cs="Calibri"/>
                <w:szCs w:val="22"/>
              </w:rPr>
              <w:t>29</w:t>
            </w:r>
            <w:r w:rsidRPr="008D264A">
              <w:rPr>
                <w:rFonts w:cs="Calibri"/>
                <w:szCs w:val="22"/>
              </w:rPr>
              <w:fldChar w:fldCharType="end"/>
            </w:r>
            <w:r w:rsidRPr="008D264A">
              <w:rPr>
                <w:rFonts w:cs="Calibri"/>
                <w:szCs w:val="22"/>
              </w:rPr>
              <w:t xml:space="preserve"> will be achieved in relation to preparation of participant Samples for analysis </w:t>
            </w:r>
            <w:proofErr w:type="gramStart"/>
            <w:r w:rsidRPr="008D264A">
              <w:rPr>
                <w:rFonts w:cs="Calibri"/>
                <w:szCs w:val="22"/>
              </w:rPr>
              <w:t>subsequent to</w:t>
            </w:r>
            <w:proofErr w:type="gramEnd"/>
            <w:r w:rsidRPr="008D264A">
              <w:rPr>
                <w:rFonts w:cs="Calibri"/>
                <w:szCs w:val="22"/>
              </w:rPr>
              <w:t xml:space="preserve"> administering the GMO</w:t>
            </w:r>
            <w:r w:rsidR="00ED00ED">
              <w:rPr>
                <w:rFonts w:cs="Calibri"/>
                <w:szCs w:val="22"/>
              </w:rPr>
              <w:t>.</w:t>
            </w:r>
          </w:p>
        </w:tc>
        <w:tc>
          <w:tcPr>
            <w:tcW w:w="1051" w:type="dxa"/>
          </w:tcPr>
          <w:p w14:paraId="57871DC1" w14:textId="66DA7D6A" w:rsidR="008D264A" w:rsidRPr="004A0362" w:rsidRDefault="00662B32"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_Ref216860985 \n \h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41</w:t>
            </w:r>
            <w:r w:rsidRPr="004A0362">
              <w:rPr>
                <w:rFonts w:ascii="Calibri" w:hAnsi="Calibri" w:cs="Calibri"/>
                <w:color w:val="auto"/>
              </w:rPr>
              <w:fldChar w:fldCharType="end"/>
            </w:r>
          </w:p>
        </w:tc>
        <w:tc>
          <w:tcPr>
            <w:tcW w:w="1905" w:type="dxa"/>
          </w:tcPr>
          <w:p w14:paraId="758D5A7D"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 xml:space="preserve">At least 14 days prior to the first administration of the GMO at each Clinical trial site, or a timeframe agreed to in writing by the Regulator </w:t>
            </w:r>
          </w:p>
        </w:tc>
      </w:tr>
      <w:tr w:rsidR="008D264A" w:rsidRPr="008D264A" w14:paraId="06A2A598" w14:textId="77777777" w:rsidTr="008D264A">
        <w:tc>
          <w:tcPr>
            <w:tcW w:w="9072" w:type="dxa"/>
            <w:gridSpan w:val="3"/>
            <w:shd w:val="clear" w:color="auto" w:fill="F2F2F2" w:themeFill="background1" w:themeFillShade="F2"/>
          </w:tcPr>
          <w:p w14:paraId="7779619C" w14:textId="77777777" w:rsidR="008D264A" w:rsidRPr="004A0362" w:rsidRDefault="008D264A" w:rsidP="008D264A">
            <w:pPr>
              <w:pStyle w:val="certaddress"/>
              <w:spacing w:before="120" w:after="120"/>
              <w:ind w:left="0"/>
              <w:rPr>
                <w:rFonts w:ascii="Calibri" w:hAnsi="Calibri" w:cs="Calibri"/>
                <w:b/>
                <w:color w:val="auto"/>
              </w:rPr>
            </w:pPr>
            <w:r w:rsidRPr="004A0362">
              <w:rPr>
                <w:rFonts w:ascii="Calibri" w:hAnsi="Calibri" w:cs="Calibri"/>
                <w:b/>
                <w:color w:val="auto"/>
              </w:rPr>
              <w:t>Information to be provided at any time during the Clinical trial</w:t>
            </w:r>
          </w:p>
        </w:tc>
      </w:tr>
      <w:tr w:rsidR="008D264A" w:rsidRPr="008D264A" w14:paraId="55EB99FC" w14:textId="77777777" w:rsidTr="008D264A">
        <w:tc>
          <w:tcPr>
            <w:tcW w:w="6116" w:type="dxa"/>
          </w:tcPr>
          <w:p w14:paraId="28B77EE1"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Any additional information related to the health and safety of people and the environment associated with the dealing covered by the licence, or any unintended effect of the dealing authorised by the licence</w:t>
            </w:r>
          </w:p>
        </w:tc>
        <w:tc>
          <w:tcPr>
            <w:tcW w:w="1051" w:type="dxa"/>
          </w:tcPr>
          <w:p w14:paraId="228B3C3B"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_Ref32923217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15</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_Ref32923214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(a)</w:t>
            </w:r>
            <w:r w:rsidRPr="004A0362">
              <w:rPr>
                <w:rFonts w:ascii="Calibri" w:hAnsi="Calibri" w:cs="Calibri"/>
                <w:color w:val="auto"/>
              </w:rPr>
              <w:fldChar w:fldCharType="end"/>
            </w:r>
            <w:r w:rsidRPr="004A0362">
              <w:rPr>
                <w:rFonts w:ascii="Calibri" w:hAnsi="Calibri" w:cs="Calibri"/>
                <w:color w:val="auto"/>
              </w:rPr>
              <w:t xml:space="preserve">, </w:t>
            </w:r>
            <w:r w:rsidRPr="004A0362">
              <w:rPr>
                <w:rFonts w:ascii="Calibri" w:hAnsi="Calibri" w:cs="Calibri"/>
                <w:color w:val="auto"/>
              </w:rPr>
              <w:fldChar w:fldCharType="begin"/>
            </w:r>
            <w:r w:rsidRPr="004A0362">
              <w:rPr>
                <w:rFonts w:ascii="Calibri" w:hAnsi="Calibri" w:cs="Calibri"/>
                <w:color w:val="auto"/>
              </w:rPr>
              <w:instrText xml:space="preserve"> REF _Ref32923221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(c)</w:t>
            </w:r>
            <w:r w:rsidRPr="004A0362">
              <w:rPr>
                <w:rFonts w:ascii="Calibri" w:hAnsi="Calibri" w:cs="Calibri"/>
                <w:color w:val="auto"/>
              </w:rPr>
              <w:fldChar w:fldCharType="end"/>
            </w:r>
          </w:p>
        </w:tc>
        <w:tc>
          <w:tcPr>
            <w:tcW w:w="1905" w:type="dxa"/>
          </w:tcPr>
          <w:p w14:paraId="529269A4"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Immediately</w:t>
            </w:r>
          </w:p>
        </w:tc>
      </w:tr>
      <w:tr w:rsidR="008D264A" w:rsidRPr="008D264A" w14:paraId="35E4DD53" w14:textId="77777777" w:rsidTr="008D264A">
        <w:tc>
          <w:tcPr>
            <w:tcW w:w="6116" w:type="dxa"/>
          </w:tcPr>
          <w:p w14:paraId="4A7F377B"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 xml:space="preserve">Information related to any contravention of the licence by a person covered by the licence </w:t>
            </w:r>
          </w:p>
        </w:tc>
        <w:tc>
          <w:tcPr>
            <w:tcW w:w="1051" w:type="dxa"/>
          </w:tcPr>
          <w:p w14:paraId="0D8048D9"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_Ref32923217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15</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_Ref32923265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(b)</w:t>
            </w:r>
            <w:r w:rsidRPr="004A0362">
              <w:rPr>
                <w:rFonts w:ascii="Calibri" w:hAnsi="Calibri" w:cs="Calibri"/>
                <w:color w:val="auto"/>
              </w:rPr>
              <w:fldChar w:fldCharType="end"/>
            </w:r>
          </w:p>
        </w:tc>
        <w:tc>
          <w:tcPr>
            <w:tcW w:w="1905" w:type="dxa"/>
          </w:tcPr>
          <w:p w14:paraId="0D77542C"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 xml:space="preserve">Immediately </w:t>
            </w:r>
          </w:p>
        </w:tc>
      </w:tr>
      <w:tr w:rsidR="008D264A" w:rsidRPr="008D264A" w14:paraId="3395CB4D" w14:textId="77777777" w:rsidTr="008D264A">
        <w:tc>
          <w:tcPr>
            <w:tcW w:w="6116" w:type="dxa"/>
          </w:tcPr>
          <w:p w14:paraId="280B7B9E"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 xml:space="preserve">Any relevant conviction of the licence holder </w:t>
            </w:r>
          </w:p>
        </w:tc>
        <w:tc>
          <w:tcPr>
            <w:tcW w:w="1051" w:type="dxa"/>
          </w:tcPr>
          <w:p w14:paraId="5B92144B"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_Ref32923274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16</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_Ref32923275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(d)</w:t>
            </w:r>
            <w:r w:rsidRPr="004A0362">
              <w:rPr>
                <w:rFonts w:ascii="Calibri" w:hAnsi="Calibri" w:cs="Calibri"/>
                <w:color w:val="auto"/>
              </w:rPr>
              <w:fldChar w:fldCharType="end"/>
            </w:r>
          </w:p>
        </w:tc>
        <w:tc>
          <w:tcPr>
            <w:tcW w:w="1905" w:type="dxa"/>
          </w:tcPr>
          <w:p w14:paraId="0E216E6C"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 xml:space="preserve">Immediately </w:t>
            </w:r>
          </w:p>
        </w:tc>
      </w:tr>
      <w:tr w:rsidR="008D264A" w:rsidRPr="008D264A" w14:paraId="6724DE3B" w14:textId="77777777" w:rsidTr="008D264A">
        <w:tc>
          <w:tcPr>
            <w:tcW w:w="6116" w:type="dxa"/>
          </w:tcPr>
          <w:p w14:paraId="14A506F1"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lastRenderedPageBreak/>
              <w:t>Any revocation or suspension of a licence or permit held by the licence holder under a law of the Commonwealth, a State or a foreign country</w:t>
            </w:r>
          </w:p>
        </w:tc>
        <w:tc>
          <w:tcPr>
            <w:tcW w:w="1051" w:type="dxa"/>
          </w:tcPr>
          <w:p w14:paraId="1A080759"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_Ref32923274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16</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_Ref32923284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(b)</w:t>
            </w:r>
            <w:r w:rsidRPr="004A0362">
              <w:rPr>
                <w:rFonts w:ascii="Calibri" w:hAnsi="Calibri" w:cs="Calibri"/>
                <w:color w:val="auto"/>
              </w:rPr>
              <w:fldChar w:fldCharType="end"/>
            </w:r>
          </w:p>
        </w:tc>
        <w:tc>
          <w:tcPr>
            <w:tcW w:w="1905" w:type="dxa"/>
          </w:tcPr>
          <w:p w14:paraId="410E92DC"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Immediately</w:t>
            </w:r>
          </w:p>
        </w:tc>
      </w:tr>
      <w:tr w:rsidR="008D264A" w:rsidRPr="008D264A" w14:paraId="2672F113" w14:textId="77777777" w:rsidTr="008D264A">
        <w:tc>
          <w:tcPr>
            <w:tcW w:w="6116" w:type="dxa"/>
          </w:tcPr>
          <w:p w14:paraId="0C6E753F"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Any event or circumstances that would impact the licence holder capacity to meet the licence conditions</w:t>
            </w:r>
          </w:p>
        </w:tc>
        <w:tc>
          <w:tcPr>
            <w:tcW w:w="1051" w:type="dxa"/>
          </w:tcPr>
          <w:p w14:paraId="0494B660"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_Ref32923274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16</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_Ref32923294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(c)</w:t>
            </w:r>
            <w:r w:rsidRPr="004A0362">
              <w:rPr>
                <w:rFonts w:ascii="Calibri" w:hAnsi="Calibri" w:cs="Calibri"/>
                <w:color w:val="auto"/>
              </w:rPr>
              <w:fldChar w:fldCharType="end"/>
            </w:r>
          </w:p>
        </w:tc>
        <w:tc>
          <w:tcPr>
            <w:tcW w:w="1905" w:type="dxa"/>
          </w:tcPr>
          <w:p w14:paraId="58253519"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Immediately</w:t>
            </w:r>
          </w:p>
        </w:tc>
      </w:tr>
      <w:tr w:rsidR="00955646" w:rsidRPr="008D264A" w14:paraId="31A5CB3A" w14:textId="77777777" w:rsidTr="008D264A">
        <w:tc>
          <w:tcPr>
            <w:tcW w:w="6116" w:type="dxa"/>
          </w:tcPr>
          <w:p w14:paraId="4BEED654" w14:textId="6E3D62F9" w:rsidR="00955646" w:rsidRPr="008D264A" w:rsidRDefault="004D0670" w:rsidP="008D264A">
            <w:pPr>
              <w:pStyle w:val="certaddress"/>
              <w:spacing w:before="120" w:after="120"/>
              <w:ind w:left="0"/>
              <w:rPr>
                <w:rFonts w:ascii="Calibri" w:hAnsi="Calibri" w:cs="Calibri"/>
                <w:color w:val="auto"/>
              </w:rPr>
            </w:pPr>
            <w:r w:rsidRPr="004D0670">
              <w:rPr>
                <w:rFonts w:ascii="Calibri" w:hAnsi="Calibri" w:cs="Calibri"/>
                <w:color w:val="auto"/>
              </w:rPr>
              <w:t>Provide notification to the Regulator, in writing, of the final GMO administration of the last trial participant at each Clinical trial site</w:t>
            </w:r>
          </w:p>
        </w:tc>
        <w:tc>
          <w:tcPr>
            <w:tcW w:w="1051" w:type="dxa"/>
          </w:tcPr>
          <w:p w14:paraId="24A12A4F" w14:textId="42A3886B" w:rsidR="00955646" w:rsidRPr="004A0362" w:rsidRDefault="004D0670" w:rsidP="008D264A">
            <w:pPr>
              <w:pStyle w:val="certaddress"/>
              <w:ind w:left="0"/>
              <w:jc w:val="center"/>
              <w:rPr>
                <w:rFonts w:ascii="Calibri" w:hAnsi="Calibri" w:cs="Calibri"/>
                <w:color w:val="auto"/>
              </w:rPr>
            </w:pPr>
            <w:r>
              <w:rPr>
                <w:rFonts w:ascii="Calibri" w:hAnsi="Calibri" w:cs="Calibri"/>
                <w:color w:val="auto"/>
              </w:rPr>
              <w:fldChar w:fldCharType="begin"/>
            </w:r>
            <w:r>
              <w:rPr>
                <w:rFonts w:ascii="Calibri" w:hAnsi="Calibri" w:cs="Calibri"/>
                <w:color w:val="auto"/>
              </w:rPr>
              <w:instrText xml:space="preserve"> REF _Ref216861794 \n \h </w:instrText>
            </w:r>
            <w:r>
              <w:rPr>
                <w:rFonts w:ascii="Calibri" w:hAnsi="Calibri" w:cs="Calibri"/>
                <w:color w:val="auto"/>
              </w:rPr>
            </w:r>
            <w:r>
              <w:rPr>
                <w:rFonts w:ascii="Calibri" w:hAnsi="Calibri" w:cs="Calibri"/>
                <w:color w:val="auto"/>
              </w:rPr>
              <w:fldChar w:fldCharType="separate"/>
            </w:r>
            <w:r>
              <w:rPr>
                <w:rFonts w:ascii="Calibri" w:hAnsi="Calibri" w:cs="Calibri"/>
                <w:color w:val="auto"/>
              </w:rPr>
              <w:t>42</w:t>
            </w:r>
            <w:r>
              <w:rPr>
                <w:rFonts w:ascii="Calibri" w:hAnsi="Calibri" w:cs="Calibri"/>
                <w:color w:val="auto"/>
              </w:rPr>
              <w:fldChar w:fldCharType="end"/>
            </w:r>
            <w:r w:rsidR="00133020">
              <w:rPr>
                <w:rFonts w:ascii="Calibri" w:hAnsi="Calibri" w:cs="Calibri"/>
                <w:color w:val="auto"/>
              </w:rPr>
              <w:fldChar w:fldCharType="begin"/>
            </w:r>
            <w:r w:rsidR="00133020">
              <w:rPr>
                <w:rFonts w:ascii="Calibri" w:hAnsi="Calibri" w:cs="Calibri"/>
                <w:color w:val="auto"/>
              </w:rPr>
              <w:instrText xml:space="preserve"> REF _Ref219302004 \n \h </w:instrText>
            </w:r>
            <w:r w:rsidR="00133020">
              <w:rPr>
                <w:rFonts w:ascii="Calibri" w:hAnsi="Calibri" w:cs="Calibri"/>
                <w:color w:val="auto"/>
              </w:rPr>
            </w:r>
            <w:r w:rsidR="00133020">
              <w:rPr>
                <w:rFonts w:ascii="Calibri" w:hAnsi="Calibri" w:cs="Calibri"/>
                <w:color w:val="auto"/>
              </w:rPr>
              <w:fldChar w:fldCharType="separate"/>
            </w:r>
            <w:r w:rsidR="00133020">
              <w:rPr>
                <w:rFonts w:ascii="Calibri" w:hAnsi="Calibri" w:cs="Calibri"/>
                <w:color w:val="auto"/>
              </w:rPr>
              <w:t>(a)</w:t>
            </w:r>
            <w:r w:rsidR="00133020">
              <w:rPr>
                <w:rFonts w:ascii="Calibri" w:hAnsi="Calibri" w:cs="Calibri"/>
                <w:color w:val="auto"/>
              </w:rPr>
              <w:fldChar w:fldCharType="end"/>
            </w:r>
          </w:p>
        </w:tc>
        <w:tc>
          <w:tcPr>
            <w:tcW w:w="1905" w:type="dxa"/>
          </w:tcPr>
          <w:p w14:paraId="55E0F1B7" w14:textId="23A1434D" w:rsidR="00955646" w:rsidRPr="008D264A" w:rsidRDefault="004D0670" w:rsidP="008D264A">
            <w:pPr>
              <w:pStyle w:val="certaddress"/>
              <w:ind w:left="0"/>
              <w:rPr>
                <w:rFonts w:ascii="Calibri" w:hAnsi="Calibri" w:cs="Calibri"/>
                <w:color w:val="auto"/>
              </w:rPr>
            </w:pPr>
            <w:r w:rsidRPr="004D0670">
              <w:rPr>
                <w:rFonts w:ascii="Calibri" w:hAnsi="Calibri" w:cs="Calibri"/>
                <w:color w:val="auto"/>
              </w:rPr>
              <w:t xml:space="preserve">Within 30 days of the decision to cease GMO administration at that </w:t>
            </w:r>
            <w:proofErr w:type="gramStart"/>
            <w:r w:rsidRPr="004D0670">
              <w:rPr>
                <w:rFonts w:ascii="Calibri" w:hAnsi="Calibri" w:cs="Calibri"/>
                <w:color w:val="auto"/>
              </w:rPr>
              <w:t>particular Clinical</w:t>
            </w:r>
            <w:proofErr w:type="gramEnd"/>
            <w:r w:rsidRPr="004D0670">
              <w:rPr>
                <w:rFonts w:ascii="Calibri" w:hAnsi="Calibri" w:cs="Calibri"/>
                <w:color w:val="auto"/>
              </w:rPr>
              <w:t xml:space="preserve"> trial site</w:t>
            </w:r>
          </w:p>
        </w:tc>
      </w:tr>
      <w:tr w:rsidR="008D264A" w:rsidRPr="008D264A" w14:paraId="0D6A2165" w14:textId="77777777" w:rsidTr="008D264A">
        <w:tc>
          <w:tcPr>
            <w:tcW w:w="6116" w:type="dxa"/>
            <w:tcBorders>
              <w:bottom w:val="single" w:sz="4" w:space="0" w:color="auto"/>
            </w:tcBorders>
          </w:tcPr>
          <w:p w14:paraId="22973C72"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Any loss or spill of the GMO, or exposure of a person other than the trial participant to the GMO</w:t>
            </w:r>
          </w:p>
        </w:tc>
        <w:tc>
          <w:tcPr>
            <w:tcW w:w="1051" w:type="dxa"/>
            <w:tcBorders>
              <w:bottom w:val="single" w:sz="4" w:space="0" w:color="auto"/>
            </w:tcBorders>
          </w:tcPr>
          <w:p w14:paraId="1EF6B363" w14:textId="19D9FFC5"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_Ref29290354 \n \h  \* MERGEFORMAT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43</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_Ref33203034 \n \h  \* MERGEFORMAT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(a)</w:t>
            </w:r>
            <w:r w:rsidRPr="004A0362">
              <w:rPr>
                <w:rFonts w:ascii="Calibri" w:hAnsi="Calibri" w:cs="Calibri"/>
                <w:color w:val="auto"/>
              </w:rPr>
              <w:fldChar w:fldCharType="end"/>
            </w:r>
            <w:r w:rsidRPr="004A0362">
              <w:rPr>
                <w:rFonts w:ascii="Calibri" w:hAnsi="Calibri" w:cs="Calibri"/>
                <w:color w:val="auto"/>
              </w:rPr>
              <w:t xml:space="preserve">, </w:t>
            </w:r>
            <w:r w:rsidRPr="004A0362">
              <w:rPr>
                <w:rFonts w:ascii="Calibri" w:hAnsi="Calibri" w:cs="Calibri"/>
                <w:color w:val="auto"/>
              </w:rPr>
              <w:fldChar w:fldCharType="begin"/>
            </w:r>
            <w:r w:rsidRPr="004A0362">
              <w:rPr>
                <w:rFonts w:ascii="Calibri" w:hAnsi="Calibri" w:cs="Calibri"/>
                <w:color w:val="auto"/>
              </w:rPr>
              <w:instrText xml:space="preserve"> REF _Ref33203035 \n \h  \* MERGEFORMAT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(b)</w:t>
            </w:r>
            <w:r w:rsidRPr="004A0362">
              <w:rPr>
                <w:rFonts w:ascii="Calibri" w:hAnsi="Calibri" w:cs="Calibri"/>
                <w:color w:val="auto"/>
              </w:rPr>
              <w:fldChar w:fldCharType="end"/>
            </w:r>
          </w:p>
        </w:tc>
        <w:tc>
          <w:tcPr>
            <w:tcW w:w="1905" w:type="dxa"/>
            <w:tcBorders>
              <w:bottom w:val="single" w:sz="4" w:space="0" w:color="auto"/>
            </w:tcBorders>
          </w:tcPr>
          <w:p w14:paraId="794CABDC"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 xml:space="preserve">As soon as reasonably possible </w:t>
            </w:r>
          </w:p>
        </w:tc>
      </w:tr>
      <w:tr w:rsidR="008D264A" w:rsidRPr="008D264A" w14:paraId="43525160" w14:textId="77777777" w:rsidTr="008D264A">
        <w:tc>
          <w:tcPr>
            <w:tcW w:w="6116" w:type="dxa"/>
            <w:tcBorders>
              <w:bottom w:val="single" w:sz="4" w:space="0" w:color="auto"/>
            </w:tcBorders>
          </w:tcPr>
          <w:p w14:paraId="3B8FC694" w14:textId="77777777" w:rsidR="008D264A" w:rsidRPr="008D264A" w:rsidRDefault="008D264A" w:rsidP="008D264A">
            <w:pPr>
              <w:pStyle w:val="certaddress"/>
              <w:spacing w:before="120" w:after="120"/>
              <w:ind w:left="0"/>
              <w:rPr>
                <w:rFonts w:ascii="Calibri" w:hAnsi="Calibri" w:cs="Calibri"/>
                <w:color w:val="auto"/>
              </w:rPr>
            </w:pPr>
            <w:r w:rsidRPr="008D264A">
              <w:rPr>
                <w:rFonts w:ascii="Calibri" w:hAnsi="Calibri" w:cs="Calibri"/>
                <w:color w:val="auto"/>
              </w:rPr>
              <w:t>Any event where a trial participant has not followed the procedures described in the instruction provided by the licence holder</w:t>
            </w:r>
          </w:p>
        </w:tc>
        <w:tc>
          <w:tcPr>
            <w:tcW w:w="1051" w:type="dxa"/>
            <w:tcBorders>
              <w:bottom w:val="single" w:sz="4" w:space="0" w:color="auto"/>
            </w:tcBorders>
          </w:tcPr>
          <w:p w14:paraId="15C20006" w14:textId="09FCBF92"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_Ref29290354 \n \h  \* MERGEFORMAT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43</w:t>
            </w:r>
            <w:r w:rsidRPr="004A0362">
              <w:rPr>
                <w:rFonts w:ascii="Calibri" w:hAnsi="Calibri" w:cs="Calibri"/>
                <w:color w:val="auto"/>
              </w:rPr>
              <w:fldChar w:fldCharType="end"/>
            </w:r>
            <w:r w:rsidRPr="004A0362">
              <w:rPr>
                <w:rFonts w:ascii="Calibri" w:hAnsi="Calibri" w:cs="Calibri"/>
                <w:color w:val="auto"/>
              </w:rPr>
              <w:fldChar w:fldCharType="begin"/>
            </w:r>
            <w:r w:rsidRPr="004A0362">
              <w:rPr>
                <w:rFonts w:ascii="Calibri" w:hAnsi="Calibri" w:cs="Calibri"/>
                <w:color w:val="auto"/>
              </w:rPr>
              <w:instrText xml:space="preserve"> REF _Ref46934464 \r \h  \* MERGEFORMAT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(c)</w:t>
            </w:r>
            <w:r w:rsidRPr="004A0362">
              <w:rPr>
                <w:rFonts w:ascii="Calibri" w:hAnsi="Calibri" w:cs="Calibri"/>
                <w:color w:val="auto"/>
              </w:rPr>
              <w:fldChar w:fldCharType="end"/>
            </w:r>
          </w:p>
        </w:tc>
        <w:tc>
          <w:tcPr>
            <w:tcW w:w="1905" w:type="dxa"/>
            <w:tcBorders>
              <w:bottom w:val="single" w:sz="4" w:space="0" w:color="auto"/>
            </w:tcBorders>
          </w:tcPr>
          <w:p w14:paraId="4E879B01" w14:textId="77777777" w:rsidR="008D264A" w:rsidRPr="008D264A" w:rsidRDefault="008D264A" w:rsidP="008D264A">
            <w:pPr>
              <w:pStyle w:val="certaddress"/>
              <w:ind w:left="0"/>
              <w:rPr>
                <w:rFonts w:ascii="Calibri" w:hAnsi="Calibri" w:cs="Calibri"/>
                <w:color w:val="auto"/>
              </w:rPr>
            </w:pPr>
            <w:r w:rsidRPr="008D264A">
              <w:rPr>
                <w:rFonts w:ascii="Calibri" w:hAnsi="Calibri" w:cs="Calibri"/>
                <w:color w:val="auto"/>
              </w:rPr>
              <w:t xml:space="preserve">As soon as reasonably possible </w:t>
            </w:r>
          </w:p>
        </w:tc>
      </w:tr>
      <w:tr w:rsidR="008D264A" w:rsidRPr="008D264A" w14:paraId="0FB41F89" w14:textId="77777777" w:rsidTr="008D264A">
        <w:tc>
          <w:tcPr>
            <w:tcW w:w="9072" w:type="dxa"/>
            <w:gridSpan w:val="3"/>
            <w:shd w:val="clear" w:color="auto" w:fill="F2F2F2" w:themeFill="background1" w:themeFillShade="F2"/>
          </w:tcPr>
          <w:p w14:paraId="4808ABD0" w14:textId="77777777" w:rsidR="008D264A" w:rsidRPr="004A0362" w:rsidRDefault="008D264A" w:rsidP="008D264A">
            <w:pPr>
              <w:pStyle w:val="certaddress"/>
              <w:ind w:left="0"/>
              <w:rPr>
                <w:rFonts w:ascii="Calibri" w:hAnsi="Calibri" w:cs="Calibri"/>
                <w:color w:val="auto"/>
              </w:rPr>
            </w:pPr>
            <w:r w:rsidRPr="004A0362">
              <w:rPr>
                <w:rFonts w:ascii="Calibri" w:hAnsi="Calibri" w:cs="Calibri"/>
                <w:b/>
                <w:color w:val="auto"/>
              </w:rPr>
              <w:t>Information to be provided on request by the Regulator</w:t>
            </w:r>
          </w:p>
        </w:tc>
      </w:tr>
      <w:tr w:rsidR="008D264A" w:rsidRPr="008D264A" w14:paraId="2694C8CE" w14:textId="77777777" w:rsidTr="008D264A">
        <w:tc>
          <w:tcPr>
            <w:tcW w:w="6116" w:type="dxa"/>
          </w:tcPr>
          <w:p w14:paraId="0C2A7D80" w14:textId="77777777" w:rsidR="008D264A" w:rsidRPr="008D264A" w:rsidRDefault="008D264A" w:rsidP="008D264A">
            <w:pPr>
              <w:pStyle w:val="certaddress"/>
              <w:spacing w:before="120" w:after="120"/>
              <w:ind w:left="0"/>
              <w:rPr>
                <w:rFonts w:ascii="Calibri" w:hAnsi="Calibri" w:cs="Calibri"/>
                <w:color w:val="000000" w:themeColor="text1"/>
              </w:rPr>
            </w:pPr>
            <w:r w:rsidRPr="008D264A">
              <w:rPr>
                <w:rFonts w:ascii="Calibri" w:hAnsi="Calibri" w:cs="Calibri"/>
                <w:color w:val="000000" w:themeColor="text1"/>
              </w:rPr>
              <w:t>Information related to the persons covered by the licence</w:t>
            </w:r>
          </w:p>
        </w:tc>
        <w:tc>
          <w:tcPr>
            <w:tcW w:w="1051" w:type="dxa"/>
          </w:tcPr>
          <w:p w14:paraId="551D49DA"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_Ref32923385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9</w:t>
            </w:r>
            <w:r w:rsidRPr="004A0362">
              <w:rPr>
                <w:rFonts w:ascii="Calibri" w:hAnsi="Calibri" w:cs="Calibri"/>
                <w:color w:val="auto"/>
              </w:rPr>
              <w:fldChar w:fldCharType="end"/>
            </w:r>
          </w:p>
        </w:tc>
        <w:tc>
          <w:tcPr>
            <w:tcW w:w="1905" w:type="dxa"/>
          </w:tcPr>
          <w:p w14:paraId="5FA70C6E" w14:textId="77777777" w:rsidR="008D264A" w:rsidRPr="008D264A" w:rsidRDefault="008D264A" w:rsidP="008D264A">
            <w:pPr>
              <w:pStyle w:val="certaddress"/>
              <w:ind w:left="0"/>
              <w:rPr>
                <w:rFonts w:ascii="Calibri" w:hAnsi="Calibri" w:cs="Calibri"/>
                <w:color w:val="000000" w:themeColor="text1"/>
              </w:rPr>
            </w:pPr>
            <w:r w:rsidRPr="008D264A">
              <w:rPr>
                <w:rFonts w:ascii="Calibri" w:hAnsi="Calibri" w:cs="Calibri"/>
                <w:color w:val="000000" w:themeColor="text1"/>
              </w:rPr>
              <w:t xml:space="preserve">Within a timeframe stipulated by the Regulator </w:t>
            </w:r>
          </w:p>
        </w:tc>
      </w:tr>
      <w:tr w:rsidR="008D264A" w:rsidRPr="008D264A" w14:paraId="3E453858" w14:textId="77777777" w:rsidTr="008D264A">
        <w:tc>
          <w:tcPr>
            <w:tcW w:w="6116" w:type="dxa"/>
          </w:tcPr>
          <w:p w14:paraId="34E84F71" w14:textId="77777777" w:rsidR="008D264A" w:rsidRPr="008D264A" w:rsidRDefault="008D264A" w:rsidP="008D264A">
            <w:pPr>
              <w:pStyle w:val="certaddress"/>
              <w:spacing w:before="120" w:after="120"/>
              <w:ind w:left="0"/>
              <w:rPr>
                <w:rFonts w:ascii="Calibri" w:hAnsi="Calibri" w:cs="Calibri"/>
                <w:color w:val="000000" w:themeColor="text1"/>
              </w:rPr>
            </w:pPr>
            <w:r w:rsidRPr="008D264A">
              <w:rPr>
                <w:rFonts w:ascii="Calibri" w:hAnsi="Calibri" w:cs="Calibri"/>
                <w:color w:val="000000" w:themeColor="text1"/>
              </w:rPr>
              <w:t>Information related to the licence holder’s ongoing suitability to hold a licence</w:t>
            </w:r>
          </w:p>
        </w:tc>
        <w:tc>
          <w:tcPr>
            <w:tcW w:w="1051" w:type="dxa"/>
          </w:tcPr>
          <w:p w14:paraId="4F3C7C44" w14:textId="77777777"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_Ref32923415 \r \h  \* MERGEFORMAT </w:instrText>
            </w:r>
            <w:r w:rsidRPr="004A0362">
              <w:rPr>
                <w:rFonts w:ascii="Calibri" w:hAnsi="Calibri" w:cs="Calibri"/>
                <w:color w:val="auto"/>
              </w:rPr>
            </w:r>
            <w:r w:rsidRPr="004A0362">
              <w:rPr>
                <w:rFonts w:ascii="Calibri" w:hAnsi="Calibri" w:cs="Calibri"/>
                <w:color w:val="auto"/>
              </w:rPr>
              <w:fldChar w:fldCharType="separate"/>
            </w:r>
            <w:r w:rsidRPr="004A0362">
              <w:rPr>
                <w:rFonts w:ascii="Calibri" w:hAnsi="Calibri" w:cs="Calibri"/>
                <w:color w:val="auto"/>
              </w:rPr>
              <w:t>17</w:t>
            </w:r>
            <w:r w:rsidRPr="004A0362">
              <w:rPr>
                <w:rFonts w:ascii="Calibri" w:hAnsi="Calibri" w:cs="Calibri"/>
                <w:color w:val="auto"/>
              </w:rPr>
              <w:fldChar w:fldCharType="end"/>
            </w:r>
          </w:p>
        </w:tc>
        <w:tc>
          <w:tcPr>
            <w:tcW w:w="1905" w:type="dxa"/>
          </w:tcPr>
          <w:p w14:paraId="5E780ADA" w14:textId="77777777" w:rsidR="008D264A" w:rsidRPr="008D264A" w:rsidRDefault="008D264A" w:rsidP="008D264A">
            <w:pPr>
              <w:pStyle w:val="certaddress"/>
              <w:ind w:left="0"/>
              <w:rPr>
                <w:rFonts w:ascii="Calibri" w:hAnsi="Calibri" w:cs="Calibri"/>
                <w:color w:val="000000" w:themeColor="text1"/>
              </w:rPr>
            </w:pPr>
            <w:r w:rsidRPr="008D264A">
              <w:rPr>
                <w:rFonts w:ascii="Calibri" w:hAnsi="Calibri" w:cs="Calibri"/>
                <w:color w:val="000000" w:themeColor="text1"/>
              </w:rPr>
              <w:t>Within a timeframe stipulated by the Regulator</w:t>
            </w:r>
          </w:p>
        </w:tc>
      </w:tr>
      <w:tr w:rsidR="00133020" w:rsidRPr="008D264A" w14:paraId="106796F4" w14:textId="77777777" w:rsidTr="008D264A">
        <w:tc>
          <w:tcPr>
            <w:tcW w:w="6116" w:type="dxa"/>
          </w:tcPr>
          <w:p w14:paraId="3B1E2A2E" w14:textId="7E271BF8" w:rsidR="00133020" w:rsidRPr="008D264A" w:rsidRDefault="00133020" w:rsidP="008D264A">
            <w:pPr>
              <w:pStyle w:val="certaddress"/>
              <w:spacing w:before="120" w:after="120"/>
              <w:ind w:left="0"/>
              <w:rPr>
                <w:rFonts w:ascii="Calibri" w:hAnsi="Calibri" w:cs="Calibri"/>
                <w:color w:val="000000" w:themeColor="text1"/>
              </w:rPr>
            </w:pPr>
            <w:r w:rsidRPr="00133020">
              <w:rPr>
                <w:rFonts w:ascii="Calibri" w:hAnsi="Calibri" w:cs="Calibri"/>
                <w:color w:val="000000" w:themeColor="text1"/>
              </w:rPr>
              <w:t>A consolidated record of all GMOs being stored</w:t>
            </w:r>
          </w:p>
        </w:tc>
        <w:tc>
          <w:tcPr>
            <w:tcW w:w="1051" w:type="dxa"/>
          </w:tcPr>
          <w:p w14:paraId="0F44F3F7" w14:textId="463FE032" w:rsidR="00133020" w:rsidRPr="004A0362" w:rsidRDefault="00133020" w:rsidP="008D264A">
            <w:pPr>
              <w:pStyle w:val="certaddress"/>
              <w:ind w:left="0"/>
              <w:jc w:val="center"/>
              <w:rPr>
                <w:rFonts w:ascii="Calibri" w:hAnsi="Calibri" w:cs="Calibri"/>
                <w:color w:val="auto"/>
              </w:rPr>
            </w:pPr>
            <w:r>
              <w:rPr>
                <w:rFonts w:ascii="Calibri" w:hAnsi="Calibri" w:cs="Calibri"/>
                <w:color w:val="auto"/>
              </w:rPr>
              <w:fldChar w:fldCharType="begin"/>
            </w:r>
            <w:r>
              <w:rPr>
                <w:rFonts w:ascii="Calibri" w:hAnsi="Calibri" w:cs="Calibri"/>
                <w:color w:val="auto"/>
              </w:rPr>
              <w:instrText xml:space="preserve"> REF _Ref216862329 \n \h </w:instrText>
            </w:r>
            <w:r>
              <w:rPr>
                <w:rFonts w:ascii="Calibri" w:hAnsi="Calibri" w:cs="Calibri"/>
                <w:color w:val="auto"/>
              </w:rPr>
            </w:r>
            <w:r>
              <w:rPr>
                <w:rFonts w:ascii="Calibri" w:hAnsi="Calibri" w:cs="Calibri"/>
                <w:color w:val="auto"/>
              </w:rPr>
              <w:fldChar w:fldCharType="separate"/>
            </w:r>
            <w:r>
              <w:rPr>
                <w:rFonts w:ascii="Calibri" w:hAnsi="Calibri" w:cs="Calibri"/>
                <w:color w:val="auto"/>
              </w:rPr>
              <w:t>35</w:t>
            </w:r>
            <w:r>
              <w:rPr>
                <w:rFonts w:ascii="Calibri" w:hAnsi="Calibri" w:cs="Calibri"/>
                <w:color w:val="auto"/>
              </w:rPr>
              <w:fldChar w:fldCharType="end"/>
            </w:r>
            <w:r>
              <w:rPr>
                <w:rFonts w:ascii="Calibri" w:hAnsi="Calibri" w:cs="Calibri"/>
                <w:color w:val="auto"/>
              </w:rPr>
              <w:fldChar w:fldCharType="begin"/>
            </w:r>
            <w:r>
              <w:rPr>
                <w:rFonts w:ascii="Calibri" w:hAnsi="Calibri" w:cs="Calibri"/>
                <w:color w:val="auto"/>
              </w:rPr>
              <w:instrText xml:space="preserve"> REF _Ref219301959 \n \h </w:instrText>
            </w:r>
            <w:r>
              <w:rPr>
                <w:rFonts w:ascii="Calibri" w:hAnsi="Calibri" w:cs="Calibri"/>
                <w:color w:val="auto"/>
              </w:rPr>
            </w:r>
            <w:r>
              <w:rPr>
                <w:rFonts w:ascii="Calibri" w:hAnsi="Calibri" w:cs="Calibri"/>
                <w:color w:val="auto"/>
              </w:rPr>
              <w:fldChar w:fldCharType="separate"/>
            </w:r>
            <w:r>
              <w:rPr>
                <w:rFonts w:ascii="Calibri" w:hAnsi="Calibri" w:cs="Calibri"/>
                <w:color w:val="auto"/>
              </w:rPr>
              <w:t>(f)</w:t>
            </w:r>
            <w:r>
              <w:rPr>
                <w:rFonts w:ascii="Calibri" w:hAnsi="Calibri" w:cs="Calibri"/>
                <w:color w:val="auto"/>
              </w:rPr>
              <w:fldChar w:fldCharType="end"/>
            </w:r>
          </w:p>
        </w:tc>
        <w:tc>
          <w:tcPr>
            <w:tcW w:w="1905" w:type="dxa"/>
          </w:tcPr>
          <w:p w14:paraId="6350089F" w14:textId="68D709F7" w:rsidR="00133020" w:rsidRPr="008D264A" w:rsidRDefault="00133020" w:rsidP="008D264A">
            <w:pPr>
              <w:pStyle w:val="certaddress"/>
              <w:ind w:left="0"/>
              <w:rPr>
                <w:rFonts w:ascii="Calibri" w:hAnsi="Calibri" w:cs="Calibri"/>
                <w:color w:val="000000" w:themeColor="text1"/>
              </w:rPr>
            </w:pPr>
            <w:r w:rsidRPr="00133020">
              <w:rPr>
                <w:rFonts w:ascii="Calibri" w:hAnsi="Calibri" w:cs="Calibri"/>
                <w:color w:val="000000" w:themeColor="text1"/>
              </w:rPr>
              <w:t>Within a timeframe stipulated by the Regulator</w:t>
            </w:r>
          </w:p>
        </w:tc>
      </w:tr>
      <w:tr w:rsidR="008D264A" w:rsidRPr="008D264A" w14:paraId="02402DCA" w14:textId="77777777" w:rsidTr="008D264A">
        <w:tc>
          <w:tcPr>
            <w:tcW w:w="6116" w:type="dxa"/>
          </w:tcPr>
          <w:p w14:paraId="008F5812" w14:textId="77777777" w:rsidR="008D264A" w:rsidRPr="008D264A" w:rsidRDefault="008D264A" w:rsidP="008D264A">
            <w:pPr>
              <w:pStyle w:val="certaddress"/>
              <w:spacing w:before="120" w:after="120"/>
              <w:ind w:left="0"/>
              <w:rPr>
                <w:rFonts w:ascii="Calibri" w:hAnsi="Calibri" w:cs="Calibri"/>
                <w:color w:val="000000" w:themeColor="text1"/>
              </w:rPr>
            </w:pPr>
            <w:r w:rsidRPr="008D264A">
              <w:rPr>
                <w:rFonts w:ascii="Calibri" w:hAnsi="Calibri" w:cs="Calibri"/>
                <w:color w:val="000000" w:themeColor="text1"/>
              </w:rPr>
              <w:t>Any signed records or documentation collected under a condition of this licence</w:t>
            </w:r>
          </w:p>
        </w:tc>
        <w:tc>
          <w:tcPr>
            <w:tcW w:w="1051" w:type="dxa"/>
          </w:tcPr>
          <w:p w14:paraId="163264B0" w14:textId="2722D13A" w:rsidR="008D264A" w:rsidRPr="004A0362" w:rsidRDefault="008D264A" w:rsidP="008D264A">
            <w:pPr>
              <w:pStyle w:val="certaddress"/>
              <w:ind w:left="0"/>
              <w:jc w:val="center"/>
              <w:rPr>
                <w:rFonts w:ascii="Calibri" w:hAnsi="Calibri" w:cs="Calibri"/>
                <w:color w:val="auto"/>
              </w:rPr>
            </w:pPr>
            <w:r w:rsidRPr="004A0362">
              <w:rPr>
                <w:rFonts w:ascii="Calibri" w:hAnsi="Calibri" w:cs="Calibri"/>
                <w:color w:val="auto"/>
              </w:rPr>
              <w:fldChar w:fldCharType="begin"/>
            </w:r>
            <w:r w:rsidRPr="004A0362">
              <w:rPr>
                <w:rFonts w:ascii="Calibri" w:hAnsi="Calibri" w:cs="Calibri"/>
                <w:color w:val="auto"/>
              </w:rPr>
              <w:instrText xml:space="preserve"> REF _Ref32923470 \r \h  \* MERGEFORMAT </w:instrText>
            </w:r>
            <w:r w:rsidRPr="004A0362">
              <w:rPr>
                <w:rFonts w:ascii="Calibri" w:hAnsi="Calibri" w:cs="Calibri"/>
                <w:color w:val="auto"/>
              </w:rPr>
            </w:r>
            <w:r w:rsidRPr="004A0362">
              <w:rPr>
                <w:rFonts w:ascii="Calibri" w:hAnsi="Calibri" w:cs="Calibri"/>
                <w:color w:val="auto"/>
              </w:rPr>
              <w:fldChar w:fldCharType="separate"/>
            </w:r>
            <w:r w:rsidR="004D0670">
              <w:rPr>
                <w:rFonts w:ascii="Calibri" w:hAnsi="Calibri" w:cs="Calibri"/>
                <w:color w:val="auto"/>
              </w:rPr>
              <w:t>44</w:t>
            </w:r>
            <w:r w:rsidRPr="004A0362">
              <w:rPr>
                <w:rFonts w:ascii="Calibri" w:hAnsi="Calibri" w:cs="Calibri"/>
                <w:color w:val="auto"/>
              </w:rPr>
              <w:fldChar w:fldCharType="end"/>
            </w:r>
          </w:p>
        </w:tc>
        <w:tc>
          <w:tcPr>
            <w:tcW w:w="1905" w:type="dxa"/>
          </w:tcPr>
          <w:p w14:paraId="264D659E" w14:textId="77777777" w:rsidR="008D264A" w:rsidRPr="008D264A" w:rsidRDefault="008D264A" w:rsidP="008D264A">
            <w:pPr>
              <w:pStyle w:val="certaddress"/>
              <w:ind w:left="0"/>
              <w:rPr>
                <w:rFonts w:ascii="Calibri" w:hAnsi="Calibri" w:cs="Calibri"/>
                <w:color w:val="000000" w:themeColor="text1"/>
              </w:rPr>
            </w:pPr>
            <w:r w:rsidRPr="008D264A">
              <w:rPr>
                <w:rFonts w:ascii="Calibri" w:hAnsi="Calibri" w:cs="Calibri"/>
                <w:color w:val="000000" w:themeColor="text1"/>
              </w:rPr>
              <w:t>Within a timeframe stipulated by the Regulator</w:t>
            </w:r>
          </w:p>
        </w:tc>
      </w:tr>
    </w:tbl>
    <w:p w14:paraId="40FB15E6" w14:textId="46D92652" w:rsidR="00783CF2" w:rsidRDefault="008D264A" w:rsidP="00FF1BA5">
      <w:pPr>
        <w:pStyle w:val="1Para"/>
        <w:numPr>
          <w:ilvl w:val="0"/>
          <w:numId w:val="0"/>
        </w:numPr>
        <w:rPr>
          <w:rFonts w:asciiTheme="minorHAnsi" w:hAnsiTheme="minorHAnsi" w:cstheme="minorHAnsi"/>
          <w:b/>
          <w:sz w:val="22"/>
          <w:szCs w:val="22"/>
        </w:rPr>
        <w:sectPr w:rsidR="00783CF2" w:rsidSect="008F70A1">
          <w:footerReference w:type="default" r:id="rId57"/>
          <w:pgSz w:w="11909" w:h="16834" w:code="9"/>
          <w:pgMar w:top="1418" w:right="1418" w:bottom="1418" w:left="1418" w:header="720" w:footer="720" w:gutter="0"/>
          <w:paperSrc w:first="2" w:other="2"/>
          <w:cols w:space="720"/>
        </w:sectPr>
      </w:pPr>
      <w:r>
        <w:rPr>
          <w:rFonts w:asciiTheme="minorHAnsi" w:hAnsiTheme="minorHAnsi" w:cstheme="minorHAnsi"/>
          <w:sz w:val="22"/>
          <w:szCs w:val="22"/>
        </w:rPr>
        <w:t>*</w:t>
      </w:r>
      <w:r w:rsidRPr="006468B9">
        <w:rPr>
          <w:rFonts w:asciiTheme="minorHAnsi" w:hAnsiTheme="minorHAnsi" w:cstheme="minorHAnsi"/>
          <w:sz w:val="22"/>
          <w:szCs w:val="22"/>
        </w:rPr>
        <w:t xml:space="preserve">Notifications and documents to be sent to </w:t>
      </w:r>
      <w:r w:rsidRPr="006468B9">
        <w:rPr>
          <w:rFonts w:asciiTheme="minorHAnsi" w:hAnsiTheme="minorHAnsi" w:cstheme="minorHAnsi"/>
          <w:color w:val="0000FF"/>
          <w:sz w:val="22"/>
          <w:szCs w:val="22"/>
          <w:u w:val="single"/>
        </w:rPr>
        <w:t>OGTR.M&amp;C@health.gov.au</w:t>
      </w:r>
    </w:p>
    <w:p w14:paraId="035D4EF1" w14:textId="01EF921E" w:rsidR="00500DA1" w:rsidRPr="0000143A" w:rsidRDefault="00386D0F" w:rsidP="00DC2DD2">
      <w:pPr>
        <w:pStyle w:val="1RARMP"/>
        <w:numPr>
          <w:ilvl w:val="0"/>
          <w:numId w:val="0"/>
        </w:numPr>
      </w:pPr>
      <w:bookmarkStart w:id="477" w:name="_Toc47536793"/>
      <w:bookmarkStart w:id="478" w:name="_Toc219281428"/>
      <w:r w:rsidRPr="00DC2DD2">
        <w:lastRenderedPageBreak/>
        <w:t>References</w:t>
      </w:r>
      <w:bookmarkEnd w:id="477"/>
      <w:bookmarkEnd w:id="478"/>
    </w:p>
    <w:p w14:paraId="0593A8B7" w14:textId="77777777" w:rsidR="0027195B" w:rsidRPr="0027195B" w:rsidRDefault="00D13F31" w:rsidP="0027195B">
      <w:pPr>
        <w:pStyle w:val="EndNoteBibliography"/>
        <w:spacing w:after="240"/>
      </w:pPr>
      <w:r w:rsidRPr="0000143A">
        <w:fldChar w:fldCharType="begin"/>
      </w:r>
      <w:r w:rsidRPr="0000143A">
        <w:instrText xml:space="preserve"> ADDIN EN.REFLIST </w:instrText>
      </w:r>
      <w:r w:rsidRPr="0000143A">
        <w:fldChar w:fldCharType="separate"/>
      </w:r>
      <w:bookmarkStart w:id="479" w:name="_ENREF_1"/>
      <w:r w:rsidR="0027195B" w:rsidRPr="0027195B">
        <w:t>Abad, F.X., Pintó, R.M., and Bosch, A. (1994). Survival of enteric viruses on environmental fomites. Applied and environmental microbiology</w:t>
      </w:r>
      <w:r w:rsidR="0027195B" w:rsidRPr="0027195B">
        <w:rPr>
          <w:i/>
        </w:rPr>
        <w:t xml:space="preserve"> 60</w:t>
      </w:r>
      <w:r w:rsidR="0027195B" w:rsidRPr="0027195B">
        <w:t>, 3704-3710.</w:t>
      </w:r>
      <w:bookmarkEnd w:id="479"/>
    </w:p>
    <w:p w14:paraId="0D26ACAD" w14:textId="0C4697CC" w:rsidR="0027195B" w:rsidRPr="0027195B" w:rsidRDefault="0027195B" w:rsidP="0027195B">
      <w:pPr>
        <w:pStyle w:val="EndNoteBibliography"/>
        <w:spacing w:after="240"/>
      </w:pPr>
      <w:bookmarkStart w:id="480" w:name="_ENREF_2"/>
      <w:r w:rsidRPr="0027195B">
        <w:t xml:space="preserve">ACT (2017). Clinical Waste Act 1990. (ACT Government) Accessed: December 2020. </w:t>
      </w:r>
      <w:hyperlink r:id="rId58" w:history="1">
        <w:r w:rsidRPr="0027195B">
          <w:rPr>
            <w:rStyle w:val="Hyperlink"/>
          </w:rPr>
          <w:t>https://www.legislation.act.gov.au/a/1990-5/</w:t>
        </w:r>
      </w:hyperlink>
      <w:r w:rsidRPr="0027195B">
        <w:t>.</w:t>
      </w:r>
      <w:bookmarkEnd w:id="480"/>
    </w:p>
    <w:p w14:paraId="7741192E" w14:textId="77777777" w:rsidR="0027195B" w:rsidRPr="0027195B" w:rsidRDefault="0027195B" w:rsidP="0027195B">
      <w:pPr>
        <w:pStyle w:val="EndNoteBibliography"/>
        <w:spacing w:after="240"/>
      </w:pPr>
      <w:bookmarkStart w:id="481" w:name="_ENREF_3"/>
      <w:r w:rsidRPr="0027195B">
        <w:t>Adam, L., Black, P.C., Kassouf, W., Eve, B., McConkey, D., Munsell, M.F., Benedict, W.F.</w:t>
      </w:r>
      <w:r w:rsidRPr="0027195B">
        <w:rPr>
          <w:i/>
        </w:rPr>
        <w:t>, et al.</w:t>
      </w:r>
      <w:r w:rsidRPr="0027195B">
        <w:t xml:space="preserve"> (2007). Adenoviral mediated interferon-α 2b gene therapy suppresses the pro-angiogenic effect of vascular endothelial growth factor in superficial bladder cancer. The Journal of Urology</w:t>
      </w:r>
      <w:r w:rsidRPr="0027195B">
        <w:rPr>
          <w:i/>
        </w:rPr>
        <w:t xml:space="preserve"> 177</w:t>
      </w:r>
      <w:r w:rsidRPr="0027195B">
        <w:t>, 1900-1906.</w:t>
      </w:r>
      <w:bookmarkEnd w:id="481"/>
    </w:p>
    <w:p w14:paraId="48997320" w14:textId="77777777" w:rsidR="0027195B" w:rsidRPr="0027195B" w:rsidRDefault="0027195B" w:rsidP="0027195B">
      <w:pPr>
        <w:pStyle w:val="EndNoteBibliography"/>
        <w:spacing w:after="240"/>
      </w:pPr>
      <w:bookmarkStart w:id="482" w:name="_ENREF_4"/>
      <w:r w:rsidRPr="0027195B">
        <w:t>Afkhami, S., Yao, Y., and Xing, Z. (2016). Methods and clinical development of adenovirus-vectored vaccines against mucosal pathogens. Molecular Therapy - Methods &amp; Clinical Development</w:t>
      </w:r>
      <w:r w:rsidRPr="0027195B">
        <w:rPr>
          <w:i/>
        </w:rPr>
        <w:t xml:space="preserve"> 3</w:t>
      </w:r>
      <w:r w:rsidRPr="0027195B">
        <w:t>, 16030.</w:t>
      </w:r>
      <w:bookmarkEnd w:id="482"/>
    </w:p>
    <w:p w14:paraId="25DDE91D" w14:textId="77777777" w:rsidR="0027195B" w:rsidRPr="0027195B" w:rsidRDefault="0027195B" w:rsidP="0027195B">
      <w:pPr>
        <w:pStyle w:val="EndNoteBibliography"/>
        <w:spacing w:after="240"/>
      </w:pPr>
      <w:bookmarkStart w:id="483" w:name="_ENREF_5"/>
      <w:r w:rsidRPr="0027195B">
        <w:t>Ahi, Y.S., and Mittal, S.K. (2016). Components of Adenovirus Genome Packaging. Front Microbiol</w:t>
      </w:r>
      <w:r w:rsidRPr="0027195B">
        <w:rPr>
          <w:i/>
        </w:rPr>
        <w:t xml:space="preserve"> 7</w:t>
      </w:r>
      <w:r w:rsidRPr="0027195B">
        <w:t>, 1503.</w:t>
      </w:r>
      <w:bookmarkEnd w:id="483"/>
    </w:p>
    <w:p w14:paraId="380A5B24" w14:textId="21199061" w:rsidR="0027195B" w:rsidRPr="0027195B" w:rsidRDefault="0027195B" w:rsidP="0027195B">
      <w:pPr>
        <w:pStyle w:val="EndNoteBibliography"/>
        <w:spacing w:after="240"/>
      </w:pPr>
      <w:bookmarkStart w:id="484" w:name="_ENREF_6"/>
      <w:r w:rsidRPr="0027195B">
        <w:t xml:space="preserve">Allard and Vantarakis (2017). Adenoviruses. (In: J.B. Rose and B. Jiménez-Cisneros, (eds) Global Water Pathogen Project.   </w:t>
      </w:r>
      <w:hyperlink r:id="rId59" w:history="1">
        <w:r w:rsidRPr="0027195B">
          <w:rPr>
            <w:rStyle w:val="Hyperlink"/>
          </w:rPr>
          <w:t>http://www.waterpathogens.org</w:t>
        </w:r>
      </w:hyperlink>
      <w:r w:rsidRPr="0027195B">
        <w:t xml:space="preserve"> (J.S Meschke, and R. Girones (eds) Part 3 Viruses) </w:t>
      </w:r>
      <w:hyperlink r:id="rId60" w:history="1">
        <w:r w:rsidRPr="0027195B">
          <w:rPr>
            <w:rStyle w:val="Hyperlink"/>
          </w:rPr>
          <w:t>http://www.waterpathogens.org/book/adenoviruses</w:t>
        </w:r>
      </w:hyperlink>
      <w:r w:rsidRPr="0027195B">
        <w:t xml:space="preserve"> Michigan State University, E. Lansing, MI, UNESCO. </w:t>
      </w:r>
      <w:hyperlink r:id="rId61" w:history="1">
        <w:r w:rsidRPr="0027195B">
          <w:rPr>
            <w:rStyle w:val="Hyperlink"/>
          </w:rPr>
          <w:t>https://doi.org/10.14321/waterpathogens.11</w:t>
        </w:r>
      </w:hyperlink>
      <w:r w:rsidRPr="0027195B">
        <w:t>).</w:t>
      </w:r>
      <w:bookmarkEnd w:id="484"/>
    </w:p>
    <w:p w14:paraId="588B5FDC" w14:textId="77777777" w:rsidR="0027195B" w:rsidRPr="0027195B" w:rsidRDefault="0027195B" w:rsidP="0027195B">
      <w:pPr>
        <w:pStyle w:val="EndNoteBibliography"/>
        <w:spacing w:after="240"/>
      </w:pPr>
      <w:bookmarkStart w:id="485" w:name="_ENREF_7"/>
      <w:r w:rsidRPr="0027195B">
        <w:t>Asmana Ningrum, R. (2014). Human interferon alpha-2b: a therapeutic protein for cancer treatment. Scientifica</w:t>
      </w:r>
      <w:r w:rsidRPr="0027195B">
        <w:rPr>
          <w:i/>
        </w:rPr>
        <w:t xml:space="preserve"> 2014</w:t>
      </w:r>
      <w:r w:rsidRPr="0027195B">
        <w:t>, 970315.</w:t>
      </w:r>
      <w:bookmarkEnd w:id="485"/>
    </w:p>
    <w:p w14:paraId="224D7782" w14:textId="77777777" w:rsidR="0027195B" w:rsidRPr="0027195B" w:rsidRDefault="0027195B" w:rsidP="0027195B">
      <w:pPr>
        <w:pStyle w:val="EndNoteBibliography"/>
        <w:spacing w:after="240"/>
      </w:pPr>
      <w:bookmarkStart w:id="486" w:name="_ENREF_8"/>
      <w:r w:rsidRPr="0027195B">
        <w:t>Benedict, W.F., Tao, Z., Kim, C.S., Zhang, X., Zhou, J.H., Adam, L., McConkey, D.J.</w:t>
      </w:r>
      <w:r w:rsidRPr="0027195B">
        <w:rPr>
          <w:i/>
        </w:rPr>
        <w:t>, et al.</w:t>
      </w:r>
      <w:r w:rsidRPr="0027195B">
        <w:t xml:space="preserve"> (2004). Intravesical Ad-IFNalpha causes marked regression of human bladder cancer growing orthotopically in nude mice and overcomes resistance to IFN-alpha protein. Mol Ther</w:t>
      </w:r>
      <w:r w:rsidRPr="0027195B">
        <w:rPr>
          <w:i/>
        </w:rPr>
        <w:t xml:space="preserve"> 10</w:t>
      </w:r>
      <w:r w:rsidRPr="0027195B">
        <w:t>, 525-532.</w:t>
      </w:r>
      <w:bookmarkEnd w:id="486"/>
    </w:p>
    <w:p w14:paraId="69E841B4" w14:textId="77777777" w:rsidR="0027195B" w:rsidRPr="0027195B" w:rsidRDefault="0027195B" w:rsidP="0027195B">
      <w:pPr>
        <w:pStyle w:val="EndNoteBibliography"/>
        <w:spacing w:after="240"/>
      </w:pPr>
      <w:bookmarkStart w:id="487" w:name="_ENREF_9"/>
      <w:r w:rsidRPr="0027195B">
        <w:t>Benevento, M., Di Palma, S., Snijder, J., Moyer, C.L., Reddy, V.S., Nemerow, G.R., and Heck, A.J. (2014). Adenovirus composition, proteolysis, and disassembly studied by in-depth qualitative and quantitative proteomics. J Biol Chem</w:t>
      </w:r>
      <w:r w:rsidRPr="0027195B">
        <w:rPr>
          <w:i/>
        </w:rPr>
        <w:t xml:space="preserve"> 289</w:t>
      </w:r>
      <w:r w:rsidRPr="0027195B">
        <w:t>, 11421-11430.</w:t>
      </w:r>
      <w:bookmarkEnd w:id="487"/>
    </w:p>
    <w:p w14:paraId="01EC4574" w14:textId="77777777" w:rsidR="0027195B" w:rsidRPr="0027195B" w:rsidRDefault="0027195B" w:rsidP="0027195B">
      <w:pPr>
        <w:pStyle w:val="EndNoteBibliography"/>
        <w:spacing w:after="240"/>
      </w:pPr>
      <w:bookmarkStart w:id="488" w:name="_ENREF_10"/>
      <w:r w:rsidRPr="0027195B">
        <w:t>Bertzbach, L.D., Ip, W.H., and Dobner, T. (2021). Animal Models in Human Adenovirus Research. Biology (Basel)</w:t>
      </w:r>
      <w:r w:rsidRPr="0027195B">
        <w:rPr>
          <w:i/>
        </w:rPr>
        <w:t xml:space="preserve"> 10</w:t>
      </w:r>
      <w:r w:rsidRPr="0027195B">
        <w:t>.</w:t>
      </w:r>
      <w:bookmarkEnd w:id="488"/>
    </w:p>
    <w:p w14:paraId="17F4A2F5" w14:textId="77777777" w:rsidR="0027195B" w:rsidRPr="0027195B" w:rsidRDefault="0027195B" w:rsidP="0027195B">
      <w:pPr>
        <w:pStyle w:val="EndNoteBibliography"/>
        <w:spacing w:after="240"/>
      </w:pPr>
      <w:bookmarkStart w:id="489" w:name="_ENREF_11"/>
      <w:r w:rsidRPr="0027195B">
        <w:t>Biohazard Waste Industry (2010). Industry Code of Practice for the Management of Clinical and Related Wastes, 6 edn.</w:t>
      </w:r>
      <w:bookmarkEnd w:id="489"/>
    </w:p>
    <w:p w14:paraId="1F9F71CF" w14:textId="77777777" w:rsidR="0027195B" w:rsidRPr="0027195B" w:rsidRDefault="0027195B" w:rsidP="0027195B">
      <w:pPr>
        <w:pStyle w:val="EndNoteBibliography"/>
        <w:spacing w:after="240"/>
      </w:pPr>
      <w:bookmarkStart w:id="490" w:name="_ENREF_12"/>
      <w:r w:rsidRPr="0027195B">
        <w:t>Boorjian, S.A., Alemozaffar, M., Konety, B.R., Shore, N.D., Gomella, L.G., Kamat, A.M., Bivalacqua, T.J.</w:t>
      </w:r>
      <w:r w:rsidRPr="0027195B">
        <w:rPr>
          <w:i/>
        </w:rPr>
        <w:t>, et al.</w:t>
      </w:r>
      <w:r w:rsidRPr="0027195B">
        <w:t xml:space="preserve"> (2021). Intravesical nadofaragene firadenovec gene therapy for BCG-unresponsive non-muscle-invasive bladder cancer: a single-arm, open-label, repeat-dose clinical trial. Lancet Oncol</w:t>
      </w:r>
      <w:r w:rsidRPr="0027195B">
        <w:rPr>
          <w:i/>
        </w:rPr>
        <w:t xml:space="preserve"> 22</w:t>
      </w:r>
      <w:r w:rsidRPr="0027195B">
        <w:t>, 107-117.</w:t>
      </w:r>
      <w:bookmarkEnd w:id="490"/>
    </w:p>
    <w:p w14:paraId="7F359C62" w14:textId="77777777" w:rsidR="0027195B" w:rsidRPr="0027195B" w:rsidRDefault="0027195B" w:rsidP="0027195B">
      <w:pPr>
        <w:pStyle w:val="EndNoteBibliography"/>
        <w:spacing w:after="240"/>
      </w:pPr>
      <w:bookmarkStart w:id="491" w:name="_ENREF_13"/>
      <w:r w:rsidRPr="0027195B">
        <w:t>Borkenhagen, L.K., Fieldhouse, J.K., Seto, D., and Gray, G.C. (2019). Are adenoviruses zoonotic? A systematic review of the evidence. Emerg Microbes Infect</w:t>
      </w:r>
      <w:r w:rsidRPr="0027195B">
        <w:rPr>
          <w:i/>
        </w:rPr>
        <w:t xml:space="preserve"> 8</w:t>
      </w:r>
      <w:r w:rsidRPr="0027195B">
        <w:t>, 1679-1687.</w:t>
      </w:r>
      <w:bookmarkEnd w:id="491"/>
    </w:p>
    <w:p w14:paraId="6AC53094" w14:textId="77777777" w:rsidR="0027195B" w:rsidRPr="0027195B" w:rsidRDefault="0027195B" w:rsidP="0027195B">
      <w:pPr>
        <w:pStyle w:val="EndNoteBibliography"/>
        <w:spacing w:after="240"/>
      </w:pPr>
      <w:bookmarkStart w:id="492" w:name="_ENREF_14"/>
      <w:r w:rsidRPr="0027195B">
        <w:t>Bots, S.T.F., and Hoeben, R.C. (2020). Non-Human Primate-Derived Adenoviruses for Future Use as Oncolytic Agents? International journal of molecular sciences</w:t>
      </w:r>
      <w:r w:rsidRPr="0027195B">
        <w:rPr>
          <w:i/>
        </w:rPr>
        <w:t xml:space="preserve"> 21</w:t>
      </w:r>
      <w:r w:rsidRPr="0027195B">
        <w:t>, 4821.</w:t>
      </w:r>
      <w:bookmarkEnd w:id="492"/>
    </w:p>
    <w:p w14:paraId="45CFCAA0" w14:textId="2FB3E2E0" w:rsidR="0027195B" w:rsidRPr="0027195B" w:rsidRDefault="0027195B" w:rsidP="0027195B">
      <w:pPr>
        <w:pStyle w:val="EndNoteBibliography"/>
        <w:spacing w:after="240"/>
      </w:pPr>
      <w:bookmarkStart w:id="493" w:name="_ENREF_15"/>
      <w:r w:rsidRPr="0027195B">
        <w:t xml:space="preserve">CDC (2019a). Adenoviruses - Symptoms. Accessed: December 2020. </w:t>
      </w:r>
      <w:hyperlink r:id="rId62" w:history="1">
        <w:r w:rsidRPr="0027195B">
          <w:rPr>
            <w:rStyle w:val="Hyperlink"/>
          </w:rPr>
          <w:t>https://www.cdc.gov/adenovirus/about/symptoms.html</w:t>
        </w:r>
      </w:hyperlink>
      <w:r w:rsidRPr="0027195B">
        <w:t>.</w:t>
      </w:r>
      <w:bookmarkEnd w:id="493"/>
    </w:p>
    <w:p w14:paraId="5D545497" w14:textId="7B3E2A3B" w:rsidR="0027195B" w:rsidRPr="0027195B" w:rsidRDefault="0027195B" w:rsidP="0027195B">
      <w:pPr>
        <w:pStyle w:val="EndNoteBibliography"/>
        <w:spacing w:after="240"/>
      </w:pPr>
      <w:bookmarkStart w:id="494" w:name="_ENREF_16"/>
      <w:r w:rsidRPr="0027195B">
        <w:lastRenderedPageBreak/>
        <w:t xml:space="preserve">CDC (2019b). Adenoviruses - Transmission. Accessed: December 2020. </w:t>
      </w:r>
      <w:hyperlink r:id="rId63" w:history="1">
        <w:r w:rsidRPr="0027195B">
          <w:rPr>
            <w:rStyle w:val="Hyperlink"/>
          </w:rPr>
          <w:t>https://www.cdc.gov/adenovirus/about/transmission.html</w:t>
        </w:r>
      </w:hyperlink>
      <w:r w:rsidRPr="0027195B">
        <w:t>.</w:t>
      </w:r>
      <w:bookmarkEnd w:id="494"/>
    </w:p>
    <w:p w14:paraId="1F8F8585" w14:textId="77777777" w:rsidR="0027195B" w:rsidRPr="0027195B" w:rsidRDefault="0027195B" w:rsidP="0027195B">
      <w:pPr>
        <w:pStyle w:val="EndNoteBibliography"/>
        <w:spacing w:after="240"/>
      </w:pPr>
      <w:bookmarkStart w:id="495" w:name="_ENREF_17"/>
      <w:r w:rsidRPr="0027195B">
        <w:t>Charman, M., Herrmann, C., and Weitzman, M.D. (2019). Viral and cellular interactions during adenovirus DNA replication. FEBS Lett</w:t>
      </w:r>
      <w:r w:rsidRPr="0027195B">
        <w:rPr>
          <w:i/>
        </w:rPr>
        <w:t xml:space="preserve"> 593</w:t>
      </w:r>
      <w:r w:rsidRPr="0027195B">
        <w:t>, 3531-3550.</w:t>
      </w:r>
      <w:bookmarkEnd w:id="495"/>
    </w:p>
    <w:p w14:paraId="791EB27A" w14:textId="77777777" w:rsidR="0027195B" w:rsidRPr="0027195B" w:rsidRDefault="0027195B" w:rsidP="0027195B">
      <w:pPr>
        <w:pStyle w:val="EndNoteBibliography"/>
        <w:spacing w:after="240"/>
      </w:pPr>
      <w:bookmarkStart w:id="496" w:name="_ENREF_18"/>
      <w:r w:rsidRPr="0027195B">
        <w:t>Connor, R.J., Anderson, J.M., Machemer, T., Maneval, D.C., and Engler, H. (2005). Sustained intravesical interferon protein exposure is achieved using an adenoviral-mediated gene delivery system: A study in rats evaluating dosing regimens. Urology</w:t>
      </w:r>
      <w:r w:rsidRPr="0027195B">
        <w:rPr>
          <w:i/>
        </w:rPr>
        <w:t xml:space="preserve"> 66</w:t>
      </w:r>
      <w:r w:rsidRPr="0027195B">
        <w:t>, 224-229.</w:t>
      </w:r>
      <w:bookmarkEnd w:id="496"/>
    </w:p>
    <w:p w14:paraId="473AC2E1" w14:textId="77777777" w:rsidR="0027195B" w:rsidRPr="0027195B" w:rsidRDefault="0027195B" w:rsidP="0027195B">
      <w:pPr>
        <w:pStyle w:val="EndNoteBibliography"/>
        <w:spacing w:after="240"/>
      </w:pPr>
      <w:bookmarkStart w:id="497" w:name="_ENREF_19"/>
      <w:r w:rsidRPr="0027195B">
        <w:t>Connor, R.J., Engler, H., Machemer, T., Philopena, J.M., Horn, M.T., Sutjipto, S., Maneval, D.C.</w:t>
      </w:r>
      <w:r w:rsidRPr="0027195B">
        <w:rPr>
          <w:i/>
        </w:rPr>
        <w:t>, et al.</w:t>
      </w:r>
      <w:r w:rsidRPr="0027195B">
        <w:t xml:space="preserve"> (2001). Identification of polyamides that enhance adenovirus-mediated gene expression in the urothelium. Gene Ther</w:t>
      </w:r>
      <w:r w:rsidRPr="0027195B">
        <w:rPr>
          <w:i/>
        </w:rPr>
        <w:t xml:space="preserve"> 8</w:t>
      </w:r>
      <w:r w:rsidRPr="0027195B">
        <w:t>, 41-48.</w:t>
      </w:r>
      <w:bookmarkEnd w:id="497"/>
    </w:p>
    <w:p w14:paraId="6574144B" w14:textId="77777777" w:rsidR="0027195B" w:rsidRPr="0027195B" w:rsidRDefault="0027195B" w:rsidP="0027195B">
      <w:pPr>
        <w:pStyle w:val="EndNoteBibliography"/>
        <w:spacing w:after="240"/>
      </w:pPr>
      <w:bookmarkStart w:id="498" w:name="_ENREF_20"/>
      <w:r w:rsidRPr="0027195B">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498"/>
    </w:p>
    <w:p w14:paraId="1AD0411A" w14:textId="77777777" w:rsidR="0027195B" w:rsidRPr="0027195B" w:rsidRDefault="0027195B" w:rsidP="0027195B">
      <w:pPr>
        <w:pStyle w:val="EndNoteBibliography"/>
        <w:spacing w:after="240"/>
      </w:pPr>
      <w:bookmarkStart w:id="499" w:name="_ENREF_21"/>
      <w:r w:rsidRPr="0027195B">
        <w:t>Dehghan, S., Seto, J., Liu, E.B., Ismail, A.M., Madupu, R., Heim, A., Jones, M.S.</w:t>
      </w:r>
      <w:r w:rsidRPr="0027195B">
        <w:rPr>
          <w:i/>
        </w:rPr>
        <w:t>, et al.</w:t>
      </w:r>
      <w:r w:rsidRPr="0027195B">
        <w:t xml:space="preserve"> (2019). A Zoonotic Adenoviral Human Pathogen Emerged through Genomic Recombination among Human and Nonhuman Simian Hosts. </w:t>
      </w:r>
      <w:r w:rsidRPr="0027195B">
        <w:rPr>
          <w:i/>
        </w:rPr>
        <w:t xml:space="preserve"> 93</w:t>
      </w:r>
      <w:r w:rsidRPr="0027195B">
        <w:t>, e00564-00519.</w:t>
      </w:r>
      <w:bookmarkEnd w:id="499"/>
    </w:p>
    <w:p w14:paraId="722A63CF" w14:textId="77777777" w:rsidR="0027195B" w:rsidRPr="0027195B" w:rsidRDefault="0027195B" w:rsidP="0027195B">
      <w:pPr>
        <w:pStyle w:val="EndNoteBibliography"/>
        <w:spacing w:after="240"/>
      </w:pPr>
      <w:bookmarkStart w:id="500" w:name="_ENREF_22"/>
      <w:r w:rsidRPr="0027195B">
        <w:t>Desfarges, S., and Ciuffi, A. (2012). Viral Integration and Consequences on Host Gene Expression. In Viruses: Essential Agents of Life, G. Witzany, ed. (Dordrecht: Springer Netherlands), pp. 147-175.</w:t>
      </w:r>
      <w:bookmarkEnd w:id="500"/>
    </w:p>
    <w:p w14:paraId="6C2ADEC6" w14:textId="77777777" w:rsidR="0027195B" w:rsidRPr="0027195B" w:rsidRDefault="0027195B" w:rsidP="0027195B">
      <w:pPr>
        <w:pStyle w:val="EndNoteBibliography"/>
        <w:spacing w:after="240"/>
      </w:pPr>
      <w:bookmarkStart w:id="501" w:name="_ENREF_23"/>
      <w:r w:rsidRPr="0027195B">
        <w:t>Dhingra, A., Hage, E., Ganzenmueller, T., Bottcher, S., Hofmann, J., Hamprecht, K., Obermeier, P.</w:t>
      </w:r>
      <w:r w:rsidRPr="0027195B">
        <w:rPr>
          <w:i/>
        </w:rPr>
        <w:t>, et al.</w:t>
      </w:r>
      <w:r w:rsidRPr="0027195B">
        <w:t xml:space="preserve"> (2019). Molecular Evolution of Human Adenovirus (HAdV) Species C. Sci Rep</w:t>
      </w:r>
      <w:r w:rsidRPr="0027195B">
        <w:rPr>
          <w:i/>
        </w:rPr>
        <w:t xml:space="preserve"> 9</w:t>
      </w:r>
      <w:r w:rsidRPr="0027195B">
        <w:t>, 1039.</w:t>
      </w:r>
      <w:bookmarkEnd w:id="501"/>
    </w:p>
    <w:p w14:paraId="2C41812E" w14:textId="77777777" w:rsidR="0027195B" w:rsidRPr="0027195B" w:rsidRDefault="0027195B" w:rsidP="0027195B">
      <w:pPr>
        <w:pStyle w:val="EndNoteBibliography"/>
        <w:spacing w:after="240"/>
      </w:pPr>
      <w:bookmarkStart w:id="502" w:name="_ENREF_24"/>
      <w:r w:rsidRPr="0027195B">
        <w:t>Dinney, C.P., Fisher, M.B., Navai, N., O'Donnell, M.A., Cutler, D., Abraham, A., Young, S.</w:t>
      </w:r>
      <w:r w:rsidRPr="0027195B">
        <w:rPr>
          <w:i/>
        </w:rPr>
        <w:t>, et al.</w:t>
      </w:r>
      <w:r w:rsidRPr="0027195B">
        <w:t xml:space="preserve"> (2013). Phase I trial of intravesical recombinant adenovirus mediated interferon-α2b formulated in Syn3 for Bacillus Calmette-Guérin failures in nonmuscle invasive bladder cancer. J Urol</w:t>
      </w:r>
      <w:r w:rsidRPr="0027195B">
        <w:rPr>
          <w:i/>
        </w:rPr>
        <w:t xml:space="preserve"> 190</w:t>
      </w:r>
      <w:r w:rsidRPr="0027195B">
        <w:t>, 850-856.</w:t>
      </w:r>
      <w:bookmarkEnd w:id="502"/>
    </w:p>
    <w:p w14:paraId="51A4F369" w14:textId="01BF198E" w:rsidR="0027195B" w:rsidRPr="0027195B" w:rsidRDefault="0027195B" w:rsidP="0027195B">
      <w:pPr>
        <w:pStyle w:val="EndNoteBibliography"/>
        <w:spacing w:after="240"/>
      </w:pPr>
      <w:bookmarkStart w:id="503" w:name="_ENREF_25"/>
      <w:r w:rsidRPr="0027195B">
        <w:t xml:space="preserve">EMEA (2007). Non-clinical testing for inadvertent germline transmission of gene transfer vectors Accessed: December 2020. </w:t>
      </w:r>
      <w:hyperlink r:id="rId64" w:history="1">
        <w:r w:rsidRPr="0027195B">
          <w:rPr>
            <w:rStyle w:val="Hyperlink"/>
          </w:rPr>
          <w:t>https://www.ema.europa.eu/en/non-clinical-testing-inadvertent-germline-transmission-gene-transfer-vectors</w:t>
        </w:r>
      </w:hyperlink>
      <w:r w:rsidRPr="0027195B">
        <w:t>.</w:t>
      </w:r>
      <w:bookmarkEnd w:id="503"/>
    </w:p>
    <w:p w14:paraId="60604F71" w14:textId="77777777" w:rsidR="0027195B" w:rsidRPr="0027195B" w:rsidRDefault="0027195B" w:rsidP="0027195B">
      <w:pPr>
        <w:pStyle w:val="EndNoteBibliography"/>
        <w:spacing w:after="240"/>
      </w:pPr>
      <w:bookmarkStart w:id="504" w:name="_ENREF_26"/>
      <w:r w:rsidRPr="0027195B">
        <w:t>Fang, B., Lai, J., Liu, Y., Liu, L.-l., Yu, X., Li, X., Ke, H.</w:t>
      </w:r>
      <w:r w:rsidRPr="0027195B">
        <w:rPr>
          <w:i/>
        </w:rPr>
        <w:t>, et al.</w:t>
      </w:r>
      <w:r w:rsidRPr="0027195B">
        <w:t xml:space="preserve"> (2024). Hybrid sequencing for detailed genetic characterization of human adenoviruses. Scientific Reports</w:t>
      </w:r>
      <w:r w:rsidRPr="0027195B">
        <w:rPr>
          <w:i/>
        </w:rPr>
        <w:t xml:space="preserve"> 14</w:t>
      </w:r>
      <w:r w:rsidRPr="0027195B">
        <w:t>, 29490.</w:t>
      </w:r>
      <w:bookmarkEnd w:id="504"/>
    </w:p>
    <w:p w14:paraId="298F91D8" w14:textId="40D81C6A" w:rsidR="0027195B" w:rsidRPr="0027195B" w:rsidRDefault="0027195B" w:rsidP="0027195B">
      <w:pPr>
        <w:pStyle w:val="EndNoteBibliography"/>
        <w:spacing w:after="240"/>
      </w:pPr>
      <w:bookmarkStart w:id="505" w:name="_ENREF_27"/>
      <w:r w:rsidRPr="0027195B">
        <w:t xml:space="preserve">FDA (2020). Long Term Follow-Up After Administration of Human Gene Therapy Products - Guidance for Industry. Accessed: December 2020. </w:t>
      </w:r>
      <w:hyperlink r:id="rId65" w:history="1">
        <w:r w:rsidRPr="0027195B">
          <w:rPr>
            <w:rStyle w:val="Hyperlink"/>
          </w:rPr>
          <w:t>https://www.fda.gov/media/113768/download</w:t>
        </w:r>
      </w:hyperlink>
      <w:r w:rsidRPr="0027195B">
        <w:t>.</w:t>
      </w:r>
      <w:bookmarkEnd w:id="505"/>
    </w:p>
    <w:p w14:paraId="7F99C488" w14:textId="77777777" w:rsidR="0027195B" w:rsidRPr="0027195B" w:rsidRDefault="0027195B" w:rsidP="0027195B">
      <w:pPr>
        <w:pStyle w:val="EndNoteBibliography"/>
        <w:spacing w:after="240"/>
      </w:pPr>
      <w:bookmarkStart w:id="506" w:name="_ENREF_28"/>
      <w:r w:rsidRPr="0027195B">
        <w:t>Fong, T.-T., Phanikumar, M.S., Xagoraraki, I., and Rose, J.B. (2010). Quantitative Detection of Human Adenoviruses in Wastewater and Combined Sewer Overflows Influencing a Michigan River. Applied and Environmental Microbiology</w:t>
      </w:r>
      <w:r w:rsidRPr="0027195B">
        <w:rPr>
          <w:i/>
        </w:rPr>
        <w:t xml:space="preserve"> 76</w:t>
      </w:r>
      <w:r w:rsidRPr="0027195B">
        <w:t>, 715-723.</w:t>
      </w:r>
      <w:bookmarkEnd w:id="506"/>
    </w:p>
    <w:p w14:paraId="058A972D" w14:textId="77777777" w:rsidR="0027195B" w:rsidRPr="0027195B" w:rsidRDefault="0027195B" w:rsidP="0027195B">
      <w:pPr>
        <w:pStyle w:val="EndNoteBibliography"/>
        <w:spacing w:after="240"/>
      </w:pPr>
      <w:bookmarkStart w:id="507" w:name="_ENREF_29"/>
      <w:r w:rsidRPr="0027195B">
        <w:t>Gibbert, K., Schlaak, J.F., Yang, D., and Dittmer, U. (2013). IFN-α subtypes: distinct biological activities in anti-viral therapy. British journal of pharmacology</w:t>
      </w:r>
      <w:r w:rsidRPr="0027195B">
        <w:rPr>
          <w:i/>
        </w:rPr>
        <w:t xml:space="preserve"> 168</w:t>
      </w:r>
      <w:r w:rsidRPr="0027195B">
        <w:t>, 1048-1058.</w:t>
      </w:r>
      <w:bookmarkEnd w:id="507"/>
    </w:p>
    <w:p w14:paraId="28F4C4D3" w14:textId="77777777" w:rsidR="0027195B" w:rsidRPr="0027195B" w:rsidRDefault="0027195B" w:rsidP="0027195B">
      <w:pPr>
        <w:pStyle w:val="EndNoteBibliography"/>
        <w:spacing w:after="240"/>
      </w:pPr>
      <w:bookmarkStart w:id="508" w:name="_ENREF_30"/>
      <w:r w:rsidRPr="0027195B">
        <w:t>Gokumakulapalle, M., and Mei, Y.-F. (2016). Replication-competent human adenovirus 11p vectors can propagate in Vero cells. Virology</w:t>
      </w:r>
      <w:r w:rsidRPr="0027195B">
        <w:rPr>
          <w:i/>
        </w:rPr>
        <w:t xml:space="preserve"> 495</w:t>
      </w:r>
      <w:r w:rsidRPr="0027195B">
        <w:t>, 42-51.</w:t>
      </w:r>
      <w:bookmarkEnd w:id="508"/>
    </w:p>
    <w:p w14:paraId="0482B75E" w14:textId="77777777" w:rsidR="0027195B" w:rsidRPr="0027195B" w:rsidRDefault="0027195B" w:rsidP="0027195B">
      <w:pPr>
        <w:pStyle w:val="EndNoteBibliography"/>
        <w:spacing w:after="240"/>
      </w:pPr>
      <w:bookmarkStart w:id="509" w:name="_ENREF_31"/>
      <w:r w:rsidRPr="0027195B">
        <w:lastRenderedPageBreak/>
        <w:t>Gokumakulapalle, M., Wang, L., and Mei, Y.F. (2021). Susceptibility of Dog, Hamster, and Mouse Cells to the Replication-Competent Adenovirus 11p E1/E3 Green Fluorescence Protein Vector Has Implications for the Selection of Animal Vaccine Models. Front Microbiol</w:t>
      </w:r>
      <w:r w:rsidRPr="0027195B">
        <w:rPr>
          <w:i/>
        </w:rPr>
        <w:t xml:space="preserve"> 12</w:t>
      </w:r>
      <w:r w:rsidRPr="0027195B">
        <w:t>, 698999.</w:t>
      </w:r>
      <w:bookmarkEnd w:id="509"/>
    </w:p>
    <w:p w14:paraId="3346C541" w14:textId="77777777" w:rsidR="0027195B" w:rsidRPr="0027195B" w:rsidRDefault="0027195B" w:rsidP="0027195B">
      <w:pPr>
        <w:pStyle w:val="EndNoteBibliography"/>
        <w:spacing w:after="240"/>
      </w:pPr>
      <w:bookmarkStart w:id="510" w:name="_ENREF_32"/>
      <w:r w:rsidRPr="0027195B">
        <w:t>Gray, G.C., and Erdman, D.D. (2018). Adenovirus Vaccines. Plotkin's Vaccines, 121-133.e128.</w:t>
      </w:r>
      <w:bookmarkEnd w:id="510"/>
    </w:p>
    <w:p w14:paraId="4A823305" w14:textId="77777777" w:rsidR="0027195B" w:rsidRPr="0027195B" w:rsidRDefault="0027195B" w:rsidP="0027195B">
      <w:pPr>
        <w:pStyle w:val="EndNoteBibliography"/>
        <w:spacing w:after="240"/>
      </w:pPr>
      <w:bookmarkStart w:id="511" w:name="_ENREF_33"/>
      <w:r w:rsidRPr="0027195B">
        <w:t>Gruber, W.C., Russell, D.J., and Tibbetts, C. (1993). Fiber Gene and Genomic Origin of Human Adenovirus Type 4. Virology</w:t>
      </w:r>
      <w:r w:rsidRPr="0027195B">
        <w:rPr>
          <w:i/>
        </w:rPr>
        <w:t xml:space="preserve"> 196</w:t>
      </w:r>
      <w:r w:rsidRPr="0027195B">
        <w:t>, 603-611.</w:t>
      </w:r>
      <w:bookmarkEnd w:id="511"/>
    </w:p>
    <w:p w14:paraId="771F367D" w14:textId="77777777" w:rsidR="0027195B" w:rsidRPr="0027195B" w:rsidRDefault="0027195B" w:rsidP="0027195B">
      <w:pPr>
        <w:pStyle w:val="EndNoteBibliography"/>
        <w:spacing w:after="240"/>
      </w:pPr>
      <w:bookmarkStart w:id="512" w:name="_ENREF_34"/>
      <w:r w:rsidRPr="0027195B">
        <w:t>Harui, A., Suzuki, S., Kochanek, S., and Mitani, K. (1999). Frequency and stability of chromosomal integration of adenovirus vectors. Journal of virology</w:t>
      </w:r>
      <w:r w:rsidRPr="0027195B">
        <w:rPr>
          <w:i/>
        </w:rPr>
        <w:t xml:space="preserve"> 73</w:t>
      </w:r>
      <w:r w:rsidRPr="0027195B">
        <w:t>, 6141-6146.</w:t>
      </w:r>
      <w:bookmarkEnd w:id="512"/>
    </w:p>
    <w:p w14:paraId="3C70F96F" w14:textId="77777777" w:rsidR="0027195B" w:rsidRPr="0027195B" w:rsidRDefault="0027195B" w:rsidP="0027195B">
      <w:pPr>
        <w:pStyle w:val="EndNoteBibliography"/>
        <w:spacing w:after="240"/>
      </w:pPr>
      <w:bookmarkStart w:id="513" w:name="_ENREF_35"/>
      <w:r w:rsidRPr="0027195B">
        <w:t>Hillgenberg, M., Tonnies, H., and Strauss, M. (2001). Chromosomal integration pattern of a helper-dependent minimal adenovirus vector with a selectable marker inserted into a 27.4-kilobase genomic stuffer. J Virol</w:t>
      </w:r>
      <w:r w:rsidRPr="0027195B">
        <w:rPr>
          <w:i/>
        </w:rPr>
        <w:t xml:space="preserve"> 75</w:t>
      </w:r>
      <w:r w:rsidRPr="0027195B">
        <w:t>, 9896-9908.</w:t>
      </w:r>
      <w:bookmarkEnd w:id="513"/>
    </w:p>
    <w:p w14:paraId="71F95191" w14:textId="77777777" w:rsidR="0027195B" w:rsidRPr="0027195B" w:rsidRDefault="0027195B" w:rsidP="0027195B">
      <w:pPr>
        <w:pStyle w:val="EndNoteBibliography"/>
        <w:spacing w:after="240"/>
      </w:pPr>
      <w:bookmarkStart w:id="514" w:name="_ENREF_36"/>
      <w:r w:rsidRPr="0027195B">
        <w:t>Hong, L., Li, J., Zeng, W., Li, Y., Yu, C., Zhao, S., Chen, L.</w:t>
      </w:r>
      <w:r w:rsidRPr="0027195B">
        <w:rPr>
          <w:i/>
        </w:rPr>
        <w:t>, et al.</w:t>
      </w:r>
      <w:r w:rsidRPr="0027195B">
        <w:t xml:space="preserve"> (2025). The seroprevalence of adenoviruses since 2000(1). Emerg Microbes Infect</w:t>
      </w:r>
      <w:r w:rsidRPr="0027195B">
        <w:rPr>
          <w:i/>
        </w:rPr>
        <w:t xml:space="preserve"> 14</w:t>
      </w:r>
      <w:r w:rsidRPr="0027195B">
        <w:t>, 2475831.</w:t>
      </w:r>
      <w:bookmarkEnd w:id="514"/>
    </w:p>
    <w:p w14:paraId="260031D8" w14:textId="77777777" w:rsidR="0027195B" w:rsidRPr="0027195B" w:rsidRDefault="0027195B" w:rsidP="0027195B">
      <w:pPr>
        <w:pStyle w:val="EndNoteBibliography"/>
        <w:spacing w:after="240"/>
      </w:pPr>
      <w:bookmarkStart w:id="515" w:name="_ENREF_37"/>
      <w:r w:rsidRPr="0027195B">
        <w:t>Hoppe, E., Pauly, M., Gillespie, T.R., Akoua-Koffi, C., Hohmann, G., Fruth, B., Karhemere, S.</w:t>
      </w:r>
      <w:r w:rsidRPr="0027195B">
        <w:rPr>
          <w:i/>
        </w:rPr>
        <w:t>, et al.</w:t>
      </w:r>
      <w:r w:rsidRPr="0027195B">
        <w:t xml:space="preserve"> (2015a). Multiple Cross-Species Transmission Events of Human Adenoviruses (HAdV) during Hominine Evolution. Molecular Biology and Evolution</w:t>
      </w:r>
      <w:r w:rsidRPr="0027195B">
        <w:rPr>
          <w:i/>
        </w:rPr>
        <w:t xml:space="preserve"> 32</w:t>
      </w:r>
      <w:r w:rsidRPr="0027195B">
        <w:t>, 2072-2084.</w:t>
      </w:r>
      <w:bookmarkEnd w:id="515"/>
    </w:p>
    <w:p w14:paraId="3794571E" w14:textId="77777777" w:rsidR="0027195B" w:rsidRPr="0027195B" w:rsidRDefault="0027195B" w:rsidP="0027195B">
      <w:pPr>
        <w:pStyle w:val="EndNoteBibliography"/>
        <w:spacing w:after="240"/>
      </w:pPr>
      <w:bookmarkStart w:id="516" w:name="_ENREF_38"/>
      <w:r w:rsidRPr="0027195B">
        <w:t>Hoppe, E., Pauly, M., Gillespie, T.R., Akoua-Koffi, C., Hohmann, G., Fruth, B., Karhemere, S.</w:t>
      </w:r>
      <w:r w:rsidRPr="0027195B">
        <w:rPr>
          <w:i/>
        </w:rPr>
        <w:t>, et al.</w:t>
      </w:r>
      <w:r w:rsidRPr="0027195B">
        <w:t xml:space="preserve"> (2015b). Multiple Cross-Species Transmission Events of Human Adenoviruses (HAdV) during Hominine Evolution. Mol Biol Evol</w:t>
      </w:r>
      <w:r w:rsidRPr="0027195B">
        <w:rPr>
          <w:i/>
        </w:rPr>
        <w:t xml:space="preserve"> 32</w:t>
      </w:r>
      <w:r w:rsidRPr="0027195B">
        <w:t>, 2072-2084.</w:t>
      </w:r>
      <w:bookmarkEnd w:id="516"/>
    </w:p>
    <w:p w14:paraId="5739C6A9" w14:textId="77777777" w:rsidR="0027195B" w:rsidRPr="0027195B" w:rsidRDefault="0027195B" w:rsidP="0027195B">
      <w:pPr>
        <w:pStyle w:val="EndNoteBibliography"/>
        <w:spacing w:after="240"/>
      </w:pPr>
      <w:bookmarkStart w:id="517" w:name="_ENREF_39"/>
      <w:r w:rsidRPr="0027195B">
        <w:t>Huh, K., Kim, I., Jung, J., Lee, J.E., Jhun, B.W., Gu, S.H., Song, D.H.</w:t>
      </w:r>
      <w:r w:rsidRPr="0027195B">
        <w:rPr>
          <w:i/>
        </w:rPr>
        <w:t>, et al.</w:t>
      </w:r>
      <w:r w:rsidRPr="0027195B">
        <w:t xml:space="preserve"> (2019). Prolonged shedding of type 55 human adenovirus in immunocompetent adults with adenoviral respiratory infections. European Journal of Clinical Microbiology &amp; Infectious Diseases</w:t>
      </w:r>
      <w:r w:rsidRPr="0027195B">
        <w:rPr>
          <w:i/>
        </w:rPr>
        <w:t xml:space="preserve"> 38</w:t>
      </w:r>
      <w:r w:rsidRPr="0027195B">
        <w:t>, 793-800.</w:t>
      </w:r>
      <w:bookmarkEnd w:id="517"/>
    </w:p>
    <w:p w14:paraId="742E4D9B" w14:textId="77777777" w:rsidR="0027195B" w:rsidRPr="0027195B" w:rsidRDefault="0027195B" w:rsidP="0027195B">
      <w:pPr>
        <w:pStyle w:val="EndNoteBibliography"/>
        <w:spacing w:after="240"/>
      </w:pPr>
      <w:bookmarkStart w:id="518" w:name="_ENREF_40"/>
      <w:r w:rsidRPr="0027195B">
        <w:t>Iqbal Ahmed, C.M., Johnson, D.E., Demers, G.W., Engler, H., Howe, J.A., Wills, K.N., Wen, S.F.</w:t>
      </w:r>
      <w:r w:rsidRPr="0027195B">
        <w:rPr>
          <w:i/>
        </w:rPr>
        <w:t>, et al.</w:t>
      </w:r>
      <w:r w:rsidRPr="0027195B">
        <w:t xml:space="preserve"> (2001). Interferon alpha 2b gene delivery using adenoviral vector causes inhibition of tumor growth in xenograft models from a variety of cancers. Cancer Gene Ther</w:t>
      </w:r>
      <w:r w:rsidRPr="0027195B">
        <w:rPr>
          <w:i/>
        </w:rPr>
        <w:t xml:space="preserve"> 8</w:t>
      </w:r>
      <w:r w:rsidRPr="0027195B">
        <w:t>, 788-795.</w:t>
      </w:r>
      <w:bookmarkEnd w:id="518"/>
    </w:p>
    <w:p w14:paraId="7BEB3F8E" w14:textId="77777777" w:rsidR="0027195B" w:rsidRPr="0027195B" w:rsidRDefault="0027195B" w:rsidP="0027195B">
      <w:pPr>
        <w:pStyle w:val="EndNoteBibliography"/>
        <w:spacing w:after="240"/>
      </w:pPr>
      <w:bookmarkStart w:id="519" w:name="_ENREF_41"/>
      <w:r w:rsidRPr="0027195B">
        <w:t>Ismail, A.M., Cui, T., Dommaraju, K., Singh, G., Dehghan, S., Seto, J., Shrivastava, S.</w:t>
      </w:r>
      <w:r w:rsidRPr="0027195B">
        <w:rPr>
          <w:i/>
        </w:rPr>
        <w:t>, et al.</w:t>
      </w:r>
      <w:r w:rsidRPr="0027195B">
        <w:t xml:space="preserve"> (2018a). Genomic analysis of a large set of currently—and historically—important human adenovirus pathogens. Emerging Microbes &amp; Infections</w:t>
      </w:r>
      <w:r w:rsidRPr="0027195B">
        <w:rPr>
          <w:i/>
        </w:rPr>
        <w:t xml:space="preserve"> 7</w:t>
      </w:r>
      <w:r w:rsidRPr="0027195B">
        <w:t>, 1-22.</w:t>
      </w:r>
      <w:bookmarkEnd w:id="519"/>
    </w:p>
    <w:p w14:paraId="06E1DED3" w14:textId="77777777" w:rsidR="0027195B" w:rsidRPr="0027195B" w:rsidRDefault="0027195B" w:rsidP="0027195B">
      <w:pPr>
        <w:pStyle w:val="EndNoteBibliography"/>
        <w:spacing w:after="240"/>
      </w:pPr>
      <w:bookmarkStart w:id="520" w:name="_ENREF_42"/>
      <w:r w:rsidRPr="0027195B">
        <w:t>Ismail, A.M., Lee, J.S., Lee, J.Y., Singh, G., Dyer, D.W., Seto, D., Chodosh, J.</w:t>
      </w:r>
      <w:r w:rsidRPr="0027195B">
        <w:rPr>
          <w:i/>
        </w:rPr>
        <w:t>, et al.</w:t>
      </w:r>
      <w:r w:rsidRPr="0027195B">
        <w:t xml:space="preserve"> (2018b). Adenoviromics: Mining the Human Adenovirus Species D Genome. Frontiers in Immunology</w:t>
      </w:r>
      <w:r w:rsidRPr="0027195B">
        <w:rPr>
          <w:i/>
        </w:rPr>
        <w:t xml:space="preserve"> 9</w:t>
      </w:r>
      <w:r w:rsidRPr="0027195B">
        <w:t>, 2178.</w:t>
      </w:r>
      <w:bookmarkEnd w:id="520"/>
    </w:p>
    <w:p w14:paraId="0D27CF95" w14:textId="77777777" w:rsidR="0027195B" w:rsidRPr="0027195B" w:rsidRDefault="0027195B" w:rsidP="0027195B">
      <w:pPr>
        <w:pStyle w:val="EndNoteBibliography"/>
        <w:spacing w:after="240"/>
      </w:pPr>
      <w:bookmarkStart w:id="521" w:name="_ENREF_43"/>
      <w:r w:rsidRPr="0027195B">
        <w:t>Ismail, A.M., Zhou, X., Dyer, D.W., Seto, D., Rajaiya, J., and Chodosh, J. (2019). Genomic foundations of evolution and ocular pathogenesis in human adenovirus species D. FEBS Lett</w:t>
      </w:r>
      <w:r w:rsidRPr="0027195B">
        <w:rPr>
          <w:i/>
        </w:rPr>
        <w:t xml:space="preserve"> 593</w:t>
      </w:r>
      <w:r w:rsidRPr="0027195B">
        <w:t>, 3583-3608.</w:t>
      </w:r>
      <w:bookmarkEnd w:id="521"/>
    </w:p>
    <w:p w14:paraId="4E650D83" w14:textId="77777777" w:rsidR="0027195B" w:rsidRPr="0027195B" w:rsidRDefault="0027195B" w:rsidP="0027195B">
      <w:pPr>
        <w:pStyle w:val="EndNoteBibliography"/>
        <w:spacing w:after="240"/>
      </w:pPr>
      <w:bookmarkStart w:id="522" w:name="_ENREF_44"/>
      <w:r w:rsidRPr="0027195B">
        <w:t>Jogler, C., Hoffmann, D., Theegarten, D., Grunwald, T., Überla, K., and Wildner, O. (2006). Replication Properties of Human Adenovirus In Vivo and in Cultures of Primary Cells from Different Animal Species. Journal of Virology</w:t>
      </w:r>
      <w:r w:rsidRPr="0027195B">
        <w:rPr>
          <w:i/>
        </w:rPr>
        <w:t xml:space="preserve"> 80</w:t>
      </w:r>
      <w:r w:rsidRPr="0027195B">
        <w:t>, 3549-3558.</w:t>
      </w:r>
      <w:bookmarkEnd w:id="522"/>
    </w:p>
    <w:p w14:paraId="6D8D15E4" w14:textId="77777777" w:rsidR="0027195B" w:rsidRPr="0027195B" w:rsidRDefault="0027195B" w:rsidP="0027195B">
      <w:pPr>
        <w:pStyle w:val="EndNoteBibliography"/>
        <w:spacing w:after="240"/>
      </w:pPr>
      <w:bookmarkStart w:id="523" w:name="_ENREF_45"/>
      <w:r w:rsidRPr="0027195B">
        <w:t>Khanal, S., Ghimire, P., and Dhamoon, A.S. (2018). The Repertoire of Adenovirus in Human Disease: The Innocuous to the Deadly. Biomedicines</w:t>
      </w:r>
      <w:r w:rsidRPr="0027195B">
        <w:rPr>
          <w:i/>
        </w:rPr>
        <w:t xml:space="preserve"> 6</w:t>
      </w:r>
      <w:r w:rsidRPr="0027195B">
        <w:t>, 30.</w:t>
      </w:r>
      <w:bookmarkEnd w:id="523"/>
    </w:p>
    <w:p w14:paraId="50FBF61F" w14:textId="77777777" w:rsidR="0027195B" w:rsidRPr="0027195B" w:rsidRDefault="0027195B" w:rsidP="0027195B">
      <w:pPr>
        <w:pStyle w:val="EndNoteBibliography"/>
        <w:spacing w:after="240"/>
      </w:pPr>
      <w:bookmarkStart w:id="524" w:name="_ENREF_46"/>
      <w:r w:rsidRPr="0027195B">
        <w:lastRenderedPageBreak/>
        <w:t>Konety, B.R., Shore, N.D., and Sant, G.R. (2024). Clinical use of nadofaragene firadenovec-vncg. Therapeutic Advances in Urology</w:t>
      </w:r>
      <w:r w:rsidRPr="0027195B">
        <w:rPr>
          <w:i/>
        </w:rPr>
        <w:t xml:space="preserve"> 16</w:t>
      </w:r>
      <w:r w:rsidRPr="0027195B">
        <w:t>, 17562872241280005.</w:t>
      </w:r>
      <w:bookmarkEnd w:id="524"/>
    </w:p>
    <w:p w14:paraId="752FC240" w14:textId="77777777" w:rsidR="0027195B" w:rsidRPr="0027195B" w:rsidRDefault="0027195B" w:rsidP="0027195B">
      <w:pPr>
        <w:pStyle w:val="EndNoteBibliography"/>
        <w:spacing w:after="240"/>
      </w:pPr>
      <w:bookmarkStart w:id="525" w:name="_ENREF_47"/>
      <w:r w:rsidRPr="0027195B">
        <w:t>Lange, C.E., Niama, F.R., Cameron, K., Olson, S.H., Aime Nina, R., Ondzie, A., Bounga, G.</w:t>
      </w:r>
      <w:r w:rsidRPr="0027195B">
        <w:rPr>
          <w:i/>
        </w:rPr>
        <w:t>, et al.</w:t>
      </w:r>
      <w:r w:rsidRPr="0027195B">
        <w:t xml:space="preserve"> (2019). First evidence of a new simian adenovirus clustering with Human mastadenovirus F viruses. Virology Journal</w:t>
      </w:r>
      <w:r w:rsidRPr="0027195B">
        <w:rPr>
          <w:i/>
        </w:rPr>
        <w:t xml:space="preserve"> 16</w:t>
      </w:r>
      <w:r w:rsidRPr="0027195B">
        <w:t>, 147.</w:t>
      </w:r>
      <w:bookmarkEnd w:id="525"/>
    </w:p>
    <w:p w14:paraId="7DC510EC" w14:textId="77777777" w:rsidR="0027195B" w:rsidRPr="0027195B" w:rsidRDefault="0027195B" w:rsidP="0027195B">
      <w:pPr>
        <w:pStyle w:val="EndNoteBibliography"/>
        <w:spacing w:after="240"/>
      </w:pPr>
      <w:bookmarkStart w:id="526" w:name="_ENREF_48"/>
      <w:r w:rsidRPr="0027195B">
        <w:t>Lasaro, M.O., and Ertl, H.C.J. (2009). New insights on adenovirus as vaccine vectors. Molecular therapy : the journal of the American Society of Gene Therapy</w:t>
      </w:r>
      <w:r w:rsidRPr="0027195B">
        <w:rPr>
          <w:i/>
        </w:rPr>
        <w:t xml:space="preserve"> 17</w:t>
      </w:r>
      <w:r w:rsidRPr="0027195B">
        <w:t>, 1333-1339.</w:t>
      </w:r>
      <w:bookmarkEnd w:id="526"/>
    </w:p>
    <w:p w14:paraId="55ACE6D9" w14:textId="77777777" w:rsidR="0027195B" w:rsidRPr="0027195B" w:rsidRDefault="0027195B" w:rsidP="0027195B">
      <w:pPr>
        <w:pStyle w:val="EndNoteBibliography"/>
        <w:spacing w:after="240"/>
      </w:pPr>
      <w:bookmarkStart w:id="527" w:name="_ENREF_49"/>
      <w:r w:rsidRPr="0027195B">
        <w:t>Lee, A. (2023). Nadofaragene Firadenovec: First Approval. Drugs</w:t>
      </w:r>
      <w:r w:rsidRPr="0027195B">
        <w:rPr>
          <w:i/>
        </w:rPr>
        <w:t xml:space="preserve"> 83</w:t>
      </w:r>
      <w:r w:rsidRPr="0027195B">
        <w:t>, 353-357.</w:t>
      </w:r>
      <w:bookmarkEnd w:id="527"/>
    </w:p>
    <w:p w14:paraId="0D38B7D2" w14:textId="77777777" w:rsidR="0027195B" w:rsidRPr="0027195B" w:rsidRDefault="0027195B" w:rsidP="0027195B">
      <w:pPr>
        <w:pStyle w:val="EndNoteBibliography"/>
        <w:spacing w:after="240"/>
      </w:pPr>
      <w:bookmarkStart w:id="528" w:name="_ENREF_50"/>
      <w:r w:rsidRPr="0027195B">
        <w:t>Leikas, A.J., Ylä-Herttuala, S., and Hartikainen, J.E. (2023a). Adenoviral Gene Therapy Vectors in Clinical Use—Basic Aspects with a Special Reference to Replication-Competent Adenovirus Formation and Its Impact on Clinical Safety. International Journal of Molecular Sciences</w:t>
      </w:r>
      <w:r w:rsidRPr="0027195B">
        <w:rPr>
          <w:i/>
        </w:rPr>
        <w:t xml:space="preserve"> 24</w:t>
      </w:r>
      <w:r w:rsidRPr="0027195B">
        <w:t>, 16519.</w:t>
      </w:r>
      <w:bookmarkEnd w:id="528"/>
    </w:p>
    <w:p w14:paraId="2F15172C" w14:textId="77777777" w:rsidR="0027195B" w:rsidRPr="0027195B" w:rsidRDefault="0027195B" w:rsidP="0027195B">
      <w:pPr>
        <w:pStyle w:val="EndNoteBibliography"/>
        <w:spacing w:after="240"/>
      </w:pPr>
      <w:bookmarkStart w:id="529" w:name="_ENREF_51"/>
      <w:r w:rsidRPr="0027195B">
        <w:t>Leikas, A.J., Ylä-Herttuala, S., and Hartikainen, J.E.K. (2023b). Adenoviral Gene Therapy Vectors in Clinical Use—Basic Aspects with a Special Reference to Replication-Competent Adenovirus Formation and Its Impact on Clinical Safety. International Journal of Molecular Sciences</w:t>
      </w:r>
      <w:r w:rsidRPr="0027195B">
        <w:rPr>
          <w:i/>
        </w:rPr>
        <w:t xml:space="preserve"> 24</w:t>
      </w:r>
      <w:r w:rsidRPr="0027195B">
        <w:t>, 16519.</w:t>
      </w:r>
      <w:bookmarkEnd w:id="529"/>
    </w:p>
    <w:p w14:paraId="320C8884" w14:textId="77777777" w:rsidR="0027195B" w:rsidRPr="0027195B" w:rsidRDefault="0027195B" w:rsidP="0027195B">
      <w:pPr>
        <w:pStyle w:val="EndNoteBibliography"/>
        <w:spacing w:after="240"/>
      </w:pPr>
      <w:bookmarkStart w:id="530" w:name="_ENREF_52"/>
      <w:r w:rsidRPr="0027195B">
        <w:t>Liaci, A.M., Chandra, N., Vodnala, S.M., Strebl, M., Kumar, P., Pfenning, V., Bachmann, P.</w:t>
      </w:r>
      <w:r w:rsidRPr="0027195B">
        <w:rPr>
          <w:i/>
        </w:rPr>
        <w:t>, et al.</w:t>
      </w:r>
      <w:r w:rsidRPr="0027195B">
        <w:t xml:space="preserve"> (2025). Extended receptor repertoire of an adenovirus associated with human obesity. PLOS Pathogens</w:t>
      </w:r>
      <w:r w:rsidRPr="0027195B">
        <w:rPr>
          <w:i/>
        </w:rPr>
        <w:t xml:space="preserve"> 21</w:t>
      </w:r>
      <w:r w:rsidRPr="0027195B">
        <w:t>, e1012892.</w:t>
      </w:r>
      <w:bookmarkEnd w:id="530"/>
    </w:p>
    <w:p w14:paraId="63414623" w14:textId="77777777" w:rsidR="0027195B" w:rsidRPr="0027195B" w:rsidRDefault="0027195B" w:rsidP="0027195B">
      <w:pPr>
        <w:pStyle w:val="EndNoteBibliography"/>
        <w:spacing w:after="240"/>
      </w:pPr>
      <w:bookmarkStart w:id="531" w:name="_ENREF_53"/>
      <w:r w:rsidRPr="0027195B">
        <w:t>Lichtenstein, D.L., and Wold, W.S. (2004). Experimental infections of humans with wild-type adenoviruses and with replication-competent adenovirus vectors: replication, safety, and transmission. Cancer Gene Ther</w:t>
      </w:r>
      <w:r w:rsidRPr="0027195B">
        <w:rPr>
          <w:i/>
        </w:rPr>
        <w:t xml:space="preserve"> 11</w:t>
      </w:r>
      <w:r w:rsidRPr="0027195B">
        <w:t>, 819-829.</w:t>
      </w:r>
      <w:bookmarkEnd w:id="531"/>
    </w:p>
    <w:p w14:paraId="7A9A1717" w14:textId="77777777" w:rsidR="0027195B" w:rsidRPr="0027195B" w:rsidRDefault="0027195B" w:rsidP="0027195B">
      <w:pPr>
        <w:pStyle w:val="EndNoteBibliography"/>
        <w:spacing w:after="240"/>
      </w:pPr>
      <w:bookmarkStart w:id="532" w:name="_ENREF_54"/>
      <w:r w:rsidRPr="0027195B">
        <w:t xml:space="preserve">Lion, T. (2019). Adenovirus persistence, reactivation, and clinical management. </w:t>
      </w:r>
      <w:r w:rsidRPr="0027195B">
        <w:rPr>
          <w:i/>
        </w:rPr>
        <w:t xml:space="preserve"> 593</w:t>
      </w:r>
      <w:r w:rsidRPr="0027195B">
        <w:t>, 3571-3582.</w:t>
      </w:r>
      <w:bookmarkEnd w:id="532"/>
    </w:p>
    <w:p w14:paraId="4E20337E" w14:textId="77777777" w:rsidR="0027195B" w:rsidRPr="0027195B" w:rsidRDefault="0027195B" w:rsidP="0027195B">
      <w:pPr>
        <w:pStyle w:val="EndNoteBibliography"/>
        <w:spacing w:after="240"/>
      </w:pPr>
      <w:bookmarkStart w:id="533" w:name="_ENREF_55"/>
      <w:r w:rsidRPr="0027195B">
        <w:t>Liu, H., Jin, L., Koh, S.B., Atanasov, I., Schein, S., Wu, L., and Zhou, Z.H. (2010). Atomic structure of human adenovirus by cryo-EM reveals interactions among protein networks. Science</w:t>
      </w:r>
      <w:r w:rsidRPr="0027195B">
        <w:rPr>
          <w:i/>
        </w:rPr>
        <w:t xml:space="preserve"> 329</w:t>
      </w:r>
      <w:r w:rsidRPr="0027195B">
        <w:t>, 1038-1043.</w:t>
      </w:r>
      <w:bookmarkEnd w:id="533"/>
    </w:p>
    <w:p w14:paraId="3606272E" w14:textId="77777777" w:rsidR="0027195B" w:rsidRPr="0027195B" w:rsidRDefault="0027195B" w:rsidP="0027195B">
      <w:pPr>
        <w:pStyle w:val="EndNoteBibliography"/>
        <w:spacing w:after="240"/>
      </w:pPr>
      <w:bookmarkStart w:id="534" w:name="_ENREF_56"/>
      <w:r w:rsidRPr="0027195B">
        <w:t>Lukashev, A.N., Ivanova, O.E., Eremeeva, T.P., and Iggo, R.D. (2008). Evidence of frequent recombination among human adenoviruses. J Gen Virol</w:t>
      </w:r>
      <w:r w:rsidRPr="0027195B">
        <w:rPr>
          <w:i/>
        </w:rPr>
        <w:t xml:space="preserve"> 89</w:t>
      </w:r>
      <w:r w:rsidRPr="0027195B">
        <w:t>, 380-388.</w:t>
      </w:r>
      <w:bookmarkEnd w:id="534"/>
    </w:p>
    <w:p w14:paraId="6ED6AFBF" w14:textId="77777777" w:rsidR="0027195B" w:rsidRPr="0027195B" w:rsidRDefault="0027195B" w:rsidP="0027195B">
      <w:pPr>
        <w:pStyle w:val="EndNoteBibliography"/>
        <w:spacing w:after="240"/>
      </w:pPr>
      <w:bookmarkStart w:id="535" w:name="_ENREF_57"/>
      <w:r w:rsidRPr="0027195B">
        <w:t>Ma, H.C., and Hearing, P. (2011). Adenovirus structural protein IIIa is involved in the serotype specificity of viral DNA packaging. J Virol</w:t>
      </w:r>
      <w:r w:rsidRPr="0027195B">
        <w:rPr>
          <w:i/>
        </w:rPr>
        <w:t xml:space="preserve"> 85</w:t>
      </w:r>
      <w:r w:rsidRPr="0027195B">
        <w:t>, 7849-7855.</w:t>
      </w:r>
      <w:bookmarkEnd w:id="535"/>
    </w:p>
    <w:p w14:paraId="2928B60F" w14:textId="77777777" w:rsidR="0027195B" w:rsidRPr="0027195B" w:rsidRDefault="0027195B" w:rsidP="0027195B">
      <w:pPr>
        <w:pStyle w:val="EndNoteBibliography"/>
        <w:spacing w:after="240"/>
      </w:pPr>
      <w:bookmarkStart w:id="536" w:name="_ENREF_58"/>
      <w:r w:rsidRPr="0027195B">
        <w:t>Mangel, W.F., and San Martin, C. (2014). Structure, function and dynamics in adenovirus maturation. Viruses</w:t>
      </w:r>
      <w:r w:rsidRPr="0027195B">
        <w:rPr>
          <w:i/>
        </w:rPr>
        <w:t xml:space="preserve"> 6</w:t>
      </w:r>
      <w:r w:rsidRPr="0027195B">
        <w:t>, 4536-4570.</w:t>
      </w:r>
      <w:bookmarkEnd w:id="536"/>
    </w:p>
    <w:p w14:paraId="5579B0BF" w14:textId="77777777" w:rsidR="0027195B" w:rsidRPr="0027195B" w:rsidRDefault="0027195B" w:rsidP="0027195B">
      <w:pPr>
        <w:pStyle w:val="EndNoteBibliography"/>
        <w:spacing w:after="240"/>
      </w:pPr>
      <w:bookmarkStart w:id="537" w:name="_ENREF_59"/>
      <w:r w:rsidRPr="0027195B">
        <w:t>McCormick, L., and Maheshwari, G. (2004). Inactivation of adenovirus types 5 and 6 by Virkon® S. Antiviral Research</w:t>
      </w:r>
      <w:r w:rsidRPr="0027195B">
        <w:rPr>
          <w:i/>
        </w:rPr>
        <w:t xml:space="preserve"> 64</w:t>
      </w:r>
      <w:r w:rsidRPr="0027195B">
        <w:t>, 27-33.</w:t>
      </w:r>
      <w:bookmarkEnd w:id="537"/>
    </w:p>
    <w:p w14:paraId="1957687A" w14:textId="77777777" w:rsidR="0027195B" w:rsidRPr="0027195B" w:rsidRDefault="0027195B" w:rsidP="0027195B">
      <w:pPr>
        <w:pStyle w:val="EndNoteBibliography"/>
        <w:spacing w:after="240"/>
      </w:pPr>
      <w:bookmarkStart w:id="538" w:name="_ENREF_60"/>
      <w:r w:rsidRPr="0027195B">
        <w:t>Mennechet, F.J.D., Paris, O., Ouoba, A.R., Salazar Arenas, S., Sirima, S.B., Takoudjou Dzomo, G.R., Diarra, A.</w:t>
      </w:r>
      <w:r w:rsidRPr="0027195B">
        <w:rPr>
          <w:i/>
        </w:rPr>
        <w:t>, et al.</w:t>
      </w:r>
      <w:r w:rsidRPr="0027195B">
        <w:t xml:space="preserve"> (2019a). A review of 65 years of human adenovirus seroprevalence. Expert Rev Vaccines</w:t>
      </w:r>
      <w:r w:rsidRPr="0027195B">
        <w:rPr>
          <w:i/>
        </w:rPr>
        <w:t xml:space="preserve"> 18</w:t>
      </w:r>
      <w:r w:rsidRPr="0027195B">
        <w:t>, 597-613.</w:t>
      </w:r>
      <w:bookmarkEnd w:id="538"/>
    </w:p>
    <w:p w14:paraId="53E6A652" w14:textId="77777777" w:rsidR="0027195B" w:rsidRPr="0027195B" w:rsidRDefault="0027195B" w:rsidP="0027195B">
      <w:pPr>
        <w:pStyle w:val="EndNoteBibliography"/>
        <w:spacing w:after="240"/>
      </w:pPr>
      <w:bookmarkStart w:id="539" w:name="_ENREF_61"/>
      <w:r w:rsidRPr="0027195B">
        <w:t>Mennechet, F.J.D., Paris, O., Ouoba, A.R., Salazar Arenas, S., Sirima, S.B., Takoudjou Dzomo, G.R., Diarra, A.</w:t>
      </w:r>
      <w:r w:rsidRPr="0027195B">
        <w:rPr>
          <w:i/>
        </w:rPr>
        <w:t>, et al.</w:t>
      </w:r>
      <w:r w:rsidRPr="0027195B">
        <w:t xml:space="preserve"> (2019b). A review of 65 years of human adenovirus seroprevalence. Expert Review of Vaccines</w:t>
      </w:r>
      <w:r w:rsidRPr="0027195B">
        <w:rPr>
          <w:i/>
        </w:rPr>
        <w:t xml:space="preserve"> 18</w:t>
      </w:r>
      <w:r w:rsidRPr="0027195B">
        <w:t>, 597-613.</w:t>
      </w:r>
      <w:bookmarkEnd w:id="539"/>
    </w:p>
    <w:p w14:paraId="0F54BF91" w14:textId="77777777" w:rsidR="0027195B" w:rsidRPr="0027195B" w:rsidRDefault="0027195B" w:rsidP="0027195B">
      <w:pPr>
        <w:pStyle w:val="EndNoteBibliography"/>
        <w:spacing w:after="240"/>
      </w:pPr>
      <w:bookmarkStart w:id="540" w:name="_ENREF_62"/>
      <w:r w:rsidRPr="0027195B">
        <w:lastRenderedPageBreak/>
        <w:t>Musher, D.M. (2003). How contagious are common respiratory tract infections? N Engl J Med</w:t>
      </w:r>
      <w:r w:rsidRPr="0027195B">
        <w:rPr>
          <w:i/>
        </w:rPr>
        <w:t xml:space="preserve"> 348</w:t>
      </w:r>
      <w:r w:rsidRPr="0027195B">
        <w:t>, 1256-1266.</w:t>
      </w:r>
      <w:bookmarkEnd w:id="540"/>
    </w:p>
    <w:p w14:paraId="4313D1DA" w14:textId="7A6DACB1" w:rsidR="0027195B" w:rsidRPr="0027195B" w:rsidRDefault="0027195B" w:rsidP="0027195B">
      <w:pPr>
        <w:pStyle w:val="EndNoteBibliography"/>
        <w:spacing w:after="240"/>
      </w:pPr>
      <w:bookmarkStart w:id="541" w:name="_ENREF_63"/>
      <w:r w:rsidRPr="0027195B">
        <w:t xml:space="preserve">National Health and Medical Research Council (2019). Australian Guidelines for the Prevention and Control of Infection in Healthcare. (Canberra: Commonwealth of Australia, available online </w:t>
      </w:r>
      <w:hyperlink r:id="rId66" w:anchor="block-views-block-file-attachments-content-block-1" w:history="1">
        <w:r w:rsidRPr="0027195B">
          <w:rPr>
            <w:rStyle w:val="Hyperlink"/>
          </w:rPr>
          <w:t>https://www.nhmrc.gov.au/about-us/publications/australian-guidelines-prevention-and-control-infection-healthcare-2019#block-views-block-file-attachments-content-block-1</w:t>
        </w:r>
      </w:hyperlink>
      <w:r w:rsidRPr="0027195B">
        <w:t>).</w:t>
      </w:r>
      <w:bookmarkEnd w:id="541"/>
    </w:p>
    <w:p w14:paraId="2AF5B1AF" w14:textId="29BA9435" w:rsidR="0027195B" w:rsidRPr="0027195B" w:rsidRDefault="0027195B" w:rsidP="0027195B">
      <w:pPr>
        <w:pStyle w:val="EndNoteBibliography"/>
        <w:spacing w:after="240"/>
      </w:pPr>
      <w:bookmarkStart w:id="542" w:name="_ENREF_64"/>
      <w:r w:rsidRPr="0027195B">
        <w:t xml:space="preserve">National Health and Medical Research Council, Australian Research Council, and Universities Australia (2018). National Statement on Ethical Conduct in Human Research 2007 (Updated 2018). (Canberra: Commonwealth of Australia, available online </w:t>
      </w:r>
      <w:hyperlink r:id="rId67" w:history="1">
        <w:r w:rsidRPr="0027195B">
          <w:rPr>
            <w:rStyle w:val="Hyperlink"/>
          </w:rPr>
          <w:t>https://www.nhmrc.gov.au/about-us/publications/national-statement-ethical-conduct-human-research-2007-updated-2018</w:t>
        </w:r>
      </w:hyperlink>
      <w:r w:rsidRPr="0027195B">
        <w:t>).</w:t>
      </w:r>
      <w:bookmarkEnd w:id="542"/>
    </w:p>
    <w:p w14:paraId="3998AB47" w14:textId="77777777" w:rsidR="0027195B" w:rsidRPr="0027195B" w:rsidRDefault="0027195B" w:rsidP="0027195B">
      <w:pPr>
        <w:pStyle w:val="EndNoteBibliography"/>
        <w:spacing w:after="240"/>
      </w:pPr>
      <w:bookmarkStart w:id="543" w:name="_ENREF_65"/>
      <w:r w:rsidRPr="0027195B">
        <w:t>Navai, N., Benedict, W.F., Zhang, G., Abraham, A., Ainslie, N., Shah, J.B., Grossman, H.B.</w:t>
      </w:r>
      <w:r w:rsidRPr="0027195B">
        <w:rPr>
          <w:i/>
        </w:rPr>
        <w:t>, et al.</w:t>
      </w:r>
      <w:r w:rsidRPr="0027195B">
        <w:t xml:space="preserve"> (2016). Phase 1b trial to evaluate tissue response to a second dose of intravesical recombinant adenoviral interferon α2b formulated in Syn3 for failures of bacillus calmette-guerin (BCG) therapy in nonmuscle invasive bladder cancer. Ann Surg Oncol</w:t>
      </w:r>
      <w:r w:rsidRPr="0027195B">
        <w:rPr>
          <w:i/>
        </w:rPr>
        <w:t xml:space="preserve"> 23</w:t>
      </w:r>
      <w:r w:rsidRPr="0027195B">
        <w:t>, 4110-4114.</w:t>
      </w:r>
      <w:bookmarkEnd w:id="543"/>
    </w:p>
    <w:p w14:paraId="70031951" w14:textId="67DA48B7" w:rsidR="0027195B" w:rsidRPr="0027195B" w:rsidRDefault="0027195B" w:rsidP="0027195B">
      <w:pPr>
        <w:pStyle w:val="EndNoteBibliography"/>
        <w:spacing w:after="240"/>
      </w:pPr>
      <w:bookmarkStart w:id="544" w:name="_ENREF_66"/>
      <w:r w:rsidRPr="0027195B">
        <w:t xml:space="preserve">NSW (2018). Clinical Waste Management. Accessed: December 2020. </w:t>
      </w:r>
      <w:hyperlink r:id="rId68" w:history="1">
        <w:r w:rsidRPr="0027195B">
          <w:rPr>
            <w:rStyle w:val="Hyperlink"/>
          </w:rPr>
          <w:t>https://www.health.nsw.gov.au/environment/clinicalwaste/Pages/default.aspx</w:t>
        </w:r>
      </w:hyperlink>
      <w:r w:rsidRPr="0027195B">
        <w:t>.</w:t>
      </w:r>
      <w:bookmarkEnd w:id="544"/>
    </w:p>
    <w:p w14:paraId="59DAA74B" w14:textId="4808AB67" w:rsidR="0027195B" w:rsidRPr="0027195B" w:rsidRDefault="0027195B" w:rsidP="0027195B">
      <w:pPr>
        <w:pStyle w:val="EndNoteBibliography"/>
        <w:spacing w:after="240"/>
      </w:pPr>
      <w:bookmarkStart w:id="545" w:name="_ENREF_67"/>
      <w:r w:rsidRPr="0027195B">
        <w:t xml:space="preserve">NT (2014). Waste Management and pollution Control Regultions 1998. Accessed: December 2020. </w:t>
      </w:r>
      <w:hyperlink r:id="rId69" w:history="1">
        <w:r w:rsidRPr="0027195B">
          <w:rPr>
            <w:rStyle w:val="Hyperlink"/>
          </w:rPr>
          <w:t>https://legislation.nt.gov.au/Legislation/WASTE-MANAGEMENT-AND-POLLUTION-CONTROL-ADMINISTRATION-REGULATIONS-1998</w:t>
        </w:r>
      </w:hyperlink>
      <w:r w:rsidRPr="0027195B">
        <w:t>.</w:t>
      </w:r>
      <w:bookmarkEnd w:id="545"/>
    </w:p>
    <w:p w14:paraId="4C4E8430" w14:textId="54052CD8" w:rsidR="0027195B" w:rsidRPr="0027195B" w:rsidRDefault="0027195B" w:rsidP="0027195B">
      <w:pPr>
        <w:pStyle w:val="EndNoteBibliography"/>
        <w:spacing w:after="240"/>
      </w:pPr>
      <w:bookmarkStart w:id="546" w:name="_ENREF_68"/>
      <w:r w:rsidRPr="0027195B">
        <w:t xml:space="preserve">OGTR (2013). Risk Analysis Framework 2013. (Office of the Gene Technology Regulator) Accessed: July 2020. </w:t>
      </w:r>
      <w:hyperlink r:id="rId70" w:history="1">
        <w:r w:rsidRPr="0027195B">
          <w:rPr>
            <w:rStyle w:val="Hyperlink"/>
          </w:rPr>
          <w:t>http://www.ogtr.gov.au/internet/ogtr/publishing.nsf/Content/raffinal5-toc</w:t>
        </w:r>
      </w:hyperlink>
      <w:r w:rsidRPr="0027195B">
        <w:t>.</w:t>
      </w:r>
      <w:bookmarkEnd w:id="546"/>
    </w:p>
    <w:p w14:paraId="4A401FC3" w14:textId="77777777" w:rsidR="0027195B" w:rsidRPr="0027195B" w:rsidRDefault="0027195B" w:rsidP="0027195B">
      <w:pPr>
        <w:pStyle w:val="EndNoteBibliography"/>
        <w:spacing w:after="240"/>
      </w:pPr>
      <w:bookmarkStart w:id="547" w:name="_ENREF_69"/>
      <w:r w:rsidRPr="0027195B">
        <w:t>Pihos, A.M. (2013). Epidemic keratoconjunctivitis: A review of current concepts in management. Journal of Optometry</w:t>
      </w:r>
      <w:r w:rsidRPr="0027195B">
        <w:rPr>
          <w:i/>
        </w:rPr>
        <w:t xml:space="preserve"> 6</w:t>
      </w:r>
      <w:r w:rsidRPr="0027195B">
        <w:t>, 69-74.</w:t>
      </w:r>
      <w:bookmarkEnd w:id="547"/>
    </w:p>
    <w:p w14:paraId="32F7A925" w14:textId="285276CC" w:rsidR="0027195B" w:rsidRPr="0027195B" w:rsidRDefault="0027195B" w:rsidP="0027195B">
      <w:pPr>
        <w:pStyle w:val="EndNoteBibliography"/>
        <w:spacing w:after="240"/>
      </w:pPr>
      <w:bookmarkStart w:id="548" w:name="_ENREF_70"/>
      <w:r w:rsidRPr="0027195B">
        <w:t xml:space="preserve">Public Health Agency of Canada (2014). Pathogen Safety Data Sheets: Infectious Substances – Adenovirus types 1, 2, 3, 4, 5 and 7. (Government of Canada) Accessed: 10 December 2020. </w:t>
      </w:r>
      <w:hyperlink r:id="rId71" w:history="1">
        <w:r w:rsidRPr="0027195B">
          <w:rPr>
            <w:rStyle w:val="Hyperlink"/>
          </w:rPr>
          <w:t>https://www.canada.ca/en/public-health/services/laboratory-biosafety-biosecurity/pathogen-safety-data-sheets-risk-assessment/adenovirus-types-1-2-3-4-5-7-pathogen-safety-data-sheet.html</w:t>
        </w:r>
      </w:hyperlink>
      <w:r w:rsidRPr="0027195B">
        <w:t>.</w:t>
      </w:r>
      <w:bookmarkEnd w:id="548"/>
    </w:p>
    <w:p w14:paraId="1C3FBBD2" w14:textId="66F5DF90" w:rsidR="0027195B" w:rsidRPr="0027195B" w:rsidRDefault="0027195B" w:rsidP="0027195B">
      <w:pPr>
        <w:pStyle w:val="EndNoteBibliography"/>
        <w:spacing w:after="240"/>
      </w:pPr>
      <w:bookmarkStart w:id="549" w:name="_ENREF_71"/>
      <w:r w:rsidRPr="0027195B">
        <w:t xml:space="preserve">QLD (2019). Clinical and related waste. Accessed: December 2020. </w:t>
      </w:r>
      <w:hyperlink r:id="rId72" w:history="1">
        <w:r w:rsidRPr="0027195B">
          <w:rPr>
            <w:rStyle w:val="Hyperlink"/>
          </w:rPr>
          <w:t>https://environment.des.qld.gov.au/__data/assets/pdf_file/0029/89147/pr-gl-clinical-and-related-waste.pdf</w:t>
        </w:r>
      </w:hyperlink>
      <w:r w:rsidRPr="0027195B">
        <w:t>.</w:t>
      </w:r>
      <w:bookmarkEnd w:id="549"/>
    </w:p>
    <w:p w14:paraId="4CAFF4D6" w14:textId="77777777" w:rsidR="0027195B" w:rsidRPr="0027195B" w:rsidRDefault="0027195B" w:rsidP="0027195B">
      <w:pPr>
        <w:pStyle w:val="EndNoteBibliography"/>
        <w:spacing w:after="240"/>
      </w:pPr>
      <w:bookmarkStart w:id="550" w:name="_ENREF_72"/>
      <w:r w:rsidRPr="0027195B">
        <w:t>Reddy, V.S., Natchiar, S.K., Stewart, P.L., and Nemerow, G.R. (2010). Crystal structure of human adenovirus at 3.5 A resolution. Science</w:t>
      </w:r>
      <w:r w:rsidRPr="0027195B">
        <w:rPr>
          <w:i/>
        </w:rPr>
        <w:t xml:space="preserve"> 329</w:t>
      </w:r>
      <w:r w:rsidRPr="0027195B">
        <w:t>, 1071-1075.</w:t>
      </w:r>
      <w:bookmarkEnd w:id="550"/>
    </w:p>
    <w:p w14:paraId="157F8414" w14:textId="77777777" w:rsidR="0027195B" w:rsidRPr="0027195B" w:rsidRDefault="0027195B" w:rsidP="0027195B">
      <w:pPr>
        <w:pStyle w:val="EndNoteBibliography"/>
        <w:spacing w:after="240"/>
      </w:pPr>
      <w:bookmarkStart w:id="551" w:name="_ENREF_73"/>
      <w:r w:rsidRPr="0027195B">
        <w:t>Reddy, V.S., and Nemerow, G.R. (2014). Structures and organization of adenovirus cement proteins provide insights into the role of capsid maturation in virus entry and infection. Proc Natl Acad Sci U S A</w:t>
      </w:r>
      <w:r w:rsidRPr="0027195B">
        <w:rPr>
          <w:i/>
        </w:rPr>
        <w:t xml:space="preserve"> 111</w:t>
      </w:r>
      <w:r w:rsidRPr="0027195B">
        <w:t>, 11715-11720.</w:t>
      </w:r>
      <w:bookmarkEnd w:id="551"/>
    </w:p>
    <w:p w14:paraId="6ABA541B" w14:textId="77777777" w:rsidR="0027195B" w:rsidRPr="0027195B" w:rsidRDefault="0027195B" w:rsidP="0027195B">
      <w:pPr>
        <w:pStyle w:val="EndNoteBibliography"/>
        <w:spacing w:after="240"/>
      </w:pPr>
      <w:bookmarkStart w:id="552" w:name="_ENREF_74"/>
      <w:r w:rsidRPr="0027195B">
        <w:t>Rexroad, J., Evans, R.K., and Middaugh, C.R. (2006). Effect of pH and ionic strength on the physical stability of adenovirus type 5. Journal of Pharmaceutical Sciences</w:t>
      </w:r>
      <w:r w:rsidRPr="0027195B">
        <w:rPr>
          <w:i/>
        </w:rPr>
        <w:t xml:space="preserve"> 95</w:t>
      </w:r>
      <w:r w:rsidRPr="0027195B">
        <w:t>, 237-247.</w:t>
      </w:r>
      <w:bookmarkEnd w:id="552"/>
    </w:p>
    <w:p w14:paraId="7F651F9F" w14:textId="77777777" w:rsidR="0027195B" w:rsidRPr="0027195B" w:rsidRDefault="0027195B" w:rsidP="0027195B">
      <w:pPr>
        <w:pStyle w:val="EndNoteBibliography"/>
        <w:spacing w:after="240"/>
      </w:pPr>
      <w:bookmarkStart w:id="553" w:name="_ENREF_75"/>
      <w:r w:rsidRPr="0027195B">
        <w:t>Robinson, C.M., Seto, D., Jones, M.S., Dyer, D.W., and Chodosh, J. (2011). Molecular evolution of human species D adenoviruses. Infect Genet Evol</w:t>
      </w:r>
      <w:r w:rsidRPr="0027195B">
        <w:rPr>
          <w:i/>
        </w:rPr>
        <w:t xml:space="preserve"> 11</w:t>
      </w:r>
      <w:r w:rsidRPr="0027195B">
        <w:t>, 1208-1217.</w:t>
      </w:r>
      <w:bookmarkEnd w:id="553"/>
    </w:p>
    <w:p w14:paraId="6E604B05" w14:textId="77777777" w:rsidR="0027195B" w:rsidRPr="0027195B" w:rsidRDefault="0027195B" w:rsidP="0027195B">
      <w:pPr>
        <w:pStyle w:val="EndNoteBibliography"/>
        <w:spacing w:after="240"/>
      </w:pPr>
      <w:bookmarkStart w:id="554" w:name="_ENREF_76"/>
      <w:r w:rsidRPr="0027195B">
        <w:lastRenderedPageBreak/>
        <w:t>Roy, S., Gao, G., Clawson, D.S., Vandenberghe, L.H., Farina, S.F., and Wilson, J.M. (2004). Complete nucleotide sequences and genome organization of four chimpanzee adenoviruses. Virology</w:t>
      </w:r>
      <w:r w:rsidRPr="0027195B">
        <w:rPr>
          <w:i/>
        </w:rPr>
        <w:t xml:space="preserve"> 324</w:t>
      </w:r>
      <w:r w:rsidRPr="0027195B">
        <w:t>, 361-372.</w:t>
      </w:r>
      <w:bookmarkEnd w:id="554"/>
    </w:p>
    <w:p w14:paraId="4118E46D" w14:textId="77777777" w:rsidR="0027195B" w:rsidRPr="0027195B" w:rsidRDefault="0027195B" w:rsidP="0027195B">
      <w:pPr>
        <w:pStyle w:val="EndNoteBibliography"/>
        <w:spacing w:after="240"/>
      </w:pPr>
      <w:bookmarkStart w:id="555" w:name="_ENREF_77"/>
      <w:r w:rsidRPr="0027195B">
        <w:t>Rutala, W.A., Peacock, J.E., Gergen, M.F., Sobsey, M.D., and Weber, D.J. (2006). Efficacy of hospital germicides against adenovirus 8, a common cause of epidemic keratoconjunctivitis in health care facilities. Antimicrobial agents and chemotherapy</w:t>
      </w:r>
      <w:r w:rsidRPr="0027195B">
        <w:rPr>
          <w:i/>
        </w:rPr>
        <w:t xml:space="preserve"> 50</w:t>
      </w:r>
      <w:r w:rsidRPr="0027195B">
        <w:t>, 1419-1424.</w:t>
      </w:r>
      <w:bookmarkEnd w:id="555"/>
    </w:p>
    <w:p w14:paraId="67DDD51E" w14:textId="519639AF" w:rsidR="0027195B" w:rsidRPr="0027195B" w:rsidRDefault="0027195B" w:rsidP="0027195B">
      <w:pPr>
        <w:pStyle w:val="EndNoteBibliography"/>
        <w:spacing w:after="240"/>
      </w:pPr>
      <w:bookmarkStart w:id="556" w:name="_ENREF_78"/>
      <w:r w:rsidRPr="0027195B">
        <w:t xml:space="preserve">SA (2020). Disposing waste - Medical waste. Accessed: 11 December. </w:t>
      </w:r>
      <w:hyperlink r:id="rId73" w:history="1">
        <w:r w:rsidRPr="0027195B">
          <w:rPr>
            <w:rStyle w:val="Hyperlink"/>
          </w:rPr>
          <w:t>https://www.epa.sa.gov.au/environmental_info/waste_recycling/disposing-waste</w:t>
        </w:r>
      </w:hyperlink>
      <w:r w:rsidRPr="0027195B">
        <w:t>.</w:t>
      </w:r>
      <w:bookmarkEnd w:id="556"/>
    </w:p>
    <w:p w14:paraId="1B1D883E" w14:textId="77777777" w:rsidR="0027195B" w:rsidRPr="0027195B" w:rsidRDefault="0027195B" w:rsidP="0027195B">
      <w:pPr>
        <w:pStyle w:val="EndNoteBibliography"/>
        <w:spacing w:after="240"/>
      </w:pPr>
      <w:bookmarkStart w:id="557" w:name="_ENREF_79"/>
      <w:r w:rsidRPr="0027195B">
        <w:t>Saha, B., and Parks, R.J. (2017). Human adenovirus type 5 vectors deleted of early region 1 (E1) undergo limited expression of early replicative E2 proteins and DNA replication in non-permissive cells. PloS one</w:t>
      </w:r>
      <w:r w:rsidRPr="0027195B">
        <w:rPr>
          <w:i/>
        </w:rPr>
        <w:t xml:space="preserve"> 12</w:t>
      </w:r>
      <w:r w:rsidRPr="0027195B">
        <w:t>, e0181012-e0181012.</w:t>
      </w:r>
      <w:bookmarkEnd w:id="557"/>
    </w:p>
    <w:p w14:paraId="47D402F6" w14:textId="77777777" w:rsidR="0027195B" w:rsidRPr="0027195B" w:rsidRDefault="0027195B" w:rsidP="0027195B">
      <w:pPr>
        <w:pStyle w:val="EndNoteBibliography"/>
        <w:spacing w:after="240"/>
      </w:pPr>
      <w:bookmarkStart w:id="558" w:name="_ENREF_80"/>
      <w:r w:rsidRPr="0027195B">
        <w:t>San Martin, C. (2012). Latest insights on adenovirus structure and assembly. Viruses</w:t>
      </w:r>
      <w:r w:rsidRPr="0027195B">
        <w:rPr>
          <w:i/>
        </w:rPr>
        <w:t xml:space="preserve"> 4</w:t>
      </w:r>
      <w:r w:rsidRPr="0027195B">
        <w:t>, 847-877.</w:t>
      </w:r>
      <w:bookmarkEnd w:id="558"/>
    </w:p>
    <w:p w14:paraId="470CC69D" w14:textId="77777777" w:rsidR="0027195B" w:rsidRPr="0027195B" w:rsidRDefault="0027195B" w:rsidP="0027195B">
      <w:pPr>
        <w:pStyle w:val="EndNoteBibliography"/>
        <w:spacing w:after="240"/>
      </w:pPr>
      <w:bookmarkStart w:id="559" w:name="_ENREF_81"/>
      <w:r w:rsidRPr="0027195B">
        <w:t>Sato-Dahlman, M., Roach, B.L., and Yamamoto, M. (2020). The Role of Adenovirus in Cancer Therapy. Cancers (Basel)</w:t>
      </w:r>
      <w:r w:rsidRPr="0027195B">
        <w:rPr>
          <w:i/>
        </w:rPr>
        <w:t xml:space="preserve"> 12</w:t>
      </w:r>
      <w:r w:rsidRPr="0027195B">
        <w:t>.</w:t>
      </w:r>
      <w:bookmarkEnd w:id="559"/>
    </w:p>
    <w:p w14:paraId="37BBA089" w14:textId="77777777" w:rsidR="0027195B" w:rsidRPr="0027195B" w:rsidRDefault="0027195B" w:rsidP="0027195B">
      <w:pPr>
        <w:pStyle w:val="EndNoteBibliography"/>
        <w:spacing w:after="240"/>
      </w:pPr>
      <w:bookmarkStart w:id="560" w:name="_ENREF_82"/>
      <w:r w:rsidRPr="0027195B">
        <w:t>Scarsella, L., Ehrke-Schulz, E., Paulussen, M., Thal, S.C., Ehrhardt, A., and Aydin, M. (2024). Advances of Recombinant Adenoviral Vectors in Preclinical and Clinical Applications. Viruses</w:t>
      </w:r>
      <w:r w:rsidRPr="0027195B">
        <w:rPr>
          <w:i/>
        </w:rPr>
        <w:t xml:space="preserve"> 16</w:t>
      </w:r>
      <w:r w:rsidRPr="0027195B">
        <w:t>, 377.</w:t>
      </w:r>
      <w:bookmarkEnd w:id="560"/>
    </w:p>
    <w:p w14:paraId="607B7437" w14:textId="77777777" w:rsidR="0027195B" w:rsidRPr="0027195B" w:rsidRDefault="0027195B" w:rsidP="0027195B">
      <w:pPr>
        <w:pStyle w:val="EndNoteBibliography"/>
        <w:spacing w:after="240"/>
      </w:pPr>
      <w:bookmarkStart w:id="561" w:name="_ENREF_83"/>
      <w:r w:rsidRPr="0027195B">
        <w:t>Shaw, A.R., and Suzuki, M. (2019). Immunology of Adenoviral Vectors in Cancer Therapy. Mol Ther Methods Clin Dev</w:t>
      </w:r>
      <w:r w:rsidRPr="0027195B">
        <w:rPr>
          <w:i/>
        </w:rPr>
        <w:t xml:space="preserve"> 15</w:t>
      </w:r>
      <w:r w:rsidRPr="0027195B">
        <w:t>, 418-429.</w:t>
      </w:r>
      <w:bookmarkEnd w:id="561"/>
    </w:p>
    <w:p w14:paraId="07DF95CA" w14:textId="77777777" w:rsidR="0027195B" w:rsidRPr="0027195B" w:rsidRDefault="0027195B" w:rsidP="0027195B">
      <w:pPr>
        <w:pStyle w:val="EndNoteBibliography"/>
        <w:spacing w:after="240"/>
      </w:pPr>
      <w:bookmarkStart w:id="562" w:name="_ENREF_84"/>
      <w:r w:rsidRPr="0027195B">
        <w:t>Shi, W., Yao, X., Fu, Y., and Wang, Y. (2022). Interferon-α and its effects on cancer cell apoptosis. Oncol Lett</w:t>
      </w:r>
      <w:r w:rsidRPr="0027195B">
        <w:rPr>
          <w:i/>
        </w:rPr>
        <w:t xml:space="preserve"> 24</w:t>
      </w:r>
      <w:r w:rsidRPr="0027195B">
        <w:t>, 235.</w:t>
      </w:r>
      <w:bookmarkEnd w:id="562"/>
    </w:p>
    <w:p w14:paraId="074E4B4C" w14:textId="77777777" w:rsidR="0027195B" w:rsidRPr="0027195B" w:rsidRDefault="0027195B" w:rsidP="0027195B">
      <w:pPr>
        <w:pStyle w:val="EndNoteBibliography"/>
        <w:spacing w:after="240"/>
      </w:pPr>
      <w:bookmarkStart w:id="563" w:name="_ENREF_85"/>
      <w:r w:rsidRPr="0027195B">
        <w:t>Shore, N.D., Boorjian, S.A., Canter, D.J., Ogan, K., Karsh, L.I., Downs, T.M., Gomella, L.G.</w:t>
      </w:r>
      <w:r w:rsidRPr="0027195B">
        <w:rPr>
          <w:i/>
        </w:rPr>
        <w:t>, et al.</w:t>
      </w:r>
      <w:r w:rsidRPr="0027195B">
        <w:t xml:space="preserve"> (2017). Intravesical rAd-IFNα/Syn3 for patients with high-grade, bacillus calmette-guerin-refractory or relapsed non-muscle-invasive bladder cancer: a phase II randomized study. J Clin Oncol</w:t>
      </w:r>
      <w:r w:rsidRPr="0027195B">
        <w:rPr>
          <w:i/>
        </w:rPr>
        <w:t xml:space="preserve"> 35</w:t>
      </w:r>
      <w:r w:rsidRPr="0027195B">
        <w:t>, 3410-3416.</w:t>
      </w:r>
      <w:bookmarkEnd w:id="563"/>
    </w:p>
    <w:p w14:paraId="1CFD2488" w14:textId="77777777" w:rsidR="0027195B" w:rsidRPr="0027195B" w:rsidRDefault="0027195B" w:rsidP="0027195B">
      <w:pPr>
        <w:pStyle w:val="EndNoteBibliography"/>
        <w:spacing w:after="240"/>
      </w:pPr>
      <w:bookmarkStart w:id="564" w:name="_ENREF_86"/>
      <w:r w:rsidRPr="0027195B">
        <w:t>Spencer, J.R., P.; Lin, M., Milton, A., Blumer, C.; Miller, M.; Hawker, L.; Hurtado, P. (2002). Communicable Disease Intelligence (Quarterly Report). Department of Health Australia</w:t>
      </w:r>
      <w:r w:rsidRPr="0027195B">
        <w:rPr>
          <w:i/>
        </w:rPr>
        <w:t xml:space="preserve"> 26</w:t>
      </w:r>
      <w:r w:rsidRPr="0027195B">
        <w:t>, 344.</w:t>
      </w:r>
      <w:bookmarkEnd w:id="564"/>
    </w:p>
    <w:p w14:paraId="2784FF89" w14:textId="77777777" w:rsidR="0027195B" w:rsidRPr="0027195B" w:rsidRDefault="0027195B" w:rsidP="0027195B">
      <w:pPr>
        <w:pStyle w:val="EndNoteBibliography"/>
        <w:spacing w:after="240"/>
      </w:pPr>
      <w:bookmarkStart w:id="565" w:name="_ENREF_87"/>
      <w:r w:rsidRPr="0027195B">
        <w:t>Standards Australia/New Zealand (2022). AS/NZS 2243.3:2022 Safety in laboratories, Part 3: Microbiological safety and containment.</w:t>
      </w:r>
      <w:bookmarkEnd w:id="565"/>
    </w:p>
    <w:p w14:paraId="5F6B939B" w14:textId="77777777" w:rsidR="0027195B" w:rsidRPr="0027195B" w:rsidRDefault="0027195B" w:rsidP="0027195B">
      <w:pPr>
        <w:pStyle w:val="EndNoteBibliography"/>
        <w:spacing w:after="240"/>
      </w:pPr>
      <w:bookmarkStart w:id="566" w:name="_ENREF_88"/>
      <w:r w:rsidRPr="0027195B">
        <w:t>Steinmetz, A.R., Mokkapati, S., McConkey, D., and Dinney, C.P. (2024). The Evolution of Nadofaragene Firadenovec: A Review and the Path Forward. Bladder Cancer</w:t>
      </w:r>
      <w:r w:rsidRPr="0027195B">
        <w:rPr>
          <w:i/>
        </w:rPr>
        <w:t xml:space="preserve"> 10</w:t>
      </w:r>
      <w:r w:rsidRPr="0027195B">
        <w:t>, 105-112.</w:t>
      </w:r>
      <w:bookmarkEnd w:id="566"/>
    </w:p>
    <w:p w14:paraId="59D862E8" w14:textId="77777777" w:rsidR="0027195B" w:rsidRPr="0027195B" w:rsidRDefault="0027195B" w:rsidP="0027195B">
      <w:pPr>
        <w:pStyle w:val="EndNoteBibliography"/>
        <w:spacing w:after="240"/>
      </w:pPr>
      <w:bookmarkStart w:id="567" w:name="_ENREF_89"/>
      <w:r w:rsidRPr="0027195B">
        <w:t>Stephen, S.L., Montini, E., Sivanandam, V.G., Al-Dhalimy, M., Kestler, H.A., Finegold, M., Grompe, M.</w:t>
      </w:r>
      <w:r w:rsidRPr="0027195B">
        <w:rPr>
          <w:i/>
        </w:rPr>
        <w:t>, et al.</w:t>
      </w:r>
      <w:r w:rsidRPr="0027195B">
        <w:t xml:space="preserve"> (2010). Chromosomal integration of adenoviral vector DNA in vivo. J Virol</w:t>
      </w:r>
      <w:r w:rsidRPr="0027195B">
        <w:rPr>
          <w:i/>
        </w:rPr>
        <w:t xml:space="preserve"> 84</w:t>
      </w:r>
      <w:r w:rsidRPr="0027195B">
        <w:t>, 9987-9994.</w:t>
      </w:r>
      <w:bookmarkEnd w:id="567"/>
    </w:p>
    <w:p w14:paraId="442A471E" w14:textId="6C2A5C5F" w:rsidR="0027195B" w:rsidRPr="0027195B" w:rsidRDefault="0027195B" w:rsidP="0027195B">
      <w:pPr>
        <w:pStyle w:val="EndNoteBibliography"/>
        <w:spacing w:after="240"/>
      </w:pPr>
      <w:bookmarkStart w:id="568" w:name="_ENREF_90"/>
      <w:r w:rsidRPr="0027195B">
        <w:t xml:space="preserve">TAS (2007). Approved Management Method for Clinical and Related Waste. Accessed: 11 December </w:t>
      </w:r>
      <w:hyperlink r:id="rId74" w:history="1">
        <w:r w:rsidRPr="0027195B">
          <w:rPr>
            <w:rStyle w:val="Hyperlink"/>
          </w:rPr>
          <w:t>https://epa.tas.gov.au/Documents/AMM_Clinical_and_Related_Waste_Companion.pdf</w:t>
        </w:r>
      </w:hyperlink>
      <w:r w:rsidRPr="0027195B">
        <w:t>.</w:t>
      </w:r>
      <w:bookmarkEnd w:id="568"/>
    </w:p>
    <w:p w14:paraId="7D2A6673" w14:textId="77777777" w:rsidR="0027195B" w:rsidRPr="0027195B" w:rsidRDefault="0027195B" w:rsidP="0027195B">
      <w:pPr>
        <w:pStyle w:val="EndNoteBibliography"/>
        <w:spacing w:after="240"/>
      </w:pPr>
      <w:bookmarkStart w:id="569" w:name="_ENREF_91"/>
      <w:r w:rsidRPr="0027195B">
        <w:t>Thompson, S.S., Jackson, J.L., Suva-Castillo, M., Yanko, W.A., Jack, Z.E., Kuo, J., Chen, C.-L.</w:t>
      </w:r>
      <w:r w:rsidRPr="0027195B">
        <w:rPr>
          <w:i/>
        </w:rPr>
        <w:t>, et al.</w:t>
      </w:r>
      <w:r w:rsidRPr="0027195B">
        <w:t xml:space="preserve"> (2003). Detection of Infectious Human Adenoviruses in Tertiary-Treated and Ultraviolet-Disinfected Wastewater. Water Environment Research</w:t>
      </w:r>
      <w:r w:rsidRPr="0027195B">
        <w:rPr>
          <w:i/>
        </w:rPr>
        <w:t xml:space="preserve"> 75</w:t>
      </w:r>
      <w:r w:rsidRPr="0027195B">
        <w:t>, 163-170.</w:t>
      </w:r>
      <w:bookmarkEnd w:id="569"/>
    </w:p>
    <w:p w14:paraId="1A4EE2D7" w14:textId="77777777" w:rsidR="0027195B" w:rsidRPr="0027195B" w:rsidRDefault="0027195B" w:rsidP="0027195B">
      <w:pPr>
        <w:pStyle w:val="EndNoteBibliography"/>
        <w:spacing w:after="240"/>
      </w:pPr>
      <w:bookmarkStart w:id="570" w:name="_ENREF_92"/>
      <w:r w:rsidRPr="0027195B">
        <w:lastRenderedPageBreak/>
        <w:t xml:space="preserve">Thurston-Enriquez, J.A., Haas, C.N., Jacangelo, J., Riley, K., and Gerba, C.P. (2003). Inactivation of Feline Calicivirus and Adenovirus Type 40 by UV Radiation. </w:t>
      </w:r>
      <w:r w:rsidRPr="0027195B">
        <w:rPr>
          <w:i/>
        </w:rPr>
        <w:t xml:space="preserve"> 69</w:t>
      </w:r>
      <w:r w:rsidRPr="0027195B">
        <w:t>, 577-582.</w:t>
      </w:r>
      <w:bookmarkEnd w:id="570"/>
    </w:p>
    <w:p w14:paraId="04D94F46" w14:textId="77777777" w:rsidR="0027195B" w:rsidRPr="0027195B" w:rsidRDefault="0027195B" w:rsidP="0027195B">
      <w:pPr>
        <w:pStyle w:val="EndNoteBibliography"/>
        <w:spacing w:after="240"/>
      </w:pPr>
      <w:bookmarkStart w:id="571" w:name="_ENREF_93"/>
      <w:r w:rsidRPr="0027195B">
        <w:t>Tollefson, A.E., Ying, B., Spencer, J.F., Sagartz, J.E., Wold, W.S.M., and Toth, K. (2017). Pathology in Permissive Syrian Hamsters after Infection with Species C Human Adenovirus (HAdV-C) Is the Result of Virus Replication: HAdV-C6 Replicates More and Causes More Pathology than HAdV-C5. J Virol</w:t>
      </w:r>
      <w:r w:rsidRPr="0027195B">
        <w:rPr>
          <w:i/>
        </w:rPr>
        <w:t xml:space="preserve"> 91</w:t>
      </w:r>
      <w:r w:rsidRPr="0027195B">
        <w:t>.</w:t>
      </w:r>
      <w:bookmarkEnd w:id="571"/>
    </w:p>
    <w:p w14:paraId="6B548604" w14:textId="77777777" w:rsidR="0027195B" w:rsidRPr="0027195B" w:rsidRDefault="0027195B" w:rsidP="0027195B">
      <w:pPr>
        <w:pStyle w:val="EndNoteBibliography"/>
        <w:spacing w:after="240"/>
      </w:pPr>
      <w:bookmarkStart w:id="572" w:name="_ENREF_94"/>
      <w:r w:rsidRPr="0027195B">
        <w:t>Tong, S., Singh, J., Ruone, S., Humphrey, C., Yip, C.C.Y., Lau, S.K.P., Anderson, L.J.</w:t>
      </w:r>
      <w:r w:rsidRPr="0027195B">
        <w:rPr>
          <w:i/>
        </w:rPr>
        <w:t>, et al.</w:t>
      </w:r>
      <w:r w:rsidRPr="0027195B">
        <w:t xml:space="preserve"> (2010). Identification of adenoviruses in fecal specimens from wild chimpanzees (Pan trogylodytes schweinfurthii) in western Tanzania. The American journal of tropical medicine and hygiene</w:t>
      </w:r>
      <w:r w:rsidRPr="0027195B">
        <w:rPr>
          <w:i/>
        </w:rPr>
        <w:t xml:space="preserve"> 82</w:t>
      </w:r>
      <w:r w:rsidRPr="0027195B">
        <w:t>, 967-970.</w:t>
      </w:r>
      <w:bookmarkEnd w:id="572"/>
    </w:p>
    <w:p w14:paraId="15B0FC7A" w14:textId="77777777" w:rsidR="0027195B" w:rsidRPr="0027195B" w:rsidRDefault="0027195B" w:rsidP="0027195B">
      <w:pPr>
        <w:pStyle w:val="EndNoteBibliography"/>
        <w:spacing w:after="240"/>
      </w:pPr>
      <w:bookmarkStart w:id="573" w:name="_ENREF_95"/>
      <w:r w:rsidRPr="0027195B">
        <w:t>Usman, N., and Suarez, M.J.S. (2020). Adenoviruses (StatPearls).</w:t>
      </w:r>
      <w:bookmarkEnd w:id="573"/>
    </w:p>
    <w:p w14:paraId="58EBEE69" w14:textId="77777777" w:rsidR="0027195B" w:rsidRPr="0027195B" w:rsidRDefault="0027195B" w:rsidP="0027195B">
      <w:pPr>
        <w:pStyle w:val="EndNoteBibliography"/>
        <w:spacing w:after="240"/>
      </w:pPr>
      <w:bookmarkStart w:id="574" w:name="_ENREF_96"/>
      <w:r w:rsidRPr="0027195B">
        <w:t>Vaz, F.F., Raso, T.F., Agius, J.E., Hunt, T., Leishman, A., Eden, J.-S., and Phalen, D.N. (2020). Opportunistic sampling of wild native and invasive birds reveals a rich diversity of adenoviruses in Australia. Virus Evolution</w:t>
      </w:r>
      <w:r w:rsidRPr="0027195B">
        <w:rPr>
          <w:i/>
        </w:rPr>
        <w:t xml:space="preserve"> 6</w:t>
      </w:r>
      <w:r w:rsidRPr="0027195B">
        <w:t>.</w:t>
      </w:r>
      <w:bookmarkEnd w:id="574"/>
    </w:p>
    <w:p w14:paraId="72C4DCA2" w14:textId="77777777" w:rsidR="0027195B" w:rsidRPr="0027195B" w:rsidRDefault="0027195B" w:rsidP="0027195B">
      <w:pPr>
        <w:pStyle w:val="EndNoteBibliography"/>
        <w:spacing w:after="240"/>
      </w:pPr>
      <w:bookmarkStart w:id="575" w:name="_ENREF_97"/>
      <w:r w:rsidRPr="0027195B">
        <w:t>Veneziale, R.W., Kishnani, N.S., Nelson, J., Resendez, J.C., Frank, D.W., Cai, X.Y., Xie, L.</w:t>
      </w:r>
      <w:r w:rsidRPr="0027195B">
        <w:rPr>
          <w:i/>
        </w:rPr>
        <w:t>, et al.</w:t>
      </w:r>
      <w:r w:rsidRPr="0027195B">
        <w:t xml:space="preserve"> (2011). Toxicity and exposure of an adenovirus containing human interferon alpha-2b following intracystic administration in cynomolgus monkeys. Gene Therapy</w:t>
      </w:r>
      <w:r w:rsidRPr="0027195B">
        <w:rPr>
          <w:i/>
        </w:rPr>
        <w:t xml:space="preserve"> 19</w:t>
      </w:r>
      <w:r w:rsidRPr="0027195B">
        <w:t>, 742.</w:t>
      </w:r>
      <w:bookmarkEnd w:id="575"/>
    </w:p>
    <w:p w14:paraId="027508F6" w14:textId="6742FF58" w:rsidR="0027195B" w:rsidRPr="0027195B" w:rsidRDefault="0027195B" w:rsidP="0027195B">
      <w:pPr>
        <w:pStyle w:val="EndNoteBibliography"/>
        <w:spacing w:after="240"/>
      </w:pPr>
      <w:bookmarkStart w:id="576" w:name="_ENREF_98"/>
      <w:r w:rsidRPr="0027195B">
        <w:t xml:space="preserve">VIC (2020). How to manage industrial waste. Accessed: December 2020. </w:t>
      </w:r>
      <w:hyperlink r:id="rId75" w:history="1">
        <w:r w:rsidRPr="0027195B">
          <w:rPr>
            <w:rStyle w:val="Hyperlink"/>
          </w:rPr>
          <w:t>https://www.epa.vic.gov.au/for-business/find-a-topic/manage-industrial-waste</w:t>
        </w:r>
      </w:hyperlink>
      <w:r w:rsidRPr="0027195B">
        <w:t>.</w:t>
      </w:r>
      <w:bookmarkEnd w:id="576"/>
    </w:p>
    <w:p w14:paraId="11874A42" w14:textId="009A3B39" w:rsidR="0027195B" w:rsidRPr="0027195B" w:rsidRDefault="0027195B" w:rsidP="0027195B">
      <w:pPr>
        <w:pStyle w:val="EndNoteBibliography"/>
        <w:spacing w:after="240"/>
      </w:pPr>
      <w:bookmarkStart w:id="577" w:name="_ENREF_99"/>
      <w:r w:rsidRPr="0027195B">
        <w:t xml:space="preserve">WA (2016). Clinical and Related Waste Management Policy. Accessed: 11 December </w:t>
      </w:r>
      <w:hyperlink r:id="rId76" w:history="1">
        <w:r w:rsidRPr="0027195B">
          <w:rPr>
            <w:rStyle w:val="Hyperlink"/>
          </w:rPr>
          <w:t>https://ww2.health.wa.gov.au/About-us/Policy-frameworks/Public-Health/Mandatory-requirements/Environmental-Health-Management/Clinical-and-Related-Waste-Management-Policy</w:t>
        </w:r>
      </w:hyperlink>
      <w:r w:rsidRPr="0027195B">
        <w:t>.</w:t>
      </w:r>
      <w:bookmarkEnd w:id="577"/>
    </w:p>
    <w:p w14:paraId="283361D5" w14:textId="77777777" w:rsidR="0027195B" w:rsidRPr="0027195B" w:rsidRDefault="0027195B" w:rsidP="0027195B">
      <w:pPr>
        <w:pStyle w:val="EndNoteBibliography"/>
        <w:spacing w:after="240"/>
      </w:pPr>
      <w:bookmarkStart w:id="578" w:name="_ENREF_100"/>
      <w:r w:rsidRPr="0027195B">
        <w:t>Waye, M.M.Y., and Sing, C.W. (2010). Anti-Viral Drugs for Human Adenoviruses. Pharmaceuticals</w:t>
      </w:r>
      <w:r w:rsidRPr="0027195B">
        <w:rPr>
          <w:i/>
        </w:rPr>
        <w:t xml:space="preserve"> 3</w:t>
      </w:r>
      <w:r w:rsidRPr="0027195B">
        <w:t>, 3343-3354.</w:t>
      </w:r>
      <w:bookmarkEnd w:id="578"/>
    </w:p>
    <w:p w14:paraId="23BA9054" w14:textId="77777777" w:rsidR="0027195B" w:rsidRPr="0027195B" w:rsidRDefault="0027195B" w:rsidP="0027195B">
      <w:pPr>
        <w:pStyle w:val="EndNoteBibliography"/>
        <w:spacing w:after="240"/>
      </w:pPr>
      <w:bookmarkStart w:id="579" w:name="_ENREF_101"/>
      <w:r w:rsidRPr="0027195B">
        <w:t>Weaver, E.A., Hillestad, M.L., Khare, R., Palmer, D., Ng, P., and Barry, M.A. (2011). Characterization of species C human adenovirus serotype 6 (Ad6). Virology</w:t>
      </w:r>
      <w:r w:rsidRPr="0027195B">
        <w:rPr>
          <w:i/>
        </w:rPr>
        <w:t xml:space="preserve"> 412</w:t>
      </w:r>
      <w:r w:rsidRPr="0027195B">
        <w:t>, 19-27.</w:t>
      </w:r>
      <w:bookmarkEnd w:id="579"/>
    </w:p>
    <w:p w14:paraId="03A1D3AA" w14:textId="77777777" w:rsidR="0027195B" w:rsidRPr="0027195B" w:rsidRDefault="0027195B" w:rsidP="0027195B">
      <w:pPr>
        <w:pStyle w:val="EndNoteBibliography"/>
        <w:spacing w:after="240"/>
      </w:pPr>
      <w:bookmarkStart w:id="580" w:name="_ENREF_102"/>
      <w:r w:rsidRPr="0027195B">
        <w:t>Wurzel, D.F., Mackay, I.M., Marchant, J.M., Wang, C.Y., Yerkovich, S.T., Upham, J.W., Smith-Vaughan, H.C.</w:t>
      </w:r>
      <w:r w:rsidRPr="0027195B">
        <w:rPr>
          <w:i/>
        </w:rPr>
        <w:t>, et al.</w:t>
      </w:r>
      <w:r w:rsidRPr="0027195B">
        <w:t xml:space="preserve"> (2014). Adenovirus species C is associated with chronic suppurative lung diseases in children. Clin Infect Dis</w:t>
      </w:r>
      <w:r w:rsidRPr="0027195B">
        <w:rPr>
          <w:i/>
        </w:rPr>
        <w:t xml:space="preserve"> 59</w:t>
      </w:r>
      <w:r w:rsidRPr="0027195B">
        <w:t>, 34-40.</w:t>
      </w:r>
      <w:bookmarkEnd w:id="580"/>
    </w:p>
    <w:p w14:paraId="61CB5B3A" w14:textId="77777777" w:rsidR="0027195B" w:rsidRPr="0027195B" w:rsidRDefault="0027195B" w:rsidP="0027195B">
      <w:pPr>
        <w:pStyle w:val="EndNoteBibliography"/>
        <w:spacing w:after="240"/>
      </w:pPr>
      <w:bookmarkStart w:id="581" w:name="_ENREF_103"/>
      <w:r w:rsidRPr="0027195B">
        <w:t>Xiong, F., Wang, Q., Wu, G.-h., Liu, W.-z., Wang, B., and Chen, Y.-j. (2022). Direct and indirect effects of IFN-α2b in malignancy treatment: not only an archer but also an arrow. Biomarker Research</w:t>
      </w:r>
      <w:r w:rsidRPr="0027195B">
        <w:rPr>
          <w:i/>
        </w:rPr>
        <w:t xml:space="preserve"> 10</w:t>
      </w:r>
      <w:r w:rsidRPr="0027195B">
        <w:t>, 69.</w:t>
      </w:r>
      <w:bookmarkEnd w:id="581"/>
    </w:p>
    <w:p w14:paraId="78D11152" w14:textId="77777777" w:rsidR="0027195B" w:rsidRPr="0027195B" w:rsidRDefault="0027195B" w:rsidP="0027195B">
      <w:pPr>
        <w:pStyle w:val="EndNoteBibliography"/>
        <w:spacing w:after="240"/>
      </w:pPr>
      <w:bookmarkStart w:id="582" w:name="_ENREF_104"/>
      <w:r w:rsidRPr="0027195B">
        <w:t>Yu, X., Veesler, D., Campbell, M.G., Barry, M.E., Asturias, F.J., Barry, M.A., and Reddy, V.S. (2017). Cryo-EM structure of human adenovirus D26 reveals the conservation of structural organization among human adenoviruses. Sci Adv</w:t>
      </w:r>
      <w:r w:rsidRPr="0027195B">
        <w:rPr>
          <w:i/>
        </w:rPr>
        <w:t xml:space="preserve"> 3</w:t>
      </w:r>
      <w:r w:rsidRPr="0027195B">
        <w:t>, e1602670.</w:t>
      </w:r>
      <w:bookmarkEnd w:id="582"/>
    </w:p>
    <w:p w14:paraId="2B3E6284" w14:textId="77777777" w:rsidR="0027195B" w:rsidRPr="0027195B" w:rsidRDefault="0027195B" w:rsidP="0027195B">
      <w:pPr>
        <w:pStyle w:val="EndNoteBibliography"/>
      </w:pPr>
      <w:bookmarkStart w:id="583" w:name="_ENREF_105"/>
      <w:r w:rsidRPr="0027195B">
        <w:t>Zhang, Y., and Bergelson, J.M. (2005). Adenovirus receptors. Journal of virology</w:t>
      </w:r>
      <w:r w:rsidRPr="0027195B">
        <w:rPr>
          <w:i/>
        </w:rPr>
        <w:t xml:space="preserve"> 79</w:t>
      </w:r>
      <w:r w:rsidRPr="0027195B">
        <w:t>, 12125-12131.</w:t>
      </w:r>
      <w:bookmarkEnd w:id="583"/>
    </w:p>
    <w:p w14:paraId="5ED4E030" w14:textId="18450786" w:rsidR="000D50A2" w:rsidRDefault="00D13F31" w:rsidP="00211120">
      <w:pPr>
        <w:tabs>
          <w:tab w:val="left" w:pos="0"/>
        </w:tabs>
        <w:spacing w:after="240"/>
      </w:pPr>
      <w:r w:rsidRPr="0000143A">
        <w:fldChar w:fldCharType="end"/>
      </w:r>
    </w:p>
    <w:p w14:paraId="7F164685" w14:textId="563DBAA6" w:rsidR="00DE7B5C" w:rsidRDefault="00DE7B5C" w:rsidP="00783CF2">
      <w:pPr>
        <w:pStyle w:val="1RARMP"/>
        <w:numPr>
          <w:ilvl w:val="0"/>
          <w:numId w:val="0"/>
        </w:numPr>
        <w:rPr>
          <w:rFonts w:cs="Calibri"/>
          <w:sz w:val="20"/>
          <w:szCs w:val="20"/>
        </w:rPr>
      </w:pPr>
    </w:p>
    <w:sectPr w:rsidR="00DE7B5C" w:rsidSect="008F70A1">
      <w:footerReference w:type="default" r:id="rId77"/>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4EBDC" w14:textId="77777777" w:rsidR="003403ED" w:rsidRDefault="003403ED">
      <w:r>
        <w:separator/>
      </w:r>
    </w:p>
    <w:p w14:paraId="01892CF2" w14:textId="77777777" w:rsidR="003403ED" w:rsidRDefault="003403ED"/>
  </w:endnote>
  <w:endnote w:type="continuationSeparator" w:id="0">
    <w:p w14:paraId="0C01B48F" w14:textId="77777777" w:rsidR="003403ED" w:rsidRDefault="003403ED">
      <w:r>
        <w:continuationSeparator/>
      </w:r>
    </w:p>
    <w:p w14:paraId="38789891" w14:textId="77777777" w:rsidR="003403ED" w:rsidRDefault="00340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54DA" w14:textId="148D1DEF" w:rsidR="00C25677" w:rsidRDefault="00C25677">
    <w:pPr>
      <w:pStyle w:val="Footer"/>
    </w:pPr>
    <w:r>
      <w:rPr>
        <w:noProof/>
      </w:rPr>
      <mc:AlternateContent>
        <mc:Choice Requires="wps">
          <w:drawing>
            <wp:anchor distT="0" distB="0" distL="0" distR="0" simplePos="0" relativeHeight="251665408" behindDoc="0" locked="0" layoutInCell="1" allowOverlap="1" wp14:anchorId="04C2146C" wp14:editId="7FA69DBD">
              <wp:simplePos x="635" y="635"/>
              <wp:positionH relativeFrom="page">
                <wp:align>center</wp:align>
              </wp:positionH>
              <wp:positionV relativeFrom="page">
                <wp:align>bottom</wp:align>
              </wp:positionV>
              <wp:extent cx="551815" cy="452755"/>
              <wp:effectExtent l="0" t="0" r="635" b="0"/>
              <wp:wrapNone/>
              <wp:docPr id="113705020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24695E" w14:textId="13EB119E"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C2146C" id="_x0000_t202" coordsize="21600,21600" o:spt="202" path="m,l,21600r21600,l21600,xe">
              <v:stroke joinstyle="miter"/>
              <v:path gradientshapeok="t" o:connecttype="rect"/>
            </v:shapetype>
            <v:shape id="Text Box 8" o:spid="_x0000_s1042" type="#_x0000_t202" alt="OFFICIAL" style="position:absolute;margin-left:0;margin-top:0;width:43.45pt;height:35.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424695E" w14:textId="13EB119E"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F2BE" w14:textId="51176BC1" w:rsidR="001C746A" w:rsidRPr="006858E9" w:rsidRDefault="00C25677" w:rsidP="00684A92">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75648" behindDoc="0" locked="0" layoutInCell="1" allowOverlap="1" wp14:anchorId="0A8DAD20" wp14:editId="154F7D55">
              <wp:simplePos x="635" y="635"/>
              <wp:positionH relativeFrom="page">
                <wp:align>center</wp:align>
              </wp:positionH>
              <wp:positionV relativeFrom="page">
                <wp:align>bottom</wp:align>
              </wp:positionV>
              <wp:extent cx="551815" cy="452755"/>
              <wp:effectExtent l="0" t="0" r="635" b="0"/>
              <wp:wrapNone/>
              <wp:docPr id="206760995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06A3A9F" w14:textId="065798F1"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8DAD20" id="_x0000_t202" coordsize="21600,21600" o:spt="202" path="m,l,21600r21600,l21600,xe">
              <v:stroke joinstyle="miter"/>
              <v:path gradientshapeok="t" o:connecttype="rect"/>
            </v:shapetype>
            <v:shape id="Text Box 18" o:spid="_x0000_s1051" type="#_x0000_t202" alt="OFFICIAL" style="position:absolute;margin-left:0;margin-top:0;width:43.45pt;height:35.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006A3A9F" w14:textId="065798F1"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sidRPr="006858E9">
      <w:rPr>
        <w:sz w:val="16"/>
        <w:szCs w:val="16"/>
      </w:rPr>
      <w:t xml:space="preserve">Chapter </w:t>
    </w:r>
    <w:r w:rsidR="001C746A">
      <w:rPr>
        <w:sz w:val="16"/>
        <w:szCs w:val="16"/>
      </w:rPr>
      <w:t>4</w:t>
    </w:r>
    <w:r w:rsidR="001C746A" w:rsidRPr="006858E9">
      <w:rPr>
        <w:sz w:val="16"/>
        <w:szCs w:val="16"/>
      </w:rPr>
      <w:tab/>
    </w:r>
    <w:r w:rsidR="001C746A">
      <w:rPr>
        <w:sz w:val="16"/>
        <w:szCs w:val="16"/>
      </w:rPr>
      <w:t>Draft licence conditions</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55</w:t>
    </w:r>
    <w:r w:rsidR="001C746A" w:rsidRPr="006858E9">
      <w:rPr>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30F8" w14:textId="43001588" w:rsidR="001C746A" w:rsidRDefault="00C25677" w:rsidP="00263EE3">
    <w:pPr>
      <w:pStyle w:val="DLM-Sensitive"/>
    </w:pPr>
    <w:r>
      <w:rPr>
        <w:noProof/>
      </w:rPr>
      <mc:AlternateContent>
        <mc:Choice Requires="wps">
          <w:drawing>
            <wp:anchor distT="0" distB="0" distL="0" distR="0" simplePos="0" relativeHeight="251673600" behindDoc="0" locked="0" layoutInCell="1" allowOverlap="1" wp14:anchorId="7546D3B3" wp14:editId="135BAA02">
              <wp:simplePos x="635" y="635"/>
              <wp:positionH relativeFrom="page">
                <wp:align>center</wp:align>
              </wp:positionH>
              <wp:positionV relativeFrom="page">
                <wp:align>bottom</wp:align>
              </wp:positionV>
              <wp:extent cx="551815" cy="452755"/>
              <wp:effectExtent l="0" t="0" r="635" b="0"/>
              <wp:wrapNone/>
              <wp:docPr id="1381837711"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09209B8" w14:textId="7D8B8F10"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6D3B3" id="_x0000_t202" coordsize="21600,21600" o:spt="202" path="m,l,21600r21600,l21600,xe">
              <v:stroke joinstyle="miter"/>
              <v:path gradientshapeok="t" o:connecttype="rect"/>
            </v:shapetype>
            <v:shape id="Text Box 16" o:spid="_x0000_s1053" type="#_x0000_t202" alt="OFFICIAL" style="position:absolute;left:0;text-align:left;margin-left:0;margin-top:0;width:43.45pt;height:35.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009209B8" w14:textId="7D8B8F10"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t>Sensitive</w:t>
    </w:r>
  </w:p>
  <w:p w14:paraId="25B19B32" w14:textId="77777777" w:rsidR="001C746A" w:rsidRPr="008117C5" w:rsidRDefault="001C746A" w:rsidP="00263EE3">
    <w:pPr>
      <w:pStyle w:val="Licencefooter"/>
      <w:spacing w:after="12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06C7" w14:textId="765399A4" w:rsidR="001C746A" w:rsidRPr="00953860" w:rsidRDefault="00C25677" w:rsidP="00953860">
    <w:pPr>
      <w:pBdr>
        <w:top w:val="single" w:sz="4" w:space="0" w:color="auto"/>
      </w:pBdr>
      <w:tabs>
        <w:tab w:val="right" w:pos="9072"/>
      </w:tabs>
      <w:rPr>
        <w:sz w:val="16"/>
        <w:szCs w:val="16"/>
      </w:rPr>
    </w:pPr>
    <w:r>
      <w:rPr>
        <w:noProof/>
        <w:sz w:val="16"/>
        <w:szCs w:val="16"/>
      </w:rPr>
      <mc:AlternateContent>
        <mc:Choice Requires="wps">
          <w:drawing>
            <wp:anchor distT="0" distB="0" distL="0" distR="0" simplePos="0" relativeHeight="251676672" behindDoc="0" locked="0" layoutInCell="1" allowOverlap="1" wp14:anchorId="1E7BDE80" wp14:editId="6E6EFA9F">
              <wp:simplePos x="635" y="635"/>
              <wp:positionH relativeFrom="page">
                <wp:align>center</wp:align>
              </wp:positionH>
              <wp:positionV relativeFrom="page">
                <wp:align>bottom</wp:align>
              </wp:positionV>
              <wp:extent cx="551815" cy="452755"/>
              <wp:effectExtent l="0" t="0" r="635" b="0"/>
              <wp:wrapNone/>
              <wp:docPr id="133741701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C9427FB" w14:textId="7ACE7789"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BDE80" id="_x0000_t202" coordsize="21600,21600" o:spt="202" path="m,l,21600r21600,l21600,xe">
              <v:stroke joinstyle="miter"/>
              <v:path gradientshapeok="t" o:connecttype="rect"/>
            </v:shapetype>
            <v:shape id="Text Box 19" o:spid="_x0000_s1054" type="#_x0000_t202" alt="OFFICIAL" style="position:absolute;margin-left:0;margin-top:0;width:43.45pt;height:35.6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filled="f" stroked="f">
              <v:textbox style="mso-fit-shape-to-text:t" inset="0,0,0,15pt">
                <w:txbxContent>
                  <w:p w14:paraId="1C9427FB" w14:textId="7ACE7789"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Pr>
        <w:noProof/>
        <w:sz w:val="16"/>
        <w:szCs w:val="16"/>
      </w:rPr>
      <w:t>Attachment A</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57</w:t>
    </w:r>
    <w:r w:rsidR="001C746A" w:rsidRPr="006858E9">
      <w:rPr>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06A2" w14:textId="58078C0E" w:rsidR="001C746A" w:rsidRPr="00953860" w:rsidRDefault="00C25677" w:rsidP="00953860">
    <w:pPr>
      <w:pBdr>
        <w:top w:val="single" w:sz="4" w:space="0" w:color="auto"/>
      </w:pBdr>
      <w:tabs>
        <w:tab w:val="right" w:pos="9072"/>
      </w:tabs>
      <w:rPr>
        <w:sz w:val="16"/>
        <w:szCs w:val="16"/>
      </w:rPr>
    </w:pPr>
    <w:r>
      <w:rPr>
        <w:noProof/>
        <w:sz w:val="16"/>
        <w:szCs w:val="16"/>
      </w:rPr>
      <mc:AlternateContent>
        <mc:Choice Requires="wps">
          <w:drawing>
            <wp:anchor distT="0" distB="0" distL="0" distR="0" simplePos="0" relativeHeight="251677696" behindDoc="0" locked="0" layoutInCell="1" allowOverlap="1" wp14:anchorId="053C8CB7" wp14:editId="27366A3A">
              <wp:simplePos x="635" y="635"/>
              <wp:positionH relativeFrom="page">
                <wp:align>center</wp:align>
              </wp:positionH>
              <wp:positionV relativeFrom="page">
                <wp:align>bottom</wp:align>
              </wp:positionV>
              <wp:extent cx="551815" cy="452755"/>
              <wp:effectExtent l="0" t="0" r="635" b="0"/>
              <wp:wrapNone/>
              <wp:docPr id="32746373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5EFEB17" w14:textId="501A910B"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C8CB7" id="_x0000_t202" coordsize="21600,21600" o:spt="202" path="m,l,21600r21600,l21600,xe">
              <v:stroke joinstyle="miter"/>
              <v:path gradientshapeok="t" o:connecttype="rect"/>
            </v:shapetype>
            <v:shape id="Text Box 20" o:spid="_x0000_s1055" type="#_x0000_t202" alt="OFFICIAL" style="position:absolute;margin-left:0;margin-top:0;width:43.45pt;height:35.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Iq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e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PKMEioPAgAA&#10;HQQAAA4AAAAAAAAAAAAAAAAALgIAAGRycy9lMm9Eb2MueG1sUEsBAi0AFAAGAAgAAAAhAO+t3rHb&#10;AAAAAwEAAA8AAAAAAAAAAAAAAAAAaQQAAGRycy9kb3ducmV2LnhtbFBLBQYAAAAABAAEAPMAAABx&#10;BQAAAAA=&#10;" filled="f" stroked="f">
              <v:textbox style="mso-fit-shape-to-text:t" inset="0,0,0,15pt">
                <w:txbxContent>
                  <w:p w14:paraId="35EFEB17" w14:textId="501A910B"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Pr>
        <w:noProof/>
        <w:sz w:val="16"/>
        <w:szCs w:val="16"/>
      </w:rPr>
      <w:t>Attachment B</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58</w:t>
    </w:r>
    <w:r w:rsidR="001C746A" w:rsidRPr="006858E9">
      <w:rPr>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2D2E" w14:textId="77225079" w:rsidR="001C746A" w:rsidRPr="00953860" w:rsidRDefault="00C25677" w:rsidP="00953860">
    <w:pPr>
      <w:pBdr>
        <w:top w:val="single" w:sz="4" w:space="0" w:color="auto"/>
      </w:pBdr>
      <w:tabs>
        <w:tab w:val="right" w:pos="9072"/>
      </w:tabs>
      <w:rPr>
        <w:sz w:val="16"/>
        <w:szCs w:val="16"/>
      </w:rPr>
    </w:pPr>
    <w:r>
      <w:rPr>
        <w:noProof/>
        <w:sz w:val="16"/>
        <w:szCs w:val="16"/>
      </w:rPr>
      <mc:AlternateContent>
        <mc:Choice Requires="wps">
          <w:drawing>
            <wp:anchor distT="0" distB="0" distL="0" distR="0" simplePos="0" relativeHeight="251678720" behindDoc="0" locked="0" layoutInCell="1" allowOverlap="1" wp14:anchorId="20C9DA53" wp14:editId="5EA504FF">
              <wp:simplePos x="635" y="635"/>
              <wp:positionH relativeFrom="page">
                <wp:align>center</wp:align>
              </wp:positionH>
              <wp:positionV relativeFrom="page">
                <wp:align>bottom</wp:align>
              </wp:positionV>
              <wp:extent cx="551815" cy="452755"/>
              <wp:effectExtent l="0" t="0" r="635" b="0"/>
              <wp:wrapNone/>
              <wp:docPr id="1642653324"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5C81AD9" w14:textId="18BADE3C"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9DA53" id="_x0000_t202" coordsize="21600,21600" o:spt="202" path="m,l,21600r21600,l21600,xe">
              <v:stroke joinstyle="miter"/>
              <v:path gradientshapeok="t" o:connecttype="rect"/>
            </v:shapetype>
            <v:shape id="Text Box 21" o:spid="_x0000_s1056" type="#_x0000_t202" alt="OFFICIAL" style="position:absolute;margin-left:0;margin-top:0;width:43.45pt;height:35.6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75C81AD9" w14:textId="18BADE3C"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Pr>
        <w:noProof/>
        <w:sz w:val="16"/>
        <w:szCs w:val="16"/>
      </w:rPr>
      <w:t>References</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66</w:t>
    </w:r>
    <w:r w:rsidR="001C746A" w:rsidRPr="006858E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7BD1AB1D" w:rsidR="001C746A" w:rsidRDefault="00C25677">
    <w:pPr>
      <w:jc w:val="right"/>
    </w:pPr>
    <w:r>
      <w:rPr>
        <w:noProof/>
      </w:rPr>
      <mc:AlternateContent>
        <mc:Choice Requires="wps">
          <w:drawing>
            <wp:anchor distT="0" distB="0" distL="0" distR="0" simplePos="0" relativeHeight="251666432" behindDoc="0" locked="0" layoutInCell="1" allowOverlap="1" wp14:anchorId="359E696D" wp14:editId="3A33662F">
              <wp:simplePos x="915035" y="9688195"/>
              <wp:positionH relativeFrom="page">
                <wp:align>center</wp:align>
              </wp:positionH>
              <wp:positionV relativeFrom="page">
                <wp:align>bottom</wp:align>
              </wp:positionV>
              <wp:extent cx="551815" cy="452755"/>
              <wp:effectExtent l="0" t="0" r="635" b="0"/>
              <wp:wrapNone/>
              <wp:docPr id="7386635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A86390" w14:textId="45006B85"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9E696D" id="_x0000_t202" coordsize="21600,21600" o:spt="202" path="m,l,21600r21600,l21600,xe">
              <v:stroke joinstyle="miter"/>
              <v:path gradientshapeok="t" o:connecttype="rect"/>
            </v:shapetype>
            <v:shape id="Text Box 9" o:spid="_x0000_s1043" type="#_x0000_t202" alt="OFFICIAL" style="position:absolute;left:0;text-align:left;margin-left:0;margin-top:0;width:43.45pt;height:35.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6A86390" w14:textId="45006B85"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p>
  <w:p w14:paraId="111F7997" w14:textId="77777777" w:rsidR="001C746A" w:rsidRPr="0096333B" w:rsidRDefault="001C746A" w:rsidP="006D0C25">
    <w:pPr>
      <w:tabs>
        <w:tab w:val="center" w:pos="8364"/>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767D80E9" w:rsidR="001C746A" w:rsidRPr="006858E9" w:rsidRDefault="001C746A" w:rsidP="00684A92">
    <w:pPr>
      <w:pBdr>
        <w:top w:val="single" w:sz="4" w:space="1" w:color="auto"/>
      </w:pBdr>
      <w:tabs>
        <w:tab w:val="right" w:pos="9639"/>
      </w:tabs>
      <w:rPr>
        <w:sz w:val="16"/>
        <w:szCs w:val="16"/>
      </w:rPr>
    </w:pPr>
    <w:r w:rsidRPr="006858E9">
      <w:rPr>
        <w:sz w:val="16"/>
        <w:szCs w:val="16"/>
      </w:rPr>
      <w:t xml:space="preserve">Summary </w:t>
    </w:r>
    <w:r w:rsidR="00534844" w:rsidRPr="00534844">
      <w:rPr>
        <w:sz w:val="16"/>
        <w:szCs w:val="16"/>
      </w:rPr>
      <w:t>of the Risk Assessment and Risk 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III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47AE0746" w:rsidR="001C746A" w:rsidRPr="006858E9" w:rsidRDefault="00C25677" w:rsidP="00C11200">
    <w:pPr>
      <w:pBdr>
        <w:top w:val="single" w:sz="4" w:space="1" w:color="auto"/>
      </w:pBdr>
      <w:tabs>
        <w:tab w:val="right" w:pos="9639"/>
      </w:tabs>
      <w:rPr>
        <w:sz w:val="16"/>
        <w:szCs w:val="16"/>
      </w:rPr>
    </w:pPr>
    <w:r>
      <w:rPr>
        <w:noProof/>
        <w:sz w:val="16"/>
        <w:szCs w:val="16"/>
      </w:rPr>
      <mc:AlternateContent>
        <mc:Choice Requires="wps">
          <w:drawing>
            <wp:anchor distT="0" distB="0" distL="0" distR="0" simplePos="0" relativeHeight="251668480" behindDoc="0" locked="0" layoutInCell="1" allowOverlap="1" wp14:anchorId="7A59E962" wp14:editId="3AF01421">
              <wp:simplePos x="635" y="635"/>
              <wp:positionH relativeFrom="page">
                <wp:align>center</wp:align>
              </wp:positionH>
              <wp:positionV relativeFrom="page">
                <wp:align>bottom</wp:align>
              </wp:positionV>
              <wp:extent cx="551815" cy="452755"/>
              <wp:effectExtent l="0" t="0" r="635" b="0"/>
              <wp:wrapNone/>
              <wp:docPr id="157309339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6E83214" w14:textId="74D621F9"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9E962" id="_x0000_t202" coordsize="21600,21600" o:spt="202" path="m,l,21600r21600,l21600,xe">
              <v:stroke joinstyle="miter"/>
              <v:path gradientshapeok="t" o:connecttype="rect"/>
            </v:shapetype>
            <v:shape id="Text Box 11" o:spid="_x0000_s1044" type="#_x0000_t202" alt="OFFICIAL" style="position:absolute;margin-left:0;margin-top:0;width:43.45pt;height:35.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66E83214" w14:textId="74D621F9"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sidRPr="006858E9">
      <w:rPr>
        <w:sz w:val="16"/>
        <w:szCs w:val="16"/>
      </w:rPr>
      <w:t>Table of Contents</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V</w:t>
    </w:r>
    <w:r w:rsidR="001C746A"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039C25A0" w:rsidR="001C746A" w:rsidRPr="006858E9" w:rsidRDefault="00C25677" w:rsidP="00684A92">
    <w:pPr>
      <w:pBdr>
        <w:top w:val="single" w:sz="4" w:space="1" w:color="auto"/>
      </w:pBdr>
      <w:tabs>
        <w:tab w:val="left" w:pos="1365"/>
        <w:tab w:val="right" w:pos="9214"/>
      </w:tabs>
      <w:rPr>
        <w:sz w:val="16"/>
        <w:szCs w:val="16"/>
      </w:rPr>
    </w:pPr>
    <w:r>
      <w:rPr>
        <w:noProof/>
        <w:sz w:val="16"/>
        <w:szCs w:val="16"/>
      </w:rPr>
      <mc:AlternateContent>
        <mc:Choice Requires="wps">
          <w:drawing>
            <wp:anchor distT="0" distB="0" distL="0" distR="0" simplePos="0" relativeHeight="251669504" behindDoc="0" locked="0" layoutInCell="1" allowOverlap="1" wp14:anchorId="185C25F2" wp14:editId="56F65B82">
              <wp:simplePos x="635" y="635"/>
              <wp:positionH relativeFrom="page">
                <wp:align>center</wp:align>
              </wp:positionH>
              <wp:positionV relativeFrom="page">
                <wp:align>bottom</wp:align>
              </wp:positionV>
              <wp:extent cx="551815" cy="452755"/>
              <wp:effectExtent l="0" t="0" r="635" b="0"/>
              <wp:wrapNone/>
              <wp:docPr id="172742300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C06D87A" w14:textId="2DABB296"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C25F2" id="_x0000_t202" coordsize="21600,21600" o:spt="202" path="m,l,21600r21600,l21600,xe">
              <v:stroke joinstyle="miter"/>
              <v:path gradientshapeok="t" o:connecttype="rect"/>
            </v:shapetype>
            <v:shape id="Text Box 12" o:spid="_x0000_s1045" type="#_x0000_t202" alt="OFFICIAL" style="position:absolute;margin-left:0;margin-top:0;width:43.45pt;height:35.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7C06D87A" w14:textId="2DABB296"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sidRPr="006858E9">
      <w:rPr>
        <w:sz w:val="16"/>
        <w:szCs w:val="16"/>
      </w:rPr>
      <w:t>Abbreviations</w:t>
    </w:r>
    <w:r w:rsidR="001C746A" w:rsidRPr="006858E9">
      <w:rPr>
        <w:sz w:val="16"/>
        <w:szCs w:val="16"/>
      </w:rPr>
      <w:tab/>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VII</w:t>
    </w:r>
    <w:r w:rsidR="001C746A"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51A69F39" w:rsidR="001C746A" w:rsidRPr="006858E9" w:rsidRDefault="00C25677" w:rsidP="00684A92">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70528" behindDoc="0" locked="0" layoutInCell="1" allowOverlap="1" wp14:anchorId="00373B7B" wp14:editId="559B4E5F">
              <wp:simplePos x="635" y="635"/>
              <wp:positionH relativeFrom="page">
                <wp:align>center</wp:align>
              </wp:positionH>
              <wp:positionV relativeFrom="page">
                <wp:align>bottom</wp:align>
              </wp:positionV>
              <wp:extent cx="551815" cy="452755"/>
              <wp:effectExtent l="0" t="0" r="635" b="0"/>
              <wp:wrapNone/>
              <wp:docPr id="32640217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3D5C5A9" w14:textId="3B0C9B51"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373B7B" id="_x0000_t202" coordsize="21600,21600" o:spt="202" path="m,l,21600r21600,l21600,xe">
              <v:stroke joinstyle="miter"/>
              <v:path gradientshapeok="t" o:connecttype="rect"/>
            </v:shapetype>
            <v:shape id="Text Box 13" o:spid="_x0000_s1046" type="#_x0000_t202" alt="OFFICIAL" style="position:absolute;margin-left:0;margin-top:0;width:43.45pt;height:35.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03D5C5A9" w14:textId="3B0C9B51"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sidRPr="006858E9">
      <w:rPr>
        <w:sz w:val="16"/>
        <w:szCs w:val="16"/>
      </w:rPr>
      <w:t xml:space="preserve">Chapter </w:t>
    </w:r>
    <w:r w:rsidR="001C746A">
      <w:rPr>
        <w:sz w:val="16"/>
        <w:szCs w:val="16"/>
      </w:rPr>
      <w:t>1</w:t>
    </w:r>
    <w:r w:rsidR="001C746A" w:rsidRPr="006858E9">
      <w:rPr>
        <w:sz w:val="16"/>
        <w:szCs w:val="16"/>
      </w:rPr>
      <w:tab/>
      <w:t xml:space="preserve">Risk </w:t>
    </w:r>
    <w:r w:rsidR="001C746A">
      <w:rPr>
        <w:sz w:val="16"/>
        <w:szCs w:val="16"/>
      </w:rPr>
      <w:t>assessment context</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26</w:t>
    </w:r>
    <w:r w:rsidR="001C746A"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0AE6A86E" w:rsidR="008A7B57" w:rsidRPr="006858E9" w:rsidRDefault="00C25677" w:rsidP="00684A92">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71552" behindDoc="0" locked="0" layoutInCell="1" allowOverlap="1" wp14:anchorId="4DD845E6" wp14:editId="2546CBCF">
              <wp:simplePos x="635" y="635"/>
              <wp:positionH relativeFrom="page">
                <wp:align>center</wp:align>
              </wp:positionH>
              <wp:positionV relativeFrom="page">
                <wp:align>bottom</wp:align>
              </wp:positionV>
              <wp:extent cx="551815" cy="452755"/>
              <wp:effectExtent l="0" t="0" r="635" b="0"/>
              <wp:wrapNone/>
              <wp:docPr id="79581621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48E4813" w14:textId="516FBF18"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845E6" id="_x0000_t202" coordsize="21600,21600" o:spt="202" path="m,l,21600r21600,l21600,xe">
              <v:stroke joinstyle="miter"/>
              <v:path gradientshapeok="t" o:connecttype="rect"/>
            </v:shapetype>
            <v:shape id="Text Box 14" o:spid="_x0000_s1047" type="#_x0000_t202" alt="OFFICIAL" style="position:absolute;margin-left:0;margin-top:0;width:43.45pt;height:35.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348E4813" w14:textId="516FBF18"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8A7B57" w:rsidRPr="006858E9">
      <w:rPr>
        <w:sz w:val="16"/>
        <w:szCs w:val="16"/>
      </w:rPr>
      <w:t xml:space="preserve">Chapter </w:t>
    </w:r>
    <w:r w:rsidR="008A7B57">
      <w:rPr>
        <w:sz w:val="16"/>
        <w:szCs w:val="16"/>
      </w:rPr>
      <w:t>2</w:t>
    </w:r>
    <w:r w:rsidR="008A7B57" w:rsidRPr="006858E9">
      <w:rPr>
        <w:sz w:val="16"/>
        <w:szCs w:val="16"/>
      </w:rPr>
      <w:tab/>
      <w:t xml:space="preserve">Risk </w:t>
    </w:r>
    <w:r w:rsidR="008A7B57">
      <w:rPr>
        <w:sz w:val="16"/>
        <w:szCs w:val="16"/>
      </w:rPr>
      <w:t>assessment</w:t>
    </w:r>
    <w:r w:rsidR="008A7B57" w:rsidRPr="006858E9">
      <w:rPr>
        <w:sz w:val="16"/>
        <w:szCs w:val="16"/>
      </w:rPr>
      <w:tab/>
    </w:r>
    <w:r w:rsidR="008A7B57" w:rsidRPr="006858E9">
      <w:rPr>
        <w:sz w:val="16"/>
        <w:szCs w:val="16"/>
      </w:rPr>
      <w:fldChar w:fldCharType="begin"/>
    </w:r>
    <w:r w:rsidR="008A7B57" w:rsidRPr="006858E9">
      <w:rPr>
        <w:sz w:val="16"/>
        <w:szCs w:val="16"/>
      </w:rPr>
      <w:instrText xml:space="preserve"> PAGE </w:instrText>
    </w:r>
    <w:r w:rsidR="008A7B57" w:rsidRPr="006858E9">
      <w:rPr>
        <w:sz w:val="16"/>
        <w:szCs w:val="16"/>
      </w:rPr>
      <w:fldChar w:fldCharType="separate"/>
    </w:r>
    <w:r w:rsidR="008A7B57">
      <w:rPr>
        <w:noProof/>
        <w:sz w:val="16"/>
        <w:szCs w:val="16"/>
      </w:rPr>
      <w:t>42</w:t>
    </w:r>
    <w:r w:rsidR="008A7B57"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761A6A84" w:rsidR="001C746A" w:rsidRPr="006858E9" w:rsidRDefault="00C25677" w:rsidP="00684A92">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72576" behindDoc="0" locked="0" layoutInCell="1" allowOverlap="1" wp14:anchorId="6E753805" wp14:editId="1C901F58">
              <wp:simplePos x="635" y="635"/>
              <wp:positionH relativeFrom="page">
                <wp:align>center</wp:align>
              </wp:positionH>
              <wp:positionV relativeFrom="page">
                <wp:align>bottom</wp:align>
              </wp:positionV>
              <wp:extent cx="551815" cy="452755"/>
              <wp:effectExtent l="0" t="0" r="635" b="0"/>
              <wp:wrapNone/>
              <wp:docPr id="212128963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F846712" w14:textId="45731427"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753805" id="_x0000_t202" coordsize="21600,21600" o:spt="202" path="m,l,21600r21600,l21600,xe">
              <v:stroke joinstyle="miter"/>
              <v:path gradientshapeok="t" o:connecttype="rect"/>
            </v:shapetype>
            <v:shape id="Text Box 15" o:spid="_x0000_s1048" type="#_x0000_t202" alt="OFFICIAL" style="position:absolute;margin-left:0;margin-top:0;width:43.45pt;height:35.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6F846712" w14:textId="45731427"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rsidRPr="006858E9">
      <w:rPr>
        <w:sz w:val="16"/>
        <w:szCs w:val="16"/>
      </w:rPr>
      <w:t xml:space="preserve">Chapter </w:t>
    </w:r>
    <w:r w:rsidR="001C746A">
      <w:rPr>
        <w:sz w:val="16"/>
        <w:szCs w:val="16"/>
      </w:rPr>
      <w:t>3</w:t>
    </w:r>
    <w:r w:rsidR="001C746A" w:rsidRPr="006858E9">
      <w:rPr>
        <w:sz w:val="16"/>
        <w:szCs w:val="16"/>
      </w:rPr>
      <w:tab/>
      <w:t xml:space="preserve">Risk </w:t>
    </w:r>
    <w:r w:rsidR="001C746A">
      <w:rPr>
        <w:sz w:val="16"/>
        <w:szCs w:val="16"/>
      </w:rPr>
      <w:t>management plan</w:t>
    </w:r>
    <w:r w:rsidR="001C746A" w:rsidRPr="006858E9">
      <w:rPr>
        <w:sz w:val="16"/>
        <w:szCs w:val="16"/>
      </w:rPr>
      <w:tab/>
    </w:r>
    <w:r w:rsidR="001C746A" w:rsidRPr="006858E9">
      <w:rPr>
        <w:sz w:val="16"/>
        <w:szCs w:val="16"/>
      </w:rPr>
      <w:fldChar w:fldCharType="begin"/>
    </w:r>
    <w:r w:rsidR="001C746A" w:rsidRPr="006858E9">
      <w:rPr>
        <w:sz w:val="16"/>
        <w:szCs w:val="16"/>
      </w:rPr>
      <w:instrText xml:space="preserve"> PAGE </w:instrText>
    </w:r>
    <w:r w:rsidR="001C746A" w:rsidRPr="006858E9">
      <w:rPr>
        <w:sz w:val="16"/>
        <w:szCs w:val="16"/>
      </w:rPr>
      <w:fldChar w:fldCharType="separate"/>
    </w:r>
    <w:r w:rsidR="008A7B57">
      <w:rPr>
        <w:noProof/>
        <w:sz w:val="16"/>
        <w:szCs w:val="16"/>
      </w:rPr>
      <w:t>47</w:t>
    </w:r>
    <w:r w:rsidR="001C746A"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0CB2" w14:textId="12E34F95" w:rsidR="001C746A" w:rsidRDefault="00C25677" w:rsidP="00263EE3">
    <w:pPr>
      <w:pStyle w:val="DLM-Sensitive"/>
    </w:pPr>
    <w:r>
      <w:rPr>
        <w:noProof/>
      </w:rPr>
      <mc:AlternateContent>
        <mc:Choice Requires="wps">
          <w:drawing>
            <wp:anchor distT="0" distB="0" distL="0" distR="0" simplePos="0" relativeHeight="251674624" behindDoc="0" locked="0" layoutInCell="1" allowOverlap="1" wp14:anchorId="3570C1CC" wp14:editId="1896A648">
              <wp:simplePos x="635" y="635"/>
              <wp:positionH relativeFrom="page">
                <wp:align>center</wp:align>
              </wp:positionH>
              <wp:positionV relativeFrom="page">
                <wp:align>bottom</wp:align>
              </wp:positionV>
              <wp:extent cx="551815" cy="452755"/>
              <wp:effectExtent l="0" t="0" r="635" b="0"/>
              <wp:wrapNone/>
              <wp:docPr id="785293705"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890C18" w14:textId="41A1C7AA"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70C1CC" id="_x0000_t202" coordsize="21600,21600" o:spt="202" path="m,l,21600r21600,l21600,xe">
              <v:stroke joinstyle="miter"/>
              <v:path gradientshapeok="t" o:connecttype="rect"/>
            </v:shapetype>
            <v:shape id="Text Box 17" o:spid="_x0000_s1050" type="#_x0000_t202" alt="OFFICIAL" style="position:absolute;left:0;text-align:left;margin-left:0;margin-top:0;width:43.45pt;height:35.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41890C18" w14:textId="41A1C7AA"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t>Sensitive</w:t>
    </w:r>
  </w:p>
  <w:p w14:paraId="6934B7A4" w14:textId="77777777" w:rsidR="001C746A" w:rsidRDefault="001C7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A9175" w14:textId="77777777" w:rsidR="003403ED" w:rsidRDefault="003403ED">
      <w:r>
        <w:separator/>
      </w:r>
    </w:p>
    <w:p w14:paraId="305B1C9B" w14:textId="77777777" w:rsidR="003403ED" w:rsidRDefault="003403ED"/>
  </w:footnote>
  <w:footnote w:type="continuationSeparator" w:id="0">
    <w:p w14:paraId="70FEC79D" w14:textId="77777777" w:rsidR="003403ED" w:rsidRDefault="003403ED">
      <w:r>
        <w:continuationSeparator/>
      </w:r>
    </w:p>
    <w:p w14:paraId="793CBC35" w14:textId="77777777" w:rsidR="003403ED" w:rsidRDefault="003403ED"/>
  </w:footnote>
  <w:footnote w:id="1">
    <w:p w14:paraId="3A14C4E8" w14:textId="6B14996C" w:rsidR="006F3B0D" w:rsidRPr="008E4C60" w:rsidRDefault="006F3B0D" w:rsidP="006F3B0D">
      <w:pPr>
        <w:pStyle w:val="FootnoteText"/>
      </w:pPr>
      <w:r>
        <w:rPr>
          <w:rStyle w:val="FootnoteReference"/>
        </w:rPr>
        <w:footnoteRef/>
      </w:r>
      <w:r>
        <w:t xml:space="preserve"> </w:t>
      </w:r>
      <w:r w:rsidRPr="008E4C60">
        <w:rPr>
          <w:rFonts w:cs="Calibri"/>
        </w:rPr>
        <w:t>This application was originally submitted in 2 parts.</w:t>
      </w:r>
      <w:r w:rsidRPr="008E4C60">
        <w:t xml:space="preserve"> The original titles supplied by the applicant were: “A phase 3, randomised, multi-centre, open-label trial to evaluate the safety and efficacy of intravesical nadofaragene firadenovec alone or in combination with chemotherapy (gemcitabine and docetaxel) or immunotherapy (pembrolizumab) in subjects with high-grade Bacillus Calmette-Guerin (BCG) unresponsive non-muscle invasive bladder cancer (NMIBC)”; and “A Phase 3b, Randomised, Controlled Trial of Nadofaragene Firadenovec vs. Observation in Subjects with Intermediate Risk (IR) Non-Muscle Invasive Bladder Cancer (NMIBC)”</w:t>
      </w:r>
      <w:r w:rsidR="008E4C60" w:rsidRPr="008E4C60">
        <w:t>.</w:t>
      </w:r>
    </w:p>
  </w:footnote>
  <w:footnote w:id="2">
    <w:p w14:paraId="49D2C4DC" w14:textId="1AE3E5E7" w:rsidR="006F3B0D" w:rsidRDefault="006F3B0D" w:rsidP="00966861">
      <w:pPr>
        <w:pStyle w:val="FootnoteText"/>
      </w:pPr>
      <w:r>
        <w:rPr>
          <w:rStyle w:val="FootnoteReference"/>
        </w:rPr>
        <w:footnoteRef/>
      </w:r>
      <w:r>
        <w:t xml:space="preserve"> </w:t>
      </w:r>
      <w:r w:rsidRPr="00186F26">
        <w:t xml:space="preserve">Confidential Commercial Information: Some details about the </w:t>
      </w:r>
      <w:r>
        <w:t>deleted DNA sequences</w:t>
      </w:r>
      <w:r w:rsidRPr="00186F26">
        <w:t xml:space="preserve"> </w:t>
      </w:r>
      <w:r w:rsidR="00966861">
        <w:t xml:space="preserve">have been declared </w:t>
      </w:r>
      <w:r w:rsidRPr="00186F26">
        <w:t>as Confidential Commercial Information under section 185 of the Act.</w:t>
      </w:r>
    </w:p>
  </w:footnote>
  <w:footnote w:id="3">
    <w:p w14:paraId="59048111" w14:textId="77777777" w:rsidR="0001639C" w:rsidRDefault="0001639C" w:rsidP="0001639C">
      <w:pPr>
        <w:pStyle w:val="FootnoteText"/>
        <w:rPr>
          <w:rFonts w:cstheme="minorBidi"/>
          <w:lang w:eastAsia="en-US"/>
        </w:rPr>
      </w:pPr>
      <w:r>
        <w:rPr>
          <w:rStyle w:val="FootnoteReference"/>
        </w:rPr>
        <w:footnoteRef/>
      </w:r>
      <w:r>
        <w:t xml:space="preserve"> A unit-dose refers to the amount of drug in a single dose that is to be administered to a patient.</w:t>
      </w:r>
    </w:p>
  </w:footnote>
  <w:footnote w:id="4">
    <w:p w14:paraId="51A5B410" w14:textId="154537E3" w:rsidR="001C746A" w:rsidRDefault="001C746A"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864C" w14:textId="3EE417BB" w:rsidR="00C25677" w:rsidRDefault="00C25677">
    <w:pPr>
      <w:pStyle w:val="Header"/>
    </w:pPr>
    <w:r>
      <w:rPr>
        <w:noProof/>
      </w:rPr>
      <mc:AlternateContent>
        <mc:Choice Requires="wps">
          <w:drawing>
            <wp:anchor distT="0" distB="0" distL="0" distR="0" simplePos="0" relativeHeight="251659264" behindDoc="0" locked="0" layoutInCell="1" allowOverlap="1" wp14:anchorId="4F6F3B4C" wp14:editId="764A30FA">
              <wp:simplePos x="635" y="635"/>
              <wp:positionH relativeFrom="page">
                <wp:align>center</wp:align>
              </wp:positionH>
              <wp:positionV relativeFrom="page">
                <wp:align>top</wp:align>
              </wp:positionV>
              <wp:extent cx="551815" cy="452755"/>
              <wp:effectExtent l="0" t="0" r="635" b="4445"/>
              <wp:wrapNone/>
              <wp:docPr id="3962218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98C42E4" w14:textId="34EED7EE"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F3B4C" id="_x0000_t202" coordsize="21600,21600" o:spt="202" path="m,l,21600r21600,l21600,xe">
              <v:stroke joinstyle="miter"/>
              <v:path gradientshapeok="t" o:connecttype="rect"/>
            </v:shapetype>
            <v:shape id="Text Box 2" o:spid="_x0000_s1040"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98C42E4" w14:textId="34EED7EE"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70B0F7DB" w:rsidR="001C746A" w:rsidRPr="00F22284" w:rsidRDefault="00C25677" w:rsidP="006D0C25">
    <w:pPr>
      <w:pBdr>
        <w:bottom w:val="single" w:sz="4" w:space="1" w:color="auto"/>
      </w:pBdr>
      <w:tabs>
        <w:tab w:val="right" w:pos="9072"/>
      </w:tabs>
      <w:ind w:right="-2"/>
      <w:rPr>
        <w:sz w:val="18"/>
        <w:szCs w:val="18"/>
      </w:rPr>
    </w:pPr>
    <w:r>
      <w:rPr>
        <w:noProof/>
        <w:sz w:val="18"/>
        <w:szCs w:val="18"/>
      </w:rPr>
      <mc:AlternateContent>
        <mc:Choice Requires="wps">
          <w:drawing>
            <wp:anchor distT="0" distB="0" distL="0" distR="0" simplePos="0" relativeHeight="251660288" behindDoc="0" locked="0" layoutInCell="1" allowOverlap="1" wp14:anchorId="5021874A" wp14:editId="2C820E90">
              <wp:simplePos x="915035" y="450850"/>
              <wp:positionH relativeFrom="page">
                <wp:align>center</wp:align>
              </wp:positionH>
              <wp:positionV relativeFrom="page">
                <wp:align>top</wp:align>
              </wp:positionV>
              <wp:extent cx="551815" cy="452755"/>
              <wp:effectExtent l="0" t="0" r="635" b="4445"/>
              <wp:wrapNone/>
              <wp:docPr id="14030140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1504864" w14:textId="6FF5E55D"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21874A" id="_x0000_t202" coordsize="21600,21600" o:spt="202" path="m,l,21600r21600,l21600,xe">
              <v:stroke joinstyle="miter"/>
              <v:path gradientshapeok="t" o:connecttype="rect"/>
            </v:shapetype>
            <v:shape id="Text Box 3" o:spid="_x0000_s1041"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31504864" w14:textId="6FF5E55D"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BC1A" w14:textId="37DB329B" w:rsidR="00C25677" w:rsidRDefault="00A520AD">
    <w:pPr>
      <w:pStyle w:val="Header"/>
    </w:pPr>
    <w:r>
      <w:rPr>
        <w:noProof/>
      </w:rPr>
      <w:drawing>
        <wp:inline distT="0" distB="0" distL="0" distR="0" wp14:anchorId="367BE900" wp14:editId="4AA6825C">
          <wp:extent cx="3271850" cy="671786"/>
          <wp:effectExtent l="0" t="0" r="0" b="1905"/>
          <wp:docPr id="1090465129" name="Picture 1090465129"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0B9BE3C4" w:rsidR="001C746A" w:rsidRPr="003B2E3B" w:rsidRDefault="001C746A" w:rsidP="00DB3074">
    <w:pPr>
      <w:pBdr>
        <w:bottom w:val="single" w:sz="4" w:space="1" w:color="auto"/>
      </w:pBdr>
      <w:tabs>
        <w:tab w:val="right" w:pos="9072"/>
      </w:tabs>
      <w:ind w:right="-2"/>
    </w:pPr>
    <w:r w:rsidRPr="008C4920">
      <w:rPr>
        <w:sz w:val="16"/>
        <w:szCs w:val="16"/>
      </w:rPr>
      <w:t xml:space="preserve">DIR </w:t>
    </w:r>
    <w:r w:rsidR="00033515">
      <w:rPr>
        <w:sz w:val="16"/>
        <w:szCs w:val="16"/>
      </w:rPr>
      <w:t>2</w:t>
    </w:r>
    <w:r w:rsidR="00A520AD">
      <w:rPr>
        <w:sz w:val="16"/>
        <w:szCs w:val="16"/>
      </w:rPr>
      <w:t>23</w:t>
    </w:r>
    <w:r w:rsidRPr="00192C82">
      <w:rPr>
        <w:color w:val="FF0000"/>
        <w:sz w:val="16"/>
        <w:szCs w:val="16"/>
      </w:rPr>
      <w:t xml:space="preserve"> </w:t>
    </w:r>
    <w:r w:rsidRPr="008C4920">
      <w:rPr>
        <w:sz w:val="16"/>
        <w:szCs w:val="16"/>
      </w:rPr>
      <w:t>– Risk Assessment and Risk Management Plan (</w:t>
    </w:r>
    <w:r w:rsidR="00A520AD" w:rsidRPr="00342143">
      <w:rPr>
        <w:sz w:val="16"/>
        <w:szCs w:val="16"/>
      </w:rPr>
      <w:t>January</w:t>
    </w:r>
    <w:r w:rsidR="00A520AD">
      <w:rPr>
        <w:sz w:val="16"/>
        <w:szCs w:val="16"/>
      </w:rPr>
      <w:t xml:space="preserve"> 2026</w:t>
    </w:r>
    <w:r w:rsidRPr="008C4920">
      <w:rPr>
        <w:sz w:val="16"/>
        <w:szCs w:val="16"/>
      </w:rPr>
      <w:t>)</w:t>
    </w:r>
    <w:r>
      <w:rPr>
        <w:sz w:val="16"/>
        <w:szCs w:val="16"/>
      </w:rPr>
      <w:tab/>
    </w:r>
    <w:r w:rsidRPr="003B2E3B">
      <w:rPr>
        <w:sz w:val="16"/>
        <w:szCs w:val="16"/>
      </w:rPr>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7C9E" w14:textId="07E58B43" w:rsidR="001C746A" w:rsidRDefault="00C25677" w:rsidP="00263EE3">
    <w:pPr>
      <w:pStyle w:val="DLM-Sensitive"/>
    </w:pPr>
    <w:r>
      <w:rPr>
        <w:noProof/>
      </w:rPr>
      <mc:AlternateContent>
        <mc:Choice Requires="wps">
          <w:drawing>
            <wp:anchor distT="0" distB="0" distL="0" distR="0" simplePos="0" relativeHeight="251663360" behindDoc="0" locked="0" layoutInCell="1" allowOverlap="1" wp14:anchorId="0C1C45F6" wp14:editId="53830A4F">
              <wp:simplePos x="635" y="635"/>
              <wp:positionH relativeFrom="page">
                <wp:align>center</wp:align>
              </wp:positionH>
              <wp:positionV relativeFrom="page">
                <wp:align>top</wp:align>
              </wp:positionV>
              <wp:extent cx="551815" cy="452755"/>
              <wp:effectExtent l="0" t="0" r="635" b="4445"/>
              <wp:wrapNone/>
              <wp:docPr id="39654423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0DEEC6C" w14:textId="2320AF59"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1C45F6" id="_x0000_t202" coordsize="21600,21600" o:spt="202" path="m,l,21600r21600,l21600,xe">
              <v:stroke joinstyle="miter"/>
              <v:path gradientshapeok="t" o:connecttype="rect"/>
            </v:shapetype>
            <v:shape id="Text Box 6" o:spid="_x0000_s1049" type="#_x0000_t202" alt="OFFICIAL" style="position:absolute;left:0;text-align:left;margin-left:0;margin-top:0;width:43.45pt;height:35.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20DEEC6C" w14:textId="2320AF59"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t>Sensitive</w:t>
    </w:r>
  </w:p>
  <w:p w14:paraId="5B9C94A9" w14:textId="77777777" w:rsidR="001C746A" w:rsidRDefault="001C74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E9F3" w14:textId="61A24EC3" w:rsidR="001C746A" w:rsidRDefault="00C25677" w:rsidP="00263EE3">
    <w:pPr>
      <w:pStyle w:val="DLM-Sensitive"/>
    </w:pPr>
    <w:r>
      <w:rPr>
        <w:noProof/>
      </w:rPr>
      <mc:AlternateContent>
        <mc:Choice Requires="wps">
          <w:drawing>
            <wp:anchor distT="0" distB="0" distL="0" distR="0" simplePos="0" relativeHeight="251662336" behindDoc="0" locked="0" layoutInCell="1" allowOverlap="1" wp14:anchorId="2AB487C7" wp14:editId="23D317CC">
              <wp:simplePos x="635" y="635"/>
              <wp:positionH relativeFrom="page">
                <wp:align>center</wp:align>
              </wp:positionH>
              <wp:positionV relativeFrom="page">
                <wp:align>top</wp:align>
              </wp:positionV>
              <wp:extent cx="551815" cy="452755"/>
              <wp:effectExtent l="0" t="0" r="635" b="4445"/>
              <wp:wrapNone/>
              <wp:docPr id="164662866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59B3B25" w14:textId="0F38E8E4"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B487C7" id="_x0000_t202" coordsize="21600,21600" o:spt="202" path="m,l,21600r21600,l21600,xe">
              <v:stroke joinstyle="miter"/>
              <v:path gradientshapeok="t" o:connecttype="rect"/>
            </v:shapetype>
            <v:shape id="Text Box 5" o:spid="_x0000_s1052" type="#_x0000_t202" alt="OFFICIAL" style="position:absolute;left:0;text-align:left;margin-left:0;margin-top:0;width:43.45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YDg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GiroYDgIAAB0E&#10;AAAOAAAAAAAAAAAAAAAAAC4CAABkcnMvZTJvRG9jLnhtbFBLAQItABQABgAIAAAAIQAMXgIO2gAA&#10;AAMBAAAPAAAAAAAAAAAAAAAAAGgEAABkcnMvZG93bnJldi54bWxQSwUGAAAAAAQABADzAAAAbwUA&#10;AAAA&#10;" filled="f" stroked="f">
              <v:textbox style="mso-fit-shape-to-text:t" inset="0,15pt,0,0">
                <w:txbxContent>
                  <w:p w14:paraId="659B3B25" w14:textId="0F38E8E4" w:rsidR="00C25677" w:rsidRPr="00C25677" w:rsidRDefault="00C25677" w:rsidP="00C25677">
                    <w:pPr>
                      <w:spacing w:after="0"/>
                      <w:rPr>
                        <w:rFonts w:eastAsia="Calibri" w:cs="Calibri"/>
                        <w:noProof/>
                        <w:color w:val="FF0000"/>
                        <w:sz w:val="24"/>
                      </w:rPr>
                    </w:pPr>
                    <w:r w:rsidRPr="00C25677">
                      <w:rPr>
                        <w:rFonts w:eastAsia="Calibri" w:cs="Calibri"/>
                        <w:noProof/>
                        <w:color w:val="FF0000"/>
                        <w:sz w:val="24"/>
                      </w:rPr>
                      <w:t>OFFICIAL</w:t>
                    </w:r>
                  </w:p>
                </w:txbxContent>
              </v:textbox>
              <w10:wrap anchorx="page" anchory="page"/>
            </v:shape>
          </w:pict>
        </mc:Fallback>
      </mc:AlternateContent>
    </w:r>
    <w:r w:rsidR="001C746A">
      <w:t>Sensitive</w:t>
    </w:r>
  </w:p>
  <w:p w14:paraId="09D8E3F3" w14:textId="77777777" w:rsidR="001C746A" w:rsidRPr="00E44A76" w:rsidRDefault="001C746A" w:rsidP="00263E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9"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1B02FF"/>
    <w:multiLevelType w:val="hybridMultilevel"/>
    <w:tmpl w:val="E982E4F8"/>
    <w:lvl w:ilvl="0" w:tplc="A58A28EC">
      <w:start w:val="1"/>
      <w:numFmt w:val="decimal"/>
      <w:pStyle w:val="RARMPparagraph"/>
      <w:lvlText w:val="%1."/>
      <w:lvlJc w:val="left"/>
      <w:pPr>
        <w:ind w:left="1077" w:hanging="360"/>
      </w:pPr>
      <w:rPr>
        <w:color w:val="auto"/>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7047EB"/>
    <w:multiLevelType w:val="hybridMultilevel"/>
    <w:tmpl w:val="22382010"/>
    <w:lvl w:ilvl="0" w:tplc="13447D16">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9"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607D5D"/>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5" w15:restartNumberingAfterBreak="0">
    <w:nsid w:val="23D71B56"/>
    <w:multiLevelType w:val="hybridMultilevel"/>
    <w:tmpl w:val="CAE68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7"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1D1685"/>
    <w:multiLevelType w:val="hybridMultilevel"/>
    <w:tmpl w:val="3EFC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587591"/>
    <w:multiLevelType w:val="hybridMultilevel"/>
    <w:tmpl w:val="B3509278"/>
    <w:lvl w:ilvl="0" w:tplc="93B29344">
      <w:start w:val="1"/>
      <w:numFmt w:val="decimal"/>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9641993"/>
    <w:multiLevelType w:val="multilevel"/>
    <w:tmpl w:val="2CD07CE2"/>
    <w:numStyleLink w:val="tablebulletsRARMP"/>
  </w:abstractNum>
  <w:abstractNum w:abstractNumId="31"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2A0C423D"/>
    <w:multiLevelType w:val="hybridMultilevel"/>
    <w:tmpl w:val="C3309470"/>
    <w:lvl w:ilvl="0" w:tplc="6EA2DE96">
      <w:start w:val="1"/>
      <w:numFmt w:val="lowerRoman"/>
      <w:lvlText w:val="%1)"/>
      <w:lvlJc w:val="left"/>
      <w:pPr>
        <w:tabs>
          <w:tab w:val="num" w:pos="720"/>
        </w:tabs>
        <w:ind w:left="720" w:hanging="360"/>
      </w:pPr>
      <w:rPr>
        <w:rFonts w:ascii="Arial" w:hAnsi="Aria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9422F8"/>
    <w:multiLevelType w:val="hybridMultilevel"/>
    <w:tmpl w:val="6E460E58"/>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3353357E"/>
    <w:multiLevelType w:val="hybridMultilevel"/>
    <w:tmpl w:val="EF8E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AE6ABF"/>
    <w:multiLevelType w:val="multilevel"/>
    <w:tmpl w:val="B00AE7E8"/>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15:restartNumberingAfterBreak="0">
    <w:nsid w:val="3FF0176D"/>
    <w:multiLevelType w:val="hybridMultilevel"/>
    <w:tmpl w:val="B1CC6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430D0491"/>
    <w:multiLevelType w:val="hybridMultilevel"/>
    <w:tmpl w:val="20966A2A"/>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6"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7"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9" w15:restartNumberingAfterBreak="0">
    <w:nsid w:val="48AC2295"/>
    <w:multiLevelType w:val="hybridMultilevel"/>
    <w:tmpl w:val="71EA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51"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52" w15:restartNumberingAfterBreak="0">
    <w:nsid w:val="4C3D15E3"/>
    <w:multiLevelType w:val="hybridMultilevel"/>
    <w:tmpl w:val="8876BCB6"/>
    <w:lvl w:ilvl="0" w:tplc="B35C4BB4">
      <w:start w:val="1"/>
      <w:numFmt w:val="lowerLetter"/>
      <w:pStyle w:val="ConditionLevel2"/>
      <w:lvlText w:val="(%1)"/>
      <w:lvlJc w:val="left"/>
      <w:pPr>
        <w:tabs>
          <w:tab w:val="num" w:pos="1134"/>
        </w:tabs>
        <w:ind w:left="1134"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D8B120D"/>
    <w:multiLevelType w:val="hybridMultilevel"/>
    <w:tmpl w:val="9C888D4C"/>
    <w:lvl w:ilvl="0" w:tplc="2BD2A06E">
      <w:start w:val="1"/>
      <w:numFmt w:val="lowerLetter"/>
      <w:lvlText w:val="(%1)"/>
      <w:lvlJc w:val="left"/>
      <w:pPr>
        <w:tabs>
          <w:tab w:val="num" w:pos="1134"/>
        </w:tabs>
        <w:ind w:left="1134" w:hanging="567"/>
      </w:pPr>
      <w:rPr>
        <w:rFonts w:hint="default"/>
        <w:color w:val="auto"/>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9"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57DA011F"/>
    <w:multiLevelType w:val="hybridMultilevel"/>
    <w:tmpl w:val="9D2C47E4"/>
    <w:lvl w:ilvl="0" w:tplc="8316497C">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61"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3"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0607CB7"/>
    <w:multiLevelType w:val="hybridMultilevel"/>
    <w:tmpl w:val="9A9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9"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71"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2" w15:restartNumberingAfterBreak="0">
    <w:nsid w:val="6E2E339B"/>
    <w:multiLevelType w:val="hybridMultilevel"/>
    <w:tmpl w:val="0E7AC282"/>
    <w:lvl w:ilvl="0" w:tplc="BB2069EA">
      <w:start w:val="1"/>
      <w:numFmt w:val="bullet"/>
      <w:lvlText w:val=""/>
      <w:lvlJc w:val="right"/>
      <w:pPr>
        <w:ind w:left="720" w:hanging="360"/>
      </w:pPr>
      <w:rPr>
        <w:rFonts w:ascii="Symbol" w:hAnsi="Symbol"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7"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9"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80"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7BF547FF"/>
    <w:multiLevelType w:val="hybridMultilevel"/>
    <w:tmpl w:val="D4685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D70071E"/>
    <w:multiLevelType w:val="hybridMultilevel"/>
    <w:tmpl w:val="96CEC9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0764609">
    <w:abstractNumId w:val="42"/>
  </w:num>
  <w:num w:numId="2" w16cid:durableId="2078478666">
    <w:abstractNumId w:val="39"/>
  </w:num>
  <w:num w:numId="3" w16cid:durableId="248195387">
    <w:abstractNumId w:val="64"/>
  </w:num>
  <w:num w:numId="4" w16cid:durableId="2026132478">
    <w:abstractNumId w:val="68"/>
  </w:num>
  <w:num w:numId="5" w16cid:durableId="1465659484">
    <w:abstractNumId w:val="45"/>
  </w:num>
  <w:num w:numId="6" w16cid:durableId="282812399">
    <w:abstractNumId w:val="56"/>
  </w:num>
  <w:num w:numId="7" w16cid:durableId="789053890">
    <w:abstractNumId w:val="20"/>
  </w:num>
  <w:num w:numId="8" w16cid:durableId="1099064611">
    <w:abstractNumId w:val="78"/>
  </w:num>
  <w:num w:numId="9" w16cid:durableId="519708190">
    <w:abstractNumId w:val="24"/>
  </w:num>
  <w:num w:numId="10" w16cid:durableId="1280719926">
    <w:abstractNumId w:val="40"/>
  </w:num>
  <w:num w:numId="11" w16cid:durableId="1834031204">
    <w:abstractNumId w:val="61"/>
  </w:num>
  <w:num w:numId="12" w16cid:durableId="1073504347">
    <w:abstractNumId w:val="59"/>
  </w:num>
  <w:num w:numId="13" w16cid:durableId="180361292">
    <w:abstractNumId w:val="18"/>
  </w:num>
  <w:num w:numId="14" w16cid:durableId="1594360229">
    <w:abstractNumId w:val="31"/>
  </w:num>
  <w:num w:numId="15" w16cid:durableId="546183621">
    <w:abstractNumId w:val="85"/>
  </w:num>
  <w:num w:numId="16" w16cid:durableId="1485197646">
    <w:abstractNumId w:val="44"/>
  </w:num>
  <w:num w:numId="17" w16cid:durableId="393311691">
    <w:abstractNumId w:val="48"/>
  </w:num>
  <w:num w:numId="18" w16cid:durableId="176773869">
    <w:abstractNumId w:val="29"/>
  </w:num>
  <w:num w:numId="19" w16cid:durableId="1735202356">
    <w:abstractNumId w:val="63"/>
  </w:num>
  <w:num w:numId="20" w16cid:durableId="1241214693">
    <w:abstractNumId w:val="43"/>
  </w:num>
  <w:num w:numId="21" w16cid:durableId="150491755">
    <w:abstractNumId w:val="76"/>
  </w:num>
  <w:num w:numId="22" w16cid:durableId="977492175">
    <w:abstractNumId w:val="83"/>
  </w:num>
  <w:num w:numId="23" w16cid:durableId="1917787358">
    <w:abstractNumId w:val="8"/>
  </w:num>
  <w:num w:numId="24" w16cid:durableId="869680862">
    <w:abstractNumId w:val="38"/>
  </w:num>
  <w:num w:numId="25" w16cid:durableId="291330998">
    <w:abstractNumId w:val="82"/>
  </w:num>
  <w:num w:numId="26" w16cid:durableId="1294364678">
    <w:abstractNumId w:val="30"/>
    <w:lvlOverride w:ilvl="0">
      <w:lvl w:ilvl="0">
        <w:start w:val="1"/>
        <w:numFmt w:val="bullet"/>
        <w:pStyle w:val="tabledot"/>
        <w:lvlText w:val=""/>
        <w:lvlJc w:val="left"/>
        <w:pPr>
          <w:ind w:left="720" w:hanging="360"/>
        </w:pPr>
        <w:rPr>
          <w:rFonts w:ascii="Symbol" w:hAnsi="Symbol"/>
          <w:sz w:val="16"/>
        </w:rPr>
      </w:lvl>
    </w:lvlOverride>
  </w:num>
  <w:num w:numId="27" w16cid:durableId="48499199">
    <w:abstractNumId w:val="69"/>
  </w:num>
  <w:num w:numId="28" w16cid:durableId="867790753">
    <w:abstractNumId w:val="54"/>
  </w:num>
  <w:num w:numId="29" w16cid:durableId="1057314216">
    <w:abstractNumId w:val="58"/>
  </w:num>
  <w:num w:numId="30" w16cid:durableId="688291795">
    <w:abstractNumId w:val="50"/>
  </w:num>
  <w:num w:numId="31" w16cid:durableId="2088647441">
    <w:abstractNumId w:val="70"/>
  </w:num>
  <w:num w:numId="32" w16cid:durableId="832527963">
    <w:abstractNumId w:val="9"/>
  </w:num>
  <w:num w:numId="33" w16cid:durableId="717624814">
    <w:abstractNumId w:val="23"/>
  </w:num>
  <w:num w:numId="34" w16cid:durableId="1074159541">
    <w:abstractNumId w:val="47"/>
  </w:num>
  <w:num w:numId="35" w16cid:durableId="1124345555">
    <w:abstractNumId w:val="49"/>
  </w:num>
  <w:num w:numId="36" w16cid:durableId="1990865653">
    <w:abstractNumId w:val="10"/>
  </w:num>
  <w:num w:numId="37" w16cid:durableId="900363654">
    <w:abstractNumId w:val="19"/>
  </w:num>
  <w:num w:numId="38" w16cid:durableId="1846478856">
    <w:abstractNumId w:val="6"/>
  </w:num>
  <w:num w:numId="39" w16cid:durableId="683482475">
    <w:abstractNumId w:val="26"/>
  </w:num>
  <w:num w:numId="40" w16cid:durableId="1596280061">
    <w:abstractNumId w:val="2"/>
  </w:num>
  <w:num w:numId="41" w16cid:durableId="2081831949">
    <w:abstractNumId w:val="46"/>
  </w:num>
  <w:num w:numId="42" w16cid:durableId="605966252">
    <w:abstractNumId w:val="14"/>
  </w:num>
  <w:num w:numId="43" w16cid:durableId="816605517">
    <w:abstractNumId w:val="81"/>
  </w:num>
  <w:num w:numId="44" w16cid:durableId="86049646">
    <w:abstractNumId w:val="75"/>
  </w:num>
  <w:num w:numId="45" w16cid:durableId="1592811409">
    <w:abstractNumId w:val="11"/>
  </w:num>
  <w:num w:numId="46" w16cid:durableId="717584521">
    <w:abstractNumId w:val="28"/>
  </w:num>
  <w:num w:numId="47" w16cid:durableId="1770193311">
    <w:abstractNumId w:val="51"/>
  </w:num>
  <w:num w:numId="48" w16cid:durableId="470640178">
    <w:abstractNumId w:val="65"/>
  </w:num>
  <w:num w:numId="49" w16cid:durableId="1412049292">
    <w:abstractNumId w:val="71"/>
  </w:num>
  <w:num w:numId="50" w16cid:durableId="222982918">
    <w:abstractNumId w:val="7"/>
  </w:num>
  <w:num w:numId="51" w16cid:durableId="2142914046">
    <w:abstractNumId w:val="62"/>
  </w:num>
  <w:num w:numId="52" w16cid:durableId="1617441749">
    <w:abstractNumId w:val="33"/>
  </w:num>
  <w:num w:numId="53" w16cid:durableId="141387319">
    <w:abstractNumId w:val="41"/>
  </w:num>
  <w:num w:numId="54" w16cid:durableId="1869640297">
    <w:abstractNumId w:val="73"/>
  </w:num>
  <w:num w:numId="55" w16cid:durableId="434910306">
    <w:abstractNumId w:val="5"/>
  </w:num>
  <w:num w:numId="56" w16cid:durableId="92752321">
    <w:abstractNumId w:val="52"/>
  </w:num>
  <w:num w:numId="57" w16cid:durableId="2002535896">
    <w:abstractNumId w:val="52"/>
    <w:lvlOverride w:ilvl="0">
      <w:startOverride w:val="1"/>
    </w:lvlOverride>
  </w:num>
  <w:num w:numId="58" w16cid:durableId="11196418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67972258">
    <w:abstractNumId w:val="35"/>
  </w:num>
  <w:num w:numId="60" w16cid:durableId="1487239114">
    <w:abstractNumId w:val="74"/>
  </w:num>
  <w:num w:numId="61" w16cid:durableId="917524014">
    <w:abstractNumId w:val="77"/>
  </w:num>
  <w:num w:numId="62" w16cid:durableId="468321169">
    <w:abstractNumId w:val="21"/>
  </w:num>
  <w:num w:numId="63" w16cid:durableId="720983360">
    <w:abstractNumId w:val="15"/>
  </w:num>
  <w:num w:numId="64" w16cid:durableId="424376242">
    <w:abstractNumId w:val="16"/>
  </w:num>
  <w:num w:numId="65" w16cid:durableId="725958100">
    <w:abstractNumId w:val="57"/>
  </w:num>
  <w:num w:numId="66" w16cid:durableId="284508340">
    <w:abstractNumId w:val="37"/>
  </w:num>
  <w:num w:numId="67" w16cid:durableId="577131881">
    <w:abstractNumId w:val="55"/>
  </w:num>
  <w:num w:numId="68" w16cid:durableId="1465192153">
    <w:abstractNumId w:val="22"/>
    <w:lvlOverride w:ilvl="0">
      <w:startOverride w:val="1"/>
    </w:lvlOverride>
  </w:num>
  <w:num w:numId="69" w16cid:durableId="2014410339">
    <w:abstractNumId w:val="22"/>
    <w:lvlOverride w:ilvl="0">
      <w:startOverride w:val="1"/>
    </w:lvlOverride>
  </w:num>
  <w:num w:numId="70" w16cid:durableId="590428956">
    <w:abstractNumId w:val="22"/>
  </w:num>
  <w:num w:numId="71" w16cid:durableId="1911496677">
    <w:abstractNumId w:val="80"/>
  </w:num>
  <w:num w:numId="72" w16cid:durableId="1981425501">
    <w:abstractNumId w:val="32"/>
  </w:num>
  <w:num w:numId="73" w16cid:durableId="173689322">
    <w:abstractNumId w:val="27"/>
    <w:lvlOverride w:ilvl="0">
      <w:startOverride w:val="1"/>
    </w:lvlOverride>
  </w:num>
  <w:num w:numId="74" w16cid:durableId="1501119696">
    <w:abstractNumId w:val="27"/>
    <w:lvlOverride w:ilvl="0">
      <w:startOverride w:val="2"/>
    </w:lvlOverride>
  </w:num>
  <w:num w:numId="75" w16cid:durableId="1027752320">
    <w:abstractNumId w:val="17"/>
  </w:num>
  <w:num w:numId="76" w16cid:durableId="702483248">
    <w:abstractNumId w:val="3"/>
  </w:num>
  <w:num w:numId="77" w16cid:durableId="959800611">
    <w:abstractNumId w:val="53"/>
  </w:num>
  <w:num w:numId="78" w16cid:durableId="263462717">
    <w:abstractNumId w:val="52"/>
    <w:lvlOverride w:ilvl="0">
      <w:startOverride w:val="1"/>
    </w:lvlOverride>
  </w:num>
  <w:num w:numId="79" w16cid:durableId="965740141">
    <w:abstractNumId w:val="52"/>
    <w:lvlOverride w:ilvl="0">
      <w:startOverride w:val="1"/>
    </w:lvlOverride>
  </w:num>
  <w:num w:numId="80" w16cid:durableId="1736007357">
    <w:abstractNumId w:val="52"/>
    <w:lvlOverride w:ilvl="0">
      <w:startOverride w:val="1"/>
    </w:lvlOverride>
  </w:num>
  <w:num w:numId="81" w16cid:durableId="338318778">
    <w:abstractNumId w:val="52"/>
    <w:lvlOverride w:ilvl="0">
      <w:startOverride w:val="1"/>
    </w:lvlOverride>
  </w:num>
  <w:num w:numId="82" w16cid:durableId="735905740">
    <w:abstractNumId w:val="52"/>
    <w:lvlOverride w:ilvl="0">
      <w:startOverride w:val="1"/>
    </w:lvlOverride>
  </w:num>
  <w:num w:numId="83" w16cid:durableId="1498380977">
    <w:abstractNumId w:val="52"/>
    <w:lvlOverride w:ilvl="0">
      <w:startOverride w:val="1"/>
    </w:lvlOverride>
  </w:num>
  <w:num w:numId="84" w16cid:durableId="818886854">
    <w:abstractNumId w:val="45"/>
    <w:lvlOverride w:ilvl="0">
      <w:startOverride w:val="1"/>
    </w:lvlOverride>
  </w:num>
  <w:num w:numId="85" w16cid:durableId="1521353742">
    <w:abstractNumId w:val="13"/>
  </w:num>
  <w:num w:numId="86" w16cid:durableId="1138374498">
    <w:abstractNumId w:val="66"/>
  </w:num>
  <w:num w:numId="87" w16cid:durableId="1047728196">
    <w:abstractNumId w:val="72"/>
  </w:num>
  <w:num w:numId="88" w16cid:durableId="469784753">
    <w:abstractNumId w:val="60"/>
  </w:num>
  <w:num w:numId="89" w16cid:durableId="288516890">
    <w:abstractNumId w:val="67"/>
  </w:num>
  <w:num w:numId="90" w16cid:durableId="1613659343">
    <w:abstractNumId w:val="34"/>
  </w:num>
  <w:num w:numId="91" w16cid:durableId="1892961785">
    <w:abstractNumId w:val="52"/>
    <w:lvlOverride w:ilvl="0">
      <w:startOverride w:val="1"/>
    </w:lvlOverride>
  </w:num>
  <w:num w:numId="92" w16cid:durableId="1239904718">
    <w:abstractNumId w:val="52"/>
    <w:lvlOverride w:ilvl="0">
      <w:startOverride w:val="1"/>
    </w:lvlOverride>
  </w:num>
  <w:num w:numId="93" w16cid:durableId="1029331280">
    <w:abstractNumId w:val="84"/>
  </w:num>
  <w:num w:numId="94" w16cid:durableId="1803116800">
    <w:abstractNumId w:val="42"/>
  </w:num>
  <w:num w:numId="95" w16cid:durableId="468059219">
    <w:abstractNumId w:val="42"/>
  </w:num>
  <w:num w:numId="96" w16cid:durableId="914901150">
    <w:abstractNumId w:val="42"/>
  </w:num>
  <w:num w:numId="97" w16cid:durableId="567883860">
    <w:abstractNumId w:val="42"/>
  </w:num>
  <w:num w:numId="98" w16cid:durableId="2021544498">
    <w:abstractNumId w:val="42"/>
  </w:num>
  <w:num w:numId="99" w16cid:durableId="1988777216">
    <w:abstractNumId w:val="42"/>
  </w:num>
  <w:num w:numId="100" w16cid:durableId="1804956648">
    <w:abstractNumId w:val="42"/>
  </w:num>
  <w:num w:numId="101" w16cid:durableId="601230896">
    <w:abstractNumId w:val="42"/>
  </w:num>
  <w:num w:numId="102" w16cid:durableId="1598097226">
    <w:abstractNumId w:val="42"/>
  </w:num>
  <w:num w:numId="103" w16cid:durableId="1433281936">
    <w:abstractNumId w:val="42"/>
  </w:num>
  <w:num w:numId="104" w16cid:durableId="70661232">
    <w:abstractNumId w:val="42"/>
  </w:num>
  <w:num w:numId="105" w16cid:durableId="1666011532">
    <w:abstractNumId w:val="36"/>
  </w:num>
  <w:num w:numId="106" w16cid:durableId="1364404122">
    <w:abstractNumId w:val="52"/>
    <w:lvlOverride w:ilvl="0">
      <w:startOverride w:val="1"/>
    </w:lvlOverride>
  </w:num>
  <w:num w:numId="107" w16cid:durableId="682825825">
    <w:abstractNumId w:val="25"/>
  </w:num>
  <w:num w:numId="108" w16cid:durableId="236600727">
    <w:abstractNumId w:val="39"/>
  </w:num>
  <w:num w:numId="109" w16cid:durableId="227541725">
    <w:abstractNumId w:val="12"/>
  </w:num>
  <w:num w:numId="110" w16cid:durableId="1105148567">
    <w:abstractNumId w:val="7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pase2e2oz5rwce9azspp95nf9xvswxp2rvd&quot;&gt;DIR-223 EndNote Library&lt;record-ids&gt;&lt;item&gt;2&lt;/item&gt;&lt;item&gt;4&lt;/item&gt;&lt;item&gt;13&lt;/item&gt;&lt;item&gt;14&lt;/item&gt;&lt;item&gt;15&lt;/item&gt;&lt;item&gt;16&lt;/item&gt;&lt;item&gt;17&lt;/item&gt;&lt;item&gt;18&lt;/item&gt;&lt;item&gt;20&lt;/item&gt;&lt;item&gt;21&lt;/item&gt;&lt;item&gt;24&lt;/item&gt;&lt;item&gt;25&lt;/item&gt;&lt;item&gt;29&lt;/item&gt;&lt;item&gt;30&lt;/item&gt;&lt;item&gt;31&lt;/item&gt;&lt;item&gt;32&lt;/item&gt;&lt;item&gt;34&lt;/item&gt;&lt;item&gt;40&lt;/item&gt;&lt;item&gt;41&lt;/item&gt;&lt;item&gt;42&lt;/item&gt;&lt;item&gt;43&lt;/item&gt;&lt;item&gt;45&lt;/item&gt;&lt;item&gt;47&lt;/item&gt;&lt;/record-ids&gt;&lt;/item&gt;&lt;item db-id=&quot;pzsxp9tvnxtsa6ead0bp00pydtwzsetz0vv2&quot;&gt;DIR-222&lt;record-ids&gt;&lt;item&gt;54&lt;/item&gt;&lt;item&gt;84&lt;/item&gt;&lt;item&gt;92&lt;/item&gt;&lt;item&gt;95&lt;/item&gt;&lt;item&gt;97&lt;/item&gt;&lt;item&gt;118&lt;/item&gt;&lt;item&gt;119&lt;/item&gt;&lt;item&gt;120&lt;/item&gt;&lt;item&gt;121&lt;/item&gt;&lt;item&gt;122&lt;/item&gt;&lt;item&gt;123&lt;/item&gt;&lt;/record-ids&gt;&lt;/item&gt;&lt;item db-id=&quot;verwe2fxj5fev7epfz8xtdvez025feseze0z&quot;&gt;DIR-213&lt;record-ids&gt;&lt;item&gt;1&lt;/item&gt;&lt;item&gt;2&lt;/item&gt;&lt;item&gt;45&lt;/item&gt;&lt;item&gt;53&lt;/item&gt;&lt;item&gt;56&lt;/item&gt;&lt;item&gt;58&lt;/item&gt;&lt;item&gt;59&lt;/item&gt;&lt;item&gt;60&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7&lt;/item&gt;&lt;item&gt;88&lt;/item&gt;&lt;item&gt;89&lt;/item&gt;&lt;item&gt;90&lt;/item&gt;&lt;item&gt;92&lt;/item&gt;&lt;item&gt;93&lt;/item&gt;&lt;item&gt;94&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23&lt;/item&gt;&lt;item&gt;124&lt;/item&gt;&lt;item&gt;125&lt;/item&gt;&lt;item&gt;126&lt;/item&gt;&lt;item&gt;134&lt;/item&gt;&lt;item&gt;135&lt;/item&gt;&lt;item&gt;136&lt;/item&gt;&lt;item&gt;142&lt;/item&gt;&lt;item&gt;143&lt;/item&gt;&lt;item&gt;144&lt;/item&gt;&lt;item&gt;145&lt;/item&gt;&lt;item&gt;146&lt;/item&gt;&lt;item&gt;147&lt;/item&gt;&lt;item&gt;148&lt;/item&gt;&lt;item&gt;149&lt;/item&gt;&lt;item&gt;163&lt;/item&gt;&lt;item&gt;181&lt;/item&gt;&lt;/record-ids&gt;&lt;/item&gt;&lt;item db-id=&quot;vf22ax0roe9ssce55r0vrezirwdtv52edrxs&quot;&gt;OGTR Non-Plant Reference database-Converted&lt;record-ids&gt;&lt;item&gt;7132&lt;/item&gt;&lt;item&gt;11593&lt;/item&gt;&lt;item&gt;12189&lt;/item&gt;&lt;item&gt;15056&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DE"/>
    <w:rsid w:val="00000371"/>
    <w:rsid w:val="0000081E"/>
    <w:rsid w:val="00000942"/>
    <w:rsid w:val="0000096F"/>
    <w:rsid w:val="000009A8"/>
    <w:rsid w:val="00000B3C"/>
    <w:rsid w:val="00000E5A"/>
    <w:rsid w:val="00001211"/>
    <w:rsid w:val="00001426"/>
    <w:rsid w:val="0000143A"/>
    <w:rsid w:val="00001607"/>
    <w:rsid w:val="0000162F"/>
    <w:rsid w:val="0000184B"/>
    <w:rsid w:val="000019F6"/>
    <w:rsid w:val="000019FD"/>
    <w:rsid w:val="00001A76"/>
    <w:rsid w:val="00001B6E"/>
    <w:rsid w:val="00001DC7"/>
    <w:rsid w:val="00001E21"/>
    <w:rsid w:val="000023D7"/>
    <w:rsid w:val="00002495"/>
    <w:rsid w:val="000025FC"/>
    <w:rsid w:val="00002951"/>
    <w:rsid w:val="000029E7"/>
    <w:rsid w:val="00002C31"/>
    <w:rsid w:val="00002F4D"/>
    <w:rsid w:val="00003131"/>
    <w:rsid w:val="00003161"/>
    <w:rsid w:val="00003218"/>
    <w:rsid w:val="0000347C"/>
    <w:rsid w:val="000034AB"/>
    <w:rsid w:val="0000371A"/>
    <w:rsid w:val="00003865"/>
    <w:rsid w:val="00003B50"/>
    <w:rsid w:val="00003D79"/>
    <w:rsid w:val="00003F9E"/>
    <w:rsid w:val="0000426E"/>
    <w:rsid w:val="000042CF"/>
    <w:rsid w:val="00004359"/>
    <w:rsid w:val="0000493B"/>
    <w:rsid w:val="00004A10"/>
    <w:rsid w:val="00004AE2"/>
    <w:rsid w:val="00004C7E"/>
    <w:rsid w:val="00004F70"/>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1037"/>
    <w:rsid w:val="00011210"/>
    <w:rsid w:val="00011283"/>
    <w:rsid w:val="00011573"/>
    <w:rsid w:val="00011A71"/>
    <w:rsid w:val="00011CD6"/>
    <w:rsid w:val="00011D29"/>
    <w:rsid w:val="00011DE3"/>
    <w:rsid w:val="00011E9C"/>
    <w:rsid w:val="00011EE0"/>
    <w:rsid w:val="00011F0A"/>
    <w:rsid w:val="00012286"/>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4066"/>
    <w:rsid w:val="00014124"/>
    <w:rsid w:val="000141F0"/>
    <w:rsid w:val="00014237"/>
    <w:rsid w:val="00014296"/>
    <w:rsid w:val="00014679"/>
    <w:rsid w:val="00014CDE"/>
    <w:rsid w:val="00014DC4"/>
    <w:rsid w:val="000155CB"/>
    <w:rsid w:val="000155CD"/>
    <w:rsid w:val="000157CA"/>
    <w:rsid w:val="00015850"/>
    <w:rsid w:val="000158AC"/>
    <w:rsid w:val="000158E8"/>
    <w:rsid w:val="00015FA9"/>
    <w:rsid w:val="0001619B"/>
    <w:rsid w:val="00016235"/>
    <w:rsid w:val="0001639C"/>
    <w:rsid w:val="0001676A"/>
    <w:rsid w:val="0001697F"/>
    <w:rsid w:val="00016EBE"/>
    <w:rsid w:val="000170FB"/>
    <w:rsid w:val="0001731A"/>
    <w:rsid w:val="00017384"/>
    <w:rsid w:val="0001740D"/>
    <w:rsid w:val="0001757D"/>
    <w:rsid w:val="00017693"/>
    <w:rsid w:val="00017815"/>
    <w:rsid w:val="00017897"/>
    <w:rsid w:val="000178D7"/>
    <w:rsid w:val="00017972"/>
    <w:rsid w:val="00017B58"/>
    <w:rsid w:val="00017CE5"/>
    <w:rsid w:val="00017F57"/>
    <w:rsid w:val="000200A0"/>
    <w:rsid w:val="000200F7"/>
    <w:rsid w:val="0002043F"/>
    <w:rsid w:val="000206A5"/>
    <w:rsid w:val="000208BF"/>
    <w:rsid w:val="00020A08"/>
    <w:rsid w:val="00020B09"/>
    <w:rsid w:val="00020F72"/>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88A"/>
    <w:rsid w:val="0002394C"/>
    <w:rsid w:val="00023AE5"/>
    <w:rsid w:val="00023B69"/>
    <w:rsid w:val="0002428B"/>
    <w:rsid w:val="0002429E"/>
    <w:rsid w:val="000245C7"/>
    <w:rsid w:val="0002482C"/>
    <w:rsid w:val="00024AAC"/>
    <w:rsid w:val="00024BF1"/>
    <w:rsid w:val="00024D40"/>
    <w:rsid w:val="00024D90"/>
    <w:rsid w:val="000253F8"/>
    <w:rsid w:val="00025567"/>
    <w:rsid w:val="000255B2"/>
    <w:rsid w:val="000257B5"/>
    <w:rsid w:val="0002583C"/>
    <w:rsid w:val="00025964"/>
    <w:rsid w:val="00025BA2"/>
    <w:rsid w:val="00025D9B"/>
    <w:rsid w:val="00025EAC"/>
    <w:rsid w:val="00026372"/>
    <w:rsid w:val="00026395"/>
    <w:rsid w:val="0002649B"/>
    <w:rsid w:val="00026C9C"/>
    <w:rsid w:val="00027066"/>
    <w:rsid w:val="00027084"/>
    <w:rsid w:val="00027626"/>
    <w:rsid w:val="000278E5"/>
    <w:rsid w:val="00027953"/>
    <w:rsid w:val="00027A9E"/>
    <w:rsid w:val="00027B11"/>
    <w:rsid w:val="00027B26"/>
    <w:rsid w:val="00027FD3"/>
    <w:rsid w:val="000301E9"/>
    <w:rsid w:val="000301FA"/>
    <w:rsid w:val="0003033B"/>
    <w:rsid w:val="000306BD"/>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085"/>
    <w:rsid w:val="000330A3"/>
    <w:rsid w:val="000334B9"/>
    <w:rsid w:val="00033515"/>
    <w:rsid w:val="00033812"/>
    <w:rsid w:val="000338EC"/>
    <w:rsid w:val="00033BF6"/>
    <w:rsid w:val="00033BFA"/>
    <w:rsid w:val="00033C44"/>
    <w:rsid w:val="00033C6E"/>
    <w:rsid w:val="00034829"/>
    <w:rsid w:val="0003484D"/>
    <w:rsid w:val="00034873"/>
    <w:rsid w:val="00034892"/>
    <w:rsid w:val="000348D5"/>
    <w:rsid w:val="00034EC2"/>
    <w:rsid w:val="00034F9D"/>
    <w:rsid w:val="00035110"/>
    <w:rsid w:val="000353A8"/>
    <w:rsid w:val="00035507"/>
    <w:rsid w:val="00035610"/>
    <w:rsid w:val="000358AC"/>
    <w:rsid w:val="00035A26"/>
    <w:rsid w:val="00035C81"/>
    <w:rsid w:val="00035D3D"/>
    <w:rsid w:val="00035E62"/>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6B0"/>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401"/>
    <w:rsid w:val="00041857"/>
    <w:rsid w:val="00041A0A"/>
    <w:rsid w:val="00041A3A"/>
    <w:rsid w:val="00041AA6"/>
    <w:rsid w:val="00041ACA"/>
    <w:rsid w:val="00041ACE"/>
    <w:rsid w:val="00041CC5"/>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8D4"/>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39"/>
    <w:rsid w:val="00050667"/>
    <w:rsid w:val="000506C5"/>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24"/>
    <w:rsid w:val="00052D47"/>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66"/>
    <w:rsid w:val="0005574E"/>
    <w:rsid w:val="000558A8"/>
    <w:rsid w:val="00055B66"/>
    <w:rsid w:val="00055C8C"/>
    <w:rsid w:val="00055E1A"/>
    <w:rsid w:val="00055E1E"/>
    <w:rsid w:val="000562CD"/>
    <w:rsid w:val="0005653F"/>
    <w:rsid w:val="0005655A"/>
    <w:rsid w:val="0005664E"/>
    <w:rsid w:val="000568CB"/>
    <w:rsid w:val="00056A93"/>
    <w:rsid w:val="00056AA6"/>
    <w:rsid w:val="00056C2A"/>
    <w:rsid w:val="00056C5D"/>
    <w:rsid w:val="00056DC9"/>
    <w:rsid w:val="00057039"/>
    <w:rsid w:val="000571F2"/>
    <w:rsid w:val="000577ED"/>
    <w:rsid w:val="000577EF"/>
    <w:rsid w:val="00057808"/>
    <w:rsid w:val="000579A1"/>
    <w:rsid w:val="00057DB5"/>
    <w:rsid w:val="00057F2C"/>
    <w:rsid w:val="000602AE"/>
    <w:rsid w:val="00060824"/>
    <w:rsid w:val="000608A2"/>
    <w:rsid w:val="00060DCB"/>
    <w:rsid w:val="00060E73"/>
    <w:rsid w:val="000611C8"/>
    <w:rsid w:val="0006149A"/>
    <w:rsid w:val="000614E9"/>
    <w:rsid w:val="00061938"/>
    <w:rsid w:val="00061A01"/>
    <w:rsid w:val="00061B47"/>
    <w:rsid w:val="00061D0C"/>
    <w:rsid w:val="00061D20"/>
    <w:rsid w:val="00061E97"/>
    <w:rsid w:val="000625B8"/>
    <w:rsid w:val="0006273A"/>
    <w:rsid w:val="00062812"/>
    <w:rsid w:val="000628A1"/>
    <w:rsid w:val="0006290C"/>
    <w:rsid w:val="00062EAC"/>
    <w:rsid w:val="00063127"/>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019"/>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0D95"/>
    <w:rsid w:val="00071259"/>
    <w:rsid w:val="000715F7"/>
    <w:rsid w:val="00071E0B"/>
    <w:rsid w:val="0007242A"/>
    <w:rsid w:val="0007263A"/>
    <w:rsid w:val="000729AB"/>
    <w:rsid w:val="00072A21"/>
    <w:rsid w:val="00072BBB"/>
    <w:rsid w:val="00072D6E"/>
    <w:rsid w:val="00072E01"/>
    <w:rsid w:val="00072EBD"/>
    <w:rsid w:val="000733D2"/>
    <w:rsid w:val="0007354D"/>
    <w:rsid w:val="000736B8"/>
    <w:rsid w:val="00073F28"/>
    <w:rsid w:val="00074232"/>
    <w:rsid w:val="0007477B"/>
    <w:rsid w:val="00074A1B"/>
    <w:rsid w:val="00074D05"/>
    <w:rsid w:val="00074EB1"/>
    <w:rsid w:val="00075086"/>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6FB0"/>
    <w:rsid w:val="00077067"/>
    <w:rsid w:val="00077116"/>
    <w:rsid w:val="0007744A"/>
    <w:rsid w:val="0007751B"/>
    <w:rsid w:val="000775C8"/>
    <w:rsid w:val="00077790"/>
    <w:rsid w:val="00077911"/>
    <w:rsid w:val="000779AB"/>
    <w:rsid w:val="00077C37"/>
    <w:rsid w:val="00077CBC"/>
    <w:rsid w:val="00077DD2"/>
    <w:rsid w:val="00077F9F"/>
    <w:rsid w:val="0008056D"/>
    <w:rsid w:val="00080952"/>
    <w:rsid w:val="00080B5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92"/>
    <w:rsid w:val="000827BE"/>
    <w:rsid w:val="00082D7B"/>
    <w:rsid w:val="00082DA3"/>
    <w:rsid w:val="00082DC8"/>
    <w:rsid w:val="000830FF"/>
    <w:rsid w:val="00083105"/>
    <w:rsid w:val="000831E7"/>
    <w:rsid w:val="00083337"/>
    <w:rsid w:val="00083512"/>
    <w:rsid w:val="00083BB1"/>
    <w:rsid w:val="00083C08"/>
    <w:rsid w:val="00083C7F"/>
    <w:rsid w:val="00083CBC"/>
    <w:rsid w:val="00083CF7"/>
    <w:rsid w:val="00083E46"/>
    <w:rsid w:val="00083F6A"/>
    <w:rsid w:val="00083F92"/>
    <w:rsid w:val="0008406A"/>
    <w:rsid w:val="000840A6"/>
    <w:rsid w:val="00084102"/>
    <w:rsid w:val="0008421C"/>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B81"/>
    <w:rsid w:val="00085C55"/>
    <w:rsid w:val="00085F52"/>
    <w:rsid w:val="00085FAD"/>
    <w:rsid w:val="00086065"/>
    <w:rsid w:val="0008608A"/>
    <w:rsid w:val="000860F8"/>
    <w:rsid w:val="000863C7"/>
    <w:rsid w:val="00086679"/>
    <w:rsid w:val="0008671A"/>
    <w:rsid w:val="00086A16"/>
    <w:rsid w:val="00086E71"/>
    <w:rsid w:val="00086F7C"/>
    <w:rsid w:val="00086F96"/>
    <w:rsid w:val="00087156"/>
    <w:rsid w:val="0008717F"/>
    <w:rsid w:val="00087561"/>
    <w:rsid w:val="000875C3"/>
    <w:rsid w:val="00087790"/>
    <w:rsid w:val="00087A91"/>
    <w:rsid w:val="00087B21"/>
    <w:rsid w:val="00087D0B"/>
    <w:rsid w:val="00087DE7"/>
    <w:rsid w:val="000900F0"/>
    <w:rsid w:val="0009028E"/>
    <w:rsid w:val="00090715"/>
    <w:rsid w:val="000907D2"/>
    <w:rsid w:val="00090867"/>
    <w:rsid w:val="00090B80"/>
    <w:rsid w:val="00090CE5"/>
    <w:rsid w:val="00090EF7"/>
    <w:rsid w:val="000917AB"/>
    <w:rsid w:val="00091A09"/>
    <w:rsid w:val="00091ED1"/>
    <w:rsid w:val="00091F6B"/>
    <w:rsid w:val="00091F9C"/>
    <w:rsid w:val="000924C2"/>
    <w:rsid w:val="0009282E"/>
    <w:rsid w:val="000928C8"/>
    <w:rsid w:val="0009299A"/>
    <w:rsid w:val="00092E97"/>
    <w:rsid w:val="00093547"/>
    <w:rsid w:val="000937DC"/>
    <w:rsid w:val="00093802"/>
    <w:rsid w:val="00093E9F"/>
    <w:rsid w:val="000942A8"/>
    <w:rsid w:val="000942C5"/>
    <w:rsid w:val="00094637"/>
    <w:rsid w:val="00094645"/>
    <w:rsid w:val="00094924"/>
    <w:rsid w:val="000949AD"/>
    <w:rsid w:val="00094AEB"/>
    <w:rsid w:val="00094BF8"/>
    <w:rsid w:val="00094D7F"/>
    <w:rsid w:val="00094F7B"/>
    <w:rsid w:val="00095089"/>
    <w:rsid w:val="0009526B"/>
    <w:rsid w:val="00095385"/>
    <w:rsid w:val="0009551B"/>
    <w:rsid w:val="0009563E"/>
    <w:rsid w:val="00095A9F"/>
    <w:rsid w:val="00095D2C"/>
    <w:rsid w:val="00095E81"/>
    <w:rsid w:val="00096181"/>
    <w:rsid w:val="00096A07"/>
    <w:rsid w:val="00096E38"/>
    <w:rsid w:val="00096FD7"/>
    <w:rsid w:val="0009747B"/>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2CC"/>
    <w:rsid w:val="000A24B5"/>
    <w:rsid w:val="000A2731"/>
    <w:rsid w:val="000A2759"/>
    <w:rsid w:val="000A2855"/>
    <w:rsid w:val="000A2AD7"/>
    <w:rsid w:val="000A2AF4"/>
    <w:rsid w:val="000A2B71"/>
    <w:rsid w:val="000A2B9E"/>
    <w:rsid w:val="000A2F5B"/>
    <w:rsid w:val="000A31D8"/>
    <w:rsid w:val="000A3385"/>
    <w:rsid w:val="000A33F0"/>
    <w:rsid w:val="000A38B2"/>
    <w:rsid w:val="000A3BB0"/>
    <w:rsid w:val="000A3EE4"/>
    <w:rsid w:val="000A4532"/>
    <w:rsid w:val="000A45EB"/>
    <w:rsid w:val="000A46DF"/>
    <w:rsid w:val="000A49F9"/>
    <w:rsid w:val="000A4F20"/>
    <w:rsid w:val="000A5186"/>
    <w:rsid w:val="000A53D7"/>
    <w:rsid w:val="000A5604"/>
    <w:rsid w:val="000A5D4D"/>
    <w:rsid w:val="000A60BC"/>
    <w:rsid w:val="000A63E5"/>
    <w:rsid w:val="000A657C"/>
    <w:rsid w:val="000A65B8"/>
    <w:rsid w:val="000A6641"/>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435"/>
    <w:rsid w:val="000B3797"/>
    <w:rsid w:val="000B390A"/>
    <w:rsid w:val="000B3A0E"/>
    <w:rsid w:val="000B3A32"/>
    <w:rsid w:val="000B3B02"/>
    <w:rsid w:val="000B3DCE"/>
    <w:rsid w:val="000B3DDF"/>
    <w:rsid w:val="000B4031"/>
    <w:rsid w:val="000B45FA"/>
    <w:rsid w:val="000B499E"/>
    <w:rsid w:val="000B4B02"/>
    <w:rsid w:val="000B4C08"/>
    <w:rsid w:val="000B4EE9"/>
    <w:rsid w:val="000B4FAE"/>
    <w:rsid w:val="000B4FEC"/>
    <w:rsid w:val="000B5306"/>
    <w:rsid w:val="000B570C"/>
    <w:rsid w:val="000B5870"/>
    <w:rsid w:val="000B5969"/>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4A1"/>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2FB5"/>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87F"/>
    <w:rsid w:val="000C4A55"/>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39"/>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21A7"/>
    <w:rsid w:val="000D224E"/>
    <w:rsid w:val="000D22E5"/>
    <w:rsid w:val="000D2315"/>
    <w:rsid w:val="000D23EC"/>
    <w:rsid w:val="000D2693"/>
    <w:rsid w:val="000D2884"/>
    <w:rsid w:val="000D2B9B"/>
    <w:rsid w:val="000D2ECE"/>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8E"/>
    <w:rsid w:val="000D6DBF"/>
    <w:rsid w:val="000D6F1E"/>
    <w:rsid w:val="000D74EE"/>
    <w:rsid w:val="000D78E4"/>
    <w:rsid w:val="000D7987"/>
    <w:rsid w:val="000D7CF5"/>
    <w:rsid w:val="000D7DF0"/>
    <w:rsid w:val="000D7ED0"/>
    <w:rsid w:val="000D7FC1"/>
    <w:rsid w:val="000E0155"/>
    <w:rsid w:val="000E0199"/>
    <w:rsid w:val="000E0544"/>
    <w:rsid w:val="000E07F3"/>
    <w:rsid w:val="000E089E"/>
    <w:rsid w:val="000E09AC"/>
    <w:rsid w:val="000E0D1D"/>
    <w:rsid w:val="000E1237"/>
    <w:rsid w:val="000E139E"/>
    <w:rsid w:val="000E171E"/>
    <w:rsid w:val="000E1856"/>
    <w:rsid w:val="000E1D2A"/>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E87"/>
    <w:rsid w:val="000E3F2B"/>
    <w:rsid w:val="000E3F92"/>
    <w:rsid w:val="000E3FEA"/>
    <w:rsid w:val="000E42FC"/>
    <w:rsid w:val="000E4907"/>
    <w:rsid w:val="000E4AEA"/>
    <w:rsid w:val="000E4F8C"/>
    <w:rsid w:val="000E5166"/>
    <w:rsid w:val="000E56D4"/>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16E"/>
    <w:rsid w:val="000E7213"/>
    <w:rsid w:val="000E7259"/>
    <w:rsid w:val="000E730A"/>
    <w:rsid w:val="000E7387"/>
    <w:rsid w:val="000E75EA"/>
    <w:rsid w:val="000E76FF"/>
    <w:rsid w:val="000E77FE"/>
    <w:rsid w:val="000E7974"/>
    <w:rsid w:val="000E7A9C"/>
    <w:rsid w:val="000E7AD3"/>
    <w:rsid w:val="000E7C44"/>
    <w:rsid w:val="000E7C56"/>
    <w:rsid w:val="000E7F23"/>
    <w:rsid w:val="000F066D"/>
    <w:rsid w:val="000F080E"/>
    <w:rsid w:val="000F09E6"/>
    <w:rsid w:val="000F0BB5"/>
    <w:rsid w:val="000F0CA0"/>
    <w:rsid w:val="000F0CC8"/>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F56"/>
    <w:rsid w:val="000F5F63"/>
    <w:rsid w:val="000F61FE"/>
    <w:rsid w:val="000F63DE"/>
    <w:rsid w:val="000F64EC"/>
    <w:rsid w:val="000F689C"/>
    <w:rsid w:val="000F692B"/>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169"/>
    <w:rsid w:val="00102270"/>
    <w:rsid w:val="0010245C"/>
    <w:rsid w:val="0010274E"/>
    <w:rsid w:val="00102861"/>
    <w:rsid w:val="00102898"/>
    <w:rsid w:val="00102915"/>
    <w:rsid w:val="00102A36"/>
    <w:rsid w:val="001030A8"/>
    <w:rsid w:val="00103205"/>
    <w:rsid w:val="0010330C"/>
    <w:rsid w:val="0010348B"/>
    <w:rsid w:val="0010361D"/>
    <w:rsid w:val="001037F3"/>
    <w:rsid w:val="00103AA5"/>
    <w:rsid w:val="00103AAC"/>
    <w:rsid w:val="00103C49"/>
    <w:rsid w:val="00103C6F"/>
    <w:rsid w:val="00103DB4"/>
    <w:rsid w:val="00103EE7"/>
    <w:rsid w:val="00104199"/>
    <w:rsid w:val="00104292"/>
    <w:rsid w:val="0010470B"/>
    <w:rsid w:val="001047A0"/>
    <w:rsid w:val="00104816"/>
    <w:rsid w:val="0010495F"/>
    <w:rsid w:val="00104A5F"/>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C9"/>
    <w:rsid w:val="001067E9"/>
    <w:rsid w:val="00106890"/>
    <w:rsid w:val="001069DE"/>
    <w:rsid w:val="00106DBD"/>
    <w:rsid w:val="00106DC8"/>
    <w:rsid w:val="00106E7E"/>
    <w:rsid w:val="00106F2B"/>
    <w:rsid w:val="00106F2C"/>
    <w:rsid w:val="00107127"/>
    <w:rsid w:val="00107478"/>
    <w:rsid w:val="001074BA"/>
    <w:rsid w:val="001075E0"/>
    <w:rsid w:val="00107945"/>
    <w:rsid w:val="00107AEC"/>
    <w:rsid w:val="00107B9E"/>
    <w:rsid w:val="0011033C"/>
    <w:rsid w:val="001103E2"/>
    <w:rsid w:val="00110666"/>
    <w:rsid w:val="001107AD"/>
    <w:rsid w:val="00110E9E"/>
    <w:rsid w:val="00110F6D"/>
    <w:rsid w:val="00111086"/>
    <w:rsid w:val="001112D0"/>
    <w:rsid w:val="0011167E"/>
    <w:rsid w:val="001116B2"/>
    <w:rsid w:val="00111931"/>
    <w:rsid w:val="00111DC1"/>
    <w:rsid w:val="00111F09"/>
    <w:rsid w:val="00112076"/>
    <w:rsid w:val="00112118"/>
    <w:rsid w:val="00112195"/>
    <w:rsid w:val="001124A7"/>
    <w:rsid w:val="001127D8"/>
    <w:rsid w:val="001127F3"/>
    <w:rsid w:val="00112874"/>
    <w:rsid w:val="00112A24"/>
    <w:rsid w:val="00112D19"/>
    <w:rsid w:val="00112E8C"/>
    <w:rsid w:val="0011300D"/>
    <w:rsid w:val="001134DF"/>
    <w:rsid w:val="00113553"/>
    <w:rsid w:val="00113941"/>
    <w:rsid w:val="00113A1E"/>
    <w:rsid w:val="00113F86"/>
    <w:rsid w:val="001140F0"/>
    <w:rsid w:val="0011425D"/>
    <w:rsid w:val="00114327"/>
    <w:rsid w:val="0011456E"/>
    <w:rsid w:val="0011477C"/>
    <w:rsid w:val="00114926"/>
    <w:rsid w:val="00114C51"/>
    <w:rsid w:val="00114EC8"/>
    <w:rsid w:val="001151F1"/>
    <w:rsid w:val="001152E1"/>
    <w:rsid w:val="0011547C"/>
    <w:rsid w:val="001155DE"/>
    <w:rsid w:val="001156D4"/>
    <w:rsid w:val="001158DE"/>
    <w:rsid w:val="00115959"/>
    <w:rsid w:val="00115ABD"/>
    <w:rsid w:val="00115B62"/>
    <w:rsid w:val="00115D68"/>
    <w:rsid w:val="00115DAE"/>
    <w:rsid w:val="0011614D"/>
    <w:rsid w:val="0011638D"/>
    <w:rsid w:val="001164E8"/>
    <w:rsid w:val="00116526"/>
    <w:rsid w:val="00116629"/>
    <w:rsid w:val="00116978"/>
    <w:rsid w:val="001169B9"/>
    <w:rsid w:val="0011711E"/>
    <w:rsid w:val="0011715F"/>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0F6A"/>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BDC"/>
    <w:rsid w:val="00125C3D"/>
    <w:rsid w:val="00125E5A"/>
    <w:rsid w:val="00125F9F"/>
    <w:rsid w:val="0012618B"/>
    <w:rsid w:val="001261E3"/>
    <w:rsid w:val="001262AB"/>
    <w:rsid w:val="001263CB"/>
    <w:rsid w:val="0012648B"/>
    <w:rsid w:val="001266B9"/>
    <w:rsid w:val="00126708"/>
    <w:rsid w:val="00127130"/>
    <w:rsid w:val="001272F6"/>
    <w:rsid w:val="00127E29"/>
    <w:rsid w:val="00130041"/>
    <w:rsid w:val="00130087"/>
    <w:rsid w:val="00130117"/>
    <w:rsid w:val="001301FE"/>
    <w:rsid w:val="001302D4"/>
    <w:rsid w:val="00130409"/>
    <w:rsid w:val="00130B0E"/>
    <w:rsid w:val="00130B4A"/>
    <w:rsid w:val="00130DA0"/>
    <w:rsid w:val="00130E2F"/>
    <w:rsid w:val="00130F57"/>
    <w:rsid w:val="00130FFE"/>
    <w:rsid w:val="001312BF"/>
    <w:rsid w:val="00131375"/>
    <w:rsid w:val="001314F5"/>
    <w:rsid w:val="0013195C"/>
    <w:rsid w:val="00131D50"/>
    <w:rsid w:val="00131DD9"/>
    <w:rsid w:val="00131F49"/>
    <w:rsid w:val="00132231"/>
    <w:rsid w:val="001322C7"/>
    <w:rsid w:val="0013231D"/>
    <w:rsid w:val="001328CB"/>
    <w:rsid w:val="00132ECC"/>
    <w:rsid w:val="00133020"/>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884"/>
    <w:rsid w:val="0013597C"/>
    <w:rsid w:val="00135A3B"/>
    <w:rsid w:val="0013653A"/>
    <w:rsid w:val="00136546"/>
    <w:rsid w:val="0013655E"/>
    <w:rsid w:val="00136576"/>
    <w:rsid w:val="0013684F"/>
    <w:rsid w:val="00136986"/>
    <w:rsid w:val="001369D4"/>
    <w:rsid w:val="00136A12"/>
    <w:rsid w:val="00136AAA"/>
    <w:rsid w:val="00136BE3"/>
    <w:rsid w:val="00136F40"/>
    <w:rsid w:val="00137396"/>
    <w:rsid w:val="001376A2"/>
    <w:rsid w:val="0013775C"/>
    <w:rsid w:val="00137862"/>
    <w:rsid w:val="00137939"/>
    <w:rsid w:val="00137AF2"/>
    <w:rsid w:val="00137BCD"/>
    <w:rsid w:val="00137FE0"/>
    <w:rsid w:val="001400BC"/>
    <w:rsid w:val="00140152"/>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5CA"/>
    <w:rsid w:val="001456FF"/>
    <w:rsid w:val="0014582E"/>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781"/>
    <w:rsid w:val="00147806"/>
    <w:rsid w:val="00147A11"/>
    <w:rsid w:val="00147EC0"/>
    <w:rsid w:val="00147F53"/>
    <w:rsid w:val="00147F65"/>
    <w:rsid w:val="00147F78"/>
    <w:rsid w:val="001502C7"/>
    <w:rsid w:val="0015083A"/>
    <w:rsid w:val="001509A6"/>
    <w:rsid w:val="00150B12"/>
    <w:rsid w:val="00150CF4"/>
    <w:rsid w:val="0015101C"/>
    <w:rsid w:val="001511EA"/>
    <w:rsid w:val="00151885"/>
    <w:rsid w:val="00151CCC"/>
    <w:rsid w:val="00151D13"/>
    <w:rsid w:val="00151FA5"/>
    <w:rsid w:val="001520A1"/>
    <w:rsid w:val="0015210F"/>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0CE"/>
    <w:rsid w:val="0015530C"/>
    <w:rsid w:val="001553A7"/>
    <w:rsid w:val="00155B2C"/>
    <w:rsid w:val="00155E1B"/>
    <w:rsid w:val="00155F67"/>
    <w:rsid w:val="00156137"/>
    <w:rsid w:val="00156B94"/>
    <w:rsid w:val="00156FB5"/>
    <w:rsid w:val="00157093"/>
    <w:rsid w:val="0015716F"/>
    <w:rsid w:val="001571C8"/>
    <w:rsid w:val="00157304"/>
    <w:rsid w:val="00157512"/>
    <w:rsid w:val="001575D5"/>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1B67"/>
    <w:rsid w:val="001621CA"/>
    <w:rsid w:val="001621E3"/>
    <w:rsid w:val="001624FC"/>
    <w:rsid w:val="0016259E"/>
    <w:rsid w:val="001625F6"/>
    <w:rsid w:val="001626AE"/>
    <w:rsid w:val="00162AB4"/>
    <w:rsid w:val="00162B13"/>
    <w:rsid w:val="00162C2D"/>
    <w:rsid w:val="00162C86"/>
    <w:rsid w:val="00162FA8"/>
    <w:rsid w:val="0016306D"/>
    <w:rsid w:val="001630A8"/>
    <w:rsid w:val="00163378"/>
    <w:rsid w:val="0016362A"/>
    <w:rsid w:val="001637E2"/>
    <w:rsid w:val="00163B3D"/>
    <w:rsid w:val="00163B63"/>
    <w:rsid w:val="00163EB7"/>
    <w:rsid w:val="00164156"/>
    <w:rsid w:val="001642A9"/>
    <w:rsid w:val="0016431C"/>
    <w:rsid w:val="00164387"/>
    <w:rsid w:val="00164518"/>
    <w:rsid w:val="001647D1"/>
    <w:rsid w:val="001648E6"/>
    <w:rsid w:val="00164922"/>
    <w:rsid w:val="00164962"/>
    <w:rsid w:val="00164D31"/>
    <w:rsid w:val="00165014"/>
    <w:rsid w:val="0016527B"/>
    <w:rsid w:val="0016542D"/>
    <w:rsid w:val="001654D3"/>
    <w:rsid w:val="0016579B"/>
    <w:rsid w:val="001657BF"/>
    <w:rsid w:val="001658B0"/>
    <w:rsid w:val="001658C6"/>
    <w:rsid w:val="0016590F"/>
    <w:rsid w:val="00165E21"/>
    <w:rsid w:val="00165E31"/>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66A"/>
    <w:rsid w:val="00171CA6"/>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E0E"/>
    <w:rsid w:val="00173FA4"/>
    <w:rsid w:val="0017412C"/>
    <w:rsid w:val="00174372"/>
    <w:rsid w:val="00174470"/>
    <w:rsid w:val="001746E8"/>
    <w:rsid w:val="001747F0"/>
    <w:rsid w:val="00174905"/>
    <w:rsid w:val="00174AB9"/>
    <w:rsid w:val="00174AC1"/>
    <w:rsid w:val="00174FA1"/>
    <w:rsid w:val="00175229"/>
    <w:rsid w:val="00175602"/>
    <w:rsid w:val="00175776"/>
    <w:rsid w:val="0017579B"/>
    <w:rsid w:val="00175A2A"/>
    <w:rsid w:val="00175D7D"/>
    <w:rsid w:val="00175E00"/>
    <w:rsid w:val="00175E3B"/>
    <w:rsid w:val="00175E9C"/>
    <w:rsid w:val="00175EDB"/>
    <w:rsid w:val="00176483"/>
    <w:rsid w:val="001764FB"/>
    <w:rsid w:val="00176578"/>
    <w:rsid w:val="00176835"/>
    <w:rsid w:val="00176C1B"/>
    <w:rsid w:val="00176DD3"/>
    <w:rsid w:val="00176EF3"/>
    <w:rsid w:val="00176FA2"/>
    <w:rsid w:val="00177384"/>
    <w:rsid w:val="00177480"/>
    <w:rsid w:val="00177948"/>
    <w:rsid w:val="00177A63"/>
    <w:rsid w:val="00177CE0"/>
    <w:rsid w:val="00177FAC"/>
    <w:rsid w:val="00180364"/>
    <w:rsid w:val="00180984"/>
    <w:rsid w:val="00180A93"/>
    <w:rsid w:val="00180ABB"/>
    <w:rsid w:val="00180DA2"/>
    <w:rsid w:val="00181156"/>
    <w:rsid w:val="001811AF"/>
    <w:rsid w:val="0018176A"/>
    <w:rsid w:val="001819A4"/>
    <w:rsid w:val="00181A35"/>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50BF"/>
    <w:rsid w:val="00185424"/>
    <w:rsid w:val="00185533"/>
    <w:rsid w:val="00185689"/>
    <w:rsid w:val="001857E1"/>
    <w:rsid w:val="00185C67"/>
    <w:rsid w:val="00185CD9"/>
    <w:rsid w:val="00186556"/>
    <w:rsid w:val="001865C5"/>
    <w:rsid w:val="001866A6"/>
    <w:rsid w:val="00186816"/>
    <w:rsid w:val="0018681E"/>
    <w:rsid w:val="00186BAB"/>
    <w:rsid w:val="00186C60"/>
    <w:rsid w:val="00186D36"/>
    <w:rsid w:val="00187316"/>
    <w:rsid w:val="001873EE"/>
    <w:rsid w:val="0018740A"/>
    <w:rsid w:val="0018767B"/>
    <w:rsid w:val="0018795A"/>
    <w:rsid w:val="0018797E"/>
    <w:rsid w:val="00187A7A"/>
    <w:rsid w:val="00187DBA"/>
    <w:rsid w:val="00187F25"/>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1BB"/>
    <w:rsid w:val="001962CC"/>
    <w:rsid w:val="001963C1"/>
    <w:rsid w:val="001963E3"/>
    <w:rsid w:val="0019645E"/>
    <w:rsid w:val="00196472"/>
    <w:rsid w:val="001969A5"/>
    <w:rsid w:val="001969D9"/>
    <w:rsid w:val="00196DFC"/>
    <w:rsid w:val="00197488"/>
    <w:rsid w:val="001974C3"/>
    <w:rsid w:val="001977B5"/>
    <w:rsid w:val="001978BB"/>
    <w:rsid w:val="00197BC0"/>
    <w:rsid w:val="001A005A"/>
    <w:rsid w:val="001A0278"/>
    <w:rsid w:val="001A0373"/>
    <w:rsid w:val="001A0FF0"/>
    <w:rsid w:val="001A11CF"/>
    <w:rsid w:val="001A1383"/>
    <w:rsid w:val="001A1522"/>
    <w:rsid w:val="001A1896"/>
    <w:rsid w:val="001A1B03"/>
    <w:rsid w:val="001A1EA6"/>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97"/>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9C"/>
    <w:rsid w:val="001B12D6"/>
    <w:rsid w:val="001B149F"/>
    <w:rsid w:val="001B159B"/>
    <w:rsid w:val="001B1622"/>
    <w:rsid w:val="001B1AF6"/>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183"/>
    <w:rsid w:val="001B6497"/>
    <w:rsid w:val="001B65C0"/>
    <w:rsid w:val="001B65F1"/>
    <w:rsid w:val="001B6735"/>
    <w:rsid w:val="001B67AD"/>
    <w:rsid w:val="001B6FBE"/>
    <w:rsid w:val="001B723C"/>
    <w:rsid w:val="001B7420"/>
    <w:rsid w:val="001B745B"/>
    <w:rsid w:val="001B745F"/>
    <w:rsid w:val="001B752D"/>
    <w:rsid w:val="001B774C"/>
    <w:rsid w:val="001B783C"/>
    <w:rsid w:val="001B7EE2"/>
    <w:rsid w:val="001C040F"/>
    <w:rsid w:val="001C0699"/>
    <w:rsid w:val="001C07F9"/>
    <w:rsid w:val="001C0C35"/>
    <w:rsid w:val="001C0D9E"/>
    <w:rsid w:val="001C107E"/>
    <w:rsid w:val="001C1089"/>
    <w:rsid w:val="001C1343"/>
    <w:rsid w:val="001C13D4"/>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839"/>
    <w:rsid w:val="001C3C84"/>
    <w:rsid w:val="001C4114"/>
    <w:rsid w:val="001C4384"/>
    <w:rsid w:val="001C4453"/>
    <w:rsid w:val="001C4528"/>
    <w:rsid w:val="001C47FB"/>
    <w:rsid w:val="001C4A94"/>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6FBB"/>
    <w:rsid w:val="001C746A"/>
    <w:rsid w:val="001C7887"/>
    <w:rsid w:val="001C788B"/>
    <w:rsid w:val="001C7ABC"/>
    <w:rsid w:val="001C7D9E"/>
    <w:rsid w:val="001C7EEF"/>
    <w:rsid w:val="001D00C9"/>
    <w:rsid w:val="001D03FD"/>
    <w:rsid w:val="001D043B"/>
    <w:rsid w:val="001D0634"/>
    <w:rsid w:val="001D0C85"/>
    <w:rsid w:val="001D0D7D"/>
    <w:rsid w:val="001D0D82"/>
    <w:rsid w:val="001D1105"/>
    <w:rsid w:val="001D17E3"/>
    <w:rsid w:val="001D19A0"/>
    <w:rsid w:val="001D1DDC"/>
    <w:rsid w:val="001D1F2F"/>
    <w:rsid w:val="001D2065"/>
    <w:rsid w:val="001D23BC"/>
    <w:rsid w:val="001D23BD"/>
    <w:rsid w:val="001D24BE"/>
    <w:rsid w:val="001D2742"/>
    <w:rsid w:val="001D2777"/>
    <w:rsid w:val="001D2D95"/>
    <w:rsid w:val="001D305C"/>
    <w:rsid w:val="001D3182"/>
    <w:rsid w:val="001D35FB"/>
    <w:rsid w:val="001D36A0"/>
    <w:rsid w:val="001D377C"/>
    <w:rsid w:val="001D37FA"/>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48D"/>
    <w:rsid w:val="001D54E8"/>
    <w:rsid w:val="001D5865"/>
    <w:rsid w:val="001D598A"/>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584"/>
    <w:rsid w:val="001D7985"/>
    <w:rsid w:val="001D7C6B"/>
    <w:rsid w:val="001D7CFC"/>
    <w:rsid w:val="001D7D08"/>
    <w:rsid w:val="001D7DB6"/>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1AD9"/>
    <w:rsid w:val="001E201B"/>
    <w:rsid w:val="001E21B5"/>
    <w:rsid w:val="001E2258"/>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644"/>
    <w:rsid w:val="001E5A94"/>
    <w:rsid w:val="001E5BCB"/>
    <w:rsid w:val="001E5E9C"/>
    <w:rsid w:val="001E6006"/>
    <w:rsid w:val="001E6686"/>
    <w:rsid w:val="001E67C4"/>
    <w:rsid w:val="001E6841"/>
    <w:rsid w:val="001E6983"/>
    <w:rsid w:val="001E6B8C"/>
    <w:rsid w:val="001E6D0B"/>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1F3"/>
    <w:rsid w:val="001F1336"/>
    <w:rsid w:val="001F1640"/>
    <w:rsid w:val="001F174D"/>
    <w:rsid w:val="001F184C"/>
    <w:rsid w:val="001F1876"/>
    <w:rsid w:val="001F1C94"/>
    <w:rsid w:val="001F22D7"/>
    <w:rsid w:val="001F27F7"/>
    <w:rsid w:val="001F2BAF"/>
    <w:rsid w:val="001F2C29"/>
    <w:rsid w:val="001F2CE0"/>
    <w:rsid w:val="001F2ECC"/>
    <w:rsid w:val="001F30E4"/>
    <w:rsid w:val="001F3147"/>
    <w:rsid w:val="001F349D"/>
    <w:rsid w:val="001F39B8"/>
    <w:rsid w:val="001F3AC3"/>
    <w:rsid w:val="001F3D6D"/>
    <w:rsid w:val="001F3FA1"/>
    <w:rsid w:val="001F4076"/>
    <w:rsid w:val="001F41DA"/>
    <w:rsid w:val="001F446F"/>
    <w:rsid w:val="001F4A45"/>
    <w:rsid w:val="001F4AC8"/>
    <w:rsid w:val="001F55B2"/>
    <w:rsid w:val="001F55E5"/>
    <w:rsid w:val="001F59AA"/>
    <w:rsid w:val="001F5BD3"/>
    <w:rsid w:val="001F5CE7"/>
    <w:rsid w:val="001F5E21"/>
    <w:rsid w:val="001F5F45"/>
    <w:rsid w:val="001F66DF"/>
    <w:rsid w:val="001F66FF"/>
    <w:rsid w:val="001F6729"/>
    <w:rsid w:val="001F676E"/>
    <w:rsid w:val="001F6945"/>
    <w:rsid w:val="001F6A77"/>
    <w:rsid w:val="001F6B99"/>
    <w:rsid w:val="001F6BD1"/>
    <w:rsid w:val="001F701A"/>
    <w:rsid w:val="001F72E7"/>
    <w:rsid w:val="001F76AF"/>
    <w:rsid w:val="001F7761"/>
    <w:rsid w:val="001F7A97"/>
    <w:rsid w:val="001F7C72"/>
    <w:rsid w:val="0020000A"/>
    <w:rsid w:val="00200314"/>
    <w:rsid w:val="002003D0"/>
    <w:rsid w:val="002007F5"/>
    <w:rsid w:val="00200B01"/>
    <w:rsid w:val="00200B22"/>
    <w:rsid w:val="00200D0C"/>
    <w:rsid w:val="00200EA0"/>
    <w:rsid w:val="00200EEB"/>
    <w:rsid w:val="00200F30"/>
    <w:rsid w:val="002011D2"/>
    <w:rsid w:val="002011D8"/>
    <w:rsid w:val="002014EE"/>
    <w:rsid w:val="002017A8"/>
    <w:rsid w:val="00201808"/>
    <w:rsid w:val="002019F4"/>
    <w:rsid w:val="00201B24"/>
    <w:rsid w:val="00201CBE"/>
    <w:rsid w:val="0020217B"/>
    <w:rsid w:val="0020221A"/>
    <w:rsid w:val="0020222F"/>
    <w:rsid w:val="0020234E"/>
    <w:rsid w:val="0020242A"/>
    <w:rsid w:val="002026A9"/>
    <w:rsid w:val="002026C4"/>
    <w:rsid w:val="00202839"/>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AE3"/>
    <w:rsid w:val="00205C97"/>
    <w:rsid w:val="00205C9B"/>
    <w:rsid w:val="00205F8A"/>
    <w:rsid w:val="00206229"/>
    <w:rsid w:val="00206240"/>
    <w:rsid w:val="00206244"/>
    <w:rsid w:val="00206A2B"/>
    <w:rsid w:val="00206DBF"/>
    <w:rsid w:val="002071A4"/>
    <w:rsid w:val="0020722D"/>
    <w:rsid w:val="00207585"/>
    <w:rsid w:val="00207612"/>
    <w:rsid w:val="00207655"/>
    <w:rsid w:val="002079B7"/>
    <w:rsid w:val="00207A6E"/>
    <w:rsid w:val="00207D42"/>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7F9"/>
    <w:rsid w:val="00212843"/>
    <w:rsid w:val="002128D6"/>
    <w:rsid w:val="00213061"/>
    <w:rsid w:val="002130F7"/>
    <w:rsid w:val="002131CD"/>
    <w:rsid w:val="00213350"/>
    <w:rsid w:val="002133C8"/>
    <w:rsid w:val="0021340D"/>
    <w:rsid w:val="002134C2"/>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382"/>
    <w:rsid w:val="00215436"/>
    <w:rsid w:val="002157A2"/>
    <w:rsid w:val="002158D5"/>
    <w:rsid w:val="0021590C"/>
    <w:rsid w:val="00215929"/>
    <w:rsid w:val="00215C12"/>
    <w:rsid w:val="00215CAA"/>
    <w:rsid w:val="00215D1B"/>
    <w:rsid w:val="00215D89"/>
    <w:rsid w:val="00215EFE"/>
    <w:rsid w:val="00216035"/>
    <w:rsid w:val="0021607D"/>
    <w:rsid w:val="0021623D"/>
    <w:rsid w:val="00216599"/>
    <w:rsid w:val="002168CE"/>
    <w:rsid w:val="00216968"/>
    <w:rsid w:val="00216A83"/>
    <w:rsid w:val="00216B1B"/>
    <w:rsid w:val="00216B58"/>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9B9"/>
    <w:rsid w:val="00221E2A"/>
    <w:rsid w:val="00222039"/>
    <w:rsid w:val="002223AA"/>
    <w:rsid w:val="00222931"/>
    <w:rsid w:val="00222941"/>
    <w:rsid w:val="00222AF0"/>
    <w:rsid w:val="00223053"/>
    <w:rsid w:val="00223482"/>
    <w:rsid w:val="00223548"/>
    <w:rsid w:val="002236E9"/>
    <w:rsid w:val="00223CD9"/>
    <w:rsid w:val="00223FB5"/>
    <w:rsid w:val="002242B5"/>
    <w:rsid w:val="00224412"/>
    <w:rsid w:val="00224448"/>
    <w:rsid w:val="00224589"/>
    <w:rsid w:val="0022496F"/>
    <w:rsid w:val="00224A07"/>
    <w:rsid w:val="00224C14"/>
    <w:rsid w:val="00224DA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42A"/>
    <w:rsid w:val="002265AF"/>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B7C"/>
    <w:rsid w:val="00230E97"/>
    <w:rsid w:val="00230F2D"/>
    <w:rsid w:val="00231121"/>
    <w:rsid w:val="002311A5"/>
    <w:rsid w:val="0023172E"/>
    <w:rsid w:val="00231F1F"/>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5A"/>
    <w:rsid w:val="002373C8"/>
    <w:rsid w:val="00237601"/>
    <w:rsid w:val="00237793"/>
    <w:rsid w:val="0023786E"/>
    <w:rsid w:val="00237A48"/>
    <w:rsid w:val="00237B5D"/>
    <w:rsid w:val="00237BF5"/>
    <w:rsid w:val="00237D6F"/>
    <w:rsid w:val="00237DCF"/>
    <w:rsid w:val="002408A3"/>
    <w:rsid w:val="002409FA"/>
    <w:rsid w:val="00240A9B"/>
    <w:rsid w:val="00240E85"/>
    <w:rsid w:val="00240EB1"/>
    <w:rsid w:val="00240F17"/>
    <w:rsid w:val="002418F0"/>
    <w:rsid w:val="00241BD6"/>
    <w:rsid w:val="00241E35"/>
    <w:rsid w:val="00241E40"/>
    <w:rsid w:val="00241E4E"/>
    <w:rsid w:val="00242345"/>
    <w:rsid w:val="00242B13"/>
    <w:rsid w:val="00242BC8"/>
    <w:rsid w:val="00242BF0"/>
    <w:rsid w:val="00242D5F"/>
    <w:rsid w:val="00243631"/>
    <w:rsid w:val="002436BA"/>
    <w:rsid w:val="00243709"/>
    <w:rsid w:val="00243747"/>
    <w:rsid w:val="00243792"/>
    <w:rsid w:val="002438C9"/>
    <w:rsid w:val="0024448F"/>
    <w:rsid w:val="00244530"/>
    <w:rsid w:val="00244690"/>
    <w:rsid w:val="0024487F"/>
    <w:rsid w:val="00244924"/>
    <w:rsid w:val="00244B9E"/>
    <w:rsid w:val="00244BC8"/>
    <w:rsid w:val="00244E53"/>
    <w:rsid w:val="00244F54"/>
    <w:rsid w:val="00244FDD"/>
    <w:rsid w:val="00245721"/>
    <w:rsid w:val="00245918"/>
    <w:rsid w:val="00245B47"/>
    <w:rsid w:val="00245BC5"/>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56F"/>
    <w:rsid w:val="00250704"/>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1E"/>
    <w:rsid w:val="00254B4F"/>
    <w:rsid w:val="0025506B"/>
    <w:rsid w:val="002552A4"/>
    <w:rsid w:val="002552E6"/>
    <w:rsid w:val="002555DC"/>
    <w:rsid w:val="0025578E"/>
    <w:rsid w:val="0025592D"/>
    <w:rsid w:val="00255B03"/>
    <w:rsid w:val="00255CA1"/>
    <w:rsid w:val="0025611B"/>
    <w:rsid w:val="002565CB"/>
    <w:rsid w:val="00256643"/>
    <w:rsid w:val="00256686"/>
    <w:rsid w:val="00256B29"/>
    <w:rsid w:val="00256E61"/>
    <w:rsid w:val="002570E3"/>
    <w:rsid w:val="00257115"/>
    <w:rsid w:val="00257751"/>
    <w:rsid w:val="002579DE"/>
    <w:rsid w:val="00260074"/>
    <w:rsid w:val="00260144"/>
    <w:rsid w:val="0026021A"/>
    <w:rsid w:val="002604A0"/>
    <w:rsid w:val="002604D4"/>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3049"/>
    <w:rsid w:val="0026324D"/>
    <w:rsid w:val="002632A5"/>
    <w:rsid w:val="00263418"/>
    <w:rsid w:val="00263671"/>
    <w:rsid w:val="00263A38"/>
    <w:rsid w:val="00263A7E"/>
    <w:rsid w:val="00263AF0"/>
    <w:rsid w:val="00263CE8"/>
    <w:rsid w:val="00263D58"/>
    <w:rsid w:val="00263DE6"/>
    <w:rsid w:val="00263EE3"/>
    <w:rsid w:val="00263F41"/>
    <w:rsid w:val="002640B8"/>
    <w:rsid w:val="00264196"/>
    <w:rsid w:val="002641A6"/>
    <w:rsid w:val="0026432A"/>
    <w:rsid w:val="002644BD"/>
    <w:rsid w:val="0026455A"/>
    <w:rsid w:val="002647EC"/>
    <w:rsid w:val="00264A59"/>
    <w:rsid w:val="00264E30"/>
    <w:rsid w:val="00264F6D"/>
    <w:rsid w:val="00265300"/>
    <w:rsid w:val="00265410"/>
    <w:rsid w:val="00265649"/>
    <w:rsid w:val="00265B64"/>
    <w:rsid w:val="00265B8F"/>
    <w:rsid w:val="00265C91"/>
    <w:rsid w:val="00265CCF"/>
    <w:rsid w:val="00265D82"/>
    <w:rsid w:val="00265EE6"/>
    <w:rsid w:val="00266251"/>
    <w:rsid w:val="00266311"/>
    <w:rsid w:val="002666DF"/>
    <w:rsid w:val="00266757"/>
    <w:rsid w:val="00266870"/>
    <w:rsid w:val="00267006"/>
    <w:rsid w:val="0026717F"/>
    <w:rsid w:val="002672DF"/>
    <w:rsid w:val="002673D9"/>
    <w:rsid w:val="00267710"/>
    <w:rsid w:val="00267904"/>
    <w:rsid w:val="00267D04"/>
    <w:rsid w:val="00267D7F"/>
    <w:rsid w:val="002701DE"/>
    <w:rsid w:val="002705F0"/>
    <w:rsid w:val="00270EE0"/>
    <w:rsid w:val="00271142"/>
    <w:rsid w:val="00271465"/>
    <w:rsid w:val="0027195B"/>
    <w:rsid w:val="00271DF6"/>
    <w:rsid w:val="00271F19"/>
    <w:rsid w:val="002724CD"/>
    <w:rsid w:val="00272516"/>
    <w:rsid w:val="00272786"/>
    <w:rsid w:val="002727F5"/>
    <w:rsid w:val="0027290F"/>
    <w:rsid w:val="00272A2D"/>
    <w:rsid w:val="00272ADF"/>
    <w:rsid w:val="00272B57"/>
    <w:rsid w:val="00272DC6"/>
    <w:rsid w:val="00272E0F"/>
    <w:rsid w:val="002731BC"/>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6D"/>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2F8B"/>
    <w:rsid w:val="00283358"/>
    <w:rsid w:val="00283458"/>
    <w:rsid w:val="00283596"/>
    <w:rsid w:val="0028366F"/>
    <w:rsid w:val="002837AF"/>
    <w:rsid w:val="00283880"/>
    <w:rsid w:val="002839B8"/>
    <w:rsid w:val="002842D8"/>
    <w:rsid w:val="002845E0"/>
    <w:rsid w:val="002845F4"/>
    <w:rsid w:val="002846C7"/>
    <w:rsid w:val="002846FB"/>
    <w:rsid w:val="00284C0D"/>
    <w:rsid w:val="00284ED0"/>
    <w:rsid w:val="00285228"/>
    <w:rsid w:val="0028523B"/>
    <w:rsid w:val="0028526C"/>
    <w:rsid w:val="002852CB"/>
    <w:rsid w:val="00285402"/>
    <w:rsid w:val="00285553"/>
    <w:rsid w:val="0028580C"/>
    <w:rsid w:val="002858FD"/>
    <w:rsid w:val="002859F5"/>
    <w:rsid w:val="002861F2"/>
    <w:rsid w:val="0028634F"/>
    <w:rsid w:val="0028665E"/>
    <w:rsid w:val="00286861"/>
    <w:rsid w:val="002868DE"/>
    <w:rsid w:val="00286B54"/>
    <w:rsid w:val="00286E9F"/>
    <w:rsid w:val="0028703F"/>
    <w:rsid w:val="0028708B"/>
    <w:rsid w:val="002871F7"/>
    <w:rsid w:val="00287484"/>
    <w:rsid w:val="002874D1"/>
    <w:rsid w:val="002875F1"/>
    <w:rsid w:val="002878CC"/>
    <w:rsid w:val="00287B58"/>
    <w:rsid w:val="00287FD4"/>
    <w:rsid w:val="00290369"/>
    <w:rsid w:val="00290733"/>
    <w:rsid w:val="00290BB3"/>
    <w:rsid w:val="00290DD2"/>
    <w:rsid w:val="00290E2F"/>
    <w:rsid w:val="002911D1"/>
    <w:rsid w:val="002916B9"/>
    <w:rsid w:val="00291700"/>
    <w:rsid w:val="00291C44"/>
    <w:rsid w:val="00291D77"/>
    <w:rsid w:val="00291E9C"/>
    <w:rsid w:val="0029210D"/>
    <w:rsid w:val="00292188"/>
    <w:rsid w:val="002923FC"/>
    <w:rsid w:val="0029257F"/>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1B"/>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ED6"/>
    <w:rsid w:val="00296264"/>
    <w:rsid w:val="00296DF4"/>
    <w:rsid w:val="00296E3D"/>
    <w:rsid w:val="00296F44"/>
    <w:rsid w:val="0029738F"/>
    <w:rsid w:val="00297754"/>
    <w:rsid w:val="002977C9"/>
    <w:rsid w:val="00297C4B"/>
    <w:rsid w:val="00297C6E"/>
    <w:rsid w:val="00297E0C"/>
    <w:rsid w:val="00297FF3"/>
    <w:rsid w:val="002A014A"/>
    <w:rsid w:val="002A0175"/>
    <w:rsid w:val="002A0347"/>
    <w:rsid w:val="002A03C3"/>
    <w:rsid w:val="002A04D0"/>
    <w:rsid w:val="002A0585"/>
    <w:rsid w:val="002A05DD"/>
    <w:rsid w:val="002A06BB"/>
    <w:rsid w:val="002A0824"/>
    <w:rsid w:val="002A0D79"/>
    <w:rsid w:val="002A0F80"/>
    <w:rsid w:val="002A13F4"/>
    <w:rsid w:val="002A19B0"/>
    <w:rsid w:val="002A223A"/>
    <w:rsid w:val="002A2688"/>
    <w:rsid w:val="002A2B20"/>
    <w:rsid w:val="002A2B51"/>
    <w:rsid w:val="002A2C05"/>
    <w:rsid w:val="002A2C1B"/>
    <w:rsid w:val="002A2D88"/>
    <w:rsid w:val="002A2E97"/>
    <w:rsid w:val="002A3513"/>
    <w:rsid w:val="002A377B"/>
    <w:rsid w:val="002A3C11"/>
    <w:rsid w:val="002A3E30"/>
    <w:rsid w:val="002A3EDD"/>
    <w:rsid w:val="002A3FB0"/>
    <w:rsid w:val="002A42E2"/>
    <w:rsid w:val="002A4425"/>
    <w:rsid w:val="002A4548"/>
    <w:rsid w:val="002A46B0"/>
    <w:rsid w:val="002A476C"/>
    <w:rsid w:val="002A51FD"/>
    <w:rsid w:val="002A5556"/>
    <w:rsid w:val="002A57BD"/>
    <w:rsid w:val="002A590E"/>
    <w:rsid w:val="002A59B4"/>
    <w:rsid w:val="002A5A63"/>
    <w:rsid w:val="002A5B90"/>
    <w:rsid w:val="002A5F88"/>
    <w:rsid w:val="002A6022"/>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0CA5"/>
    <w:rsid w:val="002B1011"/>
    <w:rsid w:val="002B1174"/>
    <w:rsid w:val="002B13BC"/>
    <w:rsid w:val="002B141A"/>
    <w:rsid w:val="002B1750"/>
    <w:rsid w:val="002B188B"/>
    <w:rsid w:val="002B1914"/>
    <w:rsid w:val="002B1D05"/>
    <w:rsid w:val="002B2292"/>
    <w:rsid w:val="002B230C"/>
    <w:rsid w:val="002B2366"/>
    <w:rsid w:val="002B2574"/>
    <w:rsid w:val="002B2994"/>
    <w:rsid w:val="002B2A7D"/>
    <w:rsid w:val="002B2EEB"/>
    <w:rsid w:val="002B3246"/>
    <w:rsid w:val="002B3270"/>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AC3"/>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B7E97"/>
    <w:rsid w:val="002C0123"/>
    <w:rsid w:val="002C0180"/>
    <w:rsid w:val="002C023A"/>
    <w:rsid w:val="002C08A9"/>
    <w:rsid w:val="002C0CF5"/>
    <w:rsid w:val="002C0F49"/>
    <w:rsid w:val="002C0F75"/>
    <w:rsid w:val="002C1293"/>
    <w:rsid w:val="002C1952"/>
    <w:rsid w:val="002C1AE6"/>
    <w:rsid w:val="002C1F15"/>
    <w:rsid w:val="002C1F94"/>
    <w:rsid w:val="002C1FBA"/>
    <w:rsid w:val="002C2222"/>
    <w:rsid w:val="002C251F"/>
    <w:rsid w:val="002C25E5"/>
    <w:rsid w:val="002C25E7"/>
    <w:rsid w:val="002C2693"/>
    <w:rsid w:val="002C28F8"/>
    <w:rsid w:val="002C2BF0"/>
    <w:rsid w:val="002C2C5C"/>
    <w:rsid w:val="002C2FAF"/>
    <w:rsid w:val="002C2FCB"/>
    <w:rsid w:val="002C3355"/>
    <w:rsid w:val="002C3428"/>
    <w:rsid w:val="002C3604"/>
    <w:rsid w:val="002C3692"/>
    <w:rsid w:val="002C36C2"/>
    <w:rsid w:val="002C3C43"/>
    <w:rsid w:val="002C3CB2"/>
    <w:rsid w:val="002C4210"/>
    <w:rsid w:val="002C4278"/>
    <w:rsid w:val="002C42B8"/>
    <w:rsid w:val="002C47BA"/>
    <w:rsid w:val="002C4F68"/>
    <w:rsid w:val="002C4FA0"/>
    <w:rsid w:val="002C55B0"/>
    <w:rsid w:val="002C568C"/>
    <w:rsid w:val="002C5913"/>
    <w:rsid w:val="002C5C77"/>
    <w:rsid w:val="002C5E38"/>
    <w:rsid w:val="002C60B9"/>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C93"/>
    <w:rsid w:val="002D0DCC"/>
    <w:rsid w:val="002D117A"/>
    <w:rsid w:val="002D12E1"/>
    <w:rsid w:val="002D160A"/>
    <w:rsid w:val="002D1A2D"/>
    <w:rsid w:val="002D1CDB"/>
    <w:rsid w:val="002D1F53"/>
    <w:rsid w:val="002D201E"/>
    <w:rsid w:val="002D20A8"/>
    <w:rsid w:val="002D20C7"/>
    <w:rsid w:val="002D2303"/>
    <w:rsid w:val="002D2824"/>
    <w:rsid w:val="002D2A21"/>
    <w:rsid w:val="002D2AAF"/>
    <w:rsid w:val="002D2DC9"/>
    <w:rsid w:val="002D2FE7"/>
    <w:rsid w:val="002D33BF"/>
    <w:rsid w:val="002D355D"/>
    <w:rsid w:val="002D35F9"/>
    <w:rsid w:val="002D38C8"/>
    <w:rsid w:val="002D3A36"/>
    <w:rsid w:val="002D3B29"/>
    <w:rsid w:val="002D3BD5"/>
    <w:rsid w:val="002D3C5F"/>
    <w:rsid w:val="002D41AF"/>
    <w:rsid w:val="002D4395"/>
    <w:rsid w:val="002D43A5"/>
    <w:rsid w:val="002D48F3"/>
    <w:rsid w:val="002D49DC"/>
    <w:rsid w:val="002D4A39"/>
    <w:rsid w:val="002D4B12"/>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05D"/>
    <w:rsid w:val="002D7163"/>
    <w:rsid w:val="002D74DA"/>
    <w:rsid w:val="002D7724"/>
    <w:rsid w:val="002D7762"/>
    <w:rsid w:val="002D79F0"/>
    <w:rsid w:val="002D7BAA"/>
    <w:rsid w:val="002D7BFF"/>
    <w:rsid w:val="002D7D16"/>
    <w:rsid w:val="002D7E26"/>
    <w:rsid w:val="002E0294"/>
    <w:rsid w:val="002E048B"/>
    <w:rsid w:val="002E072C"/>
    <w:rsid w:val="002E0776"/>
    <w:rsid w:val="002E0A2C"/>
    <w:rsid w:val="002E0AC3"/>
    <w:rsid w:val="002E0BE3"/>
    <w:rsid w:val="002E0C44"/>
    <w:rsid w:val="002E0D9C"/>
    <w:rsid w:val="002E0DB5"/>
    <w:rsid w:val="002E113A"/>
    <w:rsid w:val="002E14AA"/>
    <w:rsid w:val="002E1692"/>
    <w:rsid w:val="002E1719"/>
    <w:rsid w:val="002E189A"/>
    <w:rsid w:val="002E1B32"/>
    <w:rsid w:val="002E1E47"/>
    <w:rsid w:val="002E21B6"/>
    <w:rsid w:val="002E23B3"/>
    <w:rsid w:val="002E24FB"/>
    <w:rsid w:val="002E26F2"/>
    <w:rsid w:val="002E27F4"/>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C95"/>
    <w:rsid w:val="002E4DE8"/>
    <w:rsid w:val="002E4F57"/>
    <w:rsid w:val="002E513A"/>
    <w:rsid w:val="002E5186"/>
    <w:rsid w:val="002E539A"/>
    <w:rsid w:val="002E56C1"/>
    <w:rsid w:val="002E56EF"/>
    <w:rsid w:val="002E5E28"/>
    <w:rsid w:val="002E5F38"/>
    <w:rsid w:val="002E606F"/>
    <w:rsid w:val="002E60EB"/>
    <w:rsid w:val="002E63E9"/>
    <w:rsid w:val="002E6B46"/>
    <w:rsid w:val="002E6C23"/>
    <w:rsid w:val="002E6C38"/>
    <w:rsid w:val="002E6DA5"/>
    <w:rsid w:val="002E719E"/>
    <w:rsid w:val="002E74F0"/>
    <w:rsid w:val="002E7694"/>
    <w:rsid w:val="002E7747"/>
    <w:rsid w:val="002E7812"/>
    <w:rsid w:val="002E7944"/>
    <w:rsid w:val="002E7988"/>
    <w:rsid w:val="002E7BB5"/>
    <w:rsid w:val="002E7D7B"/>
    <w:rsid w:val="002E7F48"/>
    <w:rsid w:val="002E7FF3"/>
    <w:rsid w:val="002F006C"/>
    <w:rsid w:val="002F0258"/>
    <w:rsid w:val="002F0355"/>
    <w:rsid w:val="002F03F3"/>
    <w:rsid w:val="002F0527"/>
    <w:rsid w:val="002F0861"/>
    <w:rsid w:val="002F1224"/>
    <w:rsid w:val="002F13C5"/>
    <w:rsid w:val="002F158A"/>
    <w:rsid w:val="002F1753"/>
    <w:rsid w:val="002F19F9"/>
    <w:rsid w:val="002F1C7B"/>
    <w:rsid w:val="002F1F95"/>
    <w:rsid w:val="002F26B8"/>
    <w:rsid w:val="002F2B62"/>
    <w:rsid w:val="002F3101"/>
    <w:rsid w:val="002F3796"/>
    <w:rsid w:val="002F37D9"/>
    <w:rsid w:val="002F3834"/>
    <w:rsid w:val="002F3A1A"/>
    <w:rsid w:val="002F3BB5"/>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753"/>
    <w:rsid w:val="002F6956"/>
    <w:rsid w:val="002F69F6"/>
    <w:rsid w:val="002F6C21"/>
    <w:rsid w:val="002F6DC9"/>
    <w:rsid w:val="00300110"/>
    <w:rsid w:val="003002B7"/>
    <w:rsid w:val="0030041A"/>
    <w:rsid w:val="0030087F"/>
    <w:rsid w:val="00300DE3"/>
    <w:rsid w:val="00301094"/>
    <w:rsid w:val="003012A3"/>
    <w:rsid w:val="0030130B"/>
    <w:rsid w:val="00301462"/>
    <w:rsid w:val="003014C4"/>
    <w:rsid w:val="00301599"/>
    <w:rsid w:val="003016A4"/>
    <w:rsid w:val="0030179B"/>
    <w:rsid w:val="00301905"/>
    <w:rsid w:val="00302006"/>
    <w:rsid w:val="00302341"/>
    <w:rsid w:val="0030238D"/>
    <w:rsid w:val="003024A5"/>
    <w:rsid w:val="00302BA4"/>
    <w:rsid w:val="00302CAD"/>
    <w:rsid w:val="00302D48"/>
    <w:rsid w:val="00302DFB"/>
    <w:rsid w:val="003031B1"/>
    <w:rsid w:val="0030357F"/>
    <w:rsid w:val="0030362C"/>
    <w:rsid w:val="00303CF0"/>
    <w:rsid w:val="00304044"/>
    <w:rsid w:val="003044AD"/>
    <w:rsid w:val="003046B9"/>
    <w:rsid w:val="003046C9"/>
    <w:rsid w:val="0030477A"/>
    <w:rsid w:val="003047F6"/>
    <w:rsid w:val="00304A09"/>
    <w:rsid w:val="00304A6D"/>
    <w:rsid w:val="00304BC2"/>
    <w:rsid w:val="00304BCC"/>
    <w:rsid w:val="00304D10"/>
    <w:rsid w:val="00304D25"/>
    <w:rsid w:val="00304DA4"/>
    <w:rsid w:val="003055ED"/>
    <w:rsid w:val="003056DB"/>
    <w:rsid w:val="003057AD"/>
    <w:rsid w:val="003059E2"/>
    <w:rsid w:val="00305CE9"/>
    <w:rsid w:val="003060CE"/>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0C"/>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C19"/>
    <w:rsid w:val="00313E3E"/>
    <w:rsid w:val="00313E4A"/>
    <w:rsid w:val="003144EF"/>
    <w:rsid w:val="0031496F"/>
    <w:rsid w:val="00314ACD"/>
    <w:rsid w:val="00314D76"/>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B9"/>
    <w:rsid w:val="0032001B"/>
    <w:rsid w:val="003204DD"/>
    <w:rsid w:val="003208BB"/>
    <w:rsid w:val="00320C8E"/>
    <w:rsid w:val="00321079"/>
    <w:rsid w:val="003210AB"/>
    <w:rsid w:val="003217AA"/>
    <w:rsid w:val="003219C0"/>
    <w:rsid w:val="00321C03"/>
    <w:rsid w:val="00321C73"/>
    <w:rsid w:val="00321D13"/>
    <w:rsid w:val="003220A5"/>
    <w:rsid w:val="003220B0"/>
    <w:rsid w:val="003223CC"/>
    <w:rsid w:val="003224CF"/>
    <w:rsid w:val="00322896"/>
    <w:rsid w:val="00322B81"/>
    <w:rsid w:val="0032305D"/>
    <w:rsid w:val="00323217"/>
    <w:rsid w:val="00323477"/>
    <w:rsid w:val="0032354A"/>
    <w:rsid w:val="00323586"/>
    <w:rsid w:val="0032362A"/>
    <w:rsid w:val="00323749"/>
    <w:rsid w:val="003237A4"/>
    <w:rsid w:val="003237F6"/>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52B"/>
    <w:rsid w:val="0032680E"/>
    <w:rsid w:val="003268BF"/>
    <w:rsid w:val="00326ADF"/>
    <w:rsid w:val="00326E22"/>
    <w:rsid w:val="00326F4E"/>
    <w:rsid w:val="00326F4F"/>
    <w:rsid w:val="0032709C"/>
    <w:rsid w:val="003278CB"/>
    <w:rsid w:val="00327D42"/>
    <w:rsid w:val="00327E1D"/>
    <w:rsid w:val="003303FC"/>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52F"/>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85"/>
    <w:rsid w:val="003401EB"/>
    <w:rsid w:val="0034028D"/>
    <w:rsid w:val="003403ED"/>
    <w:rsid w:val="00340921"/>
    <w:rsid w:val="00340CD0"/>
    <w:rsid w:val="00340D08"/>
    <w:rsid w:val="00340E59"/>
    <w:rsid w:val="00340E83"/>
    <w:rsid w:val="00340EE6"/>
    <w:rsid w:val="00340F3A"/>
    <w:rsid w:val="00340FAC"/>
    <w:rsid w:val="00341389"/>
    <w:rsid w:val="003418D1"/>
    <w:rsid w:val="00341B73"/>
    <w:rsid w:val="00341DFC"/>
    <w:rsid w:val="00342143"/>
    <w:rsid w:val="0034214F"/>
    <w:rsid w:val="00342475"/>
    <w:rsid w:val="003427F9"/>
    <w:rsid w:val="003428BA"/>
    <w:rsid w:val="00342A8A"/>
    <w:rsid w:val="00342DD9"/>
    <w:rsid w:val="003430A7"/>
    <w:rsid w:val="00343284"/>
    <w:rsid w:val="00343617"/>
    <w:rsid w:val="003436BE"/>
    <w:rsid w:val="003438B2"/>
    <w:rsid w:val="003439F9"/>
    <w:rsid w:val="00343BC4"/>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B3A"/>
    <w:rsid w:val="00346E56"/>
    <w:rsid w:val="003475D0"/>
    <w:rsid w:val="00347D4C"/>
    <w:rsid w:val="0035033C"/>
    <w:rsid w:val="00350576"/>
    <w:rsid w:val="00350694"/>
    <w:rsid w:val="00350D9A"/>
    <w:rsid w:val="00350EC6"/>
    <w:rsid w:val="0035125A"/>
    <w:rsid w:val="003512A1"/>
    <w:rsid w:val="003515A0"/>
    <w:rsid w:val="003518E1"/>
    <w:rsid w:val="00351E32"/>
    <w:rsid w:val="00351F6B"/>
    <w:rsid w:val="00351FD6"/>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B3"/>
    <w:rsid w:val="00357835"/>
    <w:rsid w:val="003578E8"/>
    <w:rsid w:val="00357AF3"/>
    <w:rsid w:val="00357C41"/>
    <w:rsid w:val="00357E5A"/>
    <w:rsid w:val="003602FB"/>
    <w:rsid w:val="00360319"/>
    <w:rsid w:val="00360673"/>
    <w:rsid w:val="0036083E"/>
    <w:rsid w:val="003609A1"/>
    <w:rsid w:val="00360A0D"/>
    <w:rsid w:val="00360E14"/>
    <w:rsid w:val="00360E9C"/>
    <w:rsid w:val="003610F7"/>
    <w:rsid w:val="00361360"/>
    <w:rsid w:val="00361433"/>
    <w:rsid w:val="00361681"/>
    <w:rsid w:val="003617BF"/>
    <w:rsid w:val="003619B0"/>
    <w:rsid w:val="00361A1C"/>
    <w:rsid w:val="00361F40"/>
    <w:rsid w:val="003620E3"/>
    <w:rsid w:val="003621B8"/>
    <w:rsid w:val="0036227C"/>
    <w:rsid w:val="00362358"/>
    <w:rsid w:val="00362403"/>
    <w:rsid w:val="003624CB"/>
    <w:rsid w:val="00362543"/>
    <w:rsid w:val="00362620"/>
    <w:rsid w:val="0036265D"/>
    <w:rsid w:val="0036286F"/>
    <w:rsid w:val="00362B27"/>
    <w:rsid w:val="00362C0A"/>
    <w:rsid w:val="00362D2D"/>
    <w:rsid w:val="00362F9B"/>
    <w:rsid w:val="0036337E"/>
    <w:rsid w:val="003633D2"/>
    <w:rsid w:val="00363593"/>
    <w:rsid w:val="003639B4"/>
    <w:rsid w:val="00363CC4"/>
    <w:rsid w:val="00363CF6"/>
    <w:rsid w:val="00363D8A"/>
    <w:rsid w:val="00363E09"/>
    <w:rsid w:val="00363E49"/>
    <w:rsid w:val="00363E86"/>
    <w:rsid w:val="00363EA3"/>
    <w:rsid w:val="00363EC5"/>
    <w:rsid w:val="00363F40"/>
    <w:rsid w:val="00363F54"/>
    <w:rsid w:val="00363FEE"/>
    <w:rsid w:val="003641C2"/>
    <w:rsid w:val="003643A8"/>
    <w:rsid w:val="0036452F"/>
    <w:rsid w:val="003647A6"/>
    <w:rsid w:val="00364877"/>
    <w:rsid w:val="003649B8"/>
    <w:rsid w:val="00364C25"/>
    <w:rsid w:val="00364C42"/>
    <w:rsid w:val="00365076"/>
    <w:rsid w:val="00365162"/>
    <w:rsid w:val="00365212"/>
    <w:rsid w:val="003654F8"/>
    <w:rsid w:val="00365517"/>
    <w:rsid w:val="0036578A"/>
    <w:rsid w:val="00365859"/>
    <w:rsid w:val="00365CC5"/>
    <w:rsid w:val="00365CCE"/>
    <w:rsid w:val="00365DDA"/>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3D29"/>
    <w:rsid w:val="0037406D"/>
    <w:rsid w:val="00374225"/>
    <w:rsid w:val="003743AC"/>
    <w:rsid w:val="0037440A"/>
    <w:rsid w:val="003746CE"/>
    <w:rsid w:val="003746F3"/>
    <w:rsid w:val="00374A3D"/>
    <w:rsid w:val="00374B9A"/>
    <w:rsid w:val="00374CEE"/>
    <w:rsid w:val="00374F84"/>
    <w:rsid w:val="003750A9"/>
    <w:rsid w:val="003752AA"/>
    <w:rsid w:val="00375841"/>
    <w:rsid w:val="003758B7"/>
    <w:rsid w:val="00375C8D"/>
    <w:rsid w:val="00375D02"/>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E8F"/>
    <w:rsid w:val="00381087"/>
    <w:rsid w:val="0038117F"/>
    <w:rsid w:val="0038123E"/>
    <w:rsid w:val="00381257"/>
    <w:rsid w:val="0038186D"/>
    <w:rsid w:val="003819DE"/>
    <w:rsid w:val="00381B1D"/>
    <w:rsid w:val="00381C13"/>
    <w:rsid w:val="00382249"/>
    <w:rsid w:val="00382296"/>
    <w:rsid w:val="00382317"/>
    <w:rsid w:val="00382411"/>
    <w:rsid w:val="00382815"/>
    <w:rsid w:val="0038285F"/>
    <w:rsid w:val="0038298B"/>
    <w:rsid w:val="0038298C"/>
    <w:rsid w:val="003829E8"/>
    <w:rsid w:val="00382C51"/>
    <w:rsid w:val="003830D9"/>
    <w:rsid w:val="00383277"/>
    <w:rsid w:val="00383380"/>
    <w:rsid w:val="003834EA"/>
    <w:rsid w:val="00383555"/>
    <w:rsid w:val="003837A3"/>
    <w:rsid w:val="00383812"/>
    <w:rsid w:val="00383827"/>
    <w:rsid w:val="00383832"/>
    <w:rsid w:val="00383BCC"/>
    <w:rsid w:val="00383EC8"/>
    <w:rsid w:val="00384424"/>
    <w:rsid w:val="0038449A"/>
    <w:rsid w:val="0038465E"/>
    <w:rsid w:val="003846D0"/>
    <w:rsid w:val="0038475B"/>
    <w:rsid w:val="0038490B"/>
    <w:rsid w:val="00384D27"/>
    <w:rsid w:val="00384D2D"/>
    <w:rsid w:val="00384FAB"/>
    <w:rsid w:val="00385243"/>
    <w:rsid w:val="00385290"/>
    <w:rsid w:val="00385779"/>
    <w:rsid w:val="0038584C"/>
    <w:rsid w:val="00385AA5"/>
    <w:rsid w:val="00385E44"/>
    <w:rsid w:val="0038618A"/>
    <w:rsid w:val="003861DF"/>
    <w:rsid w:val="00386274"/>
    <w:rsid w:val="00386449"/>
    <w:rsid w:val="003864DA"/>
    <w:rsid w:val="003868B3"/>
    <w:rsid w:val="00386B7A"/>
    <w:rsid w:val="00386D0F"/>
    <w:rsid w:val="00386F37"/>
    <w:rsid w:val="00386F6A"/>
    <w:rsid w:val="00387093"/>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2292"/>
    <w:rsid w:val="003924B1"/>
    <w:rsid w:val="003925A2"/>
    <w:rsid w:val="00392734"/>
    <w:rsid w:val="0039275F"/>
    <w:rsid w:val="003927D2"/>
    <w:rsid w:val="00392989"/>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D7F"/>
    <w:rsid w:val="00393F15"/>
    <w:rsid w:val="00393FF0"/>
    <w:rsid w:val="003940B1"/>
    <w:rsid w:val="0039418B"/>
    <w:rsid w:val="003941A8"/>
    <w:rsid w:val="003943D8"/>
    <w:rsid w:val="00394435"/>
    <w:rsid w:val="0039476F"/>
    <w:rsid w:val="00394DF6"/>
    <w:rsid w:val="00394EDC"/>
    <w:rsid w:val="003950D0"/>
    <w:rsid w:val="0039516B"/>
    <w:rsid w:val="0039537A"/>
    <w:rsid w:val="003957A3"/>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2D"/>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3C4"/>
    <w:rsid w:val="003A44D4"/>
    <w:rsid w:val="003A4555"/>
    <w:rsid w:val="003A4AE3"/>
    <w:rsid w:val="003A4B75"/>
    <w:rsid w:val="003A4BF7"/>
    <w:rsid w:val="003A4CE3"/>
    <w:rsid w:val="003A4D99"/>
    <w:rsid w:val="003A55AE"/>
    <w:rsid w:val="003A573F"/>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F52"/>
    <w:rsid w:val="003B11C7"/>
    <w:rsid w:val="003B12B3"/>
    <w:rsid w:val="003B14BC"/>
    <w:rsid w:val="003B1596"/>
    <w:rsid w:val="003B1B3C"/>
    <w:rsid w:val="003B1C2B"/>
    <w:rsid w:val="003B1C94"/>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EB9"/>
    <w:rsid w:val="003B3F2B"/>
    <w:rsid w:val="003B4506"/>
    <w:rsid w:val="003B450F"/>
    <w:rsid w:val="003B47FA"/>
    <w:rsid w:val="003B485F"/>
    <w:rsid w:val="003B488A"/>
    <w:rsid w:val="003B4A34"/>
    <w:rsid w:val="003B4BFA"/>
    <w:rsid w:val="003B4C95"/>
    <w:rsid w:val="003B4FA0"/>
    <w:rsid w:val="003B5034"/>
    <w:rsid w:val="003B52CA"/>
    <w:rsid w:val="003B5547"/>
    <w:rsid w:val="003B5564"/>
    <w:rsid w:val="003B56D2"/>
    <w:rsid w:val="003B5745"/>
    <w:rsid w:val="003B5841"/>
    <w:rsid w:val="003B5C6A"/>
    <w:rsid w:val="003B5EE3"/>
    <w:rsid w:val="003B609B"/>
    <w:rsid w:val="003B6497"/>
    <w:rsid w:val="003B6597"/>
    <w:rsid w:val="003B6D38"/>
    <w:rsid w:val="003B7158"/>
    <w:rsid w:val="003B7171"/>
    <w:rsid w:val="003B7CCF"/>
    <w:rsid w:val="003C02E8"/>
    <w:rsid w:val="003C0343"/>
    <w:rsid w:val="003C0488"/>
    <w:rsid w:val="003C06D9"/>
    <w:rsid w:val="003C0A0F"/>
    <w:rsid w:val="003C0A78"/>
    <w:rsid w:val="003C105C"/>
    <w:rsid w:val="003C106E"/>
    <w:rsid w:val="003C11F5"/>
    <w:rsid w:val="003C1852"/>
    <w:rsid w:val="003C1AE0"/>
    <w:rsid w:val="003C1AE3"/>
    <w:rsid w:val="003C1DA3"/>
    <w:rsid w:val="003C212E"/>
    <w:rsid w:val="003C2453"/>
    <w:rsid w:val="003C254B"/>
    <w:rsid w:val="003C283C"/>
    <w:rsid w:val="003C290D"/>
    <w:rsid w:val="003C29AB"/>
    <w:rsid w:val="003C2FBB"/>
    <w:rsid w:val="003C3008"/>
    <w:rsid w:val="003C303E"/>
    <w:rsid w:val="003C32E3"/>
    <w:rsid w:val="003C342E"/>
    <w:rsid w:val="003C355F"/>
    <w:rsid w:val="003C35DC"/>
    <w:rsid w:val="003C39C5"/>
    <w:rsid w:val="003C3B04"/>
    <w:rsid w:val="003C3DDA"/>
    <w:rsid w:val="003C47C3"/>
    <w:rsid w:val="003C49B4"/>
    <w:rsid w:val="003C4BF5"/>
    <w:rsid w:val="003C4C03"/>
    <w:rsid w:val="003C4C39"/>
    <w:rsid w:val="003C4E29"/>
    <w:rsid w:val="003C5208"/>
    <w:rsid w:val="003C528D"/>
    <w:rsid w:val="003C583C"/>
    <w:rsid w:val="003C5E42"/>
    <w:rsid w:val="003C5F6F"/>
    <w:rsid w:val="003C620F"/>
    <w:rsid w:val="003C6248"/>
    <w:rsid w:val="003C6535"/>
    <w:rsid w:val="003C65F4"/>
    <w:rsid w:val="003C6647"/>
    <w:rsid w:val="003C6781"/>
    <w:rsid w:val="003C68D8"/>
    <w:rsid w:val="003C69BB"/>
    <w:rsid w:val="003C6BC9"/>
    <w:rsid w:val="003C7067"/>
    <w:rsid w:val="003C73CC"/>
    <w:rsid w:val="003C7734"/>
    <w:rsid w:val="003C78A5"/>
    <w:rsid w:val="003C7DFB"/>
    <w:rsid w:val="003D018E"/>
    <w:rsid w:val="003D09A3"/>
    <w:rsid w:val="003D0D44"/>
    <w:rsid w:val="003D1078"/>
    <w:rsid w:val="003D125C"/>
    <w:rsid w:val="003D1402"/>
    <w:rsid w:val="003D14B7"/>
    <w:rsid w:val="003D198E"/>
    <w:rsid w:val="003D1E36"/>
    <w:rsid w:val="003D1E3A"/>
    <w:rsid w:val="003D1E5E"/>
    <w:rsid w:val="003D2007"/>
    <w:rsid w:val="003D2036"/>
    <w:rsid w:val="003D231E"/>
    <w:rsid w:val="003D2359"/>
    <w:rsid w:val="003D270C"/>
    <w:rsid w:val="003D2A4B"/>
    <w:rsid w:val="003D2AE1"/>
    <w:rsid w:val="003D2AF4"/>
    <w:rsid w:val="003D2B44"/>
    <w:rsid w:val="003D2D0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CD"/>
    <w:rsid w:val="003D47E1"/>
    <w:rsid w:val="003D4827"/>
    <w:rsid w:val="003D49EC"/>
    <w:rsid w:val="003D4A20"/>
    <w:rsid w:val="003D4BAA"/>
    <w:rsid w:val="003D517A"/>
    <w:rsid w:val="003D52CC"/>
    <w:rsid w:val="003D53C8"/>
    <w:rsid w:val="003D57DD"/>
    <w:rsid w:val="003D5E14"/>
    <w:rsid w:val="003D5EAE"/>
    <w:rsid w:val="003D5F12"/>
    <w:rsid w:val="003D6123"/>
    <w:rsid w:val="003D6158"/>
    <w:rsid w:val="003D6578"/>
    <w:rsid w:val="003D6A29"/>
    <w:rsid w:val="003D6CE6"/>
    <w:rsid w:val="003D71AF"/>
    <w:rsid w:val="003D71FB"/>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17E"/>
    <w:rsid w:val="003E126B"/>
    <w:rsid w:val="003E141E"/>
    <w:rsid w:val="003E1502"/>
    <w:rsid w:val="003E15FD"/>
    <w:rsid w:val="003E16BF"/>
    <w:rsid w:val="003E1762"/>
    <w:rsid w:val="003E1A95"/>
    <w:rsid w:val="003E1AB7"/>
    <w:rsid w:val="003E1B4F"/>
    <w:rsid w:val="003E1BAA"/>
    <w:rsid w:val="003E1DCF"/>
    <w:rsid w:val="003E1F9E"/>
    <w:rsid w:val="003E2399"/>
    <w:rsid w:val="003E247A"/>
    <w:rsid w:val="003E25E2"/>
    <w:rsid w:val="003E262F"/>
    <w:rsid w:val="003E2C63"/>
    <w:rsid w:val="003E2C69"/>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AFB"/>
    <w:rsid w:val="003E4D98"/>
    <w:rsid w:val="003E50AD"/>
    <w:rsid w:val="003E5154"/>
    <w:rsid w:val="003E532D"/>
    <w:rsid w:val="003E55D8"/>
    <w:rsid w:val="003E565D"/>
    <w:rsid w:val="003E58DE"/>
    <w:rsid w:val="003E5A76"/>
    <w:rsid w:val="003E5D8D"/>
    <w:rsid w:val="003E5EFA"/>
    <w:rsid w:val="003E6027"/>
    <w:rsid w:val="003E6120"/>
    <w:rsid w:val="003E6487"/>
    <w:rsid w:val="003E655F"/>
    <w:rsid w:val="003E67A8"/>
    <w:rsid w:val="003E6A5F"/>
    <w:rsid w:val="003E6A6F"/>
    <w:rsid w:val="003E6B1B"/>
    <w:rsid w:val="003E6D50"/>
    <w:rsid w:val="003E6E4B"/>
    <w:rsid w:val="003E6EB8"/>
    <w:rsid w:val="003E762D"/>
    <w:rsid w:val="003E76FB"/>
    <w:rsid w:val="003E7AB9"/>
    <w:rsid w:val="003F027D"/>
    <w:rsid w:val="003F02B7"/>
    <w:rsid w:val="003F031E"/>
    <w:rsid w:val="003F047D"/>
    <w:rsid w:val="003F048F"/>
    <w:rsid w:val="003F0515"/>
    <w:rsid w:val="003F05B1"/>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2F0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971"/>
    <w:rsid w:val="003F5A35"/>
    <w:rsid w:val="003F5A55"/>
    <w:rsid w:val="003F5D4C"/>
    <w:rsid w:val="003F5DF7"/>
    <w:rsid w:val="003F6012"/>
    <w:rsid w:val="003F6085"/>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47"/>
    <w:rsid w:val="004014D8"/>
    <w:rsid w:val="00401716"/>
    <w:rsid w:val="00401955"/>
    <w:rsid w:val="00401A79"/>
    <w:rsid w:val="00401B0F"/>
    <w:rsid w:val="00401EF0"/>
    <w:rsid w:val="004021F0"/>
    <w:rsid w:val="00402234"/>
    <w:rsid w:val="004023F4"/>
    <w:rsid w:val="00402531"/>
    <w:rsid w:val="004026C4"/>
    <w:rsid w:val="00402A72"/>
    <w:rsid w:val="00402B47"/>
    <w:rsid w:val="00402BEE"/>
    <w:rsid w:val="00402F97"/>
    <w:rsid w:val="004030C6"/>
    <w:rsid w:val="004031D9"/>
    <w:rsid w:val="004032A2"/>
    <w:rsid w:val="004035AA"/>
    <w:rsid w:val="00403766"/>
    <w:rsid w:val="004037A0"/>
    <w:rsid w:val="0040391D"/>
    <w:rsid w:val="00403A62"/>
    <w:rsid w:val="00403F30"/>
    <w:rsid w:val="0040400D"/>
    <w:rsid w:val="004041A0"/>
    <w:rsid w:val="004043BC"/>
    <w:rsid w:val="0040456D"/>
    <w:rsid w:val="0040457B"/>
    <w:rsid w:val="00404871"/>
    <w:rsid w:val="004049A1"/>
    <w:rsid w:val="00404BF4"/>
    <w:rsid w:val="004051ED"/>
    <w:rsid w:val="004052EB"/>
    <w:rsid w:val="00405492"/>
    <w:rsid w:val="00405625"/>
    <w:rsid w:val="00405794"/>
    <w:rsid w:val="00405799"/>
    <w:rsid w:val="0040591E"/>
    <w:rsid w:val="004059EC"/>
    <w:rsid w:val="00405C98"/>
    <w:rsid w:val="00405D9A"/>
    <w:rsid w:val="00405DEA"/>
    <w:rsid w:val="00405ECF"/>
    <w:rsid w:val="00405FB9"/>
    <w:rsid w:val="004060F2"/>
    <w:rsid w:val="0040635E"/>
    <w:rsid w:val="00406382"/>
    <w:rsid w:val="00406482"/>
    <w:rsid w:val="0040679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A50"/>
    <w:rsid w:val="00407D19"/>
    <w:rsid w:val="00407D57"/>
    <w:rsid w:val="0041016C"/>
    <w:rsid w:val="00410181"/>
    <w:rsid w:val="004103AE"/>
    <w:rsid w:val="0041044D"/>
    <w:rsid w:val="0041099B"/>
    <w:rsid w:val="00410A67"/>
    <w:rsid w:val="00410D28"/>
    <w:rsid w:val="00410DEA"/>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3BF"/>
    <w:rsid w:val="004126ED"/>
    <w:rsid w:val="00412C27"/>
    <w:rsid w:val="00412C71"/>
    <w:rsid w:val="00412F41"/>
    <w:rsid w:val="004130C7"/>
    <w:rsid w:val="00413457"/>
    <w:rsid w:val="00413826"/>
    <w:rsid w:val="00413971"/>
    <w:rsid w:val="00413AA4"/>
    <w:rsid w:val="00413AA8"/>
    <w:rsid w:val="00413F85"/>
    <w:rsid w:val="00414235"/>
    <w:rsid w:val="0041449C"/>
    <w:rsid w:val="00414546"/>
    <w:rsid w:val="004146BB"/>
    <w:rsid w:val="00414853"/>
    <w:rsid w:val="0041491E"/>
    <w:rsid w:val="00414A33"/>
    <w:rsid w:val="00414A42"/>
    <w:rsid w:val="00414AF9"/>
    <w:rsid w:val="00414B51"/>
    <w:rsid w:val="00414EA7"/>
    <w:rsid w:val="00415170"/>
    <w:rsid w:val="00415211"/>
    <w:rsid w:val="004154F2"/>
    <w:rsid w:val="00415523"/>
    <w:rsid w:val="004155F4"/>
    <w:rsid w:val="004156F1"/>
    <w:rsid w:val="00415700"/>
    <w:rsid w:val="004158FB"/>
    <w:rsid w:val="00415F7E"/>
    <w:rsid w:val="00415FAD"/>
    <w:rsid w:val="00415FD4"/>
    <w:rsid w:val="00416137"/>
    <w:rsid w:val="0041616A"/>
    <w:rsid w:val="00416238"/>
    <w:rsid w:val="00416598"/>
    <w:rsid w:val="004165BA"/>
    <w:rsid w:val="00416653"/>
    <w:rsid w:val="0041670E"/>
    <w:rsid w:val="00416E57"/>
    <w:rsid w:val="00416ED5"/>
    <w:rsid w:val="00416F9C"/>
    <w:rsid w:val="00417091"/>
    <w:rsid w:val="0041752C"/>
    <w:rsid w:val="00417532"/>
    <w:rsid w:val="00417697"/>
    <w:rsid w:val="0041776C"/>
    <w:rsid w:val="00417827"/>
    <w:rsid w:val="00417B97"/>
    <w:rsid w:val="00417BB6"/>
    <w:rsid w:val="00417BE5"/>
    <w:rsid w:val="00417FB2"/>
    <w:rsid w:val="00417FF1"/>
    <w:rsid w:val="00420205"/>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2D"/>
    <w:rsid w:val="00423CD8"/>
    <w:rsid w:val="00423E31"/>
    <w:rsid w:val="00423F89"/>
    <w:rsid w:val="00423FC5"/>
    <w:rsid w:val="0042405C"/>
    <w:rsid w:val="0042430E"/>
    <w:rsid w:val="0042441C"/>
    <w:rsid w:val="004247CE"/>
    <w:rsid w:val="00424828"/>
    <w:rsid w:val="00424924"/>
    <w:rsid w:val="004249E7"/>
    <w:rsid w:val="00424CE6"/>
    <w:rsid w:val="00424F10"/>
    <w:rsid w:val="00425330"/>
    <w:rsid w:val="0042538D"/>
    <w:rsid w:val="0042559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8F1"/>
    <w:rsid w:val="00430AD3"/>
    <w:rsid w:val="00430D1F"/>
    <w:rsid w:val="0043110D"/>
    <w:rsid w:val="0043111B"/>
    <w:rsid w:val="00431243"/>
    <w:rsid w:val="004314B0"/>
    <w:rsid w:val="0043155F"/>
    <w:rsid w:val="00431D21"/>
    <w:rsid w:val="00431D8D"/>
    <w:rsid w:val="004321DB"/>
    <w:rsid w:val="004321E2"/>
    <w:rsid w:val="00432208"/>
    <w:rsid w:val="0043223F"/>
    <w:rsid w:val="004322BF"/>
    <w:rsid w:val="004322EF"/>
    <w:rsid w:val="004323A3"/>
    <w:rsid w:val="004323A7"/>
    <w:rsid w:val="00432484"/>
    <w:rsid w:val="00432A05"/>
    <w:rsid w:val="00432B62"/>
    <w:rsid w:val="00432E61"/>
    <w:rsid w:val="00432EF2"/>
    <w:rsid w:val="00432FC5"/>
    <w:rsid w:val="00433165"/>
    <w:rsid w:val="004332B3"/>
    <w:rsid w:val="00433456"/>
    <w:rsid w:val="00433580"/>
    <w:rsid w:val="004336A0"/>
    <w:rsid w:val="00433935"/>
    <w:rsid w:val="0043398C"/>
    <w:rsid w:val="00433EEB"/>
    <w:rsid w:val="004340E3"/>
    <w:rsid w:val="00434246"/>
    <w:rsid w:val="0043428A"/>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9E7"/>
    <w:rsid w:val="00435DD5"/>
    <w:rsid w:val="004362A6"/>
    <w:rsid w:val="004362AF"/>
    <w:rsid w:val="00436480"/>
    <w:rsid w:val="00436536"/>
    <w:rsid w:val="004365F2"/>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854"/>
    <w:rsid w:val="00440CC4"/>
    <w:rsid w:val="00440EC4"/>
    <w:rsid w:val="00441138"/>
    <w:rsid w:val="004411D4"/>
    <w:rsid w:val="0044122F"/>
    <w:rsid w:val="00441498"/>
    <w:rsid w:val="004415C0"/>
    <w:rsid w:val="004416D5"/>
    <w:rsid w:val="00441B7C"/>
    <w:rsid w:val="00441DD8"/>
    <w:rsid w:val="0044207E"/>
    <w:rsid w:val="004424B5"/>
    <w:rsid w:val="00442778"/>
    <w:rsid w:val="004428B6"/>
    <w:rsid w:val="00442F39"/>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5FC0"/>
    <w:rsid w:val="004460BB"/>
    <w:rsid w:val="00446207"/>
    <w:rsid w:val="004462CE"/>
    <w:rsid w:val="0044635E"/>
    <w:rsid w:val="00446815"/>
    <w:rsid w:val="0044683B"/>
    <w:rsid w:val="00446848"/>
    <w:rsid w:val="00446934"/>
    <w:rsid w:val="00446EF4"/>
    <w:rsid w:val="00447045"/>
    <w:rsid w:val="004472D5"/>
    <w:rsid w:val="00447B21"/>
    <w:rsid w:val="00447B43"/>
    <w:rsid w:val="00447D99"/>
    <w:rsid w:val="00450078"/>
    <w:rsid w:val="004505F5"/>
    <w:rsid w:val="004507C9"/>
    <w:rsid w:val="004507EA"/>
    <w:rsid w:val="00450934"/>
    <w:rsid w:val="00450BED"/>
    <w:rsid w:val="00451142"/>
    <w:rsid w:val="004515B3"/>
    <w:rsid w:val="0045169F"/>
    <w:rsid w:val="004516CF"/>
    <w:rsid w:val="00451B33"/>
    <w:rsid w:val="00451B81"/>
    <w:rsid w:val="00451C4E"/>
    <w:rsid w:val="00451D24"/>
    <w:rsid w:val="00451E49"/>
    <w:rsid w:val="00451EBE"/>
    <w:rsid w:val="00451F6E"/>
    <w:rsid w:val="00452574"/>
    <w:rsid w:val="004525A6"/>
    <w:rsid w:val="0045273B"/>
    <w:rsid w:val="004529C3"/>
    <w:rsid w:val="00452B9E"/>
    <w:rsid w:val="00452BE8"/>
    <w:rsid w:val="00452C35"/>
    <w:rsid w:val="00452C55"/>
    <w:rsid w:val="004531D5"/>
    <w:rsid w:val="00453CE0"/>
    <w:rsid w:val="00453E0F"/>
    <w:rsid w:val="00453E41"/>
    <w:rsid w:val="00453E70"/>
    <w:rsid w:val="00453F67"/>
    <w:rsid w:val="00453F69"/>
    <w:rsid w:val="00454505"/>
    <w:rsid w:val="0045497F"/>
    <w:rsid w:val="004549D8"/>
    <w:rsid w:val="004557B9"/>
    <w:rsid w:val="00455A96"/>
    <w:rsid w:val="00455DEC"/>
    <w:rsid w:val="00455F5C"/>
    <w:rsid w:val="0045620F"/>
    <w:rsid w:val="004562F4"/>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DA"/>
    <w:rsid w:val="00457AB5"/>
    <w:rsid w:val="00457B53"/>
    <w:rsid w:val="00457BE3"/>
    <w:rsid w:val="00457C30"/>
    <w:rsid w:val="00457D11"/>
    <w:rsid w:val="00457EA6"/>
    <w:rsid w:val="00457F06"/>
    <w:rsid w:val="00460055"/>
    <w:rsid w:val="0046025E"/>
    <w:rsid w:val="0046071C"/>
    <w:rsid w:val="0046076D"/>
    <w:rsid w:val="004608D6"/>
    <w:rsid w:val="00460E18"/>
    <w:rsid w:val="00460F45"/>
    <w:rsid w:val="004615C8"/>
    <w:rsid w:val="0046161E"/>
    <w:rsid w:val="004618E2"/>
    <w:rsid w:val="00461901"/>
    <w:rsid w:val="00461927"/>
    <w:rsid w:val="0046196F"/>
    <w:rsid w:val="004619F4"/>
    <w:rsid w:val="00461CEA"/>
    <w:rsid w:val="00461EBA"/>
    <w:rsid w:val="004621CF"/>
    <w:rsid w:val="004622EA"/>
    <w:rsid w:val="00462394"/>
    <w:rsid w:val="00462722"/>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538"/>
    <w:rsid w:val="00471738"/>
    <w:rsid w:val="0047177A"/>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933"/>
    <w:rsid w:val="00474A29"/>
    <w:rsid w:val="00474A86"/>
    <w:rsid w:val="00474C9A"/>
    <w:rsid w:val="00474CD0"/>
    <w:rsid w:val="0047524B"/>
    <w:rsid w:val="004752B9"/>
    <w:rsid w:val="004752DE"/>
    <w:rsid w:val="004755D2"/>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34"/>
    <w:rsid w:val="00480194"/>
    <w:rsid w:val="004804DB"/>
    <w:rsid w:val="004805C5"/>
    <w:rsid w:val="0048062C"/>
    <w:rsid w:val="00480C0C"/>
    <w:rsid w:val="00480CDA"/>
    <w:rsid w:val="00480EAD"/>
    <w:rsid w:val="004810C1"/>
    <w:rsid w:val="00481256"/>
    <w:rsid w:val="00481361"/>
    <w:rsid w:val="00481477"/>
    <w:rsid w:val="0048156E"/>
    <w:rsid w:val="004815C9"/>
    <w:rsid w:val="00481868"/>
    <w:rsid w:val="00481BED"/>
    <w:rsid w:val="00481E9C"/>
    <w:rsid w:val="00481EEF"/>
    <w:rsid w:val="0048208F"/>
    <w:rsid w:val="0048215B"/>
    <w:rsid w:val="00482201"/>
    <w:rsid w:val="00482286"/>
    <w:rsid w:val="00482355"/>
    <w:rsid w:val="0048260E"/>
    <w:rsid w:val="004829FC"/>
    <w:rsid w:val="00482A0A"/>
    <w:rsid w:val="00482A6B"/>
    <w:rsid w:val="00482B18"/>
    <w:rsid w:val="00482C4F"/>
    <w:rsid w:val="00482C5A"/>
    <w:rsid w:val="004831DB"/>
    <w:rsid w:val="0048324E"/>
    <w:rsid w:val="0048341A"/>
    <w:rsid w:val="00483583"/>
    <w:rsid w:val="00483608"/>
    <w:rsid w:val="0048368F"/>
    <w:rsid w:val="00483C14"/>
    <w:rsid w:val="00483C67"/>
    <w:rsid w:val="00483E10"/>
    <w:rsid w:val="004840D1"/>
    <w:rsid w:val="0048435F"/>
    <w:rsid w:val="00485322"/>
    <w:rsid w:val="00485480"/>
    <w:rsid w:val="004854A7"/>
    <w:rsid w:val="00485680"/>
    <w:rsid w:val="004859C6"/>
    <w:rsid w:val="00485B13"/>
    <w:rsid w:val="00485E61"/>
    <w:rsid w:val="00485FBA"/>
    <w:rsid w:val="00485FDA"/>
    <w:rsid w:val="0048606F"/>
    <w:rsid w:val="0048641D"/>
    <w:rsid w:val="0048661E"/>
    <w:rsid w:val="00486682"/>
    <w:rsid w:val="004868A3"/>
    <w:rsid w:val="00486BCC"/>
    <w:rsid w:val="00486E43"/>
    <w:rsid w:val="00486F4F"/>
    <w:rsid w:val="004872AB"/>
    <w:rsid w:val="00487363"/>
    <w:rsid w:val="0048745C"/>
    <w:rsid w:val="00487529"/>
    <w:rsid w:val="004875A4"/>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C5"/>
    <w:rsid w:val="00491FD7"/>
    <w:rsid w:val="004920FA"/>
    <w:rsid w:val="0049232C"/>
    <w:rsid w:val="00492380"/>
    <w:rsid w:val="004925A2"/>
    <w:rsid w:val="00492BF3"/>
    <w:rsid w:val="00492D77"/>
    <w:rsid w:val="00492DE3"/>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868"/>
    <w:rsid w:val="00495A69"/>
    <w:rsid w:val="00495AD9"/>
    <w:rsid w:val="00496538"/>
    <w:rsid w:val="00496716"/>
    <w:rsid w:val="00496760"/>
    <w:rsid w:val="00496789"/>
    <w:rsid w:val="0049690E"/>
    <w:rsid w:val="00496952"/>
    <w:rsid w:val="00496C71"/>
    <w:rsid w:val="00497056"/>
    <w:rsid w:val="004970D0"/>
    <w:rsid w:val="0049743D"/>
    <w:rsid w:val="004976E3"/>
    <w:rsid w:val="00497793"/>
    <w:rsid w:val="0049781D"/>
    <w:rsid w:val="004979B1"/>
    <w:rsid w:val="00497A84"/>
    <w:rsid w:val="00497D38"/>
    <w:rsid w:val="004A0362"/>
    <w:rsid w:val="004A0598"/>
    <w:rsid w:val="004A060F"/>
    <w:rsid w:val="004A0733"/>
    <w:rsid w:val="004A0C17"/>
    <w:rsid w:val="004A1258"/>
    <w:rsid w:val="004A1373"/>
    <w:rsid w:val="004A1B08"/>
    <w:rsid w:val="004A1BAF"/>
    <w:rsid w:val="004A1D15"/>
    <w:rsid w:val="004A1EA5"/>
    <w:rsid w:val="004A1EB7"/>
    <w:rsid w:val="004A207A"/>
    <w:rsid w:val="004A227C"/>
    <w:rsid w:val="004A2370"/>
    <w:rsid w:val="004A265C"/>
    <w:rsid w:val="004A2BE6"/>
    <w:rsid w:val="004A2F39"/>
    <w:rsid w:val="004A3067"/>
    <w:rsid w:val="004A3497"/>
    <w:rsid w:val="004A34B4"/>
    <w:rsid w:val="004A3915"/>
    <w:rsid w:val="004A3B54"/>
    <w:rsid w:val="004A3DA5"/>
    <w:rsid w:val="004A403A"/>
    <w:rsid w:val="004A40C3"/>
    <w:rsid w:val="004A4110"/>
    <w:rsid w:val="004A4370"/>
    <w:rsid w:val="004A46A4"/>
    <w:rsid w:val="004A47CE"/>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6FDD"/>
    <w:rsid w:val="004A715E"/>
    <w:rsid w:val="004A7870"/>
    <w:rsid w:val="004A7AA6"/>
    <w:rsid w:val="004A7B3A"/>
    <w:rsid w:val="004A7E1C"/>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675"/>
    <w:rsid w:val="004B292F"/>
    <w:rsid w:val="004B2B63"/>
    <w:rsid w:val="004B2C6C"/>
    <w:rsid w:val="004B2D2B"/>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40C5"/>
    <w:rsid w:val="004B40C7"/>
    <w:rsid w:val="004B4351"/>
    <w:rsid w:val="004B4412"/>
    <w:rsid w:val="004B4569"/>
    <w:rsid w:val="004B45CC"/>
    <w:rsid w:val="004B4655"/>
    <w:rsid w:val="004B47D2"/>
    <w:rsid w:val="004B480F"/>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6FF5"/>
    <w:rsid w:val="004B7151"/>
    <w:rsid w:val="004B7365"/>
    <w:rsid w:val="004B73E9"/>
    <w:rsid w:val="004B7432"/>
    <w:rsid w:val="004B757C"/>
    <w:rsid w:val="004B759B"/>
    <w:rsid w:val="004B75B0"/>
    <w:rsid w:val="004B7735"/>
    <w:rsid w:val="004B77B2"/>
    <w:rsid w:val="004B79E7"/>
    <w:rsid w:val="004B7C12"/>
    <w:rsid w:val="004B7C3F"/>
    <w:rsid w:val="004B7DDD"/>
    <w:rsid w:val="004B7FC5"/>
    <w:rsid w:val="004C02B6"/>
    <w:rsid w:val="004C0482"/>
    <w:rsid w:val="004C06C3"/>
    <w:rsid w:val="004C0731"/>
    <w:rsid w:val="004C07AB"/>
    <w:rsid w:val="004C090F"/>
    <w:rsid w:val="004C0A3D"/>
    <w:rsid w:val="004C0BD4"/>
    <w:rsid w:val="004C0BEC"/>
    <w:rsid w:val="004C0D27"/>
    <w:rsid w:val="004C18A7"/>
    <w:rsid w:val="004C1957"/>
    <w:rsid w:val="004C1A88"/>
    <w:rsid w:val="004C1AE4"/>
    <w:rsid w:val="004C223A"/>
    <w:rsid w:val="004C2465"/>
    <w:rsid w:val="004C249C"/>
    <w:rsid w:val="004C28B0"/>
    <w:rsid w:val="004C2ACA"/>
    <w:rsid w:val="004C2D40"/>
    <w:rsid w:val="004C2F87"/>
    <w:rsid w:val="004C3958"/>
    <w:rsid w:val="004C3973"/>
    <w:rsid w:val="004C3A0F"/>
    <w:rsid w:val="004C3A74"/>
    <w:rsid w:val="004C3EE4"/>
    <w:rsid w:val="004C3FB6"/>
    <w:rsid w:val="004C41DE"/>
    <w:rsid w:val="004C4536"/>
    <w:rsid w:val="004C460F"/>
    <w:rsid w:val="004C462B"/>
    <w:rsid w:val="004C47E2"/>
    <w:rsid w:val="004C48E3"/>
    <w:rsid w:val="004C497A"/>
    <w:rsid w:val="004C4A97"/>
    <w:rsid w:val="004C4C50"/>
    <w:rsid w:val="004C4FF6"/>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70"/>
    <w:rsid w:val="004D06C6"/>
    <w:rsid w:val="004D07C4"/>
    <w:rsid w:val="004D09CE"/>
    <w:rsid w:val="004D0A0D"/>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539"/>
    <w:rsid w:val="004D26ED"/>
    <w:rsid w:val="004D274C"/>
    <w:rsid w:val="004D29DB"/>
    <w:rsid w:val="004D2EFE"/>
    <w:rsid w:val="004D3154"/>
    <w:rsid w:val="004D31DF"/>
    <w:rsid w:val="004D329B"/>
    <w:rsid w:val="004D3419"/>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9F"/>
    <w:rsid w:val="004E23E1"/>
    <w:rsid w:val="004E240F"/>
    <w:rsid w:val="004E25B3"/>
    <w:rsid w:val="004E2682"/>
    <w:rsid w:val="004E271E"/>
    <w:rsid w:val="004E2799"/>
    <w:rsid w:val="004E2ED0"/>
    <w:rsid w:val="004E2FE5"/>
    <w:rsid w:val="004E3292"/>
    <w:rsid w:val="004E354F"/>
    <w:rsid w:val="004E3ACA"/>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335"/>
    <w:rsid w:val="004E6514"/>
    <w:rsid w:val="004E6518"/>
    <w:rsid w:val="004E675C"/>
    <w:rsid w:val="004E6A06"/>
    <w:rsid w:val="004E6B06"/>
    <w:rsid w:val="004E70F5"/>
    <w:rsid w:val="004E727D"/>
    <w:rsid w:val="004E73EC"/>
    <w:rsid w:val="004E74C9"/>
    <w:rsid w:val="004E77CE"/>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9DC"/>
    <w:rsid w:val="004F2A09"/>
    <w:rsid w:val="004F2D6A"/>
    <w:rsid w:val="004F3098"/>
    <w:rsid w:val="004F30A7"/>
    <w:rsid w:val="004F3449"/>
    <w:rsid w:val="004F3982"/>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65D"/>
    <w:rsid w:val="004F5750"/>
    <w:rsid w:val="004F5925"/>
    <w:rsid w:val="004F5BF0"/>
    <w:rsid w:val="004F5D0D"/>
    <w:rsid w:val="004F615E"/>
    <w:rsid w:val="004F61A4"/>
    <w:rsid w:val="004F6232"/>
    <w:rsid w:val="004F66D3"/>
    <w:rsid w:val="004F689F"/>
    <w:rsid w:val="004F6B46"/>
    <w:rsid w:val="004F6E24"/>
    <w:rsid w:val="004F7037"/>
    <w:rsid w:val="004F713F"/>
    <w:rsid w:val="004F723F"/>
    <w:rsid w:val="004F77AC"/>
    <w:rsid w:val="004F7B1B"/>
    <w:rsid w:val="004F7C78"/>
    <w:rsid w:val="00500036"/>
    <w:rsid w:val="005001D4"/>
    <w:rsid w:val="005001F0"/>
    <w:rsid w:val="00500434"/>
    <w:rsid w:val="005004DD"/>
    <w:rsid w:val="00500511"/>
    <w:rsid w:val="00500967"/>
    <w:rsid w:val="00500AD3"/>
    <w:rsid w:val="00500CB9"/>
    <w:rsid w:val="00500D01"/>
    <w:rsid w:val="00500DA1"/>
    <w:rsid w:val="00500DD9"/>
    <w:rsid w:val="0050101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5D86"/>
    <w:rsid w:val="00506337"/>
    <w:rsid w:val="00506498"/>
    <w:rsid w:val="00506609"/>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6DE"/>
    <w:rsid w:val="0051184A"/>
    <w:rsid w:val="005119D9"/>
    <w:rsid w:val="00511BBC"/>
    <w:rsid w:val="00511DCF"/>
    <w:rsid w:val="00511DE2"/>
    <w:rsid w:val="00511ED6"/>
    <w:rsid w:val="00511F8F"/>
    <w:rsid w:val="00511FCF"/>
    <w:rsid w:val="00512066"/>
    <w:rsid w:val="00512073"/>
    <w:rsid w:val="005124B2"/>
    <w:rsid w:val="005124F4"/>
    <w:rsid w:val="00512890"/>
    <w:rsid w:val="00512D1D"/>
    <w:rsid w:val="00513378"/>
    <w:rsid w:val="0051347E"/>
    <w:rsid w:val="005138FB"/>
    <w:rsid w:val="0051394D"/>
    <w:rsid w:val="00513AB8"/>
    <w:rsid w:val="00513C1B"/>
    <w:rsid w:val="00513C1F"/>
    <w:rsid w:val="00513E7E"/>
    <w:rsid w:val="00513F33"/>
    <w:rsid w:val="00514050"/>
    <w:rsid w:val="005144CB"/>
    <w:rsid w:val="00514965"/>
    <w:rsid w:val="00514A48"/>
    <w:rsid w:val="00514CAC"/>
    <w:rsid w:val="00514D42"/>
    <w:rsid w:val="00514D6B"/>
    <w:rsid w:val="00515138"/>
    <w:rsid w:val="005153A1"/>
    <w:rsid w:val="00515C8F"/>
    <w:rsid w:val="00515EFC"/>
    <w:rsid w:val="00516028"/>
    <w:rsid w:val="005160A2"/>
    <w:rsid w:val="00516165"/>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DAE"/>
    <w:rsid w:val="00520F69"/>
    <w:rsid w:val="00521400"/>
    <w:rsid w:val="0052171F"/>
    <w:rsid w:val="00521AF6"/>
    <w:rsid w:val="00521B33"/>
    <w:rsid w:val="00521B90"/>
    <w:rsid w:val="00521EFD"/>
    <w:rsid w:val="00522289"/>
    <w:rsid w:val="00522322"/>
    <w:rsid w:val="00522403"/>
    <w:rsid w:val="0052250E"/>
    <w:rsid w:val="00522510"/>
    <w:rsid w:val="005225C1"/>
    <w:rsid w:val="00522A65"/>
    <w:rsid w:val="00522B61"/>
    <w:rsid w:val="00522C94"/>
    <w:rsid w:val="00522CDC"/>
    <w:rsid w:val="0052302E"/>
    <w:rsid w:val="0052332F"/>
    <w:rsid w:val="005233FA"/>
    <w:rsid w:val="00523467"/>
    <w:rsid w:val="00523527"/>
    <w:rsid w:val="0052367E"/>
    <w:rsid w:val="00523ACD"/>
    <w:rsid w:val="00523C98"/>
    <w:rsid w:val="00523EF2"/>
    <w:rsid w:val="00523F23"/>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454"/>
    <w:rsid w:val="0052662B"/>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79"/>
    <w:rsid w:val="005314CF"/>
    <w:rsid w:val="0053175A"/>
    <w:rsid w:val="0053183C"/>
    <w:rsid w:val="00531FD0"/>
    <w:rsid w:val="0053234C"/>
    <w:rsid w:val="005326BA"/>
    <w:rsid w:val="005326D4"/>
    <w:rsid w:val="005326DB"/>
    <w:rsid w:val="00532A0C"/>
    <w:rsid w:val="00532E5D"/>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44"/>
    <w:rsid w:val="0053488F"/>
    <w:rsid w:val="00534A43"/>
    <w:rsid w:val="00534FDA"/>
    <w:rsid w:val="005352DF"/>
    <w:rsid w:val="005355D9"/>
    <w:rsid w:val="0053569E"/>
    <w:rsid w:val="00535787"/>
    <w:rsid w:val="00535A44"/>
    <w:rsid w:val="00535BDC"/>
    <w:rsid w:val="00535E00"/>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344"/>
    <w:rsid w:val="0053746D"/>
    <w:rsid w:val="0053766E"/>
    <w:rsid w:val="00537703"/>
    <w:rsid w:val="00537782"/>
    <w:rsid w:val="005379B8"/>
    <w:rsid w:val="005379F7"/>
    <w:rsid w:val="00537A81"/>
    <w:rsid w:val="00537DA6"/>
    <w:rsid w:val="005400D7"/>
    <w:rsid w:val="00540330"/>
    <w:rsid w:val="005404B9"/>
    <w:rsid w:val="005406CA"/>
    <w:rsid w:val="00540B37"/>
    <w:rsid w:val="00540CC8"/>
    <w:rsid w:val="00540FFA"/>
    <w:rsid w:val="005410ED"/>
    <w:rsid w:val="005412B9"/>
    <w:rsid w:val="005412FA"/>
    <w:rsid w:val="005413B6"/>
    <w:rsid w:val="005413F0"/>
    <w:rsid w:val="005415C4"/>
    <w:rsid w:val="00541788"/>
    <w:rsid w:val="00541920"/>
    <w:rsid w:val="00541A4F"/>
    <w:rsid w:val="00541B9E"/>
    <w:rsid w:val="00541D73"/>
    <w:rsid w:val="00541DD2"/>
    <w:rsid w:val="0054202C"/>
    <w:rsid w:val="005420C8"/>
    <w:rsid w:val="0054218F"/>
    <w:rsid w:val="0054251B"/>
    <w:rsid w:val="00542556"/>
    <w:rsid w:val="00542743"/>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4679"/>
    <w:rsid w:val="00544ADE"/>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C3C"/>
    <w:rsid w:val="00550D42"/>
    <w:rsid w:val="00550FEB"/>
    <w:rsid w:val="005510B8"/>
    <w:rsid w:val="0055119B"/>
    <w:rsid w:val="005512D1"/>
    <w:rsid w:val="005513BA"/>
    <w:rsid w:val="005518C5"/>
    <w:rsid w:val="00551A0C"/>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531"/>
    <w:rsid w:val="00553903"/>
    <w:rsid w:val="00553930"/>
    <w:rsid w:val="00553E1D"/>
    <w:rsid w:val="00553EB5"/>
    <w:rsid w:val="00553ED3"/>
    <w:rsid w:val="00553F5B"/>
    <w:rsid w:val="00554096"/>
    <w:rsid w:val="0055420C"/>
    <w:rsid w:val="00554508"/>
    <w:rsid w:val="0055450B"/>
    <w:rsid w:val="00554756"/>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1C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3E"/>
    <w:rsid w:val="00563EAE"/>
    <w:rsid w:val="00563F9F"/>
    <w:rsid w:val="00564172"/>
    <w:rsid w:val="005641A6"/>
    <w:rsid w:val="005641DB"/>
    <w:rsid w:val="00564289"/>
    <w:rsid w:val="0056448E"/>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A57"/>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14"/>
    <w:rsid w:val="00573EFE"/>
    <w:rsid w:val="00573F2B"/>
    <w:rsid w:val="00574372"/>
    <w:rsid w:val="00574390"/>
    <w:rsid w:val="0057443F"/>
    <w:rsid w:val="00574690"/>
    <w:rsid w:val="00574A6C"/>
    <w:rsid w:val="00574F18"/>
    <w:rsid w:val="00575195"/>
    <w:rsid w:val="0057524B"/>
    <w:rsid w:val="00575374"/>
    <w:rsid w:val="00575394"/>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56"/>
    <w:rsid w:val="0057720C"/>
    <w:rsid w:val="005778B5"/>
    <w:rsid w:val="00577C43"/>
    <w:rsid w:val="005800A9"/>
    <w:rsid w:val="005800EB"/>
    <w:rsid w:val="00580151"/>
    <w:rsid w:val="0058042C"/>
    <w:rsid w:val="00580516"/>
    <w:rsid w:val="00580655"/>
    <w:rsid w:val="00580665"/>
    <w:rsid w:val="00580835"/>
    <w:rsid w:val="00580901"/>
    <w:rsid w:val="005809D0"/>
    <w:rsid w:val="00580FAD"/>
    <w:rsid w:val="005810EC"/>
    <w:rsid w:val="005811F4"/>
    <w:rsid w:val="0058125F"/>
    <w:rsid w:val="005812E6"/>
    <w:rsid w:val="00581311"/>
    <w:rsid w:val="00581480"/>
    <w:rsid w:val="005814D4"/>
    <w:rsid w:val="0058163C"/>
    <w:rsid w:val="00581714"/>
    <w:rsid w:val="005819E1"/>
    <w:rsid w:val="00581A4E"/>
    <w:rsid w:val="00581C40"/>
    <w:rsid w:val="00581CB7"/>
    <w:rsid w:val="00581E7D"/>
    <w:rsid w:val="00581F1E"/>
    <w:rsid w:val="00581F73"/>
    <w:rsid w:val="00582001"/>
    <w:rsid w:val="00582218"/>
    <w:rsid w:val="00582460"/>
    <w:rsid w:val="00582606"/>
    <w:rsid w:val="00582623"/>
    <w:rsid w:val="00582693"/>
    <w:rsid w:val="00582A16"/>
    <w:rsid w:val="00582B98"/>
    <w:rsid w:val="00582D64"/>
    <w:rsid w:val="00583222"/>
    <w:rsid w:val="00583315"/>
    <w:rsid w:val="00583677"/>
    <w:rsid w:val="005837BB"/>
    <w:rsid w:val="005837F8"/>
    <w:rsid w:val="005839AC"/>
    <w:rsid w:val="00583B21"/>
    <w:rsid w:val="00583BD1"/>
    <w:rsid w:val="00583D76"/>
    <w:rsid w:val="00583F68"/>
    <w:rsid w:val="00583FAB"/>
    <w:rsid w:val="00584437"/>
    <w:rsid w:val="00584548"/>
    <w:rsid w:val="00584849"/>
    <w:rsid w:val="00584B1E"/>
    <w:rsid w:val="00584E28"/>
    <w:rsid w:val="00584F0E"/>
    <w:rsid w:val="00585073"/>
    <w:rsid w:val="00585AC1"/>
    <w:rsid w:val="00585CB4"/>
    <w:rsid w:val="00585DAF"/>
    <w:rsid w:val="00585DE6"/>
    <w:rsid w:val="00585E37"/>
    <w:rsid w:val="00585F8D"/>
    <w:rsid w:val="005863E3"/>
    <w:rsid w:val="005864C1"/>
    <w:rsid w:val="0058666F"/>
    <w:rsid w:val="00586789"/>
    <w:rsid w:val="00586934"/>
    <w:rsid w:val="00586A79"/>
    <w:rsid w:val="00586C79"/>
    <w:rsid w:val="00586F6B"/>
    <w:rsid w:val="0058751E"/>
    <w:rsid w:val="0058779C"/>
    <w:rsid w:val="00587B6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87"/>
    <w:rsid w:val="005931CD"/>
    <w:rsid w:val="00593513"/>
    <w:rsid w:val="0059361B"/>
    <w:rsid w:val="00593821"/>
    <w:rsid w:val="005938A1"/>
    <w:rsid w:val="00593C0B"/>
    <w:rsid w:val="00593D92"/>
    <w:rsid w:val="00594131"/>
    <w:rsid w:val="005943DC"/>
    <w:rsid w:val="0059469D"/>
    <w:rsid w:val="00594822"/>
    <w:rsid w:val="005949F3"/>
    <w:rsid w:val="00594AA3"/>
    <w:rsid w:val="00594C9D"/>
    <w:rsid w:val="00594EC7"/>
    <w:rsid w:val="00594F57"/>
    <w:rsid w:val="0059509B"/>
    <w:rsid w:val="005953FA"/>
    <w:rsid w:val="00595B25"/>
    <w:rsid w:val="00595FDC"/>
    <w:rsid w:val="005960F6"/>
    <w:rsid w:val="005965CD"/>
    <w:rsid w:val="005967D3"/>
    <w:rsid w:val="005969F9"/>
    <w:rsid w:val="00596A51"/>
    <w:rsid w:val="00596BF6"/>
    <w:rsid w:val="00596D22"/>
    <w:rsid w:val="00596D2F"/>
    <w:rsid w:val="00596D47"/>
    <w:rsid w:val="00596FCD"/>
    <w:rsid w:val="00597223"/>
    <w:rsid w:val="00597387"/>
    <w:rsid w:val="00597486"/>
    <w:rsid w:val="00597536"/>
    <w:rsid w:val="005976ED"/>
    <w:rsid w:val="005977B5"/>
    <w:rsid w:val="00597879"/>
    <w:rsid w:val="00597DDF"/>
    <w:rsid w:val="005A0118"/>
    <w:rsid w:val="005A01ED"/>
    <w:rsid w:val="005A038C"/>
    <w:rsid w:val="005A0542"/>
    <w:rsid w:val="005A0741"/>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2F6C"/>
    <w:rsid w:val="005A3203"/>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84"/>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B9D"/>
    <w:rsid w:val="005A7BE9"/>
    <w:rsid w:val="005A7D21"/>
    <w:rsid w:val="005A7E3D"/>
    <w:rsid w:val="005B0765"/>
    <w:rsid w:val="005B088F"/>
    <w:rsid w:val="005B08D8"/>
    <w:rsid w:val="005B0D3F"/>
    <w:rsid w:val="005B0E8B"/>
    <w:rsid w:val="005B0F2F"/>
    <w:rsid w:val="005B1244"/>
    <w:rsid w:val="005B1539"/>
    <w:rsid w:val="005B15D3"/>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1C4"/>
    <w:rsid w:val="005B441F"/>
    <w:rsid w:val="005B4664"/>
    <w:rsid w:val="005B46F7"/>
    <w:rsid w:val="005B4CC0"/>
    <w:rsid w:val="005B4D4C"/>
    <w:rsid w:val="005B4E68"/>
    <w:rsid w:val="005B4F05"/>
    <w:rsid w:val="005B509C"/>
    <w:rsid w:val="005B5136"/>
    <w:rsid w:val="005B5188"/>
    <w:rsid w:val="005B53F3"/>
    <w:rsid w:val="005B551F"/>
    <w:rsid w:val="005B562E"/>
    <w:rsid w:val="005B56E4"/>
    <w:rsid w:val="005B5814"/>
    <w:rsid w:val="005B5874"/>
    <w:rsid w:val="005B5886"/>
    <w:rsid w:val="005B5A23"/>
    <w:rsid w:val="005B5D5A"/>
    <w:rsid w:val="005B5DCD"/>
    <w:rsid w:val="005B6048"/>
    <w:rsid w:val="005B620A"/>
    <w:rsid w:val="005B63AA"/>
    <w:rsid w:val="005B6645"/>
    <w:rsid w:val="005B6663"/>
    <w:rsid w:val="005B679B"/>
    <w:rsid w:val="005B6B38"/>
    <w:rsid w:val="005B6B72"/>
    <w:rsid w:val="005B6C6B"/>
    <w:rsid w:val="005B7145"/>
    <w:rsid w:val="005B728A"/>
    <w:rsid w:val="005B754F"/>
    <w:rsid w:val="005B75DC"/>
    <w:rsid w:val="005B76AA"/>
    <w:rsid w:val="005B770C"/>
    <w:rsid w:val="005B7749"/>
    <w:rsid w:val="005B7774"/>
    <w:rsid w:val="005B78AC"/>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118"/>
    <w:rsid w:val="005C33B4"/>
    <w:rsid w:val="005C3478"/>
    <w:rsid w:val="005C352C"/>
    <w:rsid w:val="005C36B2"/>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5A"/>
    <w:rsid w:val="005C5DBE"/>
    <w:rsid w:val="005C5F26"/>
    <w:rsid w:val="005C5F51"/>
    <w:rsid w:val="005C64DD"/>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38F"/>
    <w:rsid w:val="005D24AB"/>
    <w:rsid w:val="005D25C3"/>
    <w:rsid w:val="005D25E0"/>
    <w:rsid w:val="005D26EF"/>
    <w:rsid w:val="005D2B1F"/>
    <w:rsid w:val="005D2DD9"/>
    <w:rsid w:val="005D2E35"/>
    <w:rsid w:val="005D2E4F"/>
    <w:rsid w:val="005D2FE3"/>
    <w:rsid w:val="005D3380"/>
    <w:rsid w:val="005D34F3"/>
    <w:rsid w:val="005D35E4"/>
    <w:rsid w:val="005D35F0"/>
    <w:rsid w:val="005D378C"/>
    <w:rsid w:val="005D39FC"/>
    <w:rsid w:val="005D3A68"/>
    <w:rsid w:val="005D3A74"/>
    <w:rsid w:val="005D3B30"/>
    <w:rsid w:val="005D3B74"/>
    <w:rsid w:val="005D3C83"/>
    <w:rsid w:val="005D4665"/>
    <w:rsid w:val="005D46BF"/>
    <w:rsid w:val="005D4737"/>
    <w:rsid w:val="005D492B"/>
    <w:rsid w:val="005D4C4E"/>
    <w:rsid w:val="005D4E44"/>
    <w:rsid w:val="005D5041"/>
    <w:rsid w:val="005D50BA"/>
    <w:rsid w:val="005D50F6"/>
    <w:rsid w:val="005D5581"/>
    <w:rsid w:val="005D5FA1"/>
    <w:rsid w:val="005D6400"/>
    <w:rsid w:val="005D6522"/>
    <w:rsid w:val="005D6562"/>
    <w:rsid w:val="005D65EE"/>
    <w:rsid w:val="005D673E"/>
    <w:rsid w:val="005D6782"/>
    <w:rsid w:val="005D6921"/>
    <w:rsid w:val="005D694C"/>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C53"/>
    <w:rsid w:val="005E0E91"/>
    <w:rsid w:val="005E11B8"/>
    <w:rsid w:val="005E1767"/>
    <w:rsid w:val="005E192D"/>
    <w:rsid w:val="005E19E3"/>
    <w:rsid w:val="005E1B51"/>
    <w:rsid w:val="005E1C1A"/>
    <w:rsid w:val="005E1C7C"/>
    <w:rsid w:val="005E1E00"/>
    <w:rsid w:val="005E1E52"/>
    <w:rsid w:val="005E1EC4"/>
    <w:rsid w:val="005E21FD"/>
    <w:rsid w:val="005E22EE"/>
    <w:rsid w:val="005E2376"/>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04D"/>
    <w:rsid w:val="005E54DE"/>
    <w:rsid w:val="005E5AB3"/>
    <w:rsid w:val="005E5ACC"/>
    <w:rsid w:val="005E628F"/>
    <w:rsid w:val="005E62DF"/>
    <w:rsid w:val="005E69FB"/>
    <w:rsid w:val="005E6E59"/>
    <w:rsid w:val="005E6F7F"/>
    <w:rsid w:val="005E7018"/>
    <w:rsid w:val="005E711D"/>
    <w:rsid w:val="005E7162"/>
    <w:rsid w:val="005E72D5"/>
    <w:rsid w:val="005E75CF"/>
    <w:rsid w:val="005E7851"/>
    <w:rsid w:val="005E78D0"/>
    <w:rsid w:val="005E794F"/>
    <w:rsid w:val="005E7D07"/>
    <w:rsid w:val="005E7D9E"/>
    <w:rsid w:val="005E7F3F"/>
    <w:rsid w:val="005F0030"/>
    <w:rsid w:val="005F019E"/>
    <w:rsid w:val="005F02C0"/>
    <w:rsid w:val="005F073B"/>
    <w:rsid w:val="005F0803"/>
    <w:rsid w:val="005F0838"/>
    <w:rsid w:val="005F0A9E"/>
    <w:rsid w:val="005F0BA0"/>
    <w:rsid w:val="005F0CE0"/>
    <w:rsid w:val="005F0DB7"/>
    <w:rsid w:val="005F131A"/>
    <w:rsid w:val="005F142F"/>
    <w:rsid w:val="005F15A8"/>
    <w:rsid w:val="005F16DD"/>
    <w:rsid w:val="005F182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4396"/>
    <w:rsid w:val="005F43D0"/>
    <w:rsid w:val="005F47B4"/>
    <w:rsid w:val="005F48C5"/>
    <w:rsid w:val="005F4911"/>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1F"/>
    <w:rsid w:val="005F6D66"/>
    <w:rsid w:val="005F6E70"/>
    <w:rsid w:val="005F6E84"/>
    <w:rsid w:val="005F6FDC"/>
    <w:rsid w:val="005F70DA"/>
    <w:rsid w:val="005F7262"/>
    <w:rsid w:val="005F737B"/>
    <w:rsid w:val="005F75D8"/>
    <w:rsid w:val="005F75F5"/>
    <w:rsid w:val="005F7823"/>
    <w:rsid w:val="005F7AE2"/>
    <w:rsid w:val="005F7B50"/>
    <w:rsid w:val="00600300"/>
    <w:rsid w:val="00600304"/>
    <w:rsid w:val="006005A8"/>
    <w:rsid w:val="006009AB"/>
    <w:rsid w:val="00600B13"/>
    <w:rsid w:val="00600C29"/>
    <w:rsid w:val="00600CCA"/>
    <w:rsid w:val="00600F74"/>
    <w:rsid w:val="00601098"/>
    <w:rsid w:val="00601126"/>
    <w:rsid w:val="0060132F"/>
    <w:rsid w:val="00601900"/>
    <w:rsid w:val="0060191E"/>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C0C"/>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9E"/>
    <w:rsid w:val="00607020"/>
    <w:rsid w:val="006071FB"/>
    <w:rsid w:val="0060755E"/>
    <w:rsid w:val="006078F8"/>
    <w:rsid w:val="00607A6C"/>
    <w:rsid w:val="00610405"/>
    <w:rsid w:val="00610AAD"/>
    <w:rsid w:val="00610B28"/>
    <w:rsid w:val="00610BCA"/>
    <w:rsid w:val="00610D3C"/>
    <w:rsid w:val="00610E7D"/>
    <w:rsid w:val="00611118"/>
    <w:rsid w:val="0061118F"/>
    <w:rsid w:val="0061125C"/>
    <w:rsid w:val="0061139E"/>
    <w:rsid w:val="0061145C"/>
    <w:rsid w:val="00611489"/>
    <w:rsid w:val="006116C5"/>
    <w:rsid w:val="00611776"/>
    <w:rsid w:val="00611A47"/>
    <w:rsid w:val="00611AA5"/>
    <w:rsid w:val="00611B07"/>
    <w:rsid w:val="00611B57"/>
    <w:rsid w:val="00611FBF"/>
    <w:rsid w:val="0061205C"/>
    <w:rsid w:val="006121CA"/>
    <w:rsid w:val="00612239"/>
    <w:rsid w:val="00612385"/>
    <w:rsid w:val="006127A7"/>
    <w:rsid w:val="00612D03"/>
    <w:rsid w:val="00613314"/>
    <w:rsid w:val="00613400"/>
    <w:rsid w:val="006134C3"/>
    <w:rsid w:val="00613579"/>
    <w:rsid w:val="00613B58"/>
    <w:rsid w:val="0061458B"/>
    <w:rsid w:val="00614906"/>
    <w:rsid w:val="006149C1"/>
    <w:rsid w:val="00614E83"/>
    <w:rsid w:val="00615183"/>
    <w:rsid w:val="00615216"/>
    <w:rsid w:val="006154E3"/>
    <w:rsid w:val="006154E9"/>
    <w:rsid w:val="0061575F"/>
    <w:rsid w:val="00615A6F"/>
    <w:rsid w:val="006161C5"/>
    <w:rsid w:val="006162EE"/>
    <w:rsid w:val="006168D5"/>
    <w:rsid w:val="00616B16"/>
    <w:rsid w:val="00616BF0"/>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EF6"/>
    <w:rsid w:val="00621F41"/>
    <w:rsid w:val="0062203B"/>
    <w:rsid w:val="00622060"/>
    <w:rsid w:val="006220D1"/>
    <w:rsid w:val="00622167"/>
    <w:rsid w:val="006222EA"/>
    <w:rsid w:val="006223FD"/>
    <w:rsid w:val="0062240B"/>
    <w:rsid w:val="00622662"/>
    <w:rsid w:val="006226A3"/>
    <w:rsid w:val="0062289D"/>
    <w:rsid w:val="00622D80"/>
    <w:rsid w:val="00622D89"/>
    <w:rsid w:val="00622E63"/>
    <w:rsid w:val="00622EC8"/>
    <w:rsid w:val="0062311A"/>
    <w:rsid w:val="00623434"/>
    <w:rsid w:val="0062397A"/>
    <w:rsid w:val="00623F0C"/>
    <w:rsid w:val="00623F18"/>
    <w:rsid w:val="006241AB"/>
    <w:rsid w:val="00624225"/>
    <w:rsid w:val="00624272"/>
    <w:rsid w:val="006242D5"/>
    <w:rsid w:val="00624716"/>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00D"/>
    <w:rsid w:val="00627281"/>
    <w:rsid w:val="006273C5"/>
    <w:rsid w:val="006275BD"/>
    <w:rsid w:val="00627774"/>
    <w:rsid w:val="0062778B"/>
    <w:rsid w:val="006277DA"/>
    <w:rsid w:val="0062790C"/>
    <w:rsid w:val="006279A7"/>
    <w:rsid w:val="00627A89"/>
    <w:rsid w:val="00627C3D"/>
    <w:rsid w:val="00627E9E"/>
    <w:rsid w:val="00627F08"/>
    <w:rsid w:val="00630320"/>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403"/>
    <w:rsid w:val="00636653"/>
    <w:rsid w:val="006366EF"/>
    <w:rsid w:val="00636712"/>
    <w:rsid w:val="00637212"/>
    <w:rsid w:val="006372FF"/>
    <w:rsid w:val="0063745E"/>
    <w:rsid w:val="0063753C"/>
    <w:rsid w:val="006378D4"/>
    <w:rsid w:val="00637A35"/>
    <w:rsid w:val="00637C87"/>
    <w:rsid w:val="00637C8A"/>
    <w:rsid w:val="00637E74"/>
    <w:rsid w:val="00637F15"/>
    <w:rsid w:val="00640292"/>
    <w:rsid w:val="006402D8"/>
    <w:rsid w:val="0064032B"/>
    <w:rsid w:val="00640440"/>
    <w:rsid w:val="00640465"/>
    <w:rsid w:val="00640AE1"/>
    <w:rsid w:val="00640E6D"/>
    <w:rsid w:val="00641324"/>
    <w:rsid w:val="0064134F"/>
    <w:rsid w:val="0064154E"/>
    <w:rsid w:val="00641A01"/>
    <w:rsid w:val="00641D8C"/>
    <w:rsid w:val="00641D8F"/>
    <w:rsid w:val="00642002"/>
    <w:rsid w:val="00642470"/>
    <w:rsid w:val="0064256C"/>
    <w:rsid w:val="00642675"/>
    <w:rsid w:val="00642AC6"/>
    <w:rsid w:val="00642B32"/>
    <w:rsid w:val="00643006"/>
    <w:rsid w:val="0064327A"/>
    <w:rsid w:val="00643377"/>
    <w:rsid w:val="00643846"/>
    <w:rsid w:val="00643A61"/>
    <w:rsid w:val="00644385"/>
    <w:rsid w:val="00644452"/>
    <w:rsid w:val="006446B0"/>
    <w:rsid w:val="006448FB"/>
    <w:rsid w:val="0064491F"/>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7C"/>
    <w:rsid w:val="00651412"/>
    <w:rsid w:val="00651599"/>
    <w:rsid w:val="00651909"/>
    <w:rsid w:val="00651B08"/>
    <w:rsid w:val="00652216"/>
    <w:rsid w:val="0065233D"/>
    <w:rsid w:val="00652366"/>
    <w:rsid w:val="006523D4"/>
    <w:rsid w:val="00652489"/>
    <w:rsid w:val="0065249A"/>
    <w:rsid w:val="006527AF"/>
    <w:rsid w:val="006527D0"/>
    <w:rsid w:val="00652D61"/>
    <w:rsid w:val="00653027"/>
    <w:rsid w:val="00653203"/>
    <w:rsid w:val="006532AB"/>
    <w:rsid w:val="0065340A"/>
    <w:rsid w:val="0065340B"/>
    <w:rsid w:val="0065358A"/>
    <w:rsid w:val="00653661"/>
    <w:rsid w:val="006537C6"/>
    <w:rsid w:val="00653A90"/>
    <w:rsid w:val="00653A97"/>
    <w:rsid w:val="00653C0C"/>
    <w:rsid w:val="00653C1D"/>
    <w:rsid w:val="00653C4C"/>
    <w:rsid w:val="00653CCE"/>
    <w:rsid w:val="00653DAF"/>
    <w:rsid w:val="00653E87"/>
    <w:rsid w:val="00653F7F"/>
    <w:rsid w:val="00654034"/>
    <w:rsid w:val="0065419D"/>
    <w:rsid w:val="006545AD"/>
    <w:rsid w:val="0065481D"/>
    <w:rsid w:val="006549BE"/>
    <w:rsid w:val="00654F4A"/>
    <w:rsid w:val="00654F5A"/>
    <w:rsid w:val="00654F6F"/>
    <w:rsid w:val="00654FEA"/>
    <w:rsid w:val="0065509F"/>
    <w:rsid w:val="006550F5"/>
    <w:rsid w:val="006551CE"/>
    <w:rsid w:val="0065528C"/>
    <w:rsid w:val="0065557D"/>
    <w:rsid w:val="00655692"/>
    <w:rsid w:val="006556D9"/>
    <w:rsid w:val="00655897"/>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781"/>
    <w:rsid w:val="00661827"/>
    <w:rsid w:val="006618B0"/>
    <w:rsid w:val="0066190D"/>
    <w:rsid w:val="00661AD3"/>
    <w:rsid w:val="0066206E"/>
    <w:rsid w:val="006620D3"/>
    <w:rsid w:val="006623B3"/>
    <w:rsid w:val="0066244D"/>
    <w:rsid w:val="0066251F"/>
    <w:rsid w:val="006626A1"/>
    <w:rsid w:val="00662955"/>
    <w:rsid w:val="00662978"/>
    <w:rsid w:val="00662A99"/>
    <w:rsid w:val="00662A9B"/>
    <w:rsid w:val="00662B32"/>
    <w:rsid w:val="00662D46"/>
    <w:rsid w:val="00662D5F"/>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1C9"/>
    <w:rsid w:val="00664285"/>
    <w:rsid w:val="00664601"/>
    <w:rsid w:val="0066476A"/>
    <w:rsid w:val="00664784"/>
    <w:rsid w:val="006649BB"/>
    <w:rsid w:val="00664C18"/>
    <w:rsid w:val="00664C20"/>
    <w:rsid w:val="00664D93"/>
    <w:rsid w:val="00664DB0"/>
    <w:rsid w:val="00664EA3"/>
    <w:rsid w:val="00664F67"/>
    <w:rsid w:val="00665924"/>
    <w:rsid w:val="00665948"/>
    <w:rsid w:val="006659F8"/>
    <w:rsid w:val="00665D1D"/>
    <w:rsid w:val="00665DDE"/>
    <w:rsid w:val="00665EAB"/>
    <w:rsid w:val="00665F4C"/>
    <w:rsid w:val="0066675C"/>
    <w:rsid w:val="00666F8A"/>
    <w:rsid w:val="00667064"/>
    <w:rsid w:val="0066718C"/>
    <w:rsid w:val="00667228"/>
    <w:rsid w:val="00667373"/>
    <w:rsid w:val="0066776B"/>
    <w:rsid w:val="0066792E"/>
    <w:rsid w:val="00667D82"/>
    <w:rsid w:val="00670498"/>
    <w:rsid w:val="006705C4"/>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05F"/>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DE"/>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8B"/>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93D"/>
    <w:rsid w:val="00687AB5"/>
    <w:rsid w:val="00687B97"/>
    <w:rsid w:val="00687C19"/>
    <w:rsid w:val="00687ED6"/>
    <w:rsid w:val="00690484"/>
    <w:rsid w:val="006905ED"/>
    <w:rsid w:val="006906E4"/>
    <w:rsid w:val="006907BD"/>
    <w:rsid w:val="00690B03"/>
    <w:rsid w:val="00690CB4"/>
    <w:rsid w:val="00690E22"/>
    <w:rsid w:val="006916B6"/>
    <w:rsid w:val="00691856"/>
    <w:rsid w:val="006918C0"/>
    <w:rsid w:val="0069194B"/>
    <w:rsid w:val="00691A2C"/>
    <w:rsid w:val="00691BD4"/>
    <w:rsid w:val="00691C15"/>
    <w:rsid w:val="00691D6D"/>
    <w:rsid w:val="00691EC1"/>
    <w:rsid w:val="00691F84"/>
    <w:rsid w:val="0069205D"/>
    <w:rsid w:val="00692066"/>
    <w:rsid w:val="00692470"/>
    <w:rsid w:val="00692597"/>
    <w:rsid w:val="006925A0"/>
    <w:rsid w:val="006926CF"/>
    <w:rsid w:val="00692A49"/>
    <w:rsid w:val="00692A59"/>
    <w:rsid w:val="00692BC9"/>
    <w:rsid w:val="00692D2A"/>
    <w:rsid w:val="00693361"/>
    <w:rsid w:val="00693401"/>
    <w:rsid w:val="00693520"/>
    <w:rsid w:val="00693608"/>
    <w:rsid w:val="00693C2E"/>
    <w:rsid w:val="00693D5B"/>
    <w:rsid w:val="00693E20"/>
    <w:rsid w:val="00693F47"/>
    <w:rsid w:val="00693F6D"/>
    <w:rsid w:val="0069409C"/>
    <w:rsid w:val="006943A7"/>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0BF"/>
    <w:rsid w:val="00697196"/>
    <w:rsid w:val="00697A1F"/>
    <w:rsid w:val="00697EC0"/>
    <w:rsid w:val="00697FE0"/>
    <w:rsid w:val="006A0077"/>
    <w:rsid w:val="006A0221"/>
    <w:rsid w:val="006A0354"/>
    <w:rsid w:val="006A04B4"/>
    <w:rsid w:val="006A0673"/>
    <w:rsid w:val="006A08DB"/>
    <w:rsid w:val="006A09E9"/>
    <w:rsid w:val="006A0AE3"/>
    <w:rsid w:val="006A0B3E"/>
    <w:rsid w:val="006A0C60"/>
    <w:rsid w:val="006A0D95"/>
    <w:rsid w:val="006A0E98"/>
    <w:rsid w:val="006A0FC9"/>
    <w:rsid w:val="006A0FFA"/>
    <w:rsid w:val="006A1285"/>
    <w:rsid w:val="006A1485"/>
    <w:rsid w:val="006A1622"/>
    <w:rsid w:val="006A164D"/>
    <w:rsid w:val="006A1843"/>
    <w:rsid w:val="006A1927"/>
    <w:rsid w:val="006A1C07"/>
    <w:rsid w:val="006A1DAA"/>
    <w:rsid w:val="006A1E2C"/>
    <w:rsid w:val="006A1EB4"/>
    <w:rsid w:val="006A1EB5"/>
    <w:rsid w:val="006A26B8"/>
    <w:rsid w:val="006A2760"/>
    <w:rsid w:val="006A328D"/>
    <w:rsid w:val="006A3376"/>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D21"/>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0E"/>
    <w:rsid w:val="006A7C21"/>
    <w:rsid w:val="006A7CE8"/>
    <w:rsid w:val="006A7E19"/>
    <w:rsid w:val="006A7F82"/>
    <w:rsid w:val="006B03A5"/>
    <w:rsid w:val="006B03DD"/>
    <w:rsid w:val="006B04D8"/>
    <w:rsid w:val="006B055E"/>
    <w:rsid w:val="006B05DC"/>
    <w:rsid w:val="006B0638"/>
    <w:rsid w:val="006B07BF"/>
    <w:rsid w:val="006B0B65"/>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D6E"/>
    <w:rsid w:val="006B3107"/>
    <w:rsid w:val="006B3117"/>
    <w:rsid w:val="006B360B"/>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82E"/>
    <w:rsid w:val="006B6932"/>
    <w:rsid w:val="006B6A50"/>
    <w:rsid w:val="006B6D81"/>
    <w:rsid w:val="006B7179"/>
    <w:rsid w:val="006B74A9"/>
    <w:rsid w:val="006B7882"/>
    <w:rsid w:val="006C0263"/>
    <w:rsid w:val="006C040E"/>
    <w:rsid w:val="006C043E"/>
    <w:rsid w:val="006C09CC"/>
    <w:rsid w:val="006C0A08"/>
    <w:rsid w:val="006C0A19"/>
    <w:rsid w:val="006C0A62"/>
    <w:rsid w:val="006C0AD9"/>
    <w:rsid w:val="006C0B6A"/>
    <w:rsid w:val="006C1257"/>
    <w:rsid w:val="006C12DA"/>
    <w:rsid w:val="006C1559"/>
    <w:rsid w:val="006C1783"/>
    <w:rsid w:val="006C1A0E"/>
    <w:rsid w:val="006C1A74"/>
    <w:rsid w:val="006C1B8C"/>
    <w:rsid w:val="006C1B8E"/>
    <w:rsid w:val="006C1DAE"/>
    <w:rsid w:val="006C1E07"/>
    <w:rsid w:val="006C1EEC"/>
    <w:rsid w:val="006C2013"/>
    <w:rsid w:val="006C2025"/>
    <w:rsid w:val="006C2026"/>
    <w:rsid w:val="006C26EA"/>
    <w:rsid w:val="006C2B4B"/>
    <w:rsid w:val="006C2C7A"/>
    <w:rsid w:val="006C2DD6"/>
    <w:rsid w:val="006C3045"/>
    <w:rsid w:val="006C3466"/>
    <w:rsid w:val="006C36F7"/>
    <w:rsid w:val="006C3803"/>
    <w:rsid w:val="006C38A6"/>
    <w:rsid w:val="006C3AA2"/>
    <w:rsid w:val="006C3C0C"/>
    <w:rsid w:val="006C3FB8"/>
    <w:rsid w:val="006C4245"/>
    <w:rsid w:val="006C45BC"/>
    <w:rsid w:val="006C464A"/>
    <w:rsid w:val="006C46DA"/>
    <w:rsid w:val="006C4D24"/>
    <w:rsid w:val="006C4E38"/>
    <w:rsid w:val="006C5363"/>
    <w:rsid w:val="006C587E"/>
    <w:rsid w:val="006C59F6"/>
    <w:rsid w:val="006C5E77"/>
    <w:rsid w:val="006C5F23"/>
    <w:rsid w:val="006C60F6"/>
    <w:rsid w:val="006C6787"/>
    <w:rsid w:val="006C6A3B"/>
    <w:rsid w:val="006C6B28"/>
    <w:rsid w:val="006C6FBB"/>
    <w:rsid w:val="006C708A"/>
    <w:rsid w:val="006C7102"/>
    <w:rsid w:val="006C7202"/>
    <w:rsid w:val="006C79E1"/>
    <w:rsid w:val="006C7BCE"/>
    <w:rsid w:val="006C7C4A"/>
    <w:rsid w:val="006D0366"/>
    <w:rsid w:val="006D0559"/>
    <w:rsid w:val="006D06B6"/>
    <w:rsid w:val="006D06FB"/>
    <w:rsid w:val="006D081D"/>
    <w:rsid w:val="006D09C1"/>
    <w:rsid w:val="006D0A3C"/>
    <w:rsid w:val="006D0C25"/>
    <w:rsid w:val="006D0CB2"/>
    <w:rsid w:val="006D10B5"/>
    <w:rsid w:val="006D11AD"/>
    <w:rsid w:val="006D19B0"/>
    <w:rsid w:val="006D1AA3"/>
    <w:rsid w:val="006D1CD2"/>
    <w:rsid w:val="006D1D72"/>
    <w:rsid w:val="006D1E92"/>
    <w:rsid w:val="006D206B"/>
    <w:rsid w:val="006D2125"/>
    <w:rsid w:val="006D26C1"/>
    <w:rsid w:val="006D2A73"/>
    <w:rsid w:val="006D3036"/>
    <w:rsid w:val="006D30D2"/>
    <w:rsid w:val="006D337C"/>
    <w:rsid w:val="006D33C7"/>
    <w:rsid w:val="006D33E7"/>
    <w:rsid w:val="006D36E8"/>
    <w:rsid w:val="006D3759"/>
    <w:rsid w:val="006D378D"/>
    <w:rsid w:val="006D37DC"/>
    <w:rsid w:val="006D3806"/>
    <w:rsid w:val="006D3A96"/>
    <w:rsid w:val="006D3DE4"/>
    <w:rsid w:val="006D417C"/>
    <w:rsid w:val="006D45FE"/>
    <w:rsid w:val="006D479B"/>
    <w:rsid w:val="006D4950"/>
    <w:rsid w:val="006D497C"/>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ABD"/>
    <w:rsid w:val="006D7B66"/>
    <w:rsid w:val="006E018D"/>
    <w:rsid w:val="006E01BD"/>
    <w:rsid w:val="006E0294"/>
    <w:rsid w:val="006E0608"/>
    <w:rsid w:val="006E06B6"/>
    <w:rsid w:val="006E0748"/>
    <w:rsid w:val="006E07A2"/>
    <w:rsid w:val="006E08C4"/>
    <w:rsid w:val="006E10AE"/>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EBD"/>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E79"/>
    <w:rsid w:val="006F202B"/>
    <w:rsid w:val="006F2184"/>
    <w:rsid w:val="006F2666"/>
    <w:rsid w:val="006F2759"/>
    <w:rsid w:val="006F27AE"/>
    <w:rsid w:val="006F28F1"/>
    <w:rsid w:val="006F2AEB"/>
    <w:rsid w:val="006F2B1E"/>
    <w:rsid w:val="006F30E7"/>
    <w:rsid w:val="006F3428"/>
    <w:rsid w:val="006F34E6"/>
    <w:rsid w:val="006F3629"/>
    <w:rsid w:val="006F3823"/>
    <w:rsid w:val="006F39CD"/>
    <w:rsid w:val="006F3B0D"/>
    <w:rsid w:val="006F3D72"/>
    <w:rsid w:val="006F4134"/>
    <w:rsid w:val="006F4232"/>
    <w:rsid w:val="006F4750"/>
    <w:rsid w:val="006F4A15"/>
    <w:rsid w:val="006F4BDE"/>
    <w:rsid w:val="006F4C34"/>
    <w:rsid w:val="006F4C95"/>
    <w:rsid w:val="006F4CBD"/>
    <w:rsid w:val="006F4DB9"/>
    <w:rsid w:val="006F4E93"/>
    <w:rsid w:val="006F4EC6"/>
    <w:rsid w:val="006F4F02"/>
    <w:rsid w:val="006F4F14"/>
    <w:rsid w:val="006F56A3"/>
    <w:rsid w:val="006F5D0C"/>
    <w:rsid w:val="006F5EA8"/>
    <w:rsid w:val="006F5ED4"/>
    <w:rsid w:val="006F5F78"/>
    <w:rsid w:val="006F6188"/>
    <w:rsid w:val="006F6224"/>
    <w:rsid w:val="006F655B"/>
    <w:rsid w:val="006F668C"/>
    <w:rsid w:val="006F67B1"/>
    <w:rsid w:val="006F68EB"/>
    <w:rsid w:val="006F6D1E"/>
    <w:rsid w:val="006F6DB5"/>
    <w:rsid w:val="006F6F9A"/>
    <w:rsid w:val="006F7297"/>
    <w:rsid w:val="006F72AC"/>
    <w:rsid w:val="006F7412"/>
    <w:rsid w:val="006F76B7"/>
    <w:rsid w:val="006F7778"/>
    <w:rsid w:val="006F779D"/>
    <w:rsid w:val="006F7C0F"/>
    <w:rsid w:val="006F7D4E"/>
    <w:rsid w:val="006F7FAB"/>
    <w:rsid w:val="00700166"/>
    <w:rsid w:val="0070029A"/>
    <w:rsid w:val="0070060B"/>
    <w:rsid w:val="00700688"/>
    <w:rsid w:val="00700B59"/>
    <w:rsid w:val="00700C6A"/>
    <w:rsid w:val="00700CB6"/>
    <w:rsid w:val="007010AE"/>
    <w:rsid w:val="00701138"/>
    <w:rsid w:val="00701C7B"/>
    <w:rsid w:val="00701CC0"/>
    <w:rsid w:val="00702299"/>
    <w:rsid w:val="007022C7"/>
    <w:rsid w:val="007022DE"/>
    <w:rsid w:val="00702398"/>
    <w:rsid w:val="0070267D"/>
    <w:rsid w:val="007029FC"/>
    <w:rsid w:val="00702FA3"/>
    <w:rsid w:val="00703292"/>
    <w:rsid w:val="007032F0"/>
    <w:rsid w:val="0070333A"/>
    <w:rsid w:val="00703716"/>
    <w:rsid w:val="00703827"/>
    <w:rsid w:val="00703A3D"/>
    <w:rsid w:val="00703A97"/>
    <w:rsid w:val="00703B7D"/>
    <w:rsid w:val="00703C65"/>
    <w:rsid w:val="00703F18"/>
    <w:rsid w:val="00703FCD"/>
    <w:rsid w:val="00704222"/>
    <w:rsid w:val="007045A5"/>
    <w:rsid w:val="00704961"/>
    <w:rsid w:val="00704C43"/>
    <w:rsid w:val="00704C57"/>
    <w:rsid w:val="00704DF9"/>
    <w:rsid w:val="0070543C"/>
    <w:rsid w:val="00705735"/>
    <w:rsid w:val="00705A64"/>
    <w:rsid w:val="00705B29"/>
    <w:rsid w:val="00706070"/>
    <w:rsid w:val="00706160"/>
    <w:rsid w:val="007063A3"/>
    <w:rsid w:val="00706729"/>
    <w:rsid w:val="007067F0"/>
    <w:rsid w:val="007068A1"/>
    <w:rsid w:val="007069B7"/>
    <w:rsid w:val="00706C9E"/>
    <w:rsid w:val="00706CAB"/>
    <w:rsid w:val="007070EF"/>
    <w:rsid w:val="00707346"/>
    <w:rsid w:val="00707818"/>
    <w:rsid w:val="0070785D"/>
    <w:rsid w:val="007079E2"/>
    <w:rsid w:val="00707B2F"/>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A54"/>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08D"/>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14A7"/>
    <w:rsid w:val="007219E6"/>
    <w:rsid w:val="00721D3F"/>
    <w:rsid w:val="00721DEC"/>
    <w:rsid w:val="00721DF1"/>
    <w:rsid w:val="0072204E"/>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183"/>
    <w:rsid w:val="0072438A"/>
    <w:rsid w:val="007243F1"/>
    <w:rsid w:val="00724492"/>
    <w:rsid w:val="0072450A"/>
    <w:rsid w:val="0072466C"/>
    <w:rsid w:val="00724C4F"/>
    <w:rsid w:val="00725095"/>
    <w:rsid w:val="00725252"/>
    <w:rsid w:val="0072537A"/>
    <w:rsid w:val="00725566"/>
    <w:rsid w:val="00725670"/>
    <w:rsid w:val="00725810"/>
    <w:rsid w:val="0072599E"/>
    <w:rsid w:val="00725C6F"/>
    <w:rsid w:val="00725E79"/>
    <w:rsid w:val="00725F81"/>
    <w:rsid w:val="00726061"/>
    <w:rsid w:val="007260FE"/>
    <w:rsid w:val="0072643E"/>
    <w:rsid w:val="00726456"/>
    <w:rsid w:val="007264F7"/>
    <w:rsid w:val="0072656E"/>
    <w:rsid w:val="00726755"/>
    <w:rsid w:val="007268A0"/>
    <w:rsid w:val="007269E0"/>
    <w:rsid w:val="00726A65"/>
    <w:rsid w:val="00726BE3"/>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619"/>
    <w:rsid w:val="007317C2"/>
    <w:rsid w:val="007319F1"/>
    <w:rsid w:val="0073203B"/>
    <w:rsid w:val="0073234F"/>
    <w:rsid w:val="0073242F"/>
    <w:rsid w:val="00732550"/>
    <w:rsid w:val="007326F5"/>
    <w:rsid w:val="0073285B"/>
    <w:rsid w:val="0073294D"/>
    <w:rsid w:val="00732A5E"/>
    <w:rsid w:val="00732D70"/>
    <w:rsid w:val="00732F00"/>
    <w:rsid w:val="00733078"/>
    <w:rsid w:val="00733458"/>
    <w:rsid w:val="00733505"/>
    <w:rsid w:val="007335E0"/>
    <w:rsid w:val="0073375D"/>
    <w:rsid w:val="00733768"/>
    <w:rsid w:val="00733A30"/>
    <w:rsid w:val="00733AB8"/>
    <w:rsid w:val="00733D70"/>
    <w:rsid w:val="00733FF0"/>
    <w:rsid w:val="00734098"/>
    <w:rsid w:val="00734199"/>
    <w:rsid w:val="0073439E"/>
    <w:rsid w:val="007343D8"/>
    <w:rsid w:val="0073442F"/>
    <w:rsid w:val="007344D4"/>
    <w:rsid w:val="0073462F"/>
    <w:rsid w:val="0073473E"/>
    <w:rsid w:val="00734A89"/>
    <w:rsid w:val="00734B36"/>
    <w:rsid w:val="00734C0E"/>
    <w:rsid w:val="00734C4E"/>
    <w:rsid w:val="00734FBC"/>
    <w:rsid w:val="007351FC"/>
    <w:rsid w:val="007355DA"/>
    <w:rsid w:val="0073569E"/>
    <w:rsid w:val="00735856"/>
    <w:rsid w:val="00735906"/>
    <w:rsid w:val="0073599C"/>
    <w:rsid w:val="00735BCF"/>
    <w:rsid w:val="00735EE5"/>
    <w:rsid w:val="007360AD"/>
    <w:rsid w:val="00736347"/>
    <w:rsid w:val="00736CBC"/>
    <w:rsid w:val="00736D54"/>
    <w:rsid w:val="00736DCD"/>
    <w:rsid w:val="00736E72"/>
    <w:rsid w:val="00736E97"/>
    <w:rsid w:val="007370D8"/>
    <w:rsid w:val="007371BF"/>
    <w:rsid w:val="00737721"/>
    <w:rsid w:val="00737841"/>
    <w:rsid w:val="0073788D"/>
    <w:rsid w:val="00737A59"/>
    <w:rsid w:val="00737B22"/>
    <w:rsid w:val="00737DCD"/>
    <w:rsid w:val="00737F42"/>
    <w:rsid w:val="007400CF"/>
    <w:rsid w:val="007401B7"/>
    <w:rsid w:val="00740591"/>
    <w:rsid w:val="00740734"/>
    <w:rsid w:val="0074077C"/>
    <w:rsid w:val="00740A79"/>
    <w:rsid w:val="00740BF6"/>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F4C"/>
    <w:rsid w:val="00745FBD"/>
    <w:rsid w:val="00745FEC"/>
    <w:rsid w:val="007465CD"/>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C5"/>
    <w:rsid w:val="00750C94"/>
    <w:rsid w:val="00750F99"/>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A41"/>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BD9"/>
    <w:rsid w:val="00754F07"/>
    <w:rsid w:val="00754F8D"/>
    <w:rsid w:val="0075514A"/>
    <w:rsid w:val="00755449"/>
    <w:rsid w:val="007559F3"/>
    <w:rsid w:val="00755A57"/>
    <w:rsid w:val="00755BB5"/>
    <w:rsid w:val="00755CE1"/>
    <w:rsid w:val="00755E6D"/>
    <w:rsid w:val="0075604E"/>
    <w:rsid w:val="00756559"/>
    <w:rsid w:val="007565B5"/>
    <w:rsid w:val="007567A8"/>
    <w:rsid w:val="00756911"/>
    <w:rsid w:val="00756937"/>
    <w:rsid w:val="00756A12"/>
    <w:rsid w:val="00756BFC"/>
    <w:rsid w:val="00756C6B"/>
    <w:rsid w:val="0075711B"/>
    <w:rsid w:val="00757121"/>
    <w:rsid w:val="0075720E"/>
    <w:rsid w:val="007574C6"/>
    <w:rsid w:val="007574CC"/>
    <w:rsid w:val="007578F4"/>
    <w:rsid w:val="00757AD8"/>
    <w:rsid w:val="0076013E"/>
    <w:rsid w:val="00760313"/>
    <w:rsid w:val="007603FC"/>
    <w:rsid w:val="0076059A"/>
    <w:rsid w:val="00760817"/>
    <w:rsid w:val="007608FB"/>
    <w:rsid w:val="007610C7"/>
    <w:rsid w:val="00761724"/>
    <w:rsid w:val="00761C6D"/>
    <w:rsid w:val="00761D09"/>
    <w:rsid w:val="00761D7E"/>
    <w:rsid w:val="00762401"/>
    <w:rsid w:val="007624EA"/>
    <w:rsid w:val="0076274F"/>
    <w:rsid w:val="00762A4F"/>
    <w:rsid w:val="00762D0E"/>
    <w:rsid w:val="00762ECB"/>
    <w:rsid w:val="00763707"/>
    <w:rsid w:val="00763925"/>
    <w:rsid w:val="00763AAF"/>
    <w:rsid w:val="00763CDC"/>
    <w:rsid w:val="00763D63"/>
    <w:rsid w:val="00763DA5"/>
    <w:rsid w:val="00763F7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748"/>
    <w:rsid w:val="007719AF"/>
    <w:rsid w:val="00771B6C"/>
    <w:rsid w:val="00771B8C"/>
    <w:rsid w:val="00771C01"/>
    <w:rsid w:val="00771C35"/>
    <w:rsid w:val="00771C98"/>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8D"/>
    <w:rsid w:val="007739B7"/>
    <w:rsid w:val="00773B88"/>
    <w:rsid w:val="00773D86"/>
    <w:rsid w:val="00773DC6"/>
    <w:rsid w:val="00773F63"/>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6F9A"/>
    <w:rsid w:val="00777164"/>
    <w:rsid w:val="007772A5"/>
    <w:rsid w:val="007773C1"/>
    <w:rsid w:val="0077740F"/>
    <w:rsid w:val="0077756A"/>
    <w:rsid w:val="00777665"/>
    <w:rsid w:val="0077780E"/>
    <w:rsid w:val="00777F34"/>
    <w:rsid w:val="00780058"/>
    <w:rsid w:val="0078008D"/>
    <w:rsid w:val="007800DF"/>
    <w:rsid w:val="0078029E"/>
    <w:rsid w:val="007808FC"/>
    <w:rsid w:val="00780A75"/>
    <w:rsid w:val="00780A94"/>
    <w:rsid w:val="00780B9E"/>
    <w:rsid w:val="00780DCB"/>
    <w:rsid w:val="007810B4"/>
    <w:rsid w:val="007810B6"/>
    <w:rsid w:val="00781280"/>
    <w:rsid w:val="0078131B"/>
    <w:rsid w:val="00781512"/>
    <w:rsid w:val="00781A40"/>
    <w:rsid w:val="00781B8F"/>
    <w:rsid w:val="00781D9F"/>
    <w:rsid w:val="00781EA2"/>
    <w:rsid w:val="00781FDE"/>
    <w:rsid w:val="007820D6"/>
    <w:rsid w:val="00782474"/>
    <w:rsid w:val="0078258B"/>
    <w:rsid w:val="007828D3"/>
    <w:rsid w:val="0078293F"/>
    <w:rsid w:val="00782A08"/>
    <w:rsid w:val="00782B7D"/>
    <w:rsid w:val="00782E29"/>
    <w:rsid w:val="0078323B"/>
    <w:rsid w:val="00783749"/>
    <w:rsid w:val="007837E9"/>
    <w:rsid w:val="007838CF"/>
    <w:rsid w:val="00783921"/>
    <w:rsid w:val="00783A96"/>
    <w:rsid w:val="00783AB6"/>
    <w:rsid w:val="00783BD4"/>
    <w:rsid w:val="00783C1A"/>
    <w:rsid w:val="00783C71"/>
    <w:rsid w:val="00783C8A"/>
    <w:rsid w:val="00783CF2"/>
    <w:rsid w:val="007842F2"/>
    <w:rsid w:val="00784484"/>
    <w:rsid w:val="0078450B"/>
    <w:rsid w:val="0078451C"/>
    <w:rsid w:val="00784558"/>
    <w:rsid w:val="007846CE"/>
    <w:rsid w:val="007847AB"/>
    <w:rsid w:val="00784A73"/>
    <w:rsid w:val="00784BB5"/>
    <w:rsid w:val="00785200"/>
    <w:rsid w:val="0078526D"/>
    <w:rsid w:val="007853B7"/>
    <w:rsid w:val="0078556A"/>
    <w:rsid w:val="00785667"/>
    <w:rsid w:val="00785759"/>
    <w:rsid w:val="00785887"/>
    <w:rsid w:val="00785BD8"/>
    <w:rsid w:val="00785E9A"/>
    <w:rsid w:val="007866E8"/>
    <w:rsid w:val="007866F5"/>
    <w:rsid w:val="0078670A"/>
    <w:rsid w:val="00786B3C"/>
    <w:rsid w:val="00786D50"/>
    <w:rsid w:val="00787440"/>
    <w:rsid w:val="0078753F"/>
    <w:rsid w:val="0078765A"/>
    <w:rsid w:val="00787668"/>
    <w:rsid w:val="007876AF"/>
    <w:rsid w:val="00787F56"/>
    <w:rsid w:val="00787FDF"/>
    <w:rsid w:val="0079010B"/>
    <w:rsid w:val="0079020A"/>
    <w:rsid w:val="00790697"/>
    <w:rsid w:val="0079070C"/>
    <w:rsid w:val="00790B6F"/>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0DB"/>
    <w:rsid w:val="00793135"/>
    <w:rsid w:val="0079313F"/>
    <w:rsid w:val="007932C1"/>
    <w:rsid w:val="007936A6"/>
    <w:rsid w:val="007936BD"/>
    <w:rsid w:val="0079380F"/>
    <w:rsid w:val="00793871"/>
    <w:rsid w:val="007939AE"/>
    <w:rsid w:val="00793B03"/>
    <w:rsid w:val="00793CB3"/>
    <w:rsid w:val="00793E2E"/>
    <w:rsid w:val="0079405F"/>
    <w:rsid w:val="007941BA"/>
    <w:rsid w:val="007941F1"/>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6FAB"/>
    <w:rsid w:val="00797030"/>
    <w:rsid w:val="00797051"/>
    <w:rsid w:val="007970BD"/>
    <w:rsid w:val="00797484"/>
    <w:rsid w:val="00797CAB"/>
    <w:rsid w:val="00797DF9"/>
    <w:rsid w:val="007A0106"/>
    <w:rsid w:val="007A014B"/>
    <w:rsid w:val="007A04C4"/>
    <w:rsid w:val="007A0568"/>
    <w:rsid w:val="007A068A"/>
    <w:rsid w:val="007A0752"/>
    <w:rsid w:val="007A07B0"/>
    <w:rsid w:val="007A0888"/>
    <w:rsid w:val="007A096D"/>
    <w:rsid w:val="007A0B3A"/>
    <w:rsid w:val="007A0D5E"/>
    <w:rsid w:val="007A0F73"/>
    <w:rsid w:val="007A0FC8"/>
    <w:rsid w:val="007A1078"/>
    <w:rsid w:val="007A127F"/>
    <w:rsid w:val="007A1329"/>
    <w:rsid w:val="007A1B85"/>
    <w:rsid w:val="007A1C67"/>
    <w:rsid w:val="007A1D01"/>
    <w:rsid w:val="007A1D34"/>
    <w:rsid w:val="007A1D54"/>
    <w:rsid w:val="007A2060"/>
    <w:rsid w:val="007A217F"/>
    <w:rsid w:val="007A21E6"/>
    <w:rsid w:val="007A238B"/>
    <w:rsid w:val="007A24C8"/>
    <w:rsid w:val="007A2740"/>
    <w:rsid w:val="007A28FF"/>
    <w:rsid w:val="007A2924"/>
    <w:rsid w:val="007A29DB"/>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DE9"/>
    <w:rsid w:val="007A4F01"/>
    <w:rsid w:val="007A4FFD"/>
    <w:rsid w:val="007A50A6"/>
    <w:rsid w:val="007A54C2"/>
    <w:rsid w:val="007A56F4"/>
    <w:rsid w:val="007A57EF"/>
    <w:rsid w:val="007A5AE5"/>
    <w:rsid w:val="007A5BC6"/>
    <w:rsid w:val="007A60FC"/>
    <w:rsid w:val="007A67B1"/>
    <w:rsid w:val="007A6F19"/>
    <w:rsid w:val="007A6F41"/>
    <w:rsid w:val="007A78C5"/>
    <w:rsid w:val="007A7D6B"/>
    <w:rsid w:val="007A7DA0"/>
    <w:rsid w:val="007A7F9B"/>
    <w:rsid w:val="007B009F"/>
    <w:rsid w:val="007B00B6"/>
    <w:rsid w:val="007B04AA"/>
    <w:rsid w:val="007B0593"/>
    <w:rsid w:val="007B0DFC"/>
    <w:rsid w:val="007B10F0"/>
    <w:rsid w:val="007B125D"/>
    <w:rsid w:val="007B15C5"/>
    <w:rsid w:val="007B1640"/>
    <w:rsid w:val="007B1825"/>
    <w:rsid w:val="007B1868"/>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5020"/>
    <w:rsid w:val="007B5356"/>
    <w:rsid w:val="007B57EA"/>
    <w:rsid w:val="007B5A70"/>
    <w:rsid w:val="007B5E68"/>
    <w:rsid w:val="007B644C"/>
    <w:rsid w:val="007B648F"/>
    <w:rsid w:val="007B6705"/>
    <w:rsid w:val="007B6826"/>
    <w:rsid w:val="007B6894"/>
    <w:rsid w:val="007B6917"/>
    <w:rsid w:val="007B6926"/>
    <w:rsid w:val="007B6A0C"/>
    <w:rsid w:val="007B6CC9"/>
    <w:rsid w:val="007B6D4D"/>
    <w:rsid w:val="007B7431"/>
    <w:rsid w:val="007B75FA"/>
    <w:rsid w:val="007B76AA"/>
    <w:rsid w:val="007B7823"/>
    <w:rsid w:val="007B785D"/>
    <w:rsid w:val="007B78E8"/>
    <w:rsid w:val="007B7A55"/>
    <w:rsid w:val="007B7B66"/>
    <w:rsid w:val="007B7D58"/>
    <w:rsid w:val="007B7E41"/>
    <w:rsid w:val="007C019C"/>
    <w:rsid w:val="007C0285"/>
    <w:rsid w:val="007C02CB"/>
    <w:rsid w:val="007C0652"/>
    <w:rsid w:val="007C0830"/>
    <w:rsid w:val="007C09ED"/>
    <w:rsid w:val="007C1371"/>
    <w:rsid w:val="007C18F6"/>
    <w:rsid w:val="007C19B4"/>
    <w:rsid w:val="007C1A33"/>
    <w:rsid w:val="007C1DAC"/>
    <w:rsid w:val="007C1ECF"/>
    <w:rsid w:val="007C2331"/>
    <w:rsid w:val="007C281E"/>
    <w:rsid w:val="007C2838"/>
    <w:rsid w:val="007C2987"/>
    <w:rsid w:val="007C2E41"/>
    <w:rsid w:val="007C2E88"/>
    <w:rsid w:val="007C3518"/>
    <w:rsid w:val="007C37A7"/>
    <w:rsid w:val="007C3925"/>
    <w:rsid w:val="007C3A12"/>
    <w:rsid w:val="007C3C1F"/>
    <w:rsid w:val="007C3C2F"/>
    <w:rsid w:val="007C3D03"/>
    <w:rsid w:val="007C3D10"/>
    <w:rsid w:val="007C4117"/>
    <w:rsid w:val="007C43BC"/>
    <w:rsid w:val="007C4447"/>
    <w:rsid w:val="007C47F8"/>
    <w:rsid w:val="007C4884"/>
    <w:rsid w:val="007C4914"/>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8BE"/>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4EC"/>
    <w:rsid w:val="007D3564"/>
    <w:rsid w:val="007D3A13"/>
    <w:rsid w:val="007D3BCB"/>
    <w:rsid w:val="007D3D2F"/>
    <w:rsid w:val="007D3D77"/>
    <w:rsid w:val="007D3F56"/>
    <w:rsid w:val="007D3FA2"/>
    <w:rsid w:val="007D408E"/>
    <w:rsid w:val="007D4152"/>
    <w:rsid w:val="007D4236"/>
    <w:rsid w:val="007D42CA"/>
    <w:rsid w:val="007D43F9"/>
    <w:rsid w:val="007D465A"/>
    <w:rsid w:val="007D4DD3"/>
    <w:rsid w:val="007D4DFD"/>
    <w:rsid w:val="007D4E85"/>
    <w:rsid w:val="007D4EEE"/>
    <w:rsid w:val="007D4F76"/>
    <w:rsid w:val="007D51DD"/>
    <w:rsid w:val="007D5B59"/>
    <w:rsid w:val="007D5C46"/>
    <w:rsid w:val="007D5EF7"/>
    <w:rsid w:val="007D5F31"/>
    <w:rsid w:val="007D5F82"/>
    <w:rsid w:val="007D6003"/>
    <w:rsid w:val="007D61DF"/>
    <w:rsid w:val="007D6242"/>
    <w:rsid w:val="007D67A5"/>
    <w:rsid w:val="007D68E5"/>
    <w:rsid w:val="007D6988"/>
    <w:rsid w:val="007D6BA4"/>
    <w:rsid w:val="007D6C5F"/>
    <w:rsid w:val="007D6CA4"/>
    <w:rsid w:val="007D709D"/>
    <w:rsid w:val="007D72B3"/>
    <w:rsid w:val="007D73A1"/>
    <w:rsid w:val="007D7578"/>
    <w:rsid w:val="007D75ED"/>
    <w:rsid w:val="007D7636"/>
    <w:rsid w:val="007D7826"/>
    <w:rsid w:val="007D7A38"/>
    <w:rsid w:val="007D7AE0"/>
    <w:rsid w:val="007D7ED5"/>
    <w:rsid w:val="007D7F40"/>
    <w:rsid w:val="007E00E3"/>
    <w:rsid w:val="007E03AE"/>
    <w:rsid w:val="007E0538"/>
    <w:rsid w:val="007E07A3"/>
    <w:rsid w:val="007E09C3"/>
    <w:rsid w:val="007E0AD5"/>
    <w:rsid w:val="007E0E8A"/>
    <w:rsid w:val="007E0F29"/>
    <w:rsid w:val="007E11D4"/>
    <w:rsid w:val="007E1463"/>
    <w:rsid w:val="007E179A"/>
    <w:rsid w:val="007E18C7"/>
    <w:rsid w:val="007E1B4E"/>
    <w:rsid w:val="007E1BBA"/>
    <w:rsid w:val="007E1EE0"/>
    <w:rsid w:val="007E20CB"/>
    <w:rsid w:val="007E217F"/>
    <w:rsid w:val="007E2247"/>
    <w:rsid w:val="007E2273"/>
    <w:rsid w:val="007E2389"/>
    <w:rsid w:val="007E2654"/>
    <w:rsid w:val="007E2988"/>
    <w:rsid w:val="007E2A20"/>
    <w:rsid w:val="007E2AEF"/>
    <w:rsid w:val="007E2B97"/>
    <w:rsid w:val="007E2C10"/>
    <w:rsid w:val="007E2F9E"/>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A"/>
    <w:rsid w:val="007E779C"/>
    <w:rsid w:val="007E78DF"/>
    <w:rsid w:val="007E7A5E"/>
    <w:rsid w:val="007E7CF4"/>
    <w:rsid w:val="007E7D83"/>
    <w:rsid w:val="007E7DDC"/>
    <w:rsid w:val="007F02AB"/>
    <w:rsid w:val="007F0394"/>
    <w:rsid w:val="007F04ED"/>
    <w:rsid w:val="007F0C23"/>
    <w:rsid w:val="007F0D2F"/>
    <w:rsid w:val="007F0FC7"/>
    <w:rsid w:val="007F100A"/>
    <w:rsid w:val="007F1450"/>
    <w:rsid w:val="007F1587"/>
    <w:rsid w:val="007F1984"/>
    <w:rsid w:val="007F19DA"/>
    <w:rsid w:val="007F1B06"/>
    <w:rsid w:val="007F1C37"/>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350"/>
    <w:rsid w:val="007F44CE"/>
    <w:rsid w:val="007F49F1"/>
    <w:rsid w:val="007F4A7E"/>
    <w:rsid w:val="007F4DE2"/>
    <w:rsid w:val="007F4EB8"/>
    <w:rsid w:val="007F4F83"/>
    <w:rsid w:val="007F5164"/>
    <w:rsid w:val="007F52B7"/>
    <w:rsid w:val="007F53F0"/>
    <w:rsid w:val="007F549E"/>
    <w:rsid w:val="007F57EE"/>
    <w:rsid w:val="007F5EF5"/>
    <w:rsid w:val="007F5EF6"/>
    <w:rsid w:val="007F6114"/>
    <w:rsid w:val="007F616D"/>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298"/>
    <w:rsid w:val="008007AD"/>
    <w:rsid w:val="00800971"/>
    <w:rsid w:val="00800C63"/>
    <w:rsid w:val="00800DCE"/>
    <w:rsid w:val="00800E35"/>
    <w:rsid w:val="0080104E"/>
    <w:rsid w:val="00801057"/>
    <w:rsid w:val="00801209"/>
    <w:rsid w:val="00801352"/>
    <w:rsid w:val="008017DF"/>
    <w:rsid w:val="00801BB8"/>
    <w:rsid w:val="00801D17"/>
    <w:rsid w:val="008021B3"/>
    <w:rsid w:val="00802234"/>
    <w:rsid w:val="00802394"/>
    <w:rsid w:val="00802398"/>
    <w:rsid w:val="00802591"/>
    <w:rsid w:val="00802738"/>
    <w:rsid w:val="00802A96"/>
    <w:rsid w:val="00802AE9"/>
    <w:rsid w:val="00802B93"/>
    <w:rsid w:val="00802BEF"/>
    <w:rsid w:val="00802D99"/>
    <w:rsid w:val="00802FA7"/>
    <w:rsid w:val="0080335A"/>
    <w:rsid w:val="00803A14"/>
    <w:rsid w:val="00803C6D"/>
    <w:rsid w:val="00803CB2"/>
    <w:rsid w:val="00803EAA"/>
    <w:rsid w:val="0080482A"/>
    <w:rsid w:val="00804938"/>
    <w:rsid w:val="00804D32"/>
    <w:rsid w:val="00804D91"/>
    <w:rsid w:val="00804F6D"/>
    <w:rsid w:val="008053B0"/>
    <w:rsid w:val="008055DC"/>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9EF"/>
    <w:rsid w:val="00807AA8"/>
    <w:rsid w:val="00807ED5"/>
    <w:rsid w:val="00807EFC"/>
    <w:rsid w:val="00810600"/>
    <w:rsid w:val="008108FD"/>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9DC"/>
    <w:rsid w:val="00813AE0"/>
    <w:rsid w:val="00813E79"/>
    <w:rsid w:val="00813F9F"/>
    <w:rsid w:val="008142D6"/>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4D"/>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A7"/>
    <w:rsid w:val="00823018"/>
    <w:rsid w:val="008234C1"/>
    <w:rsid w:val="008235DD"/>
    <w:rsid w:val="00823862"/>
    <w:rsid w:val="00823B0B"/>
    <w:rsid w:val="00824012"/>
    <w:rsid w:val="00824265"/>
    <w:rsid w:val="008243F3"/>
    <w:rsid w:val="00824557"/>
    <w:rsid w:val="0082459A"/>
    <w:rsid w:val="0082459B"/>
    <w:rsid w:val="00824706"/>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9FE"/>
    <w:rsid w:val="00826A47"/>
    <w:rsid w:val="00826A99"/>
    <w:rsid w:val="00826E41"/>
    <w:rsid w:val="00826FED"/>
    <w:rsid w:val="008272DD"/>
    <w:rsid w:val="00827A7E"/>
    <w:rsid w:val="00827E94"/>
    <w:rsid w:val="008302D7"/>
    <w:rsid w:val="0083040A"/>
    <w:rsid w:val="008307DB"/>
    <w:rsid w:val="00830D6F"/>
    <w:rsid w:val="0083102D"/>
    <w:rsid w:val="0083103A"/>
    <w:rsid w:val="00831706"/>
    <w:rsid w:val="008317FF"/>
    <w:rsid w:val="008319E2"/>
    <w:rsid w:val="00831B47"/>
    <w:rsid w:val="00831E42"/>
    <w:rsid w:val="00831ED4"/>
    <w:rsid w:val="00831F7C"/>
    <w:rsid w:val="0083244A"/>
    <w:rsid w:val="008324A9"/>
    <w:rsid w:val="0083266E"/>
    <w:rsid w:val="00832AD1"/>
    <w:rsid w:val="00832D67"/>
    <w:rsid w:val="00833006"/>
    <w:rsid w:val="0083309F"/>
    <w:rsid w:val="00833127"/>
    <w:rsid w:val="008337FE"/>
    <w:rsid w:val="00833A21"/>
    <w:rsid w:val="00833BEC"/>
    <w:rsid w:val="00833DB2"/>
    <w:rsid w:val="00834030"/>
    <w:rsid w:val="00834176"/>
    <w:rsid w:val="008341CC"/>
    <w:rsid w:val="00834663"/>
    <w:rsid w:val="00834681"/>
    <w:rsid w:val="00834863"/>
    <w:rsid w:val="008349E3"/>
    <w:rsid w:val="00834C87"/>
    <w:rsid w:val="00834F8B"/>
    <w:rsid w:val="00834F9F"/>
    <w:rsid w:val="008350E4"/>
    <w:rsid w:val="00835328"/>
    <w:rsid w:val="00835486"/>
    <w:rsid w:val="008356FF"/>
    <w:rsid w:val="0083582D"/>
    <w:rsid w:val="008358C5"/>
    <w:rsid w:val="008359CB"/>
    <w:rsid w:val="00835A30"/>
    <w:rsid w:val="00835CA0"/>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1D"/>
    <w:rsid w:val="008406EF"/>
    <w:rsid w:val="00840C5D"/>
    <w:rsid w:val="00840F3E"/>
    <w:rsid w:val="00841198"/>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77"/>
    <w:rsid w:val="008446C1"/>
    <w:rsid w:val="00844777"/>
    <w:rsid w:val="008449CE"/>
    <w:rsid w:val="00844A34"/>
    <w:rsid w:val="00844B46"/>
    <w:rsid w:val="00845085"/>
    <w:rsid w:val="0084517F"/>
    <w:rsid w:val="008452F2"/>
    <w:rsid w:val="008453EB"/>
    <w:rsid w:val="00845611"/>
    <w:rsid w:val="008456F5"/>
    <w:rsid w:val="0084570A"/>
    <w:rsid w:val="00845B44"/>
    <w:rsid w:val="00845B5D"/>
    <w:rsid w:val="00845DC8"/>
    <w:rsid w:val="0084646D"/>
    <w:rsid w:val="008465EB"/>
    <w:rsid w:val="00846752"/>
    <w:rsid w:val="0084682A"/>
    <w:rsid w:val="00846A19"/>
    <w:rsid w:val="00847280"/>
    <w:rsid w:val="00847476"/>
    <w:rsid w:val="00847754"/>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4F2"/>
    <w:rsid w:val="00851646"/>
    <w:rsid w:val="0085167F"/>
    <w:rsid w:val="00851C74"/>
    <w:rsid w:val="00851E1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3F97"/>
    <w:rsid w:val="00854004"/>
    <w:rsid w:val="008541D5"/>
    <w:rsid w:val="00854540"/>
    <w:rsid w:val="008548BB"/>
    <w:rsid w:val="00854A24"/>
    <w:rsid w:val="00854BE9"/>
    <w:rsid w:val="00854E6D"/>
    <w:rsid w:val="00854F06"/>
    <w:rsid w:val="00854FF8"/>
    <w:rsid w:val="00855335"/>
    <w:rsid w:val="0085566E"/>
    <w:rsid w:val="0085598D"/>
    <w:rsid w:val="00855C20"/>
    <w:rsid w:val="00855DE6"/>
    <w:rsid w:val="00855E77"/>
    <w:rsid w:val="008562CD"/>
    <w:rsid w:val="00856A50"/>
    <w:rsid w:val="00856A80"/>
    <w:rsid w:val="00856CCA"/>
    <w:rsid w:val="00856DBF"/>
    <w:rsid w:val="00856E39"/>
    <w:rsid w:val="0085706B"/>
    <w:rsid w:val="008571A3"/>
    <w:rsid w:val="008576D4"/>
    <w:rsid w:val="00857707"/>
    <w:rsid w:val="00857FAF"/>
    <w:rsid w:val="00860481"/>
    <w:rsid w:val="0086076F"/>
    <w:rsid w:val="0086086E"/>
    <w:rsid w:val="00860DA0"/>
    <w:rsid w:val="00860E10"/>
    <w:rsid w:val="0086117E"/>
    <w:rsid w:val="00861338"/>
    <w:rsid w:val="0086136A"/>
    <w:rsid w:val="00861491"/>
    <w:rsid w:val="00861522"/>
    <w:rsid w:val="00861562"/>
    <w:rsid w:val="0086180E"/>
    <w:rsid w:val="00862013"/>
    <w:rsid w:val="00862310"/>
    <w:rsid w:val="0086280D"/>
    <w:rsid w:val="00862D83"/>
    <w:rsid w:val="0086347B"/>
    <w:rsid w:val="00863EE8"/>
    <w:rsid w:val="008640D3"/>
    <w:rsid w:val="00864114"/>
    <w:rsid w:val="0086413D"/>
    <w:rsid w:val="00864665"/>
    <w:rsid w:val="008646B2"/>
    <w:rsid w:val="008647F0"/>
    <w:rsid w:val="0086486F"/>
    <w:rsid w:val="008648E0"/>
    <w:rsid w:val="00864A67"/>
    <w:rsid w:val="00865024"/>
    <w:rsid w:val="0086506C"/>
    <w:rsid w:val="00865206"/>
    <w:rsid w:val="008656AC"/>
    <w:rsid w:val="008658CE"/>
    <w:rsid w:val="00865AC4"/>
    <w:rsid w:val="00865AFD"/>
    <w:rsid w:val="008668A9"/>
    <w:rsid w:val="008668EE"/>
    <w:rsid w:val="00866985"/>
    <w:rsid w:val="00866A97"/>
    <w:rsid w:val="00866AE2"/>
    <w:rsid w:val="00866BBC"/>
    <w:rsid w:val="00866C4E"/>
    <w:rsid w:val="00866C9E"/>
    <w:rsid w:val="00866CDB"/>
    <w:rsid w:val="00866CE1"/>
    <w:rsid w:val="00866E54"/>
    <w:rsid w:val="00866F65"/>
    <w:rsid w:val="00866F79"/>
    <w:rsid w:val="0086713D"/>
    <w:rsid w:val="0086724E"/>
    <w:rsid w:val="0086729F"/>
    <w:rsid w:val="0086736E"/>
    <w:rsid w:val="008674C2"/>
    <w:rsid w:val="0086764F"/>
    <w:rsid w:val="0086787F"/>
    <w:rsid w:val="008678A9"/>
    <w:rsid w:val="00867D37"/>
    <w:rsid w:val="00867F1C"/>
    <w:rsid w:val="00867F44"/>
    <w:rsid w:val="00867F75"/>
    <w:rsid w:val="0087004D"/>
    <w:rsid w:val="008700D2"/>
    <w:rsid w:val="00870702"/>
    <w:rsid w:val="00870A20"/>
    <w:rsid w:val="00870BEB"/>
    <w:rsid w:val="00870CF5"/>
    <w:rsid w:val="00870E19"/>
    <w:rsid w:val="00870E8D"/>
    <w:rsid w:val="00871412"/>
    <w:rsid w:val="0087169D"/>
    <w:rsid w:val="00871AE7"/>
    <w:rsid w:val="00871C0A"/>
    <w:rsid w:val="00871C5E"/>
    <w:rsid w:val="00871D4A"/>
    <w:rsid w:val="00871E65"/>
    <w:rsid w:val="008721BB"/>
    <w:rsid w:val="00872319"/>
    <w:rsid w:val="00872525"/>
    <w:rsid w:val="00872680"/>
    <w:rsid w:val="00872795"/>
    <w:rsid w:val="00872B34"/>
    <w:rsid w:val="00872B7D"/>
    <w:rsid w:val="00872C26"/>
    <w:rsid w:val="00872D76"/>
    <w:rsid w:val="00872FE1"/>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7F0"/>
    <w:rsid w:val="00876E6B"/>
    <w:rsid w:val="00876EF8"/>
    <w:rsid w:val="00876FB6"/>
    <w:rsid w:val="0087712A"/>
    <w:rsid w:val="00877704"/>
    <w:rsid w:val="00877863"/>
    <w:rsid w:val="00877D86"/>
    <w:rsid w:val="00877F7B"/>
    <w:rsid w:val="0088010B"/>
    <w:rsid w:val="008803A6"/>
    <w:rsid w:val="008804A7"/>
    <w:rsid w:val="008804D1"/>
    <w:rsid w:val="00880539"/>
    <w:rsid w:val="00880678"/>
    <w:rsid w:val="008807F6"/>
    <w:rsid w:val="00880A96"/>
    <w:rsid w:val="00880A99"/>
    <w:rsid w:val="00880DD7"/>
    <w:rsid w:val="00881227"/>
    <w:rsid w:val="00881354"/>
    <w:rsid w:val="00881437"/>
    <w:rsid w:val="0088182F"/>
    <w:rsid w:val="00881923"/>
    <w:rsid w:val="008819D2"/>
    <w:rsid w:val="00881A2D"/>
    <w:rsid w:val="00881A58"/>
    <w:rsid w:val="008820B6"/>
    <w:rsid w:val="0088232F"/>
    <w:rsid w:val="0088247D"/>
    <w:rsid w:val="0088252F"/>
    <w:rsid w:val="00882599"/>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65"/>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599"/>
    <w:rsid w:val="00891784"/>
    <w:rsid w:val="00891799"/>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BA2"/>
    <w:rsid w:val="00893FA4"/>
    <w:rsid w:val="00893FFD"/>
    <w:rsid w:val="008943C5"/>
    <w:rsid w:val="008946BD"/>
    <w:rsid w:val="008947EF"/>
    <w:rsid w:val="008948B6"/>
    <w:rsid w:val="008948EE"/>
    <w:rsid w:val="00894D66"/>
    <w:rsid w:val="00894ECD"/>
    <w:rsid w:val="00894FB6"/>
    <w:rsid w:val="00895094"/>
    <w:rsid w:val="0089517D"/>
    <w:rsid w:val="00895258"/>
    <w:rsid w:val="008953B5"/>
    <w:rsid w:val="00895858"/>
    <w:rsid w:val="00895A2E"/>
    <w:rsid w:val="00895B31"/>
    <w:rsid w:val="00895B5D"/>
    <w:rsid w:val="00895C14"/>
    <w:rsid w:val="00895C2A"/>
    <w:rsid w:val="00895FDC"/>
    <w:rsid w:val="008960E3"/>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0E"/>
    <w:rsid w:val="008A0080"/>
    <w:rsid w:val="008A00BF"/>
    <w:rsid w:val="008A0213"/>
    <w:rsid w:val="008A03F5"/>
    <w:rsid w:val="008A0475"/>
    <w:rsid w:val="008A06C1"/>
    <w:rsid w:val="008A091C"/>
    <w:rsid w:val="008A0B4F"/>
    <w:rsid w:val="008A0C1B"/>
    <w:rsid w:val="008A0E3A"/>
    <w:rsid w:val="008A0EB0"/>
    <w:rsid w:val="008A170C"/>
    <w:rsid w:val="008A1893"/>
    <w:rsid w:val="008A18B8"/>
    <w:rsid w:val="008A1BEF"/>
    <w:rsid w:val="008A1D10"/>
    <w:rsid w:val="008A2130"/>
    <w:rsid w:val="008A21AC"/>
    <w:rsid w:val="008A2550"/>
    <w:rsid w:val="008A25E6"/>
    <w:rsid w:val="008A27D0"/>
    <w:rsid w:val="008A27E1"/>
    <w:rsid w:val="008A29BA"/>
    <w:rsid w:val="008A305F"/>
    <w:rsid w:val="008A3267"/>
    <w:rsid w:val="008A3270"/>
    <w:rsid w:val="008A333D"/>
    <w:rsid w:val="008A3460"/>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B57"/>
    <w:rsid w:val="008A7EC9"/>
    <w:rsid w:val="008B0122"/>
    <w:rsid w:val="008B0255"/>
    <w:rsid w:val="008B05B1"/>
    <w:rsid w:val="008B09B6"/>
    <w:rsid w:val="008B0BD1"/>
    <w:rsid w:val="008B1351"/>
    <w:rsid w:val="008B140D"/>
    <w:rsid w:val="008B1707"/>
    <w:rsid w:val="008B1ABF"/>
    <w:rsid w:val="008B1AF6"/>
    <w:rsid w:val="008B1F23"/>
    <w:rsid w:val="008B21CF"/>
    <w:rsid w:val="008B2539"/>
    <w:rsid w:val="008B25EA"/>
    <w:rsid w:val="008B2967"/>
    <w:rsid w:val="008B2B99"/>
    <w:rsid w:val="008B2C63"/>
    <w:rsid w:val="008B2CD6"/>
    <w:rsid w:val="008B2F09"/>
    <w:rsid w:val="008B323C"/>
    <w:rsid w:val="008B325C"/>
    <w:rsid w:val="008B346A"/>
    <w:rsid w:val="008B37BF"/>
    <w:rsid w:val="008B39FE"/>
    <w:rsid w:val="008B3E4A"/>
    <w:rsid w:val="008B407C"/>
    <w:rsid w:val="008B407E"/>
    <w:rsid w:val="008B424F"/>
    <w:rsid w:val="008B4440"/>
    <w:rsid w:val="008B45AF"/>
    <w:rsid w:val="008B485D"/>
    <w:rsid w:val="008B5B85"/>
    <w:rsid w:val="008B5E65"/>
    <w:rsid w:val="008B5E99"/>
    <w:rsid w:val="008B6644"/>
    <w:rsid w:val="008B6754"/>
    <w:rsid w:val="008B6962"/>
    <w:rsid w:val="008B6A81"/>
    <w:rsid w:val="008B6B5E"/>
    <w:rsid w:val="008B6CE3"/>
    <w:rsid w:val="008B6CFE"/>
    <w:rsid w:val="008B7269"/>
    <w:rsid w:val="008B73CA"/>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C91"/>
    <w:rsid w:val="008C0DBA"/>
    <w:rsid w:val="008C0EF0"/>
    <w:rsid w:val="008C1430"/>
    <w:rsid w:val="008C14C1"/>
    <w:rsid w:val="008C19C0"/>
    <w:rsid w:val="008C1BBF"/>
    <w:rsid w:val="008C1D4B"/>
    <w:rsid w:val="008C1D78"/>
    <w:rsid w:val="008C218D"/>
    <w:rsid w:val="008C2467"/>
    <w:rsid w:val="008C258E"/>
    <w:rsid w:val="008C29EC"/>
    <w:rsid w:val="008C29FE"/>
    <w:rsid w:val="008C2CAA"/>
    <w:rsid w:val="008C2F9F"/>
    <w:rsid w:val="008C32C7"/>
    <w:rsid w:val="008C32F7"/>
    <w:rsid w:val="008C348A"/>
    <w:rsid w:val="008C3524"/>
    <w:rsid w:val="008C37EF"/>
    <w:rsid w:val="008C39E1"/>
    <w:rsid w:val="008C3BDC"/>
    <w:rsid w:val="008C3EA8"/>
    <w:rsid w:val="008C42C7"/>
    <w:rsid w:val="008C4894"/>
    <w:rsid w:val="008C48F1"/>
    <w:rsid w:val="008C4920"/>
    <w:rsid w:val="008C4B6F"/>
    <w:rsid w:val="008C5408"/>
    <w:rsid w:val="008C54EB"/>
    <w:rsid w:val="008C5D0A"/>
    <w:rsid w:val="008C5F9C"/>
    <w:rsid w:val="008C602B"/>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154"/>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B1"/>
    <w:rsid w:val="008D2267"/>
    <w:rsid w:val="008D264A"/>
    <w:rsid w:val="008D2847"/>
    <w:rsid w:val="008D2882"/>
    <w:rsid w:val="008D2884"/>
    <w:rsid w:val="008D2965"/>
    <w:rsid w:val="008D299D"/>
    <w:rsid w:val="008D2A84"/>
    <w:rsid w:val="008D2B04"/>
    <w:rsid w:val="008D2E61"/>
    <w:rsid w:val="008D3293"/>
    <w:rsid w:val="008D349A"/>
    <w:rsid w:val="008D366F"/>
    <w:rsid w:val="008D38DD"/>
    <w:rsid w:val="008D3910"/>
    <w:rsid w:val="008D3978"/>
    <w:rsid w:val="008D399F"/>
    <w:rsid w:val="008D3A18"/>
    <w:rsid w:val="008D3C19"/>
    <w:rsid w:val="008D3C32"/>
    <w:rsid w:val="008D3D47"/>
    <w:rsid w:val="008D3F3C"/>
    <w:rsid w:val="008D3FA9"/>
    <w:rsid w:val="008D443E"/>
    <w:rsid w:val="008D4532"/>
    <w:rsid w:val="008D46B3"/>
    <w:rsid w:val="008D47B8"/>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280"/>
    <w:rsid w:val="008D6AD1"/>
    <w:rsid w:val="008D6B3B"/>
    <w:rsid w:val="008D6CE2"/>
    <w:rsid w:val="008D6CFF"/>
    <w:rsid w:val="008D6F54"/>
    <w:rsid w:val="008D712D"/>
    <w:rsid w:val="008D744B"/>
    <w:rsid w:val="008D75BB"/>
    <w:rsid w:val="008D78FA"/>
    <w:rsid w:val="008D7BBE"/>
    <w:rsid w:val="008D7C6F"/>
    <w:rsid w:val="008E0433"/>
    <w:rsid w:val="008E0487"/>
    <w:rsid w:val="008E05E2"/>
    <w:rsid w:val="008E0B5B"/>
    <w:rsid w:val="008E0CF5"/>
    <w:rsid w:val="008E0EF9"/>
    <w:rsid w:val="008E10A7"/>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4C60"/>
    <w:rsid w:val="008E4D8B"/>
    <w:rsid w:val="008E4E75"/>
    <w:rsid w:val="008E5015"/>
    <w:rsid w:val="008E5187"/>
    <w:rsid w:val="008E52CD"/>
    <w:rsid w:val="008E579B"/>
    <w:rsid w:val="008E57DC"/>
    <w:rsid w:val="008E5A7E"/>
    <w:rsid w:val="008E5BDA"/>
    <w:rsid w:val="008E5E12"/>
    <w:rsid w:val="008E613F"/>
    <w:rsid w:val="008E637C"/>
    <w:rsid w:val="008E64A9"/>
    <w:rsid w:val="008E665C"/>
    <w:rsid w:val="008E6692"/>
    <w:rsid w:val="008E6B75"/>
    <w:rsid w:val="008E6D0E"/>
    <w:rsid w:val="008E7080"/>
    <w:rsid w:val="008E7153"/>
    <w:rsid w:val="008E72D8"/>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770"/>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6CC"/>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8D9"/>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1E3"/>
    <w:rsid w:val="008F71E8"/>
    <w:rsid w:val="008F7239"/>
    <w:rsid w:val="008F72B5"/>
    <w:rsid w:val="008F74EA"/>
    <w:rsid w:val="008F76F9"/>
    <w:rsid w:val="008F783E"/>
    <w:rsid w:val="008F78EE"/>
    <w:rsid w:val="008F7A8B"/>
    <w:rsid w:val="008F7B73"/>
    <w:rsid w:val="008F7C85"/>
    <w:rsid w:val="008F7CAE"/>
    <w:rsid w:val="008F7D00"/>
    <w:rsid w:val="008F7D16"/>
    <w:rsid w:val="008F7D64"/>
    <w:rsid w:val="00900118"/>
    <w:rsid w:val="0090014E"/>
    <w:rsid w:val="009002A3"/>
    <w:rsid w:val="00900704"/>
    <w:rsid w:val="00900713"/>
    <w:rsid w:val="0090086D"/>
    <w:rsid w:val="0090090A"/>
    <w:rsid w:val="00900962"/>
    <w:rsid w:val="009009E3"/>
    <w:rsid w:val="00901505"/>
    <w:rsid w:val="00901588"/>
    <w:rsid w:val="009016D5"/>
    <w:rsid w:val="0090170C"/>
    <w:rsid w:val="009018EF"/>
    <w:rsid w:val="00901975"/>
    <w:rsid w:val="009019FF"/>
    <w:rsid w:val="00901A66"/>
    <w:rsid w:val="00901BE5"/>
    <w:rsid w:val="00901FBB"/>
    <w:rsid w:val="00902403"/>
    <w:rsid w:val="00902409"/>
    <w:rsid w:val="00902B68"/>
    <w:rsid w:val="00902DCD"/>
    <w:rsid w:val="00902EAB"/>
    <w:rsid w:val="009033F3"/>
    <w:rsid w:val="00903457"/>
    <w:rsid w:val="00903552"/>
    <w:rsid w:val="009035AE"/>
    <w:rsid w:val="00903855"/>
    <w:rsid w:val="00903882"/>
    <w:rsid w:val="0090403F"/>
    <w:rsid w:val="00904198"/>
    <w:rsid w:val="009047FD"/>
    <w:rsid w:val="009048DB"/>
    <w:rsid w:val="009049AD"/>
    <w:rsid w:val="00904AF1"/>
    <w:rsid w:val="00904BDC"/>
    <w:rsid w:val="00904CA1"/>
    <w:rsid w:val="00904CCD"/>
    <w:rsid w:val="00904E27"/>
    <w:rsid w:val="00904EA1"/>
    <w:rsid w:val="00904F21"/>
    <w:rsid w:val="00905006"/>
    <w:rsid w:val="00905212"/>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175"/>
    <w:rsid w:val="00907522"/>
    <w:rsid w:val="009075D4"/>
    <w:rsid w:val="0090765C"/>
    <w:rsid w:val="009078DA"/>
    <w:rsid w:val="00907D17"/>
    <w:rsid w:val="00907DDF"/>
    <w:rsid w:val="00910039"/>
    <w:rsid w:val="009101DF"/>
    <w:rsid w:val="0091032E"/>
    <w:rsid w:val="00910369"/>
    <w:rsid w:val="00910797"/>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E8"/>
    <w:rsid w:val="0091472A"/>
    <w:rsid w:val="009148B6"/>
    <w:rsid w:val="00914954"/>
    <w:rsid w:val="00914B89"/>
    <w:rsid w:val="00914BE6"/>
    <w:rsid w:val="00914C92"/>
    <w:rsid w:val="00914E5C"/>
    <w:rsid w:val="00915014"/>
    <w:rsid w:val="009152A1"/>
    <w:rsid w:val="009152E7"/>
    <w:rsid w:val="00915395"/>
    <w:rsid w:val="009157BF"/>
    <w:rsid w:val="0091580D"/>
    <w:rsid w:val="0091594D"/>
    <w:rsid w:val="00915A88"/>
    <w:rsid w:val="00916062"/>
    <w:rsid w:val="009160C6"/>
    <w:rsid w:val="0091650F"/>
    <w:rsid w:val="00916809"/>
    <w:rsid w:val="00916D2F"/>
    <w:rsid w:val="00917129"/>
    <w:rsid w:val="00917362"/>
    <w:rsid w:val="009174EF"/>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28"/>
    <w:rsid w:val="00920ED1"/>
    <w:rsid w:val="00920FBC"/>
    <w:rsid w:val="00921020"/>
    <w:rsid w:val="009217AD"/>
    <w:rsid w:val="00921879"/>
    <w:rsid w:val="00921948"/>
    <w:rsid w:val="00921BE8"/>
    <w:rsid w:val="00921BE9"/>
    <w:rsid w:val="00921C4E"/>
    <w:rsid w:val="00921D7B"/>
    <w:rsid w:val="00921DAC"/>
    <w:rsid w:val="00921F0C"/>
    <w:rsid w:val="00921F25"/>
    <w:rsid w:val="00921FE3"/>
    <w:rsid w:val="00921FF2"/>
    <w:rsid w:val="00922012"/>
    <w:rsid w:val="00922013"/>
    <w:rsid w:val="009220F7"/>
    <w:rsid w:val="00922357"/>
    <w:rsid w:val="009225F3"/>
    <w:rsid w:val="00922829"/>
    <w:rsid w:val="00922F34"/>
    <w:rsid w:val="00923017"/>
    <w:rsid w:val="00923187"/>
    <w:rsid w:val="009231A1"/>
    <w:rsid w:val="009231CF"/>
    <w:rsid w:val="00923321"/>
    <w:rsid w:val="00923406"/>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8A9"/>
    <w:rsid w:val="00925E2F"/>
    <w:rsid w:val="00925F18"/>
    <w:rsid w:val="009262AB"/>
    <w:rsid w:val="00926346"/>
    <w:rsid w:val="00926409"/>
    <w:rsid w:val="009264BF"/>
    <w:rsid w:val="009265BE"/>
    <w:rsid w:val="00926776"/>
    <w:rsid w:val="00926D8A"/>
    <w:rsid w:val="00927213"/>
    <w:rsid w:val="00927270"/>
    <w:rsid w:val="0092734F"/>
    <w:rsid w:val="0092739A"/>
    <w:rsid w:val="00927404"/>
    <w:rsid w:val="009274A6"/>
    <w:rsid w:val="009274D2"/>
    <w:rsid w:val="0092796C"/>
    <w:rsid w:val="00927E30"/>
    <w:rsid w:val="00927FF1"/>
    <w:rsid w:val="009300B4"/>
    <w:rsid w:val="00930243"/>
    <w:rsid w:val="00930D61"/>
    <w:rsid w:val="00930DC1"/>
    <w:rsid w:val="00930E7F"/>
    <w:rsid w:val="00930FF2"/>
    <w:rsid w:val="00931032"/>
    <w:rsid w:val="00931054"/>
    <w:rsid w:val="00931057"/>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87E"/>
    <w:rsid w:val="00934A32"/>
    <w:rsid w:val="00934B8F"/>
    <w:rsid w:val="00934D92"/>
    <w:rsid w:val="009358CF"/>
    <w:rsid w:val="00935C1F"/>
    <w:rsid w:val="00935D2E"/>
    <w:rsid w:val="00935EE5"/>
    <w:rsid w:val="00936006"/>
    <w:rsid w:val="009367A7"/>
    <w:rsid w:val="009369E1"/>
    <w:rsid w:val="00936B07"/>
    <w:rsid w:val="00936BAF"/>
    <w:rsid w:val="00936F5C"/>
    <w:rsid w:val="00936F7D"/>
    <w:rsid w:val="00937257"/>
    <w:rsid w:val="00937487"/>
    <w:rsid w:val="009378C5"/>
    <w:rsid w:val="0093799F"/>
    <w:rsid w:val="009379E9"/>
    <w:rsid w:val="00937C43"/>
    <w:rsid w:val="00937FD8"/>
    <w:rsid w:val="0094001D"/>
    <w:rsid w:val="00940144"/>
    <w:rsid w:val="00940159"/>
    <w:rsid w:val="0094016C"/>
    <w:rsid w:val="0094034F"/>
    <w:rsid w:val="009405F9"/>
    <w:rsid w:val="00940790"/>
    <w:rsid w:val="00940918"/>
    <w:rsid w:val="009409E5"/>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1D4"/>
    <w:rsid w:val="009442A0"/>
    <w:rsid w:val="009444C1"/>
    <w:rsid w:val="0094470E"/>
    <w:rsid w:val="00944857"/>
    <w:rsid w:val="009448B0"/>
    <w:rsid w:val="00944B3A"/>
    <w:rsid w:val="00944C0C"/>
    <w:rsid w:val="00944CB6"/>
    <w:rsid w:val="00944D83"/>
    <w:rsid w:val="00944DDA"/>
    <w:rsid w:val="00944FAD"/>
    <w:rsid w:val="0094557E"/>
    <w:rsid w:val="00945B8F"/>
    <w:rsid w:val="00945EAD"/>
    <w:rsid w:val="009460B2"/>
    <w:rsid w:val="00946AFB"/>
    <w:rsid w:val="00946EFE"/>
    <w:rsid w:val="00946F31"/>
    <w:rsid w:val="0094709C"/>
    <w:rsid w:val="0094721B"/>
    <w:rsid w:val="009472B7"/>
    <w:rsid w:val="00947B2D"/>
    <w:rsid w:val="00947F92"/>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C86"/>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860"/>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646"/>
    <w:rsid w:val="00955771"/>
    <w:rsid w:val="009559FC"/>
    <w:rsid w:val="00955BDB"/>
    <w:rsid w:val="00955C5A"/>
    <w:rsid w:val="00955CF5"/>
    <w:rsid w:val="00955E49"/>
    <w:rsid w:val="0095610B"/>
    <w:rsid w:val="00956153"/>
    <w:rsid w:val="0095633A"/>
    <w:rsid w:val="009565CE"/>
    <w:rsid w:val="00956926"/>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6EF"/>
    <w:rsid w:val="009607CF"/>
    <w:rsid w:val="00960947"/>
    <w:rsid w:val="009609E7"/>
    <w:rsid w:val="00960B29"/>
    <w:rsid w:val="00960CD7"/>
    <w:rsid w:val="00960D03"/>
    <w:rsid w:val="00960E5C"/>
    <w:rsid w:val="00961583"/>
    <w:rsid w:val="00961594"/>
    <w:rsid w:val="009615AF"/>
    <w:rsid w:val="009615F2"/>
    <w:rsid w:val="00961665"/>
    <w:rsid w:val="0096171D"/>
    <w:rsid w:val="00961776"/>
    <w:rsid w:val="009621BC"/>
    <w:rsid w:val="00962814"/>
    <w:rsid w:val="0096284F"/>
    <w:rsid w:val="00962861"/>
    <w:rsid w:val="00962865"/>
    <w:rsid w:val="009628D6"/>
    <w:rsid w:val="009629FF"/>
    <w:rsid w:val="00962B03"/>
    <w:rsid w:val="00962C01"/>
    <w:rsid w:val="00962DFB"/>
    <w:rsid w:val="00963975"/>
    <w:rsid w:val="00963D73"/>
    <w:rsid w:val="00963FA8"/>
    <w:rsid w:val="009642CE"/>
    <w:rsid w:val="0096455C"/>
    <w:rsid w:val="009647B2"/>
    <w:rsid w:val="0096487C"/>
    <w:rsid w:val="0096487D"/>
    <w:rsid w:val="009648EA"/>
    <w:rsid w:val="00964F73"/>
    <w:rsid w:val="00964FAF"/>
    <w:rsid w:val="009650E2"/>
    <w:rsid w:val="009651A3"/>
    <w:rsid w:val="009651E2"/>
    <w:rsid w:val="00965636"/>
    <w:rsid w:val="009656CF"/>
    <w:rsid w:val="00965E1A"/>
    <w:rsid w:val="00965F54"/>
    <w:rsid w:val="009660D2"/>
    <w:rsid w:val="00966509"/>
    <w:rsid w:val="00966861"/>
    <w:rsid w:val="00966974"/>
    <w:rsid w:val="00966BCF"/>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282"/>
    <w:rsid w:val="009725C2"/>
    <w:rsid w:val="009726EC"/>
    <w:rsid w:val="00972713"/>
    <w:rsid w:val="0097282A"/>
    <w:rsid w:val="009729F0"/>
    <w:rsid w:val="00972B1F"/>
    <w:rsid w:val="00972C22"/>
    <w:rsid w:val="00972D19"/>
    <w:rsid w:val="00972D32"/>
    <w:rsid w:val="00972E00"/>
    <w:rsid w:val="00972FA1"/>
    <w:rsid w:val="00973057"/>
    <w:rsid w:val="0097309B"/>
    <w:rsid w:val="009732C3"/>
    <w:rsid w:val="00973348"/>
    <w:rsid w:val="0097357C"/>
    <w:rsid w:val="00973671"/>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A8A"/>
    <w:rsid w:val="00975D37"/>
    <w:rsid w:val="00975D9A"/>
    <w:rsid w:val="00975E21"/>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746"/>
    <w:rsid w:val="00982B17"/>
    <w:rsid w:val="00982BB9"/>
    <w:rsid w:val="00982BDC"/>
    <w:rsid w:val="00982C9B"/>
    <w:rsid w:val="00983085"/>
    <w:rsid w:val="009830FD"/>
    <w:rsid w:val="0098338F"/>
    <w:rsid w:val="0098361E"/>
    <w:rsid w:val="0098374F"/>
    <w:rsid w:val="009837AC"/>
    <w:rsid w:val="00983A22"/>
    <w:rsid w:val="00983AA7"/>
    <w:rsid w:val="00983D5E"/>
    <w:rsid w:val="00983DFE"/>
    <w:rsid w:val="00983FB2"/>
    <w:rsid w:val="00983FB7"/>
    <w:rsid w:val="00984279"/>
    <w:rsid w:val="009842DD"/>
    <w:rsid w:val="0098488F"/>
    <w:rsid w:val="00984DDB"/>
    <w:rsid w:val="00984E9B"/>
    <w:rsid w:val="0098502C"/>
    <w:rsid w:val="009850A2"/>
    <w:rsid w:val="0098513A"/>
    <w:rsid w:val="009851D2"/>
    <w:rsid w:val="00985603"/>
    <w:rsid w:val="009858CC"/>
    <w:rsid w:val="009859CA"/>
    <w:rsid w:val="00985A06"/>
    <w:rsid w:val="00985BCB"/>
    <w:rsid w:val="00985D9F"/>
    <w:rsid w:val="00986179"/>
    <w:rsid w:val="00986552"/>
    <w:rsid w:val="00986A33"/>
    <w:rsid w:val="00986A75"/>
    <w:rsid w:val="00986B3B"/>
    <w:rsid w:val="00986D5F"/>
    <w:rsid w:val="00986E8E"/>
    <w:rsid w:val="00986EE9"/>
    <w:rsid w:val="00986FF6"/>
    <w:rsid w:val="00987025"/>
    <w:rsid w:val="0098717F"/>
    <w:rsid w:val="009875DD"/>
    <w:rsid w:val="00987653"/>
    <w:rsid w:val="009877BD"/>
    <w:rsid w:val="00987863"/>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3815"/>
    <w:rsid w:val="00993ACB"/>
    <w:rsid w:val="00993B92"/>
    <w:rsid w:val="0099407F"/>
    <w:rsid w:val="009942FD"/>
    <w:rsid w:val="00994354"/>
    <w:rsid w:val="00994355"/>
    <w:rsid w:val="009943C5"/>
    <w:rsid w:val="00994468"/>
    <w:rsid w:val="0099453F"/>
    <w:rsid w:val="00994676"/>
    <w:rsid w:val="00994856"/>
    <w:rsid w:val="00994B9D"/>
    <w:rsid w:val="00994E5F"/>
    <w:rsid w:val="00994E7E"/>
    <w:rsid w:val="00994E96"/>
    <w:rsid w:val="00994FC1"/>
    <w:rsid w:val="00995030"/>
    <w:rsid w:val="00995F82"/>
    <w:rsid w:val="00995F85"/>
    <w:rsid w:val="00996189"/>
    <w:rsid w:val="009965DB"/>
    <w:rsid w:val="00996671"/>
    <w:rsid w:val="009966A8"/>
    <w:rsid w:val="00996883"/>
    <w:rsid w:val="009968C7"/>
    <w:rsid w:val="00996B9A"/>
    <w:rsid w:val="00996CC6"/>
    <w:rsid w:val="00996D66"/>
    <w:rsid w:val="00996E07"/>
    <w:rsid w:val="00996F4B"/>
    <w:rsid w:val="00997034"/>
    <w:rsid w:val="00997050"/>
    <w:rsid w:val="0099710C"/>
    <w:rsid w:val="00997527"/>
    <w:rsid w:val="00997598"/>
    <w:rsid w:val="00997702"/>
    <w:rsid w:val="009977EE"/>
    <w:rsid w:val="00997CD2"/>
    <w:rsid w:val="009A02EF"/>
    <w:rsid w:val="009A0315"/>
    <w:rsid w:val="009A064D"/>
    <w:rsid w:val="009A0D5C"/>
    <w:rsid w:val="009A0E1C"/>
    <w:rsid w:val="009A1135"/>
    <w:rsid w:val="009A11F7"/>
    <w:rsid w:val="009A13E3"/>
    <w:rsid w:val="009A146E"/>
    <w:rsid w:val="009A1C3B"/>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67E"/>
    <w:rsid w:val="009A375A"/>
    <w:rsid w:val="009A3B8C"/>
    <w:rsid w:val="009A3BD3"/>
    <w:rsid w:val="009A3C94"/>
    <w:rsid w:val="009A3FA6"/>
    <w:rsid w:val="009A3FCB"/>
    <w:rsid w:val="009A405E"/>
    <w:rsid w:val="009A4314"/>
    <w:rsid w:val="009A4411"/>
    <w:rsid w:val="009A4483"/>
    <w:rsid w:val="009A47F7"/>
    <w:rsid w:val="009A48BD"/>
    <w:rsid w:val="009A4A2F"/>
    <w:rsid w:val="009A4C4A"/>
    <w:rsid w:val="009A539D"/>
    <w:rsid w:val="009A53A9"/>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6C"/>
    <w:rsid w:val="009B32FB"/>
    <w:rsid w:val="009B338E"/>
    <w:rsid w:val="009B34B9"/>
    <w:rsid w:val="009B3606"/>
    <w:rsid w:val="009B3883"/>
    <w:rsid w:val="009B416D"/>
    <w:rsid w:val="009B4296"/>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6188"/>
    <w:rsid w:val="009B623A"/>
    <w:rsid w:val="009B66D7"/>
    <w:rsid w:val="009B671C"/>
    <w:rsid w:val="009B6B7F"/>
    <w:rsid w:val="009B6B86"/>
    <w:rsid w:val="009B70AD"/>
    <w:rsid w:val="009B768E"/>
    <w:rsid w:val="009B7709"/>
    <w:rsid w:val="009B77E4"/>
    <w:rsid w:val="009B7D4B"/>
    <w:rsid w:val="009B7F25"/>
    <w:rsid w:val="009C0057"/>
    <w:rsid w:val="009C01A1"/>
    <w:rsid w:val="009C03E0"/>
    <w:rsid w:val="009C07A4"/>
    <w:rsid w:val="009C093C"/>
    <w:rsid w:val="009C0C52"/>
    <w:rsid w:val="009C0E98"/>
    <w:rsid w:val="009C1042"/>
    <w:rsid w:val="009C13A7"/>
    <w:rsid w:val="009C13FA"/>
    <w:rsid w:val="009C1703"/>
    <w:rsid w:val="009C1719"/>
    <w:rsid w:val="009C1795"/>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7AF"/>
    <w:rsid w:val="009C392C"/>
    <w:rsid w:val="009C3B52"/>
    <w:rsid w:val="009C41C7"/>
    <w:rsid w:val="009C41FB"/>
    <w:rsid w:val="009C46BA"/>
    <w:rsid w:val="009C47C2"/>
    <w:rsid w:val="009C5020"/>
    <w:rsid w:val="009C5416"/>
    <w:rsid w:val="009C5540"/>
    <w:rsid w:val="009C55E3"/>
    <w:rsid w:val="009C5675"/>
    <w:rsid w:val="009C5782"/>
    <w:rsid w:val="009C5886"/>
    <w:rsid w:val="009C58DD"/>
    <w:rsid w:val="009C5B50"/>
    <w:rsid w:val="009C5BB4"/>
    <w:rsid w:val="009C5E4D"/>
    <w:rsid w:val="009C633E"/>
    <w:rsid w:val="009C6360"/>
    <w:rsid w:val="009C636A"/>
    <w:rsid w:val="009C63C9"/>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3D72"/>
    <w:rsid w:val="009D40AB"/>
    <w:rsid w:val="009D4650"/>
    <w:rsid w:val="009D46FC"/>
    <w:rsid w:val="009D478E"/>
    <w:rsid w:val="009D4CFB"/>
    <w:rsid w:val="009D4E07"/>
    <w:rsid w:val="009D5341"/>
    <w:rsid w:val="009D5721"/>
    <w:rsid w:val="009D59EE"/>
    <w:rsid w:val="009D5A0F"/>
    <w:rsid w:val="009D60D0"/>
    <w:rsid w:val="009D6499"/>
    <w:rsid w:val="009D6578"/>
    <w:rsid w:val="009D6BC8"/>
    <w:rsid w:val="009D718F"/>
    <w:rsid w:val="009D748E"/>
    <w:rsid w:val="009D75D4"/>
    <w:rsid w:val="009D79A9"/>
    <w:rsid w:val="009D7B4F"/>
    <w:rsid w:val="009D7D6D"/>
    <w:rsid w:val="009E001C"/>
    <w:rsid w:val="009E044D"/>
    <w:rsid w:val="009E0AEF"/>
    <w:rsid w:val="009E0BFF"/>
    <w:rsid w:val="009E0C49"/>
    <w:rsid w:val="009E0D61"/>
    <w:rsid w:val="009E0DDC"/>
    <w:rsid w:val="009E1313"/>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77C"/>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91E"/>
    <w:rsid w:val="009E5C95"/>
    <w:rsid w:val="009E5E6E"/>
    <w:rsid w:val="009E616F"/>
    <w:rsid w:val="009E6173"/>
    <w:rsid w:val="009E6361"/>
    <w:rsid w:val="009E653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5CE"/>
    <w:rsid w:val="009F161C"/>
    <w:rsid w:val="009F1628"/>
    <w:rsid w:val="009F1C7E"/>
    <w:rsid w:val="009F1CFC"/>
    <w:rsid w:val="009F1EB8"/>
    <w:rsid w:val="009F1FAF"/>
    <w:rsid w:val="009F1FE5"/>
    <w:rsid w:val="009F1FED"/>
    <w:rsid w:val="009F20B8"/>
    <w:rsid w:val="009F21DC"/>
    <w:rsid w:val="009F2422"/>
    <w:rsid w:val="009F24E4"/>
    <w:rsid w:val="009F2AC5"/>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6376"/>
    <w:rsid w:val="009F6486"/>
    <w:rsid w:val="009F6528"/>
    <w:rsid w:val="009F670D"/>
    <w:rsid w:val="009F677E"/>
    <w:rsid w:val="009F6AF1"/>
    <w:rsid w:val="009F6CD3"/>
    <w:rsid w:val="009F6D88"/>
    <w:rsid w:val="009F6D9E"/>
    <w:rsid w:val="009F6F37"/>
    <w:rsid w:val="009F6FCB"/>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7F5"/>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39"/>
    <w:rsid w:val="00A03D76"/>
    <w:rsid w:val="00A04036"/>
    <w:rsid w:val="00A04104"/>
    <w:rsid w:val="00A0415A"/>
    <w:rsid w:val="00A045B4"/>
    <w:rsid w:val="00A047ED"/>
    <w:rsid w:val="00A049B0"/>
    <w:rsid w:val="00A04BEF"/>
    <w:rsid w:val="00A04BF7"/>
    <w:rsid w:val="00A04C16"/>
    <w:rsid w:val="00A05102"/>
    <w:rsid w:val="00A0521D"/>
    <w:rsid w:val="00A053DF"/>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87B"/>
    <w:rsid w:val="00A1093D"/>
    <w:rsid w:val="00A10956"/>
    <w:rsid w:val="00A10B8A"/>
    <w:rsid w:val="00A10E0B"/>
    <w:rsid w:val="00A11135"/>
    <w:rsid w:val="00A114FB"/>
    <w:rsid w:val="00A1166A"/>
    <w:rsid w:val="00A11E09"/>
    <w:rsid w:val="00A1209A"/>
    <w:rsid w:val="00A12116"/>
    <w:rsid w:val="00A12167"/>
    <w:rsid w:val="00A1241B"/>
    <w:rsid w:val="00A12509"/>
    <w:rsid w:val="00A12630"/>
    <w:rsid w:val="00A12D46"/>
    <w:rsid w:val="00A12D84"/>
    <w:rsid w:val="00A13082"/>
    <w:rsid w:val="00A130C0"/>
    <w:rsid w:val="00A13152"/>
    <w:rsid w:val="00A132A7"/>
    <w:rsid w:val="00A134B7"/>
    <w:rsid w:val="00A13693"/>
    <w:rsid w:val="00A13850"/>
    <w:rsid w:val="00A13870"/>
    <w:rsid w:val="00A13913"/>
    <w:rsid w:val="00A1391E"/>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07"/>
    <w:rsid w:val="00A15AAF"/>
    <w:rsid w:val="00A15C68"/>
    <w:rsid w:val="00A15D11"/>
    <w:rsid w:val="00A160D6"/>
    <w:rsid w:val="00A16505"/>
    <w:rsid w:val="00A16562"/>
    <w:rsid w:val="00A166D1"/>
    <w:rsid w:val="00A16710"/>
    <w:rsid w:val="00A167A4"/>
    <w:rsid w:val="00A16839"/>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EAB"/>
    <w:rsid w:val="00A2102D"/>
    <w:rsid w:val="00A2154A"/>
    <w:rsid w:val="00A21636"/>
    <w:rsid w:val="00A21853"/>
    <w:rsid w:val="00A21A43"/>
    <w:rsid w:val="00A21D01"/>
    <w:rsid w:val="00A21FF0"/>
    <w:rsid w:val="00A22126"/>
    <w:rsid w:val="00A2224D"/>
    <w:rsid w:val="00A22271"/>
    <w:rsid w:val="00A2232A"/>
    <w:rsid w:val="00A2237C"/>
    <w:rsid w:val="00A22499"/>
    <w:rsid w:val="00A225AA"/>
    <w:rsid w:val="00A22A66"/>
    <w:rsid w:val="00A22D81"/>
    <w:rsid w:val="00A2310D"/>
    <w:rsid w:val="00A2318D"/>
    <w:rsid w:val="00A2327F"/>
    <w:rsid w:val="00A23295"/>
    <w:rsid w:val="00A233C2"/>
    <w:rsid w:val="00A23540"/>
    <w:rsid w:val="00A239F9"/>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162"/>
    <w:rsid w:val="00A26273"/>
    <w:rsid w:val="00A263E3"/>
    <w:rsid w:val="00A26568"/>
    <w:rsid w:val="00A26673"/>
    <w:rsid w:val="00A266D3"/>
    <w:rsid w:val="00A26732"/>
    <w:rsid w:val="00A267F1"/>
    <w:rsid w:val="00A26AA3"/>
    <w:rsid w:val="00A26B29"/>
    <w:rsid w:val="00A26B85"/>
    <w:rsid w:val="00A26BD6"/>
    <w:rsid w:val="00A26D34"/>
    <w:rsid w:val="00A2700A"/>
    <w:rsid w:val="00A27082"/>
    <w:rsid w:val="00A270D5"/>
    <w:rsid w:val="00A271DF"/>
    <w:rsid w:val="00A27298"/>
    <w:rsid w:val="00A272C3"/>
    <w:rsid w:val="00A2770B"/>
    <w:rsid w:val="00A2770E"/>
    <w:rsid w:val="00A27729"/>
    <w:rsid w:val="00A27D0C"/>
    <w:rsid w:val="00A27E01"/>
    <w:rsid w:val="00A27FD2"/>
    <w:rsid w:val="00A3018F"/>
    <w:rsid w:val="00A30279"/>
    <w:rsid w:val="00A30853"/>
    <w:rsid w:val="00A308E5"/>
    <w:rsid w:val="00A3098F"/>
    <w:rsid w:val="00A30C01"/>
    <w:rsid w:val="00A30C83"/>
    <w:rsid w:val="00A30D9F"/>
    <w:rsid w:val="00A30DC4"/>
    <w:rsid w:val="00A30F30"/>
    <w:rsid w:val="00A31001"/>
    <w:rsid w:val="00A3140D"/>
    <w:rsid w:val="00A31490"/>
    <w:rsid w:val="00A31E6B"/>
    <w:rsid w:val="00A31F69"/>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F90"/>
    <w:rsid w:val="00A344DC"/>
    <w:rsid w:val="00A34784"/>
    <w:rsid w:val="00A34BD3"/>
    <w:rsid w:val="00A35203"/>
    <w:rsid w:val="00A355C2"/>
    <w:rsid w:val="00A35744"/>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0BF"/>
    <w:rsid w:val="00A422DF"/>
    <w:rsid w:val="00A4237B"/>
    <w:rsid w:val="00A423C8"/>
    <w:rsid w:val="00A42485"/>
    <w:rsid w:val="00A4278E"/>
    <w:rsid w:val="00A429C1"/>
    <w:rsid w:val="00A42A0E"/>
    <w:rsid w:val="00A42D00"/>
    <w:rsid w:val="00A42E5C"/>
    <w:rsid w:val="00A438CB"/>
    <w:rsid w:val="00A438E9"/>
    <w:rsid w:val="00A4390B"/>
    <w:rsid w:val="00A43B97"/>
    <w:rsid w:val="00A43ED0"/>
    <w:rsid w:val="00A44027"/>
    <w:rsid w:val="00A440E4"/>
    <w:rsid w:val="00A44589"/>
    <w:rsid w:val="00A44D13"/>
    <w:rsid w:val="00A44D8A"/>
    <w:rsid w:val="00A44F34"/>
    <w:rsid w:val="00A45510"/>
    <w:rsid w:val="00A45883"/>
    <w:rsid w:val="00A45CA7"/>
    <w:rsid w:val="00A45F8E"/>
    <w:rsid w:val="00A460DD"/>
    <w:rsid w:val="00A46227"/>
    <w:rsid w:val="00A46328"/>
    <w:rsid w:val="00A464CD"/>
    <w:rsid w:val="00A46547"/>
    <w:rsid w:val="00A466A0"/>
    <w:rsid w:val="00A468DA"/>
    <w:rsid w:val="00A46E6D"/>
    <w:rsid w:val="00A46F11"/>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0AD"/>
    <w:rsid w:val="00A52149"/>
    <w:rsid w:val="00A521A0"/>
    <w:rsid w:val="00A52640"/>
    <w:rsid w:val="00A52792"/>
    <w:rsid w:val="00A52874"/>
    <w:rsid w:val="00A52AE8"/>
    <w:rsid w:val="00A52EBA"/>
    <w:rsid w:val="00A52FC7"/>
    <w:rsid w:val="00A533F1"/>
    <w:rsid w:val="00A5372A"/>
    <w:rsid w:val="00A53ABC"/>
    <w:rsid w:val="00A53BBC"/>
    <w:rsid w:val="00A53D2E"/>
    <w:rsid w:val="00A53D7F"/>
    <w:rsid w:val="00A53E71"/>
    <w:rsid w:val="00A54045"/>
    <w:rsid w:val="00A543DA"/>
    <w:rsid w:val="00A54791"/>
    <w:rsid w:val="00A54C2A"/>
    <w:rsid w:val="00A54E3C"/>
    <w:rsid w:val="00A54E61"/>
    <w:rsid w:val="00A54FA6"/>
    <w:rsid w:val="00A55155"/>
    <w:rsid w:val="00A55197"/>
    <w:rsid w:val="00A55226"/>
    <w:rsid w:val="00A552D7"/>
    <w:rsid w:val="00A55573"/>
    <w:rsid w:val="00A556C5"/>
    <w:rsid w:val="00A557B3"/>
    <w:rsid w:val="00A558F9"/>
    <w:rsid w:val="00A55AA9"/>
    <w:rsid w:val="00A55B57"/>
    <w:rsid w:val="00A55FBD"/>
    <w:rsid w:val="00A562DF"/>
    <w:rsid w:val="00A569F8"/>
    <w:rsid w:val="00A56F6C"/>
    <w:rsid w:val="00A570B8"/>
    <w:rsid w:val="00A576F2"/>
    <w:rsid w:val="00A57D2F"/>
    <w:rsid w:val="00A600B6"/>
    <w:rsid w:val="00A600F2"/>
    <w:rsid w:val="00A605D9"/>
    <w:rsid w:val="00A606A5"/>
    <w:rsid w:val="00A60908"/>
    <w:rsid w:val="00A60A14"/>
    <w:rsid w:val="00A60D3C"/>
    <w:rsid w:val="00A6114D"/>
    <w:rsid w:val="00A611CA"/>
    <w:rsid w:val="00A61474"/>
    <w:rsid w:val="00A6159A"/>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58C"/>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4E3"/>
    <w:rsid w:val="00A6578F"/>
    <w:rsid w:val="00A65858"/>
    <w:rsid w:val="00A65929"/>
    <w:rsid w:val="00A65991"/>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54"/>
    <w:rsid w:val="00A7029E"/>
    <w:rsid w:val="00A7033F"/>
    <w:rsid w:val="00A70414"/>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2F7"/>
    <w:rsid w:val="00A735F3"/>
    <w:rsid w:val="00A73666"/>
    <w:rsid w:val="00A736D3"/>
    <w:rsid w:val="00A73834"/>
    <w:rsid w:val="00A73A43"/>
    <w:rsid w:val="00A73C4C"/>
    <w:rsid w:val="00A73CAD"/>
    <w:rsid w:val="00A740EA"/>
    <w:rsid w:val="00A74364"/>
    <w:rsid w:val="00A75012"/>
    <w:rsid w:val="00A75018"/>
    <w:rsid w:val="00A751B3"/>
    <w:rsid w:val="00A75533"/>
    <w:rsid w:val="00A759FF"/>
    <w:rsid w:val="00A75CB6"/>
    <w:rsid w:val="00A75E0E"/>
    <w:rsid w:val="00A761B7"/>
    <w:rsid w:val="00A761F7"/>
    <w:rsid w:val="00A7622D"/>
    <w:rsid w:val="00A76810"/>
    <w:rsid w:val="00A76DD6"/>
    <w:rsid w:val="00A76DF0"/>
    <w:rsid w:val="00A76EAC"/>
    <w:rsid w:val="00A76F42"/>
    <w:rsid w:val="00A76FF4"/>
    <w:rsid w:val="00A7706F"/>
    <w:rsid w:val="00A77405"/>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7E"/>
    <w:rsid w:val="00A81CA4"/>
    <w:rsid w:val="00A81CE3"/>
    <w:rsid w:val="00A81D8E"/>
    <w:rsid w:val="00A81F8D"/>
    <w:rsid w:val="00A82381"/>
    <w:rsid w:val="00A823D7"/>
    <w:rsid w:val="00A82495"/>
    <w:rsid w:val="00A82644"/>
    <w:rsid w:val="00A8275A"/>
    <w:rsid w:val="00A8277B"/>
    <w:rsid w:val="00A82D25"/>
    <w:rsid w:val="00A82DD6"/>
    <w:rsid w:val="00A8337B"/>
    <w:rsid w:val="00A83507"/>
    <w:rsid w:val="00A83521"/>
    <w:rsid w:val="00A838F6"/>
    <w:rsid w:val="00A83A20"/>
    <w:rsid w:val="00A83B97"/>
    <w:rsid w:val="00A83EC2"/>
    <w:rsid w:val="00A83F77"/>
    <w:rsid w:val="00A83FD6"/>
    <w:rsid w:val="00A842F2"/>
    <w:rsid w:val="00A8468B"/>
    <w:rsid w:val="00A84B8B"/>
    <w:rsid w:val="00A84E1E"/>
    <w:rsid w:val="00A84E25"/>
    <w:rsid w:val="00A84F91"/>
    <w:rsid w:val="00A8513D"/>
    <w:rsid w:val="00A85599"/>
    <w:rsid w:val="00A857FC"/>
    <w:rsid w:val="00A85845"/>
    <w:rsid w:val="00A85A70"/>
    <w:rsid w:val="00A85A87"/>
    <w:rsid w:val="00A85DBF"/>
    <w:rsid w:val="00A86151"/>
    <w:rsid w:val="00A86357"/>
    <w:rsid w:val="00A8635B"/>
    <w:rsid w:val="00A8649B"/>
    <w:rsid w:val="00A868FE"/>
    <w:rsid w:val="00A86B99"/>
    <w:rsid w:val="00A86BAD"/>
    <w:rsid w:val="00A86D8B"/>
    <w:rsid w:val="00A873CC"/>
    <w:rsid w:val="00A8758C"/>
    <w:rsid w:val="00A878C6"/>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0CD"/>
    <w:rsid w:val="00A9221F"/>
    <w:rsid w:val="00A9226E"/>
    <w:rsid w:val="00A922C1"/>
    <w:rsid w:val="00A92448"/>
    <w:rsid w:val="00A926CD"/>
    <w:rsid w:val="00A927D4"/>
    <w:rsid w:val="00A9288E"/>
    <w:rsid w:val="00A92919"/>
    <w:rsid w:val="00A92968"/>
    <w:rsid w:val="00A929CB"/>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A87"/>
    <w:rsid w:val="00A96E67"/>
    <w:rsid w:val="00A97091"/>
    <w:rsid w:val="00A971B1"/>
    <w:rsid w:val="00A9721B"/>
    <w:rsid w:val="00A974EF"/>
    <w:rsid w:val="00A97536"/>
    <w:rsid w:val="00A97995"/>
    <w:rsid w:val="00A97CF9"/>
    <w:rsid w:val="00A97E54"/>
    <w:rsid w:val="00A97E60"/>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A33"/>
    <w:rsid w:val="00AA7D18"/>
    <w:rsid w:val="00AB0151"/>
    <w:rsid w:val="00AB02C4"/>
    <w:rsid w:val="00AB02EE"/>
    <w:rsid w:val="00AB0438"/>
    <w:rsid w:val="00AB04F4"/>
    <w:rsid w:val="00AB06E1"/>
    <w:rsid w:val="00AB0740"/>
    <w:rsid w:val="00AB07E6"/>
    <w:rsid w:val="00AB08D9"/>
    <w:rsid w:val="00AB0BBB"/>
    <w:rsid w:val="00AB0D14"/>
    <w:rsid w:val="00AB0F3B"/>
    <w:rsid w:val="00AB14F8"/>
    <w:rsid w:val="00AB1706"/>
    <w:rsid w:val="00AB171A"/>
    <w:rsid w:val="00AB18D2"/>
    <w:rsid w:val="00AB1A68"/>
    <w:rsid w:val="00AB1F76"/>
    <w:rsid w:val="00AB1F83"/>
    <w:rsid w:val="00AB20EE"/>
    <w:rsid w:val="00AB2283"/>
    <w:rsid w:val="00AB25F9"/>
    <w:rsid w:val="00AB2644"/>
    <w:rsid w:val="00AB2727"/>
    <w:rsid w:val="00AB2803"/>
    <w:rsid w:val="00AB2CBB"/>
    <w:rsid w:val="00AB33A9"/>
    <w:rsid w:val="00AB34F3"/>
    <w:rsid w:val="00AB3899"/>
    <w:rsid w:val="00AB3AF0"/>
    <w:rsid w:val="00AB3B2D"/>
    <w:rsid w:val="00AB4169"/>
    <w:rsid w:val="00AB4182"/>
    <w:rsid w:val="00AB4191"/>
    <w:rsid w:val="00AB4229"/>
    <w:rsid w:val="00AB4247"/>
    <w:rsid w:val="00AB42B7"/>
    <w:rsid w:val="00AB469D"/>
    <w:rsid w:val="00AB47EA"/>
    <w:rsid w:val="00AB4CE8"/>
    <w:rsid w:val="00AB4E35"/>
    <w:rsid w:val="00AB503A"/>
    <w:rsid w:val="00AB51A6"/>
    <w:rsid w:val="00AB533B"/>
    <w:rsid w:val="00AB536E"/>
    <w:rsid w:val="00AB5517"/>
    <w:rsid w:val="00AB5666"/>
    <w:rsid w:val="00AB56A2"/>
    <w:rsid w:val="00AB586A"/>
    <w:rsid w:val="00AB5A99"/>
    <w:rsid w:val="00AB5AF2"/>
    <w:rsid w:val="00AB6248"/>
    <w:rsid w:val="00AB6269"/>
    <w:rsid w:val="00AB64BA"/>
    <w:rsid w:val="00AB656E"/>
    <w:rsid w:val="00AB659C"/>
    <w:rsid w:val="00AB65E7"/>
    <w:rsid w:val="00AB6BAD"/>
    <w:rsid w:val="00AB6C24"/>
    <w:rsid w:val="00AB6E89"/>
    <w:rsid w:val="00AB70EA"/>
    <w:rsid w:val="00AB7373"/>
    <w:rsid w:val="00AB78CB"/>
    <w:rsid w:val="00AB795E"/>
    <w:rsid w:val="00AB79EA"/>
    <w:rsid w:val="00AB7D48"/>
    <w:rsid w:val="00AB7E07"/>
    <w:rsid w:val="00AC0090"/>
    <w:rsid w:val="00AC00A4"/>
    <w:rsid w:val="00AC01C9"/>
    <w:rsid w:val="00AC0533"/>
    <w:rsid w:val="00AC05D9"/>
    <w:rsid w:val="00AC0920"/>
    <w:rsid w:val="00AC0A49"/>
    <w:rsid w:val="00AC0B86"/>
    <w:rsid w:val="00AC0BEE"/>
    <w:rsid w:val="00AC0F92"/>
    <w:rsid w:val="00AC1004"/>
    <w:rsid w:val="00AC1027"/>
    <w:rsid w:val="00AC107F"/>
    <w:rsid w:val="00AC12C2"/>
    <w:rsid w:val="00AC1838"/>
    <w:rsid w:val="00AC1853"/>
    <w:rsid w:val="00AC1B71"/>
    <w:rsid w:val="00AC1E52"/>
    <w:rsid w:val="00AC1EB7"/>
    <w:rsid w:val="00AC2039"/>
    <w:rsid w:val="00AC2564"/>
    <w:rsid w:val="00AC2587"/>
    <w:rsid w:val="00AC2A68"/>
    <w:rsid w:val="00AC2AB2"/>
    <w:rsid w:val="00AC2AD7"/>
    <w:rsid w:val="00AC2CDB"/>
    <w:rsid w:val="00AC2DF2"/>
    <w:rsid w:val="00AC323A"/>
    <w:rsid w:val="00AC3479"/>
    <w:rsid w:val="00AC34BC"/>
    <w:rsid w:val="00AC35A7"/>
    <w:rsid w:val="00AC3886"/>
    <w:rsid w:val="00AC3B24"/>
    <w:rsid w:val="00AC424E"/>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66E"/>
    <w:rsid w:val="00AC7CD6"/>
    <w:rsid w:val="00AD01BD"/>
    <w:rsid w:val="00AD075D"/>
    <w:rsid w:val="00AD0884"/>
    <w:rsid w:val="00AD08A9"/>
    <w:rsid w:val="00AD0AE1"/>
    <w:rsid w:val="00AD11EB"/>
    <w:rsid w:val="00AD132B"/>
    <w:rsid w:val="00AD185E"/>
    <w:rsid w:val="00AD18C2"/>
    <w:rsid w:val="00AD1AA4"/>
    <w:rsid w:val="00AD1C69"/>
    <w:rsid w:val="00AD1C6F"/>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84B"/>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5E"/>
    <w:rsid w:val="00AD6EBA"/>
    <w:rsid w:val="00AD6F17"/>
    <w:rsid w:val="00AD7078"/>
    <w:rsid w:val="00AD70A8"/>
    <w:rsid w:val="00AD7197"/>
    <w:rsid w:val="00AD722C"/>
    <w:rsid w:val="00AD7231"/>
    <w:rsid w:val="00AD7CD8"/>
    <w:rsid w:val="00AD7F89"/>
    <w:rsid w:val="00AE00A3"/>
    <w:rsid w:val="00AE01C1"/>
    <w:rsid w:val="00AE02D0"/>
    <w:rsid w:val="00AE02EA"/>
    <w:rsid w:val="00AE044B"/>
    <w:rsid w:val="00AE0533"/>
    <w:rsid w:val="00AE0B50"/>
    <w:rsid w:val="00AE0BA3"/>
    <w:rsid w:val="00AE0C39"/>
    <w:rsid w:val="00AE0C7A"/>
    <w:rsid w:val="00AE0E95"/>
    <w:rsid w:val="00AE1110"/>
    <w:rsid w:val="00AE1129"/>
    <w:rsid w:val="00AE1180"/>
    <w:rsid w:val="00AE1277"/>
    <w:rsid w:val="00AE158B"/>
    <w:rsid w:val="00AE18AA"/>
    <w:rsid w:val="00AE207E"/>
    <w:rsid w:val="00AE20A0"/>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3F81"/>
    <w:rsid w:val="00AE40E6"/>
    <w:rsid w:val="00AE4706"/>
    <w:rsid w:val="00AE4843"/>
    <w:rsid w:val="00AE4C69"/>
    <w:rsid w:val="00AE4CAE"/>
    <w:rsid w:val="00AE4DB8"/>
    <w:rsid w:val="00AE4DC6"/>
    <w:rsid w:val="00AE4DD6"/>
    <w:rsid w:val="00AE506A"/>
    <w:rsid w:val="00AE516A"/>
    <w:rsid w:val="00AE51B8"/>
    <w:rsid w:val="00AE52A0"/>
    <w:rsid w:val="00AE5321"/>
    <w:rsid w:val="00AE53AC"/>
    <w:rsid w:val="00AE5793"/>
    <w:rsid w:val="00AE579B"/>
    <w:rsid w:val="00AE5827"/>
    <w:rsid w:val="00AE5907"/>
    <w:rsid w:val="00AE5E28"/>
    <w:rsid w:val="00AE5EF7"/>
    <w:rsid w:val="00AE65C3"/>
    <w:rsid w:val="00AE66EF"/>
    <w:rsid w:val="00AE68AF"/>
    <w:rsid w:val="00AE6A89"/>
    <w:rsid w:val="00AE6CB0"/>
    <w:rsid w:val="00AE6CC6"/>
    <w:rsid w:val="00AE6D2E"/>
    <w:rsid w:val="00AE6FB5"/>
    <w:rsid w:val="00AE7161"/>
    <w:rsid w:val="00AE71B2"/>
    <w:rsid w:val="00AE73BA"/>
    <w:rsid w:val="00AE7432"/>
    <w:rsid w:val="00AE74C7"/>
    <w:rsid w:val="00AE7809"/>
    <w:rsid w:val="00AE7B0C"/>
    <w:rsid w:val="00AE7BA9"/>
    <w:rsid w:val="00AE7BB3"/>
    <w:rsid w:val="00AE7C07"/>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7E4"/>
    <w:rsid w:val="00AF1831"/>
    <w:rsid w:val="00AF1838"/>
    <w:rsid w:val="00AF18CA"/>
    <w:rsid w:val="00AF2557"/>
    <w:rsid w:val="00AF258F"/>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2EA"/>
    <w:rsid w:val="00AF5542"/>
    <w:rsid w:val="00AF57D9"/>
    <w:rsid w:val="00AF5BBD"/>
    <w:rsid w:val="00AF5C48"/>
    <w:rsid w:val="00AF5E85"/>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042"/>
    <w:rsid w:val="00B00731"/>
    <w:rsid w:val="00B00966"/>
    <w:rsid w:val="00B00A4E"/>
    <w:rsid w:val="00B00A91"/>
    <w:rsid w:val="00B00AFE"/>
    <w:rsid w:val="00B00B2D"/>
    <w:rsid w:val="00B00FA5"/>
    <w:rsid w:val="00B012D8"/>
    <w:rsid w:val="00B01403"/>
    <w:rsid w:val="00B01447"/>
    <w:rsid w:val="00B014C8"/>
    <w:rsid w:val="00B016B4"/>
    <w:rsid w:val="00B01843"/>
    <w:rsid w:val="00B01A3C"/>
    <w:rsid w:val="00B01BC6"/>
    <w:rsid w:val="00B01C05"/>
    <w:rsid w:val="00B01EAA"/>
    <w:rsid w:val="00B0206C"/>
    <w:rsid w:val="00B0217B"/>
    <w:rsid w:val="00B0222A"/>
    <w:rsid w:val="00B02374"/>
    <w:rsid w:val="00B023AF"/>
    <w:rsid w:val="00B02463"/>
    <w:rsid w:val="00B02769"/>
    <w:rsid w:val="00B02906"/>
    <w:rsid w:val="00B02949"/>
    <w:rsid w:val="00B02962"/>
    <w:rsid w:val="00B029C5"/>
    <w:rsid w:val="00B02AB2"/>
    <w:rsid w:val="00B02D0F"/>
    <w:rsid w:val="00B03048"/>
    <w:rsid w:val="00B03313"/>
    <w:rsid w:val="00B035D2"/>
    <w:rsid w:val="00B03632"/>
    <w:rsid w:val="00B036D8"/>
    <w:rsid w:val="00B03979"/>
    <w:rsid w:val="00B03BAB"/>
    <w:rsid w:val="00B04116"/>
    <w:rsid w:val="00B04265"/>
    <w:rsid w:val="00B04492"/>
    <w:rsid w:val="00B046A6"/>
    <w:rsid w:val="00B048D5"/>
    <w:rsid w:val="00B0496A"/>
    <w:rsid w:val="00B04F72"/>
    <w:rsid w:val="00B0523F"/>
    <w:rsid w:val="00B052CB"/>
    <w:rsid w:val="00B0540C"/>
    <w:rsid w:val="00B05452"/>
    <w:rsid w:val="00B055D3"/>
    <w:rsid w:val="00B0560A"/>
    <w:rsid w:val="00B05641"/>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A6E"/>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DE"/>
    <w:rsid w:val="00B14C0C"/>
    <w:rsid w:val="00B14DE6"/>
    <w:rsid w:val="00B14E68"/>
    <w:rsid w:val="00B14EA6"/>
    <w:rsid w:val="00B151C2"/>
    <w:rsid w:val="00B1522E"/>
    <w:rsid w:val="00B1536C"/>
    <w:rsid w:val="00B15473"/>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916"/>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426"/>
    <w:rsid w:val="00B20434"/>
    <w:rsid w:val="00B20748"/>
    <w:rsid w:val="00B2091D"/>
    <w:rsid w:val="00B20C4E"/>
    <w:rsid w:val="00B20E17"/>
    <w:rsid w:val="00B20F8F"/>
    <w:rsid w:val="00B21033"/>
    <w:rsid w:val="00B210AC"/>
    <w:rsid w:val="00B211F8"/>
    <w:rsid w:val="00B21486"/>
    <w:rsid w:val="00B217A3"/>
    <w:rsid w:val="00B21905"/>
    <w:rsid w:val="00B21C75"/>
    <w:rsid w:val="00B21CED"/>
    <w:rsid w:val="00B21F14"/>
    <w:rsid w:val="00B226A4"/>
    <w:rsid w:val="00B226CE"/>
    <w:rsid w:val="00B22AB3"/>
    <w:rsid w:val="00B22B24"/>
    <w:rsid w:val="00B22BC8"/>
    <w:rsid w:val="00B22C81"/>
    <w:rsid w:val="00B22D45"/>
    <w:rsid w:val="00B22FB8"/>
    <w:rsid w:val="00B230B8"/>
    <w:rsid w:val="00B23183"/>
    <w:rsid w:val="00B234D9"/>
    <w:rsid w:val="00B23950"/>
    <w:rsid w:val="00B23ACB"/>
    <w:rsid w:val="00B23B96"/>
    <w:rsid w:val="00B23C8E"/>
    <w:rsid w:val="00B23E80"/>
    <w:rsid w:val="00B23EF1"/>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5C"/>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14"/>
    <w:rsid w:val="00B3108F"/>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DF"/>
    <w:rsid w:val="00B34CFF"/>
    <w:rsid w:val="00B34D80"/>
    <w:rsid w:val="00B34EF4"/>
    <w:rsid w:val="00B350BD"/>
    <w:rsid w:val="00B353C7"/>
    <w:rsid w:val="00B35510"/>
    <w:rsid w:val="00B357A5"/>
    <w:rsid w:val="00B358B3"/>
    <w:rsid w:val="00B358B9"/>
    <w:rsid w:val="00B35E55"/>
    <w:rsid w:val="00B36100"/>
    <w:rsid w:val="00B36577"/>
    <w:rsid w:val="00B36583"/>
    <w:rsid w:val="00B36856"/>
    <w:rsid w:val="00B36B72"/>
    <w:rsid w:val="00B36DA6"/>
    <w:rsid w:val="00B371CE"/>
    <w:rsid w:val="00B37291"/>
    <w:rsid w:val="00B37316"/>
    <w:rsid w:val="00B3749C"/>
    <w:rsid w:val="00B3750F"/>
    <w:rsid w:val="00B378DC"/>
    <w:rsid w:val="00B37A0E"/>
    <w:rsid w:val="00B37AF1"/>
    <w:rsid w:val="00B37C04"/>
    <w:rsid w:val="00B37EAC"/>
    <w:rsid w:val="00B37F6E"/>
    <w:rsid w:val="00B400CF"/>
    <w:rsid w:val="00B4025D"/>
    <w:rsid w:val="00B4044E"/>
    <w:rsid w:val="00B40559"/>
    <w:rsid w:val="00B40651"/>
    <w:rsid w:val="00B4072A"/>
    <w:rsid w:val="00B408BD"/>
    <w:rsid w:val="00B40954"/>
    <w:rsid w:val="00B40B41"/>
    <w:rsid w:val="00B40F88"/>
    <w:rsid w:val="00B40FF1"/>
    <w:rsid w:val="00B41192"/>
    <w:rsid w:val="00B412FB"/>
    <w:rsid w:val="00B412FD"/>
    <w:rsid w:val="00B413F9"/>
    <w:rsid w:val="00B41768"/>
    <w:rsid w:val="00B418DC"/>
    <w:rsid w:val="00B41968"/>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300E"/>
    <w:rsid w:val="00B430F9"/>
    <w:rsid w:val="00B43167"/>
    <w:rsid w:val="00B431ED"/>
    <w:rsid w:val="00B434A6"/>
    <w:rsid w:val="00B43544"/>
    <w:rsid w:val="00B437C0"/>
    <w:rsid w:val="00B43BCB"/>
    <w:rsid w:val="00B43CFF"/>
    <w:rsid w:val="00B43F00"/>
    <w:rsid w:val="00B4407A"/>
    <w:rsid w:val="00B44481"/>
    <w:rsid w:val="00B444FE"/>
    <w:rsid w:val="00B44773"/>
    <w:rsid w:val="00B44777"/>
    <w:rsid w:val="00B447A3"/>
    <w:rsid w:val="00B447C0"/>
    <w:rsid w:val="00B44B82"/>
    <w:rsid w:val="00B44C0B"/>
    <w:rsid w:val="00B451F9"/>
    <w:rsid w:val="00B452F7"/>
    <w:rsid w:val="00B45A43"/>
    <w:rsid w:val="00B45C96"/>
    <w:rsid w:val="00B45FCB"/>
    <w:rsid w:val="00B4699E"/>
    <w:rsid w:val="00B46CB6"/>
    <w:rsid w:val="00B476D4"/>
    <w:rsid w:val="00B476F7"/>
    <w:rsid w:val="00B4776B"/>
    <w:rsid w:val="00B47796"/>
    <w:rsid w:val="00B47C40"/>
    <w:rsid w:val="00B47FD3"/>
    <w:rsid w:val="00B5001C"/>
    <w:rsid w:val="00B5015F"/>
    <w:rsid w:val="00B5021A"/>
    <w:rsid w:val="00B5038F"/>
    <w:rsid w:val="00B5056C"/>
    <w:rsid w:val="00B50718"/>
    <w:rsid w:val="00B507C7"/>
    <w:rsid w:val="00B50D6D"/>
    <w:rsid w:val="00B50FF2"/>
    <w:rsid w:val="00B511CF"/>
    <w:rsid w:val="00B512E2"/>
    <w:rsid w:val="00B514FE"/>
    <w:rsid w:val="00B517AC"/>
    <w:rsid w:val="00B51B1B"/>
    <w:rsid w:val="00B51C51"/>
    <w:rsid w:val="00B51D1F"/>
    <w:rsid w:val="00B51EE3"/>
    <w:rsid w:val="00B5222D"/>
    <w:rsid w:val="00B52361"/>
    <w:rsid w:val="00B52740"/>
    <w:rsid w:val="00B5286A"/>
    <w:rsid w:val="00B52AB9"/>
    <w:rsid w:val="00B52ECE"/>
    <w:rsid w:val="00B5318F"/>
    <w:rsid w:val="00B5380D"/>
    <w:rsid w:val="00B53BF0"/>
    <w:rsid w:val="00B53CDD"/>
    <w:rsid w:val="00B53F24"/>
    <w:rsid w:val="00B541E4"/>
    <w:rsid w:val="00B54207"/>
    <w:rsid w:val="00B54507"/>
    <w:rsid w:val="00B547A1"/>
    <w:rsid w:val="00B548EC"/>
    <w:rsid w:val="00B549F1"/>
    <w:rsid w:val="00B54FDF"/>
    <w:rsid w:val="00B550C3"/>
    <w:rsid w:val="00B5512E"/>
    <w:rsid w:val="00B5513F"/>
    <w:rsid w:val="00B5534A"/>
    <w:rsid w:val="00B5540E"/>
    <w:rsid w:val="00B55609"/>
    <w:rsid w:val="00B5581D"/>
    <w:rsid w:val="00B55948"/>
    <w:rsid w:val="00B55A6C"/>
    <w:rsid w:val="00B55E90"/>
    <w:rsid w:val="00B562D5"/>
    <w:rsid w:val="00B563CA"/>
    <w:rsid w:val="00B56784"/>
    <w:rsid w:val="00B56888"/>
    <w:rsid w:val="00B569ED"/>
    <w:rsid w:val="00B56AB9"/>
    <w:rsid w:val="00B56D40"/>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D73"/>
    <w:rsid w:val="00B61194"/>
    <w:rsid w:val="00B613AF"/>
    <w:rsid w:val="00B61503"/>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67B"/>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3C4"/>
    <w:rsid w:val="00B67735"/>
    <w:rsid w:val="00B67837"/>
    <w:rsid w:val="00B678C6"/>
    <w:rsid w:val="00B67C2A"/>
    <w:rsid w:val="00B67D71"/>
    <w:rsid w:val="00B67E22"/>
    <w:rsid w:val="00B67FC5"/>
    <w:rsid w:val="00B703ED"/>
    <w:rsid w:val="00B70686"/>
    <w:rsid w:val="00B70AF7"/>
    <w:rsid w:val="00B70B2B"/>
    <w:rsid w:val="00B70B58"/>
    <w:rsid w:val="00B70B59"/>
    <w:rsid w:val="00B70B7B"/>
    <w:rsid w:val="00B70F71"/>
    <w:rsid w:val="00B71209"/>
    <w:rsid w:val="00B7156D"/>
    <w:rsid w:val="00B7190A"/>
    <w:rsid w:val="00B71ABF"/>
    <w:rsid w:val="00B71BEF"/>
    <w:rsid w:val="00B71CE5"/>
    <w:rsid w:val="00B71F84"/>
    <w:rsid w:val="00B72065"/>
    <w:rsid w:val="00B72124"/>
    <w:rsid w:val="00B72142"/>
    <w:rsid w:val="00B722C2"/>
    <w:rsid w:val="00B72432"/>
    <w:rsid w:val="00B72984"/>
    <w:rsid w:val="00B72991"/>
    <w:rsid w:val="00B72B8E"/>
    <w:rsid w:val="00B72B99"/>
    <w:rsid w:val="00B72BC4"/>
    <w:rsid w:val="00B72C45"/>
    <w:rsid w:val="00B72DFD"/>
    <w:rsid w:val="00B72ED6"/>
    <w:rsid w:val="00B72F27"/>
    <w:rsid w:val="00B7319E"/>
    <w:rsid w:val="00B734CB"/>
    <w:rsid w:val="00B73504"/>
    <w:rsid w:val="00B7359F"/>
    <w:rsid w:val="00B736F5"/>
    <w:rsid w:val="00B73771"/>
    <w:rsid w:val="00B73A36"/>
    <w:rsid w:val="00B73BDA"/>
    <w:rsid w:val="00B73C48"/>
    <w:rsid w:val="00B744A2"/>
    <w:rsid w:val="00B745AA"/>
    <w:rsid w:val="00B74888"/>
    <w:rsid w:val="00B74ABD"/>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D1A"/>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711"/>
    <w:rsid w:val="00B8272F"/>
    <w:rsid w:val="00B82913"/>
    <w:rsid w:val="00B829A7"/>
    <w:rsid w:val="00B82AC6"/>
    <w:rsid w:val="00B831E1"/>
    <w:rsid w:val="00B839B1"/>
    <w:rsid w:val="00B8450E"/>
    <w:rsid w:val="00B846F1"/>
    <w:rsid w:val="00B8476F"/>
    <w:rsid w:val="00B852E0"/>
    <w:rsid w:val="00B8586C"/>
    <w:rsid w:val="00B858C2"/>
    <w:rsid w:val="00B85A66"/>
    <w:rsid w:val="00B85A71"/>
    <w:rsid w:val="00B85B10"/>
    <w:rsid w:val="00B85EE3"/>
    <w:rsid w:val="00B86280"/>
    <w:rsid w:val="00B863E1"/>
    <w:rsid w:val="00B866EE"/>
    <w:rsid w:val="00B86981"/>
    <w:rsid w:val="00B869AC"/>
    <w:rsid w:val="00B86B8E"/>
    <w:rsid w:val="00B86DC0"/>
    <w:rsid w:val="00B8707A"/>
    <w:rsid w:val="00B870A6"/>
    <w:rsid w:val="00B8711E"/>
    <w:rsid w:val="00B87145"/>
    <w:rsid w:val="00B8735C"/>
    <w:rsid w:val="00B87413"/>
    <w:rsid w:val="00B874C3"/>
    <w:rsid w:val="00B87656"/>
    <w:rsid w:val="00B878A9"/>
    <w:rsid w:val="00B879AB"/>
    <w:rsid w:val="00B901C7"/>
    <w:rsid w:val="00B90563"/>
    <w:rsid w:val="00B90925"/>
    <w:rsid w:val="00B90F52"/>
    <w:rsid w:val="00B90F96"/>
    <w:rsid w:val="00B90FE8"/>
    <w:rsid w:val="00B9107B"/>
    <w:rsid w:val="00B91203"/>
    <w:rsid w:val="00B912BC"/>
    <w:rsid w:val="00B91302"/>
    <w:rsid w:val="00B9136C"/>
    <w:rsid w:val="00B91467"/>
    <w:rsid w:val="00B915F7"/>
    <w:rsid w:val="00B917BD"/>
    <w:rsid w:val="00B919EC"/>
    <w:rsid w:val="00B91CA4"/>
    <w:rsid w:val="00B91F27"/>
    <w:rsid w:val="00B923F0"/>
    <w:rsid w:val="00B924A2"/>
    <w:rsid w:val="00B92742"/>
    <w:rsid w:val="00B9279C"/>
    <w:rsid w:val="00B92873"/>
    <w:rsid w:val="00B9289C"/>
    <w:rsid w:val="00B92B50"/>
    <w:rsid w:val="00B92B65"/>
    <w:rsid w:val="00B92BA4"/>
    <w:rsid w:val="00B92D97"/>
    <w:rsid w:val="00B93573"/>
    <w:rsid w:val="00B93599"/>
    <w:rsid w:val="00B93838"/>
    <w:rsid w:val="00B93891"/>
    <w:rsid w:val="00B9389A"/>
    <w:rsid w:val="00B93B93"/>
    <w:rsid w:val="00B93BD8"/>
    <w:rsid w:val="00B93D97"/>
    <w:rsid w:val="00B94154"/>
    <w:rsid w:val="00B9427B"/>
    <w:rsid w:val="00B944D1"/>
    <w:rsid w:val="00B9452B"/>
    <w:rsid w:val="00B9454C"/>
    <w:rsid w:val="00B94CFE"/>
    <w:rsid w:val="00B95866"/>
    <w:rsid w:val="00B95920"/>
    <w:rsid w:val="00B959E0"/>
    <w:rsid w:val="00B95AAF"/>
    <w:rsid w:val="00B95ACD"/>
    <w:rsid w:val="00B95B31"/>
    <w:rsid w:val="00B960EC"/>
    <w:rsid w:val="00B961D7"/>
    <w:rsid w:val="00B964D1"/>
    <w:rsid w:val="00B96533"/>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898"/>
    <w:rsid w:val="00BA0C6F"/>
    <w:rsid w:val="00BA0C93"/>
    <w:rsid w:val="00BA0CD7"/>
    <w:rsid w:val="00BA120B"/>
    <w:rsid w:val="00BA164E"/>
    <w:rsid w:val="00BA1875"/>
    <w:rsid w:val="00BA18C1"/>
    <w:rsid w:val="00BA20A0"/>
    <w:rsid w:val="00BA20AB"/>
    <w:rsid w:val="00BA261C"/>
    <w:rsid w:val="00BA280F"/>
    <w:rsid w:val="00BA2B64"/>
    <w:rsid w:val="00BA2C9C"/>
    <w:rsid w:val="00BA2FB4"/>
    <w:rsid w:val="00BA300F"/>
    <w:rsid w:val="00BA336D"/>
    <w:rsid w:val="00BA340F"/>
    <w:rsid w:val="00BA34F3"/>
    <w:rsid w:val="00BA3626"/>
    <w:rsid w:val="00BA36B0"/>
    <w:rsid w:val="00BA3ACF"/>
    <w:rsid w:val="00BA3B7E"/>
    <w:rsid w:val="00BA3B92"/>
    <w:rsid w:val="00BA3BD5"/>
    <w:rsid w:val="00BA3D4F"/>
    <w:rsid w:val="00BA3E15"/>
    <w:rsid w:val="00BA3E53"/>
    <w:rsid w:val="00BA3F66"/>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D5A"/>
    <w:rsid w:val="00BA6E99"/>
    <w:rsid w:val="00BA6EED"/>
    <w:rsid w:val="00BA7093"/>
    <w:rsid w:val="00BA7143"/>
    <w:rsid w:val="00BA725F"/>
    <w:rsid w:val="00BA72D0"/>
    <w:rsid w:val="00BA7606"/>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1DA3"/>
    <w:rsid w:val="00BB20C2"/>
    <w:rsid w:val="00BB23E8"/>
    <w:rsid w:val="00BB279B"/>
    <w:rsid w:val="00BB291A"/>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B2"/>
    <w:rsid w:val="00BB52DA"/>
    <w:rsid w:val="00BB5305"/>
    <w:rsid w:val="00BB5481"/>
    <w:rsid w:val="00BB57C0"/>
    <w:rsid w:val="00BB57C7"/>
    <w:rsid w:val="00BB59F1"/>
    <w:rsid w:val="00BB5B9B"/>
    <w:rsid w:val="00BB5BE5"/>
    <w:rsid w:val="00BB5D56"/>
    <w:rsid w:val="00BB5F42"/>
    <w:rsid w:val="00BB624A"/>
    <w:rsid w:val="00BB6401"/>
    <w:rsid w:val="00BB649B"/>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478"/>
    <w:rsid w:val="00BC7BA6"/>
    <w:rsid w:val="00BC7CD2"/>
    <w:rsid w:val="00BC7E91"/>
    <w:rsid w:val="00BC7EE0"/>
    <w:rsid w:val="00BC7F3B"/>
    <w:rsid w:val="00BC7F8D"/>
    <w:rsid w:val="00BD0152"/>
    <w:rsid w:val="00BD0262"/>
    <w:rsid w:val="00BD02C4"/>
    <w:rsid w:val="00BD04A3"/>
    <w:rsid w:val="00BD0602"/>
    <w:rsid w:val="00BD0848"/>
    <w:rsid w:val="00BD0C29"/>
    <w:rsid w:val="00BD0C92"/>
    <w:rsid w:val="00BD0E95"/>
    <w:rsid w:val="00BD0F86"/>
    <w:rsid w:val="00BD0FF5"/>
    <w:rsid w:val="00BD1021"/>
    <w:rsid w:val="00BD113E"/>
    <w:rsid w:val="00BD1198"/>
    <w:rsid w:val="00BD1235"/>
    <w:rsid w:val="00BD153B"/>
    <w:rsid w:val="00BD1C3D"/>
    <w:rsid w:val="00BD1CFD"/>
    <w:rsid w:val="00BD1F82"/>
    <w:rsid w:val="00BD22EA"/>
    <w:rsid w:val="00BD2A96"/>
    <w:rsid w:val="00BD2B9F"/>
    <w:rsid w:val="00BD2BBC"/>
    <w:rsid w:val="00BD2E98"/>
    <w:rsid w:val="00BD3249"/>
    <w:rsid w:val="00BD3266"/>
    <w:rsid w:val="00BD3831"/>
    <w:rsid w:val="00BD38D6"/>
    <w:rsid w:val="00BD40B7"/>
    <w:rsid w:val="00BD4247"/>
    <w:rsid w:val="00BD43BD"/>
    <w:rsid w:val="00BD490E"/>
    <w:rsid w:val="00BD4939"/>
    <w:rsid w:val="00BD4C99"/>
    <w:rsid w:val="00BD4E59"/>
    <w:rsid w:val="00BD5374"/>
    <w:rsid w:val="00BD54C7"/>
    <w:rsid w:val="00BD551B"/>
    <w:rsid w:val="00BD578C"/>
    <w:rsid w:val="00BD58D6"/>
    <w:rsid w:val="00BD59F0"/>
    <w:rsid w:val="00BD5B87"/>
    <w:rsid w:val="00BD5B89"/>
    <w:rsid w:val="00BD5BD5"/>
    <w:rsid w:val="00BD5BEA"/>
    <w:rsid w:val="00BD5C14"/>
    <w:rsid w:val="00BD5C5D"/>
    <w:rsid w:val="00BD5FBA"/>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282E"/>
    <w:rsid w:val="00BE2B94"/>
    <w:rsid w:val="00BE3040"/>
    <w:rsid w:val="00BE3173"/>
    <w:rsid w:val="00BE3490"/>
    <w:rsid w:val="00BE35B9"/>
    <w:rsid w:val="00BE37FE"/>
    <w:rsid w:val="00BE3822"/>
    <w:rsid w:val="00BE38BD"/>
    <w:rsid w:val="00BE3938"/>
    <w:rsid w:val="00BE39BD"/>
    <w:rsid w:val="00BE3B8A"/>
    <w:rsid w:val="00BE450C"/>
    <w:rsid w:val="00BE4734"/>
    <w:rsid w:val="00BE4912"/>
    <w:rsid w:val="00BE4A9B"/>
    <w:rsid w:val="00BE4BF8"/>
    <w:rsid w:val="00BE507F"/>
    <w:rsid w:val="00BE539C"/>
    <w:rsid w:val="00BE53EA"/>
    <w:rsid w:val="00BE53F1"/>
    <w:rsid w:val="00BE56C5"/>
    <w:rsid w:val="00BE589E"/>
    <w:rsid w:val="00BE58BD"/>
    <w:rsid w:val="00BE5922"/>
    <w:rsid w:val="00BE5D7F"/>
    <w:rsid w:val="00BE5FB3"/>
    <w:rsid w:val="00BE60DA"/>
    <w:rsid w:val="00BE63AD"/>
    <w:rsid w:val="00BE654F"/>
    <w:rsid w:val="00BE6600"/>
    <w:rsid w:val="00BE666E"/>
    <w:rsid w:val="00BE674A"/>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BB3"/>
    <w:rsid w:val="00BF3D62"/>
    <w:rsid w:val="00BF3DCA"/>
    <w:rsid w:val="00BF3E8E"/>
    <w:rsid w:val="00BF4233"/>
    <w:rsid w:val="00BF444D"/>
    <w:rsid w:val="00BF45DF"/>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6CA"/>
    <w:rsid w:val="00BF68AA"/>
    <w:rsid w:val="00BF68E9"/>
    <w:rsid w:val="00BF6BDE"/>
    <w:rsid w:val="00BF6C9F"/>
    <w:rsid w:val="00BF6D95"/>
    <w:rsid w:val="00BF6DC9"/>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875"/>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01"/>
    <w:rsid w:val="00C0458D"/>
    <w:rsid w:val="00C0464D"/>
    <w:rsid w:val="00C0467E"/>
    <w:rsid w:val="00C04A3E"/>
    <w:rsid w:val="00C05027"/>
    <w:rsid w:val="00C050AA"/>
    <w:rsid w:val="00C05228"/>
    <w:rsid w:val="00C053AD"/>
    <w:rsid w:val="00C056EC"/>
    <w:rsid w:val="00C05944"/>
    <w:rsid w:val="00C05AC7"/>
    <w:rsid w:val="00C05C0C"/>
    <w:rsid w:val="00C06053"/>
    <w:rsid w:val="00C06063"/>
    <w:rsid w:val="00C06073"/>
    <w:rsid w:val="00C06087"/>
    <w:rsid w:val="00C06141"/>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DC2"/>
    <w:rsid w:val="00C12E18"/>
    <w:rsid w:val="00C12E29"/>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24B"/>
    <w:rsid w:val="00C152EE"/>
    <w:rsid w:val="00C1566C"/>
    <w:rsid w:val="00C15698"/>
    <w:rsid w:val="00C159BB"/>
    <w:rsid w:val="00C15E43"/>
    <w:rsid w:val="00C16187"/>
    <w:rsid w:val="00C162AC"/>
    <w:rsid w:val="00C16375"/>
    <w:rsid w:val="00C1639C"/>
    <w:rsid w:val="00C167E4"/>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B49"/>
    <w:rsid w:val="00C22D45"/>
    <w:rsid w:val="00C23069"/>
    <w:rsid w:val="00C23084"/>
    <w:rsid w:val="00C23601"/>
    <w:rsid w:val="00C23627"/>
    <w:rsid w:val="00C236C0"/>
    <w:rsid w:val="00C23710"/>
    <w:rsid w:val="00C23C13"/>
    <w:rsid w:val="00C23D0A"/>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677"/>
    <w:rsid w:val="00C25BD0"/>
    <w:rsid w:val="00C25E2B"/>
    <w:rsid w:val="00C2606E"/>
    <w:rsid w:val="00C261BA"/>
    <w:rsid w:val="00C2623F"/>
    <w:rsid w:val="00C263B9"/>
    <w:rsid w:val="00C2655A"/>
    <w:rsid w:val="00C2667D"/>
    <w:rsid w:val="00C2685C"/>
    <w:rsid w:val="00C26921"/>
    <w:rsid w:val="00C26B2A"/>
    <w:rsid w:val="00C26F1C"/>
    <w:rsid w:val="00C26F72"/>
    <w:rsid w:val="00C2727C"/>
    <w:rsid w:val="00C27641"/>
    <w:rsid w:val="00C27808"/>
    <w:rsid w:val="00C278D6"/>
    <w:rsid w:val="00C279D8"/>
    <w:rsid w:val="00C279FE"/>
    <w:rsid w:val="00C27A0D"/>
    <w:rsid w:val="00C301A4"/>
    <w:rsid w:val="00C303DA"/>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2EE3"/>
    <w:rsid w:val="00C33012"/>
    <w:rsid w:val="00C332F0"/>
    <w:rsid w:val="00C335FF"/>
    <w:rsid w:val="00C33990"/>
    <w:rsid w:val="00C33BAD"/>
    <w:rsid w:val="00C33D21"/>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55D"/>
    <w:rsid w:val="00C379C6"/>
    <w:rsid w:val="00C37C0D"/>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B3D"/>
    <w:rsid w:val="00C42DD2"/>
    <w:rsid w:val="00C430AE"/>
    <w:rsid w:val="00C43321"/>
    <w:rsid w:val="00C434C2"/>
    <w:rsid w:val="00C4395D"/>
    <w:rsid w:val="00C43963"/>
    <w:rsid w:val="00C43AE0"/>
    <w:rsid w:val="00C43B5E"/>
    <w:rsid w:val="00C441C0"/>
    <w:rsid w:val="00C442D1"/>
    <w:rsid w:val="00C44305"/>
    <w:rsid w:val="00C4433D"/>
    <w:rsid w:val="00C445D0"/>
    <w:rsid w:val="00C449D7"/>
    <w:rsid w:val="00C44DAC"/>
    <w:rsid w:val="00C44DF0"/>
    <w:rsid w:val="00C44F3D"/>
    <w:rsid w:val="00C453F3"/>
    <w:rsid w:val="00C458E5"/>
    <w:rsid w:val="00C45A2B"/>
    <w:rsid w:val="00C45CD5"/>
    <w:rsid w:val="00C45E65"/>
    <w:rsid w:val="00C45ECD"/>
    <w:rsid w:val="00C45F76"/>
    <w:rsid w:val="00C46024"/>
    <w:rsid w:val="00C4610B"/>
    <w:rsid w:val="00C46195"/>
    <w:rsid w:val="00C46656"/>
    <w:rsid w:val="00C467D8"/>
    <w:rsid w:val="00C46932"/>
    <w:rsid w:val="00C46A1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4DE"/>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B16"/>
    <w:rsid w:val="00C57D2B"/>
    <w:rsid w:val="00C57E78"/>
    <w:rsid w:val="00C600CB"/>
    <w:rsid w:val="00C600E0"/>
    <w:rsid w:val="00C60788"/>
    <w:rsid w:val="00C60A7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2988"/>
    <w:rsid w:val="00C6316B"/>
    <w:rsid w:val="00C63375"/>
    <w:rsid w:val="00C63439"/>
    <w:rsid w:val="00C63E8D"/>
    <w:rsid w:val="00C63FAA"/>
    <w:rsid w:val="00C6416C"/>
    <w:rsid w:val="00C64A03"/>
    <w:rsid w:val="00C64B15"/>
    <w:rsid w:val="00C64C01"/>
    <w:rsid w:val="00C64D78"/>
    <w:rsid w:val="00C64DBB"/>
    <w:rsid w:val="00C6500F"/>
    <w:rsid w:val="00C650CB"/>
    <w:rsid w:val="00C65237"/>
    <w:rsid w:val="00C65367"/>
    <w:rsid w:val="00C65740"/>
    <w:rsid w:val="00C65992"/>
    <w:rsid w:val="00C659A7"/>
    <w:rsid w:val="00C65BCB"/>
    <w:rsid w:val="00C65C52"/>
    <w:rsid w:val="00C663C7"/>
    <w:rsid w:val="00C66453"/>
    <w:rsid w:val="00C664F3"/>
    <w:rsid w:val="00C6652A"/>
    <w:rsid w:val="00C66760"/>
    <w:rsid w:val="00C6679F"/>
    <w:rsid w:val="00C669FD"/>
    <w:rsid w:val="00C66BE7"/>
    <w:rsid w:val="00C66C84"/>
    <w:rsid w:val="00C66D1C"/>
    <w:rsid w:val="00C671B1"/>
    <w:rsid w:val="00C67260"/>
    <w:rsid w:val="00C6747E"/>
    <w:rsid w:val="00C677A8"/>
    <w:rsid w:val="00C679EE"/>
    <w:rsid w:val="00C67C5B"/>
    <w:rsid w:val="00C67D01"/>
    <w:rsid w:val="00C67D72"/>
    <w:rsid w:val="00C67FEE"/>
    <w:rsid w:val="00C7002A"/>
    <w:rsid w:val="00C7005A"/>
    <w:rsid w:val="00C701DE"/>
    <w:rsid w:val="00C70250"/>
    <w:rsid w:val="00C703A0"/>
    <w:rsid w:val="00C704E9"/>
    <w:rsid w:val="00C705EE"/>
    <w:rsid w:val="00C70C58"/>
    <w:rsid w:val="00C70D9B"/>
    <w:rsid w:val="00C70F23"/>
    <w:rsid w:val="00C70F54"/>
    <w:rsid w:val="00C70FA2"/>
    <w:rsid w:val="00C711FE"/>
    <w:rsid w:val="00C71396"/>
    <w:rsid w:val="00C71E2B"/>
    <w:rsid w:val="00C7202C"/>
    <w:rsid w:val="00C72058"/>
    <w:rsid w:val="00C720DD"/>
    <w:rsid w:val="00C725E1"/>
    <w:rsid w:val="00C728B5"/>
    <w:rsid w:val="00C7290D"/>
    <w:rsid w:val="00C73171"/>
    <w:rsid w:val="00C73901"/>
    <w:rsid w:val="00C73B14"/>
    <w:rsid w:val="00C73D86"/>
    <w:rsid w:val="00C73D9F"/>
    <w:rsid w:val="00C740DD"/>
    <w:rsid w:val="00C742D7"/>
    <w:rsid w:val="00C74721"/>
    <w:rsid w:val="00C747A5"/>
    <w:rsid w:val="00C7480F"/>
    <w:rsid w:val="00C74B4A"/>
    <w:rsid w:val="00C74BCC"/>
    <w:rsid w:val="00C74C2E"/>
    <w:rsid w:val="00C75194"/>
    <w:rsid w:val="00C75437"/>
    <w:rsid w:val="00C7544A"/>
    <w:rsid w:val="00C75649"/>
    <w:rsid w:val="00C7575F"/>
    <w:rsid w:val="00C758E8"/>
    <w:rsid w:val="00C75A58"/>
    <w:rsid w:val="00C75B62"/>
    <w:rsid w:val="00C75BC0"/>
    <w:rsid w:val="00C75C8B"/>
    <w:rsid w:val="00C75E50"/>
    <w:rsid w:val="00C75EF5"/>
    <w:rsid w:val="00C75FC3"/>
    <w:rsid w:val="00C75FD3"/>
    <w:rsid w:val="00C76007"/>
    <w:rsid w:val="00C76403"/>
    <w:rsid w:val="00C7642B"/>
    <w:rsid w:val="00C76551"/>
    <w:rsid w:val="00C765AE"/>
    <w:rsid w:val="00C765EA"/>
    <w:rsid w:val="00C765F4"/>
    <w:rsid w:val="00C76604"/>
    <w:rsid w:val="00C76827"/>
    <w:rsid w:val="00C76AEC"/>
    <w:rsid w:val="00C76C10"/>
    <w:rsid w:val="00C76C3A"/>
    <w:rsid w:val="00C76E3E"/>
    <w:rsid w:val="00C773B6"/>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8E3"/>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04"/>
    <w:rsid w:val="00C84AD2"/>
    <w:rsid w:val="00C84DEA"/>
    <w:rsid w:val="00C84E94"/>
    <w:rsid w:val="00C84ED2"/>
    <w:rsid w:val="00C8507A"/>
    <w:rsid w:val="00C850EF"/>
    <w:rsid w:val="00C8516E"/>
    <w:rsid w:val="00C854AD"/>
    <w:rsid w:val="00C855CA"/>
    <w:rsid w:val="00C85D1B"/>
    <w:rsid w:val="00C85FDC"/>
    <w:rsid w:val="00C8606B"/>
    <w:rsid w:val="00C8610B"/>
    <w:rsid w:val="00C864C2"/>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1C8"/>
    <w:rsid w:val="00C91617"/>
    <w:rsid w:val="00C91946"/>
    <w:rsid w:val="00C91C15"/>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B58"/>
    <w:rsid w:val="00C93C81"/>
    <w:rsid w:val="00C93F3A"/>
    <w:rsid w:val="00C94038"/>
    <w:rsid w:val="00C9418C"/>
    <w:rsid w:val="00C9419C"/>
    <w:rsid w:val="00C94440"/>
    <w:rsid w:val="00C944C6"/>
    <w:rsid w:val="00C946B7"/>
    <w:rsid w:val="00C946C2"/>
    <w:rsid w:val="00C94771"/>
    <w:rsid w:val="00C94AB0"/>
    <w:rsid w:val="00C94ED2"/>
    <w:rsid w:val="00C95944"/>
    <w:rsid w:val="00C95965"/>
    <w:rsid w:val="00C95A04"/>
    <w:rsid w:val="00C95B9E"/>
    <w:rsid w:val="00C95B9F"/>
    <w:rsid w:val="00C95EB2"/>
    <w:rsid w:val="00C961CD"/>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32D"/>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FF"/>
    <w:rsid w:val="00CA68BF"/>
    <w:rsid w:val="00CA696C"/>
    <w:rsid w:val="00CA6976"/>
    <w:rsid w:val="00CA69ED"/>
    <w:rsid w:val="00CA6C3E"/>
    <w:rsid w:val="00CA6E01"/>
    <w:rsid w:val="00CA7227"/>
    <w:rsid w:val="00CA745D"/>
    <w:rsid w:val="00CA75A9"/>
    <w:rsid w:val="00CA781E"/>
    <w:rsid w:val="00CA783B"/>
    <w:rsid w:val="00CA793C"/>
    <w:rsid w:val="00CA7B54"/>
    <w:rsid w:val="00CA7BA9"/>
    <w:rsid w:val="00CA7D5C"/>
    <w:rsid w:val="00CA7D82"/>
    <w:rsid w:val="00CB00C5"/>
    <w:rsid w:val="00CB035B"/>
    <w:rsid w:val="00CB06A4"/>
    <w:rsid w:val="00CB0A6C"/>
    <w:rsid w:val="00CB0BE4"/>
    <w:rsid w:val="00CB0F7B"/>
    <w:rsid w:val="00CB14C3"/>
    <w:rsid w:val="00CB1B03"/>
    <w:rsid w:val="00CB1E1D"/>
    <w:rsid w:val="00CB232B"/>
    <w:rsid w:val="00CB2A94"/>
    <w:rsid w:val="00CB2B1B"/>
    <w:rsid w:val="00CB2B32"/>
    <w:rsid w:val="00CB2DF2"/>
    <w:rsid w:val="00CB2F9D"/>
    <w:rsid w:val="00CB2F9E"/>
    <w:rsid w:val="00CB361B"/>
    <w:rsid w:val="00CB365F"/>
    <w:rsid w:val="00CB3AD7"/>
    <w:rsid w:val="00CB3BAC"/>
    <w:rsid w:val="00CB3CC8"/>
    <w:rsid w:val="00CB3EA2"/>
    <w:rsid w:val="00CB4139"/>
    <w:rsid w:val="00CB4173"/>
    <w:rsid w:val="00CB4225"/>
    <w:rsid w:val="00CB47FF"/>
    <w:rsid w:val="00CB490D"/>
    <w:rsid w:val="00CB4AB4"/>
    <w:rsid w:val="00CB552F"/>
    <w:rsid w:val="00CB5753"/>
    <w:rsid w:val="00CB5801"/>
    <w:rsid w:val="00CB591E"/>
    <w:rsid w:val="00CB5A66"/>
    <w:rsid w:val="00CB5B6F"/>
    <w:rsid w:val="00CB5C85"/>
    <w:rsid w:val="00CB6196"/>
    <w:rsid w:val="00CB6240"/>
    <w:rsid w:val="00CB65FA"/>
    <w:rsid w:val="00CB667C"/>
    <w:rsid w:val="00CB6CE2"/>
    <w:rsid w:val="00CB6E00"/>
    <w:rsid w:val="00CB6E2A"/>
    <w:rsid w:val="00CB6F9A"/>
    <w:rsid w:val="00CB7048"/>
    <w:rsid w:val="00CB7690"/>
    <w:rsid w:val="00CB79C2"/>
    <w:rsid w:val="00CB7C67"/>
    <w:rsid w:val="00CC0204"/>
    <w:rsid w:val="00CC0436"/>
    <w:rsid w:val="00CC0780"/>
    <w:rsid w:val="00CC0985"/>
    <w:rsid w:val="00CC09E4"/>
    <w:rsid w:val="00CC0ADB"/>
    <w:rsid w:val="00CC0AFE"/>
    <w:rsid w:val="00CC0B9A"/>
    <w:rsid w:val="00CC0DB6"/>
    <w:rsid w:val="00CC0F15"/>
    <w:rsid w:val="00CC14C7"/>
    <w:rsid w:val="00CC17E3"/>
    <w:rsid w:val="00CC26D2"/>
    <w:rsid w:val="00CC30C0"/>
    <w:rsid w:val="00CC3669"/>
    <w:rsid w:val="00CC36BB"/>
    <w:rsid w:val="00CC36F3"/>
    <w:rsid w:val="00CC3CDD"/>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7E8"/>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407"/>
    <w:rsid w:val="00CD1770"/>
    <w:rsid w:val="00CD1C69"/>
    <w:rsid w:val="00CD1CE4"/>
    <w:rsid w:val="00CD1F3E"/>
    <w:rsid w:val="00CD1FCC"/>
    <w:rsid w:val="00CD2111"/>
    <w:rsid w:val="00CD21CC"/>
    <w:rsid w:val="00CD258E"/>
    <w:rsid w:val="00CD28E8"/>
    <w:rsid w:val="00CD2D88"/>
    <w:rsid w:val="00CD32AE"/>
    <w:rsid w:val="00CD3594"/>
    <w:rsid w:val="00CD3E98"/>
    <w:rsid w:val="00CD4073"/>
    <w:rsid w:val="00CD4131"/>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60A"/>
    <w:rsid w:val="00CD67E0"/>
    <w:rsid w:val="00CD6818"/>
    <w:rsid w:val="00CD6B02"/>
    <w:rsid w:val="00CD6F97"/>
    <w:rsid w:val="00CD6FBF"/>
    <w:rsid w:val="00CD7714"/>
    <w:rsid w:val="00CD7835"/>
    <w:rsid w:val="00CD7857"/>
    <w:rsid w:val="00CD7A47"/>
    <w:rsid w:val="00CD7AEC"/>
    <w:rsid w:val="00CD7EAC"/>
    <w:rsid w:val="00CE063D"/>
    <w:rsid w:val="00CE06C8"/>
    <w:rsid w:val="00CE0775"/>
    <w:rsid w:val="00CE07C2"/>
    <w:rsid w:val="00CE07E5"/>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ADC"/>
    <w:rsid w:val="00CE2B0E"/>
    <w:rsid w:val="00CE2D37"/>
    <w:rsid w:val="00CE311D"/>
    <w:rsid w:val="00CE3268"/>
    <w:rsid w:val="00CE335E"/>
    <w:rsid w:val="00CE37B9"/>
    <w:rsid w:val="00CE38BA"/>
    <w:rsid w:val="00CE3AD4"/>
    <w:rsid w:val="00CE3B3B"/>
    <w:rsid w:val="00CE3C4B"/>
    <w:rsid w:val="00CE3C4E"/>
    <w:rsid w:val="00CE3E4D"/>
    <w:rsid w:val="00CE3F2E"/>
    <w:rsid w:val="00CE4050"/>
    <w:rsid w:val="00CE4088"/>
    <w:rsid w:val="00CE4172"/>
    <w:rsid w:val="00CE4975"/>
    <w:rsid w:val="00CE4E15"/>
    <w:rsid w:val="00CE5061"/>
    <w:rsid w:val="00CE53FF"/>
    <w:rsid w:val="00CE577A"/>
    <w:rsid w:val="00CE598F"/>
    <w:rsid w:val="00CE5C4D"/>
    <w:rsid w:val="00CE5CFD"/>
    <w:rsid w:val="00CE5D60"/>
    <w:rsid w:val="00CE5D9A"/>
    <w:rsid w:val="00CE61F1"/>
    <w:rsid w:val="00CE6384"/>
    <w:rsid w:val="00CE646A"/>
    <w:rsid w:val="00CE68CC"/>
    <w:rsid w:val="00CE6954"/>
    <w:rsid w:val="00CE6A02"/>
    <w:rsid w:val="00CE6A06"/>
    <w:rsid w:val="00CE6A59"/>
    <w:rsid w:val="00CE6A7C"/>
    <w:rsid w:val="00CE6D46"/>
    <w:rsid w:val="00CE716D"/>
    <w:rsid w:val="00CE71F8"/>
    <w:rsid w:val="00CE75FC"/>
    <w:rsid w:val="00CE7DA6"/>
    <w:rsid w:val="00CF0184"/>
    <w:rsid w:val="00CF022A"/>
    <w:rsid w:val="00CF023C"/>
    <w:rsid w:val="00CF0270"/>
    <w:rsid w:val="00CF02D2"/>
    <w:rsid w:val="00CF0456"/>
    <w:rsid w:val="00CF05D5"/>
    <w:rsid w:val="00CF08D7"/>
    <w:rsid w:val="00CF09FD"/>
    <w:rsid w:val="00CF0E14"/>
    <w:rsid w:val="00CF0F2E"/>
    <w:rsid w:val="00CF1148"/>
    <w:rsid w:val="00CF1291"/>
    <w:rsid w:val="00CF130E"/>
    <w:rsid w:val="00CF148D"/>
    <w:rsid w:val="00CF17BC"/>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A47"/>
    <w:rsid w:val="00CF4C61"/>
    <w:rsid w:val="00CF4FB4"/>
    <w:rsid w:val="00CF5099"/>
    <w:rsid w:val="00CF50DF"/>
    <w:rsid w:val="00CF5108"/>
    <w:rsid w:val="00CF52CD"/>
    <w:rsid w:val="00CF542E"/>
    <w:rsid w:val="00CF5530"/>
    <w:rsid w:val="00CF5B60"/>
    <w:rsid w:val="00CF5BD8"/>
    <w:rsid w:val="00CF5C2A"/>
    <w:rsid w:val="00CF5DEA"/>
    <w:rsid w:val="00CF626C"/>
    <w:rsid w:val="00CF64E0"/>
    <w:rsid w:val="00CF64FB"/>
    <w:rsid w:val="00CF6569"/>
    <w:rsid w:val="00CF69B4"/>
    <w:rsid w:val="00CF6BD4"/>
    <w:rsid w:val="00CF714D"/>
    <w:rsid w:val="00CF72F9"/>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7B"/>
    <w:rsid w:val="00D01A1B"/>
    <w:rsid w:val="00D01D45"/>
    <w:rsid w:val="00D01F1B"/>
    <w:rsid w:val="00D0216E"/>
    <w:rsid w:val="00D022D7"/>
    <w:rsid w:val="00D0262C"/>
    <w:rsid w:val="00D02BB1"/>
    <w:rsid w:val="00D02E11"/>
    <w:rsid w:val="00D02E9A"/>
    <w:rsid w:val="00D034C0"/>
    <w:rsid w:val="00D037F0"/>
    <w:rsid w:val="00D038C0"/>
    <w:rsid w:val="00D039D1"/>
    <w:rsid w:val="00D03E60"/>
    <w:rsid w:val="00D03EBF"/>
    <w:rsid w:val="00D03ECF"/>
    <w:rsid w:val="00D04021"/>
    <w:rsid w:val="00D04282"/>
    <w:rsid w:val="00D049BD"/>
    <w:rsid w:val="00D04AEF"/>
    <w:rsid w:val="00D04B3D"/>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506"/>
    <w:rsid w:val="00D10628"/>
    <w:rsid w:val="00D1074D"/>
    <w:rsid w:val="00D10B09"/>
    <w:rsid w:val="00D10BE3"/>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7"/>
    <w:rsid w:val="00D130AC"/>
    <w:rsid w:val="00D134D5"/>
    <w:rsid w:val="00D13971"/>
    <w:rsid w:val="00D13A69"/>
    <w:rsid w:val="00D13B19"/>
    <w:rsid w:val="00D13C4E"/>
    <w:rsid w:val="00D13E9B"/>
    <w:rsid w:val="00D13F31"/>
    <w:rsid w:val="00D13F56"/>
    <w:rsid w:val="00D13FBC"/>
    <w:rsid w:val="00D14209"/>
    <w:rsid w:val="00D14255"/>
    <w:rsid w:val="00D14383"/>
    <w:rsid w:val="00D143C4"/>
    <w:rsid w:val="00D145E2"/>
    <w:rsid w:val="00D146AC"/>
    <w:rsid w:val="00D146EA"/>
    <w:rsid w:val="00D14885"/>
    <w:rsid w:val="00D14B4F"/>
    <w:rsid w:val="00D14BDE"/>
    <w:rsid w:val="00D15239"/>
    <w:rsid w:val="00D152F4"/>
    <w:rsid w:val="00D153FD"/>
    <w:rsid w:val="00D15406"/>
    <w:rsid w:val="00D1557B"/>
    <w:rsid w:val="00D15965"/>
    <w:rsid w:val="00D15B62"/>
    <w:rsid w:val="00D15DFD"/>
    <w:rsid w:val="00D1615C"/>
    <w:rsid w:val="00D16173"/>
    <w:rsid w:val="00D1620F"/>
    <w:rsid w:val="00D16361"/>
    <w:rsid w:val="00D1650F"/>
    <w:rsid w:val="00D16630"/>
    <w:rsid w:val="00D166D8"/>
    <w:rsid w:val="00D16BB2"/>
    <w:rsid w:val="00D16DCE"/>
    <w:rsid w:val="00D16E39"/>
    <w:rsid w:val="00D17145"/>
    <w:rsid w:val="00D17173"/>
    <w:rsid w:val="00D178CA"/>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F87"/>
    <w:rsid w:val="00D22FBF"/>
    <w:rsid w:val="00D230DA"/>
    <w:rsid w:val="00D234A3"/>
    <w:rsid w:val="00D23517"/>
    <w:rsid w:val="00D23642"/>
    <w:rsid w:val="00D236E0"/>
    <w:rsid w:val="00D23AC9"/>
    <w:rsid w:val="00D24350"/>
    <w:rsid w:val="00D246FD"/>
    <w:rsid w:val="00D247C4"/>
    <w:rsid w:val="00D24879"/>
    <w:rsid w:val="00D2489F"/>
    <w:rsid w:val="00D2492C"/>
    <w:rsid w:val="00D24942"/>
    <w:rsid w:val="00D24AD3"/>
    <w:rsid w:val="00D24B5E"/>
    <w:rsid w:val="00D24DF4"/>
    <w:rsid w:val="00D24F5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1E"/>
    <w:rsid w:val="00D27339"/>
    <w:rsid w:val="00D27445"/>
    <w:rsid w:val="00D2752A"/>
    <w:rsid w:val="00D27651"/>
    <w:rsid w:val="00D276AC"/>
    <w:rsid w:val="00D27975"/>
    <w:rsid w:val="00D27F19"/>
    <w:rsid w:val="00D3012A"/>
    <w:rsid w:val="00D302DC"/>
    <w:rsid w:val="00D303E6"/>
    <w:rsid w:val="00D304AA"/>
    <w:rsid w:val="00D30621"/>
    <w:rsid w:val="00D30624"/>
    <w:rsid w:val="00D30A22"/>
    <w:rsid w:val="00D30B20"/>
    <w:rsid w:val="00D30F34"/>
    <w:rsid w:val="00D31127"/>
    <w:rsid w:val="00D317EF"/>
    <w:rsid w:val="00D3184A"/>
    <w:rsid w:val="00D318B2"/>
    <w:rsid w:val="00D318F1"/>
    <w:rsid w:val="00D31B6A"/>
    <w:rsid w:val="00D31DA0"/>
    <w:rsid w:val="00D32006"/>
    <w:rsid w:val="00D322E2"/>
    <w:rsid w:val="00D326B5"/>
    <w:rsid w:val="00D32737"/>
    <w:rsid w:val="00D329AB"/>
    <w:rsid w:val="00D32BC5"/>
    <w:rsid w:val="00D32C3F"/>
    <w:rsid w:val="00D3309B"/>
    <w:rsid w:val="00D331DC"/>
    <w:rsid w:val="00D33687"/>
    <w:rsid w:val="00D336D6"/>
    <w:rsid w:val="00D3384E"/>
    <w:rsid w:val="00D33DF0"/>
    <w:rsid w:val="00D33F48"/>
    <w:rsid w:val="00D3426B"/>
    <w:rsid w:val="00D345F7"/>
    <w:rsid w:val="00D34689"/>
    <w:rsid w:val="00D34693"/>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9D5"/>
    <w:rsid w:val="00D35AFF"/>
    <w:rsid w:val="00D35B18"/>
    <w:rsid w:val="00D35D8B"/>
    <w:rsid w:val="00D36036"/>
    <w:rsid w:val="00D3625F"/>
    <w:rsid w:val="00D36360"/>
    <w:rsid w:val="00D3674C"/>
    <w:rsid w:val="00D36879"/>
    <w:rsid w:val="00D36BCA"/>
    <w:rsid w:val="00D36C1E"/>
    <w:rsid w:val="00D36D8D"/>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7CC"/>
    <w:rsid w:val="00D41BB2"/>
    <w:rsid w:val="00D41F4F"/>
    <w:rsid w:val="00D42293"/>
    <w:rsid w:val="00D4264D"/>
    <w:rsid w:val="00D42716"/>
    <w:rsid w:val="00D42928"/>
    <w:rsid w:val="00D42C35"/>
    <w:rsid w:val="00D42CD2"/>
    <w:rsid w:val="00D42DD5"/>
    <w:rsid w:val="00D430D6"/>
    <w:rsid w:val="00D436FC"/>
    <w:rsid w:val="00D43866"/>
    <w:rsid w:val="00D43C3D"/>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782"/>
    <w:rsid w:val="00D459E6"/>
    <w:rsid w:val="00D45B0C"/>
    <w:rsid w:val="00D45C84"/>
    <w:rsid w:val="00D45E4B"/>
    <w:rsid w:val="00D461E4"/>
    <w:rsid w:val="00D46304"/>
    <w:rsid w:val="00D46357"/>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1A07"/>
    <w:rsid w:val="00D520DF"/>
    <w:rsid w:val="00D52288"/>
    <w:rsid w:val="00D52A0F"/>
    <w:rsid w:val="00D52AB4"/>
    <w:rsid w:val="00D52DA0"/>
    <w:rsid w:val="00D52DBB"/>
    <w:rsid w:val="00D530AF"/>
    <w:rsid w:val="00D535EB"/>
    <w:rsid w:val="00D536B9"/>
    <w:rsid w:val="00D53799"/>
    <w:rsid w:val="00D537A2"/>
    <w:rsid w:val="00D5389D"/>
    <w:rsid w:val="00D53A69"/>
    <w:rsid w:val="00D53CA3"/>
    <w:rsid w:val="00D53DC5"/>
    <w:rsid w:val="00D53E1D"/>
    <w:rsid w:val="00D540F8"/>
    <w:rsid w:val="00D541A5"/>
    <w:rsid w:val="00D542EB"/>
    <w:rsid w:val="00D543B2"/>
    <w:rsid w:val="00D543D6"/>
    <w:rsid w:val="00D54653"/>
    <w:rsid w:val="00D54700"/>
    <w:rsid w:val="00D54B8A"/>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72"/>
    <w:rsid w:val="00D57BF2"/>
    <w:rsid w:val="00D60446"/>
    <w:rsid w:val="00D60786"/>
    <w:rsid w:val="00D6083F"/>
    <w:rsid w:val="00D60B05"/>
    <w:rsid w:val="00D60B7D"/>
    <w:rsid w:val="00D60C6C"/>
    <w:rsid w:val="00D6113A"/>
    <w:rsid w:val="00D61199"/>
    <w:rsid w:val="00D613B0"/>
    <w:rsid w:val="00D617C4"/>
    <w:rsid w:val="00D6188F"/>
    <w:rsid w:val="00D61929"/>
    <w:rsid w:val="00D61B6E"/>
    <w:rsid w:val="00D61C03"/>
    <w:rsid w:val="00D61D4B"/>
    <w:rsid w:val="00D61EDA"/>
    <w:rsid w:val="00D61FA9"/>
    <w:rsid w:val="00D62228"/>
    <w:rsid w:val="00D62639"/>
    <w:rsid w:val="00D627F9"/>
    <w:rsid w:val="00D62A75"/>
    <w:rsid w:val="00D62D2D"/>
    <w:rsid w:val="00D62DB0"/>
    <w:rsid w:val="00D62DFF"/>
    <w:rsid w:val="00D63012"/>
    <w:rsid w:val="00D63375"/>
    <w:rsid w:val="00D63414"/>
    <w:rsid w:val="00D63584"/>
    <w:rsid w:val="00D6358A"/>
    <w:rsid w:val="00D63638"/>
    <w:rsid w:val="00D63714"/>
    <w:rsid w:val="00D63748"/>
    <w:rsid w:val="00D6398A"/>
    <w:rsid w:val="00D63B0D"/>
    <w:rsid w:val="00D63D2A"/>
    <w:rsid w:val="00D63E41"/>
    <w:rsid w:val="00D6416A"/>
    <w:rsid w:val="00D64269"/>
    <w:rsid w:val="00D642EC"/>
    <w:rsid w:val="00D6438F"/>
    <w:rsid w:val="00D643B7"/>
    <w:rsid w:val="00D64592"/>
    <w:rsid w:val="00D64ABB"/>
    <w:rsid w:val="00D64B81"/>
    <w:rsid w:val="00D64C1C"/>
    <w:rsid w:val="00D64EB0"/>
    <w:rsid w:val="00D65110"/>
    <w:rsid w:val="00D6511A"/>
    <w:rsid w:val="00D655CA"/>
    <w:rsid w:val="00D6594F"/>
    <w:rsid w:val="00D65C2C"/>
    <w:rsid w:val="00D65DD2"/>
    <w:rsid w:val="00D65F42"/>
    <w:rsid w:val="00D65FC1"/>
    <w:rsid w:val="00D66682"/>
    <w:rsid w:val="00D66DFF"/>
    <w:rsid w:val="00D66F53"/>
    <w:rsid w:val="00D671C0"/>
    <w:rsid w:val="00D67351"/>
    <w:rsid w:val="00D67499"/>
    <w:rsid w:val="00D679D8"/>
    <w:rsid w:val="00D67BBA"/>
    <w:rsid w:val="00D67C2C"/>
    <w:rsid w:val="00D7039E"/>
    <w:rsid w:val="00D704DC"/>
    <w:rsid w:val="00D706AE"/>
    <w:rsid w:val="00D7072F"/>
    <w:rsid w:val="00D70735"/>
    <w:rsid w:val="00D709D1"/>
    <w:rsid w:val="00D7118A"/>
    <w:rsid w:val="00D714E9"/>
    <w:rsid w:val="00D715BB"/>
    <w:rsid w:val="00D71B52"/>
    <w:rsid w:val="00D71CD6"/>
    <w:rsid w:val="00D71CF6"/>
    <w:rsid w:val="00D71E08"/>
    <w:rsid w:val="00D71F3E"/>
    <w:rsid w:val="00D72210"/>
    <w:rsid w:val="00D722DE"/>
    <w:rsid w:val="00D729D4"/>
    <w:rsid w:val="00D72B65"/>
    <w:rsid w:val="00D72D75"/>
    <w:rsid w:val="00D72FEE"/>
    <w:rsid w:val="00D7327E"/>
    <w:rsid w:val="00D73621"/>
    <w:rsid w:val="00D7365F"/>
    <w:rsid w:val="00D73912"/>
    <w:rsid w:val="00D73A9A"/>
    <w:rsid w:val="00D73AB5"/>
    <w:rsid w:val="00D73B7B"/>
    <w:rsid w:val="00D744A7"/>
    <w:rsid w:val="00D74539"/>
    <w:rsid w:val="00D74626"/>
    <w:rsid w:val="00D74657"/>
    <w:rsid w:val="00D747C7"/>
    <w:rsid w:val="00D74836"/>
    <w:rsid w:val="00D74A66"/>
    <w:rsid w:val="00D74C31"/>
    <w:rsid w:val="00D74C68"/>
    <w:rsid w:val="00D74CFF"/>
    <w:rsid w:val="00D74EAB"/>
    <w:rsid w:val="00D7574B"/>
    <w:rsid w:val="00D759F4"/>
    <w:rsid w:val="00D760DF"/>
    <w:rsid w:val="00D76423"/>
    <w:rsid w:val="00D765B2"/>
    <w:rsid w:val="00D76833"/>
    <w:rsid w:val="00D76909"/>
    <w:rsid w:val="00D7694B"/>
    <w:rsid w:val="00D76B11"/>
    <w:rsid w:val="00D76CF6"/>
    <w:rsid w:val="00D76D90"/>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F"/>
    <w:rsid w:val="00D8140C"/>
    <w:rsid w:val="00D81473"/>
    <w:rsid w:val="00D819DD"/>
    <w:rsid w:val="00D81A17"/>
    <w:rsid w:val="00D81A67"/>
    <w:rsid w:val="00D81C7E"/>
    <w:rsid w:val="00D81EA5"/>
    <w:rsid w:val="00D8204A"/>
    <w:rsid w:val="00D82109"/>
    <w:rsid w:val="00D82319"/>
    <w:rsid w:val="00D825A3"/>
    <w:rsid w:val="00D825B0"/>
    <w:rsid w:val="00D82807"/>
    <w:rsid w:val="00D82810"/>
    <w:rsid w:val="00D8286A"/>
    <w:rsid w:val="00D82BA7"/>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D1"/>
    <w:rsid w:val="00D87342"/>
    <w:rsid w:val="00D874EE"/>
    <w:rsid w:val="00D8760D"/>
    <w:rsid w:val="00D876AF"/>
    <w:rsid w:val="00D878C4"/>
    <w:rsid w:val="00D878F2"/>
    <w:rsid w:val="00D87962"/>
    <w:rsid w:val="00D87DC9"/>
    <w:rsid w:val="00D87F0B"/>
    <w:rsid w:val="00D900AD"/>
    <w:rsid w:val="00D90156"/>
    <w:rsid w:val="00D90639"/>
    <w:rsid w:val="00D907D7"/>
    <w:rsid w:val="00D90B6B"/>
    <w:rsid w:val="00D90DD2"/>
    <w:rsid w:val="00D90E5A"/>
    <w:rsid w:val="00D90F86"/>
    <w:rsid w:val="00D91483"/>
    <w:rsid w:val="00D91677"/>
    <w:rsid w:val="00D91891"/>
    <w:rsid w:val="00D91C57"/>
    <w:rsid w:val="00D91D1C"/>
    <w:rsid w:val="00D92093"/>
    <w:rsid w:val="00D924A0"/>
    <w:rsid w:val="00D926E0"/>
    <w:rsid w:val="00D926E5"/>
    <w:rsid w:val="00D9281F"/>
    <w:rsid w:val="00D928FA"/>
    <w:rsid w:val="00D92C49"/>
    <w:rsid w:val="00D93077"/>
    <w:rsid w:val="00D93295"/>
    <w:rsid w:val="00D93328"/>
    <w:rsid w:val="00D935CE"/>
    <w:rsid w:val="00D939CA"/>
    <w:rsid w:val="00D939D7"/>
    <w:rsid w:val="00D94298"/>
    <w:rsid w:val="00D9445C"/>
    <w:rsid w:val="00D94805"/>
    <w:rsid w:val="00D949E0"/>
    <w:rsid w:val="00D94AA8"/>
    <w:rsid w:val="00D94D01"/>
    <w:rsid w:val="00D94DD6"/>
    <w:rsid w:val="00D94F26"/>
    <w:rsid w:val="00D95105"/>
    <w:rsid w:val="00D95221"/>
    <w:rsid w:val="00D955B3"/>
    <w:rsid w:val="00D9572A"/>
    <w:rsid w:val="00D95929"/>
    <w:rsid w:val="00D9597B"/>
    <w:rsid w:val="00D95A67"/>
    <w:rsid w:val="00D95B4F"/>
    <w:rsid w:val="00D9605D"/>
    <w:rsid w:val="00D96506"/>
    <w:rsid w:val="00D96874"/>
    <w:rsid w:val="00D96980"/>
    <w:rsid w:val="00D96994"/>
    <w:rsid w:val="00D96F4D"/>
    <w:rsid w:val="00D9769B"/>
    <w:rsid w:val="00D978FE"/>
    <w:rsid w:val="00D97B40"/>
    <w:rsid w:val="00D97B92"/>
    <w:rsid w:val="00D97C43"/>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703"/>
    <w:rsid w:val="00DA1AD0"/>
    <w:rsid w:val="00DA1B5A"/>
    <w:rsid w:val="00DA1E15"/>
    <w:rsid w:val="00DA1E2E"/>
    <w:rsid w:val="00DA2010"/>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7A6"/>
    <w:rsid w:val="00DB37F9"/>
    <w:rsid w:val="00DB3CF5"/>
    <w:rsid w:val="00DB3E1D"/>
    <w:rsid w:val="00DB4106"/>
    <w:rsid w:val="00DB41EA"/>
    <w:rsid w:val="00DB42A0"/>
    <w:rsid w:val="00DB4315"/>
    <w:rsid w:val="00DB47F2"/>
    <w:rsid w:val="00DB4B1F"/>
    <w:rsid w:val="00DB4DBB"/>
    <w:rsid w:val="00DB508F"/>
    <w:rsid w:val="00DB523B"/>
    <w:rsid w:val="00DB5481"/>
    <w:rsid w:val="00DB5489"/>
    <w:rsid w:val="00DB5738"/>
    <w:rsid w:val="00DB592B"/>
    <w:rsid w:val="00DB5E30"/>
    <w:rsid w:val="00DB60D1"/>
    <w:rsid w:val="00DB6541"/>
    <w:rsid w:val="00DB6BD1"/>
    <w:rsid w:val="00DB6FCE"/>
    <w:rsid w:val="00DB7010"/>
    <w:rsid w:val="00DB711A"/>
    <w:rsid w:val="00DB724F"/>
    <w:rsid w:val="00DB7364"/>
    <w:rsid w:val="00DB7451"/>
    <w:rsid w:val="00DB771A"/>
    <w:rsid w:val="00DB77E4"/>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4E7"/>
    <w:rsid w:val="00DC1642"/>
    <w:rsid w:val="00DC1A09"/>
    <w:rsid w:val="00DC1B18"/>
    <w:rsid w:val="00DC1CD7"/>
    <w:rsid w:val="00DC1CF6"/>
    <w:rsid w:val="00DC1D1C"/>
    <w:rsid w:val="00DC1DB6"/>
    <w:rsid w:val="00DC1EB4"/>
    <w:rsid w:val="00DC2164"/>
    <w:rsid w:val="00DC24BC"/>
    <w:rsid w:val="00DC2781"/>
    <w:rsid w:val="00DC28FF"/>
    <w:rsid w:val="00DC2A52"/>
    <w:rsid w:val="00DC2D62"/>
    <w:rsid w:val="00DC2D82"/>
    <w:rsid w:val="00DC2DD2"/>
    <w:rsid w:val="00DC2E67"/>
    <w:rsid w:val="00DC3157"/>
    <w:rsid w:val="00DC3160"/>
    <w:rsid w:val="00DC3649"/>
    <w:rsid w:val="00DC373E"/>
    <w:rsid w:val="00DC38E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1"/>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338"/>
    <w:rsid w:val="00DD0791"/>
    <w:rsid w:val="00DD0A14"/>
    <w:rsid w:val="00DD0CC4"/>
    <w:rsid w:val="00DD0FC5"/>
    <w:rsid w:val="00DD15DB"/>
    <w:rsid w:val="00DD160A"/>
    <w:rsid w:val="00DD1637"/>
    <w:rsid w:val="00DD16A2"/>
    <w:rsid w:val="00DD1E88"/>
    <w:rsid w:val="00DD237E"/>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360"/>
    <w:rsid w:val="00DE1991"/>
    <w:rsid w:val="00DE1C1C"/>
    <w:rsid w:val="00DE1D3B"/>
    <w:rsid w:val="00DE230B"/>
    <w:rsid w:val="00DE2AA5"/>
    <w:rsid w:val="00DE2D4D"/>
    <w:rsid w:val="00DE312C"/>
    <w:rsid w:val="00DE3223"/>
    <w:rsid w:val="00DE329E"/>
    <w:rsid w:val="00DE3419"/>
    <w:rsid w:val="00DE3606"/>
    <w:rsid w:val="00DE365D"/>
    <w:rsid w:val="00DE399F"/>
    <w:rsid w:val="00DE3AC9"/>
    <w:rsid w:val="00DE3E99"/>
    <w:rsid w:val="00DE3F2C"/>
    <w:rsid w:val="00DE4707"/>
    <w:rsid w:val="00DE47A9"/>
    <w:rsid w:val="00DE4A9B"/>
    <w:rsid w:val="00DE538E"/>
    <w:rsid w:val="00DE5579"/>
    <w:rsid w:val="00DE57EA"/>
    <w:rsid w:val="00DE5BF4"/>
    <w:rsid w:val="00DE5C87"/>
    <w:rsid w:val="00DE5FEC"/>
    <w:rsid w:val="00DE6626"/>
    <w:rsid w:val="00DE667E"/>
    <w:rsid w:val="00DE6BD5"/>
    <w:rsid w:val="00DE6DE7"/>
    <w:rsid w:val="00DE704B"/>
    <w:rsid w:val="00DE7093"/>
    <w:rsid w:val="00DE7521"/>
    <w:rsid w:val="00DE7522"/>
    <w:rsid w:val="00DE76DA"/>
    <w:rsid w:val="00DE7B4D"/>
    <w:rsid w:val="00DE7B5C"/>
    <w:rsid w:val="00DE7C5F"/>
    <w:rsid w:val="00DE7F75"/>
    <w:rsid w:val="00DF015F"/>
    <w:rsid w:val="00DF0303"/>
    <w:rsid w:val="00DF03C4"/>
    <w:rsid w:val="00DF041B"/>
    <w:rsid w:val="00DF0689"/>
    <w:rsid w:val="00DF0796"/>
    <w:rsid w:val="00DF09E7"/>
    <w:rsid w:val="00DF0AAA"/>
    <w:rsid w:val="00DF0F2C"/>
    <w:rsid w:val="00DF1092"/>
    <w:rsid w:val="00DF125E"/>
    <w:rsid w:val="00DF14A3"/>
    <w:rsid w:val="00DF16FC"/>
    <w:rsid w:val="00DF1AA5"/>
    <w:rsid w:val="00DF1C6D"/>
    <w:rsid w:val="00DF1E51"/>
    <w:rsid w:val="00DF22A7"/>
    <w:rsid w:val="00DF248A"/>
    <w:rsid w:val="00DF292C"/>
    <w:rsid w:val="00DF2D02"/>
    <w:rsid w:val="00DF335D"/>
    <w:rsid w:val="00DF3449"/>
    <w:rsid w:val="00DF34BB"/>
    <w:rsid w:val="00DF36E1"/>
    <w:rsid w:val="00DF39AE"/>
    <w:rsid w:val="00DF3BCB"/>
    <w:rsid w:val="00DF3DA2"/>
    <w:rsid w:val="00DF3E7A"/>
    <w:rsid w:val="00DF43CB"/>
    <w:rsid w:val="00DF4481"/>
    <w:rsid w:val="00DF4F86"/>
    <w:rsid w:val="00DF4FB1"/>
    <w:rsid w:val="00DF5146"/>
    <w:rsid w:val="00DF5384"/>
    <w:rsid w:val="00DF54B9"/>
    <w:rsid w:val="00DF56FC"/>
    <w:rsid w:val="00DF5A57"/>
    <w:rsid w:val="00DF5ADA"/>
    <w:rsid w:val="00DF62A2"/>
    <w:rsid w:val="00DF62C9"/>
    <w:rsid w:val="00DF62E5"/>
    <w:rsid w:val="00DF6327"/>
    <w:rsid w:val="00DF6369"/>
    <w:rsid w:val="00DF648A"/>
    <w:rsid w:val="00DF655D"/>
    <w:rsid w:val="00DF723B"/>
    <w:rsid w:val="00DF7442"/>
    <w:rsid w:val="00DF79BD"/>
    <w:rsid w:val="00DF7AC0"/>
    <w:rsid w:val="00DF7B25"/>
    <w:rsid w:val="00DF7F80"/>
    <w:rsid w:val="00DF7FD1"/>
    <w:rsid w:val="00E004FE"/>
    <w:rsid w:val="00E0053E"/>
    <w:rsid w:val="00E0082E"/>
    <w:rsid w:val="00E00890"/>
    <w:rsid w:val="00E009CC"/>
    <w:rsid w:val="00E009DA"/>
    <w:rsid w:val="00E00A40"/>
    <w:rsid w:val="00E00E9B"/>
    <w:rsid w:val="00E00F25"/>
    <w:rsid w:val="00E00FB6"/>
    <w:rsid w:val="00E012B6"/>
    <w:rsid w:val="00E012C7"/>
    <w:rsid w:val="00E01513"/>
    <w:rsid w:val="00E01711"/>
    <w:rsid w:val="00E017FC"/>
    <w:rsid w:val="00E018B5"/>
    <w:rsid w:val="00E01A02"/>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1B5"/>
    <w:rsid w:val="00E0527C"/>
    <w:rsid w:val="00E054EA"/>
    <w:rsid w:val="00E05BEF"/>
    <w:rsid w:val="00E05F10"/>
    <w:rsid w:val="00E0604A"/>
    <w:rsid w:val="00E0632B"/>
    <w:rsid w:val="00E06400"/>
    <w:rsid w:val="00E06677"/>
    <w:rsid w:val="00E068F3"/>
    <w:rsid w:val="00E06A27"/>
    <w:rsid w:val="00E06D44"/>
    <w:rsid w:val="00E06FD6"/>
    <w:rsid w:val="00E0724A"/>
    <w:rsid w:val="00E072C2"/>
    <w:rsid w:val="00E076FA"/>
    <w:rsid w:val="00E077D6"/>
    <w:rsid w:val="00E07824"/>
    <w:rsid w:val="00E07891"/>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5B0"/>
    <w:rsid w:val="00E1379A"/>
    <w:rsid w:val="00E13A62"/>
    <w:rsid w:val="00E1434A"/>
    <w:rsid w:val="00E1448A"/>
    <w:rsid w:val="00E145C2"/>
    <w:rsid w:val="00E1476D"/>
    <w:rsid w:val="00E1478A"/>
    <w:rsid w:val="00E14A7F"/>
    <w:rsid w:val="00E14D94"/>
    <w:rsid w:val="00E15084"/>
    <w:rsid w:val="00E15246"/>
    <w:rsid w:val="00E152FF"/>
    <w:rsid w:val="00E15359"/>
    <w:rsid w:val="00E1552E"/>
    <w:rsid w:val="00E155F6"/>
    <w:rsid w:val="00E156F2"/>
    <w:rsid w:val="00E15A01"/>
    <w:rsid w:val="00E15B8D"/>
    <w:rsid w:val="00E15BF8"/>
    <w:rsid w:val="00E15C7E"/>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8BA"/>
    <w:rsid w:val="00E20A17"/>
    <w:rsid w:val="00E20A53"/>
    <w:rsid w:val="00E20DC7"/>
    <w:rsid w:val="00E20DD8"/>
    <w:rsid w:val="00E20E5E"/>
    <w:rsid w:val="00E20FFC"/>
    <w:rsid w:val="00E20FFD"/>
    <w:rsid w:val="00E21045"/>
    <w:rsid w:val="00E210DF"/>
    <w:rsid w:val="00E214DE"/>
    <w:rsid w:val="00E21586"/>
    <w:rsid w:val="00E21A18"/>
    <w:rsid w:val="00E21A8D"/>
    <w:rsid w:val="00E21B35"/>
    <w:rsid w:val="00E21BD8"/>
    <w:rsid w:val="00E21C45"/>
    <w:rsid w:val="00E21CF9"/>
    <w:rsid w:val="00E21D18"/>
    <w:rsid w:val="00E21DF7"/>
    <w:rsid w:val="00E22176"/>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5CA"/>
    <w:rsid w:val="00E2372C"/>
    <w:rsid w:val="00E2397B"/>
    <w:rsid w:val="00E23B0A"/>
    <w:rsid w:val="00E23C27"/>
    <w:rsid w:val="00E23C3B"/>
    <w:rsid w:val="00E23CF2"/>
    <w:rsid w:val="00E240A0"/>
    <w:rsid w:val="00E249E7"/>
    <w:rsid w:val="00E24A92"/>
    <w:rsid w:val="00E24AA9"/>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7F5"/>
    <w:rsid w:val="00E2780D"/>
    <w:rsid w:val="00E27AB3"/>
    <w:rsid w:val="00E27B40"/>
    <w:rsid w:val="00E27CF9"/>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DAC"/>
    <w:rsid w:val="00E34FA0"/>
    <w:rsid w:val="00E35097"/>
    <w:rsid w:val="00E35112"/>
    <w:rsid w:val="00E3545B"/>
    <w:rsid w:val="00E35975"/>
    <w:rsid w:val="00E35A1B"/>
    <w:rsid w:val="00E35B60"/>
    <w:rsid w:val="00E35BFB"/>
    <w:rsid w:val="00E3616D"/>
    <w:rsid w:val="00E362EE"/>
    <w:rsid w:val="00E3642B"/>
    <w:rsid w:val="00E36502"/>
    <w:rsid w:val="00E366F0"/>
    <w:rsid w:val="00E36A7D"/>
    <w:rsid w:val="00E36B2A"/>
    <w:rsid w:val="00E36BFE"/>
    <w:rsid w:val="00E36EDA"/>
    <w:rsid w:val="00E36F9E"/>
    <w:rsid w:val="00E370CE"/>
    <w:rsid w:val="00E3712B"/>
    <w:rsid w:val="00E37255"/>
    <w:rsid w:val="00E374E1"/>
    <w:rsid w:val="00E37641"/>
    <w:rsid w:val="00E37753"/>
    <w:rsid w:val="00E377F6"/>
    <w:rsid w:val="00E37A48"/>
    <w:rsid w:val="00E37D1C"/>
    <w:rsid w:val="00E4034C"/>
    <w:rsid w:val="00E409A8"/>
    <w:rsid w:val="00E40BDA"/>
    <w:rsid w:val="00E41144"/>
    <w:rsid w:val="00E4153E"/>
    <w:rsid w:val="00E417AE"/>
    <w:rsid w:val="00E418AA"/>
    <w:rsid w:val="00E4197A"/>
    <w:rsid w:val="00E41DB1"/>
    <w:rsid w:val="00E41E91"/>
    <w:rsid w:val="00E4209D"/>
    <w:rsid w:val="00E421F9"/>
    <w:rsid w:val="00E42212"/>
    <w:rsid w:val="00E42EDA"/>
    <w:rsid w:val="00E430BE"/>
    <w:rsid w:val="00E435EC"/>
    <w:rsid w:val="00E436CF"/>
    <w:rsid w:val="00E43C58"/>
    <w:rsid w:val="00E43DB1"/>
    <w:rsid w:val="00E44398"/>
    <w:rsid w:val="00E444AC"/>
    <w:rsid w:val="00E444E4"/>
    <w:rsid w:val="00E446E9"/>
    <w:rsid w:val="00E44991"/>
    <w:rsid w:val="00E44B90"/>
    <w:rsid w:val="00E450E5"/>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6D1"/>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BB4"/>
    <w:rsid w:val="00E55D77"/>
    <w:rsid w:val="00E55E56"/>
    <w:rsid w:val="00E55F08"/>
    <w:rsid w:val="00E563C2"/>
    <w:rsid w:val="00E5643D"/>
    <w:rsid w:val="00E568CA"/>
    <w:rsid w:val="00E56C85"/>
    <w:rsid w:val="00E56CAE"/>
    <w:rsid w:val="00E56DF0"/>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27"/>
    <w:rsid w:val="00E63FC7"/>
    <w:rsid w:val="00E63FEB"/>
    <w:rsid w:val="00E6400D"/>
    <w:rsid w:val="00E64142"/>
    <w:rsid w:val="00E646E2"/>
    <w:rsid w:val="00E64A40"/>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A69"/>
    <w:rsid w:val="00E71ED5"/>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63C"/>
    <w:rsid w:val="00E74E19"/>
    <w:rsid w:val="00E75133"/>
    <w:rsid w:val="00E751C5"/>
    <w:rsid w:val="00E75207"/>
    <w:rsid w:val="00E7559B"/>
    <w:rsid w:val="00E75991"/>
    <w:rsid w:val="00E75E0B"/>
    <w:rsid w:val="00E7624B"/>
    <w:rsid w:val="00E762C6"/>
    <w:rsid w:val="00E76385"/>
    <w:rsid w:val="00E76562"/>
    <w:rsid w:val="00E768C2"/>
    <w:rsid w:val="00E76AB4"/>
    <w:rsid w:val="00E76B2A"/>
    <w:rsid w:val="00E76BC6"/>
    <w:rsid w:val="00E76DAF"/>
    <w:rsid w:val="00E76DF2"/>
    <w:rsid w:val="00E771C4"/>
    <w:rsid w:val="00E772D9"/>
    <w:rsid w:val="00E77519"/>
    <w:rsid w:val="00E779F6"/>
    <w:rsid w:val="00E77A3D"/>
    <w:rsid w:val="00E77A66"/>
    <w:rsid w:val="00E77ABF"/>
    <w:rsid w:val="00E77BD2"/>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23"/>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2A"/>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D65"/>
    <w:rsid w:val="00E90DEB"/>
    <w:rsid w:val="00E90E07"/>
    <w:rsid w:val="00E90EEE"/>
    <w:rsid w:val="00E911AB"/>
    <w:rsid w:val="00E912F3"/>
    <w:rsid w:val="00E915D9"/>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1"/>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8C0"/>
    <w:rsid w:val="00EA2919"/>
    <w:rsid w:val="00EA2A50"/>
    <w:rsid w:val="00EA2B9D"/>
    <w:rsid w:val="00EA31AF"/>
    <w:rsid w:val="00EA3275"/>
    <w:rsid w:val="00EA33A1"/>
    <w:rsid w:val="00EA3591"/>
    <w:rsid w:val="00EA362D"/>
    <w:rsid w:val="00EA3672"/>
    <w:rsid w:val="00EA374D"/>
    <w:rsid w:val="00EA39BB"/>
    <w:rsid w:val="00EA3A5C"/>
    <w:rsid w:val="00EA3CF7"/>
    <w:rsid w:val="00EA3F08"/>
    <w:rsid w:val="00EA3F95"/>
    <w:rsid w:val="00EA4395"/>
    <w:rsid w:val="00EA447D"/>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43C"/>
    <w:rsid w:val="00EA7555"/>
    <w:rsid w:val="00EA7C1F"/>
    <w:rsid w:val="00EA7DB6"/>
    <w:rsid w:val="00EA7E50"/>
    <w:rsid w:val="00EB0056"/>
    <w:rsid w:val="00EB01B5"/>
    <w:rsid w:val="00EB039B"/>
    <w:rsid w:val="00EB05BF"/>
    <w:rsid w:val="00EB0910"/>
    <w:rsid w:val="00EB0A69"/>
    <w:rsid w:val="00EB0C20"/>
    <w:rsid w:val="00EB0C55"/>
    <w:rsid w:val="00EB0C89"/>
    <w:rsid w:val="00EB11BB"/>
    <w:rsid w:val="00EB12F7"/>
    <w:rsid w:val="00EB1317"/>
    <w:rsid w:val="00EB1495"/>
    <w:rsid w:val="00EB1696"/>
    <w:rsid w:val="00EB1A4F"/>
    <w:rsid w:val="00EB2050"/>
    <w:rsid w:val="00EB2070"/>
    <w:rsid w:val="00EB20ED"/>
    <w:rsid w:val="00EB2524"/>
    <w:rsid w:val="00EB25A8"/>
    <w:rsid w:val="00EB268D"/>
    <w:rsid w:val="00EB2833"/>
    <w:rsid w:val="00EB2A0D"/>
    <w:rsid w:val="00EB2AA3"/>
    <w:rsid w:val="00EB2B86"/>
    <w:rsid w:val="00EB322E"/>
    <w:rsid w:val="00EB33EA"/>
    <w:rsid w:val="00EB344D"/>
    <w:rsid w:val="00EB354B"/>
    <w:rsid w:val="00EB3706"/>
    <w:rsid w:val="00EB3B60"/>
    <w:rsid w:val="00EB3C68"/>
    <w:rsid w:val="00EB4163"/>
    <w:rsid w:val="00EB4626"/>
    <w:rsid w:val="00EB4771"/>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A9C"/>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54A"/>
    <w:rsid w:val="00EC26B0"/>
    <w:rsid w:val="00EC2952"/>
    <w:rsid w:val="00EC2A92"/>
    <w:rsid w:val="00EC2C22"/>
    <w:rsid w:val="00EC2C76"/>
    <w:rsid w:val="00EC2DEB"/>
    <w:rsid w:val="00EC326F"/>
    <w:rsid w:val="00EC34AF"/>
    <w:rsid w:val="00EC34F2"/>
    <w:rsid w:val="00EC35B0"/>
    <w:rsid w:val="00EC35C2"/>
    <w:rsid w:val="00EC3FA7"/>
    <w:rsid w:val="00EC42CC"/>
    <w:rsid w:val="00EC42D6"/>
    <w:rsid w:val="00EC43AF"/>
    <w:rsid w:val="00EC43D1"/>
    <w:rsid w:val="00EC442F"/>
    <w:rsid w:val="00EC45A5"/>
    <w:rsid w:val="00EC484D"/>
    <w:rsid w:val="00EC4AF4"/>
    <w:rsid w:val="00EC4B6B"/>
    <w:rsid w:val="00EC4C41"/>
    <w:rsid w:val="00EC4D86"/>
    <w:rsid w:val="00EC4E76"/>
    <w:rsid w:val="00EC4F00"/>
    <w:rsid w:val="00EC5247"/>
    <w:rsid w:val="00EC53B8"/>
    <w:rsid w:val="00EC5580"/>
    <w:rsid w:val="00EC55D5"/>
    <w:rsid w:val="00EC56B2"/>
    <w:rsid w:val="00EC5AE6"/>
    <w:rsid w:val="00EC5AF3"/>
    <w:rsid w:val="00EC5CA9"/>
    <w:rsid w:val="00EC5D1A"/>
    <w:rsid w:val="00EC5FE7"/>
    <w:rsid w:val="00EC626D"/>
    <w:rsid w:val="00EC628C"/>
    <w:rsid w:val="00EC6439"/>
    <w:rsid w:val="00EC6ACB"/>
    <w:rsid w:val="00EC6EF6"/>
    <w:rsid w:val="00EC6F76"/>
    <w:rsid w:val="00EC798B"/>
    <w:rsid w:val="00ED00ED"/>
    <w:rsid w:val="00ED0B0A"/>
    <w:rsid w:val="00ED0B93"/>
    <w:rsid w:val="00ED0C3D"/>
    <w:rsid w:val="00ED0C48"/>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7D2"/>
    <w:rsid w:val="00ED29DA"/>
    <w:rsid w:val="00ED2CDC"/>
    <w:rsid w:val="00ED2E6D"/>
    <w:rsid w:val="00ED2F9C"/>
    <w:rsid w:val="00ED3153"/>
    <w:rsid w:val="00ED32AB"/>
    <w:rsid w:val="00ED3343"/>
    <w:rsid w:val="00ED358D"/>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DDF"/>
    <w:rsid w:val="00ED4FCA"/>
    <w:rsid w:val="00ED544F"/>
    <w:rsid w:val="00ED550B"/>
    <w:rsid w:val="00ED5CEF"/>
    <w:rsid w:val="00ED5D0B"/>
    <w:rsid w:val="00ED5D15"/>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0C47"/>
    <w:rsid w:val="00EE1158"/>
    <w:rsid w:val="00EE14F9"/>
    <w:rsid w:val="00EE159D"/>
    <w:rsid w:val="00EE17FF"/>
    <w:rsid w:val="00EE1B08"/>
    <w:rsid w:val="00EE1CBD"/>
    <w:rsid w:val="00EE1D5D"/>
    <w:rsid w:val="00EE248F"/>
    <w:rsid w:val="00EE24B8"/>
    <w:rsid w:val="00EE2919"/>
    <w:rsid w:val="00EE2A6D"/>
    <w:rsid w:val="00EE2BE0"/>
    <w:rsid w:val="00EE2CE0"/>
    <w:rsid w:val="00EE2E05"/>
    <w:rsid w:val="00EE2F9C"/>
    <w:rsid w:val="00EE3495"/>
    <w:rsid w:val="00EE35AC"/>
    <w:rsid w:val="00EE36D5"/>
    <w:rsid w:val="00EE3837"/>
    <w:rsid w:val="00EE3946"/>
    <w:rsid w:val="00EE3EFC"/>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451"/>
    <w:rsid w:val="00EE6796"/>
    <w:rsid w:val="00EE690A"/>
    <w:rsid w:val="00EE6945"/>
    <w:rsid w:val="00EE6B07"/>
    <w:rsid w:val="00EE6CD3"/>
    <w:rsid w:val="00EE70D5"/>
    <w:rsid w:val="00EE7192"/>
    <w:rsid w:val="00EE74F2"/>
    <w:rsid w:val="00EE75B7"/>
    <w:rsid w:val="00EE75BA"/>
    <w:rsid w:val="00EE793A"/>
    <w:rsid w:val="00EE7A4C"/>
    <w:rsid w:val="00EE7B51"/>
    <w:rsid w:val="00EE7E3B"/>
    <w:rsid w:val="00EE7E6B"/>
    <w:rsid w:val="00EE7EDC"/>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4177"/>
    <w:rsid w:val="00EF436E"/>
    <w:rsid w:val="00EF470E"/>
    <w:rsid w:val="00EF4A70"/>
    <w:rsid w:val="00EF4D6F"/>
    <w:rsid w:val="00EF4F05"/>
    <w:rsid w:val="00EF5074"/>
    <w:rsid w:val="00EF50C7"/>
    <w:rsid w:val="00EF516A"/>
    <w:rsid w:val="00EF5934"/>
    <w:rsid w:val="00EF5A60"/>
    <w:rsid w:val="00EF5A8D"/>
    <w:rsid w:val="00EF5DD1"/>
    <w:rsid w:val="00EF5EDF"/>
    <w:rsid w:val="00EF5F02"/>
    <w:rsid w:val="00EF5FBA"/>
    <w:rsid w:val="00EF6266"/>
    <w:rsid w:val="00EF6380"/>
    <w:rsid w:val="00EF63F8"/>
    <w:rsid w:val="00EF66B1"/>
    <w:rsid w:val="00EF68D8"/>
    <w:rsid w:val="00EF6A92"/>
    <w:rsid w:val="00EF7306"/>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A5D"/>
    <w:rsid w:val="00F02A64"/>
    <w:rsid w:val="00F02B7B"/>
    <w:rsid w:val="00F02C55"/>
    <w:rsid w:val="00F02CCA"/>
    <w:rsid w:val="00F02CCE"/>
    <w:rsid w:val="00F02FE0"/>
    <w:rsid w:val="00F035C9"/>
    <w:rsid w:val="00F03675"/>
    <w:rsid w:val="00F037C4"/>
    <w:rsid w:val="00F03B17"/>
    <w:rsid w:val="00F03C63"/>
    <w:rsid w:val="00F03E81"/>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DB6"/>
    <w:rsid w:val="00F05F57"/>
    <w:rsid w:val="00F06117"/>
    <w:rsid w:val="00F065F6"/>
    <w:rsid w:val="00F06658"/>
    <w:rsid w:val="00F06872"/>
    <w:rsid w:val="00F06BEA"/>
    <w:rsid w:val="00F0729A"/>
    <w:rsid w:val="00F0737B"/>
    <w:rsid w:val="00F07976"/>
    <w:rsid w:val="00F07AF1"/>
    <w:rsid w:val="00F07B32"/>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7E6"/>
    <w:rsid w:val="00F12921"/>
    <w:rsid w:val="00F129A2"/>
    <w:rsid w:val="00F12B92"/>
    <w:rsid w:val="00F12DB4"/>
    <w:rsid w:val="00F1304F"/>
    <w:rsid w:val="00F1309D"/>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5FBC"/>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9FD"/>
    <w:rsid w:val="00F21C41"/>
    <w:rsid w:val="00F21D3E"/>
    <w:rsid w:val="00F221AB"/>
    <w:rsid w:val="00F225C8"/>
    <w:rsid w:val="00F227FA"/>
    <w:rsid w:val="00F22C68"/>
    <w:rsid w:val="00F22C8F"/>
    <w:rsid w:val="00F22CDA"/>
    <w:rsid w:val="00F22EA2"/>
    <w:rsid w:val="00F23242"/>
    <w:rsid w:val="00F2334D"/>
    <w:rsid w:val="00F23401"/>
    <w:rsid w:val="00F2356A"/>
    <w:rsid w:val="00F235CA"/>
    <w:rsid w:val="00F23771"/>
    <w:rsid w:val="00F23905"/>
    <w:rsid w:val="00F23B3F"/>
    <w:rsid w:val="00F23BFE"/>
    <w:rsid w:val="00F23CD1"/>
    <w:rsid w:val="00F24064"/>
    <w:rsid w:val="00F2408C"/>
    <w:rsid w:val="00F2463E"/>
    <w:rsid w:val="00F248AB"/>
    <w:rsid w:val="00F24AF9"/>
    <w:rsid w:val="00F24B16"/>
    <w:rsid w:val="00F24D79"/>
    <w:rsid w:val="00F24F57"/>
    <w:rsid w:val="00F251CD"/>
    <w:rsid w:val="00F253AA"/>
    <w:rsid w:val="00F257F9"/>
    <w:rsid w:val="00F257FC"/>
    <w:rsid w:val="00F25C65"/>
    <w:rsid w:val="00F25CF0"/>
    <w:rsid w:val="00F25E0E"/>
    <w:rsid w:val="00F25E18"/>
    <w:rsid w:val="00F26042"/>
    <w:rsid w:val="00F2630C"/>
    <w:rsid w:val="00F264DE"/>
    <w:rsid w:val="00F269CC"/>
    <w:rsid w:val="00F26AB4"/>
    <w:rsid w:val="00F26BF5"/>
    <w:rsid w:val="00F27000"/>
    <w:rsid w:val="00F271F0"/>
    <w:rsid w:val="00F274CD"/>
    <w:rsid w:val="00F274FC"/>
    <w:rsid w:val="00F27758"/>
    <w:rsid w:val="00F27874"/>
    <w:rsid w:val="00F27BF9"/>
    <w:rsid w:val="00F27D0D"/>
    <w:rsid w:val="00F27D65"/>
    <w:rsid w:val="00F30073"/>
    <w:rsid w:val="00F30313"/>
    <w:rsid w:val="00F305D1"/>
    <w:rsid w:val="00F30729"/>
    <w:rsid w:val="00F3168B"/>
    <w:rsid w:val="00F31821"/>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754"/>
    <w:rsid w:val="00F349C7"/>
    <w:rsid w:val="00F34CF8"/>
    <w:rsid w:val="00F34E33"/>
    <w:rsid w:val="00F35219"/>
    <w:rsid w:val="00F353D0"/>
    <w:rsid w:val="00F3593E"/>
    <w:rsid w:val="00F35A12"/>
    <w:rsid w:val="00F35BB1"/>
    <w:rsid w:val="00F362BD"/>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AF"/>
    <w:rsid w:val="00F404B2"/>
    <w:rsid w:val="00F4070C"/>
    <w:rsid w:val="00F40786"/>
    <w:rsid w:val="00F40C87"/>
    <w:rsid w:val="00F413F1"/>
    <w:rsid w:val="00F4140A"/>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10D"/>
    <w:rsid w:val="00F45608"/>
    <w:rsid w:val="00F45731"/>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982"/>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6E5"/>
    <w:rsid w:val="00F54711"/>
    <w:rsid w:val="00F54914"/>
    <w:rsid w:val="00F54B21"/>
    <w:rsid w:val="00F54D39"/>
    <w:rsid w:val="00F54D73"/>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02"/>
    <w:rsid w:val="00F56FE9"/>
    <w:rsid w:val="00F5743D"/>
    <w:rsid w:val="00F576B8"/>
    <w:rsid w:val="00F578DB"/>
    <w:rsid w:val="00F57AEA"/>
    <w:rsid w:val="00F57DD6"/>
    <w:rsid w:val="00F57E63"/>
    <w:rsid w:val="00F60017"/>
    <w:rsid w:val="00F60030"/>
    <w:rsid w:val="00F60276"/>
    <w:rsid w:val="00F6055C"/>
    <w:rsid w:val="00F60966"/>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21EC"/>
    <w:rsid w:val="00F622AA"/>
    <w:rsid w:val="00F6249C"/>
    <w:rsid w:val="00F62826"/>
    <w:rsid w:val="00F62C58"/>
    <w:rsid w:val="00F62F67"/>
    <w:rsid w:val="00F6309E"/>
    <w:rsid w:val="00F63271"/>
    <w:rsid w:val="00F632C3"/>
    <w:rsid w:val="00F634C1"/>
    <w:rsid w:val="00F6366D"/>
    <w:rsid w:val="00F63768"/>
    <w:rsid w:val="00F63777"/>
    <w:rsid w:val="00F63AEA"/>
    <w:rsid w:val="00F63C2E"/>
    <w:rsid w:val="00F63E4C"/>
    <w:rsid w:val="00F63E55"/>
    <w:rsid w:val="00F6440E"/>
    <w:rsid w:val="00F644A8"/>
    <w:rsid w:val="00F646AE"/>
    <w:rsid w:val="00F646D7"/>
    <w:rsid w:val="00F64A44"/>
    <w:rsid w:val="00F65071"/>
    <w:rsid w:val="00F65147"/>
    <w:rsid w:val="00F65589"/>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19B"/>
    <w:rsid w:val="00F7254C"/>
    <w:rsid w:val="00F725BC"/>
    <w:rsid w:val="00F725E8"/>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609"/>
    <w:rsid w:val="00F767B5"/>
    <w:rsid w:val="00F76A0B"/>
    <w:rsid w:val="00F76A77"/>
    <w:rsid w:val="00F76C82"/>
    <w:rsid w:val="00F76D57"/>
    <w:rsid w:val="00F76E47"/>
    <w:rsid w:val="00F77133"/>
    <w:rsid w:val="00F77177"/>
    <w:rsid w:val="00F776C7"/>
    <w:rsid w:val="00F776DD"/>
    <w:rsid w:val="00F778C7"/>
    <w:rsid w:val="00F77BF8"/>
    <w:rsid w:val="00F77C5D"/>
    <w:rsid w:val="00F77E86"/>
    <w:rsid w:val="00F804F8"/>
    <w:rsid w:val="00F80511"/>
    <w:rsid w:val="00F80D73"/>
    <w:rsid w:val="00F80E5E"/>
    <w:rsid w:val="00F81083"/>
    <w:rsid w:val="00F815C6"/>
    <w:rsid w:val="00F81B68"/>
    <w:rsid w:val="00F81E5C"/>
    <w:rsid w:val="00F81EAA"/>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347"/>
    <w:rsid w:val="00F84458"/>
    <w:rsid w:val="00F8454F"/>
    <w:rsid w:val="00F84613"/>
    <w:rsid w:val="00F84621"/>
    <w:rsid w:val="00F8468A"/>
    <w:rsid w:val="00F846D9"/>
    <w:rsid w:val="00F84856"/>
    <w:rsid w:val="00F84F9B"/>
    <w:rsid w:val="00F84F9C"/>
    <w:rsid w:val="00F850C6"/>
    <w:rsid w:val="00F85398"/>
    <w:rsid w:val="00F853AB"/>
    <w:rsid w:val="00F8560D"/>
    <w:rsid w:val="00F85A23"/>
    <w:rsid w:val="00F85AA2"/>
    <w:rsid w:val="00F85BF1"/>
    <w:rsid w:val="00F85E95"/>
    <w:rsid w:val="00F86028"/>
    <w:rsid w:val="00F86121"/>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6C6"/>
    <w:rsid w:val="00F87893"/>
    <w:rsid w:val="00F9027B"/>
    <w:rsid w:val="00F90286"/>
    <w:rsid w:val="00F902F5"/>
    <w:rsid w:val="00F903DE"/>
    <w:rsid w:val="00F9045E"/>
    <w:rsid w:val="00F905EC"/>
    <w:rsid w:val="00F905FD"/>
    <w:rsid w:val="00F907D6"/>
    <w:rsid w:val="00F9086D"/>
    <w:rsid w:val="00F910CB"/>
    <w:rsid w:val="00F9110C"/>
    <w:rsid w:val="00F9167B"/>
    <w:rsid w:val="00F91796"/>
    <w:rsid w:val="00F91840"/>
    <w:rsid w:val="00F91877"/>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070"/>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3D"/>
    <w:rsid w:val="00FA0361"/>
    <w:rsid w:val="00FA0632"/>
    <w:rsid w:val="00FA076B"/>
    <w:rsid w:val="00FA08F5"/>
    <w:rsid w:val="00FA0BDA"/>
    <w:rsid w:val="00FA0D52"/>
    <w:rsid w:val="00FA0E0B"/>
    <w:rsid w:val="00FA119C"/>
    <w:rsid w:val="00FA162F"/>
    <w:rsid w:val="00FA167D"/>
    <w:rsid w:val="00FA18A6"/>
    <w:rsid w:val="00FA1B41"/>
    <w:rsid w:val="00FA1DFF"/>
    <w:rsid w:val="00FA2400"/>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19C"/>
    <w:rsid w:val="00FA687C"/>
    <w:rsid w:val="00FA6996"/>
    <w:rsid w:val="00FA6AA8"/>
    <w:rsid w:val="00FA6B59"/>
    <w:rsid w:val="00FA6C16"/>
    <w:rsid w:val="00FA6C7F"/>
    <w:rsid w:val="00FA6D25"/>
    <w:rsid w:val="00FA7510"/>
    <w:rsid w:val="00FA7F55"/>
    <w:rsid w:val="00FB049E"/>
    <w:rsid w:val="00FB0643"/>
    <w:rsid w:val="00FB09D5"/>
    <w:rsid w:val="00FB0B8A"/>
    <w:rsid w:val="00FB0B9D"/>
    <w:rsid w:val="00FB0BAF"/>
    <w:rsid w:val="00FB0E97"/>
    <w:rsid w:val="00FB10B7"/>
    <w:rsid w:val="00FB112F"/>
    <w:rsid w:val="00FB1172"/>
    <w:rsid w:val="00FB14D5"/>
    <w:rsid w:val="00FB15F2"/>
    <w:rsid w:val="00FB16B5"/>
    <w:rsid w:val="00FB1780"/>
    <w:rsid w:val="00FB1DA8"/>
    <w:rsid w:val="00FB1E62"/>
    <w:rsid w:val="00FB1F19"/>
    <w:rsid w:val="00FB1F39"/>
    <w:rsid w:val="00FB21FE"/>
    <w:rsid w:val="00FB226C"/>
    <w:rsid w:val="00FB235C"/>
    <w:rsid w:val="00FB242A"/>
    <w:rsid w:val="00FB2495"/>
    <w:rsid w:val="00FB2512"/>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465"/>
    <w:rsid w:val="00FB4590"/>
    <w:rsid w:val="00FB492B"/>
    <w:rsid w:val="00FB4941"/>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66"/>
    <w:rsid w:val="00FC14B1"/>
    <w:rsid w:val="00FC14C6"/>
    <w:rsid w:val="00FC14E7"/>
    <w:rsid w:val="00FC15D7"/>
    <w:rsid w:val="00FC1634"/>
    <w:rsid w:val="00FC1701"/>
    <w:rsid w:val="00FC188C"/>
    <w:rsid w:val="00FC18BE"/>
    <w:rsid w:val="00FC191B"/>
    <w:rsid w:val="00FC1A84"/>
    <w:rsid w:val="00FC1BAD"/>
    <w:rsid w:val="00FC1C78"/>
    <w:rsid w:val="00FC20B3"/>
    <w:rsid w:val="00FC2279"/>
    <w:rsid w:val="00FC23AD"/>
    <w:rsid w:val="00FC27A7"/>
    <w:rsid w:val="00FC292A"/>
    <w:rsid w:val="00FC2BAB"/>
    <w:rsid w:val="00FC2D9F"/>
    <w:rsid w:val="00FC2EA4"/>
    <w:rsid w:val="00FC2F6A"/>
    <w:rsid w:val="00FC3055"/>
    <w:rsid w:val="00FC34CF"/>
    <w:rsid w:val="00FC3599"/>
    <w:rsid w:val="00FC35C0"/>
    <w:rsid w:val="00FC3A91"/>
    <w:rsid w:val="00FC3AC3"/>
    <w:rsid w:val="00FC3BAF"/>
    <w:rsid w:val="00FC3C3C"/>
    <w:rsid w:val="00FC3D87"/>
    <w:rsid w:val="00FC3EF7"/>
    <w:rsid w:val="00FC42E0"/>
    <w:rsid w:val="00FC431B"/>
    <w:rsid w:val="00FC4425"/>
    <w:rsid w:val="00FC46EB"/>
    <w:rsid w:val="00FC4700"/>
    <w:rsid w:val="00FC485D"/>
    <w:rsid w:val="00FC4910"/>
    <w:rsid w:val="00FC4BD1"/>
    <w:rsid w:val="00FC4F73"/>
    <w:rsid w:val="00FC503D"/>
    <w:rsid w:val="00FC51AB"/>
    <w:rsid w:val="00FC5466"/>
    <w:rsid w:val="00FC5754"/>
    <w:rsid w:val="00FC5918"/>
    <w:rsid w:val="00FC597E"/>
    <w:rsid w:val="00FC5B46"/>
    <w:rsid w:val="00FC5CDF"/>
    <w:rsid w:val="00FC5E07"/>
    <w:rsid w:val="00FC5FEC"/>
    <w:rsid w:val="00FC6049"/>
    <w:rsid w:val="00FC616D"/>
    <w:rsid w:val="00FC6298"/>
    <w:rsid w:val="00FC6B41"/>
    <w:rsid w:val="00FC6D45"/>
    <w:rsid w:val="00FC6EB8"/>
    <w:rsid w:val="00FC76FD"/>
    <w:rsid w:val="00FC790C"/>
    <w:rsid w:val="00FD00D0"/>
    <w:rsid w:val="00FD04EE"/>
    <w:rsid w:val="00FD0BDA"/>
    <w:rsid w:val="00FD0DE4"/>
    <w:rsid w:val="00FD0EF9"/>
    <w:rsid w:val="00FD1098"/>
    <w:rsid w:val="00FD13AB"/>
    <w:rsid w:val="00FD15D9"/>
    <w:rsid w:val="00FD15F6"/>
    <w:rsid w:val="00FD1881"/>
    <w:rsid w:val="00FD1AE4"/>
    <w:rsid w:val="00FD1D24"/>
    <w:rsid w:val="00FD22E3"/>
    <w:rsid w:val="00FD23A5"/>
    <w:rsid w:val="00FD23CA"/>
    <w:rsid w:val="00FD2433"/>
    <w:rsid w:val="00FD2448"/>
    <w:rsid w:val="00FD2548"/>
    <w:rsid w:val="00FD25E1"/>
    <w:rsid w:val="00FD2A54"/>
    <w:rsid w:val="00FD2AAD"/>
    <w:rsid w:val="00FD30A1"/>
    <w:rsid w:val="00FD342A"/>
    <w:rsid w:val="00FD350A"/>
    <w:rsid w:val="00FD35C5"/>
    <w:rsid w:val="00FD386F"/>
    <w:rsid w:val="00FD3B49"/>
    <w:rsid w:val="00FD3C1C"/>
    <w:rsid w:val="00FD3DDA"/>
    <w:rsid w:val="00FD3DDE"/>
    <w:rsid w:val="00FD4011"/>
    <w:rsid w:val="00FD401C"/>
    <w:rsid w:val="00FD441E"/>
    <w:rsid w:val="00FD465E"/>
    <w:rsid w:val="00FD46B1"/>
    <w:rsid w:val="00FD478C"/>
    <w:rsid w:val="00FD47B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A2C"/>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0C"/>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E7A31"/>
    <w:rsid w:val="00FF0114"/>
    <w:rsid w:val="00FF055D"/>
    <w:rsid w:val="00FF0635"/>
    <w:rsid w:val="00FF078C"/>
    <w:rsid w:val="00FF081F"/>
    <w:rsid w:val="00FF0B7F"/>
    <w:rsid w:val="00FF102A"/>
    <w:rsid w:val="00FF1446"/>
    <w:rsid w:val="00FF16A5"/>
    <w:rsid w:val="00FF1786"/>
    <w:rsid w:val="00FF17C3"/>
    <w:rsid w:val="00FF1AE5"/>
    <w:rsid w:val="00FF1BA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A3D"/>
    <w:rsid w:val="00FF4CBC"/>
    <w:rsid w:val="00FF4D17"/>
    <w:rsid w:val="00FF50F8"/>
    <w:rsid w:val="00FF5294"/>
    <w:rsid w:val="00FF541F"/>
    <w:rsid w:val="00FF5669"/>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528A"/>
  <w15:docId w15:val="{425FCC6A-6C3F-4646-848F-C9912725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6E06B6"/>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1986"/>
        <w:tab w:val="num" w:pos="28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uiPriority w:val="9"/>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787440"/>
    <w:pPr>
      <w:spacing w:before="240"/>
      <w:ind w:left="360" w:hanging="360"/>
    </w:pPr>
    <w:rPr>
      <w:rFonts w:cs="Calibri"/>
      <w:b/>
      <w:bCs w:val="0"/>
      <w:i w:val="0"/>
      <w:color w:val="000000" w:themeColor="text1"/>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787440"/>
    <w:rPr>
      <w:rFonts w:ascii="Calibri" w:hAnsi="Calibri" w:cs="Calibri"/>
      <w:b/>
      <w:color w:val="000000" w:themeColor="text1"/>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Arial Black" w:hAnsi="Arial Black"/>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7"/>
      </w:numPr>
    </w:pPr>
  </w:style>
  <w:style w:type="paragraph" w:customStyle="1" w:styleId="Licencecondition">
    <w:name w:val="Licence condition"/>
    <w:basedOn w:val="-"/>
    <w:uiPriority w:val="7"/>
    <w:qFormat/>
    <w:rsid w:val="00ED664E"/>
    <w:pPr>
      <w:numPr>
        <w:numId w:val="28"/>
      </w:numPr>
      <w:ind w:right="0"/>
    </w:pPr>
  </w:style>
  <w:style w:type="paragraph" w:customStyle="1" w:styleId="riskpathwaybullet">
    <w:name w:val="risk pathway bullet"/>
    <w:basedOn w:val="Normal"/>
    <w:autoRedefine/>
    <w:qFormat/>
    <w:rsid w:val="00ED664E"/>
    <w:pPr>
      <w:numPr>
        <w:numId w:val="29"/>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0"/>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1"/>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2"/>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6"/>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7"/>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8"/>
      </w:numPr>
      <w:spacing w:before="60" w:after="60"/>
    </w:pPr>
    <w:rPr>
      <w:sz w:val="24"/>
      <w:lang w:val="en-GB" w:eastAsia="en-US"/>
    </w:rPr>
  </w:style>
  <w:style w:type="paragraph" w:styleId="ListBullet2">
    <w:name w:val="List Bullet 2"/>
    <w:basedOn w:val="Normal"/>
    <w:uiPriority w:val="9"/>
    <w:qFormat/>
    <w:rsid w:val="00161A68"/>
    <w:pPr>
      <w:numPr>
        <w:ilvl w:val="1"/>
        <w:numId w:val="38"/>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8"/>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8"/>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48"/>
      </w:numPr>
    </w:pPr>
    <w:rPr>
      <w:rFonts w:asciiTheme="minorHAnsi" w:hAnsiTheme="minorHAnsi"/>
      <w:szCs w:val="20"/>
    </w:rPr>
  </w:style>
  <w:style w:type="character" w:customStyle="1" w:styleId="2RARMPChar">
    <w:name w:val="2 RARMP Char"/>
    <w:basedOn w:val="DefaultParagraphFont"/>
    <w:link w:val="2RARMP"/>
    <w:rsid w:val="006E06B6"/>
    <w:rPr>
      <w:rFonts w:ascii="Calibri" w:hAnsi="Calibri" w:cs="Arial"/>
      <w:b/>
      <w:bCs/>
      <w:iCs/>
      <w:sz w:val="28"/>
      <w:szCs w:val="28"/>
    </w:rPr>
  </w:style>
  <w:style w:type="paragraph" w:customStyle="1" w:styleId="RARMPListletter">
    <w:name w:val="RARMP List letter"/>
    <w:basedOn w:val="Normal"/>
    <w:qFormat/>
    <w:rsid w:val="00086E71"/>
    <w:pPr>
      <w:numPr>
        <w:numId w:val="52"/>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9"/>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50"/>
      </w:numPr>
      <w:spacing w:before="0" w:after="0"/>
    </w:pPr>
    <w:rPr>
      <w:sz w:val="20"/>
      <w:lang w:eastAsia="en-US"/>
    </w:rPr>
  </w:style>
  <w:style w:type="paragraph" w:customStyle="1" w:styleId="Style23">
    <w:name w:val="Style2 3"/>
    <w:basedOn w:val="Normal"/>
    <w:link w:val="Style23Char"/>
    <w:qFormat/>
    <w:rsid w:val="00086E71"/>
    <w:pPr>
      <w:numPr>
        <w:numId w:val="51"/>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54"/>
      </w:numPr>
    </w:pPr>
    <w:rPr>
      <w:rFonts w:ascii="Arial" w:hAnsi="Arial"/>
      <w:sz w:val="24"/>
    </w:rPr>
  </w:style>
  <w:style w:type="paragraph" w:customStyle="1" w:styleId="ConditionLevel2">
    <w:name w:val="Condition Level 2"/>
    <w:basedOn w:val="Normal"/>
    <w:qFormat/>
    <w:rsid w:val="00E27CF9"/>
    <w:pPr>
      <w:numPr>
        <w:numId w:val="56"/>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0">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0"/>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71"/>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67"/>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paragraph" w:customStyle="1" w:styleId="D1stlevelbullets">
    <w:name w:val="D 1st level bullets"/>
    <w:basedOn w:val="Normal"/>
    <w:link w:val="D1stlevelbulletsChar"/>
    <w:autoRedefine/>
    <w:uiPriority w:val="1"/>
    <w:qFormat/>
    <w:rsid w:val="0075514A"/>
    <w:pPr>
      <w:numPr>
        <w:numId w:val="88"/>
      </w:numPr>
      <w:spacing w:before="0" w:after="0"/>
      <w:ind w:left="425" w:hanging="425"/>
    </w:pPr>
    <w:rPr>
      <w:szCs w:val="22"/>
    </w:rPr>
  </w:style>
  <w:style w:type="character" w:customStyle="1" w:styleId="D1stlevelbulletsChar">
    <w:name w:val="D 1st level bullets Char"/>
    <w:basedOn w:val="DefaultParagraphFont"/>
    <w:link w:val="D1stlevelbullets"/>
    <w:uiPriority w:val="1"/>
    <w:rsid w:val="0075514A"/>
    <w:rPr>
      <w:rFonts w:ascii="Calibri" w:hAnsi="Calibri"/>
      <w:sz w:val="22"/>
      <w:szCs w:val="22"/>
    </w:rPr>
  </w:style>
  <w:style w:type="paragraph" w:customStyle="1" w:styleId="GMOtablebullet2">
    <w:name w:val="GMO table bullet 2"/>
    <w:basedOn w:val="Normal"/>
    <w:qFormat/>
    <w:rsid w:val="0075514A"/>
    <w:pPr>
      <w:numPr>
        <w:ilvl w:val="1"/>
        <w:numId w:val="88"/>
      </w:numPr>
      <w:spacing w:before="0" w:after="0" w:line="216" w:lineRule="auto"/>
      <w:ind w:left="323" w:hanging="164"/>
      <w:contextualSpacing/>
    </w:pPr>
    <w:rPr>
      <w:rFonts w:ascii="Arial Narrow" w:hAnsi="Arial Narrow" w:cs="Calibri"/>
      <w:sz w:val="20"/>
      <w:szCs w:val="20"/>
    </w:rPr>
  </w:style>
  <w:style w:type="character" w:styleId="UnresolvedMention">
    <w:name w:val="Unresolved Mention"/>
    <w:basedOn w:val="DefaultParagraphFont"/>
    <w:uiPriority w:val="99"/>
    <w:semiHidden/>
    <w:unhideWhenUsed/>
    <w:rsid w:val="00824706"/>
    <w:rPr>
      <w:color w:val="605E5C"/>
      <w:shd w:val="clear" w:color="auto" w:fill="E1DFDD"/>
    </w:rPr>
  </w:style>
  <w:style w:type="paragraph" w:customStyle="1" w:styleId="RARMPparagraph">
    <w:name w:val="RARMP paragraph"/>
    <w:basedOn w:val="Normal"/>
    <w:link w:val="RARMPparagraphChar0"/>
    <w:qFormat/>
    <w:rsid w:val="00865024"/>
    <w:pPr>
      <w:numPr>
        <w:numId w:val="109"/>
      </w:numPr>
      <w:ind w:left="0" w:firstLine="0"/>
    </w:pPr>
    <w:rPr>
      <w:rFonts w:eastAsiaTheme="minorHAnsi" w:cstheme="minorBidi"/>
      <w:szCs w:val="22"/>
      <w:lang w:eastAsia="en-US"/>
    </w:rPr>
  </w:style>
  <w:style w:type="character" w:customStyle="1" w:styleId="RARMPparagraphChar0">
    <w:name w:val="RARMP paragraph Char"/>
    <w:basedOn w:val="DefaultParagraphFont"/>
    <w:link w:val="RARMPparagraph"/>
    <w:rsid w:val="00865024"/>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88594795">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45451516">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a.com.au/" TargetMode="External"/><Relationship Id="rId21" Type="http://schemas.openxmlformats.org/officeDocument/2006/relationships/hyperlink" Target="http://www.ogtr.gov.au/" TargetMode="External"/><Relationship Id="rId42" Type="http://schemas.openxmlformats.org/officeDocument/2006/relationships/footer" Target="footer6.xml"/><Relationship Id="rId47" Type="http://schemas.openxmlformats.org/officeDocument/2006/relationships/footer" Target="footer7.xml"/><Relationship Id="rId63" Type="http://schemas.openxmlformats.org/officeDocument/2006/relationships/hyperlink" Target="https://www.cdc.gov/adenovirus/about/transmission.html" TargetMode="External"/><Relationship Id="rId68" Type="http://schemas.openxmlformats.org/officeDocument/2006/relationships/hyperlink" Target="https://www.health.nsw.gov.au/environment/clinicalwaste/Pages/default.aspx" TargetMode="External"/><Relationship Id="rId16" Type="http://schemas.openxmlformats.org/officeDocument/2006/relationships/hyperlink" Target="https://www.tga.gov.au/publication/note-guidance-good-clinical-practice" TargetMode="External"/><Relationship Id="rId11" Type="http://schemas.openxmlformats.org/officeDocument/2006/relationships/header" Target="header2.xml"/><Relationship Id="rId24" Type="http://schemas.openxmlformats.org/officeDocument/2006/relationships/hyperlink" Target="http://www.health.gov.au/npaac" TargetMode="External"/><Relationship Id="rId32" Type="http://schemas.openxmlformats.org/officeDocument/2006/relationships/hyperlink" Target="https://www.health.gov.au/sites/default/files/2025-09/australian-respiratory-surveillance-report-11-august-to-24-august-2025.pdf" TargetMode="External"/><Relationship Id="rId37" Type="http://schemas.openxmlformats.org/officeDocument/2006/relationships/hyperlink" Target="https://clinicaltrials.gov/study/NCT01687244?term=rAd-IFN%2FSyn3&amp;rank=1" TargetMode="External"/><Relationship Id="rId40" Type="http://schemas.openxmlformats.org/officeDocument/2006/relationships/hyperlink" Target="https://www.ogtr.gov.au/gmo-dealings/dealings-involving-intentional-release/dir-217" TargetMode="External"/><Relationship Id="rId45" Type="http://schemas.openxmlformats.org/officeDocument/2006/relationships/hyperlink" Target="https://www.fda.gov/media/164029/download?attachment" TargetMode="External"/><Relationship Id="rId53" Type="http://schemas.openxmlformats.org/officeDocument/2006/relationships/footer" Target="footer10.xml"/><Relationship Id="rId58" Type="http://schemas.openxmlformats.org/officeDocument/2006/relationships/hyperlink" Target="https://www.legislation.act.gov.au/a/1990-5/" TargetMode="External"/><Relationship Id="rId66" Type="http://schemas.openxmlformats.org/officeDocument/2006/relationships/hyperlink" Target="https://www.nhmrc.gov.au/about-us/publications/australian-guidelines-prevention-and-control-infection-healthcare-2019" TargetMode="External"/><Relationship Id="rId74" Type="http://schemas.openxmlformats.org/officeDocument/2006/relationships/hyperlink" Target="https://epa.tas.gov.au/Documents/AMM_Clinical_and_Related_Waste_Companion.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4321/waterpathogens.11"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s://www.safetyandquality.gov.au/standards/nsqhs-standards" TargetMode="External"/><Relationship Id="rId30" Type="http://schemas.openxmlformats.org/officeDocument/2006/relationships/image" Target="media/image4.png"/><Relationship Id="rId35" Type="http://schemas.openxmlformats.org/officeDocument/2006/relationships/hyperlink" Target="https://clinicaltrials.gov/study/NCT00536588" TargetMode="External"/><Relationship Id="rId43" Type="http://schemas.openxmlformats.org/officeDocument/2006/relationships/image" Target="media/image7.png"/><Relationship Id="rId48" Type="http://schemas.openxmlformats.org/officeDocument/2006/relationships/hyperlink" Target="https://www.fda.gov/media/164029/download?attachment" TargetMode="External"/><Relationship Id="rId56" Type="http://schemas.openxmlformats.org/officeDocument/2006/relationships/footer" Target="footer12.xml"/><Relationship Id="rId64" Type="http://schemas.openxmlformats.org/officeDocument/2006/relationships/hyperlink" Target="https://www.ema.europa.eu/en/non-clinical-testing-inadvertent-germline-transmission-gene-transfer-vectors" TargetMode="External"/><Relationship Id="rId69" Type="http://schemas.openxmlformats.org/officeDocument/2006/relationships/hyperlink" Target="https://legislation.nt.gov.au/Legislation/WASTE-MANAGEMENT-AND-POLLUTION-CONTROL-ADMINISTRATION-REGULATIONS-1998" TargetMode="External"/><Relationship Id="rId77" Type="http://schemas.openxmlformats.org/officeDocument/2006/relationships/footer" Target="footer14.xml"/><Relationship Id="rId8" Type="http://schemas.openxmlformats.org/officeDocument/2006/relationships/hyperlink" Target="https://consultations.health.gov.au" TargetMode="External"/><Relationship Id="rId51" Type="http://schemas.openxmlformats.org/officeDocument/2006/relationships/header" Target="header5.xml"/><Relationship Id="rId72" Type="http://schemas.openxmlformats.org/officeDocument/2006/relationships/hyperlink" Target="https://environment.des.qld.gov.au/__data/assets/pdf_file/0029/89147/pr-gl-clinical-and-related-waste.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1.health.gov.au/internet/main/publishing.nsf/Content/health-npaac-index.htm" TargetMode="External"/><Relationship Id="rId33" Type="http://schemas.openxmlformats.org/officeDocument/2006/relationships/image" Target="media/image6.png"/><Relationship Id="rId38" Type="http://schemas.openxmlformats.org/officeDocument/2006/relationships/hyperlink" Target="https://clinicaltrials.gov/study/NCT02773849?term=Adstiladrin&amp;rank=2" TargetMode="External"/><Relationship Id="rId46" Type="http://schemas.openxmlformats.org/officeDocument/2006/relationships/hyperlink" Target="https://www.ogtr.gov.au/resources/publications/risk-analysis-framework-2013" TargetMode="External"/><Relationship Id="rId59" Type="http://schemas.openxmlformats.org/officeDocument/2006/relationships/hyperlink" Target="http://www.waterpathogens.org" TargetMode="External"/><Relationship Id="rId67" Type="http://schemas.openxmlformats.org/officeDocument/2006/relationships/hyperlink" Target="https://www.nhmrc.gov.au/about-us/publications/national-statement-ethical-conduct-human-research-2007-updated-2018" TargetMode="External"/><Relationship Id="rId20" Type="http://schemas.openxmlformats.org/officeDocument/2006/relationships/footer" Target="footer5.xml"/><Relationship Id="rId41" Type="http://schemas.openxmlformats.org/officeDocument/2006/relationships/hyperlink" Target="https://clinicaltrials.gov/search?intr=Nadofaragene%20Firadenovec" TargetMode="External"/><Relationship Id="rId54" Type="http://schemas.openxmlformats.org/officeDocument/2006/relationships/header" Target="header6.xml"/><Relationship Id="rId62" Type="http://schemas.openxmlformats.org/officeDocument/2006/relationships/hyperlink" Target="https://www.cdc.gov/adenovirus/about/symptoms.html" TargetMode="External"/><Relationship Id="rId70" Type="http://schemas.openxmlformats.org/officeDocument/2006/relationships/hyperlink" Target="http://www.ogtr.gov.au/internet/ogtr/publishing.nsf/Content/raffinal5-toc" TargetMode="External"/><Relationship Id="rId75" Type="http://schemas.openxmlformats.org/officeDocument/2006/relationships/hyperlink" Target="https://www.epa.vic.gov.au/for-business/find-a-topic/manage-industrial-was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hmrc.gov.au/about-us/publications/national-statement-ethical-conduct-human-research-2007-updated-2018" TargetMode="External"/><Relationship Id="rId23" Type="http://schemas.openxmlformats.org/officeDocument/2006/relationships/hyperlink" Target="https://www.nhmrc.gov.au/about-us/publications/australian-guidelines-prevention-and-control-infection-healthcare-2019" TargetMode="External"/><Relationship Id="rId28" Type="http://schemas.openxmlformats.org/officeDocument/2006/relationships/hyperlink" Target="https://www.nhmrc.gov.au/about-us/publications/australian-guidelines-prevention-and-control-infection-healthcare-2019" TargetMode="External"/><Relationship Id="rId36" Type="http://schemas.openxmlformats.org/officeDocument/2006/relationships/hyperlink" Target="https://clinicaltrials.gov/study/NCT01162785?term=rAd-IFN%2FSyn3&amp;rank=2" TargetMode="External"/><Relationship Id="rId49" Type="http://schemas.openxmlformats.org/officeDocument/2006/relationships/footer" Target="footer8.xml"/><Relationship Id="rId5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https://www.fda.gov/media/164029/download?attachment" TargetMode="External"/><Relationship Id="rId52" Type="http://schemas.openxmlformats.org/officeDocument/2006/relationships/footer" Target="footer9.xml"/><Relationship Id="rId60" Type="http://schemas.openxmlformats.org/officeDocument/2006/relationships/hyperlink" Target="http://www.waterpathogens.org/book/adenoviruses" TargetMode="External"/><Relationship Id="rId65" Type="http://schemas.openxmlformats.org/officeDocument/2006/relationships/hyperlink" Target="https://www.fda.gov/media/113768/download" TargetMode="External"/><Relationship Id="rId73" Type="http://schemas.openxmlformats.org/officeDocument/2006/relationships/hyperlink" Target="https://www.epa.sa.gov.au/environmental_info/waste_recycling/disposing-wast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gtr@health.gov.au"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ctep.cancer.gov/protocoldevelopment/electronic_applications/docs/ctcae_v5_quick_reference_5x7.pdf" TargetMode="External"/><Relationship Id="rId34" Type="http://schemas.openxmlformats.org/officeDocument/2006/relationships/hyperlink" Target="https://www.accessdata.fda.gov/drugsatfda_docs/label/2014/103132s5190lbl.pdf" TargetMode="External"/><Relationship Id="rId50" Type="http://schemas.openxmlformats.org/officeDocument/2006/relationships/hyperlink" Target="mailto:OGTR.M&amp;C@health.gov.au" TargetMode="External"/><Relationship Id="rId55" Type="http://schemas.openxmlformats.org/officeDocument/2006/relationships/footer" Target="footer11.xml"/><Relationship Id="rId76" Type="http://schemas.openxmlformats.org/officeDocument/2006/relationships/hyperlink" Target="https://ww2.health.wa.gov.au/About-us/Policy-frameworks/Public-Health/Mandatory-requirements/Environmental-Health-Management/Clinical-and-Related-Waste-Management-Policy" TargetMode="External"/><Relationship Id="rId7" Type="http://schemas.openxmlformats.org/officeDocument/2006/relationships/endnotes" Target="endnotes.xml"/><Relationship Id="rId71" Type="http://schemas.openxmlformats.org/officeDocument/2006/relationships/hyperlink" Target="https://www.canada.ca/en/public-health/services/laboratory-biosafety-biosecurity/pathogen-safety-data-sheets-risk-assessment/adenovirus-types-1-2-3-4-5-7-pathogen-safety-data-sheet.html" TargetMode="External"/><Relationship Id="rId2" Type="http://schemas.openxmlformats.org/officeDocument/2006/relationships/numbering" Target="numbering.xml"/><Relationship Id="rId29"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E159-A0E2-4491-91F3-612FDD1A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42474</Words>
  <Characters>234886</Characters>
  <Application>Microsoft Office Word</Application>
  <DocSecurity>0</DocSecurity>
  <Lines>4349</Lines>
  <Paragraphs>2039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275321</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DIR-223 – Risk Assessment and Risk Management Plan consultation version</dc:title>
  <dc:subject/>
  <dc:creator>OGTR.Voicemail@health.gov.au</dc:creator>
  <cp:keywords/>
  <dc:description/>
  <cp:lastModifiedBy>SMITH, Justine</cp:lastModifiedBy>
  <cp:revision>2</cp:revision>
  <cp:lastPrinted>2021-04-01T04:57:00Z</cp:lastPrinted>
  <dcterms:created xsi:type="dcterms:W3CDTF">2026-01-22T02:41:00Z</dcterms:created>
  <dcterms:modified xsi:type="dcterms:W3CDTF">2026-01-22T02:41:00Z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6800d469,179ddd85,53a04b8f,400ba4c7,62258f37,17a2c8eb</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656e9491,43c6025d,4671c73,396608ca,5dc38010,66f6621d,1374807f,2f6f311a,7e704fa5,525d2b8f,2ecea189,7b3d3966,4fb75d33,1384b337,61e8e68c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2025-11-04T03:23:49Z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8185d596-c219-4f0a-bee1-b4149d240ee8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