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B779B" w14:textId="33C846E8" w:rsidR="00912D26" w:rsidRDefault="00912D26" w:rsidP="0069364D">
      <w:pPr>
        <w:spacing w:line="256" w:lineRule="auto"/>
        <w:ind w:left="142" w:hanging="11"/>
        <w:jc w:val="center"/>
        <w:rPr>
          <w:rFonts w:eastAsia="Aptos"/>
          <w:color w:val="215E99" w:themeColor="text2" w:themeTint="BF"/>
          <w:sz w:val="40"/>
          <w:szCs w:val="40"/>
        </w:rPr>
      </w:pPr>
      <w:r w:rsidRPr="00A15CF2">
        <w:rPr>
          <w:noProof/>
        </w:rPr>
        <w:drawing>
          <wp:inline distT="0" distB="0" distL="0" distR="0" wp14:anchorId="255504B4" wp14:editId="21A49180">
            <wp:extent cx="1843431" cy="805505"/>
            <wp:effectExtent l="0" t="0" r="4445" b="0"/>
            <wp:docPr id="891070718" name="Picture 1" descr="Logo of the Office of the Gene Technolo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70718" name="Picture 1" descr="Logo of the Office of the Gene Technology Regulato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3431" cy="805505"/>
                    </a:xfrm>
                    <a:prstGeom prst="rect">
                      <a:avLst/>
                    </a:prstGeom>
                    <a:noFill/>
                    <a:ln>
                      <a:noFill/>
                    </a:ln>
                  </pic:spPr>
                </pic:pic>
              </a:graphicData>
            </a:graphic>
          </wp:inline>
        </w:drawing>
      </w:r>
    </w:p>
    <w:p w14:paraId="65186501" w14:textId="77777777" w:rsidR="00912D26" w:rsidRDefault="00912D26" w:rsidP="004D2DE0">
      <w:pPr>
        <w:spacing w:line="256" w:lineRule="auto"/>
        <w:ind w:left="142" w:hanging="11"/>
        <w:jc w:val="center"/>
        <w:rPr>
          <w:rFonts w:eastAsia="Aptos"/>
          <w:color w:val="215E99" w:themeColor="text2" w:themeTint="BF"/>
          <w:sz w:val="40"/>
          <w:szCs w:val="40"/>
        </w:rPr>
      </w:pPr>
    </w:p>
    <w:p w14:paraId="1AC246D9" w14:textId="77777777" w:rsidR="00912D26" w:rsidRDefault="00912D26" w:rsidP="004D2DE0">
      <w:pPr>
        <w:spacing w:line="256" w:lineRule="auto"/>
        <w:ind w:left="142" w:hanging="11"/>
        <w:jc w:val="center"/>
        <w:rPr>
          <w:rFonts w:eastAsia="Aptos"/>
          <w:color w:val="215E99" w:themeColor="text2" w:themeTint="BF"/>
          <w:sz w:val="40"/>
          <w:szCs w:val="40"/>
        </w:rPr>
      </w:pPr>
    </w:p>
    <w:p w14:paraId="38174E08" w14:textId="0A493FA6" w:rsidR="004D2DE0" w:rsidRPr="002F2584" w:rsidRDefault="004D2DE0" w:rsidP="004D2DE0">
      <w:pPr>
        <w:spacing w:line="256" w:lineRule="auto"/>
        <w:ind w:left="142" w:hanging="11"/>
        <w:jc w:val="center"/>
        <w:rPr>
          <w:rFonts w:eastAsia="Aptos"/>
          <w:color w:val="215E99" w:themeColor="text2" w:themeTint="BF"/>
          <w:sz w:val="40"/>
          <w:szCs w:val="40"/>
        </w:rPr>
      </w:pPr>
      <w:r w:rsidRPr="002F2584">
        <w:rPr>
          <w:rFonts w:eastAsia="Aptos"/>
          <w:color w:val="215E99" w:themeColor="text2" w:themeTint="BF"/>
          <w:sz w:val="40"/>
          <w:szCs w:val="40"/>
        </w:rPr>
        <w:t>COST RECOVERY IMPLEMENTATION STATEMENT</w:t>
      </w:r>
    </w:p>
    <w:p w14:paraId="71195CAC" w14:textId="77777777" w:rsidR="004D2DE0" w:rsidRPr="002F2584" w:rsidRDefault="004D2DE0" w:rsidP="004D2DE0">
      <w:pPr>
        <w:spacing w:line="256" w:lineRule="auto"/>
        <w:ind w:hanging="11"/>
        <w:jc w:val="center"/>
        <w:rPr>
          <w:rFonts w:eastAsia="Aptos"/>
          <w:b/>
          <w:bCs/>
          <w:sz w:val="24"/>
        </w:rPr>
      </w:pPr>
      <w:r w:rsidRPr="002F2584">
        <w:rPr>
          <w:rFonts w:eastAsia="Aptos"/>
          <w:b/>
          <w:bCs/>
          <w:sz w:val="24"/>
        </w:rPr>
        <w:t>Office of the Gene Technology Regulator (OGTR)</w:t>
      </w:r>
    </w:p>
    <w:p w14:paraId="75053588" w14:textId="77777777" w:rsidR="004D2DE0" w:rsidRPr="002F2584" w:rsidRDefault="004D2DE0" w:rsidP="004D2DE0">
      <w:pPr>
        <w:spacing w:line="256" w:lineRule="auto"/>
        <w:ind w:hanging="11"/>
        <w:jc w:val="center"/>
        <w:rPr>
          <w:rFonts w:eastAsia="Aptos"/>
          <w:b/>
          <w:bCs/>
          <w:sz w:val="24"/>
        </w:rPr>
      </w:pPr>
      <w:r w:rsidRPr="002F2584">
        <w:rPr>
          <w:rFonts w:eastAsia="Aptos"/>
          <w:b/>
          <w:bCs/>
          <w:sz w:val="24"/>
        </w:rPr>
        <w:t>2026-27</w:t>
      </w:r>
    </w:p>
    <w:p w14:paraId="63E396C5" w14:textId="77777777" w:rsidR="004D2DE0" w:rsidRPr="002F2584" w:rsidRDefault="004D2DE0" w:rsidP="004D2DE0">
      <w:pPr>
        <w:spacing w:line="256" w:lineRule="auto"/>
        <w:ind w:hanging="11"/>
        <w:jc w:val="center"/>
        <w:rPr>
          <w:rFonts w:eastAsia="Aptos"/>
        </w:rPr>
      </w:pPr>
      <w:r w:rsidRPr="002F2584">
        <w:rPr>
          <w:rFonts w:eastAsia="Aptos"/>
        </w:rPr>
        <w:t>Effective: 1</w:t>
      </w:r>
      <w:r w:rsidRPr="002F2584">
        <w:rPr>
          <w:rFonts w:eastAsia="Aptos"/>
          <w:vertAlign w:val="superscript"/>
        </w:rPr>
        <w:t xml:space="preserve"> </w:t>
      </w:r>
      <w:r w:rsidRPr="002F2584">
        <w:rPr>
          <w:rFonts w:eastAsia="Aptos"/>
        </w:rPr>
        <w:t>March 2027</w:t>
      </w:r>
    </w:p>
    <w:p w14:paraId="2D1BE0DB" w14:textId="77777777" w:rsidR="004D2DE0" w:rsidRPr="002F2584" w:rsidRDefault="004D2DE0" w:rsidP="004D2DE0">
      <w:pPr>
        <w:spacing w:line="256" w:lineRule="auto"/>
        <w:ind w:hanging="11"/>
        <w:jc w:val="center"/>
        <w:rPr>
          <w:rFonts w:eastAsia="Aptos"/>
        </w:rPr>
      </w:pPr>
    </w:p>
    <w:p w14:paraId="218DEA82" w14:textId="42A30E82" w:rsidR="004D2DE0" w:rsidRPr="002F2584" w:rsidRDefault="004D2DE0" w:rsidP="004D2DE0">
      <w:pPr>
        <w:spacing w:line="256" w:lineRule="auto"/>
        <w:ind w:hanging="11"/>
        <w:rPr>
          <w:rFonts w:eastAsia="Aptos"/>
        </w:rPr>
      </w:pPr>
      <w:r w:rsidRPr="002F2584">
        <w:rPr>
          <w:rFonts w:eastAsia="Aptos"/>
        </w:rPr>
        <w:t xml:space="preserve">Charging for regulatory activity involves government entities charging individuals or organisations in the non-government sector some or all of the minimum efficient costs of a specific government activity. The Cost Recovery Policy along with the Australian Government Charging Framework (the Charging Framework) sets out the policy under which government entities design, implement and review charging for regulatory activities. The </w:t>
      </w:r>
      <w:r w:rsidR="007B7482">
        <w:rPr>
          <w:rFonts w:eastAsia="Aptos"/>
        </w:rPr>
        <w:t>Cost Recovery Implementation Statement (</w:t>
      </w:r>
      <w:r w:rsidRPr="002F2584">
        <w:rPr>
          <w:rFonts w:eastAsia="Aptos"/>
        </w:rPr>
        <w:t>CRIS</w:t>
      </w:r>
      <w:r w:rsidR="007B7482">
        <w:rPr>
          <w:rFonts w:eastAsia="Aptos"/>
        </w:rPr>
        <w:t>)</w:t>
      </w:r>
      <w:r w:rsidRPr="002F2584">
        <w:rPr>
          <w:rFonts w:eastAsia="Aptos"/>
        </w:rPr>
        <w:t xml:space="preserve"> is the public document to ensure the transparency and accountability for the level of the charging and to demonstrate that the purpose for charging, as decided by Government, is being achieved. </w:t>
      </w:r>
    </w:p>
    <w:p w14:paraId="5C6A3280" w14:textId="77777777" w:rsidR="004D2DE0" w:rsidRDefault="004D2DE0" w:rsidP="004D2DE0"/>
    <w:p w14:paraId="712037F5" w14:textId="77777777" w:rsidR="004D2DE0" w:rsidRDefault="004D2DE0" w:rsidP="004D2DE0"/>
    <w:p w14:paraId="7C0F9B93" w14:textId="77777777" w:rsidR="004D2DE0" w:rsidRDefault="004D2DE0" w:rsidP="004D2DE0"/>
    <w:p w14:paraId="7DD0540E" w14:textId="77777777" w:rsidR="004D2DE0" w:rsidRDefault="004D2DE0" w:rsidP="004D2DE0"/>
    <w:p w14:paraId="3C358E74" w14:textId="77777777" w:rsidR="004D2DE0" w:rsidRDefault="004D2DE0" w:rsidP="004D2DE0"/>
    <w:p w14:paraId="6DA6CB3C" w14:textId="77777777" w:rsidR="004D2DE0" w:rsidRDefault="004D2DE0" w:rsidP="004D2DE0"/>
    <w:p w14:paraId="32CFA77F" w14:textId="77777777" w:rsidR="004D2DE0" w:rsidRDefault="004D2DE0" w:rsidP="004D2DE0"/>
    <w:p w14:paraId="63597FC9" w14:textId="77777777" w:rsidR="004D2DE0" w:rsidRDefault="004D2DE0" w:rsidP="004D2DE0"/>
    <w:p w14:paraId="7B883B40" w14:textId="77777777" w:rsidR="004D2DE0" w:rsidRDefault="004D2DE0" w:rsidP="004D2DE0"/>
    <w:p w14:paraId="34560268" w14:textId="77777777" w:rsidR="004D2DE0" w:rsidRDefault="004D2DE0" w:rsidP="004D2DE0"/>
    <w:p w14:paraId="62A728DF" w14:textId="77777777" w:rsidR="004D2DE0" w:rsidRDefault="004D2DE0" w:rsidP="004D2DE0"/>
    <w:p w14:paraId="41D7CBBA" w14:textId="77777777" w:rsidR="004D2DE0" w:rsidRDefault="004D2DE0" w:rsidP="004D2DE0"/>
    <w:p w14:paraId="0EAF7ACF" w14:textId="77777777" w:rsidR="004D2DE0" w:rsidRDefault="004D2DE0" w:rsidP="004D2DE0"/>
    <w:p w14:paraId="7D0721AD" w14:textId="77777777" w:rsidR="004D2DE0" w:rsidRDefault="004D2DE0" w:rsidP="004D2DE0"/>
    <w:p w14:paraId="15A3D8D2" w14:textId="77777777" w:rsidR="004D2DE0" w:rsidRDefault="004D2DE0" w:rsidP="004D2DE0"/>
    <w:p w14:paraId="49C1A437" w14:textId="77777777" w:rsidR="004D2DE0" w:rsidRDefault="004D2DE0" w:rsidP="004D2DE0"/>
    <w:sdt>
      <w:sdtPr>
        <w:rPr>
          <w:rFonts w:ascii="Arial" w:eastAsiaTheme="minorHAnsi" w:hAnsi="Arial" w:cs="Arial"/>
          <w:bCs w:val="0"/>
          <w:kern w:val="2"/>
          <w:sz w:val="20"/>
          <w:szCs w:val="20"/>
          <w:lang w:val="en-GB"/>
          <w14:ligatures w14:val="standardContextual"/>
        </w:rPr>
        <w:id w:val="1111704711"/>
        <w:docPartObj>
          <w:docPartGallery w:val="Table of Contents"/>
          <w:docPartUnique/>
        </w:docPartObj>
      </w:sdtPr>
      <w:sdtEndPr>
        <w:rPr>
          <w:b/>
        </w:rPr>
      </w:sdtEndPr>
      <w:sdtContent>
        <w:p w14:paraId="4DA8511C" w14:textId="77777777" w:rsidR="004D2DE0" w:rsidRPr="00E73B26" w:rsidRDefault="004D2DE0" w:rsidP="004D2DE0">
          <w:pPr>
            <w:pStyle w:val="TOCHeading"/>
            <w:rPr>
              <w:rFonts w:ascii="Arial" w:hAnsi="Arial" w:cs="Arial"/>
              <w:sz w:val="40"/>
              <w:szCs w:val="40"/>
            </w:rPr>
          </w:pPr>
          <w:r w:rsidRPr="00E73B26">
            <w:rPr>
              <w:rFonts w:ascii="Arial" w:hAnsi="Arial" w:cs="Arial"/>
              <w:sz w:val="40"/>
              <w:szCs w:val="40"/>
              <w:lang w:val="en-GB"/>
            </w:rPr>
            <w:t>Table of Contents</w:t>
          </w:r>
        </w:p>
        <w:p w14:paraId="44E2D6D9" w14:textId="51B5E826" w:rsidR="00725352" w:rsidRPr="00101B01" w:rsidRDefault="004D2DE0">
          <w:pPr>
            <w:pStyle w:val="TOC1"/>
            <w:rPr>
              <w:rFonts w:ascii="Arial" w:eastAsiaTheme="minorEastAsia" w:hAnsi="Arial" w:cs="Arial"/>
              <w:noProof/>
              <w:kern w:val="2"/>
              <w:szCs w:val="20"/>
              <w:lang w:eastAsia="en-AU"/>
              <w14:ligatures w14:val="standardContextual"/>
            </w:rPr>
          </w:pPr>
          <w:r w:rsidRPr="00101B01">
            <w:rPr>
              <w:rFonts w:ascii="Arial" w:hAnsi="Arial" w:cs="Arial"/>
              <w:szCs w:val="20"/>
            </w:rPr>
            <w:fldChar w:fldCharType="begin"/>
          </w:r>
          <w:r w:rsidRPr="00101B01">
            <w:rPr>
              <w:rFonts w:ascii="Arial" w:hAnsi="Arial" w:cs="Arial"/>
              <w:szCs w:val="20"/>
            </w:rPr>
            <w:instrText xml:space="preserve"> TOC \o "1-3" \h \z \u </w:instrText>
          </w:r>
          <w:r w:rsidRPr="00101B01">
            <w:rPr>
              <w:rFonts w:ascii="Arial" w:hAnsi="Arial" w:cs="Arial"/>
              <w:szCs w:val="20"/>
            </w:rPr>
            <w:fldChar w:fldCharType="separate"/>
          </w:r>
          <w:hyperlink w:anchor="_Toc242195574" w:history="1">
            <w:r w:rsidR="00725352" w:rsidRPr="00101B01">
              <w:rPr>
                <w:rStyle w:val="Hyperlink"/>
                <w:rFonts w:ascii="Arial" w:hAnsi="Arial" w:cs="Arial"/>
                <w:noProof/>
                <w:szCs w:val="20"/>
              </w:rPr>
              <w:t>1. Glossary</w:t>
            </w:r>
            <w:r w:rsidR="00725352" w:rsidRPr="00101B01">
              <w:rPr>
                <w:rFonts w:ascii="Arial" w:hAnsi="Arial" w:cs="Arial"/>
                <w:noProof/>
                <w:webHidden/>
                <w:szCs w:val="20"/>
              </w:rPr>
              <w:tab/>
            </w:r>
            <w:r w:rsidR="00725352" w:rsidRPr="00101B01">
              <w:rPr>
                <w:rFonts w:ascii="Arial" w:hAnsi="Arial" w:cs="Arial"/>
                <w:noProof/>
                <w:webHidden/>
                <w:szCs w:val="20"/>
              </w:rPr>
              <w:fldChar w:fldCharType="begin"/>
            </w:r>
            <w:r w:rsidR="00725352" w:rsidRPr="00101B01">
              <w:rPr>
                <w:rFonts w:ascii="Arial" w:hAnsi="Arial" w:cs="Arial"/>
                <w:noProof/>
                <w:webHidden/>
                <w:szCs w:val="20"/>
              </w:rPr>
              <w:instrText xml:space="preserve"> PAGEREF _Toc242195574 \h </w:instrText>
            </w:r>
            <w:r w:rsidR="00725352" w:rsidRPr="00101B01">
              <w:rPr>
                <w:rFonts w:ascii="Arial" w:hAnsi="Arial" w:cs="Arial"/>
                <w:noProof/>
                <w:webHidden/>
                <w:szCs w:val="20"/>
              </w:rPr>
            </w:r>
            <w:r w:rsidR="00725352" w:rsidRPr="00101B01">
              <w:rPr>
                <w:rFonts w:ascii="Arial" w:hAnsi="Arial" w:cs="Arial"/>
                <w:noProof/>
                <w:webHidden/>
                <w:szCs w:val="20"/>
              </w:rPr>
              <w:fldChar w:fldCharType="separate"/>
            </w:r>
            <w:r w:rsidR="00725352" w:rsidRPr="00101B01">
              <w:rPr>
                <w:rFonts w:ascii="Arial" w:hAnsi="Arial" w:cs="Arial"/>
                <w:noProof/>
                <w:webHidden/>
                <w:szCs w:val="20"/>
              </w:rPr>
              <w:t>5</w:t>
            </w:r>
            <w:r w:rsidR="00725352" w:rsidRPr="00101B01">
              <w:rPr>
                <w:rFonts w:ascii="Arial" w:hAnsi="Arial" w:cs="Arial"/>
                <w:noProof/>
                <w:webHidden/>
                <w:szCs w:val="20"/>
              </w:rPr>
              <w:fldChar w:fldCharType="end"/>
            </w:r>
          </w:hyperlink>
        </w:p>
        <w:p w14:paraId="4D590944" w14:textId="41902538"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575" w:history="1">
            <w:r w:rsidRPr="00101B01">
              <w:rPr>
                <w:rStyle w:val="Hyperlink"/>
                <w:rFonts w:ascii="Arial" w:hAnsi="Arial" w:cs="Arial"/>
                <w:noProof/>
                <w:szCs w:val="20"/>
              </w:rPr>
              <w:t>2. Ownership of Intellectual Property Rights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_Toc242195575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6</w:t>
            </w:r>
            <w:r w:rsidRPr="00101B01">
              <w:rPr>
                <w:rFonts w:ascii="Arial" w:hAnsi="Arial" w:cs="Arial"/>
                <w:noProof/>
                <w:webHidden/>
                <w:szCs w:val="20"/>
              </w:rPr>
              <w:fldChar w:fldCharType="end"/>
            </w:r>
          </w:hyperlink>
        </w:p>
        <w:p w14:paraId="6BC545A6" w14:textId="1B1E3CFF"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576" w:history="1">
            <w:r w:rsidRPr="00101B01">
              <w:rPr>
                <w:rStyle w:val="Hyperlink"/>
                <w:rFonts w:ascii="Arial" w:hAnsi="Arial" w:cs="Arial"/>
                <w:noProof/>
                <w:szCs w:val="20"/>
              </w:rPr>
              <w:t>3. Introduction</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_Toc242195576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7</w:t>
            </w:r>
            <w:r w:rsidRPr="00101B01">
              <w:rPr>
                <w:rFonts w:ascii="Arial" w:hAnsi="Arial" w:cs="Arial"/>
                <w:noProof/>
                <w:webHidden/>
                <w:szCs w:val="20"/>
              </w:rPr>
              <w:fldChar w:fldCharType="end"/>
            </w:r>
          </w:hyperlink>
        </w:p>
        <w:p w14:paraId="0A0DEA3E" w14:textId="6EB3CCEB"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77" w:history="1">
            <w:r w:rsidRPr="00101B01">
              <w:rPr>
                <w:rStyle w:val="Hyperlink"/>
                <w:rFonts w:ascii="Arial" w:hAnsi="Arial" w:cs="Arial"/>
                <w:noProof/>
                <w:szCs w:val="20"/>
              </w:rPr>
              <w:t>3.1. The Role of the Office of the Gene Technology Regulator (OGTR)</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_Toc242195577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8</w:t>
            </w:r>
            <w:r w:rsidRPr="00101B01">
              <w:rPr>
                <w:rFonts w:ascii="Arial" w:hAnsi="Arial" w:cs="Arial"/>
                <w:noProof/>
                <w:webHidden/>
                <w:szCs w:val="20"/>
              </w:rPr>
              <w:fldChar w:fldCharType="end"/>
            </w:r>
          </w:hyperlink>
        </w:p>
        <w:p w14:paraId="52E00698" w14:textId="7CB56CE4"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78" w:history="1">
            <w:r w:rsidRPr="00101B01">
              <w:rPr>
                <w:rStyle w:val="Hyperlink"/>
                <w:rFonts w:ascii="Arial" w:hAnsi="Arial" w:cs="Arial"/>
                <w:noProof/>
                <w:szCs w:val="20"/>
              </w:rPr>
              <w:t>3.2. Statutory Authority to Charge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_Toc242195578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9</w:t>
            </w:r>
            <w:r w:rsidRPr="00101B01">
              <w:rPr>
                <w:rFonts w:ascii="Arial" w:hAnsi="Arial" w:cs="Arial"/>
                <w:noProof/>
                <w:webHidden/>
                <w:szCs w:val="20"/>
              </w:rPr>
              <w:fldChar w:fldCharType="end"/>
            </w:r>
          </w:hyperlink>
        </w:p>
        <w:p w14:paraId="7769C64A" w14:textId="6CB1D048"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79" w:history="1">
            <w:r w:rsidRPr="00101B01">
              <w:rPr>
                <w:rStyle w:val="Hyperlink"/>
                <w:rFonts w:ascii="Arial" w:hAnsi="Arial" w:cs="Arial"/>
                <w:noProof/>
                <w:szCs w:val="20"/>
              </w:rPr>
              <w:t>3.3. Policy Authority to Cost Recover</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_Toc242195579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10</w:t>
            </w:r>
            <w:r w:rsidRPr="00101B01">
              <w:rPr>
                <w:rFonts w:ascii="Arial" w:hAnsi="Arial" w:cs="Arial"/>
                <w:noProof/>
                <w:webHidden/>
                <w:szCs w:val="20"/>
              </w:rPr>
              <w:fldChar w:fldCharType="end"/>
            </w:r>
          </w:hyperlink>
        </w:p>
        <w:p w14:paraId="2FE8F341" w14:textId="452A184F"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80" w:history="1">
            <w:r w:rsidRPr="00101B01">
              <w:rPr>
                <w:rStyle w:val="Hyperlink"/>
                <w:rFonts w:ascii="Arial" w:hAnsi="Arial" w:cs="Arial"/>
                <w:noProof/>
                <w:szCs w:val="20"/>
              </w:rPr>
              <w:t>3.4. History of Cost Recovery Decisions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_Toc242195580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11</w:t>
            </w:r>
            <w:r w:rsidRPr="00101B01">
              <w:rPr>
                <w:rFonts w:ascii="Arial" w:hAnsi="Arial" w:cs="Arial"/>
                <w:noProof/>
                <w:webHidden/>
                <w:szCs w:val="20"/>
              </w:rPr>
              <w:fldChar w:fldCharType="end"/>
            </w:r>
          </w:hyperlink>
        </w:p>
        <w:p w14:paraId="16C8CD85" w14:textId="67B63F87"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581" w:history="1">
            <w:r w:rsidRPr="00101B01">
              <w:rPr>
                <w:rStyle w:val="Hyperlink"/>
                <w:rFonts w:ascii="Arial" w:hAnsi="Arial" w:cs="Arial"/>
                <w:noProof/>
                <w:szCs w:val="20"/>
              </w:rPr>
              <w:t>4. Supporting Innovation and Research through Effective and Efficient Cost-Recovery Activities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_Toc242195581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11</w:t>
            </w:r>
            <w:r w:rsidRPr="00101B01">
              <w:rPr>
                <w:rFonts w:ascii="Arial" w:hAnsi="Arial" w:cs="Arial"/>
                <w:noProof/>
                <w:webHidden/>
                <w:szCs w:val="20"/>
              </w:rPr>
              <w:fldChar w:fldCharType="end"/>
            </w:r>
          </w:hyperlink>
        </w:p>
        <w:p w14:paraId="3081370B" w14:textId="5B71E303"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82" w:history="1">
            <w:r w:rsidRPr="00101B01">
              <w:rPr>
                <w:rStyle w:val="Hyperlink"/>
                <w:rFonts w:ascii="Arial" w:hAnsi="Arial" w:cs="Arial"/>
                <w:noProof/>
                <w:szCs w:val="20"/>
              </w:rPr>
              <w:t>4.1. Continuous Improvement and Process Efficiency Initiatives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_Toc242195582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12</w:t>
            </w:r>
            <w:r w:rsidRPr="00101B01">
              <w:rPr>
                <w:rFonts w:ascii="Arial" w:hAnsi="Arial" w:cs="Arial"/>
                <w:noProof/>
                <w:webHidden/>
                <w:szCs w:val="20"/>
              </w:rPr>
              <w:fldChar w:fldCharType="end"/>
            </w:r>
          </w:hyperlink>
        </w:p>
        <w:p w14:paraId="68295EA9" w14:textId="296E6F2F"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83" w:history="1">
            <w:r w:rsidRPr="00101B01">
              <w:rPr>
                <w:rStyle w:val="Hyperlink"/>
                <w:rFonts w:ascii="Arial" w:hAnsi="Arial" w:cs="Arial"/>
                <w:noProof/>
                <w:szCs w:val="20"/>
              </w:rPr>
              <w:t>4.2. OGTR Key Performance Indicators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_Toc242195583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12</w:t>
            </w:r>
            <w:r w:rsidRPr="00101B01">
              <w:rPr>
                <w:rFonts w:ascii="Arial" w:hAnsi="Arial" w:cs="Arial"/>
                <w:noProof/>
                <w:webHidden/>
                <w:szCs w:val="20"/>
              </w:rPr>
              <w:fldChar w:fldCharType="end"/>
            </w:r>
          </w:hyperlink>
        </w:p>
        <w:p w14:paraId="1621660B" w14:textId="40E2179E"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584" w:history="1">
            <w:r w:rsidRPr="00101B01">
              <w:rPr>
                <w:rStyle w:val="Hyperlink"/>
                <w:rFonts w:ascii="Arial" w:hAnsi="Arial" w:cs="Arial"/>
                <w:noProof/>
                <w:szCs w:val="20"/>
              </w:rPr>
              <w:t>5. ABC and Cost Recovery Methodology</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_Toc242195584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13</w:t>
            </w:r>
            <w:r w:rsidRPr="00101B01">
              <w:rPr>
                <w:rFonts w:ascii="Arial" w:hAnsi="Arial" w:cs="Arial"/>
                <w:noProof/>
                <w:webHidden/>
                <w:szCs w:val="20"/>
              </w:rPr>
              <w:fldChar w:fldCharType="end"/>
            </w:r>
          </w:hyperlink>
        </w:p>
        <w:p w14:paraId="1A547603" w14:textId="698AC854"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585" w:history="1">
            <w:r w:rsidRPr="00101B01">
              <w:rPr>
                <w:rStyle w:val="Hyperlink"/>
                <w:rFonts w:ascii="Arial" w:hAnsi="Arial" w:cs="Arial"/>
                <w:noProof/>
                <w:szCs w:val="20"/>
              </w:rPr>
              <w:t>6. Design of Cost Recovery</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_Toc242195585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13</w:t>
            </w:r>
            <w:r w:rsidRPr="00101B01">
              <w:rPr>
                <w:rFonts w:ascii="Arial" w:hAnsi="Arial" w:cs="Arial"/>
                <w:noProof/>
                <w:webHidden/>
                <w:szCs w:val="20"/>
              </w:rPr>
              <w:fldChar w:fldCharType="end"/>
            </w:r>
          </w:hyperlink>
        </w:p>
        <w:p w14:paraId="3540058A" w14:textId="49F27A8D"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86" w:history="1">
            <w:r w:rsidRPr="00101B01">
              <w:rPr>
                <w:rStyle w:val="Hyperlink"/>
                <w:rFonts w:ascii="Arial" w:hAnsi="Arial" w:cs="Arial"/>
                <w:noProof/>
                <w:szCs w:val="20"/>
              </w:rPr>
              <w:t>6.1. Regulatory charges used</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_Toc242195586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13</w:t>
            </w:r>
            <w:r w:rsidRPr="00101B01">
              <w:rPr>
                <w:rFonts w:ascii="Arial" w:hAnsi="Arial" w:cs="Arial"/>
                <w:noProof/>
                <w:webHidden/>
                <w:szCs w:val="20"/>
              </w:rPr>
              <w:fldChar w:fldCharType="end"/>
            </w:r>
          </w:hyperlink>
        </w:p>
        <w:p w14:paraId="74215EAA" w14:textId="1CE35C0E"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87" w:history="1">
            <w:r w:rsidRPr="00101B01">
              <w:rPr>
                <w:rStyle w:val="Hyperlink"/>
                <w:rFonts w:ascii="Arial" w:hAnsi="Arial" w:cs="Arial"/>
                <w:noProof/>
                <w:szCs w:val="20"/>
              </w:rPr>
              <w:t>6.2. Relationship between charges and costs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_Toc242195587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14</w:t>
            </w:r>
            <w:r w:rsidRPr="00101B01">
              <w:rPr>
                <w:rFonts w:ascii="Arial" w:hAnsi="Arial" w:cs="Arial"/>
                <w:noProof/>
                <w:webHidden/>
                <w:szCs w:val="20"/>
              </w:rPr>
              <w:fldChar w:fldCharType="end"/>
            </w:r>
          </w:hyperlink>
        </w:p>
        <w:p w14:paraId="3F39904D" w14:textId="4F50BCF3"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88" w:history="1">
            <w:r w:rsidRPr="00101B01">
              <w:rPr>
                <w:rStyle w:val="Hyperlink"/>
                <w:rFonts w:ascii="Arial" w:hAnsi="Arial" w:cs="Arial"/>
                <w:noProof/>
                <w:szCs w:val="20"/>
              </w:rPr>
              <w:t>6.3. Other recoverable activities built into the application fee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_Toc242195588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14</w:t>
            </w:r>
            <w:r w:rsidRPr="00101B01">
              <w:rPr>
                <w:rFonts w:ascii="Arial" w:hAnsi="Arial" w:cs="Arial"/>
                <w:noProof/>
                <w:webHidden/>
                <w:szCs w:val="20"/>
              </w:rPr>
              <w:fldChar w:fldCharType="end"/>
            </w:r>
          </w:hyperlink>
        </w:p>
        <w:p w14:paraId="1E61AD38" w14:textId="71FC5808"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589" w:history="1">
            <w:r w:rsidRPr="00101B01">
              <w:rPr>
                <w:rStyle w:val="Hyperlink"/>
                <w:rFonts w:ascii="Arial" w:hAnsi="Arial" w:cs="Arial"/>
                <w:noProof/>
                <w:szCs w:val="20"/>
              </w:rPr>
              <w:t>7. Cost Recovery Model</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_Toc242195589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14</w:t>
            </w:r>
            <w:r w:rsidRPr="00101B01">
              <w:rPr>
                <w:rFonts w:ascii="Arial" w:hAnsi="Arial" w:cs="Arial"/>
                <w:noProof/>
                <w:webHidden/>
                <w:szCs w:val="20"/>
              </w:rPr>
              <w:fldChar w:fldCharType="end"/>
            </w:r>
          </w:hyperlink>
        </w:p>
        <w:p w14:paraId="243F0F9E" w14:textId="7E4F29A4"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90" w:history="1">
            <w:r w:rsidRPr="00101B01">
              <w:rPr>
                <w:rStyle w:val="Hyperlink"/>
                <w:rFonts w:ascii="Arial" w:hAnsi="Arial" w:cs="Arial"/>
                <w:noProof/>
                <w:szCs w:val="20"/>
              </w:rPr>
              <w:t>7.1. Licences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_Toc242195590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14</w:t>
            </w:r>
            <w:r w:rsidRPr="00101B01">
              <w:rPr>
                <w:rFonts w:ascii="Arial" w:hAnsi="Arial" w:cs="Arial"/>
                <w:noProof/>
                <w:webHidden/>
                <w:szCs w:val="20"/>
              </w:rPr>
              <w:fldChar w:fldCharType="end"/>
            </w:r>
          </w:hyperlink>
        </w:p>
        <w:p w14:paraId="2246E4CF" w14:textId="3EAAF271"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1" w:history="1">
            <w:r w:rsidRPr="00101B01">
              <w:rPr>
                <w:rStyle w:val="Hyperlink"/>
                <w:rFonts w:ascii="Arial" w:hAnsi="Arial" w:cs="Arial"/>
                <w:noProof/>
                <w:szCs w:val="20"/>
              </w:rPr>
              <w:t>7.1.1. Background</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_Toc242195591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14</w:t>
            </w:r>
            <w:r w:rsidRPr="00101B01">
              <w:rPr>
                <w:rFonts w:ascii="Arial" w:hAnsi="Arial" w:cs="Arial"/>
                <w:noProof/>
                <w:webHidden/>
                <w:szCs w:val="20"/>
              </w:rPr>
              <w:fldChar w:fldCharType="end"/>
            </w:r>
          </w:hyperlink>
        </w:p>
        <w:p w14:paraId="14C4ACD2" w14:textId="54A46841"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2" w:history="1">
            <w:r w:rsidRPr="00101B01">
              <w:rPr>
                <w:rStyle w:val="Hyperlink"/>
                <w:rFonts w:ascii="Arial" w:hAnsi="Arial" w:cs="Arial"/>
                <w:noProof/>
                <w:szCs w:val="20"/>
              </w:rPr>
              <w:t>7.1.2. Outputs of OGTR’s regulatory charging activities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_Toc242195592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15</w:t>
            </w:r>
            <w:r w:rsidRPr="00101B01">
              <w:rPr>
                <w:rFonts w:ascii="Arial" w:hAnsi="Arial" w:cs="Arial"/>
                <w:noProof/>
                <w:webHidden/>
                <w:szCs w:val="20"/>
              </w:rPr>
              <w:fldChar w:fldCharType="end"/>
            </w:r>
          </w:hyperlink>
        </w:p>
        <w:p w14:paraId="5826C30A" w14:textId="3AC01522"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3" w:history="1">
            <w:r w:rsidRPr="00101B01">
              <w:rPr>
                <w:rStyle w:val="Hyperlink"/>
                <w:rFonts w:ascii="Arial" w:hAnsi="Arial" w:cs="Arial"/>
                <w:noProof/>
                <w:szCs w:val="20"/>
              </w:rPr>
              <w:t>7.1.3. ABC and Cost Recovery Methodology – Licences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_Toc242195593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16</w:t>
            </w:r>
            <w:r w:rsidRPr="00101B01">
              <w:rPr>
                <w:rFonts w:ascii="Arial" w:hAnsi="Arial" w:cs="Arial"/>
                <w:noProof/>
                <w:webHidden/>
                <w:szCs w:val="20"/>
              </w:rPr>
              <w:fldChar w:fldCharType="end"/>
            </w:r>
          </w:hyperlink>
        </w:p>
        <w:p w14:paraId="62152CCC" w14:textId="337DCB81"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4" w:history="1">
            <w:r w:rsidRPr="00101B01">
              <w:rPr>
                <w:rStyle w:val="Hyperlink"/>
                <w:rFonts w:ascii="Arial" w:hAnsi="Arial" w:cs="Arial"/>
                <w:noProof/>
                <w:szCs w:val="20"/>
              </w:rPr>
              <w:t>7.1.4. Design of Cost Recovery – Licence Application Fees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_Toc242195594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18</w:t>
            </w:r>
            <w:r w:rsidRPr="00101B01">
              <w:rPr>
                <w:rFonts w:ascii="Arial" w:hAnsi="Arial" w:cs="Arial"/>
                <w:noProof/>
                <w:webHidden/>
                <w:szCs w:val="20"/>
              </w:rPr>
              <w:fldChar w:fldCharType="end"/>
            </w:r>
          </w:hyperlink>
        </w:p>
        <w:p w14:paraId="616489F7" w14:textId="7B19C90C"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595" w:history="1">
            <w:r w:rsidRPr="00101B01">
              <w:rPr>
                <w:rStyle w:val="Hyperlink"/>
                <w:rFonts w:ascii="Arial" w:hAnsi="Arial" w:cs="Arial"/>
                <w:noProof/>
                <w:szCs w:val="20"/>
              </w:rPr>
              <w:t>7.2. Certifications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_Toc242195595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19</w:t>
            </w:r>
            <w:r w:rsidRPr="00101B01">
              <w:rPr>
                <w:rFonts w:ascii="Arial" w:hAnsi="Arial" w:cs="Arial"/>
                <w:noProof/>
                <w:webHidden/>
                <w:szCs w:val="20"/>
              </w:rPr>
              <w:fldChar w:fldCharType="end"/>
            </w:r>
          </w:hyperlink>
        </w:p>
        <w:p w14:paraId="690DAC3C" w14:textId="47C4E633"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6" w:history="1">
            <w:r w:rsidRPr="00101B01">
              <w:rPr>
                <w:rStyle w:val="Hyperlink"/>
                <w:rFonts w:ascii="Arial" w:hAnsi="Arial" w:cs="Arial"/>
                <w:noProof/>
                <w:szCs w:val="20"/>
              </w:rPr>
              <w:t>7.2.1. Background</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_Toc242195596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19</w:t>
            </w:r>
            <w:r w:rsidRPr="00101B01">
              <w:rPr>
                <w:rFonts w:ascii="Arial" w:hAnsi="Arial" w:cs="Arial"/>
                <w:noProof/>
                <w:webHidden/>
                <w:szCs w:val="20"/>
              </w:rPr>
              <w:fldChar w:fldCharType="end"/>
            </w:r>
          </w:hyperlink>
        </w:p>
        <w:p w14:paraId="4C955C07" w14:textId="4E0BDF4B"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7" w:history="1">
            <w:r w:rsidRPr="00101B01">
              <w:rPr>
                <w:rStyle w:val="Hyperlink"/>
                <w:rFonts w:ascii="Arial" w:hAnsi="Arial" w:cs="Arial"/>
                <w:noProof/>
                <w:szCs w:val="20"/>
              </w:rPr>
              <w:t>7.2.2. Outputs of OGTR’s regulatory charging activities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_Toc242195597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20</w:t>
            </w:r>
            <w:r w:rsidRPr="00101B01">
              <w:rPr>
                <w:rFonts w:ascii="Arial" w:hAnsi="Arial" w:cs="Arial"/>
                <w:noProof/>
                <w:webHidden/>
                <w:szCs w:val="20"/>
              </w:rPr>
              <w:fldChar w:fldCharType="end"/>
            </w:r>
          </w:hyperlink>
        </w:p>
        <w:p w14:paraId="18F85768" w14:textId="737FE088"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8" w:history="1">
            <w:r w:rsidRPr="00101B01">
              <w:rPr>
                <w:rStyle w:val="Hyperlink"/>
                <w:rFonts w:ascii="Arial" w:hAnsi="Arial" w:cs="Arial"/>
                <w:noProof/>
                <w:szCs w:val="20"/>
              </w:rPr>
              <w:t>7.2.3. ABC and Cost Recovery Methodology – Certifications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_Toc242195598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21</w:t>
            </w:r>
            <w:r w:rsidRPr="00101B01">
              <w:rPr>
                <w:rFonts w:ascii="Arial" w:hAnsi="Arial" w:cs="Arial"/>
                <w:noProof/>
                <w:webHidden/>
                <w:szCs w:val="20"/>
              </w:rPr>
              <w:fldChar w:fldCharType="end"/>
            </w:r>
          </w:hyperlink>
        </w:p>
        <w:p w14:paraId="0A3DE29D" w14:textId="1F1B95E8"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599" w:history="1">
            <w:r w:rsidRPr="00101B01">
              <w:rPr>
                <w:rStyle w:val="Hyperlink"/>
                <w:rFonts w:ascii="Arial" w:hAnsi="Arial" w:cs="Arial"/>
                <w:noProof/>
                <w:szCs w:val="20"/>
              </w:rPr>
              <w:t>7.2.4. Design of Cost Recovery - Certification Application Fees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_Toc242195599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22</w:t>
            </w:r>
            <w:r w:rsidRPr="00101B01">
              <w:rPr>
                <w:rFonts w:ascii="Arial" w:hAnsi="Arial" w:cs="Arial"/>
                <w:noProof/>
                <w:webHidden/>
                <w:szCs w:val="20"/>
              </w:rPr>
              <w:fldChar w:fldCharType="end"/>
            </w:r>
          </w:hyperlink>
        </w:p>
        <w:p w14:paraId="032B4C7F" w14:textId="7D33AB34"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00" w:history="1">
            <w:r w:rsidRPr="00101B01">
              <w:rPr>
                <w:rStyle w:val="Hyperlink"/>
                <w:rFonts w:ascii="Arial" w:hAnsi="Arial" w:cs="Arial"/>
                <w:noProof/>
                <w:szCs w:val="20"/>
              </w:rPr>
              <w:t>7.3. Annual Charge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_Toc242195600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23</w:t>
            </w:r>
            <w:r w:rsidRPr="00101B01">
              <w:rPr>
                <w:rFonts w:ascii="Arial" w:hAnsi="Arial" w:cs="Arial"/>
                <w:noProof/>
                <w:webHidden/>
                <w:szCs w:val="20"/>
              </w:rPr>
              <w:fldChar w:fldCharType="end"/>
            </w:r>
          </w:hyperlink>
        </w:p>
        <w:p w14:paraId="2F22651A" w14:textId="0F14E057"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01" w:history="1">
            <w:r w:rsidRPr="00101B01">
              <w:rPr>
                <w:rStyle w:val="Hyperlink"/>
                <w:rFonts w:ascii="Arial" w:hAnsi="Arial" w:cs="Arial"/>
                <w:noProof/>
                <w:szCs w:val="20"/>
              </w:rPr>
              <w:t>8. Risk Assessment</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_Toc242195601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24</w:t>
            </w:r>
            <w:r w:rsidRPr="00101B01">
              <w:rPr>
                <w:rFonts w:ascii="Arial" w:hAnsi="Arial" w:cs="Arial"/>
                <w:noProof/>
                <w:webHidden/>
                <w:szCs w:val="20"/>
              </w:rPr>
              <w:fldChar w:fldCharType="end"/>
            </w:r>
          </w:hyperlink>
        </w:p>
        <w:p w14:paraId="558D5C6E" w14:textId="2901805C"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02" w:history="1">
            <w:r w:rsidRPr="00101B01">
              <w:rPr>
                <w:rStyle w:val="Hyperlink"/>
                <w:rFonts w:ascii="Arial" w:hAnsi="Arial" w:cs="Arial"/>
                <w:noProof/>
                <w:szCs w:val="20"/>
              </w:rPr>
              <w:t>8.1. Risk Mitigation</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_Toc242195602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26</w:t>
            </w:r>
            <w:r w:rsidRPr="00101B01">
              <w:rPr>
                <w:rFonts w:ascii="Arial" w:hAnsi="Arial" w:cs="Arial"/>
                <w:noProof/>
                <w:webHidden/>
                <w:szCs w:val="20"/>
              </w:rPr>
              <w:fldChar w:fldCharType="end"/>
            </w:r>
          </w:hyperlink>
        </w:p>
        <w:p w14:paraId="2B1FCB78" w14:textId="32819718"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03" w:history="1">
            <w:r w:rsidRPr="00101B01">
              <w:rPr>
                <w:rStyle w:val="Hyperlink"/>
                <w:rFonts w:ascii="Arial" w:hAnsi="Arial" w:cs="Arial"/>
                <w:noProof/>
                <w:szCs w:val="20"/>
              </w:rPr>
              <w:t>9. Stakeholder Engagement</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_Toc242195603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26</w:t>
            </w:r>
            <w:r w:rsidRPr="00101B01">
              <w:rPr>
                <w:rFonts w:ascii="Arial" w:hAnsi="Arial" w:cs="Arial"/>
                <w:noProof/>
                <w:webHidden/>
                <w:szCs w:val="20"/>
              </w:rPr>
              <w:fldChar w:fldCharType="end"/>
            </w:r>
          </w:hyperlink>
        </w:p>
        <w:p w14:paraId="7DCD7675" w14:textId="5E05DB56"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04" w:history="1">
            <w:r w:rsidRPr="00101B01">
              <w:rPr>
                <w:rStyle w:val="Hyperlink"/>
                <w:rFonts w:ascii="Arial" w:hAnsi="Arial" w:cs="Arial"/>
                <w:noProof/>
                <w:szCs w:val="20"/>
              </w:rPr>
              <w:t>9.1. Summary of stakeholder engagement undertaken to date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_Toc242195604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26</w:t>
            </w:r>
            <w:r w:rsidRPr="00101B01">
              <w:rPr>
                <w:rFonts w:ascii="Arial" w:hAnsi="Arial" w:cs="Arial"/>
                <w:noProof/>
                <w:webHidden/>
                <w:szCs w:val="20"/>
              </w:rPr>
              <w:fldChar w:fldCharType="end"/>
            </w:r>
          </w:hyperlink>
        </w:p>
        <w:p w14:paraId="4E466BBA" w14:textId="5126E322"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05" w:history="1">
            <w:r w:rsidRPr="00101B01">
              <w:rPr>
                <w:rStyle w:val="Hyperlink"/>
                <w:rFonts w:ascii="Arial" w:hAnsi="Arial" w:cs="Arial"/>
                <w:noProof/>
                <w:szCs w:val="20"/>
              </w:rPr>
              <w:t>9.2. Addressing key stakeholder views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_Toc242195605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27</w:t>
            </w:r>
            <w:r w:rsidRPr="00101B01">
              <w:rPr>
                <w:rFonts w:ascii="Arial" w:hAnsi="Arial" w:cs="Arial"/>
                <w:noProof/>
                <w:webHidden/>
                <w:szCs w:val="20"/>
              </w:rPr>
              <w:fldChar w:fldCharType="end"/>
            </w:r>
          </w:hyperlink>
        </w:p>
        <w:p w14:paraId="7E9F96E8" w14:textId="67DD495B"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06" w:history="1">
            <w:r w:rsidRPr="00101B01">
              <w:rPr>
                <w:rStyle w:val="Hyperlink"/>
                <w:rFonts w:ascii="Arial" w:hAnsi="Arial" w:cs="Arial"/>
                <w:noProof/>
                <w:szCs w:val="20"/>
              </w:rPr>
              <w:t>9.3. Stakeholder Engagement Plan - 2026/2027</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_Toc242195606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28</w:t>
            </w:r>
            <w:r w:rsidRPr="00101B01">
              <w:rPr>
                <w:rFonts w:ascii="Arial" w:hAnsi="Arial" w:cs="Arial"/>
                <w:noProof/>
                <w:webHidden/>
                <w:szCs w:val="20"/>
              </w:rPr>
              <w:fldChar w:fldCharType="end"/>
            </w:r>
          </w:hyperlink>
        </w:p>
        <w:p w14:paraId="4B6D4867" w14:textId="45C27BC0"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607" w:history="1">
            <w:r w:rsidRPr="00101B01">
              <w:rPr>
                <w:rStyle w:val="Hyperlink"/>
                <w:rFonts w:ascii="Arial" w:hAnsi="Arial" w:cs="Arial"/>
                <w:noProof/>
                <w:szCs w:val="20"/>
              </w:rPr>
              <w:t>9.3.1. Governance Committee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_Toc242195607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28</w:t>
            </w:r>
            <w:r w:rsidRPr="00101B01">
              <w:rPr>
                <w:rFonts w:ascii="Arial" w:hAnsi="Arial" w:cs="Arial"/>
                <w:noProof/>
                <w:webHidden/>
                <w:szCs w:val="20"/>
              </w:rPr>
              <w:fldChar w:fldCharType="end"/>
            </w:r>
          </w:hyperlink>
        </w:p>
        <w:p w14:paraId="3A7F76A7" w14:textId="48045584"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608" w:history="1">
            <w:r w:rsidRPr="00101B01">
              <w:rPr>
                <w:rStyle w:val="Hyperlink"/>
                <w:rFonts w:ascii="Arial" w:hAnsi="Arial" w:cs="Arial"/>
                <w:noProof/>
                <w:szCs w:val="20"/>
              </w:rPr>
              <w:t>9.3.2. Industry Reference Group (IRG)</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_Toc242195608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28</w:t>
            </w:r>
            <w:r w:rsidRPr="00101B01">
              <w:rPr>
                <w:rFonts w:ascii="Arial" w:hAnsi="Arial" w:cs="Arial"/>
                <w:noProof/>
                <w:webHidden/>
                <w:szCs w:val="20"/>
              </w:rPr>
              <w:fldChar w:fldCharType="end"/>
            </w:r>
          </w:hyperlink>
        </w:p>
        <w:p w14:paraId="46F7B956" w14:textId="7835CA5A"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609" w:history="1">
            <w:r w:rsidRPr="00101B01">
              <w:rPr>
                <w:rStyle w:val="Hyperlink"/>
                <w:rFonts w:ascii="Arial" w:hAnsi="Arial" w:cs="Arial"/>
                <w:noProof/>
                <w:szCs w:val="20"/>
              </w:rPr>
              <w:t>9.3.3. Institutional Biosafety Committee (IBC) Forum</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_Toc242195609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29</w:t>
            </w:r>
            <w:r w:rsidRPr="00101B01">
              <w:rPr>
                <w:rFonts w:ascii="Arial" w:hAnsi="Arial" w:cs="Arial"/>
                <w:noProof/>
                <w:webHidden/>
                <w:szCs w:val="20"/>
              </w:rPr>
              <w:fldChar w:fldCharType="end"/>
            </w:r>
          </w:hyperlink>
        </w:p>
        <w:p w14:paraId="288DFBD3" w14:textId="31600632"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10" w:history="1">
            <w:r w:rsidRPr="00101B01">
              <w:rPr>
                <w:rStyle w:val="Hyperlink"/>
                <w:rFonts w:ascii="Arial" w:hAnsi="Arial" w:cs="Arial"/>
                <w:noProof/>
                <w:szCs w:val="20"/>
              </w:rPr>
              <w:t>10. Consultation Process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_Toc242195610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29</w:t>
            </w:r>
            <w:r w:rsidRPr="00101B01">
              <w:rPr>
                <w:rFonts w:ascii="Arial" w:hAnsi="Arial" w:cs="Arial"/>
                <w:noProof/>
                <w:webHidden/>
                <w:szCs w:val="20"/>
              </w:rPr>
              <w:fldChar w:fldCharType="end"/>
            </w:r>
          </w:hyperlink>
        </w:p>
        <w:p w14:paraId="6A02907C" w14:textId="17BE5846"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11" w:history="1">
            <w:r w:rsidRPr="00101B01">
              <w:rPr>
                <w:rStyle w:val="Hyperlink"/>
                <w:rFonts w:ascii="Arial" w:hAnsi="Arial" w:cs="Arial"/>
                <w:noProof/>
                <w:szCs w:val="20"/>
              </w:rPr>
              <w:t>10.1. Stakeholder Participation</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_Toc242195611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29</w:t>
            </w:r>
            <w:r w:rsidRPr="00101B01">
              <w:rPr>
                <w:rFonts w:ascii="Arial" w:hAnsi="Arial" w:cs="Arial"/>
                <w:noProof/>
                <w:webHidden/>
                <w:szCs w:val="20"/>
              </w:rPr>
              <w:fldChar w:fldCharType="end"/>
            </w:r>
          </w:hyperlink>
        </w:p>
        <w:p w14:paraId="7F6DE625" w14:textId="37ED7508"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612" w:history="1">
            <w:r w:rsidRPr="00101B01">
              <w:rPr>
                <w:rStyle w:val="Hyperlink"/>
                <w:rFonts w:ascii="Arial" w:hAnsi="Arial" w:cs="Arial"/>
                <w:noProof/>
                <w:szCs w:val="20"/>
              </w:rPr>
              <w:t>10.1.1. Consultation Participation Summary</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_Toc242195612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29</w:t>
            </w:r>
            <w:r w:rsidRPr="00101B01">
              <w:rPr>
                <w:rFonts w:ascii="Arial" w:hAnsi="Arial" w:cs="Arial"/>
                <w:noProof/>
                <w:webHidden/>
                <w:szCs w:val="20"/>
              </w:rPr>
              <w:fldChar w:fldCharType="end"/>
            </w:r>
          </w:hyperlink>
        </w:p>
        <w:p w14:paraId="3623185F" w14:textId="0670C5FF"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13" w:history="1">
            <w:r w:rsidRPr="00101B01">
              <w:rPr>
                <w:rStyle w:val="Hyperlink"/>
                <w:rFonts w:ascii="Arial" w:hAnsi="Arial" w:cs="Arial"/>
                <w:noProof/>
                <w:szCs w:val="20"/>
              </w:rPr>
              <w:t>10.2. Key Consultation Themes – Infographic or written</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_Toc242195613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30</w:t>
            </w:r>
            <w:r w:rsidRPr="00101B01">
              <w:rPr>
                <w:rFonts w:ascii="Arial" w:hAnsi="Arial" w:cs="Arial"/>
                <w:noProof/>
                <w:webHidden/>
                <w:szCs w:val="20"/>
              </w:rPr>
              <w:fldChar w:fldCharType="end"/>
            </w:r>
          </w:hyperlink>
        </w:p>
        <w:p w14:paraId="7B6AC2F5" w14:textId="57618C88" w:rsidR="00725352" w:rsidRPr="00101B01" w:rsidRDefault="00725352">
          <w:pPr>
            <w:pStyle w:val="TOC3"/>
            <w:rPr>
              <w:rFonts w:ascii="Arial" w:eastAsiaTheme="minorEastAsia" w:hAnsi="Arial" w:cs="Arial"/>
              <w:noProof/>
              <w:kern w:val="2"/>
              <w:szCs w:val="20"/>
              <w:lang w:eastAsia="en-AU"/>
              <w14:ligatures w14:val="standardContextual"/>
            </w:rPr>
          </w:pPr>
          <w:hyperlink w:anchor="_Toc242195614" w:history="1">
            <w:r w:rsidRPr="00101B01">
              <w:rPr>
                <w:rStyle w:val="Hyperlink"/>
                <w:rFonts w:ascii="Arial" w:eastAsia="Times New Roman" w:hAnsi="Arial" w:cs="Arial"/>
                <w:noProof/>
                <w:szCs w:val="20"/>
                <w:lang w:eastAsia="en-AU"/>
              </w:rPr>
              <w:t>10.2.1. Summary of Stakeholder Feedback</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_Toc242195614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30</w:t>
            </w:r>
            <w:r w:rsidRPr="00101B01">
              <w:rPr>
                <w:rFonts w:ascii="Arial" w:hAnsi="Arial" w:cs="Arial"/>
                <w:noProof/>
                <w:webHidden/>
                <w:szCs w:val="20"/>
              </w:rPr>
              <w:fldChar w:fldCharType="end"/>
            </w:r>
          </w:hyperlink>
        </w:p>
        <w:p w14:paraId="49C63806" w14:textId="7B83FF09" w:rsidR="00725352" w:rsidRPr="00101B01" w:rsidRDefault="00725352">
          <w:pPr>
            <w:pStyle w:val="TOC2"/>
            <w:tabs>
              <w:tab w:val="left" w:pos="1200"/>
            </w:tabs>
            <w:rPr>
              <w:rFonts w:ascii="Arial" w:eastAsiaTheme="minorEastAsia" w:hAnsi="Arial" w:cs="Arial"/>
              <w:noProof/>
              <w:kern w:val="2"/>
              <w:szCs w:val="20"/>
              <w:lang w:eastAsia="en-AU"/>
              <w14:ligatures w14:val="standardContextual"/>
            </w:rPr>
          </w:pPr>
          <w:hyperlink w:anchor="_Toc242195615" w:history="1">
            <w:r w:rsidRPr="00101B01">
              <w:rPr>
                <w:rStyle w:val="Hyperlink"/>
                <w:rFonts w:ascii="Arial" w:hAnsi="Arial" w:cs="Arial"/>
                <w:noProof/>
                <w:szCs w:val="20"/>
              </w:rPr>
              <w:t>10.3</w:t>
            </w:r>
            <w:r w:rsidRPr="00101B01">
              <w:rPr>
                <w:rFonts w:ascii="Arial" w:eastAsiaTheme="minorEastAsia" w:hAnsi="Arial" w:cs="Arial"/>
                <w:noProof/>
                <w:kern w:val="2"/>
                <w:szCs w:val="20"/>
                <w:lang w:eastAsia="en-AU"/>
                <w14:ligatures w14:val="standardContextual"/>
              </w:rPr>
              <w:tab/>
            </w:r>
            <w:r w:rsidRPr="00101B01">
              <w:rPr>
                <w:rStyle w:val="Hyperlink"/>
                <w:rFonts w:ascii="Arial" w:hAnsi="Arial" w:cs="Arial"/>
                <w:noProof/>
                <w:szCs w:val="20"/>
              </w:rPr>
              <w:t>Outcomes of Consultation</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_Toc242195615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30</w:t>
            </w:r>
            <w:r w:rsidRPr="00101B01">
              <w:rPr>
                <w:rFonts w:ascii="Arial" w:hAnsi="Arial" w:cs="Arial"/>
                <w:noProof/>
                <w:webHidden/>
                <w:szCs w:val="20"/>
              </w:rPr>
              <w:fldChar w:fldCharType="end"/>
            </w:r>
          </w:hyperlink>
        </w:p>
        <w:p w14:paraId="5460244E" w14:textId="3D5AD7C2"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16" w:history="1">
            <w:r w:rsidRPr="00101B01">
              <w:rPr>
                <w:rStyle w:val="Hyperlink"/>
                <w:rFonts w:ascii="Arial" w:hAnsi="Arial" w:cs="Arial"/>
                <w:noProof/>
                <w:szCs w:val="20"/>
              </w:rPr>
              <w:t>11. Communications Materials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_Toc242195616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31</w:t>
            </w:r>
            <w:r w:rsidRPr="00101B01">
              <w:rPr>
                <w:rFonts w:ascii="Arial" w:hAnsi="Arial" w:cs="Arial"/>
                <w:noProof/>
                <w:webHidden/>
                <w:szCs w:val="20"/>
              </w:rPr>
              <w:fldChar w:fldCharType="end"/>
            </w:r>
          </w:hyperlink>
        </w:p>
        <w:p w14:paraId="075DB448" w14:textId="5946D623"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17" w:history="1">
            <w:r w:rsidRPr="00101B01">
              <w:rPr>
                <w:rStyle w:val="Hyperlink"/>
                <w:rFonts w:ascii="Arial" w:hAnsi="Arial" w:cs="Arial"/>
                <w:noProof/>
                <w:szCs w:val="20"/>
              </w:rPr>
              <w:t>12. Financial estimates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_Toc242195617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31</w:t>
            </w:r>
            <w:r w:rsidRPr="00101B01">
              <w:rPr>
                <w:rFonts w:ascii="Arial" w:hAnsi="Arial" w:cs="Arial"/>
                <w:noProof/>
                <w:webHidden/>
                <w:szCs w:val="20"/>
              </w:rPr>
              <w:fldChar w:fldCharType="end"/>
            </w:r>
          </w:hyperlink>
        </w:p>
        <w:p w14:paraId="30D9EFDF" w14:textId="32FFC7CC"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18" w:history="1">
            <w:r w:rsidRPr="00101B01">
              <w:rPr>
                <w:rStyle w:val="Hyperlink"/>
                <w:rFonts w:ascii="Arial" w:hAnsi="Arial" w:cs="Arial"/>
                <w:noProof/>
                <w:szCs w:val="20"/>
              </w:rPr>
              <w:t>13. Performance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_Toc242195618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32</w:t>
            </w:r>
            <w:r w:rsidRPr="00101B01">
              <w:rPr>
                <w:rFonts w:ascii="Arial" w:hAnsi="Arial" w:cs="Arial"/>
                <w:noProof/>
                <w:webHidden/>
                <w:szCs w:val="20"/>
              </w:rPr>
              <w:fldChar w:fldCharType="end"/>
            </w:r>
          </w:hyperlink>
        </w:p>
        <w:p w14:paraId="33D3FCF4" w14:textId="431656CA"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19" w:history="1">
            <w:r w:rsidRPr="00101B01">
              <w:rPr>
                <w:rStyle w:val="Hyperlink"/>
                <w:rFonts w:ascii="Arial" w:hAnsi="Arial" w:cs="Arial"/>
                <w:noProof/>
                <w:szCs w:val="20"/>
              </w:rPr>
              <w:t>13.1. Financial performance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_Toc242195619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32</w:t>
            </w:r>
            <w:r w:rsidRPr="00101B01">
              <w:rPr>
                <w:rFonts w:ascii="Arial" w:hAnsi="Arial" w:cs="Arial"/>
                <w:noProof/>
                <w:webHidden/>
                <w:szCs w:val="20"/>
              </w:rPr>
              <w:fldChar w:fldCharType="end"/>
            </w:r>
          </w:hyperlink>
        </w:p>
        <w:p w14:paraId="669BE64B" w14:textId="340DC921" w:rsidR="00725352" w:rsidRPr="00101B01" w:rsidRDefault="00725352">
          <w:pPr>
            <w:pStyle w:val="TOC2"/>
            <w:rPr>
              <w:rFonts w:ascii="Arial" w:eastAsiaTheme="minorEastAsia" w:hAnsi="Arial" w:cs="Arial"/>
              <w:noProof/>
              <w:kern w:val="2"/>
              <w:szCs w:val="20"/>
              <w:lang w:eastAsia="en-AU"/>
              <w14:ligatures w14:val="standardContextual"/>
            </w:rPr>
          </w:pPr>
          <w:hyperlink w:anchor="_Toc242195620" w:history="1">
            <w:r w:rsidRPr="00101B01">
              <w:rPr>
                <w:rStyle w:val="Hyperlink"/>
                <w:rFonts w:ascii="Arial" w:hAnsi="Arial" w:cs="Arial"/>
                <w:noProof/>
                <w:szCs w:val="20"/>
              </w:rPr>
              <w:t>13.2. Non-financial performance</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_Toc242195620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32</w:t>
            </w:r>
            <w:r w:rsidRPr="00101B01">
              <w:rPr>
                <w:rFonts w:ascii="Arial" w:hAnsi="Arial" w:cs="Arial"/>
                <w:noProof/>
                <w:webHidden/>
                <w:szCs w:val="20"/>
              </w:rPr>
              <w:fldChar w:fldCharType="end"/>
            </w:r>
          </w:hyperlink>
        </w:p>
        <w:p w14:paraId="05DEBA4B" w14:textId="18957FD6"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21" w:history="1">
            <w:r w:rsidRPr="00101B01">
              <w:rPr>
                <w:rStyle w:val="Hyperlink"/>
                <w:rFonts w:ascii="Arial" w:hAnsi="Arial" w:cs="Arial"/>
                <w:noProof/>
                <w:szCs w:val="20"/>
              </w:rPr>
              <w:t>14. CRIS approval and change register</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_Toc242195621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32</w:t>
            </w:r>
            <w:r w:rsidRPr="00101B01">
              <w:rPr>
                <w:rFonts w:ascii="Arial" w:hAnsi="Arial" w:cs="Arial"/>
                <w:noProof/>
                <w:webHidden/>
                <w:szCs w:val="20"/>
              </w:rPr>
              <w:fldChar w:fldCharType="end"/>
            </w:r>
          </w:hyperlink>
        </w:p>
        <w:p w14:paraId="4C9D8A10" w14:textId="0E6C8A7E"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22" w:history="1">
            <w:r w:rsidRPr="00101B01">
              <w:rPr>
                <w:rStyle w:val="Hyperlink"/>
                <w:rFonts w:ascii="Arial" w:hAnsi="Arial" w:cs="Arial"/>
                <w:noProof/>
                <w:szCs w:val="20"/>
              </w:rPr>
              <w:t>Appendix A:</w:t>
            </w:r>
            <w:r w:rsidRPr="00101B01">
              <w:rPr>
                <w:rStyle w:val="Hyperlink"/>
                <w:rFonts w:ascii="Arial" w:hAnsi="Arial" w:cs="Arial"/>
                <w:b/>
                <w:bCs/>
                <w:noProof/>
                <w:szCs w:val="20"/>
              </w:rPr>
              <w:t xml:space="preserve"> </w:t>
            </w:r>
            <w:r w:rsidRPr="00101B01">
              <w:rPr>
                <w:rStyle w:val="Hyperlink"/>
                <w:rFonts w:ascii="Arial" w:hAnsi="Arial" w:cs="Arial"/>
                <w:noProof/>
                <w:szCs w:val="20"/>
              </w:rPr>
              <w:t>Appropriateness of Charging for Regulatory Activities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_Toc242195622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33</w:t>
            </w:r>
            <w:r w:rsidRPr="00101B01">
              <w:rPr>
                <w:rFonts w:ascii="Arial" w:hAnsi="Arial" w:cs="Arial"/>
                <w:noProof/>
                <w:webHidden/>
                <w:szCs w:val="20"/>
              </w:rPr>
              <w:fldChar w:fldCharType="end"/>
            </w:r>
          </w:hyperlink>
        </w:p>
        <w:p w14:paraId="52C67834" w14:textId="0F71D351" w:rsidR="00725352" w:rsidRPr="00101B01" w:rsidRDefault="00725352">
          <w:pPr>
            <w:pStyle w:val="TOC1"/>
            <w:rPr>
              <w:rFonts w:ascii="Arial" w:eastAsiaTheme="minorEastAsia" w:hAnsi="Arial" w:cs="Arial"/>
              <w:noProof/>
              <w:kern w:val="2"/>
              <w:szCs w:val="20"/>
              <w:lang w:eastAsia="en-AU"/>
              <w14:ligatures w14:val="standardContextual"/>
            </w:rPr>
          </w:pPr>
          <w:hyperlink w:anchor="_Toc242195623" w:history="1">
            <w:r w:rsidRPr="00101B01">
              <w:rPr>
                <w:rStyle w:val="Hyperlink"/>
                <w:rFonts w:ascii="Arial" w:hAnsi="Arial" w:cs="Arial"/>
                <w:noProof/>
                <w:szCs w:val="20"/>
              </w:rPr>
              <w:t>Appendix B: Cost associated with each step of licence and certification applications</w:t>
            </w:r>
            <w:r w:rsidRPr="00101B01">
              <w:rPr>
                <w:rFonts w:ascii="Arial" w:hAnsi="Arial" w:cs="Arial"/>
                <w:noProof/>
                <w:webHidden/>
                <w:szCs w:val="20"/>
              </w:rPr>
              <w:tab/>
            </w:r>
            <w:r w:rsidRPr="00101B01">
              <w:rPr>
                <w:rFonts w:ascii="Arial" w:hAnsi="Arial" w:cs="Arial"/>
                <w:noProof/>
                <w:webHidden/>
                <w:szCs w:val="20"/>
              </w:rPr>
              <w:fldChar w:fldCharType="begin"/>
            </w:r>
            <w:r w:rsidRPr="00101B01">
              <w:rPr>
                <w:rFonts w:ascii="Arial" w:hAnsi="Arial" w:cs="Arial"/>
                <w:noProof/>
                <w:webHidden/>
                <w:szCs w:val="20"/>
              </w:rPr>
              <w:instrText xml:space="preserve"> PAGEREF _Toc242195623 \h </w:instrText>
            </w:r>
            <w:r w:rsidRPr="00101B01">
              <w:rPr>
                <w:rFonts w:ascii="Arial" w:hAnsi="Arial" w:cs="Arial"/>
                <w:noProof/>
                <w:webHidden/>
                <w:szCs w:val="20"/>
              </w:rPr>
            </w:r>
            <w:r w:rsidRPr="00101B01">
              <w:rPr>
                <w:rFonts w:ascii="Arial" w:hAnsi="Arial" w:cs="Arial"/>
                <w:noProof/>
                <w:webHidden/>
                <w:szCs w:val="20"/>
              </w:rPr>
              <w:fldChar w:fldCharType="separate"/>
            </w:r>
            <w:r w:rsidRPr="00101B01">
              <w:rPr>
                <w:rFonts w:ascii="Arial" w:hAnsi="Arial" w:cs="Arial"/>
                <w:noProof/>
                <w:webHidden/>
                <w:szCs w:val="20"/>
              </w:rPr>
              <w:t>34</w:t>
            </w:r>
            <w:r w:rsidRPr="00101B01">
              <w:rPr>
                <w:rFonts w:ascii="Arial" w:hAnsi="Arial" w:cs="Arial"/>
                <w:noProof/>
                <w:webHidden/>
                <w:szCs w:val="20"/>
              </w:rPr>
              <w:fldChar w:fldCharType="end"/>
            </w:r>
          </w:hyperlink>
        </w:p>
        <w:p w14:paraId="71CB3E83" w14:textId="2F44549B" w:rsidR="004D2DE0" w:rsidRPr="008A586A" w:rsidRDefault="004D2DE0" w:rsidP="004D2DE0">
          <w:pPr>
            <w:rPr>
              <w:rFonts w:cs="Arial"/>
              <w:szCs w:val="20"/>
            </w:rPr>
          </w:pPr>
          <w:r w:rsidRPr="00101B01">
            <w:rPr>
              <w:rFonts w:cs="Arial"/>
              <w:b/>
              <w:bCs/>
              <w:szCs w:val="20"/>
              <w:lang w:val="en-GB"/>
            </w:rPr>
            <w:fldChar w:fldCharType="end"/>
          </w:r>
        </w:p>
      </w:sdtContent>
    </w:sdt>
    <w:p w14:paraId="1D2A1F07" w14:textId="77777777" w:rsidR="004D2DE0" w:rsidRDefault="004D2DE0" w:rsidP="004D2DE0">
      <w:pPr>
        <w:rPr>
          <w:rFonts w:asciiTheme="majorHAnsi" w:eastAsiaTheme="majorEastAsia" w:hAnsiTheme="majorHAnsi" w:cstheme="majorBidi"/>
          <w:color w:val="0F4761" w:themeColor="accent1" w:themeShade="BF"/>
          <w:sz w:val="32"/>
          <w:szCs w:val="32"/>
          <w:u w:val="single"/>
        </w:rPr>
      </w:pPr>
      <w:r w:rsidRPr="00AD62BF">
        <w:rPr>
          <w:rFonts w:asciiTheme="majorHAnsi" w:eastAsiaTheme="majorEastAsia" w:hAnsiTheme="majorHAnsi" w:cstheme="majorBidi"/>
          <w:color w:val="0F4761" w:themeColor="accent1" w:themeShade="BF"/>
          <w:sz w:val="32"/>
          <w:szCs w:val="32"/>
          <w:u w:val="single"/>
        </w:rPr>
        <w:t xml:space="preserve"> </w:t>
      </w:r>
    </w:p>
    <w:p w14:paraId="73F517B2" w14:textId="77777777" w:rsidR="004D2DE0" w:rsidRDefault="004D2DE0" w:rsidP="004D2DE0">
      <w:pPr>
        <w:rPr>
          <w:rFonts w:asciiTheme="majorHAnsi" w:eastAsiaTheme="majorEastAsia" w:hAnsiTheme="majorHAnsi" w:cstheme="majorBidi"/>
          <w:color w:val="0F4761" w:themeColor="accent1" w:themeShade="BF"/>
          <w:sz w:val="32"/>
          <w:szCs w:val="32"/>
          <w:u w:val="single"/>
        </w:rPr>
      </w:pPr>
    </w:p>
    <w:p w14:paraId="1C9B04CC" w14:textId="77777777" w:rsidR="004D2DE0" w:rsidRDefault="004D2DE0" w:rsidP="004D2DE0">
      <w:pPr>
        <w:rPr>
          <w:rFonts w:asciiTheme="majorHAnsi" w:eastAsiaTheme="majorEastAsia" w:hAnsiTheme="majorHAnsi" w:cstheme="majorBidi"/>
          <w:color w:val="0F4761" w:themeColor="accent1" w:themeShade="BF"/>
          <w:sz w:val="32"/>
          <w:szCs w:val="32"/>
          <w:u w:val="single"/>
        </w:rPr>
      </w:pPr>
    </w:p>
    <w:p w14:paraId="0213C6C7" w14:textId="77777777" w:rsidR="004D2DE0" w:rsidRDefault="004D2DE0" w:rsidP="004D2DE0">
      <w:pPr>
        <w:rPr>
          <w:rFonts w:asciiTheme="majorHAnsi" w:eastAsiaTheme="majorEastAsia" w:hAnsiTheme="majorHAnsi" w:cstheme="majorBidi"/>
          <w:color w:val="0F4761" w:themeColor="accent1" w:themeShade="BF"/>
          <w:sz w:val="32"/>
          <w:szCs w:val="32"/>
          <w:u w:val="single"/>
        </w:rPr>
      </w:pPr>
    </w:p>
    <w:p w14:paraId="4BBD6A67" w14:textId="77777777" w:rsidR="004D2DE0" w:rsidRDefault="004D2DE0" w:rsidP="004D2DE0">
      <w:pPr>
        <w:rPr>
          <w:rFonts w:asciiTheme="majorHAnsi" w:eastAsiaTheme="majorEastAsia" w:hAnsiTheme="majorHAnsi" w:cstheme="majorBidi"/>
          <w:color w:val="0F4761" w:themeColor="accent1" w:themeShade="BF"/>
          <w:sz w:val="32"/>
          <w:szCs w:val="32"/>
          <w:u w:val="single"/>
        </w:rPr>
      </w:pPr>
    </w:p>
    <w:p w14:paraId="3CA7CE68" w14:textId="77777777" w:rsidR="004D2DE0" w:rsidRDefault="004D2DE0" w:rsidP="004D2DE0">
      <w:pPr>
        <w:rPr>
          <w:rFonts w:asciiTheme="majorHAnsi" w:eastAsiaTheme="majorEastAsia" w:hAnsiTheme="majorHAnsi" w:cstheme="majorBidi"/>
          <w:color w:val="0F4761" w:themeColor="accent1" w:themeShade="BF"/>
          <w:sz w:val="32"/>
          <w:szCs w:val="32"/>
          <w:u w:val="single"/>
        </w:rPr>
      </w:pPr>
    </w:p>
    <w:p w14:paraId="0CA64639" w14:textId="77777777" w:rsidR="004D2DE0" w:rsidRDefault="004D2DE0" w:rsidP="004D2DE0">
      <w:pPr>
        <w:rPr>
          <w:rFonts w:asciiTheme="majorHAnsi" w:eastAsiaTheme="majorEastAsia" w:hAnsiTheme="majorHAnsi" w:cstheme="majorBidi"/>
          <w:color w:val="0F4761" w:themeColor="accent1" w:themeShade="BF"/>
          <w:sz w:val="32"/>
          <w:szCs w:val="32"/>
          <w:u w:val="single"/>
        </w:rPr>
      </w:pPr>
    </w:p>
    <w:p w14:paraId="61E0B566" w14:textId="77777777" w:rsidR="004D2DE0" w:rsidRDefault="004D2DE0" w:rsidP="004D2DE0">
      <w:pPr>
        <w:rPr>
          <w:rFonts w:asciiTheme="majorHAnsi" w:eastAsiaTheme="majorEastAsia" w:hAnsiTheme="majorHAnsi" w:cstheme="majorBidi"/>
          <w:color w:val="0F4761" w:themeColor="accent1" w:themeShade="BF"/>
          <w:sz w:val="32"/>
          <w:szCs w:val="32"/>
          <w:u w:val="single"/>
        </w:rPr>
      </w:pPr>
    </w:p>
    <w:p w14:paraId="049BE8D8" w14:textId="613FD216" w:rsidR="006D20C8" w:rsidRDefault="006D20C8">
      <w:pPr>
        <w:rPr>
          <w:rFonts w:asciiTheme="majorHAnsi" w:eastAsiaTheme="majorEastAsia" w:hAnsiTheme="majorHAnsi" w:cstheme="majorBidi"/>
          <w:color w:val="0F4761" w:themeColor="accent1" w:themeShade="BF"/>
          <w:sz w:val="32"/>
          <w:szCs w:val="32"/>
          <w:u w:val="single"/>
        </w:rPr>
      </w:pPr>
      <w:r>
        <w:rPr>
          <w:rFonts w:asciiTheme="majorHAnsi" w:eastAsiaTheme="majorEastAsia" w:hAnsiTheme="majorHAnsi" w:cstheme="majorBidi"/>
          <w:color w:val="0F4761" w:themeColor="accent1" w:themeShade="BF"/>
          <w:sz w:val="32"/>
          <w:szCs w:val="32"/>
          <w:u w:val="single"/>
        </w:rPr>
        <w:br w:type="page"/>
      </w:r>
    </w:p>
    <w:p w14:paraId="7A7CD975" w14:textId="77777777" w:rsidR="004D2DE0" w:rsidRPr="00362363" w:rsidRDefault="004D2DE0" w:rsidP="00482E23">
      <w:pPr>
        <w:pStyle w:val="Heading1"/>
      </w:pPr>
      <w:bookmarkStart w:id="0" w:name="_Toc462313127"/>
      <w:bookmarkStart w:id="1" w:name="_Toc462317836"/>
      <w:bookmarkStart w:id="2" w:name="_Toc462397801"/>
      <w:bookmarkStart w:id="3" w:name="_Toc463002428"/>
      <w:bookmarkStart w:id="4" w:name="_Toc472586340"/>
      <w:bookmarkStart w:id="5" w:name="_Toc482168118"/>
      <w:bookmarkStart w:id="6" w:name="_Toc482174905"/>
      <w:bookmarkStart w:id="7" w:name="_Toc168990893"/>
      <w:bookmarkStart w:id="8" w:name="_Toc242195574"/>
      <w:r w:rsidRPr="00362363">
        <w:lastRenderedPageBreak/>
        <w:t>Glossary</w:t>
      </w:r>
      <w:bookmarkEnd w:id="0"/>
      <w:bookmarkEnd w:id="1"/>
      <w:bookmarkEnd w:id="2"/>
      <w:bookmarkEnd w:id="3"/>
      <w:bookmarkEnd w:id="4"/>
      <w:bookmarkEnd w:id="5"/>
      <w:bookmarkEnd w:id="6"/>
      <w:bookmarkEnd w:id="7"/>
      <w:bookmarkEnd w:id="8"/>
    </w:p>
    <w:tbl>
      <w:tblPr>
        <w:tblStyle w:val="Deloittetable"/>
        <w:tblW w:w="5000" w:type="pct"/>
        <w:tblLook w:val="04A0" w:firstRow="1" w:lastRow="0" w:firstColumn="1" w:lastColumn="0" w:noHBand="0" w:noVBand="1"/>
      </w:tblPr>
      <w:tblGrid>
        <w:gridCol w:w="2771"/>
        <w:gridCol w:w="6255"/>
      </w:tblGrid>
      <w:tr w:rsidR="00EA4FC1" w:rsidRPr="00C432BF" w14:paraId="6157EC34" w14:textId="77777777" w:rsidTr="00FD14BC">
        <w:trPr>
          <w:cnfStyle w:val="100000000000" w:firstRow="1" w:lastRow="0" w:firstColumn="0" w:lastColumn="0" w:oddVBand="0" w:evenVBand="0" w:oddHBand="0" w:evenHBand="0" w:firstRowFirstColumn="0" w:firstRowLastColumn="0" w:lastRowFirstColumn="0" w:lastRowLastColumn="0"/>
        </w:trPr>
        <w:tc>
          <w:tcPr>
            <w:tcW w:w="1535" w:type="pct"/>
          </w:tcPr>
          <w:p w14:paraId="08D6544C" w14:textId="77777777" w:rsidR="00EA4FC1" w:rsidRPr="00C432BF" w:rsidRDefault="00EA4FC1" w:rsidP="00FD14BC">
            <w:pPr>
              <w:pStyle w:val="TabletextLeft"/>
              <w:rPr>
                <w:rFonts w:ascii="Arial" w:hAnsi="Arial" w:cs="Arial"/>
                <w:b/>
                <w:sz w:val="20"/>
                <w:szCs w:val="20"/>
              </w:rPr>
            </w:pPr>
            <w:r w:rsidRPr="00C432BF">
              <w:rPr>
                <w:rFonts w:ascii="Arial" w:hAnsi="Arial" w:cs="Arial"/>
                <w:b/>
                <w:sz w:val="20"/>
                <w:szCs w:val="20"/>
              </w:rPr>
              <w:t>Acronym</w:t>
            </w:r>
          </w:p>
        </w:tc>
        <w:tc>
          <w:tcPr>
            <w:tcW w:w="3465" w:type="pct"/>
          </w:tcPr>
          <w:p w14:paraId="216CADE5" w14:textId="77777777" w:rsidR="00EA4FC1" w:rsidRPr="00C432BF" w:rsidRDefault="00EA4FC1" w:rsidP="00FD14BC">
            <w:pPr>
              <w:pStyle w:val="TabletextLeft"/>
              <w:rPr>
                <w:rFonts w:ascii="Arial" w:hAnsi="Arial" w:cs="Arial"/>
                <w:b/>
                <w:sz w:val="20"/>
                <w:szCs w:val="20"/>
              </w:rPr>
            </w:pPr>
            <w:r w:rsidRPr="00C432BF">
              <w:rPr>
                <w:rFonts w:ascii="Arial" w:hAnsi="Arial" w:cs="Arial"/>
                <w:b/>
                <w:sz w:val="20"/>
                <w:szCs w:val="20"/>
              </w:rPr>
              <w:t>Full name</w:t>
            </w:r>
          </w:p>
        </w:tc>
      </w:tr>
      <w:tr w:rsidR="00EA4FC1" w:rsidRPr="00C432BF" w14:paraId="19D7EF48" w14:textId="77777777" w:rsidTr="00FD14BC">
        <w:tc>
          <w:tcPr>
            <w:tcW w:w="1535" w:type="pct"/>
          </w:tcPr>
          <w:p w14:paraId="050D61B5"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ABC</w:t>
            </w:r>
          </w:p>
        </w:tc>
        <w:tc>
          <w:tcPr>
            <w:tcW w:w="3465" w:type="pct"/>
          </w:tcPr>
          <w:p w14:paraId="6D6A15EC" w14:textId="072FD99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 xml:space="preserve">Activity </w:t>
            </w:r>
            <w:r w:rsidR="008A1B0D">
              <w:rPr>
                <w:rFonts w:ascii="Arial" w:hAnsi="Arial" w:cs="Arial"/>
                <w:color w:val="000000"/>
                <w:sz w:val="20"/>
                <w:szCs w:val="20"/>
              </w:rPr>
              <w:t>B</w:t>
            </w:r>
            <w:r w:rsidRPr="00C432BF">
              <w:rPr>
                <w:rFonts w:ascii="Arial" w:hAnsi="Arial" w:cs="Arial"/>
                <w:color w:val="000000"/>
                <w:sz w:val="20"/>
                <w:szCs w:val="20"/>
              </w:rPr>
              <w:t xml:space="preserve">ased </w:t>
            </w:r>
            <w:r w:rsidR="008A1B0D">
              <w:rPr>
                <w:rFonts w:ascii="Arial" w:hAnsi="Arial" w:cs="Arial"/>
                <w:color w:val="000000"/>
                <w:sz w:val="20"/>
                <w:szCs w:val="20"/>
              </w:rPr>
              <w:t>C</w:t>
            </w:r>
            <w:r w:rsidRPr="00C432BF">
              <w:rPr>
                <w:rFonts w:ascii="Arial" w:hAnsi="Arial" w:cs="Arial"/>
                <w:color w:val="000000"/>
                <w:sz w:val="20"/>
                <w:szCs w:val="20"/>
              </w:rPr>
              <w:t xml:space="preserve">osting </w:t>
            </w:r>
          </w:p>
        </w:tc>
      </w:tr>
      <w:tr w:rsidR="00EA4FC1" w:rsidRPr="00C432BF" w14:paraId="21A00FB1" w14:textId="77777777" w:rsidTr="00FD14BC">
        <w:tc>
          <w:tcPr>
            <w:tcW w:w="1535" w:type="pct"/>
          </w:tcPr>
          <w:p w14:paraId="0C034A0B"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AGCF</w:t>
            </w:r>
          </w:p>
        </w:tc>
        <w:tc>
          <w:tcPr>
            <w:tcW w:w="3465" w:type="pct"/>
          </w:tcPr>
          <w:p w14:paraId="753C33E7"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 xml:space="preserve">Australian Government Charging Framework </w:t>
            </w:r>
          </w:p>
        </w:tc>
      </w:tr>
      <w:tr w:rsidR="00EA4FC1" w:rsidRPr="00C432BF" w14:paraId="66DFFD1A" w14:textId="77777777" w:rsidTr="00FD14BC">
        <w:tc>
          <w:tcPr>
            <w:tcW w:w="1535" w:type="pct"/>
          </w:tcPr>
          <w:p w14:paraId="1486CD00"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CCI</w:t>
            </w:r>
          </w:p>
        </w:tc>
        <w:tc>
          <w:tcPr>
            <w:tcW w:w="3465" w:type="pct"/>
          </w:tcPr>
          <w:p w14:paraId="1273285C" w14:textId="6C8F0282" w:rsidR="00EA4FC1" w:rsidRPr="00C432BF" w:rsidRDefault="008A1B0D" w:rsidP="00FD14BC">
            <w:pPr>
              <w:pStyle w:val="TabletextLeft"/>
              <w:rPr>
                <w:rFonts w:ascii="Arial" w:hAnsi="Arial" w:cs="Arial"/>
                <w:color w:val="000000"/>
                <w:sz w:val="20"/>
                <w:szCs w:val="20"/>
              </w:rPr>
            </w:pPr>
            <w:r>
              <w:rPr>
                <w:rFonts w:ascii="Arial" w:hAnsi="Arial" w:cs="Arial"/>
                <w:color w:val="000000"/>
                <w:sz w:val="20"/>
                <w:szCs w:val="20"/>
              </w:rPr>
              <w:t>C</w:t>
            </w:r>
            <w:r w:rsidR="00EA4FC1" w:rsidRPr="00C432BF">
              <w:rPr>
                <w:rFonts w:ascii="Arial" w:hAnsi="Arial" w:cs="Arial"/>
                <w:color w:val="000000"/>
                <w:sz w:val="20"/>
                <w:szCs w:val="20"/>
              </w:rPr>
              <w:t xml:space="preserve">onfidential </w:t>
            </w:r>
            <w:r>
              <w:rPr>
                <w:rFonts w:ascii="Arial" w:hAnsi="Arial" w:cs="Arial"/>
                <w:color w:val="000000"/>
                <w:sz w:val="20"/>
                <w:szCs w:val="20"/>
              </w:rPr>
              <w:t>C</w:t>
            </w:r>
            <w:r w:rsidR="00EA4FC1" w:rsidRPr="00C432BF">
              <w:rPr>
                <w:rFonts w:ascii="Arial" w:hAnsi="Arial" w:cs="Arial"/>
                <w:color w:val="000000"/>
                <w:sz w:val="20"/>
                <w:szCs w:val="20"/>
              </w:rPr>
              <w:t xml:space="preserve">ommercial </w:t>
            </w:r>
            <w:r>
              <w:rPr>
                <w:rFonts w:ascii="Arial" w:hAnsi="Arial" w:cs="Arial"/>
                <w:color w:val="000000"/>
                <w:sz w:val="20"/>
                <w:szCs w:val="20"/>
              </w:rPr>
              <w:t>I</w:t>
            </w:r>
            <w:r w:rsidR="00EA4FC1" w:rsidRPr="00C432BF">
              <w:rPr>
                <w:rFonts w:ascii="Arial" w:hAnsi="Arial" w:cs="Arial"/>
                <w:color w:val="000000"/>
                <w:sz w:val="20"/>
                <w:szCs w:val="20"/>
              </w:rPr>
              <w:t>nformation</w:t>
            </w:r>
          </w:p>
        </w:tc>
      </w:tr>
      <w:tr w:rsidR="00EA4FC1" w:rsidRPr="00C432BF" w14:paraId="56F26F01" w14:textId="77777777" w:rsidTr="00FD14BC">
        <w:tc>
          <w:tcPr>
            <w:tcW w:w="1535" w:type="pct"/>
          </w:tcPr>
          <w:p w14:paraId="39FDCAAD"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CRA</w:t>
            </w:r>
          </w:p>
        </w:tc>
        <w:tc>
          <w:tcPr>
            <w:tcW w:w="3465" w:type="pct"/>
          </w:tcPr>
          <w:p w14:paraId="58552ED4" w14:textId="15FD1993" w:rsidR="00EA4FC1" w:rsidRPr="00C432BF" w:rsidRDefault="008A1B0D" w:rsidP="00FD14BC">
            <w:pPr>
              <w:pStyle w:val="TabletextLeft"/>
              <w:rPr>
                <w:rFonts w:ascii="Arial" w:hAnsi="Arial" w:cs="Arial"/>
                <w:color w:val="000000"/>
                <w:sz w:val="20"/>
                <w:szCs w:val="20"/>
              </w:rPr>
            </w:pPr>
            <w:r>
              <w:rPr>
                <w:rFonts w:ascii="Arial" w:hAnsi="Arial" w:cs="Arial"/>
                <w:color w:val="000000"/>
                <w:sz w:val="20"/>
                <w:szCs w:val="20"/>
              </w:rPr>
              <w:t>C</w:t>
            </w:r>
            <w:r w:rsidR="00EA4FC1" w:rsidRPr="00C432BF">
              <w:rPr>
                <w:rFonts w:ascii="Arial" w:hAnsi="Arial" w:cs="Arial"/>
                <w:color w:val="000000"/>
                <w:sz w:val="20"/>
                <w:szCs w:val="20"/>
              </w:rPr>
              <w:t xml:space="preserve">harging </w:t>
            </w:r>
            <w:r>
              <w:rPr>
                <w:rFonts w:ascii="Arial" w:hAnsi="Arial" w:cs="Arial"/>
                <w:color w:val="000000"/>
                <w:sz w:val="20"/>
                <w:szCs w:val="20"/>
              </w:rPr>
              <w:t>R</w:t>
            </w:r>
            <w:r w:rsidR="00EA4FC1" w:rsidRPr="00C432BF">
              <w:rPr>
                <w:rFonts w:ascii="Arial" w:hAnsi="Arial" w:cs="Arial"/>
                <w:color w:val="000000"/>
                <w:sz w:val="20"/>
                <w:szCs w:val="20"/>
              </w:rPr>
              <w:t xml:space="preserve">isk </w:t>
            </w:r>
            <w:r>
              <w:rPr>
                <w:rFonts w:ascii="Arial" w:hAnsi="Arial" w:cs="Arial"/>
                <w:color w:val="000000"/>
                <w:sz w:val="20"/>
                <w:szCs w:val="20"/>
              </w:rPr>
              <w:t>A</w:t>
            </w:r>
            <w:r w:rsidR="00EA4FC1" w:rsidRPr="00C432BF">
              <w:rPr>
                <w:rFonts w:ascii="Arial" w:hAnsi="Arial" w:cs="Arial"/>
                <w:color w:val="000000"/>
                <w:sz w:val="20"/>
                <w:szCs w:val="20"/>
              </w:rPr>
              <w:t>ssessment</w:t>
            </w:r>
          </w:p>
        </w:tc>
      </w:tr>
      <w:tr w:rsidR="00EA4FC1" w:rsidRPr="00C432BF" w14:paraId="0EBE52A5" w14:textId="77777777" w:rsidTr="00FD14BC">
        <w:tc>
          <w:tcPr>
            <w:tcW w:w="1535" w:type="pct"/>
          </w:tcPr>
          <w:p w14:paraId="2D995A19"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CRIS</w:t>
            </w:r>
          </w:p>
        </w:tc>
        <w:tc>
          <w:tcPr>
            <w:tcW w:w="3465" w:type="pct"/>
          </w:tcPr>
          <w:p w14:paraId="6F2237A9" w14:textId="42811712" w:rsidR="00EA4FC1" w:rsidRPr="00C432BF" w:rsidRDefault="008A1B0D" w:rsidP="00FD14BC">
            <w:pPr>
              <w:pStyle w:val="TabletextLeft"/>
              <w:rPr>
                <w:rFonts w:ascii="Arial" w:hAnsi="Arial" w:cs="Arial"/>
                <w:color w:val="000000"/>
                <w:sz w:val="20"/>
                <w:szCs w:val="20"/>
              </w:rPr>
            </w:pPr>
            <w:r>
              <w:rPr>
                <w:rFonts w:ascii="Arial" w:hAnsi="Arial" w:cs="Arial"/>
                <w:color w:val="000000"/>
                <w:sz w:val="20"/>
                <w:szCs w:val="20"/>
              </w:rPr>
              <w:t>C</w:t>
            </w:r>
            <w:r w:rsidR="00EA4FC1" w:rsidRPr="00C432BF">
              <w:rPr>
                <w:rFonts w:ascii="Arial" w:hAnsi="Arial" w:cs="Arial"/>
                <w:color w:val="000000"/>
                <w:sz w:val="20"/>
                <w:szCs w:val="20"/>
              </w:rPr>
              <w:t xml:space="preserve">ost </w:t>
            </w:r>
            <w:r>
              <w:rPr>
                <w:rFonts w:ascii="Arial" w:hAnsi="Arial" w:cs="Arial"/>
                <w:color w:val="000000"/>
                <w:sz w:val="20"/>
                <w:szCs w:val="20"/>
              </w:rPr>
              <w:t>R</w:t>
            </w:r>
            <w:r w:rsidR="00EA4FC1" w:rsidRPr="00C432BF">
              <w:rPr>
                <w:rFonts w:ascii="Arial" w:hAnsi="Arial" w:cs="Arial"/>
                <w:color w:val="000000"/>
                <w:sz w:val="20"/>
                <w:szCs w:val="20"/>
              </w:rPr>
              <w:t xml:space="preserve">ecovery </w:t>
            </w:r>
            <w:r>
              <w:rPr>
                <w:rFonts w:ascii="Arial" w:hAnsi="Arial" w:cs="Arial"/>
                <w:color w:val="000000"/>
                <w:sz w:val="20"/>
                <w:szCs w:val="20"/>
              </w:rPr>
              <w:t>I</w:t>
            </w:r>
            <w:r w:rsidR="00EA4FC1" w:rsidRPr="00C432BF">
              <w:rPr>
                <w:rFonts w:ascii="Arial" w:hAnsi="Arial" w:cs="Arial"/>
                <w:color w:val="000000"/>
                <w:sz w:val="20"/>
                <w:szCs w:val="20"/>
              </w:rPr>
              <w:t xml:space="preserve">mplementation </w:t>
            </w:r>
            <w:r>
              <w:rPr>
                <w:rFonts w:ascii="Arial" w:hAnsi="Arial" w:cs="Arial"/>
                <w:color w:val="000000"/>
                <w:sz w:val="20"/>
                <w:szCs w:val="20"/>
              </w:rPr>
              <w:t>S</w:t>
            </w:r>
            <w:r w:rsidR="00EA4FC1" w:rsidRPr="00C432BF">
              <w:rPr>
                <w:rFonts w:ascii="Arial" w:hAnsi="Arial" w:cs="Arial"/>
                <w:color w:val="000000"/>
                <w:sz w:val="20"/>
                <w:szCs w:val="20"/>
              </w:rPr>
              <w:t>tatement</w:t>
            </w:r>
          </w:p>
        </w:tc>
      </w:tr>
      <w:tr w:rsidR="00EA4FC1" w:rsidRPr="00C432BF" w14:paraId="61C6A16D" w14:textId="77777777" w:rsidTr="00FD14BC">
        <w:tc>
          <w:tcPr>
            <w:tcW w:w="1535" w:type="pct"/>
          </w:tcPr>
          <w:p w14:paraId="36754E59" w14:textId="77777777" w:rsidR="00EA4FC1" w:rsidRPr="00C432BF" w:rsidRDefault="00EA4FC1" w:rsidP="00FD14BC">
            <w:pPr>
              <w:pStyle w:val="TabletextLeft"/>
              <w:rPr>
                <w:rFonts w:ascii="Arial" w:hAnsi="Arial" w:cs="Arial"/>
                <w:sz w:val="20"/>
                <w:szCs w:val="20"/>
              </w:rPr>
            </w:pPr>
            <w:r w:rsidRPr="00C432BF">
              <w:rPr>
                <w:rFonts w:ascii="Arial" w:hAnsi="Arial" w:cs="Arial"/>
                <w:color w:val="000000"/>
                <w:sz w:val="20"/>
                <w:szCs w:val="20"/>
              </w:rPr>
              <w:t>DIR</w:t>
            </w:r>
          </w:p>
        </w:tc>
        <w:tc>
          <w:tcPr>
            <w:tcW w:w="3465" w:type="pct"/>
          </w:tcPr>
          <w:p w14:paraId="4D4B6DF8" w14:textId="6E737495" w:rsidR="00EA4FC1" w:rsidRPr="00C432BF" w:rsidRDefault="008A1B0D" w:rsidP="00FD14BC">
            <w:pPr>
              <w:pStyle w:val="TabletextLeft"/>
              <w:rPr>
                <w:rFonts w:ascii="Arial" w:hAnsi="Arial" w:cs="Arial"/>
                <w:sz w:val="20"/>
                <w:szCs w:val="20"/>
              </w:rPr>
            </w:pPr>
            <w:r>
              <w:rPr>
                <w:rFonts w:ascii="Arial" w:hAnsi="Arial" w:cs="Arial"/>
                <w:color w:val="000000"/>
                <w:sz w:val="20"/>
                <w:szCs w:val="20"/>
              </w:rPr>
              <w:t>D</w:t>
            </w:r>
            <w:r w:rsidR="00EA4FC1" w:rsidRPr="00C432BF">
              <w:rPr>
                <w:rFonts w:ascii="Arial" w:hAnsi="Arial" w:cs="Arial"/>
                <w:color w:val="000000"/>
                <w:sz w:val="20"/>
                <w:szCs w:val="20"/>
              </w:rPr>
              <w:t xml:space="preserve">ealings </w:t>
            </w:r>
            <w:r>
              <w:rPr>
                <w:rFonts w:ascii="Arial" w:hAnsi="Arial" w:cs="Arial"/>
                <w:color w:val="000000"/>
                <w:sz w:val="20"/>
                <w:szCs w:val="20"/>
              </w:rPr>
              <w:t>I</w:t>
            </w:r>
            <w:r w:rsidR="00EA4FC1" w:rsidRPr="00C432BF">
              <w:rPr>
                <w:rFonts w:ascii="Arial" w:hAnsi="Arial" w:cs="Arial"/>
                <w:color w:val="000000"/>
                <w:sz w:val="20"/>
                <w:szCs w:val="20"/>
              </w:rPr>
              <w:t xml:space="preserve">nvolving intentional </w:t>
            </w:r>
            <w:r>
              <w:rPr>
                <w:rFonts w:ascii="Arial" w:hAnsi="Arial" w:cs="Arial"/>
                <w:color w:val="000000"/>
                <w:sz w:val="20"/>
                <w:szCs w:val="20"/>
              </w:rPr>
              <w:t>R</w:t>
            </w:r>
            <w:r w:rsidR="00EA4FC1" w:rsidRPr="00C432BF">
              <w:rPr>
                <w:rFonts w:ascii="Arial" w:hAnsi="Arial" w:cs="Arial"/>
                <w:color w:val="000000"/>
                <w:sz w:val="20"/>
                <w:szCs w:val="20"/>
              </w:rPr>
              <w:t xml:space="preserve">elease </w:t>
            </w:r>
          </w:p>
        </w:tc>
      </w:tr>
      <w:tr w:rsidR="00EA4FC1" w:rsidRPr="00C432BF" w14:paraId="3C88D06F" w14:textId="77777777" w:rsidTr="00FD14BC">
        <w:tc>
          <w:tcPr>
            <w:tcW w:w="1535" w:type="pct"/>
          </w:tcPr>
          <w:p w14:paraId="1C2BC6BD" w14:textId="77777777" w:rsidR="00EA4FC1" w:rsidRPr="00C432BF" w:rsidRDefault="00EA4FC1" w:rsidP="00FD14BC">
            <w:pPr>
              <w:pStyle w:val="TabletextLeft"/>
              <w:rPr>
                <w:rFonts w:ascii="Arial" w:hAnsi="Arial" w:cs="Arial"/>
                <w:sz w:val="20"/>
                <w:szCs w:val="20"/>
                <w:highlight w:val="yellow"/>
              </w:rPr>
            </w:pPr>
            <w:r w:rsidRPr="00C432BF">
              <w:rPr>
                <w:rFonts w:ascii="Arial" w:hAnsi="Arial" w:cs="Arial"/>
                <w:color w:val="000000"/>
                <w:sz w:val="20"/>
                <w:szCs w:val="20"/>
              </w:rPr>
              <w:t>DNIR</w:t>
            </w:r>
          </w:p>
        </w:tc>
        <w:tc>
          <w:tcPr>
            <w:tcW w:w="3465" w:type="pct"/>
          </w:tcPr>
          <w:p w14:paraId="567408F7" w14:textId="78396418" w:rsidR="00EA4FC1" w:rsidRPr="00C432BF" w:rsidRDefault="008A1B0D" w:rsidP="00FD14BC">
            <w:pPr>
              <w:pStyle w:val="TabletextLeft"/>
              <w:rPr>
                <w:rFonts w:ascii="Arial" w:hAnsi="Arial" w:cs="Arial"/>
                <w:sz w:val="20"/>
                <w:szCs w:val="20"/>
                <w:highlight w:val="yellow"/>
              </w:rPr>
            </w:pPr>
            <w:r>
              <w:rPr>
                <w:rFonts w:ascii="Arial" w:hAnsi="Arial" w:cs="Arial"/>
                <w:color w:val="000000"/>
                <w:sz w:val="20"/>
                <w:szCs w:val="20"/>
              </w:rPr>
              <w:t>D</w:t>
            </w:r>
            <w:r w:rsidR="00EA4FC1" w:rsidRPr="00C432BF">
              <w:rPr>
                <w:rFonts w:ascii="Arial" w:hAnsi="Arial" w:cs="Arial"/>
                <w:color w:val="000000"/>
                <w:sz w:val="20"/>
                <w:szCs w:val="20"/>
              </w:rPr>
              <w:t xml:space="preserve">ealings </w:t>
            </w:r>
            <w:r>
              <w:rPr>
                <w:rFonts w:ascii="Arial" w:hAnsi="Arial" w:cs="Arial"/>
                <w:color w:val="000000"/>
                <w:sz w:val="20"/>
                <w:szCs w:val="20"/>
              </w:rPr>
              <w:t>N</w:t>
            </w:r>
            <w:r w:rsidR="00EA4FC1" w:rsidRPr="00C432BF">
              <w:rPr>
                <w:rFonts w:ascii="Arial" w:hAnsi="Arial" w:cs="Arial"/>
                <w:color w:val="000000"/>
                <w:sz w:val="20"/>
                <w:szCs w:val="20"/>
              </w:rPr>
              <w:t xml:space="preserve">ot </w:t>
            </w:r>
            <w:r>
              <w:rPr>
                <w:rFonts w:ascii="Arial" w:hAnsi="Arial" w:cs="Arial"/>
                <w:color w:val="000000"/>
                <w:sz w:val="20"/>
                <w:szCs w:val="20"/>
              </w:rPr>
              <w:t>I</w:t>
            </w:r>
            <w:r w:rsidR="00EA4FC1" w:rsidRPr="00C432BF">
              <w:rPr>
                <w:rFonts w:ascii="Arial" w:hAnsi="Arial" w:cs="Arial"/>
                <w:color w:val="000000"/>
                <w:sz w:val="20"/>
                <w:szCs w:val="20"/>
              </w:rPr>
              <w:t xml:space="preserve">nvolving intentional </w:t>
            </w:r>
            <w:r>
              <w:rPr>
                <w:rFonts w:ascii="Arial" w:hAnsi="Arial" w:cs="Arial"/>
                <w:color w:val="000000"/>
                <w:sz w:val="20"/>
                <w:szCs w:val="20"/>
              </w:rPr>
              <w:t>R</w:t>
            </w:r>
            <w:r w:rsidR="00EA4FC1" w:rsidRPr="00C432BF">
              <w:rPr>
                <w:rFonts w:ascii="Arial" w:hAnsi="Arial" w:cs="Arial"/>
                <w:color w:val="000000"/>
                <w:sz w:val="20"/>
                <w:szCs w:val="20"/>
              </w:rPr>
              <w:t>elease</w:t>
            </w:r>
          </w:p>
        </w:tc>
      </w:tr>
      <w:tr w:rsidR="00DF21CA" w:rsidRPr="00C432BF" w14:paraId="30A53FA5" w14:textId="77777777" w:rsidTr="00FD14BC">
        <w:tc>
          <w:tcPr>
            <w:tcW w:w="1535" w:type="pct"/>
          </w:tcPr>
          <w:p w14:paraId="610FF719" w14:textId="635589ED" w:rsidR="00DF21CA" w:rsidRPr="00C432BF" w:rsidRDefault="00DF21CA" w:rsidP="00FD14BC">
            <w:pPr>
              <w:pStyle w:val="TabletextLeft"/>
              <w:rPr>
                <w:rFonts w:ascii="Arial" w:hAnsi="Arial" w:cs="Arial"/>
                <w:color w:val="000000"/>
                <w:sz w:val="20"/>
                <w:szCs w:val="20"/>
              </w:rPr>
            </w:pPr>
            <w:r>
              <w:rPr>
                <w:rFonts w:ascii="Arial" w:hAnsi="Arial" w:cs="Arial"/>
                <w:color w:val="000000"/>
                <w:sz w:val="20"/>
                <w:szCs w:val="20"/>
              </w:rPr>
              <w:t>GM</w:t>
            </w:r>
          </w:p>
        </w:tc>
        <w:tc>
          <w:tcPr>
            <w:tcW w:w="3465" w:type="pct"/>
          </w:tcPr>
          <w:p w14:paraId="3C87611C" w14:textId="500FF31B" w:rsidR="00DF21CA" w:rsidRDefault="00DF21CA" w:rsidP="00FD14BC">
            <w:pPr>
              <w:pStyle w:val="TabletextLeft"/>
              <w:rPr>
                <w:rFonts w:ascii="Arial" w:hAnsi="Arial" w:cs="Arial"/>
                <w:color w:val="000000"/>
                <w:sz w:val="20"/>
                <w:szCs w:val="20"/>
              </w:rPr>
            </w:pPr>
            <w:r>
              <w:rPr>
                <w:rFonts w:ascii="Arial" w:hAnsi="Arial" w:cs="Arial"/>
                <w:color w:val="000000"/>
                <w:sz w:val="20"/>
                <w:szCs w:val="20"/>
              </w:rPr>
              <w:t>Genetically Modified</w:t>
            </w:r>
          </w:p>
        </w:tc>
      </w:tr>
      <w:tr w:rsidR="00EA4FC1" w:rsidRPr="00C432BF" w14:paraId="6CC294DA" w14:textId="77777777" w:rsidTr="00FD14BC">
        <w:tc>
          <w:tcPr>
            <w:tcW w:w="1535" w:type="pct"/>
          </w:tcPr>
          <w:p w14:paraId="67B110F5" w14:textId="77777777" w:rsidR="00EA4FC1" w:rsidRPr="00C432BF" w:rsidRDefault="00EA4FC1" w:rsidP="00FD14BC">
            <w:pPr>
              <w:pStyle w:val="TabletextLeft"/>
              <w:rPr>
                <w:rFonts w:ascii="Arial" w:hAnsi="Arial" w:cs="Arial"/>
                <w:sz w:val="20"/>
                <w:szCs w:val="20"/>
              </w:rPr>
            </w:pPr>
            <w:r w:rsidRPr="00C432BF">
              <w:rPr>
                <w:rFonts w:ascii="Arial" w:hAnsi="Arial" w:cs="Arial"/>
                <w:color w:val="000000"/>
                <w:sz w:val="20"/>
                <w:szCs w:val="20"/>
              </w:rPr>
              <w:t>GMOs</w:t>
            </w:r>
          </w:p>
        </w:tc>
        <w:tc>
          <w:tcPr>
            <w:tcW w:w="3465" w:type="pct"/>
          </w:tcPr>
          <w:p w14:paraId="0EE470A8" w14:textId="29C47931" w:rsidR="00EA4FC1" w:rsidRPr="00C432BF" w:rsidRDefault="008A1B0D" w:rsidP="00FD14BC">
            <w:pPr>
              <w:pStyle w:val="TabletextLeft"/>
              <w:rPr>
                <w:rFonts w:ascii="Arial" w:hAnsi="Arial" w:cs="Arial"/>
                <w:sz w:val="20"/>
                <w:szCs w:val="20"/>
              </w:rPr>
            </w:pPr>
            <w:r>
              <w:rPr>
                <w:rFonts w:ascii="Arial" w:hAnsi="Arial" w:cs="Arial"/>
                <w:color w:val="000000"/>
                <w:sz w:val="20"/>
                <w:szCs w:val="20"/>
              </w:rPr>
              <w:t>G</w:t>
            </w:r>
            <w:r w:rsidR="00EA4FC1" w:rsidRPr="00C432BF">
              <w:rPr>
                <w:rFonts w:ascii="Arial" w:hAnsi="Arial" w:cs="Arial"/>
                <w:color w:val="000000"/>
                <w:sz w:val="20"/>
                <w:szCs w:val="20"/>
              </w:rPr>
              <w:t xml:space="preserve">enetically </w:t>
            </w:r>
            <w:r>
              <w:rPr>
                <w:rFonts w:ascii="Arial" w:hAnsi="Arial" w:cs="Arial"/>
                <w:color w:val="000000"/>
                <w:sz w:val="20"/>
                <w:szCs w:val="20"/>
              </w:rPr>
              <w:t>M</w:t>
            </w:r>
            <w:r w:rsidR="00EA4FC1" w:rsidRPr="00C432BF">
              <w:rPr>
                <w:rFonts w:ascii="Arial" w:hAnsi="Arial" w:cs="Arial"/>
                <w:color w:val="000000"/>
                <w:sz w:val="20"/>
                <w:szCs w:val="20"/>
              </w:rPr>
              <w:t xml:space="preserve">odified </w:t>
            </w:r>
            <w:r>
              <w:rPr>
                <w:rFonts w:ascii="Arial" w:hAnsi="Arial" w:cs="Arial"/>
                <w:color w:val="000000"/>
                <w:sz w:val="20"/>
                <w:szCs w:val="20"/>
              </w:rPr>
              <w:t>O</w:t>
            </w:r>
            <w:r w:rsidR="00EA4FC1" w:rsidRPr="00C432BF">
              <w:rPr>
                <w:rFonts w:ascii="Arial" w:hAnsi="Arial" w:cs="Arial"/>
                <w:color w:val="000000"/>
                <w:sz w:val="20"/>
                <w:szCs w:val="20"/>
              </w:rPr>
              <w:t>rganisms</w:t>
            </w:r>
          </w:p>
        </w:tc>
      </w:tr>
      <w:tr w:rsidR="00EA4FC1" w:rsidRPr="00C432BF" w14:paraId="694FC9F9" w14:textId="77777777" w:rsidTr="00FD14BC">
        <w:tc>
          <w:tcPr>
            <w:tcW w:w="1535" w:type="pct"/>
          </w:tcPr>
          <w:p w14:paraId="7FD55565"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GTTAC</w:t>
            </w:r>
          </w:p>
        </w:tc>
        <w:tc>
          <w:tcPr>
            <w:tcW w:w="3465" w:type="pct"/>
          </w:tcPr>
          <w:p w14:paraId="3639FA9B" w14:textId="77777777" w:rsidR="00EA4FC1" w:rsidRPr="00C432BF" w:rsidRDefault="00EA4FC1" w:rsidP="002D559E">
            <w:pPr>
              <w:pStyle w:val="TabletextLeft"/>
              <w:rPr>
                <w:rFonts w:ascii="Arial" w:hAnsi="Arial" w:cs="Arial"/>
                <w:color w:val="000000"/>
                <w:sz w:val="20"/>
                <w:szCs w:val="20"/>
                <w:lang w:val="en-AU"/>
              </w:rPr>
            </w:pPr>
            <w:r w:rsidRPr="00C432BF">
              <w:rPr>
                <w:rFonts w:ascii="Arial" w:hAnsi="Arial" w:cs="Arial"/>
                <w:color w:val="000000"/>
                <w:sz w:val="20"/>
                <w:szCs w:val="20"/>
                <w:lang w:val="en-AU"/>
              </w:rPr>
              <w:t>Gene Technology Technical Advisory Committee</w:t>
            </w:r>
          </w:p>
        </w:tc>
      </w:tr>
      <w:tr w:rsidR="00EA4FC1" w:rsidRPr="00C432BF" w14:paraId="71C69E19" w14:textId="77777777" w:rsidTr="00FD14BC">
        <w:tc>
          <w:tcPr>
            <w:tcW w:w="1535" w:type="pct"/>
          </w:tcPr>
          <w:p w14:paraId="3504421B"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IBC</w:t>
            </w:r>
          </w:p>
        </w:tc>
        <w:tc>
          <w:tcPr>
            <w:tcW w:w="3465" w:type="pct"/>
          </w:tcPr>
          <w:p w14:paraId="7F68C7D1"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sz w:val="20"/>
                <w:szCs w:val="20"/>
              </w:rPr>
              <w:t>Institutional Biosafety Committee</w:t>
            </w:r>
          </w:p>
        </w:tc>
      </w:tr>
      <w:tr w:rsidR="00EA4FC1" w:rsidRPr="00C432BF" w14:paraId="72E607D3" w14:textId="77777777" w:rsidTr="00FD14BC">
        <w:tc>
          <w:tcPr>
            <w:tcW w:w="1535" w:type="pct"/>
          </w:tcPr>
          <w:p w14:paraId="6BAC2AFA"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IRG</w:t>
            </w:r>
          </w:p>
        </w:tc>
        <w:tc>
          <w:tcPr>
            <w:tcW w:w="3465" w:type="pct"/>
          </w:tcPr>
          <w:p w14:paraId="46F9A970"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sz w:val="20"/>
                <w:szCs w:val="20"/>
              </w:rPr>
              <w:t>Industry Reference Group</w:t>
            </w:r>
          </w:p>
        </w:tc>
      </w:tr>
      <w:tr w:rsidR="00EA4FC1" w:rsidRPr="00C432BF" w14:paraId="6008D9DD" w14:textId="77777777" w:rsidTr="00FD14BC">
        <w:tc>
          <w:tcPr>
            <w:tcW w:w="1535" w:type="pct"/>
          </w:tcPr>
          <w:p w14:paraId="7DC71732" w14:textId="77777777" w:rsidR="00EA4FC1" w:rsidRPr="00C432BF" w:rsidRDefault="00EA4FC1" w:rsidP="00FD14BC">
            <w:pPr>
              <w:pStyle w:val="TabletextLeft"/>
              <w:rPr>
                <w:rFonts w:ascii="Arial" w:hAnsi="Arial" w:cs="Arial"/>
                <w:sz w:val="20"/>
                <w:szCs w:val="20"/>
              </w:rPr>
            </w:pPr>
            <w:r w:rsidRPr="00C432BF">
              <w:rPr>
                <w:rFonts w:ascii="Arial" w:hAnsi="Arial" w:cs="Arial"/>
                <w:color w:val="000000"/>
                <w:sz w:val="20"/>
                <w:szCs w:val="20"/>
              </w:rPr>
              <w:t>NLRD</w:t>
            </w:r>
          </w:p>
        </w:tc>
        <w:tc>
          <w:tcPr>
            <w:tcW w:w="3465" w:type="pct"/>
          </w:tcPr>
          <w:p w14:paraId="59D1C895" w14:textId="3FF9C074" w:rsidR="00EA4FC1" w:rsidRPr="00C432BF" w:rsidRDefault="008A1B0D" w:rsidP="00FD14BC">
            <w:pPr>
              <w:pStyle w:val="TabletextLeft"/>
              <w:rPr>
                <w:rFonts w:ascii="Arial" w:hAnsi="Arial" w:cs="Arial"/>
                <w:sz w:val="20"/>
                <w:szCs w:val="20"/>
              </w:rPr>
            </w:pPr>
            <w:r>
              <w:rPr>
                <w:rFonts w:ascii="Arial" w:hAnsi="Arial" w:cs="Arial"/>
                <w:color w:val="000000"/>
                <w:sz w:val="20"/>
                <w:szCs w:val="20"/>
              </w:rPr>
              <w:t>N</w:t>
            </w:r>
            <w:r w:rsidR="00EA4FC1" w:rsidRPr="00C432BF">
              <w:rPr>
                <w:rFonts w:ascii="Arial" w:hAnsi="Arial" w:cs="Arial"/>
                <w:color w:val="000000"/>
                <w:sz w:val="20"/>
                <w:szCs w:val="20"/>
              </w:rPr>
              <w:t xml:space="preserve">otifiable </w:t>
            </w:r>
            <w:r>
              <w:rPr>
                <w:rFonts w:ascii="Arial" w:hAnsi="Arial" w:cs="Arial"/>
                <w:color w:val="000000"/>
                <w:sz w:val="20"/>
                <w:szCs w:val="20"/>
              </w:rPr>
              <w:t>L</w:t>
            </w:r>
            <w:r w:rsidR="00EA4FC1" w:rsidRPr="00C432BF">
              <w:rPr>
                <w:rFonts w:ascii="Arial" w:hAnsi="Arial" w:cs="Arial"/>
                <w:color w:val="000000"/>
                <w:sz w:val="20"/>
                <w:szCs w:val="20"/>
              </w:rPr>
              <w:t xml:space="preserve">ow </w:t>
            </w:r>
            <w:r>
              <w:rPr>
                <w:rFonts w:ascii="Arial" w:hAnsi="Arial" w:cs="Arial"/>
                <w:color w:val="000000"/>
                <w:sz w:val="20"/>
                <w:szCs w:val="20"/>
              </w:rPr>
              <w:t>R</w:t>
            </w:r>
            <w:r w:rsidR="00EA4FC1" w:rsidRPr="00C432BF">
              <w:rPr>
                <w:rFonts w:ascii="Arial" w:hAnsi="Arial" w:cs="Arial"/>
                <w:color w:val="000000"/>
                <w:sz w:val="20"/>
                <w:szCs w:val="20"/>
              </w:rPr>
              <w:t xml:space="preserve">isk </w:t>
            </w:r>
            <w:r>
              <w:rPr>
                <w:rFonts w:ascii="Arial" w:hAnsi="Arial" w:cs="Arial"/>
                <w:color w:val="000000"/>
                <w:sz w:val="20"/>
                <w:szCs w:val="20"/>
              </w:rPr>
              <w:t>D</w:t>
            </w:r>
            <w:r w:rsidR="00EA4FC1" w:rsidRPr="00C432BF">
              <w:rPr>
                <w:rFonts w:ascii="Arial" w:hAnsi="Arial" w:cs="Arial"/>
                <w:color w:val="000000"/>
                <w:sz w:val="20"/>
                <w:szCs w:val="20"/>
              </w:rPr>
              <w:t>ealing</w:t>
            </w:r>
          </w:p>
        </w:tc>
      </w:tr>
      <w:tr w:rsidR="00EA4FC1" w:rsidRPr="00C432BF" w14:paraId="446B73FD" w14:textId="77777777" w:rsidTr="00FD14BC">
        <w:tc>
          <w:tcPr>
            <w:tcW w:w="1535" w:type="pct"/>
          </w:tcPr>
          <w:p w14:paraId="4E9AD60A" w14:textId="77777777" w:rsidR="00EA4FC1" w:rsidRPr="00C432BF" w:rsidRDefault="00EA4FC1" w:rsidP="00FD14BC">
            <w:pPr>
              <w:pStyle w:val="TabletextLeft"/>
              <w:rPr>
                <w:rFonts w:ascii="Arial" w:hAnsi="Arial" w:cs="Arial"/>
                <w:sz w:val="20"/>
                <w:szCs w:val="20"/>
              </w:rPr>
            </w:pPr>
            <w:r w:rsidRPr="00C432BF">
              <w:rPr>
                <w:rFonts w:ascii="Arial" w:hAnsi="Arial" w:cs="Arial"/>
                <w:color w:val="000000"/>
                <w:sz w:val="20"/>
                <w:szCs w:val="20"/>
              </w:rPr>
              <w:t>OGTR</w:t>
            </w:r>
          </w:p>
        </w:tc>
        <w:tc>
          <w:tcPr>
            <w:tcW w:w="3465" w:type="pct"/>
          </w:tcPr>
          <w:p w14:paraId="251226E9" w14:textId="77777777" w:rsidR="00EA4FC1" w:rsidRPr="00C432BF" w:rsidRDefault="00EA4FC1" w:rsidP="00FD14BC">
            <w:pPr>
              <w:pStyle w:val="TabletextLeft"/>
              <w:rPr>
                <w:rFonts w:ascii="Arial" w:hAnsi="Arial" w:cs="Arial"/>
                <w:sz w:val="20"/>
                <w:szCs w:val="20"/>
              </w:rPr>
            </w:pPr>
            <w:r w:rsidRPr="00C432BF">
              <w:rPr>
                <w:rFonts w:ascii="Arial" w:hAnsi="Arial" w:cs="Arial"/>
                <w:color w:val="000000"/>
                <w:sz w:val="20"/>
                <w:szCs w:val="20"/>
              </w:rPr>
              <w:t>Office of the Gene Technology Regulator</w:t>
            </w:r>
          </w:p>
        </w:tc>
      </w:tr>
      <w:tr w:rsidR="00EA4FC1" w:rsidRPr="00C432BF" w14:paraId="04987580" w14:textId="77777777" w:rsidTr="00FD14BC">
        <w:tc>
          <w:tcPr>
            <w:tcW w:w="1535" w:type="pct"/>
          </w:tcPr>
          <w:p w14:paraId="694D855A"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PBS</w:t>
            </w:r>
          </w:p>
        </w:tc>
        <w:tc>
          <w:tcPr>
            <w:tcW w:w="3465" w:type="pct"/>
          </w:tcPr>
          <w:p w14:paraId="5E01C2BB" w14:textId="77777777" w:rsidR="00EA4FC1" w:rsidRPr="00C432BF" w:rsidRDefault="00EA4FC1" w:rsidP="001A3F22">
            <w:pPr>
              <w:pStyle w:val="TabletextLeft"/>
              <w:rPr>
                <w:rFonts w:ascii="Arial" w:hAnsi="Arial" w:cs="Arial"/>
                <w:color w:val="000000"/>
                <w:sz w:val="20"/>
                <w:szCs w:val="20"/>
                <w:lang w:val="en-AU"/>
              </w:rPr>
            </w:pPr>
            <w:r w:rsidRPr="00C432BF">
              <w:rPr>
                <w:rFonts w:ascii="Arial" w:hAnsi="Arial" w:cs="Arial"/>
                <w:color w:val="000000"/>
                <w:sz w:val="20"/>
                <w:szCs w:val="20"/>
                <w:lang w:val="en-AU"/>
              </w:rPr>
              <w:t>Portfolio Budget Statement</w:t>
            </w:r>
          </w:p>
        </w:tc>
      </w:tr>
      <w:tr w:rsidR="00EA4FC1" w:rsidRPr="00C432BF" w14:paraId="7DC7977D" w14:textId="77777777" w:rsidTr="00FD14BC">
        <w:tc>
          <w:tcPr>
            <w:tcW w:w="1535" w:type="pct"/>
          </w:tcPr>
          <w:p w14:paraId="67E062C0"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PC</w:t>
            </w:r>
          </w:p>
        </w:tc>
        <w:tc>
          <w:tcPr>
            <w:tcW w:w="3465" w:type="pct"/>
          </w:tcPr>
          <w:p w14:paraId="263942E2" w14:textId="6B58FB3A"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 xml:space="preserve">Physical </w:t>
            </w:r>
            <w:r w:rsidR="008A1B0D">
              <w:rPr>
                <w:rFonts w:ascii="Arial" w:hAnsi="Arial" w:cs="Arial"/>
                <w:color w:val="000000"/>
                <w:sz w:val="20"/>
                <w:szCs w:val="20"/>
              </w:rPr>
              <w:t>C</w:t>
            </w:r>
            <w:r w:rsidRPr="00C432BF">
              <w:rPr>
                <w:rFonts w:ascii="Arial" w:hAnsi="Arial" w:cs="Arial"/>
                <w:color w:val="000000"/>
                <w:sz w:val="20"/>
                <w:szCs w:val="20"/>
              </w:rPr>
              <w:t>ontainment</w:t>
            </w:r>
          </w:p>
        </w:tc>
      </w:tr>
      <w:tr w:rsidR="00EA4FC1" w:rsidRPr="00C432BF" w14:paraId="378345AD" w14:textId="77777777" w:rsidTr="00FD14BC">
        <w:tc>
          <w:tcPr>
            <w:tcW w:w="1535" w:type="pct"/>
          </w:tcPr>
          <w:p w14:paraId="6D0B89DF"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RARMP</w:t>
            </w:r>
          </w:p>
        </w:tc>
        <w:tc>
          <w:tcPr>
            <w:tcW w:w="3465" w:type="pct"/>
          </w:tcPr>
          <w:p w14:paraId="6EB52CC4" w14:textId="4364F350" w:rsidR="00EA4FC1" w:rsidRPr="00C432BF" w:rsidRDefault="008A1B0D" w:rsidP="00FD14BC">
            <w:pPr>
              <w:pStyle w:val="TabletextLeft"/>
              <w:rPr>
                <w:rFonts w:ascii="Arial" w:hAnsi="Arial" w:cs="Arial"/>
                <w:color w:val="000000"/>
                <w:sz w:val="20"/>
                <w:szCs w:val="20"/>
              </w:rPr>
            </w:pPr>
            <w:r>
              <w:rPr>
                <w:rFonts w:ascii="Arial" w:hAnsi="Arial" w:cs="Arial"/>
                <w:color w:val="000000"/>
                <w:sz w:val="20"/>
                <w:szCs w:val="20"/>
              </w:rPr>
              <w:t>R</w:t>
            </w:r>
            <w:r w:rsidR="00EA4FC1" w:rsidRPr="00C432BF">
              <w:rPr>
                <w:rFonts w:ascii="Arial" w:hAnsi="Arial" w:cs="Arial"/>
                <w:color w:val="000000"/>
                <w:sz w:val="20"/>
                <w:szCs w:val="20"/>
              </w:rPr>
              <w:t xml:space="preserve">isk </w:t>
            </w:r>
            <w:r>
              <w:rPr>
                <w:rFonts w:ascii="Arial" w:hAnsi="Arial" w:cs="Arial"/>
                <w:color w:val="000000"/>
                <w:sz w:val="20"/>
                <w:szCs w:val="20"/>
              </w:rPr>
              <w:t>A</w:t>
            </w:r>
            <w:r w:rsidR="00EA4FC1" w:rsidRPr="00C432BF">
              <w:rPr>
                <w:rFonts w:ascii="Arial" w:hAnsi="Arial" w:cs="Arial"/>
                <w:color w:val="000000"/>
                <w:sz w:val="20"/>
                <w:szCs w:val="20"/>
              </w:rPr>
              <w:t xml:space="preserve">ssessment and </w:t>
            </w:r>
            <w:r>
              <w:rPr>
                <w:rFonts w:ascii="Arial" w:hAnsi="Arial" w:cs="Arial"/>
                <w:color w:val="000000"/>
                <w:sz w:val="20"/>
                <w:szCs w:val="20"/>
              </w:rPr>
              <w:t>R</w:t>
            </w:r>
            <w:r w:rsidR="00EA4FC1" w:rsidRPr="00C432BF">
              <w:rPr>
                <w:rFonts w:ascii="Arial" w:hAnsi="Arial" w:cs="Arial"/>
                <w:color w:val="000000"/>
                <w:sz w:val="20"/>
                <w:szCs w:val="20"/>
              </w:rPr>
              <w:t xml:space="preserve">isk </w:t>
            </w:r>
            <w:r>
              <w:rPr>
                <w:rFonts w:ascii="Arial" w:hAnsi="Arial" w:cs="Arial"/>
                <w:color w:val="000000"/>
                <w:sz w:val="20"/>
                <w:szCs w:val="20"/>
              </w:rPr>
              <w:t>M</w:t>
            </w:r>
            <w:r w:rsidR="00EA4FC1" w:rsidRPr="00C432BF">
              <w:rPr>
                <w:rFonts w:ascii="Arial" w:hAnsi="Arial" w:cs="Arial"/>
                <w:color w:val="000000"/>
                <w:sz w:val="20"/>
                <w:szCs w:val="20"/>
              </w:rPr>
              <w:t xml:space="preserve">anagement </w:t>
            </w:r>
            <w:r>
              <w:rPr>
                <w:rFonts w:ascii="Arial" w:hAnsi="Arial" w:cs="Arial"/>
                <w:color w:val="000000"/>
                <w:sz w:val="20"/>
                <w:szCs w:val="20"/>
              </w:rPr>
              <w:t>P</w:t>
            </w:r>
            <w:r w:rsidR="00EA4FC1" w:rsidRPr="00C432BF">
              <w:rPr>
                <w:rFonts w:ascii="Arial" w:hAnsi="Arial" w:cs="Arial"/>
                <w:color w:val="000000"/>
                <w:sz w:val="20"/>
                <w:szCs w:val="20"/>
              </w:rPr>
              <w:t>lan</w:t>
            </w:r>
          </w:p>
        </w:tc>
      </w:tr>
      <w:tr w:rsidR="00EA4FC1" w:rsidRPr="00C432BF" w14:paraId="09DDCB43" w14:textId="77777777" w:rsidTr="00FD14BC">
        <w:tc>
          <w:tcPr>
            <w:tcW w:w="1535" w:type="pct"/>
          </w:tcPr>
          <w:p w14:paraId="2E711DCD"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the Act</w:t>
            </w:r>
          </w:p>
        </w:tc>
        <w:tc>
          <w:tcPr>
            <w:tcW w:w="3465" w:type="pct"/>
          </w:tcPr>
          <w:p w14:paraId="449100F0"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i/>
                <w:iCs/>
                <w:sz w:val="20"/>
                <w:szCs w:val="20"/>
              </w:rPr>
              <w:t>Gene Technology Act 2000 (Cth)</w:t>
            </w:r>
          </w:p>
        </w:tc>
      </w:tr>
      <w:tr w:rsidR="00EA4FC1" w:rsidRPr="00C432BF" w14:paraId="71A0A91F" w14:textId="77777777" w:rsidTr="00FD14BC">
        <w:tc>
          <w:tcPr>
            <w:tcW w:w="1535" w:type="pct"/>
          </w:tcPr>
          <w:p w14:paraId="1CCB752D"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the Regulations</w:t>
            </w:r>
          </w:p>
        </w:tc>
        <w:tc>
          <w:tcPr>
            <w:tcW w:w="3465" w:type="pct"/>
          </w:tcPr>
          <w:p w14:paraId="445AFCCA" w14:textId="77777777" w:rsidR="00EA4FC1" w:rsidRPr="00C432BF" w:rsidRDefault="00EA4FC1" w:rsidP="00FD14BC">
            <w:pPr>
              <w:pStyle w:val="TabletextLeft"/>
              <w:rPr>
                <w:rFonts w:ascii="Arial" w:hAnsi="Arial" w:cs="Arial"/>
                <w:iCs/>
                <w:color w:val="000000"/>
                <w:sz w:val="20"/>
                <w:szCs w:val="20"/>
              </w:rPr>
            </w:pPr>
            <w:r w:rsidRPr="00C432BF">
              <w:rPr>
                <w:rFonts w:ascii="Arial" w:hAnsi="Arial" w:cs="Arial"/>
                <w:iCs/>
                <w:sz w:val="20"/>
                <w:szCs w:val="20"/>
              </w:rPr>
              <w:t>Gene Technology Regulations 2001 (Cth)</w:t>
            </w:r>
          </w:p>
        </w:tc>
      </w:tr>
      <w:tr w:rsidR="00EA4FC1" w:rsidRPr="00C432BF" w14:paraId="03BD15C8" w14:textId="77777777" w:rsidTr="00FD14BC">
        <w:tc>
          <w:tcPr>
            <w:tcW w:w="1535" w:type="pct"/>
          </w:tcPr>
          <w:p w14:paraId="3B84FF00"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the Regulator</w:t>
            </w:r>
          </w:p>
        </w:tc>
        <w:tc>
          <w:tcPr>
            <w:tcW w:w="3465" w:type="pct"/>
          </w:tcPr>
          <w:p w14:paraId="78377CD6"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the Gene Technology Regulator</w:t>
            </w:r>
          </w:p>
        </w:tc>
      </w:tr>
      <w:tr w:rsidR="00EA4FC1" w:rsidRPr="00C432BF" w14:paraId="23C88F02" w14:textId="77777777" w:rsidTr="00FD14BC">
        <w:tc>
          <w:tcPr>
            <w:tcW w:w="1535" w:type="pct"/>
          </w:tcPr>
          <w:p w14:paraId="07F94CD6" w14:textId="77777777" w:rsidR="00EA4FC1" w:rsidRPr="00C432BF" w:rsidRDefault="00EA4FC1" w:rsidP="00260D4E">
            <w:pPr>
              <w:pStyle w:val="TabletextLeft"/>
              <w:rPr>
                <w:rFonts w:ascii="Arial" w:hAnsi="Arial" w:cs="Arial"/>
                <w:color w:val="000000"/>
                <w:sz w:val="20"/>
                <w:szCs w:val="20"/>
              </w:rPr>
            </w:pPr>
            <w:r w:rsidRPr="00C432BF">
              <w:rPr>
                <w:rFonts w:ascii="Arial" w:hAnsi="Arial" w:cs="Arial"/>
                <w:color w:val="000000"/>
                <w:sz w:val="20"/>
                <w:szCs w:val="20"/>
              </w:rPr>
              <w:t>the Scheme</w:t>
            </w:r>
          </w:p>
        </w:tc>
        <w:tc>
          <w:tcPr>
            <w:tcW w:w="3465" w:type="pct"/>
          </w:tcPr>
          <w:p w14:paraId="0205638B" w14:textId="77777777" w:rsidR="00EA4FC1" w:rsidRPr="00C432BF" w:rsidRDefault="00EA4FC1" w:rsidP="00FD14BC">
            <w:pPr>
              <w:pStyle w:val="TabletextLeft"/>
              <w:rPr>
                <w:rFonts w:ascii="Arial" w:hAnsi="Arial" w:cs="Arial"/>
                <w:color w:val="000000"/>
                <w:sz w:val="20"/>
                <w:szCs w:val="20"/>
              </w:rPr>
            </w:pPr>
            <w:r w:rsidRPr="00C432BF">
              <w:rPr>
                <w:rFonts w:ascii="Arial" w:hAnsi="Arial" w:cs="Arial"/>
                <w:color w:val="000000"/>
                <w:sz w:val="20"/>
                <w:szCs w:val="20"/>
              </w:rPr>
              <w:t>National Gene Technology Scheme</w:t>
            </w:r>
          </w:p>
        </w:tc>
      </w:tr>
    </w:tbl>
    <w:p w14:paraId="7D831CF3" w14:textId="77777777" w:rsidR="004D2DE0" w:rsidRPr="009F7E32" w:rsidRDefault="004D2DE0" w:rsidP="004D2DE0">
      <w:pPr>
        <w:rPr>
          <w:rFonts w:cs="Calibri Light"/>
        </w:rPr>
      </w:pPr>
    </w:p>
    <w:p w14:paraId="29FA8493" w14:textId="77777777" w:rsidR="004D2DE0" w:rsidRDefault="004D2DE0" w:rsidP="004D2DE0">
      <w:pPr>
        <w:rPr>
          <w:rFonts w:cs="Calibri Light"/>
        </w:rPr>
      </w:pPr>
    </w:p>
    <w:p w14:paraId="0ABCBD45" w14:textId="77777777" w:rsidR="004D2DE0" w:rsidRDefault="004D2DE0" w:rsidP="004D2DE0">
      <w:pPr>
        <w:spacing w:after="0"/>
        <w:rPr>
          <w:rFonts w:cs="Calibri Light"/>
        </w:rPr>
      </w:pPr>
    </w:p>
    <w:p w14:paraId="05B5A695" w14:textId="77777777" w:rsidR="004D2DE0" w:rsidRPr="00AD62BF" w:rsidRDefault="004D2DE0" w:rsidP="004D2DE0">
      <w:pPr>
        <w:rPr>
          <w:rFonts w:asciiTheme="majorHAnsi" w:eastAsiaTheme="majorEastAsia" w:hAnsiTheme="majorHAnsi" w:cstheme="majorBidi"/>
          <w:color w:val="0F4761" w:themeColor="accent1" w:themeShade="BF"/>
          <w:sz w:val="32"/>
          <w:szCs w:val="32"/>
          <w:u w:val="single"/>
        </w:rPr>
      </w:pPr>
    </w:p>
    <w:p w14:paraId="6D7BEFB6" w14:textId="77777777" w:rsidR="0063415E" w:rsidRDefault="0063415E" w:rsidP="004D2DE0">
      <w:pPr>
        <w:rPr>
          <w:rFonts w:asciiTheme="majorHAnsi" w:eastAsiaTheme="majorEastAsia" w:hAnsiTheme="majorHAnsi" w:cstheme="majorBidi"/>
          <w:color w:val="0F4761" w:themeColor="accent1" w:themeShade="BF"/>
          <w:sz w:val="32"/>
          <w:szCs w:val="32"/>
          <w:u w:val="single"/>
        </w:rPr>
        <w:sectPr w:rsidR="0063415E" w:rsidSect="004601E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p w14:paraId="1260335B" w14:textId="77777777" w:rsidR="004D2DE0" w:rsidRPr="00374714" w:rsidRDefault="004D2DE0" w:rsidP="004D2DE0">
      <w:pPr>
        <w:pStyle w:val="Heading1"/>
      </w:pPr>
      <w:bookmarkStart w:id="9" w:name="_Toc242195575"/>
      <w:r w:rsidRPr="00374714">
        <w:lastRenderedPageBreak/>
        <w:t>Ownership of Intellectual Property Rights</w:t>
      </w:r>
      <w:bookmarkEnd w:id="9"/>
    </w:p>
    <w:p w14:paraId="0F9EED93" w14:textId="77777777" w:rsidR="004D2DE0" w:rsidRPr="00374714" w:rsidRDefault="004D2DE0" w:rsidP="004D2DE0">
      <w:r w:rsidRPr="00374714">
        <w:t xml:space="preserve">Unless otherwise noted, copyright (and any other intellectual property rights, if any) in this publication is owned by the Commonwealth of Australia (referred to as the Commonwealth). </w:t>
      </w:r>
    </w:p>
    <w:p w14:paraId="5F0CC6C4" w14:textId="77777777" w:rsidR="004D2DE0" w:rsidRPr="00374714" w:rsidRDefault="004D2DE0" w:rsidP="004D2DE0">
      <w:pPr>
        <w:rPr>
          <w:b/>
          <w:bCs/>
        </w:rPr>
      </w:pPr>
      <w:r w:rsidRPr="00374714">
        <w:rPr>
          <w:b/>
          <w:bCs/>
        </w:rPr>
        <w:t>Creative Commons Licence</w:t>
      </w:r>
    </w:p>
    <w:p w14:paraId="0832270C" w14:textId="77777777" w:rsidR="004D2DE0" w:rsidRPr="00374714" w:rsidRDefault="004D2DE0" w:rsidP="004D2DE0">
      <w:r w:rsidRPr="00374714">
        <w:t>All material in this publication is licensed under a Creative Commons Attribution 4.0 International Licence, except for:</w:t>
      </w:r>
    </w:p>
    <w:p w14:paraId="0710A2AC" w14:textId="77777777" w:rsidR="004D2DE0" w:rsidRPr="00374714" w:rsidRDefault="004D2DE0" w:rsidP="004D2DE0">
      <w:pPr>
        <w:numPr>
          <w:ilvl w:val="0"/>
          <w:numId w:val="1"/>
        </w:numPr>
      </w:pPr>
      <w:r w:rsidRPr="00374714">
        <w:t>the Commonwealth Coat of Arms</w:t>
      </w:r>
    </w:p>
    <w:p w14:paraId="243D5383" w14:textId="77777777" w:rsidR="004D2DE0" w:rsidRPr="00374714" w:rsidRDefault="004D2DE0" w:rsidP="004D2DE0">
      <w:pPr>
        <w:numPr>
          <w:ilvl w:val="0"/>
          <w:numId w:val="1"/>
        </w:numPr>
      </w:pPr>
      <w:r w:rsidRPr="00374714">
        <w:t>any logos, emblems and trademarks</w:t>
      </w:r>
    </w:p>
    <w:p w14:paraId="5FB996D0" w14:textId="77777777" w:rsidR="004D2DE0" w:rsidRPr="00374714" w:rsidRDefault="004D2DE0" w:rsidP="004D2DE0">
      <w:pPr>
        <w:numPr>
          <w:ilvl w:val="0"/>
          <w:numId w:val="1"/>
        </w:numPr>
      </w:pPr>
      <w:r w:rsidRPr="00374714">
        <w:t>images and photographs</w:t>
      </w:r>
    </w:p>
    <w:p w14:paraId="6DDB9BAD" w14:textId="77777777" w:rsidR="004D2DE0" w:rsidRPr="00374714" w:rsidRDefault="004D2DE0" w:rsidP="004D2DE0">
      <w:pPr>
        <w:numPr>
          <w:ilvl w:val="0"/>
          <w:numId w:val="1"/>
        </w:numPr>
      </w:pPr>
      <w:r w:rsidRPr="00374714">
        <w:t>content supplied by third parties.</w:t>
      </w:r>
    </w:p>
    <w:p w14:paraId="1CF02E31" w14:textId="77777777" w:rsidR="004D2DE0" w:rsidRPr="00374714" w:rsidRDefault="004D2DE0" w:rsidP="004D2DE0">
      <w:r w:rsidRPr="00374714">
        <w:t xml:space="preserve">The Creative Commons Attribution 4.0 International Licence allows you to copy, </w:t>
      </w:r>
      <w:r>
        <w:t xml:space="preserve">communicate, </w:t>
      </w:r>
      <w:r w:rsidRPr="00374714">
        <w:t>distribute, and adapt this publication, provided you attribute the work appropriately.</w:t>
      </w:r>
    </w:p>
    <w:p w14:paraId="4528C878" w14:textId="77777777" w:rsidR="004D2DE0" w:rsidRPr="00374714" w:rsidRDefault="004D2DE0" w:rsidP="004D2DE0">
      <w:r w:rsidRPr="00374714">
        <w:t xml:space="preserve">A summary of the licence terms is available at </w:t>
      </w:r>
      <w:hyperlink r:id="rId18" w:tgtFrame="_blank" w:history="1">
        <w:r w:rsidRPr="00374714">
          <w:rPr>
            <w:rStyle w:val="Hyperlink"/>
          </w:rPr>
          <w:t>Creative Commons Attribution 4.0 International Licence</w:t>
        </w:r>
      </w:hyperlink>
      <w:r w:rsidRPr="00374714">
        <w:t>.</w:t>
      </w:r>
    </w:p>
    <w:p w14:paraId="489F860D" w14:textId="77777777" w:rsidR="004D2DE0" w:rsidRPr="00374714" w:rsidRDefault="004D2DE0" w:rsidP="004D2DE0">
      <w:r w:rsidRPr="00374714">
        <w:t>This publication (and any material sourced from it) should be attributed as:</w:t>
      </w:r>
    </w:p>
    <w:p w14:paraId="2AE66E20" w14:textId="77777777" w:rsidR="004D2DE0" w:rsidRPr="00374714" w:rsidRDefault="004D2DE0" w:rsidP="004D2DE0">
      <w:r w:rsidRPr="00374714">
        <w:rPr>
          <w:i/>
          <w:iCs/>
        </w:rPr>
        <w:t>Office of the Gene Technology Regulator, Cost Recovery Implementation Statement 2026–27, prepared by the Office of the Gene Technology Regulator, Canberra.</w:t>
      </w:r>
    </w:p>
    <w:p w14:paraId="651B8D73" w14:textId="77777777" w:rsidR="004D2DE0" w:rsidRPr="00374714" w:rsidRDefault="004D2DE0" w:rsidP="004D2DE0">
      <w:r w:rsidRPr="00374714">
        <w:t>Enquiries regarding copyright, licensing and use of this publication should be directed to:</w:t>
      </w:r>
    </w:p>
    <w:p w14:paraId="6D0E6E15" w14:textId="77777777" w:rsidR="004D2DE0" w:rsidRPr="00374714" w:rsidRDefault="004D2DE0" w:rsidP="004D2DE0">
      <w:pPr>
        <w:rPr>
          <w:b/>
          <w:bCs/>
        </w:rPr>
      </w:pPr>
      <w:r w:rsidRPr="00374714">
        <w:rPr>
          <w:b/>
          <w:bCs/>
        </w:rPr>
        <w:t>Office of the Gene Technology Regulator</w:t>
      </w:r>
    </w:p>
    <w:p w14:paraId="5DA21EC0" w14:textId="77777777" w:rsidR="004D2DE0" w:rsidRPr="00374714" w:rsidRDefault="004D2DE0" w:rsidP="004D2DE0">
      <w:r w:rsidRPr="00374714">
        <w:rPr>
          <w:b/>
          <w:bCs/>
        </w:rPr>
        <w:t>Email:</w:t>
      </w:r>
      <w:r w:rsidRPr="00374714">
        <w:t xml:space="preserve"> ogtr@health.gov.au</w:t>
      </w:r>
      <w:r w:rsidRPr="00374714">
        <w:br/>
      </w:r>
      <w:r w:rsidRPr="00374714">
        <w:rPr>
          <w:b/>
          <w:bCs/>
        </w:rPr>
        <w:t>Telephone:</w:t>
      </w:r>
      <w:r w:rsidRPr="00374714">
        <w:t xml:space="preserve"> 1800 181 030</w:t>
      </w:r>
      <w:r w:rsidRPr="00374714">
        <w:br/>
      </w:r>
      <w:r w:rsidRPr="00374714">
        <w:rPr>
          <w:b/>
          <w:bCs/>
        </w:rPr>
        <w:t>Web:</w:t>
      </w:r>
      <w:r w:rsidRPr="00374714">
        <w:t xml:space="preserve"> </w:t>
      </w:r>
      <w:hyperlink r:id="rId19" w:tgtFrame="_blank" w:history="1">
        <w:r w:rsidRPr="00374714">
          <w:rPr>
            <w:rStyle w:val="Hyperlink"/>
          </w:rPr>
          <w:t>www.ogtr.gov.au</w:t>
        </w:r>
      </w:hyperlink>
      <w:r w:rsidRPr="00374714">
        <w:t xml:space="preserve"> </w:t>
      </w:r>
      <w:hyperlink r:id="rId20" w:history="1">
        <w:r w:rsidRPr="00374714">
          <w:rPr>
            <w:rStyle w:val="Hyperlink"/>
          </w:rPr>
          <w:t>[ogtr.gov.au]</w:t>
        </w:r>
      </w:hyperlink>
    </w:p>
    <w:p w14:paraId="2F82A729" w14:textId="77777777" w:rsidR="004D2DE0" w:rsidRPr="00374714" w:rsidRDefault="004D2DE0" w:rsidP="004D2DE0">
      <w:r w:rsidRPr="00374714">
        <w:t xml:space="preserve">For information about contacting the Office of the Gene Technology Regulator, submitting enquiries, providing feedback, or subscribing to updates about gene technology regulation, visit the OGTR's Contact and Subscribe page: </w:t>
      </w:r>
      <w:hyperlink r:id="rId21" w:tgtFrame="_blank" w:history="1">
        <w:r w:rsidRPr="00374714">
          <w:rPr>
            <w:rStyle w:val="Hyperlink"/>
          </w:rPr>
          <w:t>Contact and subscribe | Office of the Gene Technology Regulator</w:t>
        </w:r>
      </w:hyperlink>
      <w:r w:rsidRPr="00374714">
        <w:t xml:space="preserve">. </w:t>
      </w:r>
      <w:hyperlink r:id="rId22" w:history="1">
        <w:r w:rsidRPr="00374714">
          <w:rPr>
            <w:rStyle w:val="Hyperlink"/>
          </w:rPr>
          <w:t>[ogtr.gov.au]</w:t>
        </w:r>
      </w:hyperlink>
    </w:p>
    <w:p w14:paraId="42538997" w14:textId="77777777" w:rsidR="004D2DE0" w:rsidRPr="00374714" w:rsidRDefault="004D2DE0" w:rsidP="004D2DE0">
      <w:r w:rsidRPr="00374714">
        <w:t>The Australian Government, acting through the Office of the Gene Technology Regulator, has exercised due care and skill in the preparation and compilation of the information contained in this publication. To the maximum extent permitted by law, the Commonwealth disclaims all liability, including liability for negligence, for any loss, damage, injury, expense or cost incurred by any person as a result of accessing, using, or relying upon any of the information contained in this publication.</w:t>
      </w:r>
    </w:p>
    <w:p w14:paraId="0B89406E" w14:textId="77777777" w:rsidR="0063415E" w:rsidRDefault="0063415E" w:rsidP="004D2DE0">
      <w:pPr>
        <w:sectPr w:rsidR="0063415E">
          <w:pgSz w:w="11906" w:h="16838"/>
          <w:pgMar w:top="1440" w:right="1440" w:bottom="1440" w:left="1440" w:header="708" w:footer="708" w:gutter="0"/>
          <w:cols w:space="708"/>
          <w:docGrid w:linePitch="360"/>
        </w:sectPr>
      </w:pPr>
    </w:p>
    <w:p w14:paraId="2E8E0C64" w14:textId="77777777" w:rsidR="004D2DE0" w:rsidRPr="00F1556D" w:rsidRDefault="004D2DE0" w:rsidP="004D2DE0">
      <w:pPr>
        <w:pStyle w:val="Heading1"/>
      </w:pPr>
      <w:bookmarkStart w:id="10" w:name="_Toc242195576"/>
      <w:r w:rsidRPr="00F1556D">
        <w:lastRenderedPageBreak/>
        <w:t>Introduction</w:t>
      </w:r>
      <w:bookmarkEnd w:id="10"/>
      <w:r w:rsidRPr="00F1556D">
        <w:t xml:space="preserve"> </w:t>
      </w:r>
    </w:p>
    <w:p w14:paraId="1A7E2D86" w14:textId="77777777" w:rsidR="004D2DE0" w:rsidRPr="00F1556D" w:rsidRDefault="004D2DE0" w:rsidP="004D2DE0">
      <w:r w:rsidRPr="00F1556D">
        <w:t>Gene technology, also known as genetic engineering or genetic modification, is a growing industry both across the world and in Australia.</w:t>
      </w:r>
      <w:r>
        <w:t xml:space="preserve"> T</w:t>
      </w:r>
      <w:r w:rsidRPr="00F1556D">
        <w:t>he practice is a modern branch of biotechnology which allows for the direct modification or removal of a gene from an organism and in some cases, the transplantation of one organism’s gene to another.</w:t>
      </w:r>
      <w:r w:rsidRPr="00F1556D">
        <w:rPr>
          <w:rStyle w:val="FootnoteReference"/>
        </w:rPr>
        <w:footnoteReference w:id="1"/>
      </w:r>
      <w:r w:rsidRPr="00F1556D">
        <w:t xml:space="preserve"> </w:t>
      </w:r>
    </w:p>
    <w:p w14:paraId="75A5354F" w14:textId="77777777" w:rsidR="004D2DE0" w:rsidRPr="00374714" w:rsidRDefault="004D2DE0" w:rsidP="004D2DE0">
      <w:r w:rsidRPr="00F1556D">
        <w:t>In Australia, research and commercialisation of gene technology is occurring in universities, public and private research organisations, and commercial organisations ranging from small start-ups to large international companies.</w:t>
      </w:r>
      <w:r>
        <w:t xml:space="preserve"> </w:t>
      </w:r>
      <w:r w:rsidRPr="00F1556D">
        <w:t>Gene technology is increasingly common in agricultural practices, medicine</w:t>
      </w:r>
      <w:r>
        <w:t xml:space="preserve"> </w:t>
      </w:r>
      <w:r w:rsidRPr="00F1556D">
        <w:t>and veterinary science and has made important contributions to each industry.</w:t>
      </w:r>
      <w:r w:rsidRPr="00F1556D">
        <w:rPr>
          <w:rStyle w:val="FootnoteReference"/>
        </w:rPr>
        <w:footnoteReference w:id="2"/>
      </w:r>
    </w:p>
    <w:p w14:paraId="5DFB0A6A" w14:textId="226E81AC" w:rsidR="004D2DE0" w:rsidRPr="00F1556D" w:rsidRDefault="004D2DE0" w:rsidP="004D2DE0">
      <w:pPr>
        <w:rPr>
          <w:color w:val="0070C0"/>
        </w:rPr>
      </w:pPr>
      <w:r w:rsidRPr="00F1556D">
        <w:t xml:space="preserve">The Gene Technology Regulator </w:t>
      </w:r>
      <w:r w:rsidR="00A02FA1">
        <w:t xml:space="preserve">(the Regulator) </w:t>
      </w:r>
      <w:r w:rsidRPr="00F1556D">
        <w:t xml:space="preserve">is an independent statutory office holder responsible for administering Australia's nationally consistent Gene Technology Regulatory Scheme established under the </w:t>
      </w:r>
      <w:r w:rsidRPr="00F1556D">
        <w:rPr>
          <w:i/>
          <w:iCs/>
        </w:rPr>
        <w:t xml:space="preserve">Gene Technology Act 2000 </w:t>
      </w:r>
      <w:r w:rsidRPr="007142DE">
        <w:t>(</w:t>
      </w:r>
      <w:r w:rsidRPr="000148A0">
        <w:t>the Act</w:t>
      </w:r>
      <w:r w:rsidRPr="007142DE">
        <w:t>)</w:t>
      </w:r>
      <w:r w:rsidRPr="00F1556D">
        <w:t xml:space="preserve"> and corresponding State and Territory legislation. The Office of the Gene Technology Regulator (OGTR) supports the Regulator in enacting their administrative responsibilities and delegations</w:t>
      </w:r>
      <w:r>
        <w:t xml:space="preserve">. </w:t>
      </w:r>
      <w:r w:rsidRPr="00F1556D">
        <w:t xml:space="preserve">The OGTR is responsible for protecting the health and safety of people and the environment by identifying and managing risks posed by or as a result of gene technology, and by managing that risk through regulating certain dealings with </w:t>
      </w:r>
      <w:r w:rsidR="00924C9A">
        <w:t>genetically modified organisms (</w:t>
      </w:r>
      <w:r w:rsidRPr="00F1556D">
        <w:t>GMOs</w:t>
      </w:r>
      <w:r w:rsidR="00924C9A">
        <w:t>)</w:t>
      </w:r>
      <w:r w:rsidRPr="00F1556D">
        <w:t>.</w:t>
      </w:r>
      <w:r w:rsidRPr="00F1556D">
        <w:rPr>
          <w:vertAlign w:val="superscript"/>
        </w:rPr>
        <w:footnoteReference w:id="3"/>
      </w:r>
      <w:r w:rsidRPr="00F1556D">
        <w:t xml:space="preserve"> The regulatory scheme supports innovation in biotechnology while ensuring robust safeguards, effective compliance monitoring and public confidence in the regulation of gene technology in Australia. </w:t>
      </w:r>
    </w:p>
    <w:p w14:paraId="02CB61F3" w14:textId="76F28789" w:rsidR="004D2DE0" w:rsidRPr="00F1556D" w:rsidRDefault="004D2DE0" w:rsidP="004D2DE0">
      <w:r w:rsidRPr="00F1556D">
        <w:t>The role of the Regulator and the OGTR were created through the passage of the Act and are supported by the National Gene Technology Agreement and subsequent National Gene Technology Scheme</w:t>
      </w:r>
      <w:r w:rsidR="00C26898">
        <w:t xml:space="preserve"> (the Scheme)</w:t>
      </w:r>
      <w:r w:rsidRPr="00F1556D">
        <w:t>, which have been agreed to by all Australian jurisdictions.</w:t>
      </w:r>
      <w:r>
        <w:t xml:space="preserve"> </w:t>
      </w:r>
      <w:r w:rsidRPr="00F1556D">
        <w:t xml:space="preserve">The OGTR is advised by the Gene Technology Technical Advisory Committee (GTTAC) and the Gene Technology Ethics and Community Consultative Committee. </w:t>
      </w:r>
    </w:p>
    <w:p w14:paraId="4F7947CC" w14:textId="77777777" w:rsidR="004D2DE0" w:rsidRPr="00F1556D" w:rsidRDefault="004D2DE0" w:rsidP="004D2DE0">
      <w:r w:rsidRPr="00F1556D">
        <w:t xml:space="preserve">The gene technology sector has evolved significantly since the commencement of the Gene Technology Scheme in 2001. Advances in agricultural biotechnology, human and veterinary therapeutics, vaccines, gene therapies, synthetic biology and industrial biotechnology have increased both the volume and complexity of regulatory activities undertaken by the OGTR. This growth has driven greater demand for regulatory assessment, compliance, stakeholder engagement and policy support functions across an increasingly diverse and commercially mature sector. </w:t>
      </w:r>
    </w:p>
    <w:p w14:paraId="7AC43081" w14:textId="54FE324D" w:rsidR="004D2DE0" w:rsidRPr="00F1556D" w:rsidRDefault="004D2DE0" w:rsidP="004D2DE0">
      <w:r w:rsidRPr="00F1556D">
        <w:t xml:space="preserve">In recognition of these changing demands, the Australian Government provided funding through the 2026–27 Budget to implement a sustainable funding model for the Scheme, including the phased introduction of cost recovery arrangements. The initial phase of cost recovery will utilise existing legislative charging powers and apply to selected regulatory activities, including licence application and facility certification activities. Future phases may expand cost recovery arrangements, subject to legislative change and government decisions. </w:t>
      </w:r>
    </w:p>
    <w:p w14:paraId="5385BC13" w14:textId="37DC2675" w:rsidR="004D2DE0" w:rsidRPr="00F1556D" w:rsidRDefault="004D2DE0" w:rsidP="004D2DE0">
      <w:r w:rsidRPr="00F1556D">
        <w:t xml:space="preserve">The Australian Government Charging Framework (AGCF) and Cost Recovery Policy establish the principles that govern how Commonwealth entities design, implement and review cost recovery arrangements. The framework promotes transparency, accountability and consistency in regulatory charging and supports the efficient use of public resources. Under the Australian Government's Charging Policy, where specific individuals, organisations or industries create a demand for a government activity, they should generally bear, at least, the costs of providing that activity unless the </w:t>
      </w:r>
      <w:r w:rsidR="004B2CAB">
        <w:t>g</w:t>
      </w:r>
      <w:r w:rsidRPr="00F1556D">
        <w:t>overnment has determined that the activity should be funded by government. This ensures that the costs of regulation are allocated fairly between those who directly benefit from, or drive demand for, regulatory activities and the broader community.</w:t>
      </w:r>
    </w:p>
    <w:p w14:paraId="4C8CFE71" w14:textId="77777777" w:rsidR="004D2DE0" w:rsidRPr="00F1556D" w:rsidRDefault="004D2DE0" w:rsidP="004D2DE0">
      <w:r w:rsidRPr="00F1556D">
        <w:lastRenderedPageBreak/>
        <w:t xml:space="preserve">Consistent with the AGCF, fees and charges are designed to recover no more than the costs of delivering regulatory activities. Cost recovery does not seek to generate revenue or profit for government. Rather, it provides a sustainable and equitable funding mechanism that supports the ongoing delivery of effective, risk-based regulation while maintaining appropriate safeguards for innovation, research and commercial development in the gene technology sector. The </w:t>
      </w:r>
      <w:r>
        <w:t>g</w:t>
      </w:r>
      <w:r w:rsidRPr="00F1556D">
        <w:t xml:space="preserve">overnment has also determined that certain activities, including purely research-based licence applications, will remain exempt from cost recovery as part of its commitment to supporting scientific research and innovation. </w:t>
      </w:r>
    </w:p>
    <w:p w14:paraId="580A1136" w14:textId="77777777" w:rsidR="004D2DE0" w:rsidRDefault="004D2DE0" w:rsidP="004D2DE0">
      <w:r w:rsidRPr="00F1556D">
        <w:t>This Cost Recovery Implementation Statement (CRIS) sets out how the OGTR will implement cost recovery arrangements for relevant regulatory activities undertaken under th</w:t>
      </w:r>
      <w:r>
        <w:t xml:space="preserve">e Act </w:t>
      </w:r>
      <w:r w:rsidRPr="00F1556D">
        <w:t xml:space="preserve">and associated legislative instruments. It provides information on the policy and legislative authority for charging, the regulatory activities subject to cost recovery, the methodology used to determine costs and charges, stakeholder engagement activities and financial and non-financial performance information. The CRIS is intended to provide transparency and accountability to regulated entities, stakeholders and the Australian community by demonstrating how cost recovery arrangements are designed and implemented in accordance with the </w:t>
      </w:r>
      <w:r>
        <w:t>AGCF</w:t>
      </w:r>
      <w:r w:rsidRPr="00F1556D">
        <w:t xml:space="preserve"> and cost recovery policy requirements.</w:t>
      </w:r>
    </w:p>
    <w:p w14:paraId="67C62AFB" w14:textId="0E6ED90C" w:rsidR="00612A2F" w:rsidRPr="00DB38BF" w:rsidRDefault="00612A2F" w:rsidP="00612A2F">
      <w:pPr>
        <w:pStyle w:val="Heading2"/>
      </w:pPr>
      <w:bookmarkStart w:id="11" w:name="_Toc242195577"/>
      <w:r w:rsidRPr="00DB38BF">
        <w:t>The Role of the Office of the Gene Technology Regulator (OGTR)</w:t>
      </w:r>
      <w:bookmarkEnd w:id="11"/>
    </w:p>
    <w:p w14:paraId="386BCA8F" w14:textId="77777777" w:rsidR="00612A2F" w:rsidRPr="00375711" w:rsidRDefault="00612A2F" w:rsidP="00612A2F">
      <w:r w:rsidRPr="00375711">
        <w:t xml:space="preserve">The </w:t>
      </w:r>
      <w:r>
        <w:t>OGTR</w:t>
      </w:r>
      <w:r w:rsidRPr="00375711">
        <w:t xml:space="preserve"> supports the Regulator in exercising the functions and powers conferred under the Act and corresponding State and Territory legislation. The object of the Act, and correspondingly the role of the Regulator, is to protect the health and safety of people, and to protect the environment, by identifying risks posed by or as a result of gene technology, and by managing that risk through regulating certain dealings with GMOs.</w:t>
      </w:r>
      <w:r w:rsidRPr="00375711">
        <w:rPr>
          <w:vertAlign w:val="superscript"/>
        </w:rPr>
        <w:footnoteReference w:id="4"/>
      </w:r>
      <w:r w:rsidRPr="00375711">
        <w:t xml:space="preserve"> </w:t>
      </w:r>
    </w:p>
    <w:p w14:paraId="1A46A598" w14:textId="77777777" w:rsidR="00612A2F" w:rsidRPr="00375711" w:rsidRDefault="00612A2F" w:rsidP="00612A2F">
      <w:r w:rsidRPr="00375711">
        <w:t>The Regulator performs an important role in ensuring that the development and use of gene technology in Australia occurs within a robust, science-based and risk-proportionate regulatory framework. In achieving this objective, the Regulator has the following functions:</w:t>
      </w:r>
    </w:p>
    <w:p w14:paraId="234B834D" w14:textId="77777777" w:rsidR="00612A2F" w:rsidRPr="00375711" w:rsidRDefault="00612A2F" w:rsidP="00612A2F">
      <w:pPr>
        <w:numPr>
          <w:ilvl w:val="0"/>
          <w:numId w:val="2"/>
        </w:numPr>
      </w:pPr>
      <w:r w:rsidRPr="00375711">
        <w:t>assessing applications for authorisations involving GMOs and making regulatory decisions</w:t>
      </w:r>
    </w:p>
    <w:p w14:paraId="22F8D49A" w14:textId="77777777" w:rsidR="00612A2F" w:rsidRPr="00375711" w:rsidRDefault="00612A2F" w:rsidP="00612A2F">
      <w:pPr>
        <w:numPr>
          <w:ilvl w:val="0"/>
          <w:numId w:val="2"/>
        </w:numPr>
      </w:pPr>
      <w:r w:rsidRPr="00375711">
        <w:t>certifying facilities used for dealings involving GMOs</w:t>
      </w:r>
    </w:p>
    <w:p w14:paraId="3F00D131" w14:textId="77777777" w:rsidR="00612A2F" w:rsidRPr="00375711" w:rsidRDefault="00612A2F" w:rsidP="00612A2F">
      <w:pPr>
        <w:numPr>
          <w:ilvl w:val="0"/>
          <w:numId w:val="2"/>
        </w:numPr>
      </w:pPr>
      <w:r w:rsidRPr="00375711">
        <w:t>accrediting organisations undertaking dealings with GMOs</w:t>
      </w:r>
    </w:p>
    <w:p w14:paraId="1D6615F3" w14:textId="77777777" w:rsidR="00612A2F" w:rsidRPr="00375711" w:rsidRDefault="00612A2F" w:rsidP="00612A2F">
      <w:pPr>
        <w:numPr>
          <w:ilvl w:val="0"/>
          <w:numId w:val="2"/>
        </w:numPr>
      </w:pPr>
      <w:r w:rsidRPr="00375711">
        <w:t>monitoring and enforcing compliance with legislative and licence requirements</w:t>
      </w:r>
    </w:p>
    <w:p w14:paraId="7064DA40" w14:textId="77777777" w:rsidR="00612A2F" w:rsidRPr="00375711" w:rsidRDefault="00612A2F" w:rsidP="00612A2F">
      <w:pPr>
        <w:numPr>
          <w:ilvl w:val="0"/>
          <w:numId w:val="2"/>
        </w:numPr>
      </w:pPr>
      <w:r w:rsidRPr="00375711">
        <w:t>developing technical and procedural guidance</w:t>
      </w:r>
    </w:p>
    <w:p w14:paraId="6815B452" w14:textId="77777777" w:rsidR="00612A2F" w:rsidRPr="00375711" w:rsidRDefault="00612A2F" w:rsidP="00612A2F">
      <w:pPr>
        <w:numPr>
          <w:ilvl w:val="0"/>
          <w:numId w:val="2"/>
        </w:numPr>
      </w:pPr>
      <w:r w:rsidRPr="00375711">
        <w:t>providing information and advice to governments, regulators, stakeholders and the public</w:t>
      </w:r>
    </w:p>
    <w:p w14:paraId="23B39D5C" w14:textId="77777777" w:rsidR="00612A2F" w:rsidRPr="00375711" w:rsidRDefault="00612A2F" w:rsidP="00612A2F">
      <w:pPr>
        <w:numPr>
          <w:ilvl w:val="0"/>
          <w:numId w:val="2"/>
        </w:numPr>
      </w:pPr>
      <w:r w:rsidRPr="00375711">
        <w:t>undertaking or commissioning research relating to risk assessment and biosafety</w:t>
      </w:r>
    </w:p>
    <w:p w14:paraId="3CA897A8" w14:textId="77777777" w:rsidR="00612A2F" w:rsidRPr="00375711" w:rsidRDefault="00612A2F" w:rsidP="00612A2F">
      <w:pPr>
        <w:numPr>
          <w:ilvl w:val="0"/>
          <w:numId w:val="2"/>
        </w:numPr>
      </w:pPr>
      <w:r w:rsidRPr="00375711">
        <w:t>promoting national and international harmonisation of regulatory approaches to gene technology</w:t>
      </w:r>
    </w:p>
    <w:p w14:paraId="2ACEDB94" w14:textId="77777777" w:rsidR="00612A2F" w:rsidRPr="00375711" w:rsidRDefault="00612A2F" w:rsidP="00612A2F">
      <w:pPr>
        <w:numPr>
          <w:ilvl w:val="0"/>
          <w:numId w:val="2"/>
        </w:numPr>
      </w:pPr>
      <w:r w:rsidRPr="00375711">
        <w:t>maintaining links with international organisations and overseas regulators involved in gene technology regulation.</w:t>
      </w:r>
    </w:p>
    <w:p w14:paraId="5CCA848C" w14:textId="2C4BB18C" w:rsidR="00612A2F" w:rsidRPr="00C41801" w:rsidRDefault="00612A2F" w:rsidP="00612A2F">
      <w:r w:rsidRPr="00375711">
        <w:t xml:space="preserve">The Scheme operates as part of a broader national regulatory system. In exercising its functions, the Regulator collaborates with a range of Australian Government, State and Territory agencies whose regulatory responsibilities intersect with gene technology, including </w:t>
      </w:r>
      <w:r w:rsidRPr="00C41801">
        <w:t xml:space="preserve">human therapeutics, agricultural products, food, environmental management and biosecurity regulation. </w:t>
      </w:r>
    </w:p>
    <w:p w14:paraId="604BC925" w14:textId="464B52E3" w:rsidR="00612A2F" w:rsidRPr="00C41801" w:rsidRDefault="00612A2F" w:rsidP="00612A2F">
      <w:r w:rsidRPr="00C41801">
        <w:t xml:space="preserve">Since the commencement of the Scheme in 2001, the gene technology sector has continued to evolve, with increasing applications in agriculture, medicine, health technologies, industrial biotechnology and research. Developments such as gene editing, advanced therapeutics, synthetic biology and genetically modified </w:t>
      </w:r>
      <w:r w:rsidR="00DF21CA">
        <w:t xml:space="preserve">(GM) </w:t>
      </w:r>
      <w:r w:rsidRPr="00C41801">
        <w:t xml:space="preserve">vaccines have contributed to increasing complexity and diversity in regulatory activities. The OGTR continues to adapt its regulatory approach to ensure </w:t>
      </w:r>
      <w:r w:rsidRPr="00C41801">
        <w:lastRenderedPageBreak/>
        <w:t xml:space="preserve">Australia's regulatory framework remains fit for purpose, scientifically robust and responsive to technological advancement. </w:t>
      </w:r>
    </w:p>
    <w:p w14:paraId="56708BEC" w14:textId="2FEF0F37" w:rsidR="00612A2F" w:rsidRDefault="00612A2F" w:rsidP="00612A2F">
      <w:r w:rsidRPr="00C41801">
        <w:t>The OGTR delivers regulatory activities that support the safe use of gene technology while maintaining public confidence in the regulatory system. Through assessment, authorisation, monitoring, compliance, regulatory practice advice and stakeholder engagement activities, the OGTR contributes to protecting human health and the environment while supporting responsible innovation and investment in Australia's gene technology sector</w:t>
      </w:r>
      <w:r w:rsidR="000E3B2F">
        <w:t>.</w:t>
      </w:r>
    </w:p>
    <w:p w14:paraId="66DED36E" w14:textId="77777777" w:rsidR="000E3B2F" w:rsidRPr="00610405" w:rsidRDefault="000E3B2F" w:rsidP="000E3B2F">
      <w:pPr>
        <w:pStyle w:val="Heading2"/>
      </w:pPr>
      <w:bookmarkStart w:id="12" w:name="_Ref167183599"/>
      <w:bookmarkStart w:id="13" w:name="_Toc168990911"/>
      <w:bookmarkStart w:id="14" w:name="_Toc242195578"/>
      <w:r w:rsidRPr="00610405">
        <w:t>Statutory Authority to Charge</w:t>
      </w:r>
      <w:bookmarkEnd w:id="12"/>
      <w:bookmarkEnd w:id="13"/>
      <w:bookmarkEnd w:id="14"/>
    </w:p>
    <w:p w14:paraId="0D61FDC7" w14:textId="0CFAC324" w:rsidR="000E3B2F" w:rsidRPr="009C3188" w:rsidRDefault="000E3B2F" w:rsidP="000E3B2F">
      <w:r w:rsidRPr="009C3188">
        <w:t xml:space="preserve">The Act and the </w:t>
      </w:r>
      <w:r w:rsidRPr="009C3188">
        <w:rPr>
          <w:i/>
          <w:iCs/>
        </w:rPr>
        <w:t>Gene Technology (Licence Charges) Act 2000</w:t>
      </w:r>
      <w:r w:rsidRPr="009C3188">
        <w:t xml:space="preserve"> enable the OGTR to charge fees for regulatory functions including application fees for certifications and licences and annual </w:t>
      </w:r>
      <w:r>
        <w:t>charges</w:t>
      </w:r>
      <w:r w:rsidRPr="009C3188">
        <w:t xml:space="preserve"> for holders of licences. There are currently no fees prescribed in </w:t>
      </w:r>
      <w:r w:rsidR="00ED4760">
        <w:t xml:space="preserve">the Gene Technology Regulations 2001 (the </w:t>
      </w:r>
      <w:r w:rsidR="006476E6">
        <w:t>R</w:t>
      </w:r>
      <w:r w:rsidRPr="009C3188">
        <w:t>egulations</w:t>
      </w:r>
      <w:r w:rsidR="00ED4760">
        <w:t>)</w:t>
      </w:r>
      <w:r w:rsidRPr="009C3188">
        <w:t xml:space="preserve"> to cover the regulatory activities undertaken by the OGTR. The scope of fees able to be charged by the OGTR under statutory authority is outlined </w:t>
      </w:r>
      <w:r w:rsidRPr="00CA285A">
        <w:rPr>
          <w:rFonts w:cs="Arial"/>
        </w:rPr>
        <w:t>below</w:t>
      </w:r>
      <w:r w:rsidR="000070CD" w:rsidRPr="00CA285A">
        <w:rPr>
          <w:rFonts w:cs="Arial"/>
        </w:rPr>
        <w:t xml:space="preserve"> (</w:t>
      </w:r>
      <w:r w:rsidR="00CA285A" w:rsidRPr="00CA285A">
        <w:rPr>
          <w:rFonts w:cs="Arial"/>
        </w:rPr>
        <w:fldChar w:fldCharType="begin"/>
      </w:r>
      <w:r w:rsidR="00CA285A" w:rsidRPr="00CA285A">
        <w:rPr>
          <w:rFonts w:cs="Arial"/>
        </w:rPr>
        <w:instrText xml:space="preserve"> REF _Ref240572782 \h  \* MERGEFORMAT </w:instrText>
      </w:r>
      <w:r w:rsidR="00CA285A" w:rsidRPr="00CA285A">
        <w:rPr>
          <w:rFonts w:cs="Arial"/>
        </w:rPr>
      </w:r>
      <w:r w:rsidR="00CA285A" w:rsidRPr="00CA285A">
        <w:rPr>
          <w:rFonts w:cs="Arial"/>
        </w:rPr>
        <w:fldChar w:fldCharType="separate"/>
      </w:r>
      <w:r w:rsidR="00CA285A" w:rsidRPr="00CA285A">
        <w:rPr>
          <w:rFonts w:cs="Arial"/>
          <w:kern w:val="0"/>
          <w:szCs w:val="20"/>
          <w14:ligatures w14:val="none"/>
        </w:rPr>
        <w:t>Figure 1</w:t>
      </w:r>
      <w:r w:rsidR="00CA285A" w:rsidRPr="00CA285A">
        <w:rPr>
          <w:rFonts w:cs="Arial"/>
        </w:rPr>
        <w:fldChar w:fldCharType="end"/>
      </w:r>
      <w:r w:rsidR="000070CD" w:rsidRPr="00CA285A">
        <w:rPr>
          <w:rFonts w:cs="Arial"/>
        </w:rPr>
        <w:t>)</w:t>
      </w:r>
      <w:r w:rsidRPr="00CA285A">
        <w:rPr>
          <w:rFonts w:cs="Arial"/>
        </w:rPr>
        <w:t>.</w:t>
      </w:r>
      <w:r w:rsidRPr="00CA285A">
        <w:t xml:space="preserve"> </w:t>
      </w:r>
    </w:p>
    <w:p w14:paraId="03517478" w14:textId="77777777" w:rsidR="000E3B2F" w:rsidRPr="00790067" w:rsidRDefault="000E3B2F" w:rsidP="000E3B2F">
      <w:pPr>
        <w:rPr>
          <w:i/>
          <w:iCs/>
        </w:rPr>
      </w:pPr>
      <w:r w:rsidRPr="00790067">
        <w:t xml:space="preserve">The statutory authority to charge fees for licence applications is provided in the Act, in section 40(6). The power to charge these fees only extends to </w:t>
      </w:r>
      <w:r>
        <w:t>Licence dealings</w:t>
      </w:r>
      <w:r w:rsidRPr="00790067">
        <w:t xml:space="preserve">. The holder of a GMO licence is also subject to possible annual charges as per the </w:t>
      </w:r>
      <w:r w:rsidRPr="00790067">
        <w:rPr>
          <w:i/>
          <w:iCs/>
        </w:rPr>
        <w:t xml:space="preserve">Gene Technology (Licence Charges) Act 2000. </w:t>
      </w:r>
    </w:p>
    <w:p w14:paraId="66EDC368" w14:textId="77777777" w:rsidR="000E3B2F" w:rsidRDefault="000E3B2F" w:rsidP="000E3B2F">
      <w:pPr>
        <w:rPr>
          <w:i/>
          <w:iCs/>
        </w:rPr>
      </w:pPr>
      <w:r w:rsidRPr="00790067">
        <w:t>The OGTR also has the statutory authority to charge an application fee for certification under section 83(3) of the Act</w:t>
      </w:r>
      <w:r w:rsidRPr="00790067">
        <w:rPr>
          <w:i/>
          <w:iCs/>
        </w:rPr>
        <w:t xml:space="preserve">. </w:t>
      </w:r>
      <w:bookmarkStart w:id="15" w:name="_Ref167702849"/>
      <w:bookmarkStart w:id="16" w:name="_Ref167350644"/>
    </w:p>
    <w:p w14:paraId="085533DD" w14:textId="2E66D0E9" w:rsidR="000E3B2F" w:rsidRPr="007A6E8B" w:rsidRDefault="00CF38F1" w:rsidP="00B075CE">
      <w:pPr>
        <w:pStyle w:val="Caption"/>
        <w:rPr>
          <w:rFonts w:ascii="Calibri Light" w:hAnsi="Calibri Light" w:cstheme="minorBidi"/>
          <w:color w:val="3A7C22" w:themeColor="accent6" w:themeShade="BF"/>
          <w:kern w:val="0"/>
          <w:szCs w:val="20"/>
          <w14:ligatures w14:val="none"/>
        </w:rPr>
      </w:pPr>
      <w:bookmarkStart w:id="17" w:name="_Ref240572782"/>
      <w:bookmarkStart w:id="18" w:name="_Ref240573980"/>
      <w:r w:rsidRPr="007A6E8B">
        <w:rPr>
          <w:rFonts w:ascii="Calibri Light" w:hAnsi="Calibri Light" w:cstheme="minorBidi"/>
          <w:i w:val="0"/>
          <w:color w:val="3A7C22" w:themeColor="accent6" w:themeShade="BF"/>
          <w:kern w:val="0"/>
          <w:sz w:val="20"/>
          <w:szCs w:val="20"/>
          <w14:ligatures w14:val="none"/>
        </w:rPr>
        <w:t xml:space="preserve">Figure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Figure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D5CCD" w:rsidRPr="007A6E8B">
        <w:rPr>
          <w:rFonts w:ascii="Calibri Light" w:hAnsi="Calibri Light" w:cstheme="minorBidi"/>
          <w:i w:val="0"/>
          <w:color w:val="3A7C22" w:themeColor="accent6" w:themeShade="BF"/>
          <w:kern w:val="0"/>
          <w:sz w:val="20"/>
          <w:szCs w:val="20"/>
          <w14:ligatures w14:val="none"/>
        </w:rPr>
        <w:t>1</w:t>
      </w:r>
      <w:r w:rsidRPr="007A6E8B">
        <w:rPr>
          <w:rFonts w:ascii="Calibri Light" w:hAnsi="Calibri Light" w:cstheme="minorBidi"/>
          <w:i w:val="0"/>
          <w:color w:val="3A7C22" w:themeColor="accent6" w:themeShade="BF"/>
          <w:kern w:val="0"/>
          <w:sz w:val="20"/>
          <w:szCs w:val="20"/>
          <w14:ligatures w14:val="none"/>
        </w:rPr>
        <w:fldChar w:fldCharType="end"/>
      </w:r>
      <w:bookmarkEnd w:id="17"/>
      <w:r w:rsidR="00186CD6" w:rsidRPr="007A6E8B">
        <w:rPr>
          <w:rFonts w:ascii="Calibri Light" w:hAnsi="Calibri Light" w:cstheme="minorBidi"/>
          <w:i w:val="0"/>
          <w:color w:val="3A7C22" w:themeColor="accent6" w:themeShade="BF"/>
          <w:kern w:val="0"/>
          <w:sz w:val="20"/>
          <w:szCs w:val="20"/>
          <w14:ligatures w14:val="none"/>
        </w:rPr>
        <w:t>:</w:t>
      </w:r>
      <w:r w:rsidRPr="007A6E8B">
        <w:rPr>
          <w:rFonts w:ascii="Calibri Light" w:hAnsi="Calibri Light" w:cstheme="minorBidi"/>
          <w:i w:val="0"/>
          <w:color w:val="3A7C22" w:themeColor="accent6" w:themeShade="BF"/>
          <w:kern w:val="0"/>
          <w:sz w:val="20"/>
          <w:szCs w:val="20"/>
          <w14:ligatures w14:val="none"/>
        </w:rPr>
        <w:t xml:space="preserve"> </w:t>
      </w:r>
      <w:r w:rsidR="000E3B2F" w:rsidRPr="007A6E8B">
        <w:rPr>
          <w:rFonts w:ascii="Calibri Light" w:hAnsi="Calibri Light" w:cstheme="minorBidi"/>
          <w:i w:val="0"/>
          <w:color w:val="3A7C22" w:themeColor="accent6" w:themeShade="BF"/>
          <w:kern w:val="0"/>
          <w:sz w:val="20"/>
          <w:szCs w:val="20"/>
          <w14:ligatures w14:val="none"/>
        </w:rPr>
        <w:t>Current statutory authority to charge</w:t>
      </w:r>
      <w:bookmarkEnd w:id="15"/>
      <w:bookmarkEnd w:id="18"/>
      <w:r w:rsidR="000E3B2F" w:rsidRPr="007A6E8B">
        <w:rPr>
          <w:rFonts w:ascii="Calibri Light" w:hAnsi="Calibri Light" w:cstheme="minorBidi"/>
          <w:i w:val="0"/>
          <w:color w:val="3A7C22" w:themeColor="accent6" w:themeShade="BF"/>
          <w:kern w:val="0"/>
          <w:sz w:val="20"/>
          <w:szCs w:val="20"/>
          <w14:ligatures w14:val="none"/>
        </w:rPr>
        <w:t xml:space="preserve"> </w:t>
      </w:r>
      <w:bookmarkEnd w:id="16"/>
    </w:p>
    <w:p w14:paraId="6EA8E55C" w14:textId="3549DC1D" w:rsidR="00794831" w:rsidRDefault="00794831" w:rsidP="000E3B2F">
      <w:pPr>
        <w:rPr>
          <w:bCs/>
        </w:rPr>
      </w:pPr>
      <w:r w:rsidRPr="00794831">
        <w:rPr>
          <w:bCs/>
          <w:noProof/>
        </w:rPr>
        <w:drawing>
          <wp:inline distT="0" distB="0" distL="0" distR="0" wp14:anchorId="6D8E10CF" wp14:editId="6CA4443D">
            <wp:extent cx="5731510" cy="1844675"/>
            <wp:effectExtent l="0" t="0" r="2540" b="3175"/>
            <wp:docPr id="1039674260" name="Picture 1" descr="What are we allowed to charge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74260" name="Picture 1" descr="What are we allowed to charge ? "/>
                    <pic:cNvPicPr/>
                  </pic:nvPicPr>
                  <pic:blipFill>
                    <a:blip r:embed="rId23"/>
                    <a:stretch>
                      <a:fillRect/>
                    </a:stretch>
                  </pic:blipFill>
                  <pic:spPr>
                    <a:xfrm>
                      <a:off x="0" y="0"/>
                      <a:ext cx="5731510" cy="1844675"/>
                    </a:xfrm>
                    <a:prstGeom prst="rect">
                      <a:avLst/>
                    </a:prstGeom>
                  </pic:spPr>
                </pic:pic>
              </a:graphicData>
            </a:graphic>
          </wp:inline>
        </w:drawing>
      </w:r>
    </w:p>
    <w:p w14:paraId="47B368DF" w14:textId="77777777" w:rsidR="000E3B2F" w:rsidRPr="009C3188" w:rsidRDefault="000E3B2F" w:rsidP="000E3B2F">
      <w:r w:rsidRPr="009C3188">
        <w:t xml:space="preserve">The OGTR undertakes a range of additional regulatory functions for which it does not currently have the statutory authority to charge fees, including, for example: </w:t>
      </w:r>
    </w:p>
    <w:p w14:paraId="48CB06B5" w14:textId="77777777" w:rsidR="000E3B2F" w:rsidRPr="009C3188" w:rsidRDefault="000E3B2F" w:rsidP="000E3B2F">
      <w:pPr>
        <w:numPr>
          <w:ilvl w:val="0"/>
          <w:numId w:val="3"/>
        </w:numPr>
      </w:pPr>
      <w:r w:rsidRPr="009C3188">
        <w:t xml:space="preserve">accreditation of an organisation </w:t>
      </w:r>
    </w:p>
    <w:p w14:paraId="2FCD2379" w14:textId="77777777" w:rsidR="000E3B2F" w:rsidRPr="009C3188" w:rsidRDefault="000E3B2F" w:rsidP="000E3B2F">
      <w:pPr>
        <w:numPr>
          <w:ilvl w:val="0"/>
          <w:numId w:val="3"/>
        </w:numPr>
      </w:pPr>
      <w:r w:rsidRPr="009C3188">
        <w:t>variation of an existing licence, certification or accreditation</w:t>
      </w:r>
    </w:p>
    <w:p w14:paraId="6BD6AB00" w14:textId="77777777" w:rsidR="000E3B2F" w:rsidRPr="009C3188" w:rsidRDefault="000E3B2F" w:rsidP="000E3B2F">
      <w:pPr>
        <w:numPr>
          <w:ilvl w:val="0"/>
          <w:numId w:val="3"/>
        </w:numPr>
      </w:pPr>
      <w:r w:rsidRPr="009C3188">
        <w:t>transfer of an existing licence or certification</w:t>
      </w:r>
    </w:p>
    <w:p w14:paraId="256B1B3C" w14:textId="77777777" w:rsidR="000E3B2F" w:rsidRPr="009C3188" w:rsidRDefault="000E3B2F" w:rsidP="000E3B2F">
      <w:pPr>
        <w:numPr>
          <w:ilvl w:val="0"/>
          <w:numId w:val="3"/>
        </w:numPr>
      </w:pPr>
      <w:r w:rsidRPr="009C3188">
        <w:t>suspension of an existing licence or certification or lifting the suspension of an existing licence or certification</w:t>
      </w:r>
    </w:p>
    <w:p w14:paraId="19008692" w14:textId="77777777" w:rsidR="000E3B2F" w:rsidRPr="009C3188" w:rsidRDefault="000E3B2F" w:rsidP="000E3B2F">
      <w:pPr>
        <w:numPr>
          <w:ilvl w:val="0"/>
          <w:numId w:val="3"/>
        </w:numPr>
      </w:pPr>
      <w:r w:rsidRPr="009C3188">
        <w:t>surrender of an existing licence, certification or accreditation</w:t>
      </w:r>
    </w:p>
    <w:p w14:paraId="4437443D" w14:textId="77777777" w:rsidR="000E3B2F" w:rsidRPr="009C3188" w:rsidRDefault="000E3B2F" w:rsidP="000E3B2F">
      <w:pPr>
        <w:numPr>
          <w:ilvl w:val="0"/>
          <w:numId w:val="3"/>
        </w:numPr>
      </w:pPr>
      <w:r w:rsidRPr="009C3188">
        <w:t xml:space="preserve">maintaining the GMO register </w:t>
      </w:r>
    </w:p>
    <w:p w14:paraId="1741B0A7" w14:textId="77777777" w:rsidR="000E3B2F" w:rsidRPr="009C3188" w:rsidRDefault="000E3B2F" w:rsidP="000E3B2F">
      <w:pPr>
        <w:numPr>
          <w:ilvl w:val="0"/>
          <w:numId w:val="3"/>
        </w:numPr>
      </w:pPr>
      <w:r w:rsidRPr="009C3188">
        <w:t>processing notifications of notifiable low-risk dealings (NLRDs) and requests to conduct NLRDs in alternative facilities</w:t>
      </w:r>
    </w:p>
    <w:p w14:paraId="4E22BE00" w14:textId="77777777" w:rsidR="000E3B2F" w:rsidRDefault="000E3B2F" w:rsidP="000E3B2F">
      <w:pPr>
        <w:numPr>
          <w:ilvl w:val="0"/>
          <w:numId w:val="3"/>
        </w:numPr>
      </w:pPr>
      <w:r w:rsidRPr="009C3188">
        <w:t>applications to declare information as confidential commercial information (CCI) and administrative effort to ensure non-disclosure in relation to information declared as CCI.</w:t>
      </w:r>
    </w:p>
    <w:p w14:paraId="25DFDCD8" w14:textId="77777777" w:rsidR="000E3B2F" w:rsidRPr="0061297E" w:rsidRDefault="000E3B2F" w:rsidP="000E3B2F">
      <w:r w:rsidRPr="0061297E">
        <w:lastRenderedPageBreak/>
        <w:t xml:space="preserve">Other responsibilities of the OGTR </w:t>
      </w:r>
      <w:r>
        <w:t xml:space="preserve">that are outside the scope of the cost recovery arrangements and will </w:t>
      </w:r>
      <w:r w:rsidRPr="00365180">
        <w:t>continue to be funded through Government appropriation</w:t>
      </w:r>
      <w:r w:rsidRPr="0061297E">
        <w:t xml:space="preserve"> include (but are not limited to):</w:t>
      </w:r>
    </w:p>
    <w:p w14:paraId="182811F4" w14:textId="77777777" w:rsidR="000E3B2F" w:rsidRPr="0061297E" w:rsidRDefault="000E3B2F" w:rsidP="000E3B2F">
      <w:pPr>
        <w:numPr>
          <w:ilvl w:val="0"/>
          <w:numId w:val="28"/>
        </w:numPr>
      </w:pPr>
      <w:r w:rsidRPr="0061297E">
        <w:t>providing information and advice to the public about the regulation of gene technology</w:t>
      </w:r>
    </w:p>
    <w:p w14:paraId="54457C0E" w14:textId="77777777" w:rsidR="000E3B2F" w:rsidRPr="0061297E" w:rsidRDefault="000E3B2F" w:rsidP="000E3B2F">
      <w:pPr>
        <w:numPr>
          <w:ilvl w:val="0"/>
          <w:numId w:val="28"/>
        </w:numPr>
        <w:ind w:left="357" w:hanging="357"/>
      </w:pPr>
      <w:r w:rsidRPr="0061297E">
        <w:t>monitoring for compliance with the Act</w:t>
      </w:r>
    </w:p>
    <w:p w14:paraId="08B50AB1" w14:textId="77777777" w:rsidR="000E3B2F" w:rsidRPr="0061297E" w:rsidRDefault="000E3B2F" w:rsidP="000E3B2F">
      <w:pPr>
        <w:numPr>
          <w:ilvl w:val="0"/>
          <w:numId w:val="28"/>
        </w:numPr>
        <w:ind w:left="357" w:hanging="357"/>
      </w:pPr>
      <w:r w:rsidRPr="0061297E">
        <w:t>providing advice to the Gene Technology Ministers’ Meeting about the effectiveness of the existing legislative framework that governs gene technology</w:t>
      </w:r>
    </w:p>
    <w:p w14:paraId="2467E778" w14:textId="77777777" w:rsidR="000E3B2F" w:rsidRPr="0061297E" w:rsidRDefault="000E3B2F" w:rsidP="000E3B2F">
      <w:pPr>
        <w:numPr>
          <w:ilvl w:val="0"/>
          <w:numId w:val="28"/>
        </w:numPr>
        <w:ind w:left="357" w:hanging="357"/>
      </w:pPr>
      <w:r w:rsidRPr="0061297E">
        <w:t>promoting the harmonisation of risk assessments of GMOs by regulatory agencies</w:t>
      </w:r>
    </w:p>
    <w:p w14:paraId="41279ECA" w14:textId="77777777" w:rsidR="000E3B2F" w:rsidRPr="0061297E" w:rsidRDefault="000E3B2F" w:rsidP="000E3B2F">
      <w:pPr>
        <w:numPr>
          <w:ilvl w:val="0"/>
          <w:numId w:val="28"/>
        </w:numPr>
        <w:ind w:left="357" w:hanging="357"/>
      </w:pPr>
      <w:r w:rsidRPr="0061297E">
        <w:t>monitoring international practices of GMO regulation</w:t>
      </w:r>
    </w:p>
    <w:p w14:paraId="28038E11" w14:textId="77777777" w:rsidR="000E3B2F" w:rsidRPr="0061297E" w:rsidRDefault="000E3B2F" w:rsidP="000E3B2F">
      <w:pPr>
        <w:numPr>
          <w:ilvl w:val="0"/>
          <w:numId w:val="28"/>
        </w:numPr>
      </w:pPr>
      <w:r w:rsidRPr="0061297E">
        <w:t>maintaining links with international organisations that regulate gene technology and agencies in other jurisdictions</w:t>
      </w:r>
    </w:p>
    <w:p w14:paraId="20B9736F" w14:textId="77777777" w:rsidR="000E3B2F" w:rsidRDefault="000E3B2F" w:rsidP="000E3B2F">
      <w:pPr>
        <w:numPr>
          <w:ilvl w:val="0"/>
          <w:numId w:val="28"/>
        </w:numPr>
      </w:pPr>
      <w:r w:rsidRPr="0061297E">
        <w:t>maintaining best practice regulation of gene technology in Australia</w:t>
      </w:r>
    </w:p>
    <w:p w14:paraId="650E0B92" w14:textId="4361F9D0" w:rsidR="000E3B2F" w:rsidRPr="00C41801" w:rsidRDefault="000E3B2F" w:rsidP="000E3B2F">
      <w:pPr>
        <w:numPr>
          <w:ilvl w:val="0"/>
          <w:numId w:val="28"/>
        </w:numPr>
      </w:pPr>
      <w:r w:rsidRPr="0061297E">
        <w:t xml:space="preserve">maintaining transparency and accountability and supporting the reporting duties of the Secretary </w:t>
      </w:r>
      <w:r w:rsidRPr="00F32DD6">
        <w:t>of the Department of Health</w:t>
      </w:r>
      <w:r>
        <w:t>, Disability and Ageing.</w:t>
      </w:r>
    </w:p>
    <w:p w14:paraId="37C89C1D" w14:textId="021AD9EE" w:rsidR="00C702A7" w:rsidRPr="00F32DD6" w:rsidRDefault="00C702A7" w:rsidP="00C702A7">
      <w:pPr>
        <w:pStyle w:val="Heading2"/>
      </w:pPr>
      <w:bookmarkStart w:id="19" w:name="_Toc168990909"/>
      <w:bookmarkStart w:id="20" w:name="_Toc242195579"/>
      <w:r w:rsidRPr="00F32DD6">
        <w:t xml:space="preserve">Policy </w:t>
      </w:r>
      <w:r w:rsidR="00DC515A">
        <w:t>A</w:t>
      </w:r>
      <w:r w:rsidRPr="00F32DD6">
        <w:t xml:space="preserve">uthority to </w:t>
      </w:r>
      <w:r w:rsidR="00DC515A">
        <w:t>C</w:t>
      </w:r>
      <w:r w:rsidRPr="00F32DD6">
        <w:t xml:space="preserve">ost </w:t>
      </w:r>
      <w:r w:rsidR="00DC515A">
        <w:t>R</w:t>
      </w:r>
      <w:r w:rsidRPr="00F32DD6">
        <w:t>ecover</w:t>
      </w:r>
      <w:bookmarkEnd w:id="19"/>
      <w:bookmarkEnd w:id="20"/>
    </w:p>
    <w:p w14:paraId="2619DA68" w14:textId="77777777" w:rsidR="00C702A7" w:rsidRPr="00F32DD6" w:rsidRDefault="00C702A7" w:rsidP="00C702A7">
      <w:pPr>
        <w:rPr>
          <w:szCs w:val="20"/>
        </w:rPr>
      </w:pPr>
      <w:r w:rsidRPr="00F32DD6">
        <w:rPr>
          <w:szCs w:val="20"/>
        </w:rPr>
        <w:t xml:space="preserve">In the 2026–27 Budget, the Australian Government approved a sustainable funding model for the </w:t>
      </w:r>
      <w:r>
        <w:rPr>
          <w:szCs w:val="20"/>
        </w:rPr>
        <w:t>OGTR,</w:t>
      </w:r>
      <w:r w:rsidRPr="00F32DD6">
        <w:rPr>
          <w:szCs w:val="20"/>
        </w:rPr>
        <w:t xml:space="preserve"> including the phased introduction of cost recovery arrangements, whilst maintaining support for research and innovation. Cost recovery will be implemented in two phases.</w:t>
      </w:r>
    </w:p>
    <w:p w14:paraId="48DC8167" w14:textId="77777777" w:rsidR="00C702A7" w:rsidRPr="00F32DD6" w:rsidRDefault="00C702A7" w:rsidP="00C702A7">
      <w:pPr>
        <w:rPr>
          <w:szCs w:val="20"/>
        </w:rPr>
      </w:pPr>
      <w:r w:rsidRPr="00F32DD6">
        <w:rPr>
          <w:szCs w:val="20"/>
        </w:rPr>
        <w:t>The measure provides:</w:t>
      </w:r>
    </w:p>
    <w:p w14:paraId="4E5D1A0B" w14:textId="77777777" w:rsidR="00C702A7" w:rsidRPr="00F32DD6" w:rsidRDefault="00C702A7" w:rsidP="00C702A7">
      <w:pPr>
        <w:numPr>
          <w:ilvl w:val="0"/>
          <w:numId w:val="4"/>
        </w:numPr>
        <w:rPr>
          <w:szCs w:val="20"/>
        </w:rPr>
      </w:pPr>
      <w:r w:rsidRPr="00F32DD6">
        <w:rPr>
          <w:szCs w:val="20"/>
        </w:rPr>
        <w:t>$6.8 million over four years from 2026–27;</w:t>
      </w:r>
    </w:p>
    <w:p w14:paraId="64BCF8BA" w14:textId="77777777" w:rsidR="00C702A7" w:rsidRPr="00F32DD6" w:rsidRDefault="00C702A7" w:rsidP="00C702A7">
      <w:pPr>
        <w:numPr>
          <w:ilvl w:val="0"/>
          <w:numId w:val="4"/>
        </w:numPr>
        <w:rPr>
          <w:szCs w:val="20"/>
        </w:rPr>
      </w:pPr>
      <w:r w:rsidRPr="00F32DD6">
        <w:rPr>
          <w:szCs w:val="20"/>
        </w:rPr>
        <w:t>$1.7 million per year ongoing from 2030–31;</w:t>
      </w:r>
    </w:p>
    <w:p w14:paraId="409EE484" w14:textId="77777777" w:rsidR="00C702A7" w:rsidRPr="00F32DD6" w:rsidRDefault="00C702A7" w:rsidP="00C702A7">
      <w:pPr>
        <w:numPr>
          <w:ilvl w:val="0"/>
          <w:numId w:val="4"/>
        </w:numPr>
        <w:rPr>
          <w:szCs w:val="20"/>
        </w:rPr>
      </w:pPr>
      <w:r w:rsidRPr="00F32DD6">
        <w:rPr>
          <w:szCs w:val="20"/>
        </w:rPr>
        <w:t>a phased transition from a fully government funded model to a partial user-pays system.</w:t>
      </w:r>
    </w:p>
    <w:p w14:paraId="2AB179D7" w14:textId="02E83FED" w:rsidR="00C702A7" w:rsidRPr="00F32DD6" w:rsidRDefault="00C702A7" w:rsidP="00C702A7">
      <w:pPr>
        <w:rPr>
          <w:szCs w:val="20"/>
        </w:rPr>
      </w:pPr>
      <w:r w:rsidRPr="00F32DD6">
        <w:rPr>
          <w:szCs w:val="20"/>
        </w:rPr>
        <w:t>The Government’s decision recognises the maturity of the Australian gene technology sector and supports the long-term sustainability of the Scheme.</w:t>
      </w:r>
    </w:p>
    <w:p w14:paraId="759BF76E" w14:textId="77777777" w:rsidR="00C702A7" w:rsidRPr="00F32DD6" w:rsidRDefault="00C702A7" w:rsidP="00C702A7">
      <w:pPr>
        <w:rPr>
          <w:szCs w:val="20"/>
        </w:rPr>
      </w:pPr>
      <w:r w:rsidRPr="00F32DD6">
        <w:rPr>
          <w:szCs w:val="20"/>
        </w:rPr>
        <w:t>Cost recovery will be implemented through:</w:t>
      </w:r>
    </w:p>
    <w:p w14:paraId="7B703E5A" w14:textId="55C77278" w:rsidR="00C702A7" w:rsidRPr="00BC086E" w:rsidRDefault="00C702A7" w:rsidP="00BC086E">
      <w:pPr>
        <w:pStyle w:val="ListParagraph"/>
        <w:numPr>
          <w:ilvl w:val="0"/>
          <w:numId w:val="4"/>
        </w:numPr>
        <w:rPr>
          <w:szCs w:val="20"/>
        </w:rPr>
      </w:pPr>
      <w:r w:rsidRPr="00F32DD6">
        <w:rPr>
          <w:szCs w:val="20"/>
        </w:rPr>
        <w:t xml:space="preserve">Phase 1 (1 March 2027) using existing legislative authority, to introduce charges for licence applications, certification applications and annual licence charges. </w:t>
      </w:r>
      <w:r w:rsidR="00A8172F" w:rsidRPr="00A8172F">
        <w:rPr>
          <w:szCs w:val="20"/>
        </w:rPr>
        <w:t>The cost recovery model recovers the efficient costs associated with regulatory activities undertaken by the OGTR</w:t>
      </w:r>
      <w:r w:rsidR="00F57A71">
        <w:rPr>
          <w:szCs w:val="20"/>
        </w:rPr>
        <w:t xml:space="preserve"> </w:t>
      </w:r>
      <w:r w:rsidR="00F57A71" w:rsidRPr="00403ED8">
        <w:rPr>
          <w:rFonts w:cs="Arial"/>
          <w:szCs w:val="20"/>
        </w:rPr>
        <w:t>(</w:t>
      </w:r>
      <w:r w:rsidR="004A5930" w:rsidRPr="00403ED8">
        <w:rPr>
          <w:rFonts w:cs="Arial"/>
          <w:szCs w:val="20"/>
        </w:rPr>
        <w:fldChar w:fldCharType="begin"/>
      </w:r>
      <w:r w:rsidR="004A5930" w:rsidRPr="00403ED8">
        <w:rPr>
          <w:rFonts w:cs="Arial"/>
          <w:szCs w:val="20"/>
        </w:rPr>
        <w:instrText xml:space="preserve"> REF _Ref240572876 \h </w:instrText>
      </w:r>
      <w:r w:rsidR="00C71287" w:rsidRPr="00403ED8">
        <w:rPr>
          <w:rFonts w:cs="Arial"/>
          <w:szCs w:val="20"/>
        </w:rPr>
        <w:instrText xml:space="preserve"> \* MERGEFORMAT </w:instrText>
      </w:r>
      <w:r w:rsidR="004A5930" w:rsidRPr="00403ED8">
        <w:rPr>
          <w:rFonts w:cs="Arial"/>
          <w:szCs w:val="20"/>
        </w:rPr>
      </w:r>
      <w:r w:rsidR="004A5930" w:rsidRPr="00403ED8">
        <w:rPr>
          <w:rFonts w:cs="Arial"/>
          <w:szCs w:val="20"/>
        </w:rPr>
        <w:fldChar w:fldCharType="separate"/>
      </w:r>
      <w:r w:rsidR="00C71287" w:rsidRPr="00403ED8">
        <w:rPr>
          <w:rFonts w:cs="Arial"/>
          <w:kern w:val="0"/>
          <w:szCs w:val="20"/>
          <w14:ligatures w14:val="none"/>
        </w:rPr>
        <w:t>Table 1</w:t>
      </w:r>
      <w:r w:rsidR="004A5930" w:rsidRPr="00403ED8">
        <w:rPr>
          <w:rFonts w:cs="Arial"/>
          <w:szCs w:val="20"/>
        </w:rPr>
        <w:fldChar w:fldCharType="end"/>
      </w:r>
      <w:r w:rsidR="00F57A71" w:rsidRPr="00403ED8">
        <w:rPr>
          <w:rFonts w:cs="Arial"/>
          <w:szCs w:val="20"/>
        </w:rPr>
        <w:t>)</w:t>
      </w:r>
      <w:r w:rsidR="00A8172F" w:rsidRPr="00403ED8">
        <w:rPr>
          <w:rFonts w:cs="Arial"/>
          <w:szCs w:val="20"/>
        </w:rPr>
        <w:t>.</w:t>
      </w:r>
      <w:r w:rsidR="00A8172F" w:rsidRPr="00403ED8">
        <w:rPr>
          <w:szCs w:val="20"/>
        </w:rPr>
        <w:t xml:space="preserve"> </w:t>
      </w:r>
      <w:r w:rsidR="00A8172F" w:rsidRPr="00A8172F">
        <w:rPr>
          <w:szCs w:val="20"/>
        </w:rPr>
        <w:t>Costs are attributed to activities based on the level of regulatory effort and resources required to assess applications, undertake certification activities and administer licences</w:t>
      </w:r>
      <w:r w:rsidR="00B1506F">
        <w:rPr>
          <w:szCs w:val="20"/>
        </w:rPr>
        <w:t xml:space="preserve">. </w:t>
      </w:r>
      <w:r w:rsidRPr="00BC086E">
        <w:rPr>
          <w:szCs w:val="20"/>
        </w:rPr>
        <w:t xml:space="preserve">These are referred to as regulatory charging activities. Annual </w:t>
      </w:r>
      <w:r w:rsidR="0062296B" w:rsidRPr="00BC086E">
        <w:rPr>
          <w:szCs w:val="20"/>
        </w:rPr>
        <w:t>charges</w:t>
      </w:r>
      <w:r w:rsidRPr="00BC086E">
        <w:rPr>
          <w:szCs w:val="20"/>
        </w:rPr>
        <w:t xml:space="preserve"> will also be charged to recover the ongoing costs associated with managing licences. During Phase 1, for licence applications:</w:t>
      </w:r>
    </w:p>
    <w:p w14:paraId="1C150B98" w14:textId="77777777" w:rsidR="00C702A7" w:rsidRPr="00F32DD6" w:rsidRDefault="00C702A7" w:rsidP="00C702A7">
      <w:pPr>
        <w:pStyle w:val="ListParagraph"/>
        <w:numPr>
          <w:ilvl w:val="0"/>
          <w:numId w:val="5"/>
        </w:numPr>
        <w:ind w:hanging="357"/>
        <w:rPr>
          <w:szCs w:val="20"/>
        </w:rPr>
      </w:pPr>
      <w:r w:rsidRPr="00F32DD6">
        <w:rPr>
          <w:szCs w:val="20"/>
        </w:rPr>
        <w:t>Commercial applications will be charged at 50 per cent of actual costs.</w:t>
      </w:r>
    </w:p>
    <w:p w14:paraId="6E6A744C" w14:textId="3D665806" w:rsidR="00C702A7" w:rsidRPr="00F32DD6" w:rsidRDefault="00C702A7" w:rsidP="00C702A7">
      <w:pPr>
        <w:pStyle w:val="ListParagraph"/>
        <w:numPr>
          <w:ilvl w:val="0"/>
          <w:numId w:val="5"/>
        </w:numPr>
        <w:ind w:hanging="357"/>
        <w:rPr>
          <w:szCs w:val="20"/>
        </w:rPr>
      </w:pPr>
      <w:r w:rsidRPr="00F32DD6">
        <w:rPr>
          <w:szCs w:val="20"/>
        </w:rPr>
        <w:t xml:space="preserve">Pre-commercial </w:t>
      </w:r>
      <w:r w:rsidR="008321DF">
        <w:rPr>
          <w:szCs w:val="20"/>
        </w:rPr>
        <w:t>applications</w:t>
      </w:r>
      <w:r w:rsidRPr="00F32DD6">
        <w:rPr>
          <w:szCs w:val="20"/>
        </w:rPr>
        <w:t>, including clinical trials and field trials, will be charged at 25 per cent of actual costs.</w:t>
      </w:r>
    </w:p>
    <w:p w14:paraId="04FC7CA7" w14:textId="77777777" w:rsidR="00C702A7" w:rsidRDefault="00C702A7" w:rsidP="00C702A7">
      <w:pPr>
        <w:pStyle w:val="ListParagraph"/>
        <w:numPr>
          <w:ilvl w:val="0"/>
          <w:numId w:val="5"/>
        </w:numPr>
        <w:ind w:hanging="357"/>
        <w:rPr>
          <w:szCs w:val="20"/>
        </w:rPr>
      </w:pPr>
      <w:r w:rsidRPr="00F32DD6">
        <w:rPr>
          <w:szCs w:val="20"/>
        </w:rPr>
        <w:t>Research licence applications will be exempt from licence application fees.</w:t>
      </w:r>
    </w:p>
    <w:p w14:paraId="0CB6B304" w14:textId="50EE511B" w:rsidR="000E3B2F" w:rsidRPr="007A6E8B" w:rsidRDefault="00CF38F1" w:rsidP="00263E1E">
      <w:pPr>
        <w:pStyle w:val="Caption"/>
        <w:rPr>
          <w:rFonts w:ascii="Calibri Light" w:hAnsi="Calibri Light" w:cstheme="minorBidi"/>
          <w:color w:val="3A7C22" w:themeColor="accent6" w:themeShade="BF"/>
          <w:kern w:val="0"/>
          <w:szCs w:val="20"/>
          <w14:ligatures w14:val="none"/>
        </w:rPr>
      </w:pPr>
      <w:bookmarkStart w:id="21" w:name="_Ref240572876"/>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F43E2" w:rsidRPr="007A6E8B">
        <w:rPr>
          <w:rFonts w:ascii="Calibri Light" w:hAnsi="Calibri Light" w:cstheme="minorBidi"/>
          <w:i w:val="0"/>
          <w:color w:val="3A7C22" w:themeColor="accent6" w:themeShade="BF"/>
          <w:kern w:val="0"/>
          <w:sz w:val="20"/>
          <w:szCs w:val="20"/>
          <w14:ligatures w14:val="none"/>
        </w:rPr>
        <w:t>1</w:t>
      </w:r>
      <w:r w:rsidRPr="007A6E8B">
        <w:rPr>
          <w:rFonts w:ascii="Calibri Light" w:hAnsi="Calibri Light" w:cstheme="minorBidi"/>
          <w:i w:val="0"/>
          <w:color w:val="3A7C22" w:themeColor="accent6" w:themeShade="BF"/>
          <w:kern w:val="0"/>
          <w:sz w:val="20"/>
          <w:szCs w:val="20"/>
          <w14:ligatures w14:val="none"/>
        </w:rPr>
        <w:fldChar w:fldCharType="end"/>
      </w:r>
      <w:bookmarkEnd w:id="21"/>
      <w:r w:rsidR="00186CD6" w:rsidRPr="007A6E8B">
        <w:rPr>
          <w:rFonts w:ascii="Calibri Light" w:hAnsi="Calibri Light" w:cstheme="minorBidi"/>
          <w:i w:val="0"/>
          <w:color w:val="3A7C22" w:themeColor="accent6" w:themeShade="BF"/>
          <w:kern w:val="0"/>
          <w:sz w:val="20"/>
          <w:szCs w:val="20"/>
          <w14:ligatures w14:val="none"/>
        </w:rPr>
        <w:t xml:space="preserve">: </w:t>
      </w:r>
      <w:r w:rsidR="00E9699F" w:rsidRPr="007A6E8B">
        <w:rPr>
          <w:rFonts w:ascii="Calibri Light" w:hAnsi="Calibri Light" w:cstheme="minorBidi"/>
          <w:i w:val="0"/>
          <w:color w:val="3A7C22" w:themeColor="accent6" w:themeShade="BF"/>
          <w:kern w:val="0"/>
          <w:sz w:val="20"/>
          <w:szCs w:val="20"/>
          <w14:ligatures w14:val="none"/>
        </w:rPr>
        <w:t>Direct and Indirect costs associated with the charge category</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10"/>
        <w:gridCol w:w="3260"/>
        <w:gridCol w:w="3346"/>
      </w:tblGrid>
      <w:tr w:rsidR="00DA6728" w14:paraId="3BCE3FEC" w14:textId="77777777" w:rsidTr="00B1506F">
        <w:trPr>
          <w:cnfStyle w:val="100000000000" w:firstRow="1" w:lastRow="0" w:firstColumn="0" w:lastColumn="0" w:oddVBand="0" w:evenVBand="0" w:oddHBand="0" w:evenHBand="0" w:firstRowFirstColumn="0" w:firstRowLastColumn="0" w:lastRowFirstColumn="0" w:lastRowLastColumn="0"/>
        </w:trPr>
        <w:tc>
          <w:tcPr>
            <w:tcW w:w="2410" w:type="dxa"/>
            <w:tcBorders>
              <w:top w:val="single" w:sz="4" w:space="0" w:color="auto"/>
              <w:left w:val="none" w:sz="0" w:space="0" w:color="auto"/>
              <w:bottom w:val="single" w:sz="4" w:space="0" w:color="auto"/>
              <w:right w:val="single" w:sz="4" w:space="0" w:color="auto"/>
              <w:tl2br w:val="none" w:sz="0" w:space="0" w:color="auto"/>
              <w:tr2bl w:val="none" w:sz="0" w:space="0" w:color="auto"/>
            </w:tcBorders>
            <w:shd w:val="clear" w:color="auto" w:fill="95DCF7" w:themeFill="accent4" w:themeFillTint="66"/>
          </w:tcPr>
          <w:p w14:paraId="0E83A495" w14:textId="3F2BD860" w:rsidR="00DA6728" w:rsidRPr="007142DE" w:rsidRDefault="00DA6728" w:rsidP="000646FD">
            <w:pPr>
              <w:rPr>
                <w:rFonts w:ascii="Arial" w:hAnsi="Arial" w:cs="Arial"/>
                <w:b/>
                <w:bCs/>
                <w:sz w:val="20"/>
                <w:szCs w:val="20"/>
              </w:rPr>
            </w:pPr>
            <w:r w:rsidRPr="00924C9A">
              <w:rPr>
                <w:rFonts w:cs="Arial"/>
                <w:b/>
                <w:bCs/>
                <w:szCs w:val="20"/>
              </w:rPr>
              <w:t xml:space="preserve">Charge </w:t>
            </w:r>
            <w:r w:rsidR="00B1506F" w:rsidRPr="00924C9A">
              <w:rPr>
                <w:rFonts w:cs="Arial"/>
                <w:b/>
                <w:bCs/>
                <w:szCs w:val="20"/>
              </w:rPr>
              <w:t>C</w:t>
            </w:r>
            <w:r w:rsidRPr="00924C9A">
              <w:rPr>
                <w:rFonts w:cs="Arial"/>
                <w:b/>
                <w:bCs/>
                <w:szCs w:val="20"/>
              </w:rPr>
              <w:t xml:space="preserve">ategory </w:t>
            </w:r>
          </w:p>
        </w:tc>
        <w:tc>
          <w:tcPr>
            <w:tcW w:w="3260" w:type="dxa"/>
            <w:tcBorders>
              <w:top w:val="single" w:sz="4" w:space="0" w:color="auto"/>
              <w:left w:val="single" w:sz="4" w:space="0" w:color="auto"/>
              <w:bottom w:val="single" w:sz="4" w:space="0" w:color="auto"/>
              <w:right w:val="single" w:sz="4" w:space="0" w:color="auto"/>
              <w:tl2br w:val="none" w:sz="0" w:space="0" w:color="auto"/>
              <w:tr2bl w:val="none" w:sz="0" w:space="0" w:color="auto"/>
            </w:tcBorders>
            <w:shd w:val="clear" w:color="auto" w:fill="95DCF7" w:themeFill="accent4" w:themeFillTint="66"/>
            <w:vAlign w:val="center"/>
          </w:tcPr>
          <w:p w14:paraId="6B4DB215" w14:textId="62458E77" w:rsidR="00DA6728" w:rsidRPr="007142DE" w:rsidRDefault="00DA6728" w:rsidP="000646FD">
            <w:pPr>
              <w:rPr>
                <w:rFonts w:ascii="Arial" w:hAnsi="Arial" w:cs="Arial"/>
                <w:b/>
                <w:bCs/>
                <w:sz w:val="20"/>
                <w:szCs w:val="20"/>
              </w:rPr>
            </w:pPr>
            <w:r w:rsidRPr="00924C9A">
              <w:rPr>
                <w:rFonts w:cs="Arial"/>
                <w:b/>
                <w:bCs/>
                <w:szCs w:val="20"/>
              </w:rPr>
              <w:t>Direct Costs</w:t>
            </w:r>
          </w:p>
        </w:tc>
        <w:tc>
          <w:tcPr>
            <w:tcW w:w="3346" w:type="dxa"/>
            <w:tcBorders>
              <w:top w:val="single" w:sz="4" w:space="0" w:color="auto"/>
              <w:left w:val="single" w:sz="4" w:space="0" w:color="auto"/>
              <w:bottom w:val="single" w:sz="4" w:space="0" w:color="auto"/>
              <w:right w:val="none" w:sz="0" w:space="0" w:color="auto"/>
              <w:tl2br w:val="none" w:sz="0" w:space="0" w:color="auto"/>
              <w:tr2bl w:val="none" w:sz="0" w:space="0" w:color="auto"/>
            </w:tcBorders>
            <w:shd w:val="clear" w:color="auto" w:fill="95DCF7" w:themeFill="accent4" w:themeFillTint="66"/>
            <w:vAlign w:val="center"/>
          </w:tcPr>
          <w:p w14:paraId="1EB5B42F" w14:textId="1BA91F28" w:rsidR="00DA6728" w:rsidRPr="007142DE" w:rsidRDefault="00DA6728" w:rsidP="000646FD">
            <w:pPr>
              <w:rPr>
                <w:rFonts w:ascii="Arial" w:hAnsi="Arial" w:cs="Arial"/>
                <w:b/>
                <w:bCs/>
                <w:sz w:val="20"/>
                <w:szCs w:val="20"/>
              </w:rPr>
            </w:pPr>
            <w:r w:rsidRPr="00924C9A">
              <w:rPr>
                <w:rFonts w:cs="Arial"/>
                <w:b/>
                <w:bCs/>
                <w:szCs w:val="20"/>
              </w:rPr>
              <w:t xml:space="preserve">Indirect Costs </w:t>
            </w:r>
          </w:p>
        </w:tc>
      </w:tr>
      <w:tr w:rsidR="00DA6728" w14:paraId="59F1E754" w14:textId="77777777" w:rsidTr="00B1506F">
        <w:tc>
          <w:tcPr>
            <w:tcW w:w="2410" w:type="dxa"/>
            <w:tcBorders>
              <w:top w:val="single" w:sz="4" w:space="0" w:color="auto"/>
              <w:bottom w:val="nil"/>
              <w:right w:val="single" w:sz="4" w:space="0" w:color="auto"/>
            </w:tcBorders>
          </w:tcPr>
          <w:p w14:paraId="72771A32" w14:textId="7ED68887" w:rsidR="00DA6728" w:rsidRPr="007142DE" w:rsidRDefault="0062296B" w:rsidP="000646FD">
            <w:pPr>
              <w:rPr>
                <w:rFonts w:ascii="Arial" w:hAnsi="Arial" w:cs="Arial"/>
                <w:sz w:val="20"/>
                <w:szCs w:val="20"/>
              </w:rPr>
            </w:pPr>
            <w:r w:rsidRPr="00924C9A">
              <w:rPr>
                <w:rFonts w:cs="Arial"/>
                <w:szCs w:val="20"/>
              </w:rPr>
              <w:t>Licence</w:t>
            </w:r>
          </w:p>
        </w:tc>
        <w:tc>
          <w:tcPr>
            <w:tcW w:w="3260" w:type="dxa"/>
            <w:vMerge w:val="restart"/>
            <w:tcBorders>
              <w:top w:val="single" w:sz="4" w:space="0" w:color="auto"/>
              <w:left w:val="single" w:sz="4" w:space="0" w:color="auto"/>
              <w:bottom w:val="single" w:sz="4" w:space="0" w:color="auto"/>
              <w:right w:val="single" w:sz="4" w:space="0" w:color="auto"/>
            </w:tcBorders>
          </w:tcPr>
          <w:p w14:paraId="5E34EBB8" w14:textId="77777777" w:rsidR="00DA6728" w:rsidRPr="007142DE" w:rsidRDefault="00DA6728" w:rsidP="000646FD">
            <w:pPr>
              <w:rPr>
                <w:rFonts w:ascii="Arial" w:hAnsi="Arial" w:cs="Arial"/>
                <w:sz w:val="20"/>
                <w:szCs w:val="20"/>
              </w:rPr>
            </w:pPr>
            <w:r w:rsidRPr="00924C9A">
              <w:rPr>
                <w:rFonts w:cs="Arial"/>
                <w:szCs w:val="20"/>
              </w:rPr>
              <w:t>Salary and employee oncosts (superannuation, leave, workers compensation and training)</w:t>
            </w:r>
          </w:p>
        </w:tc>
        <w:tc>
          <w:tcPr>
            <w:tcW w:w="3346" w:type="dxa"/>
            <w:vMerge w:val="restart"/>
            <w:tcBorders>
              <w:top w:val="single" w:sz="4" w:space="0" w:color="auto"/>
              <w:left w:val="single" w:sz="4" w:space="0" w:color="auto"/>
            </w:tcBorders>
          </w:tcPr>
          <w:p w14:paraId="2F43DFEA" w14:textId="77777777" w:rsidR="00DA6728" w:rsidRPr="007142DE" w:rsidRDefault="00DA6728" w:rsidP="000646FD">
            <w:pPr>
              <w:rPr>
                <w:rFonts w:ascii="Arial" w:hAnsi="Arial" w:cs="Arial"/>
                <w:sz w:val="20"/>
                <w:szCs w:val="20"/>
              </w:rPr>
            </w:pPr>
            <w:r w:rsidRPr="00924C9A">
              <w:rPr>
                <w:rFonts w:cs="Arial"/>
                <w:szCs w:val="20"/>
              </w:rPr>
              <w:t xml:space="preserve">HR, organisational services, ICT service costs, property operating expense  </w:t>
            </w:r>
          </w:p>
        </w:tc>
      </w:tr>
      <w:tr w:rsidR="00DA6728" w14:paraId="24809AC2" w14:textId="77777777" w:rsidTr="00B1506F">
        <w:tc>
          <w:tcPr>
            <w:tcW w:w="2410" w:type="dxa"/>
            <w:tcBorders>
              <w:top w:val="nil"/>
              <w:bottom w:val="single" w:sz="4" w:space="0" w:color="auto"/>
              <w:right w:val="single" w:sz="4" w:space="0" w:color="auto"/>
            </w:tcBorders>
          </w:tcPr>
          <w:p w14:paraId="30445AC2" w14:textId="4EB2EC75" w:rsidR="00DA6728" w:rsidRDefault="00DA6728" w:rsidP="000646FD"/>
        </w:tc>
        <w:tc>
          <w:tcPr>
            <w:tcW w:w="3260" w:type="dxa"/>
            <w:vMerge/>
            <w:tcBorders>
              <w:top w:val="single" w:sz="4" w:space="0" w:color="auto"/>
              <w:left w:val="single" w:sz="4" w:space="0" w:color="auto"/>
              <w:bottom w:val="single" w:sz="4" w:space="0" w:color="auto"/>
              <w:right w:val="single" w:sz="4" w:space="0" w:color="auto"/>
            </w:tcBorders>
          </w:tcPr>
          <w:p w14:paraId="495A84C4" w14:textId="77777777" w:rsidR="00DA6728" w:rsidRDefault="00DA6728" w:rsidP="000646FD"/>
        </w:tc>
        <w:tc>
          <w:tcPr>
            <w:tcW w:w="3346" w:type="dxa"/>
            <w:vMerge/>
            <w:tcBorders>
              <w:left w:val="single" w:sz="4" w:space="0" w:color="auto"/>
            </w:tcBorders>
          </w:tcPr>
          <w:p w14:paraId="30A42733" w14:textId="77777777" w:rsidR="00DA6728" w:rsidRDefault="00DA6728" w:rsidP="000646FD"/>
        </w:tc>
      </w:tr>
      <w:tr w:rsidR="00DA6728" w14:paraId="4FC5193A" w14:textId="77777777" w:rsidTr="00B1506F">
        <w:tc>
          <w:tcPr>
            <w:tcW w:w="2410" w:type="dxa"/>
            <w:tcBorders>
              <w:top w:val="single" w:sz="4" w:space="0" w:color="auto"/>
              <w:bottom w:val="nil"/>
              <w:right w:val="single" w:sz="4" w:space="0" w:color="auto"/>
            </w:tcBorders>
            <w:vAlign w:val="center"/>
          </w:tcPr>
          <w:p w14:paraId="74BDC609" w14:textId="0ABCBB43" w:rsidR="00DA6728" w:rsidRPr="007142DE" w:rsidRDefault="00DA6728" w:rsidP="000646FD">
            <w:pPr>
              <w:rPr>
                <w:rFonts w:ascii="Arial" w:hAnsi="Arial" w:cs="Arial"/>
                <w:sz w:val="20"/>
                <w:szCs w:val="20"/>
              </w:rPr>
            </w:pPr>
            <w:r w:rsidRPr="00924C9A">
              <w:rPr>
                <w:rFonts w:cs="Arial"/>
                <w:szCs w:val="20"/>
              </w:rPr>
              <w:t>Certification</w:t>
            </w:r>
          </w:p>
        </w:tc>
        <w:tc>
          <w:tcPr>
            <w:tcW w:w="3260" w:type="dxa"/>
            <w:vMerge/>
            <w:tcBorders>
              <w:top w:val="single" w:sz="4" w:space="0" w:color="auto"/>
              <w:left w:val="single" w:sz="4" w:space="0" w:color="auto"/>
              <w:bottom w:val="single" w:sz="4" w:space="0" w:color="auto"/>
              <w:right w:val="single" w:sz="4" w:space="0" w:color="auto"/>
            </w:tcBorders>
          </w:tcPr>
          <w:p w14:paraId="2F634500" w14:textId="77777777" w:rsidR="00DA6728" w:rsidRDefault="00DA6728" w:rsidP="000646FD"/>
        </w:tc>
        <w:tc>
          <w:tcPr>
            <w:tcW w:w="3346" w:type="dxa"/>
            <w:vMerge/>
            <w:tcBorders>
              <w:left w:val="single" w:sz="4" w:space="0" w:color="auto"/>
            </w:tcBorders>
          </w:tcPr>
          <w:p w14:paraId="0E5AE30D" w14:textId="77777777" w:rsidR="00DA6728" w:rsidRDefault="00DA6728" w:rsidP="000646FD"/>
        </w:tc>
      </w:tr>
      <w:tr w:rsidR="00DA6728" w14:paraId="379413DB" w14:textId="77777777" w:rsidTr="00B1506F">
        <w:tc>
          <w:tcPr>
            <w:tcW w:w="2410" w:type="dxa"/>
            <w:tcBorders>
              <w:top w:val="nil"/>
              <w:bottom w:val="single" w:sz="4" w:space="0" w:color="auto"/>
              <w:right w:val="single" w:sz="4" w:space="0" w:color="auto"/>
            </w:tcBorders>
            <w:vAlign w:val="center"/>
          </w:tcPr>
          <w:p w14:paraId="5765A60D" w14:textId="1E83F43A" w:rsidR="00DA6728" w:rsidRDefault="00DA6728" w:rsidP="000646FD"/>
        </w:tc>
        <w:tc>
          <w:tcPr>
            <w:tcW w:w="3260" w:type="dxa"/>
            <w:vMerge/>
            <w:tcBorders>
              <w:top w:val="single" w:sz="4" w:space="0" w:color="auto"/>
              <w:left w:val="single" w:sz="4" w:space="0" w:color="auto"/>
              <w:bottom w:val="single" w:sz="4" w:space="0" w:color="auto"/>
              <w:right w:val="single" w:sz="4" w:space="0" w:color="auto"/>
            </w:tcBorders>
          </w:tcPr>
          <w:p w14:paraId="71A034B5" w14:textId="77777777" w:rsidR="00DA6728" w:rsidRDefault="00DA6728" w:rsidP="000646FD"/>
        </w:tc>
        <w:tc>
          <w:tcPr>
            <w:tcW w:w="3346" w:type="dxa"/>
            <w:vMerge/>
            <w:tcBorders>
              <w:left w:val="single" w:sz="4" w:space="0" w:color="auto"/>
            </w:tcBorders>
          </w:tcPr>
          <w:p w14:paraId="2A130ADA" w14:textId="77777777" w:rsidR="00DA6728" w:rsidRDefault="00DA6728" w:rsidP="000646FD"/>
        </w:tc>
      </w:tr>
    </w:tbl>
    <w:p w14:paraId="4F326A67" w14:textId="77777777" w:rsidR="00B1506F" w:rsidRDefault="00B1506F" w:rsidP="00B1506F">
      <w:pPr>
        <w:ind w:left="720"/>
        <w:rPr>
          <w:szCs w:val="20"/>
        </w:rPr>
      </w:pPr>
    </w:p>
    <w:p w14:paraId="25E219A7" w14:textId="2A13D422" w:rsidR="00FE1A5B" w:rsidRPr="000E3B2F" w:rsidRDefault="00C702A7" w:rsidP="000E3B2F">
      <w:pPr>
        <w:numPr>
          <w:ilvl w:val="0"/>
          <w:numId w:val="4"/>
        </w:numPr>
        <w:rPr>
          <w:szCs w:val="20"/>
        </w:rPr>
      </w:pPr>
      <w:r w:rsidRPr="00F32DD6">
        <w:rPr>
          <w:szCs w:val="20"/>
        </w:rPr>
        <w:lastRenderedPageBreak/>
        <w:t xml:space="preserve">Phase 2 (anticipated from 1 March 2029) through legislative amendments that expand the range of regulatory activities subject to cost recovery. Application fees will be charged </w:t>
      </w:r>
      <w:r w:rsidR="00924C9A">
        <w:rPr>
          <w:szCs w:val="20"/>
        </w:rPr>
        <w:t xml:space="preserve">for </w:t>
      </w:r>
      <w:r w:rsidRPr="00F32DD6">
        <w:rPr>
          <w:szCs w:val="20"/>
        </w:rPr>
        <w:t xml:space="preserve">all application types, not just licence and certification applications, with annual charges applying to other authorisation types. The OGTR will continue to maintain discretion in applying exemptions and exclusions where appropriate and </w:t>
      </w:r>
      <w:r w:rsidRPr="00375711">
        <w:rPr>
          <w:szCs w:val="20"/>
        </w:rPr>
        <w:t>consistent with government policy.</w:t>
      </w:r>
    </w:p>
    <w:p w14:paraId="1BF4F309" w14:textId="304C2916" w:rsidR="001F330C" w:rsidRPr="00610405" w:rsidRDefault="001F330C" w:rsidP="001F330C">
      <w:pPr>
        <w:pStyle w:val="Heading2"/>
      </w:pPr>
      <w:bookmarkStart w:id="22" w:name="_Toc168990910"/>
      <w:bookmarkStart w:id="23" w:name="_Toc242195580"/>
      <w:r w:rsidRPr="00610405">
        <w:t>History of Cost Recovery Decisions</w:t>
      </w:r>
      <w:bookmarkEnd w:id="22"/>
      <w:bookmarkEnd w:id="23"/>
    </w:p>
    <w:p w14:paraId="1F1C4EF4" w14:textId="77777777" w:rsidR="001F330C" w:rsidRPr="00A85C00" w:rsidRDefault="001F330C" w:rsidP="001F330C">
      <w:r w:rsidRPr="00A85C00">
        <w:t xml:space="preserve">Since its establishment, the OGTR has had the statutory authority through the Act and the </w:t>
      </w:r>
      <w:r w:rsidRPr="00A85C00">
        <w:rPr>
          <w:i/>
          <w:iCs/>
        </w:rPr>
        <w:t>Gene Technology (Licence Charges) Act 2000</w:t>
      </w:r>
      <w:r w:rsidRPr="00A85C00">
        <w:t xml:space="preserve"> to recover costs created by its regulatory activity. </w:t>
      </w:r>
    </w:p>
    <w:p w14:paraId="1C0DA057" w14:textId="6AEB563F" w:rsidR="001F330C" w:rsidRPr="00A85C00" w:rsidRDefault="001F330C" w:rsidP="001F330C">
      <w:r w:rsidRPr="00A85C00">
        <w:t>A series of reviews of the Scheme, as well as three focused cost recovery investigations over 25 years have explored the possibility of introducing cost recovery mechanisms. Cost recovery has not previously been implemented given the nature of the emerging gene technology sector in Australia at the time. The size of the sector and the characteristics of its participants (being predominately small and research based) meant that it was anticipated that fees would not generate significant revenue and could limit the ability for smaller market entrants to successfully move from research to commercialisation.</w:t>
      </w:r>
      <w:r w:rsidRPr="00A85C00">
        <w:rPr>
          <w:vertAlign w:val="superscript"/>
        </w:rPr>
        <w:footnoteReference w:id="5"/>
      </w:r>
      <w:r w:rsidRPr="00A85C00">
        <w:t xml:space="preserve"> </w:t>
      </w:r>
    </w:p>
    <w:p w14:paraId="51CCD7D6" w14:textId="089C2607" w:rsidR="001F330C" w:rsidRPr="009C3188" w:rsidRDefault="001F330C" w:rsidP="001F330C">
      <w:r w:rsidRPr="00A85C00">
        <w:t>The Third Review of the Scheme, which occurred in 2018, recommended that consideration should be given to the most appropriate funding mechanisms to support the ongoing operation of the scheme.</w:t>
      </w:r>
      <w:r w:rsidRPr="00A85C00">
        <w:rPr>
          <w:vertAlign w:val="superscript"/>
        </w:rPr>
        <w:footnoteReference w:id="6"/>
      </w:r>
      <w:r w:rsidRPr="00A85C00">
        <w:t xml:space="preserve"> That review acknowledged that as demand and competition for regulatory oversight in the sector increase, the funding and resources allocated to the OGTR to deliver the regulatory objectives of the Scheme are becoming increasingly dispersed.</w:t>
      </w:r>
      <w:r w:rsidRPr="009C3188">
        <w:t xml:space="preserve"> </w:t>
      </w:r>
    </w:p>
    <w:p w14:paraId="54D4C05A" w14:textId="26F071F0" w:rsidR="00FF2022" w:rsidRPr="00C41801" w:rsidRDefault="00FF2022" w:rsidP="00FF2022">
      <w:pPr>
        <w:pStyle w:val="Heading1"/>
      </w:pPr>
      <w:bookmarkStart w:id="24" w:name="_Toc242195581"/>
      <w:r w:rsidRPr="00C41801">
        <w:t xml:space="preserve">Supporting Innovation and Research through Effective and Efficient Cost-Recovery </w:t>
      </w:r>
      <w:r>
        <w:t>A</w:t>
      </w:r>
      <w:r w:rsidRPr="00C41801">
        <w:t>ctivities</w:t>
      </w:r>
      <w:bookmarkEnd w:id="24"/>
    </w:p>
    <w:p w14:paraId="00E41B09" w14:textId="77777777" w:rsidR="00FF2022" w:rsidRPr="00C41801" w:rsidRDefault="00FF2022" w:rsidP="00FF2022">
      <w:r w:rsidRPr="00C41801">
        <w:t xml:space="preserve">The Australian Government recognises that Australia’s gene technology sector is a diverse ecosystem of universities, research institutions, medical facilities, and commercial entities, all of which contribute to scientific advancement, innovation and growth. Cost recovery arrangements have been developed with careful consideration of stakeholder feedback regarding the potential impacts of regulatory charges on research and innovation. </w:t>
      </w:r>
    </w:p>
    <w:p w14:paraId="49EDCFAE" w14:textId="77777777" w:rsidR="00FF2022" w:rsidRPr="00C41801" w:rsidRDefault="00FF2022" w:rsidP="00FF2022">
      <w:r w:rsidRPr="00C41801">
        <w:t xml:space="preserve">The Australian Government does not intend cost recovery arrangements to discourage research, innovation or the development of new gene technologies in Australia. The phased implementation approach includes targeted exemptions for purely research activities, reduced cost recovery for certain pre-commercial activities and the retention of exemptions and exclusions for organisations with limited capacity to pay. </w:t>
      </w:r>
    </w:p>
    <w:p w14:paraId="434534E2" w14:textId="77777777" w:rsidR="00FF2022" w:rsidRPr="00C41801" w:rsidRDefault="00FF2022" w:rsidP="00FF2022">
      <w:r w:rsidRPr="00C41801">
        <w:t xml:space="preserve">These arrangements are intended to minimise barriers to research and innovation while ensuring regulatory costs are distributed fairly and proportionately across those who benefit from, or create demand for, regulatory activities. </w:t>
      </w:r>
    </w:p>
    <w:p w14:paraId="510A8BE8" w14:textId="77777777" w:rsidR="00FF2022" w:rsidRPr="00C41801" w:rsidRDefault="00FF2022" w:rsidP="00FF2022">
      <w:r w:rsidRPr="00C41801">
        <w:t>Through ongoing stakeholder engagement and periodic review, the OGTR will continue to monitor the impacts of cost recovery arrangements to ensure they support regulatory certainty, encourage responsible innovation and maintain Australia's attractiveness as a destination for gene technology research, clinical development, biotechnology investment and advanced manufacturing.</w:t>
      </w:r>
    </w:p>
    <w:p w14:paraId="1CA619E7" w14:textId="5DDA87E8" w:rsidR="00FF2022" w:rsidRDefault="00FF2022" w:rsidP="00FF2022">
      <w:r w:rsidRPr="00C41801">
        <w:lastRenderedPageBreak/>
        <w:t xml:space="preserve">Cost recovery arrangements will ensure the Scheme can respond effectively to increased demands resulting from fast paced innovation and increasing product delivery in the gene technology sector. Timely, sustainable and responsive regulation provides regulatory certainty to attract industry investment, innovation and productivity. </w:t>
      </w:r>
    </w:p>
    <w:p w14:paraId="2B3C657F" w14:textId="77777777" w:rsidR="00FF2022" w:rsidRPr="00C41801" w:rsidRDefault="00FF2022" w:rsidP="00FF2022">
      <w:pPr>
        <w:pStyle w:val="Heading2"/>
      </w:pPr>
      <w:bookmarkStart w:id="25" w:name="_Toc242195582"/>
      <w:r w:rsidRPr="00C41801">
        <w:t>Continuous Improvement and Process Efficiency Initiatives</w:t>
      </w:r>
      <w:bookmarkEnd w:id="25"/>
    </w:p>
    <w:p w14:paraId="470E83EA" w14:textId="77777777" w:rsidR="00FF2022" w:rsidRPr="002F2584" w:rsidRDefault="00FF2022" w:rsidP="00FF2022">
      <w:r w:rsidRPr="002F2584">
        <w:t>As part of its commitment to efficient and effective regulation, the OGTR commenced a Business Process Mapping Initiative during 2024-25 to document and review its end-to-end regulatory and corporate business processes. The initiative included staff training and capability development in continuous improvement methodologies, to strengthen organisational understanding of process optimisation and value-added activities.</w:t>
      </w:r>
    </w:p>
    <w:p w14:paraId="12E78C7D" w14:textId="77777777" w:rsidR="00FF2022" w:rsidRPr="002F2584" w:rsidRDefault="00FF2022" w:rsidP="00FF2022">
      <w:r w:rsidRPr="002F2584">
        <w:t>Through a series of process mapping workshops and stakeholder consultations, the OGTR identified opportunities to streamline workflows, reduce manual administrative activities and implement automated solutions where appropriate. These improvements have enhanced operational efficiency, reduced process duplication and strengthened the consistency of regulatory delivery.</w:t>
      </w:r>
    </w:p>
    <w:p w14:paraId="58056123" w14:textId="77777777" w:rsidR="00FF2022" w:rsidRDefault="00FF2022" w:rsidP="00FF2022">
      <w:r w:rsidRPr="002F2584">
        <w:t>The OGTR is committed to embedding a culture of continuous improvement across its operations. Process efficiency initiatives will continue to be reviewed and implemented on an ongoing basis, with any resulting changes incorporated into future activity-based costing and process timing assessments. This approach supports the accuracy of cost recovery charges by ensuring that regulatory costs reflect efficient and contemporary business processes.</w:t>
      </w:r>
    </w:p>
    <w:p w14:paraId="616C71BA" w14:textId="77777777" w:rsidR="00FF2022" w:rsidRPr="00B87290" w:rsidRDefault="00FF2022" w:rsidP="00482E23">
      <w:pPr>
        <w:pStyle w:val="Heading2"/>
      </w:pPr>
      <w:bookmarkStart w:id="26" w:name="_Toc242195583"/>
      <w:r w:rsidRPr="00B87290">
        <w:t>O</w:t>
      </w:r>
      <w:r>
        <w:t>GTR</w:t>
      </w:r>
      <w:r w:rsidRPr="00B87290">
        <w:t xml:space="preserve"> Key Performance Indicators</w:t>
      </w:r>
      <w:bookmarkEnd w:id="26"/>
      <w:r w:rsidRPr="00B87290">
        <w:t xml:space="preserve"> </w:t>
      </w:r>
      <w:r w:rsidRPr="00B87290">
        <w:tab/>
      </w:r>
    </w:p>
    <w:p w14:paraId="5D0AA542" w14:textId="0FBF53F8" w:rsidR="00257442" w:rsidRDefault="00FF2022" w:rsidP="00FF2022">
      <w:r w:rsidRPr="002F2584">
        <w:t xml:space="preserve">To support transparency and accountability, the OGTR intends to publish quarterly performance information following the commencement of cost recovery arrangements. Reporting will include measures of statutory decision-making timeliness, including the percentage of decisions made within legislated timeframes and performance against agreed internal performance </w:t>
      </w:r>
      <w:r w:rsidRPr="00403ED8">
        <w:rPr>
          <w:rFonts w:cs="Arial"/>
        </w:rPr>
        <w:t>indicators</w:t>
      </w:r>
      <w:r w:rsidR="003B592D" w:rsidRPr="00403ED8">
        <w:rPr>
          <w:rFonts w:cs="Arial"/>
        </w:rPr>
        <w:t xml:space="preserve"> (</w:t>
      </w:r>
      <w:r w:rsidR="003B592D" w:rsidRPr="00403ED8">
        <w:rPr>
          <w:rFonts w:cs="Arial"/>
        </w:rPr>
        <w:fldChar w:fldCharType="begin"/>
      </w:r>
      <w:r w:rsidR="003B592D" w:rsidRPr="00403ED8">
        <w:rPr>
          <w:rFonts w:cs="Arial"/>
        </w:rPr>
        <w:instrText xml:space="preserve"> REF _Ref240572926 \h </w:instrText>
      </w:r>
      <w:r w:rsidR="00C71287" w:rsidRPr="00403ED8">
        <w:rPr>
          <w:rFonts w:cs="Arial"/>
        </w:rPr>
        <w:instrText xml:space="preserve"> \* MERGEFORMAT </w:instrText>
      </w:r>
      <w:r w:rsidR="003B592D" w:rsidRPr="00403ED8">
        <w:rPr>
          <w:rFonts w:cs="Arial"/>
        </w:rPr>
      </w:r>
      <w:r w:rsidR="003B592D" w:rsidRPr="00403ED8">
        <w:rPr>
          <w:rFonts w:cs="Arial"/>
        </w:rPr>
        <w:fldChar w:fldCharType="separate"/>
      </w:r>
      <w:r w:rsidR="00C71287" w:rsidRPr="00403ED8">
        <w:rPr>
          <w:rFonts w:cs="Arial"/>
          <w:kern w:val="0"/>
          <w:szCs w:val="20"/>
          <w14:ligatures w14:val="none"/>
        </w:rPr>
        <w:t>Table 2</w:t>
      </w:r>
      <w:r w:rsidR="003B592D" w:rsidRPr="00403ED8">
        <w:rPr>
          <w:rFonts w:cs="Arial"/>
        </w:rPr>
        <w:fldChar w:fldCharType="end"/>
      </w:r>
      <w:r w:rsidR="003B592D" w:rsidRPr="00403ED8">
        <w:rPr>
          <w:rFonts w:cs="Arial"/>
        </w:rPr>
        <w:t>)</w:t>
      </w:r>
      <w:r w:rsidRPr="00403ED8">
        <w:rPr>
          <w:rFonts w:cs="Arial"/>
        </w:rPr>
        <w:t>.</w:t>
      </w:r>
      <w:r w:rsidRPr="00403ED8">
        <w:t xml:space="preserve"> </w:t>
      </w:r>
      <w:r w:rsidRPr="002F2584">
        <w:t xml:space="preserve">These indicators may include targets relating to the proportion of decisions completed within prescribed timeframes or finalised in advance of statutory deadlines. </w:t>
      </w:r>
    </w:p>
    <w:p w14:paraId="0F072FF2" w14:textId="51877A48" w:rsidR="004A5930" w:rsidRPr="007A6E8B" w:rsidRDefault="004A5930" w:rsidP="00263E1E">
      <w:pPr>
        <w:pStyle w:val="Caption"/>
        <w:rPr>
          <w:rFonts w:ascii="Calibri Light" w:hAnsi="Calibri Light" w:cstheme="minorBidi"/>
          <w:color w:val="3A7C22" w:themeColor="accent6" w:themeShade="BF"/>
          <w:kern w:val="0"/>
          <w:szCs w:val="20"/>
          <w14:ligatures w14:val="none"/>
        </w:rPr>
      </w:pPr>
      <w:bookmarkStart w:id="27" w:name="_Ref240572926"/>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F43E2" w:rsidRPr="007A6E8B">
        <w:rPr>
          <w:rFonts w:ascii="Calibri Light" w:hAnsi="Calibri Light" w:cstheme="minorBidi"/>
          <w:i w:val="0"/>
          <w:color w:val="3A7C22" w:themeColor="accent6" w:themeShade="BF"/>
          <w:kern w:val="0"/>
          <w:sz w:val="20"/>
          <w:szCs w:val="20"/>
          <w14:ligatures w14:val="none"/>
        </w:rPr>
        <w:t>2</w:t>
      </w:r>
      <w:r w:rsidRPr="007A6E8B">
        <w:rPr>
          <w:rFonts w:ascii="Calibri Light" w:hAnsi="Calibri Light" w:cstheme="minorBidi"/>
          <w:i w:val="0"/>
          <w:color w:val="3A7C22" w:themeColor="accent6" w:themeShade="BF"/>
          <w:kern w:val="0"/>
          <w:sz w:val="20"/>
          <w:szCs w:val="20"/>
          <w14:ligatures w14:val="none"/>
        </w:rPr>
        <w:fldChar w:fldCharType="end"/>
      </w:r>
      <w:bookmarkEnd w:id="27"/>
      <w:r w:rsidRPr="007A6E8B">
        <w:rPr>
          <w:rFonts w:ascii="Calibri Light" w:hAnsi="Calibri Light" w:cstheme="minorBidi"/>
          <w:i w:val="0"/>
          <w:color w:val="3A7C22" w:themeColor="accent6" w:themeShade="BF"/>
          <w:kern w:val="0"/>
          <w:sz w:val="20"/>
          <w:szCs w:val="20"/>
          <w14:ligatures w14:val="none"/>
        </w:rPr>
        <w:t>:</w:t>
      </w:r>
      <w:r w:rsidR="00981393" w:rsidRPr="007A6E8B">
        <w:rPr>
          <w:rFonts w:ascii="Calibri Light" w:hAnsi="Calibri Light" w:cstheme="minorBidi"/>
          <w:i w:val="0"/>
          <w:color w:val="3A7C22" w:themeColor="accent6" w:themeShade="BF"/>
          <w:kern w:val="0"/>
          <w:sz w:val="20"/>
          <w:szCs w:val="20"/>
          <w14:ligatures w14:val="none"/>
        </w:rPr>
        <w:t xml:space="preserve"> Depicts key performance indicators</w:t>
      </w:r>
    </w:p>
    <w:tbl>
      <w:tblPr>
        <w:tblpPr w:leftFromText="180" w:rightFromText="180" w:vertAnchor="text" w:horzAnchor="margin" w:tblpY="-14"/>
        <w:tblW w:w="0" w:type="auto"/>
        <w:tblCellSpacing w:w="15" w:type="dxa"/>
        <w:tblCellMar>
          <w:top w:w="15" w:type="dxa"/>
          <w:left w:w="15" w:type="dxa"/>
          <w:bottom w:w="15" w:type="dxa"/>
          <w:right w:w="15" w:type="dxa"/>
        </w:tblCellMar>
        <w:tblLook w:val="04A0" w:firstRow="1" w:lastRow="0" w:firstColumn="1" w:lastColumn="0" w:noHBand="0" w:noVBand="1"/>
      </w:tblPr>
      <w:tblGrid>
        <w:gridCol w:w="1903"/>
        <w:gridCol w:w="7107"/>
      </w:tblGrid>
      <w:tr w:rsidR="00257442" w:rsidRPr="002F2584" w14:paraId="2BBC7057" w14:textId="77777777" w:rsidTr="0025744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700672" w14:textId="77777777" w:rsidR="00257442" w:rsidRPr="002F2584" w:rsidRDefault="00257442" w:rsidP="00257442">
            <w:pPr>
              <w:rPr>
                <w:b/>
                <w:bCs/>
              </w:rPr>
            </w:pPr>
            <w:r w:rsidRPr="002F2584">
              <w:rPr>
                <w:b/>
                <w:bCs/>
              </w:rPr>
              <w:t>KPI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B40F52" w14:textId="77777777" w:rsidR="00257442" w:rsidRPr="002F2584" w:rsidRDefault="00257442" w:rsidP="00257442">
            <w:pPr>
              <w:rPr>
                <w:b/>
                <w:bCs/>
              </w:rPr>
            </w:pPr>
            <w:r w:rsidRPr="002F2584">
              <w:rPr>
                <w:b/>
                <w:bCs/>
              </w:rPr>
              <w:t>Measure</w:t>
            </w:r>
          </w:p>
        </w:tc>
      </w:tr>
      <w:tr w:rsidR="00257442" w:rsidRPr="002F2584" w14:paraId="23E8DD48" w14:textId="77777777" w:rsidTr="0025744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2E923E" w14:textId="23569636" w:rsidR="00257442" w:rsidRPr="002F2584" w:rsidRDefault="00257442" w:rsidP="00257442">
            <w:r>
              <w:t>Timeliness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AD5028" w14:textId="13BC2DCC" w:rsidR="00257442" w:rsidRPr="002F2584" w:rsidRDefault="00257442" w:rsidP="00257442">
            <w:r>
              <w:t>Th</w:t>
            </w:r>
            <w:r w:rsidR="00A71599">
              <w:t>e PBS</w:t>
            </w:r>
            <w:r w:rsidR="004B2CAB" w:rsidRPr="004B2CAB">
              <w:rPr>
                <w:sz w:val="22"/>
                <w:szCs w:val="28"/>
                <w:vertAlign w:val="superscript"/>
              </w:rPr>
              <w:t>*</w:t>
            </w:r>
            <w:r w:rsidR="00A71599">
              <w:t xml:space="preserve"> Target of 98%</w:t>
            </w:r>
            <w:r>
              <w:t xml:space="preserve"> has been met and exceeded with 100% of all licence decisions being made within legislated timeframes.  </w:t>
            </w:r>
          </w:p>
        </w:tc>
      </w:tr>
      <w:tr w:rsidR="00257442" w:rsidRPr="002F2584" w14:paraId="11729F73" w14:textId="77777777" w:rsidTr="0025744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7DE953" w14:textId="77777777" w:rsidR="00257442" w:rsidRPr="002F2584" w:rsidRDefault="00257442" w:rsidP="00257442">
            <w:r w:rsidRPr="002F2584">
              <w:t>Processing Efficiency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6CEAA5" w14:textId="77777777" w:rsidR="00257442" w:rsidRPr="002F2584" w:rsidRDefault="00257442" w:rsidP="00257442">
            <w:r>
              <w:t xml:space="preserve">Reporting of </w:t>
            </w:r>
            <w:r w:rsidRPr="002F2584">
              <w:t>median processing times of: DNIR, DIR Limited &amp; Controlled, Commercial DIR</w:t>
            </w:r>
          </w:p>
        </w:tc>
      </w:tr>
      <w:tr w:rsidR="00257442" w:rsidRPr="002F2584" w14:paraId="2FBAD2D0" w14:textId="77777777" w:rsidTr="0025744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5BBAA4" w14:textId="77777777" w:rsidR="00257442" w:rsidRPr="002F2584" w:rsidRDefault="00257442" w:rsidP="00257442">
            <w:r w:rsidRPr="002F2584">
              <w:t>Transparency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142ACD" w14:textId="77777777" w:rsidR="00257442" w:rsidRPr="002F2584" w:rsidRDefault="00257442" w:rsidP="00257442">
            <w:r w:rsidRPr="002F2584">
              <w:t>Publish quarterly performance data including median processing times and statutory compliance rates</w:t>
            </w:r>
          </w:p>
        </w:tc>
      </w:tr>
      <w:tr w:rsidR="00257442" w:rsidRPr="006E1FFF" w14:paraId="36AB9D1C" w14:textId="77777777" w:rsidTr="00257442">
        <w:trPr>
          <w:trHeight w:val="56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365553" w14:textId="77777777" w:rsidR="00257442" w:rsidRPr="002F2584" w:rsidRDefault="00257442" w:rsidP="00257442">
            <w:r w:rsidRPr="002F2584">
              <w:t>Continuous Improvement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7409E0" w14:textId="77777777" w:rsidR="00257442" w:rsidRPr="002F2584" w:rsidRDefault="00257442" w:rsidP="00257442">
            <w:r w:rsidRPr="002F2584">
              <w:t>Monitor and report on statutory clock-stop provisions and processing efficiencies</w:t>
            </w:r>
          </w:p>
        </w:tc>
      </w:tr>
    </w:tbl>
    <w:p w14:paraId="3C4C4380" w14:textId="309804FE" w:rsidR="00257442" w:rsidRDefault="00257442" w:rsidP="00054D3B">
      <w:pPr>
        <w:ind w:left="284"/>
        <w:rPr>
          <w:sz w:val="18"/>
          <w:szCs w:val="22"/>
        </w:rPr>
      </w:pPr>
      <w:r w:rsidRPr="00257442">
        <w:rPr>
          <w:sz w:val="18"/>
          <w:szCs w:val="22"/>
        </w:rPr>
        <w:t xml:space="preserve">*Portfolio Budget Statements (PBS) are documents that explain how an entity’s funding allocations support the Government’s policy priorities and intended outcomes. They provide information on Budget measures, planned expenditure, performance information and the programs and activities the entity will deliver. The PBS help Parliament understand how public resources will be used, what results are expected to be achieved, and how an entity’s performance will be monitored and assessed. </w:t>
      </w:r>
    </w:p>
    <w:p w14:paraId="5C2F287C" w14:textId="77777777" w:rsidR="00656697" w:rsidRPr="00054D3B" w:rsidRDefault="00656697" w:rsidP="00054D3B">
      <w:pPr>
        <w:ind w:left="284"/>
        <w:rPr>
          <w:sz w:val="18"/>
          <w:szCs w:val="22"/>
        </w:rPr>
      </w:pPr>
    </w:p>
    <w:p w14:paraId="1439BA29" w14:textId="425F2E37" w:rsidR="00656697" w:rsidRDefault="00257442" w:rsidP="00257442">
      <w:pPr>
        <w:pStyle w:val="Heading1"/>
      </w:pPr>
      <w:bookmarkStart w:id="28" w:name="_Toc242195584"/>
      <w:r>
        <w:lastRenderedPageBreak/>
        <w:t>ABC and Cost Recovery Methodology</w:t>
      </w:r>
      <w:bookmarkEnd w:id="28"/>
      <w:r>
        <w:t xml:space="preserve"> </w:t>
      </w:r>
    </w:p>
    <w:p w14:paraId="69112308" w14:textId="5A02958C" w:rsidR="00257442" w:rsidRDefault="00257442" w:rsidP="00257442">
      <w:r>
        <w:t xml:space="preserve">The OGTR, with the support of Deloitte Access Economics, adopted an Activity Based Costing (ABC) methodology to determine the efficient costs of regulatory charging activities. The methodology is informed by activity-based data collected since November 2021 from staff directly involved in regulatory assessment, regulatory decision-making and administrative processing activities. This data provides a robust evidence base for identifying the effort and resources required to undertake regulatory functions across the Scheme. </w:t>
      </w:r>
      <w:r w:rsidR="00B06303" w:rsidRPr="006C1D0B">
        <w:t xml:space="preserve">The ABC data has been progressively refined to </w:t>
      </w:r>
      <w:r w:rsidR="005337D5">
        <w:t xml:space="preserve">reflect business processes and to provide a </w:t>
      </w:r>
      <w:r w:rsidR="00B06303" w:rsidRPr="006C1D0B">
        <w:t>consisten</w:t>
      </w:r>
      <w:r w:rsidR="005337D5">
        <w:t>t</w:t>
      </w:r>
      <w:r w:rsidR="00B06303" w:rsidRPr="006C1D0B">
        <w:t xml:space="preserve"> and representative</w:t>
      </w:r>
      <w:r w:rsidR="005337D5">
        <w:t xml:space="preserve"> approach which </w:t>
      </w:r>
      <w:r w:rsidR="00B06303" w:rsidRPr="006C1D0B">
        <w:t>strengthen</w:t>
      </w:r>
      <w:r w:rsidR="005337D5">
        <w:t xml:space="preserve">s </w:t>
      </w:r>
      <w:r w:rsidR="00B06303" w:rsidRPr="006C1D0B">
        <w:t>the reliability of the cost recovery model</w:t>
      </w:r>
      <w:r w:rsidR="0069364D">
        <w:t>. The proposed</w:t>
      </w:r>
      <w:r w:rsidR="005337D5">
        <w:t xml:space="preserve"> </w:t>
      </w:r>
      <w:r w:rsidR="00B06303" w:rsidRPr="006C1D0B">
        <w:t>charges accurately reflect the regulatory effort required to deliver chargeable activities.</w:t>
      </w:r>
    </w:p>
    <w:p w14:paraId="5179CDB6" w14:textId="77777777" w:rsidR="00257442" w:rsidRDefault="00257442" w:rsidP="00257442">
      <w:r>
        <w:t>ABC data allocates costs to regulatory activities based on the level of effort and resources required to undertake them. This approach provides a transparent and evidence-based method for identifying the efficient costs of regulatory charging activities while minimising cross-subsidisation between activity types. Only costs attributable to chargeable regulatory activities are recovered through fees and charges. Costs associated with broader regulatory functions, policy development, stakeholder engagement activities and other activities not currently subject to cost recovery continue to be funded through Government appropriation.</w:t>
      </w:r>
    </w:p>
    <w:p w14:paraId="1E1E460A" w14:textId="0077F90E" w:rsidR="00257442" w:rsidRDefault="00257442" w:rsidP="00FF2022">
      <w:r>
        <w:t>Licence application fees are further differentiated by high and low complexity categories, recognising that some applications require significantly greater regulatory effort than others. This approach better aligns fees with costs and reduces the extent to which lower-complexity applications subsidise the assessment of more complex applications.</w:t>
      </w:r>
    </w:p>
    <w:p w14:paraId="77D0A8DC" w14:textId="5777508A" w:rsidR="0089220B" w:rsidRPr="004C1AA9" w:rsidRDefault="0089220B" w:rsidP="0089220B">
      <w:pPr>
        <w:pStyle w:val="Heading1"/>
      </w:pPr>
      <w:bookmarkStart w:id="29" w:name="_Toc168990920"/>
      <w:bookmarkStart w:id="30" w:name="_Toc242195585"/>
      <w:r w:rsidRPr="004C1AA9">
        <w:t xml:space="preserve">Design of </w:t>
      </w:r>
      <w:r w:rsidR="00DC515A">
        <w:t>C</w:t>
      </w:r>
      <w:r w:rsidRPr="004C1AA9">
        <w:t xml:space="preserve">ost </w:t>
      </w:r>
      <w:r w:rsidR="00DC515A">
        <w:t>R</w:t>
      </w:r>
      <w:r w:rsidRPr="004C1AA9">
        <w:t>ecovery</w:t>
      </w:r>
      <w:bookmarkEnd w:id="29"/>
      <w:bookmarkEnd w:id="30"/>
      <w:r w:rsidRPr="004C1AA9">
        <w:t xml:space="preserve"> </w:t>
      </w:r>
    </w:p>
    <w:p w14:paraId="1AEB0020" w14:textId="28EA8B17" w:rsidR="0089220B" w:rsidRDefault="0089220B" w:rsidP="00482E23">
      <w:pPr>
        <w:pStyle w:val="Heading2"/>
      </w:pPr>
      <w:bookmarkStart w:id="31" w:name="_Toc167800561"/>
      <w:bookmarkStart w:id="32" w:name="_Toc168990921"/>
      <w:bookmarkStart w:id="33" w:name="_Toc242195586"/>
      <w:r w:rsidRPr="004C1AA9">
        <w:t xml:space="preserve">Regulatory </w:t>
      </w:r>
      <w:r w:rsidR="00DC515A">
        <w:t>c</w:t>
      </w:r>
      <w:r w:rsidRPr="004C1AA9">
        <w:t xml:space="preserve">harges </w:t>
      </w:r>
      <w:r w:rsidR="00DC515A">
        <w:t>u</w:t>
      </w:r>
      <w:r w:rsidRPr="004C1AA9">
        <w:t>sed</w:t>
      </w:r>
      <w:bookmarkEnd w:id="31"/>
      <w:bookmarkEnd w:id="32"/>
      <w:bookmarkEnd w:id="33"/>
    </w:p>
    <w:p w14:paraId="6DFF578C" w14:textId="0CD10098" w:rsidR="002C32BB" w:rsidRPr="002C32BB" w:rsidRDefault="002C32BB" w:rsidP="002C32BB">
      <w:r w:rsidRPr="002C32BB">
        <w:t>The OGTR proposes to recover the costs of regulatory charging activities through a combination of application fees and annual licence charges. Application fees apply to specific regulatory activities undertaken in response to an application for a licence or certification, while annual licence charges apply to the ongoing administration and management of granted licences</w:t>
      </w:r>
      <w:r w:rsidR="00B23C9C">
        <w:t xml:space="preserve"> (see Appendix A)</w:t>
      </w:r>
      <w:r w:rsidRPr="002C32BB">
        <w:t xml:space="preserve">. This charging approach aligns with the </w:t>
      </w:r>
      <w:r w:rsidR="004B2CAB">
        <w:t>AGCF</w:t>
      </w:r>
      <w:r w:rsidRPr="002C32BB">
        <w:t xml:space="preserve"> and supports the equitable allocation of regulatory costs to those who create demand for regulatory activities.</w:t>
      </w:r>
    </w:p>
    <w:p w14:paraId="10A02050" w14:textId="159A3F77" w:rsidR="00257442" w:rsidRDefault="002C32BB" w:rsidP="002C32BB">
      <w:r w:rsidRPr="002C32BB">
        <w:t>Application fees enable the OGTR to recover the efficient costs associated with assessing and processing licence and certification applications as those costs are incurred. This approach provides a direct relationship between the regulatory activity undertaken and the entity requesting the activity. It also helps ensure that charges remain responsive to changes in application volumes and regulatory effort over time.</w:t>
      </w:r>
    </w:p>
    <w:p w14:paraId="48D349EB" w14:textId="3381AB94" w:rsidR="002C32BB" w:rsidRPr="002C32BB" w:rsidRDefault="002C32BB" w:rsidP="002C32BB">
      <w:r w:rsidRPr="002C32BB">
        <w:t>An annual licence charge is proposed to recover the ongoing regulatory effort associated with administering and managing licences after they have been granted. These activities are not attributable to a single application but are necessary to support the effective operation and integrity of the Scheme. Activities recovered through the annual licence charge include monitoring and auditing, post-authorisation notifications, stakeholder support and enquiries, maintenance of regulatory guidance, information and database management, committee and secretariat functions, and other licence management activities associated with the ongoing administration of licences.</w:t>
      </w:r>
    </w:p>
    <w:p w14:paraId="1979736D" w14:textId="69E04D1A" w:rsidR="00FD2252" w:rsidRPr="002C32BB" w:rsidRDefault="002C32BB" w:rsidP="00EA329F">
      <w:r w:rsidRPr="002C32BB">
        <w:t>Recovering these costs through an annual licence charge ensures that ongoing licence management activities are funded by licence holders rather than through application fees. This approach aligns the recovery of ongoing regulatory costs with those who continue to hold and benefit from licences and avoids requiring applicants whose applications are unsuccessful to contribute towards activities from which they do not benefit.</w:t>
      </w:r>
    </w:p>
    <w:p w14:paraId="3E889907" w14:textId="77777777" w:rsidR="0089220B" w:rsidRPr="004C1AA9" w:rsidRDefault="0089220B" w:rsidP="0089220B">
      <w:pPr>
        <w:pStyle w:val="Heading2"/>
      </w:pPr>
      <w:bookmarkStart w:id="34" w:name="_Toc167800562"/>
      <w:bookmarkStart w:id="35" w:name="_Toc168990922"/>
      <w:bookmarkStart w:id="36" w:name="_Toc242195587"/>
      <w:r w:rsidRPr="004C1AA9">
        <w:lastRenderedPageBreak/>
        <w:t>Relationship between charges and costs</w:t>
      </w:r>
      <w:bookmarkEnd w:id="34"/>
      <w:bookmarkEnd w:id="35"/>
      <w:bookmarkEnd w:id="36"/>
    </w:p>
    <w:p w14:paraId="19636A00" w14:textId="0C77B46F" w:rsidR="0089220B" w:rsidRDefault="0089220B" w:rsidP="0089220B">
      <w:r>
        <w:t>The proposed fee amounts are set at levels which fully recover the OGTR’s recoverable costs, using the averages of the OGTR’s sample dataset. The proposed fee charges aspire to balance the cost variances within and between cost recoverable activities, with the administrative burden on the OGTR of administering the fees and the certainty of fixed fee levels for regulated entities.</w:t>
      </w:r>
    </w:p>
    <w:p w14:paraId="723E8209" w14:textId="77777777" w:rsidR="00921B48" w:rsidRDefault="00921B48" w:rsidP="00921B48">
      <w:pPr>
        <w:pStyle w:val="Heading2"/>
      </w:pPr>
      <w:bookmarkStart w:id="37" w:name="_Ref167284283"/>
      <w:bookmarkStart w:id="38" w:name="_Toc242195588"/>
      <w:r w:rsidRPr="00925060">
        <w:t>Other recoverable activities</w:t>
      </w:r>
      <w:bookmarkEnd w:id="37"/>
      <w:r>
        <w:t xml:space="preserve"> built into the application fee</w:t>
      </w:r>
      <w:bookmarkEnd w:id="38"/>
    </w:p>
    <w:p w14:paraId="630F84B6" w14:textId="77777777" w:rsidR="00921B48" w:rsidRPr="008136AD" w:rsidRDefault="00921B48" w:rsidP="00921B48">
      <w:r w:rsidRPr="008136AD">
        <w:t>The proposed fees would also recover the proportion of indirect costs which – although incurred as part of the OGTR’s overall activities – are attributable in part to the assessment of licence and certification applications, and the management of these applications. These costs include a proportion of</w:t>
      </w:r>
      <w:r>
        <w:t xml:space="preserve"> </w:t>
      </w:r>
      <w:r w:rsidRPr="008136AD">
        <w:t>payment processing and invoicing to the amount of $4</w:t>
      </w:r>
      <w:r>
        <w:t>4.90</w:t>
      </w:r>
      <w:r w:rsidRPr="008136AD">
        <w:t xml:space="preserve"> per invoice</w:t>
      </w:r>
      <w:r>
        <w:t>.</w:t>
      </w:r>
    </w:p>
    <w:p w14:paraId="53A8A913" w14:textId="53045FE9" w:rsidR="008956F8" w:rsidRDefault="008956F8" w:rsidP="008956F8">
      <w:pPr>
        <w:pStyle w:val="Heading1"/>
      </w:pPr>
      <w:bookmarkStart w:id="39" w:name="_Ref167100081"/>
      <w:bookmarkStart w:id="40" w:name="_Ref167263204"/>
      <w:bookmarkStart w:id="41" w:name="_Ref167281320"/>
      <w:bookmarkStart w:id="42" w:name="_Toc168990912"/>
      <w:bookmarkStart w:id="43" w:name="_Toc242195589"/>
      <w:r>
        <w:t>Cost Recovery Model</w:t>
      </w:r>
      <w:bookmarkEnd w:id="39"/>
      <w:bookmarkEnd w:id="40"/>
      <w:bookmarkEnd w:id="41"/>
      <w:bookmarkEnd w:id="42"/>
      <w:bookmarkEnd w:id="43"/>
    </w:p>
    <w:p w14:paraId="6B19957C" w14:textId="5AF46F83" w:rsidR="004B2CAB" w:rsidRDefault="004B2CAB" w:rsidP="009D6232">
      <w:r>
        <w:t xml:space="preserve">The charging rates for Phase 1 of cost recovery arrangements are </w:t>
      </w:r>
      <w:r w:rsidRPr="00C71287">
        <w:rPr>
          <w:rFonts w:cs="Arial"/>
        </w:rPr>
        <w:t>demonstrated below</w:t>
      </w:r>
      <w:r w:rsidR="0090352A" w:rsidRPr="00C71287">
        <w:rPr>
          <w:rFonts w:cs="Arial"/>
        </w:rPr>
        <w:t xml:space="preserve"> </w:t>
      </w:r>
      <w:r w:rsidR="0090352A" w:rsidRPr="00403ED8">
        <w:rPr>
          <w:rFonts w:cs="Arial"/>
        </w:rPr>
        <w:t>(</w:t>
      </w:r>
      <w:r w:rsidR="0090352A" w:rsidRPr="00403ED8">
        <w:rPr>
          <w:rFonts w:cs="Arial"/>
        </w:rPr>
        <w:fldChar w:fldCharType="begin"/>
      </w:r>
      <w:r w:rsidR="0090352A" w:rsidRPr="00403ED8">
        <w:rPr>
          <w:rFonts w:cs="Arial"/>
        </w:rPr>
        <w:instrText xml:space="preserve"> REF _Ref240573142 \h </w:instrText>
      </w:r>
      <w:r w:rsidR="00C71287" w:rsidRPr="00403ED8">
        <w:rPr>
          <w:rFonts w:cs="Arial"/>
        </w:rPr>
        <w:instrText xml:space="preserve"> \* MERGEFORMAT </w:instrText>
      </w:r>
      <w:r w:rsidR="0090352A" w:rsidRPr="00403ED8">
        <w:rPr>
          <w:rFonts w:cs="Arial"/>
        </w:rPr>
      </w:r>
      <w:r w:rsidR="0090352A" w:rsidRPr="00403ED8">
        <w:rPr>
          <w:rFonts w:cs="Arial"/>
        </w:rPr>
        <w:fldChar w:fldCharType="separate"/>
      </w:r>
      <w:r w:rsidR="00C71287" w:rsidRPr="00403ED8">
        <w:rPr>
          <w:rFonts w:cs="Arial"/>
          <w:kern w:val="0"/>
          <w:szCs w:val="20"/>
          <w14:ligatures w14:val="none"/>
        </w:rPr>
        <w:t>Table 3</w:t>
      </w:r>
      <w:r w:rsidR="0090352A" w:rsidRPr="00403ED8">
        <w:rPr>
          <w:rFonts w:cs="Arial"/>
        </w:rPr>
        <w:fldChar w:fldCharType="end"/>
      </w:r>
      <w:r w:rsidR="0090352A" w:rsidRPr="00403ED8">
        <w:rPr>
          <w:rFonts w:cs="Arial"/>
        </w:rPr>
        <w:t>)</w:t>
      </w:r>
      <w:r w:rsidRPr="00403ED8">
        <w:rPr>
          <w:rFonts w:cs="Arial"/>
        </w:rPr>
        <w:t>.</w:t>
      </w:r>
    </w:p>
    <w:p w14:paraId="73EF0460" w14:textId="0CAE466A" w:rsidR="0090352A" w:rsidRPr="007A6E8B" w:rsidRDefault="0090352A" w:rsidP="00263E1E">
      <w:pPr>
        <w:pStyle w:val="Caption"/>
        <w:rPr>
          <w:rFonts w:ascii="Calibri Light" w:hAnsi="Calibri Light" w:cstheme="minorBidi"/>
          <w:color w:val="3A7C22" w:themeColor="accent6" w:themeShade="BF"/>
          <w:kern w:val="0"/>
          <w:szCs w:val="20"/>
          <w14:ligatures w14:val="none"/>
        </w:rPr>
      </w:pPr>
      <w:bookmarkStart w:id="44" w:name="_Ref240573142"/>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F43E2" w:rsidRPr="007A6E8B">
        <w:rPr>
          <w:rFonts w:ascii="Calibri Light" w:hAnsi="Calibri Light" w:cstheme="minorBidi"/>
          <w:i w:val="0"/>
          <w:color w:val="3A7C22" w:themeColor="accent6" w:themeShade="BF"/>
          <w:kern w:val="0"/>
          <w:sz w:val="20"/>
          <w:szCs w:val="20"/>
          <w14:ligatures w14:val="none"/>
        </w:rPr>
        <w:t>3</w:t>
      </w:r>
      <w:r w:rsidRPr="007A6E8B">
        <w:rPr>
          <w:rFonts w:ascii="Calibri Light" w:hAnsi="Calibri Light" w:cstheme="minorBidi"/>
          <w:i w:val="0"/>
          <w:color w:val="3A7C22" w:themeColor="accent6" w:themeShade="BF"/>
          <w:kern w:val="0"/>
          <w:sz w:val="20"/>
          <w:szCs w:val="20"/>
          <w14:ligatures w14:val="none"/>
        </w:rPr>
        <w:fldChar w:fldCharType="end"/>
      </w:r>
      <w:bookmarkEnd w:id="44"/>
      <w:r w:rsidRPr="007A6E8B">
        <w:rPr>
          <w:rFonts w:ascii="Calibri Light" w:hAnsi="Calibri Light" w:cstheme="minorBidi"/>
          <w:i w:val="0"/>
          <w:color w:val="3A7C22" w:themeColor="accent6" w:themeShade="BF"/>
          <w:kern w:val="0"/>
          <w:sz w:val="20"/>
          <w:szCs w:val="20"/>
          <w14:ligatures w14:val="none"/>
        </w:rPr>
        <w:t>:</w:t>
      </w:r>
      <w:r w:rsidR="00DB6D41" w:rsidRPr="007A6E8B">
        <w:rPr>
          <w:rFonts w:ascii="Calibri Light" w:hAnsi="Calibri Light" w:cstheme="minorBidi"/>
          <w:i w:val="0"/>
          <w:color w:val="3A7C22" w:themeColor="accent6" w:themeShade="BF"/>
          <w:kern w:val="0"/>
          <w:sz w:val="20"/>
          <w:szCs w:val="20"/>
          <w14:ligatures w14:val="none"/>
        </w:rPr>
        <w:t xml:space="preserve"> Phase 1 cost recovery arrangements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4"/>
        <w:gridCol w:w="1235"/>
        <w:gridCol w:w="1591"/>
        <w:gridCol w:w="1006"/>
      </w:tblGrid>
      <w:tr w:rsidR="004B2CAB" w:rsidRPr="00137413" w14:paraId="79734621" w14:textId="77777777" w:rsidTr="00936DB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83CAEB"/>
            <w:vAlign w:val="center"/>
            <w:hideMark/>
          </w:tcPr>
          <w:p w14:paraId="4F88AC22" w14:textId="77777777" w:rsidR="004B2CAB" w:rsidRPr="00137413" w:rsidRDefault="004B2CAB" w:rsidP="00936DB4">
            <w:pPr>
              <w:rPr>
                <w:b/>
                <w:bCs/>
              </w:rPr>
            </w:pPr>
            <w:r w:rsidRPr="00137413">
              <w:rPr>
                <w:b/>
                <w:bCs/>
              </w:rPr>
              <w:t>Charge Category</w:t>
            </w:r>
          </w:p>
        </w:tc>
        <w:tc>
          <w:tcPr>
            <w:tcW w:w="0" w:type="auto"/>
            <w:tcBorders>
              <w:top w:val="single" w:sz="6" w:space="0" w:color="E6E6E6"/>
              <w:left w:val="single" w:sz="6" w:space="0" w:color="E6E6E6"/>
              <w:bottom w:val="single" w:sz="6" w:space="0" w:color="E6E6E6"/>
              <w:right w:val="single" w:sz="6" w:space="0" w:color="E6E6E6"/>
            </w:tcBorders>
            <w:shd w:val="clear" w:color="auto" w:fill="83CAEB"/>
            <w:vAlign w:val="center"/>
            <w:hideMark/>
          </w:tcPr>
          <w:p w14:paraId="49407861" w14:textId="77777777" w:rsidR="004B2CAB" w:rsidRPr="00137413" w:rsidRDefault="004B2CAB" w:rsidP="00936DB4">
            <w:pPr>
              <w:rPr>
                <w:b/>
                <w:bCs/>
              </w:rPr>
            </w:pPr>
            <w:r w:rsidRPr="00137413">
              <w:rPr>
                <w:b/>
                <w:bCs/>
              </w:rPr>
              <w:t>Commercial</w:t>
            </w:r>
          </w:p>
        </w:tc>
        <w:tc>
          <w:tcPr>
            <w:tcW w:w="0" w:type="auto"/>
            <w:tcBorders>
              <w:top w:val="single" w:sz="6" w:space="0" w:color="E6E6E6"/>
              <w:left w:val="single" w:sz="6" w:space="0" w:color="E6E6E6"/>
              <w:bottom w:val="single" w:sz="6" w:space="0" w:color="E6E6E6"/>
              <w:right w:val="single" w:sz="6" w:space="0" w:color="E6E6E6"/>
            </w:tcBorders>
            <w:shd w:val="clear" w:color="auto" w:fill="83CAEB"/>
            <w:vAlign w:val="center"/>
            <w:hideMark/>
          </w:tcPr>
          <w:p w14:paraId="49570DE2" w14:textId="77777777" w:rsidR="004B2CAB" w:rsidRPr="00137413" w:rsidRDefault="004B2CAB" w:rsidP="00936DB4">
            <w:pPr>
              <w:rPr>
                <w:b/>
                <w:bCs/>
              </w:rPr>
            </w:pPr>
            <w:r w:rsidRPr="00137413">
              <w:rPr>
                <w:b/>
                <w:bCs/>
              </w:rPr>
              <w:t>Pre-commercial</w:t>
            </w:r>
          </w:p>
        </w:tc>
        <w:tc>
          <w:tcPr>
            <w:tcW w:w="0" w:type="auto"/>
            <w:tcBorders>
              <w:top w:val="single" w:sz="6" w:space="0" w:color="E6E6E6"/>
              <w:left w:val="single" w:sz="6" w:space="0" w:color="E6E6E6"/>
              <w:bottom w:val="single" w:sz="6" w:space="0" w:color="E6E6E6"/>
              <w:right w:val="single" w:sz="6" w:space="0" w:color="E6E6E6"/>
            </w:tcBorders>
            <w:shd w:val="clear" w:color="auto" w:fill="83CAEB"/>
            <w:vAlign w:val="center"/>
            <w:hideMark/>
          </w:tcPr>
          <w:p w14:paraId="2BBC7F7A" w14:textId="77777777" w:rsidR="004B2CAB" w:rsidRPr="00137413" w:rsidRDefault="004B2CAB" w:rsidP="00936DB4">
            <w:pPr>
              <w:rPr>
                <w:b/>
                <w:bCs/>
              </w:rPr>
            </w:pPr>
            <w:r w:rsidRPr="00137413">
              <w:rPr>
                <w:b/>
                <w:bCs/>
              </w:rPr>
              <w:t>Research</w:t>
            </w:r>
          </w:p>
        </w:tc>
      </w:tr>
      <w:tr w:rsidR="004B2CAB" w:rsidRPr="00137413" w14:paraId="0F38CDF4" w14:textId="77777777" w:rsidTr="00936DB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5665E2" w14:textId="1A55AAC2" w:rsidR="004B2CAB" w:rsidRPr="00137413" w:rsidRDefault="004B2CAB" w:rsidP="00936DB4">
            <w:r w:rsidRPr="00137413">
              <w:t>Licence</w:t>
            </w:r>
            <w:r w:rsidR="009D6232">
              <w:t xml:space="preserve"> Applications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8F7FB8" w14:textId="77777777" w:rsidR="004B2CAB" w:rsidRPr="00137413" w:rsidRDefault="004B2CAB" w:rsidP="00936DB4">
            <w:r w:rsidRPr="00137413">
              <w:t>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238FE8" w14:textId="77777777" w:rsidR="004B2CAB" w:rsidRPr="00137413" w:rsidRDefault="004B2CAB" w:rsidP="00936DB4">
            <w:r w:rsidRPr="00137413">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549DDB" w14:textId="77777777" w:rsidR="004B2CAB" w:rsidRPr="00137413" w:rsidRDefault="004B2CAB" w:rsidP="00936DB4">
            <w:r w:rsidRPr="00137413">
              <w:t>Exempt</w:t>
            </w:r>
          </w:p>
        </w:tc>
      </w:tr>
      <w:tr w:rsidR="004B2CAB" w:rsidRPr="00137413" w14:paraId="5DFB1B43" w14:textId="77777777" w:rsidTr="00936DB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917AE1" w14:textId="77777777" w:rsidR="004B2CAB" w:rsidRPr="00137413" w:rsidRDefault="004B2CAB" w:rsidP="00936DB4">
            <w:r w:rsidRPr="00137413">
              <w:t>Certification Applications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23E18C" w14:textId="77777777" w:rsidR="004B2CAB" w:rsidRPr="00137413" w:rsidRDefault="004B2CAB" w:rsidP="00936DB4">
            <w:r w:rsidRPr="00137413">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907DF4" w14:textId="77777777" w:rsidR="004B2CAB" w:rsidRPr="00137413" w:rsidRDefault="004B2CAB" w:rsidP="00936DB4">
            <w:r w:rsidRPr="00137413">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3CE3C6" w14:textId="77777777" w:rsidR="004B2CAB" w:rsidRPr="00137413" w:rsidRDefault="004B2CAB" w:rsidP="00936DB4">
            <w:r w:rsidRPr="00137413">
              <w:t>100%</w:t>
            </w:r>
          </w:p>
        </w:tc>
      </w:tr>
      <w:tr w:rsidR="004B2CAB" w:rsidRPr="00137413" w14:paraId="2B14B10B" w14:textId="77777777" w:rsidTr="00936DB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51CEC2" w14:textId="77777777" w:rsidR="004B2CAB" w:rsidRPr="00137413" w:rsidRDefault="004B2CAB" w:rsidP="00936DB4">
            <w:r w:rsidRPr="00137413">
              <w:t>Annual Licence Charge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758DCB" w14:textId="77777777" w:rsidR="004B2CAB" w:rsidRPr="00137413" w:rsidRDefault="004B2CAB" w:rsidP="00936DB4">
            <w:r w:rsidRPr="00137413">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CD69C1" w14:textId="77777777" w:rsidR="004B2CAB" w:rsidRPr="00137413" w:rsidRDefault="004B2CAB" w:rsidP="00936DB4">
            <w:r w:rsidRPr="00137413">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5EF61E" w14:textId="77777777" w:rsidR="004B2CAB" w:rsidRPr="00137413" w:rsidRDefault="004B2CAB" w:rsidP="00936DB4">
            <w:r w:rsidRPr="00137413">
              <w:t>100%</w:t>
            </w:r>
          </w:p>
        </w:tc>
      </w:tr>
    </w:tbl>
    <w:p w14:paraId="46D16B99" w14:textId="77777777" w:rsidR="004B2CAB" w:rsidRPr="004B2CAB" w:rsidRDefault="004B2CAB" w:rsidP="004B2CAB"/>
    <w:p w14:paraId="086B29BA" w14:textId="6B9D1863" w:rsidR="008956F8" w:rsidRDefault="002A04D5" w:rsidP="00482E23">
      <w:pPr>
        <w:pStyle w:val="Heading2"/>
      </w:pPr>
      <w:bookmarkStart w:id="45" w:name="_Toc242195590"/>
      <w:r>
        <w:t>Licence</w:t>
      </w:r>
      <w:r w:rsidR="00A71599">
        <w:t>s</w:t>
      </w:r>
      <w:bookmarkEnd w:id="45"/>
    </w:p>
    <w:p w14:paraId="5960A79B" w14:textId="5375DC0B" w:rsidR="001E1ADC" w:rsidRPr="001E1ADC" w:rsidRDefault="001E1ADC" w:rsidP="00482E23">
      <w:pPr>
        <w:pStyle w:val="Heading3"/>
      </w:pPr>
      <w:bookmarkStart w:id="46" w:name="_Toc242195591"/>
      <w:r>
        <w:t>Background</w:t>
      </w:r>
      <w:bookmarkEnd w:id="46"/>
    </w:p>
    <w:p w14:paraId="7AE2E4E6" w14:textId="0A9974B2" w:rsidR="001E1ADC" w:rsidRPr="0061297E" w:rsidRDefault="001E1ADC" w:rsidP="001E1ADC">
      <w:pPr>
        <w:rPr>
          <w:i/>
        </w:rPr>
      </w:pPr>
      <w:r w:rsidRPr="0061297E">
        <w:t xml:space="preserve">The OGTR issues licences to research organisations and companies who propose to work with gene technology. It is illegal to deal with GMOs in Australia without a licence unless it is an exempt dealing, a </w:t>
      </w:r>
      <w:r w:rsidR="001878FA">
        <w:t>NLRD</w:t>
      </w:r>
      <w:r w:rsidRPr="0061297E">
        <w:t>, included on the GMO Register, or an emergency dealing determination</w:t>
      </w:r>
      <w:r w:rsidRPr="0061297E">
        <w:rPr>
          <w:iCs/>
        </w:rPr>
        <w:t>.</w:t>
      </w:r>
      <w:r w:rsidRPr="0061297E">
        <w:t xml:space="preserve"> </w:t>
      </w:r>
    </w:p>
    <w:p w14:paraId="6D74422A" w14:textId="77777777" w:rsidR="001E1ADC" w:rsidRPr="0061297E" w:rsidRDefault="001E1ADC" w:rsidP="001E1ADC">
      <w:r w:rsidRPr="0061297E">
        <w:t>The OGTR issues several different types of licences, including:</w:t>
      </w:r>
    </w:p>
    <w:p w14:paraId="201B33C8" w14:textId="77777777" w:rsidR="001E1ADC" w:rsidRPr="0061297E" w:rsidRDefault="001E1ADC" w:rsidP="001E1ADC">
      <w:pPr>
        <w:numPr>
          <w:ilvl w:val="0"/>
          <w:numId w:val="25"/>
        </w:numPr>
      </w:pPr>
      <w:r w:rsidRPr="0061297E">
        <w:t>dealings involving intentional release (DIR) of a GMO</w:t>
      </w:r>
    </w:p>
    <w:p w14:paraId="4E9E3022" w14:textId="77777777" w:rsidR="001E1ADC" w:rsidRPr="0061297E" w:rsidRDefault="001E1ADC" w:rsidP="001E1ADC">
      <w:pPr>
        <w:numPr>
          <w:ilvl w:val="0"/>
          <w:numId w:val="25"/>
        </w:numPr>
      </w:pPr>
      <w:r w:rsidRPr="0061297E">
        <w:t>dealings not involving intentional release (DNIR) of a GMO</w:t>
      </w:r>
    </w:p>
    <w:p w14:paraId="25A97633" w14:textId="77777777" w:rsidR="001E1ADC" w:rsidRPr="0061297E" w:rsidRDefault="001E1ADC" w:rsidP="001E1ADC">
      <w:pPr>
        <w:numPr>
          <w:ilvl w:val="0"/>
          <w:numId w:val="25"/>
        </w:numPr>
      </w:pPr>
      <w:r w:rsidRPr="0061297E">
        <w:t>inadvertent dealings.</w:t>
      </w:r>
      <w:r w:rsidRPr="0061297E">
        <w:rPr>
          <w:vertAlign w:val="superscript"/>
        </w:rPr>
        <w:footnoteReference w:id="7"/>
      </w:r>
    </w:p>
    <w:p w14:paraId="712840F1" w14:textId="70111458" w:rsidR="001E1ADC" w:rsidRPr="0061297E" w:rsidRDefault="001E1ADC" w:rsidP="001E1ADC">
      <w:r w:rsidRPr="0061297E">
        <w:t xml:space="preserve">The two types of licensing of concern in this report are the DIR and DNIR licences. DIR licences are for work with GMOs that are not contained within a facility. This category includes GM crops grown in a field (either commercially or experimentally), </w:t>
      </w:r>
      <w:r w:rsidR="00DF21CA">
        <w:t>GM</w:t>
      </w:r>
      <w:r w:rsidRPr="0061297E">
        <w:t xml:space="preserve"> therapeutics and vaccines tested in a clinical trial, and </w:t>
      </w:r>
      <w:r w:rsidR="00DF21CA">
        <w:t>GM</w:t>
      </w:r>
      <w:r w:rsidRPr="0061297E">
        <w:t xml:space="preserve"> therapeutics and vaccines for sale in a pharmacy or chemist.</w:t>
      </w:r>
    </w:p>
    <w:p w14:paraId="30504328" w14:textId="61B73867" w:rsidR="001E1ADC" w:rsidRPr="0061297E" w:rsidRDefault="001E1ADC" w:rsidP="001E1ADC">
      <w:r w:rsidRPr="0061297E">
        <w:t xml:space="preserve">DNIR licences are for research or other work contained within a building or other structure (such as in a hospital), rather than outside special facilities. These facilities must be certified by the Regulator as suitable for containing work with GMOs. Other DNIR licences are for activities where the GMO may be contained within a person, such as administration of a GM therapeutic or vaccine that will not be released into the environment. The process </w:t>
      </w:r>
      <w:r w:rsidR="00DF21CA">
        <w:t>for a</w:t>
      </w:r>
      <w:r w:rsidRPr="0061297E">
        <w:t xml:space="preserve"> licence</w:t>
      </w:r>
      <w:r w:rsidR="00DF21CA">
        <w:t xml:space="preserve"> application</w:t>
      </w:r>
      <w:r w:rsidRPr="0061297E">
        <w:t xml:space="preserve"> is outlined </w:t>
      </w:r>
      <w:r>
        <w:t>below</w:t>
      </w:r>
      <w:r w:rsidR="00627B64">
        <w:t xml:space="preserve"> </w:t>
      </w:r>
      <w:r w:rsidR="00627B64" w:rsidRPr="00403ED8">
        <w:t>(</w:t>
      </w:r>
      <w:r w:rsidR="00627B64" w:rsidRPr="00403ED8">
        <w:fldChar w:fldCharType="begin"/>
      </w:r>
      <w:r w:rsidR="00627B64" w:rsidRPr="00403ED8">
        <w:instrText xml:space="preserve"> REF _Ref240573215 \h </w:instrText>
      </w:r>
      <w:r w:rsidR="00627B64" w:rsidRPr="00403ED8">
        <w:fldChar w:fldCharType="separate"/>
      </w:r>
      <w:r w:rsidR="00627B64" w:rsidRPr="00403ED8">
        <w:t xml:space="preserve">Figure </w:t>
      </w:r>
      <w:r w:rsidR="00627B64" w:rsidRPr="00403ED8">
        <w:rPr>
          <w:noProof/>
        </w:rPr>
        <w:t>2</w:t>
      </w:r>
      <w:r w:rsidR="00627B64" w:rsidRPr="00403ED8">
        <w:fldChar w:fldCharType="end"/>
      </w:r>
      <w:r w:rsidR="00627B64" w:rsidRPr="00403ED8">
        <w:t>)</w:t>
      </w:r>
      <w:r w:rsidRPr="00403ED8">
        <w:t xml:space="preserve">. </w:t>
      </w:r>
    </w:p>
    <w:p w14:paraId="122D14B3" w14:textId="117A10E5" w:rsidR="001E1ADC" w:rsidRPr="007A6E8B" w:rsidRDefault="00627B64" w:rsidP="00263E1E">
      <w:pPr>
        <w:pStyle w:val="Caption"/>
        <w:rPr>
          <w:rFonts w:ascii="Calibri Light" w:hAnsi="Calibri Light" w:cstheme="minorBidi"/>
          <w:color w:val="3A7C22" w:themeColor="accent6" w:themeShade="BF"/>
          <w:kern w:val="0"/>
          <w:szCs w:val="20"/>
          <w14:ligatures w14:val="none"/>
        </w:rPr>
      </w:pPr>
      <w:bookmarkStart w:id="47" w:name="_Ref240573215"/>
      <w:bookmarkStart w:id="48" w:name="_Ref170480545"/>
      <w:r w:rsidRPr="007A6E8B">
        <w:rPr>
          <w:rFonts w:ascii="Calibri Light" w:hAnsi="Calibri Light" w:cstheme="minorBidi"/>
          <w:i w:val="0"/>
          <w:color w:val="3A7C22" w:themeColor="accent6" w:themeShade="BF"/>
          <w:kern w:val="0"/>
          <w:sz w:val="20"/>
          <w:szCs w:val="20"/>
          <w14:ligatures w14:val="none"/>
        </w:rPr>
        <w:lastRenderedPageBreak/>
        <w:t xml:space="preserve">Figure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Figure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D5CCD" w:rsidRPr="007A6E8B">
        <w:rPr>
          <w:rFonts w:ascii="Calibri Light" w:hAnsi="Calibri Light" w:cstheme="minorBidi"/>
          <w:i w:val="0"/>
          <w:color w:val="3A7C22" w:themeColor="accent6" w:themeShade="BF"/>
          <w:kern w:val="0"/>
          <w:sz w:val="20"/>
          <w:szCs w:val="20"/>
          <w14:ligatures w14:val="none"/>
        </w:rPr>
        <w:t>2</w:t>
      </w:r>
      <w:r w:rsidRPr="007A6E8B">
        <w:rPr>
          <w:rFonts w:ascii="Calibri Light" w:hAnsi="Calibri Light" w:cstheme="minorBidi"/>
          <w:i w:val="0"/>
          <w:color w:val="3A7C22" w:themeColor="accent6" w:themeShade="BF"/>
          <w:kern w:val="0"/>
          <w:sz w:val="20"/>
          <w:szCs w:val="20"/>
          <w14:ligatures w14:val="none"/>
        </w:rPr>
        <w:fldChar w:fldCharType="end"/>
      </w:r>
      <w:bookmarkEnd w:id="47"/>
      <w:r w:rsidR="001E1ADC" w:rsidRPr="005867CD">
        <w:rPr>
          <w:rFonts w:ascii="Calibri Light" w:hAnsi="Calibri Light" w:cstheme="minorBidi"/>
          <w:i w:val="0"/>
          <w:noProof/>
          <w:color w:val="4EA72E" w:themeColor="accent6"/>
          <w:kern w:val="0"/>
          <w:sz w:val="20"/>
          <w:szCs w:val="20"/>
          <w14:ligatures w14:val="none"/>
        </w:rPr>
        <w:drawing>
          <wp:anchor distT="0" distB="0" distL="114300" distR="114300" simplePos="0" relativeHeight="251661312" behindDoc="0" locked="0" layoutInCell="1" allowOverlap="1" wp14:anchorId="503DA063" wp14:editId="5F827E9E">
            <wp:simplePos x="0" y="0"/>
            <wp:positionH relativeFrom="margin">
              <wp:posOffset>17145</wp:posOffset>
            </wp:positionH>
            <wp:positionV relativeFrom="paragraph">
              <wp:posOffset>178435</wp:posOffset>
            </wp:positionV>
            <wp:extent cx="6264910" cy="888365"/>
            <wp:effectExtent l="0" t="0" r="2540" b="6985"/>
            <wp:wrapSquare wrapText="bothSides"/>
            <wp:docPr id="1345961652" name="Picture 4" descr="Work out in assessing a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61652" name="Picture 4" descr="Work out in assessing a lic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64910" cy="888365"/>
                    </a:xfrm>
                    <a:prstGeom prst="rect">
                      <a:avLst/>
                    </a:prstGeom>
                    <a:noFill/>
                  </pic:spPr>
                </pic:pic>
              </a:graphicData>
            </a:graphic>
            <wp14:sizeRelH relativeFrom="margin">
              <wp14:pctWidth>0</wp14:pctWidth>
            </wp14:sizeRelH>
            <wp14:sizeRelV relativeFrom="margin">
              <wp14:pctHeight>0</wp14:pctHeight>
            </wp14:sizeRelV>
          </wp:anchor>
        </w:drawing>
      </w:r>
      <w:r w:rsidR="007142DE" w:rsidRPr="007A6E8B">
        <w:rPr>
          <w:rFonts w:ascii="Calibri Light" w:hAnsi="Calibri Light" w:cstheme="minorBidi"/>
          <w:i w:val="0"/>
          <w:color w:val="3A7C22" w:themeColor="accent6" w:themeShade="BF"/>
          <w:kern w:val="0"/>
          <w:sz w:val="20"/>
          <w:szCs w:val="20"/>
          <w14:ligatures w14:val="none"/>
        </w:rPr>
        <w:t xml:space="preserve">: </w:t>
      </w:r>
      <w:r w:rsidR="001E1ADC" w:rsidRPr="007A6E8B">
        <w:rPr>
          <w:rFonts w:ascii="Calibri Light" w:hAnsi="Calibri Light" w:cstheme="minorBidi"/>
          <w:i w:val="0"/>
          <w:color w:val="3A7C22" w:themeColor="accent6" w:themeShade="BF"/>
          <w:kern w:val="0"/>
          <w:sz w:val="20"/>
          <w:szCs w:val="20"/>
          <w14:ligatures w14:val="none"/>
        </w:rPr>
        <w:t>OGTR licence application process</w:t>
      </w:r>
      <w:bookmarkEnd w:id="48"/>
    </w:p>
    <w:p w14:paraId="667FCF39" w14:textId="77777777" w:rsidR="001E1ADC" w:rsidRPr="007A6E8B" w:rsidRDefault="001E1ADC" w:rsidP="00D22452">
      <w:pPr>
        <w:pStyle w:val="Source"/>
        <w:rPr>
          <w:color w:val="3A7C22" w:themeColor="accent6" w:themeShade="BF"/>
        </w:rPr>
      </w:pPr>
      <w:r w:rsidRPr="007A6E8B">
        <w:rPr>
          <w:color w:val="3A7C22" w:themeColor="accent6" w:themeShade="BF"/>
        </w:rPr>
        <w:t>Source: Deloitte Access Economics</w:t>
      </w:r>
    </w:p>
    <w:p w14:paraId="623B7088" w14:textId="5CFAC805" w:rsidR="003F1058" w:rsidRPr="004C1AA9" w:rsidRDefault="003F1058" w:rsidP="00482E23">
      <w:pPr>
        <w:pStyle w:val="Heading3"/>
      </w:pPr>
      <w:bookmarkStart w:id="49" w:name="_Toc242195592"/>
      <w:bookmarkStart w:id="50" w:name="_Toc167800554"/>
      <w:bookmarkStart w:id="51" w:name="_Toc168990914"/>
      <w:r w:rsidRPr="004C1AA9">
        <w:t>Outputs of OGTR’s regulatory charging activities</w:t>
      </w:r>
      <w:bookmarkEnd w:id="49"/>
    </w:p>
    <w:bookmarkEnd w:id="50"/>
    <w:bookmarkEnd w:id="51"/>
    <w:p w14:paraId="5EC3743E" w14:textId="7B88462C" w:rsidR="00D06797" w:rsidRDefault="00D06797" w:rsidP="00D06797">
      <w:r>
        <w:t>The volumes of each type of licence application received by the OGTR in the financial years from 2021-22 to 2025-26 are shown below</w:t>
      </w:r>
      <w:r w:rsidR="003D116D">
        <w:t xml:space="preserve"> (</w:t>
      </w:r>
      <w:r w:rsidR="003D116D" w:rsidRPr="00403ED8">
        <w:fldChar w:fldCharType="begin"/>
      </w:r>
      <w:r w:rsidR="003D116D" w:rsidRPr="00403ED8">
        <w:instrText xml:space="preserve"> REF _Ref240573257 \h </w:instrText>
      </w:r>
      <w:r w:rsidR="003D116D" w:rsidRPr="00403ED8">
        <w:fldChar w:fldCharType="separate"/>
      </w:r>
      <w:r w:rsidR="003D116D" w:rsidRPr="00403ED8">
        <w:t xml:space="preserve">Table </w:t>
      </w:r>
      <w:r w:rsidR="003D116D" w:rsidRPr="00403ED8">
        <w:rPr>
          <w:noProof/>
        </w:rPr>
        <w:t>4</w:t>
      </w:r>
      <w:r w:rsidR="003D116D" w:rsidRPr="00403ED8">
        <w:fldChar w:fldCharType="end"/>
      </w:r>
      <w:r w:rsidR="003D116D" w:rsidRPr="00403ED8">
        <w:t>)</w:t>
      </w:r>
      <w:r w:rsidRPr="00403ED8">
        <w:t xml:space="preserve">. </w:t>
      </w:r>
    </w:p>
    <w:p w14:paraId="0B4F581A" w14:textId="5E6FB6E0" w:rsidR="00D06797" w:rsidRPr="005867CD" w:rsidRDefault="003D116D" w:rsidP="00263E1E">
      <w:pPr>
        <w:pStyle w:val="Caption"/>
        <w:rPr>
          <w:rFonts w:cstheme="minorBidi"/>
          <w:sz w:val="20"/>
        </w:rPr>
      </w:pPr>
      <w:bookmarkStart w:id="52" w:name="_Ref240573257"/>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F43E2" w:rsidRPr="007A6E8B">
        <w:rPr>
          <w:rFonts w:ascii="Calibri Light" w:hAnsi="Calibri Light" w:cstheme="minorBidi"/>
          <w:i w:val="0"/>
          <w:color w:val="3A7C22" w:themeColor="accent6" w:themeShade="BF"/>
          <w:kern w:val="0"/>
          <w:sz w:val="20"/>
          <w:szCs w:val="20"/>
          <w14:ligatures w14:val="none"/>
        </w:rPr>
        <w:t>4</w:t>
      </w:r>
      <w:r w:rsidRPr="007A6E8B">
        <w:rPr>
          <w:rFonts w:ascii="Calibri Light" w:hAnsi="Calibri Light" w:cstheme="minorBidi"/>
          <w:i w:val="0"/>
          <w:color w:val="3A7C22" w:themeColor="accent6" w:themeShade="BF"/>
          <w:kern w:val="0"/>
          <w:sz w:val="20"/>
          <w:szCs w:val="20"/>
          <w14:ligatures w14:val="none"/>
        </w:rPr>
        <w:fldChar w:fldCharType="end"/>
      </w:r>
      <w:bookmarkEnd w:id="52"/>
      <w:r w:rsidRPr="007A6E8B">
        <w:rPr>
          <w:rFonts w:ascii="Calibri Light" w:hAnsi="Calibri Light" w:cstheme="minorBidi"/>
          <w:i w:val="0"/>
          <w:color w:val="3A7C22" w:themeColor="accent6" w:themeShade="BF"/>
          <w:kern w:val="0"/>
          <w:sz w:val="20"/>
          <w:szCs w:val="20"/>
          <w14:ligatures w14:val="none"/>
        </w:rPr>
        <w:t>:</w:t>
      </w:r>
      <w:r w:rsidR="00D06797" w:rsidRPr="007A6E8B">
        <w:rPr>
          <w:rFonts w:ascii="Calibri Light" w:hAnsi="Calibri Light" w:cstheme="minorBidi"/>
          <w:i w:val="0"/>
          <w:color w:val="3A7C22" w:themeColor="accent6" w:themeShade="BF"/>
          <w:kern w:val="0"/>
          <w:sz w:val="20"/>
          <w:szCs w:val="20"/>
          <w14:ligatures w14:val="none"/>
        </w:rPr>
        <w:t xml:space="preserve"> </w:t>
      </w:r>
      <w:bookmarkStart w:id="53" w:name="_Ref167181777"/>
      <w:r w:rsidR="00D06797" w:rsidRPr="007A6E8B">
        <w:rPr>
          <w:rFonts w:ascii="Calibri Light" w:hAnsi="Calibri Light" w:cstheme="minorBidi"/>
          <w:i w:val="0"/>
          <w:color w:val="3A7C22" w:themeColor="accent6" w:themeShade="BF"/>
          <w:kern w:val="0"/>
          <w:sz w:val="20"/>
          <w:szCs w:val="20"/>
          <w14:ligatures w14:val="none"/>
        </w:rPr>
        <w:t>Volume of licence applications received by the OGTR</w:t>
      </w:r>
      <w:bookmarkEnd w:id="53"/>
    </w:p>
    <w:tbl>
      <w:tblPr>
        <w:tblStyle w:val="Deloittetable"/>
        <w:tblW w:w="0" w:type="auto"/>
        <w:tblLook w:val="04A0" w:firstRow="1" w:lastRow="0" w:firstColumn="1" w:lastColumn="0" w:noHBand="0" w:noVBand="1"/>
      </w:tblPr>
      <w:tblGrid>
        <w:gridCol w:w="1039"/>
        <w:gridCol w:w="1066"/>
        <w:gridCol w:w="1066"/>
        <w:gridCol w:w="917"/>
        <w:gridCol w:w="917"/>
        <w:gridCol w:w="826"/>
      </w:tblGrid>
      <w:tr w:rsidR="00D06797" w:rsidRPr="005B766C" w14:paraId="6BC28141" w14:textId="77777777" w:rsidTr="00FD14BC">
        <w:trPr>
          <w:cnfStyle w:val="100000000000" w:firstRow="1" w:lastRow="0" w:firstColumn="0" w:lastColumn="0" w:oddVBand="0" w:evenVBand="0" w:oddHBand="0" w:evenHBand="0" w:firstRowFirstColumn="0" w:firstRowLastColumn="0" w:lastRowFirstColumn="0" w:lastRowLastColumn="0"/>
        </w:trPr>
        <w:tc>
          <w:tcPr>
            <w:tcW w:w="1039" w:type="dxa"/>
          </w:tcPr>
          <w:p w14:paraId="7DF38E4C" w14:textId="77777777" w:rsidR="00D06797" w:rsidRPr="002F4C4A" w:rsidRDefault="00D06797" w:rsidP="00FD14BC">
            <w:pPr>
              <w:pStyle w:val="Tablecolumnheading"/>
              <w:rPr>
                <w:rFonts w:ascii="Calibri Light" w:hAnsi="Calibri Light" w:cs="Calibri Light"/>
                <w:color w:val="196B24" w:themeColor="accent3"/>
              </w:rPr>
            </w:pPr>
          </w:p>
        </w:tc>
        <w:tc>
          <w:tcPr>
            <w:tcW w:w="1066" w:type="dxa"/>
          </w:tcPr>
          <w:p w14:paraId="03A6E3F0" w14:textId="77777777" w:rsidR="00D06797" w:rsidRPr="002F4C4A" w:rsidRDefault="00D06797" w:rsidP="00FD14BC">
            <w:pPr>
              <w:pStyle w:val="Tablecolumnheading"/>
              <w:rPr>
                <w:rFonts w:ascii="Calibri Light" w:hAnsi="Calibri Light" w:cs="Calibri Light"/>
                <w:color w:val="196B24" w:themeColor="accent3"/>
              </w:rPr>
            </w:pPr>
            <w:r w:rsidRPr="002F4C4A">
              <w:rPr>
                <w:rFonts w:ascii="Calibri Light" w:hAnsi="Calibri Light" w:cs="Calibri Light"/>
                <w:color w:val="196B24" w:themeColor="accent3"/>
              </w:rPr>
              <w:t>2021-22</w:t>
            </w:r>
          </w:p>
        </w:tc>
        <w:tc>
          <w:tcPr>
            <w:tcW w:w="1066" w:type="dxa"/>
          </w:tcPr>
          <w:p w14:paraId="34831813" w14:textId="77777777" w:rsidR="00D06797" w:rsidRPr="005B766C" w:rsidRDefault="00D06797" w:rsidP="00FD14BC">
            <w:pPr>
              <w:pStyle w:val="Tablecolumnheading"/>
              <w:rPr>
                <w:rFonts w:ascii="Calibri Light" w:hAnsi="Calibri Light" w:cs="Calibri Light"/>
                <w:color w:val="196B24" w:themeColor="accent3"/>
              </w:rPr>
            </w:pPr>
            <w:r w:rsidRPr="005B766C">
              <w:rPr>
                <w:rFonts w:ascii="Calibri Light" w:hAnsi="Calibri Light" w:cs="Calibri Light"/>
                <w:color w:val="196B24" w:themeColor="accent3"/>
              </w:rPr>
              <w:t>2022-23</w:t>
            </w:r>
          </w:p>
        </w:tc>
        <w:tc>
          <w:tcPr>
            <w:tcW w:w="917" w:type="dxa"/>
          </w:tcPr>
          <w:p w14:paraId="243F58FC" w14:textId="77777777" w:rsidR="00D06797" w:rsidRPr="001A5DB5" w:rsidRDefault="00D06797" w:rsidP="00FD14BC">
            <w:pPr>
              <w:pStyle w:val="Tablecolumnheading"/>
              <w:rPr>
                <w:rFonts w:ascii="Calibri Light" w:hAnsi="Calibri Light" w:cs="Calibri Light"/>
                <w:color w:val="196B24" w:themeColor="accent3"/>
              </w:rPr>
            </w:pPr>
            <w:r w:rsidRPr="001A5DB5">
              <w:rPr>
                <w:rFonts w:ascii="Calibri Light" w:hAnsi="Calibri Light" w:cs="Calibri Light"/>
                <w:color w:val="196B24" w:themeColor="accent3"/>
              </w:rPr>
              <w:t>2023-24</w:t>
            </w:r>
          </w:p>
        </w:tc>
        <w:tc>
          <w:tcPr>
            <w:tcW w:w="917" w:type="dxa"/>
          </w:tcPr>
          <w:p w14:paraId="2D458B59" w14:textId="77777777" w:rsidR="00D06797" w:rsidRPr="001A5DB5" w:rsidRDefault="00D06797" w:rsidP="00FD14BC">
            <w:pPr>
              <w:pStyle w:val="Tablecolumnheading"/>
              <w:rPr>
                <w:rFonts w:ascii="Calibri Light" w:hAnsi="Calibri Light" w:cs="Calibri Light"/>
                <w:color w:val="196B24" w:themeColor="accent3"/>
              </w:rPr>
            </w:pPr>
            <w:r w:rsidRPr="001A5DB5">
              <w:rPr>
                <w:rFonts w:ascii="Calibri Light" w:hAnsi="Calibri Light" w:cs="Calibri Light"/>
                <w:color w:val="196B24" w:themeColor="accent3"/>
              </w:rPr>
              <w:t>2024-25</w:t>
            </w:r>
          </w:p>
        </w:tc>
        <w:tc>
          <w:tcPr>
            <w:tcW w:w="826" w:type="dxa"/>
          </w:tcPr>
          <w:p w14:paraId="5FFF99F7" w14:textId="77777777" w:rsidR="00D06797" w:rsidRPr="001A5DB5" w:rsidRDefault="00D06797" w:rsidP="00FD14BC">
            <w:pPr>
              <w:pStyle w:val="Tablecolumnheading"/>
              <w:rPr>
                <w:rFonts w:ascii="Calibri Light" w:hAnsi="Calibri Light" w:cs="Calibri Light"/>
                <w:color w:val="196B24" w:themeColor="accent3"/>
              </w:rPr>
            </w:pPr>
            <w:r w:rsidRPr="001A5DB5">
              <w:rPr>
                <w:rFonts w:ascii="Calibri Light" w:hAnsi="Calibri Light" w:cs="Calibri Light"/>
                <w:color w:val="196B24" w:themeColor="accent3"/>
              </w:rPr>
              <w:t>2025-26</w:t>
            </w:r>
          </w:p>
        </w:tc>
      </w:tr>
      <w:tr w:rsidR="00D06797" w:rsidRPr="005B766C" w14:paraId="660B8C1F" w14:textId="77777777" w:rsidTr="00FD14BC">
        <w:tc>
          <w:tcPr>
            <w:tcW w:w="1039" w:type="dxa"/>
          </w:tcPr>
          <w:p w14:paraId="1FE5835E" w14:textId="77777777" w:rsidR="00D06797" w:rsidRPr="002F4C4A" w:rsidRDefault="00D06797" w:rsidP="00FD14BC">
            <w:pPr>
              <w:pStyle w:val="Tablecolumnheading"/>
              <w:rPr>
                <w:rFonts w:ascii="Calibri Light" w:hAnsi="Calibri Light" w:cs="Calibri Light"/>
                <w:color w:val="196B24" w:themeColor="accent3"/>
              </w:rPr>
            </w:pPr>
            <w:r w:rsidRPr="002F4C4A">
              <w:rPr>
                <w:rFonts w:ascii="Calibri Light" w:hAnsi="Calibri Light" w:cs="Calibri Light"/>
                <w:color w:val="196B24" w:themeColor="accent3"/>
              </w:rPr>
              <w:t>DIR</w:t>
            </w:r>
          </w:p>
        </w:tc>
        <w:tc>
          <w:tcPr>
            <w:tcW w:w="1066" w:type="dxa"/>
          </w:tcPr>
          <w:p w14:paraId="42ED5E3A" w14:textId="77777777" w:rsidR="00D06797" w:rsidRDefault="00D06797" w:rsidP="00FD14BC">
            <w:r>
              <w:t>8</w:t>
            </w:r>
          </w:p>
        </w:tc>
        <w:tc>
          <w:tcPr>
            <w:tcW w:w="1066" w:type="dxa"/>
          </w:tcPr>
          <w:p w14:paraId="2744AFF0" w14:textId="77777777" w:rsidR="00D06797" w:rsidRPr="005B766C" w:rsidRDefault="00D06797" w:rsidP="00FD14BC">
            <w:r w:rsidRPr="005B766C">
              <w:t>6</w:t>
            </w:r>
          </w:p>
        </w:tc>
        <w:tc>
          <w:tcPr>
            <w:tcW w:w="917" w:type="dxa"/>
          </w:tcPr>
          <w:p w14:paraId="111E4E00" w14:textId="77777777" w:rsidR="00D06797" w:rsidRPr="001A5DB5" w:rsidRDefault="00D06797" w:rsidP="00FD14BC">
            <w:r w:rsidRPr="001A5DB5">
              <w:t>7</w:t>
            </w:r>
          </w:p>
        </w:tc>
        <w:tc>
          <w:tcPr>
            <w:tcW w:w="917" w:type="dxa"/>
          </w:tcPr>
          <w:p w14:paraId="52A3183C" w14:textId="77777777" w:rsidR="00D06797" w:rsidRPr="001A5DB5" w:rsidRDefault="00D06797" w:rsidP="00FD14BC">
            <w:r w:rsidRPr="001A5DB5">
              <w:t>13</w:t>
            </w:r>
          </w:p>
        </w:tc>
        <w:tc>
          <w:tcPr>
            <w:tcW w:w="826" w:type="dxa"/>
          </w:tcPr>
          <w:p w14:paraId="55E5A584" w14:textId="77777777" w:rsidR="00D06797" w:rsidRPr="001A5DB5" w:rsidRDefault="00D06797" w:rsidP="00FD14BC">
            <w:r w:rsidRPr="001A5DB5">
              <w:t>6</w:t>
            </w:r>
          </w:p>
        </w:tc>
      </w:tr>
      <w:tr w:rsidR="00D06797" w:rsidRPr="005B766C" w14:paraId="1B3CBEE8" w14:textId="77777777" w:rsidTr="00FD14BC">
        <w:tc>
          <w:tcPr>
            <w:tcW w:w="1039" w:type="dxa"/>
          </w:tcPr>
          <w:p w14:paraId="640B72ED" w14:textId="77777777" w:rsidR="00D06797" w:rsidRPr="002F4C4A" w:rsidRDefault="00D06797" w:rsidP="00FD14BC">
            <w:pPr>
              <w:pStyle w:val="Tablecolumnheading"/>
              <w:rPr>
                <w:rFonts w:ascii="Calibri Light" w:hAnsi="Calibri Light" w:cs="Calibri Light"/>
                <w:color w:val="196B24" w:themeColor="accent3"/>
              </w:rPr>
            </w:pPr>
            <w:r w:rsidRPr="002F4C4A">
              <w:rPr>
                <w:rFonts w:ascii="Calibri Light" w:hAnsi="Calibri Light" w:cs="Calibri Light"/>
                <w:color w:val="196B24" w:themeColor="accent3"/>
              </w:rPr>
              <w:t>DNIR</w:t>
            </w:r>
          </w:p>
        </w:tc>
        <w:tc>
          <w:tcPr>
            <w:tcW w:w="1066" w:type="dxa"/>
          </w:tcPr>
          <w:p w14:paraId="2644DCFE" w14:textId="77777777" w:rsidR="00D06797" w:rsidRDefault="00D06797" w:rsidP="00FD14BC">
            <w:r>
              <w:t>8</w:t>
            </w:r>
          </w:p>
        </w:tc>
        <w:tc>
          <w:tcPr>
            <w:tcW w:w="1066" w:type="dxa"/>
          </w:tcPr>
          <w:p w14:paraId="3ADECF85" w14:textId="77777777" w:rsidR="00D06797" w:rsidRPr="005B766C" w:rsidRDefault="00D06797" w:rsidP="00FD14BC">
            <w:r w:rsidRPr="005B766C">
              <w:t>23</w:t>
            </w:r>
          </w:p>
        </w:tc>
        <w:tc>
          <w:tcPr>
            <w:tcW w:w="917" w:type="dxa"/>
          </w:tcPr>
          <w:p w14:paraId="10CBF397" w14:textId="77777777" w:rsidR="00D06797" w:rsidRPr="001A5DB5" w:rsidRDefault="00D06797" w:rsidP="00FD14BC">
            <w:r w:rsidRPr="001A5DB5">
              <w:t>25</w:t>
            </w:r>
          </w:p>
        </w:tc>
        <w:tc>
          <w:tcPr>
            <w:tcW w:w="917" w:type="dxa"/>
          </w:tcPr>
          <w:p w14:paraId="7B4CAC43" w14:textId="77777777" w:rsidR="00D06797" w:rsidRPr="001A5DB5" w:rsidRDefault="00D06797" w:rsidP="00FD14BC">
            <w:r w:rsidRPr="001A5DB5">
              <w:t>32</w:t>
            </w:r>
          </w:p>
        </w:tc>
        <w:tc>
          <w:tcPr>
            <w:tcW w:w="826" w:type="dxa"/>
          </w:tcPr>
          <w:p w14:paraId="47798053" w14:textId="77777777" w:rsidR="00D06797" w:rsidRPr="001A5DB5" w:rsidRDefault="00D06797" w:rsidP="00FD14BC">
            <w:r w:rsidRPr="001A5DB5">
              <w:t>25</w:t>
            </w:r>
          </w:p>
        </w:tc>
      </w:tr>
    </w:tbl>
    <w:p w14:paraId="04747A17" w14:textId="0388978F" w:rsidR="00D06797" w:rsidRPr="007A6E8B" w:rsidRDefault="00D06797" w:rsidP="00D06797">
      <w:pPr>
        <w:pStyle w:val="Source"/>
        <w:rPr>
          <w:color w:val="3A7C22" w:themeColor="accent6" w:themeShade="BF"/>
        </w:rPr>
      </w:pPr>
      <w:r w:rsidRPr="007A6E8B">
        <w:rPr>
          <w:color w:val="3A7C22" w:themeColor="accent6" w:themeShade="BF"/>
        </w:rPr>
        <w:t>Source: Office of the Gene Technology Regulator</w:t>
      </w:r>
      <w:r w:rsidR="003B650F" w:rsidRPr="007A6E8B">
        <w:rPr>
          <w:color w:val="3A7C22" w:themeColor="accent6" w:themeShade="BF"/>
        </w:rPr>
        <w:t xml:space="preserve"> – Annual report</w:t>
      </w:r>
      <w:r w:rsidR="007A4FA7" w:rsidRPr="007A6E8B">
        <w:rPr>
          <w:color w:val="3A7C22" w:themeColor="accent6" w:themeShade="BF"/>
        </w:rPr>
        <w:t xml:space="preserve"> (as published on </w:t>
      </w:r>
      <w:hyperlink r:id="rId25" w:history="1">
        <w:r w:rsidR="007A4FA7" w:rsidRPr="007A6E8B">
          <w:rPr>
            <w:rStyle w:val="Hyperlink"/>
            <w:color w:val="3A7C22" w:themeColor="accent6" w:themeShade="BF"/>
          </w:rPr>
          <w:t>OGTR website</w:t>
        </w:r>
      </w:hyperlink>
      <w:r w:rsidR="007A4FA7" w:rsidRPr="007A6E8B">
        <w:rPr>
          <w:color w:val="3A7C22" w:themeColor="accent6" w:themeShade="BF"/>
        </w:rPr>
        <w:t>).</w:t>
      </w:r>
    </w:p>
    <w:p w14:paraId="037C737D" w14:textId="77777777" w:rsidR="00D06797" w:rsidRPr="000F78BA" w:rsidRDefault="00D06797" w:rsidP="00D06797">
      <w:pPr>
        <w:pStyle w:val="Heading4"/>
      </w:pPr>
      <w:r>
        <w:t>Licence application review and assessment process</w:t>
      </w:r>
    </w:p>
    <w:p w14:paraId="58673F8D" w14:textId="676C0248" w:rsidR="00D06797" w:rsidRDefault="00D06797" w:rsidP="00D06797">
      <w:r>
        <w:t>The process for the OGTR’s review and assessment processes for DIR and DNIR licences are broadly similar and are captured below</w:t>
      </w:r>
      <w:r w:rsidR="003D116D">
        <w:t xml:space="preserve"> (</w:t>
      </w:r>
      <w:r w:rsidR="003D116D" w:rsidRPr="00403ED8">
        <w:fldChar w:fldCharType="begin"/>
      </w:r>
      <w:r w:rsidR="003D116D" w:rsidRPr="00403ED8">
        <w:instrText xml:space="preserve"> REF _Ref240573278 \h </w:instrText>
      </w:r>
      <w:r w:rsidR="003D116D" w:rsidRPr="00403ED8">
        <w:fldChar w:fldCharType="separate"/>
      </w:r>
      <w:r w:rsidR="003D116D" w:rsidRPr="00403ED8">
        <w:t xml:space="preserve">Table </w:t>
      </w:r>
      <w:r w:rsidR="003D116D" w:rsidRPr="00403ED8">
        <w:rPr>
          <w:noProof/>
        </w:rPr>
        <w:t>5</w:t>
      </w:r>
      <w:r w:rsidR="003D116D" w:rsidRPr="00403ED8">
        <w:fldChar w:fldCharType="end"/>
      </w:r>
      <w:r w:rsidR="003D116D" w:rsidRPr="00403ED8">
        <w:t>)</w:t>
      </w:r>
      <w:r w:rsidRPr="00403ED8">
        <w:t>.</w:t>
      </w:r>
    </w:p>
    <w:p w14:paraId="0BFDE675" w14:textId="25F58CF5" w:rsidR="00D06797" w:rsidRPr="005867CD" w:rsidRDefault="00D06797" w:rsidP="00263E1E">
      <w:pPr>
        <w:pStyle w:val="Caption"/>
        <w:rPr>
          <w:rFonts w:cstheme="minorBidi"/>
          <w:sz w:val="20"/>
        </w:rPr>
      </w:pPr>
      <w:r w:rsidRPr="007A6E8B">
        <w:rPr>
          <w:rFonts w:ascii="Calibri Light" w:hAnsi="Calibri Light" w:cstheme="minorBidi"/>
          <w:i w:val="0"/>
          <w:color w:val="3A7C22" w:themeColor="accent6" w:themeShade="BF"/>
          <w:kern w:val="0"/>
          <w:sz w:val="20"/>
          <w:szCs w:val="20"/>
          <w14:ligatures w14:val="none"/>
        </w:rPr>
        <w:t xml:space="preserve"> </w:t>
      </w:r>
      <w:bookmarkStart w:id="54" w:name="_Ref240573278"/>
      <w:bookmarkStart w:id="55" w:name="_Ref167184887"/>
      <w:r w:rsidR="003D116D" w:rsidRPr="007A6E8B">
        <w:rPr>
          <w:rFonts w:ascii="Calibri Light" w:hAnsi="Calibri Light" w:cstheme="minorBidi"/>
          <w:i w:val="0"/>
          <w:color w:val="3A7C22" w:themeColor="accent6" w:themeShade="BF"/>
          <w:kern w:val="0"/>
          <w:sz w:val="20"/>
          <w:szCs w:val="20"/>
          <w14:ligatures w14:val="none"/>
        </w:rPr>
        <w:t xml:space="preserve">Table </w:t>
      </w:r>
      <w:r w:rsidR="003D116D" w:rsidRPr="007A6E8B">
        <w:rPr>
          <w:rFonts w:ascii="Calibri Light" w:hAnsi="Calibri Light" w:cstheme="minorBidi"/>
          <w:i w:val="0"/>
          <w:color w:val="3A7C22" w:themeColor="accent6" w:themeShade="BF"/>
          <w:kern w:val="0"/>
          <w:sz w:val="20"/>
          <w:szCs w:val="20"/>
          <w14:ligatures w14:val="none"/>
        </w:rPr>
        <w:fldChar w:fldCharType="begin"/>
      </w:r>
      <w:r w:rsidR="003D116D"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003D116D" w:rsidRPr="007A6E8B">
        <w:rPr>
          <w:rFonts w:ascii="Calibri Light" w:hAnsi="Calibri Light" w:cstheme="minorBidi"/>
          <w:i w:val="0"/>
          <w:color w:val="3A7C22" w:themeColor="accent6" w:themeShade="BF"/>
          <w:kern w:val="0"/>
          <w:sz w:val="20"/>
          <w:szCs w:val="20"/>
          <w14:ligatures w14:val="none"/>
        </w:rPr>
        <w:fldChar w:fldCharType="separate"/>
      </w:r>
      <w:r w:rsidR="005F43E2" w:rsidRPr="007A6E8B">
        <w:rPr>
          <w:rFonts w:ascii="Calibri Light" w:hAnsi="Calibri Light" w:cstheme="minorBidi"/>
          <w:i w:val="0"/>
          <w:color w:val="3A7C22" w:themeColor="accent6" w:themeShade="BF"/>
          <w:kern w:val="0"/>
          <w:sz w:val="20"/>
          <w:szCs w:val="20"/>
          <w14:ligatures w14:val="none"/>
        </w:rPr>
        <w:t>5</w:t>
      </w:r>
      <w:r w:rsidR="003D116D" w:rsidRPr="007A6E8B">
        <w:rPr>
          <w:rFonts w:ascii="Calibri Light" w:hAnsi="Calibri Light" w:cstheme="minorBidi"/>
          <w:i w:val="0"/>
          <w:color w:val="3A7C22" w:themeColor="accent6" w:themeShade="BF"/>
          <w:kern w:val="0"/>
          <w:sz w:val="20"/>
          <w:szCs w:val="20"/>
          <w14:ligatures w14:val="none"/>
        </w:rPr>
        <w:fldChar w:fldCharType="end"/>
      </w:r>
      <w:bookmarkEnd w:id="54"/>
      <w:r w:rsidR="003D116D" w:rsidRPr="007A6E8B">
        <w:rPr>
          <w:rFonts w:ascii="Calibri Light" w:hAnsi="Calibri Light" w:cstheme="minorBidi"/>
          <w:i w:val="0"/>
          <w:color w:val="3A7C22" w:themeColor="accent6" w:themeShade="BF"/>
          <w:kern w:val="0"/>
          <w:sz w:val="20"/>
          <w:szCs w:val="20"/>
          <w14:ligatures w14:val="none"/>
        </w:rPr>
        <w:t xml:space="preserve">: </w:t>
      </w:r>
      <w:r w:rsidRPr="007A6E8B">
        <w:rPr>
          <w:rFonts w:ascii="Calibri Light" w:hAnsi="Calibri Light" w:cstheme="minorBidi"/>
          <w:i w:val="0"/>
          <w:color w:val="3A7C22" w:themeColor="accent6" w:themeShade="BF"/>
          <w:kern w:val="0"/>
          <w:sz w:val="20"/>
          <w:szCs w:val="20"/>
          <w14:ligatures w14:val="none"/>
        </w:rPr>
        <w:t>Process for review and assessment of licence applications</w:t>
      </w:r>
      <w:bookmarkEnd w:id="55"/>
    </w:p>
    <w:tbl>
      <w:tblPr>
        <w:tblStyle w:val="Deloittetable"/>
        <w:tblW w:w="0" w:type="auto"/>
        <w:tblLook w:val="04A0" w:firstRow="1" w:lastRow="0" w:firstColumn="1" w:lastColumn="0" w:noHBand="0" w:noVBand="1"/>
      </w:tblPr>
      <w:tblGrid>
        <w:gridCol w:w="1763"/>
        <w:gridCol w:w="7041"/>
      </w:tblGrid>
      <w:tr w:rsidR="00D06797" w14:paraId="203228A0" w14:textId="77777777" w:rsidTr="00FD14BC">
        <w:trPr>
          <w:cnfStyle w:val="100000000000" w:firstRow="1" w:lastRow="0" w:firstColumn="0" w:lastColumn="0" w:oddVBand="0" w:evenVBand="0" w:oddHBand="0" w:evenHBand="0" w:firstRowFirstColumn="0" w:firstRowLastColumn="0" w:lastRowFirstColumn="0" w:lastRowLastColumn="0"/>
          <w:tblHeader/>
        </w:trPr>
        <w:tc>
          <w:tcPr>
            <w:tcW w:w="1763" w:type="dxa"/>
          </w:tcPr>
          <w:p w14:paraId="267ECF00" w14:textId="77777777" w:rsidR="00D06797" w:rsidRPr="002F4C4A" w:rsidRDefault="00D06797" w:rsidP="00FD14BC">
            <w:pPr>
              <w:pStyle w:val="Tablecolumnheading"/>
              <w:rPr>
                <w:rFonts w:ascii="Calibri Light" w:hAnsi="Calibri Light" w:cs="Calibri Light"/>
                <w:color w:val="196B24" w:themeColor="accent3"/>
              </w:rPr>
            </w:pPr>
            <w:r w:rsidRPr="002F4C4A">
              <w:rPr>
                <w:rFonts w:ascii="Calibri Light" w:hAnsi="Calibri Light" w:cs="Calibri Light"/>
                <w:color w:val="196B24" w:themeColor="accent3"/>
              </w:rPr>
              <w:t>Process step</w:t>
            </w:r>
          </w:p>
        </w:tc>
        <w:tc>
          <w:tcPr>
            <w:tcW w:w="7041" w:type="dxa"/>
          </w:tcPr>
          <w:p w14:paraId="69D80B30" w14:textId="77777777" w:rsidR="00D06797" w:rsidRPr="002F4C4A" w:rsidRDefault="00D06797" w:rsidP="00FD14BC">
            <w:pPr>
              <w:pStyle w:val="Tablecolumnheading"/>
              <w:rPr>
                <w:rFonts w:ascii="Calibri Light" w:hAnsi="Calibri Light" w:cs="Calibri Light"/>
                <w:color w:val="196B24" w:themeColor="accent3"/>
              </w:rPr>
            </w:pPr>
            <w:r w:rsidRPr="002F4C4A">
              <w:rPr>
                <w:rFonts w:ascii="Calibri Light" w:hAnsi="Calibri Light" w:cs="Calibri Light"/>
                <w:color w:val="196B24" w:themeColor="accent3"/>
              </w:rPr>
              <w:t>Activities</w:t>
            </w:r>
          </w:p>
        </w:tc>
      </w:tr>
      <w:tr w:rsidR="00D06797" w14:paraId="1C25FC1C" w14:textId="77777777" w:rsidTr="00FD14BC">
        <w:tc>
          <w:tcPr>
            <w:tcW w:w="1763" w:type="dxa"/>
          </w:tcPr>
          <w:p w14:paraId="3F4D4317" w14:textId="77777777" w:rsidR="00D06797" w:rsidRPr="002F4C4A" w:rsidRDefault="00D06797" w:rsidP="00D06797">
            <w:pPr>
              <w:pStyle w:val="ListParagraph"/>
              <w:numPr>
                <w:ilvl w:val="0"/>
                <w:numId w:val="6"/>
              </w:numPr>
              <w:spacing w:after="170"/>
              <w:rPr>
                <w:sz w:val="16"/>
                <w:szCs w:val="16"/>
              </w:rPr>
            </w:pPr>
            <w:r w:rsidRPr="002F4C4A">
              <w:rPr>
                <w:sz w:val="16"/>
                <w:szCs w:val="16"/>
              </w:rPr>
              <w:t>Completeness review and database entry</w:t>
            </w:r>
          </w:p>
        </w:tc>
        <w:tc>
          <w:tcPr>
            <w:tcW w:w="7041" w:type="dxa"/>
          </w:tcPr>
          <w:p w14:paraId="12138F57" w14:textId="77777777" w:rsidR="00D06797" w:rsidRPr="002F4C4A" w:rsidRDefault="00D06797" w:rsidP="00D06797">
            <w:pPr>
              <w:pStyle w:val="ListParagraph"/>
              <w:numPr>
                <w:ilvl w:val="0"/>
                <w:numId w:val="7"/>
              </w:numPr>
              <w:spacing w:after="170"/>
              <w:rPr>
                <w:sz w:val="16"/>
                <w:szCs w:val="16"/>
              </w:rPr>
            </w:pPr>
            <w:r>
              <w:rPr>
                <w:sz w:val="16"/>
                <w:szCs w:val="16"/>
              </w:rPr>
              <w:t>r</w:t>
            </w:r>
            <w:r w:rsidRPr="002F4C4A">
              <w:rPr>
                <w:sz w:val="16"/>
                <w:szCs w:val="16"/>
              </w:rPr>
              <w:t>eview of application for completeness</w:t>
            </w:r>
          </w:p>
          <w:p w14:paraId="136EC91C" w14:textId="77777777" w:rsidR="00D06797" w:rsidRPr="002F4C4A" w:rsidRDefault="00D06797" w:rsidP="00D06797">
            <w:pPr>
              <w:pStyle w:val="ListParagraph"/>
              <w:numPr>
                <w:ilvl w:val="0"/>
                <w:numId w:val="7"/>
              </w:numPr>
              <w:spacing w:after="170"/>
              <w:rPr>
                <w:sz w:val="16"/>
                <w:szCs w:val="16"/>
              </w:rPr>
            </w:pPr>
            <w:r>
              <w:rPr>
                <w:sz w:val="16"/>
                <w:szCs w:val="16"/>
              </w:rPr>
              <w:t>e</w:t>
            </w:r>
            <w:r w:rsidRPr="002F4C4A">
              <w:rPr>
                <w:sz w:val="16"/>
                <w:szCs w:val="16"/>
              </w:rPr>
              <w:t>ntry of the information contained in the application into the OGTR’s database</w:t>
            </w:r>
          </w:p>
        </w:tc>
      </w:tr>
      <w:tr w:rsidR="00D06797" w14:paraId="1CDB6EF1" w14:textId="77777777" w:rsidTr="00FD14BC">
        <w:tc>
          <w:tcPr>
            <w:tcW w:w="1763" w:type="dxa"/>
          </w:tcPr>
          <w:p w14:paraId="784575D7" w14:textId="77777777" w:rsidR="00D06797" w:rsidRPr="002F4C4A" w:rsidRDefault="00D06797" w:rsidP="00D06797">
            <w:pPr>
              <w:pStyle w:val="ListParagraph"/>
              <w:numPr>
                <w:ilvl w:val="0"/>
                <w:numId w:val="6"/>
              </w:numPr>
              <w:spacing w:after="170"/>
              <w:rPr>
                <w:sz w:val="16"/>
                <w:szCs w:val="16"/>
              </w:rPr>
            </w:pPr>
            <w:r w:rsidRPr="002F4C4A">
              <w:rPr>
                <w:sz w:val="16"/>
                <w:szCs w:val="16"/>
              </w:rPr>
              <w:t>Suitability review</w:t>
            </w:r>
          </w:p>
        </w:tc>
        <w:tc>
          <w:tcPr>
            <w:tcW w:w="7041" w:type="dxa"/>
          </w:tcPr>
          <w:p w14:paraId="1BC6B7BD" w14:textId="77777777" w:rsidR="00D06797" w:rsidRPr="002F4C4A" w:rsidRDefault="00D06797" w:rsidP="00D06797">
            <w:pPr>
              <w:pStyle w:val="ListParagraph"/>
              <w:numPr>
                <w:ilvl w:val="0"/>
                <w:numId w:val="8"/>
              </w:numPr>
              <w:spacing w:after="170"/>
              <w:rPr>
                <w:sz w:val="16"/>
                <w:szCs w:val="16"/>
              </w:rPr>
            </w:pPr>
            <w:r>
              <w:rPr>
                <w:sz w:val="16"/>
                <w:szCs w:val="16"/>
              </w:rPr>
              <w:t>r</w:t>
            </w:r>
            <w:r w:rsidRPr="002F4C4A">
              <w:rPr>
                <w:sz w:val="16"/>
                <w:szCs w:val="16"/>
              </w:rPr>
              <w:t>eview of prospective licence-holder’s suitability for holding a licence</w:t>
            </w:r>
          </w:p>
          <w:p w14:paraId="3183803D" w14:textId="69AB28F1" w:rsidR="00D06797" w:rsidRPr="002F4C4A" w:rsidRDefault="00D06797" w:rsidP="00D06797">
            <w:pPr>
              <w:pStyle w:val="ListParagraph"/>
              <w:numPr>
                <w:ilvl w:val="0"/>
                <w:numId w:val="8"/>
              </w:numPr>
              <w:spacing w:after="170"/>
              <w:rPr>
                <w:sz w:val="16"/>
                <w:szCs w:val="16"/>
              </w:rPr>
            </w:pPr>
            <w:r w:rsidRPr="002F4C4A">
              <w:rPr>
                <w:sz w:val="16"/>
                <w:szCs w:val="16"/>
              </w:rPr>
              <w:t>DIR licences:</w:t>
            </w:r>
            <w:r w:rsidR="00FD2252">
              <w:rPr>
                <w:sz w:val="16"/>
                <w:szCs w:val="16"/>
              </w:rPr>
              <w:t xml:space="preserve"> </w:t>
            </w:r>
            <w:r w:rsidR="003A69F0">
              <w:rPr>
                <w:sz w:val="16"/>
                <w:szCs w:val="16"/>
              </w:rPr>
              <w:t xml:space="preserve">Initial </w:t>
            </w:r>
            <w:r w:rsidRPr="002F4C4A">
              <w:rPr>
                <w:sz w:val="16"/>
                <w:szCs w:val="16"/>
              </w:rPr>
              <w:t xml:space="preserve">Review and Decision. </w:t>
            </w:r>
            <w:r w:rsidR="00915053">
              <w:rPr>
                <w:sz w:val="16"/>
                <w:szCs w:val="16"/>
              </w:rPr>
              <w:t xml:space="preserve">This involves the </w:t>
            </w:r>
            <w:r w:rsidR="002B68BE">
              <w:rPr>
                <w:sz w:val="16"/>
                <w:szCs w:val="16"/>
              </w:rPr>
              <w:t>R</w:t>
            </w:r>
            <w:r w:rsidR="00915053">
              <w:rPr>
                <w:sz w:val="16"/>
                <w:szCs w:val="16"/>
              </w:rPr>
              <w:t xml:space="preserve">egulator considering the application whether it can proceed to the next stage of the assessment process, including notification of receipt of the application on the OGTR website. </w:t>
            </w:r>
            <w:r w:rsidRPr="002F4C4A">
              <w:rPr>
                <w:sz w:val="16"/>
                <w:szCs w:val="16"/>
              </w:rPr>
              <w:t xml:space="preserve">For commercial releases, the Regulator is required to </w:t>
            </w:r>
            <w:r>
              <w:rPr>
                <w:sz w:val="16"/>
                <w:szCs w:val="16"/>
              </w:rPr>
              <w:t>undertake</w:t>
            </w:r>
            <w:r w:rsidRPr="002F4C4A">
              <w:rPr>
                <w:sz w:val="16"/>
                <w:szCs w:val="16"/>
              </w:rPr>
              <w:t xml:space="preserve"> a</w:t>
            </w:r>
            <w:r>
              <w:rPr>
                <w:sz w:val="16"/>
                <w:szCs w:val="16"/>
              </w:rPr>
              <w:t>n</w:t>
            </w:r>
            <w:r w:rsidRPr="002F4C4A">
              <w:rPr>
                <w:sz w:val="16"/>
                <w:szCs w:val="16"/>
              </w:rPr>
              <w:t xml:space="preserve"> expert consultation process.</w:t>
            </w:r>
          </w:p>
        </w:tc>
      </w:tr>
      <w:tr w:rsidR="00D06797" w14:paraId="10CFF2AF" w14:textId="77777777" w:rsidTr="00FD14BC">
        <w:tc>
          <w:tcPr>
            <w:tcW w:w="1763" w:type="dxa"/>
          </w:tcPr>
          <w:p w14:paraId="293BD1AB" w14:textId="77777777" w:rsidR="00D06797" w:rsidRPr="002F4C4A" w:rsidRDefault="00D06797" w:rsidP="00D06797">
            <w:pPr>
              <w:pStyle w:val="ListParagraph"/>
              <w:numPr>
                <w:ilvl w:val="0"/>
                <w:numId w:val="6"/>
              </w:numPr>
              <w:spacing w:after="170"/>
              <w:rPr>
                <w:sz w:val="16"/>
                <w:szCs w:val="16"/>
              </w:rPr>
            </w:pPr>
            <w:r>
              <w:rPr>
                <w:sz w:val="16"/>
                <w:szCs w:val="16"/>
              </w:rPr>
              <w:t>C</w:t>
            </w:r>
            <w:r w:rsidRPr="002F4C4A">
              <w:rPr>
                <w:sz w:val="16"/>
                <w:szCs w:val="16"/>
              </w:rPr>
              <w:t>onsultation</w:t>
            </w:r>
            <w:r>
              <w:rPr>
                <w:sz w:val="16"/>
                <w:szCs w:val="16"/>
              </w:rPr>
              <w:t xml:space="preserve"> (DIR licence applications)</w:t>
            </w:r>
          </w:p>
        </w:tc>
        <w:tc>
          <w:tcPr>
            <w:tcW w:w="7041" w:type="dxa"/>
          </w:tcPr>
          <w:p w14:paraId="76E756D9" w14:textId="77777777" w:rsidR="00D06797" w:rsidRPr="002F4C4A" w:rsidRDefault="00D06797" w:rsidP="00D06797">
            <w:pPr>
              <w:pStyle w:val="ListParagraph"/>
              <w:numPr>
                <w:ilvl w:val="0"/>
                <w:numId w:val="9"/>
              </w:numPr>
              <w:spacing w:after="170"/>
              <w:rPr>
                <w:sz w:val="16"/>
                <w:szCs w:val="16"/>
              </w:rPr>
            </w:pPr>
            <w:r>
              <w:rPr>
                <w:sz w:val="16"/>
                <w:szCs w:val="16"/>
              </w:rPr>
              <w:t>p</w:t>
            </w:r>
            <w:r w:rsidRPr="002F4C4A">
              <w:rPr>
                <w:sz w:val="16"/>
                <w:szCs w:val="16"/>
              </w:rPr>
              <w:t xml:space="preserve">reparation of a summary of </w:t>
            </w:r>
            <w:r>
              <w:rPr>
                <w:sz w:val="16"/>
                <w:szCs w:val="16"/>
              </w:rPr>
              <w:t>the application</w:t>
            </w:r>
          </w:p>
          <w:p w14:paraId="23FBB8D9" w14:textId="77777777" w:rsidR="00D06797" w:rsidRPr="002F4C4A" w:rsidRDefault="00D06797" w:rsidP="00D06797">
            <w:pPr>
              <w:pStyle w:val="ListParagraph"/>
              <w:numPr>
                <w:ilvl w:val="0"/>
                <w:numId w:val="9"/>
              </w:numPr>
              <w:spacing w:after="170"/>
              <w:rPr>
                <w:sz w:val="16"/>
                <w:szCs w:val="16"/>
              </w:rPr>
            </w:pPr>
            <w:r>
              <w:rPr>
                <w:sz w:val="16"/>
                <w:szCs w:val="16"/>
              </w:rPr>
              <w:t>u</w:t>
            </w:r>
            <w:r w:rsidRPr="002F4C4A">
              <w:rPr>
                <w:sz w:val="16"/>
                <w:szCs w:val="16"/>
              </w:rPr>
              <w:t>ndertaking of consultation phase (if the release is not limited and controlled)</w:t>
            </w:r>
          </w:p>
          <w:p w14:paraId="0AEF139C" w14:textId="77777777" w:rsidR="00D06797" w:rsidRPr="002F4C4A" w:rsidRDefault="00D06797" w:rsidP="00D06797">
            <w:pPr>
              <w:pStyle w:val="ListParagraph"/>
              <w:numPr>
                <w:ilvl w:val="0"/>
                <w:numId w:val="9"/>
              </w:numPr>
              <w:spacing w:after="170"/>
              <w:rPr>
                <w:sz w:val="16"/>
                <w:szCs w:val="16"/>
              </w:rPr>
            </w:pPr>
            <w:r>
              <w:rPr>
                <w:sz w:val="16"/>
                <w:szCs w:val="16"/>
              </w:rPr>
              <w:t>p</w:t>
            </w:r>
            <w:r w:rsidRPr="002F4C4A">
              <w:rPr>
                <w:sz w:val="16"/>
                <w:szCs w:val="16"/>
              </w:rPr>
              <w:t xml:space="preserve">ublic notification (mailout and website publication of the </w:t>
            </w:r>
            <w:r>
              <w:rPr>
                <w:sz w:val="16"/>
                <w:szCs w:val="16"/>
              </w:rPr>
              <w:t>application summary</w:t>
            </w:r>
            <w:r w:rsidRPr="002F4C4A">
              <w:rPr>
                <w:sz w:val="16"/>
                <w:szCs w:val="16"/>
              </w:rPr>
              <w:t>)</w:t>
            </w:r>
          </w:p>
        </w:tc>
      </w:tr>
      <w:tr w:rsidR="00D06797" w14:paraId="22ED9207" w14:textId="77777777" w:rsidTr="00FD14BC">
        <w:tc>
          <w:tcPr>
            <w:tcW w:w="1763" w:type="dxa"/>
          </w:tcPr>
          <w:p w14:paraId="149DE118" w14:textId="77777777" w:rsidR="00D06797" w:rsidRPr="002F4C4A" w:rsidRDefault="00D06797" w:rsidP="00D06797">
            <w:pPr>
              <w:pStyle w:val="ListParagraph"/>
              <w:numPr>
                <w:ilvl w:val="0"/>
                <w:numId w:val="6"/>
              </w:numPr>
              <w:spacing w:after="170"/>
              <w:rPr>
                <w:sz w:val="16"/>
                <w:szCs w:val="16"/>
              </w:rPr>
            </w:pPr>
            <w:r w:rsidRPr="002F4C4A">
              <w:rPr>
                <w:sz w:val="16"/>
                <w:szCs w:val="16"/>
              </w:rPr>
              <w:t>Risk assessment and draft licence conditions</w:t>
            </w:r>
          </w:p>
        </w:tc>
        <w:tc>
          <w:tcPr>
            <w:tcW w:w="7041" w:type="dxa"/>
          </w:tcPr>
          <w:p w14:paraId="07D10E12" w14:textId="77777777" w:rsidR="00D06797" w:rsidRPr="002F4C4A" w:rsidRDefault="00D06797" w:rsidP="00D06797">
            <w:pPr>
              <w:pStyle w:val="ListParagraph"/>
              <w:numPr>
                <w:ilvl w:val="0"/>
                <w:numId w:val="10"/>
              </w:numPr>
              <w:spacing w:after="170"/>
              <w:rPr>
                <w:sz w:val="16"/>
                <w:szCs w:val="16"/>
              </w:rPr>
            </w:pPr>
            <w:r>
              <w:rPr>
                <w:sz w:val="16"/>
                <w:szCs w:val="16"/>
              </w:rPr>
              <w:t>d</w:t>
            </w:r>
            <w:r w:rsidRPr="002F4C4A">
              <w:rPr>
                <w:sz w:val="16"/>
                <w:szCs w:val="16"/>
              </w:rPr>
              <w:t>rafting of Risk Assessment and Risk Management Plan (RARMP)</w:t>
            </w:r>
          </w:p>
          <w:p w14:paraId="7A156C6D" w14:textId="71029ABC" w:rsidR="00D06797" w:rsidRPr="00FD2252" w:rsidRDefault="00D06797" w:rsidP="00FD2252">
            <w:pPr>
              <w:pStyle w:val="ListParagraph"/>
              <w:numPr>
                <w:ilvl w:val="0"/>
                <w:numId w:val="10"/>
              </w:numPr>
              <w:spacing w:after="170"/>
              <w:rPr>
                <w:sz w:val="16"/>
                <w:szCs w:val="16"/>
                <w:lang w:val="en-AU"/>
              </w:rPr>
            </w:pPr>
            <w:r w:rsidRPr="002F4C4A">
              <w:rPr>
                <w:sz w:val="16"/>
                <w:szCs w:val="16"/>
              </w:rPr>
              <w:t>DIR licences:</w:t>
            </w:r>
            <w:r w:rsidR="00FD2252">
              <w:rPr>
                <w:sz w:val="16"/>
                <w:szCs w:val="16"/>
              </w:rPr>
              <w:t xml:space="preserve"> </w:t>
            </w:r>
            <w:r w:rsidR="00915053">
              <w:rPr>
                <w:sz w:val="16"/>
                <w:szCs w:val="16"/>
              </w:rPr>
              <w:t xml:space="preserve">Review of the draft </w:t>
            </w:r>
            <w:r w:rsidR="002B68BE">
              <w:rPr>
                <w:sz w:val="16"/>
                <w:szCs w:val="16"/>
              </w:rPr>
              <w:t xml:space="preserve">RARMP </w:t>
            </w:r>
            <w:r>
              <w:rPr>
                <w:sz w:val="16"/>
                <w:szCs w:val="16"/>
              </w:rPr>
              <w:t>–</w:t>
            </w:r>
            <w:r w:rsidR="00915053">
              <w:rPr>
                <w:sz w:val="16"/>
                <w:szCs w:val="16"/>
              </w:rPr>
              <w:t xml:space="preserve"> </w:t>
            </w:r>
            <w:r w:rsidR="00915053" w:rsidRPr="00915053">
              <w:rPr>
                <w:sz w:val="16"/>
                <w:szCs w:val="16"/>
                <w:lang w:val="en-AU"/>
              </w:rPr>
              <w:t>This involves the Regulator considering the draft RARMP</w:t>
            </w:r>
            <w:r w:rsidR="00FD2252">
              <w:rPr>
                <w:sz w:val="16"/>
                <w:szCs w:val="16"/>
                <w:lang w:val="en-AU"/>
              </w:rPr>
              <w:t xml:space="preserve"> </w:t>
            </w:r>
            <w:r w:rsidR="00915053" w:rsidRPr="00915053">
              <w:rPr>
                <w:sz w:val="16"/>
                <w:szCs w:val="16"/>
                <w:lang w:val="en-AU"/>
              </w:rPr>
              <w:t>and determining whether it should proceed to public and expert consultation.</w:t>
            </w:r>
          </w:p>
        </w:tc>
      </w:tr>
      <w:tr w:rsidR="00D06797" w14:paraId="2C8CF893" w14:textId="77777777" w:rsidTr="00FD14BC">
        <w:tc>
          <w:tcPr>
            <w:tcW w:w="1763" w:type="dxa"/>
          </w:tcPr>
          <w:p w14:paraId="0F07D6E9" w14:textId="77777777" w:rsidR="00D06797" w:rsidRPr="002F4C4A" w:rsidRDefault="00D06797" w:rsidP="00D06797">
            <w:pPr>
              <w:pStyle w:val="ListParagraph"/>
              <w:numPr>
                <w:ilvl w:val="0"/>
                <w:numId w:val="6"/>
              </w:numPr>
              <w:spacing w:after="170"/>
              <w:rPr>
                <w:sz w:val="16"/>
                <w:szCs w:val="16"/>
              </w:rPr>
            </w:pPr>
            <w:r>
              <w:rPr>
                <w:sz w:val="16"/>
                <w:szCs w:val="16"/>
              </w:rPr>
              <w:t>C</w:t>
            </w:r>
            <w:r w:rsidRPr="002F4C4A">
              <w:rPr>
                <w:sz w:val="16"/>
                <w:szCs w:val="16"/>
              </w:rPr>
              <w:t>onsultation phase (DIR licence applications)</w:t>
            </w:r>
          </w:p>
        </w:tc>
        <w:tc>
          <w:tcPr>
            <w:tcW w:w="7041" w:type="dxa"/>
          </w:tcPr>
          <w:p w14:paraId="3ACC5D3F" w14:textId="77777777" w:rsidR="00D06797" w:rsidRPr="002F4C4A" w:rsidRDefault="00D06797" w:rsidP="00D06797">
            <w:pPr>
              <w:pStyle w:val="ListParagraph"/>
              <w:numPr>
                <w:ilvl w:val="0"/>
                <w:numId w:val="10"/>
              </w:numPr>
              <w:spacing w:after="170"/>
              <w:ind w:right="0"/>
              <w:rPr>
                <w:sz w:val="16"/>
                <w:szCs w:val="16"/>
              </w:rPr>
            </w:pPr>
            <w:r>
              <w:rPr>
                <w:sz w:val="16"/>
                <w:szCs w:val="16"/>
              </w:rPr>
              <w:t>p</w:t>
            </w:r>
            <w:r w:rsidRPr="002F4C4A">
              <w:rPr>
                <w:sz w:val="16"/>
                <w:szCs w:val="16"/>
              </w:rPr>
              <w:t>ublic notification (website, newspaper and gazette publication, mailout)</w:t>
            </w:r>
          </w:p>
          <w:p w14:paraId="4D2200FE" w14:textId="77777777" w:rsidR="00D06797" w:rsidRPr="002F4C4A" w:rsidRDefault="00D06797" w:rsidP="00D06797">
            <w:pPr>
              <w:pStyle w:val="ListParagraph"/>
              <w:numPr>
                <w:ilvl w:val="0"/>
                <w:numId w:val="10"/>
              </w:numPr>
              <w:spacing w:after="170"/>
              <w:ind w:right="0"/>
              <w:rPr>
                <w:sz w:val="16"/>
                <w:szCs w:val="16"/>
              </w:rPr>
            </w:pPr>
            <w:r>
              <w:rPr>
                <w:sz w:val="16"/>
                <w:szCs w:val="16"/>
              </w:rPr>
              <w:t>u</w:t>
            </w:r>
            <w:r w:rsidRPr="002F4C4A">
              <w:rPr>
                <w:sz w:val="16"/>
                <w:szCs w:val="16"/>
              </w:rPr>
              <w:t>ndertaking of consultation phase</w:t>
            </w:r>
          </w:p>
        </w:tc>
      </w:tr>
      <w:tr w:rsidR="00D06797" w14:paraId="298C6ECC" w14:textId="77777777" w:rsidTr="00FD14BC">
        <w:tc>
          <w:tcPr>
            <w:tcW w:w="1763" w:type="dxa"/>
          </w:tcPr>
          <w:p w14:paraId="3728F33F" w14:textId="77777777" w:rsidR="00D06797" w:rsidRPr="002F4C4A" w:rsidRDefault="00D06797" w:rsidP="00D06797">
            <w:pPr>
              <w:pStyle w:val="ListParagraph"/>
              <w:numPr>
                <w:ilvl w:val="0"/>
                <w:numId w:val="6"/>
              </w:numPr>
              <w:spacing w:after="170"/>
              <w:rPr>
                <w:sz w:val="16"/>
                <w:szCs w:val="16"/>
              </w:rPr>
            </w:pPr>
            <w:r w:rsidRPr="002F4C4A">
              <w:rPr>
                <w:sz w:val="16"/>
                <w:szCs w:val="16"/>
              </w:rPr>
              <w:t>Final review and decision</w:t>
            </w:r>
          </w:p>
        </w:tc>
        <w:tc>
          <w:tcPr>
            <w:tcW w:w="7041" w:type="dxa"/>
          </w:tcPr>
          <w:p w14:paraId="39089B8B" w14:textId="77777777" w:rsidR="00D06797" w:rsidRPr="002F4C4A" w:rsidRDefault="00D06797" w:rsidP="00D06797">
            <w:pPr>
              <w:pStyle w:val="ListParagraph"/>
              <w:numPr>
                <w:ilvl w:val="0"/>
                <w:numId w:val="11"/>
              </w:numPr>
              <w:spacing w:after="170"/>
              <w:rPr>
                <w:sz w:val="16"/>
                <w:szCs w:val="16"/>
              </w:rPr>
            </w:pPr>
            <w:r>
              <w:rPr>
                <w:sz w:val="16"/>
                <w:szCs w:val="16"/>
              </w:rPr>
              <w:t>p</w:t>
            </w:r>
            <w:r w:rsidRPr="002F4C4A">
              <w:rPr>
                <w:sz w:val="16"/>
                <w:szCs w:val="16"/>
              </w:rPr>
              <w:t>reparation of final RARMP and licence conditions</w:t>
            </w:r>
          </w:p>
          <w:p w14:paraId="431E9C78" w14:textId="1741BD8C" w:rsidR="00915053" w:rsidRPr="00915053" w:rsidRDefault="00FD2252" w:rsidP="00915053">
            <w:pPr>
              <w:pStyle w:val="ListParagraph"/>
              <w:numPr>
                <w:ilvl w:val="0"/>
                <w:numId w:val="11"/>
              </w:numPr>
              <w:spacing w:after="170"/>
              <w:rPr>
                <w:sz w:val="16"/>
                <w:szCs w:val="16"/>
                <w:lang w:val="en-AU"/>
              </w:rPr>
            </w:pPr>
            <w:r>
              <w:rPr>
                <w:sz w:val="16"/>
                <w:szCs w:val="16"/>
              </w:rPr>
              <w:lastRenderedPageBreak/>
              <w:t>f</w:t>
            </w:r>
            <w:r w:rsidR="00915053" w:rsidRPr="00FD2252">
              <w:rPr>
                <w:sz w:val="16"/>
                <w:szCs w:val="16"/>
              </w:rPr>
              <w:t>inal regulatory decision.</w:t>
            </w:r>
            <w:r w:rsidR="00915053" w:rsidRPr="00915053">
              <w:rPr>
                <w:sz w:val="16"/>
                <w:szCs w:val="16"/>
                <w:lang w:val="en-AU"/>
              </w:rPr>
              <w:t xml:space="preserve"> </w:t>
            </w:r>
            <w:r w:rsidR="00915053" w:rsidRPr="002B68BE">
              <w:rPr>
                <w:sz w:val="16"/>
                <w:szCs w:val="16"/>
                <w:lang w:val="en-AU"/>
              </w:rPr>
              <w:t>This involves the Regulator reviewing</w:t>
            </w:r>
            <w:r w:rsidR="00915053" w:rsidRPr="00915053">
              <w:rPr>
                <w:sz w:val="16"/>
                <w:szCs w:val="16"/>
                <w:lang w:val="en-AU"/>
              </w:rPr>
              <w:t xml:space="preserve"> the final risk assessment and proposed licence conditions and deciding whether to grant a licence.</w:t>
            </w:r>
          </w:p>
          <w:p w14:paraId="3AF37997" w14:textId="0865913F" w:rsidR="00D06797" w:rsidRPr="002F4C4A" w:rsidRDefault="00D06797" w:rsidP="00D06797">
            <w:pPr>
              <w:pStyle w:val="ListParagraph"/>
              <w:numPr>
                <w:ilvl w:val="0"/>
                <w:numId w:val="11"/>
              </w:numPr>
              <w:spacing w:after="170"/>
              <w:rPr>
                <w:sz w:val="16"/>
                <w:szCs w:val="16"/>
              </w:rPr>
            </w:pPr>
          </w:p>
        </w:tc>
      </w:tr>
      <w:tr w:rsidR="00D06797" w14:paraId="2E96F1EB" w14:textId="77777777" w:rsidTr="00FD14BC">
        <w:tc>
          <w:tcPr>
            <w:tcW w:w="1763" w:type="dxa"/>
          </w:tcPr>
          <w:p w14:paraId="0B8352E4" w14:textId="77777777" w:rsidR="00D06797" w:rsidRPr="002F4C4A" w:rsidRDefault="00D06797" w:rsidP="00D06797">
            <w:pPr>
              <w:pStyle w:val="ListParagraph"/>
              <w:numPr>
                <w:ilvl w:val="0"/>
                <w:numId w:val="6"/>
              </w:numPr>
              <w:spacing w:after="170"/>
              <w:rPr>
                <w:sz w:val="16"/>
                <w:szCs w:val="16"/>
              </w:rPr>
            </w:pPr>
            <w:r w:rsidRPr="002F4C4A">
              <w:rPr>
                <w:sz w:val="16"/>
                <w:szCs w:val="16"/>
              </w:rPr>
              <w:lastRenderedPageBreak/>
              <w:t>Applicant and public notifications</w:t>
            </w:r>
          </w:p>
        </w:tc>
        <w:tc>
          <w:tcPr>
            <w:tcW w:w="7041" w:type="dxa"/>
          </w:tcPr>
          <w:p w14:paraId="480FB2F2" w14:textId="77777777" w:rsidR="00D06797" w:rsidRPr="002F4C4A" w:rsidRDefault="00D06797" w:rsidP="00D06797">
            <w:pPr>
              <w:pStyle w:val="ListParagraph"/>
              <w:numPr>
                <w:ilvl w:val="0"/>
                <w:numId w:val="12"/>
              </w:numPr>
              <w:spacing w:after="170"/>
              <w:rPr>
                <w:sz w:val="16"/>
                <w:szCs w:val="16"/>
              </w:rPr>
            </w:pPr>
            <w:r>
              <w:rPr>
                <w:sz w:val="16"/>
                <w:szCs w:val="16"/>
              </w:rPr>
              <w:t>n</w:t>
            </w:r>
            <w:r w:rsidRPr="002F4C4A">
              <w:rPr>
                <w:sz w:val="16"/>
                <w:szCs w:val="16"/>
              </w:rPr>
              <w:t>otification of application outcome to applicant</w:t>
            </w:r>
          </w:p>
          <w:p w14:paraId="1D50B7A5" w14:textId="77777777" w:rsidR="00D06797" w:rsidRPr="002F4C4A" w:rsidRDefault="00D06797" w:rsidP="00D06797">
            <w:pPr>
              <w:pStyle w:val="ListParagraph"/>
              <w:numPr>
                <w:ilvl w:val="0"/>
                <w:numId w:val="12"/>
              </w:numPr>
              <w:spacing w:after="170"/>
              <w:rPr>
                <w:sz w:val="16"/>
                <w:szCs w:val="16"/>
              </w:rPr>
            </w:pPr>
            <w:r>
              <w:rPr>
                <w:sz w:val="16"/>
                <w:szCs w:val="16"/>
              </w:rPr>
              <w:t>n</w:t>
            </w:r>
            <w:r w:rsidRPr="002F4C4A">
              <w:rPr>
                <w:sz w:val="16"/>
                <w:szCs w:val="16"/>
              </w:rPr>
              <w:t>otification of application outcome to the public (via website publication)</w:t>
            </w:r>
          </w:p>
          <w:p w14:paraId="3CA20497" w14:textId="77777777" w:rsidR="00D06797" w:rsidRPr="002F4C4A" w:rsidRDefault="00D06797" w:rsidP="00D06797">
            <w:pPr>
              <w:pStyle w:val="ListParagraph"/>
              <w:numPr>
                <w:ilvl w:val="0"/>
                <w:numId w:val="12"/>
              </w:numPr>
              <w:spacing w:after="170"/>
              <w:rPr>
                <w:sz w:val="16"/>
                <w:szCs w:val="16"/>
              </w:rPr>
            </w:pPr>
            <w:r>
              <w:rPr>
                <w:sz w:val="16"/>
                <w:szCs w:val="16"/>
              </w:rPr>
              <w:t>u</w:t>
            </w:r>
            <w:r w:rsidRPr="002F4C4A">
              <w:rPr>
                <w:sz w:val="16"/>
                <w:szCs w:val="16"/>
              </w:rPr>
              <w:t>pdate of OGTR database to reflect outcome of application</w:t>
            </w:r>
          </w:p>
        </w:tc>
      </w:tr>
    </w:tbl>
    <w:p w14:paraId="6FCB8EC6" w14:textId="77777777" w:rsidR="00D06797" w:rsidRPr="007A6E8B" w:rsidRDefault="00D06797" w:rsidP="00D06797">
      <w:pPr>
        <w:pStyle w:val="Source"/>
        <w:rPr>
          <w:color w:val="3A7C22" w:themeColor="accent6" w:themeShade="BF"/>
        </w:rPr>
      </w:pPr>
      <w:r w:rsidRPr="007A6E8B">
        <w:rPr>
          <w:color w:val="3A7C22" w:themeColor="accent6" w:themeShade="BF"/>
        </w:rPr>
        <w:t>Note: The OGTR may seek additional information from the applicant prior to process step six to inform its assessment but is required to do so at step one if the application is incomplete.</w:t>
      </w:r>
      <w:r w:rsidRPr="007A6E8B">
        <w:rPr>
          <w:color w:val="3A7C22" w:themeColor="accent6" w:themeShade="BF"/>
        </w:rPr>
        <w:br/>
        <w:t>Source: Office of the Gene Technology Regulator.</w:t>
      </w:r>
    </w:p>
    <w:p w14:paraId="6F3129ED" w14:textId="5F402E8A" w:rsidR="00D06797" w:rsidRPr="00CC5A21" w:rsidRDefault="00D06797" w:rsidP="00D06797">
      <w:pPr>
        <w:pStyle w:val="Heading4"/>
      </w:pPr>
      <w:r>
        <w:t>Variability in licence application processes</w:t>
      </w:r>
    </w:p>
    <w:p w14:paraId="4C226DCC" w14:textId="77777777" w:rsidR="00D06797" w:rsidRDefault="00D06797" w:rsidP="00D06797">
      <w:r>
        <w:t>There are some important variabilities within and between licence application processes which impact the level of effort required to undertake them. F</w:t>
      </w:r>
      <w:r w:rsidRPr="00D51CA8">
        <w:t xml:space="preserve">or commercial DIR licence applications, </w:t>
      </w:r>
      <w:r>
        <w:t>two</w:t>
      </w:r>
      <w:r w:rsidRPr="00D51CA8">
        <w:t xml:space="preserve"> statutory consultations are always required:</w:t>
      </w:r>
    </w:p>
    <w:p w14:paraId="5FDAF8F5" w14:textId="43299822" w:rsidR="00D06797" w:rsidRDefault="00D06797" w:rsidP="00D06797">
      <w:pPr>
        <w:pStyle w:val="ListParagraph"/>
        <w:numPr>
          <w:ilvl w:val="0"/>
          <w:numId w:val="13"/>
        </w:numPr>
        <w:spacing w:after="170" w:line="240" w:lineRule="atLeast"/>
      </w:pPr>
      <w:r w:rsidRPr="00D51CA8">
        <w:t xml:space="preserve">one round </w:t>
      </w:r>
      <w:r>
        <w:t>of consultation</w:t>
      </w:r>
      <w:r w:rsidRPr="00D51CA8">
        <w:t xml:space="preserve"> with the </w:t>
      </w:r>
      <w:r>
        <w:t>s</w:t>
      </w:r>
      <w:r w:rsidRPr="00D51CA8">
        <w:t>tate</w:t>
      </w:r>
      <w:r>
        <w:t>s and territories</w:t>
      </w:r>
      <w:r w:rsidRPr="00D51CA8">
        <w:t>,</w:t>
      </w:r>
      <w:r>
        <w:t xml:space="preserve"> GTTAC</w:t>
      </w:r>
      <w:r w:rsidRPr="00D51CA8">
        <w:t xml:space="preserve">, agencies prescribed in the </w:t>
      </w:r>
      <w:r w:rsidRPr="009710C0">
        <w:t>Regulations</w:t>
      </w:r>
      <w:r w:rsidRPr="00D51CA8">
        <w:t>, and the Environment Minister on the preparation of the RARMP</w:t>
      </w:r>
      <w:r>
        <w:t xml:space="preserve"> (captured at step three);</w:t>
      </w:r>
      <w:r w:rsidRPr="00D51CA8">
        <w:t xml:space="preserve"> and</w:t>
      </w:r>
    </w:p>
    <w:p w14:paraId="6E8DC4A4" w14:textId="77777777" w:rsidR="00D06797" w:rsidRDefault="00D06797" w:rsidP="00D06797">
      <w:pPr>
        <w:pStyle w:val="ListParagraph"/>
        <w:numPr>
          <w:ilvl w:val="0"/>
          <w:numId w:val="13"/>
        </w:numPr>
        <w:spacing w:after="170" w:line="240" w:lineRule="atLeast"/>
      </w:pPr>
      <w:r>
        <w:t>one</w:t>
      </w:r>
      <w:r w:rsidRPr="00D51CA8">
        <w:t xml:space="preserve"> round </w:t>
      </w:r>
      <w:r>
        <w:t xml:space="preserve">of consultation </w:t>
      </w:r>
      <w:r w:rsidRPr="00D51CA8">
        <w:t>with the same bodies as the first round plus the public on the draft RARMP</w:t>
      </w:r>
      <w:r>
        <w:t xml:space="preserve"> (step five).</w:t>
      </w:r>
    </w:p>
    <w:p w14:paraId="4FBDA829" w14:textId="77777777" w:rsidR="00D06797" w:rsidRDefault="00D06797" w:rsidP="00D06797">
      <w:r>
        <w:t>F</w:t>
      </w:r>
      <w:r w:rsidRPr="00A87D2B">
        <w:t xml:space="preserve">or limited and controlled DIR licence applications, one consultation is always required with </w:t>
      </w:r>
      <w:r>
        <w:t>s</w:t>
      </w:r>
      <w:r w:rsidRPr="00A87D2B">
        <w:t>tate</w:t>
      </w:r>
      <w:r>
        <w:t xml:space="preserve"> and territories</w:t>
      </w:r>
      <w:r w:rsidRPr="00A87D2B">
        <w:t>, GTTAC, prescribed agencies</w:t>
      </w:r>
      <w:r>
        <w:t xml:space="preserve"> under the Regulations</w:t>
      </w:r>
      <w:r w:rsidRPr="00A87D2B">
        <w:t>, the Environment Minister and the public on the draft RARMP</w:t>
      </w:r>
      <w:r>
        <w:t>.</w:t>
      </w:r>
    </w:p>
    <w:p w14:paraId="39E90BFB" w14:textId="77777777" w:rsidR="00D06797" w:rsidRPr="00CC5A21" w:rsidRDefault="00D06797" w:rsidP="00D06797">
      <w:r>
        <w:t>F</w:t>
      </w:r>
      <w:r w:rsidRPr="00D368B5">
        <w:t>or DNIR</w:t>
      </w:r>
      <w:r>
        <w:t xml:space="preserve"> licence applications</w:t>
      </w:r>
      <w:r w:rsidRPr="00D368B5">
        <w:t xml:space="preserve">, the Regulator may consult the </w:t>
      </w:r>
      <w:r>
        <w:t>s</w:t>
      </w:r>
      <w:r w:rsidRPr="00D368B5">
        <w:t xml:space="preserve">tates, GTTAC and prescribed agencies at their discretion. </w:t>
      </w:r>
      <w:r>
        <w:t xml:space="preserve">If the consultation process is undertaken, it is most </w:t>
      </w:r>
      <w:r w:rsidRPr="00D368B5">
        <w:t>often</w:t>
      </w:r>
      <w:r>
        <w:t xml:space="preserve"> done for applications </w:t>
      </w:r>
      <w:r w:rsidRPr="00D368B5">
        <w:t>involving high level containment/high risk pathogens, novel technologies or unusual risks</w:t>
      </w:r>
      <w:r>
        <w:t>.</w:t>
      </w:r>
    </w:p>
    <w:p w14:paraId="3C7D62EB" w14:textId="489FE4F6" w:rsidR="00D06797" w:rsidRDefault="00D06797" w:rsidP="00D06797">
      <w:r>
        <w:t>The number of consultation rounds required according to the licence application type and the type of proposed activity is captured below</w:t>
      </w:r>
      <w:r w:rsidR="0032265B">
        <w:t xml:space="preserve"> </w:t>
      </w:r>
      <w:r w:rsidR="0032265B" w:rsidRPr="00403ED8">
        <w:t>(</w:t>
      </w:r>
      <w:r w:rsidR="0032265B" w:rsidRPr="00403ED8">
        <w:fldChar w:fldCharType="begin"/>
      </w:r>
      <w:r w:rsidR="0032265B" w:rsidRPr="00403ED8">
        <w:instrText xml:space="preserve"> REF _Ref240573319 \h </w:instrText>
      </w:r>
      <w:r w:rsidR="0032265B" w:rsidRPr="00403ED8">
        <w:fldChar w:fldCharType="separate"/>
      </w:r>
      <w:r w:rsidR="0032265B" w:rsidRPr="00403ED8">
        <w:t xml:space="preserve">Table </w:t>
      </w:r>
      <w:r w:rsidR="0032265B" w:rsidRPr="00403ED8">
        <w:rPr>
          <w:noProof/>
        </w:rPr>
        <w:t>6</w:t>
      </w:r>
      <w:r w:rsidR="0032265B" w:rsidRPr="00403ED8">
        <w:fldChar w:fldCharType="end"/>
      </w:r>
      <w:r w:rsidR="0032265B" w:rsidRPr="00403ED8">
        <w:t>)</w:t>
      </w:r>
      <w:r w:rsidRPr="00403ED8">
        <w:t xml:space="preserve">. </w:t>
      </w:r>
    </w:p>
    <w:p w14:paraId="314896D5" w14:textId="4BFB2B29" w:rsidR="00D06797" w:rsidRPr="005867CD" w:rsidRDefault="0032265B" w:rsidP="00263E1E">
      <w:pPr>
        <w:pStyle w:val="Caption"/>
        <w:rPr>
          <w:rFonts w:cstheme="minorBidi"/>
          <w:sz w:val="20"/>
        </w:rPr>
      </w:pPr>
      <w:bookmarkStart w:id="56" w:name="_Ref240573319"/>
      <w:bookmarkStart w:id="57" w:name="_Ref167718403"/>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F43E2" w:rsidRPr="007A6E8B">
        <w:rPr>
          <w:rFonts w:ascii="Calibri Light" w:hAnsi="Calibri Light" w:cstheme="minorBidi"/>
          <w:i w:val="0"/>
          <w:color w:val="3A7C22" w:themeColor="accent6" w:themeShade="BF"/>
          <w:kern w:val="0"/>
          <w:sz w:val="20"/>
          <w:szCs w:val="20"/>
          <w14:ligatures w14:val="none"/>
        </w:rPr>
        <w:t>6</w:t>
      </w:r>
      <w:r w:rsidRPr="007A6E8B">
        <w:rPr>
          <w:rFonts w:ascii="Calibri Light" w:hAnsi="Calibri Light" w:cstheme="minorBidi"/>
          <w:i w:val="0"/>
          <w:color w:val="3A7C22" w:themeColor="accent6" w:themeShade="BF"/>
          <w:kern w:val="0"/>
          <w:sz w:val="20"/>
          <w:szCs w:val="20"/>
          <w14:ligatures w14:val="none"/>
        </w:rPr>
        <w:fldChar w:fldCharType="end"/>
      </w:r>
      <w:bookmarkEnd w:id="56"/>
      <w:r w:rsidRPr="007A6E8B">
        <w:rPr>
          <w:rFonts w:ascii="Calibri Light" w:hAnsi="Calibri Light" w:cstheme="minorBidi"/>
          <w:i w:val="0"/>
          <w:color w:val="3A7C22" w:themeColor="accent6" w:themeShade="BF"/>
          <w:kern w:val="0"/>
          <w:sz w:val="20"/>
          <w:szCs w:val="20"/>
          <w14:ligatures w14:val="none"/>
        </w:rPr>
        <w:t xml:space="preserve">: </w:t>
      </w:r>
      <w:r w:rsidR="00D06797" w:rsidRPr="007A6E8B">
        <w:rPr>
          <w:rFonts w:ascii="Calibri Light" w:hAnsi="Calibri Light" w:cstheme="minorBidi"/>
          <w:i w:val="0"/>
          <w:color w:val="3A7C22" w:themeColor="accent6" w:themeShade="BF"/>
          <w:kern w:val="0"/>
          <w:sz w:val="20"/>
          <w:szCs w:val="20"/>
          <w14:ligatures w14:val="none"/>
        </w:rPr>
        <w:t>Number of consultation rounds required according to licence application type and type of proposed activity</w:t>
      </w:r>
      <w:bookmarkEnd w:id="57"/>
    </w:p>
    <w:tbl>
      <w:tblPr>
        <w:tblStyle w:val="Deloittetable"/>
        <w:tblW w:w="0" w:type="auto"/>
        <w:tblLook w:val="04A0" w:firstRow="1" w:lastRow="0" w:firstColumn="1" w:lastColumn="0" w:noHBand="0" w:noVBand="1"/>
      </w:tblPr>
      <w:tblGrid>
        <w:gridCol w:w="2666"/>
        <w:gridCol w:w="2572"/>
        <w:gridCol w:w="3691"/>
      </w:tblGrid>
      <w:tr w:rsidR="00D06797" w14:paraId="2065FB6B" w14:textId="77777777" w:rsidTr="00FD14BC">
        <w:trPr>
          <w:cnfStyle w:val="100000000000" w:firstRow="1" w:lastRow="0" w:firstColumn="0" w:lastColumn="0" w:oddVBand="0" w:evenVBand="0" w:oddHBand="0" w:evenHBand="0" w:firstRowFirstColumn="0" w:firstRowLastColumn="0" w:lastRowFirstColumn="0" w:lastRowLastColumn="0"/>
        </w:trPr>
        <w:tc>
          <w:tcPr>
            <w:tcW w:w="2666" w:type="dxa"/>
          </w:tcPr>
          <w:p w14:paraId="48CF2B77" w14:textId="77777777" w:rsidR="00D06797" w:rsidRDefault="00D06797" w:rsidP="00FD14BC"/>
        </w:tc>
        <w:tc>
          <w:tcPr>
            <w:tcW w:w="2572" w:type="dxa"/>
          </w:tcPr>
          <w:p w14:paraId="4EC35603" w14:textId="77777777" w:rsidR="00D06797" w:rsidRPr="00F55946" w:rsidRDefault="00D06797" w:rsidP="00FD14BC">
            <w:pPr>
              <w:pStyle w:val="Tablecolumnheading"/>
              <w:rPr>
                <w:rFonts w:ascii="Calibri Light" w:hAnsi="Calibri Light" w:cs="Calibri Light"/>
                <w:color w:val="196B24" w:themeColor="accent3"/>
              </w:rPr>
            </w:pPr>
            <w:r w:rsidRPr="00F55946">
              <w:rPr>
                <w:rFonts w:ascii="Calibri Light" w:hAnsi="Calibri Light" w:cs="Calibri Light"/>
                <w:color w:val="196B24" w:themeColor="accent3"/>
              </w:rPr>
              <w:t>DIR</w:t>
            </w:r>
          </w:p>
        </w:tc>
        <w:tc>
          <w:tcPr>
            <w:tcW w:w="3691" w:type="dxa"/>
          </w:tcPr>
          <w:p w14:paraId="36C78C81" w14:textId="77777777" w:rsidR="00D06797" w:rsidRPr="00F55946" w:rsidRDefault="00D06797" w:rsidP="00FD14BC">
            <w:pPr>
              <w:pStyle w:val="Tablecolumnheading"/>
              <w:rPr>
                <w:rFonts w:ascii="Calibri Light" w:hAnsi="Calibri Light" w:cs="Calibri Light"/>
                <w:color w:val="196B24" w:themeColor="accent3"/>
              </w:rPr>
            </w:pPr>
            <w:r w:rsidRPr="00F55946">
              <w:rPr>
                <w:rFonts w:ascii="Calibri Light" w:hAnsi="Calibri Light" w:cs="Calibri Light"/>
                <w:color w:val="196B24" w:themeColor="accent3"/>
              </w:rPr>
              <w:t>DNIR</w:t>
            </w:r>
          </w:p>
        </w:tc>
      </w:tr>
      <w:tr w:rsidR="00D06797" w14:paraId="6A45D860" w14:textId="77777777" w:rsidTr="00FD14BC">
        <w:tc>
          <w:tcPr>
            <w:tcW w:w="2666" w:type="dxa"/>
          </w:tcPr>
          <w:p w14:paraId="036B0773" w14:textId="77777777" w:rsidR="00D06797" w:rsidRPr="00F55946" w:rsidRDefault="00D06797" w:rsidP="00FD14BC">
            <w:pPr>
              <w:pStyle w:val="Tablecolumnheading"/>
              <w:rPr>
                <w:rFonts w:ascii="Calibri Light" w:hAnsi="Calibri Light" w:cs="Calibri Light"/>
                <w:color w:val="196B24" w:themeColor="accent3"/>
              </w:rPr>
            </w:pPr>
            <w:r w:rsidRPr="00F55946">
              <w:rPr>
                <w:rFonts w:ascii="Calibri Light" w:hAnsi="Calibri Light" w:cs="Calibri Light"/>
                <w:color w:val="196B24" w:themeColor="accent3"/>
              </w:rPr>
              <w:t>Commercial</w:t>
            </w:r>
            <w:r>
              <w:rPr>
                <w:rFonts w:ascii="Calibri Light" w:hAnsi="Calibri Light" w:cs="Calibri Light"/>
                <w:color w:val="196B24" w:themeColor="accent3"/>
              </w:rPr>
              <w:t xml:space="preserve"> activities</w:t>
            </w:r>
          </w:p>
        </w:tc>
        <w:tc>
          <w:tcPr>
            <w:tcW w:w="2572" w:type="dxa"/>
          </w:tcPr>
          <w:p w14:paraId="3C097682" w14:textId="77777777" w:rsidR="00D06797" w:rsidRDefault="00D06797" w:rsidP="00FD14BC">
            <w:r>
              <w:t>2</w:t>
            </w:r>
          </w:p>
        </w:tc>
        <w:tc>
          <w:tcPr>
            <w:tcW w:w="3691" w:type="dxa"/>
            <w:vMerge w:val="restart"/>
            <w:tcBorders>
              <w:top w:val="single" w:sz="4" w:space="0" w:color="000000" w:themeColor="text1"/>
            </w:tcBorders>
            <w:vAlign w:val="center"/>
          </w:tcPr>
          <w:p w14:paraId="521427C0" w14:textId="77777777" w:rsidR="00D06797" w:rsidRDefault="00D06797" w:rsidP="00FD14BC">
            <w:pPr>
              <w:ind w:left="113"/>
            </w:pPr>
            <w:r>
              <w:t>Consultation at Regulator’s discretion</w:t>
            </w:r>
          </w:p>
        </w:tc>
      </w:tr>
      <w:tr w:rsidR="00D06797" w14:paraId="01CC40E0" w14:textId="77777777" w:rsidTr="00FD14BC">
        <w:tc>
          <w:tcPr>
            <w:tcW w:w="2666" w:type="dxa"/>
          </w:tcPr>
          <w:p w14:paraId="148ABCBC" w14:textId="77777777" w:rsidR="00D06797" w:rsidRPr="00F55946" w:rsidRDefault="00D06797" w:rsidP="00FD14BC">
            <w:pPr>
              <w:pStyle w:val="Tablecolumnheading"/>
              <w:rPr>
                <w:rFonts w:ascii="Calibri Light" w:hAnsi="Calibri Light" w:cs="Calibri Light"/>
                <w:color w:val="196B24" w:themeColor="accent3"/>
              </w:rPr>
            </w:pPr>
            <w:r w:rsidRPr="00F55946">
              <w:rPr>
                <w:rFonts w:ascii="Calibri Light" w:hAnsi="Calibri Light" w:cs="Calibri Light"/>
                <w:color w:val="196B24" w:themeColor="accent3"/>
              </w:rPr>
              <w:t>Limited and controlled release</w:t>
            </w:r>
            <w:r>
              <w:rPr>
                <w:rFonts w:ascii="Calibri Light" w:hAnsi="Calibri Light" w:cs="Calibri Light"/>
                <w:color w:val="196B24" w:themeColor="accent3"/>
              </w:rPr>
              <w:t xml:space="preserve"> activities</w:t>
            </w:r>
          </w:p>
        </w:tc>
        <w:tc>
          <w:tcPr>
            <w:tcW w:w="2572" w:type="dxa"/>
          </w:tcPr>
          <w:p w14:paraId="29773451" w14:textId="77777777" w:rsidR="00D06797" w:rsidRDefault="00D06797" w:rsidP="00FD14BC">
            <w:r>
              <w:t>1</w:t>
            </w:r>
          </w:p>
        </w:tc>
        <w:tc>
          <w:tcPr>
            <w:tcW w:w="3691" w:type="dxa"/>
            <w:vMerge/>
          </w:tcPr>
          <w:p w14:paraId="5D1ECDDB" w14:textId="77777777" w:rsidR="00D06797" w:rsidRDefault="00D06797" w:rsidP="00FD14BC"/>
        </w:tc>
      </w:tr>
    </w:tbl>
    <w:p w14:paraId="21BD7692" w14:textId="16CECEDC" w:rsidR="00565188" w:rsidRPr="007A6E8B" w:rsidRDefault="00D06797" w:rsidP="00382141">
      <w:pPr>
        <w:pStyle w:val="Source"/>
        <w:rPr>
          <w:color w:val="3A7C22" w:themeColor="accent6" w:themeShade="BF"/>
        </w:rPr>
      </w:pPr>
      <w:r w:rsidRPr="007A6E8B">
        <w:rPr>
          <w:color w:val="3A7C22" w:themeColor="accent6" w:themeShade="BF"/>
        </w:rPr>
        <w:t>Source: Office of the Gene Technology Regulator.</w:t>
      </w:r>
    </w:p>
    <w:p w14:paraId="21133D19" w14:textId="269B56F6" w:rsidR="008B4B8A" w:rsidRPr="00494472" w:rsidRDefault="00CB55A7" w:rsidP="00136ECF">
      <w:pPr>
        <w:pStyle w:val="Heading3"/>
      </w:pPr>
      <w:bookmarkStart w:id="58" w:name="_Toc242195593"/>
      <w:r>
        <w:t>ABC and Cost Recovery Methodology</w:t>
      </w:r>
      <w:r w:rsidR="00416981">
        <w:t xml:space="preserve"> – Licences</w:t>
      </w:r>
      <w:bookmarkEnd w:id="58"/>
      <w:r w:rsidR="00416981">
        <w:t xml:space="preserve"> </w:t>
      </w:r>
    </w:p>
    <w:p w14:paraId="7A1BB33B" w14:textId="4343C36B" w:rsidR="008B4B8A" w:rsidRPr="00051BC3" w:rsidRDefault="008B4B8A" w:rsidP="008B4B8A">
      <w:pPr>
        <w:shd w:val="clear" w:color="auto" w:fill="FFFFFF" w:themeFill="background1"/>
      </w:pPr>
      <w:r>
        <w:t xml:space="preserve">Under Phase 1, </w:t>
      </w:r>
      <w:r w:rsidRPr="00051BC3">
        <w:t xml:space="preserve">cost recovery arrangements will apply to licence applications submitted under the </w:t>
      </w:r>
      <w:r w:rsidR="00F330F6">
        <w:t>Act</w:t>
      </w:r>
      <w:r w:rsidRPr="00051BC3">
        <w:t xml:space="preserve">, while maintaining Government support for research and innovation. </w:t>
      </w:r>
    </w:p>
    <w:p w14:paraId="13B7E5C2" w14:textId="77777777" w:rsidR="008B4B8A" w:rsidRPr="00051BC3" w:rsidRDefault="008B4B8A" w:rsidP="008B4B8A">
      <w:pPr>
        <w:shd w:val="clear" w:color="auto" w:fill="FFFFFF" w:themeFill="background1"/>
      </w:pPr>
      <w:r w:rsidRPr="00051BC3">
        <w:t>Licence application fees have been designed to reflect both the complexity of the application and the purpose of the proposed activities. Applications will be categorised according to the type of regulatory assessment required and whether the proposed activities are research, pre-commercial or commercial in nature. This approach provides a more proportionate charging framework that better reflects regulatory effort and stakeholder capacity to pay</w:t>
      </w:r>
      <w:r>
        <w:t>,</w:t>
      </w:r>
      <w:r w:rsidRPr="008B67A1">
        <w:t xml:space="preserve"> </w:t>
      </w:r>
      <w:r>
        <w:t>as well as minimising cross-subsidisation.</w:t>
      </w:r>
      <w:r w:rsidRPr="00051BC3">
        <w:t xml:space="preserve"> </w:t>
      </w:r>
    </w:p>
    <w:p w14:paraId="2D496F59" w14:textId="77777777" w:rsidR="00263E1E" w:rsidRDefault="00263E1E" w:rsidP="008B4B8A">
      <w:pPr>
        <w:shd w:val="clear" w:color="auto" w:fill="FFFFFF" w:themeFill="background1"/>
      </w:pPr>
    </w:p>
    <w:p w14:paraId="10F5F8C1" w14:textId="7D0B159F" w:rsidR="008B4B8A" w:rsidRPr="00051BC3" w:rsidRDefault="008B4B8A" w:rsidP="008B4B8A">
      <w:pPr>
        <w:shd w:val="clear" w:color="auto" w:fill="FFFFFF" w:themeFill="background1"/>
      </w:pPr>
      <w:r w:rsidRPr="00051BC3">
        <w:lastRenderedPageBreak/>
        <w:t>Consistent with Government approval:</w:t>
      </w:r>
    </w:p>
    <w:p w14:paraId="4754BD35" w14:textId="77777777" w:rsidR="008B4B8A" w:rsidRPr="00051BC3" w:rsidRDefault="008B4B8A" w:rsidP="008B4B8A">
      <w:pPr>
        <w:numPr>
          <w:ilvl w:val="0"/>
          <w:numId w:val="14"/>
        </w:numPr>
        <w:shd w:val="clear" w:color="auto" w:fill="FFFFFF" w:themeFill="background1"/>
      </w:pPr>
      <w:r w:rsidRPr="00051BC3">
        <w:t>licence applications for purely research activities will be exempt from application fees</w:t>
      </w:r>
    </w:p>
    <w:p w14:paraId="18EB83D5" w14:textId="77777777" w:rsidR="008B4B8A" w:rsidRPr="00051BC3" w:rsidRDefault="008B4B8A" w:rsidP="008B4B8A">
      <w:pPr>
        <w:numPr>
          <w:ilvl w:val="0"/>
          <w:numId w:val="14"/>
        </w:numPr>
        <w:shd w:val="clear" w:color="auto" w:fill="FFFFFF" w:themeFill="background1"/>
      </w:pPr>
      <w:r w:rsidRPr="00051BC3">
        <w:t>pre-commercial activities, will be charged at 25 per cent of the full cost of assessment</w:t>
      </w:r>
    </w:p>
    <w:p w14:paraId="1E2D333C" w14:textId="77777777" w:rsidR="008B4B8A" w:rsidRPr="00D54183" w:rsidRDefault="008B4B8A" w:rsidP="008B4B8A">
      <w:pPr>
        <w:numPr>
          <w:ilvl w:val="0"/>
          <w:numId w:val="14"/>
        </w:numPr>
        <w:shd w:val="clear" w:color="auto" w:fill="FFFFFF" w:themeFill="background1"/>
      </w:pPr>
      <w:r w:rsidRPr="00051BC3">
        <w:t xml:space="preserve">commercial activities will be charged at 50 per cent of the full cost of assessment. </w:t>
      </w:r>
    </w:p>
    <w:p w14:paraId="471348C2" w14:textId="77777777" w:rsidR="008B4B8A" w:rsidRDefault="008B4B8A" w:rsidP="00136ECF">
      <w:pPr>
        <w:pStyle w:val="Heading4"/>
      </w:pPr>
      <w:r>
        <w:t>DIR</w:t>
      </w:r>
    </w:p>
    <w:p w14:paraId="1446D2B5" w14:textId="14424784" w:rsidR="0069364D" w:rsidRPr="005469FA" w:rsidRDefault="008B4B8A" w:rsidP="0069364D">
      <w:r w:rsidRPr="009210BF">
        <w:t xml:space="preserve">The fee structure for licence applications has been informed by </w:t>
      </w:r>
      <w:r w:rsidR="002B68BE">
        <w:t>ABC</w:t>
      </w:r>
      <w:r w:rsidR="00DF21CA">
        <w:t xml:space="preserve"> data</w:t>
      </w:r>
      <w:r w:rsidRPr="009210BF">
        <w:t xml:space="preserve"> analysis undertaken by Deloitte Access Economics using OGTR regulatory activity data. The analysis </w:t>
      </w:r>
      <w:r w:rsidR="006308B7">
        <w:t xml:space="preserve">was further expanded by the </w:t>
      </w:r>
      <w:r w:rsidR="00005D89">
        <w:t>OGTR</w:t>
      </w:r>
      <w:r w:rsidR="00DF21CA">
        <w:t>.</w:t>
      </w:r>
      <w:r w:rsidR="00005D89">
        <w:t xml:space="preserve"> </w:t>
      </w:r>
      <w:r w:rsidR="0069364D">
        <w:t xml:space="preserve">ABC data for a sample of 26 DIR licence applications </w:t>
      </w:r>
      <w:r w:rsidR="00D643F8">
        <w:t>involved</w:t>
      </w:r>
      <w:r w:rsidR="0069364D">
        <w:t xml:space="preserve"> 5 high complexity applications and 21 low complexity applications</w:t>
      </w:r>
      <w:r w:rsidR="00BF6B3C">
        <w:t xml:space="preserve"> </w:t>
      </w:r>
      <w:r w:rsidR="00BF6B3C" w:rsidRPr="009210BF">
        <w:t>assessed between November 2021 and</w:t>
      </w:r>
      <w:r w:rsidR="00BF6B3C">
        <w:t xml:space="preserve"> June 2026</w:t>
      </w:r>
      <w:r w:rsidR="0069364D">
        <w:t>. The average cost of the process steps in the sample of DIR licence applications is presented in</w:t>
      </w:r>
      <w:r w:rsidR="0069364D" w:rsidRPr="003C48FF">
        <w:rPr>
          <w:rFonts w:cs="Arial"/>
        </w:rPr>
        <w:t xml:space="preserve"> </w:t>
      </w:r>
      <w:r w:rsidR="0069364D" w:rsidRPr="00403ED8">
        <w:rPr>
          <w:rFonts w:cs="Arial"/>
        </w:rPr>
        <w:t>Appendix B</w:t>
      </w:r>
      <w:r w:rsidR="00BF6B3C" w:rsidRPr="00403ED8">
        <w:rPr>
          <w:rFonts w:cs="Arial"/>
        </w:rPr>
        <w:t xml:space="preserve"> </w:t>
      </w:r>
      <w:r w:rsidR="00BF6B3C" w:rsidRPr="00403ED8">
        <w:rPr>
          <w:rFonts w:cs="Arial"/>
        </w:rPr>
        <w:fldChar w:fldCharType="begin"/>
      </w:r>
      <w:r w:rsidR="00BF6B3C" w:rsidRPr="00403ED8">
        <w:rPr>
          <w:rFonts w:cs="Arial"/>
        </w:rPr>
        <w:instrText xml:space="preserve"> REF _Ref241825446 \h </w:instrText>
      </w:r>
      <w:r w:rsidR="003C48FF" w:rsidRPr="00403ED8">
        <w:rPr>
          <w:rFonts w:cs="Arial"/>
        </w:rPr>
        <w:instrText xml:space="preserve"> \* MERGEFORMAT </w:instrText>
      </w:r>
      <w:r w:rsidR="00BF6B3C" w:rsidRPr="00403ED8">
        <w:rPr>
          <w:rFonts w:cs="Arial"/>
        </w:rPr>
      </w:r>
      <w:r w:rsidR="00BF6B3C" w:rsidRPr="00403ED8">
        <w:rPr>
          <w:rFonts w:cs="Arial"/>
        </w:rPr>
        <w:fldChar w:fldCharType="separate"/>
      </w:r>
      <w:r w:rsidR="003C48FF" w:rsidRPr="00403ED8">
        <w:rPr>
          <w:rFonts w:cs="Arial"/>
          <w:kern w:val="0"/>
          <w:szCs w:val="20"/>
          <w14:ligatures w14:val="none"/>
        </w:rPr>
        <w:t xml:space="preserve">Table </w:t>
      </w:r>
      <w:r w:rsidR="003C48FF" w:rsidRPr="00403ED8">
        <w:rPr>
          <w:rFonts w:cs="Arial"/>
          <w:noProof/>
          <w:kern w:val="0"/>
          <w:szCs w:val="20"/>
          <w14:ligatures w14:val="none"/>
        </w:rPr>
        <w:t>15</w:t>
      </w:r>
      <w:r w:rsidR="00BF6B3C" w:rsidRPr="00403ED8">
        <w:rPr>
          <w:rFonts w:cs="Arial"/>
        </w:rPr>
        <w:fldChar w:fldCharType="end"/>
      </w:r>
      <w:r w:rsidR="0069364D" w:rsidRPr="00403ED8">
        <w:t>.</w:t>
      </w:r>
    </w:p>
    <w:p w14:paraId="3CCAF194" w14:textId="0657CD77" w:rsidR="008B4B8A" w:rsidRDefault="008B4B8A" w:rsidP="008B4B8A">
      <w:r>
        <w:t xml:space="preserve">The primary cost drivers of the DIR average total cost are the risk assessment and drafting of licence conditions, representing </w:t>
      </w:r>
      <w:r w:rsidR="00D643F8">
        <w:t xml:space="preserve">around 51 </w:t>
      </w:r>
      <w:r>
        <w:t xml:space="preserve">per cent of the total cost and the final review and decision representing </w:t>
      </w:r>
      <w:r w:rsidR="00D643F8">
        <w:t>around 30</w:t>
      </w:r>
      <w:r w:rsidR="00AE2CA7">
        <w:t xml:space="preserve"> </w:t>
      </w:r>
      <w:r>
        <w:t>per cent of the total cost</w:t>
      </w:r>
      <w:r w:rsidR="00F50B6B">
        <w:t xml:space="preserve"> (</w:t>
      </w:r>
      <w:r w:rsidR="00F50B6B" w:rsidRPr="00403ED8">
        <w:fldChar w:fldCharType="begin"/>
      </w:r>
      <w:r w:rsidR="00F50B6B" w:rsidRPr="00403ED8">
        <w:instrText xml:space="preserve"> REF _Ref240573432 \h </w:instrText>
      </w:r>
      <w:r w:rsidR="00F50B6B" w:rsidRPr="00403ED8">
        <w:fldChar w:fldCharType="separate"/>
      </w:r>
      <w:r w:rsidR="00F50B6B" w:rsidRPr="00403ED8">
        <w:t xml:space="preserve">Figure </w:t>
      </w:r>
      <w:r w:rsidR="00F50B6B" w:rsidRPr="00403ED8">
        <w:rPr>
          <w:noProof/>
        </w:rPr>
        <w:t>3</w:t>
      </w:r>
      <w:r w:rsidR="00F50B6B" w:rsidRPr="00403ED8">
        <w:fldChar w:fldCharType="end"/>
      </w:r>
      <w:r w:rsidR="00F50B6B" w:rsidRPr="00403ED8">
        <w:t>)</w:t>
      </w:r>
      <w:r w:rsidRPr="00403ED8">
        <w:t>.</w:t>
      </w:r>
    </w:p>
    <w:p w14:paraId="4E0A3FAC" w14:textId="7E25B0CF" w:rsidR="0069364D" w:rsidRDefault="00D643F8" w:rsidP="008B4B8A">
      <w:r>
        <w:t xml:space="preserve">The </w:t>
      </w:r>
      <w:r w:rsidR="006822E6">
        <w:t>variability</w:t>
      </w:r>
      <w:r w:rsidR="008B4B8A">
        <w:t xml:space="preserve"> in costs </w:t>
      </w:r>
      <w:r w:rsidR="0080310D">
        <w:t>is</w:t>
      </w:r>
      <w:r w:rsidR="008B4B8A">
        <w:t xml:space="preserve"> primarily driven by the </w:t>
      </w:r>
      <w:r w:rsidR="0069364D">
        <w:t>following steps:</w:t>
      </w:r>
    </w:p>
    <w:p w14:paraId="58102B2B" w14:textId="7190F823" w:rsidR="00AE2CA7" w:rsidRDefault="008B4B8A" w:rsidP="00AE2CA7">
      <w:pPr>
        <w:pStyle w:val="ListParagraph"/>
        <w:numPr>
          <w:ilvl w:val="0"/>
          <w:numId w:val="33"/>
        </w:numPr>
      </w:pPr>
      <w:r>
        <w:t xml:space="preserve">time required to prepare the </w:t>
      </w:r>
      <w:r w:rsidR="00BF6B3C">
        <w:t xml:space="preserve">draft </w:t>
      </w:r>
      <w:r>
        <w:t>RARMP and draft licence conditions</w:t>
      </w:r>
      <w:r w:rsidR="0069364D">
        <w:t xml:space="preserve"> </w:t>
      </w:r>
      <w:r>
        <w:t xml:space="preserve"> </w:t>
      </w:r>
    </w:p>
    <w:p w14:paraId="23C79186" w14:textId="0B8DC01F" w:rsidR="0069364D" w:rsidRDefault="008B4B8A" w:rsidP="0069364D">
      <w:pPr>
        <w:pStyle w:val="ListParagraph"/>
        <w:numPr>
          <w:ilvl w:val="0"/>
          <w:numId w:val="33"/>
        </w:numPr>
      </w:pPr>
      <w:r>
        <w:t xml:space="preserve">time required to review </w:t>
      </w:r>
      <w:r w:rsidR="001C5276">
        <w:t>submissions in response to public consultation</w:t>
      </w:r>
    </w:p>
    <w:p w14:paraId="2B68CF0C" w14:textId="5675353A" w:rsidR="0069364D" w:rsidRDefault="0069364D" w:rsidP="0069364D">
      <w:pPr>
        <w:pStyle w:val="ListParagraph"/>
        <w:numPr>
          <w:ilvl w:val="0"/>
          <w:numId w:val="33"/>
        </w:numPr>
      </w:pPr>
      <w:r>
        <w:t>time for making</w:t>
      </w:r>
      <w:r w:rsidR="001C5276">
        <w:t xml:space="preserve"> amendments to </w:t>
      </w:r>
      <w:r w:rsidR="008B4B8A">
        <w:t xml:space="preserve">the </w:t>
      </w:r>
      <w:r>
        <w:t xml:space="preserve">final </w:t>
      </w:r>
      <w:r w:rsidR="008B4B8A">
        <w:t>RARMP</w:t>
      </w:r>
      <w:r>
        <w:t xml:space="preserve"> for publication </w:t>
      </w:r>
    </w:p>
    <w:p w14:paraId="14C1A238" w14:textId="1D1613BF" w:rsidR="0069364D" w:rsidRDefault="0069364D" w:rsidP="0069364D">
      <w:pPr>
        <w:pStyle w:val="ListParagraph"/>
        <w:numPr>
          <w:ilvl w:val="0"/>
          <w:numId w:val="33"/>
        </w:numPr>
      </w:pPr>
      <w:r>
        <w:t xml:space="preserve">changes to </w:t>
      </w:r>
      <w:r w:rsidR="008B4B8A">
        <w:t xml:space="preserve">draft licence </w:t>
      </w:r>
      <w:r w:rsidR="00AE2CA7">
        <w:t>conditions and</w:t>
      </w:r>
    </w:p>
    <w:p w14:paraId="50A27F06" w14:textId="211DF5FC" w:rsidR="008B4B8A" w:rsidRDefault="0069364D" w:rsidP="00870C64">
      <w:pPr>
        <w:pStyle w:val="ListParagraph"/>
        <w:numPr>
          <w:ilvl w:val="0"/>
          <w:numId w:val="33"/>
        </w:numPr>
      </w:pPr>
      <w:r>
        <w:t xml:space="preserve">the </w:t>
      </w:r>
      <w:r w:rsidR="008B4B8A">
        <w:t>final decision</w:t>
      </w:r>
      <w:r>
        <w:t xml:space="preserve"> by the Regulator</w:t>
      </w:r>
      <w:r w:rsidR="008B4B8A">
        <w:t xml:space="preserve">. </w:t>
      </w:r>
    </w:p>
    <w:p w14:paraId="696057D5" w14:textId="0E27B614" w:rsidR="00BF0D41" w:rsidRDefault="008B4B8A" w:rsidP="008B4B8A">
      <w:r>
        <w:t xml:space="preserve">The variability in </w:t>
      </w:r>
      <w:r w:rsidR="00D643F8">
        <w:t xml:space="preserve">these </w:t>
      </w:r>
      <w:r>
        <w:t xml:space="preserve">steps </w:t>
      </w:r>
      <w:r w:rsidR="00870C64">
        <w:t>is</w:t>
      </w:r>
      <w:r>
        <w:t xml:space="preserve"> influenced by the complexity associated with the analysis and assessment of the prospective risks posed by each applicant’s proposed activities</w:t>
      </w:r>
      <w:r w:rsidR="00BF6B3C">
        <w:t>.</w:t>
      </w:r>
      <w:r w:rsidRPr="00564154">
        <w:t xml:space="preserve"> The level of complexity in assessment is influenced by factors such as the novelty of the </w:t>
      </w:r>
      <w:r w:rsidR="00005D89">
        <w:t xml:space="preserve">GMO and the </w:t>
      </w:r>
      <w:r w:rsidRPr="00564154">
        <w:t xml:space="preserve">proposed activity, the complexity of the risk assessment required, and whether similar activities have previously been assessed </w:t>
      </w:r>
      <w:r w:rsidR="00005D89">
        <w:t xml:space="preserve">and authorised </w:t>
      </w:r>
      <w:r w:rsidRPr="00564154">
        <w:t>by the OGTR.</w:t>
      </w:r>
    </w:p>
    <w:p w14:paraId="73932223" w14:textId="372F651B" w:rsidR="00C40F6C" w:rsidRPr="007A6E8B" w:rsidRDefault="0088333D" w:rsidP="00263E1E">
      <w:pPr>
        <w:pStyle w:val="Caption"/>
        <w:rPr>
          <w:rFonts w:ascii="Calibri Light" w:hAnsi="Calibri Light" w:cstheme="minorBidi"/>
          <w:i w:val="0"/>
          <w:color w:val="3A7C22" w:themeColor="accent6" w:themeShade="BF"/>
          <w:kern w:val="0"/>
          <w:sz w:val="20"/>
          <w:szCs w:val="20"/>
          <w14:ligatures w14:val="none"/>
        </w:rPr>
      </w:pPr>
      <w:bookmarkStart w:id="59" w:name="_Ref240573432"/>
      <w:r w:rsidRPr="007A6E8B">
        <w:rPr>
          <w:rFonts w:ascii="Calibri Light" w:hAnsi="Calibri Light" w:cstheme="minorBidi"/>
          <w:i w:val="0"/>
          <w:color w:val="3A7C22" w:themeColor="accent6" w:themeShade="BF"/>
          <w:kern w:val="0"/>
          <w:sz w:val="20"/>
          <w:szCs w:val="20"/>
          <w14:ligatures w14:val="none"/>
        </w:rPr>
        <w:t xml:space="preserve">Figure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Figure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5D5CCD" w:rsidRPr="007A6E8B">
        <w:rPr>
          <w:rFonts w:ascii="Calibri Light" w:hAnsi="Calibri Light" w:cstheme="minorBidi"/>
          <w:i w:val="0"/>
          <w:color w:val="3A7C22" w:themeColor="accent6" w:themeShade="BF"/>
          <w:kern w:val="0"/>
          <w:sz w:val="20"/>
          <w:szCs w:val="20"/>
          <w14:ligatures w14:val="none"/>
        </w:rPr>
        <w:t>3</w:t>
      </w:r>
      <w:r w:rsidRPr="007A6E8B">
        <w:rPr>
          <w:rFonts w:ascii="Calibri Light" w:hAnsi="Calibri Light" w:cstheme="minorBidi"/>
          <w:i w:val="0"/>
          <w:color w:val="3A7C22" w:themeColor="accent6" w:themeShade="BF"/>
          <w:kern w:val="0"/>
          <w:sz w:val="20"/>
          <w:szCs w:val="20"/>
          <w14:ligatures w14:val="none"/>
        </w:rPr>
        <w:fldChar w:fldCharType="end"/>
      </w:r>
      <w:bookmarkEnd w:id="59"/>
      <w:r w:rsidRPr="007A6E8B">
        <w:rPr>
          <w:rFonts w:ascii="Calibri Light" w:hAnsi="Calibri Light" w:cstheme="minorBidi"/>
          <w:i w:val="0"/>
          <w:color w:val="3A7C22" w:themeColor="accent6" w:themeShade="BF"/>
          <w:kern w:val="0"/>
          <w:sz w:val="20"/>
          <w:szCs w:val="20"/>
          <w14:ligatures w14:val="none"/>
        </w:rPr>
        <w:t>: Fee calculation steps for a DIR licence</w:t>
      </w:r>
    </w:p>
    <w:p w14:paraId="1010C2CD" w14:textId="53F34874" w:rsidR="00986AD2" w:rsidRPr="007A4FA7" w:rsidRDefault="00097A3A" w:rsidP="00870C64">
      <w:pPr>
        <w:rPr>
          <w:rFonts w:ascii="Calibri Light" w:hAnsi="Calibri Light" w:cstheme="minorBidi"/>
          <w:i/>
          <w:color w:val="4EA72E" w:themeColor="accent6"/>
          <w:kern w:val="0"/>
          <w:szCs w:val="20"/>
          <w14:ligatures w14:val="none"/>
        </w:rPr>
      </w:pPr>
      <w:r w:rsidRPr="00794831">
        <w:rPr>
          <w:rFonts w:ascii="Calibri Light" w:hAnsi="Calibri Light" w:cstheme="minorBidi"/>
          <w:noProof/>
          <w:color w:val="4EA72E" w:themeColor="accent6"/>
          <w:kern w:val="0"/>
          <w:szCs w:val="20"/>
          <w14:ligatures w14:val="none"/>
        </w:rPr>
        <w:drawing>
          <wp:inline distT="0" distB="0" distL="0" distR="0" wp14:anchorId="037C03F4" wp14:editId="58A402A7">
            <wp:extent cx="6514442" cy="2527540"/>
            <wp:effectExtent l="0" t="0" r="1270" b="6350"/>
            <wp:docPr id="1557804425" name="Picture 1" descr="Costs per each main activity, arriving to the total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04425" name="Picture 1" descr="Costs per each main activity, arriving to the total fee"/>
                    <pic:cNvPicPr/>
                  </pic:nvPicPr>
                  <pic:blipFill>
                    <a:blip r:embed="rId26"/>
                    <a:stretch>
                      <a:fillRect/>
                    </a:stretch>
                  </pic:blipFill>
                  <pic:spPr>
                    <a:xfrm>
                      <a:off x="0" y="0"/>
                      <a:ext cx="6528021" cy="2532809"/>
                    </a:xfrm>
                    <a:prstGeom prst="rect">
                      <a:avLst/>
                    </a:prstGeom>
                  </pic:spPr>
                </pic:pic>
              </a:graphicData>
            </a:graphic>
          </wp:inline>
        </w:drawing>
      </w:r>
      <w:r w:rsidR="008B4B8A" w:rsidRPr="005867CD">
        <w:rPr>
          <w:rFonts w:ascii="Calibri Light" w:hAnsi="Calibri Light" w:cstheme="minorBidi"/>
          <w:color w:val="4EA72E" w:themeColor="accent6"/>
          <w:kern w:val="0"/>
          <w:szCs w:val="20"/>
          <w14:ligatures w14:val="none"/>
        </w:rPr>
        <w:t xml:space="preserve"> </w:t>
      </w:r>
      <w:bookmarkStart w:id="60" w:name="_Ref240573458"/>
      <w:bookmarkStart w:id="61" w:name="_Ref167270815"/>
    </w:p>
    <w:bookmarkEnd w:id="60"/>
    <w:bookmarkEnd w:id="61"/>
    <w:p w14:paraId="7F2460C6" w14:textId="6F9058DA" w:rsidR="008B4B8A" w:rsidRPr="00A251A5" w:rsidRDefault="008B4B8A" w:rsidP="00136ECF">
      <w:pPr>
        <w:pStyle w:val="Heading4"/>
      </w:pPr>
      <w:r w:rsidRPr="00136ECF">
        <w:t>DNIR</w:t>
      </w:r>
    </w:p>
    <w:p w14:paraId="31A17714" w14:textId="4920B4F3" w:rsidR="008B4B8A" w:rsidRDefault="005D307A" w:rsidP="008B4B8A">
      <w:r>
        <w:t>A</w:t>
      </w:r>
      <w:r w:rsidR="00953360">
        <w:t xml:space="preserve">BC </w:t>
      </w:r>
      <w:r>
        <w:t>data for a sample of 8</w:t>
      </w:r>
      <w:r w:rsidR="001B715D">
        <w:t>8</w:t>
      </w:r>
      <w:r w:rsidR="008B4B8A">
        <w:t xml:space="preserve"> DNIR licence applications </w:t>
      </w:r>
      <w:r w:rsidR="00005D89">
        <w:t xml:space="preserve">assessed </w:t>
      </w:r>
      <w:r>
        <w:t>between</w:t>
      </w:r>
      <w:r w:rsidR="008B4B8A">
        <w:t xml:space="preserve"> September 2022 and</w:t>
      </w:r>
      <w:r>
        <w:t xml:space="preserve"> June 2026</w:t>
      </w:r>
      <w:r w:rsidR="00005D89">
        <w:t xml:space="preserve"> were considered.</w:t>
      </w:r>
      <w:r w:rsidR="008B4B8A">
        <w:t xml:space="preserve"> </w:t>
      </w:r>
      <w:r w:rsidR="003A0B2B">
        <w:t>This involve</w:t>
      </w:r>
      <w:r w:rsidR="00A05BA1">
        <w:t>d</w:t>
      </w:r>
      <w:r w:rsidR="003A0B2B">
        <w:t xml:space="preserve"> 6 high complexity applications and 82 low complexity applications</w:t>
      </w:r>
      <w:r w:rsidR="00F50B6B">
        <w:t>.</w:t>
      </w:r>
      <w:r w:rsidR="003A0B2B" w:rsidDel="005D307A">
        <w:t xml:space="preserve"> </w:t>
      </w:r>
      <w:r w:rsidR="008B4B8A">
        <w:t xml:space="preserve">The average cost of the process steps in the sample of DNIR licence applications is </w:t>
      </w:r>
      <w:r w:rsidR="005469FA">
        <w:t xml:space="preserve">presented in </w:t>
      </w:r>
      <w:r w:rsidR="005469FA" w:rsidRPr="00403ED8">
        <w:rPr>
          <w:rFonts w:cs="Arial"/>
        </w:rPr>
        <w:t>Appendix B</w:t>
      </w:r>
      <w:r w:rsidR="00BF6B3C" w:rsidRPr="00403ED8">
        <w:rPr>
          <w:rFonts w:cs="Arial"/>
        </w:rPr>
        <w:t xml:space="preserve"> </w:t>
      </w:r>
      <w:r w:rsidR="00BF6B3C" w:rsidRPr="00403ED8">
        <w:rPr>
          <w:rFonts w:cs="Arial"/>
        </w:rPr>
        <w:fldChar w:fldCharType="begin"/>
      </w:r>
      <w:r w:rsidR="00BF6B3C" w:rsidRPr="00403ED8">
        <w:rPr>
          <w:rFonts w:cs="Arial"/>
        </w:rPr>
        <w:instrText xml:space="preserve"> REF _Ref241825428 \h </w:instrText>
      </w:r>
      <w:r w:rsidR="009E753B" w:rsidRPr="00403ED8">
        <w:rPr>
          <w:rFonts w:cs="Arial"/>
        </w:rPr>
        <w:instrText xml:space="preserve"> \* MERGEFORMAT </w:instrText>
      </w:r>
      <w:r w:rsidR="00BF6B3C" w:rsidRPr="00403ED8">
        <w:rPr>
          <w:rFonts w:cs="Arial"/>
        </w:rPr>
      </w:r>
      <w:r w:rsidR="00BF6B3C"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16</w:t>
      </w:r>
      <w:r w:rsidR="00BF6B3C" w:rsidRPr="00403ED8">
        <w:rPr>
          <w:rFonts w:cs="Arial"/>
        </w:rPr>
        <w:fldChar w:fldCharType="end"/>
      </w:r>
      <w:r w:rsidR="008B4B8A" w:rsidRPr="00403ED8">
        <w:t xml:space="preserve">. </w:t>
      </w:r>
    </w:p>
    <w:p w14:paraId="42B1A3D0" w14:textId="053E7F52" w:rsidR="00BF6B3C" w:rsidRDefault="008B4B8A" w:rsidP="00BF0D41">
      <w:r>
        <w:lastRenderedPageBreak/>
        <w:t xml:space="preserve">As with DIR licences, the primary cost drivers of the DNIR average total cost are the risk assessment and drafting of licence conditions representing </w:t>
      </w:r>
      <w:r w:rsidR="00D643F8">
        <w:t xml:space="preserve">around 70 </w:t>
      </w:r>
      <w:r>
        <w:t xml:space="preserve">per cent of the total cost, and the final review and decision representing </w:t>
      </w:r>
      <w:r w:rsidR="00D643F8">
        <w:t xml:space="preserve">around 12 </w:t>
      </w:r>
      <w:r>
        <w:t xml:space="preserve">per cent of the total </w:t>
      </w:r>
      <w:r w:rsidRPr="0088403E">
        <w:rPr>
          <w:rFonts w:cs="Arial"/>
        </w:rPr>
        <w:t>cost.</w:t>
      </w:r>
      <w:r w:rsidR="00D643F8" w:rsidRPr="0088403E">
        <w:rPr>
          <w:rFonts w:cs="Arial"/>
        </w:rPr>
        <w:t xml:space="preserve"> As with the DIR steps above, expert consultation if required adds </w:t>
      </w:r>
      <w:r w:rsidR="00395EE4" w:rsidRPr="0088403E">
        <w:rPr>
          <w:rFonts w:cs="Arial"/>
        </w:rPr>
        <w:t>time to the RARMP preparation</w:t>
      </w:r>
      <w:r w:rsidR="00BF6B3C" w:rsidRPr="0088403E">
        <w:rPr>
          <w:rFonts w:cs="Arial"/>
        </w:rPr>
        <w:t xml:space="preserve"> </w:t>
      </w:r>
      <w:r w:rsidR="00BF6B3C" w:rsidRPr="00403ED8">
        <w:rPr>
          <w:rFonts w:cs="Arial"/>
        </w:rPr>
        <w:t>(</w:t>
      </w:r>
      <w:r w:rsidR="00BF6B3C" w:rsidRPr="00403ED8">
        <w:rPr>
          <w:rFonts w:cs="Arial"/>
        </w:rPr>
        <w:fldChar w:fldCharType="begin"/>
      </w:r>
      <w:r w:rsidR="00BF6B3C" w:rsidRPr="00403ED8">
        <w:rPr>
          <w:rFonts w:cs="Arial"/>
        </w:rPr>
        <w:instrText xml:space="preserve"> REF _Ref240573559 \h </w:instrText>
      </w:r>
      <w:r w:rsidR="0088403E" w:rsidRPr="00403ED8">
        <w:rPr>
          <w:rFonts w:cs="Arial"/>
        </w:rPr>
        <w:instrText xml:space="preserve"> \* MERGEFORMAT </w:instrText>
      </w:r>
      <w:r w:rsidR="00BF6B3C" w:rsidRPr="00403ED8">
        <w:rPr>
          <w:rFonts w:cs="Arial"/>
        </w:rPr>
      </w:r>
      <w:r w:rsidR="00BF6B3C" w:rsidRPr="00403ED8">
        <w:rPr>
          <w:rFonts w:cs="Arial"/>
        </w:rPr>
        <w:fldChar w:fldCharType="separate"/>
      </w:r>
      <w:r w:rsidR="00BF6B3C" w:rsidRPr="00403ED8">
        <w:rPr>
          <w:rFonts w:cs="Arial"/>
          <w:kern w:val="0"/>
          <w:szCs w:val="20"/>
          <w14:ligatures w14:val="none"/>
        </w:rPr>
        <w:t>Figure 4</w:t>
      </w:r>
      <w:r w:rsidR="00BF6B3C" w:rsidRPr="00403ED8">
        <w:rPr>
          <w:rFonts w:cs="Arial"/>
        </w:rPr>
        <w:fldChar w:fldCharType="end"/>
      </w:r>
      <w:r w:rsidR="00BF6B3C" w:rsidRPr="00403ED8">
        <w:rPr>
          <w:rFonts w:cs="Arial"/>
        </w:rPr>
        <w:t>).</w:t>
      </w:r>
    </w:p>
    <w:p w14:paraId="234B3222" w14:textId="7A0CC669" w:rsidR="0088403E" w:rsidRPr="007A6E8B" w:rsidRDefault="0088403E" w:rsidP="0043173F">
      <w:pPr>
        <w:rPr>
          <w:rFonts w:ascii="Calibri Light" w:hAnsi="Calibri Light" w:cstheme="minorBidi"/>
          <w:color w:val="3A7C22" w:themeColor="accent6" w:themeShade="BF"/>
          <w:kern w:val="0"/>
          <w:szCs w:val="20"/>
          <w14:ligatures w14:val="none"/>
        </w:rPr>
      </w:pPr>
      <w:r w:rsidRPr="00FC3471">
        <w:rPr>
          <w:noProof/>
        </w:rPr>
        <w:drawing>
          <wp:anchor distT="0" distB="0" distL="114300" distR="114300" simplePos="0" relativeHeight="251667456" behindDoc="0" locked="0" layoutInCell="1" allowOverlap="1" wp14:anchorId="65BE6202" wp14:editId="35D0CE5B">
            <wp:simplePos x="0" y="0"/>
            <wp:positionH relativeFrom="column">
              <wp:posOffset>-213360</wp:posOffset>
            </wp:positionH>
            <wp:positionV relativeFrom="paragraph">
              <wp:posOffset>233045</wp:posOffset>
            </wp:positionV>
            <wp:extent cx="6818630" cy="3005455"/>
            <wp:effectExtent l="0" t="0" r="1270" b="4445"/>
            <wp:wrapSquare wrapText="bothSides"/>
            <wp:docPr id="1918760101" name="Picture 1" descr="cost per main steps or tasks arriving to the total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60101" name="Picture 1" descr="cost per main steps or tasks arriving to the total fe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818630" cy="3005455"/>
                    </a:xfrm>
                    <a:prstGeom prst="rect">
                      <a:avLst/>
                    </a:prstGeom>
                  </pic:spPr>
                </pic:pic>
              </a:graphicData>
            </a:graphic>
            <wp14:sizeRelH relativeFrom="page">
              <wp14:pctWidth>0</wp14:pctWidth>
            </wp14:sizeRelH>
            <wp14:sizeRelV relativeFrom="page">
              <wp14:pctHeight>0</wp14:pctHeight>
            </wp14:sizeRelV>
          </wp:anchor>
        </w:drawing>
      </w:r>
      <w:r w:rsidR="00395EE4">
        <w:t xml:space="preserve"> </w:t>
      </w:r>
      <w:r w:rsidR="00D643F8">
        <w:t xml:space="preserve"> </w:t>
      </w:r>
      <w:bookmarkStart w:id="62" w:name="_Ref240573559"/>
      <w:bookmarkStart w:id="63" w:name="_Ref240573555"/>
      <w:r w:rsidR="005575A1" w:rsidRPr="007A6E8B">
        <w:rPr>
          <w:rFonts w:ascii="Calibri Light" w:hAnsi="Calibri Light" w:cstheme="minorBidi"/>
          <w:color w:val="3A7C22" w:themeColor="accent6" w:themeShade="BF"/>
          <w:kern w:val="0"/>
          <w:szCs w:val="20"/>
          <w14:ligatures w14:val="none"/>
        </w:rPr>
        <w:t xml:space="preserve">Figure </w:t>
      </w:r>
      <w:r w:rsidR="005575A1" w:rsidRPr="007A6E8B">
        <w:rPr>
          <w:rFonts w:ascii="Calibri Light" w:hAnsi="Calibri Light" w:cstheme="minorBidi"/>
          <w:i/>
          <w:color w:val="3A7C22" w:themeColor="accent6" w:themeShade="BF"/>
          <w:kern w:val="0"/>
          <w:szCs w:val="20"/>
          <w14:ligatures w14:val="none"/>
        </w:rPr>
        <w:fldChar w:fldCharType="begin"/>
      </w:r>
      <w:r w:rsidR="005575A1" w:rsidRPr="007A6E8B">
        <w:rPr>
          <w:rFonts w:ascii="Calibri Light" w:hAnsi="Calibri Light" w:cstheme="minorBidi"/>
          <w:color w:val="3A7C22" w:themeColor="accent6" w:themeShade="BF"/>
          <w:kern w:val="0"/>
          <w:szCs w:val="20"/>
          <w14:ligatures w14:val="none"/>
        </w:rPr>
        <w:instrText xml:space="preserve"> SEQ Figure \* ARABIC </w:instrText>
      </w:r>
      <w:r w:rsidR="005575A1" w:rsidRPr="007A6E8B">
        <w:rPr>
          <w:rFonts w:ascii="Calibri Light" w:hAnsi="Calibri Light" w:cstheme="minorBidi"/>
          <w:i/>
          <w:color w:val="3A7C22" w:themeColor="accent6" w:themeShade="BF"/>
          <w:kern w:val="0"/>
          <w:szCs w:val="20"/>
          <w14:ligatures w14:val="none"/>
        </w:rPr>
        <w:fldChar w:fldCharType="separate"/>
      </w:r>
      <w:r w:rsidR="005D5CCD" w:rsidRPr="007A6E8B">
        <w:rPr>
          <w:rFonts w:ascii="Calibri Light" w:hAnsi="Calibri Light" w:cstheme="minorBidi"/>
          <w:color w:val="3A7C22" w:themeColor="accent6" w:themeShade="BF"/>
          <w:kern w:val="0"/>
          <w:szCs w:val="20"/>
          <w14:ligatures w14:val="none"/>
        </w:rPr>
        <w:t>4</w:t>
      </w:r>
      <w:r w:rsidR="005575A1" w:rsidRPr="007A6E8B">
        <w:rPr>
          <w:rFonts w:ascii="Calibri Light" w:hAnsi="Calibri Light" w:cstheme="minorBidi"/>
          <w:i/>
          <w:color w:val="3A7C22" w:themeColor="accent6" w:themeShade="BF"/>
          <w:kern w:val="0"/>
          <w:szCs w:val="20"/>
          <w14:ligatures w14:val="none"/>
        </w:rPr>
        <w:fldChar w:fldCharType="end"/>
      </w:r>
      <w:bookmarkEnd w:id="62"/>
      <w:r w:rsidR="005575A1" w:rsidRPr="007A6E8B">
        <w:rPr>
          <w:rFonts w:ascii="Calibri Light" w:hAnsi="Calibri Light" w:cstheme="minorBidi"/>
          <w:color w:val="3A7C22" w:themeColor="accent6" w:themeShade="BF"/>
          <w:kern w:val="0"/>
          <w:szCs w:val="20"/>
          <w14:ligatures w14:val="none"/>
        </w:rPr>
        <w:t>: Fee calculation steps for a DNIR licence</w:t>
      </w:r>
      <w:bookmarkEnd w:id="63"/>
    </w:p>
    <w:p w14:paraId="30E74C39" w14:textId="785A1CC4" w:rsidR="00930C4E" w:rsidRPr="00751F53" w:rsidRDefault="00B54A53" w:rsidP="00AC2E46">
      <w:pPr>
        <w:pStyle w:val="Heading3"/>
      </w:pPr>
      <w:bookmarkStart w:id="64" w:name="_Toc242195594"/>
      <w:r>
        <w:t xml:space="preserve">Design of </w:t>
      </w:r>
      <w:r w:rsidR="009D6232" w:rsidRPr="00482E23">
        <w:t>C</w:t>
      </w:r>
      <w:r w:rsidRPr="00482E23">
        <w:t>ost</w:t>
      </w:r>
      <w:r>
        <w:t xml:space="preserve"> </w:t>
      </w:r>
      <w:r w:rsidR="009D6232">
        <w:t>R</w:t>
      </w:r>
      <w:r>
        <w:t xml:space="preserve">ecovery – Licence </w:t>
      </w:r>
      <w:r w:rsidR="009D6232">
        <w:t>A</w:t>
      </w:r>
      <w:r>
        <w:t xml:space="preserve">pplication </w:t>
      </w:r>
      <w:r w:rsidR="009D6232">
        <w:t>F</w:t>
      </w:r>
      <w:r>
        <w:t>ees</w:t>
      </w:r>
      <w:bookmarkEnd w:id="64"/>
    </w:p>
    <w:p w14:paraId="3463F30F" w14:textId="50D75DD6" w:rsidR="00930C4E" w:rsidRDefault="001747A9" w:rsidP="00930C4E">
      <w:r w:rsidRPr="006C1D0B">
        <w:t>Licence application fees are designed to reflect the efficient regulatory effort required to assess an application. Applications are classified according to their complexity, informed by ABC</w:t>
      </w:r>
      <w:r w:rsidRPr="00382141">
        <w:t xml:space="preserve"> </w:t>
      </w:r>
      <w:r w:rsidRPr="006C1D0B">
        <w:t>data, historical assessment effort and expert review. Complexity classifications reflect factors such as the novelty of the activity, risk assessment requirements</w:t>
      </w:r>
      <w:r w:rsidR="001B4AC4">
        <w:t xml:space="preserve"> and</w:t>
      </w:r>
      <w:r w:rsidRPr="006C1D0B">
        <w:t xml:space="preserve"> consultation needs </w:t>
      </w:r>
      <w:r w:rsidR="001B4AC4">
        <w:t xml:space="preserve">as set out in the Act </w:t>
      </w:r>
      <w:r w:rsidRPr="006C1D0B">
        <w:t xml:space="preserve">and previous assessment history. This ensures charges are aligned with regulatory effort and minimises cross-subsidisation between lower and higher complexity applications. Applications are also classified as research, pre-commercial or commercial, with charges applied in accordance with Government policy settings for Phase 1 cost recovery </w:t>
      </w:r>
      <w:r w:rsidRPr="009E753B">
        <w:rPr>
          <w:rFonts w:cs="Arial"/>
        </w:rPr>
        <w:t>arrangements</w:t>
      </w:r>
      <w:r w:rsidR="009E753B" w:rsidRPr="009E753B">
        <w:rPr>
          <w:rFonts w:cs="Arial"/>
        </w:rPr>
        <w:t xml:space="preserve"> (</w:t>
      </w:r>
      <w:r w:rsidR="009E753B" w:rsidRPr="00403ED8">
        <w:rPr>
          <w:rFonts w:cs="Arial"/>
        </w:rPr>
        <w:fldChar w:fldCharType="begin"/>
      </w:r>
      <w:r w:rsidR="009E753B" w:rsidRPr="00403ED8">
        <w:rPr>
          <w:rFonts w:cs="Arial"/>
        </w:rPr>
        <w:instrText xml:space="preserve"> REF _Ref241827090 \h  \* MERGEFORMAT </w:instrText>
      </w:r>
      <w:r w:rsidR="009E753B" w:rsidRPr="00403ED8">
        <w:rPr>
          <w:rFonts w:cs="Arial"/>
        </w:rPr>
      </w:r>
      <w:r w:rsidR="009E753B"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7</w:t>
      </w:r>
      <w:r w:rsidR="009E753B" w:rsidRPr="00403ED8">
        <w:rPr>
          <w:rFonts w:cs="Arial"/>
        </w:rPr>
        <w:fldChar w:fldCharType="end"/>
      </w:r>
      <w:r w:rsidR="009E753B" w:rsidRPr="00403ED8">
        <w:rPr>
          <w:rFonts w:cs="Arial"/>
        </w:rPr>
        <w:t>)</w:t>
      </w:r>
      <w:r w:rsidRPr="00403ED8">
        <w:rPr>
          <w:rFonts w:cs="Arial"/>
        </w:rPr>
        <w:t>.</w:t>
      </w:r>
      <w:r w:rsidRPr="00403ED8">
        <w:t xml:space="preserve"> </w:t>
      </w:r>
    </w:p>
    <w:p w14:paraId="67B1E279" w14:textId="77777777" w:rsidR="00930C4E" w:rsidRPr="003E3EB8" w:rsidRDefault="00930C4E" w:rsidP="00930C4E">
      <w:r w:rsidRPr="003E3EB8">
        <w:t>Commercial activities are generally those undertaken for marketing, commercial production, manufacturing, supply or widespread distribution.</w:t>
      </w:r>
    </w:p>
    <w:p w14:paraId="2E4A39EA" w14:textId="77777777" w:rsidR="00930C4E" w:rsidRPr="003E3EB8" w:rsidRDefault="00930C4E" w:rsidP="00930C4E">
      <w:r w:rsidRPr="003E3EB8">
        <w:t>Pre-commercial scale activities generally include clinical trial applications (including Phase 1 clinical trials)</w:t>
      </w:r>
      <w:r>
        <w:t xml:space="preserve"> and </w:t>
      </w:r>
      <w:r w:rsidRPr="003E3EB8">
        <w:t>agricultural field trials</w:t>
      </w:r>
      <w:r>
        <w:t xml:space="preserve"> that are of scale. </w:t>
      </w:r>
    </w:p>
    <w:p w14:paraId="709C8672" w14:textId="55C1DBE8" w:rsidR="00930C4E" w:rsidRPr="003E3EB8" w:rsidRDefault="00930C4E" w:rsidP="00930C4E">
      <w:r w:rsidRPr="003E3EB8">
        <w:t xml:space="preserve">Research activities generally include proof-of-concept, experimental or exploratory work undertaken primarily for research purposes. Most limited and controlled </w:t>
      </w:r>
      <w:r w:rsidR="00BF6B3C">
        <w:t xml:space="preserve">DIR </w:t>
      </w:r>
      <w:r w:rsidRPr="003E3EB8">
        <w:t>release applications are expected to fall within the pre-commercial category</w:t>
      </w:r>
      <w:r>
        <w:t>. H</w:t>
      </w:r>
      <w:r w:rsidRPr="003E3EB8">
        <w:t>owever, some early-stage proof-of-concept or experimental activities may be classified as research activities at the discretion of the Regulator.</w:t>
      </w:r>
    </w:p>
    <w:p w14:paraId="3FDEA558" w14:textId="77777777" w:rsidR="00930C4E" w:rsidRDefault="00930C4E" w:rsidP="00930C4E">
      <w:r w:rsidRPr="003E3EB8">
        <w:t>The charges are based on licence activities and not the type of organisation applying, therefore, it’s possible that all organisational types (including those that are research organisations) could pay licence application fees.</w:t>
      </w:r>
    </w:p>
    <w:p w14:paraId="5B7A0A64" w14:textId="77777777" w:rsidR="00930C4E" w:rsidRDefault="00930C4E" w:rsidP="00930C4E">
      <w:r w:rsidRPr="003E3EB8">
        <w:t>The final classification of an application remains a matter for determination by the Regulator, having regard to the nature, purpose and intended outcomes of the proposed activity.</w:t>
      </w:r>
    </w:p>
    <w:p w14:paraId="6C0740A3" w14:textId="77777777" w:rsidR="00E14370" w:rsidRPr="007A6E8B" w:rsidRDefault="00E14370" w:rsidP="00382141">
      <w:pPr>
        <w:pStyle w:val="Caption"/>
        <w:rPr>
          <w:rFonts w:ascii="Calibri Light" w:hAnsi="Calibri Light" w:cstheme="minorBidi"/>
          <w:i w:val="0"/>
          <w:color w:val="3A7C22" w:themeColor="accent6" w:themeShade="BF"/>
          <w:kern w:val="0"/>
          <w:sz w:val="20"/>
          <w:szCs w:val="20"/>
          <w14:ligatures w14:val="none"/>
        </w:rPr>
      </w:pPr>
      <w:bookmarkStart w:id="65" w:name="_Ref241827090"/>
    </w:p>
    <w:p w14:paraId="71D1D3D2" w14:textId="77777777" w:rsidR="00E14370" w:rsidRPr="007A6E8B" w:rsidRDefault="00E14370" w:rsidP="00382141">
      <w:pPr>
        <w:pStyle w:val="Caption"/>
        <w:rPr>
          <w:rFonts w:ascii="Calibri Light" w:hAnsi="Calibri Light" w:cstheme="minorBidi"/>
          <w:i w:val="0"/>
          <w:color w:val="3A7C22" w:themeColor="accent6" w:themeShade="BF"/>
          <w:kern w:val="0"/>
          <w:sz w:val="20"/>
          <w:szCs w:val="20"/>
          <w14:ligatures w14:val="none"/>
        </w:rPr>
      </w:pPr>
    </w:p>
    <w:p w14:paraId="271CA785" w14:textId="77777777" w:rsidR="00B075CE" w:rsidRPr="007A6E8B" w:rsidRDefault="00B075CE" w:rsidP="00E14370">
      <w:pPr>
        <w:pStyle w:val="Caption"/>
        <w:spacing w:after="0"/>
        <w:rPr>
          <w:rFonts w:ascii="Calibri Light" w:hAnsi="Calibri Light" w:cstheme="minorBidi"/>
          <w:i w:val="0"/>
          <w:color w:val="3A7C22" w:themeColor="accent6" w:themeShade="BF"/>
          <w:kern w:val="0"/>
          <w:sz w:val="20"/>
          <w:szCs w:val="20"/>
          <w14:ligatures w14:val="none"/>
        </w:rPr>
      </w:pPr>
    </w:p>
    <w:p w14:paraId="4836858F" w14:textId="77777777" w:rsidR="00B075CE" w:rsidRPr="007A6E8B" w:rsidRDefault="00B075CE" w:rsidP="00E14370">
      <w:pPr>
        <w:pStyle w:val="Caption"/>
        <w:spacing w:after="0"/>
        <w:rPr>
          <w:rFonts w:ascii="Calibri Light" w:hAnsi="Calibri Light" w:cstheme="minorBidi"/>
          <w:i w:val="0"/>
          <w:color w:val="3A7C22" w:themeColor="accent6" w:themeShade="BF"/>
          <w:kern w:val="0"/>
          <w:sz w:val="20"/>
          <w:szCs w:val="20"/>
          <w14:ligatures w14:val="none"/>
        </w:rPr>
      </w:pPr>
    </w:p>
    <w:p w14:paraId="5F675050" w14:textId="704990EF" w:rsidR="00D63346" w:rsidRPr="007A6E8B" w:rsidRDefault="007A4FA7" w:rsidP="00E14370">
      <w:pPr>
        <w:pStyle w:val="Caption"/>
        <w:spacing w:after="0"/>
        <w:rPr>
          <w:rFonts w:ascii="Calibri Light" w:hAnsi="Calibri Light" w:cstheme="minorBidi"/>
          <w:i w:val="0"/>
          <w:color w:val="3A7C22" w:themeColor="accent6" w:themeShade="BF"/>
          <w:kern w:val="0"/>
          <w:sz w:val="20"/>
          <w:szCs w:val="20"/>
          <w14:ligatures w14:val="none"/>
        </w:rPr>
      </w:pPr>
      <w:r w:rsidRPr="007A6E8B">
        <w:rPr>
          <w:rFonts w:ascii="Calibri Light" w:hAnsi="Calibri Light" w:cstheme="minorBidi"/>
          <w:i w:val="0"/>
          <w:color w:val="3A7C22" w:themeColor="accent6" w:themeShade="BF"/>
          <w:kern w:val="0"/>
          <w:sz w:val="20"/>
          <w:szCs w:val="20"/>
          <w14:ligatures w14:val="none"/>
        </w:rPr>
        <w:lastRenderedPageBreak/>
        <w:t xml:space="preserve">Table </w:t>
      </w:r>
      <w:r w:rsidRPr="007A6E8B">
        <w:rPr>
          <w:rFonts w:ascii="Calibri Light" w:hAnsi="Calibri Light" w:cstheme="minorBidi"/>
          <w:iCs w:val="0"/>
          <w:color w:val="3A7C22" w:themeColor="accent6" w:themeShade="BF"/>
          <w:kern w:val="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Cs w:val="0"/>
          <w:color w:val="3A7C22" w:themeColor="accent6" w:themeShade="BF"/>
          <w:kern w:val="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7</w:t>
      </w:r>
      <w:r w:rsidRPr="007A6E8B">
        <w:rPr>
          <w:rFonts w:ascii="Calibri Light" w:hAnsi="Calibri Light" w:cstheme="minorBidi"/>
          <w:iCs w:val="0"/>
          <w:color w:val="3A7C22" w:themeColor="accent6" w:themeShade="BF"/>
          <w:kern w:val="0"/>
          <w:szCs w:val="20"/>
          <w14:ligatures w14:val="none"/>
        </w:rPr>
        <w:fldChar w:fldCharType="end"/>
      </w:r>
      <w:bookmarkEnd w:id="65"/>
      <w:r w:rsidRPr="007A6E8B">
        <w:rPr>
          <w:rFonts w:ascii="Calibri Light" w:hAnsi="Calibri Light" w:cstheme="minorBidi"/>
          <w:i w:val="0"/>
          <w:color w:val="3A7C22" w:themeColor="accent6" w:themeShade="BF"/>
          <w:kern w:val="0"/>
          <w:sz w:val="20"/>
          <w:szCs w:val="20"/>
          <w14:ligatures w14:val="none"/>
        </w:rPr>
        <w:t xml:space="preserve">: </w:t>
      </w:r>
      <w:r w:rsidR="0052363F" w:rsidRPr="007A6E8B">
        <w:rPr>
          <w:rFonts w:ascii="Calibri Light" w:hAnsi="Calibri Light" w:cstheme="minorBidi"/>
          <w:i w:val="0"/>
          <w:color w:val="3A7C22" w:themeColor="accent6" w:themeShade="BF"/>
          <w:kern w:val="0"/>
          <w:sz w:val="20"/>
          <w:szCs w:val="20"/>
          <w14:ligatures w14:val="none"/>
        </w:rPr>
        <w:t>C</w:t>
      </w:r>
      <w:r w:rsidRPr="007A6E8B">
        <w:rPr>
          <w:rFonts w:ascii="Calibri Light" w:hAnsi="Calibri Light" w:cstheme="minorBidi"/>
          <w:i w:val="0"/>
          <w:color w:val="3A7C22" w:themeColor="accent6" w:themeShade="BF"/>
          <w:kern w:val="0"/>
          <w:sz w:val="20"/>
          <w:szCs w:val="20"/>
          <w14:ligatures w14:val="none"/>
        </w:rPr>
        <w:t>ost</w:t>
      </w:r>
      <w:r w:rsidR="0052363F" w:rsidRPr="007A6E8B">
        <w:rPr>
          <w:rFonts w:ascii="Calibri Light" w:hAnsi="Calibri Light" w:cstheme="minorBidi"/>
          <w:i w:val="0"/>
          <w:color w:val="3A7C22" w:themeColor="accent6" w:themeShade="BF"/>
          <w:kern w:val="0"/>
          <w:sz w:val="20"/>
          <w:szCs w:val="20"/>
          <w14:ligatures w14:val="none"/>
        </w:rPr>
        <w:t>s</w:t>
      </w:r>
      <w:r w:rsidRPr="007A6E8B">
        <w:rPr>
          <w:rFonts w:ascii="Calibri Light" w:hAnsi="Calibri Light" w:cstheme="minorBidi"/>
          <w:i w:val="0"/>
          <w:color w:val="3A7C22" w:themeColor="accent6" w:themeShade="BF"/>
          <w:kern w:val="0"/>
          <w:sz w:val="20"/>
          <w:szCs w:val="20"/>
          <w14:ligatures w14:val="none"/>
        </w:rPr>
        <w:t xml:space="preserve"> and </w:t>
      </w:r>
      <w:r w:rsidR="0052363F" w:rsidRPr="007A6E8B">
        <w:rPr>
          <w:rFonts w:ascii="Calibri Light" w:hAnsi="Calibri Light" w:cstheme="minorBidi"/>
          <w:i w:val="0"/>
          <w:color w:val="3A7C22" w:themeColor="accent6" w:themeShade="BF"/>
          <w:kern w:val="0"/>
          <w:sz w:val="20"/>
          <w:szCs w:val="20"/>
          <w14:ligatures w14:val="none"/>
        </w:rPr>
        <w:t xml:space="preserve">proposed </w:t>
      </w:r>
      <w:r w:rsidRPr="007A6E8B">
        <w:rPr>
          <w:rFonts w:ascii="Calibri Light" w:hAnsi="Calibri Light" w:cstheme="minorBidi"/>
          <w:i w:val="0"/>
          <w:color w:val="3A7C22" w:themeColor="accent6" w:themeShade="BF"/>
          <w:kern w:val="0"/>
          <w:sz w:val="20"/>
          <w:szCs w:val="20"/>
          <w14:ligatures w14:val="none"/>
        </w:rPr>
        <w:t>charge</w:t>
      </w:r>
      <w:r w:rsidR="0052363F" w:rsidRPr="007A6E8B">
        <w:rPr>
          <w:rFonts w:ascii="Calibri Light" w:hAnsi="Calibri Light" w:cstheme="minorBidi"/>
          <w:i w:val="0"/>
          <w:color w:val="3A7C22" w:themeColor="accent6" w:themeShade="BF"/>
          <w:kern w:val="0"/>
          <w:sz w:val="20"/>
          <w:szCs w:val="20"/>
          <w14:ligatures w14:val="none"/>
        </w:rPr>
        <w:t>s</w:t>
      </w:r>
      <w:r w:rsidRPr="007A6E8B">
        <w:rPr>
          <w:rFonts w:ascii="Calibri Light" w:hAnsi="Calibri Light" w:cstheme="minorBidi"/>
          <w:i w:val="0"/>
          <w:color w:val="3A7C22" w:themeColor="accent6" w:themeShade="BF"/>
          <w:kern w:val="0"/>
          <w:sz w:val="20"/>
          <w:szCs w:val="20"/>
          <w14:ligatures w14:val="none"/>
        </w:rPr>
        <w:t xml:space="preserve"> </w:t>
      </w:r>
      <w:bookmarkStart w:id="66" w:name="_Ref240573672"/>
      <w:r w:rsidR="00A04DF2" w:rsidRPr="007A6E8B">
        <w:rPr>
          <w:rFonts w:ascii="Calibri Light" w:hAnsi="Calibri Light" w:cstheme="minorBidi"/>
          <w:i w:val="0"/>
          <w:color w:val="3A7C22" w:themeColor="accent6" w:themeShade="BF"/>
          <w:kern w:val="0"/>
          <w:sz w:val="20"/>
          <w:szCs w:val="20"/>
          <w14:ligatures w14:val="none"/>
        </w:rPr>
        <w:t>for licences</w:t>
      </w:r>
    </w:p>
    <w:p w14:paraId="6F0B1427" w14:textId="77777777" w:rsidR="00A958CC" w:rsidRPr="00A958CC" w:rsidRDefault="00A958CC" w:rsidP="00A958CC"/>
    <w:tbl>
      <w:tblPr>
        <w:tblStyle w:val="TableGrid"/>
        <w:tblpPr w:leftFromText="180" w:rightFromText="180" w:vertAnchor="page" w:horzAnchor="margin" w:tblpXSpec="center" w:tblpY="1570"/>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1278"/>
        <w:gridCol w:w="1369"/>
        <w:gridCol w:w="1022"/>
        <w:gridCol w:w="1967"/>
        <w:gridCol w:w="1264"/>
        <w:gridCol w:w="1414"/>
      </w:tblGrid>
      <w:tr w:rsidR="005D4CF1" w14:paraId="0B117C29" w14:textId="77777777" w:rsidTr="005D4CF1">
        <w:trPr>
          <w:cnfStyle w:val="100000000000" w:firstRow="1" w:lastRow="0" w:firstColumn="0" w:lastColumn="0" w:oddVBand="0" w:evenVBand="0" w:oddHBand="0" w:evenHBand="0" w:firstRowFirstColumn="0" w:firstRowLastColumn="0" w:lastRowFirstColumn="0" w:lastRowLastColumn="0"/>
          <w:trHeight w:val="506"/>
        </w:trPr>
        <w:tc>
          <w:tcPr>
            <w:tcW w:w="1600"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250D3F25" w14:textId="77777777" w:rsidR="005D4CF1" w:rsidRDefault="005D4CF1" w:rsidP="00E14370">
            <w:pPr>
              <w:spacing w:line="240" w:lineRule="auto"/>
            </w:pPr>
            <w:bookmarkStart w:id="67" w:name="_Ref170480615"/>
            <w:bookmarkEnd w:id="66"/>
            <w:r w:rsidRPr="002600C2">
              <w:rPr>
                <w:b/>
                <w:bCs/>
              </w:rPr>
              <w:t>Charge Category</w:t>
            </w:r>
          </w:p>
        </w:tc>
        <w:tc>
          <w:tcPr>
            <w:tcW w:w="1278" w:type="dxa"/>
            <w:tcBorders>
              <w:top w:val="single" w:sz="4" w:space="0" w:color="auto"/>
              <w:left w:val="single" w:sz="4" w:space="0" w:color="auto"/>
              <w:bottom w:val="single" w:sz="4" w:space="0" w:color="auto"/>
              <w:right w:val="single" w:sz="4" w:space="0" w:color="auto"/>
            </w:tcBorders>
            <w:shd w:val="clear" w:color="auto" w:fill="83CAEB"/>
            <w:vAlign w:val="center"/>
          </w:tcPr>
          <w:p w14:paraId="083C2212" w14:textId="77777777" w:rsidR="005D4CF1" w:rsidRDefault="005D4CF1" w:rsidP="00E14370">
            <w:pPr>
              <w:spacing w:line="240" w:lineRule="auto"/>
            </w:pPr>
            <w:r w:rsidRPr="002600C2">
              <w:rPr>
                <w:b/>
                <w:bCs/>
              </w:rPr>
              <w:t>Complexity</w:t>
            </w:r>
          </w:p>
        </w:tc>
        <w:tc>
          <w:tcPr>
            <w:tcW w:w="1369"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05F3C5CA" w14:textId="25F0C47B" w:rsidR="005D4CF1" w:rsidRDefault="005D4CF1" w:rsidP="00E14370">
            <w:pPr>
              <w:spacing w:line="240" w:lineRule="auto"/>
            </w:pPr>
            <w:r w:rsidRPr="002600C2">
              <w:rPr>
                <w:b/>
                <w:bCs/>
              </w:rPr>
              <w:t>Full Cost ($)</w:t>
            </w:r>
          </w:p>
        </w:tc>
        <w:tc>
          <w:tcPr>
            <w:tcW w:w="1022"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73F7812A" w14:textId="77777777" w:rsidR="005D4CF1" w:rsidRDefault="005D4CF1" w:rsidP="00E14370">
            <w:pPr>
              <w:spacing w:line="240" w:lineRule="auto"/>
            </w:pPr>
            <w:r w:rsidRPr="002600C2">
              <w:rPr>
                <w:b/>
                <w:bCs/>
              </w:rPr>
              <w:t>Estimated Volume</w:t>
            </w:r>
          </w:p>
        </w:tc>
        <w:tc>
          <w:tcPr>
            <w:tcW w:w="1967"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79231D98" w14:textId="77777777" w:rsidR="005D4CF1" w:rsidRDefault="005D4CF1" w:rsidP="00E14370">
            <w:pPr>
              <w:spacing w:line="240" w:lineRule="auto"/>
            </w:pPr>
            <w:r w:rsidRPr="002600C2">
              <w:rPr>
                <w:b/>
                <w:bCs/>
              </w:rPr>
              <w:t>Phase 1 Approved Charging Rate</w:t>
            </w:r>
          </w:p>
        </w:tc>
        <w:tc>
          <w:tcPr>
            <w:tcW w:w="1264"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53333B71" w14:textId="77777777" w:rsidR="005D4CF1" w:rsidRDefault="005D4CF1" w:rsidP="00E14370">
            <w:pPr>
              <w:spacing w:line="240" w:lineRule="auto"/>
            </w:pPr>
            <w:r w:rsidRPr="002600C2">
              <w:rPr>
                <w:b/>
                <w:bCs/>
              </w:rPr>
              <w:t>Phase 1 Charge ($)</w:t>
            </w:r>
          </w:p>
        </w:tc>
        <w:tc>
          <w:tcPr>
            <w:tcW w:w="1414"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6F7C3531" w14:textId="77777777" w:rsidR="005D4CF1" w:rsidRDefault="005D4CF1" w:rsidP="00E14370">
            <w:pPr>
              <w:spacing w:line="240" w:lineRule="auto"/>
            </w:pPr>
            <w:r w:rsidRPr="002600C2">
              <w:rPr>
                <w:b/>
                <w:bCs/>
              </w:rPr>
              <w:t>Estimated Revenue ($)</w:t>
            </w:r>
          </w:p>
        </w:tc>
      </w:tr>
      <w:tr w:rsidR="005D4CF1" w14:paraId="7FFD5779" w14:textId="77777777" w:rsidTr="005D4CF1">
        <w:trPr>
          <w:trHeight w:val="243"/>
        </w:trPr>
        <w:tc>
          <w:tcPr>
            <w:tcW w:w="1600" w:type="dxa"/>
            <w:tcBorders>
              <w:top w:val="single" w:sz="4" w:space="0" w:color="auto"/>
            </w:tcBorders>
            <w:shd w:val="clear" w:color="auto" w:fill="C1E4F5" w:themeFill="accent1" w:themeFillTint="33"/>
            <w:vAlign w:val="center"/>
          </w:tcPr>
          <w:p w14:paraId="38D4DEFA" w14:textId="77777777" w:rsidR="005D4CF1" w:rsidRPr="0009083F" w:rsidRDefault="005D4CF1" w:rsidP="00E14370">
            <w:pPr>
              <w:spacing w:line="240" w:lineRule="auto"/>
              <w:jc w:val="center"/>
              <w:rPr>
                <w:b/>
                <w:bCs/>
              </w:rPr>
            </w:pPr>
            <w:r w:rsidRPr="0009083F">
              <w:rPr>
                <w:b/>
                <w:bCs/>
              </w:rPr>
              <w:t>DIR Licence</w:t>
            </w:r>
          </w:p>
        </w:tc>
        <w:tc>
          <w:tcPr>
            <w:tcW w:w="1278" w:type="dxa"/>
            <w:tcBorders>
              <w:top w:val="single" w:sz="4" w:space="0" w:color="auto"/>
            </w:tcBorders>
            <w:vAlign w:val="center"/>
          </w:tcPr>
          <w:p w14:paraId="597AEB7E" w14:textId="77777777" w:rsidR="005D4CF1" w:rsidRDefault="005D4CF1" w:rsidP="00E14370">
            <w:pPr>
              <w:spacing w:line="240" w:lineRule="auto"/>
            </w:pPr>
            <w:r w:rsidRPr="002600C2">
              <w:t>High</w:t>
            </w:r>
          </w:p>
        </w:tc>
        <w:tc>
          <w:tcPr>
            <w:tcW w:w="1369" w:type="dxa"/>
            <w:tcBorders>
              <w:top w:val="single" w:sz="4" w:space="0" w:color="auto"/>
            </w:tcBorders>
            <w:vAlign w:val="center"/>
          </w:tcPr>
          <w:p w14:paraId="5BA93656" w14:textId="5E20328D" w:rsidR="005D4CF1" w:rsidRPr="008136AD" w:rsidRDefault="005D4CF1" w:rsidP="00E14370">
            <w:pPr>
              <w:spacing w:line="240" w:lineRule="auto"/>
            </w:pPr>
            <w:r>
              <w:t>$88,140</w:t>
            </w:r>
          </w:p>
        </w:tc>
        <w:tc>
          <w:tcPr>
            <w:tcW w:w="1022" w:type="dxa"/>
            <w:tcBorders>
              <w:top w:val="single" w:sz="4" w:space="0" w:color="auto"/>
            </w:tcBorders>
            <w:vAlign w:val="center"/>
          </w:tcPr>
          <w:p w14:paraId="05965ADC" w14:textId="77777777" w:rsidR="005D4CF1" w:rsidRDefault="005D4CF1" w:rsidP="00E14370">
            <w:pPr>
              <w:spacing w:line="240" w:lineRule="auto"/>
            </w:pPr>
          </w:p>
        </w:tc>
        <w:tc>
          <w:tcPr>
            <w:tcW w:w="1967" w:type="dxa"/>
            <w:tcBorders>
              <w:top w:val="single" w:sz="4" w:space="0" w:color="auto"/>
            </w:tcBorders>
          </w:tcPr>
          <w:p w14:paraId="742866B0" w14:textId="77777777" w:rsidR="005D4CF1" w:rsidRDefault="005D4CF1" w:rsidP="00E14370">
            <w:pPr>
              <w:spacing w:line="240" w:lineRule="auto"/>
            </w:pPr>
          </w:p>
        </w:tc>
        <w:tc>
          <w:tcPr>
            <w:tcW w:w="1264" w:type="dxa"/>
            <w:tcBorders>
              <w:top w:val="single" w:sz="4" w:space="0" w:color="auto"/>
            </w:tcBorders>
          </w:tcPr>
          <w:p w14:paraId="4CF853B1" w14:textId="77777777" w:rsidR="005D4CF1" w:rsidRDefault="005D4CF1" w:rsidP="00E14370">
            <w:pPr>
              <w:spacing w:line="240" w:lineRule="auto"/>
            </w:pPr>
          </w:p>
        </w:tc>
        <w:tc>
          <w:tcPr>
            <w:tcW w:w="1414" w:type="dxa"/>
            <w:tcBorders>
              <w:top w:val="single" w:sz="4" w:space="0" w:color="auto"/>
            </w:tcBorders>
          </w:tcPr>
          <w:p w14:paraId="6DAF7A8D" w14:textId="77777777" w:rsidR="005D4CF1" w:rsidRDefault="005D4CF1" w:rsidP="00E14370">
            <w:pPr>
              <w:spacing w:line="240" w:lineRule="auto"/>
            </w:pPr>
          </w:p>
        </w:tc>
      </w:tr>
      <w:tr w:rsidR="005D4CF1" w14:paraId="2B929B63" w14:textId="77777777" w:rsidTr="005D4CF1">
        <w:trPr>
          <w:trHeight w:val="243"/>
        </w:trPr>
        <w:tc>
          <w:tcPr>
            <w:tcW w:w="1600" w:type="dxa"/>
            <w:shd w:val="clear" w:color="auto" w:fill="C1E4F5" w:themeFill="accent1" w:themeFillTint="33"/>
          </w:tcPr>
          <w:p w14:paraId="3511BEA9" w14:textId="77777777" w:rsidR="005D4CF1" w:rsidRPr="0009083F" w:rsidRDefault="005D4CF1" w:rsidP="00E14370">
            <w:pPr>
              <w:spacing w:line="240" w:lineRule="auto"/>
              <w:jc w:val="center"/>
              <w:rPr>
                <w:b/>
                <w:bCs/>
              </w:rPr>
            </w:pPr>
          </w:p>
        </w:tc>
        <w:tc>
          <w:tcPr>
            <w:tcW w:w="1278" w:type="dxa"/>
          </w:tcPr>
          <w:p w14:paraId="04CC1D0F" w14:textId="77777777" w:rsidR="005D4CF1" w:rsidRDefault="005D4CF1" w:rsidP="00E14370">
            <w:pPr>
              <w:spacing w:line="240" w:lineRule="auto"/>
            </w:pPr>
          </w:p>
        </w:tc>
        <w:tc>
          <w:tcPr>
            <w:tcW w:w="1369" w:type="dxa"/>
          </w:tcPr>
          <w:p w14:paraId="25837CC0" w14:textId="001657BC" w:rsidR="005D4CF1" w:rsidRPr="008136AD" w:rsidRDefault="005D4CF1" w:rsidP="00E14370">
            <w:pPr>
              <w:spacing w:line="240" w:lineRule="auto"/>
            </w:pPr>
          </w:p>
        </w:tc>
        <w:tc>
          <w:tcPr>
            <w:tcW w:w="1022" w:type="dxa"/>
          </w:tcPr>
          <w:p w14:paraId="4055A359" w14:textId="77777777" w:rsidR="005D4CF1" w:rsidRDefault="005D4CF1" w:rsidP="00E14370">
            <w:pPr>
              <w:spacing w:line="240" w:lineRule="auto"/>
            </w:pPr>
            <w:r>
              <w:t>1</w:t>
            </w:r>
          </w:p>
        </w:tc>
        <w:tc>
          <w:tcPr>
            <w:tcW w:w="1967" w:type="dxa"/>
            <w:vAlign w:val="center"/>
          </w:tcPr>
          <w:p w14:paraId="30685FC1" w14:textId="77777777" w:rsidR="005D4CF1" w:rsidRDefault="005D4CF1" w:rsidP="00E14370">
            <w:pPr>
              <w:spacing w:line="240" w:lineRule="auto"/>
            </w:pPr>
            <w:r w:rsidRPr="002600C2">
              <w:t xml:space="preserve">Commercial </w:t>
            </w:r>
            <w:r>
              <w:t>(</w:t>
            </w:r>
            <w:r w:rsidRPr="002600C2">
              <w:t>50%</w:t>
            </w:r>
            <w:r>
              <w:t>)</w:t>
            </w:r>
          </w:p>
        </w:tc>
        <w:tc>
          <w:tcPr>
            <w:tcW w:w="1264" w:type="dxa"/>
          </w:tcPr>
          <w:p w14:paraId="2F2E4176" w14:textId="77777777" w:rsidR="005D4CF1" w:rsidRDefault="005D4CF1" w:rsidP="00E14370">
            <w:pPr>
              <w:spacing w:line="240" w:lineRule="auto"/>
            </w:pPr>
            <w:r>
              <w:t>$44,070</w:t>
            </w:r>
          </w:p>
        </w:tc>
        <w:tc>
          <w:tcPr>
            <w:tcW w:w="1414" w:type="dxa"/>
          </w:tcPr>
          <w:p w14:paraId="1C92173F" w14:textId="77777777" w:rsidR="005D4CF1" w:rsidRDefault="005D4CF1" w:rsidP="00E14370">
            <w:pPr>
              <w:spacing w:line="240" w:lineRule="auto"/>
            </w:pPr>
            <w:r>
              <w:t>$44,070</w:t>
            </w:r>
          </w:p>
        </w:tc>
      </w:tr>
      <w:tr w:rsidR="005D4CF1" w14:paraId="12B00E4E" w14:textId="77777777" w:rsidTr="005D4CF1">
        <w:trPr>
          <w:trHeight w:val="260"/>
        </w:trPr>
        <w:tc>
          <w:tcPr>
            <w:tcW w:w="1600" w:type="dxa"/>
            <w:shd w:val="clear" w:color="auto" w:fill="C1E4F5" w:themeFill="accent1" w:themeFillTint="33"/>
          </w:tcPr>
          <w:p w14:paraId="325FF417" w14:textId="77777777" w:rsidR="005D4CF1" w:rsidRPr="0009083F" w:rsidRDefault="005D4CF1" w:rsidP="00E14370">
            <w:pPr>
              <w:spacing w:line="240" w:lineRule="auto"/>
              <w:jc w:val="center"/>
              <w:rPr>
                <w:b/>
                <w:bCs/>
              </w:rPr>
            </w:pPr>
          </w:p>
        </w:tc>
        <w:tc>
          <w:tcPr>
            <w:tcW w:w="1278" w:type="dxa"/>
          </w:tcPr>
          <w:p w14:paraId="2623E901" w14:textId="77777777" w:rsidR="005D4CF1" w:rsidRDefault="005D4CF1" w:rsidP="00E14370">
            <w:pPr>
              <w:spacing w:line="240" w:lineRule="auto"/>
            </w:pPr>
          </w:p>
        </w:tc>
        <w:tc>
          <w:tcPr>
            <w:tcW w:w="1369" w:type="dxa"/>
          </w:tcPr>
          <w:p w14:paraId="4AAE8C40" w14:textId="7FF4915A" w:rsidR="005D4CF1" w:rsidRPr="008136AD" w:rsidRDefault="005D4CF1" w:rsidP="00E14370">
            <w:pPr>
              <w:spacing w:line="240" w:lineRule="auto"/>
            </w:pPr>
          </w:p>
        </w:tc>
        <w:tc>
          <w:tcPr>
            <w:tcW w:w="1022" w:type="dxa"/>
          </w:tcPr>
          <w:p w14:paraId="254758A1" w14:textId="77777777" w:rsidR="005D4CF1" w:rsidRDefault="005D4CF1" w:rsidP="00E14370">
            <w:pPr>
              <w:spacing w:line="240" w:lineRule="auto"/>
            </w:pPr>
            <w:r>
              <w:t>1</w:t>
            </w:r>
          </w:p>
        </w:tc>
        <w:tc>
          <w:tcPr>
            <w:tcW w:w="1967" w:type="dxa"/>
            <w:vAlign w:val="center"/>
          </w:tcPr>
          <w:p w14:paraId="3D1FE91D" w14:textId="77777777" w:rsidR="005D4CF1" w:rsidRDefault="005D4CF1" w:rsidP="00E14370">
            <w:pPr>
              <w:spacing w:line="240" w:lineRule="auto"/>
            </w:pPr>
            <w:r>
              <w:t>Pre-commercial (25%)</w:t>
            </w:r>
          </w:p>
        </w:tc>
        <w:tc>
          <w:tcPr>
            <w:tcW w:w="1264" w:type="dxa"/>
          </w:tcPr>
          <w:p w14:paraId="0C3EC219" w14:textId="77777777" w:rsidR="005D4CF1" w:rsidRDefault="005D4CF1" w:rsidP="00E14370">
            <w:pPr>
              <w:spacing w:line="240" w:lineRule="auto"/>
            </w:pPr>
            <w:r>
              <w:t>$22,030</w:t>
            </w:r>
          </w:p>
        </w:tc>
        <w:tc>
          <w:tcPr>
            <w:tcW w:w="1414" w:type="dxa"/>
          </w:tcPr>
          <w:p w14:paraId="5EA8F446" w14:textId="77777777" w:rsidR="005D4CF1" w:rsidRDefault="005D4CF1" w:rsidP="00E14370">
            <w:pPr>
              <w:spacing w:line="240" w:lineRule="auto"/>
            </w:pPr>
            <w:r>
              <w:t>$22,030</w:t>
            </w:r>
          </w:p>
        </w:tc>
      </w:tr>
      <w:tr w:rsidR="005D4CF1" w14:paraId="0CE30379" w14:textId="77777777" w:rsidTr="005D4CF1">
        <w:trPr>
          <w:trHeight w:val="243"/>
        </w:trPr>
        <w:tc>
          <w:tcPr>
            <w:tcW w:w="1600" w:type="dxa"/>
            <w:shd w:val="clear" w:color="auto" w:fill="C1E4F5" w:themeFill="accent1" w:themeFillTint="33"/>
          </w:tcPr>
          <w:p w14:paraId="072176E5" w14:textId="77777777" w:rsidR="005D4CF1" w:rsidRPr="0009083F" w:rsidRDefault="005D4CF1" w:rsidP="00E14370">
            <w:pPr>
              <w:spacing w:line="240" w:lineRule="auto"/>
              <w:jc w:val="center"/>
              <w:rPr>
                <w:b/>
                <w:bCs/>
              </w:rPr>
            </w:pPr>
          </w:p>
        </w:tc>
        <w:tc>
          <w:tcPr>
            <w:tcW w:w="1278" w:type="dxa"/>
          </w:tcPr>
          <w:p w14:paraId="29DAD748" w14:textId="77777777" w:rsidR="005D4CF1" w:rsidRDefault="005D4CF1" w:rsidP="00E14370">
            <w:pPr>
              <w:spacing w:line="240" w:lineRule="auto"/>
            </w:pPr>
          </w:p>
        </w:tc>
        <w:tc>
          <w:tcPr>
            <w:tcW w:w="1369" w:type="dxa"/>
          </w:tcPr>
          <w:p w14:paraId="4B819F73" w14:textId="197C94F5" w:rsidR="005D4CF1" w:rsidRPr="008136AD" w:rsidRDefault="005D4CF1" w:rsidP="00E14370">
            <w:pPr>
              <w:spacing w:line="240" w:lineRule="auto"/>
            </w:pPr>
          </w:p>
        </w:tc>
        <w:tc>
          <w:tcPr>
            <w:tcW w:w="1022" w:type="dxa"/>
          </w:tcPr>
          <w:p w14:paraId="46CEE4C1" w14:textId="77777777" w:rsidR="005D4CF1" w:rsidRDefault="005D4CF1" w:rsidP="00E14370">
            <w:pPr>
              <w:spacing w:line="240" w:lineRule="auto"/>
            </w:pPr>
            <w:r>
              <w:t>0</w:t>
            </w:r>
          </w:p>
        </w:tc>
        <w:tc>
          <w:tcPr>
            <w:tcW w:w="1967" w:type="dxa"/>
            <w:vAlign w:val="center"/>
          </w:tcPr>
          <w:p w14:paraId="0A2AA220" w14:textId="77777777" w:rsidR="005D4CF1" w:rsidRDefault="005D4CF1" w:rsidP="00E14370">
            <w:pPr>
              <w:spacing w:line="240" w:lineRule="auto"/>
            </w:pPr>
            <w:r>
              <w:t>Research (0%)</w:t>
            </w:r>
          </w:p>
        </w:tc>
        <w:tc>
          <w:tcPr>
            <w:tcW w:w="1264" w:type="dxa"/>
          </w:tcPr>
          <w:p w14:paraId="209A4938" w14:textId="77777777" w:rsidR="005D4CF1" w:rsidRDefault="005D4CF1" w:rsidP="00E14370">
            <w:pPr>
              <w:spacing w:line="240" w:lineRule="auto"/>
            </w:pPr>
            <w:r>
              <w:t>$0</w:t>
            </w:r>
          </w:p>
        </w:tc>
        <w:tc>
          <w:tcPr>
            <w:tcW w:w="1414" w:type="dxa"/>
          </w:tcPr>
          <w:p w14:paraId="59F7A788" w14:textId="77777777" w:rsidR="005D4CF1" w:rsidRDefault="005D4CF1" w:rsidP="00E14370">
            <w:pPr>
              <w:spacing w:line="240" w:lineRule="auto"/>
            </w:pPr>
            <w:r>
              <w:t>$0</w:t>
            </w:r>
          </w:p>
        </w:tc>
      </w:tr>
      <w:tr w:rsidR="005D4CF1" w14:paraId="43078D26" w14:textId="77777777" w:rsidTr="005D4CF1">
        <w:trPr>
          <w:trHeight w:val="243"/>
        </w:trPr>
        <w:tc>
          <w:tcPr>
            <w:tcW w:w="1600" w:type="dxa"/>
            <w:shd w:val="clear" w:color="auto" w:fill="C1E4F5" w:themeFill="accent1" w:themeFillTint="33"/>
            <w:vAlign w:val="center"/>
          </w:tcPr>
          <w:p w14:paraId="1AAC21FD" w14:textId="77777777" w:rsidR="005D4CF1" w:rsidRPr="0009083F" w:rsidRDefault="005D4CF1" w:rsidP="00E14370">
            <w:pPr>
              <w:spacing w:line="240" w:lineRule="auto"/>
              <w:jc w:val="center"/>
              <w:rPr>
                <w:b/>
                <w:bCs/>
              </w:rPr>
            </w:pPr>
            <w:r w:rsidRPr="0009083F">
              <w:rPr>
                <w:b/>
                <w:bCs/>
              </w:rPr>
              <w:t>DIR Licence</w:t>
            </w:r>
          </w:p>
        </w:tc>
        <w:tc>
          <w:tcPr>
            <w:tcW w:w="1278" w:type="dxa"/>
            <w:vAlign w:val="center"/>
          </w:tcPr>
          <w:p w14:paraId="58A09AFC" w14:textId="77777777" w:rsidR="005D4CF1" w:rsidRDefault="005D4CF1" w:rsidP="00E14370">
            <w:pPr>
              <w:spacing w:line="240" w:lineRule="auto"/>
            </w:pPr>
            <w:r w:rsidRPr="002600C2">
              <w:t>Low</w:t>
            </w:r>
          </w:p>
        </w:tc>
        <w:tc>
          <w:tcPr>
            <w:tcW w:w="1369" w:type="dxa"/>
            <w:vAlign w:val="center"/>
          </w:tcPr>
          <w:p w14:paraId="2466989B" w14:textId="318CB7F8" w:rsidR="005D4CF1" w:rsidRPr="008136AD" w:rsidRDefault="005D4CF1" w:rsidP="00E14370">
            <w:pPr>
              <w:spacing w:line="240" w:lineRule="auto"/>
            </w:pPr>
            <w:r>
              <w:t>$56,920</w:t>
            </w:r>
          </w:p>
        </w:tc>
        <w:tc>
          <w:tcPr>
            <w:tcW w:w="1022" w:type="dxa"/>
          </w:tcPr>
          <w:p w14:paraId="0EF92ABC" w14:textId="77777777" w:rsidR="005D4CF1" w:rsidRDefault="005D4CF1" w:rsidP="00E14370">
            <w:pPr>
              <w:spacing w:line="240" w:lineRule="auto"/>
            </w:pPr>
          </w:p>
        </w:tc>
        <w:tc>
          <w:tcPr>
            <w:tcW w:w="1967" w:type="dxa"/>
          </w:tcPr>
          <w:p w14:paraId="07E91929" w14:textId="77777777" w:rsidR="005D4CF1" w:rsidRDefault="005D4CF1" w:rsidP="00E14370">
            <w:pPr>
              <w:spacing w:line="240" w:lineRule="auto"/>
            </w:pPr>
          </w:p>
        </w:tc>
        <w:tc>
          <w:tcPr>
            <w:tcW w:w="1264" w:type="dxa"/>
          </w:tcPr>
          <w:p w14:paraId="1476E97A" w14:textId="77777777" w:rsidR="005D4CF1" w:rsidRDefault="005D4CF1" w:rsidP="00E14370">
            <w:pPr>
              <w:spacing w:line="240" w:lineRule="auto"/>
            </w:pPr>
          </w:p>
        </w:tc>
        <w:tc>
          <w:tcPr>
            <w:tcW w:w="1414" w:type="dxa"/>
          </w:tcPr>
          <w:p w14:paraId="30E7ADE9" w14:textId="77777777" w:rsidR="005D4CF1" w:rsidRDefault="005D4CF1" w:rsidP="00E14370">
            <w:pPr>
              <w:spacing w:line="240" w:lineRule="auto"/>
            </w:pPr>
          </w:p>
        </w:tc>
      </w:tr>
      <w:tr w:rsidR="005D4CF1" w14:paraId="07B5BF7C" w14:textId="77777777" w:rsidTr="005D4CF1">
        <w:trPr>
          <w:trHeight w:val="260"/>
        </w:trPr>
        <w:tc>
          <w:tcPr>
            <w:tcW w:w="1600" w:type="dxa"/>
            <w:shd w:val="clear" w:color="auto" w:fill="C1E4F5" w:themeFill="accent1" w:themeFillTint="33"/>
            <w:vAlign w:val="center"/>
          </w:tcPr>
          <w:p w14:paraId="13BECBEA" w14:textId="77777777" w:rsidR="005D4CF1" w:rsidRPr="0009083F" w:rsidRDefault="005D4CF1" w:rsidP="00E14370">
            <w:pPr>
              <w:spacing w:line="240" w:lineRule="auto"/>
              <w:jc w:val="center"/>
              <w:rPr>
                <w:b/>
                <w:bCs/>
              </w:rPr>
            </w:pPr>
          </w:p>
        </w:tc>
        <w:tc>
          <w:tcPr>
            <w:tcW w:w="1278" w:type="dxa"/>
            <w:vAlign w:val="center"/>
          </w:tcPr>
          <w:p w14:paraId="19A19312" w14:textId="77777777" w:rsidR="005D4CF1" w:rsidRPr="002600C2" w:rsidRDefault="005D4CF1" w:rsidP="00E14370">
            <w:pPr>
              <w:spacing w:line="240" w:lineRule="auto"/>
            </w:pPr>
          </w:p>
        </w:tc>
        <w:tc>
          <w:tcPr>
            <w:tcW w:w="1369" w:type="dxa"/>
            <w:vAlign w:val="center"/>
          </w:tcPr>
          <w:p w14:paraId="6693E2D1" w14:textId="37E3BC5B" w:rsidR="005D4CF1" w:rsidRPr="008136AD" w:rsidRDefault="005D4CF1" w:rsidP="00E14370">
            <w:pPr>
              <w:spacing w:line="240" w:lineRule="auto"/>
            </w:pPr>
          </w:p>
        </w:tc>
        <w:tc>
          <w:tcPr>
            <w:tcW w:w="1022" w:type="dxa"/>
          </w:tcPr>
          <w:p w14:paraId="52715E7E" w14:textId="77777777" w:rsidR="005D4CF1" w:rsidRDefault="005D4CF1" w:rsidP="00E14370">
            <w:pPr>
              <w:spacing w:line="240" w:lineRule="auto"/>
            </w:pPr>
            <w:r>
              <w:t>2</w:t>
            </w:r>
          </w:p>
        </w:tc>
        <w:tc>
          <w:tcPr>
            <w:tcW w:w="1967" w:type="dxa"/>
            <w:vAlign w:val="center"/>
          </w:tcPr>
          <w:p w14:paraId="6242D732" w14:textId="77777777" w:rsidR="005D4CF1" w:rsidRDefault="005D4CF1" w:rsidP="00E14370">
            <w:pPr>
              <w:spacing w:line="240" w:lineRule="auto"/>
            </w:pPr>
            <w:r w:rsidRPr="002600C2">
              <w:t xml:space="preserve">Commercial </w:t>
            </w:r>
            <w:r>
              <w:t>(</w:t>
            </w:r>
            <w:r w:rsidRPr="002600C2">
              <w:t>50%</w:t>
            </w:r>
            <w:r>
              <w:t>)</w:t>
            </w:r>
          </w:p>
        </w:tc>
        <w:tc>
          <w:tcPr>
            <w:tcW w:w="1264" w:type="dxa"/>
          </w:tcPr>
          <w:p w14:paraId="394687AF" w14:textId="77777777" w:rsidR="005D4CF1" w:rsidRDefault="005D4CF1" w:rsidP="00E14370">
            <w:pPr>
              <w:spacing w:line="240" w:lineRule="auto"/>
            </w:pPr>
            <w:r>
              <w:t>$28,460</w:t>
            </w:r>
          </w:p>
        </w:tc>
        <w:tc>
          <w:tcPr>
            <w:tcW w:w="1414" w:type="dxa"/>
          </w:tcPr>
          <w:p w14:paraId="61D01B57" w14:textId="77777777" w:rsidR="005D4CF1" w:rsidRDefault="005D4CF1" w:rsidP="00E14370">
            <w:pPr>
              <w:spacing w:line="240" w:lineRule="auto"/>
            </w:pPr>
            <w:r>
              <w:t>$56,920</w:t>
            </w:r>
          </w:p>
        </w:tc>
      </w:tr>
      <w:tr w:rsidR="005D4CF1" w14:paraId="7CA65EF0" w14:textId="77777777" w:rsidTr="005D4CF1">
        <w:trPr>
          <w:trHeight w:val="243"/>
        </w:trPr>
        <w:tc>
          <w:tcPr>
            <w:tcW w:w="1600" w:type="dxa"/>
            <w:shd w:val="clear" w:color="auto" w:fill="C1E4F5" w:themeFill="accent1" w:themeFillTint="33"/>
            <w:vAlign w:val="center"/>
          </w:tcPr>
          <w:p w14:paraId="627FBA95" w14:textId="77777777" w:rsidR="005D4CF1" w:rsidRPr="0009083F" w:rsidRDefault="005D4CF1" w:rsidP="00E14370">
            <w:pPr>
              <w:spacing w:line="240" w:lineRule="auto"/>
              <w:jc w:val="center"/>
              <w:rPr>
                <w:b/>
                <w:bCs/>
              </w:rPr>
            </w:pPr>
          </w:p>
        </w:tc>
        <w:tc>
          <w:tcPr>
            <w:tcW w:w="1278" w:type="dxa"/>
            <w:vAlign w:val="center"/>
          </w:tcPr>
          <w:p w14:paraId="5925CB5B" w14:textId="77777777" w:rsidR="005D4CF1" w:rsidRPr="002600C2" w:rsidRDefault="005D4CF1" w:rsidP="00E14370">
            <w:pPr>
              <w:spacing w:line="240" w:lineRule="auto"/>
            </w:pPr>
          </w:p>
        </w:tc>
        <w:tc>
          <w:tcPr>
            <w:tcW w:w="1369" w:type="dxa"/>
            <w:vAlign w:val="center"/>
          </w:tcPr>
          <w:p w14:paraId="19F74B1C" w14:textId="2A32ACD5" w:rsidR="005D4CF1" w:rsidRPr="008136AD" w:rsidRDefault="005D4CF1" w:rsidP="00E14370">
            <w:pPr>
              <w:spacing w:line="240" w:lineRule="auto"/>
            </w:pPr>
          </w:p>
        </w:tc>
        <w:tc>
          <w:tcPr>
            <w:tcW w:w="1022" w:type="dxa"/>
          </w:tcPr>
          <w:p w14:paraId="3F093DF9" w14:textId="77777777" w:rsidR="005D4CF1" w:rsidRDefault="005D4CF1" w:rsidP="00E14370">
            <w:pPr>
              <w:spacing w:line="240" w:lineRule="auto"/>
            </w:pPr>
            <w:r>
              <w:t>2</w:t>
            </w:r>
          </w:p>
        </w:tc>
        <w:tc>
          <w:tcPr>
            <w:tcW w:w="1967" w:type="dxa"/>
            <w:vAlign w:val="center"/>
          </w:tcPr>
          <w:p w14:paraId="609B5A43" w14:textId="77777777" w:rsidR="005D4CF1" w:rsidRDefault="005D4CF1" w:rsidP="00E14370">
            <w:pPr>
              <w:spacing w:line="240" w:lineRule="auto"/>
            </w:pPr>
            <w:r>
              <w:t>Pre-commercial (25%)</w:t>
            </w:r>
          </w:p>
        </w:tc>
        <w:tc>
          <w:tcPr>
            <w:tcW w:w="1264" w:type="dxa"/>
          </w:tcPr>
          <w:p w14:paraId="42E2B041" w14:textId="77777777" w:rsidR="005D4CF1" w:rsidRDefault="005D4CF1" w:rsidP="00E14370">
            <w:pPr>
              <w:spacing w:line="240" w:lineRule="auto"/>
            </w:pPr>
            <w:r>
              <w:t>$14,230</w:t>
            </w:r>
          </w:p>
        </w:tc>
        <w:tc>
          <w:tcPr>
            <w:tcW w:w="1414" w:type="dxa"/>
          </w:tcPr>
          <w:p w14:paraId="0D908761" w14:textId="77777777" w:rsidR="005D4CF1" w:rsidRDefault="005D4CF1" w:rsidP="00E14370">
            <w:pPr>
              <w:spacing w:line="240" w:lineRule="auto"/>
            </w:pPr>
            <w:r>
              <w:t>$28,460</w:t>
            </w:r>
          </w:p>
        </w:tc>
      </w:tr>
      <w:tr w:rsidR="005D4CF1" w14:paraId="373D8BD8" w14:textId="77777777" w:rsidTr="005D4CF1">
        <w:trPr>
          <w:trHeight w:val="243"/>
        </w:trPr>
        <w:tc>
          <w:tcPr>
            <w:tcW w:w="1600" w:type="dxa"/>
            <w:shd w:val="clear" w:color="auto" w:fill="C1E4F5" w:themeFill="accent1" w:themeFillTint="33"/>
            <w:vAlign w:val="center"/>
          </w:tcPr>
          <w:p w14:paraId="15952110" w14:textId="77777777" w:rsidR="005D4CF1" w:rsidRPr="0009083F" w:rsidRDefault="005D4CF1" w:rsidP="00E14370">
            <w:pPr>
              <w:spacing w:line="240" w:lineRule="auto"/>
              <w:jc w:val="center"/>
              <w:rPr>
                <w:b/>
                <w:bCs/>
              </w:rPr>
            </w:pPr>
          </w:p>
        </w:tc>
        <w:tc>
          <w:tcPr>
            <w:tcW w:w="1278" w:type="dxa"/>
            <w:vAlign w:val="center"/>
          </w:tcPr>
          <w:p w14:paraId="152230AA" w14:textId="77777777" w:rsidR="005D4CF1" w:rsidRPr="002600C2" w:rsidRDefault="005D4CF1" w:rsidP="00E14370">
            <w:pPr>
              <w:spacing w:line="240" w:lineRule="auto"/>
            </w:pPr>
          </w:p>
        </w:tc>
        <w:tc>
          <w:tcPr>
            <w:tcW w:w="1369" w:type="dxa"/>
            <w:vAlign w:val="center"/>
          </w:tcPr>
          <w:p w14:paraId="5BB1B908" w14:textId="7A8A7EFC" w:rsidR="005D4CF1" w:rsidRPr="008136AD" w:rsidRDefault="005D4CF1" w:rsidP="00E14370">
            <w:pPr>
              <w:spacing w:line="240" w:lineRule="auto"/>
            </w:pPr>
          </w:p>
        </w:tc>
        <w:tc>
          <w:tcPr>
            <w:tcW w:w="1022" w:type="dxa"/>
          </w:tcPr>
          <w:p w14:paraId="4C14487D" w14:textId="77777777" w:rsidR="005D4CF1" w:rsidRDefault="005D4CF1" w:rsidP="00E14370">
            <w:pPr>
              <w:spacing w:line="240" w:lineRule="auto"/>
            </w:pPr>
            <w:r>
              <w:t>2</w:t>
            </w:r>
          </w:p>
        </w:tc>
        <w:tc>
          <w:tcPr>
            <w:tcW w:w="1967" w:type="dxa"/>
            <w:vAlign w:val="center"/>
          </w:tcPr>
          <w:p w14:paraId="412DC26B" w14:textId="77777777" w:rsidR="005D4CF1" w:rsidRDefault="005D4CF1" w:rsidP="00E14370">
            <w:pPr>
              <w:spacing w:line="240" w:lineRule="auto"/>
            </w:pPr>
            <w:r>
              <w:t>Research (0%)</w:t>
            </w:r>
          </w:p>
        </w:tc>
        <w:tc>
          <w:tcPr>
            <w:tcW w:w="1264" w:type="dxa"/>
          </w:tcPr>
          <w:p w14:paraId="13886900" w14:textId="77777777" w:rsidR="005D4CF1" w:rsidRDefault="005D4CF1" w:rsidP="00E14370">
            <w:pPr>
              <w:spacing w:line="240" w:lineRule="auto"/>
            </w:pPr>
            <w:r>
              <w:t>$0</w:t>
            </w:r>
          </w:p>
        </w:tc>
        <w:tc>
          <w:tcPr>
            <w:tcW w:w="1414" w:type="dxa"/>
          </w:tcPr>
          <w:p w14:paraId="7330EE94" w14:textId="77777777" w:rsidR="005D4CF1" w:rsidRDefault="005D4CF1" w:rsidP="00E14370">
            <w:pPr>
              <w:spacing w:line="240" w:lineRule="auto"/>
            </w:pPr>
            <w:r>
              <w:t>$0</w:t>
            </w:r>
          </w:p>
        </w:tc>
      </w:tr>
      <w:tr w:rsidR="005D4CF1" w14:paraId="06B6A36D" w14:textId="77777777" w:rsidTr="005D4CF1">
        <w:trPr>
          <w:trHeight w:val="260"/>
        </w:trPr>
        <w:tc>
          <w:tcPr>
            <w:tcW w:w="1600" w:type="dxa"/>
            <w:shd w:val="clear" w:color="auto" w:fill="C1E4F5" w:themeFill="accent1" w:themeFillTint="33"/>
            <w:vAlign w:val="center"/>
          </w:tcPr>
          <w:p w14:paraId="202CB80C" w14:textId="77777777" w:rsidR="005D4CF1" w:rsidRPr="0009083F" w:rsidRDefault="005D4CF1" w:rsidP="00E14370">
            <w:pPr>
              <w:spacing w:line="240" w:lineRule="auto"/>
              <w:jc w:val="center"/>
              <w:rPr>
                <w:b/>
                <w:bCs/>
              </w:rPr>
            </w:pPr>
            <w:r w:rsidRPr="0009083F">
              <w:rPr>
                <w:b/>
                <w:bCs/>
              </w:rPr>
              <w:t>DNIR Licence</w:t>
            </w:r>
          </w:p>
        </w:tc>
        <w:tc>
          <w:tcPr>
            <w:tcW w:w="1278" w:type="dxa"/>
            <w:vAlign w:val="center"/>
          </w:tcPr>
          <w:p w14:paraId="6E9D5F8D" w14:textId="77777777" w:rsidR="005D4CF1" w:rsidRDefault="005D4CF1" w:rsidP="00E14370">
            <w:pPr>
              <w:spacing w:line="240" w:lineRule="auto"/>
            </w:pPr>
            <w:r w:rsidRPr="002600C2">
              <w:t>High</w:t>
            </w:r>
          </w:p>
        </w:tc>
        <w:tc>
          <w:tcPr>
            <w:tcW w:w="1369" w:type="dxa"/>
          </w:tcPr>
          <w:p w14:paraId="26679118" w14:textId="1E74A41B" w:rsidR="005D4CF1" w:rsidRPr="008136AD" w:rsidRDefault="005D4CF1" w:rsidP="00E14370">
            <w:pPr>
              <w:spacing w:line="240" w:lineRule="auto"/>
            </w:pPr>
            <w:r w:rsidRPr="008136AD">
              <w:t>$</w:t>
            </w:r>
            <w:r>
              <w:t>44,150</w:t>
            </w:r>
          </w:p>
        </w:tc>
        <w:tc>
          <w:tcPr>
            <w:tcW w:w="1022" w:type="dxa"/>
          </w:tcPr>
          <w:p w14:paraId="6E361CB5" w14:textId="77777777" w:rsidR="005D4CF1" w:rsidRDefault="005D4CF1" w:rsidP="00E14370">
            <w:pPr>
              <w:spacing w:line="240" w:lineRule="auto"/>
            </w:pPr>
          </w:p>
        </w:tc>
        <w:tc>
          <w:tcPr>
            <w:tcW w:w="1967" w:type="dxa"/>
          </w:tcPr>
          <w:p w14:paraId="2CF84789" w14:textId="77777777" w:rsidR="005D4CF1" w:rsidRDefault="005D4CF1" w:rsidP="00E14370">
            <w:pPr>
              <w:spacing w:line="240" w:lineRule="auto"/>
            </w:pPr>
          </w:p>
        </w:tc>
        <w:tc>
          <w:tcPr>
            <w:tcW w:w="1264" w:type="dxa"/>
          </w:tcPr>
          <w:p w14:paraId="4BDD2F4E" w14:textId="77777777" w:rsidR="005D4CF1" w:rsidRDefault="005D4CF1" w:rsidP="00E14370">
            <w:pPr>
              <w:spacing w:line="240" w:lineRule="auto"/>
            </w:pPr>
          </w:p>
        </w:tc>
        <w:tc>
          <w:tcPr>
            <w:tcW w:w="1414" w:type="dxa"/>
          </w:tcPr>
          <w:p w14:paraId="7F6CA9AF" w14:textId="77777777" w:rsidR="005D4CF1" w:rsidRDefault="005D4CF1" w:rsidP="00E14370">
            <w:pPr>
              <w:spacing w:line="240" w:lineRule="auto"/>
            </w:pPr>
          </w:p>
        </w:tc>
      </w:tr>
      <w:tr w:rsidR="005D4CF1" w14:paraId="413BB356" w14:textId="77777777" w:rsidTr="005D4CF1">
        <w:trPr>
          <w:trHeight w:val="243"/>
        </w:trPr>
        <w:tc>
          <w:tcPr>
            <w:tcW w:w="1600" w:type="dxa"/>
            <w:shd w:val="clear" w:color="auto" w:fill="C1E4F5" w:themeFill="accent1" w:themeFillTint="33"/>
          </w:tcPr>
          <w:p w14:paraId="27A84206" w14:textId="77777777" w:rsidR="005D4CF1" w:rsidRDefault="005D4CF1" w:rsidP="00E14370">
            <w:pPr>
              <w:spacing w:line="240" w:lineRule="auto"/>
            </w:pPr>
          </w:p>
        </w:tc>
        <w:tc>
          <w:tcPr>
            <w:tcW w:w="1278" w:type="dxa"/>
          </w:tcPr>
          <w:p w14:paraId="7CF9A735" w14:textId="77777777" w:rsidR="005D4CF1" w:rsidRDefault="005D4CF1" w:rsidP="00E14370">
            <w:pPr>
              <w:spacing w:line="240" w:lineRule="auto"/>
            </w:pPr>
          </w:p>
        </w:tc>
        <w:tc>
          <w:tcPr>
            <w:tcW w:w="1369" w:type="dxa"/>
          </w:tcPr>
          <w:p w14:paraId="1090A3F4" w14:textId="539F561B" w:rsidR="005D4CF1" w:rsidRPr="008136AD" w:rsidRDefault="005D4CF1" w:rsidP="00E14370">
            <w:pPr>
              <w:spacing w:line="240" w:lineRule="auto"/>
            </w:pPr>
          </w:p>
        </w:tc>
        <w:tc>
          <w:tcPr>
            <w:tcW w:w="1022" w:type="dxa"/>
          </w:tcPr>
          <w:p w14:paraId="17EE7952" w14:textId="77777777" w:rsidR="005D4CF1" w:rsidRDefault="005D4CF1" w:rsidP="00E14370">
            <w:pPr>
              <w:spacing w:line="240" w:lineRule="auto"/>
            </w:pPr>
            <w:r>
              <w:t>1</w:t>
            </w:r>
          </w:p>
        </w:tc>
        <w:tc>
          <w:tcPr>
            <w:tcW w:w="1967" w:type="dxa"/>
            <w:vAlign w:val="center"/>
          </w:tcPr>
          <w:p w14:paraId="32B102AD" w14:textId="77777777" w:rsidR="005D4CF1" w:rsidRDefault="005D4CF1" w:rsidP="00E14370">
            <w:pPr>
              <w:spacing w:line="240" w:lineRule="auto"/>
            </w:pPr>
            <w:r w:rsidRPr="002600C2">
              <w:t xml:space="preserve">Commercial </w:t>
            </w:r>
            <w:r>
              <w:t>(</w:t>
            </w:r>
            <w:r w:rsidRPr="002600C2">
              <w:t>50%</w:t>
            </w:r>
            <w:r>
              <w:t>)</w:t>
            </w:r>
          </w:p>
        </w:tc>
        <w:tc>
          <w:tcPr>
            <w:tcW w:w="1264" w:type="dxa"/>
          </w:tcPr>
          <w:p w14:paraId="4BC0700D" w14:textId="77777777" w:rsidR="005D4CF1" w:rsidRDefault="005D4CF1" w:rsidP="00E14370">
            <w:pPr>
              <w:spacing w:line="240" w:lineRule="auto"/>
            </w:pPr>
            <w:r>
              <w:t>$22,080</w:t>
            </w:r>
          </w:p>
        </w:tc>
        <w:tc>
          <w:tcPr>
            <w:tcW w:w="1414" w:type="dxa"/>
          </w:tcPr>
          <w:p w14:paraId="30978E52" w14:textId="77777777" w:rsidR="005D4CF1" w:rsidRDefault="005D4CF1" w:rsidP="00E14370">
            <w:pPr>
              <w:spacing w:line="240" w:lineRule="auto"/>
            </w:pPr>
            <w:r>
              <w:t>$22,080</w:t>
            </w:r>
          </w:p>
        </w:tc>
      </w:tr>
      <w:tr w:rsidR="005D4CF1" w14:paraId="62B7F3A9" w14:textId="77777777" w:rsidTr="005D4CF1">
        <w:trPr>
          <w:trHeight w:val="243"/>
        </w:trPr>
        <w:tc>
          <w:tcPr>
            <w:tcW w:w="1600" w:type="dxa"/>
            <w:shd w:val="clear" w:color="auto" w:fill="C1E4F5" w:themeFill="accent1" w:themeFillTint="33"/>
          </w:tcPr>
          <w:p w14:paraId="2A5BB206" w14:textId="77777777" w:rsidR="005D4CF1" w:rsidRDefault="005D4CF1" w:rsidP="00E14370">
            <w:pPr>
              <w:spacing w:line="240" w:lineRule="auto"/>
            </w:pPr>
          </w:p>
        </w:tc>
        <w:tc>
          <w:tcPr>
            <w:tcW w:w="1278" w:type="dxa"/>
          </w:tcPr>
          <w:p w14:paraId="1AC96A79" w14:textId="77777777" w:rsidR="005D4CF1" w:rsidRDefault="005D4CF1" w:rsidP="00E14370">
            <w:pPr>
              <w:spacing w:line="240" w:lineRule="auto"/>
            </w:pPr>
          </w:p>
        </w:tc>
        <w:tc>
          <w:tcPr>
            <w:tcW w:w="1369" w:type="dxa"/>
          </w:tcPr>
          <w:p w14:paraId="3C0652B6" w14:textId="6A1583FD" w:rsidR="005D4CF1" w:rsidRPr="008136AD" w:rsidRDefault="005D4CF1" w:rsidP="00E14370">
            <w:pPr>
              <w:spacing w:line="240" w:lineRule="auto"/>
            </w:pPr>
          </w:p>
        </w:tc>
        <w:tc>
          <w:tcPr>
            <w:tcW w:w="1022" w:type="dxa"/>
          </w:tcPr>
          <w:p w14:paraId="599FF724" w14:textId="77777777" w:rsidR="005D4CF1" w:rsidRDefault="005D4CF1" w:rsidP="00E14370">
            <w:pPr>
              <w:spacing w:line="240" w:lineRule="auto"/>
            </w:pPr>
            <w:r>
              <w:t>2</w:t>
            </w:r>
          </w:p>
        </w:tc>
        <w:tc>
          <w:tcPr>
            <w:tcW w:w="1967" w:type="dxa"/>
            <w:vAlign w:val="center"/>
          </w:tcPr>
          <w:p w14:paraId="68D916EA" w14:textId="77777777" w:rsidR="005D4CF1" w:rsidRDefault="005D4CF1" w:rsidP="00E14370">
            <w:pPr>
              <w:spacing w:line="240" w:lineRule="auto"/>
            </w:pPr>
            <w:r>
              <w:t>Pre-commercial (25%)</w:t>
            </w:r>
          </w:p>
        </w:tc>
        <w:tc>
          <w:tcPr>
            <w:tcW w:w="1264" w:type="dxa"/>
          </w:tcPr>
          <w:p w14:paraId="6B50EBFE" w14:textId="77777777" w:rsidR="005D4CF1" w:rsidRDefault="005D4CF1" w:rsidP="00E14370">
            <w:pPr>
              <w:spacing w:line="240" w:lineRule="auto"/>
            </w:pPr>
            <w:r>
              <w:t>$11,040</w:t>
            </w:r>
          </w:p>
        </w:tc>
        <w:tc>
          <w:tcPr>
            <w:tcW w:w="1414" w:type="dxa"/>
          </w:tcPr>
          <w:p w14:paraId="1A7A5913" w14:textId="77777777" w:rsidR="005D4CF1" w:rsidRDefault="005D4CF1" w:rsidP="00E14370">
            <w:pPr>
              <w:spacing w:line="240" w:lineRule="auto"/>
            </w:pPr>
            <w:r>
              <w:t>$22,080</w:t>
            </w:r>
          </w:p>
        </w:tc>
      </w:tr>
      <w:tr w:rsidR="005D4CF1" w14:paraId="58AA34E1" w14:textId="77777777" w:rsidTr="005D4CF1">
        <w:trPr>
          <w:trHeight w:val="243"/>
        </w:trPr>
        <w:tc>
          <w:tcPr>
            <w:tcW w:w="1600" w:type="dxa"/>
            <w:shd w:val="clear" w:color="auto" w:fill="C1E4F5" w:themeFill="accent1" w:themeFillTint="33"/>
          </w:tcPr>
          <w:p w14:paraId="460B785B" w14:textId="77777777" w:rsidR="005D4CF1" w:rsidRDefault="005D4CF1" w:rsidP="00E14370">
            <w:pPr>
              <w:spacing w:line="240" w:lineRule="auto"/>
            </w:pPr>
          </w:p>
        </w:tc>
        <w:tc>
          <w:tcPr>
            <w:tcW w:w="1278" w:type="dxa"/>
          </w:tcPr>
          <w:p w14:paraId="41150C5B" w14:textId="77777777" w:rsidR="005D4CF1" w:rsidRDefault="005D4CF1" w:rsidP="00E14370">
            <w:pPr>
              <w:spacing w:line="240" w:lineRule="auto"/>
            </w:pPr>
          </w:p>
        </w:tc>
        <w:tc>
          <w:tcPr>
            <w:tcW w:w="1369" w:type="dxa"/>
          </w:tcPr>
          <w:p w14:paraId="5F87DBF8" w14:textId="70AE37D5" w:rsidR="005D4CF1" w:rsidRPr="008136AD" w:rsidRDefault="005D4CF1" w:rsidP="00E14370">
            <w:pPr>
              <w:spacing w:line="240" w:lineRule="auto"/>
            </w:pPr>
          </w:p>
        </w:tc>
        <w:tc>
          <w:tcPr>
            <w:tcW w:w="1022" w:type="dxa"/>
          </w:tcPr>
          <w:p w14:paraId="7A0E9BEC" w14:textId="77777777" w:rsidR="005D4CF1" w:rsidRDefault="005D4CF1" w:rsidP="00E14370">
            <w:pPr>
              <w:spacing w:line="240" w:lineRule="auto"/>
            </w:pPr>
            <w:r>
              <w:t>3</w:t>
            </w:r>
          </w:p>
        </w:tc>
        <w:tc>
          <w:tcPr>
            <w:tcW w:w="1967" w:type="dxa"/>
            <w:vAlign w:val="center"/>
          </w:tcPr>
          <w:p w14:paraId="1D809CFB" w14:textId="77777777" w:rsidR="005D4CF1" w:rsidRDefault="005D4CF1" w:rsidP="00E14370">
            <w:pPr>
              <w:spacing w:line="240" w:lineRule="auto"/>
            </w:pPr>
            <w:r>
              <w:t>Research (0%)</w:t>
            </w:r>
          </w:p>
        </w:tc>
        <w:tc>
          <w:tcPr>
            <w:tcW w:w="1264" w:type="dxa"/>
          </w:tcPr>
          <w:p w14:paraId="6A13008E" w14:textId="77777777" w:rsidR="005D4CF1" w:rsidRDefault="005D4CF1" w:rsidP="00E14370">
            <w:pPr>
              <w:spacing w:line="240" w:lineRule="auto"/>
            </w:pPr>
            <w:r>
              <w:t>$0</w:t>
            </w:r>
          </w:p>
        </w:tc>
        <w:tc>
          <w:tcPr>
            <w:tcW w:w="1414" w:type="dxa"/>
          </w:tcPr>
          <w:p w14:paraId="76092A57" w14:textId="77777777" w:rsidR="005D4CF1" w:rsidRDefault="005D4CF1" w:rsidP="00E14370">
            <w:pPr>
              <w:spacing w:line="240" w:lineRule="auto"/>
            </w:pPr>
            <w:r>
              <w:t>$0</w:t>
            </w:r>
          </w:p>
        </w:tc>
      </w:tr>
      <w:tr w:rsidR="005D4CF1" w14:paraId="1FEA1408" w14:textId="77777777" w:rsidTr="005D4CF1">
        <w:trPr>
          <w:trHeight w:val="243"/>
        </w:trPr>
        <w:tc>
          <w:tcPr>
            <w:tcW w:w="1600" w:type="dxa"/>
            <w:shd w:val="clear" w:color="auto" w:fill="C1E4F5" w:themeFill="accent1" w:themeFillTint="33"/>
          </w:tcPr>
          <w:p w14:paraId="4965FA7D" w14:textId="77777777" w:rsidR="005D4CF1" w:rsidRPr="0009083F" w:rsidRDefault="005D4CF1" w:rsidP="00E14370">
            <w:pPr>
              <w:spacing w:line="240" w:lineRule="auto"/>
              <w:jc w:val="center"/>
              <w:rPr>
                <w:b/>
                <w:bCs/>
              </w:rPr>
            </w:pPr>
            <w:r w:rsidRPr="0009083F">
              <w:rPr>
                <w:b/>
                <w:bCs/>
              </w:rPr>
              <w:t>DNIR Licence</w:t>
            </w:r>
          </w:p>
        </w:tc>
        <w:tc>
          <w:tcPr>
            <w:tcW w:w="1278" w:type="dxa"/>
          </w:tcPr>
          <w:p w14:paraId="68475D0F" w14:textId="77777777" w:rsidR="005D4CF1" w:rsidRDefault="005D4CF1" w:rsidP="00E14370">
            <w:pPr>
              <w:spacing w:line="240" w:lineRule="auto"/>
            </w:pPr>
            <w:r>
              <w:t>Low</w:t>
            </w:r>
          </w:p>
        </w:tc>
        <w:tc>
          <w:tcPr>
            <w:tcW w:w="1369" w:type="dxa"/>
          </w:tcPr>
          <w:p w14:paraId="14C9E583" w14:textId="69BFEDEB" w:rsidR="005D4CF1" w:rsidRPr="008136AD" w:rsidRDefault="005D4CF1" w:rsidP="00E14370">
            <w:pPr>
              <w:spacing w:line="240" w:lineRule="auto"/>
            </w:pPr>
            <w:r w:rsidRPr="008136AD">
              <w:t>$</w:t>
            </w:r>
            <w:r>
              <w:t>17,260</w:t>
            </w:r>
          </w:p>
        </w:tc>
        <w:tc>
          <w:tcPr>
            <w:tcW w:w="1022" w:type="dxa"/>
          </w:tcPr>
          <w:p w14:paraId="20769CFF" w14:textId="77777777" w:rsidR="005D4CF1" w:rsidRDefault="005D4CF1" w:rsidP="00E14370">
            <w:pPr>
              <w:spacing w:line="240" w:lineRule="auto"/>
            </w:pPr>
          </w:p>
        </w:tc>
        <w:tc>
          <w:tcPr>
            <w:tcW w:w="1967" w:type="dxa"/>
            <w:vAlign w:val="center"/>
          </w:tcPr>
          <w:p w14:paraId="0171A447" w14:textId="77777777" w:rsidR="005D4CF1" w:rsidRDefault="005D4CF1" w:rsidP="00E14370">
            <w:pPr>
              <w:spacing w:line="240" w:lineRule="auto"/>
            </w:pPr>
          </w:p>
        </w:tc>
        <w:tc>
          <w:tcPr>
            <w:tcW w:w="1264" w:type="dxa"/>
          </w:tcPr>
          <w:p w14:paraId="7FB7EFC3" w14:textId="77777777" w:rsidR="005D4CF1" w:rsidRDefault="005D4CF1" w:rsidP="00E14370">
            <w:pPr>
              <w:spacing w:line="240" w:lineRule="auto"/>
            </w:pPr>
          </w:p>
        </w:tc>
        <w:tc>
          <w:tcPr>
            <w:tcW w:w="1414" w:type="dxa"/>
          </w:tcPr>
          <w:p w14:paraId="4E75FFFB" w14:textId="77777777" w:rsidR="005D4CF1" w:rsidRDefault="005D4CF1" w:rsidP="00E14370">
            <w:pPr>
              <w:spacing w:line="240" w:lineRule="auto"/>
            </w:pPr>
          </w:p>
        </w:tc>
      </w:tr>
      <w:tr w:rsidR="005D4CF1" w14:paraId="77AEA546" w14:textId="77777777" w:rsidTr="005D4CF1">
        <w:trPr>
          <w:trHeight w:val="243"/>
        </w:trPr>
        <w:tc>
          <w:tcPr>
            <w:tcW w:w="1600" w:type="dxa"/>
            <w:shd w:val="clear" w:color="auto" w:fill="C1E4F5" w:themeFill="accent1" w:themeFillTint="33"/>
          </w:tcPr>
          <w:p w14:paraId="720F3432" w14:textId="77777777" w:rsidR="005D4CF1" w:rsidRDefault="005D4CF1" w:rsidP="00E14370">
            <w:pPr>
              <w:spacing w:line="240" w:lineRule="auto"/>
            </w:pPr>
          </w:p>
        </w:tc>
        <w:tc>
          <w:tcPr>
            <w:tcW w:w="1278" w:type="dxa"/>
          </w:tcPr>
          <w:p w14:paraId="4C525255" w14:textId="77777777" w:rsidR="005D4CF1" w:rsidRDefault="005D4CF1" w:rsidP="00E14370">
            <w:pPr>
              <w:spacing w:line="240" w:lineRule="auto"/>
            </w:pPr>
          </w:p>
        </w:tc>
        <w:tc>
          <w:tcPr>
            <w:tcW w:w="1369" w:type="dxa"/>
          </w:tcPr>
          <w:p w14:paraId="0D2D5D93" w14:textId="2F869411" w:rsidR="005D4CF1" w:rsidRPr="008136AD" w:rsidRDefault="005D4CF1" w:rsidP="00E14370">
            <w:pPr>
              <w:spacing w:line="240" w:lineRule="auto"/>
            </w:pPr>
          </w:p>
        </w:tc>
        <w:tc>
          <w:tcPr>
            <w:tcW w:w="1022" w:type="dxa"/>
          </w:tcPr>
          <w:p w14:paraId="206B89F3" w14:textId="77777777" w:rsidR="005D4CF1" w:rsidRDefault="005D4CF1" w:rsidP="00E14370">
            <w:pPr>
              <w:spacing w:line="240" w:lineRule="auto"/>
            </w:pPr>
            <w:r>
              <w:t>2</w:t>
            </w:r>
          </w:p>
        </w:tc>
        <w:tc>
          <w:tcPr>
            <w:tcW w:w="1967" w:type="dxa"/>
            <w:vAlign w:val="center"/>
          </w:tcPr>
          <w:p w14:paraId="5897F5EF" w14:textId="77777777" w:rsidR="005D4CF1" w:rsidRDefault="005D4CF1" w:rsidP="00E14370">
            <w:pPr>
              <w:spacing w:line="240" w:lineRule="auto"/>
            </w:pPr>
            <w:r w:rsidRPr="002600C2">
              <w:t xml:space="preserve">Commercial </w:t>
            </w:r>
            <w:r>
              <w:t>(</w:t>
            </w:r>
            <w:r w:rsidRPr="002600C2">
              <w:t>50%</w:t>
            </w:r>
            <w:r>
              <w:t>)</w:t>
            </w:r>
          </w:p>
        </w:tc>
        <w:tc>
          <w:tcPr>
            <w:tcW w:w="1264" w:type="dxa"/>
          </w:tcPr>
          <w:p w14:paraId="58C2B6AD" w14:textId="77777777" w:rsidR="005D4CF1" w:rsidRDefault="005D4CF1" w:rsidP="00E14370">
            <w:pPr>
              <w:spacing w:line="240" w:lineRule="auto"/>
            </w:pPr>
            <w:r>
              <w:t>$8,630</w:t>
            </w:r>
          </w:p>
        </w:tc>
        <w:tc>
          <w:tcPr>
            <w:tcW w:w="1414" w:type="dxa"/>
          </w:tcPr>
          <w:p w14:paraId="40E6F76B" w14:textId="77777777" w:rsidR="005D4CF1" w:rsidRDefault="005D4CF1" w:rsidP="00E14370">
            <w:pPr>
              <w:spacing w:line="240" w:lineRule="auto"/>
            </w:pPr>
            <w:r>
              <w:t>$17,260</w:t>
            </w:r>
          </w:p>
        </w:tc>
      </w:tr>
      <w:tr w:rsidR="005D4CF1" w14:paraId="77720B6B" w14:textId="77777777" w:rsidTr="005D4CF1">
        <w:trPr>
          <w:trHeight w:val="243"/>
        </w:trPr>
        <w:tc>
          <w:tcPr>
            <w:tcW w:w="1600" w:type="dxa"/>
            <w:shd w:val="clear" w:color="auto" w:fill="C1E4F5" w:themeFill="accent1" w:themeFillTint="33"/>
          </w:tcPr>
          <w:p w14:paraId="020773BB" w14:textId="77777777" w:rsidR="005D4CF1" w:rsidRDefault="005D4CF1" w:rsidP="00E14370">
            <w:pPr>
              <w:spacing w:line="240" w:lineRule="auto"/>
            </w:pPr>
          </w:p>
        </w:tc>
        <w:tc>
          <w:tcPr>
            <w:tcW w:w="1278" w:type="dxa"/>
          </w:tcPr>
          <w:p w14:paraId="72EF85CD" w14:textId="77777777" w:rsidR="005D4CF1" w:rsidRDefault="005D4CF1" w:rsidP="00E14370">
            <w:pPr>
              <w:spacing w:line="240" w:lineRule="auto"/>
            </w:pPr>
          </w:p>
        </w:tc>
        <w:tc>
          <w:tcPr>
            <w:tcW w:w="1369" w:type="dxa"/>
          </w:tcPr>
          <w:p w14:paraId="69ED0481" w14:textId="51671C3D" w:rsidR="005D4CF1" w:rsidRPr="008136AD" w:rsidRDefault="005D4CF1" w:rsidP="00E14370">
            <w:pPr>
              <w:spacing w:line="240" w:lineRule="auto"/>
            </w:pPr>
          </w:p>
        </w:tc>
        <w:tc>
          <w:tcPr>
            <w:tcW w:w="1022" w:type="dxa"/>
          </w:tcPr>
          <w:p w14:paraId="44D2C385" w14:textId="77777777" w:rsidR="005D4CF1" w:rsidRDefault="005D4CF1" w:rsidP="00E14370">
            <w:pPr>
              <w:spacing w:line="240" w:lineRule="auto"/>
            </w:pPr>
            <w:r>
              <w:t>6</w:t>
            </w:r>
          </w:p>
        </w:tc>
        <w:tc>
          <w:tcPr>
            <w:tcW w:w="1967" w:type="dxa"/>
            <w:vAlign w:val="center"/>
          </w:tcPr>
          <w:p w14:paraId="64A3AC6A" w14:textId="77777777" w:rsidR="005D4CF1" w:rsidRDefault="005D4CF1" w:rsidP="00E14370">
            <w:pPr>
              <w:spacing w:line="240" w:lineRule="auto"/>
            </w:pPr>
            <w:r>
              <w:t>Pre-commercial (25%)</w:t>
            </w:r>
          </w:p>
        </w:tc>
        <w:tc>
          <w:tcPr>
            <w:tcW w:w="1264" w:type="dxa"/>
          </w:tcPr>
          <w:p w14:paraId="761A5C4F" w14:textId="77777777" w:rsidR="005D4CF1" w:rsidRDefault="005D4CF1" w:rsidP="00E14370">
            <w:pPr>
              <w:spacing w:line="240" w:lineRule="auto"/>
            </w:pPr>
            <w:r>
              <w:t>$4,320</w:t>
            </w:r>
          </w:p>
        </w:tc>
        <w:tc>
          <w:tcPr>
            <w:tcW w:w="1414" w:type="dxa"/>
          </w:tcPr>
          <w:p w14:paraId="6C5441ED" w14:textId="77777777" w:rsidR="005D4CF1" w:rsidRDefault="005D4CF1" w:rsidP="00E14370">
            <w:pPr>
              <w:spacing w:line="240" w:lineRule="auto"/>
            </w:pPr>
            <w:r>
              <w:t>$25,920</w:t>
            </w:r>
          </w:p>
        </w:tc>
      </w:tr>
      <w:tr w:rsidR="005D4CF1" w14:paraId="6771EC04" w14:textId="77777777" w:rsidTr="005D4CF1">
        <w:trPr>
          <w:trHeight w:val="243"/>
        </w:trPr>
        <w:tc>
          <w:tcPr>
            <w:tcW w:w="1600" w:type="dxa"/>
            <w:shd w:val="clear" w:color="auto" w:fill="C1E4F5" w:themeFill="accent1" w:themeFillTint="33"/>
          </w:tcPr>
          <w:p w14:paraId="6D2CFE7B" w14:textId="77777777" w:rsidR="005D4CF1" w:rsidRDefault="005D4CF1" w:rsidP="00E14370">
            <w:pPr>
              <w:spacing w:line="240" w:lineRule="auto"/>
            </w:pPr>
          </w:p>
        </w:tc>
        <w:tc>
          <w:tcPr>
            <w:tcW w:w="1278" w:type="dxa"/>
          </w:tcPr>
          <w:p w14:paraId="722BA333" w14:textId="77777777" w:rsidR="005D4CF1" w:rsidRDefault="005D4CF1" w:rsidP="00E14370">
            <w:pPr>
              <w:spacing w:line="240" w:lineRule="auto"/>
            </w:pPr>
          </w:p>
        </w:tc>
        <w:tc>
          <w:tcPr>
            <w:tcW w:w="1369" w:type="dxa"/>
          </w:tcPr>
          <w:p w14:paraId="0F20D8BC" w14:textId="2484467C" w:rsidR="005D4CF1" w:rsidRPr="008136AD" w:rsidRDefault="005D4CF1" w:rsidP="00E14370">
            <w:pPr>
              <w:spacing w:line="240" w:lineRule="auto"/>
            </w:pPr>
          </w:p>
        </w:tc>
        <w:tc>
          <w:tcPr>
            <w:tcW w:w="1022" w:type="dxa"/>
          </w:tcPr>
          <w:p w14:paraId="7A276BDA" w14:textId="77777777" w:rsidR="005D4CF1" w:rsidRDefault="005D4CF1" w:rsidP="00E14370">
            <w:pPr>
              <w:spacing w:line="240" w:lineRule="auto"/>
            </w:pPr>
            <w:r>
              <w:t>10</w:t>
            </w:r>
          </w:p>
        </w:tc>
        <w:tc>
          <w:tcPr>
            <w:tcW w:w="1967" w:type="dxa"/>
            <w:vAlign w:val="center"/>
          </w:tcPr>
          <w:p w14:paraId="556175F1" w14:textId="77777777" w:rsidR="005D4CF1" w:rsidRDefault="005D4CF1" w:rsidP="00E14370">
            <w:pPr>
              <w:spacing w:line="240" w:lineRule="auto"/>
            </w:pPr>
            <w:r>
              <w:t>Research (0%)</w:t>
            </w:r>
          </w:p>
        </w:tc>
        <w:tc>
          <w:tcPr>
            <w:tcW w:w="1264" w:type="dxa"/>
          </w:tcPr>
          <w:p w14:paraId="16F6802F" w14:textId="77777777" w:rsidR="005D4CF1" w:rsidRDefault="005D4CF1" w:rsidP="00E14370">
            <w:pPr>
              <w:spacing w:line="240" w:lineRule="auto"/>
            </w:pPr>
            <w:r>
              <w:t>$0</w:t>
            </w:r>
          </w:p>
        </w:tc>
        <w:tc>
          <w:tcPr>
            <w:tcW w:w="1414" w:type="dxa"/>
          </w:tcPr>
          <w:p w14:paraId="09A0588E" w14:textId="77777777" w:rsidR="005D4CF1" w:rsidRDefault="005D4CF1" w:rsidP="00E14370">
            <w:pPr>
              <w:spacing w:line="240" w:lineRule="auto"/>
            </w:pPr>
            <w:r>
              <w:t>$0</w:t>
            </w:r>
          </w:p>
        </w:tc>
      </w:tr>
    </w:tbl>
    <w:p w14:paraId="5D6E8CE6" w14:textId="3EC4E3BE" w:rsidR="00D63346" w:rsidRDefault="00382141" w:rsidP="0060174F">
      <w:r>
        <w:t>All fee levels include an invoicing fee of $44.90</w:t>
      </w:r>
    </w:p>
    <w:p w14:paraId="0ED0D434" w14:textId="40B2B523" w:rsidR="00977548" w:rsidRDefault="00977548" w:rsidP="00244E9E">
      <w:pPr>
        <w:pStyle w:val="Heading2"/>
      </w:pPr>
      <w:bookmarkStart w:id="68" w:name="_Toc242195595"/>
      <w:r w:rsidRPr="00610405">
        <w:t>Certifications</w:t>
      </w:r>
      <w:bookmarkEnd w:id="67"/>
      <w:bookmarkEnd w:id="68"/>
    </w:p>
    <w:p w14:paraId="37C02851" w14:textId="61E079E1" w:rsidR="00977548" w:rsidRPr="00977548" w:rsidRDefault="00977548" w:rsidP="00482E23">
      <w:pPr>
        <w:pStyle w:val="Heading3"/>
      </w:pPr>
      <w:bookmarkStart w:id="69" w:name="_Toc242195596"/>
      <w:r>
        <w:t>Background</w:t>
      </w:r>
      <w:bookmarkEnd w:id="69"/>
    </w:p>
    <w:p w14:paraId="1F453A8E" w14:textId="189EAFB1" w:rsidR="00BF0D41" w:rsidRDefault="00BF0D41" w:rsidP="00BF0D41">
      <w:r w:rsidRPr="0061297E">
        <w:t xml:space="preserve">As part of their regulatory activities the OGTR certifies facilities that contain research and manufacturing of GMOs. </w:t>
      </w:r>
      <w:r w:rsidRPr="0077663C">
        <w:t xml:space="preserve">The certification process verifies that these facilities meet the requirements set out in the </w:t>
      </w:r>
      <w:hyperlink r:id="rId28" w:history="1">
        <w:r w:rsidRPr="0077663C">
          <w:rPr>
            <w:rStyle w:val="Hyperlink"/>
          </w:rPr>
          <w:t>Guidelines for the certification of physical containment facilities</w:t>
        </w:r>
      </w:hyperlink>
      <w:r w:rsidRPr="0077663C">
        <w:t xml:space="preserve"> before research and manufacturing can take place.</w:t>
      </w:r>
    </w:p>
    <w:p w14:paraId="76DDA044" w14:textId="77777777" w:rsidR="00977548" w:rsidRPr="0061297E" w:rsidRDefault="00977548" w:rsidP="00977548">
      <w:r w:rsidRPr="0061297E">
        <w:t xml:space="preserve">Certifications are issued based on the Physical Containment (PC) level of the facility. Each facility is given a PC level based on the protections and containment types that the facility uses to prevent the GMO from being unintentionally released. </w:t>
      </w:r>
    </w:p>
    <w:p w14:paraId="2F5A4585" w14:textId="1B80F81D" w:rsidR="00977548" w:rsidRPr="0061297E" w:rsidRDefault="00977548" w:rsidP="00977548">
      <w:r w:rsidRPr="0061297E">
        <w:t xml:space="preserve">The PC level of a facility </w:t>
      </w:r>
      <w:r w:rsidR="001C5276">
        <w:t xml:space="preserve">reflects the risk level of the </w:t>
      </w:r>
      <w:r w:rsidRPr="0061297E">
        <w:t xml:space="preserve">type of </w:t>
      </w:r>
      <w:r w:rsidR="00BF0D41">
        <w:t>GMOs</w:t>
      </w:r>
      <w:r w:rsidRPr="0061297E">
        <w:t xml:space="preserve"> within that facility. There are currently four different PC levels: PC1, PC2, PC3 and PC4. The first and second of which are for low-risk GMOs. The latter two are for higher risk GMOs and so involve higher standards for containment protocols. PC4 facilities, for example, must have airlocked entry and exits which include changerooms and a shower. PC3 facilities, whilst including an airlock at entries do not require the inclusion of changerooms or a shower. OGTR has published guidelines with the criteria for each PC type and subtype. The process for facility certification </w:t>
      </w:r>
      <w:r w:rsidR="00A958CC">
        <w:t xml:space="preserve">is </w:t>
      </w:r>
      <w:r>
        <w:t>below</w:t>
      </w:r>
      <w:r w:rsidR="006A53DE">
        <w:t xml:space="preserve"> (</w:t>
      </w:r>
      <w:r w:rsidR="006A53DE" w:rsidRPr="00403ED8">
        <w:fldChar w:fldCharType="begin"/>
      </w:r>
      <w:r w:rsidR="006A53DE" w:rsidRPr="00403ED8">
        <w:instrText xml:space="preserve"> REF _Ref240573793 \h </w:instrText>
      </w:r>
      <w:r w:rsidR="006A53DE" w:rsidRPr="00403ED8">
        <w:fldChar w:fldCharType="separate"/>
      </w:r>
      <w:r w:rsidR="006A53DE" w:rsidRPr="00403ED8">
        <w:t xml:space="preserve">Figure </w:t>
      </w:r>
      <w:r w:rsidR="006A53DE" w:rsidRPr="00403ED8">
        <w:rPr>
          <w:noProof/>
        </w:rPr>
        <w:t>5</w:t>
      </w:r>
      <w:r w:rsidR="006A53DE" w:rsidRPr="00403ED8">
        <w:fldChar w:fldCharType="end"/>
      </w:r>
      <w:r w:rsidR="006A53DE" w:rsidRPr="00403ED8">
        <w:t>)</w:t>
      </w:r>
      <w:r w:rsidRPr="00403ED8">
        <w:t xml:space="preserve">. </w:t>
      </w:r>
    </w:p>
    <w:p w14:paraId="3529B9B0" w14:textId="1C2CD76E" w:rsidR="00977548" w:rsidRPr="0061297E" w:rsidRDefault="00977548" w:rsidP="00263E1E">
      <w:pPr>
        <w:pStyle w:val="Caption"/>
        <w:rPr>
          <w:bCs/>
        </w:rPr>
      </w:pPr>
      <w:bookmarkStart w:id="70" w:name="_Ref240573793"/>
      <w:bookmarkStart w:id="71" w:name="_Ref170480554"/>
      <w:r w:rsidRPr="0061297E">
        <w:rPr>
          <w:bCs/>
          <w:noProof/>
        </w:rPr>
        <w:drawing>
          <wp:anchor distT="0" distB="0" distL="114300" distR="114300" simplePos="0" relativeHeight="251663360" behindDoc="0" locked="0" layoutInCell="1" allowOverlap="1" wp14:anchorId="5A54DB33" wp14:editId="5E325D68">
            <wp:simplePos x="0" y="0"/>
            <wp:positionH relativeFrom="margin">
              <wp:align>left</wp:align>
            </wp:positionH>
            <wp:positionV relativeFrom="paragraph">
              <wp:posOffset>271780</wp:posOffset>
            </wp:positionV>
            <wp:extent cx="5658485" cy="1092835"/>
            <wp:effectExtent l="0" t="0" r="0" b="0"/>
            <wp:wrapTopAndBottom/>
            <wp:docPr id="82211702" name="Picture 3" descr="steps or tasks in assessing a certification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1702" name="Picture 3" descr="steps or tasks in assessing a certification application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18796" cy="1104950"/>
                    </a:xfrm>
                    <a:prstGeom prst="rect">
                      <a:avLst/>
                    </a:prstGeom>
                    <a:noFill/>
                  </pic:spPr>
                </pic:pic>
              </a:graphicData>
            </a:graphic>
            <wp14:sizeRelH relativeFrom="page">
              <wp14:pctWidth>0</wp14:pctWidth>
            </wp14:sizeRelH>
            <wp14:sizeRelV relativeFrom="page">
              <wp14:pctHeight>0</wp14:pctHeight>
            </wp14:sizeRelV>
          </wp:anchor>
        </w:drawing>
      </w:r>
      <w:r w:rsidRPr="0061297E">
        <w:rPr>
          <w:bCs/>
        </w:rPr>
        <w:t xml:space="preserve"> </w:t>
      </w:r>
      <w:r w:rsidR="006A53DE" w:rsidRPr="007A6E8B">
        <w:rPr>
          <w:rFonts w:ascii="Calibri Light" w:hAnsi="Calibri Light" w:cstheme="minorBidi"/>
          <w:i w:val="0"/>
          <w:color w:val="3A7C22" w:themeColor="accent6" w:themeShade="BF"/>
          <w:kern w:val="0"/>
          <w:sz w:val="20"/>
          <w:szCs w:val="20"/>
          <w14:ligatures w14:val="none"/>
        </w:rPr>
        <w:t xml:space="preserve">Figure </w:t>
      </w:r>
      <w:r w:rsidR="006A53DE" w:rsidRPr="007A6E8B">
        <w:rPr>
          <w:rFonts w:ascii="Calibri Light" w:hAnsi="Calibri Light" w:cstheme="minorBidi"/>
          <w:i w:val="0"/>
          <w:color w:val="3A7C22" w:themeColor="accent6" w:themeShade="BF"/>
          <w:kern w:val="0"/>
          <w:sz w:val="20"/>
          <w:szCs w:val="20"/>
          <w14:ligatures w14:val="none"/>
        </w:rPr>
        <w:fldChar w:fldCharType="begin"/>
      </w:r>
      <w:r w:rsidR="006A53DE" w:rsidRPr="007A6E8B">
        <w:rPr>
          <w:rFonts w:ascii="Calibri Light" w:hAnsi="Calibri Light" w:cstheme="minorBidi"/>
          <w:i w:val="0"/>
          <w:color w:val="3A7C22" w:themeColor="accent6" w:themeShade="BF"/>
          <w:kern w:val="0"/>
          <w:sz w:val="20"/>
          <w:szCs w:val="20"/>
          <w14:ligatures w14:val="none"/>
        </w:rPr>
        <w:instrText xml:space="preserve"> SEQ Figure \* ARABIC </w:instrText>
      </w:r>
      <w:r w:rsidR="006A53DE" w:rsidRPr="007A6E8B">
        <w:rPr>
          <w:rFonts w:ascii="Calibri Light" w:hAnsi="Calibri Light" w:cstheme="minorBidi"/>
          <w:i w:val="0"/>
          <w:color w:val="3A7C22" w:themeColor="accent6" w:themeShade="BF"/>
          <w:kern w:val="0"/>
          <w:sz w:val="2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5</w:t>
      </w:r>
      <w:r w:rsidR="006A53DE" w:rsidRPr="007A6E8B">
        <w:rPr>
          <w:rFonts w:ascii="Calibri Light" w:hAnsi="Calibri Light" w:cstheme="minorBidi"/>
          <w:i w:val="0"/>
          <w:color w:val="3A7C22" w:themeColor="accent6" w:themeShade="BF"/>
          <w:kern w:val="0"/>
          <w:sz w:val="20"/>
          <w:szCs w:val="20"/>
          <w14:ligatures w14:val="none"/>
        </w:rPr>
        <w:fldChar w:fldCharType="end"/>
      </w:r>
      <w:bookmarkEnd w:id="70"/>
      <w:r w:rsidR="006A53DE" w:rsidRPr="007A6E8B">
        <w:rPr>
          <w:rFonts w:ascii="Calibri Light" w:hAnsi="Calibri Light" w:cstheme="minorBidi"/>
          <w:i w:val="0"/>
          <w:color w:val="3A7C22" w:themeColor="accent6" w:themeShade="BF"/>
          <w:kern w:val="0"/>
          <w:sz w:val="20"/>
          <w:szCs w:val="20"/>
          <w14:ligatures w14:val="none"/>
        </w:rPr>
        <w:t xml:space="preserve">: </w:t>
      </w:r>
      <w:r w:rsidRPr="007A6E8B">
        <w:rPr>
          <w:rFonts w:ascii="Calibri Light" w:hAnsi="Calibri Light" w:cstheme="minorBidi"/>
          <w:i w:val="0"/>
          <w:color w:val="3A7C22" w:themeColor="accent6" w:themeShade="BF"/>
          <w:kern w:val="0"/>
          <w:sz w:val="20"/>
          <w:szCs w:val="20"/>
          <w14:ligatures w14:val="none"/>
        </w:rPr>
        <w:t>OGTR facility certification application process</w:t>
      </w:r>
      <w:bookmarkEnd w:id="71"/>
    </w:p>
    <w:p w14:paraId="1CC55B86" w14:textId="77777777" w:rsidR="00977548" w:rsidRPr="007A6E8B" w:rsidRDefault="00977548" w:rsidP="00D22452">
      <w:pPr>
        <w:pStyle w:val="Source"/>
        <w:rPr>
          <w:color w:val="3A7C22" w:themeColor="accent6" w:themeShade="BF"/>
        </w:rPr>
      </w:pPr>
      <w:r w:rsidRPr="007A6E8B">
        <w:rPr>
          <w:color w:val="3A7C22" w:themeColor="accent6" w:themeShade="BF"/>
        </w:rPr>
        <w:t>Source: Deloitte Access Economics</w:t>
      </w:r>
    </w:p>
    <w:p w14:paraId="7EE0F7D8" w14:textId="05A76C4A" w:rsidR="00D74448" w:rsidRDefault="00D74448" w:rsidP="00B079B1">
      <w:r w:rsidRPr="004B4019">
        <w:lastRenderedPageBreak/>
        <w:t xml:space="preserve">Certification application fees will recover the efficient costs of assessing certification applications and vary according to the </w:t>
      </w:r>
      <w:r w:rsidR="0043173F">
        <w:t>level</w:t>
      </w:r>
      <w:r w:rsidR="0043173F" w:rsidRPr="004B4019">
        <w:t xml:space="preserve"> </w:t>
      </w:r>
      <w:r w:rsidRPr="004B4019">
        <w:t xml:space="preserve">of the facility being certified. </w:t>
      </w:r>
    </w:p>
    <w:p w14:paraId="20227D6A" w14:textId="77777777" w:rsidR="00002461" w:rsidRDefault="00524BFD" w:rsidP="00325A17">
      <w:pPr>
        <w:pStyle w:val="Heading3"/>
      </w:pPr>
      <w:bookmarkStart w:id="72" w:name="_Toc242195597"/>
      <w:bookmarkStart w:id="73" w:name="_Toc167800555"/>
      <w:bookmarkStart w:id="74" w:name="_Toc168990915"/>
      <w:r w:rsidRPr="004C1AA9">
        <w:t>Outputs of OGTR’s regulatory charging activities</w:t>
      </w:r>
      <w:bookmarkEnd w:id="72"/>
      <w:r>
        <w:t xml:space="preserve"> </w:t>
      </w:r>
      <w:bookmarkEnd w:id="73"/>
      <w:bookmarkEnd w:id="74"/>
    </w:p>
    <w:p w14:paraId="709038FC" w14:textId="57ACED8F" w:rsidR="006013E2" w:rsidRPr="006013E2" w:rsidRDefault="006013E2" w:rsidP="00912435">
      <w:r>
        <w:t xml:space="preserve">Facilities may be certified by the Regulator to specific containment levels under section 84 of the </w:t>
      </w:r>
      <w:r w:rsidRPr="00B532E1">
        <w:t>Act</w:t>
      </w:r>
      <w:r>
        <w:rPr>
          <w:i/>
          <w:iCs/>
        </w:rPr>
        <w:t xml:space="preserve">. </w:t>
      </w:r>
      <w:r>
        <w:t>Physical containment facilities are classified according to the stringency of measures for containing GMOs, and the type of organisms they are intended to contain</w:t>
      </w:r>
      <w:r w:rsidR="00FE1A5B">
        <w:t>.</w:t>
      </w:r>
    </w:p>
    <w:p w14:paraId="30EF9A68" w14:textId="1A2A0640" w:rsidR="00FC3471" w:rsidRPr="00C674BC" w:rsidRDefault="00C674BC" w:rsidP="00C674BC">
      <w:r w:rsidRPr="00C674BC">
        <w:t>For the purposes of estimating fee revenue and application volumes, the OGTR expects to receive approximately 400 lo</w:t>
      </w:r>
      <w:r w:rsidR="0043173F">
        <w:t>w</w:t>
      </w:r>
      <w:r w:rsidRPr="00C674BC">
        <w:t>-</w:t>
      </w:r>
      <w:r w:rsidR="0043173F">
        <w:t>level</w:t>
      </w:r>
      <w:r w:rsidR="0043173F" w:rsidRPr="00C674BC">
        <w:t xml:space="preserve"> </w:t>
      </w:r>
      <w:r w:rsidRPr="00C674BC">
        <w:t xml:space="preserve">certification applications each year. This estimate is based on historical certification activity and assumes that applications previously processed as certification variations </w:t>
      </w:r>
      <w:r w:rsidR="0043173F">
        <w:t xml:space="preserve">to extend the period of the certification </w:t>
      </w:r>
      <w:r w:rsidRPr="00C674BC">
        <w:t>will, where required, be submitted as new certification applications under the Phase 1 charging arrangements. The estimate is intended to provide a reasonable basis for forecasting and will be reviewed as part of future CRIS updat</w:t>
      </w:r>
      <w:r w:rsidR="00B079B1">
        <w:t xml:space="preserve">es. </w:t>
      </w:r>
    </w:p>
    <w:p w14:paraId="66956B9E" w14:textId="77777777" w:rsidR="006A2CB7" w:rsidRPr="00F956F9" w:rsidRDefault="006A2CB7" w:rsidP="006A2CB7">
      <w:pPr>
        <w:pStyle w:val="Heading4"/>
      </w:pPr>
      <w:r>
        <w:t>Certification application review and assessment process</w:t>
      </w:r>
    </w:p>
    <w:p w14:paraId="0D4E7574" w14:textId="1B5B1B6B" w:rsidR="006A2CB7" w:rsidRDefault="006A2CB7" w:rsidP="006A2CB7">
      <w:r>
        <w:t xml:space="preserve">The </w:t>
      </w:r>
      <w:r w:rsidRPr="009E753B">
        <w:rPr>
          <w:rFonts w:cs="Arial"/>
        </w:rPr>
        <w:t>process for the OGTR’s review and assessment of certification applications is captured below</w:t>
      </w:r>
      <w:r w:rsidR="00F92A2E" w:rsidRPr="009E753B">
        <w:rPr>
          <w:rFonts w:cs="Arial"/>
        </w:rPr>
        <w:t xml:space="preserve"> </w:t>
      </w:r>
      <w:r w:rsidR="00F92A2E" w:rsidRPr="00403ED8">
        <w:rPr>
          <w:rFonts w:cs="Arial"/>
        </w:rPr>
        <w:t>(</w:t>
      </w:r>
      <w:r w:rsidR="00F92A2E" w:rsidRPr="00403ED8">
        <w:rPr>
          <w:rFonts w:cs="Arial"/>
        </w:rPr>
        <w:fldChar w:fldCharType="begin"/>
      </w:r>
      <w:r w:rsidR="00F92A2E" w:rsidRPr="00403ED8">
        <w:rPr>
          <w:rFonts w:cs="Arial"/>
        </w:rPr>
        <w:instrText xml:space="preserve"> REF _Ref240573857 \h </w:instrText>
      </w:r>
      <w:r w:rsidR="009E753B" w:rsidRPr="00403ED8">
        <w:rPr>
          <w:rFonts w:cs="Arial"/>
        </w:rPr>
        <w:instrText xml:space="preserve"> \* MERGEFORMAT </w:instrText>
      </w:r>
      <w:r w:rsidR="00F92A2E" w:rsidRPr="00403ED8">
        <w:rPr>
          <w:rFonts w:cs="Arial"/>
        </w:rPr>
      </w:r>
      <w:r w:rsidR="00F92A2E"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8</w:t>
      </w:r>
      <w:r w:rsidR="00F92A2E" w:rsidRPr="00403ED8">
        <w:rPr>
          <w:rFonts w:cs="Arial"/>
        </w:rPr>
        <w:fldChar w:fldCharType="end"/>
      </w:r>
      <w:r w:rsidR="00F92A2E" w:rsidRPr="00403ED8">
        <w:rPr>
          <w:rFonts w:cs="Arial"/>
        </w:rPr>
        <w:t>)</w:t>
      </w:r>
      <w:r w:rsidRPr="00403ED8">
        <w:rPr>
          <w:rFonts w:cs="Arial"/>
        </w:rPr>
        <w:t>.</w:t>
      </w:r>
    </w:p>
    <w:p w14:paraId="15FC8995" w14:textId="11379949" w:rsidR="006A2CB7" w:rsidRPr="0060174F" w:rsidRDefault="006A2CB7" w:rsidP="00263E1E">
      <w:pPr>
        <w:pStyle w:val="Caption"/>
        <w:rPr>
          <w:rFonts w:cstheme="minorBidi"/>
          <w:sz w:val="20"/>
        </w:rPr>
      </w:pPr>
      <w:r w:rsidRPr="007A6E8B">
        <w:rPr>
          <w:rFonts w:ascii="Calibri Light" w:hAnsi="Calibri Light" w:cstheme="minorBidi"/>
          <w:i w:val="0"/>
          <w:color w:val="3A7C22" w:themeColor="accent6" w:themeShade="BF"/>
          <w:kern w:val="0"/>
          <w:sz w:val="20"/>
          <w:szCs w:val="20"/>
          <w14:ligatures w14:val="none"/>
        </w:rPr>
        <w:t xml:space="preserve"> </w:t>
      </w:r>
      <w:bookmarkStart w:id="75" w:name="_Ref240573857"/>
      <w:bookmarkStart w:id="76" w:name="_Ref167194336"/>
      <w:r w:rsidR="00F92A2E" w:rsidRPr="007A6E8B">
        <w:rPr>
          <w:rFonts w:ascii="Calibri Light" w:hAnsi="Calibri Light" w:cstheme="minorBidi"/>
          <w:i w:val="0"/>
          <w:color w:val="3A7C22" w:themeColor="accent6" w:themeShade="BF"/>
          <w:kern w:val="0"/>
          <w:sz w:val="20"/>
          <w:szCs w:val="20"/>
          <w14:ligatures w14:val="none"/>
        </w:rPr>
        <w:t xml:space="preserve">Table </w:t>
      </w:r>
      <w:r w:rsidR="00F92A2E" w:rsidRPr="007A6E8B">
        <w:rPr>
          <w:rFonts w:ascii="Calibri Light" w:hAnsi="Calibri Light" w:cstheme="minorBidi"/>
          <w:i w:val="0"/>
          <w:color w:val="3A7C22" w:themeColor="accent6" w:themeShade="BF"/>
          <w:kern w:val="0"/>
          <w:sz w:val="20"/>
          <w:szCs w:val="20"/>
          <w14:ligatures w14:val="none"/>
        </w:rPr>
        <w:fldChar w:fldCharType="begin"/>
      </w:r>
      <w:r w:rsidR="00F92A2E"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00F92A2E" w:rsidRPr="007A6E8B">
        <w:rPr>
          <w:rFonts w:ascii="Calibri Light" w:hAnsi="Calibri Light" w:cstheme="minorBidi"/>
          <w:i w:val="0"/>
          <w:color w:val="3A7C22" w:themeColor="accent6" w:themeShade="BF"/>
          <w:kern w:val="0"/>
          <w:sz w:val="20"/>
          <w:szCs w:val="20"/>
          <w14:ligatures w14:val="none"/>
        </w:rPr>
        <w:fldChar w:fldCharType="separate"/>
      </w:r>
      <w:r w:rsidR="009E753B" w:rsidRPr="007A6E8B">
        <w:rPr>
          <w:rFonts w:ascii="Calibri Light" w:hAnsi="Calibri Light" w:cstheme="minorBidi"/>
          <w:i w:val="0"/>
          <w:noProof/>
          <w:color w:val="3A7C22" w:themeColor="accent6" w:themeShade="BF"/>
          <w:kern w:val="0"/>
          <w:sz w:val="20"/>
          <w:szCs w:val="20"/>
          <w14:ligatures w14:val="none"/>
        </w:rPr>
        <w:t>8</w:t>
      </w:r>
      <w:r w:rsidR="00F92A2E" w:rsidRPr="007A6E8B">
        <w:rPr>
          <w:rFonts w:ascii="Calibri Light" w:hAnsi="Calibri Light" w:cstheme="minorBidi"/>
          <w:i w:val="0"/>
          <w:color w:val="3A7C22" w:themeColor="accent6" w:themeShade="BF"/>
          <w:kern w:val="0"/>
          <w:sz w:val="20"/>
          <w:szCs w:val="20"/>
          <w14:ligatures w14:val="none"/>
        </w:rPr>
        <w:fldChar w:fldCharType="end"/>
      </w:r>
      <w:bookmarkEnd w:id="75"/>
      <w:r w:rsidR="00F92A2E" w:rsidRPr="007A6E8B">
        <w:rPr>
          <w:rFonts w:ascii="Calibri Light" w:hAnsi="Calibri Light" w:cstheme="minorBidi"/>
          <w:i w:val="0"/>
          <w:color w:val="3A7C22" w:themeColor="accent6" w:themeShade="BF"/>
          <w:kern w:val="0"/>
          <w:sz w:val="20"/>
          <w:szCs w:val="20"/>
          <w14:ligatures w14:val="none"/>
        </w:rPr>
        <w:t xml:space="preserve">: </w:t>
      </w:r>
      <w:r w:rsidRPr="007A6E8B">
        <w:rPr>
          <w:rFonts w:ascii="Calibri Light" w:hAnsi="Calibri Light" w:cstheme="minorBidi"/>
          <w:i w:val="0"/>
          <w:color w:val="3A7C22" w:themeColor="accent6" w:themeShade="BF"/>
          <w:kern w:val="0"/>
          <w:sz w:val="20"/>
          <w:szCs w:val="20"/>
          <w14:ligatures w14:val="none"/>
        </w:rPr>
        <w:t>Process for review and assessment of certification applications</w:t>
      </w:r>
      <w:bookmarkEnd w:id="76"/>
    </w:p>
    <w:tbl>
      <w:tblPr>
        <w:tblStyle w:val="Deloittetable"/>
        <w:tblW w:w="0" w:type="auto"/>
        <w:tblLook w:val="04A0" w:firstRow="1" w:lastRow="0" w:firstColumn="1" w:lastColumn="0" w:noHBand="0" w:noVBand="1"/>
      </w:tblPr>
      <w:tblGrid>
        <w:gridCol w:w="1763"/>
        <w:gridCol w:w="7041"/>
      </w:tblGrid>
      <w:tr w:rsidR="006A2CB7" w14:paraId="68231967" w14:textId="77777777" w:rsidTr="00FD14BC">
        <w:trPr>
          <w:cnfStyle w:val="100000000000" w:firstRow="1" w:lastRow="0" w:firstColumn="0" w:lastColumn="0" w:oddVBand="0" w:evenVBand="0" w:oddHBand="0" w:evenHBand="0" w:firstRowFirstColumn="0" w:firstRowLastColumn="0" w:lastRowFirstColumn="0" w:lastRowLastColumn="0"/>
        </w:trPr>
        <w:tc>
          <w:tcPr>
            <w:tcW w:w="1763" w:type="dxa"/>
          </w:tcPr>
          <w:p w14:paraId="1436D393" w14:textId="77777777" w:rsidR="006A2CB7" w:rsidRPr="001F499D" w:rsidRDefault="006A2CB7" w:rsidP="00FD14BC">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Process step</w:t>
            </w:r>
          </w:p>
        </w:tc>
        <w:tc>
          <w:tcPr>
            <w:tcW w:w="7041" w:type="dxa"/>
          </w:tcPr>
          <w:p w14:paraId="165F7BF5" w14:textId="77777777" w:rsidR="006A2CB7" w:rsidRPr="001F499D" w:rsidRDefault="006A2CB7" w:rsidP="00FD14BC">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Activities</w:t>
            </w:r>
          </w:p>
        </w:tc>
      </w:tr>
      <w:tr w:rsidR="006A2CB7" w14:paraId="327BC1D3" w14:textId="77777777" w:rsidTr="00FD14BC">
        <w:tc>
          <w:tcPr>
            <w:tcW w:w="1763" w:type="dxa"/>
          </w:tcPr>
          <w:p w14:paraId="2592757D" w14:textId="77777777" w:rsidR="006A2CB7" w:rsidRPr="002F4C4A" w:rsidRDefault="006A2CB7" w:rsidP="006A2CB7">
            <w:pPr>
              <w:pStyle w:val="ListParagraph"/>
              <w:numPr>
                <w:ilvl w:val="0"/>
                <w:numId w:val="15"/>
              </w:numPr>
              <w:spacing w:after="170"/>
              <w:rPr>
                <w:sz w:val="16"/>
                <w:szCs w:val="16"/>
              </w:rPr>
            </w:pPr>
            <w:r w:rsidRPr="002F4C4A">
              <w:rPr>
                <w:sz w:val="16"/>
                <w:szCs w:val="16"/>
              </w:rPr>
              <w:t>Completeness review and database entry</w:t>
            </w:r>
          </w:p>
        </w:tc>
        <w:tc>
          <w:tcPr>
            <w:tcW w:w="7041" w:type="dxa"/>
          </w:tcPr>
          <w:p w14:paraId="7EB1F38E" w14:textId="77777777" w:rsidR="006A2CB7" w:rsidRPr="002F4C4A" w:rsidRDefault="006A2CB7" w:rsidP="006A2CB7">
            <w:pPr>
              <w:pStyle w:val="ListParagraph"/>
              <w:numPr>
                <w:ilvl w:val="0"/>
                <w:numId w:val="7"/>
              </w:numPr>
              <w:spacing w:after="170"/>
              <w:rPr>
                <w:sz w:val="16"/>
                <w:szCs w:val="16"/>
              </w:rPr>
            </w:pPr>
            <w:r>
              <w:rPr>
                <w:sz w:val="16"/>
                <w:szCs w:val="16"/>
              </w:rPr>
              <w:t>r</w:t>
            </w:r>
            <w:r w:rsidRPr="002F4C4A">
              <w:rPr>
                <w:sz w:val="16"/>
                <w:szCs w:val="16"/>
              </w:rPr>
              <w:t>eview of application for completeness</w:t>
            </w:r>
          </w:p>
          <w:p w14:paraId="0BD982CE" w14:textId="77777777" w:rsidR="006A2CB7" w:rsidRPr="002F4C4A" w:rsidRDefault="006A2CB7" w:rsidP="006A2CB7">
            <w:pPr>
              <w:pStyle w:val="ListParagraph"/>
              <w:numPr>
                <w:ilvl w:val="0"/>
                <w:numId w:val="7"/>
              </w:numPr>
              <w:spacing w:after="170"/>
              <w:rPr>
                <w:sz w:val="16"/>
                <w:szCs w:val="16"/>
              </w:rPr>
            </w:pPr>
            <w:r>
              <w:rPr>
                <w:sz w:val="16"/>
                <w:szCs w:val="16"/>
              </w:rPr>
              <w:t>e</w:t>
            </w:r>
            <w:r w:rsidRPr="002F4C4A">
              <w:rPr>
                <w:sz w:val="16"/>
                <w:szCs w:val="16"/>
              </w:rPr>
              <w:t>ntry of the information contained in the application into the OGTR’s database</w:t>
            </w:r>
          </w:p>
        </w:tc>
      </w:tr>
      <w:tr w:rsidR="006A2CB7" w14:paraId="1A76442B" w14:textId="77777777" w:rsidTr="00FD14BC">
        <w:tc>
          <w:tcPr>
            <w:tcW w:w="1763" w:type="dxa"/>
          </w:tcPr>
          <w:p w14:paraId="50C77CD7" w14:textId="77777777" w:rsidR="006A2CB7" w:rsidRPr="002F4C4A" w:rsidRDefault="006A2CB7" w:rsidP="006A2CB7">
            <w:pPr>
              <w:pStyle w:val="ListParagraph"/>
              <w:numPr>
                <w:ilvl w:val="0"/>
                <w:numId w:val="15"/>
              </w:numPr>
              <w:spacing w:after="170"/>
              <w:rPr>
                <w:sz w:val="16"/>
                <w:szCs w:val="16"/>
              </w:rPr>
            </w:pPr>
            <w:r w:rsidRPr="002F4C4A">
              <w:rPr>
                <w:sz w:val="16"/>
                <w:szCs w:val="16"/>
              </w:rPr>
              <w:t>Facility inspection (if required)</w:t>
            </w:r>
          </w:p>
        </w:tc>
        <w:tc>
          <w:tcPr>
            <w:tcW w:w="7041" w:type="dxa"/>
          </w:tcPr>
          <w:p w14:paraId="100D1EFF" w14:textId="77777777" w:rsidR="006A2CB7" w:rsidRPr="002F4C4A" w:rsidRDefault="006A2CB7" w:rsidP="006A2CB7">
            <w:pPr>
              <w:pStyle w:val="ListParagraph"/>
              <w:numPr>
                <w:ilvl w:val="0"/>
                <w:numId w:val="8"/>
              </w:numPr>
              <w:spacing w:after="170"/>
              <w:rPr>
                <w:sz w:val="16"/>
                <w:szCs w:val="16"/>
              </w:rPr>
            </w:pPr>
            <w:r>
              <w:rPr>
                <w:sz w:val="16"/>
                <w:szCs w:val="16"/>
              </w:rPr>
              <w:t>p</w:t>
            </w:r>
            <w:r w:rsidRPr="002F4C4A">
              <w:rPr>
                <w:sz w:val="16"/>
                <w:szCs w:val="16"/>
              </w:rPr>
              <w:t>hysical inspection of the facility for compliance with the relevant certification guidelines</w:t>
            </w:r>
          </w:p>
          <w:p w14:paraId="626ADCC6" w14:textId="77777777" w:rsidR="006A2CB7" w:rsidRPr="002F4C4A" w:rsidRDefault="006A2CB7" w:rsidP="006A2CB7">
            <w:pPr>
              <w:pStyle w:val="ListParagraph"/>
              <w:numPr>
                <w:ilvl w:val="0"/>
                <w:numId w:val="8"/>
              </w:numPr>
              <w:spacing w:after="170"/>
              <w:rPr>
                <w:sz w:val="16"/>
                <w:szCs w:val="16"/>
              </w:rPr>
            </w:pPr>
            <w:r>
              <w:rPr>
                <w:sz w:val="16"/>
                <w:szCs w:val="16"/>
              </w:rPr>
              <w:t>p</w:t>
            </w:r>
            <w:r w:rsidRPr="002F4C4A">
              <w:rPr>
                <w:sz w:val="16"/>
                <w:szCs w:val="16"/>
              </w:rPr>
              <w:t>ost-inspection communication with applicant</w:t>
            </w:r>
          </w:p>
          <w:p w14:paraId="38A4845A" w14:textId="77777777" w:rsidR="006A2CB7" w:rsidRPr="002F4C4A" w:rsidRDefault="006A2CB7" w:rsidP="006A2CB7">
            <w:pPr>
              <w:pStyle w:val="ListParagraph"/>
              <w:numPr>
                <w:ilvl w:val="0"/>
                <w:numId w:val="8"/>
              </w:numPr>
              <w:spacing w:after="170"/>
              <w:rPr>
                <w:sz w:val="16"/>
                <w:szCs w:val="16"/>
              </w:rPr>
            </w:pPr>
            <w:r>
              <w:rPr>
                <w:sz w:val="16"/>
                <w:szCs w:val="16"/>
              </w:rPr>
              <w:t>p</w:t>
            </w:r>
            <w:r w:rsidRPr="002F4C4A">
              <w:rPr>
                <w:sz w:val="16"/>
                <w:szCs w:val="16"/>
              </w:rPr>
              <w:t>reparation of post-inspection report</w:t>
            </w:r>
          </w:p>
        </w:tc>
      </w:tr>
      <w:tr w:rsidR="006A2CB7" w14:paraId="074C170B" w14:textId="77777777" w:rsidTr="00FD14BC">
        <w:tc>
          <w:tcPr>
            <w:tcW w:w="1763" w:type="dxa"/>
          </w:tcPr>
          <w:p w14:paraId="4621E66F" w14:textId="77777777" w:rsidR="006A2CB7" w:rsidRPr="002F4C4A" w:rsidRDefault="006A2CB7" w:rsidP="006A2CB7">
            <w:pPr>
              <w:pStyle w:val="ListParagraph"/>
              <w:numPr>
                <w:ilvl w:val="0"/>
                <w:numId w:val="15"/>
              </w:numPr>
              <w:spacing w:after="170"/>
              <w:rPr>
                <w:sz w:val="16"/>
                <w:szCs w:val="16"/>
              </w:rPr>
            </w:pPr>
            <w:r w:rsidRPr="002F4C4A">
              <w:rPr>
                <w:sz w:val="16"/>
                <w:szCs w:val="16"/>
              </w:rPr>
              <w:t>Draft certification</w:t>
            </w:r>
            <w:r>
              <w:rPr>
                <w:sz w:val="16"/>
                <w:szCs w:val="16"/>
              </w:rPr>
              <w:t xml:space="preserve"> instrument</w:t>
            </w:r>
            <w:r w:rsidRPr="002F4C4A">
              <w:rPr>
                <w:sz w:val="16"/>
                <w:szCs w:val="16"/>
              </w:rPr>
              <w:t xml:space="preserve"> prepared</w:t>
            </w:r>
          </w:p>
        </w:tc>
        <w:tc>
          <w:tcPr>
            <w:tcW w:w="7041" w:type="dxa"/>
          </w:tcPr>
          <w:p w14:paraId="1D920EBC" w14:textId="77777777" w:rsidR="006A2CB7" w:rsidRPr="002F4C4A" w:rsidRDefault="006A2CB7" w:rsidP="006A2CB7">
            <w:pPr>
              <w:pStyle w:val="ListParagraph"/>
              <w:numPr>
                <w:ilvl w:val="0"/>
                <w:numId w:val="9"/>
              </w:numPr>
              <w:spacing w:after="170"/>
              <w:rPr>
                <w:sz w:val="16"/>
                <w:szCs w:val="16"/>
              </w:rPr>
            </w:pPr>
            <w:r>
              <w:rPr>
                <w:sz w:val="16"/>
                <w:szCs w:val="16"/>
              </w:rPr>
              <w:t>p</w:t>
            </w:r>
            <w:r w:rsidRPr="002F4C4A">
              <w:rPr>
                <w:sz w:val="16"/>
                <w:szCs w:val="16"/>
              </w:rPr>
              <w:t>reparation of proposed certification</w:t>
            </w:r>
            <w:r>
              <w:rPr>
                <w:sz w:val="16"/>
                <w:szCs w:val="16"/>
              </w:rPr>
              <w:t xml:space="preserve"> instrument</w:t>
            </w:r>
          </w:p>
        </w:tc>
      </w:tr>
      <w:tr w:rsidR="006A2CB7" w14:paraId="6538D27E" w14:textId="77777777" w:rsidTr="00FD14BC">
        <w:tc>
          <w:tcPr>
            <w:tcW w:w="1763" w:type="dxa"/>
          </w:tcPr>
          <w:p w14:paraId="0D1CC52F" w14:textId="77777777" w:rsidR="006A2CB7" w:rsidRPr="002F4C4A" w:rsidRDefault="006A2CB7" w:rsidP="006A2CB7">
            <w:pPr>
              <w:pStyle w:val="ListParagraph"/>
              <w:numPr>
                <w:ilvl w:val="0"/>
                <w:numId w:val="15"/>
              </w:numPr>
              <w:spacing w:after="170"/>
              <w:rPr>
                <w:sz w:val="16"/>
                <w:szCs w:val="16"/>
              </w:rPr>
            </w:pPr>
            <w:r w:rsidRPr="002F4C4A">
              <w:rPr>
                <w:sz w:val="16"/>
                <w:szCs w:val="16"/>
              </w:rPr>
              <w:t>Review and decision</w:t>
            </w:r>
          </w:p>
        </w:tc>
        <w:tc>
          <w:tcPr>
            <w:tcW w:w="7041" w:type="dxa"/>
          </w:tcPr>
          <w:p w14:paraId="23C55ACB" w14:textId="5A5EB60A" w:rsidR="006A2CB7" w:rsidRPr="002F4C4A" w:rsidRDefault="00A71599" w:rsidP="006A2CB7">
            <w:pPr>
              <w:pStyle w:val="ListParagraph"/>
              <w:numPr>
                <w:ilvl w:val="0"/>
                <w:numId w:val="10"/>
              </w:numPr>
              <w:spacing w:after="170"/>
              <w:rPr>
                <w:sz w:val="16"/>
                <w:szCs w:val="16"/>
              </w:rPr>
            </w:pPr>
            <w:r>
              <w:rPr>
                <w:sz w:val="16"/>
                <w:szCs w:val="16"/>
              </w:rPr>
              <w:t>r</w:t>
            </w:r>
            <w:r w:rsidR="006A2CB7" w:rsidRPr="002F4C4A">
              <w:rPr>
                <w:sz w:val="16"/>
                <w:szCs w:val="16"/>
              </w:rPr>
              <w:t xml:space="preserve">eview and </w:t>
            </w:r>
            <w:r>
              <w:rPr>
                <w:sz w:val="16"/>
                <w:szCs w:val="16"/>
              </w:rPr>
              <w:t>d</w:t>
            </w:r>
            <w:r w:rsidR="006A2CB7" w:rsidRPr="002F4C4A">
              <w:rPr>
                <w:sz w:val="16"/>
                <w:szCs w:val="16"/>
              </w:rPr>
              <w:t>ecision. This asks the Regulator to review the post-inspection report (if applicable) and the proposed certification and decide whether to issue the certification.</w:t>
            </w:r>
          </w:p>
        </w:tc>
      </w:tr>
      <w:tr w:rsidR="006A2CB7" w14:paraId="2C335A82" w14:textId="77777777" w:rsidTr="00FD14BC">
        <w:tc>
          <w:tcPr>
            <w:tcW w:w="1763" w:type="dxa"/>
          </w:tcPr>
          <w:p w14:paraId="4FF0272E" w14:textId="77777777" w:rsidR="006A2CB7" w:rsidRPr="002F4C4A" w:rsidRDefault="006A2CB7" w:rsidP="006A2CB7">
            <w:pPr>
              <w:pStyle w:val="ListParagraph"/>
              <w:numPr>
                <w:ilvl w:val="0"/>
                <w:numId w:val="15"/>
              </w:numPr>
              <w:spacing w:after="170"/>
              <w:rPr>
                <w:sz w:val="16"/>
                <w:szCs w:val="16"/>
              </w:rPr>
            </w:pPr>
            <w:r w:rsidRPr="002F4C4A">
              <w:rPr>
                <w:sz w:val="16"/>
                <w:szCs w:val="16"/>
              </w:rPr>
              <w:t>Applicant notification</w:t>
            </w:r>
          </w:p>
        </w:tc>
        <w:tc>
          <w:tcPr>
            <w:tcW w:w="7041" w:type="dxa"/>
          </w:tcPr>
          <w:p w14:paraId="4B1BEFC5" w14:textId="77777777" w:rsidR="006A2CB7" w:rsidRPr="002F4C4A" w:rsidRDefault="006A2CB7" w:rsidP="006A2CB7">
            <w:pPr>
              <w:pStyle w:val="ListParagraph"/>
              <w:numPr>
                <w:ilvl w:val="0"/>
                <w:numId w:val="16"/>
              </w:numPr>
              <w:spacing w:after="170"/>
              <w:rPr>
                <w:sz w:val="16"/>
                <w:szCs w:val="16"/>
              </w:rPr>
            </w:pPr>
            <w:r>
              <w:rPr>
                <w:sz w:val="16"/>
                <w:szCs w:val="16"/>
              </w:rPr>
              <w:t>n</w:t>
            </w:r>
            <w:r w:rsidRPr="002F4C4A">
              <w:rPr>
                <w:sz w:val="16"/>
                <w:szCs w:val="16"/>
              </w:rPr>
              <w:t>otification of application outcome to applicant</w:t>
            </w:r>
          </w:p>
          <w:p w14:paraId="09CA2D2A" w14:textId="77777777" w:rsidR="006A2CB7" w:rsidRPr="002F4C4A" w:rsidRDefault="006A2CB7" w:rsidP="006A2CB7">
            <w:pPr>
              <w:pStyle w:val="ListParagraph"/>
              <w:numPr>
                <w:ilvl w:val="0"/>
                <w:numId w:val="16"/>
              </w:numPr>
              <w:spacing w:after="170"/>
              <w:rPr>
                <w:sz w:val="16"/>
                <w:szCs w:val="16"/>
              </w:rPr>
            </w:pPr>
            <w:r>
              <w:rPr>
                <w:sz w:val="16"/>
                <w:szCs w:val="16"/>
              </w:rPr>
              <w:t>i</w:t>
            </w:r>
            <w:r w:rsidRPr="002F4C4A">
              <w:rPr>
                <w:sz w:val="16"/>
                <w:szCs w:val="16"/>
              </w:rPr>
              <w:t>f successful: provision of certification to applicant via email or post</w:t>
            </w:r>
          </w:p>
        </w:tc>
      </w:tr>
    </w:tbl>
    <w:p w14:paraId="4923F42F" w14:textId="77777777" w:rsidR="006A2CB7" w:rsidRPr="007A6E8B" w:rsidRDefault="006A2CB7" w:rsidP="006A2CB7">
      <w:pPr>
        <w:pStyle w:val="Source"/>
        <w:rPr>
          <w:color w:val="3A7C22" w:themeColor="accent6" w:themeShade="BF"/>
        </w:rPr>
      </w:pPr>
      <w:r w:rsidRPr="007A6E8B">
        <w:rPr>
          <w:color w:val="3A7C22" w:themeColor="accent6" w:themeShade="BF"/>
        </w:rPr>
        <w:t>Source: Office of the Gene Technology Regulator.</w:t>
      </w:r>
    </w:p>
    <w:p w14:paraId="260724B1" w14:textId="321AB17F" w:rsidR="007C5C4C" w:rsidRPr="009D2FE3" w:rsidRDefault="00524BFD" w:rsidP="00325A17">
      <w:pPr>
        <w:pStyle w:val="Heading3"/>
      </w:pPr>
      <w:bookmarkStart w:id="77" w:name="_Toc167800558"/>
      <w:bookmarkStart w:id="78" w:name="_Toc168990918"/>
      <w:bookmarkStart w:id="79" w:name="_Toc242195598"/>
      <w:r>
        <w:t>ABC and Cost Recovery Metho</w:t>
      </w:r>
      <w:r w:rsidR="00BF0D41">
        <w:t>dolo</w:t>
      </w:r>
      <w:r>
        <w:t>gy</w:t>
      </w:r>
      <w:bookmarkEnd w:id="77"/>
      <w:bookmarkEnd w:id="78"/>
      <w:r w:rsidR="00416981">
        <w:t xml:space="preserve"> – Certifications</w:t>
      </w:r>
      <w:bookmarkEnd w:id="79"/>
      <w:r w:rsidR="00416981">
        <w:t xml:space="preserve"> </w:t>
      </w:r>
    </w:p>
    <w:p w14:paraId="7B175052" w14:textId="504236DC" w:rsidR="007C5C4C" w:rsidRPr="0061317B" w:rsidRDefault="007C5C4C" w:rsidP="007C5C4C">
      <w:r w:rsidRPr="0061317B">
        <w:t>As part of the Australian Government's approved phased approach to cost recovery, application fees will also apply to facility certification activities undertaken under the</w:t>
      </w:r>
      <w:r w:rsidR="000148A0">
        <w:t xml:space="preserve"> Act</w:t>
      </w:r>
      <w:r w:rsidRPr="0061317B">
        <w:t xml:space="preserve">. Facility certification is a key regulatory activity that supports the safe conduct of dealings involving GMOs by ensuring facilities meet the physical containment requirements appropriate to the work being undertaken. </w:t>
      </w:r>
    </w:p>
    <w:p w14:paraId="48715891" w14:textId="6BDD5DD5" w:rsidR="007C5C4C" w:rsidRPr="0061317B" w:rsidRDefault="007C5C4C" w:rsidP="007C5C4C">
      <w:r w:rsidRPr="0061317B">
        <w:t xml:space="preserve">Unlike licence applications, certification application fees are not differentiated according to whether the proposed activities are research, pre-commercial or commercial in nature. The Government has approved full cost recovery for certification applications, reflecting the relatively lower cost of assessment and the direct relationship between the certification activity and the applicant seeking approval. </w:t>
      </w:r>
    </w:p>
    <w:p w14:paraId="3F5F9967" w14:textId="015BAEED" w:rsidR="007C5C4C" w:rsidRPr="0061317B" w:rsidRDefault="007C5C4C" w:rsidP="007C5C4C">
      <w:r w:rsidRPr="0061317B">
        <w:lastRenderedPageBreak/>
        <w:t xml:space="preserve">To better align charges with regulatory effort, certification applications will be grouped according to the </w:t>
      </w:r>
      <w:r w:rsidR="0043173F">
        <w:t xml:space="preserve">level </w:t>
      </w:r>
      <w:r w:rsidR="006822E6">
        <w:t>(high and low-level containment)</w:t>
      </w:r>
      <w:r w:rsidR="00C27454">
        <w:t xml:space="preserve"> </w:t>
      </w:r>
      <w:r w:rsidRPr="0061317B">
        <w:t>of the facility being certified</w:t>
      </w:r>
      <w:r w:rsidR="0043173F">
        <w:t xml:space="preserve">. </w:t>
      </w:r>
      <w:r w:rsidRPr="0061317B">
        <w:t>The certification assessment process for hig</w:t>
      </w:r>
      <w:r w:rsidR="009E753B">
        <w:t>h</w:t>
      </w:r>
      <w:r w:rsidR="0043173F">
        <w:t>-level</w:t>
      </w:r>
      <w:r w:rsidRPr="0061317B">
        <w:t xml:space="preserve"> containment facilities generally involves greater regulatory effort, including more detailed technical assessment and inspection activities. As a result, separate fee categories will apply for low</w:t>
      </w:r>
      <w:r w:rsidR="0043173F">
        <w:t>-</w:t>
      </w:r>
      <w:r w:rsidR="008C3C75">
        <w:t>level</w:t>
      </w:r>
      <w:r w:rsidR="006822E6">
        <w:t xml:space="preserve"> </w:t>
      </w:r>
      <w:r w:rsidR="006822E6" w:rsidRPr="0061317B">
        <w:t>and</w:t>
      </w:r>
      <w:r w:rsidRPr="0061317B">
        <w:t xml:space="preserve"> h</w:t>
      </w:r>
      <w:r w:rsidR="008C3C75">
        <w:t>igh</w:t>
      </w:r>
      <w:r w:rsidR="0043173F">
        <w:t>-</w:t>
      </w:r>
      <w:r w:rsidR="008C3C75">
        <w:t>level</w:t>
      </w:r>
      <w:r w:rsidRPr="0061317B">
        <w:t xml:space="preserve"> </w:t>
      </w:r>
      <w:r w:rsidR="008C3C75">
        <w:t xml:space="preserve">containment </w:t>
      </w:r>
      <w:r w:rsidRPr="0061317B">
        <w:t xml:space="preserve">certification applications. </w:t>
      </w:r>
    </w:p>
    <w:p w14:paraId="518CDF61" w14:textId="77777777" w:rsidR="007C5C4C" w:rsidRPr="0061317B" w:rsidRDefault="007C5C4C" w:rsidP="007C5C4C">
      <w:r w:rsidRPr="0061317B">
        <w:t>For Phase 1 of cost recovery:</w:t>
      </w:r>
    </w:p>
    <w:p w14:paraId="246279B6" w14:textId="35527D3C" w:rsidR="007C5C4C" w:rsidRPr="0061317B" w:rsidRDefault="004F2F76" w:rsidP="007C5C4C">
      <w:pPr>
        <w:numPr>
          <w:ilvl w:val="0"/>
          <w:numId w:val="17"/>
        </w:numPr>
      </w:pPr>
      <w:r w:rsidRPr="0061317B">
        <w:t>L</w:t>
      </w:r>
      <w:r w:rsidR="007C5C4C" w:rsidRPr="0061317B">
        <w:t>ow</w:t>
      </w:r>
      <w:r>
        <w:t xml:space="preserve"> level containment</w:t>
      </w:r>
      <w:r w:rsidR="007C5C4C" w:rsidRPr="0061317B">
        <w:t xml:space="preserve"> certification applications (generally PC1 and standard PC2 facilities) will be charged at 100 per cent of the recoverable assessment cost</w:t>
      </w:r>
    </w:p>
    <w:p w14:paraId="70E3FD0D" w14:textId="359B9AF1" w:rsidR="007C5C4C" w:rsidRDefault="004F2F76" w:rsidP="007C5C4C">
      <w:pPr>
        <w:numPr>
          <w:ilvl w:val="0"/>
          <w:numId w:val="17"/>
        </w:numPr>
      </w:pPr>
      <w:r w:rsidRPr="0061317B">
        <w:t>H</w:t>
      </w:r>
      <w:r w:rsidR="007C5C4C" w:rsidRPr="0061317B">
        <w:t>igh</w:t>
      </w:r>
      <w:r>
        <w:t xml:space="preserve"> level containment</w:t>
      </w:r>
      <w:r w:rsidR="007C5C4C" w:rsidRPr="0061317B">
        <w:t xml:space="preserve"> certification applications (including large-scale PC2 facilities and PC3 and PC4 facilities) will be charged at 100 per cent of the recoverable assessment cost. </w:t>
      </w:r>
    </w:p>
    <w:p w14:paraId="756FD5EE" w14:textId="77777777" w:rsidR="007C5C4C" w:rsidRDefault="007C5C4C" w:rsidP="007C5C4C">
      <w:pPr>
        <w:pStyle w:val="Heading4"/>
      </w:pPr>
      <w:r>
        <w:t>High-level certifications</w:t>
      </w:r>
    </w:p>
    <w:p w14:paraId="5E6EEF30" w14:textId="77777777" w:rsidR="007C5C4C" w:rsidRDefault="007C5C4C" w:rsidP="007C5C4C">
      <w:r>
        <w:t>The OGTR defines ‘high-level certification’ applications as large-scale PC2 applications, and all PC3 and PC4 applications.</w:t>
      </w:r>
    </w:p>
    <w:p w14:paraId="60DAFBA6" w14:textId="1F0206ED" w:rsidR="007C5C4C" w:rsidRDefault="007C5C4C" w:rsidP="007C5C4C">
      <w:r w:rsidRPr="005864CC">
        <w:t>For the purposes of cost recovery under Phase 1, high-</w:t>
      </w:r>
      <w:r w:rsidR="00AE2CA7">
        <w:t>level containment</w:t>
      </w:r>
      <w:r w:rsidR="0043173F">
        <w:t xml:space="preserve"> </w:t>
      </w:r>
      <w:r w:rsidRPr="005864CC">
        <w:t xml:space="preserve">certification applications </w:t>
      </w:r>
      <w:r w:rsidR="00395EE4">
        <w:t xml:space="preserve">will </w:t>
      </w:r>
      <w:r w:rsidRPr="005864CC">
        <w:t>include large-scale PC2 facilities and all PC3 and PC4 facilities.</w:t>
      </w:r>
    </w:p>
    <w:p w14:paraId="77DE9FC9" w14:textId="1DC54880" w:rsidR="00C674BC" w:rsidRPr="00C674BC" w:rsidRDefault="00047B2F" w:rsidP="00C674BC">
      <w:r>
        <w:t xml:space="preserve">ABC data for </w:t>
      </w:r>
      <w:r w:rsidR="00C674BC" w:rsidRPr="00C674BC">
        <w:t xml:space="preserve">a sample of </w:t>
      </w:r>
      <w:r w:rsidR="00067B19">
        <w:t>44</w:t>
      </w:r>
      <w:r w:rsidR="00C674BC" w:rsidRPr="00C674BC">
        <w:t xml:space="preserve"> hig</w:t>
      </w:r>
      <w:r w:rsidR="00A05BA1">
        <w:t>h</w:t>
      </w:r>
      <w:r w:rsidR="00C674BC" w:rsidRPr="00C674BC">
        <w:t>-</w:t>
      </w:r>
      <w:r w:rsidR="00AE2CA7">
        <w:t>level containment</w:t>
      </w:r>
      <w:r w:rsidR="0043173F">
        <w:t xml:space="preserve"> </w:t>
      </w:r>
      <w:r w:rsidR="00C674BC" w:rsidRPr="00C674BC">
        <w:t xml:space="preserve">certification </w:t>
      </w:r>
      <w:r w:rsidR="0043173F">
        <w:t xml:space="preserve">applications </w:t>
      </w:r>
      <w:r w:rsidR="00C674BC" w:rsidRPr="00C674BC">
        <w:t xml:space="preserve">between July 2022 and </w:t>
      </w:r>
      <w:r w:rsidR="0056716C">
        <w:t>June</w:t>
      </w:r>
      <w:r>
        <w:t xml:space="preserve"> 2026</w:t>
      </w:r>
      <w:r w:rsidR="00A66CCE">
        <w:t xml:space="preserve"> w</w:t>
      </w:r>
      <w:r w:rsidR="009541A2">
        <w:t>as reviewed</w:t>
      </w:r>
      <w:r w:rsidR="00C674BC" w:rsidRPr="00C674BC">
        <w:t>. The analysis was used to determine the efficient regulatory effort associated with assessing high</w:t>
      </w:r>
      <w:r w:rsidR="0043173F">
        <w:t>-level containment</w:t>
      </w:r>
      <w:r w:rsidR="00C674BC" w:rsidRPr="00C674BC">
        <w:t>- facilities. The average cost of a high-</w:t>
      </w:r>
      <w:r w:rsidR="0043173F">
        <w:t xml:space="preserve">level containment </w:t>
      </w:r>
      <w:r w:rsidR="00C674BC" w:rsidRPr="00C674BC">
        <w:t>certification assessment was $</w:t>
      </w:r>
      <w:r w:rsidR="002E5488">
        <w:t>5,378</w:t>
      </w:r>
      <w:r w:rsidR="007142DE">
        <w:t>.</w:t>
      </w:r>
    </w:p>
    <w:p w14:paraId="1AC4E252" w14:textId="18D58A92" w:rsidR="00C674BC" w:rsidRPr="00DA5635" w:rsidRDefault="006013E2" w:rsidP="007C5C4C">
      <w:r>
        <w:t xml:space="preserve">While the OGTR does not have the statutory authority to recover costs associated with variations to existing certifications, the data on variations was </w:t>
      </w:r>
      <w:r w:rsidR="001076D6">
        <w:t xml:space="preserve">recorded and reported </w:t>
      </w:r>
      <w:r>
        <w:t xml:space="preserve">as the process associated with a variation to extend a certification is very similar to the process for a new certification application. </w:t>
      </w:r>
    </w:p>
    <w:p w14:paraId="0D92A2C3" w14:textId="054A9A54" w:rsidR="007C5C4C" w:rsidRDefault="007C5C4C" w:rsidP="007C5C4C">
      <w:r>
        <w:t xml:space="preserve">The primary cost drivers of the high-level </w:t>
      </w:r>
      <w:r w:rsidR="0043173F">
        <w:t xml:space="preserve">containment </w:t>
      </w:r>
      <w:r>
        <w:t>certification average total cost are the physical inspection of the containment facility (step t</w:t>
      </w:r>
      <w:r w:rsidR="00F93AFB">
        <w:t>hree</w:t>
      </w:r>
      <w:r>
        <w:t xml:space="preserve"> representing </w:t>
      </w:r>
      <w:r w:rsidR="00A05BA1">
        <w:t>48</w:t>
      </w:r>
      <w:r>
        <w:t xml:space="preserve"> per cent of the total cost), and the post-inspection report and drafting of the certification </w:t>
      </w:r>
      <w:r w:rsidR="001C5276">
        <w:t xml:space="preserve">instrument </w:t>
      </w:r>
      <w:r>
        <w:t xml:space="preserve">(step </w:t>
      </w:r>
      <w:r w:rsidR="00F93AFB">
        <w:t>four</w:t>
      </w:r>
      <w:r>
        <w:t xml:space="preserve">, representing </w:t>
      </w:r>
      <w:r w:rsidR="00A05BA1">
        <w:t>42</w:t>
      </w:r>
      <w:r>
        <w:t xml:space="preserve"> per cent of the total cost)</w:t>
      </w:r>
      <w:r w:rsidR="00834D5F">
        <w:t xml:space="preserve"> (</w:t>
      </w:r>
      <w:r w:rsidR="005469FA" w:rsidRPr="00403ED8">
        <w:t>Appendix B</w:t>
      </w:r>
      <w:r w:rsidR="0043173F" w:rsidRPr="00403ED8">
        <w:t xml:space="preserve"> </w:t>
      </w:r>
      <w:r w:rsidR="0043173F" w:rsidRPr="00403ED8">
        <w:fldChar w:fldCharType="begin"/>
      </w:r>
      <w:r w:rsidR="0043173F" w:rsidRPr="00403ED8">
        <w:instrText xml:space="preserve"> REF _Ref241826262 \h </w:instrText>
      </w:r>
      <w:r w:rsidR="00B075CE" w:rsidRPr="00403ED8">
        <w:instrText xml:space="preserve"> \* MERGEFORMAT </w:instrText>
      </w:r>
      <w:r w:rsidR="0043173F" w:rsidRPr="00403ED8">
        <w:fldChar w:fldCharType="separate"/>
      </w:r>
      <w:r w:rsidR="0043173F" w:rsidRPr="00403ED8">
        <w:t>Table 11</w:t>
      </w:r>
      <w:r w:rsidR="0043173F" w:rsidRPr="00403ED8">
        <w:fldChar w:fldCharType="end"/>
      </w:r>
      <w:r w:rsidR="00834D5F" w:rsidRPr="00403ED8">
        <w:t>)</w:t>
      </w:r>
      <w:r w:rsidRPr="00403ED8">
        <w:t>.</w:t>
      </w:r>
    </w:p>
    <w:p w14:paraId="1DB1487C" w14:textId="77777777" w:rsidR="007C5C4C" w:rsidRDefault="007C5C4C" w:rsidP="007C5C4C">
      <w:pPr>
        <w:pStyle w:val="Heading4"/>
      </w:pPr>
      <w:r>
        <w:t>Low-level certifications</w:t>
      </w:r>
    </w:p>
    <w:p w14:paraId="353674B8" w14:textId="77777777" w:rsidR="007C5C4C" w:rsidRDefault="007C5C4C" w:rsidP="007C5C4C">
      <w:r>
        <w:t>The OGTR defines ‘low-level certification’ applications as all PC2 applications except for large scale, and all PC1 applications.</w:t>
      </w:r>
    </w:p>
    <w:p w14:paraId="05288F1D" w14:textId="1674CD38" w:rsidR="007C5C4C" w:rsidRPr="004C6DE4" w:rsidRDefault="007C5C4C" w:rsidP="007C5C4C">
      <w:r w:rsidRPr="004C6DE4">
        <w:t>For the purposes of cost recovery under Phase 1, low</w:t>
      </w:r>
      <w:r w:rsidR="00D40B56">
        <w:t>-level containment</w:t>
      </w:r>
      <w:r w:rsidRPr="004C6DE4">
        <w:t>- certification applications include all PC1 facilities and standard PC2 facilities.</w:t>
      </w:r>
    </w:p>
    <w:p w14:paraId="2749A993" w14:textId="07BD5CB5" w:rsidR="007C5C4C" w:rsidRDefault="00A548DF" w:rsidP="007C5C4C">
      <w:r>
        <w:t xml:space="preserve">ABC data for </w:t>
      </w:r>
      <w:r w:rsidR="007C5C4C">
        <w:t xml:space="preserve">a sample of </w:t>
      </w:r>
      <w:r>
        <w:t>68</w:t>
      </w:r>
      <w:r w:rsidR="007C5C4C">
        <w:t xml:space="preserve"> low-level </w:t>
      </w:r>
      <w:r w:rsidR="00D40B56">
        <w:t xml:space="preserve">containment </w:t>
      </w:r>
      <w:r w:rsidR="007C5C4C">
        <w:t>certification applications</w:t>
      </w:r>
      <w:r w:rsidR="003455EB">
        <w:t xml:space="preserve"> </w:t>
      </w:r>
      <w:r w:rsidR="007C5C4C">
        <w:t xml:space="preserve">between August 2022 and </w:t>
      </w:r>
      <w:r w:rsidR="00097A3A">
        <w:t>September</w:t>
      </w:r>
      <w:r w:rsidR="00830990">
        <w:t xml:space="preserve"> 202</w:t>
      </w:r>
      <w:r w:rsidR="00097A3A">
        <w:t>4</w:t>
      </w:r>
      <w:r w:rsidR="003455EB">
        <w:t xml:space="preserve"> </w:t>
      </w:r>
      <w:r w:rsidR="00B24483">
        <w:t>was</w:t>
      </w:r>
      <w:r w:rsidR="003455EB">
        <w:t xml:space="preserve"> </w:t>
      </w:r>
      <w:r w:rsidR="00B24483">
        <w:t>reviewed</w:t>
      </w:r>
      <w:r w:rsidR="007C5C4C">
        <w:t xml:space="preserve">. The total average cost of the sample of low-level </w:t>
      </w:r>
      <w:r w:rsidR="00D40B56">
        <w:t xml:space="preserve">containment </w:t>
      </w:r>
      <w:r w:rsidR="007C5C4C">
        <w:t>certification applications was $</w:t>
      </w:r>
      <w:r w:rsidR="00B24483">
        <w:t>116</w:t>
      </w:r>
      <w:r w:rsidR="00834D5F">
        <w:t xml:space="preserve"> (</w:t>
      </w:r>
      <w:r w:rsidR="00B32107" w:rsidRPr="00403ED8">
        <w:t>Appendix B</w:t>
      </w:r>
      <w:r w:rsidR="0043173F" w:rsidRPr="00403ED8">
        <w:t xml:space="preserve"> </w:t>
      </w:r>
      <w:r w:rsidR="0043173F" w:rsidRPr="00403ED8">
        <w:fldChar w:fldCharType="begin"/>
      </w:r>
      <w:r w:rsidR="0043173F" w:rsidRPr="00403ED8">
        <w:instrText xml:space="preserve"> REF _Ref241826248 \h </w:instrText>
      </w:r>
      <w:r w:rsidR="00B075CE" w:rsidRPr="00403ED8">
        <w:instrText xml:space="preserve"> \* MERGEFORMAT </w:instrText>
      </w:r>
      <w:r w:rsidR="0043173F" w:rsidRPr="00403ED8">
        <w:fldChar w:fldCharType="separate"/>
      </w:r>
      <w:r w:rsidR="0043173F" w:rsidRPr="00403ED8">
        <w:t>Table 12</w:t>
      </w:r>
      <w:r w:rsidR="0043173F" w:rsidRPr="00403ED8">
        <w:fldChar w:fldCharType="end"/>
      </w:r>
      <w:r w:rsidR="00834D5F" w:rsidRPr="00403ED8">
        <w:t>)</w:t>
      </w:r>
      <w:r w:rsidR="007C5C4C" w:rsidRPr="00403ED8">
        <w:t xml:space="preserve">. </w:t>
      </w:r>
      <w:r w:rsidR="007C5C4C">
        <w:t xml:space="preserve">This reinforces the OGTR’s advice that the process for assessing and reviewing low-level </w:t>
      </w:r>
      <w:r w:rsidR="002263A1">
        <w:t xml:space="preserve">containment </w:t>
      </w:r>
      <w:r w:rsidR="007C5C4C">
        <w:t xml:space="preserve">certifications is short and simple, so the variability in process steps for low-level </w:t>
      </w:r>
      <w:r w:rsidR="00D40B56">
        <w:t xml:space="preserve">containment </w:t>
      </w:r>
      <w:r w:rsidR="007C5C4C">
        <w:t xml:space="preserve">certifications do not suggest significant variability in total effort. </w:t>
      </w:r>
    </w:p>
    <w:p w14:paraId="517EF0B0" w14:textId="647F8F3C" w:rsidR="006509FD" w:rsidRPr="001279F9" w:rsidRDefault="007C5C4C" w:rsidP="00097A3A">
      <w:pPr>
        <w:pStyle w:val="Heading3"/>
      </w:pPr>
      <w:r w:rsidRPr="0060174F">
        <w:rPr>
          <w:rFonts w:ascii="Calibri Light" w:hAnsi="Calibri Light" w:cstheme="minorBidi"/>
          <w:color w:val="4EA72E" w:themeColor="accent6"/>
          <w:kern w:val="0"/>
          <w:sz w:val="20"/>
          <w:szCs w:val="20"/>
          <w14:ligatures w14:val="none"/>
        </w:rPr>
        <w:t xml:space="preserve"> </w:t>
      </w:r>
      <w:bookmarkStart w:id="80" w:name="_Toc242195599"/>
      <w:r w:rsidR="00524BFD" w:rsidRPr="001279F9">
        <w:t xml:space="preserve">Design of Cost </w:t>
      </w:r>
      <w:r w:rsidR="009D6232">
        <w:t>R</w:t>
      </w:r>
      <w:r w:rsidR="00524BFD" w:rsidRPr="001279F9">
        <w:t xml:space="preserve">ecovery - </w:t>
      </w:r>
      <w:r w:rsidR="006509FD" w:rsidRPr="00751F53">
        <w:t xml:space="preserve">Certification </w:t>
      </w:r>
      <w:r w:rsidR="009D6232">
        <w:t>A</w:t>
      </w:r>
      <w:r w:rsidR="006509FD" w:rsidRPr="00751F53">
        <w:t xml:space="preserve">pplication </w:t>
      </w:r>
      <w:r w:rsidR="009D6232">
        <w:t>F</w:t>
      </w:r>
      <w:r w:rsidR="006509FD" w:rsidRPr="00751F53">
        <w:t>ees</w:t>
      </w:r>
      <w:bookmarkEnd w:id="80"/>
    </w:p>
    <w:p w14:paraId="0DE4656F" w14:textId="0FAFC9F7" w:rsidR="006509FD" w:rsidRDefault="006509FD" w:rsidP="006509FD">
      <w:r>
        <w:t xml:space="preserve">As the total cost associated with each high-level </w:t>
      </w:r>
      <w:r w:rsidR="00D40B56">
        <w:t xml:space="preserve">containment </w:t>
      </w:r>
      <w:r>
        <w:t>certification application is relatively low, the costs of each process step were averaged to provide a single fee level</w:t>
      </w:r>
      <w:r w:rsidR="00CB5E55">
        <w:t xml:space="preserve"> (</w:t>
      </w:r>
      <w:r w:rsidR="00CB5E55" w:rsidRPr="00403ED8">
        <w:fldChar w:fldCharType="begin"/>
      </w:r>
      <w:r w:rsidR="00CB5E55" w:rsidRPr="00403ED8">
        <w:instrText xml:space="preserve"> REF _Ref240574059 \h </w:instrText>
      </w:r>
      <w:r w:rsidR="00CB5E55" w:rsidRPr="00403ED8">
        <w:fldChar w:fldCharType="separate"/>
      </w:r>
      <w:r w:rsidR="00CB5E55" w:rsidRPr="00403ED8">
        <w:t xml:space="preserve">Figure </w:t>
      </w:r>
      <w:r w:rsidR="00CB5E55" w:rsidRPr="00403ED8">
        <w:rPr>
          <w:noProof/>
        </w:rPr>
        <w:t>6</w:t>
      </w:r>
      <w:r w:rsidR="00CB5E55" w:rsidRPr="00403ED8">
        <w:fldChar w:fldCharType="end"/>
      </w:r>
      <w:r w:rsidR="00CB5E55" w:rsidRPr="00403ED8">
        <w:t xml:space="preserve"> and </w:t>
      </w:r>
      <w:r w:rsidR="00CB5E55" w:rsidRPr="00403ED8">
        <w:fldChar w:fldCharType="begin"/>
      </w:r>
      <w:r w:rsidR="00CB5E55" w:rsidRPr="00403ED8">
        <w:instrText xml:space="preserve"> REF _Ref240574118 \h </w:instrText>
      </w:r>
      <w:r w:rsidR="00A958CC" w:rsidRPr="00403ED8">
        <w:instrText xml:space="preserve"> \* MERGEFORMAT </w:instrText>
      </w:r>
      <w:r w:rsidR="00CB5E55" w:rsidRPr="00403ED8">
        <w:fldChar w:fldCharType="separate"/>
      </w:r>
      <w:r w:rsidR="009E753B" w:rsidRPr="00403ED8">
        <w:t>Table 9</w:t>
      </w:r>
      <w:r w:rsidR="00CB5E55" w:rsidRPr="00403ED8">
        <w:fldChar w:fldCharType="end"/>
      </w:r>
      <w:r w:rsidR="00CB5E55" w:rsidRPr="00403ED8">
        <w:t>)</w:t>
      </w:r>
      <w:r w:rsidRPr="00403ED8">
        <w:t xml:space="preserve">. </w:t>
      </w:r>
      <w:r>
        <w:t>The costs of each process step for low</w:t>
      </w:r>
      <w:r w:rsidR="00D40B56">
        <w:t>-</w:t>
      </w:r>
      <w:r>
        <w:t xml:space="preserve">level </w:t>
      </w:r>
      <w:r w:rsidR="00D40B56">
        <w:t xml:space="preserve">containment </w:t>
      </w:r>
      <w:r>
        <w:t>certification applications were also averaged to provide a single fee level.</w:t>
      </w:r>
    </w:p>
    <w:p w14:paraId="487616ED" w14:textId="77777777" w:rsidR="00B075CE" w:rsidRDefault="00B075CE" w:rsidP="005D5CCD">
      <w:pPr>
        <w:pStyle w:val="Caption"/>
        <w:rPr>
          <w:rFonts w:ascii="Calibri Light" w:hAnsi="Calibri Light" w:cstheme="minorBidi"/>
          <w:i w:val="0"/>
          <w:color w:val="3A7C22" w:themeColor="accent6" w:themeShade="BF"/>
          <w:kern w:val="0"/>
          <w:sz w:val="20"/>
          <w:szCs w:val="20"/>
          <w14:ligatures w14:val="none"/>
        </w:rPr>
      </w:pPr>
      <w:bookmarkStart w:id="81" w:name="_Ref240574059"/>
    </w:p>
    <w:p w14:paraId="1F739660" w14:textId="77777777" w:rsidR="00D76F98" w:rsidRDefault="00D76F98" w:rsidP="00D76F98"/>
    <w:p w14:paraId="6B01AEE0" w14:textId="77777777" w:rsidR="00D76F98" w:rsidRPr="00D76F98" w:rsidRDefault="00D76F98" w:rsidP="00D76F98"/>
    <w:p w14:paraId="081B468F" w14:textId="32538084" w:rsidR="001D51F0" w:rsidRPr="007A6E8B" w:rsidRDefault="005D5CCD" w:rsidP="005D5CCD">
      <w:pPr>
        <w:pStyle w:val="Caption"/>
        <w:rPr>
          <w:rFonts w:ascii="Calibri Light" w:hAnsi="Calibri Light" w:cstheme="minorBidi"/>
          <w:i w:val="0"/>
          <w:color w:val="3A7C22" w:themeColor="accent6" w:themeShade="BF"/>
          <w:kern w:val="0"/>
          <w:sz w:val="20"/>
          <w:szCs w:val="20"/>
          <w14:ligatures w14:val="none"/>
        </w:rPr>
      </w:pPr>
      <w:r w:rsidRPr="007A6E8B">
        <w:rPr>
          <w:rFonts w:ascii="Calibri Light" w:hAnsi="Calibri Light" w:cstheme="minorBidi"/>
          <w:i w:val="0"/>
          <w:color w:val="3A7C22" w:themeColor="accent6" w:themeShade="BF"/>
          <w:kern w:val="0"/>
          <w:sz w:val="20"/>
          <w:szCs w:val="20"/>
          <w14:ligatures w14:val="none"/>
        </w:rPr>
        <w:lastRenderedPageBreak/>
        <w:t xml:space="preserve">Figure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Figure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Pr="007A6E8B">
        <w:rPr>
          <w:rFonts w:ascii="Calibri Light" w:hAnsi="Calibri Light" w:cstheme="minorBidi"/>
          <w:i w:val="0"/>
          <w:color w:val="3A7C22" w:themeColor="accent6" w:themeShade="BF"/>
          <w:kern w:val="0"/>
          <w:sz w:val="20"/>
          <w:szCs w:val="20"/>
          <w14:ligatures w14:val="none"/>
        </w:rPr>
        <w:t>6</w:t>
      </w:r>
      <w:r w:rsidRPr="007A6E8B">
        <w:rPr>
          <w:rFonts w:ascii="Calibri Light" w:hAnsi="Calibri Light" w:cstheme="minorBidi"/>
          <w:i w:val="0"/>
          <w:color w:val="3A7C22" w:themeColor="accent6" w:themeShade="BF"/>
          <w:kern w:val="0"/>
          <w:sz w:val="20"/>
          <w:szCs w:val="20"/>
          <w14:ligatures w14:val="none"/>
        </w:rPr>
        <w:fldChar w:fldCharType="end"/>
      </w:r>
      <w:bookmarkEnd w:id="81"/>
      <w:r w:rsidRPr="007A6E8B">
        <w:rPr>
          <w:rFonts w:ascii="Calibri Light" w:hAnsi="Calibri Light" w:cstheme="minorBidi"/>
          <w:i w:val="0"/>
          <w:color w:val="3A7C22" w:themeColor="accent6" w:themeShade="BF"/>
          <w:kern w:val="0"/>
          <w:sz w:val="20"/>
          <w:szCs w:val="20"/>
          <w14:ligatures w14:val="none"/>
        </w:rPr>
        <w:t xml:space="preserve">: </w:t>
      </w:r>
      <w:r w:rsidR="001D51F0" w:rsidRPr="007A6E8B">
        <w:rPr>
          <w:rFonts w:ascii="Calibri Light" w:hAnsi="Calibri Light" w:cstheme="minorBidi"/>
          <w:i w:val="0"/>
          <w:color w:val="3A7C22" w:themeColor="accent6" w:themeShade="BF"/>
          <w:kern w:val="0"/>
          <w:sz w:val="20"/>
          <w:szCs w:val="20"/>
          <w14:ligatures w14:val="none"/>
        </w:rPr>
        <w:t>Fee calculation for certifications</w:t>
      </w:r>
    </w:p>
    <w:p w14:paraId="5A4E5ADA" w14:textId="56876EAC" w:rsidR="00DB3808" w:rsidRPr="006C1D0B" w:rsidRDefault="00023D3D" w:rsidP="006C1D0B">
      <w:pPr>
        <w:rPr>
          <w:i/>
        </w:rPr>
      </w:pPr>
      <w:r w:rsidRPr="00023D3D">
        <w:rPr>
          <w:i/>
          <w:noProof/>
        </w:rPr>
        <w:drawing>
          <wp:inline distT="0" distB="0" distL="0" distR="0" wp14:anchorId="5953C8D1" wp14:editId="7FC8DB3D">
            <wp:extent cx="5731510" cy="3074035"/>
            <wp:effectExtent l="0" t="0" r="2540" b="0"/>
            <wp:docPr id="1495755787" name="Picture 1" descr="Break down of main tasks in the certification process  that result in the total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55787" name="Picture 1" descr="Break down of main tasks in the certification process  that result in the total fee"/>
                    <pic:cNvPicPr/>
                  </pic:nvPicPr>
                  <pic:blipFill>
                    <a:blip r:embed="rId30"/>
                    <a:stretch>
                      <a:fillRect/>
                    </a:stretch>
                  </pic:blipFill>
                  <pic:spPr>
                    <a:xfrm>
                      <a:off x="0" y="0"/>
                      <a:ext cx="5731510" cy="3074035"/>
                    </a:xfrm>
                    <a:prstGeom prst="rect">
                      <a:avLst/>
                    </a:prstGeom>
                  </pic:spPr>
                </pic:pic>
              </a:graphicData>
            </a:graphic>
          </wp:inline>
        </w:drawing>
      </w:r>
    </w:p>
    <w:p w14:paraId="7C9D0EDF" w14:textId="4134005D" w:rsidR="001D51F0" w:rsidRPr="007A6E8B" w:rsidRDefault="001D51F0" w:rsidP="00263E1E">
      <w:pPr>
        <w:pStyle w:val="Caption"/>
        <w:rPr>
          <w:rFonts w:ascii="Calibri Light" w:hAnsi="Calibri Light" w:cstheme="minorBidi"/>
          <w:color w:val="3A7C22" w:themeColor="accent6" w:themeShade="BF"/>
          <w:kern w:val="0"/>
          <w:szCs w:val="20"/>
          <w14:ligatures w14:val="none"/>
        </w:rPr>
      </w:pPr>
      <w:bookmarkStart w:id="82" w:name="_Ref240574118"/>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9</w:t>
      </w:r>
      <w:r w:rsidRPr="007A6E8B">
        <w:rPr>
          <w:rFonts w:ascii="Calibri Light" w:hAnsi="Calibri Light" w:cstheme="minorBidi"/>
          <w:i w:val="0"/>
          <w:color w:val="3A7C22" w:themeColor="accent6" w:themeShade="BF"/>
          <w:kern w:val="0"/>
          <w:sz w:val="20"/>
          <w:szCs w:val="20"/>
          <w14:ligatures w14:val="none"/>
        </w:rPr>
        <w:fldChar w:fldCharType="end"/>
      </w:r>
      <w:bookmarkEnd w:id="82"/>
      <w:r w:rsidRPr="007A6E8B">
        <w:rPr>
          <w:rFonts w:ascii="Calibri Light" w:hAnsi="Calibri Light" w:cstheme="minorBidi"/>
          <w:i w:val="0"/>
          <w:color w:val="3A7C22" w:themeColor="accent6" w:themeShade="BF"/>
          <w:kern w:val="0"/>
          <w:sz w:val="20"/>
          <w:szCs w:val="20"/>
          <w14:ligatures w14:val="none"/>
        </w:rPr>
        <w:t xml:space="preserve">: </w:t>
      </w:r>
      <w:r w:rsidR="00CB5E55" w:rsidRPr="007A6E8B">
        <w:rPr>
          <w:rFonts w:ascii="Calibri Light" w:hAnsi="Calibri Light" w:cstheme="minorBidi"/>
          <w:i w:val="0"/>
          <w:color w:val="3A7C22" w:themeColor="accent6" w:themeShade="BF"/>
          <w:kern w:val="0"/>
          <w:sz w:val="20"/>
          <w:szCs w:val="20"/>
          <w14:ligatures w14:val="none"/>
        </w:rPr>
        <w:t xml:space="preserve"> </w:t>
      </w:r>
      <w:r w:rsidR="0052363F" w:rsidRPr="007A6E8B">
        <w:rPr>
          <w:rFonts w:ascii="Calibri Light" w:hAnsi="Calibri Light" w:cstheme="minorBidi"/>
          <w:i w:val="0"/>
          <w:color w:val="3A7C22" w:themeColor="accent6" w:themeShade="BF"/>
          <w:kern w:val="0"/>
          <w:sz w:val="20"/>
          <w:szCs w:val="20"/>
          <w14:ligatures w14:val="none"/>
        </w:rPr>
        <w:t>C</w:t>
      </w:r>
      <w:r w:rsidR="00CB5E55" w:rsidRPr="007A6E8B">
        <w:rPr>
          <w:rFonts w:ascii="Calibri Light" w:hAnsi="Calibri Light" w:cstheme="minorBidi"/>
          <w:i w:val="0"/>
          <w:color w:val="3A7C22" w:themeColor="accent6" w:themeShade="BF"/>
          <w:kern w:val="0"/>
          <w:sz w:val="20"/>
          <w:szCs w:val="20"/>
          <w14:ligatures w14:val="none"/>
        </w:rPr>
        <w:t>ost</w:t>
      </w:r>
      <w:r w:rsidR="0052363F" w:rsidRPr="007A6E8B">
        <w:rPr>
          <w:rFonts w:ascii="Calibri Light" w:hAnsi="Calibri Light" w:cstheme="minorBidi"/>
          <w:i w:val="0"/>
          <w:color w:val="3A7C22" w:themeColor="accent6" w:themeShade="BF"/>
          <w:kern w:val="0"/>
          <w:sz w:val="20"/>
          <w:szCs w:val="20"/>
          <w14:ligatures w14:val="none"/>
        </w:rPr>
        <w:t>s</w:t>
      </w:r>
      <w:r w:rsidR="00CB5E55" w:rsidRPr="007A6E8B">
        <w:rPr>
          <w:rFonts w:ascii="Calibri Light" w:hAnsi="Calibri Light" w:cstheme="minorBidi"/>
          <w:i w:val="0"/>
          <w:color w:val="3A7C22" w:themeColor="accent6" w:themeShade="BF"/>
          <w:kern w:val="0"/>
          <w:sz w:val="20"/>
          <w:szCs w:val="20"/>
          <w14:ligatures w14:val="none"/>
        </w:rPr>
        <w:t xml:space="preserve"> and </w:t>
      </w:r>
      <w:r w:rsidR="0052363F" w:rsidRPr="007A6E8B">
        <w:rPr>
          <w:rFonts w:ascii="Calibri Light" w:hAnsi="Calibri Light" w:cstheme="minorBidi"/>
          <w:i w:val="0"/>
          <w:color w:val="3A7C22" w:themeColor="accent6" w:themeShade="BF"/>
          <w:kern w:val="0"/>
          <w:sz w:val="20"/>
          <w:szCs w:val="20"/>
          <w14:ligatures w14:val="none"/>
        </w:rPr>
        <w:t xml:space="preserve">proposed </w:t>
      </w:r>
      <w:r w:rsidR="00CB5E55" w:rsidRPr="007A6E8B">
        <w:rPr>
          <w:rFonts w:ascii="Calibri Light" w:hAnsi="Calibri Light" w:cstheme="minorBidi"/>
          <w:i w:val="0"/>
          <w:color w:val="3A7C22" w:themeColor="accent6" w:themeShade="BF"/>
          <w:kern w:val="0"/>
          <w:sz w:val="20"/>
          <w:szCs w:val="20"/>
          <w14:ligatures w14:val="none"/>
        </w:rPr>
        <w:t>charge</w:t>
      </w:r>
      <w:r w:rsidR="0052363F" w:rsidRPr="007A6E8B">
        <w:rPr>
          <w:rFonts w:ascii="Calibri Light" w:hAnsi="Calibri Light" w:cstheme="minorBidi"/>
          <w:i w:val="0"/>
          <w:color w:val="3A7C22" w:themeColor="accent6" w:themeShade="BF"/>
          <w:kern w:val="0"/>
          <w:sz w:val="20"/>
          <w:szCs w:val="20"/>
          <w14:ligatures w14:val="none"/>
        </w:rPr>
        <w:t>s</w:t>
      </w:r>
      <w:r w:rsidR="00CB5E55" w:rsidRPr="007A6E8B">
        <w:rPr>
          <w:rFonts w:ascii="Calibri Light" w:hAnsi="Calibri Light" w:cstheme="minorBidi"/>
          <w:i w:val="0"/>
          <w:color w:val="3A7C22" w:themeColor="accent6" w:themeShade="BF"/>
          <w:kern w:val="0"/>
          <w:sz w:val="20"/>
          <w:szCs w:val="20"/>
          <w14:ligatures w14:val="none"/>
        </w:rPr>
        <w:t xml:space="preserve"> for certifications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1305"/>
        <w:gridCol w:w="1281"/>
        <w:gridCol w:w="1286"/>
        <w:gridCol w:w="1286"/>
        <w:gridCol w:w="1283"/>
        <w:gridCol w:w="1287"/>
      </w:tblGrid>
      <w:tr w:rsidR="00C674BC" w14:paraId="3339723A" w14:textId="77777777" w:rsidTr="00B079B1">
        <w:trPr>
          <w:cnfStyle w:val="100000000000" w:firstRow="1" w:lastRow="0" w:firstColumn="0" w:lastColumn="0" w:oddVBand="0" w:evenVBand="0" w:oddHBand="0" w:evenHBand="0" w:firstRowFirstColumn="0" w:firstRowLastColumn="0" w:lastRowFirstColumn="0" w:lastRowLastColumn="0"/>
        </w:trPr>
        <w:tc>
          <w:tcPr>
            <w:tcW w:w="128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3CAEB" w:themeFill="accent1" w:themeFillTint="66"/>
            <w:vAlign w:val="center"/>
          </w:tcPr>
          <w:p w14:paraId="3D3339B5" w14:textId="7A81717F" w:rsidR="00C674BC" w:rsidRDefault="00C674BC" w:rsidP="00C674BC">
            <w:r w:rsidRPr="002600C2">
              <w:rPr>
                <w:b/>
                <w:bCs/>
              </w:rPr>
              <w:t>Charge Category</w:t>
            </w:r>
          </w:p>
        </w:tc>
        <w:tc>
          <w:tcPr>
            <w:tcW w:w="128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3CAEB" w:themeFill="accent1" w:themeFillTint="66"/>
            <w:vAlign w:val="center"/>
          </w:tcPr>
          <w:p w14:paraId="7139A1ED" w14:textId="2889103F" w:rsidR="00C674BC" w:rsidRDefault="00C674BC" w:rsidP="00C674BC">
            <w:r w:rsidRPr="002600C2">
              <w:rPr>
                <w:b/>
                <w:bCs/>
              </w:rPr>
              <w:t>C</w:t>
            </w:r>
            <w:r w:rsidR="00114A49">
              <w:rPr>
                <w:b/>
                <w:bCs/>
              </w:rPr>
              <w:t>ontainment</w:t>
            </w:r>
          </w:p>
        </w:tc>
        <w:tc>
          <w:tcPr>
            <w:tcW w:w="128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3CAEB" w:themeFill="accent1" w:themeFillTint="66"/>
            <w:vAlign w:val="center"/>
          </w:tcPr>
          <w:p w14:paraId="4B0604BF" w14:textId="42976369" w:rsidR="00C674BC" w:rsidRDefault="00C674BC" w:rsidP="00C674BC">
            <w:r w:rsidRPr="002600C2">
              <w:rPr>
                <w:b/>
                <w:bCs/>
              </w:rPr>
              <w:t>Full Cost ($)</w:t>
            </w:r>
          </w:p>
        </w:tc>
        <w:tc>
          <w:tcPr>
            <w:tcW w:w="128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3CAEB" w:themeFill="accent1" w:themeFillTint="66"/>
            <w:vAlign w:val="center"/>
          </w:tcPr>
          <w:p w14:paraId="40F0F2C5" w14:textId="44CD7E13" w:rsidR="00C674BC" w:rsidRDefault="00C674BC" w:rsidP="00C674BC">
            <w:r w:rsidRPr="002600C2">
              <w:rPr>
                <w:b/>
                <w:bCs/>
              </w:rPr>
              <w:t>Estimated Volume</w:t>
            </w:r>
          </w:p>
        </w:tc>
        <w:tc>
          <w:tcPr>
            <w:tcW w:w="128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3CAEB" w:themeFill="accent1" w:themeFillTint="66"/>
            <w:vAlign w:val="center"/>
          </w:tcPr>
          <w:p w14:paraId="769E522B" w14:textId="1A6A6AF5" w:rsidR="00C674BC" w:rsidRDefault="00C674BC" w:rsidP="00C674BC">
            <w:r w:rsidRPr="002600C2">
              <w:rPr>
                <w:b/>
                <w:bCs/>
              </w:rPr>
              <w:t>Phase 1 Approved Charging Rate</w:t>
            </w:r>
          </w:p>
        </w:tc>
        <w:tc>
          <w:tcPr>
            <w:tcW w:w="128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3CAEB" w:themeFill="accent1" w:themeFillTint="66"/>
            <w:vAlign w:val="center"/>
          </w:tcPr>
          <w:p w14:paraId="32C33D53" w14:textId="7F95FA7D" w:rsidR="00C674BC" w:rsidRDefault="00C674BC" w:rsidP="00C674BC">
            <w:r w:rsidRPr="002600C2">
              <w:rPr>
                <w:b/>
                <w:bCs/>
              </w:rPr>
              <w:t>Phase 1 Charge ($)</w:t>
            </w:r>
          </w:p>
        </w:tc>
        <w:tc>
          <w:tcPr>
            <w:tcW w:w="128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3CAEB" w:themeFill="accent1" w:themeFillTint="66"/>
            <w:vAlign w:val="center"/>
          </w:tcPr>
          <w:p w14:paraId="07145CD1" w14:textId="37B7842C" w:rsidR="00C674BC" w:rsidRDefault="00C674BC" w:rsidP="00C674BC">
            <w:r w:rsidRPr="002600C2">
              <w:rPr>
                <w:b/>
                <w:bCs/>
              </w:rPr>
              <w:t>Estimated Revenue ($)</w:t>
            </w:r>
          </w:p>
        </w:tc>
      </w:tr>
      <w:tr w:rsidR="00C674BC" w14:paraId="0EA6DDFB" w14:textId="77777777" w:rsidTr="00AB6F63">
        <w:tc>
          <w:tcPr>
            <w:tcW w:w="1288" w:type="dxa"/>
          </w:tcPr>
          <w:p w14:paraId="3DDFECAB" w14:textId="27FC3590" w:rsidR="00C674BC" w:rsidRDefault="00C674BC" w:rsidP="00C674BC">
            <w:r w:rsidRPr="00751F53">
              <w:rPr>
                <w:b/>
                <w:bCs/>
              </w:rPr>
              <w:t>Certification</w:t>
            </w:r>
          </w:p>
        </w:tc>
        <w:tc>
          <w:tcPr>
            <w:tcW w:w="1288" w:type="dxa"/>
          </w:tcPr>
          <w:p w14:paraId="52872E8B" w14:textId="119FA0B2" w:rsidR="00C674BC" w:rsidRDefault="00C674BC" w:rsidP="00C674BC">
            <w:r>
              <w:t>High level</w:t>
            </w:r>
          </w:p>
        </w:tc>
        <w:tc>
          <w:tcPr>
            <w:tcW w:w="1286" w:type="dxa"/>
          </w:tcPr>
          <w:p w14:paraId="27115CD8" w14:textId="4C3BDEAF" w:rsidR="00C674BC" w:rsidRDefault="00C674BC" w:rsidP="00C674BC">
            <w:r w:rsidRPr="008136AD">
              <w:t>$</w:t>
            </w:r>
            <w:r w:rsidR="008205FB">
              <w:t>5,</w:t>
            </w:r>
            <w:r w:rsidR="002C5D11">
              <w:t>420</w:t>
            </w:r>
          </w:p>
        </w:tc>
        <w:tc>
          <w:tcPr>
            <w:tcW w:w="1288" w:type="dxa"/>
          </w:tcPr>
          <w:p w14:paraId="602395D8" w14:textId="5E880898" w:rsidR="00C674BC" w:rsidRDefault="00C674BC" w:rsidP="00C674BC">
            <w:r>
              <w:t>2</w:t>
            </w:r>
          </w:p>
        </w:tc>
        <w:tc>
          <w:tcPr>
            <w:tcW w:w="1289" w:type="dxa"/>
          </w:tcPr>
          <w:p w14:paraId="50387555" w14:textId="4BFAD613" w:rsidR="00C674BC" w:rsidRDefault="00C674BC" w:rsidP="00C674BC">
            <w:r>
              <w:t>Large scale P</w:t>
            </w:r>
            <w:r w:rsidR="00D40B56">
              <w:t>C</w:t>
            </w:r>
            <w:r>
              <w:t>2,</w:t>
            </w:r>
            <w:r w:rsidR="00D40B56">
              <w:t xml:space="preserve"> PC</w:t>
            </w:r>
            <w:r>
              <w:t>3,</w:t>
            </w:r>
            <w:r w:rsidR="00D40B56">
              <w:t xml:space="preserve"> PC</w:t>
            </w:r>
            <w:r>
              <w:t>4</w:t>
            </w:r>
          </w:p>
        </w:tc>
        <w:tc>
          <w:tcPr>
            <w:tcW w:w="1288" w:type="dxa"/>
          </w:tcPr>
          <w:p w14:paraId="20FA0D01" w14:textId="2FDAB5D1" w:rsidR="00C674BC" w:rsidRDefault="00C674BC" w:rsidP="00C674BC">
            <w:r>
              <w:t>$</w:t>
            </w:r>
            <w:r w:rsidR="00DA76F7">
              <w:t>5,420</w:t>
            </w:r>
          </w:p>
        </w:tc>
        <w:tc>
          <w:tcPr>
            <w:tcW w:w="1289" w:type="dxa"/>
          </w:tcPr>
          <w:p w14:paraId="33D1B203" w14:textId="747DEF62" w:rsidR="00C674BC" w:rsidRDefault="00C674BC" w:rsidP="00C674BC">
            <w:r>
              <w:t>$</w:t>
            </w:r>
            <w:r w:rsidR="00DA76F7">
              <w:t>10,840</w:t>
            </w:r>
          </w:p>
        </w:tc>
      </w:tr>
      <w:tr w:rsidR="00C674BC" w14:paraId="26027959" w14:textId="77777777" w:rsidTr="00AB6F63">
        <w:tc>
          <w:tcPr>
            <w:tcW w:w="1288" w:type="dxa"/>
          </w:tcPr>
          <w:p w14:paraId="7E400498" w14:textId="47F61609" w:rsidR="00C674BC" w:rsidRDefault="00C674BC" w:rsidP="00C674BC">
            <w:r w:rsidRPr="00751F53">
              <w:rPr>
                <w:b/>
                <w:bCs/>
              </w:rPr>
              <w:t>Certification</w:t>
            </w:r>
          </w:p>
        </w:tc>
        <w:tc>
          <w:tcPr>
            <w:tcW w:w="1288" w:type="dxa"/>
          </w:tcPr>
          <w:p w14:paraId="78FD3653" w14:textId="23CDAA82" w:rsidR="00C674BC" w:rsidRDefault="00C674BC" w:rsidP="00C674BC">
            <w:r>
              <w:t>Low level</w:t>
            </w:r>
          </w:p>
        </w:tc>
        <w:tc>
          <w:tcPr>
            <w:tcW w:w="1286" w:type="dxa"/>
          </w:tcPr>
          <w:p w14:paraId="2519F8C7" w14:textId="1E55885A" w:rsidR="00C674BC" w:rsidRDefault="00C674BC" w:rsidP="00C674BC">
            <w:r w:rsidRPr="008136AD">
              <w:t>$</w:t>
            </w:r>
            <w:r w:rsidR="00A345E6">
              <w:t>1</w:t>
            </w:r>
            <w:r w:rsidR="00D37C02">
              <w:t>60</w:t>
            </w:r>
          </w:p>
        </w:tc>
        <w:tc>
          <w:tcPr>
            <w:tcW w:w="1288" w:type="dxa"/>
          </w:tcPr>
          <w:p w14:paraId="7069B00C" w14:textId="09D36B16" w:rsidR="00C674BC" w:rsidRDefault="00C674BC" w:rsidP="00C674BC">
            <w:r>
              <w:t>400</w:t>
            </w:r>
          </w:p>
        </w:tc>
        <w:tc>
          <w:tcPr>
            <w:tcW w:w="1289" w:type="dxa"/>
          </w:tcPr>
          <w:p w14:paraId="2193C0AF" w14:textId="308E30E6" w:rsidR="00C674BC" w:rsidRDefault="00C674BC" w:rsidP="00C674BC">
            <w:r>
              <w:t>PC1,</w:t>
            </w:r>
            <w:r w:rsidR="00D40B56">
              <w:t xml:space="preserve"> PC</w:t>
            </w:r>
            <w:r>
              <w:t>2</w:t>
            </w:r>
          </w:p>
        </w:tc>
        <w:tc>
          <w:tcPr>
            <w:tcW w:w="1288" w:type="dxa"/>
          </w:tcPr>
          <w:p w14:paraId="3C53CB06" w14:textId="525CA103" w:rsidR="00C674BC" w:rsidRDefault="00C674BC" w:rsidP="00C674BC">
            <w:r>
              <w:t>$</w:t>
            </w:r>
            <w:r w:rsidR="00834410">
              <w:t>160</w:t>
            </w:r>
          </w:p>
        </w:tc>
        <w:tc>
          <w:tcPr>
            <w:tcW w:w="1289" w:type="dxa"/>
          </w:tcPr>
          <w:p w14:paraId="75A069A9" w14:textId="4699D265" w:rsidR="00C674BC" w:rsidRDefault="00C674BC" w:rsidP="00C674BC">
            <w:r>
              <w:t>$</w:t>
            </w:r>
            <w:r w:rsidR="00A345E6">
              <w:t>6</w:t>
            </w:r>
            <w:r w:rsidR="00D37C02">
              <w:t>4,000</w:t>
            </w:r>
          </w:p>
        </w:tc>
      </w:tr>
    </w:tbl>
    <w:p w14:paraId="30455C17" w14:textId="7AF42F9E" w:rsidR="00BF0D41" w:rsidRDefault="00BF0D41" w:rsidP="00BF0D41">
      <w:r w:rsidRPr="00257442">
        <w:t>All fee levels include an invoicing fee of $44.90</w:t>
      </w:r>
      <w:r w:rsidR="00382141">
        <w:t>.</w:t>
      </w:r>
    </w:p>
    <w:p w14:paraId="7B8F2448" w14:textId="77777777" w:rsidR="00D76F98" w:rsidRDefault="00D76F98" w:rsidP="00BF0D41"/>
    <w:p w14:paraId="4BBF4F46" w14:textId="50F9DD6D" w:rsidR="00B21FEF" w:rsidRPr="00BC69AC" w:rsidRDefault="00BF0D41" w:rsidP="001A5224">
      <w:pPr>
        <w:pStyle w:val="Heading2"/>
      </w:pPr>
      <w:bookmarkStart w:id="83" w:name="_Toc242195600"/>
      <w:r w:rsidRPr="00BC69AC">
        <w:t xml:space="preserve">Annual </w:t>
      </w:r>
      <w:r>
        <w:t>Charge</w:t>
      </w:r>
      <w:bookmarkEnd w:id="83"/>
    </w:p>
    <w:p w14:paraId="0F26A036" w14:textId="0D75A12F" w:rsidR="00B21FEF" w:rsidRDefault="00B21FEF" w:rsidP="00B21FEF">
      <w:r w:rsidRPr="009264AA">
        <w:t>The annual licence charge recovers a portion of the ongoing regulatory activities required to administer and maintain the Scheme after a licence has been granted. These activities are not directly attributable to a specific application and therefore are not recovered through application fees. Instead, they are recovered through an annual charge applied to licence holders.</w:t>
      </w:r>
    </w:p>
    <w:p w14:paraId="45D2C753" w14:textId="19F95341" w:rsidR="00FE1A5B" w:rsidRPr="009264AA" w:rsidRDefault="00FE1A5B" w:rsidP="00B21FEF">
      <w:r w:rsidRPr="00BC69AC">
        <w:t xml:space="preserve">The total costs associated with the </w:t>
      </w:r>
      <w:r>
        <w:t xml:space="preserve">regulatory </w:t>
      </w:r>
      <w:r w:rsidRPr="00BC69AC">
        <w:t>activities outlined were equally apportioned to each licence</w:t>
      </w:r>
      <w:r>
        <w:t xml:space="preserve"> </w:t>
      </w:r>
      <w:r w:rsidRPr="00BC69AC">
        <w:t xml:space="preserve">holder to generate a single annual </w:t>
      </w:r>
      <w:r>
        <w:t>charge</w:t>
      </w:r>
      <w:r w:rsidRPr="00BC69AC">
        <w:t>.</w:t>
      </w:r>
      <w:r>
        <w:t xml:space="preserve"> Each valid and current licence, including research licences, will be charged 100 per cent of the annual charge.</w:t>
      </w:r>
    </w:p>
    <w:p w14:paraId="57DCE433" w14:textId="77777777" w:rsidR="00B21FEF" w:rsidRDefault="00B21FEF" w:rsidP="00B21FEF">
      <w:r>
        <w:t>C</w:t>
      </w:r>
      <w:r w:rsidRPr="00680F35">
        <w:t>osts are allocated to regulatory activities based on the effort and resources required to undertake those activities. Activities attributable to the ongoing management and oversight of licence holders are included in the annual licence charge. These include activities such as</w:t>
      </w:r>
      <w:r>
        <w:t>:</w:t>
      </w:r>
    </w:p>
    <w:p w14:paraId="502B554A" w14:textId="77777777" w:rsidR="00B21FEF" w:rsidRDefault="00B21FEF" w:rsidP="00B21FEF">
      <w:pPr>
        <w:pStyle w:val="ListParagraph"/>
        <w:numPr>
          <w:ilvl w:val="0"/>
          <w:numId w:val="24"/>
        </w:numPr>
      </w:pPr>
      <w:r>
        <w:t>M</w:t>
      </w:r>
      <w:r w:rsidRPr="00680F35">
        <w:t xml:space="preserve">onitoring and </w:t>
      </w:r>
      <w:r>
        <w:t xml:space="preserve">auditing including post authorisation notifications  </w:t>
      </w:r>
    </w:p>
    <w:p w14:paraId="2973CCC7" w14:textId="77777777" w:rsidR="00B21FEF" w:rsidRDefault="00B21FEF" w:rsidP="00B21FEF">
      <w:pPr>
        <w:pStyle w:val="ListParagraph"/>
        <w:numPr>
          <w:ilvl w:val="0"/>
          <w:numId w:val="24"/>
        </w:numPr>
      </w:pPr>
      <w:r>
        <w:t>S</w:t>
      </w:r>
      <w:r w:rsidRPr="00680F35">
        <w:t>takeholder support</w:t>
      </w:r>
      <w:r>
        <w:t xml:space="preserve"> &amp; inquiries</w:t>
      </w:r>
    </w:p>
    <w:p w14:paraId="5A83C06A" w14:textId="77777777" w:rsidR="00B21FEF" w:rsidRDefault="00B21FEF" w:rsidP="00B21FEF">
      <w:pPr>
        <w:pStyle w:val="ListParagraph"/>
        <w:numPr>
          <w:ilvl w:val="0"/>
          <w:numId w:val="24"/>
        </w:numPr>
      </w:pPr>
      <w:r>
        <w:t>M</w:t>
      </w:r>
      <w:r w:rsidRPr="00680F35">
        <w:t>aintenance of regulatory guidance</w:t>
      </w:r>
      <w:r>
        <w:t xml:space="preserve"> </w:t>
      </w:r>
    </w:p>
    <w:p w14:paraId="0B797F59" w14:textId="4E1E666E" w:rsidR="00B21FEF" w:rsidRDefault="00B21FEF" w:rsidP="00B21FEF">
      <w:pPr>
        <w:pStyle w:val="ListParagraph"/>
        <w:numPr>
          <w:ilvl w:val="0"/>
          <w:numId w:val="24"/>
        </w:numPr>
      </w:pPr>
      <w:r>
        <w:t>D</w:t>
      </w:r>
      <w:r w:rsidRPr="00680F35">
        <w:t>atabase and information management</w:t>
      </w:r>
      <w:r>
        <w:t xml:space="preserve"> including licence application portal </w:t>
      </w:r>
    </w:p>
    <w:p w14:paraId="2F5D788C" w14:textId="77777777" w:rsidR="00B079B1" w:rsidRDefault="00B079B1" w:rsidP="00B079B1">
      <w:pPr>
        <w:pStyle w:val="ListParagraph"/>
        <w:numPr>
          <w:ilvl w:val="0"/>
          <w:numId w:val="24"/>
        </w:numPr>
      </w:pPr>
      <w:r>
        <w:t>C</w:t>
      </w:r>
      <w:r w:rsidRPr="00680F35">
        <w:t>ommittee and secretariat functions</w:t>
      </w:r>
      <w:r>
        <w:t xml:space="preserve"> </w:t>
      </w:r>
    </w:p>
    <w:p w14:paraId="25F9B973" w14:textId="63578BDC" w:rsidR="00B21FEF" w:rsidRDefault="00B079B1" w:rsidP="00B079B1">
      <w:pPr>
        <w:pStyle w:val="ListParagraph"/>
        <w:numPr>
          <w:ilvl w:val="0"/>
          <w:numId w:val="24"/>
        </w:numPr>
      </w:pPr>
      <w:r>
        <w:t>O</w:t>
      </w:r>
      <w:r w:rsidRPr="00680F35">
        <w:t>ther regulatory activities that contribute to the effective administration of the Scheme</w:t>
      </w:r>
      <w:r>
        <w:t xml:space="preserve"> </w:t>
      </w:r>
      <w:r w:rsidRPr="008B68C5">
        <w:t>Ongoing regulatory administration and support activities, including</w:t>
      </w:r>
      <w:r w:rsidR="00B075CE">
        <w:t xml:space="preserve"> </w:t>
      </w:r>
      <w:r w:rsidRPr="008B68C5">
        <w:t xml:space="preserve">maintenance of standard </w:t>
      </w:r>
      <w:r w:rsidRPr="008B68C5">
        <w:lastRenderedPageBreak/>
        <w:t>operating procedures, quality assurance activities and continuous improvement initiatives associated with licence management.</w:t>
      </w:r>
    </w:p>
    <w:p w14:paraId="784C491D" w14:textId="35C20C6F" w:rsidR="00B21FEF" w:rsidRDefault="00B21FEF" w:rsidP="00B21FEF">
      <w:r>
        <w:t>10% of total OGTR budgets are attributable to licen</w:t>
      </w:r>
      <w:r w:rsidR="008205FB">
        <w:t>c</w:t>
      </w:r>
      <w:r>
        <w:t xml:space="preserve">e holders for the above regulatory activities of the office. </w:t>
      </w:r>
    </w:p>
    <w:p w14:paraId="219DE3A9" w14:textId="6F32A9B5" w:rsidR="00B21FEF" w:rsidRPr="007A3AEF" w:rsidRDefault="00B21FEF" w:rsidP="00B21FEF">
      <w:r w:rsidRPr="007A3AEF">
        <w:t xml:space="preserve">Following identification of licence management costs, the total recoverable annual costs attributable to licence management activities are aggregated and apportioned equally across licence holders to generate a single annual licence </w:t>
      </w:r>
      <w:r w:rsidRPr="00114A49">
        <w:rPr>
          <w:rFonts w:cs="Arial"/>
        </w:rPr>
        <w:t>charge</w:t>
      </w:r>
      <w:r w:rsidR="0065327D" w:rsidRPr="00114A49">
        <w:rPr>
          <w:rFonts w:cs="Arial"/>
        </w:rPr>
        <w:t xml:space="preserve"> (</w:t>
      </w:r>
      <w:r w:rsidR="0065327D" w:rsidRPr="00403ED8">
        <w:rPr>
          <w:rFonts w:cs="Arial"/>
        </w:rPr>
        <w:fldChar w:fldCharType="begin"/>
      </w:r>
      <w:r w:rsidR="0065327D" w:rsidRPr="00403ED8">
        <w:rPr>
          <w:rFonts w:cs="Arial"/>
        </w:rPr>
        <w:instrText xml:space="preserve"> REF _Ref240574188 \h </w:instrText>
      </w:r>
      <w:r w:rsidR="00114A49" w:rsidRPr="00403ED8">
        <w:rPr>
          <w:rFonts w:cs="Arial"/>
        </w:rPr>
        <w:instrText xml:space="preserve"> \* MERGEFORMAT </w:instrText>
      </w:r>
      <w:r w:rsidR="0065327D" w:rsidRPr="00403ED8">
        <w:rPr>
          <w:rFonts w:cs="Arial"/>
        </w:rPr>
      </w:r>
      <w:r w:rsidR="0065327D"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10</w:t>
      </w:r>
      <w:r w:rsidR="0065327D" w:rsidRPr="00403ED8">
        <w:rPr>
          <w:rFonts w:cs="Arial"/>
        </w:rPr>
        <w:fldChar w:fldCharType="end"/>
      </w:r>
      <w:r w:rsidR="0065327D" w:rsidRPr="00403ED8">
        <w:rPr>
          <w:rFonts w:cs="Arial"/>
        </w:rPr>
        <w:t>)</w:t>
      </w:r>
      <w:r w:rsidRPr="00403ED8">
        <w:rPr>
          <w:rFonts w:cs="Arial"/>
        </w:rPr>
        <w:t xml:space="preserve">. </w:t>
      </w:r>
      <w:r w:rsidRPr="00114A49">
        <w:rPr>
          <w:rFonts w:cs="Arial"/>
        </w:rPr>
        <w:t>This</w:t>
      </w:r>
      <w:r w:rsidRPr="00114A49">
        <w:t xml:space="preserve"> </w:t>
      </w:r>
      <w:r w:rsidRPr="007A3AEF">
        <w:t>approach minimises administrative complexity during the initial phase of implementation and provides licence holders with certainty regarding annual charges.</w:t>
      </w:r>
    </w:p>
    <w:p w14:paraId="41338344" w14:textId="77777777" w:rsidR="00B21FEF" w:rsidRDefault="00B21FEF" w:rsidP="00B21FEF">
      <w:r w:rsidRPr="00680F35">
        <w:t xml:space="preserve">Many of these activities support multiple authorisation types across the Scheme, including certifications, accreditations and notifications. Accordingly, only the proportion of costs attributable to licence holders is recovered through the annual licence charge. </w:t>
      </w:r>
    </w:p>
    <w:p w14:paraId="295E7C69" w14:textId="0A5152AF" w:rsidR="0065327D" w:rsidRPr="007A6E8B" w:rsidRDefault="0065327D" w:rsidP="00263E1E">
      <w:pPr>
        <w:pStyle w:val="Caption"/>
        <w:rPr>
          <w:rFonts w:ascii="Calibri Light" w:hAnsi="Calibri Light" w:cstheme="minorBidi"/>
          <w:color w:val="3A7C22" w:themeColor="accent6" w:themeShade="BF"/>
          <w:kern w:val="0"/>
          <w:szCs w:val="20"/>
          <w14:ligatures w14:val="none"/>
        </w:rPr>
      </w:pPr>
      <w:bookmarkStart w:id="84" w:name="_Ref240574188"/>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10</w:t>
      </w:r>
      <w:r w:rsidRPr="007A6E8B">
        <w:rPr>
          <w:rFonts w:ascii="Calibri Light" w:hAnsi="Calibri Light" w:cstheme="minorBidi"/>
          <w:i w:val="0"/>
          <w:color w:val="3A7C22" w:themeColor="accent6" w:themeShade="BF"/>
          <w:kern w:val="0"/>
          <w:sz w:val="20"/>
          <w:szCs w:val="20"/>
          <w14:ligatures w14:val="none"/>
        </w:rPr>
        <w:fldChar w:fldCharType="end"/>
      </w:r>
      <w:bookmarkEnd w:id="84"/>
      <w:r w:rsidRPr="007A6E8B">
        <w:rPr>
          <w:rFonts w:ascii="Calibri Light" w:hAnsi="Calibri Light" w:cstheme="minorBidi"/>
          <w:i w:val="0"/>
          <w:color w:val="3A7C22" w:themeColor="accent6" w:themeShade="BF"/>
          <w:kern w:val="0"/>
          <w:sz w:val="20"/>
          <w:szCs w:val="20"/>
          <w14:ligatures w14:val="none"/>
        </w:rPr>
        <w:t>:</w:t>
      </w:r>
      <w:r w:rsidR="00262EF2" w:rsidRPr="007A6E8B">
        <w:rPr>
          <w:rFonts w:ascii="Calibri Light" w:hAnsi="Calibri Light" w:cstheme="minorBidi"/>
          <w:i w:val="0"/>
          <w:color w:val="3A7C22" w:themeColor="accent6" w:themeShade="BF"/>
          <w:kern w:val="0"/>
          <w:sz w:val="20"/>
          <w:szCs w:val="20"/>
          <w14:ligatures w14:val="none"/>
        </w:rPr>
        <w:t xml:space="preserve"> </w:t>
      </w:r>
      <w:r w:rsidR="0052363F" w:rsidRPr="007A6E8B">
        <w:rPr>
          <w:rFonts w:ascii="Calibri Light" w:hAnsi="Calibri Light" w:cstheme="minorBidi"/>
          <w:i w:val="0"/>
          <w:color w:val="3A7C22" w:themeColor="accent6" w:themeShade="BF"/>
          <w:kern w:val="0"/>
          <w:sz w:val="20"/>
          <w:szCs w:val="20"/>
          <w14:ligatures w14:val="none"/>
        </w:rPr>
        <w:t>Proposed a</w:t>
      </w:r>
      <w:r w:rsidR="00262EF2" w:rsidRPr="007A6E8B">
        <w:rPr>
          <w:rFonts w:ascii="Calibri Light" w:hAnsi="Calibri Light" w:cstheme="minorBidi"/>
          <w:i w:val="0"/>
          <w:color w:val="3A7C22" w:themeColor="accent6" w:themeShade="BF"/>
          <w:kern w:val="0"/>
          <w:sz w:val="20"/>
          <w:szCs w:val="20"/>
          <w14:ligatures w14:val="none"/>
        </w:rPr>
        <w:t>nnual licence charge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1289"/>
        <w:gridCol w:w="1289"/>
        <w:gridCol w:w="1290"/>
        <w:gridCol w:w="1290"/>
      </w:tblGrid>
      <w:tr w:rsidR="00114A49" w14:paraId="1F74C6F5" w14:textId="77777777" w:rsidTr="00AB6F63">
        <w:trPr>
          <w:cnfStyle w:val="100000000000" w:firstRow="1" w:lastRow="0" w:firstColumn="0" w:lastColumn="0" w:oddVBand="0" w:evenVBand="0" w:oddHBand="0" w:evenHBand="0" w:firstRowFirstColumn="0" w:firstRowLastColumn="0" w:lastRowFirstColumn="0" w:lastRowLastColumn="0"/>
        </w:trPr>
        <w:tc>
          <w:tcPr>
            <w:tcW w:w="1289" w:type="dxa"/>
            <w:shd w:val="clear" w:color="auto" w:fill="83CAEB" w:themeFill="accent1" w:themeFillTint="66"/>
            <w:vAlign w:val="center"/>
          </w:tcPr>
          <w:p w14:paraId="0BE8F144" w14:textId="766DED1B" w:rsidR="00114A49" w:rsidRDefault="00114A49" w:rsidP="00662782">
            <w:r w:rsidRPr="002600C2">
              <w:rPr>
                <w:b/>
                <w:bCs/>
              </w:rPr>
              <w:t>Charge Category</w:t>
            </w:r>
          </w:p>
        </w:tc>
        <w:tc>
          <w:tcPr>
            <w:tcW w:w="1289" w:type="dxa"/>
            <w:shd w:val="clear" w:color="auto" w:fill="83CAEB" w:themeFill="accent1" w:themeFillTint="66"/>
            <w:vAlign w:val="center"/>
          </w:tcPr>
          <w:p w14:paraId="7C6A93BB" w14:textId="6BB9BF04" w:rsidR="00114A49" w:rsidRDefault="00114A49" w:rsidP="00662782">
            <w:r w:rsidRPr="002600C2">
              <w:rPr>
                <w:b/>
                <w:bCs/>
              </w:rPr>
              <w:t>Full Cost ($)</w:t>
            </w:r>
          </w:p>
        </w:tc>
        <w:tc>
          <w:tcPr>
            <w:tcW w:w="1289" w:type="dxa"/>
            <w:shd w:val="clear" w:color="auto" w:fill="83CAEB" w:themeFill="accent1" w:themeFillTint="66"/>
            <w:vAlign w:val="center"/>
          </w:tcPr>
          <w:p w14:paraId="1FB26CC4" w14:textId="4FE1E02F" w:rsidR="00114A49" w:rsidRDefault="00114A49" w:rsidP="00662782">
            <w:r w:rsidRPr="002600C2">
              <w:rPr>
                <w:b/>
                <w:bCs/>
              </w:rPr>
              <w:t>Estimated Volume</w:t>
            </w:r>
          </w:p>
        </w:tc>
        <w:tc>
          <w:tcPr>
            <w:tcW w:w="1290" w:type="dxa"/>
            <w:shd w:val="clear" w:color="auto" w:fill="83CAEB" w:themeFill="accent1" w:themeFillTint="66"/>
            <w:vAlign w:val="center"/>
          </w:tcPr>
          <w:p w14:paraId="6BB15B11" w14:textId="7EA1A632" w:rsidR="00114A49" w:rsidRDefault="00114A49" w:rsidP="00662782">
            <w:r w:rsidRPr="002600C2">
              <w:rPr>
                <w:b/>
                <w:bCs/>
              </w:rPr>
              <w:t>Phase 1 Charge ($)</w:t>
            </w:r>
          </w:p>
        </w:tc>
        <w:tc>
          <w:tcPr>
            <w:tcW w:w="1290" w:type="dxa"/>
            <w:shd w:val="clear" w:color="auto" w:fill="83CAEB" w:themeFill="accent1" w:themeFillTint="66"/>
            <w:vAlign w:val="center"/>
          </w:tcPr>
          <w:p w14:paraId="0DFF8A99" w14:textId="1A71C7B9" w:rsidR="00114A49" w:rsidRDefault="00114A49" w:rsidP="00662782">
            <w:r w:rsidRPr="002600C2">
              <w:rPr>
                <w:b/>
                <w:bCs/>
              </w:rPr>
              <w:t>Estimated Revenue ($)</w:t>
            </w:r>
          </w:p>
        </w:tc>
      </w:tr>
      <w:tr w:rsidR="00114A49" w14:paraId="2BB09A21" w14:textId="77777777" w:rsidTr="00AB6F63">
        <w:tc>
          <w:tcPr>
            <w:tcW w:w="1289" w:type="dxa"/>
          </w:tcPr>
          <w:p w14:paraId="5E016165" w14:textId="5CF6788A" w:rsidR="00114A49" w:rsidRDefault="00114A49" w:rsidP="00662782">
            <w:r w:rsidRPr="00751F53">
              <w:rPr>
                <w:b/>
                <w:bCs/>
              </w:rPr>
              <w:t>Annual licence charges</w:t>
            </w:r>
          </w:p>
        </w:tc>
        <w:tc>
          <w:tcPr>
            <w:tcW w:w="1289" w:type="dxa"/>
          </w:tcPr>
          <w:p w14:paraId="50B60D70" w14:textId="7218B77F" w:rsidR="00114A49" w:rsidRDefault="00114A49" w:rsidP="00662782">
            <w:r>
              <w:t>$3,710</w:t>
            </w:r>
          </w:p>
        </w:tc>
        <w:tc>
          <w:tcPr>
            <w:tcW w:w="1289" w:type="dxa"/>
          </w:tcPr>
          <w:p w14:paraId="732E5621" w14:textId="5AFEDE39" w:rsidR="00114A49" w:rsidRDefault="00114A49" w:rsidP="00662782">
            <w:r w:rsidRPr="00BC69AC">
              <w:t>247</w:t>
            </w:r>
          </w:p>
        </w:tc>
        <w:tc>
          <w:tcPr>
            <w:tcW w:w="1290" w:type="dxa"/>
          </w:tcPr>
          <w:p w14:paraId="67B84CE4" w14:textId="5ED0A342" w:rsidR="00114A49" w:rsidRDefault="00114A49" w:rsidP="00662782">
            <w:r w:rsidRPr="00BC69AC">
              <w:t>$</w:t>
            </w:r>
            <w:r>
              <w:t>3,710</w:t>
            </w:r>
          </w:p>
        </w:tc>
        <w:tc>
          <w:tcPr>
            <w:tcW w:w="1290" w:type="dxa"/>
          </w:tcPr>
          <w:p w14:paraId="246AAE62" w14:textId="5A6BBC03" w:rsidR="00114A49" w:rsidRDefault="00114A49" w:rsidP="00662782">
            <w:r w:rsidRPr="00BC69AC">
              <w:t>$</w:t>
            </w:r>
            <w:r>
              <w:t>916,370</w:t>
            </w:r>
          </w:p>
        </w:tc>
      </w:tr>
    </w:tbl>
    <w:p w14:paraId="521016B7" w14:textId="5FFC4CF7" w:rsidR="00B21FEF" w:rsidRDefault="00FE1A5B" w:rsidP="006509FD">
      <w:r>
        <w:t>All fee levels include an invoicing fee of $44.90</w:t>
      </w:r>
    </w:p>
    <w:p w14:paraId="74BBD555" w14:textId="77777777" w:rsidR="006E643B" w:rsidRPr="00AA4355" w:rsidRDefault="006E643B" w:rsidP="006E643B">
      <w:pPr>
        <w:pStyle w:val="Heading1"/>
      </w:pPr>
      <w:bookmarkStart w:id="85" w:name="_Toc168990923"/>
      <w:bookmarkStart w:id="86" w:name="_Toc242195601"/>
      <w:r w:rsidRPr="00AA4355">
        <w:t>Risk Assessment</w:t>
      </w:r>
      <w:bookmarkEnd w:id="85"/>
      <w:bookmarkEnd w:id="86"/>
    </w:p>
    <w:p w14:paraId="07065AA7" w14:textId="77777777" w:rsidR="006E643B" w:rsidRPr="00AE36F7" w:rsidRDefault="006E643B" w:rsidP="006E643B">
      <w:pPr>
        <w:rPr>
          <w:rFonts w:cs="Arial"/>
        </w:rPr>
      </w:pPr>
      <w:r w:rsidRPr="00AE36F7">
        <w:rPr>
          <w:rFonts w:cs="Arial"/>
        </w:rPr>
        <w:t>A Charging Risk Assessment (CRA) is undertaken when preparing a new policy proposal for a new regulatory charging activity.</w:t>
      </w:r>
      <w:r w:rsidRPr="00AE36F7">
        <w:rPr>
          <w:rStyle w:val="FootnoteReference"/>
          <w:rFonts w:cs="Arial"/>
        </w:rPr>
        <w:footnoteReference w:id="8"/>
      </w:r>
      <w:r w:rsidRPr="00AE36F7">
        <w:rPr>
          <w:rFonts w:cs="Arial"/>
        </w:rPr>
        <w:t xml:space="preserve"> The CRA processes assess implementation risks based on the complexity, materiality and sensitivity of the future operating environment. This includes:</w:t>
      </w:r>
    </w:p>
    <w:p w14:paraId="19D07CC8" w14:textId="77777777" w:rsidR="006E643B" w:rsidRPr="00AE36F7" w:rsidRDefault="006E643B" w:rsidP="006E643B">
      <w:pPr>
        <w:pStyle w:val="ListParagraph"/>
        <w:numPr>
          <w:ilvl w:val="0"/>
          <w:numId w:val="18"/>
        </w:numPr>
        <w:spacing w:after="170" w:line="240" w:lineRule="atLeast"/>
        <w:rPr>
          <w:rFonts w:cs="Arial"/>
        </w:rPr>
      </w:pPr>
      <w:r w:rsidRPr="00AE36F7">
        <w:rPr>
          <w:rFonts w:cs="Arial"/>
        </w:rPr>
        <w:t>the extent of changes to cost recovery revenue or whether cost recovery is new</w:t>
      </w:r>
    </w:p>
    <w:p w14:paraId="6E4FBC67" w14:textId="77777777" w:rsidR="006E643B" w:rsidRPr="00AE36F7" w:rsidRDefault="006E643B" w:rsidP="006E643B">
      <w:pPr>
        <w:pStyle w:val="ListParagraph"/>
        <w:numPr>
          <w:ilvl w:val="0"/>
          <w:numId w:val="18"/>
        </w:numPr>
        <w:spacing w:after="170" w:line="240" w:lineRule="atLeast"/>
        <w:rPr>
          <w:rFonts w:cs="Arial"/>
        </w:rPr>
      </w:pPr>
      <w:r w:rsidRPr="00AE36F7">
        <w:rPr>
          <w:rFonts w:cs="Arial"/>
        </w:rPr>
        <w:t>total proposed annual cost recovery revenue for the activity</w:t>
      </w:r>
    </w:p>
    <w:p w14:paraId="03FB9AA8" w14:textId="77777777" w:rsidR="006E643B" w:rsidRPr="00AE36F7" w:rsidRDefault="006E643B" w:rsidP="006E643B">
      <w:pPr>
        <w:pStyle w:val="ListParagraph"/>
        <w:numPr>
          <w:ilvl w:val="0"/>
          <w:numId w:val="18"/>
        </w:numPr>
        <w:spacing w:after="170" w:line="240" w:lineRule="atLeast"/>
        <w:rPr>
          <w:rFonts w:cs="Arial"/>
        </w:rPr>
      </w:pPr>
      <w:r w:rsidRPr="00AE36F7">
        <w:rPr>
          <w:rFonts w:cs="Arial"/>
        </w:rPr>
        <w:t>type of cost recovery charges used</w:t>
      </w:r>
    </w:p>
    <w:p w14:paraId="6668CD69" w14:textId="77777777" w:rsidR="006E643B" w:rsidRPr="00AE36F7" w:rsidRDefault="006E643B" w:rsidP="006E643B">
      <w:pPr>
        <w:pStyle w:val="ListParagraph"/>
        <w:numPr>
          <w:ilvl w:val="0"/>
          <w:numId w:val="18"/>
        </w:numPr>
        <w:spacing w:after="170" w:line="240" w:lineRule="atLeast"/>
        <w:rPr>
          <w:rFonts w:cs="Arial"/>
        </w:rPr>
      </w:pPr>
      <w:r w:rsidRPr="00AE36F7">
        <w:rPr>
          <w:rFonts w:cs="Arial"/>
        </w:rPr>
        <w:t>legislative requirements necessary for imposition of cost recovery charges</w:t>
      </w:r>
    </w:p>
    <w:p w14:paraId="5D9D1FB1" w14:textId="77777777" w:rsidR="006E643B" w:rsidRPr="00AE36F7" w:rsidRDefault="006E643B" w:rsidP="006E643B">
      <w:pPr>
        <w:pStyle w:val="ListParagraph"/>
        <w:numPr>
          <w:ilvl w:val="0"/>
          <w:numId w:val="18"/>
        </w:numPr>
        <w:spacing w:after="170" w:line="240" w:lineRule="atLeast"/>
        <w:rPr>
          <w:rFonts w:cs="Arial"/>
        </w:rPr>
      </w:pPr>
      <w:r w:rsidRPr="00AE36F7">
        <w:rPr>
          <w:rFonts w:cs="Arial"/>
        </w:rPr>
        <w:t>need collaboration with other government entities</w:t>
      </w:r>
    </w:p>
    <w:p w14:paraId="6FD5AE60" w14:textId="77777777" w:rsidR="006E643B" w:rsidRPr="00AE36F7" w:rsidRDefault="006E643B" w:rsidP="006E643B">
      <w:pPr>
        <w:pStyle w:val="ListParagraph"/>
        <w:numPr>
          <w:ilvl w:val="0"/>
          <w:numId w:val="18"/>
        </w:numPr>
        <w:spacing w:after="170" w:line="240" w:lineRule="atLeast"/>
        <w:rPr>
          <w:rFonts w:cs="Arial"/>
        </w:rPr>
      </w:pPr>
      <w:r w:rsidRPr="00AE36F7">
        <w:rPr>
          <w:rFonts w:cs="Arial"/>
        </w:rPr>
        <w:t>impact of cost recovery on payers</w:t>
      </w:r>
    </w:p>
    <w:p w14:paraId="738F9A59" w14:textId="77777777" w:rsidR="006E643B" w:rsidRPr="00AE36F7" w:rsidRDefault="006E643B" w:rsidP="006E643B">
      <w:pPr>
        <w:pStyle w:val="ListParagraph"/>
        <w:numPr>
          <w:ilvl w:val="0"/>
          <w:numId w:val="18"/>
        </w:numPr>
        <w:spacing w:after="170" w:line="240" w:lineRule="atLeast"/>
        <w:rPr>
          <w:rFonts w:cs="Arial"/>
        </w:rPr>
      </w:pPr>
      <w:r w:rsidRPr="00AE36F7">
        <w:rPr>
          <w:rFonts w:cs="Arial"/>
        </w:rPr>
        <w:t>extent of issues raised by stakeholders during consultation.</w:t>
      </w:r>
    </w:p>
    <w:p w14:paraId="0153F244" w14:textId="3FA20F42" w:rsidR="00061490" w:rsidRPr="00AE36F7" w:rsidRDefault="006E643B" w:rsidP="006E643B">
      <w:pPr>
        <w:rPr>
          <w:rFonts w:cs="Arial"/>
        </w:rPr>
      </w:pPr>
      <w:r w:rsidRPr="00AE36F7">
        <w:rPr>
          <w:rFonts w:cs="Arial"/>
        </w:rPr>
        <w:t xml:space="preserve">A preliminary CRA has been included in this Report to outline potential future risks associated with the implementation of new fees being introduced by the OGTR for licences and </w:t>
      </w:r>
      <w:r w:rsidRPr="00491105">
        <w:rPr>
          <w:rFonts w:cs="Arial"/>
        </w:rPr>
        <w:t>certifications</w:t>
      </w:r>
      <w:r w:rsidR="00A354E3" w:rsidRPr="00491105">
        <w:rPr>
          <w:rFonts w:cs="Arial"/>
        </w:rPr>
        <w:t xml:space="preserve"> </w:t>
      </w:r>
      <w:r w:rsidR="00A354E3" w:rsidRPr="00403ED8">
        <w:rPr>
          <w:rFonts w:cs="Arial"/>
        </w:rPr>
        <w:t>(</w:t>
      </w:r>
      <w:r w:rsidR="00A354E3" w:rsidRPr="00403ED8">
        <w:rPr>
          <w:rFonts w:cs="Arial"/>
        </w:rPr>
        <w:fldChar w:fldCharType="begin"/>
      </w:r>
      <w:r w:rsidR="00A354E3" w:rsidRPr="00403ED8">
        <w:rPr>
          <w:rFonts w:cs="Arial"/>
        </w:rPr>
        <w:instrText xml:space="preserve"> REF _Ref240574235 \h </w:instrText>
      </w:r>
      <w:r w:rsidR="00491105" w:rsidRPr="00403ED8">
        <w:rPr>
          <w:rFonts w:cs="Arial"/>
        </w:rPr>
        <w:instrText xml:space="preserve"> \* MERGEFORMAT </w:instrText>
      </w:r>
      <w:r w:rsidR="00A354E3" w:rsidRPr="00403ED8">
        <w:rPr>
          <w:rFonts w:cs="Arial"/>
        </w:rPr>
      </w:r>
      <w:r w:rsidR="00A354E3"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11</w:t>
      </w:r>
      <w:r w:rsidR="00A354E3" w:rsidRPr="00403ED8">
        <w:rPr>
          <w:rFonts w:cs="Arial"/>
        </w:rPr>
        <w:fldChar w:fldCharType="end"/>
      </w:r>
      <w:r w:rsidR="00A354E3" w:rsidRPr="00403ED8">
        <w:rPr>
          <w:rFonts w:cs="Arial"/>
        </w:rPr>
        <w:t>)</w:t>
      </w:r>
      <w:r w:rsidRPr="00403ED8">
        <w:rPr>
          <w:rFonts w:cs="Arial"/>
        </w:rPr>
        <w:t xml:space="preserve">. </w:t>
      </w:r>
      <w:r w:rsidRPr="00AE36F7">
        <w:rPr>
          <w:rFonts w:cs="Arial"/>
        </w:rPr>
        <w:t xml:space="preserve">Three “high risk” responses are required to obtain a “high risk” rating. As shown below, three of the implementation risks associated with the proposed fee model are likely to be considered high-risk. For that reason, the overall risk rating is </w:t>
      </w:r>
      <w:r w:rsidRPr="00AE36F7">
        <w:rPr>
          <w:rFonts w:cs="Arial"/>
          <w:b/>
          <w:bCs/>
        </w:rPr>
        <w:t>high</w:t>
      </w:r>
      <w:r w:rsidRPr="00AE36F7">
        <w:rPr>
          <w:rFonts w:cs="Arial"/>
        </w:rPr>
        <w:t xml:space="preserve">. The assigned risk rating acknowledges the introduction of fees for the first time and the variability in stakeholders’ financial ability to pay. In particular, there is a risk that if stakeholders are unable to meet these fees, this may deter innovation. </w:t>
      </w:r>
    </w:p>
    <w:p w14:paraId="023089CC" w14:textId="2DA266CC" w:rsidR="006E643B" w:rsidRPr="0062689F" w:rsidRDefault="006E643B" w:rsidP="00263E1E">
      <w:pPr>
        <w:pStyle w:val="Caption"/>
        <w:rPr>
          <w:rFonts w:cs="Arial"/>
        </w:rPr>
      </w:pPr>
      <w:bookmarkStart w:id="87" w:name="_Ref166856638"/>
      <w:r w:rsidRPr="0062689F">
        <w:rPr>
          <w:rFonts w:cs="Arial"/>
        </w:rPr>
        <w:t xml:space="preserve"> </w:t>
      </w:r>
      <w:bookmarkStart w:id="88" w:name="_Ref240574235"/>
      <w:r w:rsidR="00262EF2" w:rsidRPr="007A6E8B">
        <w:rPr>
          <w:rFonts w:ascii="Calibri Light" w:hAnsi="Calibri Light" w:cstheme="minorBidi"/>
          <w:i w:val="0"/>
          <w:color w:val="3A7C22" w:themeColor="accent6" w:themeShade="BF"/>
          <w:kern w:val="0"/>
          <w:sz w:val="20"/>
          <w:szCs w:val="20"/>
          <w14:ligatures w14:val="none"/>
        </w:rPr>
        <w:t xml:space="preserve">Table </w:t>
      </w:r>
      <w:r w:rsidR="00262EF2" w:rsidRPr="007A6E8B">
        <w:rPr>
          <w:rFonts w:ascii="Calibri Light" w:hAnsi="Calibri Light" w:cstheme="minorBidi"/>
          <w:i w:val="0"/>
          <w:color w:val="3A7C22" w:themeColor="accent6" w:themeShade="BF"/>
          <w:kern w:val="0"/>
          <w:sz w:val="20"/>
          <w:szCs w:val="20"/>
          <w14:ligatures w14:val="none"/>
        </w:rPr>
        <w:fldChar w:fldCharType="begin"/>
      </w:r>
      <w:r w:rsidR="00262EF2"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00262EF2" w:rsidRPr="007A6E8B">
        <w:rPr>
          <w:rFonts w:ascii="Calibri Light" w:hAnsi="Calibri Light" w:cstheme="minorBidi"/>
          <w:i w:val="0"/>
          <w:color w:val="3A7C22" w:themeColor="accent6" w:themeShade="BF"/>
          <w:kern w:val="0"/>
          <w:sz w:val="2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11</w:t>
      </w:r>
      <w:r w:rsidR="00262EF2" w:rsidRPr="007A6E8B">
        <w:rPr>
          <w:rFonts w:ascii="Calibri Light" w:hAnsi="Calibri Light" w:cstheme="minorBidi"/>
          <w:i w:val="0"/>
          <w:color w:val="3A7C22" w:themeColor="accent6" w:themeShade="BF"/>
          <w:kern w:val="0"/>
          <w:sz w:val="20"/>
          <w:szCs w:val="20"/>
          <w14:ligatures w14:val="none"/>
        </w:rPr>
        <w:fldChar w:fldCharType="end"/>
      </w:r>
      <w:bookmarkEnd w:id="88"/>
      <w:r w:rsidR="00262EF2" w:rsidRPr="007A6E8B">
        <w:rPr>
          <w:rFonts w:ascii="Calibri Light" w:hAnsi="Calibri Light" w:cstheme="minorBidi"/>
          <w:i w:val="0"/>
          <w:color w:val="3A7C22" w:themeColor="accent6" w:themeShade="BF"/>
          <w:kern w:val="0"/>
          <w:sz w:val="20"/>
          <w:szCs w:val="20"/>
          <w14:ligatures w14:val="none"/>
        </w:rPr>
        <w:t xml:space="preserve">: </w:t>
      </w:r>
      <w:r w:rsidRPr="007A6E8B">
        <w:rPr>
          <w:rFonts w:ascii="Calibri Light" w:hAnsi="Calibri Light" w:cstheme="minorBidi"/>
          <w:i w:val="0"/>
          <w:color w:val="3A7C22" w:themeColor="accent6" w:themeShade="BF"/>
          <w:kern w:val="0"/>
          <w:sz w:val="20"/>
          <w:szCs w:val="20"/>
          <w14:ligatures w14:val="none"/>
        </w:rPr>
        <w:t>Charging Risk Assessment</w:t>
      </w:r>
      <w:bookmarkEnd w:id="87"/>
      <w:r w:rsidRPr="007A6E8B">
        <w:rPr>
          <w:rFonts w:ascii="Calibri Light" w:hAnsi="Calibri Light" w:cstheme="minorBidi"/>
          <w:i w:val="0"/>
          <w:color w:val="3A7C22" w:themeColor="accent6" w:themeShade="BF"/>
          <w:kern w:val="0"/>
          <w:sz w:val="20"/>
          <w:szCs w:val="20"/>
          <w14:ligatures w14:val="none"/>
        </w:rPr>
        <w:t xml:space="preserve"> for new OGTR licence and application fees</w:t>
      </w:r>
    </w:p>
    <w:tbl>
      <w:tblPr>
        <w:tblStyle w:val="Deloittetable"/>
        <w:tblW w:w="0" w:type="auto"/>
        <w:tblLayout w:type="fixed"/>
        <w:tblLook w:val="04A0" w:firstRow="1" w:lastRow="0" w:firstColumn="1" w:lastColumn="0" w:noHBand="0" w:noVBand="1"/>
      </w:tblPr>
      <w:tblGrid>
        <w:gridCol w:w="1830"/>
        <w:gridCol w:w="438"/>
        <w:gridCol w:w="1187"/>
        <w:gridCol w:w="354"/>
        <w:gridCol w:w="1297"/>
        <w:gridCol w:w="354"/>
        <w:gridCol w:w="1486"/>
        <w:gridCol w:w="2070"/>
      </w:tblGrid>
      <w:tr w:rsidR="006E643B" w:rsidRPr="00AE36F7" w14:paraId="763B1AF7" w14:textId="77777777" w:rsidTr="00FD14BC">
        <w:trPr>
          <w:cnfStyle w:val="100000000000" w:firstRow="1" w:lastRow="0" w:firstColumn="0" w:lastColumn="0" w:oddVBand="0" w:evenVBand="0" w:oddHBand="0" w:evenHBand="0" w:firstRowFirstColumn="0" w:firstRowLastColumn="0" w:lastRowFirstColumn="0" w:lastRowLastColumn="0"/>
          <w:tblHeader/>
        </w:trPr>
        <w:tc>
          <w:tcPr>
            <w:tcW w:w="1830" w:type="dxa"/>
          </w:tcPr>
          <w:p w14:paraId="1B230C50" w14:textId="77777777" w:rsidR="006E643B" w:rsidRPr="0062689F" w:rsidRDefault="006E643B" w:rsidP="00FD14BC">
            <w:pPr>
              <w:pStyle w:val="Tablecolumnheading"/>
              <w:rPr>
                <w:rFonts w:ascii="Arial" w:hAnsi="Arial" w:cs="Arial"/>
                <w:color w:val="196B24" w:themeColor="accent3"/>
              </w:rPr>
            </w:pPr>
            <w:r w:rsidRPr="0062689F">
              <w:rPr>
                <w:rFonts w:ascii="Arial" w:hAnsi="Arial" w:cs="Arial"/>
                <w:color w:val="196B24" w:themeColor="accent3"/>
              </w:rPr>
              <w:t>Implementation risks</w:t>
            </w:r>
          </w:p>
        </w:tc>
        <w:tc>
          <w:tcPr>
            <w:tcW w:w="1625" w:type="dxa"/>
            <w:gridSpan w:val="2"/>
          </w:tcPr>
          <w:p w14:paraId="2A9C0B32" w14:textId="77777777" w:rsidR="006E643B" w:rsidRPr="0062689F" w:rsidRDefault="006E643B" w:rsidP="00FD14BC">
            <w:pPr>
              <w:pStyle w:val="Tablecolumnheading"/>
              <w:rPr>
                <w:rFonts w:ascii="Arial" w:hAnsi="Arial" w:cs="Arial"/>
                <w:color w:val="196B24" w:themeColor="accent3"/>
              </w:rPr>
            </w:pPr>
            <w:r w:rsidRPr="0062689F">
              <w:rPr>
                <w:rFonts w:ascii="Arial" w:hAnsi="Arial" w:cs="Arial"/>
                <w:color w:val="196B24" w:themeColor="accent3"/>
              </w:rPr>
              <w:t>Low</w:t>
            </w:r>
          </w:p>
        </w:tc>
        <w:tc>
          <w:tcPr>
            <w:tcW w:w="1651" w:type="dxa"/>
            <w:gridSpan w:val="2"/>
          </w:tcPr>
          <w:p w14:paraId="3F663523" w14:textId="77777777" w:rsidR="006E643B" w:rsidRPr="0062689F" w:rsidRDefault="006E643B" w:rsidP="00FD14BC">
            <w:pPr>
              <w:pStyle w:val="Tablecolumnheading"/>
              <w:rPr>
                <w:rFonts w:ascii="Arial" w:hAnsi="Arial" w:cs="Arial"/>
                <w:color w:val="196B24" w:themeColor="accent3"/>
              </w:rPr>
            </w:pPr>
            <w:r w:rsidRPr="0062689F">
              <w:rPr>
                <w:rFonts w:ascii="Arial" w:hAnsi="Arial" w:cs="Arial"/>
                <w:color w:val="196B24" w:themeColor="accent3"/>
              </w:rPr>
              <w:t>Medium</w:t>
            </w:r>
          </w:p>
        </w:tc>
        <w:tc>
          <w:tcPr>
            <w:tcW w:w="1840" w:type="dxa"/>
            <w:gridSpan w:val="2"/>
          </w:tcPr>
          <w:p w14:paraId="4F114D7D" w14:textId="77777777" w:rsidR="006E643B" w:rsidRPr="0062689F" w:rsidRDefault="006E643B" w:rsidP="00FD14BC">
            <w:pPr>
              <w:pStyle w:val="Tablecolumnheading"/>
              <w:rPr>
                <w:rFonts w:ascii="Arial" w:hAnsi="Arial" w:cs="Arial"/>
                <w:color w:val="196B24" w:themeColor="accent3"/>
              </w:rPr>
            </w:pPr>
            <w:r w:rsidRPr="0062689F">
              <w:rPr>
                <w:rFonts w:ascii="Arial" w:hAnsi="Arial" w:cs="Arial"/>
                <w:color w:val="196B24" w:themeColor="accent3"/>
              </w:rPr>
              <w:t>High</w:t>
            </w:r>
          </w:p>
        </w:tc>
        <w:tc>
          <w:tcPr>
            <w:tcW w:w="2070" w:type="dxa"/>
          </w:tcPr>
          <w:p w14:paraId="65D6A314" w14:textId="77777777" w:rsidR="006E643B" w:rsidRPr="0062689F" w:rsidRDefault="006E643B" w:rsidP="00FD14BC">
            <w:pPr>
              <w:pStyle w:val="Tablecolumnheading"/>
              <w:rPr>
                <w:rFonts w:ascii="Arial" w:hAnsi="Arial" w:cs="Arial"/>
                <w:color w:val="196B24" w:themeColor="accent3"/>
              </w:rPr>
            </w:pPr>
            <w:r w:rsidRPr="0062689F">
              <w:rPr>
                <w:rFonts w:ascii="Arial" w:hAnsi="Arial" w:cs="Arial"/>
                <w:color w:val="196B24" w:themeColor="accent3"/>
              </w:rPr>
              <w:t>Rationale</w:t>
            </w:r>
          </w:p>
        </w:tc>
      </w:tr>
      <w:tr w:rsidR="006E643B" w:rsidRPr="00AE36F7" w14:paraId="679BFD9F" w14:textId="77777777" w:rsidTr="00FD14BC">
        <w:tc>
          <w:tcPr>
            <w:tcW w:w="1830" w:type="dxa"/>
          </w:tcPr>
          <w:p w14:paraId="54867ABA" w14:textId="77777777" w:rsidR="006E643B" w:rsidRPr="0062689F" w:rsidRDefault="006E643B" w:rsidP="006E643B">
            <w:pPr>
              <w:pStyle w:val="Tablebodytext"/>
              <w:numPr>
                <w:ilvl w:val="0"/>
                <w:numId w:val="20"/>
              </w:numPr>
              <w:spacing w:before="57" w:line="220" w:lineRule="atLeast"/>
              <w:ind w:left="431" w:right="96"/>
              <w:rPr>
                <w:rFonts w:ascii="Arial" w:hAnsi="Arial" w:cs="Arial"/>
              </w:rPr>
            </w:pPr>
            <w:r w:rsidRPr="0062689F">
              <w:rPr>
                <w:rFonts w:ascii="Arial" w:hAnsi="Arial" w:cs="Arial"/>
              </w:rPr>
              <w:t xml:space="preserve">What is the proposed change in annual cost recovery </w:t>
            </w:r>
            <w:r w:rsidRPr="0062689F">
              <w:rPr>
                <w:rFonts w:ascii="Arial" w:hAnsi="Arial" w:cs="Arial"/>
              </w:rPr>
              <w:lastRenderedPageBreak/>
              <w:t>revenue for the activity?</w:t>
            </w:r>
          </w:p>
        </w:tc>
        <w:tc>
          <w:tcPr>
            <w:tcW w:w="438" w:type="dxa"/>
          </w:tcPr>
          <w:p w14:paraId="461F1B4B" w14:textId="77777777" w:rsidR="006E643B" w:rsidRPr="0062689F" w:rsidRDefault="006E643B" w:rsidP="00FD14BC">
            <w:pPr>
              <w:pStyle w:val="Tablebodytext"/>
              <w:rPr>
                <w:rFonts w:ascii="Arial" w:hAnsi="Arial" w:cs="Arial"/>
              </w:rPr>
            </w:pPr>
            <w:r w:rsidRPr="0062689F">
              <w:rPr>
                <w:rFonts w:ascii="Arial" w:hAnsi="Arial" w:cs="Arial"/>
              </w:rPr>
              <w:lastRenderedPageBreak/>
              <w:sym w:font="Wingdings" w:char="F06F"/>
            </w:r>
          </w:p>
        </w:tc>
        <w:tc>
          <w:tcPr>
            <w:tcW w:w="1187" w:type="dxa"/>
          </w:tcPr>
          <w:p w14:paraId="3266F167" w14:textId="77777777" w:rsidR="006E643B" w:rsidRPr="0062689F" w:rsidRDefault="006E643B" w:rsidP="00FD14BC">
            <w:pPr>
              <w:pStyle w:val="Tablebodytext"/>
              <w:rPr>
                <w:rFonts w:ascii="Arial" w:hAnsi="Arial" w:cs="Arial"/>
              </w:rPr>
            </w:pPr>
            <w:r w:rsidRPr="0062689F">
              <w:rPr>
                <w:rFonts w:ascii="Arial" w:hAnsi="Arial" w:cs="Arial"/>
              </w:rPr>
              <w:t>&lt;5%</w:t>
            </w:r>
          </w:p>
        </w:tc>
        <w:tc>
          <w:tcPr>
            <w:tcW w:w="354" w:type="dxa"/>
          </w:tcPr>
          <w:p w14:paraId="3247B823" w14:textId="77777777" w:rsidR="006E643B" w:rsidRPr="0062689F" w:rsidRDefault="006E643B" w:rsidP="00FD14BC">
            <w:pPr>
              <w:pStyle w:val="Tablebodytext"/>
              <w:rPr>
                <w:rFonts w:ascii="Arial" w:hAnsi="Arial" w:cs="Arial"/>
              </w:rPr>
            </w:pPr>
            <w:r w:rsidRPr="0062689F">
              <w:rPr>
                <w:rFonts w:ascii="Arial" w:hAnsi="Arial" w:cs="Arial"/>
              </w:rPr>
              <w:sym w:font="Wingdings" w:char="F06F"/>
            </w:r>
          </w:p>
        </w:tc>
        <w:tc>
          <w:tcPr>
            <w:tcW w:w="1297" w:type="dxa"/>
          </w:tcPr>
          <w:p w14:paraId="046FE7A4" w14:textId="77777777" w:rsidR="006E643B" w:rsidRPr="0062689F" w:rsidRDefault="006E643B" w:rsidP="00FD14BC">
            <w:pPr>
              <w:pStyle w:val="Tablebodytext"/>
              <w:rPr>
                <w:rFonts w:ascii="Arial" w:hAnsi="Arial" w:cs="Arial"/>
              </w:rPr>
            </w:pPr>
            <w:r w:rsidRPr="0062689F">
              <w:rPr>
                <w:rFonts w:ascii="Arial" w:hAnsi="Arial" w:cs="Arial"/>
              </w:rPr>
              <w:t>5 &lt; 10 %</w:t>
            </w:r>
          </w:p>
        </w:tc>
        <w:tc>
          <w:tcPr>
            <w:tcW w:w="354" w:type="dxa"/>
            <w:shd w:val="clear" w:color="auto" w:fill="C1F0C7" w:themeFill="accent3" w:themeFillTint="33"/>
          </w:tcPr>
          <w:p w14:paraId="541638A6" w14:textId="77777777" w:rsidR="006E643B" w:rsidRPr="0062689F" w:rsidRDefault="006E643B" w:rsidP="00FD14BC">
            <w:pPr>
              <w:pStyle w:val="Tablebodytext"/>
              <w:rPr>
                <w:rFonts w:ascii="Arial" w:hAnsi="Arial" w:cs="Arial"/>
              </w:rPr>
            </w:pPr>
            <w:r w:rsidRPr="0062689F">
              <w:rPr>
                <w:rFonts w:ascii="Arial" w:hAnsi="Arial" w:cs="Arial"/>
              </w:rPr>
              <w:t>X</w:t>
            </w:r>
          </w:p>
        </w:tc>
        <w:tc>
          <w:tcPr>
            <w:tcW w:w="1486" w:type="dxa"/>
            <w:shd w:val="clear" w:color="auto" w:fill="C1F0C7" w:themeFill="accent3" w:themeFillTint="33"/>
          </w:tcPr>
          <w:p w14:paraId="73880960" w14:textId="77777777" w:rsidR="006E643B" w:rsidRPr="0062689F" w:rsidRDefault="006E643B" w:rsidP="00FD14BC">
            <w:pPr>
              <w:pStyle w:val="Tablebodytext"/>
              <w:rPr>
                <w:rFonts w:ascii="Arial" w:hAnsi="Arial" w:cs="Arial"/>
              </w:rPr>
            </w:pPr>
            <w:r w:rsidRPr="0062689F">
              <w:rPr>
                <w:rFonts w:ascii="Arial" w:hAnsi="Arial" w:cs="Arial"/>
              </w:rPr>
              <w:t xml:space="preserve">&gt;10% </w:t>
            </w:r>
          </w:p>
          <w:p w14:paraId="44DC963F" w14:textId="77777777" w:rsidR="006E643B" w:rsidRPr="0062689F" w:rsidRDefault="006E643B" w:rsidP="00FD14BC">
            <w:pPr>
              <w:pStyle w:val="Tablebodytext"/>
              <w:rPr>
                <w:rFonts w:ascii="Arial" w:hAnsi="Arial" w:cs="Arial"/>
              </w:rPr>
            </w:pPr>
            <w:r w:rsidRPr="0062689F">
              <w:rPr>
                <w:rFonts w:ascii="Arial" w:hAnsi="Arial" w:cs="Arial"/>
              </w:rPr>
              <w:t>Or</w:t>
            </w:r>
          </w:p>
          <w:p w14:paraId="5D7CB7CA" w14:textId="77777777" w:rsidR="006E643B" w:rsidRPr="0062689F" w:rsidRDefault="006E643B" w:rsidP="00FD14BC">
            <w:pPr>
              <w:pStyle w:val="Tablebodytext"/>
              <w:rPr>
                <w:rFonts w:ascii="Arial" w:hAnsi="Arial" w:cs="Arial"/>
              </w:rPr>
            </w:pPr>
            <w:r w:rsidRPr="0062689F">
              <w:rPr>
                <w:rFonts w:ascii="Arial" w:hAnsi="Arial" w:cs="Arial"/>
              </w:rPr>
              <w:t>New</w:t>
            </w:r>
          </w:p>
        </w:tc>
        <w:tc>
          <w:tcPr>
            <w:tcW w:w="2070" w:type="dxa"/>
          </w:tcPr>
          <w:p w14:paraId="14A3B679" w14:textId="77777777" w:rsidR="006E643B" w:rsidRPr="0062689F" w:rsidRDefault="006E643B" w:rsidP="00FD14BC">
            <w:pPr>
              <w:pStyle w:val="Tablebodytext"/>
              <w:rPr>
                <w:rFonts w:ascii="Arial" w:hAnsi="Arial" w:cs="Arial"/>
              </w:rPr>
            </w:pPr>
            <w:r w:rsidRPr="0062689F">
              <w:rPr>
                <w:rFonts w:ascii="Arial" w:hAnsi="Arial" w:cs="Arial"/>
              </w:rPr>
              <w:t>The proposed fees are new.</w:t>
            </w:r>
          </w:p>
        </w:tc>
      </w:tr>
      <w:tr w:rsidR="006E643B" w:rsidRPr="00AE36F7" w14:paraId="2A97BA88" w14:textId="77777777" w:rsidTr="00FD14BC">
        <w:trPr>
          <w:trHeight w:val="662"/>
        </w:trPr>
        <w:tc>
          <w:tcPr>
            <w:tcW w:w="1830" w:type="dxa"/>
          </w:tcPr>
          <w:p w14:paraId="665DA968" w14:textId="77777777" w:rsidR="006E643B" w:rsidRPr="006310D8" w:rsidRDefault="006E643B" w:rsidP="006E643B">
            <w:pPr>
              <w:pStyle w:val="Tablebodytext"/>
              <w:numPr>
                <w:ilvl w:val="0"/>
                <w:numId w:val="20"/>
              </w:numPr>
              <w:spacing w:before="57" w:line="220" w:lineRule="atLeast"/>
              <w:ind w:left="431" w:right="96"/>
              <w:rPr>
                <w:rFonts w:ascii="Arial" w:hAnsi="Arial" w:cs="Arial"/>
              </w:rPr>
            </w:pPr>
            <w:r w:rsidRPr="006310D8">
              <w:rPr>
                <w:rFonts w:ascii="Arial" w:hAnsi="Arial" w:cs="Arial"/>
              </w:rPr>
              <w:t>What is the total proposed annual cost recovery revenue for the activity?</w:t>
            </w:r>
          </w:p>
        </w:tc>
        <w:tc>
          <w:tcPr>
            <w:tcW w:w="438" w:type="dxa"/>
            <w:shd w:val="clear" w:color="auto" w:fill="C1F0C7" w:themeFill="accent3" w:themeFillTint="33"/>
          </w:tcPr>
          <w:p w14:paraId="3238E328" w14:textId="77777777" w:rsidR="006E643B" w:rsidRPr="006310D8" w:rsidRDefault="006E643B" w:rsidP="00FD14BC">
            <w:pPr>
              <w:pStyle w:val="Tablebodytext"/>
              <w:rPr>
                <w:rFonts w:ascii="Arial" w:hAnsi="Arial" w:cs="Arial"/>
              </w:rPr>
            </w:pPr>
            <w:r w:rsidRPr="006310D8">
              <w:rPr>
                <w:rFonts w:ascii="Arial" w:hAnsi="Arial" w:cs="Arial"/>
              </w:rPr>
              <w:t>X</w:t>
            </w:r>
          </w:p>
        </w:tc>
        <w:tc>
          <w:tcPr>
            <w:tcW w:w="1187" w:type="dxa"/>
            <w:shd w:val="clear" w:color="auto" w:fill="C1F0C7" w:themeFill="accent3" w:themeFillTint="33"/>
          </w:tcPr>
          <w:p w14:paraId="4B6F5058" w14:textId="77777777" w:rsidR="006E643B" w:rsidRPr="006310D8" w:rsidRDefault="006E643B" w:rsidP="00FD14BC">
            <w:pPr>
              <w:pStyle w:val="Tablebodytext"/>
              <w:rPr>
                <w:rFonts w:ascii="Arial" w:hAnsi="Arial" w:cs="Arial"/>
              </w:rPr>
            </w:pPr>
            <w:r w:rsidRPr="006310D8">
              <w:rPr>
                <w:rFonts w:ascii="Arial" w:hAnsi="Arial" w:cs="Arial"/>
              </w:rPr>
              <w:t>0 - $10m</w:t>
            </w:r>
          </w:p>
        </w:tc>
        <w:tc>
          <w:tcPr>
            <w:tcW w:w="354" w:type="dxa"/>
          </w:tcPr>
          <w:p w14:paraId="086A1F82" w14:textId="77777777" w:rsidR="006E643B" w:rsidRPr="006310D8" w:rsidRDefault="006E643B" w:rsidP="00FD14BC">
            <w:pPr>
              <w:pStyle w:val="Tablebodytext"/>
              <w:rPr>
                <w:rFonts w:ascii="Arial" w:hAnsi="Arial" w:cs="Arial"/>
              </w:rPr>
            </w:pPr>
            <w:r w:rsidRPr="0062689F">
              <w:rPr>
                <w:rFonts w:ascii="Arial" w:hAnsi="Arial" w:cs="Arial"/>
              </w:rPr>
              <w:sym w:font="Wingdings" w:char="F06F"/>
            </w:r>
          </w:p>
        </w:tc>
        <w:tc>
          <w:tcPr>
            <w:tcW w:w="1297" w:type="dxa"/>
          </w:tcPr>
          <w:p w14:paraId="6A47620A" w14:textId="77777777" w:rsidR="006E643B" w:rsidRPr="006310D8" w:rsidRDefault="006E643B" w:rsidP="00FD14BC">
            <w:pPr>
              <w:pStyle w:val="Tablebodytext"/>
              <w:rPr>
                <w:rFonts w:ascii="Arial" w:hAnsi="Arial" w:cs="Arial"/>
              </w:rPr>
            </w:pPr>
            <w:r w:rsidRPr="006310D8">
              <w:rPr>
                <w:rFonts w:ascii="Arial" w:hAnsi="Arial" w:cs="Arial"/>
              </w:rPr>
              <w:t>$10m &lt; $20m</w:t>
            </w:r>
          </w:p>
        </w:tc>
        <w:tc>
          <w:tcPr>
            <w:tcW w:w="354" w:type="dxa"/>
          </w:tcPr>
          <w:p w14:paraId="4F891317"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486" w:type="dxa"/>
          </w:tcPr>
          <w:p w14:paraId="58AE440D" w14:textId="77777777" w:rsidR="006E643B" w:rsidRPr="006310D8" w:rsidRDefault="006E643B" w:rsidP="00FD14BC">
            <w:pPr>
              <w:pStyle w:val="Tablebodytext"/>
              <w:rPr>
                <w:rFonts w:ascii="Arial" w:hAnsi="Arial" w:cs="Arial"/>
              </w:rPr>
            </w:pPr>
            <w:r w:rsidRPr="006310D8">
              <w:rPr>
                <w:rFonts w:ascii="Arial" w:hAnsi="Arial" w:cs="Arial"/>
              </w:rPr>
              <w:t>$20m+</w:t>
            </w:r>
          </w:p>
        </w:tc>
        <w:tc>
          <w:tcPr>
            <w:tcW w:w="2070" w:type="dxa"/>
          </w:tcPr>
          <w:p w14:paraId="307599BD" w14:textId="77777777" w:rsidR="006E643B" w:rsidRPr="006310D8" w:rsidRDefault="006E643B" w:rsidP="00FD14BC">
            <w:pPr>
              <w:pStyle w:val="Tablebodytext"/>
              <w:rPr>
                <w:rFonts w:ascii="Arial" w:hAnsi="Arial" w:cs="Arial"/>
              </w:rPr>
            </w:pPr>
            <w:r w:rsidRPr="006310D8">
              <w:rPr>
                <w:rFonts w:ascii="Arial" w:hAnsi="Arial" w:cs="Arial"/>
              </w:rPr>
              <w:t>The proposed fees are expected to yield approximately $1.5 million (on average, over five years) in annual cost recovery revenue.</w:t>
            </w:r>
          </w:p>
        </w:tc>
      </w:tr>
      <w:tr w:rsidR="006E643B" w:rsidRPr="00AE36F7" w14:paraId="705821ED" w14:textId="77777777" w:rsidTr="00FD14BC">
        <w:tc>
          <w:tcPr>
            <w:tcW w:w="1830" w:type="dxa"/>
          </w:tcPr>
          <w:p w14:paraId="19DBC934" w14:textId="77777777" w:rsidR="006E643B" w:rsidRPr="006310D8" w:rsidRDefault="006E643B" w:rsidP="006E643B">
            <w:pPr>
              <w:pStyle w:val="Tablebodytext"/>
              <w:numPr>
                <w:ilvl w:val="0"/>
                <w:numId w:val="20"/>
              </w:numPr>
              <w:spacing w:before="57" w:line="220" w:lineRule="atLeast"/>
              <w:ind w:left="431" w:right="96"/>
              <w:rPr>
                <w:rFonts w:ascii="Arial" w:hAnsi="Arial" w:cs="Arial"/>
              </w:rPr>
            </w:pPr>
            <w:r w:rsidRPr="006310D8">
              <w:rPr>
                <w:rFonts w:ascii="Arial" w:hAnsi="Arial" w:cs="Arial"/>
              </w:rPr>
              <w:t>What does the policy proposal or change in the cost recovered activity involve?</w:t>
            </w:r>
          </w:p>
        </w:tc>
        <w:tc>
          <w:tcPr>
            <w:tcW w:w="438" w:type="dxa"/>
          </w:tcPr>
          <w:p w14:paraId="1FC2828B" w14:textId="77777777" w:rsidR="006E643B" w:rsidRPr="006310D8" w:rsidRDefault="006E643B" w:rsidP="00FD14BC">
            <w:pPr>
              <w:pStyle w:val="Tablebodytext"/>
              <w:rPr>
                <w:rFonts w:ascii="Arial" w:hAnsi="Arial" w:cs="Arial"/>
              </w:rPr>
            </w:pPr>
            <w:r w:rsidRPr="0062689F">
              <w:rPr>
                <w:rFonts w:ascii="Arial" w:hAnsi="Arial" w:cs="Arial"/>
              </w:rPr>
              <w:sym w:font="Wingdings" w:char="F06F"/>
            </w:r>
          </w:p>
        </w:tc>
        <w:tc>
          <w:tcPr>
            <w:tcW w:w="1187" w:type="dxa"/>
          </w:tcPr>
          <w:p w14:paraId="0416E03F" w14:textId="77777777" w:rsidR="006E643B" w:rsidRPr="006310D8" w:rsidRDefault="006E643B" w:rsidP="00FD14BC">
            <w:pPr>
              <w:pStyle w:val="Tablebodytext"/>
              <w:rPr>
                <w:rFonts w:ascii="Arial" w:hAnsi="Arial" w:cs="Arial"/>
              </w:rPr>
            </w:pPr>
            <w:r w:rsidRPr="006310D8">
              <w:rPr>
                <w:rFonts w:ascii="Arial" w:hAnsi="Arial" w:cs="Arial"/>
              </w:rPr>
              <w:t>Change in the level of existing cost recovery charges</w:t>
            </w:r>
          </w:p>
        </w:tc>
        <w:tc>
          <w:tcPr>
            <w:tcW w:w="354" w:type="dxa"/>
          </w:tcPr>
          <w:p w14:paraId="7CA58AE1"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297" w:type="dxa"/>
          </w:tcPr>
          <w:p w14:paraId="75CDCA34" w14:textId="77777777" w:rsidR="006E643B" w:rsidRPr="006310D8" w:rsidRDefault="006E643B" w:rsidP="00FD14BC">
            <w:pPr>
              <w:pStyle w:val="Tablebodytext"/>
              <w:rPr>
                <w:rFonts w:ascii="Arial" w:hAnsi="Arial" w:cs="Arial"/>
              </w:rPr>
            </w:pPr>
            <w:r w:rsidRPr="006310D8">
              <w:rPr>
                <w:rFonts w:ascii="Arial" w:hAnsi="Arial" w:cs="Arial"/>
              </w:rPr>
              <w:t>Change in the structure of existing cost recovery charges and/or composition of payers</w:t>
            </w:r>
          </w:p>
        </w:tc>
        <w:tc>
          <w:tcPr>
            <w:tcW w:w="354" w:type="dxa"/>
            <w:shd w:val="clear" w:color="auto" w:fill="C1F0C7" w:themeFill="accent3" w:themeFillTint="33"/>
          </w:tcPr>
          <w:p w14:paraId="72D31F74" w14:textId="77777777" w:rsidR="006E643B" w:rsidRPr="006310D8" w:rsidRDefault="006E643B" w:rsidP="00FD14BC">
            <w:pPr>
              <w:pStyle w:val="Tablebodytext"/>
              <w:rPr>
                <w:rFonts w:ascii="Arial" w:hAnsi="Arial" w:cs="Arial"/>
              </w:rPr>
            </w:pPr>
            <w:r w:rsidRPr="006310D8">
              <w:rPr>
                <w:rFonts w:ascii="Arial" w:hAnsi="Arial" w:cs="Arial"/>
              </w:rPr>
              <w:t>X</w:t>
            </w:r>
          </w:p>
        </w:tc>
        <w:tc>
          <w:tcPr>
            <w:tcW w:w="1486" w:type="dxa"/>
            <w:shd w:val="clear" w:color="auto" w:fill="C1F0C7" w:themeFill="accent3" w:themeFillTint="33"/>
          </w:tcPr>
          <w:p w14:paraId="286A9B01" w14:textId="77777777" w:rsidR="006E643B" w:rsidRPr="006310D8" w:rsidRDefault="006E643B" w:rsidP="00FD14BC">
            <w:pPr>
              <w:pStyle w:val="Tablebodytext"/>
              <w:rPr>
                <w:rFonts w:ascii="Arial" w:hAnsi="Arial" w:cs="Arial"/>
              </w:rPr>
            </w:pPr>
            <w:r w:rsidRPr="006310D8">
              <w:rPr>
                <w:rFonts w:ascii="Arial" w:hAnsi="Arial" w:cs="Arial"/>
              </w:rPr>
              <w:t xml:space="preserve">Introduction of cost </w:t>
            </w:r>
            <w:r w:rsidRPr="006310D8">
              <w:rPr>
                <w:rFonts w:ascii="Arial" w:hAnsi="Arial" w:cs="Arial"/>
                <w:shd w:val="clear" w:color="auto" w:fill="C1F0C7" w:themeFill="accent3" w:themeFillTint="33"/>
              </w:rPr>
              <w:t>recovery for a new activity or for an existing activity (</w:t>
            </w:r>
            <w:r w:rsidRPr="006310D8">
              <w:rPr>
                <w:rFonts w:ascii="Arial" w:hAnsi="Arial" w:cs="Arial"/>
              </w:rPr>
              <w:t>or its components) that has not been cost recovered previously</w:t>
            </w:r>
          </w:p>
        </w:tc>
        <w:tc>
          <w:tcPr>
            <w:tcW w:w="2070" w:type="dxa"/>
          </w:tcPr>
          <w:p w14:paraId="1CC94491" w14:textId="77777777" w:rsidR="006E643B" w:rsidRPr="006310D8" w:rsidRDefault="006E643B" w:rsidP="00FD14BC">
            <w:pPr>
              <w:pStyle w:val="Tablebodytext"/>
              <w:rPr>
                <w:rFonts w:ascii="Arial" w:hAnsi="Arial" w:cs="Arial"/>
              </w:rPr>
            </w:pPr>
            <w:r w:rsidRPr="006310D8">
              <w:rPr>
                <w:rFonts w:ascii="Arial" w:hAnsi="Arial" w:cs="Arial"/>
              </w:rPr>
              <w:t>The proposed cost recovery model involves the introduction of fees for the first time for existing activities that have not been cost recovered previously.</w:t>
            </w:r>
          </w:p>
        </w:tc>
      </w:tr>
      <w:tr w:rsidR="006E643B" w:rsidRPr="00AE36F7" w14:paraId="3D184485" w14:textId="77777777" w:rsidTr="00FD14BC">
        <w:tc>
          <w:tcPr>
            <w:tcW w:w="1830" w:type="dxa"/>
          </w:tcPr>
          <w:p w14:paraId="001A643B" w14:textId="77777777" w:rsidR="006E643B" w:rsidRPr="006310D8" w:rsidRDefault="006E643B" w:rsidP="006E643B">
            <w:pPr>
              <w:pStyle w:val="Tablebodytext"/>
              <w:numPr>
                <w:ilvl w:val="0"/>
                <w:numId w:val="20"/>
              </w:numPr>
              <w:spacing w:before="57" w:line="220" w:lineRule="atLeast"/>
              <w:ind w:left="431" w:right="96"/>
              <w:rPr>
                <w:rFonts w:ascii="Arial" w:hAnsi="Arial" w:cs="Arial"/>
              </w:rPr>
            </w:pPr>
            <w:r w:rsidRPr="006310D8">
              <w:rPr>
                <w:rFonts w:ascii="Arial" w:hAnsi="Arial" w:cs="Arial"/>
              </w:rPr>
              <w:t>What type of cost recovery charges will be used?</w:t>
            </w:r>
          </w:p>
        </w:tc>
        <w:tc>
          <w:tcPr>
            <w:tcW w:w="438" w:type="dxa"/>
          </w:tcPr>
          <w:p w14:paraId="0F83EAE7"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187" w:type="dxa"/>
          </w:tcPr>
          <w:p w14:paraId="52D74DA0" w14:textId="77777777" w:rsidR="006E643B" w:rsidRPr="006310D8" w:rsidRDefault="006E643B" w:rsidP="00FD14BC">
            <w:pPr>
              <w:pStyle w:val="Tablebodytext"/>
              <w:rPr>
                <w:rFonts w:ascii="Arial" w:hAnsi="Arial" w:cs="Arial"/>
              </w:rPr>
            </w:pPr>
            <w:r w:rsidRPr="006310D8">
              <w:rPr>
                <w:rFonts w:ascii="Arial" w:hAnsi="Arial" w:cs="Arial"/>
              </w:rPr>
              <w:t>Levies only</w:t>
            </w:r>
          </w:p>
        </w:tc>
        <w:tc>
          <w:tcPr>
            <w:tcW w:w="354" w:type="dxa"/>
            <w:shd w:val="clear" w:color="auto" w:fill="C1F0C7" w:themeFill="accent3" w:themeFillTint="33"/>
          </w:tcPr>
          <w:p w14:paraId="28C9D3B1" w14:textId="77777777" w:rsidR="006E643B" w:rsidRPr="006310D8" w:rsidRDefault="006E643B" w:rsidP="00FD14BC">
            <w:pPr>
              <w:pStyle w:val="Tablebodytext"/>
              <w:rPr>
                <w:rFonts w:ascii="Arial" w:hAnsi="Arial" w:cs="Arial"/>
              </w:rPr>
            </w:pPr>
            <w:r w:rsidRPr="006310D8">
              <w:rPr>
                <w:rFonts w:ascii="Arial" w:hAnsi="Arial" w:cs="Arial"/>
              </w:rPr>
              <w:t>X</w:t>
            </w:r>
          </w:p>
        </w:tc>
        <w:tc>
          <w:tcPr>
            <w:tcW w:w="1297" w:type="dxa"/>
            <w:shd w:val="clear" w:color="auto" w:fill="C1F0C7" w:themeFill="accent3" w:themeFillTint="33"/>
          </w:tcPr>
          <w:p w14:paraId="61CAEDD0" w14:textId="77777777" w:rsidR="006E643B" w:rsidRPr="006310D8" w:rsidRDefault="006E643B" w:rsidP="00FD14BC">
            <w:pPr>
              <w:pStyle w:val="Tablebodytext"/>
              <w:rPr>
                <w:rFonts w:ascii="Arial" w:hAnsi="Arial" w:cs="Arial"/>
              </w:rPr>
            </w:pPr>
            <w:r w:rsidRPr="006310D8">
              <w:rPr>
                <w:rFonts w:ascii="Arial" w:hAnsi="Arial" w:cs="Arial"/>
              </w:rPr>
              <w:t>Fees only or fees and levies</w:t>
            </w:r>
          </w:p>
        </w:tc>
        <w:tc>
          <w:tcPr>
            <w:tcW w:w="354" w:type="dxa"/>
          </w:tcPr>
          <w:p w14:paraId="41122D76"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486" w:type="dxa"/>
          </w:tcPr>
          <w:p w14:paraId="7166ED18" w14:textId="77777777" w:rsidR="006E643B" w:rsidRPr="006310D8" w:rsidRDefault="006E643B" w:rsidP="00FD14BC">
            <w:pPr>
              <w:pStyle w:val="Tablebodytext"/>
              <w:rPr>
                <w:rFonts w:ascii="Arial" w:hAnsi="Arial" w:cs="Arial"/>
              </w:rPr>
            </w:pPr>
            <w:r w:rsidRPr="006310D8">
              <w:rPr>
                <w:rFonts w:ascii="Arial" w:hAnsi="Arial" w:cs="Arial"/>
              </w:rPr>
              <w:t>Fees, levies and other charges</w:t>
            </w:r>
          </w:p>
        </w:tc>
        <w:tc>
          <w:tcPr>
            <w:tcW w:w="2070" w:type="dxa"/>
          </w:tcPr>
          <w:p w14:paraId="14A29AC5" w14:textId="77777777" w:rsidR="006E643B" w:rsidRPr="006310D8" w:rsidRDefault="006E643B" w:rsidP="00FD14BC">
            <w:pPr>
              <w:pStyle w:val="Tablebodytext"/>
              <w:rPr>
                <w:rFonts w:ascii="Arial" w:hAnsi="Arial" w:cs="Arial"/>
              </w:rPr>
            </w:pPr>
            <w:r w:rsidRPr="006310D8">
              <w:rPr>
                <w:rFonts w:ascii="Arial" w:hAnsi="Arial" w:cs="Arial"/>
              </w:rPr>
              <w:t>Only application and annual fees are being proposed.</w:t>
            </w:r>
          </w:p>
        </w:tc>
      </w:tr>
      <w:tr w:rsidR="006E643B" w:rsidRPr="00AE36F7" w14:paraId="17B71318" w14:textId="77777777" w:rsidTr="00FD14BC">
        <w:tc>
          <w:tcPr>
            <w:tcW w:w="1830" w:type="dxa"/>
          </w:tcPr>
          <w:p w14:paraId="67096AB2" w14:textId="77777777" w:rsidR="006E643B" w:rsidRPr="006310D8" w:rsidRDefault="006E643B" w:rsidP="006E643B">
            <w:pPr>
              <w:pStyle w:val="Tablebodytext"/>
              <w:numPr>
                <w:ilvl w:val="0"/>
                <w:numId w:val="20"/>
              </w:numPr>
              <w:spacing w:before="57" w:line="220" w:lineRule="atLeast"/>
              <w:ind w:left="431" w:right="96"/>
              <w:rPr>
                <w:rFonts w:ascii="Arial" w:hAnsi="Arial" w:cs="Arial"/>
              </w:rPr>
            </w:pPr>
            <w:r w:rsidRPr="006310D8">
              <w:rPr>
                <w:rFonts w:ascii="Arial" w:hAnsi="Arial" w:cs="Arial"/>
              </w:rPr>
              <w:t>What legislative requirements are necessary for imposition of cost recovery charges?</w:t>
            </w:r>
          </w:p>
        </w:tc>
        <w:tc>
          <w:tcPr>
            <w:tcW w:w="438" w:type="dxa"/>
            <w:shd w:val="clear" w:color="auto" w:fill="C1F0C7" w:themeFill="accent3" w:themeFillTint="33"/>
          </w:tcPr>
          <w:p w14:paraId="6F4F1A55" w14:textId="77777777" w:rsidR="006E643B" w:rsidRPr="006310D8" w:rsidRDefault="006E643B" w:rsidP="00FD14BC">
            <w:pPr>
              <w:pStyle w:val="Tablebodytext"/>
              <w:rPr>
                <w:rFonts w:ascii="Arial" w:hAnsi="Arial" w:cs="Arial"/>
              </w:rPr>
            </w:pPr>
            <w:r w:rsidRPr="006310D8">
              <w:rPr>
                <w:rFonts w:ascii="Arial" w:hAnsi="Arial" w:cs="Arial"/>
              </w:rPr>
              <w:t>X</w:t>
            </w:r>
          </w:p>
        </w:tc>
        <w:tc>
          <w:tcPr>
            <w:tcW w:w="1187" w:type="dxa"/>
            <w:shd w:val="clear" w:color="auto" w:fill="C1F0C7" w:themeFill="accent3" w:themeFillTint="33"/>
          </w:tcPr>
          <w:p w14:paraId="48B22FC1" w14:textId="77777777" w:rsidR="006E643B" w:rsidRPr="006310D8" w:rsidRDefault="006E643B" w:rsidP="00FD14BC">
            <w:pPr>
              <w:pStyle w:val="Tablebodytext"/>
              <w:rPr>
                <w:rFonts w:ascii="Arial" w:hAnsi="Arial" w:cs="Arial"/>
              </w:rPr>
            </w:pPr>
            <w:r w:rsidRPr="006310D8">
              <w:rPr>
                <w:rFonts w:ascii="Arial" w:hAnsi="Arial" w:cs="Arial"/>
              </w:rPr>
              <w:t>Does not involve an Act of Parliament (e.g., Regulations, Determinations etc)</w:t>
            </w:r>
          </w:p>
        </w:tc>
        <w:tc>
          <w:tcPr>
            <w:tcW w:w="354" w:type="dxa"/>
          </w:tcPr>
          <w:p w14:paraId="76DEE922"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297" w:type="dxa"/>
          </w:tcPr>
          <w:p w14:paraId="60A2BE60" w14:textId="77777777" w:rsidR="006E643B" w:rsidRPr="006310D8" w:rsidRDefault="006E643B" w:rsidP="00FD14BC">
            <w:pPr>
              <w:pStyle w:val="Tablebodytext"/>
              <w:rPr>
                <w:rFonts w:ascii="Arial" w:hAnsi="Arial" w:cs="Arial"/>
              </w:rPr>
            </w:pPr>
            <w:r w:rsidRPr="006310D8">
              <w:rPr>
                <w:rFonts w:ascii="Arial" w:hAnsi="Arial" w:cs="Arial"/>
              </w:rPr>
              <w:t>Involves an Act of Parliament (e.g., enabling Act or levy imposition Act)</w:t>
            </w:r>
          </w:p>
        </w:tc>
        <w:tc>
          <w:tcPr>
            <w:tcW w:w="354" w:type="dxa"/>
          </w:tcPr>
          <w:p w14:paraId="5E6E60FC"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486" w:type="dxa"/>
          </w:tcPr>
          <w:p w14:paraId="4B8B83E7" w14:textId="77777777" w:rsidR="006E643B" w:rsidRPr="006310D8" w:rsidRDefault="006E643B" w:rsidP="00FD14BC">
            <w:pPr>
              <w:pStyle w:val="Tablebodytext"/>
              <w:rPr>
                <w:rFonts w:ascii="Arial" w:hAnsi="Arial" w:cs="Arial"/>
              </w:rPr>
            </w:pPr>
            <w:r w:rsidRPr="006310D8">
              <w:rPr>
                <w:rFonts w:ascii="Arial" w:hAnsi="Arial" w:cs="Arial"/>
              </w:rPr>
              <w:t>Requires State/Territory legislative changes or referral of powers to the Commonwealth</w:t>
            </w:r>
          </w:p>
        </w:tc>
        <w:tc>
          <w:tcPr>
            <w:tcW w:w="2070" w:type="dxa"/>
          </w:tcPr>
          <w:p w14:paraId="42502563" w14:textId="77777777" w:rsidR="006E643B" w:rsidRPr="006310D8" w:rsidRDefault="006E643B" w:rsidP="00FD14BC">
            <w:pPr>
              <w:pStyle w:val="Tablebodytext"/>
              <w:rPr>
                <w:rFonts w:ascii="Arial" w:hAnsi="Arial" w:cs="Arial"/>
              </w:rPr>
            </w:pPr>
            <w:r w:rsidRPr="006310D8">
              <w:rPr>
                <w:rFonts w:ascii="Arial" w:hAnsi="Arial" w:cs="Arial"/>
              </w:rPr>
              <w:t>The proposed fees have been designed based on the OGTR’s current statutory authority to charge.</w:t>
            </w:r>
          </w:p>
        </w:tc>
      </w:tr>
      <w:tr w:rsidR="006E643B" w:rsidRPr="00AE36F7" w14:paraId="3D415E22" w14:textId="77777777" w:rsidTr="00FD14BC">
        <w:trPr>
          <w:trHeight w:val="578"/>
        </w:trPr>
        <w:tc>
          <w:tcPr>
            <w:tcW w:w="1830" w:type="dxa"/>
          </w:tcPr>
          <w:p w14:paraId="6564482C" w14:textId="77777777" w:rsidR="006E643B" w:rsidRPr="006310D8" w:rsidRDefault="006E643B" w:rsidP="006E643B">
            <w:pPr>
              <w:pStyle w:val="Tablebodytext"/>
              <w:numPr>
                <w:ilvl w:val="0"/>
                <w:numId w:val="20"/>
              </w:numPr>
              <w:spacing w:before="57" w:line="220" w:lineRule="atLeast"/>
              <w:ind w:left="431" w:right="96"/>
              <w:rPr>
                <w:rFonts w:ascii="Arial" w:hAnsi="Arial" w:cs="Arial"/>
              </w:rPr>
            </w:pPr>
            <w:r w:rsidRPr="006310D8">
              <w:rPr>
                <w:rFonts w:ascii="Arial" w:hAnsi="Arial" w:cs="Arial"/>
              </w:rPr>
              <w:t>Does the proposal involve working with other Commonwealth, State/Territory and/or local government entities?</w:t>
            </w:r>
          </w:p>
        </w:tc>
        <w:tc>
          <w:tcPr>
            <w:tcW w:w="438" w:type="dxa"/>
            <w:shd w:val="clear" w:color="auto" w:fill="C1F0C7" w:themeFill="accent3" w:themeFillTint="33"/>
          </w:tcPr>
          <w:p w14:paraId="5331B2A0" w14:textId="77777777" w:rsidR="006E643B" w:rsidRPr="006310D8" w:rsidRDefault="006E643B" w:rsidP="00FD14BC">
            <w:pPr>
              <w:pStyle w:val="Tablebodytext"/>
              <w:rPr>
                <w:rFonts w:ascii="Arial" w:hAnsi="Arial" w:cs="Arial"/>
              </w:rPr>
            </w:pPr>
            <w:r w:rsidRPr="006310D8">
              <w:rPr>
                <w:rFonts w:ascii="Arial" w:hAnsi="Arial" w:cs="Arial"/>
              </w:rPr>
              <w:t>X</w:t>
            </w:r>
          </w:p>
        </w:tc>
        <w:tc>
          <w:tcPr>
            <w:tcW w:w="1187" w:type="dxa"/>
            <w:shd w:val="clear" w:color="auto" w:fill="C1F0C7" w:themeFill="accent3" w:themeFillTint="33"/>
          </w:tcPr>
          <w:p w14:paraId="349E7A85" w14:textId="77777777" w:rsidR="006E643B" w:rsidRPr="006310D8" w:rsidRDefault="006E643B" w:rsidP="00FD14BC">
            <w:pPr>
              <w:pStyle w:val="Tablebodytext"/>
              <w:rPr>
                <w:rFonts w:ascii="Arial" w:hAnsi="Arial" w:cs="Arial"/>
              </w:rPr>
            </w:pPr>
            <w:r w:rsidRPr="006310D8">
              <w:rPr>
                <w:rFonts w:ascii="Arial" w:hAnsi="Arial" w:cs="Arial"/>
              </w:rPr>
              <w:t>No</w:t>
            </w:r>
          </w:p>
        </w:tc>
        <w:tc>
          <w:tcPr>
            <w:tcW w:w="354" w:type="dxa"/>
          </w:tcPr>
          <w:p w14:paraId="3ECF045A"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297" w:type="dxa"/>
          </w:tcPr>
          <w:p w14:paraId="26E6C7D7" w14:textId="77777777" w:rsidR="006E643B" w:rsidRPr="006310D8" w:rsidRDefault="006E643B" w:rsidP="00FD14BC">
            <w:pPr>
              <w:pStyle w:val="Tablebodytext"/>
              <w:rPr>
                <w:rFonts w:ascii="Arial" w:hAnsi="Arial" w:cs="Arial"/>
              </w:rPr>
            </w:pPr>
            <w:r w:rsidRPr="006310D8">
              <w:rPr>
                <w:rFonts w:ascii="Arial" w:hAnsi="Arial" w:cs="Arial"/>
              </w:rPr>
              <w:t>Yes – with Commonwealth entities only</w:t>
            </w:r>
          </w:p>
        </w:tc>
        <w:tc>
          <w:tcPr>
            <w:tcW w:w="354" w:type="dxa"/>
          </w:tcPr>
          <w:p w14:paraId="7E8D4018"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486" w:type="dxa"/>
          </w:tcPr>
          <w:p w14:paraId="0BE0D361" w14:textId="77777777" w:rsidR="006E643B" w:rsidRPr="006310D8" w:rsidRDefault="006E643B" w:rsidP="00FD14BC">
            <w:pPr>
              <w:pStyle w:val="Tablebodytext"/>
              <w:rPr>
                <w:rFonts w:ascii="Arial" w:hAnsi="Arial" w:cs="Arial"/>
              </w:rPr>
            </w:pPr>
            <w:r w:rsidRPr="006310D8">
              <w:rPr>
                <w:rFonts w:ascii="Arial" w:hAnsi="Arial" w:cs="Arial"/>
              </w:rPr>
              <w:t>Yes – with Commonwealth and State/Territory entities</w:t>
            </w:r>
          </w:p>
        </w:tc>
        <w:tc>
          <w:tcPr>
            <w:tcW w:w="2070" w:type="dxa"/>
          </w:tcPr>
          <w:p w14:paraId="4B19F10D" w14:textId="77777777" w:rsidR="006E643B" w:rsidRPr="006310D8" w:rsidRDefault="006E643B" w:rsidP="00FD14BC">
            <w:pPr>
              <w:pStyle w:val="Tablebodytext"/>
              <w:rPr>
                <w:rFonts w:ascii="Arial" w:hAnsi="Arial" w:cs="Arial"/>
              </w:rPr>
            </w:pPr>
            <w:r w:rsidRPr="006310D8">
              <w:rPr>
                <w:rFonts w:ascii="Arial" w:hAnsi="Arial" w:cs="Arial"/>
              </w:rPr>
              <w:t>The introduction of fees does not involve working with other levels of government.</w:t>
            </w:r>
          </w:p>
        </w:tc>
      </w:tr>
      <w:tr w:rsidR="006E643B" w:rsidRPr="00AE36F7" w14:paraId="295119A9" w14:textId="77777777" w:rsidTr="00FD14BC">
        <w:trPr>
          <w:trHeight w:val="1821"/>
        </w:trPr>
        <w:tc>
          <w:tcPr>
            <w:tcW w:w="1830" w:type="dxa"/>
          </w:tcPr>
          <w:p w14:paraId="0FC51319" w14:textId="77777777" w:rsidR="006E643B" w:rsidRPr="006310D8" w:rsidRDefault="006E643B" w:rsidP="006E643B">
            <w:pPr>
              <w:pStyle w:val="Tablebodytext"/>
              <w:numPr>
                <w:ilvl w:val="0"/>
                <w:numId w:val="20"/>
              </w:numPr>
              <w:spacing w:before="57" w:line="220" w:lineRule="atLeast"/>
              <w:ind w:left="431" w:right="96"/>
              <w:rPr>
                <w:rFonts w:ascii="Arial" w:hAnsi="Arial" w:cs="Arial"/>
              </w:rPr>
            </w:pPr>
            <w:r w:rsidRPr="006310D8">
              <w:rPr>
                <w:rFonts w:ascii="Arial" w:hAnsi="Arial" w:cs="Arial"/>
              </w:rPr>
              <w:t xml:space="preserve">What will be the expected impact of cost recovery on payers? </w:t>
            </w:r>
          </w:p>
          <w:p w14:paraId="167A6A45" w14:textId="77777777" w:rsidR="006E643B" w:rsidRPr="006310D8" w:rsidRDefault="006E643B" w:rsidP="00FD14BC">
            <w:pPr>
              <w:pStyle w:val="Tablebodytext"/>
              <w:spacing w:before="57" w:line="220" w:lineRule="atLeast"/>
              <w:ind w:left="431" w:right="96"/>
              <w:rPr>
                <w:rFonts w:ascii="Arial" w:hAnsi="Arial" w:cs="Arial"/>
              </w:rPr>
            </w:pPr>
          </w:p>
          <w:p w14:paraId="714B97C7" w14:textId="77777777" w:rsidR="006E643B" w:rsidRPr="006310D8" w:rsidRDefault="006E643B" w:rsidP="00FD14BC">
            <w:pPr>
              <w:pStyle w:val="Tablebodytext"/>
              <w:rPr>
                <w:rFonts w:ascii="Arial" w:hAnsi="Arial" w:cs="Arial"/>
                <w:i/>
              </w:rPr>
            </w:pPr>
            <w:r w:rsidRPr="006310D8">
              <w:rPr>
                <w:rFonts w:ascii="Arial" w:hAnsi="Arial" w:cs="Arial"/>
                <w:i/>
              </w:rPr>
              <w:t>This may depend on, among other things:</w:t>
            </w:r>
          </w:p>
          <w:p w14:paraId="7C0AAEC4" w14:textId="77777777" w:rsidR="006E643B" w:rsidRPr="006310D8" w:rsidRDefault="006E643B" w:rsidP="00FD14BC">
            <w:pPr>
              <w:pStyle w:val="Tablebullets1stindent"/>
              <w:tabs>
                <w:tab w:val="num" w:pos="266"/>
              </w:tabs>
              <w:spacing w:before="57" w:line="220" w:lineRule="atLeast"/>
              <w:ind w:left="266" w:right="96" w:hanging="170"/>
              <w:rPr>
                <w:rFonts w:ascii="Arial" w:hAnsi="Arial" w:cs="Arial"/>
                <w:i/>
              </w:rPr>
            </w:pPr>
            <w:r w:rsidRPr="006310D8">
              <w:rPr>
                <w:rFonts w:ascii="Arial" w:hAnsi="Arial" w:cs="Arial"/>
                <w:i/>
              </w:rPr>
              <w:t>the change in the level of charges</w:t>
            </w:r>
          </w:p>
          <w:p w14:paraId="40DF909C" w14:textId="77777777" w:rsidR="006E643B" w:rsidRPr="006310D8" w:rsidRDefault="006E643B" w:rsidP="00FD14BC">
            <w:pPr>
              <w:pStyle w:val="Tablebullets1stindent"/>
              <w:tabs>
                <w:tab w:val="num" w:pos="266"/>
              </w:tabs>
              <w:spacing w:before="57" w:line="220" w:lineRule="atLeast"/>
              <w:ind w:left="266" w:right="96" w:hanging="170"/>
              <w:rPr>
                <w:rFonts w:ascii="Arial" w:hAnsi="Arial" w:cs="Arial"/>
                <w:i/>
              </w:rPr>
            </w:pPr>
            <w:r w:rsidRPr="006310D8">
              <w:rPr>
                <w:rFonts w:ascii="Arial" w:hAnsi="Arial" w:cs="Arial"/>
                <w:i/>
              </w:rPr>
              <w:t>the number of people affected</w:t>
            </w:r>
          </w:p>
          <w:p w14:paraId="5BBB90CE" w14:textId="77777777" w:rsidR="006E643B" w:rsidRPr="006310D8" w:rsidRDefault="006E643B" w:rsidP="00FD14BC">
            <w:pPr>
              <w:pStyle w:val="Tablebullets1stindent"/>
              <w:tabs>
                <w:tab w:val="num" w:pos="266"/>
              </w:tabs>
              <w:spacing w:before="57" w:line="220" w:lineRule="atLeast"/>
              <w:ind w:left="266" w:right="96" w:hanging="170"/>
              <w:rPr>
                <w:rFonts w:ascii="Arial" w:hAnsi="Arial" w:cs="Arial"/>
                <w:i/>
              </w:rPr>
            </w:pPr>
            <w:r w:rsidRPr="006310D8">
              <w:rPr>
                <w:rFonts w:ascii="Arial" w:hAnsi="Arial" w:cs="Arial"/>
                <w:i/>
              </w:rPr>
              <w:t xml:space="preserve">the cumulative effect from other government charges/regulation </w:t>
            </w:r>
          </w:p>
          <w:p w14:paraId="45AF0A66" w14:textId="77777777" w:rsidR="006E643B" w:rsidRPr="006310D8" w:rsidRDefault="006E643B" w:rsidP="00FD14BC">
            <w:pPr>
              <w:pStyle w:val="Tablebullets1stindent"/>
              <w:tabs>
                <w:tab w:val="num" w:pos="266"/>
              </w:tabs>
              <w:spacing w:before="57" w:line="220" w:lineRule="atLeast"/>
              <w:ind w:left="266" w:right="96" w:hanging="170"/>
              <w:rPr>
                <w:rFonts w:ascii="Arial" w:hAnsi="Arial" w:cs="Arial"/>
              </w:rPr>
            </w:pPr>
            <w:r w:rsidRPr="006310D8">
              <w:rPr>
                <w:rFonts w:ascii="Arial" w:hAnsi="Arial" w:cs="Arial"/>
                <w:i/>
              </w:rPr>
              <w:lastRenderedPageBreak/>
              <w:t>the economic conditions etc.</w:t>
            </w:r>
            <w:r w:rsidRPr="006310D8">
              <w:rPr>
                <w:rFonts w:ascii="Arial" w:hAnsi="Arial" w:cs="Arial"/>
              </w:rPr>
              <w:t xml:space="preserve">  </w:t>
            </w:r>
          </w:p>
        </w:tc>
        <w:tc>
          <w:tcPr>
            <w:tcW w:w="438" w:type="dxa"/>
          </w:tcPr>
          <w:p w14:paraId="672EC38B" w14:textId="77777777" w:rsidR="006E643B" w:rsidRPr="006310D8" w:rsidRDefault="006E643B" w:rsidP="00FD14BC">
            <w:pPr>
              <w:pStyle w:val="Tablebodytext"/>
              <w:rPr>
                <w:rFonts w:ascii="Arial" w:hAnsi="Arial" w:cs="Arial"/>
              </w:rPr>
            </w:pPr>
            <w:r w:rsidRPr="006310D8">
              <w:rPr>
                <w:rFonts w:ascii="Arial" w:hAnsi="Arial" w:cs="Arial"/>
              </w:rPr>
              <w:lastRenderedPageBreak/>
              <w:sym w:font="Wingdings" w:char="F06F"/>
            </w:r>
          </w:p>
        </w:tc>
        <w:tc>
          <w:tcPr>
            <w:tcW w:w="1187" w:type="dxa"/>
          </w:tcPr>
          <w:p w14:paraId="08109932" w14:textId="77777777" w:rsidR="006E643B" w:rsidRPr="006310D8" w:rsidRDefault="006E643B" w:rsidP="00FD14BC">
            <w:pPr>
              <w:pStyle w:val="Tablebodytext"/>
              <w:rPr>
                <w:rFonts w:ascii="Arial" w:hAnsi="Arial" w:cs="Arial"/>
              </w:rPr>
            </w:pPr>
            <w:r w:rsidRPr="006310D8">
              <w:rPr>
                <w:rFonts w:ascii="Arial" w:hAnsi="Arial" w:cs="Arial"/>
              </w:rPr>
              <w:t>Low</w:t>
            </w:r>
          </w:p>
        </w:tc>
        <w:tc>
          <w:tcPr>
            <w:tcW w:w="354" w:type="dxa"/>
            <w:shd w:val="clear" w:color="auto" w:fill="C1F0C7" w:themeFill="accent3" w:themeFillTint="33"/>
          </w:tcPr>
          <w:p w14:paraId="7FD1C3A4" w14:textId="77777777" w:rsidR="006E643B" w:rsidRPr="006310D8" w:rsidRDefault="006E643B" w:rsidP="00FD14BC">
            <w:pPr>
              <w:pStyle w:val="Tablebodytext"/>
              <w:rPr>
                <w:rFonts w:ascii="Arial" w:hAnsi="Arial" w:cs="Arial"/>
              </w:rPr>
            </w:pPr>
            <w:r w:rsidRPr="006310D8">
              <w:rPr>
                <w:rFonts w:ascii="Arial" w:hAnsi="Arial" w:cs="Arial"/>
              </w:rPr>
              <w:t>X</w:t>
            </w:r>
          </w:p>
        </w:tc>
        <w:tc>
          <w:tcPr>
            <w:tcW w:w="1297" w:type="dxa"/>
            <w:shd w:val="clear" w:color="auto" w:fill="C1F0C7" w:themeFill="accent3" w:themeFillTint="33"/>
          </w:tcPr>
          <w:p w14:paraId="2D4B586D" w14:textId="77777777" w:rsidR="006E643B" w:rsidRPr="006310D8" w:rsidRDefault="006E643B" w:rsidP="00FD14BC">
            <w:pPr>
              <w:pStyle w:val="Tablebodytext"/>
              <w:rPr>
                <w:rFonts w:ascii="Arial" w:hAnsi="Arial" w:cs="Arial"/>
              </w:rPr>
            </w:pPr>
            <w:r w:rsidRPr="006310D8">
              <w:rPr>
                <w:rFonts w:ascii="Arial" w:hAnsi="Arial" w:cs="Arial"/>
              </w:rPr>
              <w:t>Medium</w:t>
            </w:r>
          </w:p>
        </w:tc>
        <w:tc>
          <w:tcPr>
            <w:tcW w:w="354" w:type="dxa"/>
          </w:tcPr>
          <w:p w14:paraId="3E8C0C2A" w14:textId="77777777" w:rsidR="006E643B" w:rsidRPr="006310D8" w:rsidRDefault="006E643B" w:rsidP="00FD14BC">
            <w:pPr>
              <w:pStyle w:val="Tablebodytext"/>
              <w:rPr>
                <w:rFonts w:ascii="Arial" w:hAnsi="Arial" w:cs="Arial"/>
              </w:rPr>
            </w:pPr>
            <w:r w:rsidRPr="006310D8">
              <w:rPr>
                <w:rFonts w:ascii="Arial" w:hAnsi="Arial" w:cs="Arial"/>
              </w:rPr>
              <w:sym w:font="Wingdings" w:char="F06F"/>
            </w:r>
          </w:p>
        </w:tc>
        <w:tc>
          <w:tcPr>
            <w:tcW w:w="1486" w:type="dxa"/>
          </w:tcPr>
          <w:p w14:paraId="1DBB7470" w14:textId="77777777" w:rsidR="006E643B" w:rsidRPr="006310D8" w:rsidRDefault="006E643B" w:rsidP="00FD14BC">
            <w:pPr>
              <w:pStyle w:val="Tablebodytext"/>
              <w:rPr>
                <w:rFonts w:ascii="Arial" w:hAnsi="Arial" w:cs="Arial"/>
              </w:rPr>
            </w:pPr>
            <w:r w:rsidRPr="006310D8">
              <w:rPr>
                <w:rFonts w:ascii="Arial" w:hAnsi="Arial" w:cs="Arial"/>
              </w:rPr>
              <w:t>High</w:t>
            </w:r>
          </w:p>
        </w:tc>
        <w:tc>
          <w:tcPr>
            <w:tcW w:w="2070" w:type="dxa"/>
          </w:tcPr>
          <w:p w14:paraId="3B6EA39C" w14:textId="77777777" w:rsidR="006E643B" w:rsidRPr="006310D8" w:rsidRDefault="006E643B" w:rsidP="00FD14BC">
            <w:pPr>
              <w:pStyle w:val="Tablebodytext"/>
              <w:rPr>
                <w:rFonts w:ascii="Arial" w:hAnsi="Arial" w:cs="Arial"/>
              </w:rPr>
            </w:pPr>
            <w:r w:rsidRPr="006310D8">
              <w:rPr>
                <w:rFonts w:ascii="Arial" w:hAnsi="Arial" w:cs="Arial"/>
              </w:rPr>
              <w:t>The impact associated with introducing fees varies based on the size of the organisation and the type of activities the organisation conducts.</w:t>
            </w:r>
          </w:p>
          <w:p w14:paraId="1E8776FC" w14:textId="77777777" w:rsidR="006E643B" w:rsidRPr="006310D8" w:rsidRDefault="006E643B" w:rsidP="00FD14BC">
            <w:pPr>
              <w:pStyle w:val="Tablebodytext"/>
              <w:rPr>
                <w:rFonts w:ascii="Arial" w:hAnsi="Arial" w:cs="Arial"/>
              </w:rPr>
            </w:pPr>
          </w:p>
          <w:p w14:paraId="4DEC56D2" w14:textId="77777777" w:rsidR="006E643B" w:rsidRPr="006310D8" w:rsidRDefault="006E643B" w:rsidP="00FD14BC">
            <w:pPr>
              <w:pStyle w:val="Tablebodytext"/>
              <w:rPr>
                <w:rFonts w:ascii="Arial" w:hAnsi="Arial" w:cs="Arial"/>
              </w:rPr>
            </w:pPr>
            <w:r w:rsidRPr="006310D8">
              <w:rPr>
                <w:rFonts w:ascii="Arial" w:hAnsi="Arial" w:cs="Arial"/>
              </w:rPr>
              <w:t xml:space="preserve">For large commercial organisations, the impact of introducing fees will be low. However, small organisations as well as organisations who primarily undertake research are more likely to experience disproportionate impacts. </w:t>
            </w:r>
          </w:p>
          <w:p w14:paraId="7ECB95BF" w14:textId="77777777" w:rsidR="006E643B" w:rsidRPr="006310D8" w:rsidRDefault="006E643B" w:rsidP="00FD14BC">
            <w:pPr>
              <w:pStyle w:val="Tablebodytext"/>
              <w:rPr>
                <w:rFonts w:ascii="Arial" w:hAnsi="Arial" w:cs="Arial"/>
              </w:rPr>
            </w:pPr>
          </w:p>
          <w:p w14:paraId="633CA9F5" w14:textId="77777777" w:rsidR="006E643B" w:rsidRPr="006310D8" w:rsidRDefault="006E643B" w:rsidP="00FD14BC">
            <w:pPr>
              <w:pStyle w:val="Tablebodytext"/>
              <w:rPr>
                <w:rFonts w:ascii="Arial" w:hAnsi="Arial" w:cs="Arial"/>
              </w:rPr>
            </w:pPr>
            <w:r w:rsidRPr="006310D8">
              <w:rPr>
                <w:rFonts w:ascii="Arial" w:hAnsi="Arial" w:cs="Arial"/>
              </w:rPr>
              <w:lastRenderedPageBreak/>
              <w:t>If the sector is unable to pay, there is a risk that the introduction of fees may deter innovation. The introduction of modular fees based on complexity attempts to better align fees with the sectors ability to pay.</w:t>
            </w:r>
          </w:p>
        </w:tc>
      </w:tr>
      <w:tr w:rsidR="006E643B" w:rsidRPr="00AE36F7" w14:paraId="6B4E6A63" w14:textId="77777777" w:rsidTr="00FD14BC">
        <w:tc>
          <w:tcPr>
            <w:tcW w:w="1830" w:type="dxa"/>
          </w:tcPr>
          <w:p w14:paraId="27523353" w14:textId="77777777" w:rsidR="006E643B" w:rsidRPr="00BC51F8" w:rsidRDefault="006E643B" w:rsidP="006E643B">
            <w:pPr>
              <w:pStyle w:val="Tablebodytext"/>
              <w:numPr>
                <w:ilvl w:val="0"/>
                <w:numId w:val="20"/>
              </w:numPr>
              <w:spacing w:before="57" w:line="220" w:lineRule="atLeast"/>
              <w:ind w:left="431" w:right="96"/>
              <w:rPr>
                <w:rFonts w:ascii="Arial" w:hAnsi="Arial" w:cs="Arial"/>
              </w:rPr>
            </w:pPr>
            <w:r w:rsidRPr="00BC51F8">
              <w:rPr>
                <w:rFonts w:ascii="Arial" w:hAnsi="Arial" w:cs="Arial"/>
              </w:rPr>
              <w:lastRenderedPageBreak/>
              <w:t>What consultation has occurred with payers and other stakeholders about the proposed cost recovery?</w:t>
            </w:r>
          </w:p>
        </w:tc>
        <w:tc>
          <w:tcPr>
            <w:tcW w:w="438" w:type="dxa"/>
          </w:tcPr>
          <w:p w14:paraId="1787C335" w14:textId="77777777" w:rsidR="006E643B" w:rsidRPr="00BC51F8" w:rsidRDefault="006E643B" w:rsidP="00FD14BC">
            <w:pPr>
              <w:pStyle w:val="Tablebodytext"/>
              <w:rPr>
                <w:rFonts w:ascii="Arial" w:hAnsi="Arial" w:cs="Arial"/>
              </w:rPr>
            </w:pPr>
            <w:r w:rsidRPr="00BC51F8">
              <w:rPr>
                <w:rFonts w:ascii="Arial" w:hAnsi="Arial" w:cs="Arial"/>
              </w:rPr>
              <w:sym w:font="Wingdings" w:char="F06F"/>
            </w:r>
          </w:p>
        </w:tc>
        <w:tc>
          <w:tcPr>
            <w:tcW w:w="1187" w:type="dxa"/>
          </w:tcPr>
          <w:p w14:paraId="4E5889BE" w14:textId="77777777" w:rsidR="006E643B" w:rsidRPr="00BC51F8" w:rsidRDefault="006E643B" w:rsidP="00FD14BC">
            <w:pPr>
              <w:pStyle w:val="Tablebodytext"/>
              <w:rPr>
                <w:rFonts w:ascii="Arial" w:hAnsi="Arial" w:cs="Arial"/>
              </w:rPr>
            </w:pPr>
            <w:r w:rsidRPr="00BC51F8">
              <w:rPr>
                <w:rFonts w:ascii="Arial" w:hAnsi="Arial" w:cs="Arial"/>
              </w:rPr>
              <w:t>Consulted – no significant issues raised</w:t>
            </w:r>
          </w:p>
        </w:tc>
        <w:tc>
          <w:tcPr>
            <w:tcW w:w="354" w:type="dxa"/>
          </w:tcPr>
          <w:p w14:paraId="35A90E6C" w14:textId="77777777" w:rsidR="006E643B" w:rsidRPr="00BC51F8" w:rsidRDefault="006E643B" w:rsidP="00FD14BC">
            <w:pPr>
              <w:pStyle w:val="Tablebodytext"/>
              <w:rPr>
                <w:rFonts w:ascii="Arial" w:hAnsi="Arial" w:cs="Arial"/>
              </w:rPr>
            </w:pPr>
            <w:r w:rsidRPr="00BC51F8">
              <w:rPr>
                <w:rFonts w:ascii="Arial" w:hAnsi="Arial" w:cs="Arial"/>
              </w:rPr>
              <w:sym w:font="Wingdings" w:char="F06F"/>
            </w:r>
          </w:p>
        </w:tc>
        <w:tc>
          <w:tcPr>
            <w:tcW w:w="1297" w:type="dxa"/>
          </w:tcPr>
          <w:p w14:paraId="319B1B41" w14:textId="77777777" w:rsidR="006E643B" w:rsidRPr="00BC51F8" w:rsidRDefault="006E643B" w:rsidP="00FD14BC">
            <w:pPr>
              <w:pStyle w:val="Tablebodytext"/>
              <w:rPr>
                <w:rFonts w:ascii="Arial" w:hAnsi="Arial" w:cs="Arial"/>
              </w:rPr>
            </w:pPr>
            <w:r w:rsidRPr="00BC51F8">
              <w:rPr>
                <w:rFonts w:ascii="Arial" w:hAnsi="Arial" w:cs="Arial"/>
              </w:rPr>
              <w:t xml:space="preserve">Consulted – significant issues raised but can be addressed </w:t>
            </w:r>
          </w:p>
        </w:tc>
        <w:tc>
          <w:tcPr>
            <w:tcW w:w="354" w:type="dxa"/>
            <w:shd w:val="clear" w:color="auto" w:fill="C1F0C7" w:themeFill="accent3" w:themeFillTint="33"/>
          </w:tcPr>
          <w:p w14:paraId="2671542C" w14:textId="77777777" w:rsidR="006E643B" w:rsidRPr="00BC51F8" w:rsidRDefault="006E643B" w:rsidP="00FD14BC">
            <w:pPr>
              <w:pStyle w:val="Tablebodytext"/>
              <w:rPr>
                <w:rFonts w:ascii="Arial" w:hAnsi="Arial" w:cs="Arial"/>
              </w:rPr>
            </w:pPr>
            <w:r w:rsidRPr="00BC51F8">
              <w:rPr>
                <w:rFonts w:ascii="Arial" w:hAnsi="Arial" w:cs="Arial"/>
              </w:rPr>
              <w:t>X</w:t>
            </w:r>
          </w:p>
        </w:tc>
        <w:tc>
          <w:tcPr>
            <w:tcW w:w="1486" w:type="dxa"/>
            <w:shd w:val="clear" w:color="auto" w:fill="C1F0C7" w:themeFill="accent3" w:themeFillTint="33"/>
          </w:tcPr>
          <w:p w14:paraId="64B6E15E" w14:textId="77777777" w:rsidR="006E643B" w:rsidRPr="00BC51F8" w:rsidRDefault="006E643B" w:rsidP="00FD14BC">
            <w:pPr>
              <w:pStyle w:val="Tablebodytext"/>
              <w:rPr>
                <w:rFonts w:ascii="Arial" w:hAnsi="Arial" w:cs="Arial"/>
              </w:rPr>
            </w:pPr>
            <w:r w:rsidRPr="00BC51F8">
              <w:rPr>
                <w:rFonts w:ascii="Arial" w:hAnsi="Arial" w:cs="Arial"/>
              </w:rPr>
              <w:t xml:space="preserve">Not consulted </w:t>
            </w:r>
            <w:r w:rsidRPr="00BC51F8">
              <w:rPr>
                <w:rFonts w:ascii="Arial" w:hAnsi="Arial" w:cs="Arial"/>
                <w:u w:val="single"/>
              </w:rPr>
              <w:t>or</w:t>
            </w:r>
            <w:r w:rsidRPr="00BC51F8">
              <w:rPr>
                <w:rFonts w:ascii="Arial" w:hAnsi="Arial" w:cs="Arial"/>
              </w:rPr>
              <w:t xml:space="preserve"> consulted and significant issues raised but ongoing sensitivities</w:t>
            </w:r>
          </w:p>
        </w:tc>
        <w:tc>
          <w:tcPr>
            <w:tcW w:w="2070" w:type="dxa"/>
          </w:tcPr>
          <w:p w14:paraId="56F0B4A1" w14:textId="77777777" w:rsidR="006E643B" w:rsidRPr="00BC51F8" w:rsidRDefault="006E643B" w:rsidP="00FD14BC">
            <w:pPr>
              <w:pStyle w:val="Tablebodytext"/>
              <w:rPr>
                <w:rFonts w:ascii="Arial" w:hAnsi="Arial" w:cs="Arial"/>
              </w:rPr>
            </w:pPr>
            <w:r w:rsidRPr="00BC51F8">
              <w:rPr>
                <w:rFonts w:ascii="Arial" w:hAnsi="Arial" w:cs="Arial"/>
              </w:rPr>
              <w:t xml:space="preserve">The cost recovery model outlined in this report has not been tested with stakeholders. This model aims to address previous feedback provided by the sector in response to other options for cost recovery models </w:t>
            </w:r>
          </w:p>
        </w:tc>
      </w:tr>
      <w:tr w:rsidR="006E643B" w:rsidRPr="00AE36F7" w14:paraId="744B893A" w14:textId="77777777" w:rsidTr="00FD14BC">
        <w:tc>
          <w:tcPr>
            <w:tcW w:w="0" w:type="dxa"/>
          </w:tcPr>
          <w:p w14:paraId="3A54595E" w14:textId="77777777" w:rsidR="006E643B" w:rsidRPr="00BC51F8" w:rsidRDefault="006E643B" w:rsidP="00FD14BC">
            <w:pPr>
              <w:pStyle w:val="Tablebodytext"/>
              <w:spacing w:before="57" w:line="220" w:lineRule="atLeast"/>
              <w:ind w:left="0" w:right="96"/>
              <w:rPr>
                <w:rFonts w:ascii="Arial" w:hAnsi="Arial" w:cs="Arial"/>
                <w:b/>
                <w:bCs/>
              </w:rPr>
            </w:pPr>
            <w:r w:rsidRPr="00BC51F8">
              <w:rPr>
                <w:rFonts w:ascii="Arial" w:hAnsi="Arial" w:cs="Arial"/>
                <w:b/>
                <w:bCs/>
              </w:rPr>
              <w:t>Overall CRA Rating</w:t>
            </w:r>
          </w:p>
        </w:tc>
        <w:tc>
          <w:tcPr>
            <w:tcW w:w="0" w:type="dxa"/>
          </w:tcPr>
          <w:p w14:paraId="50F5394C" w14:textId="77777777" w:rsidR="006E643B" w:rsidRPr="00BC51F8" w:rsidRDefault="006E643B" w:rsidP="00FD14BC">
            <w:pPr>
              <w:pStyle w:val="Tablebodytext"/>
              <w:rPr>
                <w:rFonts w:ascii="Arial" w:hAnsi="Arial" w:cs="Arial"/>
                <w:b/>
                <w:bCs/>
              </w:rPr>
            </w:pPr>
            <w:r w:rsidRPr="00BC51F8">
              <w:rPr>
                <w:rFonts w:ascii="Arial" w:hAnsi="Arial" w:cs="Arial"/>
                <w:b/>
                <w:bCs/>
              </w:rPr>
              <w:sym w:font="Wingdings" w:char="F06F"/>
            </w:r>
          </w:p>
        </w:tc>
        <w:tc>
          <w:tcPr>
            <w:tcW w:w="0" w:type="dxa"/>
          </w:tcPr>
          <w:p w14:paraId="6AA403C1" w14:textId="77777777" w:rsidR="006E643B" w:rsidRPr="00BC51F8" w:rsidRDefault="006E643B" w:rsidP="00FD14BC">
            <w:pPr>
              <w:pStyle w:val="Tablebodytext"/>
              <w:rPr>
                <w:rFonts w:ascii="Arial" w:hAnsi="Arial" w:cs="Arial"/>
                <w:b/>
                <w:bCs/>
              </w:rPr>
            </w:pPr>
            <w:r w:rsidRPr="00BC51F8">
              <w:rPr>
                <w:rFonts w:ascii="Arial" w:hAnsi="Arial" w:cs="Arial"/>
                <w:b/>
                <w:bCs/>
              </w:rPr>
              <w:t>LOW</w:t>
            </w:r>
          </w:p>
        </w:tc>
        <w:tc>
          <w:tcPr>
            <w:tcW w:w="0" w:type="dxa"/>
          </w:tcPr>
          <w:p w14:paraId="3130F993" w14:textId="77777777" w:rsidR="006E643B" w:rsidRPr="00BC51F8" w:rsidRDefault="006E643B" w:rsidP="00FD14BC">
            <w:pPr>
              <w:pStyle w:val="Tablebodytext"/>
              <w:rPr>
                <w:rFonts w:ascii="Arial" w:hAnsi="Arial" w:cs="Arial"/>
                <w:b/>
                <w:bCs/>
              </w:rPr>
            </w:pPr>
            <w:r w:rsidRPr="00BC51F8">
              <w:rPr>
                <w:rFonts w:ascii="Arial" w:hAnsi="Arial" w:cs="Arial"/>
                <w:b/>
                <w:bCs/>
              </w:rPr>
              <w:sym w:font="Wingdings" w:char="F06F"/>
            </w:r>
          </w:p>
        </w:tc>
        <w:tc>
          <w:tcPr>
            <w:tcW w:w="0" w:type="dxa"/>
          </w:tcPr>
          <w:p w14:paraId="3EE35CE9" w14:textId="77777777" w:rsidR="006E643B" w:rsidRPr="00BC51F8" w:rsidRDefault="006E643B" w:rsidP="00FD14BC">
            <w:pPr>
              <w:pStyle w:val="Tablebodytext"/>
              <w:rPr>
                <w:rFonts w:ascii="Arial" w:hAnsi="Arial" w:cs="Arial"/>
                <w:b/>
                <w:bCs/>
              </w:rPr>
            </w:pPr>
            <w:r w:rsidRPr="00BC51F8">
              <w:rPr>
                <w:rFonts w:ascii="Arial" w:hAnsi="Arial" w:cs="Arial"/>
                <w:b/>
                <w:bCs/>
              </w:rPr>
              <w:t>MEDIUM</w:t>
            </w:r>
          </w:p>
        </w:tc>
        <w:tc>
          <w:tcPr>
            <w:tcW w:w="0" w:type="dxa"/>
            <w:shd w:val="clear" w:color="auto" w:fill="47D459" w:themeFill="accent3" w:themeFillTint="99"/>
          </w:tcPr>
          <w:p w14:paraId="33702EB0" w14:textId="77777777" w:rsidR="006E643B" w:rsidRPr="00BC51F8" w:rsidRDefault="006E643B" w:rsidP="00FD14BC">
            <w:pPr>
              <w:pStyle w:val="Tablebodytext"/>
              <w:rPr>
                <w:rFonts w:ascii="Arial" w:hAnsi="Arial" w:cs="Arial"/>
                <w:b/>
                <w:bCs/>
              </w:rPr>
            </w:pPr>
            <w:r w:rsidRPr="00BC51F8">
              <w:rPr>
                <w:rFonts w:ascii="Arial" w:hAnsi="Arial" w:cs="Arial"/>
                <w:b/>
                <w:bCs/>
              </w:rPr>
              <w:t>X</w:t>
            </w:r>
          </w:p>
        </w:tc>
        <w:tc>
          <w:tcPr>
            <w:tcW w:w="0" w:type="dxa"/>
            <w:shd w:val="clear" w:color="auto" w:fill="47D459" w:themeFill="accent3" w:themeFillTint="99"/>
          </w:tcPr>
          <w:p w14:paraId="71BBD9D2" w14:textId="77777777" w:rsidR="006E643B" w:rsidRPr="00BC51F8" w:rsidRDefault="006E643B" w:rsidP="00FD14BC">
            <w:pPr>
              <w:pStyle w:val="Tablebodytext"/>
              <w:rPr>
                <w:rFonts w:ascii="Arial" w:hAnsi="Arial" w:cs="Arial"/>
                <w:b/>
                <w:bCs/>
              </w:rPr>
            </w:pPr>
            <w:r w:rsidRPr="00BC51F8">
              <w:rPr>
                <w:rFonts w:ascii="Arial" w:hAnsi="Arial" w:cs="Arial"/>
                <w:b/>
                <w:bCs/>
              </w:rPr>
              <w:t>HIGH</w:t>
            </w:r>
          </w:p>
        </w:tc>
        <w:tc>
          <w:tcPr>
            <w:tcW w:w="0" w:type="dxa"/>
          </w:tcPr>
          <w:p w14:paraId="4EA03CDB" w14:textId="77777777" w:rsidR="006E643B" w:rsidRPr="00BC51F8" w:rsidRDefault="006E643B" w:rsidP="00FD14BC">
            <w:pPr>
              <w:pStyle w:val="Tablebodytext"/>
              <w:rPr>
                <w:rFonts w:ascii="Arial" w:hAnsi="Arial" w:cs="Arial"/>
                <w:b/>
                <w:bCs/>
              </w:rPr>
            </w:pPr>
          </w:p>
        </w:tc>
      </w:tr>
    </w:tbl>
    <w:p w14:paraId="10DC76F3" w14:textId="77777777" w:rsidR="006E643B" w:rsidRPr="007A6E8B" w:rsidRDefault="006E643B" w:rsidP="006E643B">
      <w:pPr>
        <w:pStyle w:val="Source"/>
        <w:rPr>
          <w:color w:val="3A7C22" w:themeColor="accent6" w:themeShade="BF"/>
        </w:rPr>
      </w:pPr>
      <w:r w:rsidRPr="007A6E8B">
        <w:rPr>
          <w:color w:val="3A7C22" w:themeColor="accent6" w:themeShade="BF"/>
        </w:rPr>
        <w:t>Source: Deloitte Access Economics</w:t>
      </w:r>
    </w:p>
    <w:p w14:paraId="74CC0BEF" w14:textId="73034091" w:rsidR="006E643B" w:rsidRPr="00AA4355" w:rsidRDefault="006E643B" w:rsidP="006E643B">
      <w:pPr>
        <w:pStyle w:val="Heading2"/>
      </w:pPr>
      <w:bookmarkStart w:id="89" w:name="_Toc168990925"/>
      <w:bookmarkStart w:id="90" w:name="_Toc242195602"/>
      <w:r w:rsidRPr="00AA4355">
        <w:t xml:space="preserve">Risk </w:t>
      </w:r>
      <w:r w:rsidR="00DC515A">
        <w:t>M</w:t>
      </w:r>
      <w:r w:rsidRPr="00AA4355">
        <w:t>itigation</w:t>
      </w:r>
      <w:bookmarkEnd w:id="89"/>
      <w:bookmarkEnd w:id="90"/>
    </w:p>
    <w:p w14:paraId="52F2D0DA" w14:textId="0DAED7A0" w:rsidR="006E643B" w:rsidRPr="00AE36F7" w:rsidRDefault="006E643B" w:rsidP="006E643B">
      <w:pPr>
        <w:rPr>
          <w:rFonts w:cs="Arial"/>
        </w:rPr>
      </w:pPr>
      <w:r w:rsidRPr="00AE36F7">
        <w:rPr>
          <w:rFonts w:cs="Arial"/>
        </w:rPr>
        <w:t xml:space="preserve">Risks associated with the implementation of the new fees for licence and certifications and their mitigation strategies ore outlined </w:t>
      </w:r>
      <w:r w:rsidRPr="00491105">
        <w:rPr>
          <w:rFonts w:cs="Arial"/>
        </w:rPr>
        <w:t>below</w:t>
      </w:r>
      <w:r w:rsidR="00A354E3" w:rsidRPr="00491105">
        <w:rPr>
          <w:rFonts w:cs="Arial"/>
        </w:rPr>
        <w:t xml:space="preserve"> </w:t>
      </w:r>
      <w:r w:rsidR="00A354E3" w:rsidRPr="00403ED8">
        <w:rPr>
          <w:rFonts w:cs="Arial"/>
        </w:rPr>
        <w:t>(</w:t>
      </w:r>
      <w:r w:rsidR="00A354E3" w:rsidRPr="00403ED8">
        <w:rPr>
          <w:rFonts w:cs="Arial"/>
        </w:rPr>
        <w:fldChar w:fldCharType="begin"/>
      </w:r>
      <w:r w:rsidR="00A354E3" w:rsidRPr="00403ED8">
        <w:rPr>
          <w:rFonts w:cs="Arial"/>
        </w:rPr>
        <w:instrText xml:space="preserve"> REF _Ref240574264 \h </w:instrText>
      </w:r>
      <w:r w:rsidR="00491105" w:rsidRPr="00403ED8">
        <w:rPr>
          <w:rFonts w:cs="Arial"/>
        </w:rPr>
        <w:instrText xml:space="preserve"> \* MERGEFORMAT </w:instrText>
      </w:r>
      <w:r w:rsidR="00A354E3" w:rsidRPr="00403ED8">
        <w:rPr>
          <w:rFonts w:cs="Arial"/>
        </w:rPr>
      </w:r>
      <w:r w:rsidR="00A354E3"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12</w:t>
      </w:r>
      <w:r w:rsidR="00A354E3" w:rsidRPr="00403ED8">
        <w:rPr>
          <w:rFonts w:cs="Arial"/>
        </w:rPr>
        <w:fldChar w:fldCharType="end"/>
      </w:r>
      <w:r w:rsidR="00A354E3" w:rsidRPr="00403ED8">
        <w:rPr>
          <w:rFonts w:cs="Arial"/>
        </w:rPr>
        <w:t>)</w:t>
      </w:r>
      <w:r w:rsidRPr="00403ED8">
        <w:rPr>
          <w:rFonts w:cs="Arial"/>
        </w:rPr>
        <w:t>.</w:t>
      </w:r>
    </w:p>
    <w:p w14:paraId="48430CF1" w14:textId="10D24F38" w:rsidR="006E643B" w:rsidRPr="0060174F" w:rsidRDefault="00A354E3" w:rsidP="00263E1E">
      <w:pPr>
        <w:pStyle w:val="Caption"/>
        <w:rPr>
          <w:rFonts w:cstheme="minorBidi"/>
          <w:sz w:val="20"/>
        </w:rPr>
      </w:pPr>
      <w:bookmarkStart w:id="91" w:name="_Ref240574264"/>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12</w:t>
      </w:r>
      <w:r w:rsidRPr="007A6E8B">
        <w:rPr>
          <w:rFonts w:ascii="Calibri Light" w:hAnsi="Calibri Light" w:cstheme="minorBidi"/>
          <w:i w:val="0"/>
          <w:color w:val="3A7C22" w:themeColor="accent6" w:themeShade="BF"/>
          <w:kern w:val="0"/>
          <w:sz w:val="20"/>
          <w:szCs w:val="20"/>
          <w14:ligatures w14:val="none"/>
        </w:rPr>
        <w:fldChar w:fldCharType="end"/>
      </w:r>
      <w:bookmarkEnd w:id="91"/>
      <w:r w:rsidRPr="007A6E8B">
        <w:rPr>
          <w:rFonts w:ascii="Calibri Light" w:hAnsi="Calibri Light" w:cstheme="minorBidi"/>
          <w:i w:val="0"/>
          <w:color w:val="3A7C22" w:themeColor="accent6" w:themeShade="BF"/>
          <w:kern w:val="0"/>
          <w:sz w:val="20"/>
          <w:szCs w:val="20"/>
          <w14:ligatures w14:val="none"/>
        </w:rPr>
        <w:t>:</w:t>
      </w:r>
      <w:r w:rsidR="006E643B" w:rsidRPr="007A6E8B">
        <w:rPr>
          <w:rFonts w:ascii="Calibri Light" w:hAnsi="Calibri Light" w:cstheme="minorBidi"/>
          <w:i w:val="0"/>
          <w:color w:val="3A7C22" w:themeColor="accent6" w:themeShade="BF"/>
          <w:kern w:val="0"/>
          <w:sz w:val="20"/>
          <w:szCs w:val="20"/>
          <w14:ligatures w14:val="none"/>
        </w:rPr>
        <w:t xml:space="preserve"> </w:t>
      </w:r>
      <w:bookmarkStart w:id="92" w:name="_Ref167092910"/>
      <w:r w:rsidR="006E643B" w:rsidRPr="007A6E8B">
        <w:rPr>
          <w:rFonts w:ascii="Calibri Light" w:hAnsi="Calibri Light" w:cstheme="minorBidi"/>
          <w:i w:val="0"/>
          <w:color w:val="3A7C22" w:themeColor="accent6" w:themeShade="BF"/>
          <w:kern w:val="0"/>
          <w:sz w:val="20"/>
          <w:szCs w:val="20"/>
          <w14:ligatures w14:val="none"/>
        </w:rPr>
        <w:t>Risks and mitigation strategies</w:t>
      </w:r>
      <w:bookmarkEnd w:id="92"/>
    </w:p>
    <w:tbl>
      <w:tblPr>
        <w:tblStyle w:val="Deloittetable"/>
        <w:tblW w:w="0" w:type="auto"/>
        <w:tblLook w:val="04A0" w:firstRow="1" w:lastRow="0" w:firstColumn="1" w:lastColumn="0" w:noHBand="0" w:noVBand="1"/>
      </w:tblPr>
      <w:tblGrid>
        <w:gridCol w:w="2707"/>
        <w:gridCol w:w="3163"/>
        <w:gridCol w:w="3156"/>
      </w:tblGrid>
      <w:tr w:rsidR="006E643B" w:rsidRPr="00AE36F7" w14:paraId="4E543E32" w14:textId="77777777" w:rsidTr="00FD14BC">
        <w:trPr>
          <w:cnfStyle w:val="100000000000" w:firstRow="1" w:lastRow="0" w:firstColumn="0" w:lastColumn="0" w:oddVBand="0" w:evenVBand="0" w:oddHBand="0" w:evenHBand="0" w:firstRowFirstColumn="0" w:firstRowLastColumn="0" w:lastRowFirstColumn="0" w:lastRowLastColumn="0"/>
        </w:trPr>
        <w:tc>
          <w:tcPr>
            <w:tcW w:w="2707" w:type="dxa"/>
          </w:tcPr>
          <w:p w14:paraId="4F5459E8" w14:textId="77777777" w:rsidR="006E643B" w:rsidRPr="00BC51F8" w:rsidRDefault="006E643B" w:rsidP="00FD14BC">
            <w:pPr>
              <w:rPr>
                <w:rFonts w:ascii="Arial" w:hAnsi="Arial" w:cs="Arial"/>
                <w:b/>
                <w:bCs/>
                <w:color w:val="196B24" w:themeColor="accent3"/>
              </w:rPr>
            </w:pPr>
            <w:r w:rsidRPr="00807024">
              <w:rPr>
                <w:rFonts w:cs="Arial"/>
                <w:b/>
                <w:bCs/>
                <w:color w:val="196B24" w:themeColor="accent3"/>
              </w:rPr>
              <w:t>Risk</w:t>
            </w:r>
          </w:p>
        </w:tc>
        <w:tc>
          <w:tcPr>
            <w:tcW w:w="3163" w:type="dxa"/>
          </w:tcPr>
          <w:p w14:paraId="720A09BF" w14:textId="77777777" w:rsidR="006E643B" w:rsidRPr="00BC51F8" w:rsidRDefault="006E643B" w:rsidP="00FD14BC">
            <w:pPr>
              <w:rPr>
                <w:rFonts w:ascii="Arial" w:hAnsi="Arial" w:cs="Arial"/>
                <w:b/>
                <w:bCs/>
                <w:color w:val="196B24" w:themeColor="accent3"/>
              </w:rPr>
            </w:pPr>
            <w:r w:rsidRPr="00807024">
              <w:rPr>
                <w:rFonts w:cs="Arial"/>
                <w:b/>
                <w:bCs/>
                <w:color w:val="196B24" w:themeColor="accent3"/>
              </w:rPr>
              <w:t>Description</w:t>
            </w:r>
          </w:p>
        </w:tc>
        <w:tc>
          <w:tcPr>
            <w:tcW w:w="3156" w:type="dxa"/>
          </w:tcPr>
          <w:p w14:paraId="0624D6E2" w14:textId="77777777" w:rsidR="006E643B" w:rsidRPr="00BC51F8" w:rsidRDefault="006E643B" w:rsidP="00FD14BC">
            <w:pPr>
              <w:rPr>
                <w:rFonts w:ascii="Arial" w:hAnsi="Arial" w:cs="Arial"/>
                <w:b/>
                <w:bCs/>
                <w:color w:val="196B24" w:themeColor="accent3"/>
              </w:rPr>
            </w:pPr>
            <w:r w:rsidRPr="00807024">
              <w:rPr>
                <w:rFonts w:cs="Arial"/>
                <w:b/>
                <w:bCs/>
                <w:color w:val="196B24" w:themeColor="accent3"/>
              </w:rPr>
              <w:t>Mitigation strategy</w:t>
            </w:r>
          </w:p>
        </w:tc>
      </w:tr>
      <w:tr w:rsidR="006E643B" w:rsidRPr="00AE36F7" w14:paraId="59C5AEBA" w14:textId="77777777" w:rsidTr="00FD14BC">
        <w:tc>
          <w:tcPr>
            <w:tcW w:w="2707" w:type="dxa"/>
          </w:tcPr>
          <w:p w14:paraId="10E2D072" w14:textId="77777777" w:rsidR="006E643B" w:rsidRPr="00BC51F8" w:rsidRDefault="006E643B" w:rsidP="00FD14BC">
            <w:pPr>
              <w:rPr>
                <w:rFonts w:ascii="Arial" w:hAnsi="Arial" w:cs="Arial"/>
                <w:b/>
                <w:bCs/>
              </w:rPr>
            </w:pPr>
            <w:r w:rsidRPr="00807024">
              <w:rPr>
                <w:rFonts w:cs="Arial"/>
                <w:b/>
                <w:bCs/>
              </w:rPr>
              <w:t>Deviation from assumptions made regarding the effort associated with processing applications</w:t>
            </w:r>
          </w:p>
          <w:p w14:paraId="214BD9A8" w14:textId="77777777" w:rsidR="006E643B" w:rsidRDefault="006E643B" w:rsidP="00FD14BC">
            <w:pPr>
              <w:rPr>
                <w:rFonts w:ascii="Arial" w:hAnsi="Arial" w:cs="Arial"/>
                <w:b/>
                <w:bCs/>
              </w:rPr>
            </w:pPr>
          </w:p>
          <w:p w14:paraId="1AB2ED09" w14:textId="77777777" w:rsidR="00FA5F78" w:rsidRPr="00FA5F78" w:rsidRDefault="00FA5F78" w:rsidP="00FA5F78">
            <w:pPr>
              <w:rPr>
                <w:rFonts w:ascii="Arial" w:hAnsi="Arial" w:cs="Arial"/>
              </w:rPr>
            </w:pPr>
          </w:p>
          <w:p w14:paraId="66AC2BA0" w14:textId="77777777" w:rsidR="00FA5F78" w:rsidRPr="00FA5F78" w:rsidRDefault="00FA5F78" w:rsidP="00FA5F78">
            <w:pPr>
              <w:rPr>
                <w:rFonts w:ascii="Arial" w:hAnsi="Arial" w:cs="Arial"/>
              </w:rPr>
            </w:pPr>
          </w:p>
          <w:p w14:paraId="42350153" w14:textId="77777777" w:rsidR="00FA5F78" w:rsidRPr="00FA5F78" w:rsidRDefault="00FA5F78" w:rsidP="00FA5F78">
            <w:pPr>
              <w:rPr>
                <w:rFonts w:ascii="Arial" w:hAnsi="Arial" w:cs="Arial"/>
              </w:rPr>
            </w:pPr>
          </w:p>
          <w:p w14:paraId="68635571" w14:textId="77777777" w:rsidR="00FA5F78" w:rsidRPr="00FA5F78" w:rsidRDefault="00FA5F78" w:rsidP="00062A34">
            <w:pPr>
              <w:ind w:left="0"/>
              <w:rPr>
                <w:rFonts w:ascii="Arial" w:hAnsi="Arial" w:cs="Arial"/>
              </w:rPr>
            </w:pPr>
          </w:p>
        </w:tc>
        <w:tc>
          <w:tcPr>
            <w:tcW w:w="3163" w:type="dxa"/>
          </w:tcPr>
          <w:p w14:paraId="45D1BA73" w14:textId="77777777" w:rsidR="006E643B" w:rsidRPr="00BC51F8" w:rsidRDefault="006E643B" w:rsidP="00FD14BC">
            <w:pPr>
              <w:rPr>
                <w:rFonts w:ascii="Arial" w:hAnsi="Arial" w:cs="Arial"/>
                <w:b/>
                <w:bCs/>
              </w:rPr>
            </w:pPr>
            <w:r w:rsidRPr="00807024">
              <w:rPr>
                <w:rFonts w:cs="Arial"/>
              </w:rPr>
              <w:t>This risk arises from the fact that the assumptions made regarding the effort associated with processing each application is based on historical data and may vary in future based on changes in complexity, regulations and/or technology. This can lead to over- or under-recovery of costs.</w:t>
            </w:r>
          </w:p>
        </w:tc>
        <w:tc>
          <w:tcPr>
            <w:tcW w:w="3156" w:type="dxa"/>
          </w:tcPr>
          <w:p w14:paraId="19EAA4EC" w14:textId="0217C117" w:rsidR="006E643B" w:rsidRPr="00BC51F8" w:rsidRDefault="00767D76" w:rsidP="00FD14BC">
            <w:pPr>
              <w:rPr>
                <w:rFonts w:ascii="Arial" w:hAnsi="Arial" w:cs="Arial"/>
              </w:rPr>
            </w:pPr>
            <w:r w:rsidRPr="00767D76">
              <w:rPr>
                <w:rFonts w:ascii="Segoe UI" w:hAnsi="Segoe UI" w:cs="Segoe UI"/>
                <w:kern w:val="2"/>
                <w:sz w:val="18"/>
                <w:lang w:val="en-AU"/>
                <w14:ligatures w14:val="standardContextual"/>
              </w:rPr>
              <w:t xml:space="preserve"> </w:t>
            </w:r>
            <w:r w:rsidRPr="00767D76">
              <w:rPr>
                <w:rFonts w:cs="Arial"/>
                <w:lang w:val="en-AU"/>
              </w:rPr>
              <w:t>The OGTR will regularly review the assumptions underpinning regulatory effort and activity costs associated with charging activities. This includes monitoring changes in application complexity, operational processes and resource requirements to ensure charges continue to reflect the efficient cost of regulation.</w:t>
            </w:r>
          </w:p>
        </w:tc>
      </w:tr>
      <w:tr w:rsidR="006E643B" w:rsidRPr="00AE36F7" w14:paraId="0BB3C1A6" w14:textId="77777777" w:rsidTr="00FD14BC">
        <w:tc>
          <w:tcPr>
            <w:tcW w:w="2707" w:type="dxa"/>
          </w:tcPr>
          <w:p w14:paraId="0FCCE9DE" w14:textId="77777777" w:rsidR="006E643B" w:rsidRPr="00BC51F8" w:rsidRDefault="006E643B" w:rsidP="00FD14BC">
            <w:pPr>
              <w:rPr>
                <w:rFonts w:ascii="Arial" w:hAnsi="Arial" w:cs="Arial"/>
                <w:b/>
                <w:bCs/>
              </w:rPr>
            </w:pPr>
            <w:r w:rsidRPr="00807024">
              <w:rPr>
                <w:rFonts w:cs="Arial"/>
                <w:b/>
                <w:bCs/>
              </w:rPr>
              <w:t xml:space="preserve">Variance in the number of applications received each year </w:t>
            </w:r>
          </w:p>
        </w:tc>
        <w:tc>
          <w:tcPr>
            <w:tcW w:w="3163" w:type="dxa"/>
          </w:tcPr>
          <w:p w14:paraId="4334AA63" w14:textId="77777777" w:rsidR="006E643B" w:rsidRPr="00BC51F8" w:rsidRDefault="006E643B" w:rsidP="00FD14BC">
            <w:pPr>
              <w:rPr>
                <w:rFonts w:ascii="Arial" w:hAnsi="Arial" w:cs="Arial"/>
              </w:rPr>
            </w:pPr>
            <w:r w:rsidRPr="00807024">
              <w:rPr>
                <w:rFonts w:cs="Arial"/>
              </w:rPr>
              <w:t>As above, this risk arises because the assumptions made regarding the quantity of applications received each year are based on historical trends in application submissions. These may not reflect future trends, and this could lead to financial implications including over- or under-recovery of costs.</w:t>
            </w:r>
          </w:p>
        </w:tc>
        <w:tc>
          <w:tcPr>
            <w:tcW w:w="3156" w:type="dxa"/>
          </w:tcPr>
          <w:p w14:paraId="56796F68" w14:textId="77777777" w:rsidR="006E643B" w:rsidRPr="00BC51F8" w:rsidRDefault="006E643B" w:rsidP="00FD14BC">
            <w:pPr>
              <w:rPr>
                <w:rFonts w:ascii="Arial" w:hAnsi="Arial" w:cs="Arial"/>
              </w:rPr>
            </w:pPr>
            <w:r w:rsidRPr="00807024">
              <w:rPr>
                <w:rFonts w:cs="Arial"/>
              </w:rPr>
              <w:t>As above, the OGTR will regularly monitor and review the volume of applications. This can be done by comparing the actual number of applications against the projected figures. If there is a significant difference, it may be necessary to revise the assumptions and adjust the cost model accordingly.</w:t>
            </w:r>
          </w:p>
        </w:tc>
      </w:tr>
    </w:tbl>
    <w:p w14:paraId="72B55E22" w14:textId="309D6E35" w:rsidR="006E643B" w:rsidRPr="00BC51F8" w:rsidRDefault="006E643B" w:rsidP="00B075CE">
      <w:pPr>
        <w:pStyle w:val="Heading1"/>
      </w:pPr>
      <w:bookmarkStart w:id="93" w:name="_Ref167720318"/>
      <w:bookmarkStart w:id="94" w:name="_Toc168990926"/>
      <w:bookmarkStart w:id="95" w:name="_Toc242195603"/>
      <w:r w:rsidRPr="00BC51F8">
        <w:t>Stakeholder Engagement</w:t>
      </w:r>
      <w:bookmarkEnd w:id="93"/>
      <w:bookmarkEnd w:id="94"/>
      <w:bookmarkEnd w:id="95"/>
    </w:p>
    <w:p w14:paraId="32E92E12" w14:textId="77777777" w:rsidR="006E643B" w:rsidRPr="00D22452" w:rsidRDefault="006E643B" w:rsidP="00D22452">
      <w:r w:rsidRPr="00D22452">
        <w:t xml:space="preserve">This chapter discusses previous, current and ongoing engagement and communication pathways with stakeholders as part of cost-recovery development and implementation. </w:t>
      </w:r>
    </w:p>
    <w:p w14:paraId="36993BC9" w14:textId="77777777" w:rsidR="006E643B" w:rsidRPr="00BC51F8" w:rsidRDefault="006E643B" w:rsidP="006E643B">
      <w:pPr>
        <w:pStyle w:val="Heading2"/>
      </w:pPr>
      <w:bookmarkStart w:id="96" w:name="_Toc168990927"/>
      <w:bookmarkStart w:id="97" w:name="_Toc242195604"/>
      <w:r w:rsidRPr="00BC51F8">
        <w:lastRenderedPageBreak/>
        <w:t>Summary of stakeholder engagement undertaken to date</w:t>
      </w:r>
      <w:bookmarkEnd w:id="96"/>
      <w:bookmarkEnd w:id="97"/>
    </w:p>
    <w:p w14:paraId="2F97604B" w14:textId="4998CFCC" w:rsidR="006E643B" w:rsidRPr="00BC51F8" w:rsidRDefault="006E643B" w:rsidP="006E643B">
      <w:r w:rsidRPr="00BC51F8">
        <w:t>The OGTR has undertaken stakeholder consultation over past years to inform the development of cost recovery arrangements for regulatory activities delivered under the Scheme. Initial engagement commenced in 2022 to better understand stakeholder perspectives on the introduction of cost recovery and the potential impacts on regulated entities across the gene technology sector.</w:t>
      </w:r>
    </w:p>
    <w:p w14:paraId="5D55E1A7" w14:textId="77777777" w:rsidR="006E643B" w:rsidRPr="00BC51F8" w:rsidRDefault="006E643B" w:rsidP="006E643B">
      <w:r w:rsidRPr="00BC51F8">
        <w:t xml:space="preserve">Feedback received through this engagement highlighted the diversity of the sector and the varying capacity of organisations to absorb additional regulatory costs. Stakeholders raised concerns regarding affordability, particularly for research organisations, universities and smaller organisations, and the potential impacts that cost recovery arrangements could have on innovation and research activities. At that time, </w:t>
      </w:r>
      <w:r>
        <w:t>s</w:t>
      </w:r>
      <w:r w:rsidRPr="00BC51F8">
        <w:t>takeholders also indicated that further consultation on more detailed charging models would be beneficial to better understand how different cost recovery approaches might operate in practice.</w:t>
      </w:r>
    </w:p>
    <w:p w14:paraId="42BEBDA7" w14:textId="77777777" w:rsidR="006E643B" w:rsidRPr="00BC51F8" w:rsidRDefault="006E643B" w:rsidP="006E643B">
      <w:r w:rsidRPr="00BC51F8">
        <w:t>To inform the development of a potential charging framework, the OGTR subsequently consulted stakeholders on a range of cost recovery options. These options explored different approaches to allocating costs between commercial and non-commercial activities and sought feedback on issues such as affordability, potential unintended consequences, administrative complexity, perceived value of regulatory services and ease of implementation.</w:t>
      </w:r>
    </w:p>
    <w:p w14:paraId="2A7E7E6B" w14:textId="77777777" w:rsidR="006E643B" w:rsidRPr="00BC51F8" w:rsidRDefault="006E643B" w:rsidP="006E643B">
      <w:r w:rsidRPr="00BC51F8">
        <w:t>Consultation was undertaken with a broad cross-section of stakeholders, including government agencies, commercial biotechnology organisations, small and medium enterprises, universities, research institutes, hospitals and other regulated entities. Stakeholders were invited to provide feedback through surveys, interviews, focus groups and written submissions. This engagement provided valuable insights into stakeholder priorities, implementation considerations and potential risks associated with introducing cost recovery.</w:t>
      </w:r>
    </w:p>
    <w:p w14:paraId="51C4A50A" w14:textId="77777777" w:rsidR="006E643B" w:rsidRPr="00BC51F8" w:rsidRDefault="006E643B" w:rsidP="006E643B">
      <w:r w:rsidRPr="00BC51F8">
        <w:t>The feedback received through these consultation activities has informed the development of the cost recovery model outlined in this CRIS, including consideration of stakeholder capacity to pay, implementation risks and the need to support ongoing research and innovation within the Australian gene technology sector.</w:t>
      </w:r>
    </w:p>
    <w:p w14:paraId="7FFC461F" w14:textId="77777777" w:rsidR="006E643B" w:rsidRPr="00BC51F8" w:rsidRDefault="006E643B" w:rsidP="006E643B">
      <w:pPr>
        <w:pStyle w:val="Heading2"/>
      </w:pPr>
      <w:bookmarkStart w:id="98" w:name="_Toc168990928"/>
      <w:bookmarkStart w:id="99" w:name="_Toc242195605"/>
      <w:r w:rsidRPr="00BC51F8">
        <w:t>Addressing key stakeholder views</w:t>
      </w:r>
      <w:bookmarkEnd w:id="98"/>
      <w:bookmarkEnd w:id="99"/>
    </w:p>
    <w:p w14:paraId="0C1B1D22" w14:textId="77777777" w:rsidR="006E643B" w:rsidRPr="00BC51F8" w:rsidRDefault="006E643B" w:rsidP="006E643B">
      <w:r w:rsidRPr="00BC51F8">
        <w:t xml:space="preserve">Previous stakeholder feedback highlighted a need for greater granularity within the fee structure. Stakeholders expressed that the simplicity of the options tested did not align with the complexity of the industry. Many of the research-focused stakeholders found it difficult to classify their activities solely based on commerciality, as research activities have the potential to transition into commercial ventures in the future. </w:t>
      </w:r>
    </w:p>
    <w:p w14:paraId="07395D39" w14:textId="77777777" w:rsidR="006E643B" w:rsidRPr="00BC51F8" w:rsidRDefault="006E643B" w:rsidP="006E643B">
      <w:r w:rsidRPr="00BC51F8">
        <w:t xml:space="preserve">Demand for further granularity was driven by concerns about stakeholder’s ability to pay and the significant impact fees could have on their operations. While some stakeholders indicated a reasonably high ability to pay fees for certification applications, their ability to pay for licence applications was much lower. </w:t>
      </w:r>
    </w:p>
    <w:p w14:paraId="3EBA0C34" w14:textId="774B6059" w:rsidR="006E643B" w:rsidRPr="00BC51F8" w:rsidRDefault="006E643B" w:rsidP="006E643B">
      <w:r w:rsidRPr="00BC51F8">
        <w:t xml:space="preserve">There was also significant variability in stakeholder’s assessment of their ability to pay across the types of organisations within the sector. Small and medium-sized enterprises had varying views on their ability to pay, with some considering even small fees as having a significant impact. Large corporates, on the other hand, felt relatively confident in their ability to pay. Organisations reliant on grants raised concerns about the potential impact of fees on grant availability, with the possibility of the burden falling on the organisations and researchers themselves. </w:t>
      </w:r>
    </w:p>
    <w:p w14:paraId="0272FF16" w14:textId="77777777" w:rsidR="006E643B" w:rsidRPr="00BC51F8" w:rsidRDefault="006E643B" w:rsidP="006E643B">
      <w:r w:rsidRPr="00BC51F8">
        <w:t>As a result, stakeholders foresaw unintended consequences associated with the introduction of licence application fees. The primary concern was that the introduction of fees may stifle innovation and research in Australia’s gene technology industry.</w:t>
      </w:r>
    </w:p>
    <w:p w14:paraId="10B09A74" w14:textId="30499B41" w:rsidR="006E643B" w:rsidRDefault="006E643B" w:rsidP="006E643B">
      <w:r w:rsidRPr="00BC51F8">
        <w:t>In the new proposed fee structure, further granularity has been added to meet some of these concern</w:t>
      </w:r>
      <w:r>
        <w:t>s including t</w:t>
      </w:r>
      <w:r w:rsidRPr="00BC51F8">
        <w:t xml:space="preserve">he purpose of the activities (research, pre-commercial and commercial) and the </w:t>
      </w:r>
      <w:r w:rsidRPr="00BC51F8">
        <w:lastRenderedPageBreak/>
        <w:t xml:space="preserve">complexity of the application itself to better reflect the </w:t>
      </w:r>
      <w:r w:rsidR="00E24175">
        <w:t xml:space="preserve">regulatory effort </w:t>
      </w:r>
      <w:r w:rsidR="00A8172F">
        <w:t xml:space="preserve">associated with assessment activities and how the effort may vary between application type </w:t>
      </w:r>
      <w:r w:rsidR="00E24175">
        <w:t xml:space="preserve"> </w:t>
      </w:r>
      <w:r w:rsidRPr="00BC51F8">
        <w:t xml:space="preserve"> </w:t>
      </w:r>
    </w:p>
    <w:p w14:paraId="6222151B" w14:textId="77777777" w:rsidR="006E643B" w:rsidRPr="00BC51F8" w:rsidRDefault="006E643B" w:rsidP="006E643B">
      <w:r w:rsidRPr="00BC51F8">
        <w:t xml:space="preserve">For licences, it is proposed that each application submitted to the OGTR undergo assessment to determine its complexity level and whether it is classified as high or low. The OGTR will define the specific criteria for assessment and will reflect the effort required to process the application. This may include (but is not limited to) factors such as the level of risk, novelty, or technical difficulty associated with the activities intended to be carried out under the licence. The level of complexity will determine the application fee amount. </w:t>
      </w:r>
    </w:p>
    <w:p w14:paraId="509089CB" w14:textId="77777777" w:rsidR="006E643B" w:rsidRPr="00BC51F8" w:rsidRDefault="006E643B" w:rsidP="006E643B">
      <w:r w:rsidRPr="00BC51F8">
        <w:t>OGTR will also determine whether the activities proposed under the licence are research, pre-commercial or commercial.</w:t>
      </w:r>
    </w:p>
    <w:p w14:paraId="54031A8B" w14:textId="77777777" w:rsidR="006E643B" w:rsidRPr="00BC51F8" w:rsidRDefault="006E643B" w:rsidP="006E643B">
      <w:r w:rsidRPr="00BC51F8">
        <w:t>Certification application fees will be structured in a similar manner. PC levels 1 &amp; 2 (with the exception of large-scale PC 2 facilities) will be subject to a fixed fee. PC levels 3 &amp; 4, and PC 2 large scale facilities will incur a higher fee. The increase in fee is attributed to the higher degree of effort and cost required from the OGTR for the assessment of these applications.</w:t>
      </w:r>
    </w:p>
    <w:p w14:paraId="161E329F" w14:textId="77777777" w:rsidR="006E643B" w:rsidRDefault="006E643B" w:rsidP="006E643B">
      <w:r w:rsidRPr="00BC51F8">
        <w:t xml:space="preserve">The imposition of fees lies at the OGTRs discretion, and they may choose to exclude some organisations from paying. </w:t>
      </w:r>
    </w:p>
    <w:p w14:paraId="13A47FDD" w14:textId="77777777" w:rsidR="00725352" w:rsidRPr="00BC51F8" w:rsidDel="005E33F8" w:rsidRDefault="00725352" w:rsidP="006E643B"/>
    <w:p w14:paraId="1F88B55C" w14:textId="77777777" w:rsidR="006E643B" w:rsidRPr="00BC51F8" w:rsidRDefault="006E643B" w:rsidP="006E643B">
      <w:pPr>
        <w:pStyle w:val="Heading2"/>
      </w:pPr>
      <w:bookmarkStart w:id="100" w:name="_Toc168990929"/>
      <w:bookmarkStart w:id="101" w:name="_Toc242195606"/>
      <w:r w:rsidRPr="00BC51F8">
        <w:t>Stakeholder Engagement Plan</w:t>
      </w:r>
      <w:bookmarkEnd w:id="100"/>
      <w:r w:rsidRPr="00BC51F8">
        <w:t xml:space="preserve"> - 2026/2027</w:t>
      </w:r>
      <w:bookmarkEnd w:id="101"/>
    </w:p>
    <w:p w14:paraId="5AA25BB8" w14:textId="77777777" w:rsidR="006E643B" w:rsidRPr="00BC51F8" w:rsidRDefault="006E643B" w:rsidP="006E643B">
      <w:r>
        <w:t>T</w:t>
      </w:r>
      <w:r w:rsidRPr="00BC51F8">
        <w:t>he OGTR will maintain regular and ongoing engagement with stakeholders and sector leaders. A proactive approach to stakeholder engagement will enable the capture of valuable feedback, which can then be carefully considered in future fee reviews. This will ensure that the fee structure remains aligned with the evolving needs and expectations of the industry.</w:t>
      </w:r>
    </w:p>
    <w:p w14:paraId="21A57EC2" w14:textId="77777777" w:rsidR="006E643B" w:rsidRPr="00BC51F8" w:rsidRDefault="006E643B" w:rsidP="006E643B">
      <w:r w:rsidRPr="00BC51F8">
        <w:t xml:space="preserve">OGTR recognises that effective stakeholder engagement is critical to the successful design and implementation of cost recovery arrangements. As cost recovery is introduced through a phased approach, the OGTR will maintain ongoing engagement with regulated entities and other key stakeholders to ensure charging arrangements are transparent, practical and informed by stakeholder experience. Through these engagement mechanisms, the OGTR will continue to foster a collaborative relationship with stakeholders, provide clarity regarding proposed charging arrangements and implementation timeframes, and ensure stakeholder feedback is considered as part of ongoing review and refinement of the cost recovery model. This approach will support transparency, promote understanding of cost recovery arrangements and assist in ensuring the model remains practical, sustainable and aligned with the needs of the regulated sector. Engagement pathways include: </w:t>
      </w:r>
    </w:p>
    <w:p w14:paraId="64FC94F1" w14:textId="77777777" w:rsidR="006E643B" w:rsidRPr="00BC51F8" w:rsidRDefault="006E643B" w:rsidP="006E643B">
      <w:pPr>
        <w:pStyle w:val="Heading3"/>
      </w:pPr>
      <w:bookmarkStart w:id="102" w:name="_Toc242195607"/>
      <w:r w:rsidRPr="00BC51F8">
        <w:t>Governance Committee</w:t>
      </w:r>
      <w:bookmarkEnd w:id="102"/>
      <w:r w:rsidRPr="00BC51F8">
        <w:t xml:space="preserve"> </w:t>
      </w:r>
    </w:p>
    <w:p w14:paraId="48EAD1CB" w14:textId="77777777" w:rsidR="006E643B" w:rsidRPr="00BC51F8" w:rsidRDefault="006E643B" w:rsidP="006E643B">
      <w:r w:rsidRPr="00BC51F8">
        <w:t>To support the development and implementation of cost recovery arrangements, the OGTR has established a Governance Committee to provide oversight and assurance throughout the project. The Committee provides an important governance function by ensuring that cost recovery arrangements are developed consistently with the AGCF, Commonwealth Cost Recovery Guidelines and broader Government policy objectives.</w:t>
      </w:r>
    </w:p>
    <w:p w14:paraId="737F3654" w14:textId="77777777" w:rsidR="006E643B" w:rsidRPr="00BC51F8" w:rsidRDefault="006E643B" w:rsidP="006E643B">
      <w:r w:rsidRPr="00BC51F8">
        <w:t>The Committee meets bi-monthly to review project progress, monitor risks, consider key decisions and provide strategic guidance on the design and implementation of cost recovery arrangements. Decisions and action items are documented and tracked to support accountability, transparency and effective project delivery.</w:t>
      </w:r>
    </w:p>
    <w:p w14:paraId="72542FB2" w14:textId="77777777" w:rsidR="006E643B" w:rsidRPr="00BC51F8" w:rsidRDefault="006E643B" w:rsidP="006E643B">
      <w:pPr>
        <w:pStyle w:val="Heading3"/>
      </w:pPr>
      <w:bookmarkStart w:id="103" w:name="_Toc242195608"/>
      <w:r w:rsidRPr="00BC51F8">
        <w:t>Industry Reference Group (IRG)</w:t>
      </w:r>
      <w:bookmarkEnd w:id="103"/>
    </w:p>
    <w:p w14:paraId="22B6B12F" w14:textId="77777777" w:rsidR="006E643B" w:rsidRPr="00BC51F8" w:rsidRDefault="006E643B" w:rsidP="006E643B">
      <w:r w:rsidRPr="00BC51F8">
        <w:t xml:space="preserve">The OGTR has established the Cost Recovery Industry Reference Group (IRG) as a dedicated forum for consultation and discussion throughout the development and implementation of cost recovery arrangements. The Group provides an opportunity for stakeholders to engage directly with the OGTR and provide feedback on proposed cost recovery arrangements, consultation materials and implementation activities. The Group also assists the OGTR in identifying practical implementation </w:t>
      </w:r>
      <w:r w:rsidRPr="00BC51F8">
        <w:lastRenderedPageBreak/>
        <w:t>issues, risks and opportunities for improvement, while supporting clear communication between the regulator and regulated entities.</w:t>
      </w:r>
    </w:p>
    <w:p w14:paraId="55B812BE" w14:textId="77777777" w:rsidR="006E643B" w:rsidRPr="00BC51F8" w:rsidRDefault="006E643B" w:rsidP="006E643B">
      <w:r w:rsidRPr="00BC51F8">
        <w:t>The Industry Reference Group is advisory in nature and does not participate in regulatory decision-making or Government decisions relating to cost recovery policy. Its purpose is to assist the OGTR in understanding the potential impacts of cost recovery arrangements across different parts of the gene technology sector and to provide practical insights that support effective implementation.</w:t>
      </w:r>
    </w:p>
    <w:p w14:paraId="11B3E57B" w14:textId="77777777" w:rsidR="006E643B" w:rsidRPr="00BC51F8" w:rsidRDefault="006E643B" w:rsidP="006E643B">
      <w:r w:rsidRPr="00BC51F8">
        <w:t>Membership of the Group is determined through an Expression of Interest process administered by the OGTR. The OGTR seeks balanced representation from organisations that may be affected by cost recovery arrangements, including licence and certification holders from a range of sectors and organisation types. Membership may include representatives from commercial biotechnology organisations, small and medium biotechnology companies, universities and research institutions, research organisations, clinical trial and contract research organisations, and State and Territory government agencies. The OGTR may periodically review membership to ensure the Group continues to provide broad and appropriate stakeholder representation.</w:t>
      </w:r>
    </w:p>
    <w:p w14:paraId="3D776D16" w14:textId="77777777" w:rsidR="006E643B" w:rsidRPr="00BC51F8" w:rsidRDefault="006E643B" w:rsidP="006E643B">
      <w:r w:rsidRPr="00BC51F8">
        <w:t>The OGTR provides the Chair and secretariat functions for the Group and will facilitate regular meetings throughout the implementation of cost recovery. Feedback received through the Industry Reference Group will complement broader stakeholder consultation activities, including public consultation on the CRIS, targeted engagement activities and ongoing discussions with regulated entities.</w:t>
      </w:r>
    </w:p>
    <w:p w14:paraId="29A0B0D2" w14:textId="77777777" w:rsidR="006E643B" w:rsidRPr="00BC51F8" w:rsidRDefault="006E643B" w:rsidP="006E643B">
      <w:pPr>
        <w:pStyle w:val="Heading3"/>
      </w:pPr>
      <w:bookmarkStart w:id="104" w:name="_Toc242195609"/>
      <w:r w:rsidRPr="00BC51F8">
        <w:t>Institutional Biosafety Committee (IBC) Forum</w:t>
      </w:r>
      <w:bookmarkEnd w:id="104"/>
    </w:p>
    <w:p w14:paraId="14AC3B3D" w14:textId="77777777" w:rsidR="006E643B" w:rsidRPr="00BC51F8" w:rsidRDefault="006E643B" w:rsidP="006E643B">
      <w:r w:rsidRPr="00BC51F8">
        <w:t>The OGTR has previously presented on the proposed cost recovery framework at the Institutional Biosafety Committee (IBC) Forum. The forum is attended by more than 150 participants representing a broad range of stakeholder groups, including research institutions, universities, state agencies, industry representatives and biosafety professionals.</w:t>
      </w:r>
    </w:p>
    <w:p w14:paraId="2E69498F" w14:textId="77777777" w:rsidR="006E643B" w:rsidRPr="00BC51F8" w:rsidRDefault="006E643B" w:rsidP="006E643B">
      <w:r w:rsidRPr="00BC51F8">
        <w:t>Ongoing engagement with IBCs provides an important opportunity for stakeholders to gain an early understanding of the proposed model, ask questions, and provide feedback on the practical implications of cost recovery arrangements. Feedback received through this engagement activity will continue to inform the refinement and implementation of the cost recovery framework.</w:t>
      </w:r>
    </w:p>
    <w:p w14:paraId="1837C7D9" w14:textId="77777777" w:rsidR="006E643B" w:rsidRPr="00BC51F8" w:rsidRDefault="006E643B" w:rsidP="006E643B">
      <w:pPr>
        <w:pStyle w:val="Heading1"/>
      </w:pPr>
      <w:bookmarkStart w:id="105" w:name="_Toc242195610"/>
      <w:r w:rsidRPr="00BC51F8">
        <w:t>Consultation Process</w:t>
      </w:r>
      <w:bookmarkEnd w:id="105"/>
      <w:r w:rsidRPr="00BC51F8">
        <w:t xml:space="preserve"> </w:t>
      </w:r>
    </w:p>
    <w:p w14:paraId="2EFA7B97" w14:textId="77777777" w:rsidR="006E643B" w:rsidRPr="00BC51F8" w:rsidRDefault="006E643B" w:rsidP="006E643B">
      <w:r w:rsidRPr="00BC51F8">
        <w:t xml:space="preserve">Consultation on the proposed cost recovery arrangements and draft </w:t>
      </w:r>
      <w:r>
        <w:t>CRIS</w:t>
      </w:r>
      <w:r w:rsidRPr="00BC51F8">
        <w:t xml:space="preserve"> was undertaken between</w:t>
      </w:r>
      <w:r>
        <w:t xml:space="preserve"> </w:t>
      </w:r>
      <w:r w:rsidRPr="00BC51F8">
        <w:rPr>
          <w:b/>
          <w:bCs/>
        </w:rPr>
        <w:t>[INSERT DATE]</w:t>
      </w:r>
      <w:r w:rsidRPr="00BC51F8">
        <w:t xml:space="preserve"> and</w:t>
      </w:r>
      <w:r>
        <w:t xml:space="preserve"> </w:t>
      </w:r>
      <w:r w:rsidRPr="00BC51F8">
        <w:rPr>
          <w:b/>
          <w:bCs/>
        </w:rPr>
        <w:t>[INSERT DATE]</w:t>
      </w:r>
      <w:r w:rsidRPr="00BC51F8">
        <w:t>.</w:t>
      </w:r>
    </w:p>
    <w:p w14:paraId="5A642CB1" w14:textId="77777777" w:rsidR="006E643B" w:rsidRPr="00BC51F8" w:rsidRDefault="006E643B" w:rsidP="006E643B">
      <w:r w:rsidRPr="00BC51F8">
        <w:t>Consultation activities included:</w:t>
      </w:r>
    </w:p>
    <w:p w14:paraId="50135E2A" w14:textId="77777777" w:rsidR="006E643B" w:rsidRPr="00BC51F8" w:rsidRDefault="006E643B" w:rsidP="006E643B">
      <w:pPr>
        <w:numPr>
          <w:ilvl w:val="0"/>
          <w:numId w:val="22"/>
        </w:numPr>
      </w:pPr>
      <w:r w:rsidRPr="00BC51F8">
        <w:t>publication of a draft CRIS and supporting consultation materials on the OGTR website (public consultation)</w:t>
      </w:r>
    </w:p>
    <w:p w14:paraId="12103F43" w14:textId="77777777" w:rsidR="006E643B" w:rsidRPr="00BC51F8" w:rsidRDefault="006E643B" w:rsidP="006E643B">
      <w:pPr>
        <w:numPr>
          <w:ilvl w:val="0"/>
          <w:numId w:val="22"/>
        </w:numPr>
      </w:pPr>
      <w:r w:rsidRPr="00BC51F8">
        <w:t>meetings of the Industry Reference Group (IRG)</w:t>
      </w:r>
    </w:p>
    <w:p w14:paraId="1457A431" w14:textId="77777777" w:rsidR="006E643B" w:rsidRPr="00BC51F8" w:rsidRDefault="006E643B" w:rsidP="006E643B">
      <w:pPr>
        <w:numPr>
          <w:ilvl w:val="0"/>
          <w:numId w:val="22"/>
        </w:numPr>
      </w:pPr>
      <w:r w:rsidRPr="00BC51F8">
        <w:t>engagement with industry peak bodies and representative organisations</w:t>
      </w:r>
    </w:p>
    <w:p w14:paraId="01429DC8" w14:textId="77777777" w:rsidR="006E643B" w:rsidRPr="00BC51F8" w:rsidRDefault="006E643B" w:rsidP="006E643B">
      <w:pPr>
        <w:numPr>
          <w:ilvl w:val="0"/>
          <w:numId w:val="22"/>
        </w:numPr>
      </w:pPr>
      <w:r w:rsidRPr="00BC51F8">
        <w:t>presentations and discussion sessions through the Institutional Biosafety Committee (IBC) Forum</w:t>
      </w:r>
    </w:p>
    <w:p w14:paraId="73ABBB0C" w14:textId="77777777" w:rsidR="006E643B" w:rsidRPr="00BC51F8" w:rsidRDefault="006E643B" w:rsidP="006E643B">
      <w:pPr>
        <w:numPr>
          <w:ilvl w:val="0"/>
          <w:numId w:val="22"/>
        </w:numPr>
      </w:pPr>
      <w:r w:rsidRPr="00BC51F8">
        <w:t>stakeholder information sessions and webinars</w:t>
      </w:r>
    </w:p>
    <w:p w14:paraId="1E33C0CF" w14:textId="77777777" w:rsidR="006E643B" w:rsidRPr="00BC51F8" w:rsidRDefault="006E643B" w:rsidP="006E643B">
      <w:pPr>
        <w:numPr>
          <w:ilvl w:val="0"/>
          <w:numId w:val="22"/>
        </w:numPr>
      </w:pPr>
      <w:r w:rsidRPr="00BC51F8">
        <w:t>written submissions from stakeholders</w:t>
      </w:r>
    </w:p>
    <w:p w14:paraId="4278978C" w14:textId="77777777" w:rsidR="006E643B" w:rsidRPr="00BC51F8" w:rsidRDefault="006E643B" w:rsidP="006E643B">
      <w:pPr>
        <w:numPr>
          <w:ilvl w:val="0"/>
          <w:numId w:val="22"/>
        </w:numPr>
      </w:pPr>
      <w:r w:rsidRPr="00BC51F8">
        <w:t>targeted engagement with government agencies and other relevant regulatory bodies.</w:t>
      </w:r>
    </w:p>
    <w:p w14:paraId="275AA13D" w14:textId="77777777" w:rsidR="006E643B" w:rsidRPr="00BC51F8" w:rsidRDefault="006E643B" w:rsidP="006E643B">
      <w:r w:rsidRPr="00BC51F8">
        <w:t>Consultation materials included information on:</w:t>
      </w:r>
    </w:p>
    <w:p w14:paraId="5AE870A8" w14:textId="77777777" w:rsidR="006E643B" w:rsidRPr="00BC51F8" w:rsidRDefault="006E643B" w:rsidP="006E643B">
      <w:pPr>
        <w:numPr>
          <w:ilvl w:val="0"/>
          <w:numId w:val="23"/>
        </w:numPr>
      </w:pPr>
      <w:r w:rsidRPr="00BC51F8">
        <w:t>the proposed cost recovery model</w:t>
      </w:r>
    </w:p>
    <w:p w14:paraId="2236D285" w14:textId="77777777" w:rsidR="006E643B" w:rsidRPr="00BC51F8" w:rsidRDefault="006E643B" w:rsidP="006E643B">
      <w:pPr>
        <w:numPr>
          <w:ilvl w:val="0"/>
          <w:numId w:val="23"/>
        </w:numPr>
      </w:pPr>
      <w:r w:rsidRPr="00BC51F8">
        <w:lastRenderedPageBreak/>
        <w:t>proposed fees and charging arrangements</w:t>
      </w:r>
    </w:p>
    <w:p w14:paraId="2C370AF7" w14:textId="77777777" w:rsidR="006E643B" w:rsidRPr="00BC51F8" w:rsidRDefault="006E643B" w:rsidP="006E643B">
      <w:pPr>
        <w:numPr>
          <w:ilvl w:val="0"/>
          <w:numId w:val="23"/>
        </w:numPr>
      </w:pPr>
      <w:r w:rsidRPr="00BC51F8">
        <w:t>implementation timelines</w:t>
      </w:r>
    </w:p>
    <w:p w14:paraId="56AC669E" w14:textId="77777777" w:rsidR="006E643B" w:rsidRPr="00BC51F8" w:rsidRDefault="006E643B" w:rsidP="006E643B">
      <w:pPr>
        <w:numPr>
          <w:ilvl w:val="0"/>
          <w:numId w:val="23"/>
        </w:numPr>
      </w:pPr>
      <w:r w:rsidRPr="00BC51F8">
        <w:t>charging principles and policy rationale</w:t>
      </w:r>
    </w:p>
    <w:p w14:paraId="2EE9A0C7" w14:textId="77777777" w:rsidR="006E643B" w:rsidRPr="00BC51F8" w:rsidRDefault="006E643B" w:rsidP="006E643B">
      <w:pPr>
        <w:numPr>
          <w:ilvl w:val="0"/>
          <w:numId w:val="23"/>
        </w:numPr>
      </w:pPr>
      <w:r w:rsidRPr="00BC51F8">
        <w:t>proposed exemptions and exclusions</w:t>
      </w:r>
    </w:p>
    <w:p w14:paraId="53C9C2EA" w14:textId="77777777" w:rsidR="006E643B" w:rsidRPr="00BC51F8" w:rsidRDefault="006E643B" w:rsidP="006E643B">
      <w:pPr>
        <w:numPr>
          <w:ilvl w:val="0"/>
          <w:numId w:val="23"/>
        </w:numPr>
      </w:pPr>
      <w:r w:rsidRPr="00BC51F8">
        <w:t>opportunities for future review and refinement.</w:t>
      </w:r>
    </w:p>
    <w:p w14:paraId="7E4775ED" w14:textId="77777777" w:rsidR="006E643B" w:rsidRPr="00BC51F8" w:rsidRDefault="006E643B" w:rsidP="006E643B">
      <w:pPr>
        <w:pStyle w:val="Heading2"/>
      </w:pPr>
      <w:bookmarkStart w:id="106" w:name="_Toc242195611"/>
      <w:r w:rsidRPr="00BC51F8">
        <w:t>Stakeholder Participation</w:t>
      </w:r>
      <w:bookmarkEnd w:id="106"/>
    </w:p>
    <w:p w14:paraId="16840D05" w14:textId="77777777" w:rsidR="006E643B" w:rsidRPr="0042331B" w:rsidRDefault="006E643B" w:rsidP="006E643B">
      <w:pPr>
        <w:pStyle w:val="Heading3"/>
      </w:pPr>
      <w:bookmarkStart w:id="107" w:name="_Toc242195612"/>
      <w:r w:rsidRPr="0042331B">
        <w:t>Consultation Participation Summary</w:t>
      </w:r>
      <w:bookmarkEnd w:id="107"/>
    </w:p>
    <w:p w14:paraId="62F43F79" w14:textId="77777777" w:rsidR="006E643B" w:rsidRPr="00BC51F8" w:rsidRDefault="006E643B" w:rsidP="006E643B"/>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6E643B" w:rsidRPr="00BC51F8" w14:paraId="59ADE4F9" w14:textId="77777777" w:rsidTr="00FD14BC">
        <w:trPr>
          <w:cnfStyle w:val="100000000000" w:firstRow="1" w:lastRow="0" w:firstColumn="0" w:lastColumn="0" w:oddVBand="0" w:evenVBand="0" w:oddHBand="0" w:evenHBand="0" w:firstRowFirstColumn="0" w:firstRowLastColumn="0" w:lastRowFirstColumn="0" w:lastRowLastColumn="0"/>
        </w:trPr>
        <w:tc>
          <w:tcPr>
            <w:tcW w:w="450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F33E9CF" w14:textId="77777777" w:rsidR="006E643B" w:rsidRPr="00BC51F8" w:rsidRDefault="006E643B" w:rsidP="00FD14BC">
            <w:r w:rsidRPr="00BC51F8">
              <w:rPr>
                <w:b/>
                <w:bCs/>
              </w:rPr>
              <w:t>Engagement Activity</w:t>
            </w:r>
          </w:p>
        </w:tc>
        <w:tc>
          <w:tcPr>
            <w:tcW w:w="450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9D96C6" w14:textId="77777777" w:rsidR="006E643B" w:rsidRPr="00BC51F8" w:rsidRDefault="006E643B" w:rsidP="00FD14BC">
            <w:r w:rsidRPr="00BC51F8">
              <w:rPr>
                <w:b/>
                <w:bCs/>
              </w:rPr>
              <w:t>Participation</w:t>
            </w:r>
          </w:p>
        </w:tc>
      </w:tr>
      <w:tr w:rsidR="006E643B" w:rsidRPr="00BC51F8" w14:paraId="09D5A09E" w14:textId="77777777" w:rsidTr="00FD14BC">
        <w:tc>
          <w:tcPr>
            <w:tcW w:w="4508" w:type="dxa"/>
          </w:tcPr>
          <w:p w14:paraId="7F360363" w14:textId="77777777" w:rsidR="006E643B" w:rsidRPr="00BC51F8" w:rsidRDefault="006E643B" w:rsidP="00FD14BC">
            <w:pPr>
              <w:rPr>
                <w:lang w:val="en-AU"/>
              </w:rPr>
            </w:pPr>
            <w:r w:rsidRPr="00BC51F8">
              <w:rPr>
                <w:lang w:val="en-AU"/>
              </w:rPr>
              <w:t xml:space="preserve">Consultation period </w:t>
            </w:r>
          </w:p>
          <w:p w14:paraId="562CF27C" w14:textId="77777777" w:rsidR="006E643B" w:rsidRPr="00BC51F8" w:rsidRDefault="006E643B" w:rsidP="00FD14BC"/>
        </w:tc>
        <w:tc>
          <w:tcPr>
            <w:tcW w:w="4508" w:type="dxa"/>
          </w:tcPr>
          <w:p w14:paraId="155F7343" w14:textId="77777777" w:rsidR="006E643B" w:rsidRPr="00BC51F8" w:rsidRDefault="006E643B" w:rsidP="00FD14BC">
            <w:r w:rsidRPr="00BC51F8">
              <w:t xml:space="preserve">Date: from – to </w:t>
            </w:r>
          </w:p>
        </w:tc>
      </w:tr>
      <w:tr w:rsidR="006E643B" w:rsidRPr="00BC51F8" w14:paraId="45CDF239" w14:textId="77777777" w:rsidTr="00FD14BC">
        <w:tc>
          <w:tcPr>
            <w:tcW w:w="4508" w:type="dxa"/>
          </w:tcPr>
          <w:p w14:paraId="637F879E" w14:textId="77777777" w:rsidR="006E643B" w:rsidRPr="00BC51F8" w:rsidRDefault="006E643B" w:rsidP="00FD14BC">
            <w:pPr>
              <w:rPr>
                <w:lang w:val="en-AU"/>
              </w:rPr>
            </w:pPr>
            <w:r w:rsidRPr="00BC51F8">
              <w:rPr>
                <w:lang w:val="en-AU"/>
              </w:rPr>
              <w:t>Written submissions received</w:t>
            </w:r>
          </w:p>
          <w:p w14:paraId="2E829769" w14:textId="77777777" w:rsidR="006E643B" w:rsidRPr="00BC51F8" w:rsidRDefault="006E643B" w:rsidP="00FD14BC"/>
        </w:tc>
        <w:tc>
          <w:tcPr>
            <w:tcW w:w="4508" w:type="dxa"/>
          </w:tcPr>
          <w:p w14:paraId="62F756E8" w14:textId="77777777" w:rsidR="006E643B" w:rsidRPr="00BC51F8" w:rsidRDefault="006E643B" w:rsidP="00FD14BC">
            <w:r w:rsidRPr="00BC51F8">
              <w:t>Number</w:t>
            </w:r>
          </w:p>
        </w:tc>
      </w:tr>
      <w:tr w:rsidR="006E643B" w:rsidRPr="00BC51F8" w14:paraId="0FADAADD" w14:textId="77777777" w:rsidTr="00FD14BC">
        <w:tc>
          <w:tcPr>
            <w:tcW w:w="4508" w:type="dxa"/>
          </w:tcPr>
          <w:p w14:paraId="08D25CC9" w14:textId="77777777" w:rsidR="006E643B" w:rsidRPr="00BC51F8" w:rsidRDefault="006E643B" w:rsidP="00FD14BC">
            <w:pPr>
              <w:rPr>
                <w:lang w:val="en-AU"/>
              </w:rPr>
            </w:pPr>
            <w:r w:rsidRPr="00BC51F8">
              <w:rPr>
                <w:lang w:val="en-AU"/>
              </w:rPr>
              <w:t>IRG meetings conducted</w:t>
            </w:r>
          </w:p>
          <w:p w14:paraId="093E49F7" w14:textId="77777777" w:rsidR="006E643B" w:rsidRPr="00BC51F8" w:rsidRDefault="006E643B" w:rsidP="00FD14BC"/>
        </w:tc>
        <w:tc>
          <w:tcPr>
            <w:tcW w:w="4508" w:type="dxa"/>
          </w:tcPr>
          <w:p w14:paraId="35A82C06" w14:textId="77777777" w:rsidR="006E643B" w:rsidRPr="00BC51F8" w:rsidRDefault="006E643B" w:rsidP="00FD14BC">
            <w:r w:rsidRPr="00BC51F8">
              <w:t xml:space="preserve">Number </w:t>
            </w:r>
          </w:p>
        </w:tc>
      </w:tr>
      <w:tr w:rsidR="006E643B" w:rsidRPr="00BC51F8" w14:paraId="61102A47" w14:textId="77777777" w:rsidTr="00FD14BC">
        <w:tc>
          <w:tcPr>
            <w:tcW w:w="4508" w:type="dxa"/>
          </w:tcPr>
          <w:p w14:paraId="14809B1B" w14:textId="77777777" w:rsidR="006E643B" w:rsidRPr="00BC51F8" w:rsidRDefault="006E643B" w:rsidP="00FD14BC">
            <w:pPr>
              <w:rPr>
                <w:lang w:val="en-AU"/>
              </w:rPr>
            </w:pPr>
            <w:r w:rsidRPr="00BC51F8">
              <w:rPr>
                <w:lang w:val="en-AU"/>
              </w:rPr>
              <w:t>Peak body meetings conducted</w:t>
            </w:r>
          </w:p>
          <w:p w14:paraId="24CB24D7" w14:textId="77777777" w:rsidR="006E643B" w:rsidRPr="00BC51F8" w:rsidRDefault="006E643B" w:rsidP="00FD14BC"/>
        </w:tc>
        <w:tc>
          <w:tcPr>
            <w:tcW w:w="4508" w:type="dxa"/>
          </w:tcPr>
          <w:p w14:paraId="20511144" w14:textId="77777777" w:rsidR="006E643B" w:rsidRPr="00BC51F8" w:rsidRDefault="006E643B" w:rsidP="00FD14BC"/>
        </w:tc>
      </w:tr>
      <w:tr w:rsidR="006E643B" w:rsidRPr="00BC51F8" w14:paraId="1EF2121F" w14:textId="77777777" w:rsidTr="00FD14BC">
        <w:tc>
          <w:tcPr>
            <w:tcW w:w="4508" w:type="dxa"/>
          </w:tcPr>
          <w:p w14:paraId="4432D80F" w14:textId="77777777" w:rsidR="006E643B" w:rsidRPr="00BC51F8" w:rsidRDefault="006E643B" w:rsidP="00FD14BC">
            <w:pPr>
              <w:rPr>
                <w:lang w:val="en-AU"/>
              </w:rPr>
            </w:pPr>
            <w:r w:rsidRPr="00BC51F8">
              <w:rPr>
                <w:lang w:val="en-AU"/>
              </w:rPr>
              <w:t>Webinar participants</w:t>
            </w:r>
          </w:p>
          <w:p w14:paraId="6D97915C" w14:textId="77777777" w:rsidR="006E643B" w:rsidRPr="00BC51F8" w:rsidRDefault="006E643B" w:rsidP="00FD14BC">
            <w:pPr>
              <w:rPr>
                <w:lang w:val="en-AU"/>
              </w:rPr>
            </w:pPr>
            <w:r w:rsidRPr="00BC51F8">
              <w:rPr>
                <w:lang w:val="en-AU"/>
              </w:rPr>
              <w:t>IBC Forum participants</w:t>
            </w:r>
          </w:p>
          <w:p w14:paraId="6AB0756C" w14:textId="77777777" w:rsidR="006E643B" w:rsidRPr="00BC51F8" w:rsidRDefault="006E643B" w:rsidP="00FD14BC"/>
        </w:tc>
        <w:tc>
          <w:tcPr>
            <w:tcW w:w="4508" w:type="dxa"/>
          </w:tcPr>
          <w:p w14:paraId="0E95ABF2" w14:textId="77777777" w:rsidR="006E643B" w:rsidRPr="00BC51F8" w:rsidRDefault="006E643B" w:rsidP="00FD14BC"/>
        </w:tc>
      </w:tr>
      <w:tr w:rsidR="006E643B" w:rsidRPr="00BC51F8" w14:paraId="2FAADE62" w14:textId="77777777" w:rsidTr="00FD14BC">
        <w:tc>
          <w:tcPr>
            <w:tcW w:w="4508" w:type="dxa"/>
          </w:tcPr>
          <w:p w14:paraId="47ADF35F" w14:textId="77777777" w:rsidR="006E643B" w:rsidRPr="00BC51F8" w:rsidRDefault="006E643B" w:rsidP="00FD14BC">
            <w:pPr>
              <w:rPr>
                <w:lang w:val="en-AU"/>
              </w:rPr>
            </w:pPr>
            <w:r w:rsidRPr="00BC51F8">
              <w:rPr>
                <w:lang w:val="en-AU"/>
              </w:rPr>
              <w:t>Consultation webpage views</w:t>
            </w:r>
          </w:p>
          <w:p w14:paraId="775E619E" w14:textId="77777777" w:rsidR="006E643B" w:rsidRPr="00BC51F8" w:rsidRDefault="006E643B" w:rsidP="00FD14BC"/>
        </w:tc>
        <w:tc>
          <w:tcPr>
            <w:tcW w:w="4508" w:type="dxa"/>
          </w:tcPr>
          <w:p w14:paraId="7AD3EFFE" w14:textId="77777777" w:rsidR="006E643B" w:rsidRPr="00BC51F8" w:rsidRDefault="006E643B" w:rsidP="00FD14BC"/>
        </w:tc>
      </w:tr>
      <w:tr w:rsidR="006E643B" w:rsidRPr="00BC51F8" w14:paraId="2931366A" w14:textId="77777777" w:rsidTr="00FD14BC">
        <w:tc>
          <w:tcPr>
            <w:tcW w:w="4508" w:type="dxa"/>
          </w:tcPr>
          <w:p w14:paraId="492219DC" w14:textId="77777777" w:rsidR="006E643B" w:rsidRPr="00BC51F8" w:rsidRDefault="006E643B" w:rsidP="00FD14BC">
            <w:pPr>
              <w:rPr>
                <w:lang w:val="en-AU"/>
              </w:rPr>
            </w:pPr>
            <w:r w:rsidRPr="00BC51F8">
              <w:rPr>
                <w:lang w:val="en-AU"/>
              </w:rPr>
              <w:t>Organisations represented</w:t>
            </w:r>
          </w:p>
          <w:p w14:paraId="3C46F8F8" w14:textId="77777777" w:rsidR="006E643B" w:rsidRPr="00BC51F8" w:rsidRDefault="006E643B" w:rsidP="00FD14BC"/>
        </w:tc>
        <w:tc>
          <w:tcPr>
            <w:tcW w:w="4508" w:type="dxa"/>
          </w:tcPr>
          <w:p w14:paraId="09CA1917" w14:textId="77777777" w:rsidR="006E643B" w:rsidRPr="00BC51F8" w:rsidRDefault="006E643B" w:rsidP="00FD14BC"/>
        </w:tc>
      </w:tr>
    </w:tbl>
    <w:p w14:paraId="600136AE" w14:textId="77777777" w:rsidR="006E643B" w:rsidRPr="00BC51F8" w:rsidRDefault="006E643B" w:rsidP="006E643B"/>
    <w:p w14:paraId="299B9791" w14:textId="77777777" w:rsidR="006E643B" w:rsidRPr="00BC51F8" w:rsidRDefault="006E643B" w:rsidP="006E643B">
      <w:pPr>
        <w:pStyle w:val="Heading2"/>
      </w:pPr>
      <w:bookmarkStart w:id="108" w:name="_Toc242195613"/>
      <w:r w:rsidRPr="00BC51F8">
        <w:t>Key Consultation Themes – Infographic or written</w:t>
      </w:r>
      <w:bookmarkEnd w:id="108"/>
      <w:r w:rsidRPr="00BC51F8">
        <w:t xml:space="preserve"> </w:t>
      </w:r>
    </w:p>
    <w:p w14:paraId="51124DCC" w14:textId="77777777" w:rsidR="006E643B" w:rsidRPr="00BC51F8" w:rsidRDefault="006E643B" w:rsidP="006E643B">
      <w:pPr>
        <w:pStyle w:val="ListParagraph"/>
        <w:numPr>
          <w:ilvl w:val="0"/>
          <w:numId w:val="23"/>
        </w:numPr>
      </w:pPr>
      <w:r w:rsidRPr="00BC51F8">
        <w:t xml:space="preserve">XXXX </w:t>
      </w:r>
    </w:p>
    <w:p w14:paraId="463F66D2" w14:textId="77777777" w:rsidR="006E643B" w:rsidRPr="00BC51F8" w:rsidRDefault="006E643B" w:rsidP="006E643B">
      <w:pPr>
        <w:pStyle w:val="ListParagraph"/>
        <w:numPr>
          <w:ilvl w:val="0"/>
          <w:numId w:val="23"/>
        </w:numPr>
      </w:pPr>
      <w:r w:rsidRPr="00BC51F8">
        <w:t>XXXXx</w:t>
      </w:r>
    </w:p>
    <w:p w14:paraId="09586CB8" w14:textId="77777777" w:rsidR="006E643B" w:rsidRPr="00BC51F8" w:rsidRDefault="006E643B" w:rsidP="006E643B">
      <w:pPr>
        <w:pStyle w:val="ListParagraph"/>
        <w:numPr>
          <w:ilvl w:val="0"/>
          <w:numId w:val="23"/>
        </w:numPr>
      </w:pPr>
      <w:r w:rsidRPr="00BC51F8">
        <w:t>XXXX</w:t>
      </w:r>
    </w:p>
    <w:p w14:paraId="204F8DF0" w14:textId="77777777" w:rsidR="006E643B" w:rsidRPr="00BC51F8" w:rsidRDefault="006E643B" w:rsidP="006E643B">
      <w:pPr>
        <w:pStyle w:val="Heading3"/>
        <w:rPr>
          <w:rFonts w:eastAsia="Times New Roman"/>
          <w:lang w:eastAsia="en-AU"/>
        </w:rPr>
      </w:pPr>
      <w:bookmarkStart w:id="109" w:name="_Toc242195614"/>
      <w:r w:rsidRPr="00B91CF1">
        <w:rPr>
          <w:rFonts w:eastAsia="Times New Roman"/>
          <w:lang w:eastAsia="en-AU"/>
        </w:rPr>
        <w:t>Summary of Stakeholder Feedback</w:t>
      </w:r>
      <w:bookmarkEnd w:id="109"/>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3005"/>
        <w:gridCol w:w="3004"/>
      </w:tblGrid>
      <w:tr w:rsidR="006E643B" w:rsidRPr="00BC51F8" w14:paraId="254F17D7" w14:textId="77777777" w:rsidTr="00FD14BC">
        <w:trPr>
          <w:cnfStyle w:val="100000000000" w:firstRow="1" w:lastRow="0" w:firstColumn="0" w:lastColumn="0" w:oddVBand="0" w:evenVBand="0" w:oddHBand="0" w:evenHBand="0" w:firstRowFirstColumn="0" w:firstRowLastColumn="0" w:lastRowFirstColumn="0" w:lastRowLastColumn="0"/>
        </w:trPr>
        <w:tc>
          <w:tcPr>
            <w:tcW w:w="3007"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5C9EB" w:themeFill="text2" w:themeFillTint="40"/>
          </w:tcPr>
          <w:p w14:paraId="2704E16B" w14:textId="77777777" w:rsidR="006E643B" w:rsidRPr="00B91CF1" w:rsidRDefault="006E643B" w:rsidP="00FD14BC">
            <w:pPr>
              <w:rPr>
                <w:b/>
                <w:bCs/>
              </w:rPr>
            </w:pPr>
            <w:r w:rsidRPr="00B91CF1">
              <w:rPr>
                <w:b/>
                <w:bCs/>
              </w:rPr>
              <w:t>Theme</w:t>
            </w:r>
          </w:p>
        </w:tc>
        <w:tc>
          <w:tcPr>
            <w:tcW w:w="300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5C9EB" w:themeFill="text2" w:themeFillTint="40"/>
          </w:tcPr>
          <w:p w14:paraId="01488650" w14:textId="77777777" w:rsidR="006E643B" w:rsidRPr="00B91CF1" w:rsidRDefault="006E643B" w:rsidP="00FD14BC">
            <w:pPr>
              <w:rPr>
                <w:b/>
                <w:bCs/>
              </w:rPr>
            </w:pPr>
            <w:r w:rsidRPr="00B91CF1">
              <w:rPr>
                <w:b/>
                <w:bCs/>
              </w:rPr>
              <w:t>Stakeholder feedback</w:t>
            </w:r>
          </w:p>
        </w:tc>
        <w:tc>
          <w:tcPr>
            <w:tcW w:w="300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5C9EB" w:themeFill="text2" w:themeFillTint="40"/>
          </w:tcPr>
          <w:p w14:paraId="565566A1" w14:textId="77777777" w:rsidR="006E643B" w:rsidRPr="00B91CF1" w:rsidRDefault="006E643B" w:rsidP="00FD14BC">
            <w:pPr>
              <w:rPr>
                <w:b/>
                <w:bCs/>
              </w:rPr>
            </w:pPr>
            <w:r w:rsidRPr="00B91CF1">
              <w:rPr>
                <w:b/>
                <w:bCs/>
              </w:rPr>
              <w:t>OGTR response</w:t>
            </w:r>
          </w:p>
        </w:tc>
      </w:tr>
      <w:tr w:rsidR="006E643B" w:rsidRPr="00BC51F8" w14:paraId="4B5DFBAF" w14:textId="77777777" w:rsidTr="00FD14BC">
        <w:tc>
          <w:tcPr>
            <w:tcW w:w="3007" w:type="dxa"/>
          </w:tcPr>
          <w:p w14:paraId="665260E1" w14:textId="77777777" w:rsidR="006E643B" w:rsidRPr="00BC69AC" w:rsidRDefault="006E643B" w:rsidP="00FD14BC"/>
        </w:tc>
        <w:tc>
          <w:tcPr>
            <w:tcW w:w="3005" w:type="dxa"/>
          </w:tcPr>
          <w:p w14:paraId="015B8669" w14:textId="77777777" w:rsidR="006E643B" w:rsidRPr="00BC51F8" w:rsidRDefault="006E643B" w:rsidP="00FD14BC"/>
        </w:tc>
        <w:tc>
          <w:tcPr>
            <w:tcW w:w="3004" w:type="dxa"/>
          </w:tcPr>
          <w:p w14:paraId="2F40287C" w14:textId="77777777" w:rsidR="006E643B" w:rsidRPr="00BC51F8" w:rsidRDefault="006E643B" w:rsidP="00FD14BC"/>
        </w:tc>
      </w:tr>
      <w:tr w:rsidR="006E643B" w:rsidRPr="00BC51F8" w14:paraId="3794ECD1" w14:textId="77777777" w:rsidTr="00FD14BC">
        <w:tc>
          <w:tcPr>
            <w:tcW w:w="3007" w:type="dxa"/>
          </w:tcPr>
          <w:p w14:paraId="6F8D375C" w14:textId="77777777" w:rsidR="006E643B" w:rsidRPr="00BC69AC" w:rsidRDefault="006E643B" w:rsidP="00FD14BC"/>
        </w:tc>
        <w:tc>
          <w:tcPr>
            <w:tcW w:w="3005" w:type="dxa"/>
          </w:tcPr>
          <w:p w14:paraId="1791B138" w14:textId="77777777" w:rsidR="006E643B" w:rsidRPr="00BC51F8" w:rsidRDefault="006E643B" w:rsidP="00FD14BC"/>
        </w:tc>
        <w:tc>
          <w:tcPr>
            <w:tcW w:w="3004" w:type="dxa"/>
          </w:tcPr>
          <w:p w14:paraId="4B48814B" w14:textId="77777777" w:rsidR="006E643B" w:rsidRPr="00BC51F8" w:rsidRDefault="006E643B" w:rsidP="00FD14BC"/>
        </w:tc>
      </w:tr>
      <w:tr w:rsidR="006E643B" w:rsidRPr="00BC51F8" w14:paraId="09F2D3DF" w14:textId="77777777" w:rsidTr="00FD14BC">
        <w:tc>
          <w:tcPr>
            <w:tcW w:w="3007" w:type="dxa"/>
          </w:tcPr>
          <w:p w14:paraId="674DEE35" w14:textId="77777777" w:rsidR="006E643B" w:rsidRPr="00BC69AC" w:rsidRDefault="006E643B" w:rsidP="00FD14BC"/>
        </w:tc>
        <w:tc>
          <w:tcPr>
            <w:tcW w:w="3005" w:type="dxa"/>
          </w:tcPr>
          <w:p w14:paraId="33B850C1" w14:textId="77777777" w:rsidR="006E643B" w:rsidRPr="00BC51F8" w:rsidRDefault="006E643B" w:rsidP="00FD14BC"/>
        </w:tc>
        <w:tc>
          <w:tcPr>
            <w:tcW w:w="3004" w:type="dxa"/>
          </w:tcPr>
          <w:p w14:paraId="40FECC5D" w14:textId="77777777" w:rsidR="006E643B" w:rsidRPr="00BC51F8" w:rsidRDefault="006E643B" w:rsidP="00FD14BC"/>
        </w:tc>
      </w:tr>
      <w:tr w:rsidR="006E643B" w:rsidRPr="00BC51F8" w14:paraId="5B1DC3DF" w14:textId="77777777" w:rsidTr="00FD14BC">
        <w:tc>
          <w:tcPr>
            <w:tcW w:w="3007" w:type="dxa"/>
          </w:tcPr>
          <w:p w14:paraId="43B6BB72" w14:textId="77777777" w:rsidR="006E643B" w:rsidRPr="00BC69AC" w:rsidRDefault="006E643B" w:rsidP="00FD14BC"/>
        </w:tc>
        <w:tc>
          <w:tcPr>
            <w:tcW w:w="3005" w:type="dxa"/>
          </w:tcPr>
          <w:p w14:paraId="5441EF69" w14:textId="77777777" w:rsidR="006E643B" w:rsidRPr="00BC51F8" w:rsidRDefault="006E643B" w:rsidP="00FD14BC"/>
        </w:tc>
        <w:tc>
          <w:tcPr>
            <w:tcW w:w="3004" w:type="dxa"/>
          </w:tcPr>
          <w:p w14:paraId="008A77AC" w14:textId="77777777" w:rsidR="006E643B" w:rsidRPr="00BC51F8" w:rsidRDefault="006E643B" w:rsidP="00FD14BC"/>
        </w:tc>
      </w:tr>
      <w:tr w:rsidR="006E643B" w:rsidRPr="00BC51F8" w14:paraId="3040B93D" w14:textId="77777777" w:rsidTr="00FD14BC">
        <w:tc>
          <w:tcPr>
            <w:tcW w:w="3007" w:type="dxa"/>
          </w:tcPr>
          <w:p w14:paraId="1FF0194E" w14:textId="77777777" w:rsidR="006E643B" w:rsidRPr="00BC69AC" w:rsidRDefault="006E643B" w:rsidP="00FD14BC"/>
        </w:tc>
        <w:tc>
          <w:tcPr>
            <w:tcW w:w="3005" w:type="dxa"/>
          </w:tcPr>
          <w:p w14:paraId="59079BBA" w14:textId="77777777" w:rsidR="006E643B" w:rsidRPr="00BC51F8" w:rsidRDefault="006E643B" w:rsidP="00FD14BC"/>
        </w:tc>
        <w:tc>
          <w:tcPr>
            <w:tcW w:w="3004" w:type="dxa"/>
          </w:tcPr>
          <w:p w14:paraId="13EE18F9" w14:textId="77777777" w:rsidR="006E643B" w:rsidRPr="00BC51F8" w:rsidRDefault="006E643B" w:rsidP="00FD14BC"/>
        </w:tc>
      </w:tr>
      <w:tr w:rsidR="006E643B" w:rsidRPr="00BC51F8" w14:paraId="7F8C9C88" w14:textId="77777777" w:rsidTr="00FD14BC">
        <w:tc>
          <w:tcPr>
            <w:tcW w:w="3007" w:type="dxa"/>
          </w:tcPr>
          <w:p w14:paraId="3E0F1627" w14:textId="77777777" w:rsidR="006E643B" w:rsidRPr="00BC69AC" w:rsidRDefault="006E643B" w:rsidP="00FD14BC"/>
        </w:tc>
        <w:tc>
          <w:tcPr>
            <w:tcW w:w="3005" w:type="dxa"/>
          </w:tcPr>
          <w:p w14:paraId="63D1AA76" w14:textId="77777777" w:rsidR="006E643B" w:rsidRPr="00BC51F8" w:rsidRDefault="006E643B" w:rsidP="00FD14BC"/>
        </w:tc>
        <w:tc>
          <w:tcPr>
            <w:tcW w:w="3004" w:type="dxa"/>
          </w:tcPr>
          <w:p w14:paraId="7D8557F7" w14:textId="77777777" w:rsidR="006E643B" w:rsidRPr="00BC51F8" w:rsidRDefault="006E643B" w:rsidP="00FD14BC"/>
        </w:tc>
      </w:tr>
      <w:tr w:rsidR="006E643B" w:rsidRPr="00BC51F8" w14:paraId="30EC071B" w14:textId="77777777" w:rsidTr="00FD14BC">
        <w:tc>
          <w:tcPr>
            <w:tcW w:w="3007" w:type="dxa"/>
          </w:tcPr>
          <w:p w14:paraId="505E0CB5" w14:textId="77777777" w:rsidR="006E643B" w:rsidRPr="00BC69AC" w:rsidRDefault="006E643B" w:rsidP="00FD14BC"/>
        </w:tc>
        <w:tc>
          <w:tcPr>
            <w:tcW w:w="3005" w:type="dxa"/>
          </w:tcPr>
          <w:p w14:paraId="431A6CF8" w14:textId="77777777" w:rsidR="006E643B" w:rsidRPr="00BC51F8" w:rsidRDefault="006E643B" w:rsidP="00FD14BC"/>
        </w:tc>
        <w:tc>
          <w:tcPr>
            <w:tcW w:w="3004" w:type="dxa"/>
          </w:tcPr>
          <w:p w14:paraId="67D3518A" w14:textId="77777777" w:rsidR="006E643B" w:rsidRPr="00BC51F8" w:rsidRDefault="006E643B" w:rsidP="00FD14BC"/>
        </w:tc>
      </w:tr>
      <w:tr w:rsidR="006E643B" w:rsidRPr="00BC51F8" w14:paraId="38331448" w14:textId="77777777" w:rsidTr="00FD14BC">
        <w:tc>
          <w:tcPr>
            <w:tcW w:w="3007" w:type="dxa"/>
          </w:tcPr>
          <w:p w14:paraId="69D966D4" w14:textId="77777777" w:rsidR="006E643B" w:rsidRPr="00BC51F8" w:rsidRDefault="006E643B" w:rsidP="00FD14BC">
            <w:pPr>
              <w:pStyle w:val="ListParagraph"/>
            </w:pPr>
          </w:p>
        </w:tc>
        <w:tc>
          <w:tcPr>
            <w:tcW w:w="3005" w:type="dxa"/>
          </w:tcPr>
          <w:p w14:paraId="544AD2EB" w14:textId="77777777" w:rsidR="006E643B" w:rsidRPr="00BC51F8" w:rsidRDefault="006E643B" w:rsidP="00FD14BC"/>
        </w:tc>
        <w:tc>
          <w:tcPr>
            <w:tcW w:w="3004" w:type="dxa"/>
          </w:tcPr>
          <w:p w14:paraId="558A5D88" w14:textId="77777777" w:rsidR="006E643B" w:rsidRPr="00BC51F8" w:rsidRDefault="006E643B" w:rsidP="00FD14BC"/>
        </w:tc>
      </w:tr>
      <w:tr w:rsidR="006E643B" w:rsidRPr="00BC51F8" w14:paraId="22842819" w14:textId="77777777" w:rsidTr="00FD14BC">
        <w:tc>
          <w:tcPr>
            <w:tcW w:w="3007" w:type="dxa"/>
          </w:tcPr>
          <w:p w14:paraId="1A9DDAE3" w14:textId="77777777" w:rsidR="006E643B" w:rsidRPr="00BC69AC" w:rsidRDefault="006E643B" w:rsidP="00FD14BC"/>
        </w:tc>
        <w:tc>
          <w:tcPr>
            <w:tcW w:w="3005" w:type="dxa"/>
          </w:tcPr>
          <w:p w14:paraId="34E2E9F1" w14:textId="77777777" w:rsidR="006E643B" w:rsidRPr="00BC51F8" w:rsidRDefault="006E643B" w:rsidP="00FD14BC"/>
        </w:tc>
        <w:tc>
          <w:tcPr>
            <w:tcW w:w="3004" w:type="dxa"/>
          </w:tcPr>
          <w:p w14:paraId="0035943A" w14:textId="77777777" w:rsidR="006E643B" w:rsidRPr="00BC51F8" w:rsidRDefault="006E643B" w:rsidP="00FD14BC"/>
        </w:tc>
      </w:tr>
      <w:tr w:rsidR="006E643B" w:rsidRPr="00BC51F8" w14:paraId="7F141BC9" w14:textId="77777777" w:rsidTr="00FD14BC">
        <w:tc>
          <w:tcPr>
            <w:tcW w:w="3007" w:type="dxa"/>
          </w:tcPr>
          <w:p w14:paraId="4303154F" w14:textId="77777777" w:rsidR="006E643B" w:rsidRPr="00BC69AC" w:rsidRDefault="006E643B" w:rsidP="00FD14BC"/>
        </w:tc>
        <w:tc>
          <w:tcPr>
            <w:tcW w:w="3005" w:type="dxa"/>
          </w:tcPr>
          <w:p w14:paraId="685551D6" w14:textId="77777777" w:rsidR="006E643B" w:rsidRPr="00BC51F8" w:rsidRDefault="006E643B" w:rsidP="00FD14BC"/>
        </w:tc>
        <w:tc>
          <w:tcPr>
            <w:tcW w:w="3004" w:type="dxa"/>
          </w:tcPr>
          <w:p w14:paraId="2C316C4A" w14:textId="77777777" w:rsidR="006E643B" w:rsidRPr="00BC51F8" w:rsidRDefault="006E643B" w:rsidP="00FD14BC"/>
        </w:tc>
      </w:tr>
    </w:tbl>
    <w:p w14:paraId="78ED1367" w14:textId="5A9E07A9" w:rsidR="006E643B" w:rsidRPr="00BC51F8" w:rsidRDefault="006E643B" w:rsidP="003911F8">
      <w:pPr>
        <w:pStyle w:val="Heading2"/>
        <w:numPr>
          <w:ilvl w:val="1"/>
          <w:numId w:val="31"/>
        </w:numPr>
      </w:pPr>
      <w:bookmarkStart w:id="110" w:name="_Toc242195615"/>
      <w:r w:rsidRPr="00BC51F8">
        <w:t>Outcomes of Consultation</w:t>
      </w:r>
      <w:bookmarkEnd w:id="110"/>
    </w:p>
    <w:p w14:paraId="3A0E46F6" w14:textId="77777777" w:rsidR="006E643B" w:rsidRPr="00BC51F8" w:rsidRDefault="006E643B" w:rsidP="006E643B">
      <w:r w:rsidRPr="00BC51F8">
        <w:t>The OGTR appreciates the time and effort contributed by stakeholders throughout the consultation process.</w:t>
      </w:r>
    </w:p>
    <w:p w14:paraId="50C51E9D" w14:textId="77777777" w:rsidR="006E643B" w:rsidRPr="00BC51F8" w:rsidRDefault="006E643B" w:rsidP="006E643B">
      <w:r w:rsidRPr="00BC51F8">
        <w:lastRenderedPageBreak/>
        <w:t>Feedback received through consultation has assisted the OGTR to better understand the potential impacts of cost recovery arrangements across different parts of the gene technology sector and has informed the refinement of the charging model described in this CRIS.</w:t>
      </w:r>
    </w:p>
    <w:p w14:paraId="35343F4F" w14:textId="77777777" w:rsidR="006E643B" w:rsidRPr="00BC51F8" w:rsidRDefault="006E643B" w:rsidP="006E643B">
      <w:r w:rsidRPr="00BC51F8">
        <w:t>As a result of consultation, the OGTR has:</w:t>
      </w:r>
    </w:p>
    <w:p w14:paraId="306D7E1C" w14:textId="77777777" w:rsidR="006E643B" w:rsidRDefault="006E643B" w:rsidP="006E643B">
      <w:pPr>
        <w:pStyle w:val="ListParagraph"/>
        <w:numPr>
          <w:ilvl w:val="0"/>
          <w:numId w:val="23"/>
        </w:numPr>
      </w:pPr>
      <w:r w:rsidRPr="00BC51F8">
        <w:t>Outcome 1</w:t>
      </w:r>
    </w:p>
    <w:p w14:paraId="738BCBCA" w14:textId="77777777" w:rsidR="006E643B" w:rsidRPr="00BC51F8" w:rsidRDefault="006E643B" w:rsidP="006E643B">
      <w:pPr>
        <w:pStyle w:val="ListParagraph"/>
        <w:numPr>
          <w:ilvl w:val="0"/>
          <w:numId w:val="23"/>
        </w:numPr>
      </w:pPr>
      <w:r w:rsidRPr="00BC51F8">
        <w:t>Outcome 2</w:t>
      </w:r>
    </w:p>
    <w:p w14:paraId="5515F97F" w14:textId="77777777" w:rsidR="006E643B" w:rsidRPr="00BC51F8" w:rsidRDefault="006E643B" w:rsidP="006E643B">
      <w:pPr>
        <w:pStyle w:val="ListParagraph"/>
        <w:numPr>
          <w:ilvl w:val="0"/>
          <w:numId w:val="23"/>
        </w:numPr>
      </w:pPr>
      <w:r w:rsidRPr="00BC51F8">
        <w:t>Outcome 3</w:t>
      </w:r>
    </w:p>
    <w:p w14:paraId="47115361" w14:textId="77777777" w:rsidR="006E643B" w:rsidRPr="00BC51F8" w:rsidRDefault="006E643B" w:rsidP="006E643B">
      <w:pPr>
        <w:pStyle w:val="ListParagraph"/>
        <w:numPr>
          <w:ilvl w:val="0"/>
          <w:numId w:val="23"/>
        </w:numPr>
      </w:pPr>
      <w:r w:rsidRPr="00BC51F8">
        <w:t>Outcome 4</w:t>
      </w:r>
    </w:p>
    <w:p w14:paraId="7EB88CB2" w14:textId="77777777" w:rsidR="006E643B" w:rsidRPr="00B91CF1" w:rsidRDefault="006E643B" w:rsidP="006E643B">
      <w:pPr>
        <w:spacing w:after="0" w:line="300" w:lineRule="atLeast"/>
      </w:pPr>
      <w:r w:rsidRPr="00B91CF1">
        <w:t>The OGTR will continue to engage with stakeholders through the Industry Reference Group, peak body engagement and future consultation activities to ensure the cost recovery model remains transparent, practical and aligned with the needs of the regulated sector.</w:t>
      </w:r>
    </w:p>
    <w:p w14:paraId="08FA8E6A" w14:textId="77777777" w:rsidR="006E643B" w:rsidRDefault="006E643B" w:rsidP="006E643B">
      <w:pPr>
        <w:spacing w:after="0" w:line="300" w:lineRule="atLeast"/>
      </w:pPr>
    </w:p>
    <w:p w14:paraId="0F3634D4" w14:textId="77777777" w:rsidR="006E643B" w:rsidRDefault="006E643B" w:rsidP="006E643B">
      <w:pPr>
        <w:spacing w:after="0" w:line="300" w:lineRule="atLeast"/>
      </w:pPr>
      <w:r w:rsidRPr="00B91CF1">
        <w:t xml:space="preserve">The feedback received through consultation was provided </w:t>
      </w:r>
      <w:r>
        <w:t>to the A</w:t>
      </w:r>
      <w:r w:rsidRPr="003B4FFA">
        <w:t>ssistant Minister for Health and Aged Care</w:t>
      </w:r>
      <w:r>
        <w:t>, t</w:t>
      </w:r>
      <w:r w:rsidRPr="00E57CAA">
        <w:t>he Hon Rebecca White MP</w:t>
      </w:r>
      <w:r w:rsidRPr="00B91CF1">
        <w:t xml:space="preserve"> for consideration alongside the proposed cost recovery arrangements and the final </w:t>
      </w:r>
      <w:r>
        <w:t xml:space="preserve">CRIS. </w:t>
      </w:r>
    </w:p>
    <w:p w14:paraId="2D9564F6" w14:textId="77777777" w:rsidR="006E643B" w:rsidRPr="00BC51F8" w:rsidRDefault="006E643B" w:rsidP="00437FB0">
      <w:pPr>
        <w:pStyle w:val="Heading1"/>
        <w:rPr>
          <w:b/>
          <w:bCs/>
          <w:sz w:val="24"/>
        </w:rPr>
      </w:pPr>
      <w:bookmarkStart w:id="111" w:name="_Toc242195616"/>
      <w:r w:rsidRPr="00BC51F8">
        <w:t xml:space="preserve">Communications </w:t>
      </w:r>
      <w:r w:rsidRPr="00437FB0">
        <w:t>Materials</w:t>
      </w:r>
      <w:bookmarkEnd w:id="111"/>
      <w:r w:rsidRPr="00BC51F8">
        <w:rPr>
          <w:b/>
          <w:bCs/>
          <w:sz w:val="24"/>
        </w:rPr>
        <w:t xml:space="preserve"> </w:t>
      </w:r>
    </w:p>
    <w:p w14:paraId="574EF0D5" w14:textId="77777777" w:rsidR="006E643B" w:rsidRPr="00BC51F8" w:rsidRDefault="006E643B" w:rsidP="006E643B">
      <w:r w:rsidRPr="00BC51F8">
        <w:t xml:space="preserve">The OGTR, in consultation through aforementioned stakeholder forums, will provide supporting materials for the implementation of cost recovery arrangements. These materials will be tailored and targeted appropriately. </w:t>
      </w:r>
    </w:p>
    <w:p w14:paraId="0A79EF74" w14:textId="77777777" w:rsidR="006E643B" w:rsidRPr="00BC51F8" w:rsidRDefault="006E643B" w:rsidP="006E643B">
      <w:r w:rsidRPr="00BC51F8">
        <w:t>Material will include:</w:t>
      </w:r>
    </w:p>
    <w:p w14:paraId="02E3E0FA" w14:textId="77777777" w:rsidR="006E643B" w:rsidRPr="00BC51F8" w:rsidRDefault="006E643B" w:rsidP="006E643B">
      <w:pPr>
        <w:pStyle w:val="ListParagraph"/>
        <w:numPr>
          <w:ilvl w:val="0"/>
          <w:numId w:val="21"/>
        </w:numPr>
      </w:pPr>
      <w:r w:rsidRPr="00BC51F8">
        <w:t xml:space="preserve">Explanatory and education materials, including potential case studies of how cost recovery would look in practice for various entities (administrative guide). </w:t>
      </w:r>
    </w:p>
    <w:p w14:paraId="7B3A9442" w14:textId="77777777" w:rsidR="006E643B" w:rsidRPr="00BC51F8" w:rsidRDefault="006E643B" w:rsidP="006E643B">
      <w:pPr>
        <w:pStyle w:val="ListParagraph"/>
        <w:numPr>
          <w:ilvl w:val="0"/>
          <w:numId w:val="21"/>
        </w:numPr>
      </w:pPr>
      <w:r w:rsidRPr="00BC51F8">
        <w:t>FAQs</w:t>
      </w:r>
    </w:p>
    <w:p w14:paraId="1156A616" w14:textId="3DF1BAB8" w:rsidR="006E643B" w:rsidRPr="00BC51F8" w:rsidRDefault="006E643B" w:rsidP="006E643B">
      <w:pPr>
        <w:pStyle w:val="ListParagraph"/>
        <w:numPr>
          <w:ilvl w:val="0"/>
          <w:numId w:val="21"/>
        </w:numPr>
      </w:pPr>
      <w:r w:rsidRPr="00BC51F8">
        <w:t>Stakeholder and sector presentations</w:t>
      </w:r>
      <w:r w:rsidR="000B04F2">
        <w:t>.</w:t>
      </w:r>
    </w:p>
    <w:p w14:paraId="442E5902" w14:textId="7D94FD55" w:rsidR="006E643B" w:rsidRPr="00BC51F8" w:rsidRDefault="006E643B" w:rsidP="006E643B">
      <w:pPr>
        <w:pStyle w:val="ListParagraph"/>
        <w:numPr>
          <w:ilvl w:val="0"/>
          <w:numId w:val="21"/>
        </w:numPr>
      </w:pPr>
      <w:r w:rsidRPr="00BC51F8">
        <w:t>Key timeframes and timelines for cost recovery development and implementation published on OGTR website</w:t>
      </w:r>
      <w:r w:rsidR="000B04F2">
        <w:t>.</w:t>
      </w:r>
      <w:r w:rsidRPr="00BC51F8">
        <w:t xml:space="preserve"> </w:t>
      </w:r>
    </w:p>
    <w:p w14:paraId="13D71949" w14:textId="060A560A" w:rsidR="000B04F2" w:rsidRPr="00BC51F8" w:rsidRDefault="006E643B" w:rsidP="00B075CE">
      <w:pPr>
        <w:pStyle w:val="ListParagraph"/>
        <w:numPr>
          <w:ilvl w:val="0"/>
          <w:numId w:val="21"/>
        </w:numPr>
      </w:pPr>
      <w:r w:rsidRPr="00BC51F8">
        <w:t>Dedicated email inbox for enquiries</w:t>
      </w:r>
      <w:r w:rsidR="000B04F2">
        <w:t>.</w:t>
      </w:r>
    </w:p>
    <w:p w14:paraId="0844AB42" w14:textId="77777777" w:rsidR="006E643B" w:rsidRPr="00BC51F8" w:rsidRDefault="006E643B" w:rsidP="006E643B">
      <w:pPr>
        <w:pStyle w:val="Heading1"/>
      </w:pPr>
      <w:bookmarkStart w:id="112" w:name="_Toc168990930"/>
      <w:bookmarkStart w:id="113" w:name="_Toc242195617"/>
      <w:r w:rsidRPr="00BC51F8">
        <w:t>Financial estimates</w:t>
      </w:r>
      <w:bookmarkEnd w:id="112"/>
      <w:bookmarkEnd w:id="113"/>
    </w:p>
    <w:p w14:paraId="4D6ABE2B" w14:textId="469AC29B" w:rsidR="006E643B" w:rsidRDefault="006E643B" w:rsidP="006E643B">
      <w:r w:rsidRPr="00BC51F8">
        <w:t>The proposed cost recovery fee schedule is designed to partially recover the</w:t>
      </w:r>
      <w:r>
        <w:t xml:space="preserve"> OGTR’s recoverable costs. The calculated recoverable expenses and fee revenue for the 2026-27 financial year have been adjusted for inflation using expertise-informed in-house forecasts of the Wage Price Index (WPI) for labour costs, and the Consumer Price Index (CPI) for non-labour costs. The estimates of expenses and revenue for the next five financial years is shown </w:t>
      </w:r>
      <w:r w:rsidRPr="00491105">
        <w:rPr>
          <w:rFonts w:cs="Arial"/>
        </w:rPr>
        <w:t>below</w:t>
      </w:r>
      <w:r w:rsidR="005F43E2" w:rsidRPr="00491105">
        <w:rPr>
          <w:rFonts w:cs="Arial"/>
        </w:rPr>
        <w:t xml:space="preserve"> (</w:t>
      </w:r>
      <w:r w:rsidR="005F43E2" w:rsidRPr="00403ED8">
        <w:rPr>
          <w:rFonts w:cs="Arial"/>
        </w:rPr>
        <w:fldChar w:fldCharType="begin"/>
      </w:r>
      <w:r w:rsidR="005F43E2" w:rsidRPr="00403ED8">
        <w:rPr>
          <w:rFonts w:cs="Arial"/>
        </w:rPr>
        <w:instrText xml:space="preserve"> REF _Ref240574309 \h </w:instrText>
      </w:r>
      <w:r w:rsidR="00491105" w:rsidRPr="00403ED8">
        <w:rPr>
          <w:rFonts w:cs="Arial"/>
        </w:rPr>
        <w:instrText xml:space="preserve"> \* MERGEFORMAT </w:instrText>
      </w:r>
      <w:r w:rsidR="005F43E2" w:rsidRPr="00403ED8">
        <w:rPr>
          <w:rFonts w:cs="Arial"/>
        </w:rPr>
      </w:r>
      <w:r w:rsidR="005F43E2"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13</w:t>
      </w:r>
      <w:r w:rsidR="005F43E2" w:rsidRPr="00403ED8">
        <w:rPr>
          <w:rFonts w:cs="Arial"/>
        </w:rPr>
        <w:fldChar w:fldCharType="end"/>
      </w:r>
      <w:r w:rsidR="005F43E2" w:rsidRPr="00403ED8">
        <w:rPr>
          <w:rFonts w:cs="Arial"/>
        </w:rPr>
        <w:t>)</w:t>
      </w:r>
      <w:r w:rsidRPr="00403ED8">
        <w:rPr>
          <w:rFonts w:cs="Arial"/>
        </w:rPr>
        <w:t>.</w:t>
      </w:r>
      <w:r w:rsidRPr="00403ED8">
        <w:t xml:space="preserve"> </w:t>
      </w:r>
    </w:p>
    <w:p w14:paraId="37817FEE" w14:textId="3DAA1F9D" w:rsidR="000B04F2" w:rsidRPr="000B04F2" w:rsidRDefault="006E643B" w:rsidP="000B04F2">
      <w:r>
        <w:t xml:space="preserve">The expenses and revenue are modelled for five financial years as the Australian Government Cost Recovery Policy requires a periodic review of all existing and potential charging activities to be conducted at least once every five years. </w:t>
      </w:r>
      <w:bookmarkStart w:id="114" w:name="_Ref167289077"/>
      <w:r>
        <w:t xml:space="preserve"> </w:t>
      </w:r>
      <w:bookmarkStart w:id="115" w:name="_Ref240574309"/>
    </w:p>
    <w:p w14:paraId="2A320CB1" w14:textId="6616BFBA" w:rsidR="006E643B" w:rsidRPr="0060174F" w:rsidRDefault="005F43E2" w:rsidP="00263E1E">
      <w:pPr>
        <w:pStyle w:val="Caption"/>
        <w:rPr>
          <w:rFonts w:cstheme="minorBidi"/>
          <w:sz w:val="20"/>
        </w:rPr>
      </w:pPr>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13</w:t>
      </w:r>
      <w:r w:rsidRPr="007A6E8B">
        <w:rPr>
          <w:rFonts w:ascii="Calibri Light" w:hAnsi="Calibri Light" w:cstheme="minorBidi"/>
          <w:i w:val="0"/>
          <w:color w:val="3A7C22" w:themeColor="accent6" w:themeShade="BF"/>
          <w:kern w:val="0"/>
          <w:sz w:val="20"/>
          <w:szCs w:val="20"/>
          <w14:ligatures w14:val="none"/>
        </w:rPr>
        <w:fldChar w:fldCharType="end"/>
      </w:r>
      <w:bookmarkEnd w:id="115"/>
      <w:r w:rsidRPr="007A6E8B">
        <w:rPr>
          <w:rFonts w:ascii="Calibri Light" w:hAnsi="Calibri Light" w:cstheme="minorBidi"/>
          <w:i w:val="0"/>
          <w:color w:val="3A7C22" w:themeColor="accent6" w:themeShade="BF"/>
          <w:kern w:val="0"/>
          <w:sz w:val="20"/>
          <w:szCs w:val="20"/>
          <w14:ligatures w14:val="none"/>
        </w:rPr>
        <w:t xml:space="preserve">: </w:t>
      </w:r>
      <w:r w:rsidR="006E643B" w:rsidRPr="007A6E8B">
        <w:rPr>
          <w:rFonts w:ascii="Calibri Light" w:hAnsi="Calibri Light" w:cstheme="minorBidi"/>
          <w:i w:val="0"/>
          <w:color w:val="3A7C22" w:themeColor="accent6" w:themeShade="BF"/>
          <w:kern w:val="0"/>
          <w:sz w:val="20"/>
          <w:szCs w:val="20"/>
          <w14:ligatures w14:val="none"/>
        </w:rPr>
        <w:t>Financial estimates of the OGTR’s expected recoverable expenses and fee revenue</w:t>
      </w:r>
      <w:bookmarkEnd w:id="114"/>
      <w:r w:rsidR="006E643B" w:rsidRPr="007A6E8B">
        <w:rPr>
          <w:rFonts w:ascii="Calibri Light" w:hAnsi="Calibri Light" w:cstheme="minorBidi"/>
          <w:i w:val="0"/>
          <w:color w:val="3A7C22" w:themeColor="accent6" w:themeShade="BF"/>
          <w:kern w:val="0"/>
          <w:sz w:val="20"/>
          <w:szCs w:val="20"/>
          <w14:ligatures w14:val="none"/>
        </w:rPr>
        <w:t xml:space="preserve"> (under Phase 1, current legislation)</w:t>
      </w:r>
    </w:p>
    <w:tbl>
      <w:tblPr>
        <w:tblStyle w:val="Deloittetable"/>
        <w:tblW w:w="0" w:type="auto"/>
        <w:tblLayout w:type="fixed"/>
        <w:tblLook w:val="04A0" w:firstRow="1" w:lastRow="0" w:firstColumn="1" w:lastColumn="0" w:noHBand="0" w:noVBand="1"/>
      </w:tblPr>
      <w:tblGrid>
        <w:gridCol w:w="1504"/>
        <w:gridCol w:w="1504"/>
        <w:gridCol w:w="1505"/>
        <w:gridCol w:w="1504"/>
        <w:gridCol w:w="1504"/>
        <w:gridCol w:w="1505"/>
      </w:tblGrid>
      <w:tr w:rsidR="006E643B" w14:paraId="46F99049" w14:textId="77777777" w:rsidTr="00FD14BC">
        <w:trPr>
          <w:cnfStyle w:val="100000000000" w:firstRow="1" w:lastRow="0" w:firstColumn="0" w:lastColumn="0" w:oddVBand="0" w:evenVBand="0" w:oddHBand="0" w:evenHBand="0" w:firstRowFirstColumn="0" w:firstRowLastColumn="0" w:lastRowFirstColumn="0" w:lastRowLastColumn="0"/>
        </w:trPr>
        <w:tc>
          <w:tcPr>
            <w:tcW w:w="1504" w:type="dxa"/>
          </w:tcPr>
          <w:p w14:paraId="5D1DB0C0"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p>
        </w:tc>
        <w:tc>
          <w:tcPr>
            <w:tcW w:w="1504" w:type="dxa"/>
          </w:tcPr>
          <w:p w14:paraId="57129668"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2024-25</w:t>
            </w:r>
          </w:p>
        </w:tc>
        <w:tc>
          <w:tcPr>
            <w:tcW w:w="1505" w:type="dxa"/>
          </w:tcPr>
          <w:p w14:paraId="7F20F9C1"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2025-26</w:t>
            </w:r>
          </w:p>
        </w:tc>
        <w:tc>
          <w:tcPr>
            <w:tcW w:w="1504" w:type="dxa"/>
          </w:tcPr>
          <w:p w14:paraId="2F1A697C"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2026-27</w:t>
            </w:r>
          </w:p>
        </w:tc>
        <w:tc>
          <w:tcPr>
            <w:tcW w:w="1504" w:type="dxa"/>
          </w:tcPr>
          <w:p w14:paraId="234D8401"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2027-28</w:t>
            </w:r>
          </w:p>
        </w:tc>
        <w:tc>
          <w:tcPr>
            <w:tcW w:w="1505" w:type="dxa"/>
          </w:tcPr>
          <w:p w14:paraId="6FCDD88D"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2028-29</w:t>
            </w:r>
          </w:p>
        </w:tc>
      </w:tr>
      <w:tr w:rsidR="006E643B" w14:paraId="13E19DC2" w14:textId="77777777" w:rsidTr="00FD14BC">
        <w:trPr>
          <w:trHeight w:val="420"/>
        </w:trPr>
        <w:tc>
          <w:tcPr>
            <w:tcW w:w="0" w:type="dxa"/>
          </w:tcPr>
          <w:p w14:paraId="6F210C1F"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Expenses</w:t>
            </w:r>
          </w:p>
        </w:tc>
        <w:tc>
          <w:tcPr>
            <w:tcW w:w="0" w:type="dxa"/>
          </w:tcPr>
          <w:p w14:paraId="61DAE5AA"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$2,707,701.26</w:t>
            </w:r>
          </w:p>
        </w:tc>
        <w:tc>
          <w:tcPr>
            <w:tcW w:w="0" w:type="dxa"/>
          </w:tcPr>
          <w:p w14:paraId="25A993E2"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$1,193,252.72</w:t>
            </w:r>
          </w:p>
        </w:tc>
        <w:tc>
          <w:tcPr>
            <w:tcW w:w="0" w:type="dxa"/>
          </w:tcPr>
          <w:p w14:paraId="759B18DE"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$1,229,934.05</w:t>
            </w:r>
          </w:p>
        </w:tc>
        <w:tc>
          <w:tcPr>
            <w:tcW w:w="0" w:type="dxa"/>
          </w:tcPr>
          <w:p w14:paraId="5A15FFB2"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$1,267,260.11</w:t>
            </w:r>
          </w:p>
        </w:tc>
        <w:tc>
          <w:tcPr>
            <w:tcW w:w="0" w:type="dxa"/>
          </w:tcPr>
          <w:p w14:paraId="18FF4408"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Pending Phase 2 commencement</w:t>
            </w:r>
          </w:p>
        </w:tc>
      </w:tr>
      <w:tr w:rsidR="006E643B" w14:paraId="3223CB43" w14:textId="77777777" w:rsidTr="00FD14BC">
        <w:tc>
          <w:tcPr>
            <w:tcW w:w="1504" w:type="dxa"/>
          </w:tcPr>
          <w:p w14:paraId="516DCD74"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Revenue</w:t>
            </w:r>
          </w:p>
        </w:tc>
        <w:tc>
          <w:tcPr>
            <w:tcW w:w="1504" w:type="dxa"/>
          </w:tcPr>
          <w:p w14:paraId="7C6FBAE5"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$1,467,701.26</w:t>
            </w:r>
          </w:p>
        </w:tc>
        <w:tc>
          <w:tcPr>
            <w:tcW w:w="1505" w:type="dxa"/>
          </w:tcPr>
          <w:p w14:paraId="6561E8A3"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$1,511,189.24</w:t>
            </w:r>
          </w:p>
        </w:tc>
        <w:tc>
          <w:tcPr>
            <w:tcW w:w="1504" w:type="dxa"/>
          </w:tcPr>
          <w:p w14:paraId="7826A262"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$1,555,861.12</w:t>
            </w:r>
          </w:p>
        </w:tc>
        <w:tc>
          <w:tcPr>
            <w:tcW w:w="1504" w:type="dxa"/>
          </w:tcPr>
          <w:p w14:paraId="7D307C63"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$1,601,383.06</w:t>
            </w:r>
          </w:p>
        </w:tc>
        <w:tc>
          <w:tcPr>
            <w:tcW w:w="1505" w:type="dxa"/>
          </w:tcPr>
          <w:p w14:paraId="4820ECA8"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 xml:space="preserve">Pending Phase 2 commencement </w:t>
            </w:r>
          </w:p>
        </w:tc>
      </w:tr>
      <w:tr w:rsidR="006E643B" w14:paraId="7D5DA215" w14:textId="77777777" w:rsidTr="00FD14BC">
        <w:tc>
          <w:tcPr>
            <w:tcW w:w="1504" w:type="dxa"/>
          </w:tcPr>
          <w:p w14:paraId="2239A834"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lastRenderedPageBreak/>
              <w:t>Balance</w:t>
            </w:r>
          </w:p>
        </w:tc>
        <w:tc>
          <w:tcPr>
            <w:tcW w:w="1504" w:type="dxa"/>
          </w:tcPr>
          <w:p w14:paraId="18F684B8"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-$1,240,000.00</w:t>
            </w:r>
          </w:p>
        </w:tc>
        <w:tc>
          <w:tcPr>
            <w:tcW w:w="1505" w:type="dxa"/>
          </w:tcPr>
          <w:p w14:paraId="444E58AA"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$317,936.53</w:t>
            </w:r>
          </w:p>
        </w:tc>
        <w:tc>
          <w:tcPr>
            <w:tcW w:w="1504" w:type="dxa"/>
          </w:tcPr>
          <w:p w14:paraId="0CAC5916"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$325,927.06</w:t>
            </w:r>
          </w:p>
        </w:tc>
        <w:tc>
          <w:tcPr>
            <w:tcW w:w="1504" w:type="dxa"/>
          </w:tcPr>
          <w:p w14:paraId="4AE266FA"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$334,122.95</w:t>
            </w:r>
          </w:p>
        </w:tc>
        <w:tc>
          <w:tcPr>
            <w:tcW w:w="1505" w:type="dxa"/>
          </w:tcPr>
          <w:p w14:paraId="6A955152"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 xml:space="preserve">Pending Phase 2 commencement </w:t>
            </w:r>
          </w:p>
        </w:tc>
      </w:tr>
      <w:tr w:rsidR="006E643B" w:rsidRPr="00D556B4" w14:paraId="35695F9A" w14:textId="77777777" w:rsidTr="00FD14BC">
        <w:tc>
          <w:tcPr>
            <w:tcW w:w="1504" w:type="dxa"/>
          </w:tcPr>
          <w:p w14:paraId="0C200408"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Cumulative balance</w:t>
            </w:r>
          </w:p>
        </w:tc>
        <w:tc>
          <w:tcPr>
            <w:tcW w:w="1504" w:type="dxa"/>
          </w:tcPr>
          <w:p w14:paraId="434758E2"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-$1,240,000.00</w:t>
            </w:r>
          </w:p>
        </w:tc>
        <w:tc>
          <w:tcPr>
            <w:tcW w:w="1505" w:type="dxa"/>
          </w:tcPr>
          <w:p w14:paraId="2329B5DD"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-$953,809.58</w:t>
            </w:r>
          </w:p>
        </w:tc>
        <w:tc>
          <w:tcPr>
            <w:tcW w:w="1504" w:type="dxa"/>
          </w:tcPr>
          <w:p w14:paraId="12329802"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-$651,854.12</w:t>
            </w:r>
          </w:p>
        </w:tc>
        <w:tc>
          <w:tcPr>
            <w:tcW w:w="1504" w:type="dxa"/>
          </w:tcPr>
          <w:p w14:paraId="39FE4B76"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-$334,122.95</w:t>
            </w:r>
          </w:p>
        </w:tc>
        <w:tc>
          <w:tcPr>
            <w:tcW w:w="1505" w:type="dxa"/>
          </w:tcPr>
          <w:p w14:paraId="6BA1B353"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$0.00</w:t>
            </w:r>
          </w:p>
        </w:tc>
      </w:tr>
      <w:tr w:rsidR="006E643B" w14:paraId="318A2BE2" w14:textId="77777777" w:rsidTr="00FD14BC">
        <w:tc>
          <w:tcPr>
            <w:tcW w:w="1504" w:type="dxa"/>
          </w:tcPr>
          <w:p w14:paraId="268578E1"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Explain material variance</w:t>
            </w:r>
          </w:p>
        </w:tc>
        <w:tc>
          <w:tcPr>
            <w:tcW w:w="7522" w:type="dxa"/>
            <w:gridSpan w:val="5"/>
          </w:tcPr>
          <w:p w14:paraId="697B12B9"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The significantly greater expense compared with revenue in Year 1 pertains to the upfront cost associated with establishing a cost recovery scheme (specifically, upgrading the OGTR’s client relationship management software and developing a payment gateway).</w:t>
            </w:r>
          </w:p>
        </w:tc>
      </w:tr>
      <w:tr w:rsidR="006E643B" w14:paraId="427B34FC" w14:textId="77777777" w:rsidTr="00FD14BC">
        <w:tc>
          <w:tcPr>
            <w:tcW w:w="1504" w:type="dxa"/>
          </w:tcPr>
          <w:p w14:paraId="1CC24D6D" w14:textId="77777777" w:rsidR="006E643B" w:rsidRPr="001F499D" w:rsidRDefault="006E643B" w:rsidP="00FD14BC">
            <w:pPr>
              <w:spacing w:before="60" w:after="60" w:line="276" w:lineRule="auto"/>
              <w:rPr>
                <w:rFonts w:eastAsia="OpenSansRegular" w:cs="Calibri Light"/>
                <w:b/>
                <w:color w:val="196B24" w:themeColor="accent3"/>
                <w:spacing w:val="2"/>
                <w:kern w:val="24"/>
                <w:sz w:val="16"/>
                <w:szCs w:val="16"/>
                <w:lang w:eastAsia="en-AU"/>
              </w:rPr>
            </w:pPr>
            <w:r w:rsidRPr="001F499D">
              <w:rPr>
                <w:rFonts w:eastAsia="OpenSansRegular" w:cs="Calibri Light"/>
                <w:b/>
                <w:color w:val="196B24" w:themeColor="accent3"/>
                <w:spacing w:val="2"/>
                <w:kern w:val="24"/>
                <w:sz w:val="16"/>
                <w:szCs w:val="16"/>
                <w:lang w:eastAsia="en-AU"/>
              </w:rPr>
              <w:t>Explain balance management strategy</w:t>
            </w:r>
          </w:p>
        </w:tc>
        <w:tc>
          <w:tcPr>
            <w:tcW w:w="7522" w:type="dxa"/>
            <w:gridSpan w:val="5"/>
          </w:tcPr>
          <w:p w14:paraId="65211DA5" w14:textId="77777777" w:rsidR="006E643B" w:rsidRPr="001F499D" w:rsidRDefault="006E643B" w:rsidP="00FD14BC">
            <w:pPr>
              <w:spacing w:line="240" w:lineRule="auto"/>
              <w:jc w:val="both"/>
              <w:rPr>
                <w:rFonts w:eastAsia="OpenSansRegular" w:cs="Calibri Light"/>
                <w:color w:val="000000"/>
                <w:spacing w:val="2"/>
                <w:kern w:val="24"/>
                <w:sz w:val="16"/>
                <w:szCs w:val="16"/>
                <w:lang w:eastAsia="en-AU"/>
              </w:rPr>
            </w:pPr>
            <w:r>
              <w:rPr>
                <w:rFonts w:eastAsia="OpenSansRegular" w:cs="Calibri Light"/>
                <w:color w:val="000000"/>
                <w:spacing w:val="2"/>
                <w:kern w:val="24"/>
                <w:sz w:val="16"/>
                <w:szCs w:val="16"/>
                <w:lang w:eastAsia="en-AU"/>
              </w:rPr>
              <w:t>The cost recovery scheme aspires to manage the ongoing balance through the design of its fees for applications, which it fully recovers on average as application costs are incurred. Some of the costs recovered through the annual fee are for costs incurred during the current financial year. The remaining costs recovered through the annual fee are capital expenditure outlays, which are fully recovered through fee revenue over five years.</w:t>
            </w:r>
          </w:p>
        </w:tc>
      </w:tr>
    </w:tbl>
    <w:p w14:paraId="0BAC6C8F" w14:textId="77777777" w:rsidR="006E643B" w:rsidRPr="007A6E8B" w:rsidRDefault="006E643B" w:rsidP="006E643B">
      <w:pPr>
        <w:pStyle w:val="Source"/>
        <w:rPr>
          <w:color w:val="3A7C22" w:themeColor="accent6" w:themeShade="BF"/>
        </w:rPr>
      </w:pPr>
      <w:r w:rsidRPr="007A6E8B">
        <w:rPr>
          <w:color w:val="3A7C22" w:themeColor="accent6" w:themeShade="BF"/>
        </w:rPr>
        <w:t>Source: Deloitte Access Economics.</w:t>
      </w:r>
    </w:p>
    <w:p w14:paraId="70CD6896" w14:textId="77777777" w:rsidR="006E643B" w:rsidRDefault="006E643B" w:rsidP="006E643B">
      <w:pPr>
        <w:pStyle w:val="Heading1"/>
      </w:pPr>
      <w:bookmarkStart w:id="116" w:name="_Toc168990931"/>
      <w:bookmarkStart w:id="117" w:name="_Toc242195618"/>
      <w:r>
        <w:t>Performance</w:t>
      </w:r>
      <w:bookmarkEnd w:id="116"/>
      <w:bookmarkEnd w:id="117"/>
    </w:p>
    <w:p w14:paraId="13323D01" w14:textId="77777777" w:rsidR="006E643B" w:rsidRDefault="006E643B" w:rsidP="006E643B">
      <w:pPr>
        <w:pStyle w:val="Heading2"/>
      </w:pPr>
      <w:bookmarkStart w:id="118" w:name="_Toc168990932"/>
      <w:bookmarkStart w:id="119" w:name="_Toc242195619"/>
      <w:r>
        <w:t>Financial performance</w:t>
      </w:r>
      <w:bookmarkEnd w:id="118"/>
      <w:bookmarkEnd w:id="119"/>
    </w:p>
    <w:p w14:paraId="095B023E" w14:textId="100DEC62" w:rsidR="006E643B" w:rsidRDefault="006E643B" w:rsidP="006E643B">
      <w:r>
        <w:t xml:space="preserve">The financial framework for the OGTR's governance is outlined in the Public Governance, Performance and Accountability Act 2013 (PGPA Act). To comply with the PGPA Act, the OGTR reports its financial performance to the Secretary, who serves as the Accountable Authority. The annual budgeted expenses versus actual expenses for the OGTR by the Department of Health, Disability and Ageing have been outlined </w:t>
      </w:r>
      <w:r w:rsidRPr="00491105">
        <w:rPr>
          <w:rFonts w:cs="Arial"/>
        </w:rPr>
        <w:t>below</w:t>
      </w:r>
      <w:r w:rsidR="005F43E2" w:rsidRPr="00491105">
        <w:rPr>
          <w:rFonts w:cs="Arial"/>
        </w:rPr>
        <w:t xml:space="preserve"> </w:t>
      </w:r>
      <w:r w:rsidR="005F43E2" w:rsidRPr="00403ED8">
        <w:rPr>
          <w:rFonts w:cs="Arial"/>
        </w:rPr>
        <w:fldChar w:fldCharType="begin"/>
      </w:r>
      <w:r w:rsidR="005F43E2" w:rsidRPr="00403ED8">
        <w:rPr>
          <w:rFonts w:cs="Arial"/>
        </w:rPr>
        <w:instrText xml:space="preserve"> REF _Ref240574327 \h </w:instrText>
      </w:r>
      <w:r w:rsidR="00491105" w:rsidRPr="00403ED8">
        <w:rPr>
          <w:rFonts w:cs="Arial"/>
        </w:rPr>
        <w:instrText xml:space="preserve"> \* MERGEFORMAT </w:instrText>
      </w:r>
      <w:r w:rsidR="005F43E2" w:rsidRPr="00403ED8">
        <w:rPr>
          <w:rFonts w:cs="Arial"/>
        </w:rPr>
      </w:r>
      <w:r w:rsidR="005F43E2" w:rsidRPr="00403ED8">
        <w:rPr>
          <w:rFonts w:cs="Arial"/>
        </w:rPr>
        <w:fldChar w:fldCharType="separate"/>
      </w:r>
      <w:r w:rsidR="009E753B" w:rsidRPr="00403ED8">
        <w:rPr>
          <w:rFonts w:cs="Arial"/>
          <w:kern w:val="0"/>
          <w:szCs w:val="20"/>
          <w14:ligatures w14:val="none"/>
        </w:rPr>
        <w:t xml:space="preserve">Table </w:t>
      </w:r>
      <w:r w:rsidR="009E753B" w:rsidRPr="00403ED8">
        <w:rPr>
          <w:rFonts w:cs="Arial"/>
          <w:noProof/>
          <w:kern w:val="0"/>
          <w:szCs w:val="20"/>
          <w14:ligatures w14:val="none"/>
        </w:rPr>
        <w:t>14</w:t>
      </w:r>
      <w:r w:rsidR="005F43E2" w:rsidRPr="00403ED8">
        <w:rPr>
          <w:rFonts w:cs="Arial"/>
        </w:rPr>
        <w:fldChar w:fldCharType="end"/>
      </w:r>
      <w:r w:rsidRPr="00403ED8">
        <w:rPr>
          <w:rFonts w:cs="Arial"/>
        </w:rPr>
        <w:t>.</w:t>
      </w:r>
    </w:p>
    <w:p w14:paraId="0371C4D1" w14:textId="6987309C" w:rsidR="006E643B" w:rsidRPr="0060174F" w:rsidRDefault="005F43E2" w:rsidP="00263E1E">
      <w:pPr>
        <w:pStyle w:val="Caption"/>
        <w:rPr>
          <w:rFonts w:cstheme="minorBidi"/>
          <w:sz w:val="20"/>
        </w:rPr>
      </w:pPr>
      <w:bookmarkStart w:id="120" w:name="_Ref240574327"/>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CD1B9D" w:rsidRPr="007A6E8B">
        <w:rPr>
          <w:rFonts w:ascii="Calibri Light" w:hAnsi="Calibri Light" w:cstheme="minorBidi"/>
          <w:i w:val="0"/>
          <w:noProof/>
          <w:color w:val="3A7C22" w:themeColor="accent6" w:themeShade="BF"/>
          <w:kern w:val="0"/>
          <w:sz w:val="20"/>
          <w:szCs w:val="20"/>
          <w14:ligatures w14:val="none"/>
        </w:rPr>
        <w:t>14</w:t>
      </w:r>
      <w:r w:rsidRPr="007A6E8B">
        <w:rPr>
          <w:rFonts w:ascii="Calibri Light" w:hAnsi="Calibri Light" w:cstheme="minorBidi"/>
          <w:i w:val="0"/>
          <w:color w:val="3A7C22" w:themeColor="accent6" w:themeShade="BF"/>
          <w:kern w:val="0"/>
          <w:sz w:val="20"/>
          <w:szCs w:val="20"/>
          <w14:ligatures w14:val="none"/>
        </w:rPr>
        <w:fldChar w:fldCharType="end"/>
      </w:r>
      <w:bookmarkEnd w:id="120"/>
      <w:r w:rsidRPr="007A6E8B">
        <w:rPr>
          <w:rFonts w:ascii="Calibri Light" w:hAnsi="Calibri Light" w:cstheme="minorBidi"/>
          <w:i w:val="0"/>
          <w:color w:val="3A7C22" w:themeColor="accent6" w:themeShade="BF"/>
          <w:kern w:val="0"/>
          <w:sz w:val="20"/>
          <w:szCs w:val="20"/>
          <w14:ligatures w14:val="none"/>
        </w:rPr>
        <w:t>:</w:t>
      </w:r>
      <w:r w:rsidR="006E643B" w:rsidRPr="007A6E8B">
        <w:rPr>
          <w:rFonts w:ascii="Calibri Light" w:hAnsi="Calibri Light" w:cstheme="minorBidi"/>
          <w:i w:val="0"/>
          <w:color w:val="3A7C22" w:themeColor="accent6" w:themeShade="BF"/>
          <w:kern w:val="0"/>
          <w:sz w:val="20"/>
          <w:szCs w:val="20"/>
          <w14:ligatures w14:val="none"/>
        </w:rPr>
        <w:t xml:space="preserve"> </w:t>
      </w:r>
      <w:bookmarkStart w:id="121" w:name="_Ref167721773"/>
      <w:r w:rsidR="006E643B" w:rsidRPr="007A6E8B">
        <w:rPr>
          <w:rFonts w:ascii="Calibri Light" w:hAnsi="Calibri Light" w:cstheme="minorBidi"/>
          <w:i w:val="0"/>
          <w:color w:val="3A7C22" w:themeColor="accent6" w:themeShade="BF"/>
          <w:kern w:val="0"/>
          <w:sz w:val="20"/>
          <w:szCs w:val="20"/>
          <w14:ligatures w14:val="none"/>
        </w:rPr>
        <w:t>OGTR annual budgeted expenses versus actual expenses 2020-2021</w:t>
      </w:r>
      <w:bookmarkEnd w:id="121"/>
    </w:p>
    <w:tbl>
      <w:tblPr>
        <w:tblStyle w:val="Deloittetable"/>
        <w:tblW w:w="5000" w:type="pct"/>
        <w:tblLook w:val="04A0" w:firstRow="1" w:lastRow="0" w:firstColumn="1" w:lastColumn="0" w:noHBand="0" w:noVBand="1"/>
      </w:tblPr>
      <w:tblGrid>
        <w:gridCol w:w="2061"/>
        <w:gridCol w:w="871"/>
        <w:gridCol w:w="870"/>
        <w:gridCol w:w="870"/>
        <w:gridCol w:w="872"/>
        <w:gridCol w:w="870"/>
        <w:gridCol w:w="870"/>
        <w:gridCol w:w="870"/>
        <w:gridCol w:w="872"/>
      </w:tblGrid>
      <w:tr w:rsidR="006E643B" w14:paraId="1EA362E0" w14:textId="77777777" w:rsidTr="00FD14BC">
        <w:trPr>
          <w:cnfStyle w:val="100000000000" w:firstRow="1" w:lastRow="0" w:firstColumn="0" w:lastColumn="0" w:oddVBand="0" w:evenVBand="0" w:oddHBand="0" w:evenHBand="0" w:firstRowFirstColumn="0" w:firstRowLastColumn="0" w:lastRowFirstColumn="0" w:lastRowLastColumn="0"/>
        </w:trPr>
        <w:tc>
          <w:tcPr>
            <w:tcW w:w="1141" w:type="pct"/>
          </w:tcPr>
          <w:p w14:paraId="3E98338F" w14:textId="77777777" w:rsidR="006E643B" w:rsidRPr="00734921" w:rsidRDefault="006E643B" w:rsidP="00FD14BC">
            <w:pPr>
              <w:keepNext/>
              <w:spacing w:before="57" w:line="220" w:lineRule="atLeast"/>
              <w:ind w:left="96" w:right="96"/>
              <w:jc w:val="center"/>
              <w:rPr>
                <w:b/>
                <w:color w:val="196B24" w:themeColor="accent3"/>
                <w:sz w:val="16"/>
                <w:szCs w:val="16"/>
              </w:rPr>
            </w:pPr>
          </w:p>
        </w:tc>
        <w:tc>
          <w:tcPr>
            <w:tcW w:w="1929" w:type="pct"/>
            <w:gridSpan w:val="4"/>
            <w:shd w:val="clear" w:color="auto" w:fill="C1F0C7" w:themeFill="accent3" w:themeFillTint="33"/>
          </w:tcPr>
          <w:p w14:paraId="6FFEC02D" w14:textId="77777777" w:rsidR="006E643B" w:rsidRPr="00734921" w:rsidRDefault="006E643B" w:rsidP="00FD14BC">
            <w:pPr>
              <w:jc w:val="center"/>
              <w:rPr>
                <w:b/>
                <w:bCs/>
                <w:color w:val="196B24" w:themeColor="accent3"/>
                <w:sz w:val="16"/>
                <w:szCs w:val="16"/>
              </w:rPr>
            </w:pPr>
            <w:r w:rsidRPr="00734921">
              <w:rPr>
                <w:b/>
                <w:bCs/>
                <w:color w:val="196B24" w:themeColor="accent3"/>
                <w:sz w:val="16"/>
                <w:szCs w:val="16"/>
              </w:rPr>
              <w:t>Previous budget figures</w:t>
            </w:r>
          </w:p>
        </w:tc>
        <w:tc>
          <w:tcPr>
            <w:tcW w:w="1929" w:type="pct"/>
            <w:gridSpan w:val="4"/>
          </w:tcPr>
          <w:p w14:paraId="1B1F6647" w14:textId="77777777" w:rsidR="006E643B" w:rsidRPr="00734921" w:rsidRDefault="006E643B" w:rsidP="00FD14BC">
            <w:pPr>
              <w:jc w:val="center"/>
              <w:rPr>
                <w:b/>
                <w:bCs/>
                <w:color w:val="196B24" w:themeColor="accent3"/>
                <w:sz w:val="16"/>
                <w:szCs w:val="16"/>
              </w:rPr>
            </w:pPr>
            <w:r w:rsidRPr="00734921">
              <w:rPr>
                <w:b/>
                <w:bCs/>
                <w:color w:val="196B24" w:themeColor="accent3"/>
                <w:sz w:val="16"/>
                <w:szCs w:val="16"/>
              </w:rPr>
              <w:t>Forward estimates</w:t>
            </w:r>
          </w:p>
        </w:tc>
      </w:tr>
      <w:tr w:rsidR="006E643B" w14:paraId="65FD8044" w14:textId="77777777" w:rsidTr="00FD14BC">
        <w:tc>
          <w:tcPr>
            <w:tcW w:w="1141" w:type="pct"/>
          </w:tcPr>
          <w:p w14:paraId="7D14DDE0" w14:textId="77777777" w:rsidR="006E643B" w:rsidRPr="00734921" w:rsidRDefault="006E643B" w:rsidP="00FD14BC">
            <w:pPr>
              <w:jc w:val="center"/>
              <w:rPr>
                <w:sz w:val="16"/>
                <w:szCs w:val="16"/>
              </w:rPr>
            </w:pPr>
          </w:p>
        </w:tc>
        <w:tc>
          <w:tcPr>
            <w:tcW w:w="482" w:type="pct"/>
            <w:shd w:val="clear" w:color="auto" w:fill="C1F0C7" w:themeFill="accent3" w:themeFillTint="33"/>
          </w:tcPr>
          <w:p w14:paraId="2490C48D" w14:textId="77777777" w:rsidR="006E643B" w:rsidRPr="00734921" w:rsidRDefault="006E643B" w:rsidP="00FD14BC">
            <w:pPr>
              <w:jc w:val="center"/>
              <w:rPr>
                <w:sz w:val="16"/>
                <w:szCs w:val="16"/>
              </w:rPr>
            </w:pPr>
            <w:r w:rsidRPr="00734921">
              <w:rPr>
                <w:sz w:val="16"/>
                <w:szCs w:val="16"/>
              </w:rPr>
              <w:t>2020-21</w:t>
            </w:r>
          </w:p>
        </w:tc>
        <w:tc>
          <w:tcPr>
            <w:tcW w:w="482" w:type="pct"/>
            <w:shd w:val="clear" w:color="auto" w:fill="C1F0C7" w:themeFill="accent3" w:themeFillTint="33"/>
          </w:tcPr>
          <w:p w14:paraId="60D11788" w14:textId="77777777" w:rsidR="006E643B" w:rsidRPr="00734921" w:rsidRDefault="006E643B" w:rsidP="00FD14BC">
            <w:pPr>
              <w:jc w:val="center"/>
              <w:rPr>
                <w:sz w:val="16"/>
                <w:szCs w:val="16"/>
              </w:rPr>
            </w:pPr>
            <w:r w:rsidRPr="00734921">
              <w:rPr>
                <w:sz w:val="16"/>
                <w:szCs w:val="16"/>
              </w:rPr>
              <w:t>2021-22</w:t>
            </w:r>
          </w:p>
        </w:tc>
        <w:tc>
          <w:tcPr>
            <w:tcW w:w="482" w:type="pct"/>
            <w:shd w:val="clear" w:color="auto" w:fill="C1F0C7" w:themeFill="accent3" w:themeFillTint="33"/>
          </w:tcPr>
          <w:p w14:paraId="5080B318" w14:textId="77777777" w:rsidR="006E643B" w:rsidRPr="00734921" w:rsidRDefault="006E643B" w:rsidP="00FD14BC">
            <w:pPr>
              <w:ind w:left="96"/>
              <w:jc w:val="center"/>
              <w:rPr>
                <w:sz w:val="16"/>
                <w:szCs w:val="16"/>
              </w:rPr>
            </w:pPr>
            <w:r w:rsidRPr="00734921">
              <w:rPr>
                <w:sz w:val="16"/>
                <w:szCs w:val="16"/>
              </w:rPr>
              <w:t>2022-23</w:t>
            </w:r>
          </w:p>
        </w:tc>
        <w:tc>
          <w:tcPr>
            <w:tcW w:w="483" w:type="pct"/>
            <w:shd w:val="clear" w:color="auto" w:fill="C1F0C7" w:themeFill="accent3" w:themeFillTint="33"/>
          </w:tcPr>
          <w:p w14:paraId="74636EC4" w14:textId="77777777" w:rsidR="006E643B" w:rsidRPr="00734921" w:rsidRDefault="006E643B" w:rsidP="00FD14BC">
            <w:pPr>
              <w:jc w:val="center"/>
              <w:rPr>
                <w:sz w:val="16"/>
                <w:szCs w:val="16"/>
              </w:rPr>
            </w:pPr>
            <w:r w:rsidRPr="00734921">
              <w:rPr>
                <w:sz w:val="16"/>
                <w:szCs w:val="16"/>
              </w:rPr>
              <w:t>2023-24</w:t>
            </w:r>
          </w:p>
        </w:tc>
        <w:tc>
          <w:tcPr>
            <w:tcW w:w="482" w:type="pct"/>
          </w:tcPr>
          <w:p w14:paraId="259D473F" w14:textId="77777777" w:rsidR="006E643B" w:rsidRPr="00734921" w:rsidRDefault="006E643B" w:rsidP="00FD14BC">
            <w:pPr>
              <w:jc w:val="center"/>
              <w:rPr>
                <w:sz w:val="16"/>
                <w:szCs w:val="16"/>
              </w:rPr>
            </w:pPr>
            <w:r w:rsidRPr="00734921">
              <w:rPr>
                <w:sz w:val="16"/>
                <w:szCs w:val="16"/>
              </w:rPr>
              <w:t>2024-25</w:t>
            </w:r>
          </w:p>
        </w:tc>
        <w:tc>
          <w:tcPr>
            <w:tcW w:w="482" w:type="pct"/>
          </w:tcPr>
          <w:p w14:paraId="1DC3010C" w14:textId="77777777" w:rsidR="006E643B" w:rsidRPr="00734921" w:rsidRDefault="006E643B" w:rsidP="00FD14BC">
            <w:pPr>
              <w:jc w:val="center"/>
              <w:rPr>
                <w:sz w:val="16"/>
                <w:szCs w:val="16"/>
              </w:rPr>
            </w:pPr>
            <w:r w:rsidRPr="00734921">
              <w:rPr>
                <w:sz w:val="16"/>
                <w:szCs w:val="16"/>
              </w:rPr>
              <w:t>2025-26</w:t>
            </w:r>
          </w:p>
        </w:tc>
        <w:tc>
          <w:tcPr>
            <w:tcW w:w="482" w:type="pct"/>
          </w:tcPr>
          <w:p w14:paraId="5D0BF5EF" w14:textId="77777777" w:rsidR="006E643B" w:rsidRPr="00734921" w:rsidRDefault="006E643B" w:rsidP="00FD14BC">
            <w:pPr>
              <w:jc w:val="center"/>
              <w:rPr>
                <w:sz w:val="16"/>
                <w:szCs w:val="16"/>
              </w:rPr>
            </w:pPr>
            <w:r w:rsidRPr="00734921">
              <w:rPr>
                <w:sz w:val="16"/>
                <w:szCs w:val="16"/>
              </w:rPr>
              <w:t>2026-27</w:t>
            </w:r>
          </w:p>
        </w:tc>
        <w:tc>
          <w:tcPr>
            <w:tcW w:w="483" w:type="pct"/>
          </w:tcPr>
          <w:p w14:paraId="2EE6C417" w14:textId="77777777" w:rsidR="006E643B" w:rsidRPr="00734921" w:rsidRDefault="006E643B" w:rsidP="00FD14BC">
            <w:pPr>
              <w:jc w:val="center"/>
              <w:rPr>
                <w:sz w:val="16"/>
                <w:szCs w:val="16"/>
              </w:rPr>
            </w:pPr>
            <w:r w:rsidRPr="00734921">
              <w:rPr>
                <w:sz w:val="16"/>
                <w:szCs w:val="16"/>
              </w:rPr>
              <w:t>2027-28</w:t>
            </w:r>
          </w:p>
        </w:tc>
      </w:tr>
      <w:tr w:rsidR="006E643B" w14:paraId="552FAE59" w14:textId="77777777" w:rsidTr="00FD14BC">
        <w:tc>
          <w:tcPr>
            <w:tcW w:w="1141" w:type="pct"/>
          </w:tcPr>
          <w:p w14:paraId="492EAFB5" w14:textId="77777777" w:rsidR="006E643B" w:rsidRPr="00734921" w:rsidRDefault="006E643B" w:rsidP="00FD14BC">
            <w:pPr>
              <w:rPr>
                <w:sz w:val="16"/>
                <w:szCs w:val="16"/>
              </w:rPr>
            </w:pPr>
            <w:r w:rsidRPr="00734921">
              <w:rPr>
                <w:sz w:val="16"/>
                <w:szCs w:val="16"/>
              </w:rPr>
              <w:t>Budgeted expenses</w:t>
            </w:r>
          </w:p>
        </w:tc>
        <w:tc>
          <w:tcPr>
            <w:tcW w:w="482" w:type="pct"/>
            <w:shd w:val="clear" w:color="auto" w:fill="EEF7FC"/>
          </w:tcPr>
          <w:p w14:paraId="1F178806" w14:textId="77777777" w:rsidR="006E643B" w:rsidRPr="00734921" w:rsidRDefault="006E643B" w:rsidP="00FD14BC">
            <w:pPr>
              <w:jc w:val="center"/>
              <w:rPr>
                <w:sz w:val="16"/>
                <w:szCs w:val="16"/>
              </w:rPr>
            </w:pPr>
            <w:r w:rsidRPr="00734921">
              <w:rPr>
                <w:sz w:val="16"/>
                <w:szCs w:val="16"/>
              </w:rPr>
              <w:t>8.0</w:t>
            </w:r>
          </w:p>
        </w:tc>
        <w:tc>
          <w:tcPr>
            <w:tcW w:w="482" w:type="pct"/>
            <w:shd w:val="clear" w:color="auto" w:fill="EEF7FC"/>
          </w:tcPr>
          <w:p w14:paraId="64CA1CC7" w14:textId="77777777" w:rsidR="006E643B" w:rsidRPr="00734921" w:rsidRDefault="006E643B" w:rsidP="00FD14BC">
            <w:pPr>
              <w:jc w:val="center"/>
              <w:rPr>
                <w:sz w:val="16"/>
                <w:szCs w:val="16"/>
              </w:rPr>
            </w:pPr>
            <w:r w:rsidRPr="00734921">
              <w:rPr>
                <w:sz w:val="16"/>
                <w:szCs w:val="16"/>
              </w:rPr>
              <w:t>8.2</w:t>
            </w:r>
          </w:p>
        </w:tc>
        <w:tc>
          <w:tcPr>
            <w:tcW w:w="482" w:type="pct"/>
            <w:shd w:val="clear" w:color="auto" w:fill="EEF7FC"/>
          </w:tcPr>
          <w:p w14:paraId="38BEECE3" w14:textId="77777777" w:rsidR="006E643B" w:rsidRPr="00734921" w:rsidRDefault="006E643B" w:rsidP="00FD14BC">
            <w:pPr>
              <w:ind w:left="96"/>
              <w:jc w:val="center"/>
              <w:rPr>
                <w:sz w:val="16"/>
                <w:szCs w:val="16"/>
              </w:rPr>
            </w:pPr>
            <w:r w:rsidRPr="00734921">
              <w:rPr>
                <w:sz w:val="16"/>
                <w:szCs w:val="16"/>
              </w:rPr>
              <w:t>8.5</w:t>
            </w:r>
          </w:p>
        </w:tc>
        <w:tc>
          <w:tcPr>
            <w:tcW w:w="483" w:type="pct"/>
            <w:shd w:val="clear" w:color="auto" w:fill="EEF7FC"/>
          </w:tcPr>
          <w:p w14:paraId="0F929E34" w14:textId="77777777" w:rsidR="006E643B" w:rsidRPr="00734921" w:rsidRDefault="006E643B" w:rsidP="00FD14BC">
            <w:pPr>
              <w:jc w:val="center"/>
              <w:rPr>
                <w:sz w:val="16"/>
                <w:szCs w:val="16"/>
              </w:rPr>
            </w:pPr>
            <w:r w:rsidRPr="00734921">
              <w:rPr>
                <w:sz w:val="16"/>
                <w:szCs w:val="16"/>
              </w:rPr>
              <w:t>11.1</w:t>
            </w:r>
          </w:p>
        </w:tc>
        <w:tc>
          <w:tcPr>
            <w:tcW w:w="482" w:type="pct"/>
          </w:tcPr>
          <w:p w14:paraId="06CBED49" w14:textId="77777777" w:rsidR="006E643B" w:rsidRPr="00734921" w:rsidRDefault="006E643B" w:rsidP="00FD14BC">
            <w:pPr>
              <w:jc w:val="center"/>
              <w:rPr>
                <w:sz w:val="16"/>
                <w:szCs w:val="16"/>
              </w:rPr>
            </w:pPr>
            <w:r w:rsidRPr="00734921">
              <w:rPr>
                <w:sz w:val="16"/>
                <w:szCs w:val="16"/>
              </w:rPr>
              <w:t>8.1</w:t>
            </w:r>
          </w:p>
        </w:tc>
        <w:tc>
          <w:tcPr>
            <w:tcW w:w="482" w:type="pct"/>
          </w:tcPr>
          <w:p w14:paraId="585ACC6E" w14:textId="77777777" w:rsidR="006E643B" w:rsidRPr="00734921" w:rsidRDefault="006E643B" w:rsidP="00FD14BC">
            <w:pPr>
              <w:jc w:val="center"/>
              <w:rPr>
                <w:sz w:val="16"/>
                <w:szCs w:val="16"/>
              </w:rPr>
            </w:pPr>
            <w:r w:rsidRPr="00734921">
              <w:rPr>
                <w:sz w:val="16"/>
                <w:szCs w:val="16"/>
              </w:rPr>
              <w:t>8.0</w:t>
            </w:r>
          </w:p>
        </w:tc>
        <w:tc>
          <w:tcPr>
            <w:tcW w:w="482" w:type="pct"/>
          </w:tcPr>
          <w:p w14:paraId="2E6179AB" w14:textId="77777777" w:rsidR="006E643B" w:rsidRPr="00734921" w:rsidRDefault="006E643B" w:rsidP="00FD14BC">
            <w:pPr>
              <w:jc w:val="center"/>
              <w:rPr>
                <w:sz w:val="16"/>
                <w:szCs w:val="16"/>
              </w:rPr>
            </w:pPr>
            <w:r w:rsidRPr="00734921">
              <w:rPr>
                <w:sz w:val="16"/>
                <w:szCs w:val="16"/>
              </w:rPr>
              <w:t>8.1</w:t>
            </w:r>
          </w:p>
        </w:tc>
        <w:tc>
          <w:tcPr>
            <w:tcW w:w="483" w:type="pct"/>
          </w:tcPr>
          <w:p w14:paraId="6C856990" w14:textId="77777777" w:rsidR="006E643B" w:rsidRPr="00734921" w:rsidRDefault="006E643B" w:rsidP="00FD14BC">
            <w:pPr>
              <w:jc w:val="center"/>
              <w:rPr>
                <w:sz w:val="16"/>
                <w:szCs w:val="16"/>
              </w:rPr>
            </w:pPr>
            <w:r w:rsidRPr="00734921">
              <w:rPr>
                <w:sz w:val="16"/>
                <w:szCs w:val="16"/>
              </w:rPr>
              <w:t>8.2</w:t>
            </w:r>
          </w:p>
        </w:tc>
      </w:tr>
      <w:tr w:rsidR="006E643B" w14:paraId="13837904" w14:textId="77777777" w:rsidTr="00FD14BC">
        <w:tc>
          <w:tcPr>
            <w:tcW w:w="1141" w:type="pct"/>
          </w:tcPr>
          <w:p w14:paraId="2140820C" w14:textId="77777777" w:rsidR="006E643B" w:rsidRPr="00734921" w:rsidRDefault="006E643B" w:rsidP="00FD14BC">
            <w:pPr>
              <w:rPr>
                <w:sz w:val="16"/>
                <w:szCs w:val="16"/>
              </w:rPr>
            </w:pPr>
            <w:r w:rsidRPr="00734921">
              <w:rPr>
                <w:sz w:val="16"/>
                <w:szCs w:val="16"/>
              </w:rPr>
              <w:t>Estimated actual expenses</w:t>
            </w:r>
          </w:p>
        </w:tc>
        <w:tc>
          <w:tcPr>
            <w:tcW w:w="482" w:type="pct"/>
            <w:shd w:val="clear" w:color="auto" w:fill="EEF7FC"/>
          </w:tcPr>
          <w:p w14:paraId="42C9C78C" w14:textId="77777777" w:rsidR="006E643B" w:rsidRPr="00734921" w:rsidRDefault="006E643B" w:rsidP="00FD14BC">
            <w:pPr>
              <w:jc w:val="center"/>
              <w:rPr>
                <w:sz w:val="16"/>
                <w:szCs w:val="16"/>
              </w:rPr>
            </w:pPr>
            <w:r w:rsidRPr="00734921">
              <w:rPr>
                <w:sz w:val="16"/>
                <w:szCs w:val="16"/>
              </w:rPr>
              <w:t>8.3</w:t>
            </w:r>
          </w:p>
        </w:tc>
        <w:tc>
          <w:tcPr>
            <w:tcW w:w="482" w:type="pct"/>
            <w:shd w:val="clear" w:color="auto" w:fill="EEF7FC"/>
          </w:tcPr>
          <w:p w14:paraId="51F920BF" w14:textId="77777777" w:rsidR="006E643B" w:rsidRPr="00734921" w:rsidRDefault="006E643B" w:rsidP="00FD14BC">
            <w:pPr>
              <w:jc w:val="center"/>
              <w:rPr>
                <w:sz w:val="16"/>
                <w:szCs w:val="16"/>
              </w:rPr>
            </w:pPr>
            <w:r w:rsidRPr="00734921">
              <w:rPr>
                <w:sz w:val="16"/>
                <w:szCs w:val="16"/>
              </w:rPr>
              <w:t>8.5</w:t>
            </w:r>
          </w:p>
        </w:tc>
        <w:tc>
          <w:tcPr>
            <w:tcW w:w="482" w:type="pct"/>
            <w:shd w:val="clear" w:color="auto" w:fill="EEF7FC"/>
          </w:tcPr>
          <w:p w14:paraId="5D6A25E3" w14:textId="77777777" w:rsidR="006E643B" w:rsidRPr="00734921" w:rsidRDefault="006E643B" w:rsidP="00FD14BC">
            <w:pPr>
              <w:ind w:left="96"/>
              <w:jc w:val="center"/>
              <w:rPr>
                <w:sz w:val="16"/>
                <w:szCs w:val="16"/>
              </w:rPr>
            </w:pPr>
            <w:r w:rsidRPr="00734921">
              <w:rPr>
                <w:sz w:val="16"/>
                <w:szCs w:val="16"/>
              </w:rPr>
              <w:t>8.7</w:t>
            </w:r>
          </w:p>
        </w:tc>
        <w:tc>
          <w:tcPr>
            <w:tcW w:w="483" w:type="pct"/>
            <w:shd w:val="clear" w:color="auto" w:fill="EEF7FC"/>
          </w:tcPr>
          <w:p w14:paraId="4C3C61E3" w14:textId="77777777" w:rsidR="006E643B" w:rsidRPr="00734921" w:rsidRDefault="006E643B" w:rsidP="00FD14BC">
            <w:pPr>
              <w:jc w:val="center"/>
              <w:rPr>
                <w:sz w:val="16"/>
                <w:szCs w:val="16"/>
              </w:rPr>
            </w:pPr>
            <w:r w:rsidRPr="00734921">
              <w:rPr>
                <w:sz w:val="16"/>
                <w:szCs w:val="16"/>
              </w:rPr>
              <w:t>11.2</w:t>
            </w:r>
          </w:p>
        </w:tc>
        <w:tc>
          <w:tcPr>
            <w:tcW w:w="482" w:type="pct"/>
          </w:tcPr>
          <w:p w14:paraId="438414EF" w14:textId="77777777" w:rsidR="006E643B" w:rsidRPr="00734921" w:rsidRDefault="006E643B" w:rsidP="00FD14BC">
            <w:pPr>
              <w:jc w:val="center"/>
              <w:rPr>
                <w:sz w:val="16"/>
                <w:szCs w:val="16"/>
              </w:rPr>
            </w:pPr>
            <w:r w:rsidRPr="00734921">
              <w:rPr>
                <w:sz w:val="16"/>
                <w:szCs w:val="16"/>
              </w:rPr>
              <w:t>NA</w:t>
            </w:r>
          </w:p>
        </w:tc>
        <w:tc>
          <w:tcPr>
            <w:tcW w:w="482" w:type="pct"/>
          </w:tcPr>
          <w:p w14:paraId="3D23FC00" w14:textId="77777777" w:rsidR="006E643B" w:rsidRPr="00734921" w:rsidRDefault="006E643B" w:rsidP="00FD14BC">
            <w:pPr>
              <w:jc w:val="center"/>
              <w:rPr>
                <w:sz w:val="16"/>
                <w:szCs w:val="16"/>
              </w:rPr>
            </w:pPr>
            <w:r w:rsidRPr="00734921">
              <w:rPr>
                <w:sz w:val="16"/>
                <w:szCs w:val="16"/>
              </w:rPr>
              <w:t>NA</w:t>
            </w:r>
          </w:p>
        </w:tc>
        <w:tc>
          <w:tcPr>
            <w:tcW w:w="482" w:type="pct"/>
          </w:tcPr>
          <w:p w14:paraId="28876A69" w14:textId="77777777" w:rsidR="006E643B" w:rsidRPr="00734921" w:rsidRDefault="006E643B" w:rsidP="00FD14BC">
            <w:pPr>
              <w:jc w:val="center"/>
              <w:rPr>
                <w:sz w:val="16"/>
                <w:szCs w:val="16"/>
              </w:rPr>
            </w:pPr>
            <w:r w:rsidRPr="00734921">
              <w:rPr>
                <w:sz w:val="16"/>
                <w:szCs w:val="16"/>
              </w:rPr>
              <w:t>NA</w:t>
            </w:r>
          </w:p>
        </w:tc>
        <w:tc>
          <w:tcPr>
            <w:tcW w:w="483" w:type="pct"/>
          </w:tcPr>
          <w:p w14:paraId="6E0A12E3" w14:textId="77777777" w:rsidR="006E643B" w:rsidRPr="00734921" w:rsidRDefault="006E643B" w:rsidP="00FD14BC">
            <w:pPr>
              <w:jc w:val="center"/>
              <w:rPr>
                <w:sz w:val="16"/>
                <w:szCs w:val="16"/>
              </w:rPr>
            </w:pPr>
            <w:r w:rsidRPr="00734921">
              <w:rPr>
                <w:sz w:val="16"/>
                <w:szCs w:val="16"/>
              </w:rPr>
              <w:t>NA</w:t>
            </w:r>
          </w:p>
        </w:tc>
      </w:tr>
    </w:tbl>
    <w:p w14:paraId="35C64D52" w14:textId="77777777" w:rsidR="006E643B" w:rsidRPr="007A6E8B" w:rsidRDefault="006E643B" w:rsidP="006E643B">
      <w:pPr>
        <w:pStyle w:val="Source"/>
        <w:rPr>
          <w:color w:val="3A7C22" w:themeColor="accent6" w:themeShade="BF"/>
        </w:rPr>
      </w:pPr>
      <w:r w:rsidRPr="007A6E8B">
        <w:rPr>
          <w:color w:val="3A7C22" w:themeColor="accent6" w:themeShade="BF"/>
        </w:rPr>
        <w:t>Source: Department of Health and Aged Care Portfolio Budget Statements</w:t>
      </w:r>
    </w:p>
    <w:p w14:paraId="1391057A" w14:textId="77777777" w:rsidR="006E643B" w:rsidRDefault="006E643B" w:rsidP="006E643B">
      <w:r>
        <w:t xml:space="preserve">There is no existing data on revenue given the cost recovery scheme is being established for the first time. However, the performance of the cost recovery scheme will be closely monitored and evaluated in future reviews to ensure its effectiveness. </w:t>
      </w:r>
    </w:p>
    <w:p w14:paraId="3D8BE61F" w14:textId="77777777" w:rsidR="006E643B" w:rsidRDefault="006E643B" w:rsidP="006E643B">
      <w:pPr>
        <w:pStyle w:val="Heading2"/>
      </w:pPr>
      <w:bookmarkStart w:id="122" w:name="_Toc168990933"/>
      <w:bookmarkStart w:id="123" w:name="_Toc242195620"/>
      <w:r>
        <w:t>Non-financial performance</w:t>
      </w:r>
      <w:bookmarkEnd w:id="122"/>
      <w:bookmarkEnd w:id="123"/>
    </w:p>
    <w:p w14:paraId="3B081412" w14:textId="6FCB8765" w:rsidR="006E643B" w:rsidRDefault="006E643B" w:rsidP="006E643B">
      <w:r>
        <w:t xml:space="preserve">The primary objective of the OGTR is to protect human health and the environment through regulatory oversight of GMOs. </w:t>
      </w:r>
      <w:r w:rsidRPr="003B70C7">
        <w:t xml:space="preserve">To achieve this objective, the OGTR administers the </w:t>
      </w:r>
      <w:r>
        <w:t>S</w:t>
      </w:r>
      <w:r w:rsidRPr="003B70C7">
        <w:t xml:space="preserve">cheme, which involves assessing applications, granting approvals, and conducting </w:t>
      </w:r>
      <w:r>
        <w:t>monitoring and compliance activities for GMO approvals.</w:t>
      </w:r>
    </w:p>
    <w:p w14:paraId="6265B175" w14:textId="7E158CB2" w:rsidR="00E54F64" w:rsidRPr="00E57CAA" w:rsidRDefault="006E643B" w:rsidP="006E643B">
      <w:r w:rsidRPr="00E57CAA">
        <w:t>Performance targets are outlined in the Department of Health, Disability and Ageing Portfolio Budget Statements (PBS). PBS targets have been met as follows: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1"/>
        <w:gridCol w:w="842"/>
        <w:gridCol w:w="843"/>
        <w:gridCol w:w="1380"/>
      </w:tblGrid>
      <w:tr w:rsidR="006E643B" w:rsidRPr="00E57CAA" w14:paraId="259687EA" w14:textId="77777777" w:rsidTr="00FD14BC">
        <w:trPr>
          <w:tblCellSpacing w:w="15" w:type="dxa"/>
        </w:trPr>
        <w:tc>
          <w:tcPr>
            <w:tcW w:w="0" w:type="auto"/>
            <w:shd w:val="clear" w:color="auto" w:fill="F5F5F5"/>
            <w:vAlign w:val="center"/>
            <w:hideMark/>
          </w:tcPr>
          <w:p w14:paraId="78CD801E" w14:textId="77777777" w:rsidR="006E643B" w:rsidRPr="00E57CAA" w:rsidRDefault="006E643B" w:rsidP="00FD14BC">
            <w:pPr>
              <w:rPr>
                <w:b/>
                <w:bCs/>
              </w:rPr>
            </w:pPr>
            <w:r w:rsidRPr="00E57CAA">
              <w:rPr>
                <w:b/>
                <w:bCs/>
              </w:rPr>
              <w:t>Performance Measure</w:t>
            </w:r>
          </w:p>
        </w:tc>
        <w:tc>
          <w:tcPr>
            <w:tcW w:w="0" w:type="auto"/>
            <w:shd w:val="clear" w:color="auto" w:fill="F5F5F5"/>
            <w:vAlign w:val="center"/>
            <w:hideMark/>
          </w:tcPr>
          <w:p w14:paraId="7EB8EFF6" w14:textId="77777777" w:rsidR="006E643B" w:rsidRPr="00E57CAA" w:rsidRDefault="006E643B" w:rsidP="00FD14BC">
            <w:pPr>
              <w:rPr>
                <w:b/>
                <w:bCs/>
              </w:rPr>
            </w:pPr>
            <w:r w:rsidRPr="00E57CAA">
              <w:rPr>
                <w:b/>
                <w:bCs/>
              </w:rPr>
              <w:t>2022–23</w:t>
            </w:r>
          </w:p>
        </w:tc>
        <w:tc>
          <w:tcPr>
            <w:tcW w:w="0" w:type="auto"/>
            <w:shd w:val="clear" w:color="auto" w:fill="F5F5F5"/>
            <w:vAlign w:val="center"/>
            <w:hideMark/>
          </w:tcPr>
          <w:p w14:paraId="17DAB452" w14:textId="77777777" w:rsidR="006E643B" w:rsidRPr="00E57CAA" w:rsidRDefault="006E643B" w:rsidP="00FD14BC">
            <w:pPr>
              <w:rPr>
                <w:b/>
                <w:bCs/>
              </w:rPr>
            </w:pPr>
            <w:r w:rsidRPr="00E57CAA">
              <w:rPr>
                <w:b/>
                <w:bCs/>
              </w:rPr>
              <w:t>2023–24</w:t>
            </w:r>
          </w:p>
        </w:tc>
        <w:tc>
          <w:tcPr>
            <w:tcW w:w="1335" w:type="dxa"/>
            <w:shd w:val="clear" w:color="auto" w:fill="F5F5F5"/>
            <w:vAlign w:val="center"/>
            <w:hideMark/>
          </w:tcPr>
          <w:p w14:paraId="3C445C52" w14:textId="77777777" w:rsidR="006E643B" w:rsidRPr="00E57CAA" w:rsidRDefault="006E643B" w:rsidP="00FD14BC">
            <w:pPr>
              <w:rPr>
                <w:b/>
                <w:bCs/>
              </w:rPr>
            </w:pPr>
            <w:r w:rsidRPr="00E57CAA">
              <w:rPr>
                <w:b/>
                <w:bCs/>
              </w:rPr>
              <w:t>2024–25</w:t>
            </w:r>
          </w:p>
        </w:tc>
      </w:tr>
      <w:tr w:rsidR="006E643B" w:rsidRPr="00E57CAA" w14:paraId="1A851D91" w14:textId="77777777" w:rsidTr="00FD14BC">
        <w:trPr>
          <w:tblCellSpacing w:w="15" w:type="dxa"/>
        </w:trPr>
        <w:tc>
          <w:tcPr>
            <w:tcW w:w="0" w:type="auto"/>
            <w:vAlign w:val="center"/>
            <w:hideMark/>
          </w:tcPr>
          <w:p w14:paraId="1AE8D27C" w14:textId="77777777" w:rsidR="006E643B" w:rsidRPr="00E57CAA" w:rsidRDefault="006E643B" w:rsidP="00FD14BC">
            <w:r w:rsidRPr="00E57CAA">
              <w:lastRenderedPageBreak/>
              <w:t>GMO licence decisions made within statutory timeframes</w:t>
            </w:r>
          </w:p>
        </w:tc>
        <w:tc>
          <w:tcPr>
            <w:tcW w:w="0" w:type="auto"/>
            <w:vAlign w:val="center"/>
            <w:hideMark/>
          </w:tcPr>
          <w:p w14:paraId="70DF948B" w14:textId="77777777" w:rsidR="006E643B" w:rsidRPr="00E57CAA" w:rsidRDefault="006E643B" w:rsidP="00FD14BC">
            <w:r w:rsidRPr="00E57CAA">
              <w:t>100%</w:t>
            </w:r>
          </w:p>
        </w:tc>
        <w:tc>
          <w:tcPr>
            <w:tcW w:w="0" w:type="auto"/>
            <w:vAlign w:val="center"/>
            <w:hideMark/>
          </w:tcPr>
          <w:p w14:paraId="4C528CDC" w14:textId="77777777" w:rsidR="006E643B" w:rsidRPr="00E57CAA" w:rsidRDefault="006E643B" w:rsidP="00FD14BC">
            <w:r w:rsidRPr="00E57CAA">
              <w:t>100%</w:t>
            </w:r>
          </w:p>
        </w:tc>
        <w:tc>
          <w:tcPr>
            <w:tcW w:w="1335" w:type="dxa"/>
            <w:vAlign w:val="center"/>
            <w:hideMark/>
          </w:tcPr>
          <w:p w14:paraId="15F2B136" w14:textId="77777777" w:rsidR="006E643B" w:rsidRPr="00E57CAA" w:rsidRDefault="006E643B" w:rsidP="00FD14BC">
            <w:r w:rsidRPr="00E57CAA">
              <w:t>PBS target of ≥98% achieved</w:t>
            </w:r>
          </w:p>
        </w:tc>
      </w:tr>
      <w:tr w:rsidR="006E643B" w:rsidRPr="00E57CAA" w14:paraId="224ACB2D" w14:textId="77777777" w:rsidTr="00FD14BC">
        <w:trPr>
          <w:tblCellSpacing w:w="15" w:type="dxa"/>
        </w:trPr>
        <w:tc>
          <w:tcPr>
            <w:tcW w:w="0" w:type="auto"/>
            <w:vAlign w:val="center"/>
            <w:hideMark/>
          </w:tcPr>
          <w:p w14:paraId="7FCBF8F2" w14:textId="77777777" w:rsidR="006E643B" w:rsidRPr="00E57CAA" w:rsidRDefault="006E643B" w:rsidP="00FD14BC">
            <w:r w:rsidRPr="00E57CAA">
              <w:t>Reported non-compliance with conditions of GMO approvals assessed</w:t>
            </w:r>
          </w:p>
        </w:tc>
        <w:tc>
          <w:tcPr>
            <w:tcW w:w="0" w:type="auto"/>
            <w:vAlign w:val="center"/>
            <w:hideMark/>
          </w:tcPr>
          <w:p w14:paraId="4F1A61BC" w14:textId="77777777" w:rsidR="006E643B" w:rsidRPr="00E57CAA" w:rsidRDefault="006E643B" w:rsidP="00FD14BC">
            <w:r w:rsidRPr="00E57CAA">
              <w:t>100%</w:t>
            </w:r>
          </w:p>
        </w:tc>
        <w:tc>
          <w:tcPr>
            <w:tcW w:w="0" w:type="auto"/>
            <w:vAlign w:val="center"/>
            <w:hideMark/>
          </w:tcPr>
          <w:p w14:paraId="42245305" w14:textId="77777777" w:rsidR="006E643B" w:rsidRPr="00E57CAA" w:rsidRDefault="006E643B" w:rsidP="00FD14BC">
            <w:r w:rsidRPr="00E57CAA">
              <w:t>99.1%</w:t>
            </w:r>
          </w:p>
        </w:tc>
        <w:tc>
          <w:tcPr>
            <w:tcW w:w="1335" w:type="dxa"/>
            <w:vAlign w:val="center"/>
            <w:hideMark/>
          </w:tcPr>
          <w:p w14:paraId="0691CBF9" w14:textId="77777777" w:rsidR="006E643B" w:rsidRPr="00E57CAA" w:rsidRDefault="006E643B" w:rsidP="00FD14BC">
            <w:r w:rsidRPr="00E57CAA">
              <w:t>100%</w:t>
            </w:r>
          </w:p>
        </w:tc>
      </w:tr>
    </w:tbl>
    <w:p w14:paraId="72048D7F" w14:textId="77777777" w:rsidR="006E643B" w:rsidRDefault="006E643B" w:rsidP="006E643B">
      <w:pPr>
        <w:rPr>
          <w:b/>
          <w:bCs/>
        </w:rPr>
      </w:pPr>
    </w:p>
    <w:p w14:paraId="33B53893" w14:textId="77777777" w:rsidR="006E643B" w:rsidRPr="00BC69AC" w:rsidRDefault="006E643B" w:rsidP="006E643B">
      <w:pPr>
        <w:pStyle w:val="Heading1"/>
      </w:pPr>
      <w:bookmarkStart w:id="124" w:name="_Toc242195621"/>
      <w:r w:rsidRPr="00BC69AC">
        <w:t>CRIS approval and change register</w:t>
      </w:r>
      <w:bookmarkEnd w:id="124"/>
    </w:p>
    <w:tbl>
      <w:tblPr>
        <w:tblW w:w="11592"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060"/>
        <w:gridCol w:w="3060"/>
        <w:gridCol w:w="2412"/>
        <w:gridCol w:w="3060"/>
      </w:tblGrid>
      <w:tr w:rsidR="006E643B" w:rsidRPr="00347389" w14:paraId="4ECC713B" w14:textId="77777777" w:rsidTr="00FD14BC">
        <w:trPr>
          <w:trHeight w:val="305"/>
        </w:trPr>
        <w:tc>
          <w:tcPr>
            <w:tcW w:w="3060" w:type="dxa"/>
            <w:tcBorders>
              <w:top w:val="none" w:sz="6" w:space="0" w:color="auto"/>
              <w:bottom w:val="none" w:sz="6" w:space="0" w:color="auto"/>
              <w:right w:val="none" w:sz="6" w:space="0" w:color="auto"/>
            </w:tcBorders>
          </w:tcPr>
          <w:p w14:paraId="4A48278F" w14:textId="77777777" w:rsidR="006E643B" w:rsidRPr="00347389" w:rsidRDefault="006E643B" w:rsidP="00FD14BC">
            <w:pPr>
              <w:rPr>
                <w:b/>
                <w:bCs/>
              </w:rPr>
            </w:pPr>
            <w:r w:rsidRPr="00347389">
              <w:rPr>
                <w:b/>
                <w:bCs/>
              </w:rPr>
              <w:t xml:space="preserve">Date of CRIS change </w:t>
            </w:r>
          </w:p>
        </w:tc>
        <w:tc>
          <w:tcPr>
            <w:tcW w:w="3060" w:type="dxa"/>
            <w:tcBorders>
              <w:top w:val="none" w:sz="6" w:space="0" w:color="auto"/>
              <w:left w:val="none" w:sz="6" w:space="0" w:color="auto"/>
              <w:bottom w:val="none" w:sz="6" w:space="0" w:color="auto"/>
              <w:right w:val="none" w:sz="6" w:space="0" w:color="auto"/>
            </w:tcBorders>
          </w:tcPr>
          <w:p w14:paraId="4D226FB7" w14:textId="77777777" w:rsidR="006E643B" w:rsidRPr="00347389" w:rsidRDefault="006E643B" w:rsidP="00FD14BC">
            <w:pPr>
              <w:rPr>
                <w:b/>
                <w:bCs/>
              </w:rPr>
            </w:pPr>
            <w:r w:rsidRPr="00347389">
              <w:rPr>
                <w:b/>
                <w:bCs/>
              </w:rPr>
              <w:t xml:space="preserve">CRIS change </w:t>
            </w:r>
          </w:p>
        </w:tc>
        <w:tc>
          <w:tcPr>
            <w:tcW w:w="2412" w:type="dxa"/>
            <w:tcBorders>
              <w:top w:val="none" w:sz="6" w:space="0" w:color="auto"/>
              <w:left w:val="none" w:sz="6" w:space="0" w:color="auto"/>
              <w:bottom w:val="none" w:sz="6" w:space="0" w:color="auto"/>
              <w:right w:val="none" w:sz="6" w:space="0" w:color="auto"/>
            </w:tcBorders>
          </w:tcPr>
          <w:p w14:paraId="3D24A65C" w14:textId="77777777" w:rsidR="006E643B" w:rsidRPr="00347389" w:rsidRDefault="006E643B" w:rsidP="00FD14BC">
            <w:pPr>
              <w:rPr>
                <w:b/>
                <w:bCs/>
              </w:rPr>
            </w:pPr>
            <w:r w:rsidRPr="00347389">
              <w:rPr>
                <w:b/>
                <w:bCs/>
              </w:rPr>
              <w:t xml:space="preserve">Approver </w:t>
            </w:r>
          </w:p>
        </w:tc>
        <w:tc>
          <w:tcPr>
            <w:tcW w:w="3060" w:type="dxa"/>
            <w:tcBorders>
              <w:top w:val="none" w:sz="6" w:space="0" w:color="auto"/>
              <w:left w:val="none" w:sz="6" w:space="0" w:color="auto"/>
              <w:bottom w:val="none" w:sz="6" w:space="0" w:color="auto"/>
            </w:tcBorders>
          </w:tcPr>
          <w:p w14:paraId="420ED9F5" w14:textId="77777777" w:rsidR="006E643B" w:rsidRPr="00347389" w:rsidRDefault="006E643B" w:rsidP="00FD14BC">
            <w:pPr>
              <w:rPr>
                <w:b/>
                <w:bCs/>
              </w:rPr>
            </w:pPr>
            <w:r w:rsidRPr="00347389">
              <w:rPr>
                <w:b/>
                <w:bCs/>
              </w:rPr>
              <w:t xml:space="preserve">Basis of change </w:t>
            </w:r>
          </w:p>
        </w:tc>
      </w:tr>
      <w:tr w:rsidR="006E643B" w:rsidRPr="00347389" w14:paraId="78E897C0" w14:textId="77777777" w:rsidTr="00FD14BC">
        <w:trPr>
          <w:trHeight w:val="305"/>
        </w:trPr>
        <w:tc>
          <w:tcPr>
            <w:tcW w:w="3060" w:type="dxa"/>
            <w:tcBorders>
              <w:top w:val="none" w:sz="6" w:space="0" w:color="auto"/>
              <w:bottom w:val="none" w:sz="6" w:space="0" w:color="auto"/>
              <w:right w:val="none" w:sz="6" w:space="0" w:color="auto"/>
            </w:tcBorders>
          </w:tcPr>
          <w:p w14:paraId="1420CD7C" w14:textId="77777777" w:rsidR="006E643B" w:rsidRPr="00347389" w:rsidRDefault="006E643B" w:rsidP="00FD14BC">
            <w:pPr>
              <w:rPr>
                <w:b/>
                <w:bCs/>
              </w:rPr>
            </w:pPr>
            <w:r>
              <w:rPr>
                <w:b/>
                <w:bCs/>
              </w:rPr>
              <w:t>XX/XX/XXXX</w:t>
            </w:r>
          </w:p>
        </w:tc>
        <w:tc>
          <w:tcPr>
            <w:tcW w:w="3060" w:type="dxa"/>
            <w:tcBorders>
              <w:top w:val="none" w:sz="6" w:space="0" w:color="auto"/>
              <w:left w:val="none" w:sz="6" w:space="0" w:color="auto"/>
              <w:bottom w:val="none" w:sz="6" w:space="0" w:color="auto"/>
              <w:right w:val="none" w:sz="6" w:space="0" w:color="auto"/>
            </w:tcBorders>
          </w:tcPr>
          <w:p w14:paraId="4977DAD9" w14:textId="77777777" w:rsidR="006E643B" w:rsidRPr="00347389" w:rsidRDefault="006E643B" w:rsidP="00FD14BC">
            <w:pPr>
              <w:rPr>
                <w:b/>
                <w:bCs/>
              </w:rPr>
            </w:pPr>
          </w:p>
        </w:tc>
        <w:tc>
          <w:tcPr>
            <w:tcW w:w="2412" w:type="dxa"/>
            <w:tcBorders>
              <w:top w:val="none" w:sz="6" w:space="0" w:color="auto"/>
              <w:left w:val="none" w:sz="6" w:space="0" w:color="auto"/>
              <w:bottom w:val="none" w:sz="6" w:space="0" w:color="auto"/>
              <w:right w:val="none" w:sz="6" w:space="0" w:color="auto"/>
            </w:tcBorders>
          </w:tcPr>
          <w:p w14:paraId="161397A4" w14:textId="77777777" w:rsidR="006E643B" w:rsidRPr="00347389" w:rsidRDefault="006E643B" w:rsidP="00FD14BC">
            <w:pPr>
              <w:rPr>
                <w:b/>
                <w:bCs/>
              </w:rPr>
            </w:pPr>
          </w:p>
        </w:tc>
        <w:tc>
          <w:tcPr>
            <w:tcW w:w="3060" w:type="dxa"/>
            <w:tcBorders>
              <w:top w:val="none" w:sz="6" w:space="0" w:color="auto"/>
              <w:left w:val="none" w:sz="6" w:space="0" w:color="auto"/>
              <w:bottom w:val="none" w:sz="6" w:space="0" w:color="auto"/>
            </w:tcBorders>
          </w:tcPr>
          <w:p w14:paraId="08AD3C22" w14:textId="77777777" w:rsidR="006E643B" w:rsidRPr="00347389" w:rsidRDefault="006E643B" w:rsidP="00FD14BC">
            <w:pPr>
              <w:rPr>
                <w:b/>
                <w:bCs/>
              </w:rPr>
            </w:pPr>
          </w:p>
        </w:tc>
      </w:tr>
      <w:tr w:rsidR="006E643B" w:rsidRPr="00347389" w14:paraId="5D2E41A4" w14:textId="77777777" w:rsidTr="00FD14BC">
        <w:trPr>
          <w:trHeight w:val="305"/>
        </w:trPr>
        <w:tc>
          <w:tcPr>
            <w:tcW w:w="3060" w:type="dxa"/>
            <w:tcBorders>
              <w:top w:val="none" w:sz="6" w:space="0" w:color="auto"/>
              <w:bottom w:val="none" w:sz="6" w:space="0" w:color="auto"/>
              <w:right w:val="none" w:sz="6" w:space="0" w:color="auto"/>
            </w:tcBorders>
          </w:tcPr>
          <w:p w14:paraId="0E1291D2" w14:textId="77777777" w:rsidR="006E643B" w:rsidRPr="00347389" w:rsidRDefault="006E643B" w:rsidP="00FD14BC">
            <w:pPr>
              <w:rPr>
                <w:b/>
                <w:bCs/>
              </w:rPr>
            </w:pPr>
          </w:p>
        </w:tc>
        <w:tc>
          <w:tcPr>
            <w:tcW w:w="3060" w:type="dxa"/>
            <w:tcBorders>
              <w:top w:val="none" w:sz="6" w:space="0" w:color="auto"/>
              <w:left w:val="none" w:sz="6" w:space="0" w:color="auto"/>
              <w:bottom w:val="none" w:sz="6" w:space="0" w:color="auto"/>
              <w:right w:val="none" w:sz="6" w:space="0" w:color="auto"/>
            </w:tcBorders>
          </w:tcPr>
          <w:p w14:paraId="7970DC82" w14:textId="77777777" w:rsidR="006E643B" w:rsidRPr="00347389" w:rsidRDefault="006E643B" w:rsidP="00FD14BC">
            <w:pPr>
              <w:rPr>
                <w:b/>
                <w:bCs/>
              </w:rPr>
            </w:pPr>
          </w:p>
        </w:tc>
        <w:tc>
          <w:tcPr>
            <w:tcW w:w="2412" w:type="dxa"/>
            <w:tcBorders>
              <w:top w:val="none" w:sz="6" w:space="0" w:color="auto"/>
              <w:left w:val="none" w:sz="6" w:space="0" w:color="auto"/>
              <w:bottom w:val="none" w:sz="6" w:space="0" w:color="auto"/>
              <w:right w:val="none" w:sz="6" w:space="0" w:color="auto"/>
            </w:tcBorders>
          </w:tcPr>
          <w:p w14:paraId="79C86268" w14:textId="77777777" w:rsidR="006E643B" w:rsidRPr="00347389" w:rsidRDefault="006E643B" w:rsidP="00FD14BC">
            <w:pPr>
              <w:rPr>
                <w:b/>
                <w:bCs/>
              </w:rPr>
            </w:pPr>
          </w:p>
        </w:tc>
        <w:tc>
          <w:tcPr>
            <w:tcW w:w="3060" w:type="dxa"/>
            <w:tcBorders>
              <w:top w:val="none" w:sz="6" w:space="0" w:color="auto"/>
              <w:left w:val="none" w:sz="6" w:space="0" w:color="auto"/>
              <w:bottom w:val="none" w:sz="6" w:space="0" w:color="auto"/>
            </w:tcBorders>
          </w:tcPr>
          <w:p w14:paraId="1774214D" w14:textId="77777777" w:rsidR="006E643B" w:rsidRPr="00347389" w:rsidRDefault="006E643B" w:rsidP="00FD14BC">
            <w:pPr>
              <w:rPr>
                <w:b/>
                <w:bCs/>
              </w:rPr>
            </w:pPr>
          </w:p>
        </w:tc>
      </w:tr>
    </w:tbl>
    <w:p w14:paraId="52991308" w14:textId="147D2465" w:rsidR="00C3337E" w:rsidRDefault="00C3337E" w:rsidP="006E643B">
      <w:pPr>
        <w:rPr>
          <w:b/>
          <w:bCs/>
        </w:rPr>
      </w:pPr>
    </w:p>
    <w:p w14:paraId="1FE9E719" w14:textId="77777777" w:rsidR="00C3337E" w:rsidRDefault="00C3337E">
      <w:pPr>
        <w:rPr>
          <w:b/>
          <w:bCs/>
        </w:rPr>
      </w:pPr>
      <w:r>
        <w:rPr>
          <w:b/>
          <w:bCs/>
        </w:rPr>
        <w:br w:type="page"/>
      </w:r>
    </w:p>
    <w:p w14:paraId="778A4F22" w14:textId="44200B66" w:rsidR="00C3337E" w:rsidRPr="00AA7276" w:rsidRDefault="00C3337E" w:rsidP="00D04050">
      <w:pPr>
        <w:pStyle w:val="Heading1"/>
        <w:numPr>
          <w:ilvl w:val="0"/>
          <w:numId w:val="0"/>
        </w:numPr>
        <w:rPr>
          <w:b/>
          <w:bCs/>
        </w:rPr>
      </w:pPr>
      <w:bookmarkStart w:id="125" w:name="_Toc242195622"/>
      <w:r w:rsidRPr="006C1563">
        <w:lastRenderedPageBreak/>
        <w:t>Appendix</w:t>
      </w:r>
      <w:r w:rsidR="007855D0" w:rsidRPr="006C1563">
        <w:t xml:space="preserve"> A</w:t>
      </w:r>
      <w:r w:rsidRPr="006C1563">
        <w:t>:</w:t>
      </w:r>
      <w:r w:rsidR="00AA7276">
        <w:rPr>
          <w:b/>
          <w:bCs/>
        </w:rPr>
        <w:t xml:space="preserve"> </w:t>
      </w:r>
      <w:r w:rsidRPr="00B1506F">
        <w:t>Appropriateness of Charging for Regulatory Activities</w:t>
      </w:r>
      <w:bookmarkEnd w:id="125"/>
    </w:p>
    <w:p w14:paraId="100AC14B" w14:textId="77777777" w:rsidR="00C3337E" w:rsidRPr="0019136F" w:rsidRDefault="00C3337E" w:rsidP="00C3337E">
      <w:r w:rsidRPr="0019136F">
        <w:t>Cost recovery involves Government entities charging individuals or non-government organisations some or all of the efficient costs of a specific Government activity. This may include goods, services, regulation, or a combination of these. The Australian Government Charging Policy (Charging Policy) sets out the framework under which Government entities design, implement and review cost-recovered activities.</w:t>
      </w:r>
    </w:p>
    <w:p w14:paraId="07A60A21" w14:textId="77777777" w:rsidR="00C3337E" w:rsidRPr="0019136F" w:rsidRDefault="00C3337E" w:rsidP="00C3337E">
      <w:r w:rsidRPr="0019136F">
        <w:t xml:space="preserve">The Charging Framework applies to non-corporate and corporate Commonwealth entities as defined in the </w:t>
      </w:r>
      <w:r w:rsidRPr="0019136F">
        <w:rPr>
          <w:bCs/>
          <w:i/>
        </w:rPr>
        <w:t>Public Governance, Performance and Accountability Act 2013</w:t>
      </w:r>
      <w:r w:rsidRPr="0019136F">
        <w:t>. The Department of Health, Disability and Ageing is a non-corporate Commonwealth entity.</w:t>
      </w:r>
    </w:p>
    <w:p w14:paraId="07DF4A17" w14:textId="77777777" w:rsidR="00C3337E" w:rsidRPr="0019136F" w:rsidRDefault="00C3337E" w:rsidP="00C3337E">
      <w:r w:rsidRPr="0019136F">
        <w:t>The AGCF</w:t>
      </w:r>
      <w:r>
        <w:t xml:space="preserve">, </w:t>
      </w:r>
      <w:r w:rsidRPr="0019136F">
        <w:t>including the Cost Recovery Policy</w:t>
      </w:r>
      <w:r>
        <w:t>,</w:t>
      </w:r>
      <w:r w:rsidRPr="0019136F">
        <w:t xml:space="preserve"> establish the principles that govern how Commonwealth entities design, implement and review cost recovery arrangements. The framework promotes transparency, accountability and consistency in regulatory charging and supports the efficient use of public resources. </w:t>
      </w:r>
    </w:p>
    <w:p w14:paraId="1C2A0D61" w14:textId="77777777" w:rsidR="00C3337E" w:rsidRPr="0019136F" w:rsidRDefault="00C3337E" w:rsidP="00C3337E">
      <w:r w:rsidRPr="0019136F">
        <w:t>The policy statement for government charging, as stated in the Australian Government's Charging Policy, is:</w:t>
      </w:r>
    </w:p>
    <w:p w14:paraId="144FFE7C" w14:textId="77777777" w:rsidR="00C3337E" w:rsidRPr="0019136F" w:rsidRDefault="00C3337E" w:rsidP="00C3337E">
      <w:r w:rsidRPr="0019136F">
        <w:t>‘Where specific demand for a government activity is created by identifiable individuals or groups, they should be charged for it unless the Government has decided to fund that activity. Where it is appropriate for the Australian Government to participate in an activity, it should fully utilise and maintain public resources, through appropriate charging. The application of charging should not, however, adversely impact disadvantaged Australians.’</w:t>
      </w:r>
    </w:p>
    <w:p w14:paraId="5BE29005" w14:textId="77777777" w:rsidR="00C3337E" w:rsidRPr="0019136F" w:rsidRDefault="00C3337E" w:rsidP="00C3337E">
      <w:r w:rsidRPr="0019136F">
        <w:t>Charging for licensing and certification provided by the OGTR is appropriate because:</w:t>
      </w:r>
    </w:p>
    <w:p w14:paraId="1DBBF9C4" w14:textId="77777777" w:rsidR="00C3337E" w:rsidRPr="0019136F" w:rsidRDefault="00C3337E" w:rsidP="00C3337E">
      <w:pPr>
        <w:pStyle w:val="ListParagraph"/>
        <w:numPr>
          <w:ilvl w:val="0"/>
          <w:numId w:val="29"/>
        </w:numPr>
      </w:pPr>
      <w:r w:rsidRPr="0019136F">
        <w:t>charging is an important means of improving the efficiency and equity with which Government services are provided;</w:t>
      </w:r>
    </w:p>
    <w:p w14:paraId="4F69A7E6" w14:textId="77777777" w:rsidR="00C3337E" w:rsidRPr="0019136F" w:rsidRDefault="00C3337E" w:rsidP="00C3337E">
      <w:pPr>
        <w:pStyle w:val="ListParagraph"/>
        <w:numPr>
          <w:ilvl w:val="0"/>
          <w:numId w:val="29"/>
        </w:numPr>
      </w:pPr>
      <w:r w:rsidRPr="0019136F">
        <w:t>the charging of fees and a levy sends a price signal to individuals or groups about the cost or value of a Government activity;</w:t>
      </w:r>
    </w:p>
    <w:p w14:paraId="235AF846" w14:textId="77777777" w:rsidR="00C3337E" w:rsidRPr="0019136F" w:rsidRDefault="00C3337E" w:rsidP="00C3337E">
      <w:pPr>
        <w:pStyle w:val="ListParagraph"/>
        <w:numPr>
          <w:ilvl w:val="0"/>
          <w:numId w:val="29"/>
        </w:numPr>
      </w:pPr>
      <w:r w:rsidRPr="0019136F">
        <w:t>the services are requested by an identifiable group of parties who cause regulatory effort for the OGTR; and</w:t>
      </w:r>
    </w:p>
    <w:p w14:paraId="73F36779" w14:textId="77777777" w:rsidR="00C3337E" w:rsidRPr="0019136F" w:rsidRDefault="00C3337E" w:rsidP="00C3337E">
      <w:pPr>
        <w:pStyle w:val="ListParagraph"/>
        <w:numPr>
          <w:ilvl w:val="0"/>
          <w:numId w:val="29"/>
        </w:numPr>
      </w:pPr>
      <w:r w:rsidRPr="0019136F">
        <w:t>it supports the ongoing sustainability of the OGTR as a regulatory activity.</w:t>
      </w:r>
    </w:p>
    <w:p w14:paraId="5BD58930" w14:textId="77777777" w:rsidR="00C3337E" w:rsidRPr="0019136F" w:rsidRDefault="00C3337E" w:rsidP="00C3337E">
      <w:pPr>
        <w:rPr>
          <w:bCs/>
        </w:rPr>
      </w:pPr>
      <w:r w:rsidRPr="0019136F">
        <w:rPr>
          <w:bCs/>
        </w:rPr>
        <w:t>There are two types of cost recovery charges. The characteristics of a Government activity determine the type of cost recovery charge used:</w:t>
      </w:r>
    </w:p>
    <w:p w14:paraId="29FCD692" w14:textId="77777777" w:rsidR="00C3337E" w:rsidRPr="0019136F" w:rsidRDefault="00C3337E" w:rsidP="00C3337E">
      <w:r w:rsidRPr="0019136F">
        <w:rPr>
          <w:b/>
          <w:bCs/>
        </w:rPr>
        <w:t>Cost recovery fees</w:t>
      </w:r>
      <w:r w:rsidRPr="0019136F">
        <w:t xml:space="preserve"> will be charged where a direct relationship exists between the regulatory activity and the individual or organisation requesting that specific activity. All regulated entities are charged the same fee for the same activity. Under these circumstances, the activities performed, and their associated costs, are driven by a specific need and demand created by the applicant. For example, licence applications and certifications will be charged a cost recovery fee.</w:t>
      </w:r>
    </w:p>
    <w:p w14:paraId="63C07A99" w14:textId="77777777" w:rsidR="00C3337E" w:rsidRPr="0019136F" w:rsidRDefault="00C3337E" w:rsidP="00C3337E">
      <w:r w:rsidRPr="0019136F">
        <w:rPr>
          <w:b/>
          <w:bCs/>
        </w:rPr>
        <w:t>Cost recovery levy</w:t>
      </w:r>
      <w:r w:rsidRPr="0019136F">
        <w:t xml:space="preserve"> will be charged when the cost of the activity can be reasonably attributed to a broader group of organisations (or individuals) rather than a single entity. In these instances, the level of demand for Government activity or intervention is collectively driven by the industry rather than a single entity within it. For example, the associated costs of managing licences will be funded through a levy payable annually.</w:t>
      </w:r>
    </w:p>
    <w:p w14:paraId="7ADB0FD0" w14:textId="77777777" w:rsidR="00662782" w:rsidRPr="00E743FE" w:rsidRDefault="00662782" w:rsidP="006E643B">
      <w:pPr>
        <w:rPr>
          <w:b/>
          <w:bCs/>
        </w:rPr>
      </w:pPr>
    </w:p>
    <w:p w14:paraId="49BAD6E1" w14:textId="77777777" w:rsidR="00972BE9" w:rsidRDefault="00972BE9" w:rsidP="0089220B">
      <w:pPr>
        <w:sectPr w:rsidR="00972BE9" w:rsidSect="00BF0D41">
          <w:pgSz w:w="11906" w:h="16838"/>
          <w:pgMar w:top="1276" w:right="1440" w:bottom="1276" w:left="1440" w:header="708" w:footer="708" w:gutter="0"/>
          <w:cols w:space="708"/>
          <w:docGrid w:linePitch="360"/>
        </w:sectPr>
      </w:pPr>
    </w:p>
    <w:p w14:paraId="14E64A66" w14:textId="4C184F9D" w:rsidR="008A46A0" w:rsidRDefault="008A46A0" w:rsidP="00F50B6B">
      <w:pPr>
        <w:pStyle w:val="Heading1"/>
        <w:numPr>
          <w:ilvl w:val="0"/>
          <w:numId w:val="0"/>
        </w:numPr>
      </w:pPr>
      <w:bookmarkStart w:id="126" w:name="_Toc242195623"/>
      <w:r>
        <w:lastRenderedPageBreak/>
        <w:t>Appendix B</w:t>
      </w:r>
      <w:r w:rsidR="00F50B6B">
        <w:t xml:space="preserve">: </w:t>
      </w:r>
      <w:r>
        <w:t>Cost associated with each step of licence and certification applications</w:t>
      </w:r>
      <w:bookmarkEnd w:id="126"/>
    </w:p>
    <w:p w14:paraId="124851AA" w14:textId="77777777" w:rsidR="00F50B6B" w:rsidRPr="00F50B6B" w:rsidRDefault="00F50B6B" w:rsidP="00F50B6B"/>
    <w:p w14:paraId="2C9A9374" w14:textId="0F6BF93D" w:rsidR="008A46A0" w:rsidRPr="007A6E8B" w:rsidRDefault="008A46A0" w:rsidP="008A46A0">
      <w:pPr>
        <w:pStyle w:val="Caption"/>
        <w:rPr>
          <w:rFonts w:ascii="Calibri Light" w:hAnsi="Calibri Light" w:cstheme="minorBidi"/>
          <w:i w:val="0"/>
          <w:color w:val="3A7C22" w:themeColor="accent6" w:themeShade="BF"/>
          <w:kern w:val="0"/>
          <w:sz w:val="20"/>
          <w:szCs w:val="20"/>
          <w14:ligatures w14:val="none"/>
        </w:rPr>
      </w:pPr>
      <w:bookmarkStart w:id="127" w:name="_Ref241825446"/>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D40B56" w:rsidRPr="007A6E8B">
        <w:rPr>
          <w:rFonts w:ascii="Calibri Light" w:hAnsi="Calibri Light" w:cstheme="minorBidi"/>
          <w:i w:val="0"/>
          <w:noProof/>
          <w:color w:val="3A7C22" w:themeColor="accent6" w:themeShade="BF"/>
          <w:kern w:val="0"/>
          <w:sz w:val="20"/>
          <w:szCs w:val="20"/>
          <w14:ligatures w14:val="none"/>
        </w:rPr>
        <w:t>15</w:t>
      </w:r>
      <w:r w:rsidRPr="007A6E8B">
        <w:rPr>
          <w:rFonts w:ascii="Calibri Light" w:hAnsi="Calibri Light" w:cstheme="minorBidi"/>
          <w:i w:val="0"/>
          <w:color w:val="3A7C22" w:themeColor="accent6" w:themeShade="BF"/>
          <w:kern w:val="0"/>
          <w:sz w:val="20"/>
          <w:szCs w:val="20"/>
          <w14:ligatures w14:val="none"/>
        </w:rPr>
        <w:fldChar w:fldCharType="end"/>
      </w:r>
      <w:bookmarkEnd w:id="127"/>
      <w:r w:rsidRPr="007A6E8B">
        <w:rPr>
          <w:rFonts w:ascii="Calibri Light" w:hAnsi="Calibri Light" w:cstheme="minorBidi"/>
          <w:i w:val="0"/>
          <w:color w:val="3A7C22" w:themeColor="accent6" w:themeShade="BF"/>
          <w:kern w:val="0"/>
          <w:sz w:val="20"/>
          <w:szCs w:val="20"/>
          <w14:ligatures w14:val="none"/>
        </w:rPr>
        <w:t>: Average cost and proportion of total cost for each process step for DIR licence applications</w:t>
      </w:r>
    </w:p>
    <w:tbl>
      <w:tblPr>
        <w:tblStyle w:val="Deloittetable"/>
        <w:tblW w:w="5002" w:type="pct"/>
        <w:tblLook w:val="04A0" w:firstRow="1" w:lastRow="0" w:firstColumn="1" w:lastColumn="0" w:noHBand="0" w:noVBand="1"/>
      </w:tblPr>
      <w:tblGrid>
        <w:gridCol w:w="4518"/>
        <w:gridCol w:w="2256"/>
        <w:gridCol w:w="2256"/>
      </w:tblGrid>
      <w:tr w:rsidR="008A46A0" w14:paraId="3F022BD0" w14:textId="77777777" w:rsidTr="0027116D">
        <w:trPr>
          <w:cnfStyle w:val="100000000000" w:firstRow="1" w:lastRow="0" w:firstColumn="0" w:lastColumn="0" w:oddVBand="0" w:evenVBand="0" w:oddHBand="0" w:evenHBand="0" w:firstRowFirstColumn="0" w:firstRowLastColumn="0" w:lastRowFirstColumn="0" w:lastRowLastColumn="0"/>
        </w:trPr>
        <w:tc>
          <w:tcPr>
            <w:tcW w:w="2502" w:type="pct"/>
          </w:tcPr>
          <w:p w14:paraId="4117A082"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Process step</w:t>
            </w:r>
          </w:p>
        </w:tc>
        <w:tc>
          <w:tcPr>
            <w:tcW w:w="1249" w:type="pct"/>
          </w:tcPr>
          <w:p w14:paraId="42756D20"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Average cost ($)</w:t>
            </w:r>
          </w:p>
        </w:tc>
        <w:tc>
          <w:tcPr>
            <w:tcW w:w="1249" w:type="pct"/>
          </w:tcPr>
          <w:p w14:paraId="2DE82C8F"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Proportion of total cost (percentage)</w:t>
            </w:r>
          </w:p>
        </w:tc>
      </w:tr>
      <w:tr w:rsidR="008A46A0" w14:paraId="7FA6B688" w14:textId="77777777" w:rsidTr="0027116D">
        <w:tc>
          <w:tcPr>
            <w:tcW w:w="2502" w:type="pct"/>
          </w:tcPr>
          <w:p w14:paraId="51579770"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 xml:space="preserve">1. Completeness review and </w:t>
            </w:r>
            <w:r>
              <w:rPr>
                <w:color w:val="000000" w:themeColor="text1"/>
                <w:sz w:val="16"/>
                <w:szCs w:val="16"/>
              </w:rPr>
              <w:t>database entry</w:t>
            </w:r>
          </w:p>
        </w:tc>
        <w:tc>
          <w:tcPr>
            <w:tcW w:w="1249" w:type="pct"/>
          </w:tcPr>
          <w:p w14:paraId="28598B77" w14:textId="77777777" w:rsidR="008A46A0" w:rsidRPr="001F499D" w:rsidRDefault="008A46A0" w:rsidP="0027116D">
            <w:pPr>
              <w:rPr>
                <w:sz w:val="16"/>
                <w:szCs w:val="16"/>
              </w:rPr>
            </w:pPr>
            <w:r>
              <w:rPr>
                <w:sz w:val="16"/>
                <w:szCs w:val="16"/>
              </w:rPr>
              <w:t>1,496</w:t>
            </w:r>
          </w:p>
        </w:tc>
        <w:tc>
          <w:tcPr>
            <w:tcW w:w="1249" w:type="pct"/>
          </w:tcPr>
          <w:p w14:paraId="0E481DAA" w14:textId="77777777" w:rsidR="008A46A0" w:rsidRPr="001F499D" w:rsidRDefault="008A46A0" w:rsidP="0027116D">
            <w:pPr>
              <w:rPr>
                <w:sz w:val="16"/>
                <w:szCs w:val="16"/>
              </w:rPr>
            </w:pPr>
            <w:r w:rsidRPr="001F499D">
              <w:rPr>
                <w:sz w:val="16"/>
                <w:szCs w:val="16"/>
              </w:rPr>
              <w:t>2.</w:t>
            </w:r>
            <w:r>
              <w:rPr>
                <w:sz w:val="16"/>
                <w:szCs w:val="16"/>
              </w:rPr>
              <w:t>38</w:t>
            </w:r>
          </w:p>
        </w:tc>
      </w:tr>
      <w:tr w:rsidR="008A46A0" w14:paraId="67516AF0" w14:textId="77777777" w:rsidTr="0027116D">
        <w:tc>
          <w:tcPr>
            <w:tcW w:w="2502" w:type="pct"/>
          </w:tcPr>
          <w:p w14:paraId="39B56CF4"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2. Suitability review</w:t>
            </w:r>
          </w:p>
        </w:tc>
        <w:tc>
          <w:tcPr>
            <w:tcW w:w="1249" w:type="pct"/>
          </w:tcPr>
          <w:p w14:paraId="002195B3" w14:textId="77777777" w:rsidR="008A46A0" w:rsidRPr="001F499D" w:rsidRDefault="008A46A0" w:rsidP="0027116D">
            <w:pPr>
              <w:rPr>
                <w:sz w:val="16"/>
                <w:szCs w:val="16"/>
              </w:rPr>
            </w:pPr>
            <w:r>
              <w:rPr>
                <w:sz w:val="16"/>
                <w:szCs w:val="16"/>
              </w:rPr>
              <w:t>1,415</w:t>
            </w:r>
          </w:p>
        </w:tc>
        <w:tc>
          <w:tcPr>
            <w:tcW w:w="1249" w:type="pct"/>
          </w:tcPr>
          <w:p w14:paraId="2378AB54" w14:textId="77777777" w:rsidR="008A46A0" w:rsidRPr="001F499D" w:rsidRDefault="008A46A0" w:rsidP="0027116D">
            <w:pPr>
              <w:rPr>
                <w:sz w:val="16"/>
                <w:szCs w:val="16"/>
              </w:rPr>
            </w:pPr>
            <w:r>
              <w:rPr>
                <w:sz w:val="16"/>
                <w:szCs w:val="16"/>
              </w:rPr>
              <w:t>2.25</w:t>
            </w:r>
          </w:p>
        </w:tc>
      </w:tr>
      <w:tr w:rsidR="008A46A0" w14:paraId="4F5B3E97" w14:textId="77777777" w:rsidTr="0027116D">
        <w:tc>
          <w:tcPr>
            <w:tcW w:w="2502" w:type="pct"/>
          </w:tcPr>
          <w:p w14:paraId="398074F8"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3. Public consultation</w:t>
            </w:r>
          </w:p>
        </w:tc>
        <w:tc>
          <w:tcPr>
            <w:tcW w:w="1249" w:type="pct"/>
          </w:tcPr>
          <w:p w14:paraId="10142AA2" w14:textId="77777777" w:rsidR="008A46A0" w:rsidRPr="001F499D" w:rsidRDefault="008A46A0" w:rsidP="0027116D">
            <w:pPr>
              <w:rPr>
                <w:sz w:val="16"/>
                <w:szCs w:val="16"/>
              </w:rPr>
            </w:pPr>
            <w:r>
              <w:rPr>
                <w:sz w:val="16"/>
                <w:szCs w:val="16"/>
              </w:rPr>
              <w:t>3,575</w:t>
            </w:r>
          </w:p>
        </w:tc>
        <w:tc>
          <w:tcPr>
            <w:tcW w:w="1249" w:type="pct"/>
          </w:tcPr>
          <w:p w14:paraId="70B448D6" w14:textId="77777777" w:rsidR="008A46A0" w:rsidRPr="001F499D" w:rsidRDefault="008A46A0" w:rsidP="0027116D">
            <w:pPr>
              <w:rPr>
                <w:sz w:val="16"/>
                <w:szCs w:val="16"/>
              </w:rPr>
            </w:pPr>
            <w:r>
              <w:rPr>
                <w:sz w:val="16"/>
                <w:szCs w:val="16"/>
              </w:rPr>
              <w:t>5.69</w:t>
            </w:r>
          </w:p>
        </w:tc>
      </w:tr>
      <w:tr w:rsidR="008A46A0" w14:paraId="239F745A" w14:textId="77777777" w:rsidTr="0027116D">
        <w:tc>
          <w:tcPr>
            <w:tcW w:w="2502" w:type="pct"/>
          </w:tcPr>
          <w:p w14:paraId="7A7D02A4"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 xml:space="preserve">4. Risk assessment and </w:t>
            </w:r>
            <w:r w:rsidRPr="00016579">
              <w:rPr>
                <w:rFonts w:cs="Calibri Light"/>
                <w:color w:val="000000" w:themeColor="text1"/>
                <w:sz w:val="16"/>
                <w:szCs w:val="16"/>
              </w:rPr>
              <w:t>draft licence conditions</w:t>
            </w:r>
          </w:p>
        </w:tc>
        <w:tc>
          <w:tcPr>
            <w:tcW w:w="1249" w:type="pct"/>
          </w:tcPr>
          <w:p w14:paraId="28DB3AFA" w14:textId="77777777" w:rsidR="008A46A0" w:rsidRPr="001F499D" w:rsidRDefault="008A46A0" w:rsidP="0027116D">
            <w:pPr>
              <w:rPr>
                <w:sz w:val="16"/>
                <w:szCs w:val="16"/>
              </w:rPr>
            </w:pPr>
            <w:r>
              <w:rPr>
                <w:sz w:val="16"/>
                <w:szCs w:val="16"/>
              </w:rPr>
              <w:t>31,785</w:t>
            </w:r>
          </w:p>
        </w:tc>
        <w:tc>
          <w:tcPr>
            <w:tcW w:w="1249" w:type="pct"/>
          </w:tcPr>
          <w:p w14:paraId="7D7243C9" w14:textId="77777777" w:rsidR="008A46A0" w:rsidRPr="001F499D" w:rsidRDefault="008A46A0" w:rsidP="0027116D">
            <w:pPr>
              <w:rPr>
                <w:sz w:val="16"/>
                <w:szCs w:val="16"/>
              </w:rPr>
            </w:pPr>
            <w:r>
              <w:rPr>
                <w:sz w:val="16"/>
                <w:szCs w:val="16"/>
              </w:rPr>
              <w:t>50.55</w:t>
            </w:r>
          </w:p>
        </w:tc>
      </w:tr>
      <w:tr w:rsidR="008A46A0" w14:paraId="7A985A69" w14:textId="77777777" w:rsidTr="0027116D">
        <w:tc>
          <w:tcPr>
            <w:tcW w:w="2502" w:type="pct"/>
          </w:tcPr>
          <w:p w14:paraId="373F5DC3"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5. Public notification and consultation (if required)</w:t>
            </w:r>
          </w:p>
        </w:tc>
        <w:tc>
          <w:tcPr>
            <w:tcW w:w="1249" w:type="pct"/>
          </w:tcPr>
          <w:p w14:paraId="14FCDD1B" w14:textId="77777777" w:rsidR="008A46A0" w:rsidRPr="001F499D" w:rsidRDefault="008A46A0" w:rsidP="0027116D">
            <w:pPr>
              <w:rPr>
                <w:sz w:val="16"/>
                <w:szCs w:val="16"/>
              </w:rPr>
            </w:pPr>
            <w:r>
              <w:rPr>
                <w:sz w:val="16"/>
                <w:szCs w:val="16"/>
              </w:rPr>
              <w:t>4,479</w:t>
            </w:r>
          </w:p>
        </w:tc>
        <w:tc>
          <w:tcPr>
            <w:tcW w:w="1249" w:type="pct"/>
          </w:tcPr>
          <w:p w14:paraId="43BB116D" w14:textId="77777777" w:rsidR="008A46A0" w:rsidRPr="001F499D" w:rsidRDefault="008A46A0" w:rsidP="0027116D">
            <w:pPr>
              <w:rPr>
                <w:sz w:val="16"/>
                <w:szCs w:val="16"/>
              </w:rPr>
            </w:pPr>
            <w:r>
              <w:rPr>
                <w:sz w:val="16"/>
                <w:szCs w:val="16"/>
              </w:rPr>
              <w:t>7.12</w:t>
            </w:r>
          </w:p>
        </w:tc>
      </w:tr>
      <w:tr w:rsidR="008A46A0" w14:paraId="05388911" w14:textId="77777777" w:rsidTr="0027116D">
        <w:tc>
          <w:tcPr>
            <w:tcW w:w="2502" w:type="pct"/>
          </w:tcPr>
          <w:p w14:paraId="41D169DA"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6. Final re</w:t>
            </w:r>
            <w:r w:rsidRPr="00016579">
              <w:rPr>
                <w:rFonts w:cs="Calibri Light"/>
                <w:color w:val="000000" w:themeColor="text1"/>
                <w:sz w:val="16"/>
                <w:szCs w:val="16"/>
              </w:rPr>
              <w:t>view and decision</w:t>
            </w:r>
          </w:p>
        </w:tc>
        <w:tc>
          <w:tcPr>
            <w:tcW w:w="1249" w:type="pct"/>
          </w:tcPr>
          <w:p w14:paraId="19D6A5D7" w14:textId="77777777" w:rsidR="008A46A0" w:rsidRPr="001F499D" w:rsidRDefault="008A46A0" w:rsidP="0027116D">
            <w:pPr>
              <w:rPr>
                <w:sz w:val="16"/>
                <w:szCs w:val="16"/>
              </w:rPr>
            </w:pPr>
            <w:r>
              <w:rPr>
                <w:sz w:val="16"/>
                <w:szCs w:val="16"/>
              </w:rPr>
              <w:t>18,843</w:t>
            </w:r>
          </w:p>
        </w:tc>
        <w:tc>
          <w:tcPr>
            <w:tcW w:w="1249" w:type="pct"/>
          </w:tcPr>
          <w:p w14:paraId="5AA4F42F" w14:textId="77777777" w:rsidR="008A46A0" w:rsidRPr="001F499D" w:rsidRDefault="008A46A0" w:rsidP="0027116D">
            <w:pPr>
              <w:rPr>
                <w:sz w:val="16"/>
                <w:szCs w:val="16"/>
              </w:rPr>
            </w:pPr>
            <w:r>
              <w:rPr>
                <w:sz w:val="16"/>
                <w:szCs w:val="16"/>
              </w:rPr>
              <w:t>29.97</w:t>
            </w:r>
          </w:p>
        </w:tc>
      </w:tr>
      <w:tr w:rsidR="008A46A0" w14:paraId="3213EA7A" w14:textId="77777777" w:rsidTr="0027116D">
        <w:tc>
          <w:tcPr>
            <w:tcW w:w="2502" w:type="pct"/>
          </w:tcPr>
          <w:p w14:paraId="64EF0A6B" w14:textId="77777777" w:rsidR="008A46A0" w:rsidRPr="001F499D" w:rsidRDefault="008A46A0" w:rsidP="0027116D">
            <w:pPr>
              <w:rPr>
                <w:rFonts w:cs="Calibri Light"/>
                <w:color w:val="196B24" w:themeColor="accent3"/>
              </w:rPr>
            </w:pPr>
            <w:r w:rsidRPr="00E17603">
              <w:rPr>
                <w:sz w:val="16"/>
                <w:szCs w:val="16"/>
              </w:rPr>
              <w:t>7. Applicant and public notifications</w:t>
            </w:r>
          </w:p>
        </w:tc>
        <w:tc>
          <w:tcPr>
            <w:tcW w:w="1249" w:type="pct"/>
          </w:tcPr>
          <w:p w14:paraId="416FA262" w14:textId="77777777" w:rsidR="008A46A0" w:rsidRPr="001F499D" w:rsidRDefault="008A46A0" w:rsidP="0027116D">
            <w:pPr>
              <w:rPr>
                <w:sz w:val="16"/>
                <w:szCs w:val="16"/>
              </w:rPr>
            </w:pPr>
            <w:r>
              <w:rPr>
                <w:sz w:val="16"/>
                <w:szCs w:val="16"/>
              </w:rPr>
              <w:t>1,287</w:t>
            </w:r>
          </w:p>
        </w:tc>
        <w:tc>
          <w:tcPr>
            <w:tcW w:w="1249" w:type="pct"/>
          </w:tcPr>
          <w:p w14:paraId="72B55893" w14:textId="77777777" w:rsidR="008A46A0" w:rsidRPr="001F499D" w:rsidRDefault="008A46A0" w:rsidP="0027116D">
            <w:pPr>
              <w:rPr>
                <w:sz w:val="16"/>
                <w:szCs w:val="16"/>
              </w:rPr>
            </w:pPr>
            <w:r>
              <w:rPr>
                <w:sz w:val="16"/>
                <w:szCs w:val="16"/>
              </w:rPr>
              <w:t>2.05</w:t>
            </w:r>
          </w:p>
        </w:tc>
      </w:tr>
      <w:tr w:rsidR="008A46A0" w14:paraId="0D7E6B64" w14:textId="77777777" w:rsidTr="0027116D">
        <w:tc>
          <w:tcPr>
            <w:tcW w:w="2502" w:type="pct"/>
          </w:tcPr>
          <w:p w14:paraId="41171387"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Total</w:t>
            </w:r>
          </w:p>
        </w:tc>
        <w:tc>
          <w:tcPr>
            <w:tcW w:w="1249" w:type="pct"/>
          </w:tcPr>
          <w:p w14:paraId="2D54E747" w14:textId="2FA684FE" w:rsidR="008A46A0" w:rsidRPr="001F499D" w:rsidRDefault="008A46A0" w:rsidP="0027116D">
            <w:pPr>
              <w:rPr>
                <w:b/>
                <w:sz w:val="16"/>
                <w:szCs w:val="16"/>
              </w:rPr>
            </w:pPr>
            <w:r>
              <w:rPr>
                <w:b/>
                <w:sz w:val="16"/>
                <w:szCs w:val="16"/>
              </w:rPr>
              <w:t>62,8</w:t>
            </w:r>
            <w:r w:rsidR="00A257B8">
              <w:rPr>
                <w:b/>
                <w:sz w:val="16"/>
                <w:szCs w:val="16"/>
              </w:rPr>
              <w:t>80</w:t>
            </w:r>
          </w:p>
        </w:tc>
        <w:tc>
          <w:tcPr>
            <w:tcW w:w="1249" w:type="pct"/>
          </w:tcPr>
          <w:p w14:paraId="2D396257" w14:textId="77777777" w:rsidR="008A46A0" w:rsidRPr="001F499D" w:rsidRDefault="008A46A0" w:rsidP="0027116D">
            <w:pPr>
              <w:rPr>
                <w:b/>
                <w:sz w:val="16"/>
                <w:szCs w:val="16"/>
              </w:rPr>
            </w:pPr>
            <w:r w:rsidRPr="001F499D">
              <w:rPr>
                <w:b/>
                <w:sz w:val="16"/>
                <w:szCs w:val="16"/>
              </w:rPr>
              <w:t>100</w:t>
            </w:r>
          </w:p>
        </w:tc>
      </w:tr>
    </w:tbl>
    <w:p w14:paraId="45EA8F41" w14:textId="77777777" w:rsidR="008A46A0" w:rsidRPr="007A6E8B" w:rsidRDefault="008A46A0" w:rsidP="008A46A0">
      <w:pPr>
        <w:pStyle w:val="Source"/>
        <w:rPr>
          <w:color w:val="3A7C22" w:themeColor="accent6" w:themeShade="BF"/>
        </w:rPr>
      </w:pPr>
      <w:r w:rsidRPr="007A6E8B">
        <w:rPr>
          <w:color w:val="3A7C22" w:themeColor="accent6" w:themeShade="BF"/>
        </w:rPr>
        <w:t>Source: Office of the Gene Technology Regulator.</w:t>
      </w:r>
    </w:p>
    <w:p w14:paraId="6C22A18C" w14:textId="77777777" w:rsidR="008A46A0" w:rsidRDefault="008A46A0" w:rsidP="0089220B"/>
    <w:p w14:paraId="17084861" w14:textId="77777777" w:rsidR="00DF21CA" w:rsidRDefault="00DF21CA" w:rsidP="0089220B"/>
    <w:p w14:paraId="3563040E" w14:textId="77777777" w:rsidR="00DF21CA" w:rsidRDefault="00DF21CA" w:rsidP="0089220B"/>
    <w:p w14:paraId="47CDAA60" w14:textId="5CEAF12A" w:rsidR="008A46A0" w:rsidRPr="005867CD" w:rsidRDefault="008A46A0" w:rsidP="008A46A0">
      <w:pPr>
        <w:pStyle w:val="Caption"/>
        <w:rPr>
          <w:rFonts w:cstheme="minorBidi"/>
          <w:sz w:val="20"/>
        </w:rPr>
      </w:pPr>
      <w:bookmarkStart w:id="128" w:name="_Ref241825428"/>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D40B56" w:rsidRPr="007A6E8B">
        <w:rPr>
          <w:rFonts w:ascii="Calibri Light" w:hAnsi="Calibri Light" w:cstheme="minorBidi"/>
          <w:i w:val="0"/>
          <w:noProof/>
          <w:color w:val="3A7C22" w:themeColor="accent6" w:themeShade="BF"/>
          <w:kern w:val="0"/>
          <w:sz w:val="20"/>
          <w:szCs w:val="20"/>
          <w14:ligatures w14:val="none"/>
        </w:rPr>
        <w:t>16</w:t>
      </w:r>
      <w:r w:rsidRPr="007A6E8B">
        <w:rPr>
          <w:rFonts w:ascii="Calibri Light" w:hAnsi="Calibri Light" w:cstheme="minorBidi"/>
          <w:i w:val="0"/>
          <w:color w:val="3A7C22" w:themeColor="accent6" w:themeShade="BF"/>
          <w:kern w:val="0"/>
          <w:sz w:val="20"/>
          <w:szCs w:val="20"/>
          <w14:ligatures w14:val="none"/>
        </w:rPr>
        <w:fldChar w:fldCharType="end"/>
      </w:r>
      <w:bookmarkEnd w:id="128"/>
      <w:r w:rsidRPr="007A6E8B">
        <w:rPr>
          <w:rFonts w:ascii="Calibri Light" w:hAnsi="Calibri Light" w:cstheme="minorBidi"/>
          <w:i w:val="0"/>
          <w:color w:val="3A7C22" w:themeColor="accent6" w:themeShade="BF"/>
          <w:kern w:val="0"/>
          <w:sz w:val="20"/>
          <w:szCs w:val="20"/>
          <w14:ligatures w14:val="none"/>
        </w:rPr>
        <w:t>: Average cost and proportion of total cost for each process step for DNIR licence applications</w:t>
      </w:r>
    </w:p>
    <w:tbl>
      <w:tblPr>
        <w:tblStyle w:val="Deloittetable"/>
        <w:tblW w:w="5002" w:type="pct"/>
        <w:tblLook w:val="04A0" w:firstRow="1" w:lastRow="0" w:firstColumn="1" w:lastColumn="0" w:noHBand="0" w:noVBand="1"/>
      </w:tblPr>
      <w:tblGrid>
        <w:gridCol w:w="4518"/>
        <w:gridCol w:w="2256"/>
        <w:gridCol w:w="2256"/>
      </w:tblGrid>
      <w:tr w:rsidR="008A46A0" w14:paraId="1E4508BC" w14:textId="77777777" w:rsidTr="0027116D">
        <w:trPr>
          <w:cnfStyle w:val="100000000000" w:firstRow="1" w:lastRow="0" w:firstColumn="0" w:lastColumn="0" w:oddVBand="0" w:evenVBand="0" w:oddHBand="0" w:evenHBand="0" w:firstRowFirstColumn="0" w:firstRowLastColumn="0" w:lastRowFirstColumn="0" w:lastRowLastColumn="0"/>
          <w:tblHeader/>
        </w:trPr>
        <w:tc>
          <w:tcPr>
            <w:tcW w:w="2502" w:type="pct"/>
          </w:tcPr>
          <w:p w14:paraId="380E02FC"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Process step</w:t>
            </w:r>
          </w:p>
        </w:tc>
        <w:tc>
          <w:tcPr>
            <w:tcW w:w="1249" w:type="pct"/>
          </w:tcPr>
          <w:p w14:paraId="0C955CC9"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Average cost ($)</w:t>
            </w:r>
          </w:p>
        </w:tc>
        <w:tc>
          <w:tcPr>
            <w:tcW w:w="1249" w:type="pct"/>
          </w:tcPr>
          <w:p w14:paraId="59153953"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Proportion of total cost (percentage)</w:t>
            </w:r>
          </w:p>
        </w:tc>
      </w:tr>
      <w:tr w:rsidR="008A46A0" w14:paraId="25AE0C09" w14:textId="77777777" w:rsidTr="0027116D">
        <w:tc>
          <w:tcPr>
            <w:tcW w:w="2502" w:type="pct"/>
          </w:tcPr>
          <w:p w14:paraId="596CD722"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 xml:space="preserve">1. Completeness review </w:t>
            </w:r>
            <w:r w:rsidRPr="00016579">
              <w:rPr>
                <w:rFonts w:cs="Calibri Light"/>
                <w:color w:val="000000" w:themeColor="text1"/>
                <w:sz w:val="16"/>
                <w:szCs w:val="16"/>
              </w:rPr>
              <w:t xml:space="preserve">and </w:t>
            </w:r>
            <w:r>
              <w:rPr>
                <w:rFonts w:cs="Calibri Light"/>
                <w:color w:val="000000" w:themeColor="text1"/>
                <w:sz w:val="16"/>
                <w:szCs w:val="16"/>
              </w:rPr>
              <w:t>database entry</w:t>
            </w:r>
          </w:p>
        </w:tc>
        <w:tc>
          <w:tcPr>
            <w:tcW w:w="1249" w:type="pct"/>
          </w:tcPr>
          <w:p w14:paraId="3F860E17" w14:textId="77777777" w:rsidR="008A46A0" w:rsidRPr="001F499D" w:rsidRDefault="008A46A0" w:rsidP="0027116D">
            <w:pPr>
              <w:rPr>
                <w:sz w:val="16"/>
                <w:szCs w:val="16"/>
              </w:rPr>
            </w:pPr>
            <w:r>
              <w:rPr>
                <w:sz w:val="16"/>
                <w:szCs w:val="16"/>
              </w:rPr>
              <w:t>1,136</w:t>
            </w:r>
          </w:p>
        </w:tc>
        <w:tc>
          <w:tcPr>
            <w:tcW w:w="1249" w:type="pct"/>
          </w:tcPr>
          <w:p w14:paraId="14D760EC" w14:textId="77777777" w:rsidR="008A46A0" w:rsidRPr="001F499D" w:rsidRDefault="008A46A0" w:rsidP="0027116D">
            <w:pPr>
              <w:rPr>
                <w:sz w:val="16"/>
                <w:szCs w:val="16"/>
              </w:rPr>
            </w:pPr>
            <w:r>
              <w:rPr>
                <w:sz w:val="16"/>
                <w:szCs w:val="16"/>
              </w:rPr>
              <w:t>5.96</w:t>
            </w:r>
          </w:p>
        </w:tc>
      </w:tr>
      <w:tr w:rsidR="008A46A0" w14:paraId="761023E2" w14:textId="77777777" w:rsidTr="0027116D">
        <w:tc>
          <w:tcPr>
            <w:tcW w:w="2502" w:type="pct"/>
          </w:tcPr>
          <w:p w14:paraId="211087FE"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2. Suitability review</w:t>
            </w:r>
          </w:p>
        </w:tc>
        <w:tc>
          <w:tcPr>
            <w:tcW w:w="1249" w:type="pct"/>
          </w:tcPr>
          <w:p w14:paraId="123DE322" w14:textId="77777777" w:rsidR="008A46A0" w:rsidRPr="001F499D" w:rsidRDefault="008A46A0" w:rsidP="0027116D">
            <w:pPr>
              <w:rPr>
                <w:sz w:val="16"/>
                <w:szCs w:val="16"/>
              </w:rPr>
            </w:pPr>
            <w:r>
              <w:rPr>
                <w:sz w:val="16"/>
                <w:szCs w:val="16"/>
              </w:rPr>
              <w:t>578</w:t>
            </w:r>
          </w:p>
        </w:tc>
        <w:tc>
          <w:tcPr>
            <w:tcW w:w="1249" w:type="pct"/>
          </w:tcPr>
          <w:p w14:paraId="6B3F4A3E" w14:textId="77777777" w:rsidR="008A46A0" w:rsidRPr="001F499D" w:rsidRDefault="008A46A0" w:rsidP="0027116D">
            <w:pPr>
              <w:rPr>
                <w:sz w:val="16"/>
                <w:szCs w:val="16"/>
              </w:rPr>
            </w:pPr>
            <w:r>
              <w:rPr>
                <w:sz w:val="16"/>
                <w:szCs w:val="16"/>
              </w:rPr>
              <w:t>3.03</w:t>
            </w:r>
          </w:p>
        </w:tc>
      </w:tr>
      <w:tr w:rsidR="008A46A0" w14:paraId="4D371D1A" w14:textId="77777777" w:rsidTr="0027116D">
        <w:tc>
          <w:tcPr>
            <w:tcW w:w="2502" w:type="pct"/>
          </w:tcPr>
          <w:p w14:paraId="643D7C93"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 xml:space="preserve">3. Risk </w:t>
            </w:r>
            <w:r w:rsidRPr="00016579">
              <w:rPr>
                <w:rFonts w:cs="Calibri Light"/>
                <w:color w:val="000000" w:themeColor="text1"/>
                <w:sz w:val="16"/>
                <w:szCs w:val="16"/>
              </w:rPr>
              <w:t>assessment and draft licence conditions</w:t>
            </w:r>
          </w:p>
        </w:tc>
        <w:tc>
          <w:tcPr>
            <w:tcW w:w="1249" w:type="pct"/>
          </w:tcPr>
          <w:p w14:paraId="25E10DC3" w14:textId="77777777" w:rsidR="008A46A0" w:rsidRPr="001F499D" w:rsidRDefault="008A46A0" w:rsidP="0027116D">
            <w:pPr>
              <w:rPr>
                <w:sz w:val="16"/>
                <w:szCs w:val="16"/>
              </w:rPr>
            </w:pPr>
            <w:r>
              <w:rPr>
                <w:sz w:val="16"/>
                <w:szCs w:val="16"/>
              </w:rPr>
              <w:t>13,486</w:t>
            </w:r>
          </w:p>
        </w:tc>
        <w:tc>
          <w:tcPr>
            <w:tcW w:w="1249" w:type="pct"/>
          </w:tcPr>
          <w:p w14:paraId="45D9BD11" w14:textId="77777777" w:rsidR="008A46A0" w:rsidRPr="001F499D" w:rsidRDefault="008A46A0" w:rsidP="0027116D">
            <w:pPr>
              <w:rPr>
                <w:sz w:val="16"/>
                <w:szCs w:val="16"/>
              </w:rPr>
            </w:pPr>
            <w:r>
              <w:rPr>
                <w:sz w:val="16"/>
                <w:szCs w:val="16"/>
              </w:rPr>
              <w:t>70.80</w:t>
            </w:r>
          </w:p>
        </w:tc>
      </w:tr>
      <w:tr w:rsidR="008A46A0" w14:paraId="71F05655" w14:textId="77777777" w:rsidTr="0027116D">
        <w:tc>
          <w:tcPr>
            <w:tcW w:w="2502" w:type="pct"/>
          </w:tcPr>
          <w:p w14:paraId="566445D0"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4. Public notification and consultation (if required)</w:t>
            </w:r>
          </w:p>
        </w:tc>
        <w:tc>
          <w:tcPr>
            <w:tcW w:w="1249" w:type="pct"/>
          </w:tcPr>
          <w:p w14:paraId="5FD70E75" w14:textId="77777777" w:rsidR="008A46A0" w:rsidRPr="001F499D" w:rsidRDefault="008A46A0" w:rsidP="0027116D">
            <w:pPr>
              <w:rPr>
                <w:sz w:val="16"/>
                <w:szCs w:val="16"/>
              </w:rPr>
            </w:pPr>
            <w:r>
              <w:rPr>
                <w:sz w:val="16"/>
                <w:szCs w:val="16"/>
              </w:rPr>
              <w:t>1,467</w:t>
            </w:r>
          </w:p>
        </w:tc>
        <w:tc>
          <w:tcPr>
            <w:tcW w:w="1249" w:type="pct"/>
          </w:tcPr>
          <w:p w14:paraId="58528CCC" w14:textId="77777777" w:rsidR="008A46A0" w:rsidRPr="001F499D" w:rsidRDefault="008A46A0" w:rsidP="0027116D">
            <w:pPr>
              <w:rPr>
                <w:sz w:val="16"/>
                <w:szCs w:val="16"/>
              </w:rPr>
            </w:pPr>
            <w:r>
              <w:rPr>
                <w:sz w:val="16"/>
                <w:szCs w:val="16"/>
              </w:rPr>
              <w:t>7.7</w:t>
            </w:r>
          </w:p>
        </w:tc>
      </w:tr>
      <w:tr w:rsidR="008A46A0" w14:paraId="67802BB6" w14:textId="77777777" w:rsidTr="0027116D">
        <w:tc>
          <w:tcPr>
            <w:tcW w:w="2502" w:type="pct"/>
          </w:tcPr>
          <w:p w14:paraId="2C2CEE1F"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 xml:space="preserve">5. </w:t>
            </w:r>
            <w:r w:rsidRPr="00016579">
              <w:rPr>
                <w:rFonts w:cs="Calibri Light"/>
                <w:color w:val="000000" w:themeColor="text1"/>
                <w:sz w:val="16"/>
                <w:szCs w:val="16"/>
              </w:rPr>
              <w:t>Final review and decision</w:t>
            </w:r>
          </w:p>
        </w:tc>
        <w:tc>
          <w:tcPr>
            <w:tcW w:w="1249" w:type="pct"/>
          </w:tcPr>
          <w:p w14:paraId="52B7DCD3" w14:textId="77777777" w:rsidR="008A46A0" w:rsidRPr="001F499D" w:rsidRDefault="008A46A0" w:rsidP="0027116D">
            <w:pPr>
              <w:rPr>
                <w:sz w:val="16"/>
                <w:szCs w:val="16"/>
              </w:rPr>
            </w:pPr>
            <w:r>
              <w:rPr>
                <w:sz w:val="16"/>
                <w:szCs w:val="16"/>
              </w:rPr>
              <w:t>2,252</w:t>
            </w:r>
          </w:p>
        </w:tc>
        <w:tc>
          <w:tcPr>
            <w:tcW w:w="1249" w:type="pct"/>
          </w:tcPr>
          <w:p w14:paraId="729F6204" w14:textId="77777777" w:rsidR="008A46A0" w:rsidRPr="001F499D" w:rsidRDefault="008A46A0" w:rsidP="0027116D">
            <w:pPr>
              <w:rPr>
                <w:sz w:val="16"/>
                <w:szCs w:val="16"/>
              </w:rPr>
            </w:pPr>
            <w:r>
              <w:rPr>
                <w:sz w:val="16"/>
                <w:szCs w:val="16"/>
              </w:rPr>
              <w:t>11.82</w:t>
            </w:r>
          </w:p>
        </w:tc>
      </w:tr>
      <w:tr w:rsidR="008A46A0" w14:paraId="027A35F3" w14:textId="77777777" w:rsidTr="0027116D">
        <w:tc>
          <w:tcPr>
            <w:tcW w:w="2502" w:type="pct"/>
          </w:tcPr>
          <w:p w14:paraId="3B19D37D" w14:textId="77777777" w:rsidR="008A46A0" w:rsidRPr="00016579" w:rsidRDefault="008A46A0" w:rsidP="0027116D">
            <w:pPr>
              <w:rPr>
                <w:rFonts w:cs="Calibri Light"/>
                <w:color w:val="000000" w:themeColor="text1"/>
                <w:sz w:val="16"/>
                <w:szCs w:val="16"/>
              </w:rPr>
            </w:pPr>
            <w:r w:rsidRPr="00016579">
              <w:rPr>
                <w:color w:val="000000" w:themeColor="text1"/>
                <w:sz w:val="16"/>
                <w:szCs w:val="16"/>
              </w:rPr>
              <w:t>6. Applicant and public notificat</w:t>
            </w:r>
            <w:r w:rsidRPr="00016579">
              <w:rPr>
                <w:rFonts w:cs="Calibri Light"/>
                <w:color w:val="000000" w:themeColor="text1"/>
                <w:sz w:val="16"/>
                <w:szCs w:val="16"/>
              </w:rPr>
              <w:t>ions</w:t>
            </w:r>
          </w:p>
        </w:tc>
        <w:tc>
          <w:tcPr>
            <w:tcW w:w="1249" w:type="pct"/>
          </w:tcPr>
          <w:p w14:paraId="68D32B3D" w14:textId="77777777" w:rsidR="008A46A0" w:rsidRPr="001F499D" w:rsidRDefault="008A46A0" w:rsidP="0027116D">
            <w:pPr>
              <w:rPr>
                <w:sz w:val="16"/>
                <w:szCs w:val="16"/>
              </w:rPr>
            </w:pPr>
            <w:r>
              <w:rPr>
                <w:sz w:val="16"/>
                <w:szCs w:val="16"/>
              </w:rPr>
              <w:t>129</w:t>
            </w:r>
          </w:p>
        </w:tc>
        <w:tc>
          <w:tcPr>
            <w:tcW w:w="1249" w:type="pct"/>
          </w:tcPr>
          <w:p w14:paraId="082EB248" w14:textId="77777777" w:rsidR="008A46A0" w:rsidRPr="001F499D" w:rsidRDefault="008A46A0" w:rsidP="0027116D">
            <w:pPr>
              <w:rPr>
                <w:sz w:val="16"/>
                <w:szCs w:val="16"/>
              </w:rPr>
            </w:pPr>
            <w:r>
              <w:rPr>
                <w:sz w:val="16"/>
                <w:szCs w:val="16"/>
              </w:rPr>
              <w:t>0.68</w:t>
            </w:r>
          </w:p>
        </w:tc>
      </w:tr>
      <w:tr w:rsidR="008A46A0" w14:paraId="36B3FFE2" w14:textId="77777777" w:rsidTr="0027116D">
        <w:tc>
          <w:tcPr>
            <w:tcW w:w="2502" w:type="pct"/>
          </w:tcPr>
          <w:p w14:paraId="25744AD3" w14:textId="77777777" w:rsidR="008A46A0" w:rsidRPr="001F499D"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Total</w:t>
            </w:r>
          </w:p>
        </w:tc>
        <w:tc>
          <w:tcPr>
            <w:tcW w:w="1249" w:type="pct"/>
          </w:tcPr>
          <w:p w14:paraId="7967462F" w14:textId="77777777" w:rsidR="008A46A0" w:rsidRPr="001F499D" w:rsidRDefault="008A46A0" w:rsidP="0027116D">
            <w:pPr>
              <w:rPr>
                <w:b/>
                <w:sz w:val="16"/>
                <w:szCs w:val="16"/>
              </w:rPr>
            </w:pPr>
            <w:r>
              <w:rPr>
                <w:b/>
                <w:sz w:val="16"/>
                <w:szCs w:val="16"/>
              </w:rPr>
              <w:t>19,048</w:t>
            </w:r>
          </w:p>
        </w:tc>
        <w:tc>
          <w:tcPr>
            <w:tcW w:w="1249" w:type="pct"/>
          </w:tcPr>
          <w:p w14:paraId="09FC7F80" w14:textId="77777777" w:rsidR="008A46A0" w:rsidRPr="001F499D" w:rsidRDefault="008A46A0" w:rsidP="0027116D">
            <w:pPr>
              <w:rPr>
                <w:b/>
                <w:sz w:val="16"/>
                <w:szCs w:val="16"/>
              </w:rPr>
            </w:pPr>
            <w:r w:rsidRPr="001F499D">
              <w:rPr>
                <w:b/>
                <w:sz w:val="16"/>
                <w:szCs w:val="16"/>
              </w:rPr>
              <w:t>100</w:t>
            </w:r>
          </w:p>
        </w:tc>
      </w:tr>
    </w:tbl>
    <w:p w14:paraId="326C454A" w14:textId="77777777" w:rsidR="008A46A0" w:rsidRPr="007A6E8B" w:rsidRDefault="008A46A0" w:rsidP="008A46A0">
      <w:pPr>
        <w:pStyle w:val="Source"/>
        <w:rPr>
          <w:color w:val="3A7C22" w:themeColor="accent6" w:themeShade="BF"/>
        </w:rPr>
      </w:pPr>
      <w:r w:rsidRPr="007A6E8B">
        <w:rPr>
          <w:color w:val="3A7C22" w:themeColor="accent6" w:themeShade="BF"/>
        </w:rPr>
        <w:t>Source: Office of the Gene Technology Regulator.</w:t>
      </w:r>
    </w:p>
    <w:p w14:paraId="312071A7" w14:textId="77777777" w:rsidR="00972BE9" w:rsidRDefault="00972BE9" w:rsidP="00972BE9"/>
    <w:p w14:paraId="43139B3A" w14:textId="77777777" w:rsidR="00972BE9" w:rsidRDefault="00972BE9" w:rsidP="00972BE9"/>
    <w:p w14:paraId="7194C160" w14:textId="77777777" w:rsidR="00972BE9" w:rsidRDefault="00972BE9" w:rsidP="00972BE9"/>
    <w:p w14:paraId="56B4B765" w14:textId="77777777" w:rsidR="00972BE9" w:rsidRDefault="00972BE9" w:rsidP="00972BE9"/>
    <w:p w14:paraId="53CA7D3B" w14:textId="77777777" w:rsidR="00972BE9" w:rsidRDefault="00972BE9" w:rsidP="00972BE9"/>
    <w:p w14:paraId="6E183774" w14:textId="77777777" w:rsidR="00972BE9" w:rsidRDefault="00972BE9" w:rsidP="00972BE9"/>
    <w:p w14:paraId="7345F3B8" w14:textId="6D1329E0" w:rsidR="008A46A0" w:rsidRPr="008A46A0" w:rsidRDefault="008A46A0" w:rsidP="00DF21CA">
      <w:bookmarkStart w:id="129" w:name="_Ref241826262"/>
      <w:bookmarkStart w:id="130" w:name="_Ref241826202"/>
      <w:r w:rsidRPr="007A6E8B">
        <w:rPr>
          <w:rFonts w:ascii="Calibri Light" w:hAnsi="Calibri Light" w:cstheme="minorBidi"/>
          <w:color w:val="3A7C22" w:themeColor="accent6" w:themeShade="BF"/>
          <w:kern w:val="0"/>
          <w:szCs w:val="20"/>
          <w14:ligatures w14:val="none"/>
        </w:rPr>
        <w:lastRenderedPageBreak/>
        <w:t xml:space="preserve">Table </w:t>
      </w:r>
      <w:r w:rsidRPr="007A6E8B">
        <w:rPr>
          <w:rFonts w:ascii="Calibri Light" w:hAnsi="Calibri Light" w:cstheme="minorBidi"/>
          <w:i/>
          <w:color w:val="3A7C22" w:themeColor="accent6" w:themeShade="BF"/>
          <w:kern w:val="0"/>
          <w:szCs w:val="20"/>
          <w14:ligatures w14:val="none"/>
        </w:rPr>
        <w:fldChar w:fldCharType="begin"/>
      </w:r>
      <w:r w:rsidRPr="007A6E8B">
        <w:rPr>
          <w:rFonts w:ascii="Calibri Light" w:hAnsi="Calibri Light" w:cstheme="minorBidi"/>
          <w:color w:val="3A7C22" w:themeColor="accent6" w:themeShade="BF"/>
          <w:kern w:val="0"/>
          <w:szCs w:val="20"/>
          <w14:ligatures w14:val="none"/>
        </w:rPr>
        <w:instrText xml:space="preserve"> SEQ Table \* ARABIC </w:instrText>
      </w:r>
      <w:r w:rsidRPr="007A6E8B">
        <w:rPr>
          <w:rFonts w:ascii="Calibri Light" w:hAnsi="Calibri Light" w:cstheme="minorBidi"/>
          <w:i/>
          <w:color w:val="3A7C22" w:themeColor="accent6" w:themeShade="BF"/>
          <w:kern w:val="0"/>
          <w:szCs w:val="20"/>
          <w14:ligatures w14:val="none"/>
        </w:rPr>
        <w:fldChar w:fldCharType="separate"/>
      </w:r>
      <w:r w:rsidR="00D40B56" w:rsidRPr="007A6E8B">
        <w:rPr>
          <w:rFonts w:ascii="Calibri Light" w:hAnsi="Calibri Light" w:cstheme="minorBidi"/>
          <w:noProof/>
          <w:color w:val="3A7C22" w:themeColor="accent6" w:themeShade="BF"/>
          <w:kern w:val="0"/>
          <w:szCs w:val="20"/>
          <w14:ligatures w14:val="none"/>
        </w:rPr>
        <w:t>17</w:t>
      </w:r>
      <w:r w:rsidRPr="007A6E8B">
        <w:rPr>
          <w:rFonts w:ascii="Calibri Light" w:hAnsi="Calibri Light" w:cstheme="minorBidi"/>
          <w:i/>
          <w:color w:val="3A7C22" w:themeColor="accent6" w:themeShade="BF"/>
          <w:kern w:val="0"/>
          <w:szCs w:val="20"/>
          <w14:ligatures w14:val="none"/>
        </w:rPr>
        <w:fldChar w:fldCharType="end"/>
      </w:r>
      <w:bookmarkEnd w:id="129"/>
      <w:r w:rsidRPr="007A6E8B">
        <w:rPr>
          <w:rFonts w:ascii="Calibri Light" w:hAnsi="Calibri Light" w:cstheme="minorBidi"/>
          <w:color w:val="3A7C22" w:themeColor="accent6" w:themeShade="BF"/>
          <w:kern w:val="0"/>
          <w:szCs w:val="20"/>
          <w14:ligatures w14:val="none"/>
        </w:rPr>
        <w:t xml:space="preserve">: Average cost and proportion of total cost for each process step for high-level </w:t>
      </w:r>
      <w:r w:rsidR="002263A1" w:rsidRPr="007A6E8B">
        <w:rPr>
          <w:rFonts w:ascii="Calibri Light" w:hAnsi="Calibri Light" w:cstheme="minorBidi"/>
          <w:color w:val="3A7C22" w:themeColor="accent6" w:themeShade="BF"/>
          <w:kern w:val="0"/>
          <w:szCs w:val="20"/>
          <w14:ligatures w14:val="none"/>
        </w:rPr>
        <w:t xml:space="preserve">containment </w:t>
      </w:r>
      <w:r w:rsidRPr="007A6E8B">
        <w:rPr>
          <w:rFonts w:ascii="Calibri Light" w:hAnsi="Calibri Light" w:cstheme="minorBidi"/>
          <w:color w:val="3A7C22" w:themeColor="accent6" w:themeShade="BF"/>
          <w:kern w:val="0"/>
          <w:szCs w:val="20"/>
          <w14:ligatures w14:val="none"/>
        </w:rPr>
        <w:t>certification applications</w:t>
      </w:r>
      <w:bookmarkEnd w:id="130"/>
    </w:p>
    <w:tbl>
      <w:tblPr>
        <w:tblStyle w:val="Deloittetable"/>
        <w:tblW w:w="9030" w:type="dxa"/>
        <w:tblLook w:val="04A0" w:firstRow="1" w:lastRow="0" w:firstColumn="1" w:lastColumn="0" w:noHBand="0" w:noVBand="1"/>
      </w:tblPr>
      <w:tblGrid>
        <w:gridCol w:w="4460"/>
        <w:gridCol w:w="2229"/>
        <w:gridCol w:w="2235"/>
        <w:gridCol w:w="106"/>
      </w:tblGrid>
      <w:tr w:rsidR="008A46A0" w14:paraId="02E34B4F" w14:textId="77777777" w:rsidTr="00F50B6B">
        <w:trPr>
          <w:gridAfter w:val="1"/>
          <w:cnfStyle w:val="100000000000" w:firstRow="1" w:lastRow="0" w:firstColumn="0" w:lastColumn="0" w:oddVBand="0" w:evenVBand="0" w:oddHBand="0" w:evenHBand="0" w:firstRowFirstColumn="0" w:firstRowLastColumn="0" w:lastRowFirstColumn="0" w:lastRowLastColumn="0"/>
          <w:wAfter w:w="106" w:type="dxa"/>
        </w:trPr>
        <w:tc>
          <w:tcPr>
            <w:tcW w:w="4460" w:type="dxa"/>
          </w:tcPr>
          <w:p w14:paraId="2A719015" w14:textId="2C574427" w:rsidR="008A46A0" w:rsidRPr="00B532E1" w:rsidRDefault="008A46A0" w:rsidP="0027116D">
            <w:pPr>
              <w:pStyle w:val="Tablecolumnheading"/>
              <w:rPr>
                <w:rFonts w:cs="Calibri Light"/>
                <w:color w:val="196B24" w:themeColor="accent3"/>
              </w:rPr>
            </w:pPr>
            <w:r w:rsidRPr="001F499D">
              <w:rPr>
                <w:rFonts w:ascii="Calibri Light" w:hAnsi="Calibri Light" w:cs="Calibri Light"/>
                <w:color w:val="196B24" w:themeColor="accent3"/>
              </w:rPr>
              <w:t>Process step</w:t>
            </w:r>
          </w:p>
        </w:tc>
        <w:tc>
          <w:tcPr>
            <w:tcW w:w="2229" w:type="dxa"/>
          </w:tcPr>
          <w:p w14:paraId="61B140EE" w14:textId="77777777" w:rsidR="008A46A0" w:rsidRPr="00B532E1" w:rsidRDefault="008A46A0" w:rsidP="0027116D">
            <w:pPr>
              <w:pStyle w:val="Tablecolumnheading"/>
              <w:rPr>
                <w:rFonts w:cs="Calibri Light"/>
                <w:color w:val="196B24" w:themeColor="accent3"/>
              </w:rPr>
            </w:pPr>
            <w:r w:rsidRPr="001F499D">
              <w:rPr>
                <w:rFonts w:ascii="Calibri Light" w:hAnsi="Calibri Light" w:cs="Calibri Light"/>
                <w:color w:val="196B24" w:themeColor="accent3"/>
              </w:rPr>
              <w:t>Average cost ($)</w:t>
            </w:r>
          </w:p>
        </w:tc>
        <w:tc>
          <w:tcPr>
            <w:tcW w:w="2235" w:type="dxa"/>
          </w:tcPr>
          <w:p w14:paraId="6814D95A" w14:textId="77777777" w:rsidR="008A46A0" w:rsidRPr="00B532E1" w:rsidRDefault="008A46A0" w:rsidP="0027116D">
            <w:pPr>
              <w:pStyle w:val="Tablecolumnheading"/>
              <w:rPr>
                <w:rFonts w:cs="Calibri Light"/>
                <w:color w:val="196B24" w:themeColor="accent3"/>
              </w:rPr>
            </w:pPr>
            <w:r w:rsidRPr="00C870AC">
              <w:rPr>
                <w:rFonts w:ascii="Calibri Light" w:hAnsi="Calibri Light" w:cs="Calibri Light"/>
                <w:color w:val="196B24" w:themeColor="accent3"/>
              </w:rPr>
              <w:t>Proportion of total cost (percentage)</w:t>
            </w:r>
          </w:p>
        </w:tc>
      </w:tr>
      <w:tr w:rsidR="008A46A0" w14:paraId="6DC6254B" w14:textId="77777777" w:rsidTr="00F50B6B">
        <w:tc>
          <w:tcPr>
            <w:tcW w:w="4460" w:type="dxa"/>
          </w:tcPr>
          <w:p w14:paraId="64CCC19B" w14:textId="77777777" w:rsidR="008A46A0" w:rsidRPr="00B532E1" w:rsidRDefault="008A46A0" w:rsidP="0027116D">
            <w:pPr>
              <w:rPr>
                <w:sz w:val="16"/>
                <w:szCs w:val="16"/>
              </w:rPr>
            </w:pPr>
            <w:r>
              <w:rPr>
                <w:sz w:val="16"/>
                <w:szCs w:val="16"/>
              </w:rPr>
              <w:t xml:space="preserve">1. </w:t>
            </w:r>
            <w:r w:rsidRPr="00B532E1">
              <w:rPr>
                <w:sz w:val="16"/>
                <w:szCs w:val="16"/>
              </w:rPr>
              <w:t>Pre-application advice</w:t>
            </w:r>
          </w:p>
        </w:tc>
        <w:tc>
          <w:tcPr>
            <w:tcW w:w="2229" w:type="dxa"/>
          </w:tcPr>
          <w:p w14:paraId="1E2C4216" w14:textId="4D75269F" w:rsidR="008A46A0" w:rsidRPr="00B532E1" w:rsidRDefault="00F93AFB" w:rsidP="0027116D">
            <w:pPr>
              <w:rPr>
                <w:sz w:val="16"/>
                <w:szCs w:val="16"/>
              </w:rPr>
            </w:pPr>
            <w:r>
              <w:rPr>
                <w:sz w:val="16"/>
                <w:szCs w:val="16"/>
              </w:rPr>
              <w:t>102</w:t>
            </w:r>
          </w:p>
        </w:tc>
        <w:tc>
          <w:tcPr>
            <w:tcW w:w="2341" w:type="dxa"/>
            <w:gridSpan w:val="2"/>
          </w:tcPr>
          <w:p w14:paraId="22F00A41" w14:textId="7489FCBE" w:rsidR="008A46A0" w:rsidRPr="00B532E1" w:rsidRDefault="00F93AFB" w:rsidP="0027116D">
            <w:pPr>
              <w:rPr>
                <w:sz w:val="16"/>
                <w:szCs w:val="16"/>
              </w:rPr>
            </w:pPr>
            <w:r>
              <w:rPr>
                <w:sz w:val="16"/>
                <w:szCs w:val="16"/>
              </w:rPr>
              <w:t>1.90</w:t>
            </w:r>
          </w:p>
        </w:tc>
      </w:tr>
      <w:tr w:rsidR="008A46A0" w14:paraId="400AFE08" w14:textId="77777777" w:rsidTr="00F50B6B">
        <w:tc>
          <w:tcPr>
            <w:tcW w:w="4460" w:type="dxa"/>
          </w:tcPr>
          <w:p w14:paraId="6591AB99" w14:textId="77777777" w:rsidR="008A46A0" w:rsidRPr="00B532E1" w:rsidRDefault="008A46A0" w:rsidP="0027116D">
            <w:pPr>
              <w:rPr>
                <w:sz w:val="16"/>
                <w:szCs w:val="16"/>
              </w:rPr>
            </w:pPr>
            <w:r>
              <w:rPr>
                <w:sz w:val="16"/>
                <w:szCs w:val="16"/>
              </w:rPr>
              <w:t xml:space="preserve">2. </w:t>
            </w:r>
            <w:r w:rsidRPr="00B532E1">
              <w:rPr>
                <w:sz w:val="16"/>
                <w:szCs w:val="16"/>
              </w:rPr>
              <w:t>Completeness review and database entry</w:t>
            </w:r>
          </w:p>
        </w:tc>
        <w:tc>
          <w:tcPr>
            <w:tcW w:w="2229" w:type="dxa"/>
          </w:tcPr>
          <w:p w14:paraId="20710871" w14:textId="7FDA233B" w:rsidR="008A46A0" w:rsidRPr="00B532E1" w:rsidRDefault="00F93AFB" w:rsidP="0027116D">
            <w:pPr>
              <w:rPr>
                <w:sz w:val="16"/>
                <w:szCs w:val="16"/>
              </w:rPr>
            </w:pPr>
            <w:r>
              <w:rPr>
                <w:sz w:val="16"/>
                <w:szCs w:val="16"/>
              </w:rPr>
              <w:t>44.2</w:t>
            </w:r>
          </w:p>
        </w:tc>
        <w:tc>
          <w:tcPr>
            <w:tcW w:w="2341" w:type="dxa"/>
            <w:gridSpan w:val="2"/>
          </w:tcPr>
          <w:p w14:paraId="2B5D9432" w14:textId="5F7FFC60" w:rsidR="008A46A0" w:rsidRPr="00B532E1" w:rsidRDefault="008A46A0" w:rsidP="0027116D">
            <w:pPr>
              <w:rPr>
                <w:sz w:val="16"/>
                <w:szCs w:val="16"/>
              </w:rPr>
            </w:pPr>
            <w:r>
              <w:rPr>
                <w:sz w:val="16"/>
                <w:szCs w:val="16"/>
              </w:rPr>
              <w:t>0.</w:t>
            </w:r>
            <w:r w:rsidR="00A81225">
              <w:rPr>
                <w:sz w:val="16"/>
                <w:szCs w:val="16"/>
              </w:rPr>
              <w:t>82</w:t>
            </w:r>
          </w:p>
        </w:tc>
      </w:tr>
      <w:tr w:rsidR="008A46A0" w14:paraId="1EFA1A75" w14:textId="77777777" w:rsidTr="00F50B6B">
        <w:tc>
          <w:tcPr>
            <w:tcW w:w="4460" w:type="dxa"/>
          </w:tcPr>
          <w:p w14:paraId="00C057C5" w14:textId="77777777" w:rsidR="008A46A0" w:rsidRPr="00B532E1" w:rsidRDefault="008A46A0" w:rsidP="0027116D">
            <w:pPr>
              <w:rPr>
                <w:sz w:val="16"/>
                <w:szCs w:val="16"/>
              </w:rPr>
            </w:pPr>
            <w:r>
              <w:rPr>
                <w:sz w:val="16"/>
                <w:szCs w:val="16"/>
              </w:rPr>
              <w:t>3. Inspection</w:t>
            </w:r>
          </w:p>
        </w:tc>
        <w:tc>
          <w:tcPr>
            <w:tcW w:w="2229" w:type="dxa"/>
          </w:tcPr>
          <w:p w14:paraId="6DF3D264" w14:textId="60701E29" w:rsidR="008A46A0" w:rsidRPr="00B532E1" w:rsidRDefault="008A46A0" w:rsidP="0027116D">
            <w:pPr>
              <w:rPr>
                <w:sz w:val="16"/>
                <w:szCs w:val="16"/>
              </w:rPr>
            </w:pPr>
            <w:r>
              <w:rPr>
                <w:sz w:val="16"/>
                <w:szCs w:val="16"/>
              </w:rPr>
              <w:t>2,</w:t>
            </w:r>
            <w:r w:rsidR="00F93AFB">
              <w:rPr>
                <w:sz w:val="16"/>
                <w:szCs w:val="16"/>
              </w:rPr>
              <w:t>559</w:t>
            </w:r>
          </w:p>
        </w:tc>
        <w:tc>
          <w:tcPr>
            <w:tcW w:w="2341" w:type="dxa"/>
            <w:gridSpan w:val="2"/>
          </w:tcPr>
          <w:p w14:paraId="3DDB3E84" w14:textId="6ED0E5D3" w:rsidR="008A46A0" w:rsidRPr="00B532E1" w:rsidRDefault="008A46A0" w:rsidP="0027116D">
            <w:pPr>
              <w:rPr>
                <w:sz w:val="16"/>
                <w:szCs w:val="16"/>
              </w:rPr>
            </w:pPr>
            <w:r>
              <w:rPr>
                <w:sz w:val="16"/>
                <w:szCs w:val="16"/>
              </w:rPr>
              <w:t>4</w:t>
            </w:r>
            <w:r w:rsidR="00A81225">
              <w:rPr>
                <w:sz w:val="16"/>
                <w:szCs w:val="16"/>
              </w:rPr>
              <w:t>7.58</w:t>
            </w:r>
          </w:p>
        </w:tc>
      </w:tr>
      <w:tr w:rsidR="008A46A0" w14:paraId="5B9E989E" w14:textId="77777777" w:rsidTr="00F50B6B">
        <w:tc>
          <w:tcPr>
            <w:tcW w:w="4460" w:type="dxa"/>
          </w:tcPr>
          <w:p w14:paraId="7BD5BF6F" w14:textId="77777777" w:rsidR="008A46A0" w:rsidRPr="00B532E1" w:rsidRDefault="008A46A0" w:rsidP="0027116D">
            <w:pPr>
              <w:rPr>
                <w:sz w:val="16"/>
                <w:szCs w:val="16"/>
              </w:rPr>
            </w:pPr>
            <w:r>
              <w:rPr>
                <w:sz w:val="16"/>
                <w:szCs w:val="16"/>
              </w:rPr>
              <w:t>4. Post-inspection report and draft instrument</w:t>
            </w:r>
          </w:p>
        </w:tc>
        <w:tc>
          <w:tcPr>
            <w:tcW w:w="2229" w:type="dxa"/>
          </w:tcPr>
          <w:p w14:paraId="521E09B9" w14:textId="57ACE437" w:rsidR="008A46A0" w:rsidRPr="00B532E1" w:rsidRDefault="008A46A0" w:rsidP="0027116D">
            <w:pPr>
              <w:rPr>
                <w:sz w:val="16"/>
                <w:szCs w:val="16"/>
              </w:rPr>
            </w:pPr>
            <w:r>
              <w:rPr>
                <w:sz w:val="16"/>
                <w:szCs w:val="16"/>
              </w:rPr>
              <w:t>2,</w:t>
            </w:r>
            <w:r w:rsidR="00F93AFB">
              <w:rPr>
                <w:sz w:val="16"/>
                <w:szCs w:val="16"/>
              </w:rPr>
              <w:t>244</w:t>
            </w:r>
          </w:p>
        </w:tc>
        <w:tc>
          <w:tcPr>
            <w:tcW w:w="2341" w:type="dxa"/>
            <w:gridSpan w:val="2"/>
          </w:tcPr>
          <w:p w14:paraId="6567D68C" w14:textId="4E5D5948" w:rsidR="008A46A0" w:rsidRPr="00B532E1" w:rsidRDefault="008A46A0" w:rsidP="0027116D">
            <w:pPr>
              <w:rPr>
                <w:sz w:val="16"/>
                <w:szCs w:val="16"/>
              </w:rPr>
            </w:pPr>
            <w:r>
              <w:rPr>
                <w:sz w:val="16"/>
                <w:szCs w:val="16"/>
              </w:rPr>
              <w:t>4</w:t>
            </w:r>
            <w:r w:rsidR="00A81225">
              <w:rPr>
                <w:sz w:val="16"/>
                <w:szCs w:val="16"/>
              </w:rPr>
              <w:t>1.72</w:t>
            </w:r>
          </w:p>
        </w:tc>
      </w:tr>
      <w:tr w:rsidR="008A46A0" w14:paraId="3D528DFC" w14:textId="77777777" w:rsidTr="00F50B6B">
        <w:tc>
          <w:tcPr>
            <w:tcW w:w="4460" w:type="dxa"/>
          </w:tcPr>
          <w:p w14:paraId="6E51C47B" w14:textId="77777777" w:rsidR="008A46A0" w:rsidRPr="00B532E1" w:rsidRDefault="008A46A0" w:rsidP="0027116D">
            <w:pPr>
              <w:rPr>
                <w:sz w:val="16"/>
                <w:szCs w:val="16"/>
              </w:rPr>
            </w:pPr>
            <w:r>
              <w:rPr>
                <w:sz w:val="16"/>
                <w:szCs w:val="16"/>
              </w:rPr>
              <w:t>5. Review and decision</w:t>
            </w:r>
          </w:p>
        </w:tc>
        <w:tc>
          <w:tcPr>
            <w:tcW w:w="2229" w:type="dxa"/>
          </w:tcPr>
          <w:p w14:paraId="51EB8FC7" w14:textId="454FCAEF" w:rsidR="008A46A0" w:rsidRPr="00B532E1" w:rsidRDefault="00F93AFB" w:rsidP="0027116D">
            <w:pPr>
              <w:rPr>
                <w:sz w:val="16"/>
                <w:szCs w:val="16"/>
              </w:rPr>
            </w:pPr>
            <w:r>
              <w:rPr>
                <w:sz w:val="16"/>
                <w:szCs w:val="16"/>
              </w:rPr>
              <w:t>367</w:t>
            </w:r>
          </w:p>
        </w:tc>
        <w:tc>
          <w:tcPr>
            <w:tcW w:w="2341" w:type="dxa"/>
            <w:gridSpan w:val="2"/>
          </w:tcPr>
          <w:p w14:paraId="54F7B11D" w14:textId="3922328A" w:rsidR="008A46A0" w:rsidRPr="00B532E1" w:rsidRDefault="008A46A0" w:rsidP="0027116D">
            <w:pPr>
              <w:rPr>
                <w:sz w:val="16"/>
                <w:szCs w:val="16"/>
              </w:rPr>
            </w:pPr>
            <w:r>
              <w:rPr>
                <w:sz w:val="16"/>
                <w:szCs w:val="16"/>
              </w:rPr>
              <w:t>6.</w:t>
            </w:r>
            <w:r w:rsidR="00A81225">
              <w:rPr>
                <w:sz w:val="16"/>
                <w:szCs w:val="16"/>
              </w:rPr>
              <w:t>82</w:t>
            </w:r>
          </w:p>
        </w:tc>
      </w:tr>
      <w:tr w:rsidR="008A46A0" w14:paraId="0A71F908" w14:textId="77777777" w:rsidTr="00F50B6B">
        <w:tc>
          <w:tcPr>
            <w:tcW w:w="4460" w:type="dxa"/>
          </w:tcPr>
          <w:p w14:paraId="231DDE55" w14:textId="77777777" w:rsidR="008A46A0" w:rsidRPr="00B532E1" w:rsidRDefault="008A46A0" w:rsidP="0027116D">
            <w:pPr>
              <w:rPr>
                <w:sz w:val="16"/>
                <w:szCs w:val="16"/>
              </w:rPr>
            </w:pPr>
            <w:r>
              <w:rPr>
                <w:sz w:val="16"/>
                <w:szCs w:val="16"/>
              </w:rPr>
              <w:t>6. Applicant notification</w:t>
            </w:r>
          </w:p>
        </w:tc>
        <w:tc>
          <w:tcPr>
            <w:tcW w:w="2229" w:type="dxa"/>
          </w:tcPr>
          <w:p w14:paraId="4BE717EE" w14:textId="3273721F" w:rsidR="008A46A0" w:rsidRPr="00B532E1" w:rsidRDefault="00F93AFB" w:rsidP="0027116D">
            <w:pPr>
              <w:rPr>
                <w:sz w:val="16"/>
                <w:szCs w:val="16"/>
              </w:rPr>
            </w:pPr>
            <w:r>
              <w:rPr>
                <w:sz w:val="16"/>
                <w:szCs w:val="16"/>
              </w:rPr>
              <w:t>62</w:t>
            </w:r>
          </w:p>
        </w:tc>
        <w:tc>
          <w:tcPr>
            <w:tcW w:w="2341" w:type="dxa"/>
            <w:gridSpan w:val="2"/>
          </w:tcPr>
          <w:p w14:paraId="7B8DD003" w14:textId="595BB42E" w:rsidR="008A46A0" w:rsidRPr="00B532E1" w:rsidRDefault="00A81225" w:rsidP="0027116D">
            <w:pPr>
              <w:rPr>
                <w:sz w:val="16"/>
                <w:szCs w:val="16"/>
              </w:rPr>
            </w:pPr>
            <w:r>
              <w:rPr>
                <w:sz w:val="16"/>
                <w:szCs w:val="16"/>
              </w:rPr>
              <w:t>1.15</w:t>
            </w:r>
          </w:p>
        </w:tc>
      </w:tr>
      <w:tr w:rsidR="008A46A0" w14:paraId="18218AC9" w14:textId="77777777" w:rsidTr="00F50B6B">
        <w:tc>
          <w:tcPr>
            <w:tcW w:w="4460" w:type="dxa"/>
          </w:tcPr>
          <w:p w14:paraId="516B57C9" w14:textId="77777777" w:rsidR="008A46A0" w:rsidRPr="00B532E1" w:rsidRDefault="008A46A0" w:rsidP="0027116D">
            <w:pPr>
              <w:pStyle w:val="Tablecolumnheading"/>
              <w:rPr>
                <w:rFonts w:cs="Calibri Light"/>
                <w:color w:val="196B24" w:themeColor="accent3"/>
              </w:rPr>
            </w:pPr>
            <w:r w:rsidRPr="00B532E1">
              <w:rPr>
                <w:rFonts w:ascii="Calibri Light" w:hAnsi="Calibri Light" w:cs="Calibri Light"/>
                <w:color w:val="196B24" w:themeColor="accent3"/>
              </w:rPr>
              <w:t>Total</w:t>
            </w:r>
          </w:p>
        </w:tc>
        <w:tc>
          <w:tcPr>
            <w:tcW w:w="2229" w:type="dxa"/>
          </w:tcPr>
          <w:p w14:paraId="1E13967C" w14:textId="3C2E59FD" w:rsidR="008A46A0" w:rsidRPr="00B532E1" w:rsidRDefault="00F93AFB" w:rsidP="0027116D">
            <w:pPr>
              <w:rPr>
                <w:b/>
                <w:bCs/>
                <w:sz w:val="16"/>
                <w:szCs w:val="16"/>
              </w:rPr>
            </w:pPr>
            <w:r>
              <w:rPr>
                <w:b/>
                <w:bCs/>
                <w:sz w:val="16"/>
                <w:szCs w:val="16"/>
              </w:rPr>
              <w:t>5</w:t>
            </w:r>
            <w:r w:rsidR="00C870AC">
              <w:rPr>
                <w:b/>
                <w:bCs/>
                <w:sz w:val="16"/>
                <w:szCs w:val="16"/>
              </w:rPr>
              <w:t>,</w:t>
            </w:r>
            <w:r>
              <w:rPr>
                <w:b/>
                <w:bCs/>
                <w:sz w:val="16"/>
                <w:szCs w:val="16"/>
              </w:rPr>
              <w:t>378</w:t>
            </w:r>
          </w:p>
        </w:tc>
        <w:tc>
          <w:tcPr>
            <w:tcW w:w="2341" w:type="dxa"/>
            <w:gridSpan w:val="2"/>
          </w:tcPr>
          <w:p w14:paraId="7080CC11" w14:textId="77777777" w:rsidR="008A46A0" w:rsidRPr="00B532E1" w:rsidRDefault="008A46A0" w:rsidP="0027116D">
            <w:pPr>
              <w:rPr>
                <w:b/>
                <w:bCs/>
                <w:sz w:val="16"/>
                <w:szCs w:val="16"/>
              </w:rPr>
            </w:pPr>
            <w:r>
              <w:rPr>
                <w:b/>
                <w:bCs/>
                <w:sz w:val="16"/>
                <w:szCs w:val="16"/>
              </w:rPr>
              <w:t>100</w:t>
            </w:r>
          </w:p>
        </w:tc>
      </w:tr>
    </w:tbl>
    <w:p w14:paraId="455477B6" w14:textId="77777777" w:rsidR="00F50B6B" w:rsidRPr="007A6E8B" w:rsidRDefault="00F50B6B" w:rsidP="00F50B6B">
      <w:pPr>
        <w:pStyle w:val="Source"/>
        <w:rPr>
          <w:color w:val="3A7C22" w:themeColor="accent6" w:themeShade="BF"/>
        </w:rPr>
      </w:pPr>
      <w:r w:rsidRPr="007A6E8B">
        <w:rPr>
          <w:color w:val="3A7C22" w:themeColor="accent6" w:themeShade="BF"/>
        </w:rPr>
        <w:t>Source: Office of the Gene Technology Regulator.</w:t>
      </w:r>
    </w:p>
    <w:p w14:paraId="01DE6960" w14:textId="375BD863" w:rsidR="008A46A0" w:rsidRDefault="008A46A0" w:rsidP="0089220B"/>
    <w:p w14:paraId="0E9D77B6" w14:textId="77777777" w:rsidR="00DF21CA" w:rsidRDefault="00DF21CA" w:rsidP="0089220B"/>
    <w:p w14:paraId="335D587A" w14:textId="77777777" w:rsidR="00DF21CA" w:rsidRDefault="00DF21CA" w:rsidP="0089220B"/>
    <w:p w14:paraId="3C07E9E9" w14:textId="421916DB" w:rsidR="008A46A0" w:rsidRPr="0060174F" w:rsidRDefault="008A46A0" w:rsidP="008A46A0">
      <w:pPr>
        <w:pStyle w:val="Caption"/>
        <w:rPr>
          <w:rFonts w:cstheme="minorBidi"/>
          <w:sz w:val="20"/>
        </w:rPr>
      </w:pPr>
      <w:bookmarkStart w:id="131" w:name="_Ref241826248"/>
      <w:bookmarkStart w:id="132" w:name="_Ref241826244"/>
      <w:r w:rsidRPr="007A6E8B">
        <w:rPr>
          <w:rFonts w:ascii="Calibri Light" w:hAnsi="Calibri Light" w:cstheme="minorBidi"/>
          <w:i w:val="0"/>
          <w:color w:val="3A7C22" w:themeColor="accent6" w:themeShade="BF"/>
          <w:kern w:val="0"/>
          <w:sz w:val="20"/>
          <w:szCs w:val="20"/>
          <w14:ligatures w14:val="none"/>
        </w:rPr>
        <w:t xml:space="preserve">Table </w:t>
      </w:r>
      <w:r w:rsidRPr="007A6E8B">
        <w:rPr>
          <w:rFonts w:ascii="Calibri Light" w:hAnsi="Calibri Light" w:cstheme="minorBidi"/>
          <w:i w:val="0"/>
          <w:color w:val="3A7C22" w:themeColor="accent6" w:themeShade="BF"/>
          <w:kern w:val="0"/>
          <w:sz w:val="20"/>
          <w:szCs w:val="20"/>
          <w14:ligatures w14:val="none"/>
        </w:rPr>
        <w:fldChar w:fldCharType="begin"/>
      </w:r>
      <w:r w:rsidRPr="007A6E8B">
        <w:rPr>
          <w:rFonts w:ascii="Calibri Light" w:hAnsi="Calibri Light" w:cstheme="minorBidi"/>
          <w:i w:val="0"/>
          <w:color w:val="3A7C22" w:themeColor="accent6" w:themeShade="BF"/>
          <w:kern w:val="0"/>
          <w:sz w:val="20"/>
          <w:szCs w:val="20"/>
          <w14:ligatures w14:val="none"/>
        </w:rPr>
        <w:instrText xml:space="preserve"> SEQ Table \* ARABIC </w:instrText>
      </w:r>
      <w:r w:rsidRPr="007A6E8B">
        <w:rPr>
          <w:rFonts w:ascii="Calibri Light" w:hAnsi="Calibri Light" w:cstheme="minorBidi"/>
          <w:i w:val="0"/>
          <w:color w:val="3A7C22" w:themeColor="accent6" w:themeShade="BF"/>
          <w:kern w:val="0"/>
          <w:sz w:val="20"/>
          <w:szCs w:val="20"/>
          <w14:ligatures w14:val="none"/>
        </w:rPr>
        <w:fldChar w:fldCharType="separate"/>
      </w:r>
      <w:r w:rsidR="00D40B56" w:rsidRPr="007A6E8B">
        <w:rPr>
          <w:rFonts w:ascii="Calibri Light" w:hAnsi="Calibri Light" w:cstheme="minorBidi"/>
          <w:i w:val="0"/>
          <w:noProof/>
          <w:color w:val="3A7C22" w:themeColor="accent6" w:themeShade="BF"/>
          <w:kern w:val="0"/>
          <w:sz w:val="20"/>
          <w:szCs w:val="20"/>
          <w14:ligatures w14:val="none"/>
        </w:rPr>
        <w:t>18</w:t>
      </w:r>
      <w:r w:rsidRPr="007A6E8B">
        <w:rPr>
          <w:rFonts w:ascii="Calibri Light" w:hAnsi="Calibri Light" w:cstheme="minorBidi"/>
          <w:i w:val="0"/>
          <w:color w:val="3A7C22" w:themeColor="accent6" w:themeShade="BF"/>
          <w:kern w:val="0"/>
          <w:sz w:val="20"/>
          <w:szCs w:val="20"/>
          <w14:ligatures w14:val="none"/>
        </w:rPr>
        <w:fldChar w:fldCharType="end"/>
      </w:r>
      <w:bookmarkEnd w:id="131"/>
      <w:r w:rsidRPr="007A6E8B">
        <w:rPr>
          <w:rFonts w:ascii="Calibri Light" w:hAnsi="Calibri Light" w:cstheme="minorBidi"/>
          <w:i w:val="0"/>
          <w:color w:val="3A7C22" w:themeColor="accent6" w:themeShade="BF"/>
          <w:kern w:val="0"/>
          <w:sz w:val="20"/>
          <w:szCs w:val="20"/>
          <w14:ligatures w14:val="none"/>
        </w:rPr>
        <w:t xml:space="preserve">: Average cost and proportion of total cost for each process step for low-level </w:t>
      </w:r>
      <w:r w:rsidR="002263A1" w:rsidRPr="007A6E8B">
        <w:rPr>
          <w:rFonts w:ascii="Calibri Light" w:hAnsi="Calibri Light" w:cstheme="minorBidi"/>
          <w:i w:val="0"/>
          <w:color w:val="3A7C22" w:themeColor="accent6" w:themeShade="BF"/>
          <w:kern w:val="0"/>
          <w:sz w:val="20"/>
          <w:szCs w:val="20"/>
          <w14:ligatures w14:val="none"/>
        </w:rPr>
        <w:t xml:space="preserve">containment </w:t>
      </w:r>
      <w:r w:rsidRPr="007A6E8B">
        <w:rPr>
          <w:rFonts w:ascii="Calibri Light" w:hAnsi="Calibri Light" w:cstheme="minorBidi"/>
          <w:i w:val="0"/>
          <w:color w:val="3A7C22" w:themeColor="accent6" w:themeShade="BF"/>
          <w:kern w:val="0"/>
          <w:sz w:val="20"/>
          <w:szCs w:val="20"/>
          <w14:ligatures w14:val="none"/>
        </w:rPr>
        <w:t>certification applications</w:t>
      </w:r>
      <w:bookmarkEnd w:id="132"/>
    </w:p>
    <w:tbl>
      <w:tblPr>
        <w:tblStyle w:val="Deloittetable"/>
        <w:tblW w:w="9030" w:type="dxa"/>
        <w:tblLook w:val="04A0" w:firstRow="1" w:lastRow="0" w:firstColumn="1" w:lastColumn="0" w:noHBand="0" w:noVBand="1"/>
      </w:tblPr>
      <w:tblGrid>
        <w:gridCol w:w="4518"/>
        <w:gridCol w:w="2256"/>
        <w:gridCol w:w="2256"/>
      </w:tblGrid>
      <w:tr w:rsidR="008A46A0" w14:paraId="4239BA73" w14:textId="77777777" w:rsidTr="0027116D">
        <w:trPr>
          <w:cnfStyle w:val="100000000000" w:firstRow="1" w:lastRow="0" w:firstColumn="0" w:lastColumn="0" w:oddVBand="0" w:evenVBand="0" w:oddHBand="0" w:evenHBand="0" w:firstRowFirstColumn="0" w:firstRowLastColumn="0" w:lastRowFirstColumn="0" w:lastRowLastColumn="0"/>
        </w:trPr>
        <w:tc>
          <w:tcPr>
            <w:tcW w:w="4518" w:type="dxa"/>
          </w:tcPr>
          <w:p w14:paraId="16A5751A" w14:textId="77777777" w:rsidR="008A46A0" w:rsidRPr="00A12076"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Process step</w:t>
            </w:r>
          </w:p>
        </w:tc>
        <w:tc>
          <w:tcPr>
            <w:tcW w:w="2256" w:type="dxa"/>
          </w:tcPr>
          <w:p w14:paraId="648A17AC" w14:textId="77777777" w:rsidR="008A46A0" w:rsidRPr="00A12076"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Average cost ($)</w:t>
            </w:r>
          </w:p>
        </w:tc>
        <w:tc>
          <w:tcPr>
            <w:tcW w:w="2256" w:type="dxa"/>
          </w:tcPr>
          <w:p w14:paraId="20BB084A" w14:textId="77777777" w:rsidR="008A46A0" w:rsidRPr="00A12076" w:rsidRDefault="008A46A0" w:rsidP="0027116D">
            <w:pPr>
              <w:pStyle w:val="Tablecolumnheading"/>
              <w:rPr>
                <w:rFonts w:ascii="Calibri Light" w:hAnsi="Calibri Light" w:cs="Calibri Light"/>
                <w:color w:val="196B24" w:themeColor="accent3"/>
              </w:rPr>
            </w:pPr>
            <w:r w:rsidRPr="001F499D">
              <w:rPr>
                <w:rFonts w:ascii="Calibri Light" w:hAnsi="Calibri Light" w:cs="Calibri Light"/>
                <w:color w:val="196B24" w:themeColor="accent3"/>
              </w:rPr>
              <w:t>Proportion of total cost (percentage)</w:t>
            </w:r>
          </w:p>
        </w:tc>
      </w:tr>
      <w:tr w:rsidR="008A46A0" w14:paraId="4D8CCBA9" w14:textId="77777777" w:rsidTr="0027116D">
        <w:tc>
          <w:tcPr>
            <w:tcW w:w="4518" w:type="dxa"/>
          </w:tcPr>
          <w:p w14:paraId="3BB2B721" w14:textId="77777777" w:rsidR="008A46A0" w:rsidRPr="00A12076" w:rsidRDefault="008A46A0" w:rsidP="0027116D">
            <w:pPr>
              <w:rPr>
                <w:sz w:val="16"/>
                <w:szCs w:val="16"/>
              </w:rPr>
            </w:pPr>
            <w:r>
              <w:rPr>
                <w:sz w:val="16"/>
                <w:szCs w:val="16"/>
              </w:rPr>
              <w:t xml:space="preserve">1. </w:t>
            </w:r>
            <w:r w:rsidRPr="00A12076">
              <w:rPr>
                <w:sz w:val="16"/>
                <w:szCs w:val="16"/>
              </w:rPr>
              <w:t>Completeness review and database entry</w:t>
            </w:r>
          </w:p>
        </w:tc>
        <w:tc>
          <w:tcPr>
            <w:tcW w:w="2256" w:type="dxa"/>
          </w:tcPr>
          <w:p w14:paraId="52282F4D" w14:textId="77777777" w:rsidR="008A46A0" w:rsidRPr="00A12076" w:rsidRDefault="008A46A0" w:rsidP="0027116D">
            <w:pPr>
              <w:rPr>
                <w:sz w:val="16"/>
                <w:szCs w:val="16"/>
              </w:rPr>
            </w:pPr>
            <w:r>
              <w:rPr>
                <w:sz w:val="16"/>
                <w:szCs w:val="16"/>
              </w:rPr>
              <w:t>32</w:t>
            </w:r>
          </w:p>
        </w:tc>
        <w:tc>
          <w:tcPr>
            <w:tcW w:w="2256" w:type="dxa"/>
          </w:tcPr>
          <w:p w14:paraId="6AAB6D4B" w14:textId="77777777" w:rsidR="008A46A0" w:rsidRPr="00A12076" w:rsidRDefault="008A46A0" w:rsidP="0027116D">
            <w:pPr>
              <w:rPr>
                <w:sz w:val="16"/>
                <w:szCs w:val="16"/>
              </w:rPr>
            </w:pPr>
            <w:r>
              <w:rPr>
                <w:sz w:val="16"/>
                <w:szCs w:val="16"/>
              </w:rPr>
              <w:t>27.59</w:t>
            </w:r>
          </w:p>
        </w:tc>
      </w:tr>
      <w:tr w:rsidR="008A46A0" w14:paraId="2FFE8273" w14:textId="77777777" w:rsidTr="0027116D">
        <w:tc>
          <w:tcPr>
            <w:tcW w:w="4518" w:type="dxa"/>
          </w:tcPr>
          <w:p w14:paraId="2D6DDE13" w14:textId="77777777" w:rsidR="008A46A0" w:rsidRPr="00A12076" w:rsidRDefault="008A46A0" w:rsidP="0027116D">
            <w:pPr>
              <w:rPr>
                <w:sz w:val="16"/>
                <w:szCs w:val="16"/>
              </w:rPr>
            </w:pPr>
            <w:r>
              <w:rPr>
                <w:sz w:val="16"/>
                <w:szCs w:val="16"/>
              </w:rPr>
              <w:t>2. Assessment</w:t>
            </w:r>
          </w:p>
        </w:tc>
        <w:tc>
          <w:tcPr>
            <w:tcW w:w="2256" w:type="dxa"/>
          </w:tcPr>
          <w:p w14:paraId="6AED43E9" w14:textId="77777777" w:rsidR="008A46A0" w:rsidRPr="00A12076" w:rsidRDefault="008A46A0" w:rsidP="0027116D">
            <w:pPr>
              <w:rPr>
                <w:sz w:val="16"/>
                <w:szCs w:val="16"/>
              </w:rPr>
            </w:pPr>
            <w:r>
              <w:rPr>
                <w:sz w:val="16"/>
                <w:szCs w:val="16"/>
              </w:rPr>
              <w:t>50</w:t>
            </w:r>
          </w:p>
        </w:tc>
        <w:tc>
          <w:tcPr>
            <w:tcW w:w="2256" w:type="dxa"/>
          </w:tcPr>
          <w:p w14:paraId="2B5326A6" w14:textId="77777777" w:rsidR="008A46A0" w:rsidRPr="00A12076" w:rsidRDefault="008A46A0" w:rsidP="0027116D">
            <w:pPr>
              <w:rPr>
                <w:sz w:val="16"/>
                <w:szCs w:val="16"/>
              </w:rPr>
            </w:pPr>
            <w:r>
              <w:rPr>
                <w:sz w:val="16"/>
                <w:szCs w:val="16"/>
              </w:rPr>
              <w:t>43.10</w:t>
            </w:r>
          </w:p>
        </w:tc>
      </w:tr>
      <w:tr w:rsidR="008A46A0" w14:paraId="4F4867DC" w14:textId="77777777" w:rsidTr="0027116D">
        <w:tc>
          <w:tcPr>
            <w:tcW w:w="4518" w:type="dxa"/>
          </w:tcPr>
          <w:p w14:paraId="51DF4EF1" w14:textId="77777777" w:rsidR="008A46A0" w:rsidRPr="00A12076" w:rsidRDefault="008A46A0" w:rsidP="0027116D">
            <w:pPr>
              <w:rPr>
                <w:sz w:val="16"/>
                <w:szCs w:val="16"/>
              </w:rPr>
            </w:pPr>
            <w:r>
              <w:rPr>
                <w:sz w:val="16"/>
                <w:szCs w:val="16"/>
              </w:rPr>
              <w:t>3. Review and decision</w:t>
            </w:r>
          </w:p>
        </w:tc>
        <w:tc>
          <w:tcPr>
            <w:tcW w:w="2256" w:type="dxa"/>
          </w:tcPr>
          <w:p w14:paraId="7EE4533B" w14:textId="77777777" w:rsidR="008A46A0" w:rsidRPr="00A12076" w:rsidRDefault="008A46A0" w:rsidP="0027116D">
            <w:pPr>
              <w:rPr>
                <w:sz w:val="16"/>
                <w:szCs w:val="16"/>
              </w:rPr>
            </w:pPr>
            <w:r>
              <w:rPr>
                <w:sz w:val="16"/>
                <w:szCs w:val="16"/>
              </w:rPr>
              <w:t>16</w:t>
            </w:r>
          </w:p>
        </w:tc>
        <w:tc>
          <w:tcPr>
            <w:tcW w:w="2256" w:type="dxa"/>
          </w:tcPr>
          <w:p w14:paraId="1859FCEA" w14:textId="77777777" w:rsidR="008A46A0" w:rsidRPr="00A12076" w:rsidRDefault="008A46A0" w:rsidP="0027116D">
            <w:pPr>
              <w:rPr>
                <w:sz w:val="16"/>
                <w:szCs w:val="16"/>
              </w:rPr>
            </w:pPr>
            <w:r>
              <w:rPr>
                <w:sz w:val="16"/>
                <w:szCs w:val="16"/>
              </w:rPr>
              <w:t>13.79</w:t>
            </w:r>
          </w:p>
        </w:tc>
      </w:tr>
      <w:tr w:rsidR="008A46A0" w14:paraId="7446630E" w14:textId="77777777" w:rsidTr="0027116D">
        <w:tc>
          <w:tcPr>
            <w:tcW w:w="4518" w:type="dxa"/>
          </w:tcPr>
          <w:p w14:paraId="27C54E5F" w14:textId="77777777" w:rsidR="008A46A0" w:rsidRPr="00A12076" w:rsidRDefault="008A46A0" w:rsidP="0027116D">
            <w:pPr>
              <w:rPr>
                <w:sz w:val="16"/>
                <w:szCs w:val="16"/>
              </w:rPr>
            </w:pPr>
            <w:r>
              <w:rPr>
                <w:sz w:val="16"/>
                <w:szCs w:val="16"/>
              </w:rPr>
              <w:t>4. Applicant notification</w:t>
            </w:r>
          </w:p>
        </w:tc>
        <w:tc>
          <w:tcPr>
            <w:tcW w:w="2256" w:type="dxa"/>
          </w:tcPr>
          <w:p w14:paraId="575C581E" w14:textId="77777777" w:rsidR="008A46A0" w:rsidRPr="00A12076" w:rsidRDefault="008A46A0" w:rsidP="0027116D">
            <w:pPr>
              <w:rPr>
                <w:sz w:val="16"/>
                <w:szCs w:val="16"/>
              </w:rPr>
            </w:pPr>
            <w:r>
              <w:rPr>
                <w:sz w:val="16"/>
                <w:szCs w:val="16"/>
              </w:rPr>
              <w:t>18</w:t>
            </w:r>
          </w:p>
        </w:tc>
        <w:tc>
          <w:tcPr>
            <w:tcW w:w="2256" w:type="dxa"/>
          </w:tcPr>
          <w:p w14:paraId="0CAD6D4A" w14:textId="77777777" w:rsidR="008A46A0" w:rsidRPr="00A12076" w:rsidRDefault="008A46A0" w:rsidP="0027116D">
            <w:pPr>
              <w:rPr>
                <w:sz w:val="16"/>
                <w:szCs w:val="16"/>
              </w:rPr>
            </w:pPr>
            <w:r>
              <w:rPr>
                <w:sz w:val="16"/>
                <w:szCs w:val="16"/>
              </w:rPr>
              <w:t>15.52</w:t>
            </w:r>
          </w:p>
        </w:tc>
      </w:tr>
      <w:tr w:rsidR="008A46A0" w14:paraId="5B4EE71C" w14:textId="77777777" w:rsidTr="0027116D">
        <w:tc>
          <w:tcPr>
            <w:tcW w:w="4518" w:type="dxa"/>
          </w:tcPr>
          <w:p w14:paraId="4B53129C" w14:textId="77777777" w:rsidR="008A46A0" w:rsidRPr="00A12076" w:rsidRDefault="008A46A0" w:rsidP="0027116D">
            <w:pPr>
              <w:pStyle w:val="Tablecolumnheading"/>
              <w:rPr>
                <w:rFonts w:ascii="Calibri Light" w:hAnsi="Calibri Light" w:cs="Calibri Light"/>
                <w:color w:val="196B24" w:themeColor="accent3"/>
              </w:rPr>
            </w:pPr>
            <w:r w:rsidRPr="00A12076">
              <w:rPr>
                <w:rFonts w:ascii="Calibri Light" w:hAnsi="Calibri Light" w:cs="Calibri Light"/>
                <w:color w:val="196B24" w:themeColor="accent3"/>
              </w:rPr>
              <w:t>Total</w:t>
            </w:r>
          </w:p>
        </w:tc>
        <w:tc>
          <w:tcPr>
            <w:tcW w:w="2256" w:type="dxa"/>
          </w:tcPr>
          <w:p w14:paraId="4CFDD4B2" w14:textId="77777777" w:rsidR="008A46A0" w:rsidRPr="00A12076" w:rsidRDefault="008A46A0" w:rsidP="0027116D">
            <w:pPr>
              <w:rPr>
                <w:b/>
                <w:bCs/>
                <w:sz w:val="16"/>
                <w:szCs w:val="16"/>
              </w:rPr>
            </w:pPr>
            <w:r>
              <w:rPr>
                <w:b/>
                <w:bCs/>
                <w:sz w:val="16"/>
                <w:szCs w:val="16"/>
              </w:rPr>
              <w:t>116</w:t>
            </w:r>
          </w:p>
        </w:tc>
        <w:tc>
          <w:tcPr>
            <w:tcW w:w="2256" w:type="dxa"/>
          </w:tcPr>
          <w:p w14:paraId="40D58B54" w14:textId="77777777" w:rsidR="008A46A0" w:rsidRPr="00A12076" w:rsidRDefault="008A46A0" w:rsidP="0027116D">
            <w:pPr>
              <w:rPr>
                <w:b/>
                <w:bCs/>
                <w:sz w:val="16"/>
                <w:szCs w:val="16"/>
              </w:rPr>
            </w:pPr>
            <w:r>
              <w:rPr>
                <w:b/>
                <w:bCs/>
                <w:sz w:val="16"/>
                <w:szCs w:val="16"/>
              </w:rPr>
              <w:t>100</w:t>
            </w:r>
          </w:p>
        </w:tc>
      </w:tr>
    </w:tbl>
    <w:p w14:paraId="7D0515F4" w14:textId="77777777" w:rsidR="008A46A0" w:rsidRPr="007A6E8B" w:rsidRDefault="008A46A0" w:rsidP="008A46A0">
      <w:pPr>
        <w:pStyle w:val="Source"/>
        <w:rPr>
          <w:color w:val="3A7C22" w:themeColor="accent6" w:themeShade="BF"/>
        </w:rPr>
      </w:pPr>
      <w:r w:rsidRPr="007A6E8B">
        <w:rPr>
          <w:color w:val="3A7C22" w:themeColor="accent6" w:themeShade="BF"/>
        </w:rPr>
        <w:t>Source: Office of the Gene Technology Regulator.</w:t>
      </w:r>
    </w:p>
    <w:p w14:paraId="2C7033E5" w14:textId="77777777" w:rsidR="008A46A0" w:rsidRPr="00F746C0" w:rsidRDefault="008A46A0" w:rsidP="0089220B"/>
    <w:sectPr w:rsidR="008A46A0" w:rsidRPr="00F746C0" w:rsidSect="00BF0D41">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561E3" w14:textId="77777777" w:rsidR="00E27B0C" w:rsidRDefault="00E27B0C" w:rsidP="00C53BA9">
      <w:pPr>
        <w:spacing w:after="0" w:line="240" w:lineRule="auto"/>
      </w:pPr>
      <w:r>
        <w:separator/>
      </w:r>
    </w:p>
  </w:endnote>
  <w:endnote w:type="continuationSeparator" w:id="0">
    <w:p w14:paraId="4E47FCFA" w14:textId="77777777" w:rsidR="00E27B0C" w:rsidRDefault="00E27B0C" w:rsidP="00C53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OpenSansRegular">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F1E9" w14:textId="4BC0363F" w:rsidR="00C53BA9" w:rsidRDefault="00C53BA9">
    <w:pPr>
      <w:pStyle w:val="Footer"/>
    </w:pPr>
    <w:r>
      <w:rPr>
        <w:noProof/>
      </w:rPr>
      <mc:AlternateContent>
        <mc:Choice Requires="wps">
          <w:drawing>
            <wp:anchor distT="0" distB="0" distL="0" distR="0" simplePos="0" relativeHeight="251662336" behindDoc="0" locked="0" layoutInCell="1" allowOverlap="1" wp14:anchorId="27EDF2C5" wp14:editId="73C711C3">
              <wp:simplePos x="635" y="635"/>
              <wp:positionH relativeFrom="page">
                <wp:align>center</wp:align>
              </wp:positionH>
              <wp:positionV relativeFrom="page">
                <wp:align>bottom</wp:align>
              </wp:positionV>
              <wp:extent cx="622300" cy="391160"/>
              <wp:effectExtent l="0" t="0" r="6350" b="0"/>
              <wp:wrapNone/>
              <wp:docPr id="134797021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EE4127B" w14:textId="4EA5BFDD"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EDF2C5"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3EE4127B" w14:textId="4EA5BFDD"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889384"/>
      <w:docPartObj>
        <w:docPartGallery w:val="Page Numbers (Bottom of Page)"/>
        <w:docPartUnique/>
      </w:docPartObj>
    </w:sdtPr>
    <w:sdtEndPr/>
    <w:sdtContent>
      <w:p w14:paraId="62DFD150" w14:textId="5CE10EC5" w:rsidR="007F5EFD" w:rsidRDefault="007F5EFD">
        <w:pPr>
          <w:pStyle w:val="Footer"/>
          <w:jc w:val="right"/>
        </w:pPr>
        <w:r>
          <w:fldChar w:fldCharType="begin"/>
        </w:r>
        <w:r>
          <w:instrText>PAGE   \* MERGEFORMAT</w:instrText>
        </w:r>
        <w:r>
          <w:fldChar w:fldCharType="separate"/>
        </w:r>
        <w:r>
          <w:rPr>
            <w:lang w:val="en-GB"/>
          </w:rPr>
          <w:t>2</w:t>
        </w:r>
        <w:r>
          <w:fldChar w:fldCharType="end"/>
        </w:r>
      </w:p>
    </w:sdtContent>
  </w:sdt>
  <w:p w14:paraId="0D67D194" w14:textId="77777777" w:rsidR="007F5EFD" w:rsidRDefault="007F5E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DC1C" w14:textId="2EE22D04" w:rsidR="00C53BA9" w:rsidRDefault="00C53BA9">
    <w:pPr>
      <w:pStyle w:val="Footer"/>
    </w:pPr>
    <w:r>
      <w:rPr>
        <w:noProof/>
      </w:rPr>
      <mc:AlternateContent>
        <mc:Choice Requires="wps">
          <w:drawing>
            <wp:anchor distT="0" distB="0" distL="0" distR="0" simplePos="0" relativeHeight="251661312" behindDoc="0" locked="0" layoutInCell="1" allowOverlap="1" wp14:anchorId="35E5D177" wp14:editId="118F5462">
              <wp:simplePos x="635" y="635"/>
              <wp:positionH relativeFrom="page">
                <wp:align>center</wp:align>
              </wp:positionH>
              <wp:positionV relativeFrom="page">
                <wp:align>bottom</wp:align>
              </wp:positionV>
              <wp:extent cx="622300" cy="391160"/>
              <wp:effectExtent l="0" t="0" r="6350" b="0"/>
              <wp:wrapNone/>
              <wp:docPr id="70295294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4A76F0F" w14:textId="165C5177"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E5D177" id="_x0000_t202" coordsize="21600,21600" o:spt="202" path="m,l,21600r21600,l21600,xe">
              <v:stroke joinstyle="miter"/>
              <v:path gradientshapeok="t" o:connecttype="rect"/>
            </v:shapetype>
            <v:shape id="Text Box 4" o:spid="_x0000_s1029" type="#_x0000_t202" alt="OFFICIAL" style="position:absolute;margin-left:0;margin-top:0;width:49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34A76F0F" w14:textId="165C5177"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85B1B" w14:textId="77777777" w:rsidR="00E27B0C" w:rsidRDefault="00E27B0C" w:rsidP="00C53BA9">
      <w:pPr>
        <w:spacing w:after="0" w:line="240" w:lineRule="auto"/>
      </w:pPr>
      <w:r>
        <w:separator/>
      </w:r>
    </w:p>
  </w:footnote>
  <w:footnote w:type="continuationSeparator" w:id="0">
    <w:p w14:paraId="2C0037F9" w14:textId="77777777" w:rsidR="00E27B0C" w:rsidRDefault="00E27B0C" w:rsidP="00C53BA9">
      <w:pPr>
        <w:spacing w:after="0" w:line="240" w:lineRule="auto"/>
      </w:pPr>
      <w:r>
        <w:continuationSeparator/>
      </w:r>
    </w:p>
  </w:footnote>
  <w:footnote w:id="1">
    <w:p w14:paraId="4D5B6480" w14:textId="77777777" w:rsidR="004D2DE0" w:rsidRPr="005125D0" w:rsidRDefault="004D2DE0" w:rsidP="004D2DE0">
      <w:pPr>
        <w:pStyle w:val="FootnoteText"/>
        <w:rPr>
          <w:lang w:val="en-US"/>
        </w:rPr>
      </w:pPr>
      <w:r>
        <w:rPr>
          <w:rStyle w:val="FootnoteReference"/>
        </w:rPr>
        <w:footnoteRef/>
      </w:r>
      <w:r>
        <w:t xml:space="preserve"> </w:t>
      </w:r>
      <w:r w:rsidRPr="00792C66">
        <w:rPr>
          <w:szCs w:val="16"/>
        </w:rPr>
        <w:t>Office of the Gene Technology Regulator (2018), What is gene technology, &lt;https://www.</w:t>
      </w:r>
      <w:r>
        <w:rPr>
          <w:szCs w:val="16"/>
        </w:rPr>
        <w:t>ogtr</w:t>
      </w:r>
      <w:r w:rsidRPr="00792C66">
        <w:rPr>
          <w:szCs w:val="16"/>
        </w:rPr>
        <w:t>.gov.au/resources/publications/what-gene-technology&gt;</w:t>
      </w:r>
    </w:p>
  </w:footnote>
  <w:footnote w:id="2">
    <w:p w14:paraId="462B5C57" w14:textId="77777777" w:rsidR="004D2DE0" w:rsidRPr="003F6CC0" w:rsidRDefault="004D2DE0" w:rsidP="004D2DE0">
      <w:pPr>
        <w:pStyle w:val="FootnoteText"/>
        <w:rPr>
          <w:lang w:val="en-US"/>
        </w:rPr>
      </w:pPr>
      <w:r>
        <w:rPr>
          <w:rStyle w:val="FootnoteReference"/>
        </w:rPr>
        <w:footnoteRef/>
      </w:r>
      <w:r>
        <w:t xml:space="preserve"> </w:t>
      </w:r>
      <w:r w:rsidRPr="00792C66">
        <w:rPr>
          <w:szCs w:val="16"/>
        </w:rPr>
        <w:t>Office of the Gene Technology Regulator (2018), What is gene technology, &lt;https://www.</w:t>
      </w:r>
      <w:r>
        <w:rPr>
          <w:szCs w:val="16"/>
        </w:rPr>
        <w:t>ogtr</w:t>
      </w:r>
      <w:r w:rsidRPr="00792C66">
        <w:rPr>
          <w:szCs w:val="16"/>
        </w:rPr>
        <w:t>.gov.au/resources/publications/what-gene-technology&gt;</w:t>
      </w:r>
    </w:p>
  </w:footnote>
  <w:footnote w:id="3">
    <w:p w14:paraId="08824748" w14:textId="77777777" w:rsidR="004D2DE0" w:rsidRDefault="004D2DE0" w:rsidP="004D2DE0">
      <w:pPr>
        <w:pStyle w:val="FootnoteText"/>
        <w:rPr>
          <w:lang w:val="en-US"/>
        </w:rPr>
      </w:pPr>
      <w:r>
        <w:rPr>
          <w:rStyle w:val="FootnoteReference"/>
        </w:rPr>
        <w:footnoteRef/>
      </w:r>
      <w:r>
        <w:t xml:space="preserve"> </w:t>
      </w:r>
      <w:r>
        <w:rPr>
          <w:lang w:val="en-US"/>
        </w:rPr>
        <w:t xml:space="preserve">The </w:t>
      </w:r>
      <w:r>
        <w:rPr>
          <w:i/>
          <w:iCs/>
          <w:lang w:val="en-US"/>
        </w:rPr>
        <w:t>Gene Technology Act 2000</w:t>
      </w:r>
    </w:p>
  </w:footnote>
  <w:footnote w:id="4">
    <w:p w14:paraId="36B4C3C3" w14:textId="77777777" w:rsidR="00612A2F" w:rsidRDefault="00612A2F" w:rsidP="00612A2F">
      <w:pPr>
        <w:pStyle w:val="FootnoteText"/>
        <w:rPr>
          <w:lang w:val="en-US"/>
        </w:rPr>
      </w:pPr>
      <w:r>
        <w:rPr>
          <w:rStyle w:val="FootnoteReference"/>
        </w:rPr>
        <w:footnoteRef/>
      </w:r>
      <w:r>
        <w:t xml:space="preserve"> </w:t>
      </w:r>
      <w:r>
        <w:rPr>
          <w:lang w:val="en-US"/>
        </w:rPr>
        <w:t xml:space="preserve">The </w:t>
      </w:r>
      <w:r>
        <w:rPr>
          <w:i/>
          <w:iCs/>
          <w:lang w:val="en-US"/>
        </w:rPr>
        <w:t>Gene Technology Act 2000</w:t>
      </w:r>
    </w:p>
  </w:footnote>
  <w:footnote w:id="5">
    <w:p w14:paraId="495706D1" w14:textId="77777777" w:rsidR="001F330C" w:rsidRDefault="001F330C" w:rsidP="001F330C">
      <w:pPr>
        <w:pStyle w:val="FootnoteText"/>
      </w:pPr>
      <w:r>
        <w:rPr>
          <w:rStyle w:val="FootnoteReference"/>
        </w:rPr>
        <w:footnoteRef/>
      </w:r>
      <w:r>
        <w:t xml:space="preserve"> Commonwealth of Australia (2000) A cautionary tale: Fish don’t lay tomatoes – A report on the Gene technology Bill 2000, Chapter 4, &lt;https://www.aph.gov.au/parliamentary_business/committees/senate/community_affairs/</w:t>
      </w:r>
      <w:r>
        <w:br/>
        <w:t xml:space="preserve">completed_inquiries/1999-02/gene/report/index&gt; </w:t>
      </w:r>
    </w:p>
  </w:footnote>
  <w:footnote w:id="6">
    <w:p w14:paraId="2AAD5C04" w14:textId="77777777" w:rsidR="001F330C" w:rsidRDefault="001F330C" w:rsidP="001F330C">
      <w:pPr>
        <w:pStyle w:val="FootnoteText"/>
      </w:pPr>
      <w:r>
        <w:rPr>
          <w:rStyle w:val="FootnoteReference"/>
        </w:rPr>
        <w:footnoteRef/>
      </w:r>
      <w:r>
        <w:t xml:space="preserve"> Commonwealth of Australia (2018), The Third Review of the National Gene Technology Scheme, pp. 71-72 &lt;https://www.genetechnology.gov.au/sites/default/files/2022-02/2017-review-final-report.pdf&gt;</w:t>
      </w:r>
    </w:p>
    <w:p w14:paraId="57AFD8FF" w14:textId="77777777" w:rsidR="001F330C" w:rsidRDefault="001F330C" w:rsidP="001F330C">
      <w:pPr>
        <w:pStyle w:val="FootnoteText"/>
      </w:pPr>
      <w:r>
        <w:t xml:space="preserve"> See Recommendation 22.</w:t>
      </w:r>
    </w:p>
  </w:footnote>
  <w:footnote w:id="7">
    <w:p w14:paraId="03578944" w14:textId="3C004D9F" w:rsidR="001E1ADC" w:rsidRDefault="001E1ADC" w:rsidP="001E1ADC">
      <w:pPr>
        <w:pStyle w:val="FootnoteText"/>
        <w:rPr>
          <w:lang w:val="en-US"/>
        </w:rPr>
      </w:pPr>
      <w:r>
        <w:rPr>
          <w:rStyle w:val="FootnoteReference"/>
        </w:rPr>
        <w:footnoteRef/>
      </w:r>
      <w:r>
        <w:t xml:space="preserve"> </w:t>
      </w:r>
      <w:r>
        <w:rPr>
          <w:lang w:val="en-US"/>
        </w:rPr>
        <w:t>A licence for inadvertent dealings is to authorize the safe disposal of a GM</w:t>
      </w:r>
      <w:r w:rsidR="001C5276">
        <w:rPr>
          <w:lang w:val="en-US"/>
        </w:rPr>
        <w:t>O</w:t>
      </w:r>
      <w:r>
        <w:rPr>
          <w:lang w:val="en-US"/>
        </w:rPr>
        <w:t xml:space="preserve"> to a person who has come into possession of the GMO inadvertently.</w:t>
      </w:r>
    </w:p>
  </w:footnote>
  <w:footnote w:id="8">
    <w:p w14:paraId="7E5B3C4D" w14:textId="77777777" w:rsidR="006E643B" w:rsidRPr="003165E2" w:rsidRDefault="006E643B" w:rsidP="006E643B">
      <w:pPr>
        <w:pStyle w:val="FootnoteText"/>
        <w:rPr>
          <w:lang w:val="en-US"/>
        </w:rPr>
      </w:pPr>
      <w:r>
        <w:rPr>
          <w:rStyle w:val="FootnoteReference"/>
        </w:rPr>
        <w:footnoteRef/>
      </w:r>
      <w:r>
        <w:t xml:space="preserve"> Australian </w:t>
      </w:r>
      <w:r>
        <w:rPr>
          <w:lang w:val="en-US"/>
        </w:rPr>
        <w:t>Department of Finance</w:t>
      </w:r>
      <w:r w:rsidRPr="003165E2">
        <w:rPr>
          <w:lang w:val="en-US"/>
        </w:rPr>
        <w:t>,</w:t>
      </w:r>
      <w:r w:rsidRPr="003165E2">
        <w:rPr>
          <w:i/>
          <w:iCs/>
          <w:lang w:val="en-US"/>
        </w:rPr>
        <w:t xml:space="preserve"> Better Practice Template for a Charging Risk Assessment (CRA) for regulatory activities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BB258" w14:textId="6E92943A" w:rsidR="00C53BA9" w:rsidRDefault="00E27B0C">
    <w:pPr>
      <w:pStyle w:val="Header"/>
    </w:pPr>
    <w:r>
      <w:rPr>
        <w:noProof/>
      </w:rPr>
      <w:pict w14:anchorId="09E699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24938" o:spid="_x0000_s1026" type="#_x0000_t136" style="position:absolute;margin-left:0;margin-top:0;width:454.5pt;height:181.8pt;rotation:315;z-index:-25165004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C53BA9">
      <w:rPr>
        <w:noProof/>
      </w:rPr>
      <mc:AlternateContent>
        <mc:Choice Requires="wps">
          <w:drawing>
            <wp:anchor distT="0" distB="0" distL="0" distR="0" simplePos="0" relativeHeight="251659264" behindDoc="0" locked="0" layoutInCell="1" allowOverlap="1" wp14:anchorId="606688B3" wp14:editId="0BE2B7FB">
              <wp:simplePos x="635" y="635"/>
              <wp:positionH relativeFrom="page">
                <wp:align>center</wp:align>
              </wp:positionH>
              <wp:positionV relativeFrom="page">
                <wp:align>top</wp:align>
              </wp:positionV>
              <wp:extent cx="622300" cy="391160"/>
              <wp:effectExtent l="0" t="0" r="6350" b="8890"/>
              <wp:wrapNone/>
              <wp:docPr id="174952886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E631516" w14:textId="2A2CB201"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6688B3"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2E631516" w14:textId="2A2CB201"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8FF0" w14:textId="42EC3928" w:rsidR="008321DF" w:rsidRDefault="00E27B0C">
    <w:pPr>
      <w:pStyle w:val="Header"/>
    </w:pPr>
    <w:r>
      <w:rPr>
        <w:noProof/>
      </w:rPr>
      <w:pict w14:anchorId="4D6551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24939" o:spid="_x0000_s1027" type="#_x0000_t136" style="position:absolute;margin-left:0;margin-top:0;width:454.5pt;height:181.8pt;rotation:315;z-index:-2516480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B3381" w14:textId="22FE1144" w:rsidR="00C53BA9" w:rsidRDefault="00E27B0C">
    <w:pPr>
      <w:pStyle w:val="Header"/>
    </w:pPr>
    <w:r>
      <w:rPr>
        <w:noProof/>
      </w:rPr>
      <w:pict w14:anchorId="6609DA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24937" o:spid="_x0000_s1025" type="#_x0000_t136" style="position:absolute;margin-left:0;margin-top:0;width:454.5pt;height:181.8pt;rotation:315;z-index:-2516520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C53BA9">
      <w:rPr>
        <w:noProof/>
      </w:rPr>
      <mc:AlternateContent>
        <mc:Choice Requires="wps">
          <w:drawing>
            <wp:anchor distT="0" distB="0" distL="0" distR="0" simplePos="0" relativeHeight="251658240" behindDoc="0" locked="0" layoutInCell="1" allowOverlap="1" wp14:anchorId="2E10B002" wp14:editId="63DEEE4E">
              <wp:simplePos x="635" y="635"/>
              <wp:positionH relativeFrom="page">
                <wp:align>center</wp:align>
              </wp:positionH>
              <wp:positionV relativeFrom="page">
                <wp:align>top</wp:align>
              </wp:positionV>
              <wp:extent cx="622300" cy="391160"/>
              <wp:effectExtent l="0" t="0" r="6350" b="8890"/>
              <wp:wrapNone/>
              <wp:docPr id="34377535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8D0140D" w14:textId="019E03D4"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10B002" id="_x0000_t202" coordsize="21600,21600" o:spt="202" path="m,l,21600r21600,l21600,xe">
              <v:stroke joinstyle="miter"/>
              <v:path gradientshapeok="t" o:connecttype="rect"/>
            </v:shapetype>
            <v:shape id="Text Box 1" o:spid="_x0000_s1028"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18D0140D" w14:textId="019E03D4" w:rsidR="00C53BA9" w:rsidRPr="00C53BA9" w:rsidRDefault="00C53BA9" w:rsidP="00C53BA9">
                    <w:pPr>
                      <w:spacing w:after="0"/>
                      <w:rPr>
                        <w:rFonts w:ascii="Aptos" w:eastAsia="Aptos" w:hAnsi="Aptos" w:cs="Aptos"/>
                        <w:noProof/>
                        <w:color w:val="FF0000"/>
                        <w:sz w:val="24"/>
                      </w:rPr>
                    </w:pPr>
                    <w:r w:rsidRPr="00C53BA9">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3FA"/>
    <w:multiLevelType w:val="hybridMultilevel"/>
    <w:tmpl w:val="BFB4DFF8"/>
    <w:lvl w:ilvl="0" w:tplc="46545E3C">
      <w:start w:val="1"/>
      <w:numFmt w:val="decimal"/>
      <w:lvlText w:val="%1."/>
      <w:lvlJc w:val="left"/>
      <w:pPr>
        <w:ind w:left="417" w:hanging="360"/>
      </w:pPr>
      <w:rPr>
        <w:rFonts w:hint="default"/>
      </w:rPr>
    </w:lvl>
    <w:lvl w:ilvl="1" w:tplc="0C090019" w:tentative="1">
      <w:start w:val="1"/>
      <w:numFmt w:val="lowerLetter"/>
      <w:lvlText w:val="%2."/>
      <w:lvlJc w:val="left"/>
      <w:pPr>
        <w:ind w:left="1137" w:hanging="360"/>
      </w:pPr>
    </w:lvl>
    <w:lvl w:ilvl="2" w:tplc="0C09001B" w:tentative="1">
      <w:start w:val="1"/>
      <w:numFmt w:val="lowerRoman"/>
      <w:lvlText w:val="%3."/>
      <w:lvlJc w:val="right"/>
      <w:pPr>
        <w:ind w:left="1857" w:hanging="180"/>
      </w:pPr>
    </w:lvl>
    <w:lvl w:ilvl="3" w:tplc="0C09000F" w:tentative="1">
      <w:start w:val="1"/>
      <w:numFmt w:val="decimal"/>
      <w:lvlText w:val="%4."/>
      <w:lvlJc w:val="left"/>
      <w:pPr>
        <w:ind w:left="2577" w:hanging="360"/>
      </w:pPr>
    </w:lvl>
    <w:lvl w:ilvl="4" w:tplc="0C090019" w:tentative="1">
      <w:start w:val="1"/>
      <w:numFmt w:val="lowerLetter"/>
      <w:lvlText w:val="%5."/>
      <w:lvlJc w:val="left"/>
      <w:pPr>
        <w:ind w:left="3297" w:hanging="360"/>
      </w:pPr>
    </w:lvl>
    <w:lvl w:ilvl="5" w:tplc="0C09001B" w:tentative="1">
      <w:start w:val="1"/>
      <w:numFmt w:val="lowerRoman"/>
      <w:lvlText w:val="%6."/>
      <w:lvlJc w:val="right"/>
      <w:pPr>
        <w:ind w:left="4017" w:hanging="180"/>
      </w:pPr>
    </w:lvl>
    <w:lvl w:ilvl="6" w:tplc="0C09000F" w:tentative="1">
      <w:start w:val="1"/>
      <w:numFmt w:val="decimal"/>
      <w:lvlText w:val="%7."/>
      <w:lvlJc w:val="left"/>
      <w:pPr>
        <w:ind w:left="4737" w:hanging="360"/>
      </w:pPr>
    </w:lvl>
    <w:lvl w:ilvl="7" w:tplc="0C090019" w:tentative="1">
      <w:start w:val="1"/>
      <w:numFmt w:val="lowerLetter"/>
      <w:lvlText w:val="%8."/>
      <w:lvlJc w:val="left"/>
      <w:pPr>
        <w:ind w:left="5457" w:hanging="360"/>
      </w:pPr>
    </w:lvl>
    <w:lvl w:ilvl="8" w:tplc="0C09001B" w:tentative="1">
      <w:start w:val="1"/>
      <w:numFmt w:val="lowerRoman"/>
      <w:lvlText w:val="%9."/>
      <w:lvlJc w:val="right"/>
      <w:pPr>
        <w:ind w:left="6177" w:hanging="180"/>
      </w:pPr>
    </w:lvl>
  </w:abstractNum>
  <w:abstractNum w:abstractNumId="1" w15:restartNumberingAfterBreak="0">
    <w:nsid w:val="0A272D8F"/>
    <w:multiLevelType w:val="hybridMultilevel"/>
    <w:tmpl w:val="07C466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E0503E4"/>
    <w:multiLevelType w:val="hybridMultilevel"/>
    <w:tmpl w:val="DE54E1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D1E404B"/>
    <w:multiLevelType w:val="hybridMultilevel"/>
    <w:tmpl w:val="7E561E0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251786"/>
    <w:multiLevelType w:val="hybridMultilevel"/>
    <w:tmpl w:val="4B8837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F455BAE"/>
    <w:multiLevelType w:val="hybridMultilevel"/>
    <w:tmpl w:val="DB365C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64C7CD9"/>
    <w:multiLevelType w:val="multilevel"/>
    <w:tmpl w:val="E558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A7E27"/>
    <w:multiLevelType w:val="hybridMultilevel"/>
    <w:tmpl w:val="DB480E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743759D"/>
    <w:multiLevelType w:val="hybridMultilevel"/>
    <w:tmpl w:val="CD9ECC82"/>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94214C9"/>
    <w:multiLevelType w:val="multilevel"/>
    <w:tmpl w:val="CB4E17A4"/>
    <w:styleLink w:val="Bullets"/>
    <w:lvl w:ilvl="0">
      <w:start w:val="1"/>
      <w:numFmt w:val="bullet"/>
      <w:pStyle w:val="Bullets1stindent"/>
      <w:lvlText w:val=""/>
      <w:lvlJc w:val="left"/>
      <w:pPr>
        <w:ind w:left="644" w:hanging="360"/>
      </w:pPr>
      <w:rPr>
        <w:rFonts w:ascii="Symbol" w:hAnsi="Symbol" w:hint="default"/>
        <w:color w:val="14708E"/>
      </w:rPr>
    </w:lvl>
    <w:lvl w:ilvl="1">
      <w:start w:val="1"/>
      <w:numFmt w:val="bullet"/>
      <w:pStyle w:val="Bullets2ndindent"/>
      <w:lvlText w:val=""/>
      <w:lvlJc w:val="left"/>
      <w:pPr>
        <w:tabs>
          <w:tab w:val="num" w:pos="567"/>
        </w:tabs>
        <w:ind w:left="567" w:hanging="283"/>
      </w:pPr>
      <w:rPr>
        <w:rFonts w:ascii="Symbol" w:hAnsi="Symbol" w:hint="default"/>
        <w:color w:val="14708E"/>
      </w:rPr>
    </w:lvl>
    <w:lvl w:ilvl="2">
      <w:start w:val="1"/>
      <w:numFmt w:val="bullet"/>
      <w:pStyle w:val="Bulletslast1stindent"/>
      <w:lvlText w:val="•"/>
      <w:lvlJc w:val="left"/>
      <w:pPr>
        <w:tabs>
          <w:tab w:val="num" w:pos="284"/>
        </w:tabs>
        <w:ind w:left="284" w:hanging="284"/>
      </w:pPr>
      <w:rPr>
        <w:rFonts w:ascii="Cambria" w:hAnsi="Cambria" w:hint="default"/>
        <w:color w:val="5BC6E8"/>
      </w:rPr>
    </w:lvl>
    <w:lvl w:ilvl="3">
      <w:start w:val="1"/>
      <w:numFmt w:val="bullet"/>
      <w:pStyle w:val="Bulletslast2ndindent"/>
      <w:lvlText w:val="•"/>
      <w:lvlJc w:val="left"/>
      <w:pPr>
        <w:tabs>
          <w:tab w:val="num" w:pos="567"/>
        </w:tabs>
        <w:ind w:left="567" w:hanging="283"/>
      </w:pPr>
      <w:rPr>
        <w:rFonts w:ascii="Cambria" w:hAnsi="Cambria" w:hint="default"/>
        <w:color w:val="5BC6E8"/>
      </w:rPr>
    </w:lvl>
    <w:lvl w:ilvl="4">
      <w:start w:val="1"/>
      <w:numFmt w:val="none"/>
      <w:lvlText w:val=""/>
      <w:lvlJc w:val="left"/>
      <w:pPr>
        <w:ind w:left="0" w:firstLine="0"/>
      </w:pPr>
      <w:rPr>
        <w:rFonts w:hint="default"/>
      </w:rPr>
    </w:lvl>
    <w:lvl w:ilvl="5">
      <w:start w:val="1"/>
      <w:numFmt w:val="bullet"/>
      <w:pStyle w:val="Tablebullets1stindent"/>
      <w:lvlText w:val=""/>
      <w:lvlJc w:val="left"/>
      <w:pPr>
        <w:tabs>
          <w:tab w:val="num" w:pos="266"/>
        </w:tabs>
        <w:ind w:left="266" w:hanging="170"/>
      </w:pPr>
      <w:rPr>
        <w:rFonts w:ascii="Symbol" w:hAnsi="Symbol" w:hint="default"/>
        <w:color w:val="14708E"/>
        <w:sz w:val="16"/>
      </w:rPr>
    </w:lvl>
    <w:lvl w:ilvl="6">
      <w:start w:val="1"/>
      <w:numFmt w:val="bullet"/>
      <w:pStyle w:val="Tablebullets2ndindent"/>
      <w:lvlText w:val=""/>
      <w:lvlJc w:val="left"/>
      <w:pPr>
        <w:tabs>
          <w:tab w:val="num" w:pos="437"/>
        </w:tabs>
        <w:ind w:left="437" w:hanging="171"/>
      </w:pPr>
      <w:rPr>
        <w:rFonts w:ascii="Symbol" w:hAnsi="Symbol" w:hint="default"/>
        <w:color w:val="14708E"/>
        <w:sz w:val="16"/>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2DEF70DC"/>
    <w:multiLevelType w:val="hybridMultilevel"/>
    <w:tmpl w:val="5B2064C2"/>
    <w:lvl w:ilvl="0" w:tplc="0C09000F">
      <w:start w:val="1"/>
      <w:numFmt w:val="decimal"/>
      <w:lvlText w:val="%1."/>
      <w:lvlJc w:val="left"/>
      <w:pPr>
        <w:ind w:left="816" w:hanging="360"/>
      </w:pPr>
    </w:lvl>
    <w:lvl w:ilvl="1" w:tplc="0C090019" w:tentative="1">
      <w:start w:val="1"/>
      <w:numFmt w:val="lowerLetter"/>
      <w:lvlText w:val="%2."/>
      <w:lvlJc w:val="left"/>
      <w:pPr>
        <w:ind w:left="1536" w:hanging="360"/>
      </w:pPr>
    </w:lvl>
    <w:lvl w:ilvl="2" w:tplc="0C09001B" w:tentative="1">
      <w:start w:val="1"/>
      <w:numFmt w:val="lowerRoman"/>
      <w:lvlText w:val="%3."/>
      <w:lvlJc w:val="right"/>
      <w:pPr>
        <w:ind w:left="2256" w:hanging="180"/>
      </w:pPr>
    </w:lvl>
    <w:lvl w:ilvl="3" w:tplc="0C09000F" w:tentative="1">
      <w:start w:val="1"/>
      <w:numFmt w:val="decimal"/>
      <w:lvlText w:val="%4."/>
      <w:lvlJc w:val="left"/>
      <w:pPr>
        <w:ind w:left="2976" w:hanging="360"/>
      </w:pPr>
    </w:lvl>
    <w:lvl w:ilvl="4" w:tplc="0C090019" w:tentative="1">
      <w:start w:val="1"/>
      <w:numFmt w:val="lowerLetter"/>
      <w:lvlText w:val="%5."/>
      <w:lvlJc w:val="left"/>
      <w:pPr>
        <w:ind w:left="3696" w:hanging="360"/>
      </w:pPr>
    </w:lvl>
    <w:lvl w:ilvl="5" w:tplc="0C09001B" w:tentative="1">
      <w:start w:val="1"/>
      <w:numFmt w:val="lowerRoman"/>
      <w:lvlText w:val="%6."/>
      <w:lvlJc w:val="right"/>
      <w:pPr>
        <w:ind w:left="4416" w:hanging="180"/>
      </w:pPr>
    </w:lvl>
    <w:lvl w:ilvl="6" w:tplc="0C09000F" w:tentative="1">
      <w:start w:val="1"/>
      <w:numFmt w:val="decimal"/>
      <w:lvlText w:val="%7."/>
      <w:lvlJc w:val="left"/>
      <w:pPr>
        <w:ind w:left="5136" w:hanging="360"/>
      </w:pPr>
    </w:lvl>
    <w:lvl w:ilvl="7" w:tplc="0C090019" w:tentative="1">
      <w:start w:val="1"/>
      <w:numFmt w:val="lowerLetter"/>
      <w:lvlText w:val="%8."/>
      <w:lvlJc w:val="left"/>
      <w:pPr>
        <w:ind w:left="5856" w:hanging="360"/>
      </w:pPr>
    </w:lvl>
    <w:lvl w:ilvl="8" w:tplc="0C09001B" w:tentative="1">
      <w:start w:val="1"/>
      <w:numFmt w:val="lowerRoman"/>
      <w:lvlText w:val="%9."/>
      <w:lvlJc w:val="right"/>
      <w:pPr>
        <w:ind w:left="6576" w:hanging="180"/>
      </w:pPr>
    </w:lvl>
  </w:abstractNum>
  <w:abstractNum w:abstractNumId="11" w15:restartNumberingAfterBreak="0">
    <w:nsid w:val="2E024084"/>
    <w:multiLevelType w:val="hybridMultilevel"/>
    <w:tmpl w:val="87E273F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335575F8"/>
    <w:multiLevelType w:val="hybridMultilevel"/>
    <w:tmpl w:val="16423212"/>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3" w15:restartNumberingAfterBreak="0">
    <w:nsid w:val="38CF214C"/>
    <w:multiLevelType w:val="multilevel"/>
    <w:tmpl w:val="512C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360EF7"/>
    <w:multiLevelType w:val="multilevel"/>
    <w:tmpl w:val="B87C06AE"/>
    <w:lvl w:ilvl="0">
      <w:start w:val="1"/>
      <w:numFmt w:val="decimal"/>
      <w:pStyle w:val="Heading1"/>
      <w:suff w:val="space"/>
      <w:lvlText w:val="%1."/>
      <w:lvlJc w:val="left"/>
      <w:pPr>
        <w:ind w:left="0" w:firstLine="0"/>
      </w:pPr>
      <w:rPr>
        <w:rFonts w:hint="default"/>
        <w:b w:val="0"/>
        <w:bCs w:val="0"/>
        <w:sz w:val="40"/>
        <w:szCs w:val="40"/>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5" w15:restartNumberingAfterBreak="0">
    <w:nsid w:val="406226DF"/>
    <w:multiLevelType w:val="hybridMultilevel"/>
    <w:tmpl w:val="BFB4DFF8"/>
    <w:lvl w:ilvl="0" w:tplc="FFFFFFFF">
      <w:start w:val="1"/>
      <w:numFmt w:val="decimal"/>
      <w:lvlText w:val="%1."/>
      <w:lvlJc w:val="left"/>
      <w:pPr>
        <w:ind w:left="417" w:hanging="360"/>
      </w:pPr>
      <w:rPr>
        <w:rFonts w:hint="default"/>
      </w:rPr>
    </w:lvl>
    <w:lvl w:ilvl="1" w:tplc="FFFFFFFF" w:tentative="1">
      <w:start w:val="1"/>
      <w:numFmt w:val="lowerLetter"/>
      <w:lvlText w:val="%2."/>
      <w:lvlJc w:val="left"/>
      <w:pPr>
        <w:ind w:left="1137" w:hanging="360"/>
      </w:pPr>
    </w:lvl>
    <w:lvl w:ilvl="2" w:tplc="FFFFFFFF" w:tentative="1">
      <w:start w:val="1"/>
      <w:numFmt w:val="lowerRoman"/>
      <w:lvlText w:val="%3."/>
      <w:lvlJc w:val="right"/>
      <w:pPr>
        <w:ind w:left="1857" w:hanging="180"/>
      </w:pPr>
    </w:lvl>
    <w:lvl w:ilvl="3" w:tplc="FFFFFFFF" w:tentative="1">
      <w:start w:val="1"/>
      <w:numFmt w:val="decimal"/>
      <w:lvlText w:val="%4."/>
      <w:lvlJc w:val="left"/>
      <w:pPr>
        <w:ind w:left="2577" w:hanging="360"/>
      </w:p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16" w15:restartNumberingAfterBreak="0">
    <w:nsid w:val="45CC72F2"/>
    <w:multiLevelType w:val="multilevel"/>
    <w:tmpl w:val="176A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25156E"/>
    <w:multiLevelType w:val="multilevel"/>
    <w:tmpl w:val="B84A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70647"/>
    <w:multiLevelType w:val="hybridMultilevel"/>
    <w:tmpl w:val="52144CB0"/>
    <w:lvl w:ilvl="0" w:tplc="8B18B30C">
      <w:start w:val="1"/>
      <w:numFmt w:val="upperLetter"/>
      <w:lvlText w:val="%1)"/>
      <w:lvlJc w:val="left"/>
      <w:pPr>
        <w:ind w:left="64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22E06E8"/>
    <w:multiLevelType w:val="hybridMultilevel"/>
    <w:tmpl w:val="54CA20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64847B8"/>
    <w:multiLevelType w:val="hybridMultilevel"/>
    <w:tmpl w:val="5FFA9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BDF54FB"/>
    <w:multiLevelType w:val="hybridMultilevel"/>
    <w:tmpl w:val="C0FAC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0F26973"/>
    <w:multiLevelType w:val="hybridMultilevel"/>
    <w:tmpl w:val="62827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5330F7F"/>
    <w:multiLevelType w:val="hybridMultilevel"/>
    <w:tmpl w:val="5E5664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4" w15:restartNumberingAfterBreak="0">
    <w:nsid w:val="65D90F7D"/>
    <w:multiLevelType w:val="multilevel"/>
    <w:tmpl w:val="A2D6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246A17"/>
    <w:multiLevelType w:val="hybridMultilevel"/>
    <w:tmpl w:val="9988A0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99C6184"/>
    <w:multiLevelType w:val="hybridMultilevel"/>
    <w:tmpl w:val="F4D8B7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6BDB034A"/>
    <w:multiLevelType w:val="multilevel"/>
    <w:tmpl w:val="D43A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0303F5"/>
    <w:multiLevelType w:val="hybridMultilevel"/>
    <w:tmpl w:val="45AAF5E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C944833"/>
    <w:multiLevelType w:val="hybridMultilevel"/>
    <w:tmpl w:val="44BA108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782D3039"/>
    <w:multiLevelType w:val="hybridMultilevel"/>
    <w:tmpl w:val="871826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9C66A7F"/>
    <w:multiLevelType w:val="multilevel"/>
    <w:tmpl w:val="AD42651C"/>
    <w:lvl w:ilvl="0">
      <w:start w:val="10"/>
      <w:numFmt w:val="decimal"/>
      <w:lvlText w:val="%1"/>
      <w:lvlJc w:val="left"/>
      <w:pPr>
        <w:ind w:left="570" w:hanging="57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906692774">
    <w:abstractNumId w:val="13"/>
  </w:num>
  <w:num w:numId="2" w16cid:durableId="16027560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8431781">
    <w:abstractNumId w:val="26"/>
  </w:num>
  <w:num w:numId="4" w16cid:durableId="1905405922">
    <w:abstractNumId w:val="16"/>
  </w:num>
  <w:num w:numId="5" w16cid:durableId="678698251">
    <w:abstractNumId w:val="29"/>
  </w:num>
  <w:num w:numId="6" w16cid:durableId="475296090">
    <w:abstractNumId w:val="0"/>
  </w:num>
  <w:num w:numId="7" w16cid:durableId="268781258">
    <w:abstractNumId w:val="20"/>
  </w:num>
  <w:num w:numId="8" w16cid:durableId="635796137">
    <w:abstractNumId w:val="2"/>
  </w:num>
  <w:num w:numId="9" w16cid:durableId="336885525">
    <w:abstractNumId w:val="7"/>
  </w:num>
  <w:num w:numId="10" w16cid:durableId="1794202736">
    <w:abstractNumId w:val="1"/>
  </w:num>
  <w:num w:numId="11" w16cid:durableId="787314168">
    <w:abstractNumId w:val="25"/>
  </w:num>
  <w:num w:numId="12" w16cid:durableId="1752241365">
    <w:abstractNumId w:val="4"/>
  </w:num>
  <w:num w:numId="13" w16cid:durableId="1912886112">
    <w:abstractNumId w:val="19"/>
  </w:num>
  <w:num w:numId="14" w16cid:durableId="155270563">
    <w:abstractNumId w:val="17"/>
  </w:num>
  <w:num w:numId="15" w16cid:durableId="837616333">
    <w:abstractNumId w:val="15"/>
  </w:num>
  <w:num w:numId="16" w16cid:durableId="1398935713">
    <w:abstractNumId w:val="28"/>
  </w:num>
  <w:num w:numId="17" w16cid:durableId="727925165">
    <w:abstractNumId w:val="6"/>
  </w:num>
  <w:num w:numId="18" w16cid:durableId="862742712">
    <w:abstractNumId w:val="5"/>
  </w:num>
  <w:num w:numId="19" w16cid:durableId="1133979572">
    <w:abstractNumId w:val="9"/>
  </w:num>
  <w:num w:numId="20" w16cid:durableId="1698307403">
    <w:abstractNumId w:val="10"/>
  </w:num>
  <w:num w:numId="21" w16cid:durableId="1361591427">
    <w:abstractNumId w:val="12"/>
  </w:num>
  <w:num w:numId="22" w16cid:durableId="1629043084">
    <w:abstractNumId w:val="27"/>
  </w:num>
  <w:num w:numId="23" w16cid:durableId="2054695637">
    <w:abstractNumId w:val="24"/>
  </w:num>
  <w:num w:numId="24" w16cid:durableId="113409344">
    <w:abstractNumId w:val="18"/>
  </w:num>
  <w:num w:numId="25" w16cid:durableId="294722042">
    <w:abstractNumId w:val="23"/>
  </w:num>
  <w:num w:numId="26" w16cid:durableId="614869172">
    <w:abstractNumId w:val="3"/>
  </w:num>
  <w:num w:numId="27" w16cid:durableId="2122146555">
    <w:abstractNumId w:val="30"/>
  </w:num>
  <w:num w:numId="28" w16cid:durableId="779180911">
    <w:abstractNumId w:val="11"/>
  </w:num>
  <w:num w:numId="29" w16cid:durableId="209341023">
    <w:abstractNumId w:val="21"/>
  </w:num>
  <w:num w:numId="30" w16cid:durableId="425544283">
    <w:abstractNumId w:val="14"/>
  </w:num>
  <w:num w:numId="31" w16cid:durableId="775057364">
    <w:abstractNumId w:val="31"/>
  </w:num>
  <w:num w:numId="32" w16cid:durableId="1551376316">
    <w:abstractNumId w:val="14"/>
  </w:num>
  <w:num w:numId="33" w16cid:durableId="316885225">
    <w:abstractNumId w:val="22"/>
  </w:num>
  <w:num w:numId="34" w16cid:durableId="12761380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2C7"/>
    <w:rsid w:val="00002461"/>
    <w:rsid w:val="00005D89"/>
    <w:rsid w:val="000070CD"/>
    <w:rsid w:val="000148A0"/>
    <w:rsid w:val="00014A88"/>
    <w:rsid w:val="00016DB6"/>
    <w:rsid w:val="00017A35"/>
    <w:rsid w:val="00023A5F"/>
    <w:rsid w:val="00023D3D"/>
    <w:rsid w:val="00033319"/>
    <w:rsid w:val="000342DA"/>
    <w:rsid w:val="00047B2F"/>
    <w:rsid w:val="00054D3B"/>
    <w:rsid w:val="0005677B"/>
    <w:rsid w:val="00061490"/>
    <w:rsid w:val="00062A34"/>
    <w:rsid w:val="00067B19"/>
    <w:rsid w:val="000704AE"/>
    <w:rsid w:val="00083130"/>
    <w:rsid w:val="00085B8A"/>
    <w:rsid w:val="00093B22"/>
    <w:rsid w:val="00095754"/>
    <w:rsid w:val="00097A3A"/>
    <w:rsid w:val="000B04F2"/>
    <w:rsid w:val="000B1CFA"/>
    <w:rsid w:val="000B45B1"/>
    <w:rsid w:val="000C489B"/>
    <w:rsid w:val="000C495E"/>
    <w:rsid w:val="000C5A3B"/>
    <w:rsid w:val="000E26A5"/>
    <w:rsid w:val="000E3B2F"/>
    <w:rsid w:val="000F6505"/>
    <w:rsid w:val="00101B01"/>
    <w:rsid w:val="001076D6"/>
    <w:rsid w:val="00114A49"/>
    <w:rsid w:val="0011659C"/>
    <w:rsid w:val="00117A4B"/>
    <w:rsid w:val="00126635"/>
    <w:rsid w:val="0012720E"/>
    <w:rsid w:val="001279F9"/>
    <w:rsid w:val="00130E95"/>
    <w:rsid w:val="00131D46"/>
    <w:rsid w:val="00136ECF"/>
    <w:rsid w:val="00140E3E"/>
    <w:rsid w:val="00143592"/>
    <w:rsid w:val="0015637F"/>
    <w:rsid w:val="001652CB"/>
    <w:rsid w:val="001706D4"/>
    <w:rsid w:val="001747A9"/>
    <w:rsid w:val="00177A64"/>
    <w:rsid w:val="00186CD6"/>
    <w:rsid w:val="001878FA"/>
    <w:rsid w:val="0019136F"/>
    <w:rsid w:val="00193CE5"/>
    <w:rsid w:val="001A35AA"/>
    <w:rsid w:val="001A3F22"/>
    <w:rsid w:val="001A5224"/>
    <w:rsid w:val="001A7FB7"/>
    <w:rsid w:val="001B1A9A"/>
    <w:rsid w:val="001B4AC4"/>
    <w:rsid w:val="001B715D"/>
    <w:rsid w:val="001B72E4"/>
    <w:rsid w:val="001C4116"/>
    <w:rsid w:val="001C5276"/>
    <w:rsid w:val="001D2866"/>
    <w:rsid w:val="001D51F0"/>
    <w:rsid w:val="001D6D50"/>
    <w:rsid w:val="001E0DEC"/>
    <w:rsid w:val="001E1ADC"/>
    <w:rsid w:val="001F1DD2"/>
    <w:rsid w:val="001F330C"/>
    <w:rsid w:val="001F3408"/>
    <w:rsid w:val="002018FF"/>
    <w:rsid w:val="002025E1"/>
    <w:rsid w:val="002119F8"/>
    <w:rsid w:val="00215DD0"/>
    <w:rsid w:val="002263A1"/>
    <w:rsid w:val="002345B6"/>
    <w:rsid w:val="00244E9E"/>
    <w:rsid w:val="0025659D"/>
    <w:rsid w:val="00257442"/>
    <w:rsid w:val="00260D4E"/>
    <w:rsid w:val="00262EF2"/>
    <w:rsid w:val="00263E1E"/>
    <w:rsid w:val="002641C6"/>
    <w:rsid w:val="002664A0"/>
    <w:rsid w:val="00280050"/>
    <w:rsid w:val="002827D6"/>
    <w:rsid w:val="00285752"/>
    <w:rsid w:val="002933F9"/>
    <w:rsid w:val="002A04D5"/>
    <w:rsid w:val="002A5697"/>
    <w:rsid w:val="002B0DEF"/>
    <w:rsid w:val="002B68BE"/>
    <w:rsid w:val="002C32BB"/>
    <w:rsid w:val="002C5D11"/>
    <w:rsid w:val="002C664C"/>
    <w:rsid w:val="002D559E"/>
    <w:rsid w:val="002E5488"/>
    <w:rsid w:val="002F0FD5"/>
    <w:rsid w:val="002F31C3"/>
    <w:rsid w:val="002F61FB"/>
    <w:rsid w:val="002F665A"/>
    <w:rsid w:val="003122FE"/>
    <w:rsid w:val="0032265B"/>
    <w:rsid w:val="00325A17"/>
    <w:rsid w:val="003316DD"/>
    <w:rsid w:val="0033506F"/>
    <w:rsid w:val="003455EB"/>
    <w:rsid w:val="00351A54"/>
    <w:rsid w:val="0036373D"/>
    <w:rsid w:val="00365180"/>
    <w:rsid w:val="00374898"/>
    <w:rsid w:val="003765D2"/>
    <w:rsid w:val="00382141"/>
    <w:rsid w:val="00382678"/>
    <w:rsid w:val="00385693"/>
    <w:rsid w:val="003911F8"/>
    <w:rsid w:val="003941B2"/>
    <w:rsid w:val="00395EE4"/>
    <w:rsid w:val="003A0B2B"/>
    <w:rsid w:val="003A0EC8"/>
    <w:rsid w:val="003A4297"/>
    <w:rsid w:val="003A69F0"/>
    <w:rsid w:val="003A7580"/>
    <w:rsid w:val="003B3237"/>
    <w:rsid w:val="003B4570"/>
    <w:rsid w:val="003B592D"/>
    <w:rsid w:val="003B650F"/>
    <w:rsid w:val="003B7BAB"/>
    <w:rsid w:val="003C0FC4"/>
    <w:rsid w:val="003C48FF"/>
    <w:rsid w:val="003D116D"/>
    <w:rsid w:val="003D52CC"/>
    <w:rsid w:val="003F1058"/>
    <w:rsid w:val="003F14D1"/>
    <w:rsid w:val="00403ED8"/>
    <w:rsid w:val="00413DFC"/>
    <w:rsid w:val="00416981"/>
    <w:rsid w:val="00426F5D"/>
    <w:rsid w:val="0043173F"/>
    <w:rsid w:val="00431D2E"/>
    <w:rsid w:val="004352D1"/>
    <w:rsid w:val="00437FB0"/>
    <w:rsid w:val="004455C3"/>
    <w:rsid w:val="004601E0"/>
    <w:rsid w:val="004609A2"/>
    <w:rsid w:val="004816F4"/>
    <w:rsid w:val="00482E23"/>
    <w:rsid w:val="00491105"/>
    <w:rsid w:val="00494F4E"/>
    <w:rsid w:val="004972F0"/>
    <w:rsid w:val="004A5930"/>
    <w:rsid w:val="004B2CAB"/>
    <w:rsid w:val="004D2DE0"/>
    <w:rsid w:val="004D4286"/>
    <w:rsid w:val="004E511F"/>
    <w:rsid w:val="004E5A7E"/>
    <w:rsid w:val="004E6841"/>
    <w:rsid w:val="004F2F76"/>
    <w:rsid w:val="005052B3"/>
    <w:rsid w:val="0051042C"/>
    <w:rsid w:val="00520628"/>
    <w:rsid w:val="0052363F"/>
    <w:rsid w:val="00524BFD"/>
    <w:rsid w:val="005337D5"/>
    <w:rsid w:val="00534E02"/>
    <w:rsid w:val="00543715"/>
    <w:rsid w:val="0054450B"/>
    <w:rsid w:val="005469FA"/>
    <w:rsid w:val="0055049C"/>
    <w:rsid w:val="00553E90"/>
    <w:rsid w:val="005575A1"/>
    <w:rsid w:val="005622E5"/>
    <w:rsid w:val="00565188"/>
    <w:rsid w:val="005658F0"/>
    <w:rsid w:val="0056716C"/>
    <w:rsid w:val="005830B4"/>
    <w:rsid w:val="00584D14"/>
    <w:rsid w:val="005867CD"/>
    <w:rsid w:val="005929C5"/>
    <w:rsid w:val="00594C47"/>
    <w:rsid w:val="00594EC5"/>
    <w:rsid w:val="005A4326"/>
    <w:rsid w:val="005A6A92"/>
    <w:rsid w:val="005B40F5"/>
    <w:rsid w:val="005B5B63"/>
    <w:rsid w:val="005B5B70"/>
    <w:rsid w:val="005B7D5C"/>
    <w:rsid w:val="005C27E0"/>
    <w:rsid w:val="005C5ABF"/>
    <w:rsid w:val="005D307A"/>
    <w:rsid w:val="005D4CF1"/>
    <w:rsid w:val="005D5CCD"/>
    <w:rsid w:val="005D665B"/>
    <w:rsid w:val="005E3460"/>
    <w:rsid w:val="005E46FA"/>
    <w:rsid w:val="005E4B44"/>
    <w:rsid w:val="005F43E2"/>
    <w:rsid w:val="0060006F"/>
    <w:rsid w:val="006013E2"/>
    <w:rsid w:val="0060174F"/>
    <w:rsid w:val="00606276"/>
    <w:rsid w:val="00612A2F"/>
    <w:rsid w:val="006162B2"/>
    <w:rsid w:val="0062296B"/>
    <w:rsid w:val="00627B64"/>
    <w:rsid w:val="006308B7"/>
    <w:rsid w:val="0063415E"/>
    <w:rsid w:val="006414C1"/>
    <w:rsid w:val="006433F5"/>
    <w:rsid w:val="006476E6"/>
    <w:rsid w:val="006509FD"/>
    <w:rsid w:val="0065327D"/>
    <w:rsid w:val="00656697"/>
    <w:rsid w:val="00662782"/>
    <w:rsid w:val="00665F41"/>
    <w:rsid w:val="00666171"/>
    <w:rsid w:val="006822E6"/>
    <w:rsid w:val="0068688F"/>
    <w:rsid w:val="0069364D"/>
    <w:rsid w:val="006A2CB7"/>
    <w:rsid w:val="006A53DE"/>
    <w:rsid w:val="006A7397"/>
    <w:rsid w:val="006A7465"/>
    <w:rsid w:val="006B6D02"/>
    <w:rsid w:val="006B7CBF"/>
    <w:rsid w:val="006C0BDB"/>
    <w:rsid w:val="006C1563"/>
    <w:rsid w:val="006C1D0B"/>
    <w:rsid w:val="006C50E5"/>
    <w:rsid w:val="006D20C8"/>
    <w:rsid w:val="006D2B2B"/>
    <w:rsid w:val="006D471A"/>
    <w:rsid w:val="006E643B"/>
    <w:rsid w:val="006F22A3"/>
    <w:rsid w:val="006F469D"/>
    <w:rsid w:val="006F7B0A"/>
    <w:rsid w:val="007078E3"/>
    <w:rsid w:val="007102C7"/>
    <w:rsid w:val="007142DE"/>
    <w:rsid w:val="0071461C"/>
    <w:rsid w:val="00725352"/>
    <w:rsid w:val="00736CF5"/>
    <w:rsid w:val="007378A6"/>
    <w:rsid w:val="00744A88"/>
    <w:rsid w:val="007455F8"/>
    <w:rsid w:val="00753014"/>
    <w:rsid w:val="007560C9"/>
    <w:rsid w:val="00757EF9"/>
    <w:rsid w:val="00767D76"/>
    <w:rsid w:val="00783C38"/>
    <w:rsid w:val="007855D0"/>
    <w:rsid w:val="00793757"/>
    <w:rsid w:val="00794831"/>
    <w:rsid w:val="007A4FA7"/>
    <w:rsid w:val="007A5578"/>
    <w:rsid w:val="007A6E8B"/>
    <w:rsid w:val="007B6DC9"/>
    <w:rsid w:val="007B7370"/>
    <w:rsid w:val="007B7482"/>
    <w:rsid w:val="007C0DDE"/>
    <w:rsid w:val="007C5C4C"/>
    <w:rsid w:val="007C6F19"/>
    <w:rsid w:val="007D35A5"/>
    <w:rsid w:val="007D58BE"/>
    <w:rsid w:val="007F5EFD"/>
    <w:rsid w:val="0080310D"/>
    <w:rsid w:val="00807C9D"/>
    <w:rsid w:val="008205FB"/>
    <w:rsid w:val="00826669"/>
    <w:rsid w:val="00830990"/>
    <w:rsid w:val="008321DF"/>
    <w:rsid w:val="00833A37"/>
    <w:rsid w:val="00834410"/>
    <w:rsid w:val="00834D5F"/>
    <w:rsid w:val="008429D8"/>
    <w:rsid w:val="008430BD"/>
    <w:rsid w:val="00870C64"/>
    <w:rsid w:val="00875D4C"/>
    <w:rsid w:val="00881DB9"/>
    <w:rsid w:val="0088333D"/>
    <w:rsid w:val="0088403E"/>
    <w:rsid w:val="00886C52"/>
    <w:rsid w:val="0089220B"/>
    <w:rsid w:val="008956F8"/>
    <w:rsid w:val="00895DFC"/>
    <w:rsid w:val="00897639"/>
    <w:rsid w:val="008A1B0D"/>
    <w:rsid w:val="008A46A0"/>
    <w:rsid w:val="008A586A"/>
    <w:rsid w:val="008B117D"/>
    <w:rsid w:val="008B4B8A"/>
    <w:rsid w:val="008B68C5"/>
    <w:rsid w:val="008B7C68"/>
    <w:rsid w:val="008C3C75"/>
    <w:rsid w:val="008E5732"/>
    <w:rsid w:val="008F6D41"/>
    <w:rsid w:val="0090219C"/>
    <w:rsid w:val="0090352A"/>
    <w:rsid w:val="00911B98"/>
    <w:rsid w:val="00912435"/>
    <w:rsid w:val="00912D26"/>
    <w:rsid w:val="00915053"/>
    <w:rsid w:val="00915526"/>
    <w:rsid w:val="00921B48"/>
    <w:rsid w:val="00921D67"/>
    <w:rsid w:val="00923FB3"/>
    <w:rsid w:val="00924C9A"/>
    <w:rsid w:val="00930C4E"/>
    <w:rsid w:val="00934250"/>
    <w:rsid w:val="00934F5A"/>
    <w:rsid w:val="00940679"/>
    <w:rsid w:val="009454DF"/>
    <w:rsid w:val="00950490"/>
    <w:rsid w:val="00953360"/>
    <w:rsid w:val="009541A2"/>
    <w:rsid w:val="009560B2"/>
    <w:rsid w:val="00972BE9"/>
    <w:rsid w:val="00977548"/>
    <w:rsid w:val="00981393"/>
    <w:rsid w:val="00984E09"/>
    <w:rsid w:val="00986AD2"/>
    <w:rsid w:val="00995566"/>
    <w:rsid w:val="009C2D97"/>
    <w:rsid w:val="009C71C6"/>
    <w:rsid w:val="009D6232"/>
    <w:rsid w:val="009D6CD2"/>
    <w:rsid w:val="009E0667"/>
    <w:rsid w:val="009E4D42"/>
    <w:rsid w:val="009E753B"/>
    <w:rsid w:val="009F1B5F"/>
    <w:rsid w:val="00A02FA1"/>
    <w:rsid w:val="00A03CCA"/>
    <w:rsid w:val="00A04DF2"/>
    <w:rsid w:val="00A05BA1"/>
    <w:rsid w:val="00A1673E"/>
    <w:rsid w:val="00A1685D"/>
    <w:rsid w:val="00A257B8"/>
    <w:rsid w:val="00A31CC7"/>
    <w:rsid w:val="00A345E6"/>
    <w:rsid w:val="00A354E3"/>
    <w:rsid w:val="00A406F2"/>
    <w:rsid w:val="00A42098"/>
    <w:rsid w:val="00A42C81"/>
    <w:rsid w:val="00A46EA2"/>
    <w:rsid w:val="00A548DF"/>
    <w:rsid w:val="00A54DAD"/>
    <w:rsid w:val="00A57C57"/>
    <w:rsid w:val="00A63804"/>
    <w:rsid w:val="00A63C50"/>
    <w:rsid w:val="00A66CCE"/>
    <w:rsid w:val="00A714D7"/>
    <w:rsid w:val="00A71599"/>
    <w:rsid w:val="00A81225"/>
    <w:rsid w:val="00A8172F"/>
    <w:rsid w:val="00A85C00"/>
    <w:rsid w:val="00A91C7D"/>
    <w:rsid w:val="00A9426C"/>
    <w:rsid w:val="00A94461"/>
    <w:rsid w:val="00A958CC"/>
    <w:rsid w:val="00AA7276"/>
    <w:rsid w:val="00AB016D"/>
    <w:rsid w:val="00AB6F63"/>
    <w:rsid w:val="00AC1967"/>
    <w:rsid w:val="00AC2E46"/>
    <w:rsid w:val="00AC3B62"/>
    <w:rsid w:val="00AC774E"/>
    <w:rsid w:val="00AD0BA4"/>
    <w:rsid w:val="00AD4BE6"/>
    <w:rsid w:val="00AD6CFF"/>
    <w:rsid w:val="00AD78AA"/>
    <w:rsid w:val="00AE2522"/>
    <w:rsid w:val="00AE2CA7"/>
    <w:rsid w:val="00AF19C0"/>
    <w:rsid w:val="00AF5DF0"/>
    <w:rsid w:val="00AF7C3D"/>
    <w:rsid w:val="00B016B4"/>
    <w:rsid w:val="00B02C97"/>
    <w:rsid w:val="00B048FD"/>
    <w:rsid w:val="00B05B3F"/>
    <w:rsid w:val="00B05D32"/>
    <w:rsid w:val="00B06303"/>
    <w:rsid w:val="00B075CE"/>
    <w:rsid w:val="00B079B1"/>
    <w:rsid w:val="00B104B8"/>
    <w:rsid w:val="00B10DE7"/>
    <w:rsid w:val="00B1506F"/>
    <w:rsid w:val="00B21134"/>
    <w:rsid w:val="00B21FEF"/>
    <w:rsid w:val="00B23C9C"/>
    <w:rsid w:val="00B24483"/>
    <w:rsid w:val="00B25130"/>
    <w:rsid w:val="00B25A76"/>
    <w:rsid w:val="00B32107"/>
    <w:rsid w:val="00B36542"/>
    <w:rsid w:val="00B42A5C"/>
    <w:rsid w:val="00B46FBB"/>
    <w:rsid w:val="00B51965"/>
    <w:rsid w:val="00B54A53"/>
    <w:rsid w:val="00B648F6"/>
    <w:rsid w:val="00B72B76"/>
    <w:rsid w:val="00B75307"/>
    <w:rsid w:val="00B811F7"/>
    <w:rsid w:val="00BA2A47"/>
    <w:rsid w:val="00BB4B9E"/>
    <w:rsid w:val="00BB52AA"/>
    <w:rsid w:val="00BB7633"/>
    <w:rsid w:val="00BC086E"/>
    <w:rsid w:val="00BC768E"/>
    <w:rsid w:val="00BE10CE"/>
    <w:rsid w:val="00BE4D57"/>
    <w:rsid w:val="00BF0D41"/>
    <w:rsid w:val="00BF1B6E"/>
    <w:rsid w:val="00BF48FC"/>
    <w:rsid w:val="00BF49F6"/>
    <w:rsid w:val="00BF6B3C"/>
    <w:rsid w:val="00C008D2"/>
    <w:rsid w:val="00C06784"/>
    <w:rsid w:val="00C108B2"/>
    <w:rsid w:val="00C24FD5"/>
    <w:rsid w:val="00C26898"/>
    <w:rsid w:val="00C27454"/>
    <w:rsid w:val="00C3337E"/>
    <w:rsid w:val="00C3600D"/>
    <w:rsid w:val="00C40544"/>
    <w:rsid w:val="00C40F6C"/>
    <w:rsid w:val="00C415BE"/>
    <w:rsid w:val="00C432BF"/>
    <w:rsid w:val="00C43A40"/>
    <w:rsid w:val="00C507F9"/>
    <w:rsid w:val="00C53BA9"/>
    <w:rsid w:val="00C652CD"/>
    <w:rsid w:val="00C674BC"/>
    <w:rsid w:val="00C702A7"/>
    <w:rsid w:val="00C70A90"/>
    <w:rsid w:val="00C71287"/>
    <w:rsid w:val="00C777C2"/>
    <w:rsid w:val="00C86D15"/>
    <w:rsid w:val="00C86EB9"/>
    <w:rsid w:val="00C870AC"/>
    <w:rsid w:val="00C90AF4"/>
    <w:rsid w:val="00C915F5"/>
    <w:rsid w:val="00C91910"/>
    <w:rsid w:val="00CA0E57"/>
    <w:rsid w:val="00CA1DED"/>
    <w:rsid w:val="00CA285A"/>
    <w:rsid w:val="00CA4D08"/>
    <w:rsid w:val="00CB55A7"/>
    <w:rsid w:val="00CB5E55"/>
    <w:rsid w:val="00CC076D"/>
    <w:rsid w:val="00CD1B9D"/>
    <w:rsid w:val="00CD5753"/>
    <w:rsid w:val="00CD57C5"/>
    <w:rsid w:val="00CE0213"/>
    <w:rsid w:val="00CE2CD2"/>
    <w:rsid w:val="00CF38F1"/>
    <w:rsid w:val="00CF5AB2"/>
    <w:rsid w:val="00D00CA3"/>
    <w:rsid w:val="00D04050"/>
    <w:rsid w:val="00D06797"/>
    <w:rsid w:val="00D06BD7"/>
    <w:rsid w:val="00D137F1"/>
    <w:rsid w:val="00D20112"/>
    <w:rsid w:val="00D22452"/>
    <w:rsid w:val="00D23DF9"/>
    <w:rsid w:val="00D24FE2"/>
    <w:rsid w:val="00D25FAD"/>
    <w:rsid w:val="00D33368"/>
    <w:rsid w:val="00D37C02"/>
    <w:rsid w:val="00D40B56"/>
    <w:rsid w:val="00D40D4D"/>
    <w:rsid w:val="00D532F5"/>
    <w:rsid w:val="00D606B4"/>
    <w:rsid w:val="00D63346"/>
    <w:rsid w:val="00D643F8"/>
    <w:rsid w:val="00D7379F"/>
    <w:rsid w:val="00D74448"/>
    <w:rsid w:val="00D76F98"/>
    <w:rsid w:val="00D874D7"/>
    <w:rsid w:val="00DA30EE"/>
    <w:rsid w:val="00DA5349"/>
    <w:rsid w:val="00DA534F"/>
    <w:rsid w:val="00DA65D7"/>
    <w:rsid w:val="00DA6728"/>
    <w:rsid w:val="00DA76F7"/>
    <w:rsid w:val="00DB00F2"/>
    <w:rsid w:val="00DB31EA"/>
    <w:rsid w:val="00DB3808"/>
    <w:rsid w:val="00DB6D41"/>
    <w:rsid w:val="00DC515A"/>
    <w:rsid w:val="00DC5673"/>
    <w:rsid w:val="00DD11C7"/>
    <w:rsid w:val="00DF1118"/>
    <w:rsid w:val="00DF21CA"/>
    <w:rsid w:val="00E00ABC"/>
    <w:rsid w:val="00E05A0F"/>
    <w:rsid w:val="00E06E67"/>
    <w:rsid w:val="00E103E7"/>
    <w:rsid w:val="00E14370"/>
    <w:rsid w:val="00E14970"/>
    <w:rsid w:val="00E24175"/>
    <w:rsid w:val="00E27B0C"/>
    <w:rsid w:val="00E32205"/>
    <w:rsid w:val="00E339FF"/>
    <w:rsid w:val="00E54F64"/>
    <w:rsid w:val="00E62BF4"/>
    <w:rsid w:val="00E63A84"/>
    <w:rsid w:val="00E65501"/>
    <w:rsid w:val="00E73B26"/>
    <w:rsid w:val="00E761B7"/>
    <w:rsid w:val="00E76259"/>
    <w:rsid w:val="00E7729C"/>
    <w:rsid w:val="00E85C5B"/>
    <w:rsid w:val="00E87B15"/>
    <w:rsid w:val="00E90BD7"/>
    <w:rsid w:val="00E93521"/>
    <w:rsid w:val="00E94203"/>
    <w:rsid w:val="00E964BE"/>
    <w:rsid w:val="00E9699F"/>
    <w:rsid w:val="00EA0D29"/>
    <w:rsid w:val="00EA329F"/>
    <w:rsid w:val="00EA4FC1"/>
    <w:rsid w:val="00EA5355"/>
    <w:rsid w:val="00EA794F"/>
    <w:rsid w:val="00EC0CE7"/>
    <w:rsid w:val="00ED4760"/>
    <w:rsid w:val="00ED6608"/>
    <w:rsid w:val="00EF58BC"/>
    <w:rsid w:val="00EF642A"/>
    <w:rsid w:val="00F01E97"/>
    <w:rsid w:val="00F07129"/>
    <w:rsid w:val="00F07143"/>
    <w:rsid w:val="00F07186"/>
    <w:rsid w:val="00F14D6C"/>
    <w:rsid w:val="00F2221B"/>
    <w:rsid w:val="00F26522"/>
    <w:rsid w:val="00F330F6"/>
    <w:rsid w:val="00F34516"/>
    <w:rsid w:val="00F3503D"/>
    <w:rsid w:val="00F50254"/>
    <w:rsid w:val="00F50B6B"/>
    <w:rsid w:val="00F57A71"/>
    <w:rsid w:val="00F60F7C"/>
    <w:rsid w:val="00F63290"/>
    <w:rsid w:val="00F71388"/>
    <w:rsid w:val="00F72D14"/>
    <w:rsid w:val="00F746C0"/>
    <w:rsid w:val="00F77FB7"/>
    <w:rsid w:val="00F85CD6"/>
    <w:rsid w:val="00F865BA"/>
    <w:rsid w:val="00F92A2E"/>
    <w:rsid w:val="00F93AFB"/>
    <w:rsid w:val="00F95FB7"/>
    <w:rsid w:val="00FA2AE7"/>
    <w:rsid w:val="00FA5F78"/>
    <w:rsid w:val="00FA6D33"/>
    <w:rsid w:val="00FC3471"/>
    <w:rsid w:val="00FD2252"/>
    <w:rsid w:val="00FE1A5B"/>
    <w:rsid w:val="00FE57CD"/>
    <w:rsid w:val="00FE6866"/>
    <w:rsid w:val="00FF18C1"/>
    <w:rsid w:val="00FF2022"/>
    <w:rsid w:val="00FF3219"/>
    <w:rsid w:val="00FF4E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39EBD"/>
  <w15:chartTrackingRefBased/>
  <w15:docId w15:val="{33420586-97D0-4920-AB09-A0A948DF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DE0"/>
  </w:style>
  <w:style w:type="paragraph" w:styleId="Heading1">
    <w:name w:val="heading 1"/>
    <w:basedOn w:val="Normal"/>
    <w:next w:val="Normal"/>
    <w:link w:val="Heading1Char"/>
    <w:uiPriority w:val="1"/>
    <w:qFormat/>
    <w:rsid w:val="007102C7"/>
    <w:pPr>
      <w:keepNext/>
      <w:keepLines/>
      <w:numPr>
        <w:numId w:val="30"/>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7102C7"/>
    <w:pPr>
      <w:keepNext/>
      <w:keepLines/>
      <w:numPr>
        <w:ilvl w:val="1"/>
        <w:numId w:val="30"/>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7102C7"/>
    <w:pPr>
      <w:keepNext/>
      <w:keepLines/>
      <w:numPr>
        <w:ilvl w:val="2"/>
        <w:numId w:val="30"/>
      </w:numPr>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7102C7"/>
    <w:pPr>
      <w:keepNext/>
      <w:keepLines/>
      <w:numPr>
        <w:ilvl w:val="3"/>
        <w:numId w:val="30"/>
      </w:numPr>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02C7"/>
    <w:pPr>
      <w:keepNext/>
      <w:keepLines/>
      <w:numPr>
        <w:ilvl w:val="4"/>
        <w:numId w:val="30"/>
      </w:numPr>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02C7"/>
    <w:pPr>
      <w:keepNext/>
      <w:keepLines/>
      <w:numPr>
        <w:ilvl w:val="5"/>
        <w:numId w:val="30"/>
      </w:numPr>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02C7"/>
    <w:pPr>
      <w:keepNext/>
      <w:keepLines/>
      <w:numPr>
        <w:ilvl w:val="6"/>
        <w:numId w:val="30"/>
      </w:numPr>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02C7"/>
    <w:pPr>
      <w:keepNext/>
      <w:keepLines/>
      <w:numPr>
        <w:ilvl w:val="7"/>
        <w:numId w:val="30"/>
      </w:numPr>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02C7"/>
    <w:pPr>
      <w:keepNext/>
      <w:keepLines/>
      <w:numPr>
        <w:ilvl w:val="8"/>
        <w:numId w:val="30"/>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02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7102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7102C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1"/>
    <w:rsid w:val="007102C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02C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02C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02C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02C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02C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0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2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2C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102C7"/>
    <w:pPr>
      <w:spacing w:before="160"/>
      <w:jc w:val="center"/>
    </w:pPr>
    <w:rPr>
      <w:i/>
      <w:iCs/>
      <w:color w:val="404040" w:themeColor="text1" w:themeTint="BF"/>
    </w:rPr>
  </w:style>
  <w:style w:type="character" w:customStyle="1" w:styleId="QuoteChar">
    <w:name w:val="Quote Char"/>
    <w:basedOn w:val="DefaultParagraphFont"/>
    <w:link w:val="Quote"/>
    <w:uiPriority w:val="29"/>
    <w:rsid w:val="007102C7"/>
    <w:rPr>
      <w:i/>
      <w:iCs/>
      <w:color w:val="404040" w:themeColor="text1" w:themeTint="BF"/>
    </w:rPr>
  </w:style>
  <w:style w:type="paragraph" w:styleId="ListParagraph">
    <w:name w:val="List Paragraph"/>
    <w:basedOn w:val="Normal"/>
    <w:uiPriority w:val="34"/>
    <w:qFormat/>
    <w:rsid w:val="007102C7"/>
    <w:pPr>
      <w:ind w:left="720"/>
      <w:contextualSpacing/>
    </w:pPr>
  </w:style>
  <w:style w:type="character" w:styleId="IntenseEmphasis">
    <w:name w:val="Intense Emphasis"/>
    <w:basedOn w:val="DefaultParagraphFont"/>
    <w:uiPriority w:val="21"/>
    <w:qFormat/>
    <w:rsid w:val="007102C7"/>
    <w:rPr>
      <w:i/>
      <w:iCs/>
      <w:color w:val="0F4761" w:themeColor="accent1" w:themeShade="BF"/>
    </w:rPr>
  </w:style>
  <w:style w:type="paragraph" w:styleId="IntenseQuote">
    <w:name w:val="Intense Quote"/>
    <w:basedOn w:val="Normal"/>
    <w:next w:val="Normal"/>
    <w:link w:val="IntenseQuoteChar"/>
    <w:uiPriority w:val="30"/>
    <w:qFormat/>
    <w:rsid w:val="00710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2C7"/>
    <w:rPr>
      <w:i/>
      <w:iCs/>
      <w:color w:val="0F4761" w:themeColor="accent1" w:themeShade="BF"/>
    </w:rPr>
  </w:style>
  <w:style w:type="character" w:styleId="IntenseReference">
    <w:name w:val="Intense Reference"/>
    <w:basedOn w:val="DefaultParagraphFont"/>
    <w:uiPriority w:val="32"/>
    <w:qFormat/>
    <w:rsid w:val="007102C7"/>
    <w:rPr>
      <w:b/>
      <w:bCs/>
      <w:smallCaps/>
      <w:color w:val="0F4761" w:themeColor="accent1" w:themeShade="BF"/>
      <w:spacing w:val="5"/>
    </w:rPr>
  </w:style>
  <w:style w:type="paragraph" w:styleId="Header">
    <w:name w:val="header"/>
    <w:basedOn w:val="Normal"/>
    <w:link w:val="HeaderChar"/>
    <w:uiPriority w:val="99"/>
    <w:unhideWhenUsed/>
    <w:rsid w:val="00C53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BA9"/>
  </w:style>
  <w:style w:type="paragraph" w:styleId="Footer">
    <w:name w:val="footer"/>
    <w:basedOn w:val="Normal"/>
    <w:link w:val="FooterChar"/>
    <w:uiPriority w:val="99"/>
    <w:unhideWhenUsed/>
    <w:rsid w:val="00C53B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BA9"/>
  </w:style>
  <w:style w:type="paragraph" w:styleId="FootnoteText">
    <w:name w:val="footnote text"/>
    <w:aliases w:val="single space Char,single space,FOOTNOTES,fn,ADB,WB-Fußnotentext,Fußnote,WB-Fuﬂnotentext,Fuﬂnote,Car,Note de bas de page2,Note de basFootnote text,ACMA Footnote Text"/>
    <w:basedOn w:val="Normal"/>
    <w:link w:val="FootnoteTextChar"/>
    <w:uiPriority w:val="10"/>
    <w:semiHidden/>
    <w:unhideWhenUsed/>
    <w:qFormat/>
    <w:rsid w:val="004D2DE0"/>
    <w:pPr>
      <w:spacing w:after="0" w:line="240" w:lineRule="auto"/>
    </w:pPr>
    <w:rPr>
      <w:szCs w:val="20"/>
    </w:rPr>
  </w:style>
  <w:style w:type="character" w:customStyle="1" w:styleId="FootnoteTextChar">
    <w:name w:val="Footnote Text Char"/>
    <w:aliases w:val="single space Char Char,single space Char1,FOOTNOTES Char,fn Char,ADB Char,WB-Fußnotentext Char,Fußnote Char,WB-Fuﬂnotentext Char,Fuﬂnote Char,Car Char,Note de bas de page2 Char,Note de basFootnote text Char,ACMA Footnote Text Char"/>
    <w:basedOn w:val="DefaultParagraphFont"/>
    <w:link w:val="FootnoteText"/>
    <w:uiPriority w:val="10"/>
    <w:semiHidden/>
    <w:rsid w:val="004D2DE0"/>
    <w:rPr>
      <w:szCs w:val="20"/>
    </w:rPr>
  </w:style>
  <w:style w:type="character" w:styleId="FootnoteReference">
    <w:name w:val="footnote reference"/>
    <w:aliases w:val="Footnote text,ftref,BVI fnr,FNRefe"/>
    <w:basedOn w:val="DefaultParagraphFont"/>
    <w:uiPriority w:val="99"/>
    <w:semiHidden/>
    <w:unhideWhenUsed/>
    <w:qFormat/>
    <w:rsid w:val="004D2DE0"/>
    <w:rPr>
      <w:vertAlign w:val="superscript"/>
      <w:lang w:val="en-AU"/>
    </w:rPr>
  </w:style>
  <w:style w:type="character" w:styleId="Hyperlink">
    <w:name w:val="Hyperlink"/>
    <w:basedOn w:val="DefaultParagraphFont"/>
    <w:uiPriority w:val="99"/>
    <w:rsid w:val="004D2DE0"/>
    <w:rPr>
      <w:color w:val="467886" w:themeColor="hyperlink"/>
      <w:u w:val="single"/>
      <w:lang w:val="en-AU"/>
    </w:rPr>
  </w:style>
  <w:style w:type="paragraph" w:styleId="TOC1">
    <w:name w:val="toc 1"/>
    <w:basedOn w:val="Normal"/>
    <w:next w:val="Normal"/>
    <w:uiPriority w:val="39"/>
    <w:rsid w:val="004D2DE0"/>
    <w:pPr>
      <w:tabs>
        <w:tab w:val="left" w:pos="567"/>
        <w:tab w:val="right" w:pos="8959"/>
      </w:tabs>
      <w:spacing w:after="120" w:line="320" w:lineRule="atLeast"/>
      <w:ind w:left="567" w:right="567" w:hanging="567"/>
    </w:pPr>
    <w:rPr>
      <w:rFonts w:ascii="Calibri Light" w:hAnsi="Calibri Light" w:cstheme="minorBidi"/>
      <w:kern w:val="0"/>
      <w:szCs w:val="18"/>
      <w14:ligatures w14:val="none"/>
    </w:rPr>
  </w:style>
  <w:style w:type="table" w:customStyle="1" w:styleId="Deloittetable">
    <w:name w:val="Deloitte table"/>
    <w:basedOn w:val="TableNormal"/>
    <w:uiPriority w:val="99"/>
    <w:rsid w:val="004D2DE0"/>
    <w:pPr>
      <w:spacing w:after="0" w:line="240" w:lineRule="atLeast"/>
      <w:ind w:left="57" w:right="57"/>
    </w:pPr>
    <w:rPr>
      <w:rFonts w:ascii="Verdana" w:hAnsi="Verdana" w:cstheme="minorBidi"/>
      <w:kern w:val="0"/>
      <w:sz w:val="17"/>
      <w:szCs w:val="18"/>
      <w:lang w:val="en-GB"/>
      <w14:ligatures w14:val="none"/>
    </w:rPr>
    <w:tblPr>
      <w:tblBorders>
        <w:top w:val="single" w:sz="4" w:space="0" w:color="196B24" w:themeColor="accent3"/>
        <w:bottom w:val="single" w:sz="4" w:space="0" w:color="000000" w:themeColor="text1"/>
        <w:insideH w:val="single" w:sz="4" w:space="0" w:color="000000" w:themeColor="text1"/>
      </w:tblBorders>
      <w:tblCellMar>
        <w:top w:w="57" w:type="dxa"/>
        <w:left w:w="0" w:type="dxa"/>
        <w:bottom w:w="57" w:type="dxa"/>
        <w:right w:w="0" w:type="dxa"/>
      </w:tblCellMar>
    </w:tblPr>
    <w:tblStylePr w:type="firstRow">
      <w:tblPr/>
      <w:tcPr>
        <w:tcBorders>
          <w:top w:val="single" w:sz="24" w:space="0" w:color="196B24" w:themeColor="accent3"/>
        </w:tcBorders>
      </w:tcPr>
    </w:tblStylePr>
  </w:style>
  <w:style w:type="paragraph" w:customStyle="1" w:styleId="TabletextLeft">
    <w:name w:val="Table text Left"/>
    <w:basedOn w:val="Normal"/>
    <w:uiPriority w:val="5"/>
    <w:rsid w:val="004D2DE0"/>
    <w:pPr>
      <w:spacing w:after="0" w:line="200" w:lineRule="atLeast"/>
      <w:ind w:left="57" w:right="57"/>
    </w:pPr>
    <w:rPr>
      <w:rFonts w:ascii="Calibri Light" w:hAnsi="Calibri Light" w:cstheme="minorBidi"/>
      <w:kern w:val="0"/>
      <w:sz w:val="17"/>
      <w:szCs w:val="18"/>
      <w14:ligatures w14:val="none"/>
    </w:rPr>
  </w:style>
  <w:style w:type="character" w:styleId="CommentReference">
    <w:name w:val="annotation reference"/>
    <w:basedOn w:val="DefaultParagraphFont"/>
    <w:uiPriority w:val="99"/>
    <w:semiHidden/>
    <w:rsid w:val="004D2DE0"/>
    <w:rPr>
      <w:sz w:val="16"/>
      <w:szCs w:val="16"/>
      <w:lang w:val="en-AU"/>
    </w:rPr>
  </w:style>
  <w:style w:type="paragraph" w:styleId="CommentText">
    <w:name w:val="annotation text"/>
    <w:basedOn w:val="Normal"/>
    <w:link w:val="CommentTextChar"/>
    <w:uiPriority w:val="99"/>
    <w:rsid w:val="004D2DE0"/>
    <w:pPr>
      <w:spacing w:after="170" w:line="240" w:lineRule="auto"/>
    </w:pPr>
    <w:rPr>
      <w:rFonts w:ascii="Calibri Light" w:hAnsi="Calibri Light" w:cstheme="minorBidi"/>
      <w:kern w:val="0"/>
      <w:szCs w:val="20"/>
      <w14:ligatures w14:val="none"/>
    </w:rPr>
  </w:style>
  <w:style w:type="character" w:customStyle="1" w:styleId="CommentTextChar">
    <w:name w:val="Comment Text Char"/>
    <w:basedOn w:val="DefaultParagraphFont"/>
    <w:link w:val="CommentText"/>
    <w:uiPriority w:val="99"/>
    <w:rsid w:val="004D2DE0"/>
    <w:rPr>
      <w:rFonts w:ascii="Calibri Light" w:hAnsi="Calibri Light" w:cstheme="minorBidi"/>
      <w:kern w:val="0"/>
      <w:szCs w:val="20"/>
      <w14:ligatures w14:val="none"/>
    </w:rPr>
  </w:style>
  <w:style w:type="paragraph" w:styleId="TOC2">
    <w:name w:val="toc 2"/>
    <w:basedOn w:val="Normal"/>
    <w:next w:val="Normal"/>
    <w:uiPriority w:val="39"/>
    <w:rsid w:val="004D2DE0"/>
    <w:pPr>
      <w:tabs>
        <w:tab w:val="left" w:pos="567"/>
        <w:tab w:val="right" w:pos="8959"/>
      </w:tabs>
      <w:spacing w:after="100" w:line="240" w:lineRule="atLeast"/>
      <w:ind w:left="1134" w:right="567" w:hanging="567"/>
      <w:contextualSpacing/>
    </w:pPr>
    <w:rPr>
      <w:rFonts w:ascii="Calibri Light" w:hAnsi="Calibri Light" w:cstheme="minorBidi"/>
      <w:kern w:val="0"/>
      <w:szCs w:val="18"/>
      <w14:ligatures w14:val="none"/>
    </w:rPr>
  </w:style>
  <w:style w:type="paragraph" w:styleId="TOC3">
    <w:name w:val="toc 3"/>
    <w:basedOn w:val="Normal"/>
    <w:next w:val="Normal"/>
    <w:uiPriority w:val="39"/>
    <w:rsid w:val="004D2DE0"/>
    <w:pPr>
      <w:tabs>
        <w:tab w:val="left" w:pos="1021"/>
        <w:tab w:val="right" w:pos="8959"/>
      </w:tabs>
      <w:spacing w:after="100" w:line="240" w:lineRule="atLeast"/>
      <w:ind w:left="567" w:right="567"/>
      <w:contextualSpacing/>
    </w:pPr>
    <w:rPr>
      <w:rFonts w:ascii="Calibri Light" w:hAnsi="Calibri Light" w:cstheme="minorBidi"/>
      <w:kern w:val="0"/>
      <w:szCs w:val="18"/>
      <w14:ligatures w14:val="none"/>
    </w:rPr>
  </w:style>
  <w:style w:type="paragraph" w:styleId="TOCHeading">
    <w:name w:val="TOC Heading"/>
    <w:next w:val="Normal"/>
    <w:uiPriority w:val="39"/>
    <w:qFormat/>
    <w:rsid w:val="004D2DE0"/>
    <w:pPr>
      <w:spacing w:after="480" w:line="720" w:lineRule="atLeast"/>
    </w:pPr>
    <w:rPr>
      <w:rFonts w:ascii="Verdana" w:eastAsiaTheme="majorEastAsia" w:hAnsi="Verdana" w:cstheme="majorBidi"/>
      <w:bCs/>
      <w:kern w:val="0"/>
      <w:sz w:val="60"/>
      <w:szCs w:val="28"/>
      <w14:ligatures w14:val="none"/>
    </w:rPr>
  </w:style>
  <w:style w:type="table" w:styleId="TableGrid">
    <w:name w:val="Table Grid"/>
    <w:basedOn w:val="TableNormal"/>
    <w:uiPriority w:val="39"/>
    <w:rsid w:val="0089220B"/>
    <w:pPr>
      <w:spacing w:after="0" w:line="240" w:lineRule="atLeast"/>
    </w:pPr>
    <w:rPr>
      <w:rFonts w:ascii="Verdana" w:hAnsi="Verdana" w:cstheme="minorBidi"/>
      <w:kern w:val="0"/>
      <w:sz w:val="18"/>
      <w:szCs w:val="18"/>
      <w:lang w:val="en-GB"/>
      <w14:ligatures w14:val="none"/>
    </w:rPr>
    <w:tblPr>
      <w:tblCellMar>
        <w:left w:w="0" w:type="dxa"/>
        <w:right w:w="0" w:type="dxa"/>
      </w:tblCellMar>
    </w:tblPr>
    <w:tblStylePr w:type="firstRow">
      <w:rPr>
        <w:color w:val="auto"/>
      </w:rPr>
      <w:tblPr/>
      <w:tcPr>
        <w:tcBorders>
          <w:top w:val="nil"/>
          <w:left w:val="nil"/>
          <w:bottom w:val="nil"/>
          <w:right w:val="nil"/>
          <w:insideH w:val="nil"/>
          <w:insideV w:val="nil"/>
          <w:tl2br w:val="nil"/>
          <w:tr2bl w:val="nil"/>
        </w:tcBorders>
      </w:tcPr>
    </w:tblStylePr>
  </w:style>
  <w:style w:type="paragraph" w:customStyle="1" w:styleId="CaptionTable">
    <w:name w:val="Caption_Table"/>
    <w:basedOn w:val="Normal"/>
    <w:next w:val="Normal"/>
    <w:uiPriority w:val="4"/>
    <w:rsid w:val="00D06797"/>
    <w:pPr>
      <w:keepNext/>
      <w:keepLines/>
      <w:spacing w:before="240" w:after="240" w:line="240" w:lineRule="atLeast"/>
    </w:pPr>
    <w:rPr>
      <w:rFonts w:ascii="Calibri Light" w:eastAsia="Times New Roman" w:hAnsi="Calibri Light"/>
      <w:color w:val="4EA72E" w:themeColor="accent6"/>
      <w:kern w:val="0"/>
      <w:sz w:val="17"/>
      <w:szCs w:val="20"/>
      <w14:ligatures w14:val="none"/>
    </w:rPr>
  </w:style>
  <w:style w:type="paragraph" w:customStyle="1" w:styleId="Source">
    <w:name w:val="Source"/>
    <w:basedOn w:val="Caption"/>
    <w:next w:val="Normal"/>
    <w:uiPriority w:val="6"/>
    <w:rsid w:val="00D06797"/>
    <w:pPr>
      <w:spacing w:before="120" w:after="240" w:line="240" w:lineRule="atLeast"/>
    </w:pPr>
    <w:rPr>
      <w:rFonts w:ascii="Calibri Light" w:hAnsi="Calibri Light" w:cstheme="minorBidi"/>
      <w:i w:val="0"/>
      <w:color w:val="4EA72E" w:themeColor="accent6"/>
      <w:kern w:val="0"/>
      <w:sz w:val="14"/>
      <w14:ligatures w14:val="none"/>
    </w:rPr>
  </w:style>
  <w:style w:type="paragraph" w:customStyle="1" w:styleId="Tablecolumnheading">
    <w:name w:val="Table column heading"/>
    <w:basedOn w:val="Normal"/>
    <w:qFormat/>
    <w:rsid w:val="00D06797"/>
    <w:pPr>
      <w:keepNext/>
      <w:spacing w:after="0" w:line="240" w:lineRule="auto"/>
    </w:pPr>
    <w:rPr>
      <w:rFonts w:eastAsia="Times New Roman"/>
      <w:b/>
      <w:kern w:val="0"/>
      <w:sz w:val="18"/>
      <w14:ligatures w14:val="none"/>
    </w:rPr>
  </w:style>
  <w:style w:type="paragraph" w:styleId="Caption">
    <w:name w:val="caption"/>
    <w:basedOn w:val="Normal"/>
    <w:next w:val="Normal"/>
    <w:uiPriority w:val="35"/>
    <w:unhideWhenUsed/>
    <w:qFormat/>
    <w:rsid w:val="00D06797"/>
    <w:pPr>
      <w:spacing w:after="200" w:line="240" w:lineRule="auto"/>
    </w:pPr>
    <w:rPr>
      <w:i/>
      <w:iCs/>
      <w:color w:val="0E2841" w:themeColor="text2"/>
      <w:sz w:val="18"/>
      <w:szCs w:val="18"/>
    </w:rPr>
  </w:style>
  <w:style w:type="paragraph" w:customStyle="1" w:styleId="CaptionFigure">
    <w:name w:val="Caption_Figure"/>
    <w:basedOn w:val="Normal"/>
    <w:next w:val="Normal"/>
    <w:uiPriority w:val="4"/>
    <w:rsid w:val="00930C4E"/>
    <w:pPr>
      <w:keepNext/>
      <w:keepLines/>
      <w:spacing w:after="170" w:line="240" w:lineRule="atLeast"/>
    </w:pPr>
    <w:rPr>
      <w:rFonts w:ascii="Calibri Light" w:hAnsi="Calibri Light" w:cstheme="minorBidi"/>
      <w:bCs/>
      <w:color w:val="4EA72E" w:themeColor="accent6"/>
      <w:kern w:val="0"/>
      <w:sz w:val="17"/>
      <w:szCs w:val="22"/>
      <w14:ligatures w14:val="none"/>
    </w:rPr>
  </w:style>
  <w:style w:type="paragraph" w:customStyle="1" w:styleId="Sectionintro">
    <w:name w:val="Section intro"/>
    <w:basedOn w:val="Normal"/>
    <w:next w:val="Normal"/>
    <w:uiPriority w:val="2"/>
    <w:qFormat/>
    <w:rsid w:val="006E643B"/>
    <w:pPr>
      <w:spacing w:after="360" w:line="360" w:lineRule="atLeast"/>
      <w:contextualSpacing/>
    </w:pPr>
    <w:rPr>
      <w:rFonts w:ascii="Calibri Light" w:hAnsi="Calibri Light" w:cstheme="minorBidi"/>
      <w:kern w:val="0"/>
      <w:sz w:val="28"/>
      <w:szCs w:val="18"/>
      <w14:ligatures w14:val="none"/>
    </w:rPr>
  </w:style>
  <w:style w:type="paragraph" w:customStyle="1" w:styleId="Bullets1stindent">
    <w:name w:val="Bullets (1st indent)"/>
    <w:basedOn w:val="Normal"/>
    <w:rsid w:val="006E643B"/>
    <w:pPr>
      <w:numPr>
        <w:numId w:val="19"/>
      </w:numPr>
      <w:spacing w:after="120" w:line="240" w:lineRule="auto"/>
      <w:ind w:left="0" w:firstLine="0"/>
    </w:pPr>
    <w:rPr>
      <w:rFonts w:ascii="Cambria" w:eastAsia="Times New Roman" w:hAnsi="Cambria"/>
      <w:kern w:val="0"/>
      <w:sz w:val="22"/>
      <w14:ligatures w14:val="none"/>
    </w:rPr>
  </w:style>
  <w:style w:type="paragraph" w:customStyle="1" w:styleId="Bullets2ndindent">
    <w:name w:val="Bullets (2nd indent)"/>
    <w:basedOn w:val="Normal"/>
    <w:rsid w:val="006E643B"/>
    <w:pPr>
      <w:numPr>
        <w:ilvl w:val="1"/>
        <w:numId w:val="19"/>
      </w:numPr>
      <w:tabs>
        <w:tab w:val="clear" w:pos="567"/>
      </w:tabs>
      <w:spacing w:after="120" w:line="240" w:lineRule="auto"/>
      <w:ind w:left="0" w:firstLine="0"/>
    </w:pPr>
    <w:rPr>
      <w:rFonts w:ascii="Cambria" w:eastAsia="Times New Roman" w:hAnsi="Cambria"/>
      <w:kern w:val="0"/>
      <w:sz w:val="22"/>
      <w14:ligatures w14:val="none"/>
    </w:rPr>
  </w:style>
  <w:style w:type="numbering" w:customStyle="1" w:styleId="Bullets">
    <w:name w:val="Bullets"/>
    <w:basedOn w:val="NoList"/>
    <w:uiPriority w:val="99"/>
    <w:rsid w:val="006E643B"/>
    <w:pPr>
      <w:numPr>
        <w:numId w:val="19"/>
      </w:numPr>
    </w:pPr>
  </w:style>
  <w:style w:type="paragraph" w:customStyle="1" w:styleId="Bulletslast1stindent">
    <w:name w:val="Bullets last (1st indent)"/>
    <w:basedOn w:val="Normal"/>
    <w:rsid w:val="006E643B"/>
    <w:pPr>
      <w:numPr>
        <w:ilvl w:val="2"/>
        <w:numId w:val="19"/>
      </w:numPr>
      <w:tabs>
        <w:tab w:val="clear" w:pos="284"/>
      </w:tabs>
      <w:spacing w:after="120" w:line="240" w:lineRule="auto"/>
      <w:ind w:left="0" w:firstLine="0"/>
    </w:pPr>
    <w:rPr>
      <w:rFonts w:ascii="Cambria" w:eastAsia="Times New Roman" w:hAnsi="Cambria"/>
      <w:kern w:val="0"/>
      <w:sz w:val="22"/>
      <w14:ligatures w14:val="none"/>
    </w:rPr>
  </w:style>
  <w:style w:type="paragraph" w:customStyle="1" w:styleId="Bulletslast2ndindent">
    <w:name w:val="Bullets last (2nd indent)"/>
    <w:basedOn w:val="Normal"/>
    <w:rsid w:val="006E643B"/>
    <w:pPr>
      <w:numPr>
        <w:ilvl w:val="3"/>
        <w:numId w:val="19"/>
      </w:numPr>
      <w:tabs>
        <w:tab w:val="clear" w:pos="567"/>
      </w:tabs>
      <w:spacing w:after="57" w:line="240" w:lineRule="auto"/>
      <w:ind w:left="0" w:firstLine="0"/>
    </w:pPr>
    <w:rPr>
      <w:rFonts w:ascii="Cambria" w:eastAsia="Times New Roman" w:hAnsi="Cambria"/>
      <w:kern w:val="0"/>
      <w:sz w:val="22"/>
      <w14:ligatures w14:val="none"/>
    </w:rPr>
  </w:style>
  <w:style w:type="paragraph" w:customStyle="1" w:styleId="Tablebodytext">
    <w:name w:val="Table body text"/>
    <w:qFormat/>
    <w:rsid w:val="006E643B"/>
    <w:pPr>
      <w:spacing w:after="0" w:line="240" w:lineRule="auto"/>
    </w:pPr>
    <w:rPr>
      <w:rFonts w:eastAsia="Times New Roman"/>
      <w:kern w:val="0"/>
      <w:sz w:val="18"/>
      <w14:ligatures w14:val="none"/>
    </w:rPr>
  </w:style>
  <w:style w:type="paragraph" w:customStyle="1" w:styleId="Tablebullets2ndindent">
    <w:name w:val="Table bullets (2nd indent)"/>
    <w:basedOn w:val="Tablebodytext"/>
    <w:qFormat/>
    <w:rsid w:val="006E643B"/>
    <w:pPr>
      <w:numPr>
        <w:ilvl w:val="6"/>
        <w:numId w:val="19"/>
      </w:numPr>
      <w:tabs>
        <w:tab w:val="clear" w:pos="437"/>
      </w:tabs>
      <w:ind w:left="0" w:firstLine="0"/>
    </w:pPr>
  </w:style>
  <w:style w:type="paragraph" w:customStyle="1" w:styleId="Tablebullets1stindent">
    <w:name w:val="Table bullets (1st indent)"/>
    <w:basedOn w:val="Tablebodytext"/>
    <w:qFormat/>
    <w:rsid w:val="006E643B"/>
    <w:pPr>
      <w:numPr>
        <w:ilvl w:val="5"/>
        <w:numId w:val="19"/>
      </w:numPr>
      <w:tabs>
        <w:tab w:val="clear" w:pos="266"/>
      </w:tabs>
      <w:ind w:left="0" w:firstLine="0"/>
    </w:pPr>
  </w:style>
  <w:style w:type="paragraph" w:styleId="Revision">
    <w:name w:val="Revision"/>
    <w:hidden/>
    <w:uiPriority w:val="99"/>
    <w:semiHidden/>
    <w:rsid w:val="00C777C2"/>
    <w:pPr>
      <w:spacing w:after="0" w:line="240" w:lineRule="auto"/>
    </w:pPr>
  </w:style>
  <w:style w:type="paragraph" w:styleId="CommentSubject">
    <w:name w:val="annotation subject"/>
    <w:basedOn w:val="CommentText"/>
    <w:next w:val="CommentText"/>
    <w:link w:val="CommentSubjectChar"/>
    <w:uiPriority w:val="99"/>
    <w:semiHidden/>
    <w:unhideWhenUsed/>
    <w:rsid w:val="0063415E"/>
    <w:pPr>
      <w:spacing w:after="160"/>
    </w:pPr>
    <w:rPr>
      <w:rFonts w:ascii="Arial" w:hAnsi="Arial" w:cs="Times New Roman"/>
      <w:b/>
      <w:bCs/>
      <w:kern w:val="2"/>
      <w14:ligatures w14:val="standardContextual"/>
    </w:rPr>
  </w:style>
  <w:style w:type="character" w:customStyle="1" w:styleId="CommentSubjectChar">
    <w:name w:val="Comment Subject Char"/>
    <w:basedOn w:val="CommentTextChar"/>
    <w:link w:val="CommentSubject"/>
    <w:uiPriority w:val="99"/>
    <w:semiHidden/>
    <w:rsid w:val="0063415E"/>
    <w:rPr>
      <w:rFonts w:ascii="Calibri Light" w:hAnsi="Calibri Light" w:cstheme="minorBidi"/>
      <w:b/>
      <w:bCs/>
      <w:kern w:val="0"/>
      <w:szCs w:val="20"/>
      <w14:ligatures w14:val="none"/>
    </w:rPr>
  </w:style>
  <w:style w:type="character" w:styleId="Strong">
    <w:name w:val="Strong"/>
    <w:basedOn w:val="DefaultParagraphFont"/>
    <w:uiPriority w:val="22"/>
    <w:qFormat/>
    <w:rsid w:val="0019136F"/>
    <w:rPr>
      <w:b/>
      <w:bCs/>
    </w:rPr>
  </w:style>
  <w:style w:type="character" w:styleId="UnresolvedMention">
    <w:name w:val="Unresolved Mention"/>
    <w:basedOn w:val="DefaultParagraphFont"/>
    <w:uiPriority w:val="99"/>
    <w:semiHidden/>
    <w:unhideWhenUsed/>
    <w:rsid w:val="00365180"/>
    <w:rPr>
      <w:color w:val="605E5C"/>
      <w:shd w:val="clear" w:color="auto" w:fill="E1DFDD"/>
    </w:rPr>
  </w:style>
  <w:style w:type="paragraph" w:styleId="NormalWeb">
    <w:name w:val="Normal (Web)"/>
    <w:basedOn w:val="Normal"/>
    <w:uiPriority w:val="99"/>
    <w:semiHidden/>
    <w:unhideWhenUsed/>
    <w:rsid w:val="00E32205"/>
    <w:pPr>
      <w:spacing w:before="100" w:beforeAutospacing="1" w:after="100" w:afterAutospacing="1" w:line="240" w:lineRule="auto"/>
    </w:pPr>
    <w:rPr>
      <w:rFonts w:ascii="Times New Roman" w:eastAsia="Times New Roman" w:hAnsi="Times New Roman"/>
      <w:kern w:val="0"/>
      <w:sz w:val="24"/>
      <w:lang w:eastAsia="en-AU"/>
      <w14:ligatures w14:val="none"/>
    </w:rPr>
  </w:style>
  <w:style w:type="character" w:styleId="LineNumber">
    <w:name w:val="line number"/>
    <w:basedOn w:val="DefaultParagraphFont"/>
    <w:uiPriority w:val="99"/>
    <w:semiHidden/>
    <w:unhideWhenUsed/>
    <w:rsid w:val="00460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reativecommons.org/licenses/by/4.0/"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ogtr.gov.au/about-ogtr/contact-and-subscrib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ogtr.gov.au/resources/collections/annual-reports-operations-gene-technology-regulator"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ogtr.gov.au/"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file:///C:\Users\STAFMA\AppData\Local\Microsoft\Windows\INetCache\Content.Outlook\MH5C09NO\Guidelines%20for%20the%20certification%20of%20physical%20containment%20facilities%20|%20Office%20of%20the%20Gene%20Technology%20Regulator" TargetMode="External"/><Relationship Id="rId10" Type="http://schemas.openxmlformats.org/officeDocument/2006/relationships/endnotes" Target="endnotes.xml"/><Relationship Id="rId19" Type="http://schemas.openxmlformats.org/officeDocument/2006/relationships/hyperlink" Target="https://www.ogtr.gov.au/"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ogtr.gov.au/about-ogtr/contact-and-subscribe" TargetMode="External"/><Relationship Id="rId27" Type="http://schemas.openxmlformats.org/officeDocument/2006/relationships/image" Target="media/image5.png"/><Relationship Id="rId30"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ecurityClassification xmlns="47541A13-5A31-4C1C-A04D-C79823C32F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DMS Document" ma:contentTypeID="0x010100266966F133664895A6EE3632470D45F500A8D47D66C79B31468D4230095B147221" ma:contentTypeVersion="" ma:contentTypeDescription="PDMS Document Site Content Type" ma:contentTypeScope="" ma:versionID="5709fb931b94c2ca1d111fb5fb71a36f">
  <xsd:schema xmlns:xsd="http://www.w3.org/2001/XMLSchema" xmlns:xs="http://www.w3.org/2001/XMLSchema" xmlns:p="http://schemas.microsoft.com/office/2006/metadata/properties" xmlns:ns2="47541A13-5A31-4C1C-A04D-C79823C32F0C" targetNamespace="http://schemas.microsoft.com/office/2006/metadata/properties" ma:root="true" ma:fieldsID="e51ca2b034b0c89e3963a79bfe04b501" ns2:_="">
    <xsd:import namespace="47541A13-5A31-4C1C-A04D-C79823C32F0C"/>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41A13-5A31-4C1C-A04D-C79823C32F0C"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313B3C-1EEB-4CCA-8FCD-F7387028E957}">
  <ds:schemaRefs>
    <ds:schemaRef ds:uri="http://schemas.openxmlformats.org/officeDocument/2006/bibliography"/>
  </ds:schemaRefs>
</ds:datastoreItem>
</file>

<file path=customXml/itemProps2.xml><?xml version="1.0" encoding="utf-8"?>
<ds:datastoreItem xmlns:ds="http://schemas.openxmlformats.org/officeDocument/2006/customXml" ds:itemID="{5F7634A9-6A04-4C91-9A1C-17FAA02C8C4E}">
  <ds:schemaRefs>
    <ds:schemaRef ds:uri="http://schemas.microsoft.com/office/2006/metadata/properties"/>
    <ds:schemaRef ds:uri="http://schemas.microsoft.com/office/infopath/2007/PartnerControls"/>
    <ds:schemaRef ds:uri="47541A13-5A31-4C1C-A04D-C79823C32F0C"/>
  </ds:schemaRefs>
</ds:datastoreItem>
</file>

<file path=customXml/itemProps3.xml><?xml version="1.0" encoding="utf-8"?>
<ds:datastoreItem xmlns:ds="http://schemas.openxmlformats.org/officeDocument/2006/customXml" ds:itemID="{9558F811-0716-426D-838C-DC821F1C1782}">
  <ds:schemaRefs>
    <ds:schemaRef ds:uri="http://schemas.microsoft.com/sharepoint/v3/contenttype/forms"/>
  </ds:schemaRefs>
</ds:datastoreItem>
</file>

<file path=customXml/itemProps4.xml><?xml version="1.0" encoding="utf-8"?>
<ds:datastoreItem xmlns:ds="http://schemas.openxmlformats.org/officeDocument/2006/customXml" ds:itemID="{DC861356-EFC0-4626-A15A-38E7E3F50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41A13-5A31-4C1C-A04D-C79823C32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13091</Words>
  <Characters>74625</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87541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Recovery Implementation Statement</dc:title>
  <dc:subject/>
  <dc:creator>OGTR.Voicemail@health.gov.au</dc:creator>
  <cp:keywords/>
  <dc:description/>
  <cp:lastModifiedBy>DHOUNCHAK, Sarita</cp:lastModifiedBy>
  <cp:revision>3</cp:revision>
  <cp:lastPrinted>2026-09-17T03:33:00Z</cp:lastPrinted>
  <dcterms:created xsi:type="dcterms:W3CDTF">2026-10-07T01:00:00Z</dcterms:created>
  <dcterms:modified xsi:type="dcterms:W3CDTF">2026-10-07T01:01:00Z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147d9879,6847b122,4450d5cf</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29e635f2,505864aa,fcb087c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2026-09-14T03:48:25Z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a0e591b0-6a06-45e3-afb2-8e441be2ca82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0x010100266966F133664895A6EE3632470D45F500A8D47D66C79B31468D4230095B147221</vt:lpwstr>
  </property>
</Properties>
</file>