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62891" w14:textId="77777777" w:rsidR="00D05814" w:rsidRDefault="00D05814" w:rsidP="0048586E">
      <w:pPr>
        <w:tabs>
          <w:tab w:val="left" w:pos="1701"/>
        </w:tabs>
        <w:rPr>
          <w:b/>
          <w:bCs/>
          <w:sz w:val="52"/>
          <w:szCs w:val="52"/>
        </w:rPr>
      </w:pPr>
    </w:p>
    <w:p w14:paraId="1743C145" w14:textId="77777777" w:rsidR="00D05814" w:rsidRDefault="00D05814" w:rsidP="00D05814">
      <w:pPr>
        <w:tabs>
          <w:tab w:val="left" w:pos="1701"/>
        </w:tabs>
        <w:jc w:val="center"/>
        <w:rPr>
          <w:b/>
          <w:bCs/>
          <w:sz w:val="52"/>
          <w:szCs w:val="52"/>
        </w:rPr>
      </w:pPr>
    </w:p>
    <w:p w14:paraId="53A299E3" w14:textId="5C2C8EA2" w:rsidR="00DF1909" w:rsidRPr="00DF1909" w:rsidRDefault="00DF1909" w:rsidP="00DF1909">
      <w:pPr>
        <w:tabs>
          <w:tab w:val="left" w:pos="1701"/>
        </w:tabs>
        <w:jc w:val="center"/>
        <w:rPr>
          <w:b/>
          <w:bCs/>
          <w:sz w:val="52"/>
          <w:szCs w:val="52"/>
        </w:rPr>
      </w:pPr>
      <w:r w:rsidRPr="00DF1909">
        <w:rPr>
          <w:b/>
          <w:bCs/>
          <w:noProof/>
          <w:sz w:val="52"/>
          <w:szCs w:val="52"/>
        </w:rPr>
        <w:drawing>
          <wp:inline distT="0" distB="0" distL="0" distR="0" wp14:anchorId="5653459E" wp14:editId="6E5B50A1">
            <wp:extent cx="2930770" cy="1517987"/>
            <wp:effectExtent l="0" t="0" r="3175" b="6350"/>
            <wp:docPr id="152611816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18168"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976" cy="1529489"/>
                    </a:xfrm>
                    <a:prstGeom prst="rect">
                      <a:avLst/>
                    </a:prstGeom>
                    <a:noFill/>
                    <a:ln>
                      <a:noFill/>
                    </a:ln>
                  </pic:spPr>
                </pic:pic>
              </a:graphicData>
            </a:graphic>
          </wp:inline>
        </w:drawing>
      </w:r>
    </w:p>
    <w:p w14:paraId="1E18F74A" w14:textId="77777777" w:rsidR="00D05814" w:rsidRDefault="00D05814" w:rsidP="00D05814">
      <w:pPr>
        <w:tabs>
          <w:tab w:val="left" w:pos="1701"/>
        </w:tabs>
        <w:jc w:val="center"/>
        <w:rPr>
          <w:b/>
          <w:bCs/>
          <w:sz w:val="52"/>
          <w:szCs w:val="52"/>
        </w:rPr>
      </w:pPr>
    </w:p>
    <w:p w14:paraId="03A7D660" w14:textId="77777777" w:rsidR="004573E9" w:rsidRDefault="004573E9" w:rsidP="00D05814">
      <w:pPr>
        <w:tabs>
          <w:tab w:val="left" w:pos="1701"/>
        </w:tabs>
        <w:jc w:val="center"/>
        <w:rPr>
          <w:b/>
          <w:bCs/>
          <w:sz w:val="52"/>
          <w:szCs w:val="52"/>
        </w:rPr>
      </w:pPr>
    </w:p>
    <w:p w14:paraId="013A12EE" w14:textId="77777777" w:rsidR="004573E9" w:rsidRDefault="004573E9" w:rsidP="00D05814">
      <w:pPr>
        <w:tabs>
          <w:tab w:val="left" w:pos="1701"/>
        </w:tabs>
        <w:jc w:val="center"/>
        <w:rPr>
          <w:b/>
          <w:bCs/>
          <w:sz w:val="52"/>
          <w:szCs w:val="52"/>
        </w:rPr>
      </w:pPr>
    </w:p>
    <w:p w14:paraId="70E0232E" w14:textId="77777777" w:rsidR="0028454F" w:rsidRDefault="0028454F" w:rsidP="00D05814">
      <w:pPr>
        <w:tabs>
          <w:tab w:val="left" w:pos="1701"/>
        </w:tabs>
        <w:jc w:val="center"/>
        <w:rPr>
          <w:b/>
          <w:bCs/>
          <w:sz w:val="52"/>
          <w:szCs w:val="52"/>
        </w:rPr>
      </w:pPr>
    </w:p>
    <w:p w14:paraId="0FDA3952" w14:textId="77777777" w:rsidR="00D05814" w:rsidRDefault="00D05814" w:rsidP="00D05814">
      <w:pPr>
        <w:tabs>
          <w:tab w:val="left" w:pos="1701"/>
        </w:tabs>
        <w:jc w:val="center"/>
        <w:rPr>
          <w:b/>
          <w:bCs/>
          <w:sz w:val="52"/>
          <w:szCs w:val="52"/>
        </w:rPr>
      </w:pPr>
    </w:p>
    <w:p w14:paraId="1E0888D7" w14:textId="70B7F8C6" w:rsidR="00E5330A" w:rsidRDefault="00D05814" w:rsidP="00E5330A">
      <w:pPr>
        <w:tabs>
          <w:tab w:val="left" w:pos="1701"/>
        </w:tabs>
        <w:jc w:val="center"/>
        <w:rPr>
          <w:sz w:val="52"/>
          <w:szCs w:val="52"/>
        </w:rPr>
      </w:pPr>
      <w:r w:rsidRPr="00D05814">
        <w:rPr>
          <w:sz w:val="52"/>
          <w:szCs w:val="52"/>
        </w:rPr>
        <w:t>Consultation on</w:t>
      </w:r>
      <w:r w:rsidR="00E5330A">
        <w:rPr>
          <w:sz w:val="52"/>
          <w:szCs w:val="52"/>
        </w:rPr>
        <w:t xml:space="preserve"> </w:t>
      </w:r>
      <w:r w:rsidRPr="00D05814">
        <w:rPr>
          <w:sz w:val="52"/>
          <w:szCs w:val="52"/>
        </w:rPr>
        <w:t>p</w:t>
      </w:r>
      <w:r w:rsidR="00415135" w:rsidRPr="00D05814">
        <w:rPr>
          <w:sz w:val="52"/>
          <w:szCs w:val="52"/>
        </w:rPr>
        <w:t xml:space="preserve">roposed </w:t>
      </w:r>
    </w:p>
    <w:p w14:paraId="15711362" w14:textId="77777777" w:rsidR="00E5330A" w:rsidRDefault="00820078" w:rsidP="00E5330A">
      <w:pPr>
        <w:tabs>
          <w:tab w:val="left" w:pos="1701"/>
        </w:tabs>
        <w:jc w:val="center"/>
        <w:rPr>
          <w:sz w:val="52"/>
          <w:szCs w:val="52"/>
        </w:rPr>
      </w:pPr>
      <w:r>
        <w:rPr>
          <w:sz w:val="52"/>
          <w:szCs w:val="52"/>
        </w:rPr>
        <w:t xml:space="preserve">minor and </w:t>
      </w:r>
      <w:r w:rsidR="00415135" w:rsidRPr="00D05814">
        <w:rPr>
          <w:sz w:val="52"/>
          <w:szCs w:val="52"/>
        </w:rPr>
        <w:t xml:space="preserve">technical amendments to </w:t>
      </w:r>
    </w:p>
    <w:p w14:paraId="3FD2773F" w14:textId="0F784EBB" w:rsidR="00D05814" w:rsidRPr="00D05814" w:rsidRDefault="00415135" w:rsidP="00E5330A">
      <w:pPr>
        <w:tabs>
          <w:tab w:val="left" w:pos="1701"/>
        </w:tabs>
        <w:jc w:val="center"/>
        <w:rPr>
          <w:sz w:val="52"/>
          <w:szCs w:val="52"/>
        </w:rPr>
      </w:pPr>
      <w:r w:rsidRPr="00D05814">
        <w:rPr>
          <w:sz w:val="52"/>
          <w:szCs w:val="52"/>
        </w:rPr>
        <w:t>the Gene Technology Regulations 2001</w:t>
      </w:r>
    </w:p>
    <w:p w14:paraId="34E9787F" w14:textId="77777777" w:rsidR="00D05814" w:rsidRPr="00D05814" w:rsidRDefault="00D05814" w:rsidP="00D05814">
      <w:pPr>
        <w:tabs>
          <w:tab w:val="left" w:pos="1701"/>
        </w:tabs>
        <w:jc w:val="center"/>
        <w:rPr>
          <w:sz w:val="52"/>
          <w:szCs w:val="52"/>
        </w:rPr>
      </w:pPr>
    </w:p>
    <w:p w14:paraId="528C5515" w14:textId="77777777" w:rsidR="00D05814" w:rsidRDefault="00D05814" w:rsidP="00D05814">
      <w:pPr>
        <w:tabs>
          <w:tab w:val="left" w:pos="1701"/>
        </w:tabs>
        <w:jc w:val="center"/>
        <w:rPr>
          <w:sz w:val="52"/>
          <w:szCs w:val="52"/>
        </w:rPr>
      </w:pPr>
    </w:p>
    <w:p w14:paraId="4CA607C6" w14:textId="77777777" w:rsidR="00D05814" w:rsidRDefault="00D05814" w:rsidP="00D05814">
      <w:pPr>
        <w:tabs>
          <w:tab w:val="left" w:pos="1701"/>
        </w:tabs>
        <w:jc w:val="center"/>
        <w:rPr>
          <w:sz w:val="52"/>
          <w:szCs w:val="52"/>
        </w:rPr>
      </w:pPr>
    </w:p>
    <w:p w14:paraId="2C54C5C8" w14:textId="77777777" w:rsidR="00D05814" w:rsidRDefault="00D05814" w:rsidP="00D05814">
      <w:pPr>
        <w:tabs>
          <w:tab w:val="left" w:pos="1701"/>
        </w:tabs>
        <w:jc w:val="center"/>
        <w:rPr>
          <w:sz w:val="52"/>
          <w:szCs w:val="52"/>
        </w:rPr>
      </w:pPr>
    </w:p>
    <w:p w14:paraId="3FF01A41" w14:textId="77777777" w:rsidR="00D05814" w:rsidRDefault="00D05814" w:rsidP="00D05814">
      <w:pPr>
        <w:tabs>
          <w:tab w:val="left" w:pos="1701"/>
        </w:tabs>
        <w:jc w:val="center"/>
        <w:rPr>
          <w:sz w:val="52"/>
          <w:szCs w:val="52"/>
        </w:rPr>
      </w:pPr>
    </w:p>
    <w:p w14:paraId="68989D14" w14:textId="77777777" w:rsidR="00D05814" w:rsidRPr="00D05814" w:rsidRDefault="00D05814" w:rsidP="00D05814">
      <w:pPr>
        <w:tabs>
          <w:tab w:val="left" w:pos="1701"/>
        </w:tabs>
        <w:jc w:val="center"/>
        <w:rPr>
          <w:sz w:val="52"/>
          <w:szCs w:val="52"/>
        </w:rPr>
      </w:pPr>
    </w:p>
    <w:p w14:paraId="33A5DF76" w14:textId="13D68D92" w:rsidR="00D05814" w:rsidRPr="00D05814" w:rsidRDefault="00D05814" w:rsidP="00D05814">
      <w:pPr>
        <w:tabs>
          <w:tab w:val="left" w:pos="1701"/>
        </w:tabs>
        <w:jc w:val="center"/>
        <w:rPr>
          <w:rStyle w:val="normaltextrun"/>
          <w:sz w:val="40"/>
          <w:szCs w:val="40"/>
        </w:rPr>
        <w:sectPr w:rsidR="00D05814" w:rsidRPr="00D05814" w:rsidSect="007D1DDF">
          <w:headerReference w:type="default" r:id="rId9"/>
          <w:footerReference w:type="default" r:id="rId10"/>
          <w:footerReference w:type="first" r:id="rId11"/>
          <w:pgSz w:w="11906" w:h="16838"/>
          <w:pgMar w:top="1440" w:right="1440" w:bottom="1440" w:left="1440" w:header="850" w:footer="567" w:gutter="0"/>
          <w:pgBorders w:display="firstPage"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titlePg/>
          <w:docGrid w:linePitch="360"/>
        </w:sectPr>
      </w:pPr>
      <w:r w:rsidRPr="00D05814">
        <w:rPr>
          <w:sz w:val="40"/>
          <w:szCs w:val="40"/>
        </w:rPr>
        <w:t>November 2024</w:t>
      </w:r>
    </w:p>
    <w:p w14:paraId="1216C5D1" w14:textId="56EA97EB" w:rsidR="00ED2788" w:rsidRDefault="00ED2788" w:rsidP="00185EF4">
      <w:pPr>
        <w:pStyle w:val="Heading1"/>
        <w:rPr>
          <w:rStyle w:val="normaltextrun"/>
          <w:rFonts w:ascii="Times New Roman" w:hAnsi="Times New Roman" w:cs="Times New Roman"/>
          <w:b/>
          <w:bCs/>
          <w:sz w:val="24"/>
          <w:szCs w:val="24"/>
        </w:rPr>
      </w:pPr>
      <w:r w:rsidRPr="003F537A">
        <w:rPr>
          <w:rStyle w:val="normaltextrun"/>
        </w:rPr>
        <w:lastRenderedPageBreak/>
        <w:t>Introduction</w:t>
      </w:r>
    </w:p>
    <w:p w14:paraId="2F5FFB91" w14:textId="2D2298E8" w:rsidR="007255C9" w:rsidRDefault="008471C7" w:rsidP="00F11C3D">
      <w:pPr>
        <w:spacing w:before="120" w:after="160"/>
      </w:pPr>
      <w:r>
        <w:t>Australia</w:t>
      </w:r>
      <w:r w:rsidR="00A37FEB">
        <w:t xml:space="preserve"> is committed to </w:t>
      </w:r>
      <w:r w:rsidR="007231A2">
        <w:t>the World Health Organization’s Global Polio</w:t>
      </w:r>
      <w:r w:rsidR="005D6039">
        <w:t xml:space="preserve"> Eradication Initiative</w:t>
      </w:r>
      <w:r w:rsidR="005D6039">
        <w:rPr>
          <w:rStyle w:val="FootnoteReference"/>
        </w:rPr>
        <w:footnoteReference w:id="1"/>
      </w:r>
      <w:r w:rsidR="005D6039">
        <w:t xml:space="preserve">. </w:t>
      </w:r>
      <w:r w:rsidR="00537D0C">
        <w:t xml:space="preserve">Australia </w:t>
      </w:r>
      <w:proofErr w:type="gramStart"/>
      <w:r w:rsidR="007404FC">
        <w:t>was verified</w:t>
      </w:r>
      <w:proofErr w:type="gramEnd"/>
      <w:r w:rsidR="007404FC">
        <w:t xml:space="preserve"> as </w:t>
      </w:r>
      <w:r w:rsidR="00537D0C">
        <w:t>polio</w:t>
      </w:r>
      <w:r w:rsidR="007404FC">
        <w:t>-</w:t>
      </w:r>
      <w:r w:rsidR="00537D0C">
        <w:t>free</w:t>
      </w:r>
      <w:r w:rsidR="007404FC">
        <w:t xml:space="preserve"> in 2000</w:t>
      </w:r>
      <w:r w:rsidR="00537D0C">
        <w:t xml:space="preserve">, and </w:t>
      </w:r>
      <w:r w:rsidR="0060343F">
        <w:t xml:space="preserve">the Australian </w:t>
      </w:r>
      <w:r w:rsidR="00E974AF">
        <w:t xml:space="preserve">Interim </w:t>
      </w:r>
      <w:r w:rsidR="0060343F">
        <w:t xml:space="preserve">Centre for Disease Control </w:t>
      </w:r>
      <w:r w:rsidR="006029AB">
        <w:t xml:space="preserve">has a program of work to </w:t>
      </w:r>
      <w:r w:rsidR="001050ED">
        <w:t>maintain</w:t>
      </w:r>
      <w:r w:rsidR="00D212AD">
        <w:t xml:space="preserve"> this polio-free status</w:t>
      </w:r>
      <w:r w:rsidR="00481646">
        <w:rPr>
          <w:rStyle w:val="FootnoteReference"/>
        </w:rPr>
        <w:footnoteReference w:id="2"/>
      </w:r>
      <w:r w:rsidR="00D212AD">
        <w:t>.</w:t>
      </w:r>
      <w:r w:rsidR="00481646">
        <w:t xml:space="preserve"> </w:t>
      </w:r>
    </w:p>
    <w:p w14:paraId="1D9211D6" w14:textId="62DDF188" w:rsidR="00F94215" w:rsidRPr="00FB25AD" w:rsidRDefault="00A54C1A" w:rsidP="00F11C3D">
      <w:pPr>
        <w:spacing w:before="120" w:after="160"/>
      </w:pPr>
      <w:r>
        <w:t>To support this program and fulfill Australia’s international obligations</w:t>
      </w:r>
      <w:r w:rsidR="00D00B7B">
        <w:t xml:space="preserve">, </w:t>
      </w:r>
      <w:r w:rsidR="00AD7FA3">
        <w:t xml:space="preserve">Australia’s </w:t>
      </w:r>
      <w:r w:rsidR="00015F35" w:rsidRPr="00415135">
        <w:rPr>
          <w:shd w:val="clear" w:color="auto" w:fill="FFFFFF"/>
        </w:rPr>
        <w:t xml:space="preserve">designated Poliovirus Essential Facility must </w:t>
      </w:r>
      <w:proofErr w:type="gramStart"/>
      <w:r w:rsidR="00015F35" w:rsidRPr="00415135">
        <w:rPr>
          <w:shd w:val="clear" w:color="auto" w:fill="FFFFFF"/>
        </w:rPr>
        <w:t>be certified</w:t>
      </w:r>
      <w:proofErr w:type="gramEnd"/>
      <w:r w:rsidR="00015F35" w:rsidRPr="00415135">
        <w:rPr>
          <w:shd w:val="clear" w:color="auto" w:fill="FFFFFF"/>
        </w:rPr>
        <w:t xml:space="preserve"> for compliance with the Global Action Plan for Poliovirus Containment by May 2025. </w:t>
      </w:r>
      <w:r w:rsidR="00271482">
        <w:rPr>
          <w:shd w:val="clear" w:color="auto" w:fill="FFFFFF"/>
        </w:rPr>
        <w:t>An audit of the facility is an essential step towards certification</w:t>
      </w:r>
      <w:r w:rsidR="00A62831">
        <w:rPr>
          <w:shd w:val="clear" w:color="auto" w:fill="FFFFFF"/>
        </w:rPr>
        <w:t xml:space="preserve">, and ongoing audits </w:t>
      </w:r>
      <w:proofErr w:type="gramStart"/>
      <w:r w:rsidR="00A62831">
        <w:rPr>
          <w:shd w:val="clear" w:color="auto" w:fill="FFFFFF"/>
        </w:rPr>
        <w:t>are needed</w:t>
      </w:r>
      <w:proofErr w:type="gramEnd"/>
      <w:r w:rsidR="00A62831">
        <w:rPr>
          <w:shd w:val="clear" w:color="auto" w:fill="FFFFFF"/>
        </w:rPr>
        <w:t xml:space="preserve"> to maintain certification</w:t>
      </w:r>
      <w:r w:rsidR="00271482">
        <w:rPr>
          <w:shd w:val="clear" w:color="auto" w:fill="FFFFFF"/>
        </w:rPr>
        <w:t xml:space="preserve">. </w:t>
      </w:r>
      <w:r w:rsidR="007D4D74">
        <w:rPr>
          <w:shd w:val="clear" w:color="auto" w:fill="FFFFFF"/>
        </w:rPr>
        <w:t xml:space="preserve">Inspectors appointed under the </w:t>
      </w:r>
      <w:r w:rsidR="007D4D74" w:rsidRPr="007D4D74">
        <w:rPr>
          <w:i/>
          <w:iCs/>
          <w:shd w:val="clear" w:color="auto" w:fill="FFFFFF"/>
        </w:rPr>
        <w:t>Gene Technology Act 2000</w:t>
      </w:r>
      <w:r w:rsidR="007D4D74">
        <w:rPr>
          <w:shd w:val="clear" w:color="auto" w:fill="FFFFFF"/>
        </w:rPr>
        <w:t xml:space="preserve"> (the Act) have </w:t>
      </w:r>
      <w:proofErr w:type="gramStart"/>
      <w:r w:rsidR="007D4D74">
        <w:rPr>
          <w:shd w:val="clear" w:color="auto" w:fill="FFFFFF"/>
        </w:rPr>
        <w:t xml:space="preserve">been </w:t>
      </w:r>
      <w:r w:rsidR="00015F35" w:rsidRPr="00415135">
        <w:rPr>
          <w:shd w:val="clear" w:color="auto" w:fill="FFFFFF"/>
        </w:rPr>
        <w:t>identified</w:t>
      </w:r>
      <w:proofErr w:type="gramEnd"/>
      <w:r w:rsidR="00015F35" w:rsidRPr="00415135">
        <w:rPr>
          <w:shd w:val="clear" w:color="auto" w:fill="FFFFFF"/>
        </w:rPr>
        <w:t xml:space="preserve"> </w:t>
      </w:r>
      <w:r w:rsidR="00015F35" w:rsidRPr="00415135">
        <w:t xml:space="preserve">as the most appropriately skilled and qualified to audit the </w:t>
      </w:r>
      <w:r w:rsidR="00151061" w:rsidRPr="00415135">
        <w:rPr>
          <w:shd w:val="clear" w:color="auto" w:fill="FFFFFF"/>
        </w:rPr>
        <w:t>Poliovirus Essential Facility</w:t>
      </w:r>
      <w:r w:rsidR="00015F35" w:rsidRPr="00415135">
        <w:t>.</w:t>
      </w:r>
      <w:r w:rsidR="00F94215">
        <w:rPr>
          <w:shd w:val="clear" w:color="auto" w:fill="FFFFFF"/>
        </w:rPr>
        <w:t xml:space="preserve"> </w:t>
      </w:r>
      <w:r w:rsidR="007255C9">
        <w:t xml:space="preserve">Amendments to the </w:t>
      </w:r>
      <w:r w:rsidR="0021780F">
        <w:t xml:space="preserve">Gene Technology Regulations 2001 (the Regulations) are necessary </w:t>
      </w:r>
      <w:r w:rsidR="00F02C24">
        <w:t xml:space="preserve">to facilitate the inspectors </w:t>
      </w:r>
      <w:r w:rsidR="0072031E">
        <w:t xml:space="preserve">taking up this </w:t>
      </w:r>
      <w:r w:rsidR="00F42FF1">
        <w:t xml:space="preserve">new </w:t>
      </w:r>
      <w:r w:rsidR="0072031E">
        <w:t>role.</w:t>
      </w:r>
    </w:p>
    <w:p w14:paraId="0CC81FFF" w14:textId="34729CB1" w:rsidR="00AF0EF8" w:rsidRDefault="0005462F" w:rsidP="00193E4A">
      <w:pPr>
        <w:spacing w:before="120" w:after="120"/>
      </w:pPr>
      <w:r w:rsidRPr="0005462F">
        <w:t>Th</w:t>
      </w:r>
      <w:r>
        <w:t xml:space="preserve">e Gene Technology Regulator (the Regulator) </w:t>
      </w:r>
      <w:r w:rsidR="00F64DFB">
        <w:t xml:space="preserve">proposes to also make </w:t>
      </w:r>
      <w:r w:rsidR="00A705E3">
        <w:t xml:space="preserve">minor and </w:t>
      </w:r>
      <w:r w:rsidR="003261A7">
        <w:t xml:space="preserve">technical amendments to the Regulations at the same time. </w:t>
      </w:r>
      <w:r w:rsidR="00D25AC7">
        <w:t>As noted in the Regulator</w:t>
      </w:r>
      <w:r w:rsidR="00F64DFB">
        <w:t>’</w:t>
      </w:r>
      <w:r w:rsidR="00D25AC7">
        <w:t>s last Technical Review of the Regulations</w:t>
      </w:r>
      <w:r w:rsidR="004D7829">
        <w:rPr>
          <w:rStyle w:val="FootnoteReference"/>
        </w:rPr>
        <w:footnoteReference w:id="3"/>
      </w:r>
      <w:r w:rsidR="00D25AC7">
        <w:t xml:space="preserve">, </w:t>
      </w:r>
      <w:r w:rsidR="009D1946">
        <w:t xml:space="preserve">amendments </w:t>
      </w:r>
      <w:proofErr w:type="gramStart"/>
      <w:r w:rsidR="009D1946">
        <w:t>are periodically needed</w:t>
      </w:r>
      <w:proofErr w:type="gramEnd"/>
      <w:r w:rsidR="00D029CC">
        <w:t xml:space="preserve"> </w:t>
      </w:r>
      <w:r w:rsidR="00305D8D">
        <w:t>to</w:t>
      </w:r>
      <w:r w:rsidR="007406C8">
        <w:t xml:space="preserve"> </w:t>
      </w:r>
      <w:r w:rsidR="00502650">
        <w:t xml:space="preserve">make the legislation </w:t>
      </w:r>
      <w:r w:rsidR="007406C8">
        <w:t>reflect</w:t>
      </w:r>
      <w:r w:rsidR="00EF390D">
        <w:t xml:space="preserve"> current technology and scientific knowledge, and </w:t>
      </w:r>
      <w:r w:rsidR="00305D8D">
        <w:t xml:space="preserve">to </w:t>
      </w:r>
      <w:r w:rsidR="00EF390D">
        <w:t xml:space="preserve">provide clarity </w:t>
      </w:r>
      <w:r w:rsidR="00390570">
        <w:t>about the scope of regulation.</w:t>
      </w:r>
      <w:r w:rsidR="00193E4A">
        <w:t xml:space="preserve"> </w:t>
      </w:r>
      <w:r w:rsidR="00C74ED5">
        <w:t xml:space="preserve">The technical </w:t>
      </w:r>
      <w:r w:rsidR="00C74851">
        <w:t>amendment proposals are the subject of this consultation.</w:t>
      </w:r>
    </w:p>
    <w:p w14:paraId="77B0BC47" w14:textId="670F6A39" w:rsidR="00AF0EF8" w:rsidRDefault="003D64C3" w:rsidP="00F11C3D">
      <w:pPr>
        <w:spacing w:before="120" w:after="160"/>
      </w:pPr>
      <w:r>
        <w:t>Concurrently</w:t>
      </w:r>
      <w:r w:rsidR="00F74EFD">
        <w:t>,</w:t>
      </w:r>
      <w:r>
        <w:t xml:space="preserve"> the Department of Health and Aged Care </w:t>
      </w:r>
      <w:r w:rsidR="001D4846">
        <w:t xml:space="preserve">(the Department) </w:t>
      </w:r>
      <w:r w:rsidR="00AB55ED">
        <w:t xml:space="preserve">is continuing </w:t>
      </w:r>
      <w:r w:rsidR="00F74EFD">
        <w:t xml:space="preserve">to </w:t>
      </w:r>
      <w:r w:rsidR="003363FB">
        <w:t>progress legislative changes to complete implementation of the Third Review of the Scheme</w:t>
      </w:r>
      <w:r w:rsidR="00663D76">
        <w:rPr>
          <w:rStyle w:val="FootnoteReference"/>
        </w:rPr>
        <w:footnoteReference w:id="4"/>
      </w:r>
      <w:r w:rsidR="003F1B09">
        <w:t>.</w:t>
      </w:r>
      <w:r w:rsidR="001F0981">
        <w:t xml:space="preserve"> A</w:t>
      </w:r>
      <w:r w:rsidR="00CB33D6">
        <w:t xml:space="preserve"> draft Gene Technology Amendment Bill </w:t>
      </w:r>
      <w:r w:rsidR="00E92756">
        <w:t>was the subject of a recent consultation</w:t>
      </w:r>
      <w:r w:rsidR="00D52663">
        <w:rPr>
          <w:rStyle w:val="FootnoteReference"/>
        </w:rPr>
        <w:footnoteReference w:id="5"/>
      </w:r>
      <w:r w:rsidR="00E92756">
        <w:t xml:space="preserve">, and </w:t>
      </w:r>
      <w:r w:rsidR="00BB1D89">
        <w:t>the</w:t>
      </w:r>
      <w:r w:rsidR="00607FB9">
        <w:t xml:space="preserve"> Department </w:t>
      </w:r>
      <w:r w:rsidR="00BB1D89">
        <w:t>will be consult</w:t>
      </w:r>
      <w:r w:rsidR="00607FB9">
        <w:t>ing</w:t>
      </w:r>
      <w:r w:rsidR="00BB1D89">
        <w:t xml:space="preserve"> </w:t>
      </w:r>
      <w:r w:rsidR="002468B3">
        <w:t xml:space="preserve">separately </w:t>
      </w:r>
      <w:proofErr w:type="gramStart"/>
      <w:r w:rsidR="00BB1D89">
        <w:t>in due course</w:t>
      </w:r>
      <w:proofErr w:type="gramEnd"/>
      <w:r w:rsidR="00BB1D89">
        <w:t xml:space="preserve"> on </w:t>
      </w:r>
      <w:r w:rsidR="00CF4292">
        <w:t xml:space="preserve">amending </w:t>
      </w:r>
      <w:r w:rsidR="00E715C5">
        <w:t>r</w:t>
      </w:r>
      <w:r w:rsidR="00CF4292">
        <w:t>egulations.</w:t>
      </w:r>
      <w:r w:rsidR="001D4846">
        <w:t xml:space="preserve"> </w:t>
      </w:r>
    </w:p>
    <w:p w14:paraId="5CE84400" w14:textId="77777777" w:rsidR="007D1DDF" w:rsidRPr="00193E4A" w:rsidRDefault="007D1DDF" w:rsidP="00F11C3D">
      <w:pPr>
        <w:spacing w:before="120" w:after="160"/>
        <w:rPr>
          <w:rStyle w:val="normaltextrun"/>
        </w:rPr>
      </w:pPr>
    </w:p>
    <w:p w14:paraId="040864E8" w14:textId="2F3791AB" w:rsidR="00ED2788" w:rsidRDefault="00ED2788" w:rsidP="00185EF4">
      <w:pPr>
        <w:pStyle w:val="Heading1"/>
        <w:rPr>
          <w:rStyle w:val="normaltextrun"/>
          <w:rFonts w:ascii="Times New Roman" w:hAnsi="Times New Roman" w:cs="Times New Roman"/>
          <w:b/>
          <w:bCs/>
          <w:sz w:val="24"/>
          <w:szCs w:val="24"/>
        </w:rPr>
      </w:pPr>
      <w:r w:rsidRPr="00185EF4">
        <w:rPr>
          <w:rStyle w:val="normaltextrun"/>
        </w:rPr>
        <w:t>Background</w:t>
      </w:r>
    </w:p>
    <w:p w14:paraId="3F60D54E" w14:textId="53569D45" w:rsidR="008A4575" w:rsidRPr="003F537A" w:rsidRDefault="00AF5E83" w:rsidP="00185EF4">
      <w:pPr>
        <w:pStyle w:val="Heading2"/>
        <w:rPr>
          <w:rStyle w:val="normaltextrun"/>
        </w:rPr>
      </w:pPr>
      <w:r>
        <w:rPr>
          <w:rStyle w:val="normaltextrun"/>
        </w:rPr>
        <w:t xml:space="preserve">2.1 </w:t>
      </w:r>
      <w:r w:rsidR="00916B76" w:rsidRPr="003F537A">
        <w:rPr>
          <w:rStyle w:val="normaltextrun"/>
        </w:rPr>
        <w:t>Overview of the National Gene Technology Scheme</w:t>
      </w:r>
    </w:p>
    <w:p w14:paraId="44C19526" w14:textId="1588D264" w:rsidR="00B55896" w:rsidRDefault="00692FA0" w:rsidP="00F11C3D">
      <w:pPr>
        <w:spacing w:before="120" w:after="160"/>
      </w:pPr>
      <w:r>
        <w:t xml:space="preserve">Australia’s </w:t>
      </w:r>
      <w:r w:rsidR="00754F52">
        <w:t>N</w:t>
      </w:r>
      <w:r>
        <w:t xml:space="preserve">ational </w:t>
      </w:r>
      <w:r w:rsidR="00754F52">
        <w:t xml:space="preserve">Gene Technology Scheme (the Scheme) </w:t>
      </w:r>
      <w:r w:rsidRPr="001074EA">
        <w:t>is comprised of the Commonwealth </w:t>
      </w:r>
      <w:r w:rsidR="00B55896">
        <w:t xml:space="preserve">Act </w:t>
      </w:r>
      <w:r w:rsidRPr="001074EA">
        <w:t>and Regulations, and corresponding</w:t>
      </w:r>
      <w:r>
        <w:t xml:space="preserve"> State and Territory laws</w:t>
      </w:r>
      <w:r w:rsidRPr="001074EA">
        <w:t xml:space="preserve">. </w:t>
      </w:r>
      <w:r w:rsidR="00832ACC">
        <w:t>The Scheme is overseen by the Gene Technology Ministers’ Meeting</w:t>
      </w:r>
      <w:r w:rsidR="00832ACC">
        <w:rPr>
          <w:rStyle w:val="FootnoteReference"/>
        </w:rPr>
        <w:footnoteReference w:id="6"/>
      </w:r>
      <w:r w:rsidR="00832ACC">
        <w:t xml:space="preserve">, a body made up of ministers from each </w:t>
      </w:r>
      <w:proofErr w:type="gramStart"/>
      <w:r w:rsidR="00832ACC">
        <w:t>jurisdiction</w:t>
      </w:r>
      <w:proofErr w:type="gramEnd"/>
      <w:r w:rsidR="00832ACC">
        <w:t xml:space="preserve">, in accordance with the </w:t>
      </w:r>
      <w:r w:rsidR="00877A34">
        <w:t>I</w:t>
      </w:r>
      <w:r w:rsidR="00832ACC">
        <w:t>ntergovernmental Gene Technology Agreement</w:t>
      </w:r>
      <w:r w:rsidR="00832ACC">
        <w:rPr>
          <w:rStyle w:val="FootnoteReference"/>
        </w:rPr>
        <w:footnoteReference w:id="7"/>
      </w:r>
      <w:r w:rsidR="00832ACC">
        <w:t>.</w:t>
      </w:r>
    </w:p>
    <w:p w14:paraId="3FB0F4A3" w14:textId="3EBC5CC4" w:rsidR="00692FA0" w:rsidRDefault="00692FA0" w:rsidP="00F11C3D">
      <w:pPr>
        <w:spacing w:before="120" w:after="160"/>
      </w:pPr>
      <w:r w:rsidRPr="00517486">
        <w:t xml:space="preserve">The object of the </w:t>
      </w:r>
      <w:r>
        <w:t>Act</w:t>
      </w:r>
      <w:r w:rsidRPr="00517486">
        <w:t xml:space="preserve"> is to</w:t>
      </w:r>
      <w:r w:rsidR="006631FF">
        <w:t xml:space="preserve"> “</w:t>
      </w:r>
      <w:r w:rsidRPr="00517486">
        <w:t xml:space="preserve">protect the health and safety of people, and to protect the environment, by identifying risks posed by or as a result of gene technology, and by managing those risks through regulating certain dealings with </w:t>
      </w:r>
      <w:r w:rsidR="00DD5AFE">
        <w:t>genetically modified organisms</w:t>
      </w:r>
      <w:r w:rsidRPr="00517486">
        <w:t>.”</w:t>
      </w:r>
      <w:r w:rsidR="00D53824">
        <w:t xml:space="preserve"> </w:t>
      </w:r>
      <w:r w:rsidR="00731B65" w:rsidRPr="00517486">
        <w:t xml:space="preserve">The </w:t>
      </w:r>
      <w:r w:rsidR="00731B65">
        <w:t>S</w:t>
      </w:r>
      <w:r w:rsidR="00731B65" w:rsidRPr="00517486">
        <w:t xml:space="preserve">cheme focuses on live and viable </w:t>
      </w:r>
      <w:r w:rsidR="00DD5AFE">
        <w:t>genetically modified organisms (</w:t>
      </w:r>
      <w:r w:rsidR="00731B65" w:rsidRPr="00517486">
        <w:t>GMOs</w:t>
      </w:r>
      <w:r w:rsidR="00DD5AFE">
        <w:t>)</w:t>
      </w:r>
      <w:r w:rsidR="00731B65" w:rsidRPr="00517486">
        <w:t xml:space="preserve"> and managing any risks they pose </w:t>
      </w:r>
      <w:proofErr w:type="gramStart"/>
      <w:r w:rsidR="00731B65" w:rsidRPr="00517486">
        <w:t>as a result of</w:t>
      </w:r>
      <w:proofErr w:type="gramEnd"/>
      <w:r w:rsidR="00731B65" w:rsidRPr="00517486">
        <w:t xml:space="preserve"> gene technology.</w:t>
      </w:r>
      <w:r w:rsidR="00731B65">
        <w:t xml:space="preserve"> </w:t>
      </w:r>
      <w:r w:rsidRPr="00517486">
        <w:t xml:space="preserve">While the object of the </w:t>
      </w:r>
      <w:r w:rsidR="008F2EAE">
        <w:lastRenderedPageBreak/>
        <w:t>S</w:t>
      </w:r>
      <w:r w:rsidRPr="00517486">
        <w:t xml:space="preserve">cheme is to protect </w:t>
      </w:r>
      <w:r w:rsidR="008F2EAE">
        <w:t xml:space="preserve">people </w:t>
      </w:r>
      <w:r w:rsidRPr="00517486">
        <w:t>and the environment, the framework to achieve this also provides a clear regulatory pathway from research to market for GMOs.</w:t>
      </w:r>
    </w:p>
    <w:p w14:paraId="06D24168" w14:textId="3D1B7319" w:rsidR="0090760B" w:rsidRPr="0090760B" w:rsidRDefault="0090760B" w:rsidP="00185EF4">
      <w:pPr>
        <w:pStyle w:val="Heading2"/>
        <w:rPr>
          <w:rStyle w:val="normaltextrun"/>
        </w:rPr>
      </w:pPr>
      <w:r w:rsidRPr="0090760B">
        <w:rPr>
          <w:rStyle w:val="normaltextrun"/>
        </w:rPr>
        <w:t xml:space="preserve">2.2 </w:t>
      </w:r>
      <w:r>
        <w:rPr>
          <w:rStyle w:val="normaltextrun"/>
        </w:rPr>
        <w:t>Maintaining</w:t>
      </w:r>
      <w:r w:rsidRPr="0090760B">
        <w:rPr>
          <w:rStyle w:val="normaltextrun"/>
        </w:rPr>
        <w:t xml:space="preserve"> the </w:t>
      </w:r>
      <w:proofErr w:type="gramStart"/>
      <w:r w:rsidRPr="0090760B">
        <w:rPr>
          <w:rStyle w:val="normaltextrun"/>
        </w:rPr>
        <w:t>legislation</w:t>
      </w:r>
      <w:proofErr w:type="gramEnd"/>
    </w:p>
    <w:p w14:paraId="022E4F6B" w14:textId="67269393" w:rsidR="00144C63" w:rsidRDefault="00064116" w:rsidP="00F11C3D">
      <w:pPr>
        <w:spacing w:before="120" w:after="160"/>
      </w:pPr>
      <w:r w:rsidRPr="001074EA">
        <w:t xml:space="preserve">All dealings with GMOs must </w:t>
      </w:r>
      <w:proofErr w:type="gramStart"/>
      <w:r w:rsidRPr="001074EA">
        <w:t>be conducted</w:t>
      </w:r>
      <w:proofErr w:type="gramEnd"/>
      <w:r w:rsidRPr="001074EA">
        <w:t xml:space="preserve"> </w:t>
      </w:r>
      <w:r>
        <w:t>in accordance with</w:t>
      </w:r>
      <w:r w:rsidRPr="001074EA">
        <w:t xml:space="preserve"> the </w:t>
      </w:r>
      <w:r>
        <w:t>Act, the Regulations and</w:t>
      </w:r>
      <w:r w:rsidRPr="001074EA">
        <w:t>, where applicable, corresponding State</w:t>
      </w:r>
      <w:r w:rsidR="00802F3C">
        <w:t xml:space="preserve"> and </w:t>
      </w:r>
      <w:r w:rsidRPr="001074EA">
        <w:t>Territory legislation.</w:t>
      </w:r>
      <w:r>
        <w:t xml:space="preserve"> As such</w:t>
      </w:r>
      <w:r w:rsidR="009F4640">
        <w:t>,</w:t>
      </w:r>
      <w:r>
        <w:t xml:space="preserve"> it is necessary to ensure that each piece of legislation remains up to date and fit for purpose. </w:t>
      </w:r>
    </w:p>
    <w:p w14:paraId="53C2CDCD" w14:textId="4F3120DA" w:rsidR="000A63CF" w:rsidRPr="00692FA0" w:rsidRDefault="00692FA0" w:rsidP="00F11C3D">
      <w:pPr>
        <w:spacing w:before="120" w:after="160"/>
      </w:pPr>
      <w:r>
        <w:t xml:space="preserve">Amendments to the </w:t>
      </w:r>
      <w:r w:rsidRPr="001074EA">
        <w:t xml:space="preserve">Regulations </w:t>
      </w:r>
      <w:r>
        <w:t xml:space="preserve">have occurred through </w:t>
      </w:r>
      <w:r w:rsidR="00BD0FA9">
        <w:t xml:space="preserve">three </w:t>
      </w:r>
      <w:r>
        <w:t xml:space="preserve">technical reviews (amendments commencing </w:t>
      </w:r>
      <w:r w:rsidR="00BD0FA9">
        <w:t xml:space="preserve">in </w:t>
      </w:r>
      <w:r>
        <w:t>2007</w:t>
      </w:r>
      <w:r w:rsidR="00BD0FA9">
        <w:t>,</w:t>
      </w:r>
      <w:r w:rsidRPr="001074EA">
        <w:t xml:space="preserve"> 2011</w:t>
      </w:r>
      <w:r w:rsidR="00BD0FA9">
        <w:t xml:space="preserve"> and </w:t>
      </w:r>
      <w:r w:rsidR="00A25E95">
        <w:t>2019</w:t>
      </w:r>
      <w:r>
        <w:t xml:space="preserve">), the 2005-6 statutory review of the Act and </w:t>
      </w:r>
      <w:proofErr w:type="gramStart"/>
      <w:r>
        <w:t>several</w:t>
      </w:r>
      <w:proofErr w:type="gramEnd"/>
      <w:r>
        <w:t xml:space="preserve"> other consequential amendments</w:t>
      </w:r>
      <w:r w:rsidRPr="001074EA">
        <w:t>.</w:t>
      </w:r>
      <w:r w:rsidR="0019598F">
        <w:t xml:space="preserve"> </w:t>
      </w:r>
      <w:proofErr w:type="gramStart"/>
      <w:r>
        <w:t>Many</w:t>
      </w:r>
      <w:proofErr w:type="gramEnd"/>
      <w:r>
        <w:t xml:space="preserve"> of the previous amendments </w:t>
      </w:r>
      <w:r w:rsidR="000A63CF">
        <w:t xml:space="preserve">to the Regulations </w:t>
      </w:r>
      <w:r>
        <w:t xml:space="preserve">have related to </w:t>
      </w:r>
      <w:r w:rsidRPr="008064B7">
        <w:t xml:space="preserve">technical and operational matters that have enhanced the effectiveness of the </w:t>
      </w:r>
      <w:r w:rsidR="00984625">
        <w:t xml:space="preserve">Scheme </w:t>
      </w:r>
      <w:r w:rsidRPr="008064B7">
        <w:t xml:space="preserve">and assisted user compliance by making </w:t>
      </w:r>
      <w:r>
        <w:t>the Regulations</w:t>
      </w:r>
      <w:r w:rsidRPr="008064B7">
        <w:t xml:space="preserve"> clearer and easier to understand.</w:t>
      </w:r>
      <w:r w:rsidR="000A63CF">
        <w:t xml:space="preserve"> The technical amendment proposals described in this paper </w:t>
      </w:r>
      <w:r w:rsidR="00AD6E63">
        <w:t>are also for this purpose.</w:t>
      </w:r>
    </w:p>
    <w:p w14:paraId="39202BCA" w14:textId="49941C31" w:rsidR="00AF0EF8" w:rsidRDefault="009E16A7" w:rsidP="00185EF4">
      <w:pPr>
        <w:pStyle w:val="Heading2"/>
        <w:rPr>
          <w:rStyle w:val="normaltextrun"/>
        </w:rPr>
      </w:pPr>
      <w:r>
        <w:rPr>
          <w:rStyle w:val="normaltextrun"/>
        </w:rPr>
        <w:t xml:space="preserve">2.3 </w:t>
      </w:r>
      <w:r w:rsidR="004921FF">
        <w:rPr>
          <w:rStyle w:val="normaltextrun"/>
        </w:rPr>
        <w:t>Purpose of this consultation</w:t>
      </w:r>
    </w:p>
    <w:p w14:paraId="5848554B" w14:textId="46826E9E" w:rsidR="00E961BC" w:rsidRDefault="00D52663" w:rsidP="00F11C3D">
      <w:pPr>
        <w:spacing w:before="120" w:after="160"/>
        <w:rPr>
          <w:rStyle w:val="normaltextrun"/>
        </w:rPr>
      </w:pPr>
      <w:r>
        <w:t xml:space="preserve">The Regulator is </w:t>
      </w:r>
      <w:r w:rsidR="00355B35">
        <w:t xml:space="preserve">consulting to seek the views of anyone likely to </w:t>
      </w:r>
      <w:proofErr w:type="gramStart"/>
      <w:r w:rsidR="00355B35">
        <w:t>be affected</w:t>
      </w:r>
      <w:proofErr w:type="gramEnd"/>
      <w:r w:rsidR="00355B35">
        <w:t xml:space="preserve"> by the proposed amendments. </w:t>
      </w:r>
      <w:r w:rsidR="00355B35">
        <w:rPr>
          <w:rStyle w:val="normaltextrun"/>
        </w:rPr>
        <w:t>F</w:t>
      </w:r>
      <w:r w:rsidR="004921FF">
        <w:rPr>
          <w:rStyle w:val="normaltextrun"/>
        </w:rPr>
        <w:t xml:space="preserve">eedback </w:t>
      </w:r>
      <w:proofErr w:type="gramStart"/>
      <w:r w:rsidR="00355B35">
        <w:rPr>
          <w:rStyle w:val="normaltextrun"/>
        </w:rPr>
        <w:t>is specifically sought</w:t>
      </w:r>
      <w:proofErr w:type="gramEnd"/>
      <w:r w:rsidR="00355B35">
        <w:rPr>
          <w:rStyle w:val="normaltextrun"/>
        </w:rPr>
        <w:t xml:space="preserve"> on whether </w:t>
      </w:r>
      <w:r w:rsidR="00290DB6">
        <w:rPr>
          <w:rStyle w:val="normaltextrun"/>
        </w:rPr>
        <w:t>the proposed</w:t>
      </w:r>
      <w:r w:rsidR="00860882">
        <w:rPr>
          <w:rStyle w:val="normaltextrun"/>
        </w:rPr>
        <w:t xml:space="preserve"> minor and</w:t>
      </w:r>
      <w:r w:rsidR="00290DB6">
        <w:rPr>
          <w:rStyle w:val="normaltextrun"/>
        </w:rPr>
        <w:t xml:space="preserve"> technical amendments</w:t>
      </w:r>
      <w:r w:rsidR="002B7747">
        <w:rPr>
          <w:rStyle w:val="normaltextrun"/>
        </w:rPr>
        <w:t xml:space="preserve"> described below</w:t>
      </w:r>
      <w:r w:rsidR="00355B35">
        <w:rPr>
          <w:rStyle w:val="normaltextrun"/>
        </w:rPr>
        <w:t xml:space="preserve"> </w:t>
      </w:r>
      <w:r w:rsidR="00257004">
        <w:rPr>
          <w:rStyle w:val="normaltextrun"/>
        </w:rPr>
        <w:t xml:space="preserve">would sufficiently </w:t>
      </w:r>
      <w:r w:rsidR="00290DB6" w:rsidRPr="00E961BC">
        <w:rPr>
          <w:rStyle w:val="normaltextrun"/>
        </w:rPr>
        <w:t>improve clarity in the legislation</w:t>
      </w:r>
      <w:r w:rsidR="00355B35">
        <w:rPr>
          <w:rStyle w:val="normaltextrun"/>
        </w:rPr>
        <w:t xml:space="preserve">, and on the </w:t>
      </w:r>
      <w:r w:rsidR="00E961BC" w:rsidRPr="00E961BC">
        <w:rPr>
          <w:rStyle w:val="normaltextrun"/>
        </w:rPr>
        <w:t xml:space="preserve">impact the proposed amendments would have on </w:t>
      </w:r>
      <w:r w:rsidR="00E105B9">
        <w:rPr>
          <w:rStyle w:val="normaltextrun"/>
        </w:rPr>
        <w:t xml:space="preserve">regulated </w:t>
      </w:r>
      <w:r w:rsidR="00E961BC" w:rsidRPr="00E961BC">
        <w:rPr>
          <w:rStyle w:val="normaltextrun"/>
        </w:rPr>
        <w:t>stakeholders</w:t>
      </w:r>
      <w:r w:rsidR="00E961BC" w:rsidRPr="00E51235">
        <w:rPr>
          <w:rStyle w:val="normaltextrun"/>
        </w:rPr>
        <w:t>.</w:t>
      </w:r>
    </w:p>
    <w:p w14:paraId="607C6DC7" w14:textId="3B6FF854" w:rsidR="00257004" w:rsidRDefault="00257004" w:rsidP="00F11C3D">
      <w:pPr>
        <w:spacing w:before="120" w:after="160"/>
        <w:rPr>
          <w:rStyle w:val="normaltextrun"/>
        </w:rPr>
      </w:pPr>
      <w:r w:rsidRPr="00193E4A">
        <w:t>This</w:t>
      </w:r>
      <w:r>
        <w:rPr>
          <w:rStyle w:val="normaltextrun"/>
        </w:rPr>
        <w:t xml:space="preserve"> consultation is not seeking </w:t>
      </w:r>
      <w:r w:rsidR="00AA0CC3">
        <w:rPr>
          <w:rStyle w:val="normaltextrun"/>
        </w:rPr>
        <w:t>to identify additional aspects of the Regulations to amend.</w:t>
      </w:r>
      <w:r w:rsidR="0040543C">
        <w:rPr>
          <w:rStyle w:val="normaltextrun"/>
        </w:rPr>
        <w:t xml:space="preserve"> The </w:t>
      </w:r>
      <w:r w:rsidR="0040543C" w:rsidRPr="00F11C3D">
        <w:t>Department’s</w:t>
      </w:r>
      <w:r w:rsidR="0040543C">
        <w:rPr>
          <w:rStyle w:val="normaltextrun"/>
        </w:rPr>
        <w:t xml:space="preserve"> </w:t>
      </w:r>
      <w:r w:rsidR="00AD7840">
        <w:rPr>
          <w:rStyle w:val="normaltextrun"/>
        </w:rPr>
        <w:t xml:space="preserve">process to </w:t>
      </w:r>
      <w:r w:rsidR="0040543C">
        <w:rPr>
          <w:rStyle w:val="normaltextrun"/>
        </w:rPr>
        <w:t>implement broader reforms to the Scheme is the appropriate</w:t>
      </w:r>
      <w:r w:rsidR="009409AC">
        <w:rPr>
          <w:rStyle w:val="normaltextrun"/>
        </w:rPr>
        <w:t xml:space="preserve"> place for </w:t>
      </w:r>
      <w:r w:rsidR="00AD7840">
        <w:rPr>
          <w:rStyle w:val="normaltextrun"/>
        </w:rPr>
        <w:t xml:space="preserve">any </w:t>
      </w:r>
      <w:r w:rsidR="00BE1B28">
        <w:rPr>
          <w:rStyle w:val="normaltextrun"/>
        </w:rPr>
        <w:t xml:space="preserve">proposals to </w:t>
      </w:r>
      <w:proofErr w:type="gramStart"/>
      <w:r w:rsidR="00BE1B28">
        <w:rPr>
          <w:rStyle w:val="normaltextrun"/>
        </w:rPr>
        <w:t>be raised</w:t>
      </w:r>
      <w:proofErr w:type="gramEnd"/>
      <w:r w:rsidR="00BE1B28">
        <w:rPr>
          <w:rStyle w:val="normaltextrun"/>
        </w:rPr>
        <w:t xml:space="preserve">, </w:t>
      </w:r>
      <w:r w:rsidR="009E16A7">
        <w:rPr>
          <w:rStyle w:val="normaltextrun"/>
        </w:rPr>
        <w:t xml:space="preserve">where they can be considered in the context of the full suite of reforms under development. </w:t>
      </w:r>
      <w:r w:rsidR="00BB475E">
        <w:rPr>
          <w:rStyle w:val="normaltextrun"/>
        </w:rPr>
        <w:t xml:space="preserve">Also, </w:t>
      </w:r>
      <w:r w:rsidR="00E64DB5">
        <w:rPr>
          <w:rStyle w:val="normaltextrun"/>
        </w:rPr>
        <w:t xml:space="preserve">because </w:t>
      </w:r>
      <w:r w:rsidR="00AA7851">
        <w:rPr>
          <w:rStyle w:val="normaltextrun"/>
        </w:rPr>
        <w:t xml:space="preserve">there is limited time before </w:t>
      </w:r>
      <w:r w:rsidR="001571C9">
        <w:rPr>
          <w:rStyle w:val="normaltextrun"/>
        </w:rPr>
        <w:t xml:space="preserve">the proposed </w:t>
      </w:r>
      <w:r w:rsidR="00623142">
        <w:rPr>
          <w:rStyle w:val="normaltextrun"/>
        </w:rPr>
        <w:t>amendments to enable Poliovirus Essential Facility audits</w:t>
      </w:r>
      <w:r w:rsidR="001571C9">
        <w:rPr>
          <w:rStyle w:val="normaltextrun"/>
        </w:rPr>
        <w:t xml:space="preserve"> </w:t>
      </w:r>
      <w:proofErr w:type="gramStart"/>
      <w:r w:rsidR="00386BC9">
        <w:rPr>
          <w:rStyle w:val="normaltextrun"/>
        </w:rPr>
        <w:t>are required</w:t>
      </w:r>
      <w:proofErr w:type="gramEnd"/>
      <w:r w:rsidR="00E64DB5">
        <w:rPr>
          <w:rStyle w:val="normaltextrun"/>
        </w:rPr>
        <w:t>,</w:t>
      </w:r>
      <w:r w:rsidR="00386BC9">
        <w:rPr>
          <w:rStyle w:val="normaltextrun"/>
        </w:rPr>
        <w:t xml:space="preserve"> </w:t>
      </w:r>
      <w:r w:rsidR="000A47BF">
        <w:rPr>
          <w:rStyle w:val="normaltextrun"/>
        </w:rPr>
        <w:t xml:space="preserve">the Regulator </w:t>
      </w:r>
      <w:r w:rsidR="00F973AA">
        <w:rPr>
          <w:rStyle w:val="normaltextrun"/>
        </w:rPr>
        <w:t xml:space="preserve">would have no opportunity </w:t>
      </w:r>
      <w:r w:rsidR="000A47BF">
        <w:rPr>
          <w:rStyle w:val="normaltextrun"/>
        </w:rPr>
        <w:t xml:space="preserve">to </w:t>
      </w:r>
      <w:r w:rsidR="00E748DA">
        <w:rPr>
          <w:rStyle w:val="normaltextrun"/>
        </w:rPr>
        <w:t xml:space="preserve">consult </w:t>
      </w:r>
      <w:r w:rsidR="0035662A">
        <w:rPr>
          <w:rStyle w:val="normaltextrun"/>
        </w:rPr>
        <w:t xml:space="preserve">further </w:t>
      </w:r>
      <w:r w:rsidR="00E748DA">
        <w:rPr>
          <w:rStyle w:val="normaltextrun"/>
        </w:rPr>
        <w:t xml:space="preserve">on </w:t>
      </w:r>
      <w:r w:rsidR="00E64DB5">
        <w:rPr>
          <w:rStyle w:val="normaltextrun"/>
        </w:rPr>
        <w:t>any new</w:t>
      </w:r>
      <w:r w:rsidR="00866E06">
        <w:rPr>
          <w:rStyle w:val="normaltextrun"/>
        </w:rPr>
        <w:t xml:space="preserve"> proposals</w:t>
      </w:r>
      <w:r w:rsidR="00E748DA" w:rsidRPr="00E748DA">
        <w:rPr>
          <w:rStyle w:val="normaltextrun"/>
        </w:rPr>
        <w:t xml:space="preserve"> </w:t>
      </w:r>
      <w:r w:rsidR="00E748DA">
        <w:rPr>
          <w:rStyle w:val="normaltextrun"/>
        </w:rPr>
        <w:t>to seek the views of other stakeholders</w:t>
      </w:r>
      <w:r w:rsidR="0030675F">
        <w:rPr>
          <w:rStyle w:val="normaltextrun"/>
        </w:rPr>
        <w:t>.</w:t>
      </w:r>
    </w:p>
    <w:p w14:paraId="66B5342A" w14:textId="01997AC5" w:rsidR="00AF7EA2" w:rsidRDefault="00AF7EA2" w:rsidP="00185EF4">
      <w:pPr>
        <w:pStyle w:val="Heading2"/>
        <w:rPr>
          <w:rStyle w:val="normaltextrun"/>
        </w:rPr>
      </w:pPr>
      <w:r>
        <w:rPr>
          <w:rStyle w:val="normaltextrun"/>
        </w:rPr>
        <w:t>2.4 Next steps</w:t>
      </w:r>
    </w:p>
    <w:p w14:paraId="081BEE2D" w14:textId="77777777" w:rsidR="00E51235" w:rsidRDefault="006D42F2" w:rsidP="00F11C3D">
      <w:pPr>
        <w:spacing w:before="120" w:after="160"/>
        <w:rPr>
          <w:rFonts w:eastAsia="MS Gothic"/>
          <w:lang w:eastAsia="en-US"/>
        </w:rPr>
      </w:pPr>
      <w:r w:rsidRPr="00F11C3D">
        <w:t>Submissions</w:t>
      </w:r>
      <w:r w:rsidRPr="006D42F2">
        <w:rPr>
          <w:rStyle w:val="normaltextrun"/>
        </w:rPr>
        <w:t xml:space="preserve"> received through this consultation process will be </w:t>
      </w:r>
      <w:proofErr w:type="gramStart"/>
      <w:r w:rsidRPr="006D42F2">
        <w:rPr>
          <w:rStyle w:val="normaltextrun"/>
        </w:rPr>
        <w:t>taken into account</w:t>
      </w:r>
      <w:proofErr w:type="gramEnd"/>
      <w:r w:rsidRPr="006D42F2">
        <w:rPr>
          <w:rStyle w:val="normaltextrun"/>
        </w:rPr>
        <w:t xml:space="preserve"> by the </w:t>
      </w:r>
      <w:r w:rsidRPr="00193E4A">
        <w:rPr>
          <w:rFonts w:eastAsia="MS Gothic"/>
        </w:rPr>
        <w:t>Regulator</w:t>
      </w:r>
      <w:r w:rsidRPr="006D42F2">
        <w:rPr>
          <w:rStyle w:val="normaltextrun"/>
        </w:rPr>
        <w:t xml:space="preserve"> in </w:t>
      </w:r>
      <w:r w:rsidR="00A14550">
        <w:rPr>
          <w:rStyle w:val="normaltextrun"/>
        </w:rPr>
        <w:t>drafting and finalising</w:t>
      </w:r>
      <w:r w:rsidRPr="006D42F2">
        <w:rPr>
          <w:rStyle w:val="normaltextrun"/>
        </w:rPr>
        <w:t xml:space="preserve"> the proposed amendments</w:t>
      </w:r>
      <w:r w:rsidR="00D93C80">
        <w:rPr>
          <w:rStyle w:val="normaltextrun"/>
        </w:rPr>
        <w:t>.</w:t>
      </w:r>
      <w:r w:rsidR="0036334B" w:rsidRPr="0036334B">
        <w:rPr>
          <w:rFonts w:eastAsia="MS Gothic"/>
          <w:lang w:eastAsia="en-US"/>
        </w:rPr>
        <w:t xml:space="preserve"> </w:t>
      </w:r>
      <w:r w:rsidR="00E51235">
        <w:rPr>
          <w:rFonts w:eastAsia="MS Gothic"/>
          <w:lang w:eastAsia="en-US"/>
        </w:rPr>
        <w:t xml:space="preserve">A summary of submissions and general response to the issues raised will </w:t>
      </w:r>
      <w:proofErr w:type="gramStart"/>
      <w:r w:rsidR="00E51235">
        <w:rPr>
          <w:rFonts w:eastAsia="MS Gothic"/>
          <w:lang w:eastAsia="en-US"/>
        </w:rPr>
        <w:t>be published</w:t>
      </w:r>
      <w:proofErr w:type="gramEnd"/>
      <w:r w:rsidR="00E51235">
        <w:rPr>
          <w:rFonts w:eastAsia="MS Gothic"/>
          <w:lang w:eastAsia="en-US"/>
        </w:rPr>
        <w:t xml:space="preserve"> by the Office of the Gene Technology Regulator (OGTR).</w:t>
      </w:r>
    </w:p>
    <w:p w14:paraId="1A354F3B" w14:textId="3B11386D" w:rsidR="00F11C3D" w:rsidRDefault="0036334B" w:rsidP="00F11C3D">
      <w:pPr>
        <w:spacing w:before="120" w:after="160"/>
        <w:rPr>
          <w:rFonts w:eastAsia="MS Gothic"/>
          <w:lang w:eastAsia="en-US"/>
        </w:rPr>
      </w:pPr>
      <w:r>
        <w:rPr>
          <w:rFonts w:eastAsia="MS Gothic"/>
          <w:lang w:eastAsia="en-US"/>
        </w:rPr>
        <w:t xml:space="preserve">The </w:t>
      </w:r>
      <w:r w:rsidRPr="00F11C3D">
        <w:t>Regulator</w:t>
      </w:r>
      <w:r>
        <w:rPr>
          <w:rFonts w:eastAsia="MS Gothic"/>
          <w:lang w:eastAsia="en-US"/>
        </w:rPr>
        <w:t xml:space="preserve"> will </w:t>
      </w:r>
      <w:r w:rsidR="00896FCB">
        <w:rPr>
          <w:rFonts w:eastAsia="MS Gothic"/>
          <w:lang w:eastAsia="en-US"/>
        </w:rPr>
        <w:t xml:space="preserve">provide advice to </w:t>
      </w:r>
      <w:r>
        <w:rPr>
          <w:rFonts w:eastAsia="MS Gothic"/>
          <w:lang w:eastAsia="en-US"/>
        </w:rPr>
        <w:t xml:space="preserve">the Gene Technology Ministers’ Meeting </w:t>
      </w:r>
      <w:r w:rsidR="00637EE9">
        <w:rPr>
          <w:rFonts w:eastAsia="MS Gothic"/>
          <w:lang w:eastAsia="en-US"/>
        </w:rPr>
        <w:t>regarding</w:t>
      </w:r>
      <w:r>
        <w:rPr>
          <w:rFonts w:eastAsia="MS Gothic"/>
          <w:lang w:eastAsia="en-US"/>
        </w:rPr>
        <w:t xml:space="preserve"> </w:t>
      </w:r>
      <w:r w:rsidR="00A14550">
        <w:rPr>
          <w:rFonts w:eastAsia="MS Gothic"/>
          <w:lang w:eastAsia="en-US"/>
        </w:rPr>
        <w:t xml:space="preserve">the </w:t>
      </w:r>
      <w:r>
        <w:rPr>
          <w:rFonts w:eastAsia="MS Gothic"/>
          <w:lang w:eastAsia="en-US"/>
        </w:rPr>
        <w:t>finalised amendment</w:t>
      </w:r>
      <w:r w:rsidR="00637EE9">
        <w:rPr>
          <w:rFonts w:eastAsia="MS Gothic"/>
          <w:lang w:eastAsia="en-US"/>
        </w:rPr>
        <w:t xml:space="preserve"> proposal</w:t>
      </w:r>
      <w:r>
        <w:rPr>
          <w:rFonts w:eastAsia="MS Gothic"/>
          <w:lang w:eastAsia="en-US"/>
        </w:rPr>
        <w:t xml:space="preserve">s, as required by clause </w:t>
      </w:r>
      <w:proofErr w:type="gramStart"/>
      <w:r>
        <w:rPr>
          <w:rFonts w:eastAsia="MS Gothic"/>
          <w:lang w:eastAsia="en-US"/>
        </w:rPr>
        <w:t>40</w:t>
      </w:r>
      <w:proofErr w:type="gramEnd"/>
      <w:r>
        <w:rPr>
          <w:rFonts w:eastAsia="MS Gothic"/>
          <w:lang w:eastAsia="en-US"/>
        </w:rPr>
        <w:t xml:space="preserve"> of the Intergovernmental Gene Technology</w:t>
      </w:r>
      <w:r w:rsidRPr="000C069D">
        <w:rPr>
          <w:rFonts w:eastAsia="MS Gothic"/>
          <w:lang w:eastAsia="en-US"/>
        </w:rPr>
        <w:t xml:space="preserve"> </w:t>
      </w:r>
      <w:r>
        <w:rPr>
          <w:rFonts w:eastAsia="MS Gothic"/>
          <w:lang w:eastAsia="en-US"/>
        </w:rPr>
        <w:t>Agreement. If</w:t>
      </w:r>
      <w:r w:rsidR="00DD698D">
        <w:rPr>
          <w:rFonts w:eastAsia="MS Gothic"/>
          <w:lang w:eastAsia="en-US"/>
        </w:rPr>
        <w:t xml:space="preserve"> there is agreement</w:t>
      </w:r>
      <w:r>
        <w:rPr>
          <w:rFonts w:eastAsia="MS Gothic"/>
          <w:lang w:eastAsia="en-US"/>
        </w:rPr>
        <w:t xml:space="preserve">, the </w:t>
      </w:r>
      <w:r w:rsidR="00C070A8">
        <w:rPr>
          <w:rFonts w:eastAsia="MS Gothic"/>
          <w:lang w:eastAsia="en-US"/>
        </w:rPr>
        <w:t xml:space="preserve">OGTR would </w:t>
      </w:r>
      <w:r>
        <w:rPr>
          <w:rFonts w:eastAsia="MS Gothic"/>
          <w:lang w:eastAsia="en-US"/>
        </w:rPr>
        <w:t>commence the Commonwealth regulation-making process.</w:t>
      </w:r>
      <w:r w:rsidR="00C070A8">
        <w:rPr>
          <w:rFonts w:eastAsia="MS Gothic"/>
          <w:lang w:eastAsia="en-US"/>
        </w:rPr>
        <w:t xml:space="preserve"> </w:t>
      </w:r>
      <w:r w:rsidR="00FC569B">
        <w:rPr>
          <w:rFonts w:eastAsia="MS Gothic"/>
          <w:lang w:eastAsia="en-US"/>
        </w:rPr>
        <w:t xml:space="preserve">Throughout this process </w:t>
      </w:r>
      <w:r w:rsidR="00C070A8">
        <w:rPr>
          <w:rFonts w:eastAsia="MS Gothic"/>
          <w:lang w:eastAsia="en-US"/>
        </w:rPr>
        <w:t>OGTR would keep regulated stakeholders up to date with any developments that might affect them</w:t>
      </w:r>
      <w:r w:rsidR="00FC569B">
        <w:rPr>
          <w:rFonts w:eastAsia="MS Gothic"/>
          <w:lang w:eastAsia="en-US"/>
        </w:rPr>
        <w:t xml:space="preserve">, and post updates </w:t>
      </w:r>
      <w:r w:rsidR="00C24E80">
        <w:rPr>
          <w:rFonts w:eastAsia="MS Gothic"/>
          <w:lang w:eastAsia="en-US"/>
        </w:rPr>
        <w:t>on</w:t>
      </w:r>
      <w:r w:rsidR="00FC569B">
        <w:rPr>
          <w:rFonts w:eastAsia="MS Gothic"/>
          <w:lang w:eastAsia="en-US"/>
        </w:rPr>
        <w:t xml:space="preserve"> the OGTR website</w:t>
      </w:r>
      <w:r w:rsidR="00C070A8">
        <w:rPr>
          <w:rFonts w:eastAsia="MS Gothic"/>
          <w:lang w:eastAsia="en-US"/>
        </w:rPr>
        <w:t>.</w:t>
      </w:r>
    </w:p>
    <w:p w14:paraId="53E75BDF" w14:textId="77777777" w:rsidR="00F11C3D" w:rsidRDefault="00F11C3D" w:rsidP="00F11C3D">
      <w:pPr>
        <w:spacing w:before="120" w:after="160"/>
        <w:rPr>
          <w:rFonts w:eastAsia="MS Gothic"/>
          <w:lang w:eastAsia="en-US"/>
        </w:rPr>
      </w:pPr>
    </w:p>
    <w:p w14:paraId="40DDB7FF" w14:textId="77777777" w:rsidR="00871526" w:rsidRDefault="00871526" w:rsidP="00F11C3D">
      <w:pPr>
        <w:spacing w:before="120" w:after="160"/>
        <w:rPr>
          <w:rFonts w:eastAsia="MS Gothic"/>
          <w:lang w:eastAsia="en-US"/>
        </w:rPr>
      </w:pPr>
    </w:p>
    <w:p w14:paraId="2C074AD8" w14:textId="5942DCB9" w:rsidR="000C052B" w:rsidRPr="00AF5E83" w:rsidRDefault="00193E4A" w:rsidP="00185EF4">
      <w:pPr>
        <w:pStyle w:val="Heading1"/>
        <w:rPr>
          <w:rStyle w:val="normaltextrun"/>
        </w:rPr>
      </w:pPr>
      <w:r>
        <w:rPr>
          <w:rStyle w:val="normaltextrun"/>
        </w:rPr>
        <w:lastRenderedPageBreak/>
        <w:t>The amendment proposals</w:t>
      </w:r>
    </w:p>
    <w:p w14:paraId="4094E4D0" w14:textId="32544F9D" w:rsidR="004F2AD0" w:rsidRDefault="004F2AD0" w:rsidP="00F11C3D">
      <w:pPr>
        <w:spacing w:before="120" w:after="160"/>
        <w:rPr>
          <w:rStyle w:val="normaltextrun"/>
        </w:rPr>
      </w:pPr>
      <w:r>
        <w:rPr>
          <w:rStyle w:val="normaltextrun"/>
        </w:rPr>
        <w:t>Described below are the technical amendments the Regulator is proposing to accompany the amendment necessary to support</w:t>
      </w:r>
      <w:r w:rsidR="00151061">
        <w:rPr>
          <w:rStyle w:val="normaltextrun"/>
        </w:rPr>
        <w:t xml:space="preserve"> certification of Australia’s </w:t>
      </w:r>
      <w:r w:rsidR="00151061" w:rsidRPr="00415135">
        <w:rPr>
          <w:shd w:val="clear" w:color="auto" w:fill="FFFFFF"/>
        </w:rPr>
        <w:t>Poliovirus Essential Facility</w:t>
      </w:r>
      <w:r w:rsidR="00151061">
        <w:rPr>
          <w:rStyle w:val="normaltextrun"/>
        </w:rPr>
        <w:t>.</w:t>
      </w:r>
      <w:r>
        <w:rPr>
          <w:rStyle w:val="normaltextrun"/>
        </w:rPr>
        <w:t xml:space="preserve"> </w:t>
      </w:r>
      <w:r w:rsidR="00AB6A97">
        <w:rPr>
          <w:rStyle w:val="normaltextrun"/>
        </w:rPr>
        <w:t>These proposals relate to:</w:t>
      </w:r>
    </w:p>
    <w:p w14:paraId="0E9527CC" w14:textId="2C81AE9E" w:rsidR="00AB6A97" w:rsidRPr="009F3A69" w:rsidRDefault="00E51235" w:rsidP="00AB6A97">
      <w:pPr>
        <w:pStyle w:val="ListParagraph"/>
        <w:numPr>
          <w:ilvl w:val="0"/>
          <w:numId w:val="10"/>
        </w:numPr>
        <w:spacing w:before="120" w:after="120"/>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updated names of </w:t>
      </w:r>
      <w:r w:rsidR="0012317D">
        <w:rPr>
          <w:rStyle w:val="normaltextrun"/>
          <w:rFonts w:ascii="Times New Roman" w:hAnsi="Times New Roman" w:cs="Times New Roman"/>
          <w:sz w:val="24"/>
          <w:szCs w:val="24"/>
        </w:rPr>
        <w:t>p</w:t>
      </w:r>
      <w:r w:rsidR="00AB6A97" w:rsidRPr="009F3A69">
        <w:rPr>
          <w:rStyle w:val="normaltextrun"/>
          <w:rFonts w:ascii="Times New Roman" w:hAnsi="Times New Roman" w:cs="Times New Roman"/>
          <w:sz w:val="24"/>
          <w:szCs w:val="24"/>
        </w:rPr>
        <w:t>rescribed authorities for licence consultations</w:t>
      </w:r>
    </w:p>
    <w:p w14:paraId="01E2E4F7" w14:textId="486BDAD8" w:rsidR="00AB6A97" w:rsidRPr="009F3A69" w:rsidRDefault="0012317D" w:rsidP="00AB6A97">
      <w:pPr>
        <w:pStyle w:val="ListParagraph"/>
        <w:numPr>
          <w:ilvl w:val="0"/>
          <w:numId w:val="10"/>
        </w:numPr>
        <w:spacing w:before="120" w:after="120"/>
        <w:rPr>
          <w:rFonts w:ascii="Times New Roman" w:hAnsi="Times New Roman" w:cs="Times New Roman"/>
          <w:sz w:val="24"/>
          <w:szCs w:val="24"/>
        </w:rPr>
      </w:pPr>
      <w:r>
        <w:rPr>
          <w:rStyle w:val="normaltextrun"/>
          <w:rFonts w:ascii="Times New Roman" w:hAnsi="Times New Roman" w:cs="Times New Roman"/>
          <w:sz w:val="24"/>
          <w:szCs w:val="24"/>
        </w:rPr>
        <w:t>o</w:t>
      </w:r>
      <w:r w:rsidR="00AB6A97" w:rsidRPr="009F3A69">
        <w:rPr>
          <w:rStyle w:val="normaltextrun"/>
          <w:rFonts w:ascii="Times New Roman" w:hAnsi="Times New Roman" w:cs="Times New Roman"/>
          <w:sz w:val="24"/>
          <w:szCs w:val="24"/>
        </w:rPr>
        <w:t xml:space="preserve">perational </w:t>
      </w:r>
      <w:r w:rsidR="00D9573A" w:rsidRPr="009F3A69">
        <w:rPr>
          <w:rStyle w:val="normaltextrun"/>
          <w:rFonts w:ascii="Times New Roman" w:hAnsi="Times New Roman" w:cs="Times New Roman"/>
          <w:sz w:val="24"/>
          <w:szCs w:val="24"/>
        </w:rPr>
        <w:t>matters</w:t>
      </w:r>
      <w:r w:rsidR="00C903B4" w:rsidRPr="009F3A69">
        <w:rPr>
          <w:rStyle w:val="normaltextrun"/>
          <w:rFonts w:ascii="Times New Roman" w:hAnsi="Times New Roman" w:cs="Times New Roman"/>
          <w:sz w:val="24"/>
          <w:szCs w:val="24"/>
        </w:rPr>
        <w:t xml:space="preserve"> for </w:t>
      </w:r>
      <w:r w:rsidR="00B36D10" w:rsidRPr="009F3A69">
        <w:rPr>
          <w:rStyle w:val="normaltextrun"/>
          <w:rFonts w:ascii="Times New Roman" w:hAnsi="Times New Roman" w:cs="Times New Roman"/>
          <w:sz w:val="24"/>
          <w:szCs w:val="24"/>
        </w:rPr>
        <w:t xml:space="preserve">two expert advisory committees, the </w:t>
      </w:r>
      <w:r w:rsidR="00B36D10" w:rsidRPr="009F3A69">
        <w:rPr>
          <w:rFonts w:ascii="Times New Roman" w:hAnsi="Times New Roman" w:cs="Times New Roman"/>
          <w:sz w:val="24"/>
          <w:szCs w:val="24"/>
        </w:rPr>
        <w:t xml:space="preserve">Gene Technology </w:t>
      </w:r>
      <w:r>
        <w:rPr>
          <w:rFonts w:ascii="Times New Roman" w:hAnsi="Times New Roman" w:cs="Times New Roman"/>
          <w:sz w:val="24"/>
          <w:szCs w:val="24"/>
        </w:rPr>
        <w:t>T</w:t>
      </w:r>
      <w:r w:rsidR="00B36D10" w:rsidRPr="009F3A69">
        <w:rPr>
          <w:rFonts w:ascii="Times New Roman" w:hAnsi="Times New Roman" w:cs="Times New Roman"/>
          <w:sz w:val="24"/>
          <w:szCs w:val="24"/>
        </w:rPr>
        <w:t>echnical Advisory Committee (GTTAC) and the Gene Technology Ethics and Community Consultative Committee (GTECCC)</w:t>
      </w:r>
    </w:p>
    <w:p w14:paraId="239CB069" w14:textId="563F0A4C" w:rsidR="00B36D10" w:rsidRPr="009F3A69" w:rsidRDefault="0012317D" w:rsidP="00AB6A97">
      <w:pPr>
        <w:pStyle w:val="ListParagraph"/>
        <w:numPr>
          <w:ilvl w:val="0"/>
          <w:numId w:val="10"/>
        </w:numPr>
        <w:spacing w:before="120" w:after="120"/>
        <w:rPr>
          <w:rStyle w:val="normaltextrun"/>
          <w:rFonts w:ascii="Times New Roman" w:hAnsi="Times New Roman" w:cs="Times New Roman"/>
          <w:sz w:val="24"/>
          <w:szCs w:val="24"/>
        </w:rPr>
      </w:pPr>
      <w:r>
        <w:rPr>
          <w:rFonts w:ascii="Times New Roman" w:hAnsi="Times New Roman" w:cs="Times New Roman"/>
          <w:sz w:val="24"/>
          <w:szCs w:val="24"/>
        </w:rPr>
        <w:t>a</w:t>
      </w:r>
      <w:r w:rsidR="00B36D10" w:rsidRPr="009F3A69">
        <w:rPr>
          <w:rFonts w:ascii="Times New Roman" w:hAnsi="Times New Roman" w:cs="Times New Roman"/>
          <w:sz w:val="24"/>
          <w:szCs w:val="24"/>
        </w:rPr>
        <w:t>djustments and clarifications to the lists of techniques that are not gene technology and organisms that are not GMOs.</w:t>
      </w:r>
    </w:p>
    <w:p w14:paraId="734A3469" w14:textId="77777777" w:rsidR="00355B35" w:rsidRDefault="004F2AD0" w:rsidP="00185EF4">
      <w:pPr>
        <w:pStyle w:val="Heading2"/>
        <w:rPr>
          <w:rStyle w:val="normaltextrun"/>
        </w:rPr>
      </w:pPr>
      <w:r>
        <w:rPr>
          <w:rStyle w:val="normaltextrun"/>
        </w:rPr>
        <w:t xml:space="preserve">3.1 </w:t>
      </w:r>
      <w:r w:rsidR="00355B35">
        <w:rPr>
          <w:rStyle w:val="normaltextrun"/>
        </w:rPr>
        <w:t>Administrative proposals</w:t>
      </w:r>
    </w:p>
    <w:p w14:paraId="14A7DCCE" w14:textId="2D66A4E3" w:rsidR="00415135" w:rsidRPr="00AF5E83" w:rsidRDefault="00355B35" w:rsidP="00355B35">
      <w:pPr>
        <w:pStyle w:val="Heading3"/>
        <w:rPr>
          <w:rStyle w:val="normaltextrun"/>
        </w:rPr>
      </w:pPr>
      <w:r>
        <w:rPr>
          <w:rStyle w:val="normaltextrun"/>
        </w:rPr>
        <w:t xml:space="preserve">3.1.1 </w:t>
      </w:r>
      <w:r w:rsidR="00415135" w:rsidRPr="00AF5E83">
        <w:rPr>
          <w:rStyle w:val="normaltextrun"/>
        </w:rPr>
        <w:t>Prescribed authorities for licence consultations</w:t>
      </w:r>
    </w:p>
    <w:p w14:paraId="06CE79F8" w14:textId="0734CA51" w:rsidR="00415135" w:rsidRPr="00415135" w:rsidRDefault="00415135" w:rsidP="00F11C3D">
      <w:pPr>
        <w:spacing w:before="120" w:after="160"/>
        <w:rPr>
          <w:shd w:val="clear" w:color="auto" w:fill="FFFFFF"/>
        </w:rPr>
      </w:pPr>
      <w:r w:rsidRPr="00415135">
        <w:rPr>
          <w:shd w:val="clear" w:color="auto" w:fill="FFFFFF"/>
        </w:rPr>
        <w:t xml:space="preserve">The Act requires that the Regulator, when assessing applications for GMO licences, must </w:t>
      </w:r>
      <w:r w:rsidRPr="00F11C3D">
        <w:rPr>
          <w:rStyle w:val="normaltextrun"/>
        </w:rPr>
        <w:t>prepare</w:t>
      </w:r>
      <w:r w:rsidRPr="00415135">
        <w:rPr>
          <w:shd w:val="clear" w:color="auto" w:fill="FFFFFF"/>
        </w:rPr>
        <w:t xml:space="preserve"> a risk assessment and risk management plan. Regulation </w:t>
      </w:r>
      <w:proofErr w:type="gramStart"/>
      <w:r w:rsidRPr="00415135">
        <w:rPr>
          <w:shd w:val="clear" w:color="auto" w:fill="FFFFFF"/>
        </w:rPr>
        <w:t>9</w:t>
      </w:r>
      <w:proofErr w:type="gramEnd"/>
      <w:r w:rsidRPr="00415135">
        <w:rPr>
          <w:shd w:val="clear" w:color="auto" w:fill="FFFFFF"/>
        </w:rPr>
        <w:t xml:space="preserve"> prescribes the Commonwealth authorities and agencies that the Regulator must seek advice from in relation to the</w:t>
      </w:r>
      <w:r w:rsidR="004E5BD2">
        <w:rPr>
          <w:shd w:val="clear" w:color="auto" w:fill="FFFFFF"/>
        </w:rPr>
        <w:t xml:space="preserve"> </w:t>
      </w:r>
      <w:r w:rsidR="004E5BD2" w:rsidRPr="00415135">
        <w:rPr>
          <w:shd w:val="clear" w:color="auto" w:fill="FFFFFF"/>
        </w:rPr>
        <w:t>risk assessment and risk management plan</w:t>
      </w:r>
      <w:r w:rsidRPr="00415135">
        <w:rPr>
          <w:shd w:val="clear" w:color="auto" w:fill="FFFFFF"/>
        </w:rPr>
        <w:t>.</w:t>
      </w:r>
    </w:p>
    <w:p w14:paraId="3A29DC3C" w14:textId="4BAD4994" w:rsidR="00415135" w:rsidRPr="00415135" w:rsidRDefault="00415135" w:rsidP="00F11C3D">
      <w:pPr>
        <w:spacing w:before="120" w:after="160"/>
        <w:rPr>
          <w:shd w:val="clear" w:color="auto" w:fill="FFFFFF"/>
        </w:rPr>
      </w:pPr>
      <w:r w:rsidRPr="00415135">
        <w:rPr>
          <w:shd w:val="clear" w:color="auto" w:fill="FFFFFF"/>
        </w:rPr>
        <w:t xml:space="preserve">An amendment to </w:t>
      </w:r>
      <w:r w:rsidR="004E5BD2">
        <w:rPr>
          <w:shd w:val="clear" w:color="auto" w:fill="FFFFFF"/>
        </w:rPr>
        <w:t>regulat</w:t>
      </w:r>
      <w:r w:rsidR="00185EF4">
        <w:rPr>
          <w:shd w:val="clear" w:color="auto" w:fill="FFFFFF"/>
        </w:rPr>
        <w:t>i</w:t>
      </w:r>
      <w:r w:rsidRPr="00415135">
        <w:rPr>
          <w:shd w:val="clear" w:color="auto" w:fill="FFFFFF"/>
        </w:rPr>
        <w:t xml:space="preserve">on </w:t>
      </w:r>
      <w:proofErr w:type="gramStart"/>
      <w:r w:rsidRPr="00415135">
        <w:rPr>
          <w:shd w:val="clear" w:color="auto" w:fill="FFFFFF"/>
        </w:rPr>
        <w:t>9</w:t>
      </w:r>
      <w:proofErr w:type="gramEnd"/>
      <w:r w:rsidRPr="00415135">
        <w:rPr>
          <w:shd w:val="clear" w:color="auto" w:fill="FFFFFF"/>
        </w:rPr>
        <w:t xml:space="preserve"> is proposed to reflect changes to chemicals regulation that occurred in 2020, when the National Industrial Chemical</w:t>
      </w:r>
      <w:r w:rsidR="00A2525C">
        <w:rPr>
          <w:shd w:val="clear" w:color="auto" w:fill="FFFFFF"/>
        </w:rPr>
        <w:t>s</w:t>
      </w:r>
      <w:r w:rsidRPr="00415135">
        <w:rPr>
          <w:shd w:val="clear" w:color="auto" w:fill="FFFFFF"/>
        </w:rPr>
        <w:t xml:space="preserve"> Notification and Assessment Scheme was replaced by the Australian Industrial Chemicals Introduction Scheme</w:t>
      </w:r>
      <w:r w:rsidR="00185EF4">
        <w:rPr>
          <w:rStyle w:val="FootnoteReference"/>
          <w:shd w:val="clear" w:color="auto" w:fill="FFFFFF"/>
        </w:rPr>
        <w:footnoteReference w:id="8"/>
      </w:r>
      <w:r w:rsidRPr="00415135">
        <w:rPr>
          <w:shd w:val="clear" w:color="auto" w:fill="FFFFFF"/>
        </w:rPr>
        <w:t xml:space="preserve">. </w:t>
      </w:r>
    </w:p>
    <w:p w14:paraId="72F2CC06" w14:textId="6E0B2494" w:rsidR="00415135" w:rsidRPr="00AF5E83" w:rsidRDefault="009F3A69" w:rsidP="00355B35">
      <w:pPr>
        <w:pStyle w:val="Heading3"/>
        <w:rPr>
          <w:rStyle w:val="normaltextrun"/>
        </w:rPr>
      </w:pPr>
      <w:r>
        <w:rPr>
          <w:rStyle w:val="normaltextrun"/>
        </w:rPr>
        <w:t>3.</w:t>
      </w:r>
      <w:r w:rsidR="00355B35">
        <w:rPr>
          <w:rStyle w:val="normaltextrun"/>
        </w:rPr>
        <w:t>1.</w:t>
      </w:r>
      <w:r>
        <w:rPr>
          <w:rStyle w:val="normaltextrun"/>
        </w:rPr>
        <w:t xml:space="preserve">2 </w:t>
      </w:r>
      <w:r w:rsidR="00415135" w:rsidRPr="00185EF4">
        <w:rPr>
          <w:rStyle w:val="normaltextrun"/>
        </w:rPr>
        <w:t>Committees</w:t>
      </w:r>
    </w:p>
    <w:p w14:paraId="678A0766" w14:textId="3C14437B" w:rsidR="00415135" w:rsidRPr="00415135" w:rsidRDefault="00415135" w:rsidP="00F11C3D">
      <w:pPr>
        <w:spacing w:before="120" w:after="160"/>
      </w:pPr>
      <w:r w:rsidRPr="00415135">
        <w:rPr>
          <w:shd w:val="clear" w:color="auto" w:fill="FFFFFF"/>
        </w:rPr>
        <w:t>The</w:t>
      </w:r>
      <w:r w:rsidRPr="00415135">
        <w:t xml:space="preserve"> Act </w:t>
      </w:r>
      <w:r w:rsidRPr="00F11C3D">
        <w:rPr>
          <w:shd w:val="clear" w:color="auto" w:fill="FFFFFF"/>
        </w:rPr>
        <w:t>establishes</w:t>
      </w:r>
      <w:r w:rsidRPr="00415135">
        <w:t xml:space="preserve"> two expert advisory committees, GTTAC and GTECCC. The Regulations prescribe </w:t>
      </w:r>
      <w:proofErr w:type="gramStart"/>
      <w:r w:rsidRPr="00415135">
        <w:t>some</w:t>
      </w:r>
      <w:proofErr w:type="gramEnd"/>
      <w:r w:rsidRPr="00415135">
        <w:t xml:space="preserve"> matters in relation to committee members, including resignation and disclosure of interests. Note that regulation </w:t>
      </w:r>
      <w:proofErr w:type="gramStart"/>
      <w:r w:rsidRPr="00415135">
        <w:t>31</w:t>
      </w:r>
      <w:proofErr w:type="gramEnd"/>
      <w:r w:rsidRPr="00415135">
        <w:t xml:space="preserve"> has the effect that regulations for GTTAC also apply to GTECCC.</w:t>
      </w:r>
    </w:p>
    <w:p w14:paraId="354AD2C2" w14:textId="7EEDC647" w:rsidR="00415135" w:rsidRPr="00415135" w:rsidRDefault="00415135" w:rsidP="00F11C3D">
      <w:pPr>
        <w:spacing w:before="120" w:after="160"/>
      </w:pPr>
      <w:r w:rsidRPr="00185EF4">
        <w:rPr>
          <w:shd w:val="clear" w:color="auto" w:fill="FFFFFF"/>
        </w:rPr>
        <w:t>The</w:t>
      </w:r>
      <w:r w:rsidRPr="00415135">
        <w:t xml:space="preserve"> Regulations set out how a member or expert adviser may resign, but do not specify when a </w:t>
      </w:r>
      <w:r w:rsidRPr="00F11C3D">
        <w:rPr>
          <w:shd w:val="clear" w:color="auto" w:fill="FFFFFF"/>
        </w:rPr>
        <w:t>resignation</w:t>
      </w:r>
      <w:r w:rsidRPr="00415135">
        <w:t xml:space="preserve"> has effect. An amendment to regulation </w:t>
      </w:r>
      <w:proofErr w:type="gramStart"/>
      <w:r w:rsidRPr="00415135">
        <w:t>19</w:t>
      </w:r>
      <w:proofErr w:type="gramEnd"/>
      <w:r w:rsidRPr="00415135">
        <w:t xml:space="preserve"> is proposed to clarify that resignation takes effect on the day the Minister receives the notice of resignation, if the notice does not specify a later day.</w:t>
      </w:r>
    </w:p>
    <w:p w14:paraId="30ACABCB" w14:textId="037E364A" w:rsidR="001A7C0F" w:rsidRDefault="00415135" w:rsidP="00F11C3D">
      <w:pPr>
        <w:spacing w:before="120" w:after="160"/>
      </w:pPr>
      <w:r w:rsidRPr="00185EF4">
        <w:rPr>
          <w:shd w:val="clear" w:color="auto" w:fill="FFFFFF"/>
        </w:rPr>
        <w:t>Regulation</w:t>
      </w:r>
      <w:r w:rsidRPr="00415135">
        <w:t xml:space="preserve"> </w:t>
      </w:r>
      <w:proofErr w:type="gramStart"/>
      <w:r w:rsidRPr="00F11C3D">
        <w:rPr>
          <w:shd w:val="clear" w:color="auto" w:fill="FFFFFF"/>
        </w:rPr>
        <w:t>20</w:t>
      </w:r>
      <w:proofErr w:type="gramEnd"/>
      <w:r w:rsidRPr="00415135">
        <w:t xml:space="preserve"> requires members to disclose their interests in matters being considered at committee meetings and prohibits members who have made a disclosure from taking part in the committee’s decision about that matter. Amendments </w:t>
      </w:r>
      <w:proofErr w:type="gramStart"/>
      <w:r w:rsidRPr="00415135">
        <w:t>are proposed</w:t>
      </w:r>
      <w:proofErr w:type="gramEnd"/>
      <w:r w:rsidRPr="00415135">
        <w:t xml:space="preserve"> to make the requirements for management of conflicts of interest more contemporary</w:t>
      </w:r>
      <w:r w:rsidR="00E60E1A">
        <w:t xml:space="preserve"> </w:t>
      </w:r>
      <w:r w:rsidR="00267399">
        <w:t xml:space="preserve">and </w:t>
      </w:r>
      <w:r w:rsidR="00F936BA">
        <w:t xml:space="preserve">better </w:t>
      </w:r>
      <w:r w:rsidR="00E60E1A">
        <w:t>aligned with approaches to advisory committees in other legislation</w:t>
      </w:r>
      <w:r w:rsidRPr="00415135">
        <w:t xml:space="preserve">. </w:t>
      </w:r>
    </w:p>
    <w:p w14:paraId="12843C3D" w14:textId="75A0EAD9" w:rsidR="00415135" w:rsidRPr="00415135" w:rsidRDefault="00415135" w:rsidP="00F11C3D">
      <w:pPr>
        <w:spacing w:before="120" w:after="160"/>
        <w:rPr>
          <w:rStyle w:val="normaltextrun"/>
        </w:rPr>
      </w:pPr>
      <w:r w:rsidRPr="00415135">
        <w:t>The proposed change is to enable the committee to determine that a member who has disclosed an interest may participate in committee consideration</w:t>
      </w:r>
      <w:r w:rsidR="007A63F0">
        <w:t xml:space="preserve"> of the relevant matter</w:t>
      </w:r>
      <w:r w:rsidR="00274DF2">
        <w:t>. The committee may consider this is appropriate if</w:t>
      </w:r>
      <w:r w:rsidRPr="00415135">
        <w:t>, for example, the</w:t>
      </w:r>
      <w:r w:rsidR="00274DF2">
        <w:t xml:space="preserve"> </w:t>
      </w:r>
      <w:r w:rsidRPr="00415135">
        <w:t>member</w:t>
      </w:r>
      <w:r w:rsidR="00EE298D">
        <w:t>’s</w:t>
      </w:r>
      <w:r w:rsidRPr="00415135">
        <w:t xml:space="preserve"> disclos</w:t>
      </w:r>
      <w:r w:rsidR="00EE298D">
        <w:t>ure</w:t>
      </w:r>
      <w:r w:rsidRPr="00415135">
        <w:t xml:space="preserve"> does not present an actual or potential conflict. This amendment would help ensure that the committees can draw on the most applicable member expertise when advising the Regulator</w:t>
      </w:r>
      <w:r w:rsidR="00D04DD4">
        <w:t xml:space="preserve">, where that is appropriate </w:t>
      </w:r>
      <w:proofErr w:type="gramStart"/>
      <w:r w:rsidR="00D04DD4">
        <w:t>in light of</w:t>
      </w:r>
      <w:proofErr w:type="gramEnd"/>
      <w:r w:rsidR="00D04DD4">
        <w:t xml:space="preserve"> declared conflicts</w:t>
      </w:r>
      <w:r w:rsidRPr="00415135">
        <w:t xml:space="preserve">. The member would not be present while the committee considers making the determination, and minutes of the meeting would </w:t>
      </w:r>
      <w:r w:rsidRPr="00415135">
        <w:lastRenderedPageBreak/>
        <w:t>record any determinations.</w:t>
      </w:r>
      <w:r w:rsidR="00355B35">
        <w:t xml:space="preserve"> If the committee does not </w:t>
      </w:r>
      <w:proofErr w:type="gramStart"/>
      <w:r w:rsidR="00355B35">
        <w:t>make a determination</w:t>
      </w:r>
      <w:proofErr w:type="gramEnd"/>
      <w:r w:rsidR="00355B35">
        <w:t xml:space="preserve"> in relation to a member’s declaration of interests, that member will be automatically excluded from committee considerations and decision-making on that matter.</w:t>
      </w:r>
    </w:p>
    <w:p w14:paraId="7607A8E1" w14:textId="49D4D1BC" w:rsidR="00415135" w:rsidRPr="00415135" w:rsidRDefault="00633781" w:rsidP="00185EF4">
      <w:pPr>
        <w:pStyle w:val="Heading2"/>
        <w:rPr>
          <w:shd w:val="clear" w:color="auto" w:fill="FFFFFF"/>
        </w:rPr>
      </w:pPr>
      <w:r>
        <w:rPr>
          <w:rStyle w:val="normaltextrun"/>
        </w:rPr>
        <w:t>3.</w:t>
      </w:r>
      <w:r w:rsidR="00355B35">
        <w:rPr>
          <w:rStyle w:val="normaltextrun"/>
        </w:rPr>
        <w:t>2</w:t>
      </w:r>
      <w:r>
        <w:rPr>
          <w:rStyle w:val="normaltextrun"/>
        </w:rPr>
        <w:t xml:space="preserve"> </w:t>
      </w:r>
      <w:r w:rsidR="00415135" w:rsidRPr="00633781">
        <w:rPr>
          <w:rStyle w:val="normaltextrun"/>
        </w:rPr>
        <w:t>Techniques</w:t>
      </w:r>
      <w:r w:rsidR="00415135" w:rsidRPr="00415135">
        <w:rPr>
          <w:shd w:val="clear" w:color="auto" w:fill="FFFFFF"/>
        </w:rPr>
        <w:t xml:space="preserve"> that are not gene technology and organisms that are not </w:t>
      </w:r>
      <w:proofErr w:type="gramStart"/>
      <w:r w:rsidR="00415135" w:rsidRPr="00415135">
        <w:rPr>
          <w:shd w:val="clear" w:color="auto" w:fill="FFFFFF"/>
        </w:rPr>
        <w:t>GMOs</w:t>
      </w:r>
      <w:proofErr w:type="gramEnd"/>
    </w:p>
    <w:p w14:paraId="1EE6ACD6" w14:textId="1044C9CE" w:rsidR="00415135" w:rsidRPr="00415135" w:rsidRDefault="00415135" w:rsidP="00F11C3D">
      <w:pPr>
        <w:spacing w:before="120" w:after="160"/>
        <w:rPr>
          <w:b/>
          <w:bCs/>
          <w:shd w:val="clear" w:color="auto" w:fill="FFFFFF"/>
        </w:rPr>
      </w:pPr>
      <w:r w:rsidRPr="00D27102">
        <w:rPr>
          <w:shd w:val="clear" w:color="auto" w:fill="FFFFFF"/>
        </w:rPr>
        <w:t>Schedules</w:t>
      </w:r>
      <w:r w:rsidRPr="00415135">
        <w:rPr>
          <w:shd w:val="clear" w:color="auto" w:fill="FFFFFF"/>
        </w:rPr>
        <w:t xml:space="preserve"> 1A and 1 of the Regulations, respectively, prescribe techniques that are not gene technology and organisms that are not GMOs. Amendments to these schedules are required to ensure the scope of regulation is clear to regulated entities and the broader community </w:t>
      </w:r>
      <w:proofErr w:type="gramStart"/>
      <w:r w:rsidRPr="00415135">
        <w:rPr>
          <w:shd w:val="clear" w:color="auto" w:fill="FFFFFF"/>
        </w:rPr>
        <w:t>in light of</w:t>
      </w:r>
      <w:proofErr w:type="gramEnd"/>
      <w:r w:rsidRPr="00415135">
        <w:rPr>
          <w:shd w:val="clear" w:color="auto" w:fill="FFFFFF"/>
        </w:rPr>
        <w:t xml:space="preserve"> ongoing technological changes.</w:t>
      </w:r>
    </w:p>
    <w:p w14:paraId="12815334" w14:textId="606D0D4A" w:rsidR="00415135" w:rsidRPr="00AF5E83" w:rsidRDefault="001A7C0F" w:rsidP="00E867CC">
      <w:pPr>
        <w:pStyle w:val="Heading3"/>
      </w:pPr>
      <w:r>
        <w:rPr>
          <w:rStyle w:val="normaltextrun"/>
        </w:rPr>
        <w:t>3.</w:t>
      </w:r>
      <w:r w:rsidR="00160E2B">
        <w:rPr>
          <w:rStyle w:val="normaltextrun"/>
        </w:rPr>
        <w:t>2</w:t>
      </w:r>
      <w:r>
        <w:rPr>
          <w:rStyle w:val="normaltextrun"/>
        </w:rPr>
        <w:t xml:space="preserve">.1 </w:t>
      </w:r>
      <w:r w:rsidR="00415135" w:rsidRPr="00AF5E83">
        <w:rPr>
          <w:rStyle w:val="normaltextrun"/>
        </w:rPr>
        <w:t>Transfer</w:t>
      </w:r>
      <w:r w:rsidR="00415135" w:rsidRPr="00AF5E83">
        <w:t xml:space="preserve"> of </w:t>
      </w:r>
      <w:r w:rsidR="00415135" w:rsidRPr="00E867CC">
        <w:t>chloroplasts</w:t>
      </w:r>
      <w:r w:rsidR="005E700C" w:rsidRPr="00AF5E83">
        <w:t>,</w:t>
      </w:r>
      <w:r w:rsidR="00415135" w:rsidRPr="00AF5E83">
        <w:t xml:space="preserve"> mitochondria</w:t>
      </w:r>
      <w:r w:rsidR="005E700C" w:rsidRPr="00AF5E83">
        <w:t>, and nuclei</w:t>
      </w:r>
    </w:p>
    <w:p w14:paraId="6D425F99" w14:textId="08F65297" w:rsidR="00415135" w:rsidRDefault="000231F0" w:rsidP="00F11C3D">
      <w:pPr>
        <w:spacing w:before="120" w:after="160"/>
        <w:rPr>
          <w:shd w:val="clear" w:color="auto" w:fill="FFFFFF"/>
        </w:rPr>
      </w:pPr>
      <w:r>
        <w:rPr>
          <w:shd w:val="clear" w:color="auto" w:fill="FFFFFF"/>
        </w:rPr>
        <w:t>M</w:t>
      </w:r>
      <w:r w:rsidR="00415135" w:rsidRPr="00415135">
        <w:rPr>
          <w:shd w:val="clear" w:color="auto" w:fill="FFFFFF"/>
        </w:rPr>
        <w:t xml:space="preserve">itochondria </w:t>
      </w:r>
      <w:r>
        <w:rPr>
          <w:shd w:val="clear" w:color="auto" w:fill="FFFFFF"/>
        </w:rPr>
        <w:t xml:space="preserve">and plastids (e.g. chloroplasts) </w:t>
      </w:r>
      <w:r w:rsidR="00415135" w:rsidRPr="00415135">
        <w:rPr>
          <w:shd w:val="clear" w:color="auto" w:fill="FFFFFF"/>
        </w:rPr>
        <w:t xml:space="preserve">are organelles within plant and animal cells that have their </w:t>
      </w:r>
      <w:r w:rsidR="00415135" w:rsidRPr="00415135">
        <w:t>own</w:t>
      </w:r>
      <w:r w:rsidR="00415135" w:rsidRPr="00415135">
        <w:rPr>
          <w:shd w:val="clear" w:color="auto" w:fill="FFFFFF"/>
        </w:rPr>
        <w:t xml:space="preserve"> genomes, separate to the much larger genome in the cell nucleus. Transferring chloroplasts or mitochondria from the cells of one organism to the cells of another organism is a technique used in plant and animal research. </w:t>
      </w:r>
      <w:r w:rsidR="00F865DF">
        <w:rPr>
          <w:shd w:val="clear" w:color="auto" w:fill="FFFFFF"/>
        </w:rPr>
        <w:t xml:space="preserve">The Act and Regulations do not specifically address </w:t>
      </w:r>
      <w:r w:rsidR="00415135" w:rsidRPr="00415135">
        <w:rPr>
          <w:shd w:val="clear" w:color="auto" w:fill="FFFFFF"/>
        </w:rPr>
        <w:t xml:space="preserve">whether transferring </w:t>
      </w:r>
      <w:r>
        <w:rPr>
          <w:shd w:val="clear" w:color="auto" w:fill="FFFFFF"/>
        </w:rPr>
        <w:t>plastids</w:t>
      </w:r>
      <w:r w:rsidR="00415135" w:rsidRPr="00415135">
        <w:rPr>
          <w:shd w:val="clear" w:color="auto" w:fill="FFFFFF"/>
        </w:rPr>
        <w:t xml:space="preserve"> or mitochondria is a gene technology technique, where the </w:t>
      </w:r>
      <w:r w:rsidR="00510344">
        <w:rPr>
          <w:shd w:val="clear" w:color="auto" w:fill="FFFFFF"/>
        </w:rPr>
        <w:t>organelle</w:t>
      </w:r>
      <w:r w:rsidR="00415135" w:rsidRPr="00415135">
        <w:rPr>
          <w:shd w:val="clear" w:color="auto" w:fill="FFFFFF"/>
        </w:rPr>
        <w:t xml:space="preserve"> </w:t>
      </w:r>
      <w:proofErr w:type="gramStart"/>
      <w:r w:rsidR="00415135" w:rsidRPr="00415135">
        <w:rPr>
          <w:shd w:val="clear" w:color="auto" w:fill="FFFFFF"/>
        </w:rPr>
        <w:t>being transferred</w:t>
      </w:r>
      <w:proofErr w:type="gramEnd"/>
      <w:r w:rsidR="00415135" w:rsidRPr="00415135">
        <w:rPr>
          <w:shd w:val="clear" w:color="auto" w:fill="FFFFFF"/>
        </w:rPr>
        <w:t xml:space="preserve"> ha</w:t>
      </w:r>
      <w:r w:rsidR="00510344">
        <w:rPr>
          <w:shd w:val="clear" w:color="auto" w:fill="FFFFFF"/>
        </w:rPr>
        <w:t>s</w:t>
      </w:r>
      <w:r w:rsidR="00415135" w:rsidRPr="00415135">
        <w:rPr>
          <w:shd w:val="clear" w:color="auto" w:fill="FFFFFF"/>
        </w:rPr>
        <w:t xml:space="preserve"> not been genetically modified. </w:t>
      </w:r>
    </w:p>
    <w:p w14:paraId="74673AF6" w14:textId="3B003F7C" w:rsidR="005E700C" w:rsidRPr="00415135" w:rsidRDefault="005E700C" w:rsidP="00F11C3D">
      <w:pPr>
        <w:spacing w:before="120" w:after="160"/>
        <w:rPr>
          <w:shd w:val="clear" w:color="auto" w:fill="FFFFFF"/>
        </w:rPr>
      </w:pPr>
      <w:r>
        <w:rPr>
          <w:shd w:val="clear" w:color="auto" w:fill="FFFFFF"/>
        </w:rPr>
        <w:t>Somatic cell nuclear transfer</w:t>
      </w:r>
      <w:r w:rsidR="00094D08">
        <w:rPr>
          <w:shd w:val="clear" w:color="auto" w:fill="FFFFFF"/>
        </w:rPr>
        <w:t>, also known as cloning,</w:t>
      </w:r>
      <w:r>
        <w:rPr>
          <w:shd w:val="clear" w:color="auto" w:fill="FFFFFF"/>
        </w:rPr>
        <w:t xml:space="preserve"> is currently listed as a technique that is not gene technology, </w:t>
      </w:r>
      <w:proofErr w:type="gramStart"/>
      <w:r>
        <w:rPr>
          <w:shd w:val="clear" w:color="auto" w:fill="FFFFFF"/>
        </w:rPr>
        <w:t>provided that</w:t>
      </w:r>
      <w:proofErr w:type="gramEnd"/>
      <w:r>
        <w:rPr>
          <w:shd w:val="clear" w:color="auto" w:fill="FFFFFF"/>
        </w:rPr>
        <w:t xml:space="preserve"> it does not involve genetically modified material. Nuclear transfer techniques other than somatic cell nuclear transfer have developed and come into more widespread use, particularly in research.</w:t>
      </w:r>
      <w:r w:rsidR="000F3385">
        <w:rPr>
          <w:shd w:val="clear" w:color="auto" w:fill="FFFFFF"/>
        </w:rPr>
        <w:t xml:space="preserve"> The legislation does not address these techniques.</w:t>
      </w:r>
      <w:r>
        <w:rPr>
          <w:shd w:val="clear" w:color="auto" w:fill="FFFFFF"/>
        </w:rPr>
        <w:t xml:space="preserve"> </w:t>
      </w:r>
    </w:p>
    <w:p w14:paraId="265A725C" w14:textId="4C73F757" w:rsidR="00415135" w:rsidRPr="00415135" w:rsidRDefault="000F3385" w:rsidP="00F11C3D">
      <w:pPr>
        <w:spacing w:before="120" w:after="160"/>
        <w:rPr>
          <w:shd w:val="clear" w:color="auto" w:fill="FFFFFF"/>
        </w:rPr>
      </w:pPr>
      <w:r>
        <w:rPr>
          <w:shd w:val="clear" w:color="auto" w:fill="FFFFFF"/>
        </w:rPr>
        <w:t>T</w:t>
      </w:r>
      <w:r w:rsidRPr="00415135">
        <w:rPr>
          <w:shd w:val="clear" w:color="auto" w:fill="FFFFFF"/>
        </w:rPr>
        <w:t xml:space="preserve">echniques </w:t>
      </w:r>
      <w:r>
        <w:rPr>
          <w:shd w:val="clear" w:color="auto" w:fill="FFFFFF"/>
        </w:rPr>
        <w:t>to transfer unmodified nuclei</w:t>
      </w:r>
      <w:r w:rsidR="00423835">
        <w:rPr>
          <w:shd w:val="clear" w:color="auto" w:fill="FFFFFF"/>
        </w:rPr>
        <w:t>, mitochondria and plasti</w:t>
      </w:r>
      <w:r w:rsidR="0096681C">
        <w:rPr>
          <w:shd w:val="clear" w:color="auto" w:fill="FFFFFF"/>
        </w:rPr>
        <w:t>d</w:t>
      </w:r>
      <w:r w:rsidR="00423835">
        <w:rPr>
          <w:shd w:val="clear" w:color="auto" w:fill="FFFFFF"/>
        </w:rPr>
        <w:t>s</w:t>
      </w:r>
      <w:r>
        <w:rPr>
          <w:shd w:val="clear" w:color="auto" w:fill="FFFFFF"/>
        </w:rPr>
        <w:t xml:space="preserve"> </w:t>
      </w:r>
      <w:r w:rsidRPr="00415135">
        <w:rPr>
          <w:shd w:val="clear" w:color="auto" w:fill="FFFFFF"/>
        </w:rPr>
        <w:t xml:space="preserve">have similar outcomes to </w:t>
      </w:r>
      <w:proofErr w:type="gramStart"/>
      <w:r w:rsidRPr="00415135">
        <w:rPr>
          <w:shd w:val="clear" w:color="auto" w:fill="FFFFFF"/>
        </w:rPr>
        <w:t>several</w:t>
      </w:r>
      <w:proofErr w:type="gramEnd"/>
      <w:r w:rsidRPr="00415135">
        <w:rPr>
          <w:shd w:val="clear" w:color="auto" w:fill="FFFFFF"/>
        </w:rPr>
        <w:t xml:space="preserve"> techniques that are not gene technology, including conventional breeding, somatic cell nuclear transfer, and cell and protoplast fusion.</w:t>
      </w:r>
      <w:r>
        <w:rPr>
          <w:shd w:val="clear" w:color="auto" w:fill="FFFFFF"/>
        </w:rPr>
        <w:t xml:space="preserve"> </w:t>
      </w:r>
      <w:r w:rsidR="00415135" w:rsidRPr="00415135">
        <w:rPr>
          <w:shd w:val="clear" w:color="auto" w:fill="FFFFFF"/>
        </w:rPr>
        <w:t xml:space="preserve">An amendment </w:t>
      </w:r>
      <w:proofErr w:type="gramStart"/>
      <w:r w:rsidR="00415135" w:rsidRPr="00415135">
        <w:rPr>
          <w:shd w:val="clear" w:color="auto" w:fill="FFFFFF"/>
        </w:rPr>
        <w:t>is proposed</w:t>
      </w:r>
      <w:proofErr w:type="gramEnd"/>
      <w:r w:rsidR="00415135" w:rsidRPr="00415135">
        <w:rPr>
          <w:shd w:val="clear" w:color="auto" w:fill="FFFFFF"/>
        </w:rPr>
        <w:t xml:space="preserve"> to list these transfer techniques as techniques that are not gene technology by expanding item 1 of Schedule 1A. This would only relate to techniques that do not involve any genetically modified material. This amendment would resolve questions as to whether these techniques are or are not gene technology and provide treatment that is consistent with somatic cell nuclear transfer.</w:t>
      </w:r>
    </w:p>
    <w:p w14:paraId="56D92F65" w14:textId="6233C0BD" w:rsidR="00415135" w:rsidRPr="00415135" w:rsidRDefault="00D27102" w:rsidP="00E867CC">
      <w:pPr>
        <w:pStyle w:val="Heading3"/>
        <w:rPr>
          <w:shd w:val="clear" w:color="auto" w:fill="FFFFFF"/>
        </w:rPr>
      </w:pPr>
      <w:r>
        <w:rPr>
          <w:shd w:val="clear" w:color="auto" w:fill="FFFFFF"/>
        </w:rPr>
        <w:t>3.</w:t>
      </w:r>
      <w:r w:rsidR="00160E2B">
        <w:rPr>
          <w:shd w:val="clear" w:color="auto" w:fill="FFFFFF"/>
        </w:rPr>
        <w:t>2</w:t>
      </w:r>
      <w:r>
        <w:rPr>
          <w:shd w:val="clear" w:color="auto" w:fill="FFFFFF"/>
        </w:rPr>
        <w:t xml:space="preserve">.2 </w:t>
      </w:r>
      <w:r w:rsidR="00415135" w:rsidRPr="00415135">
        <w:rPr>
          <w:shd w:val="clear" w:color="auto" w:fill="FFFFFF"/>
        </w:rPr>
        <w:t>Introduction of nucleic acids</w:t>
      </w:r>
    </w:p>
    <w:p w14:paraId="64FC0BEF" w14:textId="77777777" w:rsidR="00415135" w:rsidRPr="00415135" w:rsidRDefault="00415135" w:rsidP="00F11C3D">
      <w:pPr>
        <w:spacing w:before="120" w:after="160"/>
        <w:rPr>
          <w:shd w:val="clear" w:color="auto" w:fill="FFFFFF"/>
        </w:rPr>
      </w:pPr>
      <w:r w:rsidRPr="00415135">
        <w:rPr>
          <w:shd w:val="clear" w:color="auto" w:fill="FFFFFF"/>
        </w:rPr>
        <w:t xml:space="preserve">In recent years, techniques that involve applying nucleic acids to cells have developed and diversified. Amendments to item 11 of Schedule 1A </w:t>
      </w:r>
      <w:proofErr w:type="gramStart"/>
      <w:r w:rsidRPr="00415135">
        <w:rPr>
          <w:shd w:val="clear" w:color="auto" w:fill="FFFFFF"/>
        </w:rPr>
        <w:t>are proposed</w:t>
      </w:r>
      <w:proofErr w:type="gramEnd"/>
      <w:r w:rsidRPr="00415135">
        <w:rPr>
          <w:shd w:val="clear" w:color="auto" w:fill="FFFFFF"/>
        </w:rPr>
        <w:t xml:space="preserve"> to more clearly address the regulatory status of some of these techniques.</w:t>
      </w:r>
    </w:p>
    <w:p w14:paraId="3462AC49" w14:textId="604B026B" w:rsidR="00415135" w:rsidRPr="00415135" w:rsidRDefault="00415135" w:rsidP="00F11C3D">
      <w:pPr>
        <w:spacing w:before="120" w:after="160"/>
        <w:rPr>
          <w:shd w:val="clear" w:color="auto" w:fill="FFFFFF"/>
        </w:rPr>
      </w:pPr>
      <w:bookmarkStart w:id="0" w:name="_Hlk174095991"/>
      <w:r w:rsidRPr="00415135">
        <w:rPr>
          <w:shd w:val="clear" w:color="auto" w:fill="FFFFFF"/>
        </w:rPr>
        <w:t xml:space="preserve">Antisense oligonucleotides (ASOs) are short, single-stranded oligonucleotides that target and bind to RNA in cells and modulate how </w:t>
      </w:r>
      <w:proofErr w:type="gramStart"/>
      <w:r w:rsidRPr="00415135">
        <w:rPr>
          <w:shd w:val="clear" w:color="auto" w:fill="FFFFFF"/>
        </w:rPr>
        <w:t>much</w:t>
      </w:r>
      <w:proofErr w:type="gramEnd"/>
      <w:r w:rsidRPr="00415135">
        <w:rPr>
          <w:shd w:val="clear" w:color="auto" w:fill="FFFFFF"/>
        </w:rPr>
        <w:t xml:space="preserve"> protein is expressed from a gene. </w:t>
      </w:r>
      <w:bookmarkEnd w:id="0"/>
      <w:r w:rsidRPr="00415135">
        <w:rPr>
          <w:shd w:val="clear" w:color="auto" w:fill="FFFFFF"/>
        </w:rPr>
        <w:t xml:space="preserve">Gene expression is reduced, just as gene expression can be reduced in response to environmental changes or </w:t>
      </w:r>
      <w:proofErr w:type="gramStart"/>
      <w:r w:rsidRPr="00415135">
        <w:rPr>
          <w:shd w:val="clear" w:color="auto" w:fill="FFFFFF"/>
        </w:rPr>
        <w:t>as a result of</w:t>
      </w:r>
      <w:proofErr w:type="gramEnd"/>
      <w:r w:rsidRPr="00415135">
        <w:rPr>
          <w:shd w:val="clear" w:color="auto" w:fill="FFFFFF"/>
        </w:rPr>
        <w:t xml:space="preserve"> natural genetic mutations. The effect of applying ASOs is also equivalent to the effect of RNA interference, a technique that is not gene technology (Schedule 1A, item 11), however the legislation does not currently address ASOs. An amendment </w:t>
      </w:r>
      <w:proofErr w:type="gramStart"/>
      <w:r w:rsidRPr="00415135">
        <w:rPr>
          <w:shd w:val="clear" w:color="auto" w:fill="FFFFFF"/>
        </w:rPr>
        <w:t>is proposed</w:t>
      </w:r>
      <w:proofErr w:type="gramEnd"/>
      <w:r w:rsidRPr="00415135">
        <w:rPr>
          <w:shd w:val="clear" w:color="auto" w:fill="FFFFFF"/>
        </w:rPr>
        <w:t xml:space="preserve"> to add application of ASOs to the list of techniques that are not gene technology.</w:t>
      </w:r>
    </w:p>
    <w:p w14:paraId="486527A5" w14:textId="4A96C4A1" w:rsidR="003B5ECE" w:rsidRDefault="00415135" w:rsidP="00F11C3D">
      <w:pPr>
        <w:spacing w:before="120" w:after="160"/>
        <w:rPr>
          <w:shd w:val="clear" w:color="auto" w:fill="FFFFFF"/>
        </w:rPr>
      </w:pPr>
      <w:r w:rsidRPr="00415135">
        <w:rPr>
          <w:shd w:val="clear" w:color="auto" w:fill="FFFFFF"/>
        </w:rPr>
        <w:t xml:space="preserve">It </w:t>
      </w:r>
      <w:proofErr w:type="gramStart"/>
      <w:r w:rsidRPr="00415135">
        <w:rPr>
          <w:shd w:val="clear" w:color="auto" w:fill="FFFFFF"/>
        </w:rPr>
        <w:t>is also proposed</w:t>
      </w:r>
      <w:proofErr w:type="gramEnd"/>
      <w:r w:rsidRPr="00415135">
        <w:rPr>
          <w:shd w:val="clear" w:color="auto" w:fill="FFFFFF"/>
        </w:rPr>
        <w:t xml:space="preserve"> to extend item 11 of Schedule 1A to technologies such as mRNA vaccines to provide clarity about the status of mRNA-based techniques. Introducing RNA that can </w:t>
      </w:r>
      <w:proofErr w:type="gramStart"/>
      <w:r w:rsidRPr="00415135">
        <w:rPr>
          <w:shd w:val="clear" w:color="auto" w:fill="FFFFFF"/>
        </w:rPr>
        <w:t>be transcribed</w:t>
      </w:r>
      <w:proofErr w:type="gramEnd"/>
      <w:r w:rsidRPr="00415135">
        <w:rPr>
          <w:shd w:val="clear" w:color="auto" w:fill="FFFFFF"/>
        </w:rPr>
        <w:t xml:space="preserve"> to a protein has an effect equivalent to introducing the expressed protein into an organism by other means. mRNAs have a time-limited effect because they degrade, and their </w:t>
      </w:r>
      <w:r w:rsidRPr="00415135">
        <w:rPr>
          <w:shd w:val="clear" w:color="auto" w:fill="FFFFFF"/>
        </w:rPr>
        <w:lastRenderedPageBreak/>
        <w:t xml:space="preserve">expressed proteins also degrade. An amendment </w:t>
      </w:r>
      <w:proofErr w:type="gramStart"/>
      <w:r w:rsidRPr="00415135">
        <w:rPr>
          <w:shd w:val="clear" w:color="auto" w:fill="FFFFFF"/>
        </w:rPr>
        <w:t>is proposed</w:t>
      </w:r>
      <w:proofErr w:type="gramEnd"/>
      <w:r w:rsidRPr="00415135">
        <w:rPr>
          <w:shd w:val="clear" w:color="auto" w:fill="FFFFFF"/>
        </w:rPr>
        <w:t xml:space="preserve"> to make the status of this technique clear to regulated entities, and equivalent to applying protein to an organism. </w:t>
      </w:r>
    </w:p>
    <w:p w14:paraId="4077AE4F" w14:textId="25643C39" w:rsidR="002044B6" w:rsidRDefault="003B5ECE" w:rsidP="00F11C3D">
      <w:pPr>
        <w:spacing w:before="120" w:after="160"/>
        <w:rPr>
          <w:shd w:val="clear" w:color="auto" w:fill="FFFFFF"/>
        </w:rPr>
      </w:pPr>
      <w:r>
        <w:rPr>
          <w:shd w:val="clear" w:color="auto" w:fill="FFFFFF"/>
        </w:rPr>
        <w:t xml:space="preserve">Schedule 1A, item 11 is proposed to be amended </w:t>
      </w:r>
      <w:r w:rsidR="002044B6">
        <w:rPr>
          <w:shd w:val="clear" w:color="auto" w:fill="FFFFFF"/>
        </w:rPr>
        <w:t xml:space="preserve">so that it provides that introduction of nucleic acid or nucleic acid analogues into an organism is not gene technology </w:t>
      </w:r>
      <w:proofErr w:type="gramStart"/>
      <w:r w:rsidR="00D46241">
        <w:rPr>
          <w:shd w:val="clear" w:color="auto" w:fill="FFFFFF"/>
        </w:rPr>
        <w:t>provided that</w:t>
      </w:r>
      <w:proofErr w:type="gramEnd"/>
      <w:r w:rsidR="007E33EC">
        <w:rPr>
          <w:shd w:val="clear" w:color="auto" w:fill="FFFFFF"/>
        </w:rPr>
        <w:t xml:space="preserve"> it</w:t>
      </w:r>
      <w:r w:rsidR="00D46241">
        <w:rPr>
          <w:shd w:val="clear" w:color="auto" w:fill="FFFFFF"/>
        </w:rPr>
        <w:t>:</w:t>
      </w:r>
    </w:p>
    <w:p w14:paraId="0D28CB60" w14:textId="6BDF928E" w:rsidR="00D46241" w:rsidRPr="00AD6B40" w:rsidRDefault="00AD6B40" w:rsidP="00D46241">
      <w:pPr>
        <w:pStyle w:val="ListParagraph"/>
        <w:numPr>
          <w:ilvl w:val="0"/>
          <w:numId w:val="12"/>
        </w:numPr>
        <w:spacing w:before="120" w:after="1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cannot</w:t>
      </w:r>
      <w:r w:rsidR="007E33EC" w:rsidRPr="00AD6B40">
        <w:rPr>
          <w:rFonts w:ascii="Times New Roman" w:hAnsi="Times New Roman" w:cs="Times New Roman"/>
          <w:sz w:val="24"/>
          <w:szCs w:val="24"/>
          <w:shd w:val="clear" w:color="auto" w:fill="FFFFFF"/>
        </w:rPr>
        <w:t xml:space="preserve"> give rise to an infectious </w:t>
      </w:r>
      <w:proofErr w:type="gramStart"/>
      <w:r w:rsidR="007E33EC" w:rsidRPr="00AD6B40">
        <w:rPr>
          <w:rFonts w:ascii="Times New Roman" w:hAnsi="Times New Roman" w:cs="Times New Roman"/>
          <w:sz w:val="24"/>
          <w:szCs w:val="24"/>
          <w:shd w:val="clear" w:color="auto" w:fill="FFFFFF"/>
        </w:rPr>
        <w:t>agent</w:t>
      </w:r>
      <w:proofErr w:type="gramEnd"/>
    </w:p>
    <w:p w14:paraId="7B8FFF96" w14:textId="3AC4B7FE" w:rsidR="007E33EC" w:rsidRPr="00AD6B40" w:rsidRDefault="00AD6B40" w:rsidP="00D46241">
      <w:pPr>
        <w:pStyle w:val="ListParagraph"/>
        <w:numPr>
          <w:ilvl w:val="0"/>
          <w:numId w:val="12"/>
        </w:numPr>
        <w:spacing w:before="120" w:after="1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does</w:t>
      </w:r>
      <w:r w:rsidR="00BD0200" w:rsidRPr="00AD6B40">
        <w:rPr>
          <w:rFonts w:ascii="Times New Roman" w:hAnsi="Times New Roman" w:cs="Times New Roman"/>
          <w:sz w:val="24"/>
          <w:szCs w:val="24"/>
          <w:shd w:val="clear" w:color="auto" w:fill="FFFFFF"/>
        </w:rPr>
        <w:t xml:space="preserve"> not alter the organism’s genome sequence, and</w:t>
      </w:r>
    </w:p>
    <w:p w14:paraId="37324CC8" w14:textId="72A4692C" w:rsidR="00BD0200" w:rsidRPr="00AD6B40" w:rsidRDefault="00AD6B40" w:rsidP="00D46241">
      <w:pPr>
        <w:pStyle w:val="ListParagraph"/>
        <w:numPr>
          <w:ilvl w:val="0"/>
          <w:numId w:val="12"/>
        </w:numPr>
        <w:spacing w:before="120" w:after="1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w:t>
      </w:r>
      <w:r w:rsidR="004D27D2" w:rsidRPr="00AD6B40">
        <w:rPr>
          <w:rFonts w:ascii="Times New Roman" w:hAnsi="Times New Roman" w:cs="Times New Roman"/>
          <w:sz w:val="24"/>
          <w:szCs w:val="24"/>
          <w:shd w:val="clear" w:color="auto" w:fill="FFFFFF"/>
        </w:rPr>
        <w:t xml:space="preserve"> the introduced nucleic acid is DNA, it cannot </w:t>
      </w:r>
      <w:proofErr w:type="gramStart"/>
      <w:r w:rsidR="004D27D2" w:rsidRPr="00AD6B40">
        <w:rPr>
          <w:rFonts w:ascii="Times New Roman" w:hAnsi="Times New Roman" w:cs="Times New Roman"/>
          <w:sz w:val="24"/>
          <w:szCs w:val="24"/>
          <w:shd w:val="clear" w:color="auto" w:fill="FFFFFF"/>
        </w:rPr>
        <w:t>be transcribed</w:t>
      </w:r>
      <w:proofErr w:type="gramEnd"/>
      <w:r w:rsidR="004D27D2" w:rsidRPr="00AD6B40">
        <w:rPr>
          <w:rFonts w:ascii="Times New Roman" w:hAnsi="Times New Roman" w:cs="Times New Roman"/>
          <w:sz w:val="24"/>
          <w:szCs w:val="24"/>
          <w:shd w:val="clear" w:color="auto" w:fill="FFFFFF"/>
        </w:rPr>
        <w:t>.</w:t>
      </w:r>
    </w:p>
    <w:p w14:paraId="48784BE7" w14:textId="29D47C05" w:rsidR="00415135" w:rsidRPr="00415135" w:rsidRDefault="000318DC" w:rsidP="00F11C3D">
      <w:pPr>
        <w:spacing w:before="120" w:after="160"/>
        <w:rPr>
          <w:shd w:val="clear" w:color="auto" w:fill="FFFFFF"/>
        </w:rPr>
      </w:pPr>
      <w:r>
        <w:rPr>
          <w:shd w:val="clear" w:color="auto" w:fill="FFFFFF"/>
        </w:rPr>
        <w:t>T</w:t>
      </w:r>
      <w:r w:rsidR="00415135" w:rsidRPr="00415135">
        <w:rPr>
          <w:shd w:val="clear" w:color="auto" w:fill="FFFFFF"/>
        </w:rPr>
        <w:t xml:space="preserve">his </w:t>
      </w:r>
      <w:r>
        <w:rPr>
          <w:shd w:val="clear" w:color="auto" w:fill="FFFFFF"/>
        </w:rPr>
        <w:t>propos</w:t>
      </w:r>
      <w:r w:rsidR="001E5FDE">
        <w:rPr>
          <w:shd w:val="clear" w:color="auto" w:fill="FFFFFF"/>
        </w:rPr>
        <w:t>ed amendment</w:t>
      </w:r>
      <w:r>
        <w:rPr>
          <w:shd w:val="clear" w:color="auto" w:fill="FFFFFF"/>
        </w:rPr>
        <w:t xml:space="preserve"> </w:t>
      </w:r>
      <w:r w:rsidR="00415135" w:rsidRPr="00415135">
        <w:rPr>
          <w:shd w:val="clear" w:color="auto" w:fill="FFFFFF"/>
        </w:rPr>
        <w:t>would not change the status of RNAs that are themselves GMOs.</w:t>
      </w:r>
      <w:r>
        <w:rPr>
          <w:shd w:val="clear" w:color="auto" w:fill="FFFFFF"/>
        </w:rPr>
        <w:t xml:space="preserve"> Dealings with those GMOs would continue to </w:t>
      </w:r>
      <w:proofErr w:type="gramStart"/>
      <w:r>
        <w:rPr>
          <w:shd w:val="clear" w:color="auto" w:fill="FFFFFF"/>
        </w:rPr>
        <w:t>be regulated</w:t>
      </w:r>
      <w:proofErr w:type="gramEnd"/>
      <w:r>
        <w:rPr>
          <w:shd w:val="clear" w:color="auto" w:fill="FFFFFF"/>
        </w:rPr>
        <w:t>.</w:t>
      </w:r>
    </w:p>
    <w:p w14:paraId="4A04BF86" w14:textId="4571AD48" w:rsidR="00415135" w:rsidRPr="00415135" w:rsidRDefault="00E867CC" w:rsidP="00E867CC">
      <w:pPr>
        <w:pStyle w:val="Heading3"/>
        <w:rPr>
          <w:shd w:val="clear" w:color="auto" w:fill="FFFFFF"/>
        </w:rPr>
      </w:pPr>
      <w:r>
        <w:rPr>
          <w:shd w:val="clear" w:color="auto" w:fill="FFFFFF"/>
        </w:rPr>
        <w:t>3.</w:t>
      </w:r>
      <w:r w:rsidR="00160E2B">
        <w:rPr>
          <w:shd w:val="clear" w:color="auto" w:fill="FFFFFF"/>
        </w:rPr>
        <w:t>2</w:t>
      </w:r>
      <w:r>
        <w:rPr>
          <w:shd w:val="clear" w:color="auto" w:fill="FFFFFF"/>
        </w:rPr>
        <w:t xml:space="preserve">.3 </w:t>
      </w:r>
      <w:r w:rsidR="00415135" w:rsidRPr="00415135">
        <w:rPr>
          <w:shd w:val="clear" w:color="auto" w:fill="FFFFFF"/>
        </w:rPr>
        <w:t>Exchange of DNA</w:t>
      </w:r>
    </w:p>
    <w:p w14:paraId="33345305" w14:textId="704B4D04" w:rsidR="00415135" w:rsidRPr="00415135" w:rsidRDefault="000318DC" w:rsidP="00F11C3D">
      <w:pPr>
        <w:spacing w:before="120" w:after="160"/>
        <w:rPr>
          <w:shd w:val="clear" w:color="auto" w:fill="FFFFFF"/>
        </w:rPr>
      </w:pPr>
      <w:r>
        <w:rPr>
          <w:shd w:val="clear" w:color="auto" w:fill="FFFFFF"/>
        </w:rPr>
        <w:t>I</w:t>
      </w:r>
      <w:r w:rsidR="00415135" w:rsidRPr="00415135">
        <w:rPr>
          <w:shd w:val="clear" w:color="auto" w:fill="FFFFFF"/>
        </w:rPr>
        <w:t xml:space="preserve">tem 6 of Schedule 1 describes organisms that are not GMOs that are the result of an exchange of DNA within a species. While the item wording does not refer to microorganisms, the explanatory statement to the principal regulations describes this item in comparison to naturally occurring genetic exchange in </w:t>
      </w:r>
      <w:proofErr w:type="gramStart"/>
      <w:r w:rsidR="00415135" w:rsidRPr="00415135">
        <w:rPr>
          <w:shd w:val="clear" w:color="auto" w:fill="FFFFFF"/>
        </w:rPr>
        <w:t>some</w:t>
      </w:r>
      <w:proofErr w:type="gramEnd"/>
      <w:r w:rsidR="00415135" w:rsidRPr="00415135">
        <w:rPr>
          <w:shd w:val="clear" w:color="auto" w:fill="FFFFFF"/>
        </w:rPr>
        <w:t xml:space="preserve"> microorganisms. Amendments </w:t>
      </w:r>
      <w:proofErr w:type="gramStart"/>
      <w:r w:rsidR="00415135" w:rsidRPr="00415135">
        <w:rPr>
          <w:shd w:val="clear" w:color="auto" w:fill="FFFFFF"/>
        </w:rPr>
        <w:t>are proposed</w:t>
      </w:r>
      <w:proofErr w:type="gramEnd"/>
      <w:r w:rsidR="00415135" w:rsidRPr="00415135">
        <w:rPr>
          <w:shd w:val="clear" w:color="auto" w:fill="FFFFFF"/>
        </w:rPr>
        <w:t xml:space="preserve"> to </w:t>
      </w:r>
      <w:r w:rsidR="00160E2B">
        <w:rPr>
          <w:shd w:val="clear" w:color="auto" w:fill="FFFFFF"/>
        </w:rPr>
        <w:t>speci</w:t>
      </w:r>
      <w:r w:rsidR="00415135" w:rsidRPr="00415135">
        <w:rPr>
          <w:shd w:val="clear" w:color="auto" w:fill="FFFFFF"/>
        </w:rPr>
        <w:t>fy that item 6 relates</w:t>
      </w:r>
      <w:r w:rsidR="00160E2B">
        <w:rPr>
          <w:shd w:val="clear" w:color="auto" w:fill="FFFFFF"/>
        </w:rPr>
        <w:t xml:space="preserve"> only</w:t>
      </w:r>
      <w:r w:rsidR="00415135" w:rsidRPr="00415135">
        <w:rPr>
          <w:shd w:val="clear" w:color="auto" w:fill="FFFFFF"/>
        </w:rPr>
        <w:t xml:space="preserve"> to microorganisms. This would make it clear that this item does not provide an exclusion for higher organisms with </w:t>
      </w:r>
      <w:proofErr w:type="spellStart"/>
      <w:r w:rsidR="00415135" w:rsidRPr="00415135">
        <w:rPr>
          <w:shd w:val="clear" w:color="auto" w:fill="FFFFFF"/>
        </w:rPr>
        <w:t>cisgenic</w:t>
      </w:r>
      <w:proofErr w:type="spellEnd"/>
      <w:r w:rsidR="00415135" w:rsidRPr="00415135">
        <w:rPr>
          <w:shd w:val="clear" w:color="auto" w:fill="FFFFFF"/>
        </w:rPr>
        <w:t xml:space="preserve"> and intragenic modifications.</w:t>
      </w:r>
    </w:p>
    <w:p w14:paraId="7961AA66" w14:textId="6DA706D2" w:rsidR="00415135" w:rsidRPr="00415135" w:rsidRDefault="00E867CC" w:rsidP="00E867CC">
      <w:pPr>
        <w:pStyle w:val="Heading3"/>
        <w:rPr>
          <w:shd w:val="clear" w:color="auto" w:fill="FFFFFF"/>
        </w:rPr>
      </w:pPr>
      <w:r>
        <w:rPr>
          <w:shd w:val="clear" w:color="auto" w:fill="FFFFFF"/>
        </w:rPr>
        <w:t>3.</w:t>
      </w:r>
      <w:r w:rsidR="00160E2B">
        <w:rPr>
          <w:shd w:val="clear" w:color="auto" w:fill="FFFFFF"/>
        </w:rPr>
        <w:t>2</w:t>
      </w:r>
      <w:r>
        <w:rPr>
          <w:shd w:val="clear" w:color="auto" w:fill="FFFFFF"/>
        </w:rPr>
        <w:t xml:space="preserve">.4 </w:t>
      </w:r>
      <w:r w:rsidR="00415135" w:rsidRPr="00415135">
        <w:rPr>
          <w:shd w:val="clear" w:color="auto" w:fill="FFFFFF"/>
        </w:rPr>
        <w:t>Epigenetic modifications</w:t>
      </w:r>
    </w:p>
    <w:p w14:paraId="32D3051D" w14:textId="334767BB" w:rsidR="00415135" w:rsidRPr="00415135" w:rsidRDefault="00415135" w:rsidP="00F11C3D">
      <w:pPr>
        <w:spacing w:before="120" w:after="160"/>
        <w:rPr>
          <w:shd w:val="clear" w:color="auto" w:fill="FFFFFF"/>
        </w:rPr>
      </w:pPr>
      <w:r w:rsidRPr="00415135">
        <w:rPr>
          <w:shd w:val="clear" w:color="auto" w:fill="FFFFFF"/>
        </w:rPr>
        <w:t>Epigenetic modifications are chemical changes to the genome</w:t>
      </w:r>
      <w:r w:rsidR="004E254A">
        <w:rPr>
          <w:shd w:val="clear" w:color="auto" w:fill="FFFFFF"/>
        </w:rPr>
        <w:t>,</w:t>
      </w:r>
      <w:r w:rsidRPr="00415135">
        <w:rPr>
          <w:shd w:val="clear" w:color="auto" w:fill="FFFFFF"/>
        </w:rPr>
        <w:t xml:space="preserve"> </w:t>
      </w:r>
      <w:r w:rsidR="004E254A">
        <w:rPr>
          <w:shd w:val="clear" w:color="auto" w:fill="FFFFFF"/>
        </w:rPr>
        <w:t>including</w:t>
      </w:r>
      <w:r w:rsidR="004E254A" w:rsidRPr="00415135">
        <w:rPr>
          <w:shd w:val="clear" w:color="auto" w:fill="FFFFFF"/>
        </w:rPr>
        <w:t xml:space="preserve"> DNA methylation and histone acetylation</w:t>
      </w:r>
      <w:r w:rsidR="004E254A">
        <w:rPr>
          <w:shd w:val="clear" w:color="auto" w:fill="FFFFFF"/>
        </w:rPr>
        <w:t>,</w:t>
      </w:r>
      <w:r w:rsidR="004E254A" w:rsidRPr="00415135">
        <w:rPr>
          <w:shd w:val="clear" w:color="auto" w:fill="FFFFFF"/>
        </w:rPr>
        <w:t xml:space="preserve"> </w:t>
      </w:r>
      <w:proofErr w:type="gramStart"/>
      <w:r w:rsidRPr="00415135">
        <w:rPr>
          <w:shd w:val="clear" w:color="auto" w:fill="FFFFFF"/>
        </w:rPr>
        <w:t>that</w:t>
      </w:r>
      <w:proofErr w:type="gramEnd"/>
      <w:r w:rsidRPr="00415135">
        <w:rPr>
          <w:shd w:val="clear" w:color="auto" w:fill="FFFFFF"/>
        </w:rPr>
        <w:t xml:space="preserve"> do not modify the </w:t>
      </w:r>
      <w:r w:rsidR="007D12CD">
        <w:rPr>
          <w:shd w:val="clear" w:color="auto" w:fill="FFFFFF"/>
        </w:rPr>
        <w:t xml:space="preserve">DNA </w:t>
      </w:r>
      <w:r w:rsidRPr="00415135">
        <w:rPr>
          <w:shd w:val="clear" w:color="auto" w:fill="FFFFFF"/>
        </w:rPr>
        <w:t>sequence. Epigenetic modifications can result in changes to the level of expression of genes</w:t>
      </w:r>
      <w:r w:rsidR="000F3385">
        <w:rPr>
          <w:shd w:val="clear" w:color="auto" w:fill="FFFFFF"/>
        </w:rPr>
        <w:t xml:space="preserve">; this is </w:t>
      </w:r>
      <w:proofErr w:type="gramStart"/>
      <w:r w:rsidR="000F3385">
        <w:rPr>
          <w:shd w:val="clear" w:color="auto" w:fill="FFFFFF"/>
        </w:rPr>
        <w:t>similar to</w:t>
      </w:r>
      <w:proofErr w:type="gramEnd"/>
      <w:r w:rsidR="000F3385">
        <w:rPr>
          <w:shd w:val="clear" w:color="auto" w:fill="FFFFFF"/>
        </w:rPr>
        <w:t xml:space="preserve"> the effect of ASOs described above</w:t>
      </w:r>
      <w:r w:rsidRPr="00415135">
        <w:rPr>
          <w:shd w:val="clear" w:color="auto" w:fill="FFFFFF"/>
        </w:rPr>
        <w:t xml:space="preserve">. Natural environmental stimuli can lead to epigenetic changes, as can gene technology techniques. </w:t>
      </w:r>
    </w:p>
    <w:p w14:paraId="706B4016" w14:textId="67938C67" w:rsidR="00280050" w:rsidRPr="009911DE" w:rsidRDefault="00415135" w:rsidP="00F11C3D">
      <w:pPr>
        <w:spacing w:before="120" w:after="160"/>
        <w:rPr>
          <w:shd w:val="clear" w:color="auto" w:fill="FFFFFF"/>
        </w:rPr>
      </w:pPr>
      <w:r w:rsidRPr="00415135">
        <w:rPr>
          <w:shd w:val="clear" w:color="auto" w:fill="FFFFFF"/>
        </w:rPr>
        <w:t xml:space="preserve">The gene technology legislation does not directly address the status of organisms with epigenetic modifications </w:t>
      </w:r>
      <w:proofErr w:type="gramStart"/>
      <w:r w:rsidRPr="00415135">
        <w:rPr>
          <w:shd w:val="clear" w:color="auto" w:fill="FFFFFF"/>
        </w:rPr>
        <w:t>as a result of</w:t>
      </w:r>
      <w:proofErr w:type="gramEnd"/>
      <w:r w:rsidRPr="00415135">
        <w:rPr>
          <w:shd w:val="clear" w:color="auto" w:fill="FFFFFF"/>
        </w:rPr>
        <w:t xml:space="preserve"> gene technology techniques. To provide clarity about their status, it </w:t>
      </w:r>
      <w:proofErr w:type="gramStart"/>
      <w:r w:rsidRPr="00415135">
        <w:rPr>
          <w:shd w:val="clear" w:color="auto" w:fill="FFFFFF"/>
        </w:rPr>
        <w:t>is proposed</w:t>
      </w:r>
      <w:proofErr w:type="gramEnd"/>
      <w:r w:rsidRPr="00415135">
        <w:rPr>
          <w:shd w:val="clear" w:color="auto" w:fill="FFFFFF"/>
        </w:rPr>
        <w:t xml:space="preserve"> these organisms be listed as organisms that are not GMOs provided that the organism has no other modifications that occurred because of gene technology. This would give these organisms the same status as organisms with naturally occurring epigenetic modifications.</w:t>
      </w:r>
    </w:p>
    <w:p w14:paraId="36BF9FBE" w14:textId="011B773C" w:rsidR="000B1EA9" w:rsidRDefault="000B1EA9" w:rsidP="009911DE">
      <w:pPr>
        <w:pStyle w:val="Heading2"/>
      </w:pPr>
      <w:r>
        <w:t>3.</w:t>
      </w:r>
      <w:r w:rsidR="00160E2B">
        <w:t>3</w:t>
      </w:r>
      <w:r>
        <w:t xml:space="preserve"> Implementation approach</w:t>
      </w:r>
    </w:p>
    <w:p w14:paraId="72EAD46F" w14:textId="7079413A" w:rsidR="003C6F5D" w:rsidRPr="00F11C3D" w:rsidRDefault="00B51DED" w:rsidP="00F11C3D">
      <w:pPr>
        <w:spacing w:before="120" w:after="160"/>
        <w:rPr>
          <w:shd w:val="clear" w:color="auto" w:fill="FFFFFF"/>
        </w:rPr>
      </w:pPr>
      <w:r>
        <w:t>If the Gene Technology Ministers’ Meeting approves the finalised amendment proposals, the Regulator prefers t</w:t>
      </w:r>
      <w:r w:rsidR="00792785">
        <w:t xml:space="preserve">o implement the amendments at the earliest opportunity. This would mean that the proposed amendments to items of Schedules 1A and 1 </w:t>
      </w:r>
      <w:r w:rsidR="00E92338">
        <w:t xml:space="preserve">of the Commonwealth </w:t>
      </w:r>
      <w:r w:rsidR="00E92338" w:rsidRPr="00F11C3D">
        <w:rPr>
          <w:shd w:val="clear" w:color="auto" w:fill="FFFFFF"/>
        </w:rPr>
        <w:t xml:space="preserve">Regulations </w:t>
      </w:r>
      <w:r w:rsidR="00792785" w:rsidRPr="00F11C3D">
        <w:rPr>
          <w:shd w:val="clear" w:color="auto" w:fill="FFFFFF"/>
        </w:rPr>
        <w:t>would commence</w:t>
      </w:r>
      <w:r w:rsidR="000E5A78" w:rsidRPr="00F11C3D">
        <w:rPr>
          <w:shd w:val="clear" w:color="auto" w:fill="FFFFFF"/>
        </w:rPr>
        <w:t xml:space="preserve"> the day after amendment regulations </w:t>
      </w:r>
      <w:proofErr w:type="gramStart"/>
      <w:r w:rsidR="000E5A78" w:rsidRPr="00F11C3D">
        <w:rPr>
          <w:shd w:val="clear" w:color="auto" w:fill="FFFFFF"/>
        </w:rPr>
        <w:t>are made</w:t>
      </w:r>
      <w:proofErr w:type="gramEnd"/>
      <w:r w:rsidR="000E5A78" w:rsidRPr="00F11C3D">
        <w:rPr>
          <w:shd w:val="clear" w:color="auto" w:fill="FFFFFF"/>
        </w:rPr>
        <w:t xml:space="preserve"> and registered.</w:t>
      </w:r>
      <w:r w:rsidR="006A2C75" w:rsidRPr="00F11C3D">
        <w:rPr>
          <w:shd w:val="clear" w:color="auto" w:fill="FFFFFF"/>
        </w:rPr>
        <w:t xml:space="preserve"> </w:t>
      </w:r>
      <w:r w:rsidR="00E92338" w:rsidRPr="00F11C3D">
        <w:rPr>
          <w:shd w:val="clear" w:color="auto" w:fill="FFFFFF"/>
        </w:rPr>
        <w:t>Amendments to state and territory gene technology laws would follow</w:t>
      </w:r>
      <w:r w:rsidR="00CE0E85" w:rsidRPr="00F11C3D">
        <w:rPr>
          <w:shd w:val="clear" w:color="auto" w:fill="FFFFFF"/>
        </w:rPr>
        <w:t>.</w:t>
      </w:r>
      <w:r w:rsidR="00CD67D6" w:rsidRPr="00F11C3D">
        <w:rPr>
          <w:shd w:val="clear" w:color="auto" w:fill="FFFFFF"/>
        </w:rPr>
        <w:t xml:space="preserve"> </w:t>
      </w:r>
    </w:p>
    <w:p w14:paraId="3123AF67" w14:textId="140A74A7" w:rsidR="000B1EA9" w:rsidRDefault="006A2C75" w:rsidP="00F11C3D">
      <w:pPr>
        <w:spacing w:before="120" w:after="160"/>
      </w:pPr>
      <w:r w:rsidRPr="00F11C3D">
        <w:rPr>
          <w:shd w:val="clear" w:color="auto" w:fill="FFFFFF"/>
        </w:rPr>
        <w:t xml:space="preserve">Regulated stakeholders who might </w:t>
      </w:r>
      <w:proofErr w:type="gramStart"/>
      <w:r w:rsidRPr="00F11C3D">
        <w:rPr>
          <w:shd w:val="clear" w:color="auto" w:fill="FFFFFF"/>
        </w:rPr>
        <w:t>be impacted</w:t>
      </w:r>
      <w:proofErr w:type="gramEnd"/>
      <w:r w:rsidRPr="00F11C3D">
        <w:rPr>
          <w:shd w:val="clear" w:color="auto" w:fill="FFFFFF"/>
        </w:rPr>
        <w:t xml:space="preserve"> negatively by this implementation approach are encouraged to make a submission</w:t>
      </w:r>
      <w:r w:rsidR="005D3D02" w:rsidRPr="00F11C3D">
        <w:rPr>
          <w:shd w:val="clear" w:color="auto" w:fill="FFFFFF"/>
        </w:rPr>
        <w:t>. This would enable the Regulator to consider</w:t>
      </w:r>
      <w:r w:rsidR="00D44A06" w:rsidRPr="00F11C3D">
        <w:rPr>
          <w:shd w:val="clear" w:color="auto" w:fill="FFFFFF"/>
        </w:rPr>
        <w:t xml:space="preserve"> the regulatory burden</w:t>
      </w:r>
      <w:r w:rsidR="00D44A06">
        <w:t xml:space="preserve"> implications and</w:t>
      </w:r>
      <w:r w:rsidR="005D3D02">
        <w:t xml:space="preserve"> whether a different implementation approach is necessary</w:t>
      </w:r>
      <w:r w:rsidR="003C6F5D">
        <w:t xml:space="preserve"> to smoothly transition from the current legislation</w:t>
      </w:r>
      <w:r w:rsidR="005D3D02">
        <w:t>.</w:t>
      </w:r>
    </w:p>
    <w:p w14:paraId="2AFD08A5" w14:textId="77777777" w:rsidR="001D15C4" w:rsidRPr="000B1EA9" w:rsidRDefault="001D15C4" w:rsidP="00F11C3D">
      <w:pPr>
        <w:spacing w:before="120" w:after="160"/>
      </w:pPr>
    </w:p>
    <w:p w14:paraId="5F9522B3" w14:textId="5FA9FBA3" w:rsidR="00B962D5" w:rsidRDefault="00A62DF6" w:rsidP="003C6F5D">
      <w:pPr>
        <w:pStyle w:val="Heading1"/>
      </w:pPr>
      <w:r>
        <w:lastRenderedPageBreak/>
        <w:t>Consultation questions</w:t>
      </w:r>
    </w:p>
    <w:p w14:paraId="620DD00E" w14:textId="47C9AE0D" w:rsidR="003C6F5D" w:rsidRDefault="003C6F5D" w:rsidP="00F11C3D">
      <w:pPr>
        <w:spacing w:before="120" w:after="160"/>
      </w:pPr>
      <w:r w:rsidRPr="00F11C3D">
        <w:rPr>
          <w:shd w:val="clear" w:color="auto" w:fill="FFFFFF"/>
        </w:rPr>
        <w:t>The</w:t>
      </w:r>
      <w:r>
        <w:t xml:space="preserve"> Regulator seeks feedback on the amendment proposals</w:t>
      </w:r>
      <w:r w:rsidR="005B3B11">
        <w:t xml:space="preserve">. The consultation questions below </w:t>
      </w:r>
      <w:r w:rsidR="00440F4B">
        <w:t xml:space="preserve">aim </w:t>
      </w:r>
      <w:r w:rsidR="005B3B11">
        <w:t>to elicit information the Regulator requires to finalise the proposals</w:t>
      </w:r>
      <w:r w:rsidR="002E7793">
        <w:t>:</w:t>
      </w:r>
    </w:p>
    <w:p w14:paraId="7E4252F8" w14:textId="613E9548" w:rsidR="00F11C3D" w:rsidRDefault="007D1DDF" w:rsidP="00F11C3D">
      <w:pPr>
        <w:spacing w:before="120" w:after="160"/>
      </w:pPr>
      <w:r>
        <w:rPr>
          <w:noProof/>
        </w:rPr>
        <mc:AlternateContent>
          <mc:Choice Requires="wps">
            <w:drawing>
              <wp:anchor distT="0" distB="0" distL="114300" distR="114300" simplePos="0" relativeHeight="251659264" behindDoc="0" locked="0" layoutInCell="1" allowOverlap="1" wp14:anchorId="6C7E91BC" wp14:editId="784BC18D">
                <wp:simplePos x="0" y="0"/>
                <wp:positionH relativeFrom="column">
                  <wp:posOffset>73572</wp:posOffset>
                </wp:positionH>
                <wp:positionV relativeFrom="paragraph">
                  <wp:posOffset>116774</wp:posOffset>
                </wp:positionV>
                <wp:extent cx="5770180" cy="2144111"/>
                <wp:effectExtent l="0" t="0" r="21590" b="27940"/>
                <wp:wrapNone/>
                <wp:docPr id="1230048046"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70180" cy="2144111"/>
                        </a:xfrm>
                        <a:prstGeom prst="rect">
                          <a:avLst/>
                        </a:prstGeom>
                        <a:noFill/>
                        <a:ln w="6350">
                          <a:solidFill>
                            <a:schemeClr val="accent1">
                              <a:lumMod val="75000"/>
                            </a:schemeClr>
                          </a:solidFill>
                        </a:ln>
                      </wps:spPr>
                      <wps:txbx>
                        <w:txbxContent>
                          <w:p w14:paraId="7675089A" w14:textId="1F850609" w:rsidR="007D1DDF" w:rsidRDefault="007D1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7E91BC" id="_x0000_t202" coordsize="21600,21600" o:spt="202" path="m,l,21600r21600,l21600,xe">
                <v:stroke joinstyle="miter"/>
                <v:path gradientshapeok="t" o:connecttype="rect"/>
              </v:shapetype>
              <v:shape id="Text Box 1" o:spid="_x0000_s1026" type="#_x0000_t202" alt="&quot;&quot;" style="position:absolute;margin-left:5.8pt;margin-top:9.2pt;width:454.35pt;height:16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" filled="f" strokecolor="#2f5496 [2404]" strokeweight=".5pt">
                <v:textbox>
                  <w:txbxContent>
                    <w:p w14:paraId="7675089A" w14:textId="1F850609" w:rsidR="007D1DDF" w:rsidRDefault="007D1DDF"/>
                  </w:txbxContent>
                </v:textbox>
              </v:shape>
            </w:pict>
          </mc:Fallback>
        </mc:AlternateContent>
      </w:r>
    </w:p>
    <w:p w14:paraId="0461206B" w14:textId="6E2D7717" w:rsidR="00CC393D" w:rsidRDefault="009D1286" w:rsidP="00CC393D">
      <w:pPr>
        <w:pStyle w:val="ListParagraph"/>
        <w:numPr>
          <w:ilvl w:val="0"/>
          <w:numId w:val="1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are your views on the proposed amendments? Please provide an explanation.</w:t>
      </w:r>
    </w:p>
    <w:p w14:paraId="1B4B1622" w14:textId="5E038A4C" w:rsidR="007D1DDF" w:rsidRPr="00B309AE" w:rsidRDefault="007D1DDF" w:rsidP="007D1DDF">
      <w:pPr>
        <w:pStyle w:val="ListParagraph"/>
        <w:spacing w:after="120" w:line="240" w:lineRule="auto"/>
        <w:contextualSpacing w:val="0"/>
        <w:rPr>
          <w:rFonts w:ascii="Times New Roman" w:hAnsi="Times New Roman" w:cs="Times New Roman"/>
          <w:sz w:val="24"/>
          <w:szCs w:val="24"/>
        </w:rPr>
      </w:pPr>
    </w:p>
    <w:p w14:paraId="736A9C53" w14:textId="0867E78A" w:rsidR="00247A66" w:rsidRPr="00B309AE" w:rsidRDefault="00503920" w:rsidP="00750627">
      <w:pPr>
        <w:pStyle w:val="ListParagraph"/>
        <w:numPr>
          <w:ilvl w:val="0"/>
          <w:numId w:val="13"/>
        </w:numPr>
        <w:spacing w:after="120" w:line="240" w:lineRule="auto"/>
        <w:contextualSpacing w:val="0"/>
        <w:rPr>
          <w:rFonts w:ascii="Times New Roman" w:hAnsi="Times New Roman" w:cs="Times New Roman"/>
          <w:sz w:val="24"/>
          <w:szCs w:val="24"/>
        </w:rPr>
      </w:pPr>
      <w:r w:rsidRPr="00B309AE">
        <w:rPr>
          <w:rFonts w:ascii="Times New Roman" w:hAnsi="Times New Roman" w:cs="Times New Roman"/>
          <w:sz w:val="24"/>
          <w:szCs w:val="24"/>
        </w:rPr>
        <w:t>Would the proposed amendments to Schedule</w:t>
      </w:r>
      <w:r w:rsidR="00A61997" w:rsidRPr="00B309AE">
        <w:rPr>
          <w:rFonts w:ascii="Times New Roman" w:hAnsi="Times New Roman" w:cs="Times New Roman"/>
          <w:sz w:val="24"/>
          <w:szCs w:val="24"/>
        </w:rPr>
        <w:t>s 1A and 1 clari</w:t>
      </w:r>
      <w:r w:rsidR="005C0851" w:rsidRPr="00B309AE">
        <w:rPr>
          <w:rFonts w:ascii="Times New Roman" w:hAnsi="Times New Roman" w:cs="Times New Roman"/>
          <w:sz w:val="24"/>
          <w:szCs w:val="24"/>
        </w:rPr>
        <w:t>f</w:t>
      </w:r>
      <w:r w:rsidR="00A61997" w:rsidRPr="00B309AE">
        <w:rPr>
          <w:rFonts w:ascii="Times New Roman" w:hAnsi="Times New Roman" w:cs="Times New Roman"/>
          <w:sz w:val="24"/>
          <w:szCs w:val="24"/>
        </w:rPr>
        <w:t xml:space="preserve">y </w:t>
      </w:r>
      <w:r w:rsidR="005C0851" w:rsidRPr="00B309AE">
        <w:rPr>
          <w:rFonts w:ascii="Times New Roman" w:hAnsi="Times New Roman" w:cs="Times New Roman"/>
          <w:sz w:val="24"/>
          <w:szCs w:val="24"/>
        </w:rPr>
        <w:t xml:space="preserve">how the techniques and organisms </w:t>
      </w:r>
      <w:r w:rsidR="006952AA" w:rsidRPr="00B309AE">
        <w:rPr>
          <w:rFonts w:ascii="Times New Roman" w:hAnsi="Times New Roman" w:cs="Times New Roman"/>
          <w:sz w:val="24"/>
          <w:szCs w:val="24"/>
        </w:rPr>
        <w:t xml:space="preserve">described above </w:t>
      </w:r>
      <w:proofErr w:type="gramStart"/>
      <w:r w:rsidR="00A61997" w:rsidRPr="00B309AE">
        <w:rPr>
          <w:rFonts w:ascii="Times New Roman" w:hAnsi="Times New Roman" w:cs="Times New Roman"/>
          <w:sz w:val="24"/>
          <w:szCs w:val="24"/>
        </w:rPr>
        <w:t>are regulated</w:t>
      </w:r>
      <w:proofErr w:type="gramEnd"/>
      <w:r w:rsidR="00A61997" w:rsidRPr="00B309AE">
        <w:rPr>
          <w:rFonts w:ascii="Times New Roman" w:hAnsi="Times New Roman" w:cs="Times New Roman"/>
          <w:sz w:val="24"/>
          <w:szCs w:val="24"/>
        </w:rPr>
        <w:t xml:space="preserve"> under the Scheme?</w:t>
      </w:r>
      <w:r w:rsidR="001D5424" w:rsidRPr="00B309AE">
        <w:rPr>
          <w:rFonts w:ascii="Times New Roman" w:hAnsi="Times New Roman" w:cs="Times New Roman"/>
          <w:sz w:val="24"/>
          <w:szCs w:val="24"/>
        </w:rPr>
        <w:t xml:space="preserve"> Please identify any aspects</w:t>
      </w:r>
      <w:r w:rsidR="008D58CF" w:rsidRPr="00B309AE">
        <w:rPr>
          <w:rFonts w:ascii="Times New Roman" w:hAnsi="Times New Roman" w:cs="Times New Roman"/>
          <w:sz w:val="24"/>
          <w:szCs w:val="24"/>
        </w:rPr>
        <w:t xml:space="preserve"> you think need better clarity.</w:t>
      </w:r>
    </w:p>
    <w:p w14:paraId="4E058831" w14:textId="3CE458AD" w:rsidR="007D1DDF" w:rsidRDefault="007D1DDF" w:rsidP="007D1DDF">
      <w:pPr>
        <w:pStyle w:val="ListParagraph"/>
        <w:spacing w:after="120" w:line="240" w:lineRule="auto"/>
        <w:contextualSpacing w:val="0"/>
        <w:rPr>
          <w:rFonts w:ascii="Times New Roman" w:hAnsi="Times New Roman" w:cs="Times New Roman"/>
          <w:sz w:val="24"/>
          <w:szCs w:val="24"/>
        </w:rPr>
      </w:pPr>
    </w:p>
    <w:p w14:paraId="1A67DB29" w14:textId="049A7F7D" w:rsidR="00750627" w:rsidRPr="00B309AE" w:rsidRDefault="00160E2B" w:rsidP="00750627">
      <w:pPr>
        <w:pStyle w:val="ListParagraph"/>
        <w:numPr>
          <w:ilvl w:val="0"/>
          <w:numId w:val="1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Would any of the amen</w:t>
      </w:r>
      <w:r w:rsidR="00750627" w:rsidRPr="00B309AE">
        <w:rPr>
          <w:rFonts w:ascii="Times New Roman" w:hAnsi="Times New Roman" w:cs="Times New Roman"/>
          <w:sz w:val="24"/>
          <w:szCs w:val="24"/>
        </w:rPr>
        <w:t>dment proposal</w:t>
      </w:r>
      <w:r w:rsidR="00883A57">
        <w:rPr>
          <w:rFonts w:ascii="Times New Roman" w:hAnsi="Times New Roman" w:cs="Times New Roman"/>
          <w:sz w:val="24"/>
          <w:szCs w:val="24"/>
        </w:rPr>
        <w:t>s</w:t>
      </w:r>
      <w:r w:rsidR="00750627" w:rsidRPr="00B309AE">
        <w:rPr>
          <w:rFonts w:ascii="Times New Roman" w:hAnsi="Times New Roman" w:cs="Times New Roman"/>
          <w:sz w:val="24"/>
          <w:szCs w:val="24"/>
        </w:rPr>
        <w:t xml:space="preserve"> change the regulatory burden on you from the </w:t>
      </w:r>
      <w:r w:rsidR="005B5704">
        <w:rPr>
          <w:rFonts w:ascii="Times New Roman" w:hAnsi="Times New Roman" w:cs="Times New Roman"/>
          <w:sz w:val="24"/>
          <w:szCs w:val="24"/>
        </w:rPr>
        <w:t>S</w:t>
      </w:r>
      <w:r w:rsidR="00750627" w:rsidRPr="00B309AE">
        <w:rPr>
          <w:rFonts w:ascii="Times New Roman" w:hAnsi="Times New Roman" w:cs="Times New Roman"/>
          <w:sz w:val="24"/>
          <w:szCs w:val="24"/>
        </w:rPr>
        <w:t>cheme?</w:t>
      </w:r>
      <w:r w:rsidR="00E44D8C" w:rsidRPr="00B309AE">
        <w:rPr>
          <w:rFonts w:ascii="Times New Roman" w:hAnsi="Times New Roman" w:cs="Times New Roman"/>
          <w:sz w:val="24"/>
          <w:szCs w:val="24"/>
        </w:rPr>
        <w:t xml:space="preserve"> Identify any matters you think </w:t>
      </w:r>
      <w:r w:rsidR="00DF5CA2">
        <w:rPr>
          <w:rFonts w:ascii="Times New Roman" w:hAnsi="Times New Roman" w:cs="Times New Roman"/>
          <w:sz w:val="24"/>
          <w:szCs w:val="24"/>
        </w:rPr>
        <w:t>might impact the implementation approach</w:t>
      </w:r>
      <w:r w:rsidR="00D92434" w:rsidRPr="00B309AE">
        <w:rPr>
          <w:rFonts w:ascii="Times New Roman" w:hAnsi="Times New Roman" w:cs="Times New Roman"/>
          <w:sz w:val="24"/>
          <w:szCs w:val="24"/>
        </w:rPr>
        <w:t>.</w:t>
      </w:r>
    </w:p>
    <w:p w14:paraId="040EB451" w14:textId="4B6F77EF" w:rsidR="00F11C3D" w:rsidRDefault="00F11C3D" w:rsidP="00CE0E85">
      <w:pPr>
        <w:spacing w:after="120"/>
      </w:pPr>
    </w:p>
    <w:p w14:paraId="5840D036" w14:textId="3D48DB51" w:rsidR="009911DE" w:rsidRPr="009911DE" w:rsidRDefault="00B309AE" w:rsidP="00CE0E85">
      <w:pPr>
        <w:spacing w:after="120"/>
      </w:pPr>
      <w:r>
        <w:t xml:space="preserve">Submissions can </w:t>
      </w:r>
      <w:proofErr w:type="gramStart"/>
      <w:r>
        <w:t>be made</w:t>
      </w:r>
      <w:proofErr w:type="gramEnd"/>
      <w:r w:rsidR="00A418F2">
        <w:t xml:space="preserve"> through the Department of Health and Aged Care</w:t>
      </w:r>
      <w:r>
        <w:t xml:space="preserve"> </w:t>
      </w:r>
      <w:r w:rsidR="00CE0E85" w:rsidRPr="0085367F">
        <w:t>consultation hub</w:t>
      </w:r>
      <w:r>
        <w:t xml:space="preserve">. </w:t>
      </w:r>
      <w:r w:rsidRPr="00B309AE">
        <w:rPr>
          <w:b/>
        </w:rPr>
        <w:t xml:space="preserve">Submissions </w:t>
      </w:r>
      <w:r w:rsidR="001D15C4">
        <w:rPr>
          <w:b/>
        </w:rPr>
        <w:t>close on</w:t>
      </w:r>
      <w:r w:rsidRPr="00B309AE">
        <w:rPr>
          <w:b/>
        </w:rPr>
        <w:t xml:space="preserve"> </w:t>
      </w:r>
      <w:r w:rsidR="00391C68" w:rsidRPr="00AC11F6">
        <w:rPr>
          <w:b/>
        </w:rPr>
        <w:t xml:space="preserve">Sunday 8 </w:t>
      </w:r>
      <w:r w:rsidR="00C954BF">
        <w:rPr>
          <w:b/>
        </w:rPr>
        <w:t>December 2024</w:t>
      </w:r>
      <w:r w:rsidRPr="00B309AE">
        <w:rPr>
          <w:b/>
        </w:rPr>
        <w:t>.</w:t>
      </w:r>
    </w:p>
    <w:sectPr w:rsidR="009911DE" w:rsidRPr="009911DE" w:rsidSect="00F11C3D">
      <w:footerReference w:type="first" r:id="rId12"/>
      <w:pgSz w:w="11906" w:h="16838"/>
      <w:pgMar w:top="1440" w:right="1440" w:bottom="1440" w:left="1440" w:header="85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355D5" w14:textId="77777777" w:rsidR="00A468DE" w:rsidRDefault="00A468DE">
      <w:r>
        <w:separator/>
      </w:r>
    </w:p>
  </w:endnote>
  <w:endnote w:type="continuationSeparator" w:id="0">
    <w:p w14:paraId="10345399" w14:textId="77777777" w:rsidR="00A468DE" w:rsidRDefault="00A4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5884448"/>
      <w:docPartObj>
        <w:docPartGallery w:val="Page Numbers (Bottom of Page)"/>
        <w:docPartUnique/>
      </w:docPartObj>
    </w:sdtPr>
    <w:sdtEndPr>
      <w:rPr>
        <w:noProof/>
      </w:rPr>
    </w:sdtEndPr>
    <w:sdtContent>
      <w:p w14:paraId="274C3ED5" w14:textId="6BEF3EFE" w:rsidR="00F11C3D" w:rsidRDefault="00F11C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081A5A" w14:textId="0EF4EC13" w:rsidR="00A30C85" w:rsidRPr="00857C57" w:rsidRDefault="00A30C85" w:rsidP="00D05814">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3A484" w14:textId="271E395D" w:rsidR="00A30C85" w:rsidRPr="00857C57" w:rsidRDefault="00A30C85" w:rsidP="00EA1674">
    <w:pPr>
      <w:pStyle w:val="Header"/>
      <w:jc w:val="center"/>
      <w:rPr>
        <w:bCs/>
        <w:spacing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800561"/>
      <w:docPartObj>
        <w:docPartGallery w:val="Page Numbers (Bottom of Page)"/>
        <w:docPartUnique/>
      </w:docPartObj>
    </w:sdtPr>
    <w:sdtEndPr>
      <w:rPr>
        <w:noProof/>
      </w:rPr>
    </w:sdtEndPr>
    <w:sdtContent>
      <w:p w14:paraId="3E067D7E" w14:textId="1F4AEF47" w:rsidR="00F11C3D" w:rsidRDefault="00F11C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404311" w14:textId="615452E9" w:rsidR="00F11C3D" w:rsidRPr="00857C57" w:rsidRDefault="00F11C3D" w:rsidP="00EA1674">
    <w:pPr>
      <w:pStyle w:val="Header"/>
      <w:jc w:val="center"/>
      <w:rPr>
        <w:bCs/>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15BA3" w14:textId="77777777" w:rsidR="00A468DE" w:rsidRDefault="00A468DE">
      <w:r>
        <w:separator/>
      </w:r>
    </w:p>
  </w:footnote>
  <w:footnote w:type="continuationSeparator" w:id="0">
    <w:p w14:paraId="7E0CC120" w14:textId="77777777" w:rsidR="00A468DE" w:rsidRDefault="00A468DE">
      <w:r>
        <w:continuationSeparator/>
      </w:r>
    </w:p>
  </w:footnote>
  <w:footnote w:id="1">
    <w:p w14:paraId="6F26EAC3" w14:textId="43312699" w:rsidR="005D6039" w:rsidRDefault="005D6039">
      <w:pPr>
        <w:pStyle w:val="FootnoteText"/>
      </w:pPr>
      <w:r>
        <w:rPr>
          <w:rStyle w:val="FootnoteReference"/>
        </w:rPr>
        <w:footnoteRef/>
      </w:r>
      <w:r>
        <w:t xml:space="preserve"> </w:t>
      </w:r>
      <w:hyperlink r:id="rId1" w:history="1">
        <w:r w:rsidRPr="004562EE">
          <w:rPr>
            <w:rStyle w:val="Hyperlink"/>
          </w:rPr>
          <w:t>https://polioeradication.org/</w:t>
        </w:r>
      </w:hyperlink>
      <w:r>
        <w:t xml:space="preserve"> </w:t>
      </w:r>
    </w:p>
  </w:footnote>
  <w:footnote w:id="2">
    <w:p w14:paraId="5C6E4CA2" w14:textId="3C48A1BF" w:rsidR="00481646" w:rsidRDefault="00481646">
      <w:pPr>
        <w:pStyle w:val="FootnoteText"/>
      </w:pPr>
      <w:r>
        <w:rPr>
          <w:rStyle w:val="FootnoteReference"/>
        </w:rPr>
        <w:footnoteRef/>
      </w:r>
      <w:r>
        <w:t xml:space="preserve"> </w:t>
      </w:r>
      <w:hyperlink r:id="rId2" w:history="1">
        <w:r w:rsidRPr="004562EE">
          <w:rPr>
            <w:rStyle w:val="Hyperlink"/>
          </w:rPr>
          <w:t>https://www.health.gov.au/our-work/polio-surveillance-program</w:t>
        </w:r>
      </w:hyperlink>
      <w:r>
        <w:t xml:space="preserve"> </w:t>
      </w:r>
    </w:p>
  </w:footnote>
  <w:footnote w:id="3">
    <w:p w14:paraId="734278AB" w14:textId="20B56223" w:rsidR="004D7829" w:rsidRDefault="004D7829">
      <w:pPr>
        <w:pStyle w:val="FootnoteText"/>
      </w:pPr>
      <w:r>
        <w:rPr>
          <w:rStyle w:val="FootnoteReference"/>
        </w:rPr>
        <w:footnoteRef/>
      </w:r>
      <w:r>
        <w:t xml:space="preserve"> </w:t>
      </w:r>
      <w:hyperlink r:id="rId3" w:anchor="20162019-technical-review-of-the-gene-technology-regulations-2001" w:history="1">
        <w:r w:rsidRPr="004562EE">
          <w:rPr>
            <w:rStyle w:val="Hyperlink"/>
          </w:rPr>
          <w:t>https://www.ogtr.gov.au/about-ogtr/legislative-reviews#20162019-technical-review-of-the-gene-technology-regulations-2001</w:t>
        </w:r>
      </w:hyperlink>
      <w:r>
        <w:t xml:space="preserve"> </w:t>
      </w:r>
    </w:p>
  </w:footnote>
  <w:footnote w:id="4">
    <w:p w14:paraId="4CB0C4B4" w14:textId="6C4F8CAE" w:rsidR="00663D76" w:rsidRDefault="00663D76">
      <w:pPr>
        <w:pStyle w:val="FootnoteText"/>
      </w:pPr>
      <w:r>
        <w:rPr>
          <w:rStyle w:val="FootnoteReference"/>
        </w:rPr>
        <w:footnoteRef/>
      </w:r>
      <w:r>
        <w:t xml:space="preserve"> </w:t>
      </w:r>
      <w:hyperlink r:id="rId4" w:history="1">
        <w:r w:rsidRPr="004562EE">
          <w:rPr>
            <w:rStyle w:val="Hyperlink"/>
          </w:rPr>
          <w:t>https://www.genetechnology.gov.au/reviews-and-consultations/past/2017-third-review</w:t>
        </w:r>
      </w:hyperlink>
      <w:r>
        <w:t xml:space="preserve"> </w:t>
      </w:r>
    </w:p>
  </w:footnote>
  <w:footnote w:id="5">
    <w:p w14:paraId="7FBE22CE" w14:textId="7D2A5C7B" w:rsidR="00D52663" w:rsidRDefault="00D52663">
      <w:pPr>
        <w:pStyle w:val="FootnoteText"/>
      </w:pPr>
      <w:r>
        <w:rPr>
          <w:rStyle w:val="FootnoteReference"/>
        </w:rPr>
        <w:footnoteRef/>
      </w:r>
      <w:r>
        <w:t xml:space="preserve"> </w:t>
      </w:r>
      <w:hyperlink r:id="rId5" w:history="1">
        <w:r w:rsidRPr="008A69B9">
          <w:rPr>
            <w:rStyle w:val="Hyperlink"/>
          </w:rPr>
          <w:t>https://www.genetechnology.gov.au/reviews-and-consultations/current/proposed-amendments-gene-technology-act-2000</w:t>
        </w:r>
      </w:hyperlink>
      <w:r>
        <w:t xml:space="preserve"> </w:t>
      </w:r>
    </w:p>
  </w:footnote>
  <w:footnote w:id="6">
    <w:p w14:paraId="5FA7F57A" w14:textId="77777777" w:rsidR="00832ACC" w:rsidRDefault="00832ACC" w:rsidP="00832ACC">
      <w:pPr>
        <w:pStyle w:val="FootnoteText"/>
      </w:pPr>
      <w:r>
        <w:rPr>
          <w:rStyle w:val="FootnoteReference"/>
        </w:rPr>
        <w:footnoteRef/>
      </w:r>
      <w:r>
        <w:t xml:space="preserve"> </w:t>
      </w:r>
      <w:hyperlink r:id="rId6" w:history="1">
        <w:r w:rsidRPr="004562EE">
          <w:rPr>
            <w:rStyle w:val="Hyperlink"/>
          </w:rPr>
          <w:t>https://www.genetechnology.gov.au/about-the-national-scheme/how-it-works/ministers-meeting</w:t>
        </w:r>
      </w:hyperlink>
      <w:r>
        <w:t xml:space="preserve"> </w:t>
      </w:r>
    </w:p>
  </w:footnote>
  <w:footnote w:id="7">
    <w:p w14:paraId="49812BDA" w14:textId="77777777" w:rsidR="00832ACC" w:rsidRDefault="00832ACC" w:rsidP="00832ACC">
      <w:pPr>
        <w:pStyle w:val="FootnoteText"/>
      </w:pPr>
      <w:r>
        <w:rPr>
          <w:rStyle w:val="FootnoteReference"/>
        </w:rPr>
        <w:footnoteRef/>
      </w:r>
      <w:r>
        <w:t xml:space="preserve"> </w:t>
      </w:r>
      <w:hyperlink r:id="rId7" w:history="1">
        <w:r w:rsidRPr="004562EE">
          <w:rPr>
            <w:rStyle w:val="Hyperlink"/>
          </w:rPr>
          <w:t>https://www.genetechnology.gov.au/about-the-national-scheme/how-it-works/national-agreement</w:t>
        </w:r>
      </w:hyperlink>
      <w:r>
        <w:t xml:space="preserve"> </w:t>
      </w:r>
    </w:p>
  </w:footnote>
  <w:footnote w:id="8">
    <w:p w14:paraId="0C4274AE" w14:textId="1C4407B1" w:rsidR="00185EF4" w:rsidRDefault="00185EF4">
      <w:pPr>
        <w:pStyle w:val="FootnoteText"/>
      </w:pPr>
      <w:r>
        <w:rPr>
          <w:rStyle w:val="FootnoteReference"/>
        </w:rPr>
        <w:footnoteRef/>
      </w:r>
      <w:r>
        <w:t xml:space="preserve"> </w:t>
      </w:r>
      <w:hyperlink r:id="rId8" w:history="1">
        <w:r w:rsidRPr="004562EE">
          <w:rPr>
            <w:rStyle w:val="Hyperlink"/>
          </w:rPr>
          <w:t>https://www.industrialchemicals.gov.au/about-us/who-we-are-and-what-we-do</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C1759" w14:textId="77777777" w:rsidR="00A30C85" w:rsidRPr="00446D79" w:rsidRDefault="00A30C85" w:rsidP="00EA1674">
    <w:pPr>
      <w:pStyle w:val="Header"/>
      <w:jc w:val="center"/>
      <w:rPr>
        <w:spacing w:val="-20"/>
      </w:rPr>
    </w:pPr>
  </w:p>
  <w:p w14:paraId="40882298" w14:textId="77777777" w:rsidR="00A30C85" w:rsidRPr="00C67ED6" w:rsidRDefault="00A30C85" w:rsidP="00EA1674">
    <w:pPr>
      <w:pStyle w:val="Header"/>
      <w:jc w:val="center"/>
      <w:rPr>
        <w:color w:val="FF0000"/>
        <w:spacing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B7136"/>
    <w:multiLevelType w:val="hybridMultilevel"/>
    <w:tmpl w:val="D1540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AF0DC7"/>
    <w:multiLevelType w:val="hybridMultilevel"/>
    <w:tmpl w:val="8DA0B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F1A29"/>
    <w:multiLevelType w:val="hybridMultilevel"/>
    <w:tmpl w:val="A92A5312"/>
    <w:lvl w:ilvl="0" w:tplc="3E06FFD6">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C5917B6"/>
    <w:multiLevelType w:val="hybridMultilevel"/>
    <w:tmpl w:val="20222E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7DDDB9"/>
    <w:multiLevelType w:val="hybridMultilevel"/>
    <w:tmpl w:val="B5227406"/>
    <w:lvl w:ilvl="0" w:tplc="81BEEE20">
      <w:start w:val="1"/>
      <w:numFmt w:val="bullet"/>
      <w:lvlText w:val=""/>
      <w:lvlJc w:val="left"/>
      <w:pPr>
        <w:ind w:left="720" w:hanging="360"/>
      </w:pPr>
      <w:rPr>
        <w:rFonts w:ascii="Symbol" w:hAnsi="Symbol" w:hint="default"/>
        <w:sz w:val="16"/>
        <w:szCs w:val="16"/>
      </w:rPr>
    </w:lvl>
    <w:lvl w:ilvl="1" w:tplc="D09A2940">
      <w:start w:val="1"/>
      <w:numFmt w:val="bullet"/>
      <w:lvlText w:val="o"/>
      <w:lvlJc w:val="left"/>
      <w:pPr>
        <w:ind w:left="1440" w:hanging="360"/>
      </w:pPr>
      <w:rPr>
        <w:rFonts w:ascii="Courier New" w:hAnsi="Courier New" w:hint="default"/>
      </w:rPr>
    </w:lvl>
    <w:lvl w:ilvl="2" w:tplc="FE68A298">
      <w:start w:val="1"/>
      <w:numFmt w:val="bullet"/>
      <w:lvlText w:val=""/>
      <w:lvlJc w:val="left"/>
      <w:pPr>
        <w:ind w:left="2160" w:hanging="360"/>
      </w:pPr>
      <w:rPr>
        <w:rFonts w:ascii="Wingdings" w:hAnsi="Wingdings" w:hint="default"/>
      </w:rPr>
    </w:lvl>
    <w:lvl w:ilvl="3" w:tplc="275696EE">
      <w:start w:val="1"/>
      <w:numFmt w:val="bullet"/>
      <w:lvlText w:val=""/>
      <w:lvlJc w:val="left"/>
      <w:pPr>
        <w:ind w:left="2880" w:hanging="360"/>
      </w:pPr>
      <w:rPr>
        <w:rFonts w:ascii="Symbol" w:hAnsi="Symbol" w:hint="default"/>
      </w:rPr>
    </w:lvl>
    <w:lvl w:ilvl="4" w:tplc="B3CAC1B4">
      <w:start w:val="1"/>
      <w:numFmt w:val="bullet"/>
      <w:lvlText w:val="o"/>
      <w:lvlJc w:val="left"/>
      <w:pPr>
        <w:ind w:left="3600" w:hanging="360"/>
      </w:pPr>
      <w:rPr>
        <w:rFonts w:ascii="Courier New" w:hAnsi="Courier New" w:hint="default"/>
      </w:rPr>
    </w:lvl>
    <w:lvl w:ilvl="5" w:tplc="9DA2F1FE">
      <w:start w:val="1"/>
      <w:numFmt w:val="bullet"/>
      <w:lvlText w:val=""/>
      <w:lvlJc w:val="left"/>
      <w:pPr>
        <w:ind w:left="4320" w:hanging="360"/>
      </w:pPr>
      <w:rPr>
        <w:rFonts w:ascii="Wingdings" w:hAnsi="Wingdings" w:hint="default"/>
      </w:rPr>
    </w:lvl>
    <w:lvl w:ilvl="6" w:tplc="461272E8">
      <w:start w:val="1"/>
      <w:numFmt w:val="bullet"/>
      <w:lvlText w:val=""/>
      <w:lvlJc w:val="left"/>
      <w:pPr>
        <w:ind w:left="5040" w:hanging="360"/>
      </w:pPr>
      <w:rPr>
        <w:rFonts w:ascii="Symbol" w:hAnsi="Symbol" w:hint="default"/>
      </w:rPr>
    </w:lvl>
    <w:lvl w:ilvl="7" w:tplc="A8A8C556">
      <w:start w:val="1"/>
      <w:numFmt w:val="bullet"/>
      <w:lvlText w:val="o"/>
      <w:lvlJc w:val="left"/>
      <w:pPr>
        <w:ind w:left="5760" w:hanging="360"/>
      </w:pPr>
      <w:rPr>
        <w:rFonts w:ascii="Courier New" w:hAnsi="Courier New" w:hint="default"/>
      </w:rPr>
    </w:lvl>
    <w:lvl w:ilvl="8" w:tplc="1C506F0E">
      <w:start w:val="1"/>
      <w:numFmt w:val="bullet"/>
      <w:lvlText w:val=""/>
      <w:lvlJc w:val="left"/>
      <w:pPr>
        <w:ind w:left="6480" w:hanging="360"/>
      </w:pPr>
      <w:rPr>
        <w:rFonts w:ascii="Wingdings" w:hAnsi="Wingdings" w:hint="default"/>
      </w:rPr>
    </w:lvl>
  </w:abstractNum>
  <w:abstractNum w:abstractNumId="5" w15:restartNumberingAfterBreak="0">
    <w:nsid w:val="5551485B"/>
    <w:multiLevelType w:val="hybridMultilevel"/>
    <w:tmpl w:val="2450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DD33F4"/>
    <w:multiLevelType w:val="hybridMultilevel"/>
    <w:tmpl w:val="AF82B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67362A"/>
    <w:multiLevelType w:val="hybridMultilevel"/>
    <w:tmpl w:val="54BC144C"/>
    <w:lvl w:ilvl="0" w:tplc="056C711A">
      <w:start w:val="1"/>
      <w:numFmt w:val="bullet"/>
      <w:lvlText w:val=""/>
      <w:lvlJc w:val="left"/>
      <w:pPr>
        <w:ind w:left="720" w:hanging="360"/>
      </w:pPr>
      <w:rPr>
        <w:rFonts w:ascii="Symbol" w:hAnsi="Symbol" w:hint="default"/>
        <w:sz w:val="16"/>
        <w:szCs w:val="16"/>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CA5D56"/>
    <w:multiLevelType w:val="hybridMultilevel"/>
    <w:tmpl w:val="DA3A6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169CD"/>
    <w:multiLevelType w:val="hybridMultilevel"/>
    <w:tmpl w:val="CEA667BC"/>
    <w:lvl w:ilvl="0" w:tplc="F570918C">
      <w:start w:val="1"/>
      <w:numFmt w:val="decimal"/>
      <w:pStyle w:val="NoSpacing"/>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91436CA"/>
    <w:multiLevelType w:val="hybridMultilevel"/>
    <w:tmpl w:val="CC3A4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446914"/>
    <w:multiLevelType w:val="multilevel"/>
    <w:tmpl w:val="87BEFC1E"/>
    <w:lvl w:ilvl="0">
      <w:start w:val="1"/>
      <w:numFmt w:val="decimal"/>
      <w:pStyle w:val="Heading1"/>
      <w:lvlText w:val="%1."/>
      <w:lvlJc w:val="left"/>
      <w:pPr>
        <w:ind w:left="720" w:hanging="360"/>
      </w:pPr>
      <w:rPr>
        <w:rFonts w:asciiTheme="majorHAnsi" w:hAnsiTheme="majorHAnsi" w:cstheme="majorBidi" w:hint="default"/>
        <w:b w:val="0"/>
        <w:sz w:val="3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FA705B5"/>
    <w:multiLevelType w:val="hybridMultilevel"/>
    <w:tmpl w:val="363A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0973452">
    <w:abstractNumId w:val="4"/>
  </w:num>
  <w:num w:numId="2" w16cid:durableId="535967527">
    <w:abstractNumId w:val="2"/>
  </w:num>
  <w:num w:numId="3" w16cid:durableId="331299185">
    <w:abstractNumId w:val="7"/>
  </w:num>
  <w:num w:numId="4" w16cid:durableId="1042242820">
    <w:abstractNumId w:val="3"/>
  </w:num>
  <w:num w:numId="5" w16cid:durableId="361514383">
    <w:abstractNumId w:val="9"/>
  </w:num>
  <w:num w:numId="6" w16cid:durableId="386153622">
    <w:abstractNumId w:val="0"/>
  </w:num>
  <w:num w:numId="7" w16cid:durableId="393354187">
    <w:abstractNumId w:val="12"/>
  </w:num>
  <w:num w:numId="8" w16cid:durableId="1916931102">
    <w:abstractNumId w:val="11"/>
  </w:num>
  <w:num w:numId="9" w16cid:durableId="480653957">
    <w:abstractNumId w:val="5"/>
  </w:num>
  <w:num w:numId="10" w16cid:durableId="695543023">
    <w:abstractNumId w:val="1"/>
  </w:num>
  <w:num w:numId="11" w16cid:durableId="1211385372">
    <w:abstractNumId w:val="8"/>
  </w:num>
  <w:num w:numId="12" w16cid:durableId="873931253">
    <w:abstractNumId w:val="6"/>
  </w:num>
  <w:num w:numId="13" w16cid:durableId="2139184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85"/>
    <w:rsid w:val="00002D29"/>
    <w:rsid w:val="000036CC"/>
    <w:rsid w:val="00015F35"/>
    <w:rsid w:val="00022B28"/>
    <w:rsid w:val="000231F0"/>
    <w:rsid w:val="000318DC"/>
    <w:rsid w:val="00041170"/>
    <w:rsid w:val="00042D25"/>
    <w:rsid w:val="000517B5"/>
    <w:rsid w:val="0005462F"/>
    <w:rsid w:val="00064116"/>
    <w:rsid w:val="00067C9A"/>
    <w:rsid w:val="0007108F"/>
    <w:rsid w:val="00075642"/>
    <w:rsid w:val="000865CF"/>
    <w:rsid w:val="00094D08"/>
    <w:rsid w:val="000A0773"/>
    <w:rsid w:val="000A16DC"/>
    <w:rsid w:val="000A47BF"/>
    <w:rsid w:val="000A63CF"/>
    <w:rsid w:val="000B1EA9"/>
    <w:rsid w:val="000C052B"/>
    <w:rsid w:val="000C4054"/>
    <w:rsid w:val="000C4E7B"/>
    <w:rsid w:val="000E5141"/>
    <w:rsid w:val="000E5A78"/>
    <w:rsid w:val="000F3385"/>
    <w:rsid w:val="000F5F46"/>
    <w:rsid w:val="001050ED"/>
    <w:rsid w:val="00110CE9"/>
    <w:rsid w:val="00111B84"/>
    <w:rsid w:val="00115AB3"/>
    <w:rsid w:val="00115CD2"/>
    <w:rsid w:val="0012317D"/>
    <w:rsid w:val="00123F60"/>
    <w:rsid w:val="00124A41"/>
    <w:rsid w:val="001276EF"/>
    <w:rsid w:val="00131C42"/>
    <w:rsid w:val="001320E3"/>
    <w:rsid w:val="00132826"/>
    <w:rsid w:val="00133989"/>
    <w:rsid w:val="00142442"/>
    <w:rsid w:val="00144C63"/>
    <w:rsid w:val="00151061"/>
    <w:rsid w:val="001571C9"/>
    <w:rsid w:val="00160E2B"/>
    <w:rsid w:val="001640B1"/>
    <w:rsid w:val="001706A9"/>
    <w:rsid w:val="00185EF4"/>
    <w:rsid w:val="001902DA"/>
    <w:rsid w:val="00193E4A"/>
    <w:rsid w:val="0019598F"/>
    <w:rsid w:val="001A4DCC"/>
    <w:rsid w:val="001A6FCE"/>
    <w:rsid w:val="001A7C0F"/>
    <w:rsid w:val="001C0D1A"/>
    <w:rsid w:val="001D15C4"/>
    <w:rsid w:val="001D4846"/>
    <w:rsid w:val="001D5424"/>
    <w:rsid w:val="001E5847"/>
    <w:rsid w:val="001E5FDE"/>
    <w:rsid w:val="001E72A5"/>
    <w:rsid w:val="001F0981"/>
    <w:rsid w:val="001F0EB6"/>
    <w:rsid w:val="001F7814"/>
    <w:rsid w:val="002044B6"/>
    <w:rsid w:val="00207DCB"/>
    <w:rsid w:val="00214E6D"/>
    <w:rsid w:val="0021780F"/>
    <w:rsid w:val="00231266"/>
    <w:rsid w:val="00245242"/>
    <w:rsid w:val="002468B3"/>
    <w:rsid w:val="002470C7"/>
    <w:rsid w:val="00247A66"/>
    <w:rsid w:val="00257004"/>
    <w:rsid w:val="002643CD"/>
    <w:rsid w:val="0026646F"/>
    <w:rsid w:val="00267399"/>
    <w:rsid w:val="002706D7"/>
    <w:rsid w:val="00271482"/>
    <w:rsid w:val="002720D7"/>
    <w:rsid w:val="0027369C"/>
    <w:rsid w:val="00274DF2"/>
    <w:rsid w:val="00280050"/>
    <w:rsid w:val="002823DA"/>
    <w:rsid w:val="0028246A"/>
    <w:rsid w:val="0028454F"/>
    <w:rsid w:val="00290DB6"/>
    <w:rsid w:val="002A130B"/>
    <w:rsid w:val="002A2094"/>
    <w:rsid w:val="002B7747"/>
    <w:rsid w:val="002C6065"/>
    <w:rsid w:val="002E7793"/>
    <w:rsid w:val="002F0990"/>
    <w:rsid w:val="00305D8D"/>
    <w:rsid w:val="0030675F"/>
    <w:rsid w:val="00310FE9"/>
    <w:rsid w:val="00312C1A"/>
    <w:rsid w:val="003261A7"/>
    <w:rsid w:val="003303F9"/>
    <w:rsid w:val="003363FB"/>
    <w:rsid w:val="003465A6"/>
    <w:rsid w:val="00355B35"/>
    <w:rsid w:val="0035662A"/>
    <w:rsid w:val="0036334B"/>
    <w:rsid w:val="003654A9"/>
    <w:rsid w:val="00386BC9"/>
    <w:rsid w:val="00390570"/>
    <w:rsid w:val="00391C68"/>
    <w:rsid w:val="003B08BA"/>
    <w:rsid w:val="003B5ECE"/>
    <w:rsid w:val="003C203B"/>
    <w:rsid w:val="003C40A2"/>
    <w:rsid w:val="003C54B2"/>
    <w:rsid w:val="003C6F5D"/>
    <w:rsid w:val="003D64C3"/>
    <w:rsid w:val="003E2E69"/>
    <w:rsid w:val="003F03CF"/>
    <w:rsid w:val="003F1B09"/>
    <w:rsid w:val="003F3FC7"/>
    <w:rsid w:val="003F537A"/>
    <w:rsid w:val="0040181E"/>
    <w:rsid w:val="00402225"/>
    <w:rsid w:val="00403BD1"/>
    <w:rsid w:val="0040543C"/>
    <w:rsid w:val="00412EBF"/>
    <w:rsid w:val="00415135"/>
    <w:rsid w:val="00423835"/>
    <w:rsid w:val="00440F4B"/>
    <w:rsid w:val="004573E9"/>
    <w:rsid w:val="004803CE"/>
    <w:rsid w:val="00481646"/>
    <w:rsid w:val="0048586E"/>
    <w:rsid w:val="004921FF"/>
    <w:rsid w:val="00496D31"/>
    <w:rsid w:val="004A1218"/>
    <w:rsid w:val="004A2FA1"/>
    <w:rsid w:val="004A4656"/>
    <w:rsid w:val="004C487C"/>
    <w:rsid w:val="004C77DA"/>
    <w:rsid w:val="004D27D2"/>
    <w:rsid w:val="004D7829"/>
    <w:rsid w:val="004E254A"/>
    <w:rsid w:val="004E2926"/>
    <w:rsid w:val="004E51B4"/>
    <w:rsid w:val="004E5BD2"/>
    <w:rsid w:val="004F2AD0"/>
    <w:rsid w:val="00502650"/>
    <w:rsid w:val="00503920"/>
    <w:rsid w:val="005041D3"/>
    <w:rsid w:val="00510344"/>
    <w:rsid w:val="00512865"/>
    <w:rsid w:val="00526DC7"/>
    <w:rsid w:val="00537D0C"/>
    <w:rsid w:val="0057330B"/>
    <w:rsid w:val="00593B8D"/>
    <w:rsid w:val="00595D19"/>
    <w:rsid w:val="005A18E9"/>
    <w:rsid w:val="005B3B11"/>
    <w:rsid w:val="005B5704"/>
    <w:rsid w:val="005C0851"/>
    <w:rsid w:val="005C44CC"/>
    <w:rsid w:val="005D3D02"/>
    <w:rsid w:val="005D6039"/>
    <w:rsid w:val="005E6531"/>
    <w:rsid w:val="005E700C"/>
    <w:rsid w:val="00601E08"/>
    <w:rsid w:val="006029AB"/>
    <w:rsid w:val="0060343F"/>
    <w:rsid w:val="00604906"/>
    <w:rsid w:val="006071A2"/>
    <w:rsid w:val="00607FB9"/>
    <w:rsid w:val="00617908"/>
    <w:rsid w:val="00623142"/>
    <w:rsid w:val="006277CA"/>
    <w:rsid w:val="00633781"/>
    <w:rsid w:val="00637EE9"/>
    <w:rsid w:val="006424AF"/>
    <w:rsid w:val="00642A01"/>
    <w:rsid w:val="006432D8"/>
    <w:rsid w:val="006622AD"/>
    <w:rsid w:val="006631FF"/>
    <w:rsid w:val="00663D76"/>
    <w:rsid w:val="0067004A"/>
    <w:rsid w:val="00671F14"/>
    <w:rsid w:val="006814A9"/>
    <w:rsid w:val="00686E2F"/>
    <w:rsid w:val="00692FA0"/>
    <w:rsid w:val="006952AA"/>
    <w:rsid w:val="006965FC"/>
    <w:rsid w:val="006A2C75"/>
    <w:rsid w:val="006A64F0"/>
    <w:rsid w:val="006A7082"/>
    <w:rsid w:val="006D2A27"/>
    <w:rsid w:val="006D42F2"/>
    <w:rsid w:val="006D62B5"/>
    <w:rsid w:val="006F338A"/>
    <w:rsid w:val="00702E9F"/>
    <w:rsid w:val="007053B9"/>
    <w:rsid w:val="00714156"/>
    <w:rsid w:val="0072031E"/>
    <w:rsid w:val="007231A2"/>
    <w:rsid w:val="007255C9"/>
    <w:rsid w:val="00731B65"/>
    <w:rsid w:val="00733E9A"/>
    <w:rsid w:val="0073796D"/>
    <w:rsid w:val="007404FC"/>
    <w:rsid w:val="007406C8"/>
    <w:rsid w:val="00750627"/>
    <w:rsid w:val="00754F52"/>
    <w:rsid w:val="00762334"/>
    <w:rsid w:val="00767AE4"/>
    <w:rsid w:val="007838B4"/>
    <w:rsid w:val="00787947"/>
    <w:rsid w:val="007915B6"/>
    <w:rsid w:val="00792785"/>
    <w:rsid w:val="007A63F0"/>
    <w:rsid w:val="007B601E"/>
    <w:rsid w:val="007B6DB4"/>
    <w:rsid w:val="007C15F0"/>
    <w:rsid w:val="007D12CD"/>
    <w:rsid w:val="007D1DDF"/>
    <w:rsid w:val="007D4D74"/>
    <w:rsid w:val="007E16DC"/>
    <w:rsid w:val="007E33EC"/>
    <w:rsid w:val="007E4556"/>
    <w:rsid w:val="007F3891"/>
    <w:rsid w:val="00802F3C"/>
    <w:rsid w:val="00810A0F"/>
    <w:rsid w:val="008128A3"/>
    <w:rsid w:val="00820078"/>
    <w:rsid w:val="00832ACC"/>
    <w:rsid w:val="00846C57"/>
    <w:rsid w:val="008471C7"/>
    <w:rsid w:val="00851C7A"/>
    <w:rsid w:val="0085367F"/>
    <w:rsid w:val="00860882"/>
    <w:rsid w:val="00866E06"/>
    <w:rsid w:val="00871526"/>
    <w:rsid w:val="00877A34"/>
    <w:rsid w:val="00881593"/>
    <w:rsid w:val="00883A57"/>
    <w:rsid w:val="00893C0F"/>
    <w:rsid w:val="00896FCB"/>
    <w:rsid w:val="008A4575"/>
    <w:rsid w:val="008B0E4D"/>
    <w:rsid w:val="008B5695"/>
    <w:rsid w:val="008C5074"/>
    <w:rsid w:val="008C5297"/>
    <w:rsid w:val="008D58CF"/>
    <w:rsid w:val="008D7AAD"/>
    <w:rsid w:val="008E38AE"/>
    <w:rsid w:val="008F2EAE"/>
    <w:rsid w:val="0090760B"/>
    <w:rsid w:val="00916B76"/>
    <w:rsid w:val="00930E0A"/>
    <w:rsid w:val="00935A58"/>
    <w:rsid w:val="009409AC"/>
    <w:rsid w:val="0096602B"/>
    <w:rsid w:val="0096681C"/>
    <w:rsid w:val="00984625"/>
    <w:rsid w:val="00990FF9"/>
    <w:rsid w:val="009911DE"/>
    <w:rsid w:val="009B146F"/>
    <w:rsid w:val="009B4AC8"/>
    <w:rsid w:val="009D0AA5"/>
    <w:rsid w:val="009D1286"/>
    <w:rsid w:val="009D1946"/>
    <w:rsid w:val="009E16A7"/>
    <w:rsid w:val="009E36A6"/>
    <w:rsid w:val="009F3A69"/>
    <w:rsid w:val="009F4640"/>
    <w:rsid w:val="009F6A40"/>
    <w:rsid w:val="00A01F88"/>
    <w:rsid w:val="00A10401"/>
    <w:rsid w:val="00A14550"/>
    <w:rsid w:val="00A24E9E"/>
    <w:rsid w:val="00A2525C"/>
    <w:rsid w:val="00A25E95"/>
    <w:rsid w:val="00A30C85"/>
    <w:rsid w:val="00A37FEB"/>
    <w:rsid w:val="00A418F2"/>
    <w:rsid w:val="00A468DE"/>
    <w:rsid w:val="00A54C1A"/>
    <w:rsid w:val="00A61997"/>
    <w:rsid w:val="00A62831"/>
    <w:rsid w:val="00A62DF6"/>
    <w:rsid w:val="00A705E3"/>
    <w:rsid w:val="00A75214"/>
    <w:rsid w:val="00A7612A"/>
    <w:rsid w:val="00A81276"/>
    <w:rsid w:val="00A964FC"/>
    <w:rsid w:val="00A971C7"/>
    <w:rsid w:val="00AA0CC3"/>
    <w:rsid w:val="00AA4E01"/>
    <w:rsid w:val="00AA7851"/>
    <w:rsid w:val="00AB2A3B"/>
    <w:rsid w:val="00AB55ED"/>
    <w:rsid w:val="00AB6A97"/>
    <w:rsid w:val="00AB6BCF"/>
    <w:rsid w:val="00AC0315"/>
    <w:rsid w:val="00AC11F6"/>
    <w:rsid w:val="00AD6B40"/>
    <w:rsid w:val="00AD6E63"/>
    <w:rsid w:val="00AD7840"/>
    <w:rsid w:val="00AD7FA3"/>
    <w:rsid w:val="00AE05C0"/>
    <w:rsid w:val="00AE1E37"/>
    <w:rsid w:val="00AE2F41"/>
    <w:rsid w:val="00AF0EF8"/>
    <w:rsid w:val="00AF5E83"/>
    <w:rsid w:val="00AF742F"/>
    <w:rsid w:val="00AF7EA2"/>
    <w:rsid w:val="00B11D84"/>
    <w:rsid w:val="00B309AE"/>
    <w:rsid w:val="00B36D10"/>
    <w:rsid w:val="00B372FA"/>
    <w:rsid w:val="00B51DED"/>
    <w:rsid w:val="00B55896"/>
    <w:rsid w:val="00B66B68"/>
    <w:rsid w:val="00B93DE1"/>
    <w:rsid w:val="00B962D5"/>
    <w:rsid w:val="00BA70E2"/>
    <w:rsid w:val="00BB1D89"/>
    <w:rsid w:val="00BB475E"/>
    <w:rsid w:val="00BC7FEA"/>
    <w:rsid w:val="00BD0200"/>
    <w:rsid w:val="00BD0FA9"/>
    <w:rsid w:val="00BE1B28"/>
    <w:rsid w:val="00BE34D6"/>
    <w:rsid w:val="00BE4F87"/>
    <w:rsid w:val="00BE516E"/>
    <w:rsid w:val="00BF4172"/>
    <w:rsid w:val="00C070A8"/>
    <w:rsid w:val="00C12AB3"/>
    <w:rsid w:val="00C2333C"/>
    <w:rsid w:val="00C23F23"/>
    <w:rsid w:val="00C24E80"/>
    <w:rsid w:val="00C37002"/>
    <w:rsid w:val="00C47C41"/>
    <w:rsid w:val="00C558BB"/>
    <w:rsid w:val="00C64954"/>
    <w:rsid w:val="00C743ED"/>
    <w:rsid w:val="00C74851"/>
    <w:rsid w:val="00C74ED5"/>
    <w:rsid w:val="00C8713F"/>
    <w:rsid w:val="00C903B4"/>
    <w:rsid w:val="00C94712"/>
    <w:rsid w:val="00C954BF"/>
    <w:rsid w:val="00CA6A4A"/>
    <w:rsid w:val="00CB33D6"/>
    <w:rsid w:val="00CB50B8"/>
    <w:rsid w:val="00CC0293"/>
    <w:rsid w:val="00CC393D"/>
    <w:rsid w:val="00CC4CBF"/>
    <w:rsid w:val="00CC4E1C"/>
    <w:rsid w:val="00CC4E42"/>
    <w:rsid w:val="00CD67D6"/>
    <w:rsid w:val="00CE0814"/>
    <w:rsid w:val="00CE0E85"/>
    <w:rsid w:val="00CF4292"/>
    <w:rsid w:val="00D00B7B"/>
    <w:rsid w:val="00D00F39"/>
    <w:rsid w:val="00D029CC"/>
    <w:rsid w:val="00D04DD4"/>
    <w:rsid w:val="00D05814"/>
    <w:rsid w:val="00D11B73"/>
    <w:rsid w:val="00D212AD"/>
    <w:rsid w:val="00D25AC7"/>
    <w:rsid w:val="00D27102"/>
    <w:rsid w:val="00D44A06"/>
    <w:rsid w:val="00D46241"/>
    <w:rsid w:val="00D52663"/>
    <w:rsid w:val="00D53824"/>
    <w:rsid w:val="00D66790"/>
    <w:rsid w:val="00D77847"/>
    <w:rsid w:val="00D92434"/>
    <w:rsid w:val="00D93C80"/>
    <w:rsid w:val="00D9573A"/>
    <w:rsid w:val="00DC4DA8"/>
    <w:rsid w:val="00DC6D3A"/>
    <w:rsid w:val="00DD06C0"/>
    <w:rsid w:val="00DD5364"/>
    <w:rsid w:val="00DD5AFE"/>
    <w:rsid w:val="00DD698D"/>
    <w:rsid w:val="00DF1909"/>
    <w:rsid w:val="00DF5CA2"/>
    <w:rsid w:val="00E105B9"/>
    <w:rsid w:val="00E14666"/>
    <w:rsid w:val="00E327A2"/>
    <w:rsid w:val="00E354D4"/>
    <w:rsid w:val="00E421E0"/>
    <w:rsid w:val="00E44D8C"/>
    <w:rsid w:val="00E51235"/>
    <w:rsid w:val="00E52F79"/>
    <w:rsid w:val="00E5330A"/>
    <w:rsid w:val="00E54C22"/>
    <w:rsid w:val="00E57ADC"/>
    <w:rsid w:val="00E60E1A"/>
    <w:rsid w:val="00E64DB5"/>
    <w:rsid w:val="00E7038B"/>
    <w:rsid w:val="00E715C5"/>
    <w:rsid w:val="00E748DA"/>
    <w:rsid w:val="00E75AFD"/>
    <w:rsid w:val="00E867CC"/>
    <w:rsid w:val="00E92338"/>
    <w:rsid w:val="00E92756"/>
    <w:rsid w:val="00E94067"/>
    <w:rsid w:val="00E95743"/>
    <w:rsid w:val="00E961BC"/>
    <w:rsid w:val="00E974AF"/>
    <w:rsid w:val="00E9756A"/>
    <w:rsid w:val="00EA0E6C"/>
    <w:rsid w:val="00ED02DE"/>
    <w:rsid w:val="00ED2788"/>
    <w:rsid w:val="00EE0FB0"/>
    <w:rsid w:val="00EE298D"/>
    <w:rsid w:val="00EE3640"/>
    <w:rsid w:val="00EF390D"/>
    <w:rsid w:val="00EF3EB8"/>
    <w:rsid w:val="00F02C24"/>
    <w:rsid w:val="00F03560"/>
    <w:rsid w:val="00F077AA"/>
    <w:rsid w:val="00F11C3D"/>
    <w:rsid w:val="00F14D6C"/>
    <w:rsid w:val="00F315DE"/>
    <w:rsid w:val="00F42FF1"/>
    <w:rsid w:val="00F64DFB"/>
    <w:rsid w:val="00F74EFD"/>
    <w:rsid w:val="00F865DF"/>
    <w:rsid w:val="00F936BA"/>
    <w:rsid w:val="00F94215"/>
    <w:rsid w:val="00F94B8B"/>
    <w:rsid w:val="00F973AA"/>
    <w:rsid w:val="00FA3A8A"/>
    <w:rsid w:val="00FA4385"/>
    <w:rsid w:val="00FB25AD"/>
    <w:rsid w:val="00FB311D"/>
    <w:rsid w:val="00FC569B"/>
    <w:rsid w:val="00FE17DA"/>
    <w:rsid w:val="00FE5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29062"/>
  <w15:chartTrackingRefBased/>
  <w15:docId w15:val="{2712F982-10C5-466A-BBFF-8B04326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85"/>
    <w:pPr>
      <w:spacing w:after="0" w:line="240" w:lineRule="auto"/>
    </w:pPr>
    <w:rPr>
      <w:rFonts w:eastAsia="Times New Roman"/>
      <w:lang w:eastAsia="en-AU"/>
    </w:rPr>
  </w:style>
  <w:style w:type="paragraph" w:styleId="Heading1">
    <w:name w:val="heading 1"/>
    <w:basedOn w:val="Normal"/>
    <w:next w:val="Normal"/>
    <w:link w:val="Heading1Char"/>
    <w:uiPriority w:val="9"/>
    <w:qFormat/>
    <w:rsid w:val="00185EF4"/>
    <w:pPr>
      <w:keepNext/>
      <w:keepLines/>
      <w:numPr>
        <w:numId w:val="8"/>
      </w:numPr>
      <w:spacing w:before="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5EF4"/>
    <w:pPr>
      <w:keepNext/>
      <w:keepLines/>
      <w:spacing w:before="2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67CC"/>
    <w:pPr>
      <w:keepNext/>
      <w:keepLines/>
      <w:spacing w:before="18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C85"/>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rsid w:val="00A30C85"/>
    <w:rPr>
      <w:rFonts w:eastAsia="Times New Roman"/>
      <w:lang w:val="en-US"/>
    </w:rPr>
  </w:style>
  <w:style w:type="paragraph" w:styleId="BodyText">
    <w:name w:val="Body Text"/>
    <w:basedOn w:val="Normal"/>
    <w:link w:val="BodyTextChar"/>
    <w:uiPriority w:val="99"/>
    <w:rsid w:val="00A30C85"/>
    <w:pPr>
      <w:jc w:val="center"/>
    </w:pPr>
    <w:rPr>
      <w:b/>
      <w:bCs/>
      <w:vanish/>
      <w:color w:val="FF0000"/>
    </w:rPr>
  </w:style>
  <w:style w:type="character" w:customStyle="1" w:styleId="BodyTextChar">
    <w:name w:val="Body Text Char"/>
    <w:basedOn w:val="DefaultParagraphFont"/>
    <w:link w:val="BodyText"/>
    <w:uiPriority w:val="99"/>
    <w:rsid w:val="00A30C85"/>
    <w:rPr>
      <w:rFonts w:eastAsia="Times New Roman"/>
      <w:b/>
      <w:bCs/>
      <w:vanish/>
      <w:color w:val="FF0000"/>
      <w:lang w:eastAsia="en-AU"/>
    </w:rPr>
  </w:style>
  <w:style w:type="paragraph" w:styleId="Footer">
    <w:name w:val="footer"/>
    <w:basedOn w:val="Normal"/>
    <w:link w:val="FooterChar"/>
    <w:uiPriority w:val="99"/>
    <w:rsid w:val="00A30C85"/>
    <w:pPr>
      <w:tabs>
        <w:tab w:val="center" w:pos="4153"/>
        <w:tab w:val="right" w:pos="8306"/>
      </w:tabs>
    </w:pPr>
  </w:style>
  <w:style w:type="character" w:customStyle="1" w:styleId="FooterChar">
    <w:name w:val="Footer Char"/>
    <w:basedOn w:val="DefaultParagraphFont"/>
    <w:link w:val="Footer"/>
    <w:uiPriority w:val="99"/>
    <w:rsid w:val="00A30C85"/>
    <w:rPr>
      <w:rFonts w:eastAsia="Times New Roman"/>
      <w:lang w:eastAsia="en-AU"/>
    </w:rPr>
  </w:style>
  <w:style w:type="paragraph" w:customStyle="1" w:styleId="MincoHeading">
    <w:name w:val="Minco Heading"/>
    <w:basedOn w:val="Normal"/>
    <w:uiPriority w:val="99"/>
    <w:rsid w:val="00A30C85"/>
    <w:pPr>
      <w:jc w:val="center"/>
    </w:pPr>
    <w:rPr>
      <w:b/>
      <w:bCs/>
    </w:rPr>
  </w:style>
  <w:style w:type="paragraph" w:customStyle="1" w:styleId="MincoNormal">
    <w:name w:val="Minco Normal"/>
    <w:basedOn w:val="Normal"/>
    <w:uiPriority w:val="99"/>
    <w:rsid w:val="00A30C85"/>
    <w:rPr>
      <w:lang w:eastAsia="en-US"/>
    </w:rPr>
  </w:style>
  <w:style w:type="paragraph" w:customStyle="1" w:styleId="numberedproforma">
    <w:name w:val="numbered proforma"/>
    <w:basedOn w:val="BodyTextIndent2"/>
    <w:uiPriority w:val="99"/>
    <w:rsid w:val="00A30C85"/>
    <w:pPr>
      <w:widowControl w:val="0"/>
      <w:tabs>
        <w:tab w:val="left" w:pos="426"/>
      </w:tabs>
      <w:spacing w:line="240" w:lineRule="auto"/>
      <w:ind w:left="426" w:hanging="426"/>
    </w:pPr>
    <w:rPr>
      <w:lang w:eastAsia="en-US"/>
    </w:rPr>
  </w:style>
  <w:style w:type="paragraph" w:customStyle="1" w:styleId="FRSCBold">
    <w:name w:val="FRSC Bold"/>
    <w:basedOn w:val="Heading1"/>
    <w:uiPriority w:val="99"/>
    <w:rsid w:val="00A30C85"/>
    <w:pPr>
      <w:keepLines w:val="0"/>
      <w:spacing w:before="0"/>
    </w:pPr>
    <w:rPr>
      <w:rFonts w:ascii="Times New Roman" w:eastAsia="Times New Roman" w:hAnsi="Times New Roman" w:cs="Times New Roman"/>
      <w:b/>
      <w:bCs/>
      <w:color w:val="auto"/>
      <w:sz w:val="24"/>
      <w:szCs w:val="24"/>
    </w:rPr>
  </w:style>
  <w:style w:type="paragraph" w:customStyle="1" w:styleId="FRSCNormal">
    <w:name w:val="FRSC Normal"/>
    <w:basedOn w:val="Normal"/>
    <w:uiPriority w:val="99"/>
    <w:rsid w:val="00A30C85"/>
  </w:style>
  <w:style w:type="paragraph" w:customStyle="1" w:styleId="FRSCContactblock">
    <w:name w:val="FRSC Contact block"/>
    <w:basedOn w:val="Normal"/>
    <w:uiPriority w:val="99"/>
    <w:rsid w:val="00A30C85"/>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30C8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A30C85"/>
  </w:style>
  <w:style w:type="paragraph" w:styleId="BodyTextIndent2">
    <w:name w:val="Body Text Indent 2"/>
    <w:basedOn w:val="Normal"/>
    <w:link w:val="BodyTextIndent2Char"/>
    <w:uiPriority w:val="99"/>
    <w:semiHidden/>
    <w:unhideWhenUsed/>
    <w:rsid w:val="00A30C85"/>
    <w:pPr>
      <w:spacing w:after="120" w:line="480" w:lineRule="auto"/>
      <w:ind w:left="283"/>
    </w:pPr>
  </w:style>
  <w:style w:type="character" w:customStyle="1" w:styleId="BodyTextIndent2Char">
    <w:name w:val="Body Text Indent 2 Char"/>
    <w:basedOn w:val="DefaultParagraphFont"/>
    <w:link w:val="BodyTextIndent2"/>
    <w:uiPriority w:val="99"/>
    <w:semiHidden/>
    <w:rsid w:val="00A30C85"/>
    <w:rPr>
      <w:rFonts w:eastAsia="Times New Roman"/>
      <w:lang w:eastAsia="en-AU"/>
    </w:rPr>
  </w:style>
  <w:style w:type="character" w:customStyle="1" w:styleId="Heading1Char">
    <w:name w:val="Heading 1 Char"/>
    <w:basedOn w:val="DefaultParagraphFont"/>
    <w:link w:val="Heading1"/>
    <w:uiPriority w:val="9"/>
    <w:rsid w:val="00185EF4"/>
    <w:rPr>
      <w:rFonts w:asciiTheme="majorHAnsi" w:eastAsiaTheme="majorEastAsia" w:hAnsiTheme="majorHAnsi" w:cstheme="majorBidi"/>
      <w:color w:val="2F5496" w:themeColor="accent1" w:themeShade="BF"/>
      <w:sz w:val="32"/>
      <w:szCs w:val="32"/>
      <w:lang w:eastAsia="en-AU"/>
    </w:rPr>
  </w:style>
  <w:style w:type="character" w:styleId="CommentReference">
    <w:name w:val="annotation reference"/>
    <w:basedOn w:val="DefaultParagraphFont"/>
    <w:uiPriority w:val="99"/>
    <w:semiHidden/>
    <w:unhideWhenUsed/>
    <w:rsid w:val="00415135"/>
    <w:rPr>
      <w:sz w:val="16"/>
      <w:szCs w:val="16"/>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15135"/>
    <w:rPr>
      <w:rFonts w:asciiTheme="minorHAnsi" w:hAnsiTheme="minorHAnsi" w:cstheme="minorBidi"/>
      <w:sz w:val="22"/>
      <w:szCs w:val="22"/>
    </w:rPr>
  </w:style>
  <w:style w:type="paragraph" w:styleId="NoSpacing">
    <w:name w:val="No Spacing"/>
    <w:aliases w:val="Recommendations"/>
    <w:uiPriority w:val="1"/>
    <w:qFormat/>
    <w:rsid w:val="00415135"/>
    <w:pPr>
      <w:numPr>
        <w:numId w:val="5"/>
      </w:numPr>
      <w:spacing w:after="120" w:line="240" w:lineRule="auto"/>
    </w:pPr>
    <w:rPr>
      <w:rFonts w:asciiTheme="minorHAnsi" w:hAnsiTheme="minorHAnsi" w:cs="Arial"/>
      <w:b/>
      <w:sz w:val="28"/>
      <w:szCs w:val="22"/>
    </w:rPr>
  </w:style>
  <w:style w:type="character" w:customStyle="1" w:styleId="Heading2Char">
    <w:name w:val="Heading 2 Char"/>
    <w:basedOn w:val="DefaultParagraphFont"/>
    <w:link w:val="Heading2"/>
    <w:uiPriority w:val="9"/>
    <w:rsid w:val="00185EF4"/>
    <w:rPr>
      <w:rFonts w:asciiTheme="majorHAnsi" w:eastAsiaTheme="majorEastAsia" w:hAnsiTheme="majorHAnsi" w:cstheme="majorBidi"/>
      <w:color w:val="2F5496" w:themeColor="accent1" w:themeShade="BF"/>
      <w:sz w:val="26"/>
      <w:szCs w:val="26"/>
      <w:lang w:eastAsia="en-AU"/>
    </w:rPr>
  </w:style>
  <w:style w:type="paragraph" w:styleId="CommentText">
    <w:name w:val="annotation text"/>
    <w:basedOn w:val="Normal"/>
    <w:link w:val="CommentTextChar"/>
    <w:uiPriority w:val="99"/>
    <w:unhideWhenUsed/>
    <w:rsid w:val="00415135"/>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15135"/>
    <w:rPr>
      <w:rFonts w:asciiTheme="minorHAnsi" w:hAnsiTheme="minorHAnsi" w:cstheme="minorBidi"/>
      <w:sz w:val="20"/>
      <w:szCs w:val="20"/>
    </w:rPr>
  </w:style>
  <w:style w:type="character" w:styleId="Hyperlink">
    <w:name w:val="Hyperlink"/>
    <w:basedOn w:val="DefaultParagraphFont"/>
    <w:uiPriority w:val="99"/>
    <w:unhideWhenUsed/>
    <w:rsid w:val="0041513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F3385"/>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0F3385"/>
    <w:rPr>
      <w:rFonts w:asciiTheme="minorHAnsi" w:eastAsia="Times New Roman" w:hAnsiTheme="minorHAnsi" w:cstheme="minorBidi"/>
      <w:b/>
      <w:bCs/>
      <w:sz w:val="20"/>
      <w:szCs w:val="20"/>
      <w:lang w:eastAsia="en-AU"/>
    </w:rPr>
  </w:style>
  <w:style w:type="paragraph" w:styleId="FootnoteText">
    <w:name w:val="footnote text"/>
    <w:basedOn w:val="Normal"/>
    <w:link w:val="FootnoteTextChar"/>
    <w:uiPriority w:val="99"/>
    <w:unhideWhenUsed/>
    <w:rsid w:val="00692FA0"/>
    <w:pPr>
      <w:spacing w:after="60"/>
    </w:pPr>
    <w:rPr>
      <w:rFonts w:ascii="Arial" w:eastAsiaTheme="minorEastAsia" w:hAnsi="Arial" w:cstheme="minorBidi"/>
      <w:sz w:val="16"/>
      <w:szCs w:val="20"/>
      <w:lang w:eastAsia="en-US"/>
    </w:rPr>
  </w:style>
  <w:style w:type="character" w:customStyle="1" w:styleId="FootnoteTextChar">
    <w:name w:val="Footnote Text Char"/>
    <w:basedOn w:val="DefaultParagraphFont"/>
    <w:link w:val="FootnoteText"/>
    <w:uiPriority w:val="99"/>
    <w:rsid w:val="00692FA0"/>
    <w:rPr>
      <w:rFonts w:ascii="Arial" w:eastAsiaTheme="minorEastAsia" w:hAnsi="Arial" w:cstheme="minorBidi"/>
      <w:sz w:val="16"/>
      <w:szCs w:val="20"/>
    </w:rPr>
  </w:style>
  <w:style w:type="character" w:styleId="FootnoteReference">
    <w:name w:val="footnote reference"/>
    <w:basedOn w:val="DefaultParagraphFont"/>
    <w:uiPriority w:val="99"/>
    <w:unhideWhenUsed/>
    <w:rsid w:val="00692FA0"/>
    <w:rPr>
      <w:vertAlign w:val="superscript"/>
    </w:rPr>
  </w:style>
  <w:style w:type="character" w:styleId="UnresolvedMention">
    <w:name w:val="Unresolved Mention"/>
    <w:basedOn w:val="DefaultParagraphFont"/>
    <w:uiPriority w:val="99"/>
    <w:semiHidden/>
    <w:unhideWhenUsed/>
    <w:rsid w:val="0028246A"/>
    <w:rPr>
      <w:color w:val="605E5C"/>
      <w:shd w:val="clear" w:color="auto" w:fill="E1DFDD"/>
    </w:rPr>
  </w:style>
  <w:style w:type="character" w:customStyle="1" w:styleId="Heading3Char">
    <w:name w:val="Heading 3 Char"/>
    <w:basedOn w:val="DefaultParagraphFont"/>
    <w:link w:val="Heading3"/>
    <w:uiPriority w:val="9"/>
    <w:rsid w:val="00E867CC"/>
    <w:rPr>
      <w:rFonts w:asciiTheme="majorHAnsi" w:eastAsiaTheme="majorEastAsia" w:hAnsiTheme="majorHAnsi" w:cstheme="majorBidi"/>
      <w:color w:val="1F3763" w:themeColor="accent1" w:themeShade="7F"/>
      <w:lang w:eastAsia="en-AU"/>
    </w:rPr>
  </w:style>
  <w:style w:type="paragraph" w:styleId="TOCHeading">
    <w:name w:val="TOC Heading"/>
    <w:basedOn w:val="Heading1"/>
    <w:next w:val="Normal"/>
    <w:uiPriority w:val="39"/>
    <w:unhideWhenUsed/>
    <w:qFormat/>
    <w:rsid w:val="00D52663"/>
    <w:pPr>
      <w:numPr>
        <w:numId w:val="0"/>
      </w:numPr>
      <w:spacing w:before="240" w:line="259" w:lineRule="auto"/>
      <w:outlineLvl w:val="9"/>
    </w:pPr>
    <w:rPr>
      <w:lang w:val="en-US" w:eastAsia="en-US"/>
    </w:rPr>
  </w:style>
  <w:style w:type="paragraph" w:styleId="TOC1">
    <w:name w:val="toc 1"/>
    <w:basedOn w:val="Normal"/>
    <w:next w:val="Normal"/>
    <w:autoRedefine/>
    <w:uiPriority w:val="39"/>
    <w:unhideWhenUsed/>
    <w:rsid w:val="00D52663"/>
    <w:pPr>
      <w:spacing w:after="100"/>
    </w:pPr>
  </w:style>
  <w:style w:type="paragraph" w:styleId="TOC2">
    <w:name w:val="toc 2"/>
    <w:basedOn w:val="Normal"/>
    <w:next w:val="Normal"/>
    <w:autoRedefine/>
    <w:uiPriority w:val="39"/>
    <w:unhideWhenUsed/>
    <w:rsid w:val="00D52663"/>
    <w:pPr>
      <w:spacing w:after="100"/>
      <w:ind w:left="240"/>
    </w:pPr>
  </w:style>
  <w:style w:type="paragraph" w:styleId="TOC3">
    <w:name w:val="toc 3"/>
    <w:basedOn w:val="Normal"/>
    <w:next w:val="Normal"/>
    <w:autoRedefine/>
    <w:uiPriority w:val="39"/>
    <w:unhideWhenUsed/>
    <w:rsid w:val="00D52663"/>
    <w:pPr>
      <w:spacing w:after="100"/>
      <w:ind w:left="480"/>
    </w:pPr>
  </w:style>
  <w:style w:type="paragraph" w:styleId="Revision">
    <w:name w:val="Revision"/>
    <w:hidden/>
    <w:uiPriority w:val="99"/>
    <w:semiHidden/>
    <w:rsid w:val="009F4640"/>
    <w:pPr>
      <w:spacing w:after="0"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01405">
      <w:bodyDiv w:val="1"/>
      <w:marLeft w:val="0"/>
      <w:marRight w:val="0"/>
      <w:marTop w:val="0"/>
      <w:marBottom w:val="0"/>
      <w:divBdr>
        <w:top w:val="none" w:sz="0" w:space="0" w:color="auto"/>
        <w:left w:val="none" w:sz="0" w:space="0" w:color="auto"/>
        <w:bottom w:val="none" w:sz="0" w:space="0" w:color="auto"/>
        <w:right w:val="none" w:sz="0" w:space="0" w:color="auto"/>
      </w:divBdr>
    </w:div>
    <w:div w:id="20409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dustrialchemicals.gov.au/about-us/who-we-are-and-what-we-do" TargetMode="External"/><Relationship Id="rId3" Type="http://schemas.openxmlformats.org/officeDocument/2006/relationships/hyperlink" Target="https://www.ogtr.gov.au/about-ogtr/legislative-reviews" TargetMode="External"/><Relationship Id="rId7" Type="http://schemas.openxmlformats.org/officeDocument/2006/relationships/hyperlink" Target="https://www.genetechnology.gov.au/about-the-national-scheme/how-it-works/national-agreement" TargetMode="External"/><Relationship Id="rId2" Type="http://schemas.openxmlformats.org/officeDocument/2006/relationships/hyperlink" Target="https://www.health.gov.au/our-work/polio-surveillance-program" TargetMode="External"/><Relationship Id="rId1" Type="http://schemas.openxmlformats.org/officeDocument/2006/relationships/hyperlink" Target="https://polioeradication.org/" TargetMode="External"/><Relationship Id="rId6" Type="http://schemas.openxmlformats.org/officeDocument/2006/relationships/hyperlink" Target="https://www.genetechnology.gov.au/about-the-national-scheme/how-it-works/ministers-meeting" TargetMode="External"/><Relationship Id="rId5" Type="http://schemas.openxmlformats.org/officeDocument/2006/relationships/hyperlink" Target="https://www.genetechnology.gov.au/reviews-and-consultations/current/proposed-amendments-gene-technology-act-2000" TargetMode="External"/><Relationship Id="rId4" Type="http://schemas.openxmlformats.org/officeDocument/2006/relationships/hyperlink" Target="https://www.genetechnology.gov.au/reviews-and-consultations/past/2017-third-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5179F-57A5-46C2-A18C-7942491D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2301</Words>
  <Characters>13119</Characters>
  <Application>Microsoft Office Word</Application>
  <DocSecurity>0</DocSecurity>
  <Lines>109</Lines>
  <Paragraphs>30</Paragraphs>
  <ScaleCrop>false</ScaleCrop>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SHOOBRIDGE, Maryanne</cp:lastModifiedBy>
  <cp:revision>10</cp:revision>
  <dcterms:created xsi:type="dcterms:W3CDTF">2024-11-07T06:10:00Z</dcterms:created>
  <dcterms:modified xsi:type="dcterms:W3CDTF">2024-11-08T05:20:00Z</dcterms:modified>
</cp:coreProperties>
</file>