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9E25" w14:textId="6B9833B5" w:rsidR="00081620" w:rsidRPr="00081620" w:rsidRDefault="009A2A19">
      <w:pPr>
        <w:rPr>
          <w:rFonts w:cs="Calibri"/>
          <w:b/>
          <w:bCs/>
          <w:color w:val="F79646"/>
          <w:kern w:val="32"/>
          <w:sz w:val="40"/>
          <w:szCs w:val="32"/>
        </w:rPr>
      </w:pPr>
      <w:bookmarkStart w:id="0" w:name="_Toc107835765"/>
      <w:bookmarkStart w:id="1" w:name="_Toc107835832"/>
      <w:bookmarkStart w:id="2" w:name="_Toc107911556"/>
      <w:bookmarkStart w:id="3" w:name="_Toc107920651"/>
      <w:bookmarkStart w:id="4" w:name="_Toc111552630"/>
      <w:bookmarkStart w:id="5" w:name="_Toc111558639"/>
      <w:bookmarkStart w:id="6" w:name="_Toc111561063"/>
      <w:bookmarkStart w:id="7" w:name="_Toc117841798"/>
      <w:r w:rsidRPr="00081620">
        <w:rPr>
          <w:noProof/>
        </w:rPr>
        <mc:AlternateContent>
          <mc:Choice Requires="wps">
            <w:drawing>
              <wp:anchor distT="0" distB="0" distL="114300" distR="114300" simplePos="0" relativeHeight="251658241" behindDoc="0" locked="0" layoutInCell="1" allowOverlap="1" wp14:anchorId="66DCA4F3" wp14:editId="3340E1D9">
                <wp:simplePos x="0" y="0"/>
                <wp:positionH relativeFrom="page">
                  <wp:posOffset>3733800</wp:posOffset>
                </wp:positionH>
                <wp:positionV relativeFrom="paragraph">
                  <wp:posOffset>5645150</wp:posOffset>
                </wp:positionV>
                <wp:extent cx="3922395" cy="3636010"/>
                <wp:effectExtent l="0" t="0" r="0" b="2540"/>
                <wp:wrapNone/>
                <wp:docPr id="59" name="Text Box 59"/>
                <wp:cNvGraphicFramePr/>
                <a:graphic xmlns:a="http://schemas.openxmlformats.org/drawingml/2006/main">
                  <a:graphicData uri="http://schemas.microsoft.com/office/word/2010/wordprocessingShape">
                    <wps:wsp>
                      <wps:cNvSpPr txBox="1"/>
                      <wps:spPr>
                        <a:xfrm>
                          <a:off x="0" y="0"/>
                          <a:ext cx="3922395" cy="3636010"/>
                        </a:xfrm>
                        <a:prstGeom prst="rect">
                          <a:avLst/>
                        </a:prstGeom>
                        <a:noFill/>
                        <a:ln>
                          <a:noFill/>
                        </a:ln>
                      </wps:spPr>
                      <wps:txbx>
                        <w:txbxContent>
                          <w:p w14:paraId="7DD40231" w14:textId="78FE0C5D" w:rsidR="00081620" w:rsidRDefault="002C5992" w:rsidP="00081620">
                            <w:pPr>
                              <w:rPr>
                                <w:rFonts w:cs="Calibri"/>
                                <w:sz w:val="72"/>
                                <w:szCs w:val="72"/>
                                <w:lang w:val="en-U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2C5992">
                              <w:rPr>
                                <w:rFonts w:cs="Calibri"/>
                                <w:sz w:val="72"/>
                                <w:szCs w:val="72"/>
                                <w:lang w:val="en-U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Draft final report</w:t>
                            </w:r>
                          </w:p>
                          <w:p w14:paraId="3AA05BC7" w14:textId="0E04F804" w:rsidR="002C5992" w:rsidRPr="002C5992" w:rsidRDefault="0095200E" w:rsidP="00081620">
                            <w:pPr>
                              <w:rPr>
                                <w:rFonts w:cs="Arial"/>
                                <w:b/>
                                <w:sz w:val="44"/>
                                <w:szCs w:val="44"/>
                                <w:lang w:val="en-US"/>
                                <w14:textOutline w14:w="9525" w14:cap="rnd" w14:cmpd="sng" w14:algn="ctr">
                                  <w14:solidFill>
                                    <w14:srgbClr w14:val="FFFFFF"/>
                                  </w14:solidFill>
                                  <w14:prstDash w14:val="solid"/>
                                  <w14:bevel/>
                                </w14:textOutline>
                              </w:rPr>
                            </w:pPr>
                            <w:r w:rsidRPr="0095200E">
                              <w:rPr>
                                <w:rFonts w:cs="Calibri"/>
                                <w:sz w:val="52"/>
                                <w:szCs w:val="52"/>
                                <w:lang w:val="en-U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September</w:t>
                            </w:r>
                            <w:r w:rsidR="004965A5" w:rsidRPr="0095200E">
                              <w:rPr>
                                <w:rFonts w:cs="Calibri"/>
                                <w:sz w:val="52"/>
                                <w:szCs w:val="52"/>
                                <w:lang w:val="en-U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002C5992" w:rsidRPr="0095200E">
                              <w:rPr>
                                <w:rFonts w:cs="Calibri"/>
                                <w:sz w:val="52"/>
                                <w:szCs w:val="52"/>
                                <w:lang w:val="en-U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DCA4F3" id="_x0000_t202" coordsize="21600,21600" o:spt="202" path="m,l,21600r21600,l21600,xe">
                <v:stroke joinstyle="miter"/>
                <v:path gradientshapeok="t" o:connecttype="rect"/>
              </v:shapetype>
              <v:shape id="Text Box 59" o:spid="_x0000_s1026" type="#_x0000_t202" style="position:absolute;margin-left:294pt;margin-top:444.5pt;width:308.85pt;height:286.3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" filled="f" stroked="f">
                <v:textbox>
                  <w:txbxContent>
                    <w:p w14:paraId="7DD40231" w14:textId="78FE0C5D" w:rsidR="00081620" w:rsidRDefault="002C5992" w:rsidP="00081620">
                      <w:pPr>
                        <w:rPr>
                          <w:rFonts w:cs="Calibri"/>
                          <w:sz w:val="72"/>
                          <w:szCs w:val="72"/>
                          <w:lang w:val="en-U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2C5992">
                        <w:rPr>
                          <w:rFonts w:cs="Calibri"/>
                          <w:sz w:val="72"/>
                          <w:szCs w:val="72"/>
                          <w:lang w:val="en-U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Draft final report</w:t>
                      </w:r>
                    </w:p>
                    <w:p w14:paraId="3AA05BC7" w14:textId="0E04F804" w:rsidR="002C5992" w:rsidRPr="002C5992" w:rsidRDefault="0095200E" w:rsidP="00081620">
                      <w:pPr>
                        <w:rPr>
                          <w:rFonts w:cs="Arial"/>
                          <w:b/>
                          <w:sz w:val="44"/>
                          <w:szCs w:val="44"/>
                          <w:lang w:val="en-US"/>
                          <w14:textOutline w14:w="9525" w14:cap="rnd" w14:cmpd="sng" w14:algn="ctr">
                            <w14:solidFill>
                              <w14:srgbClr w14:val="FFFFFF"/>
                            </w14:solidFill>
                            <w14:prstDash w14:val="solid"/>
                            <w14:bevel/>
                          </w14:textOutline>
                        </w:rPr>
                      </w:pPr>
                      <w:r w:rsidRPr="0095200E">
                        <w:rPr>
                          <w:rFonts w:cs="Calibri"/>
                          <w:sz w:val="52"/>
                          <w:szCs w:val="52"/>
                          <w:lang w:val="en-U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September</w:t>
                      </w:r>
                      <w:r w:rsidR="004965A5" w:rsidRPr="0095200E">
                        <w:rPr>
                          <w:rFonts w:cs="Calibri"/>
                          <w:sz w:val="52"/>
                          <w:szCs w:val="52"/>
                          <w:lang w:val="en-U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002C5992" w:rsidRPr="0095200E">
                        <w:rPr>
                          <w:rFonts w:cs="Calibri"/>
                          <w:sz w:val="52"/>
                          <w:szCs w:val="52"/>
                          <w:lang w:val="en-U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2026</w:t>
                      </w:r>
                    </w:p>
                  </w:txbxContent>
                </v:textbox>
                <w10:wrap anchorx="page"/>
              </v:shape>
            </w:pict>
          </mc:Fallback>
        </mc:AlternateContent>
      </w:r>
      <w:r w:rsidRPr="00081620">
        <w:rPr>
          <w:noProof/>
        </w:rPr>
        <mc:AlternateContent>
          <mc:Choice Requires="wps">
            <w:drawing>
              <wp:anchor distT="0" distB="0" distL="114300" distR="114300" simplePos="0" relativeHeight="251658240" behindDoc="0" locked="0" layoutInCell="1" allowOverlap="1" wp14:anchorId="510C40CF" wp14:editId="5E1F33DE">
                <wp:simplePos x="0" y="0"/>
                <wp:positionH relativeFrom="margin">
                  <wp:posOffset>2402205</wp:posOffset>
                </wp:positionH>
                <wp:positionV relativeFrom="paragraph">
                  <wp:posOffset>2241550</wp:posOffset>
                </wp:positionV>
                <wp:extent cx="3238500" cy="2032000"/>
                <wp:effectExtent l="0" t="0" r="0" b="6350"/>
                <wp:wrapNone/>
                <wp:docPr id="62" name="Text Box 62"/>
                <wp:cNvGraphicFramePr/>
                <a:graphic xmlns:a="http://schemas.openxmlformats.org/drawingml/2006/main">
                  <a:graphicData uri="http://schemas.microsoft.com/office/word/2010/wordprocessingShape">
                    <wps:wsp>
                      <wps:cNvSpPr txBox="1"/>
                      <wps:spPr>
                        <a:xfrm>
                          <a:off x="0" y="0"/>
                          <a:ext cx="3238500" cy="2032000"/>
                        </a:xfrm>
                        <a:prstGeom prst="rect">
                          <a:avLst/>
                        </a:prstGeom>
                        <a:noFill/>
                        <a:ln>
                          <a:noFill/>
                        </a:ln>
                      </wps:spPr>
                      <wps:txbx>
                        <w:txbxContent>
                          <w:p w14:paraId="45E37CF0" w14:textId="081BFE1F" w:rsidR="00081620" w:rsidRPr="00081620" w:rsidRDefault="00736200" w:rsidP="00081620">
                            <w:pPr>
                              <w:rPr>
                                <w:rFonts w:cs="Arial"/>
                                <w:b/>
                                <w:sz w:val="72"/>
                                <w:szCs w:val="72"/>
                                <w14:textOutline w14:w="9525" w14:cap="rnd" w14:cmpd="sng" w14:algn="ctr">
                                  <w14:solidFill>
                                    <w14:srgbClr w14:val="FFFFFF"/>
                                  </w14:solidFill>
                                  <w14:prstDash w14:val="solid"/>
                                  <w14:bevel/>
                                </w14:textOutline>
                              </w:rPr>
                            </w:pPr>
                            <w:r>
                              <w:rPr>
                                <w:rFonts w:cs="Calibri"/>
                                <w:b/>
                                <w:sz w:val="56"/>
                                <w:szCs w:val="56"/>
                              </w:rPr>
                              <w:t>Time-Tiered Primary Care</w:t>
                            </w:r>
                            <w:r w:rsidR="009A2A19">
                              <w:rPr>
                                <w:rFonts w:cs="Calibri"/>
                                <w:b/>
                                <w:sz w:val="56"/>
                                <w:szCs w:val="56"/>
                              </w:rPr>
                              <w:t xml:space="preserve"> </w:t>
                            </w:r>
                            <w:r w:rsidR="00081620" w:rsidRPr="00081620">
                              <w:rPr>
                                <w:rFonts w:cs="Calibri"/>
                                <w:b/>
                                <w:sz w:val="56"/>
                                <w:szCs w:val="56"/>
                              </w:rPr>
                              <w:t>Working 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0C40CF" id="Text Box 62" o:spid="_x0000_s1027" type="#_x0000_t202" style="position:absolute;margin-left:189.15pt;margin-top:176.5pt;width:255pt;height:160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" filled="f" stroked="f">
                <v:textbox>
                  <w:txbxContent>
                    <w:p w14:paraId="45E37CF0" w14:textId="081BFE1F" w:rsidR="00081620" w:rsidRPr="00081620" w:rsidRDefault="00736200" w:rsidP="00081620">
                      <w:pPr>
                        <w:rPr>
                          <w:rFonts w:cs="Arial"/>
                          <w:b/>
                          <w:sz w:val="72"/>
                          <w:szCs w:val="72"/>
                          <w14:textOutline w14:w="9525" w14:cap="rnd" w14:cmpd="sng" w14:algn="ctr">
                            <w14:solidFill>
                              <w14:srgbClr w14:val="FFFFFF"/>
                            </w14:solidFill>
                            <w14:prstDash w14:val="solid"/>
                            <w14:bevel/>
                          </w14:textOutline>
                        </w:rPr>
                      </w:pPr>
                      <w:r>
                        <w:rPr>
                          <w:rFonts w:cs="Calibri"/>
                          <w:b/>
                          <w:sz w:val="56"/>
                          <w:szCs w:val="56"/>
                        </w:rPr>
                        <w:t>Time-Tiered Primary Care</w:t>
                      </w:r>
                      <w:r w:rsidR="009A2A19">
                        <w:rPr>
                          <w:rFonts w:cs="Calibri"/>
                          <w:b/>
                          <w:sz w:val="56"/>
                          <w:szCs w:val="56"/>
                        </w:rPr>
                        <w:t xml:space="preserve"> </w:t>
                      </w:r>
                      <w:r w:rsidR="00081620" w:rsidRPr="00081620">
                        <w:rPr>
                          <w:rFonts w:cs="Calibri"/>
                          <w:b/>
                          <w:sz w:val="56"/>
                          <w:szCs w:val="56"/>
                        </w:rPr>
                        <w:t>Working Group</w:t>
                      </w:r>
                    </w:p>
                  </w:txbxContent>
                </v:textbox>
                <w10:wrap anchorx="margin"/>
              </v:shape>
            </w:pict>
          </mc:Fallback>
        </mc:AlternateContent>
      </w:r>
      <w:r w:rsidR="00081620" w:rsidRPr="00081620">
        <w:rPr>
          <w:noProof/>
        </w:rPr>
        <mc:AlternateContent>
          <mc:Choice Requires="wps">
            <w:drawing>
              <wp:anchor distT="0" distB="0" distL="114300" distR="114300" simplePos="0" relativeHeight="251658244" behindDoc="0" locked="0" layoutInCell="1" allowOverlap="1" wp14:anchorId="0B161B26" wp14:editId="6A1C2B5D">
                <wp:simplePos x="0" y="0"/>
                <wp:positionH relativeFrom="margin">
                  <wp:posOffset>2171700</wp:posOffset>
                </wp:positionH>
                <wp:positionV relativeFrom="paragraph">
                  <wp:posOffset>-676275</wp:posOffset>
                </wp:positionV>
                <wp:extent cx="3705225" cy="1828800"/>
                <wp:effectExtent l="0" t="0" r="0" b="5715"/>
                <wp:wrapNone/>
                <wp:docPr id="63" name="Text Box 63"/>
                <wp:cNvGraphicFramePr/>
                <a:graphic xmlns:a="http://schemas.openxmlformats.org/drawingml/2006/main">
                  <a:graphicData uri="http://schemas.microsoft.com/office/word/2010/wordprocessingShape">
                    <wps:wsp>
                      <wps:cNvSpPr txBox="1"/>
                      <wps:spPr>
                        <a:xfrm>
                          <a:off x="0" y="0"/>
                          <a:ext cx="3705225" cy="1828800"/>
                        </a:xfrm>
                        <a:prstGeom prst="rect">
                          <a:avLst/>
                        </a:prstGeom>
                        <a:noFill/>
                        <a:ln>
                          <a:noFill/>
                        </a:ln>
                      </wps:spPr>
                      <wps:txbx>
                        <w:txbxContent>
                          <w:p w14:paraId="6ED0BB90" w14:textId="77777777" w:rsidR="00081620" w:rsidRPr="00081620" w:rsidRDefault="00081620" w:rsidP="00081620">
                            <w:pPr>
                              <w:spacing w:after="600"/>
                              <w:rPr>
                                <w:rFonts w:cs="Calibri"/>
                                <w:sz w:val="40"/>
                                <w:szCs w:val="4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081620">
                              <w:rPr>
                                <w:rFonts w:cs="Calibri"/>
                                <w:sz w:val="40"/>
                                <w:szCs w:val="4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MBS Review Advisory Committee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B161B26" id="Text Box 63" o:spid="_x0000_s1028" type="#_x0000_t202" style="position:absolute;margin-left:171pt;margin-top:-53.25pt;width:291.75pt;height:2in;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" filled="f" stroked="f">
                <v:textbox style="mso-fit-shape-to-text:t">
                  <w:txbxContent>
                    <w:p w14:paraId="6ED0BB90" w14:textId="77777777" w:rsidR="00081620" w:rsidRPr="00081620" w:rsidRDefault="00081620" w:rsidP="00081620">
                      <w:pPr>
                        <w:spacing w:after="600"/>
                        <w:rPr>
                          <w:rFonts w:cs="Calibri"/>
                          <w:sz w:val="40"/>
                          <w:szCs w:val="4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081620">
                        <w:rPr>
                          <w:rFonts w:cs="Calibri"/>
                          <w:sz w:val="40"/>
                          <w:szCs w:val="4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MBS Review Advisory Committee</w:t>
                      </w:r>
                    </w:p>
                  </w:txbxContent>
                </v:textbox>
                <w10:wrap anchorx="margin"/>
              </v:shape>
            </w:pict>
          </mc:Fallback>
        </mc:AlternateContent>
      </w:r>
      <w:r w:rsidR="00081620" w:rsidRPr="00081620">
        <w:rPr>
          <w:noProof/>
          <w:color w:val="C0504D"/>
        </w:rPr>
        <mc:AlternateContent>
          <mc:Choice Requires="wps">
            <w:drawing>
              <wp:anchor distT="0" distB="0" distL="114300" distR="114300" simplePos="0" relativeHeight="251658243" behindDoc="0" locked="0" layoutInCell="1" allowOverlap="1" wp14:anchorId="55B86F38" wp14:editId="1F8F886B">
                <wp:simplePos x="0" y="0"/>
                <wp:positionH relativeFrom="column">
                  <wp:posOffset>-3913824</wp:posOffset>
                </wp:positionH>
                <wp:positionV relativeFrom="paragraph">
                  <wp:posOffset>4696777</wp:posOffset>
                </wp:positionV>
                <wp:extent cx="11261595" cy="45719"/>
                <wp:effectExtent l="7302" t="0" r="4763" b="4762"/>
                <wp:wrapNone/>
                <wp:docPr id="18" name="Rectangle 18"/>
                <wp:cNvGraphicFramePr/>
                <a:graphic xmlns:a="http://schemas.openxmlformats.org/drawingml/2006/main">
                  <a:graphicData uri="http://schemas.microsoft.com/office/word/2010/wordprocessingShape">
                    <wps:wsp>
                      <wps:cNvSpPr/>
                      <wps:spPr>
                        <a:xfrm rot="5400000">
                          <a:off x="0" y="0"/>
                          <a:ext cx="11261595" cy="45719"/>
                        </a:xfrm>
                        <a:prstGeom prst="rect">
                          <a:avLst/>
                        </a:prstGeom>
                        <a:solidFill>
                          <a:sysClr val="windowText" lastClr="00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c="http://schemas.openxmlformats.org/drawingml/2006/chart" xmlns:w16cei="http://schemas.microsoft.com/office/word/2026/wordml/cei">
            <w:pict w14:anchorId="16AB159F">
              <v:rect id="Rectangle 18" style="position:absolute;margin-left:-308.2pt;margin-top:369.8pt;width:886.75pt;height:3.6pt;rotation:90;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Text" stroked="f" strokeweight="2pt" w14:anchorId="394F2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"/>
            </w:pict>
          </mc:Fallback>
        </mc:AlternateContent>
      </w:r>
      <w:r w:rsidR="00081620" w:rsidRPr="00081620">
        <w:rPr>
          <w:noProof/>
        </w:rPr>
        <w:drawing>
          <wp:anchor distT="0" distB="0" distL="114300" distR="114300" simplePos="0" relativeHeight="251658242" behindDoc="1" locked="0" layoutInCell="1" allowOverlap="1" wp14:anchorId="607138E0" wp14:editId="729FD891">
            <wp:simplePos x="0" y="0"/>
            <wp:positionH relativeFrom="page">
              <wp:align>left</wp:align>
            </wp:positionH>
            <wp:positionV relativeFrom="paragraph">
              <wp:posOffset>-895350</wp:posOffset>
            </wp:positionV>
            <wp:extent cx="2875280" cy="10972800"/>
            <wp:effectExtent l="0" t="0" r="1270" b="0"/>
            <wp:wrapNone/>
            <wp:docPr id="21" name="Picture 21" descr="Triangular abstract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riangular abstract background"/>
                    <pic:cNvPicPr/>
                  </pic:nvPicPr>
                  <pic:blipFill rotWithShape="1">
                    <a:blip r:embed="rId11">
                      <a:alphaModFix amt="74000"/>
                      <a:extLst>
                        <a:ext uri="{28A0092B-C50C-407E-A947-70E740481C1C}">
                          <a14:useLocalDpi xmlns:a14="http://schemas.microsoft.com/office/drawing/2010/main" val="0"/>
                        </a:ext>
                      </a:extLst>
                    </a:blip>
                    <a:srcRect r="69144"/>
                    <a:stretch/>
                  </pic:blipFill>
                  <pic:spPr bwMode="auto">
                    <a:xfrm>
                      <a:off x="0" y="0"/>
                      <a:ext cx="2875280" cy="10972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13ECC42" w14:textId="77777777" w:rsidR="00821270" w:rsidRPr="000371D8" w:rsidRDefault="00821270" w:rsidP="00BF4B34">
      <w:pPr>
        <w:pStyle w:val="Heading1a"/>
        <w:rPr>
          <w:lang w:eastAsia="en-AU"/>
        </w:rPr>
      </w:pPr>
      <w:r w:rsidRPr="000371D8">
        <w:rPr>
          <w:lang w:eastAsia="en-AU"/>
        </w:rPr>
        <w:lastRenderedPageBreak/>
        <w:t>Contents</w:t>
      </w:r>
      <w:bookmarkEnd w:id="0"/>
      <w:bookmarkEnd w:id="1"/>
      <w:bookmarkEnd w:id="2"/>
      <w:bookmarkEnd w:id="3"/>
      <w:bookmarkEnd w:id="4"/>
      <w:bookmarkEnd w:id="5"/>
      <w:bookmarkEnd w:id="6"/>
      <w:bookmarkEnd w:id="7"/>
    </w:p>
    <w:p w14:paraId="2CAD7726" w14:textId="04DED19D" w:rsidR="005157D8" w:rsidRDefault="008F51E3">
      <w:pPr>
        <w:pStyle w:val="TOC1"/>
        <w:rPr>
          <w:rFonts w:asciiTheme="minorHAnsi" w:eastAsiaTheme="minorEastAsia" w:hAnsiTheme="minorHAnsi" w:cstheme="minorBidi"/>
          <w:b w:val="0"/>
          <w:bCs w:val="0"/>
          <w:sz w:val="24"/>
          <w:lang w:eastAsia="en-GB"/>
        </w:rPr>
      </w:pPr>
      <w:r>
        <w:fldChar w:fldCharType="begin"/>
      </w:r>
      <w:r>
        <w:instrText xml:space="preserve"> TOC \o "1-3" \u </w:instrText>
      </w:r>
      <w:r>
        <w:fldChar w:fldCharType="separate"/>
      </w:r>
      <w:r w:rsidR="005157D8">
        <w:t>Summary</w:t>
      </w:r>
      <w:r w:rsidR="005157D8">
        <w:tab/>
      </w:r>
      <w:r w:rsidR="005157D8">
        <w:fldChar w:fldCharType="begin"/>
      </w:r>
      <w:r w:rsidR="005157D8">
        <w:instrText xml:space="preserve"> PAGEREF _Toc239079061 \h </w:instrText>
      </w:r>
      <w:r w:rsidR="005157D8">
        <w:fldChar w:fldCharType="separate"/>
      </w:r>
      <w:r w:rsidR="005157D8">
        <w:t>4</w:t>
      </w:r>
      <w:r w:rsidR="005157D8">
        <w:fldChar w:fldCharType="end"/>
      </w:r>
    </w:p>
    <w:p w14:paraId="15C0BB7B" w14:textId="1C74C3A0" w:rsidR="005157D8" w:rsidRDefault="005157D8">
      <w:pPr>
        <w:pStyle w:val="TOC1"/>
        <w:rPr>
          <w:rFonts w:asciiTheme="minorHAnsi" w:eastAsiaTheme="minorEastAsia" w:hAnsiTheme="minorHAnsi" w:cstheme="minorBidi"/>
          <w:b w:val="0"/>
          <w:bCs w:val="0"/>
          <w:sz w:val="24"/>
          <w:lang w:eastAsia="en-GB"/>
        </w:rPr>
      </w:pPr>
      <w:r>
        <w:t>Principles and recommendations</w:t>
      </w:r>
      <w:r>
        <w:tab/>
      </w:r>
      <w:r>
        <w:fldChar w:fldCharType="begin"/>
      </w:r>
      <w:r>
        <w:instrText xml:space="preserve"> PAGEREF _Toc239079062 \h </w:instrText>
      </w:r>
      <w:r>
        <w:fldChar w:fldCharType="separate"/>
      </w:r>
      <w:r>
        <w:t>16</w:t>
      </w:r>
      <w:r>
        <w:fldChar w:fldCharType="end"/>
      </w:r>
    </w:p>
    <w:p w14:paraId="1DE52CE3" w14:textId="70F9E2ED" w:rsidR="005157D8" w:rsidRDefault="005157D8">
      <w:pPr>
        <w:pStyle w:val="TOC1"/>
        <w:rPr>
          <w:rFonts w:asciiTheme="minorHAnsi" w:eastAsiaTheme="minorEastAsia" w:hAnsiTheme="minorHAnsi" w:cstheme="minorBidi"/>
          <w:b w:val="0"/>
          <w:bCs w:val="0"/>
          <w:sz w:val="24"/>
          <w:lang w:eastAsia="en-GB"/>
        </w:rPr>
      </w:pPr>
      <w:r>
        <w:t>Acronyms</w:t>
      </w:r>
      <w:r>
        <w:tab/>
      </w:r>
      <w:r>
        <w:fldChar w:fldCharType="begin"/>
      </w:r>
      <w:r>
        <w:instrText xml:space="preserve"> PAGEREF _Toc239079063 \h </w:instrText>
      </w:r>
      <w:r>
        <w:fldChar w:fldCharType="separate"/>
      </w:r>
      <w:r>
        <w:t>20</w:t>
      </w:r>
      <w:r>
        <w:fldChar w:fldCharType="end"/>
      </w:r>
    </w:p>
    <w:p w14:paraId="7BF7B3B6" w14:textId="7BC49415" w:rsidR="005157D8" w:rsidRDefault="005157D8">
      <w:pPr>
        <w:pStyle w:val="TOC1"/>
        <w:rPr>
          <w:rFonts w:asciiTheme="minorHAnsi" w:eastAsiaTheme="minorEastAsia" w:hAnsiTheme="minorHAnsi" w:cstheme="minorBidi"/>
          <w:b w:val="0"/>
          <w:bCs w:val="0"/>
          <w:sz w:val="24"/>
          <w:lang w:eastAsia="en-GB"/>
        </w:rPr>
      </w:pPr>
      <w:r>
        <w:t>Background</w:t>
      </w:r>
      <w:r>
        <w:tab/>
      </w:r>
      <w:r>
        <w:fldChar w:fldCharType="begin"/>
      </w:r>
      <w:r>
        <w:instrText xml:space="preserve"> PAGEREF _Toc239079064 \h </w:instrText>
      </w:r>
      <w:r>
        <w:fldChar w:fldCharType="separate"/>
      </w:r>
      <w:r>
        <w:t>21</w:t>
      </w:r>
      <w:r>
        <w:fldChar w:fldCharType="end"/>
      </w:r>
    </w:p>
    <w:p w14:paraId="68B6569C" w14:textId="0CD46835" w:rsidR="005157D8" w:rsidRDefault="005157D8">
      <w:pPr>
        <w:pStyle w:val="TOC2"/>
        <w:rPr>
          <w:rFonts w:asciiTheme="minorHAnsi" w:eastAsiaTheme="minorEastAsia" w:hAnsiTheme="minorHAnsi" w:cstheme="minorBidi"/>
          <w:noProof/>
          <w:sz w:val="24"/>
          <w:lang w:eastAsia="en-GB"/>
        </w:rPr>
      </w:pPr>
      <w:r>
        <w:rPr>
          <w:noProof/>
        </w:rPr>
        <w:t>Time-tiered Primary Care Working Group</w:t>
      </w:r>
      <w:r>
        <w:rPr>
          <w:noProof/>
        </w:rPr>
        <w:tab/>
      </w:r>
      <w:r>
        <w:rPr>
          <w:noProof/>
        </w:rPr>
        <w:fldChar w:fldCharType="begin"/>
      </w:r>
      <w:r>
        <w:rPr>
          <w:noProof/>
        </w:rPr>
        <w:instrText xml:space="preserve"> PAGEREF _Toc239079065 \h </w:instrText>
      </w:r>
      <w:r>
        <w:rPr>
          <w:noProof/>
        </w:rPr>
      </w:r>
      <w:r>
        <w:rPr>
          <w:noProof/>
        </w:rPr>
        <w:fldChar w:fldCharType="separate"/>
      </w:r>
      <w:r>
        <w:rPr>
          <w:noProof/>
        </w:rPr>
        <w:t>21</w:t>
      </w:r>
      <w:r>
        <w:rPr>
          <w:noProof/>
        </w:rPr>
        <w:fldChar w:fldCharType="end"/>
      </w:r>
    </w:p>
    <w:p w14:paraId="36258480" w14:textId="7BB3C8F1" w:rsidR="005157D8" w:rsidRDefault="005157D8">
      <w:pPr>
        <w:pStyle w:val="TOC3"/>
        <w:rPr>
          <w:rFonts w:asciiTheme="minorHAnsi" w:eastAsiaTheme="minorEastAsia" w:hAnsiTheme="minorHAnsi" w:cstheme="minorBidi"/>
          <w:noProof/>
          <w:sz w:val="24"/>
          <w:lang w:eastAsia="en-GB"/>
        </w:rPr>
      </w:pPr>
      <w:r>
        <w:rPr>
          <w:noProof/>
        </w:rPr>
        <w:t>Members</w:t>
      </w:r>
      <w:r>
        <w:rPr>
          <w:noProof/>
        </w:rPr>
        <w:tab/>
      </w:r>
      <w:r>
        <w:rPr>
          <w:noProof/>
        </w:rPr>
        <w:fldChar w:fldCharType="begin"/>
      </w:r>
      <w:r>
        <w:rPr>
          <w:noProof/>
        </w:rPr>
        <w:instrText xml:space="preserve"> PAGEREF _Toc239079066 \h </w:instrText>
      </w:r>
      <w:r>
        <w:rPr>
          <w:noProof/>
        </w:rPr>
      </w:r>
      <w:r>
        <w:rPr>
          <w:noProof/>
        </w:rPr>
        <w:fldChar w:fldCharType="separate"/>
      </w:r>
      <w:r>
        <w:rPr>
          <w:noProof/>
        </w:rPr>
        <w:t>22</w:t>
      </w:r>
      <w:r>
        <w:rPr>
          <w:noProof/>
        </w:rPr>
        <w:fldChar w:fldCharType="end"/>
      </w:r>
    </w:p>
    <w:p w14:paraId="5858F692" w14:textId="37E22E95" w:rsidR="005157D8" w:rsidRDefault="005157D8">
      <w:pPr>
        <w:pStyle w:val="TOC3"/>
        <w:rPr>
          <w:rFonts w:asciiTheme="minorHAnsi" w:eastAsiaTheme="minorEastAsia" w:hAnsiTheme="minorHAnsi" w:cstheme="minorBidi"/>
          <w:noProof/>
          <w:sz w:val="24"/>
          <w:lang w:eastAsia="en-GB"/>
        </w:rPr>
      </w:pPr>
      <w:r>
        <w:rPr>
          <w:noProof/>
        </w:rPr>
        <w:t>Scope</w:t>
      </w:r>
      <w:r>
        <w:rPr>
          <w:noProof/>
        </w:rPr>
        <w:tab/>
      </w:r>
      <w:r>
        <w:rPr>
          <w:noProof/>
        </w:rPr>
        <w:tab/>
      </w:r>
      <w:r>
        <w:rPr>
          <w:noProof/>
        </w:rPr>
        <w:fldChar w:fldCharType="begin"/>
      </w:r>
      <w:r>
        <w:rPr>
          <w:noProof/>
        </w:rPr>
        <w:instrText xml:space="preserve"> PAGEREF _Toc239079067 \h </w:instrText>
      </w:r>
      <w:r>
        <w:rPr>
          <w:noProof/>
        </w:rPr>
      </w:r>
      <w:r>
        <w:rPr>
          <w:noProof/>
        </w:rPr>
        <w:fldChar w:fldCharType="separate"/>
      </w:r>
      <w:r>
        <w:rPr>
          <w:noProof/>
        </w:rPr>
        <w:t>22</w:t>
      </w:r>
      <w:r>
        <w:rPr>
          <w:noProof/>
        </w:rPr>
        <w:fldChar w:fldCharType="end"/>
      </w:r>
    </w:p>
    <w:p w14:paraId="67F8113C" w14:textId="3DE0D290" w:rsidR="005157D8" w:rsidRDefault="005157D8">
      <w:pPr>
        <w:pStyle w:val="TOC3"/>
        <w:rPr>
          <w:rFonts w:asciiTheme="minorHAnsi" w:eastAsiaTheme="minorEastAsia" w:hAnsiTheme="minorHAnsi" w:cstheme="minorBidi"/>
          <w:noProof/>
          <w:sz w:val="24"/>
          <w:lang w:eastAsia="en-GB"/>
        </w:rPr>
      </w:pPr>
      <w:r>
        <w:rPr>
          <w:noProof/>
        </w:rPr>
        <w:t>Meetings</w:t>
      </w:r>
      <w:r>
        <w:rPr>
          <w:noProof/>
        </w:rPr>
        <w:tab/>
      </w:r>
      <w:r>
        <w:rPr>
          <w:noProof/>
        </w:rPr>
        <w:fldChar w:fldCharType="begin"/>
      </w:r>
      <w:r>
        <w:rPr>
          <w:noProof/>
        </w:rPr>
        <w:instrText xml:space="preserve"> PAGEREF _Toc239079068 \h </w:instrText>
      </w:r>
      <w:r>
        <w:rPr>
          <w:noProof/>
        </w:rPr>
      </w:r>
      <w:r>
        <w:rPr>
          <w:noProof/>
        </w:rPr>
        <w:fldChar w:fldCharType="separate"/>
      </w:r>
      <w:r>
        <w:rPr>
          <w:noProof/>
        </w:rPr>
        <w:t>22</w:t>
      </w:r>
      <w:r>
        <w:rPr>
          <w:noProof/>
        </w:rPr>
        <w:fldChar w:fldCharType="end"/>
      </w:r>
    </w:p>
    <w:p w14:paraId="32BA0E9A" w14:textId="5232596F" w:rsidR="005157D8" w:rsidRDefault="005157D8">
      <w:pPr>
        <w:pStyle w:val="TOC1"/>
        <w:rPr>
          <w:rFonts w:asciiTheme="minorHAnsi" w:eastAsiaTheme="minorEastAsia" w:hAnsiTheme="minorHAnsi" w:cstheme="minorBidi"/>
          <w:b w:val="0"/>
          <w:bCs w:val="0"/>
          <w:sz w:val="24"/>
          <w:lang w:eastAsia="en-GB"/>
        </w:rPr>
      </w:pPr>
      <w:r>
        <w:t>Time-tiered Working Group considerations and recommendations</w:t>
      </w:r>
      <w:r>
        <w:tab/>
      </w:r>
      <w:r>
        <w:fldChar w:fldCharType="begin"/>
      </w:r>
      <w:r>
        <w:instrText xml:space="preserve"> PAGEREF _Toc239079069 \h </w:instrText>
      </w:r>
      <w:r>
        <w:fldChar w:fldCharType="separate"/>
      </w:r>
      <w:r>
        <w:t>23</w:t>
      </w:r>
      <w:r>
        <w:fldChar w:fldCharType="end"/>
      </w:r>
    </w:p>
    <w:p w14:paraId="26CF01B0" w14:textId="71798969" w:rsidR="005157D8" w:rsidRDefault="005157D8">
      <w:pPr>
        <w:pStyle w:val="TOC2"/>
        <w:rPr>
          <w:rFonts w:asciiTheme="minorHAnsi" w:eastAsiaTheme="minorEastAsia" w:hAnsiTheme="minorHAnsi" w:cstheme="minorBidi"/>
          <w:noProof/>
          <w:sz w:val="24"/>
          <w:lang w:eastAsia="en-GB"/>
        </w:rPr>
      </w:pPr>
      <w:r>
        <w:rPr>
          <w:noProof/>
        </w:rPr>
        <w:t>Principle 1 – Condition-specific consultation items should be minimised in primary care settings to allow practitioners to deliver holistic, clinically relevant care to patients through appropriate time-tiered items</w:t>
      </w:r>
      <w:r>
        <w:rPr>
          <w:noProof/>
        </w:rPr>
        <w:tab/>
      </w:r>
      <w:r>
        <w:rPr>
          <w:noProof/>
        </w:rPr>
        <w:fldChar w:fldCharType="begin"/>
      </w:r>
      <w:r>
        <w:rPr>
          <w:noProof/>
        </w:rPr>
        <w:instrText xml:space="preserve"> PAGEREF _Toc239079070 \h </w:instrText>
      </w:r>
      <w:r>
        <w:rPr>
          <w:noProof/>
        </w:rPr>
      </w:r>
      <w:r>
        <w:rPr>
          <w:noProof/>
        </w:rPr>
        <w:fldChar w:fldCharType="separate"/>
      </w:r>
      <w:r>
        <w:rPr>
          <w:noProof/>
        </w:rPr>
        <w:t>24</w:t>
      </w:r>
      <w:r>
        <w:rPr>
          <w:noProof/>
        </w:rPr>
        <w:fldChar w:fldCharType="end"/>
      </w:r>
    </w:p>
    <w:p w14:paraId="6E808B4F" w14:textId="3F7A624F" w:rsidR="005157D8" w:rsidRDefault="005157D8">
      <w:pPr>
        <w:pStyle w:val="TOC3"/>
        <w:rPr>
          <w:rFonts w:asciiTheme="minorHAnsi" w:eastAsiaTheme="minorEastAsia" w:hAnsiTheme="minorHAnsi" w:cstheme="minorBidi"/>
          <w:noProof/>
          <w:sz w:val="24"/>
          <w:lang w:eastAsia="en-GB"/>
        </w:rPr>
      </w:pPr>
      <w:r>
        <w:rPr>
          <w:noProof/>
        </w:rPr>
        <w:t>Pregnancy support counselling and acupuncture services</w:t>
      </w:r>
      <w:r>
        <w:rPr>
          <w:noProof/>
        </w:rPr>
        <w:tab/>
      </w:r>
      <w:r>
        <w:rPr>
          <w:noProof/>
        </w:rPr>
        <w:fldChar w:fldCharType="begin"/>
      </w:r>
      <w:r>
        <w:rPr>
          <w:noProof/>
        </w:rPr>
        <w:instrText xml:space="preserve"> PAGEREF _Toc239079071 \h </w:instrText>
      </w:r>
      <w:r>
        <w:rPr>
          <w:noProof/>
        </w:rPr>
      </w:r>
      <w:r>
        <w:rPr>
          <w:noProof/>
        </w:rPr>
        <w:fldChar w:fldCharType="separate"/>
      </w:r>
      <w:r>
        <w:rPr>
          <w:noProof/>
        </w:rPr>
        <w:t>24</w:t>
      </w:r>
      <w:r>
        <w:rPr>
          <w:noProof/>
        </w:rPr>
        <w:fldChar w:fldCharType="end"/>
      </w:r>
    </w:p>
    <w:p w14:paraId="546D55C0" w14:textId="697CE667" w:rsidR="005157D8" w:rsidRDefault="005157D8">
      <w:pPr>
        <w:pStyle w:val="TOC3"/>
        <w:rPr>
          <w:rFonts w:asciiTheme="minorHAnsi" w:eastAsiaTheme="minorEastAsia" w:hAnsiTheme="minorHAnsi" w:cstheme="minorBidi"/>
          <w:noProof/>
          <w:sz w:val="24"/>
          <w:lang w:eastAsia="en-GB"/>
        </w:rPr>
      </w:pPr>
      <w:r>
        <w:rPr>
          <w:noProof/>
        </w:rPr>
        <w:t>Bloodborne virus, and sexual and reproductive health services</w:t>
      </w:r>
      <w:r>
        <w:rPr>
          <w:noProof/>
        </w:rPr>
        <w:tab/>
      </w:r>
      <w:r>
        <w:rPr>
          <w:noProof/>
        </w:rPr>
        <w:fldChar w:fldCharType="begin"/>
      </w:r>
      <w:r>
        <w:rPr>
          <w:noProof/>
        </w:rPr>
        <w:instrText xml:space="preserve"> PAGEREF _Toc239079072 \h </w:instrText>
      </w:r>
      <w:r>
        <w:rPr>
          <w:noProof/>
        </w:rPr>
      </w:r>
      <w:r>
        <w:rPr>
          <w:noProof/>
        </w:rPr>
        <w:fldChar w:fldCharType="separate"/>
      </w:r>
      <w:r>
        <w:rPr>
          <w:noProof/>
        </w:rPr>
        <w:t>27</w:t>
      </w:r>
      <w:r>
        <w:rPr>
          <w:noProof/>
        </w:rPr>
        <w:fldChar w:fldCharType="end"/>
      </w:r>
    </w:p>
    <w:p w14:paraId="017F90ED" w14:textId="4C4DD6EA" w:rsidR="005157D8" w:rsidRDefault="005157D8">
      <w:pPr>
        <w:pStyle w:val="TOC3"/>
        <w:rPr>
          <w:rFonts w:asciiTheme="minorHAnsi" w:eastAsiaTheme="minorEastAsia" w:hAnsiTheme="minorHAnsi" w:cstheme="minorBidi"/>
          <w:noProof/>
          <w:sz w:val="24"/>
          <w:lang w:eastAsia="en-GB"/>
        </w:rPr>
      </w:pPr>
      <w:r>
        <w:rPr>
          <w:noProof/>
        </w:rPr>
        <w:t>Antenatal attendance items</w:t>
      </w:r>
      <w:r>
        <w:rPr>
          <w:noProof/>
        </w:rPr>
        <w:tab/>
      </w:r>
      <w:r>
        <w:rPr>
          <w:noProof/>
        </w:rPr>
        <w:fldChar w:fldCharType="begin"/>
      </w:r>
      <w:r>
        <w:rPr>
          <w:noProof/>
        </w:rPr>
        <w:instrText xml:space="preserve"> PAGEREF _Toc239079073 \h </w:instrText>
      </w:r>
      <w:r>
        <w:rPr>
          <w:noProof/>
        </w:rPr>
      </w:r>
      <w:r>
        <w:rPr>
          <w:noProof/>
        </w:rPr>
        <w:fldChar w:fldCharType="separate"/>
      </w:r>
      <w:r>
        <w:rPr>
          <w:noProof/>
        </w:rPr>
        <w:t>28</w:t>
      </w:r>
      <w:r>
        <w:rPr>
          <w:noProof/>
        </w:rPr>
        <w:fldChar w:fldCharType="end"/>
      </w:r>
    </w:p>
    <w:p w14:paraId="15E79656" w14:textId="2033381D" w:rsidR="005157D8" w:rsidRDefault="005157D8">
      <w:pPr>
        <w:pStyle w:val="TOC2"/>
        <w:rPr>
          <w:rFonts w:asciiTheme="minorHAnsi" w:eastAsiaTheme="minorEastAsia" w:hAnsiTheme="minorHAnsi" w:cstheme="minorBidi"/>
          <w:noProof/>
          <w:sz w:val="24"/>
          <w:lang w:eastAsia="en-GB"/>
        </w:rPr>
      </w:pPr>
      <w:r>
        <w:rPr>
          <w:noProof/>
        </w:rPr>
        <w:t>Principle 2 – MBS benefits for time-tiered items should be equitable, to support patient access to primary care services that meet their individual clinical needs</w:t>
      </w:r>
      <w:r>
        <w:rPr>
          <w:noProof/>
        </w:rPr>
        <w:tab/>
      </w:r>
      <w:r>
        <w:rPr>
          <w:noProof/>
        </w:rPr>
        <w:fldChar w:fldCharType="begin"/>
      </w:r>
      <w:r>
        <w:rPr>
          <w:noProof/>
        </w:rPr>
        <w:instrText xml:space="preserve"> PAGEREF _Toc239079074 \h </w:instrText>
      </w:r>
      <w:r>
        <w:rPr>
          <w:noProof/>
        </w:rPr>
      </w:r>
      <w:r>
        <w:rPr>
          <w:noProof/>
        </w:rPr>
        <w:fldChar w:fldCharType="separate"/>
      </w:r>
      <w:r>
        <w:rPr>
          <w:noProof/>
        </w:rPr>
        <w:t>31</w:t>
      </w:r>
      <w:r>
        <w:rPr>
          <w:noProof/>
        </w:rPr>
        <w:fldChar w:fldCharType="end"/>
      </w:r>
    </w:p>
    <w:p w14:paraId="707F2A98" w14:textId="5A1107B0" w:rsidR="005157D8" w:rsidRDefault="005157D8">
      <w:pPr>
        <w:pStyle w:val="TOC3"/>
        <w:rPr>
          <w:rFonts w:asciiTheme="minorHAnsi" w:eastAsiaTheme="minorEastAsia" w:hAnsiTheme="minorHAnsi" w:cstheme="minorBidi"/>
          <w:noProof/>
          <w:sz w:val="24"/>
          <w:lang w:eastAsia="en-GB"/>
        </w:rPr>
      </w:pPr>
      <w:r>
        <w:rPr>
          <w:noProof/>
        </w:rPr>
        <w:t>Fee-per-minute rates for general attendance MBS items</w:t>
      </w:r>
      <w:r>
        <w:rPr>
          <w:noProof/>
        </w:rPr>
        <w:tab/>
      </w:r>
      <w:r>
        <w:rPr>
          <w:noProof/>
        </w:rPr>
        <w:fldChar w:fldCharType="begin"/>
      </w:r>
      <w:r>
        <w:rPr>
          <w:noProof/>
        </w:rPr>
        <w:instrText xml:space="preserve"> PAGEREF _Toc239079075 \h </w:instrText>
      </w:r>
      <w:r>
        <w:rPr>
          <w:noProof/>
        </w:rPr>
      </w:r>
      <w:r>
        <w:rPr>
          <w:noProof/>
        </w:rPr>
        <w:fldChar w:fldCharType="separate"/>
      </w:r>
      <w:r>
        <w:rPr>
          <w:noProof/>
        </w:rPr>
        <w:t>31</w:t>
      </w:r>
      <w:r>
        <w:rPr>
          <w:noProof/>
        </w:rPr>
        <w:fldChar w:fldCharType="end"/>
      </w:r>
    </w:p>
    <w:p w14:paraId="59920E41" w14:textId="520FE26C" w:rsidR="005157D8" w:rsidRDefault="005157D8">
      <w:pPr>
        <w:pStyle w:val="TOC3"/>
        <w:rPr>
          <w:rFonts w:asciiTheme="minorHAnsi" w:eastAsiaTheme="minorEastAsia" w:hAnsiTheme="minorHAnsi" w:cstheme="minorBidi"/>
          <w:noProof/>
          <w:sz w:val="24"/>
          <w:lang w:eastAsia="en-GB"/>
        </w:rPr>
      </w:pPr>
      <w:r>
        <w:rPr>
          <w:noProof/>
        </w:rPr>
        <w:t>Bulk-billing incentives structure</w:t>
      </w:r>
      <w:r>
        <w:rPr>
          <w:noProof/>
        </w:rPr>
        <w:tab/>
      </w:r>
      <w:r>
        <w:rPr>
          <w:noProof/>
        </w:rPr>
        <w:fldChar w:fldCharType="begin"/>
      </w:r>
      <w:r>
        <w:rPr>
          <w:noProof/>
        </w:rPr>
        <w:instrText xml:space="preserve"> PAGEREF _Toc239079076 \h </w:instrText>
      </w:r>
      <w:r>
        <w:rPr>
          <w:noProof/>
        </w:rPr>
      </w:r>
      <w:r>
        <w:rPr>
          <w:noProof/>
        </w:rPr>
        <w:fldChar w:fldCharType="separate"/>
      </w:r>
      <w:r>
        <w:rPr>
          <w:noProof/>
        </w:rPr>
        <w:t>33</w:t>
      </w:r>
      <w:r>
        <w:rPr>
          <w:noProof/>
        </w:rPr>
        <w:fldChar w:fldCharType="end"/>
      </w:r>
    </w:p>
    <w:p w14:paraId="5339AD9A" w14:textId="0D3B3F70" w:rsidR="005157D8" w:rsidRDefault="005157D8">
      <w:pPr>
        <w:pStyle w:val="TOC3"/>
        <w:rPr>
          <w:rFonts w:asciiTheme="minorHAnsi" w:eastAsiaTheme="minorEastAsia" w:hAnsiTheme="minorHAnsi" w:cstheme="minorBidi"/>
          <w:noProof/>
          <w:sz w:val="24"/>
          <w:lang w:eastAsia="en-GB"/>
        </w:rPr>
      </w:pPr>
      <w:r>
        <w:rPr>
          <w:noProof/>
        </w:rPr>
        <w:t>Bulk-billing incentives for nurse practitioners</w:t>
      </w:r>
      <w:r>
        <w:rPr>
          <w:noProof/>
        </w:rPr>
        <w:tab/>
      </w:r>
      <w:r>
        <w:rPr>
          <w:noProof/>
        </w:rPr>
        <w:fldChar w:fldCharType="begin"/>
      </w:r>
      <w:r>
        <w:rPr>
          <w:noProof/>
        </w:rPr>
        <w:instrText xml:space="preserve"> PAGEREF _Toc239079077 \h </w:instrText>
      </w:r>
      <w:r>
        <w:rPr>
          <w:noProof/>
        </w:rPr>
      </w:r>
      <w:r>
        <w:rPr>
          <w:noProof/>
        </w:rPr>
        <w:fldChar w:fldCharType="separate"/>
      </w:r>
      <w:r>
        <w:rPr>
          <w:noProof/>
        </w:rPr>
        <w:t>34</w:t>
      </w:r>
      <w:r>
        <w:rPr>
          <w:noProof/>
        </w:rPr>
        <w:fldChar w:fldCharType="end"/>
      </w:r>
    </w:p>
    <w:p w14:paraId="66C5CC8D" w14:textId="75167880" w:rsidR="005157D8" w:rsidRDefault="005157D8">
      <w:pPr>
        <w:pStyle w:val="TOC2"/>
        <w:rPr>
          <w:rFonts w:asciiTheme="minorHAnsi" w:eastAsiaTheme="minorEastAsia" w:hAnsiTheme="minorHAnsi" w:cstheme="minorBidi"/>
          <w:noProof/>
          <w:sz w:val="24"/>
          <w:lang w:eastAsia="en-GB"/>
        </w:rPr>
      </w:pPr>
      <w:r>
        <w:rPr>
          <w:noProof/>
        </w:rPr>
        <w:t>Principle 3 – MBS items and their requirements should be consistent, unless there is a defined clinical need for variation</w:t>
      </w:r>
      <w:r>
        <w:rPr>
          <w:noProof/>
        </w:rPr>
        <w:tab/>
      </w:r>
      <w:r>
        <w:rPr>
          <w:noProof/>
        </w:rPr>
        <w:fldChar w:fldCharType="begin"/>
      </w:r>
      <w:r>
        <w:rPr>
          <w:noProof/>
        </w:rPr>
        <w:instrText xml:space="preserve"> PAGEREF _Toc239079078 \h </w:instrText>
      </w:r>
      <w:r>
        <w:rPr>
          <w:noProof/>
        </w:rPr>
      </w:r>
      <w:r>
        <w:rPr>
          <w:noProof/>
        </w:rPr>
        <w:fldChar w:fldCharType="separate"/>
      </w:r>
      <w:r>
        <w:rPr>
          <w:noProof/>
        </w:rPr>
        <w:t>34</w:t>
      </w:r>
      <w:r>
        <w:rPr>
          <w:noProof/>
        </w:rPr>
        <w:fldChar w:fldCharType="end"/>
      </w:r>
    </w:p>
    <w:p w14:paraId="4D4534BC" w14:textId="467360F8" w:rsidR="005157D8" w:rsidRDefault="005157D8">
      <w:pPr>
        <w:pStyle w:val="TOC3"/>
        <w:rPr>
          <w:rFonts w:asciiTheme="minorHAnsi" w:eastAsiaTheme="minorEastAsia" w:hAnsiTheme="minorHAnsi" w:cstheme="minorBidi"/>
          <w:noProof/>
          <w:sz w:val="24"/>
          <w:lang w:eastAsia="en-GB"/>
        </w:rPr>
      </w:pPr>
      <w:r>
        <w:rPr>
          <w:noProof/>
        </w:rPr>
        <w:t>Simplification and consistency of time-tiered items</w:t>
      </w:r>
      <w:r>
        <w:rPr>
          <w:noProof/>
        </w:rPr>
        <w:tab/>
      </w:r>
      <w:r>
        <w:rPr>
          <w:noProof/>
        </w:rPr>
        <w:fldChar w:fldCharType="begin"/>
      </w:r>
      <w:r>
        <w:rPr>
          <w:noProof/>
        </w:rPr>
        <w:instrText xml:space="preserve"> PAGEREF _Toc239079079 \h </w:instrText>
      </w:r>
      <w:r>
        <w:rPr>
          <w:noProof/>
        </w:rPr>
      </w:r>
      <w:r>
        <w:rPr>
          <w:noProof/>
        </w:rPr>
        <w:fldChar w:fldCharType="separate"/>
      </w:r>
      <w:r>
        <w:rPr>
          <w:noProof/>
        </w:rPr>
        <w:t>34</w:t>
      </w:r>
      <w:r>
        <w:rPr>
          <w:noProof/>
        </w:rPr>
        <w:fldChar w:fldCharType="end"/>
      </w:r>
    </w:p>
    <w:p w14:paraId="7304DF45" w14:textId="08BF886E" w:rsidR="005157D8" w:rsidRDefault="005157D8">
      <w:pPr>
        <w:pStyle w:val="TOC3"/>
        <w:rPr>
          <w:rFonts w:asciiTheme="minorHAnsi" w:eastAsiaTheme="minorEastAsia" w:hAnsiTheme="minorHAnsi" w:cstheme="minorBidi"/>
          <w:noProof/>
          <w:sz w:val="24"/>
          <w:lang w:eastAsia="en-GB"/>
        </w:rPr>
      </w:pPr>
      <w:r>
        <w:rPr>
          <w:noProof/>
        </w:rPr>
        <w:t>Time-tiered items for different provider types and service delivery modes</w:t>
      </w:r>
      <w:r>
        <w:rPr>
          <w:noProof/>
        </w:rPr>
        <w:tab/>
      </w:r>
      <w:r>
        <w:rPr>
          <w:noProof/>
        </w:rPr>
        <w:fldChar w:fldCharType="begin"/>
      </w:r>
      <w:r>
        <w:rPr>
          <w:noProof/>
        </w:rPr>
        <w:instrText xml:space="preserve"> PAGEREF _Toc239079080 \h </w:instrText>
      </w:r>
      <w:r>
        <w:rPr>
          <w:noProof/>
        </w:rPr>
      </w:r>
      <w:r>
        <w:rPr>
          <w:noProof/>
        </w:rPr>
        <w:fldChar w:fldCharType="separate"/>
      </w:r>
      <w:r>
        <w:rPr>
          <w:noProof/>
        </w:rPr>
        <w:t>35</w:t>
      </w:r>
      <w:r>
        <w:rPr>
          <w:noProof/>
        </w:rPr>
        <w:fldChar w:fldCharType="end"/>
      </w:r>
    </w:p>
    <w:p w14:paraId="1CF64524" w14:textId="0661C20A" w:rsidR="005157D8" w:rsidRDefault="005157D8">
      <w:pPr>
        <w:pStyle w:val="TOC3"/>
        <w:rPr>
          <w:rFonts w:asciiTheme="minorHAnsi" w:eastAsiaTheme="minorEastAsia" w:hAnsiTheme="minorHAnsi" w:cstheme="minorBidi"/>
          <w:noProof/>
          <w:sz w:val="24"/>
          <w:lang w:eastAsia="en-GB"/>
        </w:rPr>
      </w:pPr>
      <w:r>
        <w:rPr>
          <w:noProof/>
        </w:rPr>
        <w:t>Fees for equivalent MBS items</w:t>
      </w:r>
      <w:r>
        <w:rPr>
          <w:noProof/>
        </w:rPr>
        <w:tab/>
      </w:r>
      <w:r>
        <w:rPr>
          <w:noProof/>
        </w:rPr>
        <w:fldChar w:fldCharType="begin"/>
      </w:r>
      <w:r>
        <w:rPr>
          <w:noProof/>
        </w:rPr>
        <w:instrText xml:space="preserve"> PAGEREF _Toc239079081 \h </w:instrText>
      </w:r>
      <w:r>
        <w:rPr>
          <w:noProof/>
        </w:rPr>
      </w:r>
      <w:r>
        <w:rPr>
          <w:noProof/>
        </w:rPr>
        <w:fldChar w:fldCharType="separate"/>
      </w:r>
      <w:r>
        <w:rPr>
          <w:noProof/>
        </w:rPr>
        <w:t>35</w:t>
      </w:r>
      <w:r>
        <w:rPr>
          <w:noProof/>
        </w:rPr>
        <w:fldChar w:fldCharType="end"/>
      </w:r>
    </w:p>
    <w:p w14:paraId="2EC73F49" w14:textId="74FDFCEA" w:rsidR="005157D8" w:rsidRDefault="005157D8">
      <w:pPr>
        <w:pStyle w:val="TOC3"/>
        <w:rPr>
          <w:rFonts w:asciiTheme="minorHAnsi" w:eastAsiaTheme="minorEastAsia" w:hAnsiTheme="minorHAnsi" w:cstheme="minorBidi"/>
          <w:noProof/>
          <w:sz w:val="24"/>
          <w:lang w:eastAsia="en-GB"/>
        </w:rPr>
      </w:pPr>
      <w:r>
        <w:rPr>
          <w:noProof/>
        </w:rPr>
        <w:t>Service provider types and qualifications</w:t>
      </w:r>
      <w:r>
        <w:rPr>
          <w:noProof/>
        </w:rPr>
        <w:tab/>
      </w:r>
      <w:r>
        <w:rPr>
          <w:noProof/>
        </w:rPr>
        <w:fldChar w:fldCharType="begin"/>
      </w:r>
      <w:r>
        <w:rPr>
          <w:noProof/>
        </w:rPr>
        <w:instrText xml:space="preserve"> PAGEREF _Toc239079082 \h </w:instrText>
      </w:r>
      <w:r>
        <w:rPr>
          <w:noProof/>
        </w:rPr>
      </w:r>
      <w:r>
        <w:rPr>
          <w:noProof/>
        </w:rPr>
        <w:fldChar w:fldCharType="separate"/>
      </w:r>
      <w:r>
        <w:rPr>
          <w:noProof/>
        </w:rPr>
        <w:t>36</w:t>
      </w:r>
      <w:r>
        <w:rPr>
          <w:noProof/>
        </w:rPr>
        <w:fldChar w:fldCharType="end"/>
      </w:r>
    </w:p>
    <w:p w14:paraId="2CD398C1" w14:textId="7E65CAEF" w:rsidR="005157D8" w:rsidRDefault="005157D8">
      <w:pPr>
        <w:pStyle w:val="TOC3"/>
        <w:rPr>
          <w:rFonts w:asciiTheme="minorHAnsi" w:eastAsiaTheme="minorEastAsia" w:hAnsiTheme="minorHAnsi" w:cstheme="minorBidi"/>
          <w:noProof/>
          <w:sz w:val="24"/>
          <w:lang w:eastAsia="en-GB"/>
        </w:rPr>
      </w:pPr>
      <w:r>
        <w:rPr>
          <w:noProof/>
        </w:rPr>
        <w:t>Requirements for Mental Health Skills Training</w:t>
      </w:r>
      <w:r>
        <w:rPr>
          <w:noProof/>
        </w:rPr>
        <w:tab/>
      </w:r>
      <w:r>
        <w:rPr>
          <w:noProof/>
        </w:rPr>
        <w:fldChar w:fldCharType="begin"/>
      </w:r>
      <w:r>
        <w:rPr>
          <w:noProof/>
        </w:rPr>
        <w:instrText xml:space="preserve"> PAGEREF _Toc239079083 \h </w:instrText>
      </w:r>
      <w:r>
        <w:rPr>
          <w:noProof/>
        </w:rPr>
      </w:r>
      <w:r>
        <w:rPr>
          <w:noProof/>
        </w:rPr>
        <w:fldChar w:fldCharType="separate"/>
      </w:r>
      <w:r>
        <w:rPr>
          <w:noProof/>
        </w:rPr>
        <w:t>37</w:t>
      </w:r>
      <w:r>
        <w:rPr>
          <w:noProof/>
        </w:rPr>
        <w:fldChar w:fldCharType="end"/>
      </w:r>
    </w:p>
    <w:p w14:paraId="4C97F7A8" w14:textId="52736105" w:rsidR="005157D8" w:rsidRDefault="005157D8">
      <w:pPr>
        <w:pStyle w:val="TOC3"/>
        <w:rPr>
          <w:rFonts w:asciiTheme="minorHAnsi" w:eastAsiaTheme="minorEastAsia" w:hAnsiTheme="minorHAnsi" w:cstheme="minorBidi"/>
          <w:noProof/>
          <w:sz w:val="24"/>
          <w:lang w:eastAsia="en-GB"/>
        </w:rPr>
      </w:pPr>
      <w:r>
        <w:rPr>
          <w:noProof/>
        </w:rPr>
        <w:t>Location-specific services</w:t>
      </w:r>
      <w:r>
        <w:rPr>
          <w:noProof/>
        </w:rPr>
        <w:tab/>
      </w:r>
      <w:r>
        <w:rPr>
          <w:noProof/>
        </w:rPr>
        <w:fldChar w:fldCharType="begin"/>
      </w:r>
      <w:r>
        <w:rPr>
          <w:noProof/>
        </w:rPr>
        <w:instrText xml:space="preserve"> PAGEREF _Toc239079084 \h </w:instrText>
      </w:r>
      <w:r>
        <w:rPr>
          <w:noProof/>
        </w:rPr>
      </w:r>
      <w:r>
        <w:rPr>
          <w:noProof/>
        </w:rPr>
        <w:fldChar w:fldCharType="separate"/>
      </w:r>
      <w:r>
        <w:rPr>
          <w:noProof/>
        </w:rPr>
        <w:t>38</w:t>
      </w:r>
      <w:r>
        <w:rPr>
          <w:noProof/>
        </w:rPr>
        <w:fldChar w:fldCharType="end"/>
      </w:r>
    </w:p>
    <w:p w14:paraId="7D04D62C" w14:textId="3E7C5724" w:rsidR="005157D8" w:rsidRDefault="005157D8">
      <w:pPr>
        <w:pStyle w:val="TOC2"/>
        <w:rPr>
          <w:rFonts w:asciiTheme="minorHAnsi" w:eastAsiaTheme="minorEastAsia" w:hAnsiTheme="minorHAnsi" w:cstheme="minorBidi"/>
          <w:noProof/>
          <w:sz w:val="24"/>
          <w:lang w:eastAsia="en-GB"/>
        </w:rPr>
      </w:pPr>
      <w:r>
        <w:rPr>
          <w:noProof/>
        </w:rPr>
        <w:t>Principle 4 – MBS after-hours arrangements should be streamlined and aligned across primary care</w:t>
      </w:r>
      <w:r>
        <w:rPr>
          <w:noProof/>
        </w:rPr>
        <w:tab/>
      </w:r>
      <w:r>
        <w:rPr>
          <w:noProof/>
        </w:rPr>
        <w:fldChar w:fldCharType="begin"/>
      </w:r>
      <w:r>
        <w:rPr>
          <w:noProof/>
        </w:rPr>
        <w:instrText xml:space="preserve"> PAGEREF _Toc239079085 \h </w:instrText>
      </w:r>
      <w:r>
        <w:rPr>
          <w:noProof/>
        </w:rPr>
      </w:r>
      <w:r>
        <w:rPr>
          <w:noProof/>
        </w:rPr>
        <w:fldChar w:fldCharType="separate"/>
      </w:r>
      <w:r>
        <w:rPr>
          <w:noProof/>
        </w:rPr>
        <w:t>41</w:t>
      </w:r>
      <w:r>
        <w:rPr>
          <w:noProof/>
        </w:rPr>
        <w:fldChar w:fldCharType="end"/>
      </w:r>
    </w:p>
    <w:p w14:paraId="3D9956A3" w14:textId="6CFF2599" w:rsidR="005157D8" w:rsidRDefault="005157D8">
      <w:pPr>
        <w:pStyle w:val="TOC3"/>
        <w:rPr>
          <w:rFonts w:asciiTheme="minorHAnsi" w:eastAsiaTheme="minorEastAsia" w:hAnsiTheme="minorHAnsi" w:cstheme="minorBidi"/>
          <w:noProof/>
          <w:sz w:val="24"/>
          <w:lang w:eastAsia="en-GB"/>
        </w:rPr>
      </w:pPr>
      <w:r>
        <w:rPr>
          <w:noProof/>
        </w:rPr>
        <w:t>After-hours primary care services</w:t>
      </w:r>
      <w:r>
        <w:rPr>
          <w:noProof/>
        </w:rPr>
        <w:tab/>
      </w:r>
      <w:r>
        <w:rPr>
          <w:noProof/>
        </w:rPr>
        <w:fldChar w:fldCharType="begin"/>
      </w:r>
      <w:r>
        <w:rPr>
          <w:noProof/>
        </w:rPr>
        <w:instrText xml:space="preserve"> PAGEREF _Toc239079086 \h </w:instrText>
      </w:r>
      <w:r>
        <w:rPr>
          <w:noProof/>
        </w:rPr>
      </w:r>
      <w:r>
        <w:rPr>
          <w:noProof/>
        </w:rPr>
        <w:fldChar w:fldCharType="separate"/>
      </w:r>
      <w:r>
        <w:rPr>
          <w:noProof/>
        </w:rPr>
        <w:t>41</w:t>
      </w:r>
      <w:r>
        <w:rPr>
          <w:noProof/>
        </w:rPr>
        <w:fldChar w:fldCharType="end"/>
      </w:r>
    </w:p>
    <w:p w14:paraId="3E9D8069" w14:textId="583C4B83" w:rsidR="005157D8" w:rsidRDefault="005157D8">
      <w:pPr>
        <w:pStyle w:val="TOC3"/>
        <w:rPr>
          <w:rFonts w:asciiTheme="minorHAnsi" w:eastAsiaTheme="minorEastAsia" w:hAnsiTheme="minorHAnsi" w:cstheme="minorBidi"/>
          <w:noProof/>
          <w:sz w:val="24"/>
          <w:lang w:eastAsia="en-GB"/>
        </w:rPr>
      </w:pPr>
      <w:r>
        <w:rPr>
          <w:noProof/>
        </w:rPr>
        <w:t>Start time for after-hours</w:t>
      </w:r>
      <w:r>
        <w:rPr>
          <w:noProof/>
        </w:rPr>
        <w:tab/>
      </w:r>
      <w:r>
        <w:rPr>
          <w:noProof/>
        </w:rPr>
        <w:fldChar w:fldCharType="begin"/>
      </w:r>
      <w:r>
        <w:rPr>
          <w:noProof/>
        </w:rPr>
        <w:instrText xml:space="preserve"> PAGEREF _Toc239079087 \h </w:instrText>
      </w:r>
      <w:r>
        <w:rPr>
          <w:noProof/>
        </w:rPr>
      </w:r>
      <w:r>
        <w:rPr>
          <w:noProof/>
        </w:rPr>
        <w:fldChar w:fldCharType="separate"/>
      </w:r>
      <w:r>
        <w:rPr>
          <w:noProof/>
        </w:rPr>
        <w:t>43</w:t>
      </w:r>
      <w:r>
        <w:rPr>
          <w:noProof/>
        </w:rPr>
        <w:fldChar w:fldCharType="end"/>
      </w:r>
    </w:p>
    <w:p w14:paraId="3B5403C7" w14:textId="0982ACE2" w:rsidR="005157D8" w:rsidRDefault="005157D8">
      <w:pPr>
        <w:pStyle w:val="TOC3"/>
        <w:rPr>
          <w:rFonts w:asciiTheme="minorHAnsi" w:eastAsiaTheme="minorEastAsia" w:hAnsiTheme="minorHAnsi" w:cstheme="minorBidi"/>
          <w:noProof/>
          <w:sz w:val="24"/>
          <w:lang w:eastAsia="en-GB"/>
        </w:rPr>
      </w:pPr>
      <w:r>
        <w:rPr>
          <w:noProof/>
        </w:rPr>
        <w:t>Urgent after-hours items</w:t>
      </w:r>
      <w:r>
        <w:rPr>
          <w:noProof/>
        </w:rPr>
        <w:tab/>
      </w:r>
      <w:r>
        <w:rPr>
          <w:noProof/>
        </w:rPr>
        <w:fldChar w:fldCharType="begin"/>
      </w:r>
      <w:r>
        <w:rPr>
          <w:noProof/>
        </w:rPr>
        <w:instrText xml:space="preserve"> PAGEREF _Toc239079088 \h </w:instrText>
      </w:r>
      <w:r>
        <w:rPr>
          <w:noProof/>
        </w:rPr>
      </w:r>
      <w:r>
        <w:rPr>
          <w:noProof/>
        </w:rPr>
        <w:fldChar w:fldCharType="separate"/>
      </w:r>
      <w:r>
        <w:rPr>
          <w:noProof/>
        </w:rPr>
        <w:t>43</w:t>
      </w:r>
      <w:r>
        <w:rPr>
          <w:noProof/>
        </w:rPr>
        <w:fldChar w:fldCharType="end"/>
      </w:r>
    </w:p>
    <w:p w14:paraId="2121B5A6" w14:textId="2B873D27" w:rsidR="005157D8" w:rsidRDefault="005157D8">
      <w:pPr>
        <w:pStyle w:val="TOC3"/>
        <w:rPr>
          <w:rFonts w:asciiTheme="minorHAnsi" w:eastAsiaTheme="minorEastAsia" w:hAnsiTheme="minorHAnsi" w:cstheme="minorBidi"/>
          <w:noProof/>
          <w:sz w:val="24"/>
          <w:lang w:eastAsia="en-GB"/>
        </w:rPr>
      </w:pPr>
      <w:r>
        <w:rPr>
          <w:noProof/>
        </w:rPr>
        <w:t>After-hours bulk-billing incentives</w:t>
      </w:r>
      <w:r>
        <w:rPr>
          <w:noProof/>
        </w:rPr>
        <w:tab/>
      </w:r>
      <w:r>
        <w:rPr>
          <w:noProof/>
        </w:rPr>
        <w:fldChar w:fldCharType="begin"/>
      </w:r>
      <w:r>
        <w:rPr>
          <w:noProof/>
        </w:rPr>
        <w:instrText xml:space="preserve"> PAGEREF _Toc239079089 \h </w:instrText>
      </w:r>
      <w:r>
        <w:rPr>
          <w:noProof/>
        </w:rPr>
      </w:r>
      <w:r>
        <w:rPr>
          <w:noProof/>
        </w:rPr>
        <w:fldChar w:fldCharType="separate"/>
      </w:r>
      <w:r>
        <w:rPr>
          <w:noProof/>
        </w:rPr>
        <w:t>44</w:t>
      </w:r>
      <w:r>
        <w:rPr>
          <w:noProof/>
        </w:rPr>
        <w:fldChar w:fldCharType="end"/>
      </w:r>
    </w:p>
    <w:p w14:paraId="2542584E" w14:textId="3B991A25" w:rsidR="005157D8" w:rsidRDefault="005157D8">
      <w:pPr>
        <w:pStyle w:val="TOC2"/>
        <w:rPr>
          <w:rFonts w:asciiTheme="minorHAnsi" w:eastAsiaTheme="minorEastAsia" w:hAnsiTheme="minorHAnsi" w:cstheme="minorBidi"/>
          <w:noProof/>
          <w:sz w:val="24"/>
          <w:lang w:eastAsia="en-GB"/>
        </w:rPr>
      </w:pPr>
      <w:r>
        <w:rPr>
          <w:noProof/>
        </w:rPr>
        <w:t>Principle 5 – MBS primary care items should be adequately supported by non-MBS mechanisms</w:t>
      </w:r>
      <w:r>
        <w:rPr>
          <w:noProof/>
        </w:rPr>
        <w:tab/>
      </w:r>
      <w:r>
        <w:rPr>
          <w:noProof/>
        </w:rPr>
        <w:fldChar w:fldCharType="begin"/>
      </w:r>
      <w:r>
        <w:rPr>
          <w:noProof/>
        </w:rPr>
        <w:instrText xml:space="preserve"> PAGEREF _Toc239079090 \h </w:instrText>
      </w:r>
      <w:r>
        <w:rPr>
          <w:noProof/>
        </w:rPr>
      </w:r>
      <w:r>
        <w:rPr>
          <w:noProof/>
        </w:rPr>
        <w:fldChar w:fldCharType="separate"/>
      </w:r>
      <w:r>
        <w:rPr>
          <w:noProof/>
        </w:rPr>
        <w:t>44</w:t>
      </w:r>
      <w:r>
        <w:rPr>
          <w:noProof/>
        </w:rPr>
        <w:fldChar w:fldCharType="end"/>
      </w:r>
    </w:p>
    <w:p w14:paraId="7D42683F" w14:textId="6611AC7B" w:rsidR="005157D8" w:rsidRDefault="005157D8">
      <w:pPr>
        <w:pStyle w:val="TOC3"/>
        <w:rPr>
          <w:rFonts w:asciiTheme="minorHAnsi" w:eastAsiaTheme="minorEastAsia" w:hAnsiTheme="minorHAnsi" w:cstheme="minorBidi"/>
          <w:noProof/>
          <w:sz w:val="24"/>
          <w:lang w:eastAsia="en-GB"/>
        </w:rPr>
      </w:pPr>
      <w:r>
        <w:rPr>
          <w:noProof/>
        </w:rPr>
        <w:t>Data collection</w:t>
      </w:r>
      <w:r>
        <w:rPr>
          <w:noProof/>
        </w:rPr>
        <w:tab/>
      </w:r>
      <w:r>
        <w:rPr>
          <w:noProof/>
        </w:rPr>
        <w:fldChar w:fldCharType="begin"/>
      </w:r>
      <w:r>
        <w:rPr>
          <w:noProof/>
        </w:rPr>
        <w:instrText xml:space="preserve"> PAGEREF _Toc239079091 \h </w:instrText>
      </w:r>
      <w:r>
        <w:rPr>
          <w:noProof/>
        </w:rPr>
      </w:r>
      <w:r>
        <w:rPr>
          <w:noProof/>
        </w:rPr>
        <w:fldChar w:fldCharType="separate"/>
      </w:r>
      <w:r>
        <w:rPr>
          <w:noProof/>
        </w:rPr>
        <w:t>44</w:t>
      </w:r>
      <w:r>
        <w:rPr>
          <w:noProof/>
        </w:rPr>
        <w:fldChar w:fldCharType="end"/>
      </w:r>
    </w:p>
    <w:p w14:paraId="77A636C3" w14:textId="204EC03B" w:rsidR="005157D8" w:rsidRDefault="005157D8">
      <w:pPr>
        <w:pStyle w:val="TOC3"/>
        <w:rPr>
          <w:rFonts w:asciiTheme="minorHAnsi" w:eastAsiaTheme="minorEastAsia" w:hAnsiTheme="minorHAnsi" w:cstheme="minorBidi"/>
          <w:noProof/>
          <w:sz w:val="24"/>
          <w:lang w:eastAsia="en-GB"/>
        </w:rPr>
      </w:pPr>
      <w:r>
        <w:rPr>
          <w:noProof/>
        </w:rPr>
        <w:lastRenderedPageBreak/>
        <w:t>Support for the general practice team</w:t>
      </w:r>
      <w:r>
        <w:rPr>
          <w:noProof/>
        </w:rPr>
        <w:tab/>
      </w:r>
      <w:r>
        <w:rPr>
          <w:noProof/>
        </w:rPr>
        <w:fldChar w:fldCharType="begin"/>
      </w:r>
      <w:r>
        <w:rPr>
          <w:noProof/>
        </w:rPr>
        <w:instrText xml:space="preserve"> PAGEREF _Toc239079092 \h </w:instrText>
      </w:r>
      <w:r>
        <w:rPr>
          <w:noProof/>
        </w:rPr>
      </w:r>
      <w:r>
        <w:rPr>
          <w:noProof/>
        </w:rPr>
        <w:fldChar w:fldCharType="separate"/>
      </w:r>
      <w:r>
        <w:rPr>
          <w:noProof/>
        </w:rPr>
        <w:t>45</w:t>
      </w:r>
      <w:r>
        <w:rPr>
          <w:noProof/>
        </w:rPr>
        <w:fldChar w:fldCharType="end"/>
      </w:r>
    </w:p>
    <w:p w14:paraId="3E8FDD09" w14:textId="67BD0B2D" w:rsidR="005157D8" w:rsidRDefault="005157D8">
      <w:pPr>
        <w:pStyle w:val="TOC1"/>
        <w:rPr>
          <w:rFonts w:asciiTheme="minorHAnsi" w:eastAsiaTheme="minorEastAsia" w:hAnsiTheme="minorHAnsi" w:cstheme="minorBidi"/>
          <w:b w:val="0"/>
          <w:bCs w:val="0"/>
          <w:sz w:val="24"/>
          <w:lang w:eastAsia="en-GB"/>
        </w:rPr>
      </w:pPr>
      <w:r>
        <w:t>Consultation and feedback review process</w:t>
      </w:r>
      <w:r>
        <w:tab/>
      </w:r>
      <w:r>
        <w:fldChar w:fldCharType="begin"/>
      </w:r>
      <w:r>
        <w:instrText xml:space="preserve"> PAGEREF _Toc239079093 \h </w:instrText>
      </w:r>
      <w:r>
        <w:fldChar w:fldCharType="separate"/>
      </w:r>
      <w:r>
        <w:t>46</w:t>
      </w:r>
      <w:r>
        <w:fldChar w:fldCharType="end"/>
      </w:r>
    </w:p>
    <w:p w14:paraId="301F8866" w14:textId="13D3182A" w:rsidR="005157D8" w:rsidRDefault="005157D8">
      <w:pPr>
        <w:pStyle w:val="TOC2"/>
        <w:rPr>
          <w:rFonts w:asciiTheme="minorHAnsi" w:eastAsiaTheme="minorEastAsia" w:hAnsiTheme="minorHAnsi" w:cstheme="minorBidi"/>
          <w:noProof/>
          <w:sz w:val="24"/>
          <w:lang w:eastAsia="en-GB"/>
        </w:rPr>
      </w:pPr>
      <w:r>
        <w:rPr>
          <w:noProof/>
        </w:rPr>
        <w:t>Presentations</w:t>
      </w:r>
      <w:r>
        <w:rPr>
          <w:noProof/>
        </w:rPr>
        <w:tab/>
      </w:r>
      <w:r>
        <w:rPr>
          <w:noProof/>
        </w:rPr>
        <w:fldChar w:fldCharType="begin"/>
      </w:r>
      <w:r>
        <w:rPr>
          <w:noProof/>
        </w:rPr>
        <w:instrText xml:space="preserve"> PAGEREF _Toc239079094 \h </w:instrText>
      </w:r>
      <w:r>
        <w:rPr>
          <w:noProof/>
        </w:rPr>
      </w:r>
      <w:r>
        <w:rPr>
          <w:noProof/>
        </w:rPr>
        <w:fldChar w:fldCharType="separate"/>
      </w:r>
      <w:r>
        <w:rPr>
          <w:noProof/>
        </w:rPr>
        <w:t>46</w:t>
      </w:r>
      <w:r>
        <w:rPr>
          <w:noProof/>
        </w:rPr>
        <w:fldChar w:fldCharType="end"/>
      </w:r>
    </w:p>
    <w:p w14:paraId="44C07AA2" w14:textId="147E18DE" w:rsidR="005157D8" w:rsidRDefault="005157D8">
      <w:pPr>
        <w:pStyle w:val="TOC2"/>
        <w:rPr>
          <w:rFonts w:asciiTheme="minorHAnsi" w:eastAsiaTheme="minorEastAsia" w:hAnsiTheme="minorHAnsi" w:cstheme="minorBidi"/>
          <w:noProof/>
          <w:sz w:val="24"/>
          <w:lang w:eastAsia="en-GB"/>
        </w:rPr>
      </w:pPr>
      <w:r>
        <w:rPr>
          <w:noProof/>
        </w:rPr>
        <w:t>Targeted consultation</w:t>
      </w:r>
      <w:r>
        <w:rPr>
          <w:noProof/>
        </w:rPr>
        <w:tab/>
      </w:r>
      <w:r>
        <w:rPr>
          <w:noProof/>
        </w:rPr>
        <w:fldChar w:fldCharType="begin"/>
      </w:r>
      <w:r>
        <w:rPr>
          <w:noProof/>
        </w:rPr>
        <w:instrText xml:space="preserve"> PAGEREF _Toc239079095 \h </w:instrText>
      </w:r>
      <w:r>
        <w:rPr>
          <w:noProof/>
        </w:rPr>
      </w:r>
      <w:r>
        <w:rPr>
          <w:noProof/>
        </w:rPr>
        <w:fldChar w:fldCharType="separate"/>
      </w:r>
      <w:r>
        <w:rPr>
          <w:noProof/>
        </w:rPr>
        <w:t>46</w:t>
      </w:r>
      <w:r>
        <w:rPr>
          <w:noProof/>
        </w:rPr>
        <w:fldChar w:fldCharType="end"/>
      </w:r>
    </w:p>
    <w:p w14:paraId="272D80EE" w14:textId="66A93223" w:rsidR="005157D8" w:rsidRDefault="005157D8">
      <w:pPr>
        <w:pStyle w:val="TOC1"/>
        <w:tabs>
          <w:tab w:val="left" w:pos="1440"/>
        </w:tabs>
        <w:rPr>
          <w:rFonts w:asciiTheme="minorHAnsi" w:eastAsiaTheme="minorEastAsia" w:hAnsiTheme="minorHAnsi" w:cstheme="minorBidi"/>
          <w:b w:val="0"/>
          <w:bCs w:val="0"/>
          <w:sz w:val="24"/>
          <w:lang w:eastAsia="en-GB"/>
        </w:rPr>
      </w:pPr>
      <w:r>
        <w:t>Appendix</w:t>
      </w:r>
      <w:r>
        <w:rPr>
          <w:rFonts w:asciiTheme="minorHAnsi" w:eastAsiaTheme="minorEastAsia" w:hAnsiTheme="minorHAnsi" w:cstheme="minorBidi"/>
          <w:b w:val="0"/>
          <w:bCs w:val="0"/>
          <w:sz w:val="24"/>
          <w:lang w:eastAsia="en-GB"/>
        </w:rPr>
        <w:tab/>
      </w:r>
      <w:r>
        <w:t>Medicare Benefits Schedule Continuous Review</w:t>
      </w:r>
      <w:r>
        <w:tab/>
      </w:r>
      <w:r>
        <w:fldChar w:fldCharType="begin"/>
      </w:r>
      <w:r>
        <w:instrText xml:space="preserve"> PAGEREF _Toc239079096 \h </w:instrText>
      </w:r>
      <w:r>
        <w:fldChar w:fldCharType="separate"/>
      </w:r>
      <w:r>
        <w:t>47</w:t>
      </w:r>
      <w:r>
        <w:fldChar w:fldCharType="end"/>
      </w:r>
    </w:p>
    <w:p w14:paraId="13AA55AC" w14:textId="17B7E967" w:rsidR="00821270" w:rsidRPr="00816F3E" w:rsidRDefault="008F51E3" w:rsidP="000371D8">
      <w:pPr>
        <w:pStyle w:val="TOC1"/>
        <w:ind w:left="0" w:firstLine="0"/>
      </w:pPr>
      <w:r>
        <w:fldChar w:fldCharType="end"/>
      </w:r>
      <w:r w:rsidR="00821270" w:rsidRPr="00816F3E">
        <w:br w:type="page"/>
      </w:r>
    </w:p>
    <w:p w14:paraId="08A56EAC" w14:textId="77777777" w:rsidR="00821270" w:rsidRDefault="00821270" w:rsidP="00F213E5">
      <w:pPr>
        <w:pStyle w:val="Heading1"/>
      </w:pPr>
      <w:bookmarkStart w:id="8" w:name="_Toc119068518"/>
      <w:bookmarkStart w:id="9" w:name="_Toc119920737"/>
      <w:bookmarkStart w:id="10" w:name="_Toc239079061"/>
      <w:bookmarkStart w:id="11" w:name="_Toc107920652"/>
      <w:r w:rsidRPr="00F213E5">
        <w:lastRenderedPageBreak/>
        <w:t>Summary</w:t>
      </w:r>
      <w:bookmarkEnd w:id="8"/>
      <w:bookmarkEnd w:id="9"/>
      <w:bookmarkEnd w:id="10"/>
    </w:p>
    <w:p w14:paraId="03C0C0AE" w14:textId="576ACCAC" w:rsidR="00F754B1" w:rsidRDefault="00F754B1" w:rsidP="00F754B1">
      <w:r>
        <w:t xml:space="preserve">Time-tiered Medicare Benefits Schedule (MBS) items are a series of items that are based on the time a provider spends with a patient. Time-tiered MBS items for primary care services make up around </w:t>
      </w:r>
      <w:r w:rsidR="00C43839">
        <w:t>30%</w:t>
      </w:r>
      <w:r>
        <w:t xml:space="preserve"> of all MBS services delivered and are the most used MBS items in primary care.</w:t>
      </w:r>
      <w:r w:rsidR="008C28A1">
        <w:t xml:space="preserve"> In 2025</w:t>
      </w:r>
      <w:r w:rsidR="00F63C4E">
        <w:t xml:space="preserve">, total MBS expenditure across primary care service types </w:t>
      </w:r>
      <w:r w:rsidR="009C546E">
        <w:t>for level</w:t>
      </w:r>
      <w:r w:rsidR="004172FE">
        <w:t>s</w:t>
      </w:r>
      <w:r w:rsidR="009C546E">
        <w:t xml:space="preserve"> </w:t>
      </w:r>
      <w:r w:rsidR="00F63C4E">
        <w:t>A</w:t>
      </w:r>
      <w:r w:rsidR="004172FE">
        <w:t>–</w:t>
      </w:r>
      <w:r w:rsidR="00F63C4E">
        <w:t>E, after-hours and nurse practitioner</w:t>
      </w:r>
      <w:r w:rsidR="009C546E">
        <w:t xml:space="preserve"> </w:t>
      </w:r>
      <w:r w:rsidR="004172FE">
        <w:t xml:space="preserve">(NP) </w:t>
      </w:r>
      <w:r w:rsidR="009C546E">
        <w:t>services</w:t>
      </w:r>
      <w:r w:rsidR="00F63C4E">
        <w:rPr>
          <w:rStyle w:val="FootnoteReference"/>
        </w:rPr>
        <w:footnoteReference w:id="2"/>
      </w:r>
      <w:r w:rsidR="00F63C4E">
        <w:t xml:space="preserve"> was around $7.7 billion.</w:t>
      </w:r>
    </w:p>
    <w:p w14:paraId="55BA77AE" w14:textId="77777777" w:rsidR="004A7DC3" w:rsidRDefault="004A7DC3" w:rsidP="004A7DC3">
      <w:r>
        <w:t>The arrangements for time-tiered MBS items for primary care services are complex. The MBS includes more than 300 time-tiered items across 5 time-tiers (levels A to E) for primary care services provided by general practitioners (GPs), medical practitioners, prescribed medical practitioners (PMPs) and nurse practitioners (NPs). Although some of these MBS items are for specific purposes or conditions, others relate to the same or similar clinical services provided – for example, in different locations, during different hours or by different practitioners.</w:t>
      </w:r>
    </w:p>
    <w:p w14:paraId="6D8E36F5" w14:textId="77777777" w:rsidR="004A7DC3" w:rsidRPr="00FD5982" w:rsidRDefault="004A7DC3" w:rsidP="004A7DC3">
      <w:r>
        <w:t>Besides their complexity, other potential issues related to time-tiered MBS items that have been raised include lower per-minute rates for longer services, fee anomalies related to indexation and a lack of time-tiered MBS items for some services. Further, there are several inconsistencies across similar MBS items.</w:t>
      </w:r>
    </w:p>
    <w:p w14:paraId="56532F1C" w14:textId="67B918BD" w:rsidR="007565D1" w:rsidRDefault="007565D1" w:rsidP="007565D1">
      <w:pPr>
        <w:pStyle w:val="Heading2a"/>
      </w:pPr>
      <w:r>
        <w:t xml:space="preserve">Time-tiered </w:t>
      </w:r>
      <w:r w:rsidR="00EC598F">
        <w:t>W</w:t>
      </w:r>
      <w:r>
        <w:t xml:space="preserve">orking </w:t>
      </w:r>
      <w:r w:rsidR="00EC598F">
        <w:t>G</w:t>
      </w:r>
      <w:r>
        <w:t>roup</w:t>
      </w:r>
    </w:p>
    <w:p w14:paraId="7B6FC476" w14:textId="7F91AB78" w:rsidR="007565D1" w:rsidRDefault="007565D1" w:rsidP="007565D1">
      <w:r>
        <w:t xml:space="preserve">In August 2024, the </w:t>
      </w:r>
      <w:r w:rsidRPr="000C2927">
        <w:t xml:space="preserve">Medicare Benefits Schedule Review Advisory Committee </w:t>
      </w:r>
      <w:r>
        <w:t xml:space="preserve">(MRAC) endorsed a review of primary care time-tiered MBS items. The time-Tiered Primary Care Working Group (TTWG) was established to lead the review and report its findings to the MRAC. </w:t>
      </w:r>
    </w:p>
    <w:p w14:paraId="33F5E570" w14:textId="7C2C2262" w:rsidR="007565D1" w:rsidRDefault="007565D1" w:rsidP="007565D1">
      <w:r>
        <w:t>The TTWG comprised MRAC members</w:t>
      </w:r>
      <w:r w:rsidR="0045333F">
        <w:t xml:space="preserve"> and departmental representatives</w:t>
      </w:r>
      <w:r>
        <w:t xml:space="preserve">. The group </w:t>
      </w:r>
      <w:r w:rsidR="002B22FE">
        <w:t xml:space="preserve">included </w:t>
      </w:r>
      <w:r w:rsidR="006C70F2">
        <w:t xml:space="preserve">a </w:t>
      </w:r>
      <w:r w:rsidR="002B22FE">
        <w:t xml:space="preserve">health policy researcher, </w:t>
      </w:r>
      <w:r w:rsidR="00444770">
        <w:t xml:space="preserve">a </w:t>
      </w:r>
      <w:r w:rsidR="002B22FE">
        <w:t>consumer, general practitioners, a nurse practitioner</w:t>
      </w:r>
      <w:r w:rsidR="006C70F2">
        <w:t>, as well as other medical specialists</w:t>
      </w:r>
      <w:r w:rsidR="00DA0920">
        <w:t xml:space="preserve"> (see </w:t>
      </w:r>
      <w:hyperlink w:anchor="_Members" w:history="1">
        <w:r w:rsidR="00DA4391" w:rsidRPr="00DA4391">
          <w:rPr>
            <w:rStyle w:val="Hyperlink"/>
          </w:rPr>
          <w:t>M</w:t>
        </w:r>
        <w:r w:rsidR="00DA0920" w:rsidRPr="00DA4391">
          <w:rPr>
            <w:rStyle w:val="Hyperlink"/>
          </w:rPr>
          <w:t>embers</w:t>
        </w:r>
      </w:hyperlink>
      <w:r w:rsidR="00DA0920">
        <w:t>)</w:t>
      </w:r>
      <w:r w:rsidR="006C70F2">
        <w:t>.</w:t>
      </w:r>
    </w:p>
    <w:p w14:paraId="34FD51DE" w14:textId="073DB867" w:rsidR="00EB5C05" w:rsidRDefault="00EB5C05" w:rsidP="00EB5C05">
      <w:r>
        <w:t>The TTWG acknowledged the large amount of work coinciding with this review and the group’s considerations and recommendations – for example, universal patient access to bulk-billing incentives and the establishment of the Bulk Billing Practice Incentive Program (BBPIP). Additionally, the TTWG noted the Strengthening Medicare Taskforce’s recommendation that funding arrangements for primary care move to a blended funding model, with a long-term goal of 60:40 ratio of fee for services to other payments.</w:t>
      </w:r>
    </w:p>
    <w:p w14:paraId="5A50E3F3" w14:textId="37C1159A" w:rsidR="008C1D5A" w:rsidRDefault="008C1D5A" w:rsidP="0095200E">
      <w:pPr>
        <w:pStyle w:val="NormalBeforeBullet"/>
      </w:pPr>
      <w:r>
        <w:t>The TTWG supports these recommendations and notes that</w:t>
      </w:r>
      <w:r w:rsidR="00BC52F7">
        <w:t>:</w:t>
      </w:r>
    </w:p>
    <w:p w14:paraId="4AF0A1A6" w14:textId="0E3F107F" w:rsidR="00BC52F7" w:rsidRDefault="00BC52F7" w:rsidP="00007FC4">
      <w:pPr>
        <w:pStyle w:val="Bullet"/>
      </w:pPr>
      <w:r>
        <w:t xml:space="preserve">transition to </w:t>
      </w:r>
      <w:r w:rsidR="006727CC">
        <w:t>blended</w:t>
      </w:r>
      <w:r>
        <w:t xml:space="preserve"> funding models will take time</w:t>
      </w:r>
    </w:p>
    <w:p w14:paraId="664677D0" w14:textId="25511C90" w:rsidR="00BC52F7" w:rsidRDefault="00BC52F7" w:rsidP="00007FC4">
      <w:pPr>
        <w:pStyle w:val="BulletLast"/>
      </w:pPr>
      <w:r>
        <w:t xml:space="preserve">the MBS will remain </w:t>
      </w:r>
      <w:r w:rsidR="006727CC">
        <w:t>central to the fee-for-service component of any blended funding model.</w:t>
      </w:r>
    </w:p>
    <w:p w14:paraId="457E75A8" w14:textId="46B90046" w:rsidR="006727CC" w:rsidRDefault="00AD3AEB" w:rsidP="00B0382F">
      <w:r>
        <w:t>Therefore, the consideration and recommendation of the TTWG will contribute to modern</w:t>
      </w:r>
      <w:r w:rsidR="00B0382F">
        <w:t>is</w:t>
      </w:r>
      <w:r>
        <w:t>ing the MBS</w:t>
      </w:r>
      <w:r w:rsidR="00B0382F">
        <w:t xml:space="preserve"> for primary care</w:t>
      </w:r>
      <w:r>
        <w:t xml:space="preserve"> in parallel to </w:t>
      </w:r>
      <w:r w:rsidR="00C42388">
        <w:t>broader reforms.</w:t>
      </w:r>
    </w:p>
    <w:p w14:paraId="6B7B89C7" w14:textId="7F914522" w:rsidR="002D40A3" w:rsidRDefault="006C70F2" w:rsidP="007565D1">
      <w:r>
        <w:lastRenderedPageBreak/>
        <w:t>The TTWG met 8 times between 2024 and 2026.</w:t>
      </w:r>
    </w:p>
    <w:p w14:paraId="3F463650" w14:textId="44902293" w:rsidR="00DB0097" w:rsidRDefault="00DB0097" w:rsidP="00A60FF7">
      <w:pPr>
        <w:pStyle w:val="Heading2a"/>
      </w:pPr>
      <w:r>
        <w:t xml:space="preserve">Time-tiered </w:t>
      </w:r>
      <w:r w:rsidR="00A60FF7">
        <w:t xml:space="preserve">principles and </w:t>
      </w:r>
      <w:r>
        <w:t xml:space="preserve">recommendations </w:t>
      </w:r>
    </w:p>
    <w:p w14:paraId="0875C45B" w14:textId="77777777" w:rsidR="00A60FF7" w:rsidRDefault="00A60FF7" w:rsidP="00A60FF7">
      <w:r>
        <w:t>The TTWG considered that the Medicare Benefits Schedule (MBS) – Australia’s fee-for-service remuneration model – will remain important and relevant for our healthcare system in the future. Therefore, to ensure that the MBS underpins contemporary and holistic care to patients that meets their individual care needs, this report seeks the adoption of 5 key principles for items which should be applied to time-tiered attendances in primary care. The report also provides a range of recommendations to align current MBS time-tiered items with these key principles.</w:t>
      </w:r>
    </w:p>
    <w:p w14:paraId="481FA7C6" w14:textId="58319D2F" w:rsidR="00384E18" w:rsidRDefault="00384E18" w:rsidP="00A60FF7">
      <w:r w:rsidRPr="00A17307">
        <w:t>Preliminary estimates suggest that</w:t>
      </w:r>
      <w:r w:rsidR="003F687E" w:rsidRPr="00A17307">
        <w:t>,</w:t>
      </w:r>
      <w:r w:rsidRPr="00A17307">
        <w:t xml:space="preserve"> if fully implemented, the recommendations of this review </w:t>
      </w:r>
      <w:r w:rsidR="00007FC4" w:rsidRPr="00A17307">
        <w:t>(</w:t>
      </w:r>
      <w:r w:rsidRPr="00A17307">
        <w:t>excluding recommendation 12</w:t>
      </w:r>
      <w:r w:rsidR="00007FC4" w:rsidRPr="00A17307">
        <w:t>)</w:t>
      </w:r>
      <w:r w:rsidRPr="00A17307">
        <w:t xml:space="preserve"> could</w:t>
      </w:r>
      <w:r w:rsidR="003F41CE" w:rsidRPr="00A17307">
        <w:t xml:space="preserve"> reduce the number of time-tiered attendance items from more than 300 to around 150. Implementation of recommendation 12</w:t>
      </w:r>
      <w:r w:rsidR="00E4696C" w:rsidRPr="00A17307">
        <w:t xml:space="preserve">, which is a </w:t>
      </w:r>
      <w:r w:rsidR="003F687E" w:rsidRPr="00A17307">
        <w:t>long-term</w:t>
      </w:r>
      <w:r w:rsidR="00E4696C" w:rsidRPr="00A17307">
        <w:t xml:space="preserve"> </w:t>
      </w:r>
      <w:r w:rsidR="003F687E" w:rsidRPr="00A17307">
        <w:t>recommendation</w:t>
      </w:r>
      <w:r w:rsidR="00BE71D0" w:rsidRPr="00A17307">
        <w:t>,</w:t>
      </w:r>
      <w:r w:rsidR="003F41CE" w:rsidRPr="00A17307">
        <w:t xml:space="preserve"> has the potential to </w:t>
      </w:r>
      <w:r w:rsidR="005C32C2" w:rsidRPr="00A17307">
        <w:t xml:space="preserve">further reduce the total number of items </w:t>
      </w:r>
      <w:r w:rsidR="00E4696C" w:rsidRPr="00A17307">
        <w:t>to less than 100.</w:t>
      </w:r>
    </w:p>
    <w:p w14:paraId="63E0DC4A" w14:textId="77777777" w:rsidR="002D72C2" w:rsidRDefault="002D72C2" w:rsidP="002D72C2">
      <w:pPr>
        <w:pStyle w:val="BoxTitle"/>
      </w:pPr>
      <w:r>
        <w:t>Recommendation 1</w:t>
      </w:r>
    </w:p>
    <w:p w14:paraId="446FF9B8" w14:textId="77777777" w:rsidR="002D72C2" w:rsidRDefault="002D72C2" w:rsidP="002D72C2">
      <w:pPr>
        <w:pStyle w:val="BoxText"/>
      </w:pPr>
      <w:r w:rsidRPr="003F4670">
        <w:t>Th</w:t>
      </w:r>
      <w:r>
        <w:t>at the</w:t>
      </w:r>
      <w:r w:rsidRPr="003F4670">
        <w:t xml:space="preserve"> </w:t>
      </w:r>
      <w:r>
        <w:t>go</w:t>
      </w:r>
      <w:r w:rsidRPr="003F4670">
        <w:t xml:space="preserve">vernment adopt </w:t>
      </w:r>
      <w:r>
        <w:t>5 key</w:t>
      </w:r>
      <w:r w:rsidRPr="003F4670">
        <w:t xml:space="preserve"> principles to be applied when developing new, or revising existing, MBS items for primary care</w:t>
      </w:r>
      <w:r>
        <w:t>:</w:t>
      </w:r>
    </w:p>
    <w:p w14:paraId="16CBE4D5" w14:textId="145FD62A" w:rsidR="002D72C2" w:rsidRDefault="002D72C2" w:rsidP="002D72C2">
      <w:pPr>
        <w:pStyle w:val="BoxText"/>
      </w:pPr>
      <w:r w:rsidRPr="001A6680">
        <w:rPr>
          <w:b/>
          <w:bCs/>
        </w:rPr>
        <w:t>Principle 1</w:t>
      </w:r>
      <w:r w:rsidR="001A6680">
        <w:rPr>
          <w:b/>
          <w:bCs/>
        </w:rPr>
        <w:t xml:space="preserve"> –</w:t>
      </w:r>
      <w:r>
        <w:t xml:space="preserve"> Condition-specific consultation items should be minimised in primary care settings to allow practitioners to deliver holistic, clinically relevant care to patients through appropriate time-tiered items</w:t>
      </w:r>
    </w:p>
    <w:p w14:paraId="271682D1" w14:textId="16CFD4AA" w:rsidR="002D72C2" w:rsidRDefault="002D72C2" w:rsidP="002D72C2">
      <w:pPr>
        <w:pStyle w:val="BoxText"/>
      </w:pPr>
      <w:r w:rsidRPr="001A6680">
        <w:rPr>
          <w:b/>
          <w:bCs/>
        </w:rPr>
        <w:t>Principle 2</w:t>
      </w:r>
      <w:r w:rsidR="0098397E">
        <w:t xml:space="preserve"> –</w:t>
      </w:r>
      <w:r>
        <w:t xml:space="preserve"> MBS benefits for time-tiered items should be equitable to support patient access to primary care services that meet their individual clinical needs</w:t>
      </w:r>
    </w:p>
    <w:p w14:paraId="25A551B0" w14:textId="2C58730B" w:rsidR="002D72C2" w:rsidRDefault="002D72C2" w:rsidP="002D72C2">
      <w:pPr>
        <w:pStyle w:val="BoxText"/>
      </w:pPr>
      <w:r w:rsidRPr="001A6680">
        <w:rPr>
          <w:b/>
          <w:bCs/>
        </w:rPr>
        <w:t>Principle 3</w:t>
      </w:r>
      <w:r w:rsidR="0098397E">
        <w:rPr>
          <w:b/>
          <w:bCs/>
        </w:rPr>
        <w:t xml:space="preserve"> –</w:t>
      </w:r>
      <w:r>
        <w:t xml:space="preserve"> MBS time-tiered attendance items and their regulatory requirements should be consistent unless there is a defined clinical need for variation, such as where the services sit outside of the standard scope of practice for a GP</w:t>
      </w:r>
    </w:p>
    <w:p w14:paraId="523B8489" w14:textId="397F8E29" w:rsidR="002D72C2" w:rsidRDefault="002D72C2" w:rsidP="002D72C2">
      <w:pPr>
        <w:pStyle w:val="BoxText"/>
      </w:pPr>
      <w:r w:rsidRPr="001A6680">
        <w:rPr>
          <w:b/>
          <w:bCs/>
        </w:rPr>
        <w:t>Principle 4</w:t>
      </w:r>
      <w:r w:rsidR="0098397E">
        <w:rPr>
          <w:b/>
          <w:bCs/>
        </w:rPr>
        <w:t xml:space="preserve"> –</w:t>
      </w:r>
      <w:r>
        <w:t xml:space="preserve"> MBS after-hours arrangements should be streamlined and aligned across primary care</w:t>
      </w:r>
    </w:p>
    <w:p w14:paraId="50584D11" w14:textId="1AC3920D" w:rsidR="002D72C2" w:rsidRDefault="002D72C2" w:rsidP="002D72C2">
      <w:pPr>
        <w:pStyle w:val="BoxText"/>
      </w:pPr>
      <w:r w:rsidRPr="001A6680">
        <w:rPr>
          <w:b/>
          <w:bCs/>
        </w:rPr>
        <w:t>Principle 5</w:t>
      </w:r>
      <w:r w:rsidR="0098397E">
        <w:rPr>
          <w:b/>
          <w:bCs/>
        </w:rPr>
        <w:t xml:space="preserve"> –</w:t>
      </w:r>
      <w:r>
        <w:t xml:space="preserve"> MBS primary care items should be adequately supported by, but not replicate or replace, non-MBS funding mechanisms</w:t>
      </w:r>
    </w:p>
    <w:p w14:paraId="356252CD" w14:textId="0CE5AD86" w:rsidR="00B84AC6" w:rsidRPr="001A6680" w:rsidRDefault="00B84AC6" w:rsidP="00B84AC6">
      <w:pPr>
        <w:pStyle w:val="Heading3a"/>
      </w:pPr>
      <w:proofErr w:type="spellStart"/>
      <w:r w:rsidRPr="001A6680">
        <w:t>MyMedicare</w:t>
      </w:r>
      <w:proofErr w:type="spellEnd"/>
      <w:r w:rsidRPr="001A6680">
        <w:t xml:space="preserve"> clinics</w:t>
      </w:r>
    </w:p>
    <w:p w14:paraId="0F0F1D5D" w14:textId="369B43AE" w:rsidR="00CD3144" w:rsidRPr="00CD3144" w:rsidRDefault="00B84AC6" w:rsidP="00CD3144">
      <w:r>
        <w:t>The TTWG noted concerns from some organisation</w:t>
      </w:r>
      <w:r w:rsidR="297FA584">
        <w:t>s</w:t>
      </w:r>
      <w:r>
        <w:t xml:space="preserve"> about linking MBS claiming to </w:t>
      </w:r>
      <w:proofErr w:type="spellStart"/>
      <w:r>
        <w:t>MyMedicare</w:t>
      </w:r>
      <w:proofErr w:type="spellEnd"/>
      <w:r>
        <w:t xml:space="preserve"> registered clinics. This requirement would exclude </w:t>
      </w:r>
      <w:r w:rsidR="00DA4391">
        <w:t>NP-</w:t>
      </w:r>
      <w:r w:rsidR="00015917">
        <w:t>led</w:t>
      </w:r>
      <w:r>
        <w:t xml:space="preserve"> practices. However, the TTWG highlighted that </w:t>
      </w:r>
      <w:proofErr w:type="spellStart"/>
      <w:r>
        <w:t>MyMedicare</w:t>
      </w:r>
      <w:proofErr w:type="spellEnd"/>
      <w:r>
        <w:t xml:space="preserve"> clinics are accredited and therefore are proven to meet certain standards. The principle of </w:t>
      </w:r>
      <w:proofErr w:type="spellStart"/>
      <w:r>
        <w:t>MyMedicare</w:t>
      </w:r>
      <w:proofErr w:type="spellEnd"/>
      <w:r>
        <w:t xml:space="preserve"> is to improve continuity of care. The TTWG maintained that including </w:t>
      </w:r>
      <w:proofErr w:type="spellStart"/>
      <w:r>
        <w:t>MyMedicare</w:t>
      </w:r>
      <w:proofErr w:type="spellEnd"/>
      <w:r>
        <w:t xml:space="preserve"> registration would ensure patient safety and continuity of care, which was a focus of the TTWG’s discussions and therefore recommendations. The TTWG recognised that there may be additional work by the Government to better include </w:t>
      </w:r>
      <w:r w:rsidR="00DA4391">
        <w:t>NP-</w:t>
      </w:r>
      <w:r>
        <w:t>led practices, but this is out of scope for this review.</w:t>
      </w:r>
    </w:p>
    <w:p w14:paraId="66916216" w14:textId="495B4360" w:rsidR="002D72C2" w:rsidRDefault="002D72C2" w:rsidP="002D72C2">
      <w:pPr>
        <w:pStyle w:val="Principle"/>
      </w:pPr>
      <w:r>
        <w:t xml:space="preserve">Principle 1 – </w:t>
      </w:r>
      <w:r w:rsidRPr="001877E4">
        <w:t>Condition-specific consultation items should be minimised in primary care settings to allow practitioners to deliver holistic, clinically relevant care to patients through appropriate time-tiered items</w:t>
      </w:r>
    </w:p>
    <w:p w14:paraId="1844D256" w14:textId="77777777" w:rsidR="00BC244A" w:rsidRDefault="00BC244A" w:rsidP="00BC244A">
      <w:pPr>
        <w:pStyle w:val="Heading3a"/>
      </w:pPr>
      <w:r>
        <w:t>N</w:t>
      </w:r>
      <w:r w:rsidRPr="00E12AD9">
        <w:t>on-Directive Pregnancy Counselling</w:t>
      </w:r>
      <w:r>
        <w:t xml:space="preserve"> services</w:t>
      </w:r>
    </w:p>
    <w:p w14:paraId="6D154198" w14:textId="53CE2AC5" w:rsidR="00C471AE" w:rsidRDefault="004E05B3" w:rsidP="00C471AE">
      <w:pPr>
        <w:pStyle w:val="BulletLast"/>
        <w:numPr>
          <w:ilvl w:val="0"/>
          <w:numId w:val="0"/>
        </w:numPr>
      </w:pPr>
      <w:r>
        <w:t>Non-Directive Pregnancy Counselling (NDPC) training is currently required to access the NDPC MBS items.</w:t>
      </w:r>
      <w:r w:rsidR="00812A9F">
        <w:t xml:space="preserve"> However, NDPC training</w:t>
      </w:r>
      <w:r>
        <w:t xml:space="preserve"> </w:t>
      </w:r>
      <w:r w:rsidR="00812A9F">
        <w:t xml:space="preserve">is now a component of the Pregnancy and Reproductive Health unit of the Royal Australian College of General Practitioners </w:t>
      </w:r>
      <w:r w:rsidR="00812A9F">
        <w:lastRenderedPageBreak/>
        <w:t>(RACGP) fellowship curriculum. As a result, all general practitioners (GPs) who attained RACGP fellowship under the current curriculum maintain an NDPC training credential.</w:t>
      </w:r>
      <w:r w:rsidR="00D166F7">
        <w:t xml:space="preserve"> For practitioners who did no</w:t>
      </w:r>
      <w:r w:rsidR="008F70AA">
        <w:t xml:space="preserve">t complete this training, </w:t>
      </w:r>
      <w:r w:rsidR="00C471AE">
        <w:t>NDCP training is available as Continuing Professional Development (CPD). Ongoing CPD training is not required to maintain the credentialling.</w:t>
      </w:r>
    </w:p>
    <w:p w14:paraId="5A1BBDE1" w14:textId="3E2C019D" w:rsidR="00135375" w:rsidRDefault="00135375" w:rsidP="0095200E">
      <w:pPr>
        <w:pStyle w:val="NormalBeforeBullet"/>
      </w:pPr>
      <w:r>
        <w:t>Given the availability of general time-tiered consultation items, the TTWG considered that there is little justification for separate MBS items that recognise qualifications that</w:t>
      </w:r>
      <w:r w:rsidR="00C43839">
        <w:t xml:space="preserve"> are</w:t>
      </w:r>
      <w:r>
        <w:t>:</w:t>
      </w:r>
    </w:p>
    <w:p w14:paraId="75503E78" w14:textId="4EDA0BCE" w:rsidR="00135375" w:rsidRDefault="00135375" w:rsidP="00135375">
      <w:pPr>
        <w:pStyle w:val="Bullet"/>
      </w:pPr>
      <w:r>
        <w:t>within the standard scope of practice of the relevant profession (</w:t>
      </w:r>
      <w:r w:rsidR="00C471AE">
        <w:t>for example,</w:t>
      </w:r>
      <w:r>
        <w:t xml:space="preserve"> standard GP training)</w:t>
      </w:r>
    </w:p>
    <w:p w14:paraId="25D57BC7" w14:textId="301AD64E" w:rsidR="00C471AE" w:rsidRDefault="00C471AE" w:rsidP="00B724C1">
      <w:pPr>
        <w:pStyle w:val="NormalBeforeBullet"/>
      </w:pPr>
      <w:r>
        <w:t>or</w:t>
      </w:r>
    </w:p>
    <w:p w14:paraId="4DC2257C" w14:textId="2CF175AE" w:rsidR="00135375" w:rsidRPr="00135375" w:rsidRDefault="00135375" w:rsidP="00B724C1">
      <w:pPr>
        <w:pStyle w:val="BulletLast"/>
      </w:pPr>
      <w:r>
        <w:t>recognise CPD-level training with no ongoing CPD requirements.</w:t>
      </w:r>
    </w:p>
    <w:p w14:paraId="67FEF3E8" w14:textId="77777777" w:rsidR="00BC244A" w:rsidRDefault="00BC244A" w:rsidP="00BC244A">
      <w:pPr>
        <w:pStyle w:val="Heading3a"/>
      </w:pPr>
      <w:r>
        <w:t>Acupuncture services</w:t>
      </w:r>
    </w:p>
    <w:p w14:paraId="36F7FC76" w14:textId="5EFA0AC0" w:rsidR="00614AA6" w:rsidRDefault="00614AA6" w:rsidP="004E05B3">
      <w:r w:rsidRPr="00614AA6">
        <w:t xml:space="preserve">Time-tiered acupuncture items were introduced to the MBS in 1984. Acupuncture items replicate both the clinical requirements and service durations of </w:t>
      </w:r>
      <w:r w:rsidR="00E47BC1">
        <w:t>level</w:t>
      </w:r>
      <w:r w:rsidRPr="00614AA6">
        <w:t>s B, C and D attendance items, but stipulated that acupuncture be provided as part of the attendance.</w:t>
      </w:r>
      <w:r w:rsidR="00EE221F">
        <w:t xml:space="preserve"> This review incorporates the post-implementation review of changes to acupuncture items in 2022 at the recommendation of the MBS review Taskforce.</w:t>
      </w:r>
    </w:p>
    <w:p w14:paraId="500487F9" w14:textId="257FDD85" w:rsidR="00AE4700" w:rsidRDefault="0098397E" w:rsidP="005714F5">
      <w:r>
        <w:t>T</w:t>
      </w:r>
      <w:r w:rsidR="005714F5">
        <w:t xml:space="preserve">he current fee structure provides financial incentives for </w:t>
      </w:r>
      <w:r>
        <w:t>endorsed acupuncture</w:t>
      </w:r>
      <w:r w:rsidR="005714F5">
        <w:t xml:space="preserve"> practitioners to use attendance, not acupuncture, items for the service.</w:t>
      </w:r>
      <w:r w:rsidR="00AE4700">
        <w:t xml:space="preserve"> </w:t>
      </w:r>
    </w:p>
    <w:p w14:paraId="431F0E4D" w14:textId="41680CAB" w:rsidR="005714F5" w:rsidRDefault="00AE4700" w:rsidP="005714F5">
      <w:r>
        <w:t xml:space="preserve">The TTWG noted that use of MBS acupuncture services </w:t>
      </w:r>
      <w:r w:rsidR="4BE8AEA6">
        <w:t xml:space="preserve">has </w:t>
      </w:r>
      <w:r>
        <w:t>been declining since 2016–17. Although some of these decreases are likely attributable to the impacts of the COVID-19 pandemic, service levels did not rebound and have continued to decline.</w:t>
      </w:r>
    </w:p>
    <w:p w14:paraId="4C1AC50B" w14:textId="5BC6AC60" w:rsidR="005714F5" w:rsidRDefault="005714F5" w:rsidP="00BE15F2">
      <w:r>
        <w:t>Remov</w:t>
      </w:r>
      <w:r w:rsidR="00AE4700">
        <w:t>ing</w:t>
      </w:r>
      <w:r>
        <w:t xml:space="preserve"> acupuncture items would </w:t>
      </w:r>
      <w:r w:rsidR="00002959">
        <w:t>help</w:t>
      </w:r>
      <w:r>
        <w:t xml:space="preserve"> streamlin</w:t>
      </w:r>
      <w:r w:rsidR="00002959">
        <w:t>e</w:t>
      </w:r>
      <w:r>
        <w:t xml:space="preserve"> the MBS and increase </w:t>
      </w:r>
      <w:r w:rsidR="00002959">
        <w:t>patient</w:t>
      </w:r>
      <w:r>
        <w:t xml:space="preserve"> benefits.</w:t>
      </w:r>
      <w:r w:rsidR="00BE15F2">
        <w:t xml:space="preserve"> </w:t>
      </w:r>
    </w:p>
    <w:p w14:paraId="726CC8D2" w14:textId="77777777" w:rsidR="002D72C2" w:rsidRDefault="002D72C2" w:rsidP="004E05B3">
      <w:pPr>
        <w:pStyle w:val="BoxTitle"/>
      </w:pPr>
      <w:r>
        <w:t>Recommendation 2</w:t>
      </w:r>
    </w:p>
    <w:p w14:paraId="52611088" w14:textId="77777777" w:rsidR="002D72C2" w:rsidRDefault="002D72C2" w:rsidP="004E05B3">
      <w:pPr>
        <w:pStyle w:val="BoxText"/>
      </w:pPr>
      <w:r w:rsidRPr="00450B90">
        <w:t xml:space="preserve">To enable the delivery of non-directive pregnancy support counselling and acupuncture services under general time-tiered attendance items, </w:t>
      </w:r>
      <w:r>
        <w:t>standalone</w:t>
      </w:r>
      <w:r w:rsidRPr="00450B90">
        <w:t xml:space="preserve"> MBS items for these services should be ceased.</w:t>
      </w:r>
    </w:p>
    <w:p w14:paraId="0FF8DC75" w14:textId="77777777" w:rsidR="00796A3C" w:rsidRDefault="00BC244A" w:rsidP="00796A3C">
      <w:pPr>
        <w:pStyle w:val="Heading3a"/>
      </w:pPr>
      <w:r>
        <w:t>Bloodborne virus</w:t>
      </w:r>
      <w:r w:rsidR="00796A3C">
        <w:t>, and sexual and reproductive health services</w:t>
      </w:r>
    </w:p>
    <w:p w14:paraId="56FD23CA" w14:textId="65906546" w:rsidR="00BE15F2" w:rsidRDefault="005B45CA" w:rsidP="00BE15F2">
      <w:r>
        <w:t>Unlike the standard telehealth consultation items, bloodborne virus, and sexual and reproductive health (BBVSRH) service items are not subject to the ‘eligible telehealth practitioner (also known as the ‘12 month’ or ‘established clinical relationship</w:t>
      </w:r>
      <w:r w:rsidR="6E131F3C">
        <w:t>’</w:t>
      </w:r>
      <w:r>
        <w:t xml:space="preserve">) requirements. </w:t>
      </w:r>
      <w:r w:rsidR="00D7101B">
        <w:t>The TTWG noted that the MRAC’s objective of exempting these services from the eligible telehealth practitioner rule could be achieved by including BBVSRH services in the general exemptions</w:t>
      </w:r>
      <w:r w:rsidR="00940423">
        <w:t xml:space="preserve"> to this rule</w:t>
      </w:r>
      <w:r w:rsidR="00D7101B">
        <w:t>. This would allow GPs, PMPs and NPs to use general telehealth attendance items to provide these services to any patient</w:t>
      </w:r>
      <w:r w:rsidR="001B3298">
        <w:t xml:space="preserve"> and the standalone items to cease</w:t>
      </w:r>
      <w:r w:rsidR="00D7101B">
        <w:t>.</w:t>
      </w:r>
    </w:p>
    <w:p w14:paraId="70C40F24" w14:textId="77777777" w:rsidR="002D72C2" w:rsidRDefault="002D72C2" w:rsidP="00BE15F2">
      <w:pPr>
        <w:pStyle w:val="BoxTitle"/>
      </w:pPr>
      <w:r>
        <w:t xml:space="preserve">Recommendation </w:t>
      </w:r>
      <w:r w:rsidRPr="00790CB5">
        <w:t>3</w:t>
      </w:r>
    </w:p>
    <w:p w14:paraId="11EBC294" w14:textId="77777777" w:rsidR="00344837" w:rsidRPr="008E23CA" w:rsidRDefault="00344837" w:rsidP="00344837">
      <w:pPr>
        <w:pStyle w:val="BoxText"/>
      </w:pPr>
      <w:r w:rsidRPr="008E23CA">
        <w:t>To enable the delivery of telehealth services for bloodborne viruses and sexual and reproductive health services under general time-tiered attendances, standalone items for these services should be replaced with a new exemption to the ‘patient’s eligible telehealth practitioner’ requirement (also known as the ‘12</w:t>
      </w:r>
      <w:r w:rsidRPr="008E23CA">
        <w:noBreakHyphen/>
        <w:t>month rule’) to ensure ongoing patient access to these services. The current standalone items could therefore cease.</w:t>
      </w:r>
    </w:p>
    <w:p w14:paraId="6030B52F" w14:textId="30D8D3C7" w:rsidR="00BC244A" w:rsidRDefault="00796A3C" w:rsidP="00796A3C">
      <w:pPr>
        <w:pStyle w:val="Heading3a"/>
      </w:pPr>
      <w:r>
        <w:lastRenderedPageBreak/>
        <w:t>Antenatal attendance items</w:t>
      </w:r>
    </w:p>
    <w:p w14:paraId="0976F879" w14:textId="0C6A7DFA" w:rsidR="00A85227" w:rsidRDefault="002B36C3" w:rsidP="000220C9">
      <w:r>
        <w:t>MBS item 16500</w:t>
      </w:r>
      <w:r w:rsidR="001B3298">
        <w:t xml:space="preserve"> and </w:t>
      </w:r>
      <w:r w:rsidR="000B58C9">
        <w:t>its</w:t>
      </w:r>
      <w:r w:rsidR="001B3298">
        <w:t xml:space="preserve"> telehealth equivalents</w:t>
      </w:r>
      <w:r>
        <w:t xml:space="preserve"> cover routine face-to-face antenatal attendances. </w:t>
      </w:r>
      <w:r w:rsidR="00A85227">
        <w:t>These items are used in both primary care and by specialist obstetricians. Th</w:t>
      </w:r>
      <w:r w:rsidR="03537F7D">
        <w:t>e</w:t>
      </w:r>
      <w:r w:rsidR="00A85227">
        <w:t xml:space="preserve"> TTWG only considered the use of these items in primary care, consistent with the scope of this review.</w:t>
      </w:r>
    </w:p>
    <w:p w14:paraId="58A3A59E" w14:textId="75C7B4FB" w:rsidR="000220C9" w:rsidRDefault="002B36C3" w:rsidP="000220C9">
      <w:r w:rsidRPr="002B36C3">
        <w:t>The TTWG noted that the fees for the antenatal attendance MBS items are not time-tiered and their use in primary care is decreasing.</w:t>
      </w:r>
      <w:r w:rsidR="000220C9">
        <w:t xml:space="preserve"> In addition, from 2018–19 to 2022–23, most antenatal attendance services claimed in primary care were not co-claimed with another MBS item. </w:t>
      </w:r>
    </w:p>
    <w:p w14:paraId="2D8CB1D8" w14:textId="18E24622" w:rsidR="000220C9" w:rsidRDefault="000220C9" w:rsidP="000220C9">
      <w:r>
        <w:t xml:space="preserve">Currently, </w:t>
      </w:r>
      <w:r w:rsidRPr="00906D6A">
        <w:t xml:space="preserve">the MBS benefit for an antenatal attendance is around 6% higher than a </w:t>
      </w:r>
      <w:r w:rsidR="00E47BC1">
        <w:t>level</w:t>
      </w:r>
      <w:r w:rsidRPr="00906D6A">
        <w:t xml:space="preserve"> B attendance. However, </w:t>
      </w:r>
      <w:r>
        <w:t xml:space="preserve">currently, </w:t>
      </w:r>
      <w:r w:rsidRPr="00906D6A">
        <w:t xml:space="preserve">the existence of the antenatal attendance item precludes GPs from claiming </w:t>
      </w:r>
      <w:r w:rsidR="00E47BC1">
        <w:t>level</w:t>
      </w:r>
      <w:r w:rsidRPr="00906D6A">
        <w:t xml:space="preserve"> C, D or E attendance items when they conduct an antenatal attendance longer than 20</w:t>
      </w:r>
      <w:r>
        <w:t> </w:t>
      </w:r>
      <w:r w:rsidRPr="00906D6A">
        <w:t>minutes, which pay significantly higher benefits than the antenatal attendance items.</w:t>
      </w:r>
    </w:p>
    <w:p w14:paraId="20B40488" w14:textId="0C3FB70F" w:rsidR="000220C9" w:rsidRDefault="000220C9" w:rsidP="00796A3C">
      <w:r>
        <w:t xml:space="preserve">The TTWG </w:t>
      </w:r>
      <w:r w:rsidR="00EA69B6">
        <w:t xml:space="preserve">considered </w:t>
      </w:r>
      <w:r>
        <w:t xml:space="preserve">that the decreasing use </w:t>
      </w:r>
      <w:r w:rsidR="00EA69B6">
        <w:t xml:space="preserve">of antenatal items </w:t>
      </w:r>
      <w:r>
        <w:t xml:space="preserve">may indicate </w:t>
      </w:r>
      <w:r w:rsidR="00EA69B6">
        <w:t xml:space="preserve">that </w:t>
      </w:r>
      <w:r>
        <w:t>practitioners are instead using time-tiered general attendance MBS items, which may better reflect the time spent by practitioners providing antenatal health care.</w:t>
      </w:r>
    </w:p>
    <w:p w14:paraId="60404F26" w14:textId="4D17B79D" w:rsidR="00820FAE" w:rsidRDefault="00820FAE" w:rsidP="00DE48D9">
      <w:r w:rsidRPr="00485254">
        <w:t>The TTWG also recognised that</w:t>
      </w:r>
      <w:r>
        <w:t>, while the antenatal attendance</w:t>
      </w:r>
      <w:r w:rsidRPr="00485254">
        <w:t xml:space="preserve"> </w:t>
      </w:r>
      <w:r>
        <w:t>can be claimed with single bulk</w:t>
      </w:r>
      <w:r w:rsidR="00DE48D9">
        <w:t>-</w:t>
      </w:r>
      <w:r>
        <w:t xml:space="preserve">billing incentives, </w:t>
      </w:r>
      <w:r w:rsidRPr="00485254">
        <w:t>general attendance MBS items</w:t>
      </w:r>
      <w:r>
        <w:t xml:space="preserve"> (level B and above)</w:t>
      </w:r>
      <w:r w:rsidRPr="00485254">
        <w:t xml:space="preserve"> are eligible for a triple bulk-billing incentive payment.</w:t>
      </w:r>
      <w:r>
        <w:t xml:space="preserve"> T</w:t>
      </w:r>
      <w:r w:rsidRPr="00485254">
        <w:t>h</w:t>
      </w:r>
      <w:r>
        <w:t xml:space="preserve">e expansion of </w:t>
      </w:r>
      <w:r w:rsidR="00DE48D9" w:rsidRPr="00485254">
        <w:t>bulk-billing incentive</w:t>
      </w:r>
      <w:r w:rsidR="00DE48D9">
        <w:t xml:space="preserve">s </w:t>
      </w:r>
      <w:r>
        <w:t xml:space="preserve">to all Medicare-eligible patients and the </w:t>
      </w:r>
      <w:r w:rsidRPr="00485254">
        <w:t xml:space="preserve">introduction of the Bulk-billing Practice Incentive Program (BBPIP) on 1 November 2025 has </w:t>
      </w:r>
      <w:r>
        <w:t>increased the significance of this difference</w:t>
      </w:r>
      <w:r w:rsidRPr="00485254">
        <w:t xml:space="preserve">. </w:t>
      </w:r>
      <w:r>
        <w:t>Unlike general attendance items, antenatal attendances are not eligible services for the purpose of the BBPIP.</w:t>
      </w:r>
    </w:p>
    <w:p w14:paraId="08006BBD" w14:textId="2B425405" w:rsidR="00B4028E" w:rsidRDefault="00B4028E" w:rsidP="00B4028E">
      <w:r w:rsidRPr="00485254">
        <w:t xml:space="preserve">The TTWG considered these </w:t>
      </w:r>
      <w:r>
        <w:t xml:space="preserve">bulk-billing </w:t>
      </w:r>
      <w:r w:rsidRPr="00485254">
        <w:t>changes</w:t>
      </w:r>
      <w:r>
        <w:t xml:space="preserve"> and co-claiming r</w:t>
      </w:r>
      <w:r w:rsidR="00F11F29">
        <w:t>ates</w:t>
      </w:r>
      <w:r>
        <w:t>,</w:t>
      </w:r>
      <w:r w:rsidRPr="00485254">
        <w:t xml:space="preserve"> and</w:t>
      </w:r>
      <w:r>
        <w:t xml:space="preserve"> </w:t>
      </w:r>
      <w:r w:rsidRPr="00485254">
        <w:t>conclud</w:t>
      </w:r>
      <w:r>
        <w:t>ed</w:t>
      </w:r>
      <w:r w:rsidRPr="00485254">
        <w:t xml:space="preserve"> that </w:t>
      </w:r>
      <w:r w:rsidR="00000402">
        <w:t xml:space="preserve">primary care </w:t>
      </w:r>
      <w:r w:rsidRPr="00485254">
        <w:t xml:space="preserve">practices and practitioners will not be financially disadvantaged by </w:t>
      </w:r>
      <w:r>
        <w:t xml:space="preserve">the </w:t>
      </w:r>
      <w:r w:rsidRPr="00485254">
        <w:t>recommendation </w:t>
      </w:r>
      <w:r>
        <w:t>to exclude GP access to antenatal items</w:t>
      </w:r>
      <w:r w:rsidRPr="00485254">
        <w:t>.</w:t>
      </w:r>
      <w:r>
        <w:t xml:space="preserve"> To better support comprehensive antenatal health care, practitioners working in a primary care setting should have access to the full suite of time-tiered general attendance MBS items for antenatal attendances. </w:t>
      </w:r>
      <w:r w:rsidR="00000402">
        <w:t>O</w:t>
      </w:r>
      <w:r w:rsidRPr="000029E7">
        <w:t xml:space="preserve">bstetricians would continue to have access to the antenatal attendance </w:t>
      </w:r>
      <w:r>
        <w:t xml:space="preserve">MBS </w:t>
      </w:r>
      <w:r w:rsidRPr="000029E7">
        <w:t>items.</w:t>
      </w:r>
    </w:p>
    <w:p w14:paraId="215D66CE" w14:textId="77777777" w:rsidR="002D72C2" w:rsidRDefault="002D72C2" w:rsidP="00BC244A">
      <w:pPr>
        <w:pStyle w:val="BoxTitle"/>
      </w:pPr>
      <w:r>
        <w:t>Recommendation 4</w:t>
      </w:r>
    </w:p>
    <w:p w14:paraId="173DB61E" w14:textId="77777777" w:rsidR="002D72C2" w:rsidRDefault="002D72C2" w:rsidP="00BC244A">
      <w:pPr>
        <w:pStyle w:val="BoxText"/>
      </w:pPr>
      <w:r w:rsidRPr="00703F4E">
        <w:t>To enable the delivery of comprehensive antenatal care under general time-tiered attendance items, GPs and other medical practitioners working in general practice should be ineligible for MBS antenatal item 16500 and its telehealth equivalents (MBS items 91853 and 91858).</w:t>
      </w:r>
    </w:p>
    <w:p w14:paraId="3580691A" w14:textId="77777777" w:rsidR="002D72C2" w:rsidRDefault="002D72C2" w:rsidP="002D72C2">
      <w:pPr>
        <w:pStyle w:val="Principle"/>
      </w:pPr>
      <w:r w:rsidRPr="00D0325D">
        <w:t>Principle 2</w:t>
      </w:r>
      <w:r>
        <w:t xml:space="preserve"> – </w:t>
      </w:r>
      <w:r w:rsidRPr="00D0325D">
        <w:t>MBS benefits for time-tiered items should be equitable, to support patient access to primary care services that meet their individual clinical needs</w:t>
      </w:r>
    </w:p>
    <w:p w14:paraId="4199E112" w14:textId="77777777" w:rsidR="00400E20" w:rsidRDefault="00400E20" w:rsidP="00400E20">
      <w:pPr>
        <w:pStyle w:val="Heading3a"/>
      </w:pPr>
      <w:r>
        <w:t>Fee-per-minute rates for general attendance MBS items</w:t>
      </w:r>
    </w:p>
    <w:p w14:paraId="275DBDCF" w14:textId="6087796E" w:rsidR="00493926" w:rsidRDefault="003A10A1" w:rsidP="003A10A1">
      <w:r>
        <w:t xml:space="preserve">The </w:t>
      </w:r>
      <w:r w:rsidR="00504488">
        <w:t xml:space="preserve">MBS </w:t>
      </w:r>
      <w:r>
        <w:t xml:space="preserve">fees for time-tiered items </w:t>
      </w:r>
      <w:r w:rsidR="00504488">
        <w:t>result in a higher per-minute rate for shorter items, and the fee per minute decreases as the consultation</w:t>
      </w:r>
      <w:r w:rsidR="00F17136">
        <w:t xml:space="preserve"> length increases. The TTWG considered that this fee structure incentivises shorter consultations</w:t>
      </w:r>
      <w:r w:rsidR="00F24A81">
        <w:t>, and disadvantages patients who need, and practitioners who provide, longer consultations.</w:t>
      </w:r>
    </w:p>
    <w:p w14:paraId="66FEB6CE" w14:textId="2EDFECD8" w:rsidR="00F24A81" w:rsidRDefault="00E01D30" w:rsidP="003A10A1">
      <w:r>
        <w:t>MBS data also reveal</w:t>
      </w:r>
      <w:r w:rsidR="002241E3">
        <w:t>ed</w:t>
      </w:r>
      <w:r>
        <w:t xml:space="preserve"> gender </w:t>
      </w:r>
      <w:r w:rsidR="004A74B0">
        <w:t>equity issues</w:t>
      </w:r>
      <w:r>
        <w:t xml:space="preserve">, </w:t>
      </w:r>
      <w:r w:rsidR="002241E3">
        <w:t xml:space="preserve">as </w:t>
      </w:r>
      <w:r>
        <w:t>female GPs are more likely to provide longer consultations than their male counterparts.</w:t>
      </w:r>
      <w:r w:rsidR="00DE48D9">
        <w:t xml:space="preserve"> In addition, female patients are more likely to use longer consultations than male patients.</w:t>
      </w:r>
    </w:p>
    <w:p w14:paraId="488AF376" w14:textId="5E2D1DD7" w:rsidR="0053069D" w:rsidRDefault="00642C39" w:rsidP="00B724C1">
      <w:pPr>
        <w:pStyle w:val="NormalBeforeBullet"/>
      </w:pPr>
      <w:r w:rsidRPr="00864A7E">
        <w:lastRenderedPageBreak/>
        <w:t xml:space="preserve">The </w:t>
      </w:r>
      <w:r>
        <w:t>TT</w:t>
      </w:r>
      <w:r w:rsidRPr="00864A7E">
        <w:t>WG recognis</w:t>
      </w:r>
      <w:r>
        <w:t>ed</w:t>
      </w:r>
      <w:r w:rsidRPr="00864A7E">
        <w:t xml:space="preserve"> that there is a role for both long and short consultations, and that the length of a consultation should be guided by clinical need. The </w:t>
      </w:r>
      <w:r>
        <w:t xml:space="preserve">group </w:t>
      </w:r>
      <w:r w:rsidRPr="00864A7E">
        <w:t>also acknowledge</w:t>
      </w:r>
      <w:r>
        <w:t>d</w:t>
      </w:r>
      <w:r w:rsidRPr="00864A7E">
        <w:t xml:space="preserve"> that there is a relatively higher administrative workload associated with</w:t>
      </w:r>
      <w:r>
        <w:t xml:space="preserve"> </w:t>
      </w:r>
      <w:r w:rsidRPr="00864A7E">
        <w:t>shorter consultations than longer consultations</w:t>
      </w:r>
      <w:r>
        <w:t xml:space="preserve">, and that </w:t>
      </w:r>
      <w:r w:rsidRPr="00864A7E">
        <w:t xml:space="preserve">a small </w:t>
      </w:r>
      <w:r>
        <w:t>‘flag</w:t>
      </w:r>
      <w:r w:rsidRPr="00864A7E">
        <w:t xml:space="preserve"> fall</w:t>
      </w:r>
      <w:r>
        <w:t>’</w:t>
      </w:r>
      <w:r w:rsidRPr="00864A7E">
        <w:t xml:space="preserve"> effect on short consultations</w:t>
      </w:r>
      <w:r>
        <w:t xml:space="preserve"> is reasonable.</w:t>
      </w:r>
      <w:r w:rsidR="002241E3">
        <w:t xml:space="preserve"> </w:t>
      </w:r>
      <w:r>
        <w:t>H</w:t>
      </w:r>
      <w:r w:rsidRPr="00864A7E">
        <w:t xml:space="preserve">owever, the </w:t>
      </w:r>
      <w:r>
        <w:t>TT</w:t>
      </w:r>
      <w:r w:rsidRPr="00864A7E">
        <w:t>WG consider</w:t>
      </w:r>
      <w:r>
        <w:t>ed</w:t>
      </w:r>
      <w:r w:rsidRPr="00864A7E">
        <w:t xml:space="preserve"> the current per</w:t>
      </w:r>
      <w:r>
        <w:t>-</w:t>
      </w:r>
      <w:r w:rsidRPr="00864A7E">
        <w:t xml:space="preserve">minute differences between short and longer consultations is too </w:t>
      </w:r>
      <w:r>
        <w:t>great</w:t>
      </w:r>
      <w:r w:rsidRPr="00864A7E">
        <w:t>.</w:t>
      </w:r>
      <w:r w:rsidR="0053069D">
        <w:t xml:space="preserve"> The TTWG considered a number of options for achieving this, including:</w:t>
      </w:r>
    </w:p>
    <w:p w14:paraId="15AAD5EE" w14:textId="464AAC98" w:rsidR="0053069D" w:rsidRDefault="0053069D" w:rsidP="001051B0">
      <w:pPr>
        <w:pStyle w:val="Bullet"/>
      </w:pPr>
      <w:r>
        <w:t>simply increasing the fee for levels C, D and E</w:t>
      </w:r>
    </w:p>
    <w:p w14:paraId="55DDB9B1" w14:textId="304C5C46" w:rsidR="0053069D" w:rsidRDefault="0053069D" w:rsidP="001051B0">
      <w:pPr>
        <w:pStyle w:val="Bullet"/>
      </w:pPr>
      <w:r>
        <w:t xml:space="preserve">the Australian Medical Association’s </w:t>
      </w:r>
      <w:r w:rsidR="3AFBD7FB">
        <w:t>(AMA</w:t>
      </w:r>
      <w:r w:rsidR="001051B0">
        <w:t>’s</w:t>
      </w:r>
      <w:r w:rsidR="3AFBD7FB">
        <w:t xml:space="preserve">) </w:t>
      </w:r>
      <w:r>
        <w:t>proposal for 7 time-tiers</w:t>
      </w:r>
    </w:p>
    <w:p w14:paraId="362997EA" w14:textId="6218E1B7" w:rsidR="0053069D" w:rsidRDefault="0053069D" w:rsidP="001051B0">
      <w:pPr>
        <w:pStyle w:val="BulletLast"/>
      </w:pPr>
      <w:r>
        <w:t>time blocks with a flag fall for the initial block.</w:t>
      </w:r>
    </w:p>
    <w:p w14:paraId="39584960" w14:textId="2EFF38F9" w:rsidR="0053069D" w:rsidRDefault="0053069D" w:rsidP="0053069D">
      <w:r>
        <w:t>The TTWG concluded that there are several approaches that could achieve the objective. However, given the complexity of changing the overall time-tiered framework</w:t>
      </w:r>
      <w:r w:rsidR="5B4A4F73">
        <w:t xml:space="preserve"> (</w:t>
      </w:r>
      <w:r w:rsidR="001051B0">
        <w:t>for example, as</w:t>
      </w:r>
      <w:r w:rsidR="5B4A4F73">
        <w:t xml:space="preserve"> per the AMA</w:t>
      </w:r>
      <w:r w:rsidR="2BBF9635">
        <w:t xml:space="preserve"> proposal)</w:t>
      </w:r>
      <w:r>
        <w:t>, the TTWG acknowledged that increasing the fees for levels C–E is the option that could be implemented fastest. However, doing so would not preclude longer term changes to the time-tiered structure.</w:t>
      </w:r>
    </w:p>
    <w:p w14:paraId="1A4CD9DF" w14:textId="77777777" w:rsidR="002D72C2" w:rsidRDefault="002D72C2" w:rsidP="00493926">
      <w:pPr>
        <w:pStyle w:val="BoxTitle"/>
      </w:pPr>
      <w:r>
        <w:t>Recommendation 5</w:t>
      </w:r>
    </w:p>
    <w:p w14:paraId="114F082C" w14:textId="77777777" w:rsidR="002D72C2" w:rsidRDefault="002D72C2" w:rsidP="00493926">
      <w:pPr>
        <w:pStyle w:val="BoxText"/>
      </w:pPr>
      <w:r w:rsidRPr="00940BDE">
        <w:t>MBS benefits for time-tiered items should equitably support appropriate and varied consultation lengths to ensure patients can access care that meets their individual clinical needs.</w:t>
      </w:r>
    </w:p>
    <w:p w14:paraId="5E06F899" w14:textId="77777777" w:rsidR="00F701B1" w:rsidRDefault="00F701B1" w:rsidP="00F701B1">
      <w:pPr>
        <w:pStyle w:val="Heading3a"/>
      </w:pPr>
      <w:r>
        <w:t>Bulk-billing incentives structure</w:t>
      </w:r>
    </w:p>
    <w:p w14:paraId="1662F628" w14:textId="0A8FAB35" w:rsidR="00642C39" w:rsidRDefault="00F701B1" w:rsidP="00642C39">
      <w:r>
        <w:t xml:space="preserve">The TTWG considered that </w:t>
      </w:r>
      <w:r w:rsidRPr="00864A7E">
        <w:t>the current bulk</w:t>
      </w:r>
      <w:r>
        <w:t>-</w:t>
      </w:r>
      <w:r w:rsidRPr="00864A7E">
        <w:t xml:space="preserve">billing incentives </w:t>
      </w:r>
      <w:r>
        <w:t xml:space="preserve">structure </w:t>
      </w:r>
      <w:r w:rsidRPr="00864A7E">
        <w:t xml:space="preserve">exacerbates the lack of financial incentives for longer consultations compared to shorter consultations. </w:t>
      </w:r>
      <w:r w:rsidR="00146CB1">
        <w:t>B</w:t>
      </w:r>
      <w:r w:rsidRPr="00864A7E">
        <w:t>ulk</w:t>
      </w:r>
      <w:r>
        <w:t>-</w:t>
      </w:r>
      <w:r w:rsidRPr="00864A7E">
        <w:t>billing incentives should not provide additional structural incentives for shorter consultations.</w:t>
      </w:r>
    </w:p>
    <w:p w14:paraId="1FF93064" w14:textId="77777777" w:rsidR="002D72C2" w:rsidRDefault="002D72C2" w:rsidP="00493926">
      <w:pPr>
        <w:pStyle w:val="BoxTitle"/>
      </w:pPr>
      <w:r>
        <w:t>Recommendation 6</w:t>
      </w:r>
    </w:p>
    <w:p w14:paraId="35C22CD8" w14:textId="77777777" w:rsidR="002D72C2" w:rsidRDefault="002D72C2" w:rsidP="00493926">
      <w:pPr>
        <w:pStyle w:val="BoxText"/>
      </w:pPr>
      <w:r>
        <w:t>Bulk-billing incentives should be based on a percentage of the MBS fee for the service that is bulk-billed to avoid furthering the disproportionate remuneration of shorter consultations when compared to longer consultations.</w:t>
      </w:r>
    </w:p>
    <w:p w14:paraId="753F1D01" w14:textId="77777777" w:rsidR="002D72C2" w:rsidRDefault="002D72C2" w:rsidP="00493926">
      <w:pPr>
        <w:pStyle w:val="BoxText"/>
      </w:pPr>
      <w:r>
        <w:t>Rural loadings for bulk-billing incentives are appropriate and should be retained under this approach.</w:t>
      </w:r>
    </w:p>
    <w:p w14:paraId="4A8AE522" w14:textId="77777777" w:rsidR="007321E5" w:rsidRDefault="007321E5" w:rsidP="007321E5">
      <w:pPr>
        <w:pStyle w:val="Heading3a"/>
      </w:pPr>
      <w:r>
        <w:t>Bulk-billing incentives for nurse practitioners</w:t>
      </w:r>
    </w:p>
    <w:p w14:paraId="4D85170D" w14:textId="77777777" w:rsidR="007321E5" w:rsidRDefault="007321E5" w:rsidP="007321E5">
      <w:r>
        <w:t>Currently</w:t>
      </w:r>
      <w:r w:rsidRPr="00864A7E">
        <w:t>, bulk</w:t>
      </w:r>
      <w:r>
        <w:t>-</w:t>
      </w:r>
      <w:r w:rsidRPr="00864A7E">
        <w:t>billing incentives are only available for services provided by a medical practitioner. In the context of supporting GP-led multidisciplinary team</w:t>
      </w:r>
      <w:r>
        <w:t>s</w:t>
      </w:r>
      <w:r w:rsidRPr="00864A7E">
        <w:t xml:space="preserve">, the </w:t>
      </w:r>
      <w:r>
        <w:t>TT</w:t>
      </w:r>
      <w:r w:rsidRPr="00864A7E">
        <w:t>WG</w:t>
      </w:r>
      <w:r>
        <w:t xml:space="preserve"> </w:t>
      </w:r>
      <w:r w:rsidRPr="00864A7E">
        <w:t>support</w:t>
      </w:r>
      <w:r>
        <w:t>ed</w:t>
      </w:r>
      <w:r w:rsidRPr="00864A7E">
        <w:t xml:space="preserve"> extending bulk</w:t>
      </w:r>
      <w:r>
        <w:t>-</w:t>
      </w:r>
      <w:r w:rsidRPr="00864A7E">
        <w:t xml:space="preserve">billing incentives to </w:t>
      </w:r>
      <w:r>
        <w:t xml:space="preserve">NPs </w:t>
      </w:r>
      <w:r w:rsidRPr="00864A7E">
        <w:t xml:space="preserve">working in </w:t>
      </w:r>
      <w:proofErr w:type="spellStart"/>
      <w:r w:rsidRPr="00864A7E">
        <w:t>MyMedicare</w:t>
      </w:r>
      <w:proofErr w:type="spellEnd"/>
      <w:r w:rsidRPr="00864A7E">
        <w:t xml:space="preserve"> practices. This would both support the </w:t>
      </w:r>
      <w:r>
        <w:t>NP</w:t>
      </w:r>
      <w:r w:rsidRPr="00864A7E">
        <w:t xml:space="preserve"> workforce in general practice settings and encourage general practices to engage more NP</w:t>
      </w:r>
      <w:r>
        <w:t>s</w:t>
      </w:r>
      <w:r w:rsidRPr="00864A7E">
        <w:t xml:space="preserve">. It would also support improved continuity of care </w:t>
      </w:r>
      <w:r>
        <w:t xml:space="preserve">for patients </w:t>
      </w:r>
      <w:r w:rsidRPr="00864A7E">
        <w:t>by encouraging a broader range of professions within a general practice.</w:t>
      </w:r>
    </w:p>
    <w:p w14:paraId="11489498" w14:textId="77777777" w:rsidR="002D72C2" w:rsidRDefault="002D72C2" w:rsidP="00493926">
      <w:pPr>
        <w:pStyle w:val="BoxTitle"/>
      </w:pPr>
      <w:r>
        <w:t>Recommendation 7</w:t>
      </w:r>
    </w:p>
    <w:p w14:paraId="28794DFB" w14:textId="77777777" w:rsidR="002D72C2" w:rsidRDefault="002D72C2" w:rsidP="00493926">
      <w:pPr>
        <w:pStyle w:val="BoxText"/>
      </w:pPr>
      <w:r>
        <w:t>Bulk-bill</w:t>
      </w:r>
      <w:r w:rsidRPr="002B0141">
        <w:t xml:space="preserve">ing incentives should be available for </w:t>
      </w:r>
      <w:r>
        <w:t>n</w:t>
      </w:r>
      <w:r w:rsidRPr="002B0141">
        <w:t xml:space="preserve">urse </w:t>
      </w:r>
      <w:r>
        <w:t>p</w:t>
      </w:r>
      <w:r w:rsidRPr="002B0141">
        <w:t xml:space="preserve">ractitioner services when the consultation is provided to a patient who is registered through </w:t>
      </w:r>
      <w:proofErr w:type="spellStart"/>
      <w:r w:rsidRPr="002B0141">
        <w:t>MyMedicare</w:t>
      </w:r>
      <w:proofErr w:type="spellEnd"/>
      <w:r w:rsidRPr="002B0141">
        <w:t xml:space="preserve"> with the practice that provides the service.</w:t>
      </w:r>
    </w:p>
    <w:p w14:paraId="50B169F4" w14:textId="77777777" w:rsidR="002D72C2" w:rsidRDefault="002D72C2" w:rsidP="002D72C2">
      <w:pPr>
        <w:pStyle w:val="Principle"/>
      </w:pPr>
      <w:r w:rsidRPr="00CC56C7">
        <w:t>Principle 3</w:t>
      </w:r>
      <w:r>
        <w:t xml:space="preserve"> – </w:t>
      </w:r>
      <w:r w:rsidRPr="00CC56C7">
        <w:t>MBS items and their requirements should be consistent, unless there is a defined clinical need for variation</w:t>
      </w:r>
    </w:p>
    <w:p w14:paraId="037A7EB3" w14:textId="2D51731E" w:rsidR="00330D20" w:rsidRDefault="007F5AB4" w:rsidP="007F5AB4">
      <w:pPr>
        <w:pStyle w:val="Heading3a"/>
      </w:pPr>
      <w:r w:rsidRPr="007F5AB4">
        <w:lastRenderedPageBreak/>
        <w:t>Simplification and consistency of time-tiered items</w:t>
      </w:r>
    </w:p>
    <w:p w14:paraId="508FD719" w14:textId="77777777" w:rsidR="005B5AFF" w:rsidRPr="008F2600" w:rsidRDefault="00076944" w:rsidP="005B5AFF">
      <w:r w:rsidRPr="00076944">
        <w:t>The complexity of time-tiered items has increased over time for several reasons</w:t>
      </w:r>
      <w:r>
        <w:t xml:space="preserve">. </w:t>
      </w:r>
      <w:r w:rsidRPr="00076944">
        <w:t>The TTWG agreed that the clinical services provided under these items are appropriate and needed, but the group also considered that the current MBS structures could be improved.</w:t>
      </w:r>
      <w:r w:rsidR="005B5AFF">
        <w:t xml:space="preserve"> </w:t>
      </w:r>
      <w:r w:rsidR="005B5AFF" w:rsidRPr="008F2600">
        <w:t>The TTWG agreed that simplification of wording and consistency of duration of time-tiers would benefit all Medicare users.</w:t>
      </w:r>
    </w:p>
    <w:p w14:paraId="413A9254" w14:textId="77777777" w:rsidR="002D72C2" w:rsidRDefault="002D72C2" w:rsidP="00330D20">
      <w:pPr>
        <w:pStyle w:val="BoxTitle"/>
      </w:pPr>
      <w:r>
        <w:t>Recommendation 8</w:t>
      </w:r>
    </w:p>
    <w:p w14:paraId="7F0C6E70" w14:textId="77777777" w:rsidR="002D72C2" w:rsidRDefault="002D72C2" w:rsidP="00330D20">
      <w:pPr>
        <w:pStyle w:val="BoxText"/>
      </w:pPr>
      <w:r w:rsidRPr="00107030">
        <w:t>Undertake work to standardise language used in item descriptors (for example describing the time-tiers for items) wherever possible across primary care items.</w:t>
      </w:r>
    </w:p>
    <w:p w14:paraId="68A3FDCD" w14:textId="77777777" w:rsidR="00BE633E" w:rsidRDefault="00BE633E" w:rsidP="00204C58">
      <w:pPr>
        <w:pStyle w:val="Heading3a"/>
      </w:pPr>
      <w:r>
        <w:t>Time-tiered items for different provider types and service delivery modes</w:t>
      </w:r>
    </w:p>
    <w:p w14:paraId="59713FA8" w14:textId="0B63E8EB" w:rsidR="00BE633E" w:rsidRDefault="00BE633E" w:rsidP="00BE633E">
      <w:r>
        <w:t>Some of the differences current</w:t>
      </w:r>
      <w:r w:rsidR="0041168E">
        <w:t>ly</w:t>
      </w:r>
      <w:r>
        <w:t xml:space="preserve"> seen across time-tiered item</w:t>
      </w:r>
      <w:r w:rsidR="0041168E">
        <w:t>s</w:t>
      </w:r>
      <w:r>
        <w:t xml:space="preserve"> directly impact consumers.</w:t>
      </w:r>
      <w:r w:rsidR="00E7762F">
        <w:t xml:space="preserve"> For example, the length of </w:t>
      </w:r>
      <w:r w:rsidR="00E47BC1">
        <w:t>level</w:t>
      </w:r>
      <w:r w:rsidR="00E7762F">
        <w:t xml:space="preserve">s of A–E consultations vary across provider types </w:t>
      </w:r>
      <w:r w:rsidR="61C9716D">
        <w:t xml:space="preserve">(for </w:t>
      </w:r>
      <w:r w:rsidR="001051B0">
        <w:t>example,</w:t>
      </w:r>
      <w:r w:rsidR="007F7570">
        <w:t xml:space="preserve"> between general practitioners and </w:t>
      </w:r>
      <w:r w:rsidR="001051B0">
        <w:t>PMPs</w:t>
      </w:r>
      <w:r w:rsidR="61C9716D">
        <w:t xml:space="preserve">) </w:t>
      </w:r>
      <w:r w:rsidR="00E7762F">
        <w:t xml:space="preserve">and </w:t>
      </w:r>
      <w:r w:rsidR="00146CB1">
        <w:t>delivery modes</w:t>
      </w:r>
      <w:r w:rsidR="3B1689E3">
        <w:t xml:space="preserve"> (for </w:t>
      </w:r>
      <w:r w:rsidR="001051B0">
        <w:t>example,</w:t>
      </w:r>
      <w:r w:rsidR="002D15F7">
        <w:t xml:space="preserve"> telephone and video</w:t>
      </w:r>
      <w:r w:rsidR="00887DCA">
        <w:t>/face to face for PMPs</w:t>
      </w:r>
      <w:r w:rsidR="3B1689E3">
        <w:t>)</w:t>
      </w:r>
      <w:r w:rsidR="00E7762F">
        <w:t>. The TTWG did not consider there to be clinical justification for different lengths of time-tiers for consultation items depending on provider type and mode of service in primary care settings.</w:t>
      </w:r>
    </w:p>
    <w:p w14:paraId="1AF5BB4C" w14:textId="77777777" w:rsidR="002D72C2" w:rsidRDefault="002D72C2" w:rsidP="00330D20">
      <w:pPr>
        <w:pStyle w:val="BoxTitle"/>
      </w:pPr>
      <w:r>
        <w:t>Recommendation 9</w:t>
      </w:r>
    </w:p>
    <w:p w14:paraId="601F08C8" w14:textId="77777777" w:rsidR="002D72C2" w:rsidRDefault="002D72C2" w:rsidP="00330D20">
      <w:pPr>
        <w:pStyle w:val="BoxText"/>
      </w:pPr>
      <w:r w:rsidRPr="00C96E35">
        <w:t>Align the duration of MBS time-tiers across all relevant primary care provider types and items.</w:t>
      </w:r>
    </w:p>
    <w:p w14:paraId="3C304793" w14:textId="77777777" w:rsidR="0041168E" w:rsidRDefault="0041168E" w:rsidP="0041168E">
      <w:pPr>
        <w:pStyle w:val="Heading3a"/>
      </w:pPr>
      <w:r>
        <w:t>Fees for equivalent MBS items</w:t>
      </w:r>
    </w:p>
    <w:p w14:paraId="47C06D5C" w14:textId="6B01B262" w:rsidR="0041168E" w:rsidRDefault="002764F5" w:rsidP="0041168E">
      <w:r>
        <w:t>The TTWG noted the difference in MBS fees between general attendance time-tiered MBS items and their equivalents caused by the staggered reintroduction of indexation and considered that this should be addressed</w:t>
      </w:r>
      <w:r w:rsidR="00C10905">
        <w:t>, if the relevant items continue</w:t>
      </w:r>
      <w:r>
        <w:t>.</w:t>
      </w:r>
    </w:p>
    <w:p w14:paraId="21A0C703" w14:textId="77777777" w:rsidR="002D72C2" w:rsidRDefault="002D72C2" w:rsidP="00330D20">
      <w:pPr>
        <w:pStyle w:val="BoxTitle"/>
      </w:pPr>
      <w:r>
        <w:t>Recommendation 10</w:t>
      </w:r>
    </w:p>
    <w:p w14:paraId="2FFF7636" w14:textId="77777777" w:rsidR="002D72C2" w:rsidRDefault="002D72C2" w:rsidP="00330D20">
      <w:pPr>
        <w:pStyle w:val="BoxText"/>
      </w:pPr>
      <w:r w:rsidRPr="008D7F0B">
        <w:t>Address the current differences in MBS fees between general attendance time-tiered items and equivalent time items caused by the staggered reintroduction of indexation to the MBS.</w:t>
      </w:r>
      <w:r>
        <w:rPr>
          <w:rStyle w:val="FootnoteReference"/>
        </w:rPr>
        <w:footnoteReference w:id="3"/>
      </w:r>
    </w:p>
    <w:p w14:paraId="632E0D07" w14:textId="77777777" w:rsidR="00204C58" w:rsidRDefault="00204C58" w:rsidP="00204C58">
      <w:pPr>
        <w:pStyle w:val="Heading3a"/>
      </w:pPr>
      <w:r w:rsidRPr="00204C58">
        <w:t>Service provider types and qualifications</w:t>
      </w:r>
    </w:p>
    <w:p w14:paraId="3085BD48" w14:textId="35C628ED" w:rsidR="002764F5" w:rsidRDefault="00A37943" w:rsidP="002764F5">
      <w:r>
        <w:t xml:space="preserve">The MBS is first and foremost a patient benefit scheme, but it can also support broader health policy objectives, including workforce policy. </w:t>
      </w:r>
      <w:r w:rsidR="00686ED6">
        <w:t xml:space="preserve">The TTWG supported the continuation of MBS fees based on professional qualifications in primary care settings, including maintaining the distinction between specialist GPs (and those in specialist GP training) and other medical practitioners </w:t>
      </w:r>
      <w:r w:rsidR="00314041">
        <w:t xml:space="preserve">who do not hold specialist qualifications </w:t>
      </w:r>
      <w:r w:rsidR="00686ED6">
        <w:t>working in general practice settings.</w:t>
      </w:r>
    </w:p>
    <w:p w14:paraId="6A44FF27" w14:textId="626F48CF" w:rsidR="00710608" w:rsidRDefault="00686ED6" w:rsidP="002764F5">
      <w:r>
        <w:t xml:space="preserve">Currently, there are different time-tiered </w:t>
      </w:r>
      <w:r w:rsidR="00C721FC">
        <w:t xml:space="preserve">MBS </w:t>
      </w:r>
      <w:r w:rsidR="00314041">
        <w:t xml:space="preserve">benefits </w:t>
      </w:r>
      <w:r>
        <w:t xml:space="preserve">for GPs, NPs and PMPs. </w:t>
      </w:r>
      <w:r w:rsidR="00C721FC">
        <w:t xml:space="preserve">Further, PMP MBS </w:t>
      </w:r>
      <w:r w:rsidR="00314041">
        <w:t xml:space="preserve">benefits </w:t>
      </w:r>
      <w:r w:rsidR="00C721FC">
        <w:t xml:space="preserve">differ by location. </w:t>
      </w:r>
      <w:r w:rsidR="00835835">
        <w:t xml:space="preserve">These differences could adversely affect patients </w:t>
      </w:r>
      <w:r w:rsidR="00835835">
        <w:lastRenderedPageBreak/>
        <w:t>through increased out</w:t>
      </w:r>
      <w:r w:rsidR="00B85819">
        <w:t>-</w:t>
      </w:r>
      <w:r w:rsidR="00835835">
        <w:t>of</w:t>
      </w:r>
      <w:r w:rsidR="00B85819">
        <w:t>-</w:t>
      </w:r>
      <w:r w:rsidR="00835835">
        <w:t xml:space="preserve">pocket costs. </w:t>
      </w:r>
      <w:r w:rsidR="00671B64">
        <w:t xml:space="preserve">The TTWG considered that MBS </w:t>
      </w:r>
      <w:r w:rsidR="00314041">
        <w:t xml:space="preserve">benefits </w:t>
      </w:r>
      <w:r w:rsidR="00671B64">
        <w:t xml:space="preserve">for PMPs should, in all instances, be at least commensurate to the MBS </w:t>
      </w:r>
      <w:r w:rsidR="00314041">
        <w:t xml:space="preserve">benefits </w:t>
      </w:r>
      <w:r w:rsidR="00671B64">
        <w:t xml:space="preserve">for NPs, noting that this is not the current case for PMPs working in </w:t>
      </w:r>
      <w:r w:rsidR="00204C58">
        <w:t>Modified Monash Area </w:t>
      </w:r>
      <w:r w:rsidR="00671B64">
        <w:t>1.</w:t>
      </w:r>
      <w:r w:rsidR="000C1F27">
        <w:t xml:space="preserve"> </w:t>
      </w:r>
      <w:r w:rsidR="00710608">
        <w:t>Maintaining this equivalent would also require that these items be indexed as part of the annual MBS indexation.</w:t>
      </w:r>
    </w:p>
    <w:p w14:paraId="4440293F" w14:textId="77777777" w:rsidR="00AF7E0D" w:rsidRDefault="00AF7E0D" w:rsidP="00AF7E0D">
      <w:pPr>
        <w:pStyle w:val="BoxTitle"/>
      </w:pPr>
      <w:r>
        <w:t>Recommendation 11</w:t>
      </w:r>
    </w:p>
    <w:p w14:paraId="6C7B412F" w14:textId="77777777" w:rsidR="00AF7E0D" w:rsidRDefault="00AF7E0D" w:rsidP="00AF7E0D">
      <w:pPr>
        <w:pStyle w:val="BoxText"/>
      </w:pPr>
      <w:r w:rsidRPr="003E42E2">
        <w:t xml:space="preserve">Review MBS </w:t>
      </w:r>
      <w:r>
        <w:t>benefits</w:t>
      </w:r>
      <w:r w:rsidDel="00314041">
        <w:t xml:space="preserve"> </w:t>
      </w:r>
      <w:r w:rsidRPr="003E42E2">
        <w:t xml:space="preserve">for time-tiered consultations for medical practitioners (excluding GPs), for example Group A2 items and equivalents, and, at a minimum, increase the item </w:t>
      </w:r>
      <w:r>
        <w:t>benefits</w:t>
      </w:r>
      <w:r w:rsidDel="00314041">
        <w:t xml:space="preserve"> </w:t>
      </w:r>
      <w:r w:rsidRPr="003E42E2">
        <w:t xml:space="preserve">to be at least in line with the equivalent items for </w:t>
      </w:r>
      <w:r>
        <w:t>n</w:t>
      </w:r>
      <w:r w:rsidRPr="003E42E2">
        <w:t xml:space="preserve">urse </w:t>
      </w:r>
      <w:r>
        <w:t>p</w:t>
      </w:r>
      <w:r w:rsidRPr="003E42E2">
        <w:t>ractitioners.  </w:t>
      </w:r>
    </w:p>
    <w:p w14:paraId="01304613" w14:textId="19F1597A" w:rsidR="00686ED6" w:rsidRDefault="000C1F27" w:rsidP="002764F5">
      <w:r>
        <w:t>The TTWG also noted that replicating items for different provider types contributes to the complexity of the MBS, by both increasing the number of items and increasing opportunities for inconsistencies and discrepancies between those items.</w:t>
      </w:r>
      <w:r w:rsidR="0083569F">
        <w:t xml:space="preserve"> The TTWG recognised that this has been the preferred approach to recognising different providers historically, </w:t>
      </w:r>
      <w:r w:rsidR="004259E9">
        <w:t xml:space="preserve">but members </w:t>
      </w:r>
      <w:r w:rsidR="0083569F">
        <w:t>saw merit in further considering alternative approaches to structuring items where equivalent clinical services are provided, especially where the fees for one provider are a fixed percentage of the fees for another provider.</w:t>
      </w:r>
    </w:p>
    <w:p w14:paraId="09E22815" w14:textId="77777777" w:rsidR="002D72C2" w:rsidRDefault="002D72C2" w:rsidP="00330D20">
      <w:pPr>
        <w:pStyle w:val="BoxTitle"/>
      </w:pPr>
      <w:r>
        <w:t>Recommendation 12</w:t>
      </w:r>
    </w:p>
    <w:p w14:paraId="442865D3" w14:textId="77777777" w:rsidR="002D72C2" w:rsidRDefault="002D72C2" w:rsidP="00330D20">
      <w:pPr>
        <w:pStyle w:val="BoxText"/>
      </w:pPr>
      <w:r w:rsidRPr="00167CE5">
        <w:t>To support system simplification, consider the progressive transition to a single set of time-tiered consultation items with an appropriate fee modifier linked to the provider’s qualifications and/or provider type to replace the current approach of creating parallel sets of items. </w:t>
      </w:r>
    </w:p>
    <w:p w14:paraId="68EFC903" w14:textId="77777777" w:rsidR="00BB3B4B" w:rsidRDefault="00BB3B4B" w:rsidP="00BB3B4B">
      <w:pPr>
        <w:pStyle w:val="Heading3a"/>
      </w:pPr>
      <w:r>
        <w:t>Requirements for Mental Health Skills Training</w:t>
      </w:r>
    </w:p>
    <w:p w14:paraId="290462BE" w14:textId="77777777" w:rsidR="00882C7D" w:rsidRDefault="00882C7D" w:rsidP="00B724C1">
      <w:pPr>
        <w:pStyle w:val="NormalBeforeBullet"/>
      </w:pPr>
      <w:r>
        <w:t>As noted previously, the TTWG queried the ongoing need for separate MBS items where a service:</w:t>
      </w:r>
    </w:p>
    <w:p w14:paraId="15CC3ECB" w14:textId="77777777" w:rsidR="00882C7D" w:rsidRDefault="00882C7D" w:rsidP="00882C7D">
      <w:pPr>
        <w:pStyle w:val="Bullet"/>
      </w:pPr>
      <w:r>
        <w:t>is within the usual scope of practice the relevant profession</w:t>
      </w:r>
    </w:p>
    <w:p w14:paraId="284CCA66" w14:textId="042B8CFB" w:rsidR="00882C7D" w:rsidRDefault="00882C7D" w:rsidP="00B724C1">
      <w:pPr>
        <w:pStyle w:val="NormalBeforeBullet"/>
      </w:pPr>
      <w:r>
        <w:t>or</w:t>
      </w:r>
    </w:p>
    <w:p w14:paraId="24FD6773" w14:textId="189990CE" w:rsidR="00882C7D" w:rsidRDefault="00882C7D" w:rsidP="00B724C1">
      <w:pPr>
        <w:pStyle w:val="BulletLast"/>
      </w:pPr>
      <w:r>
        <w:t>a continuing professional development– (CPD-) level qualification without ongoing CPD requirements to maintain the credential.</w:t>
      </w:r>
    </w:p>
    <w:p w14:paraId="7F3923F4" w14:textId="387BAF21" w:rsidR="003638BB" w:rsidRDefault="003638BB" w:rsidP="003638BB">
      <w:r>
        <w:t xml:space="preserve">The TTWG supported different MBS fees based on practitioner qualifications and endorsements linked to their registration. However, the TTWG did not support MBS items that recognise </w:t>
      </w:r>
      <w:r w:rsidR="00882C7D">
        <w:t xml:space="preserve">CPD </w:t>
      </w:r>
      <w:r>
        <w:t>training.</w:t>
      </w:r>
    </w:p>
    <w:p w14:paraId="02B271D2" w14:textId="7BFA55AF" w:rsidR="0058504B" w:rsidRDefault="00882C7D" w:rsidP="0058504B">
      <w:r>
        <w:t>Therefore</w:t>
      </w:r>
      <w:r w:rsidR="001C6AA3">
        <w:t>, the TTWG did not consider it appropriate to have separate MBS items with different fees for Mental Health Treatment Plan items that depend on whether the GP has done Mental Health Skills Training. This training is now part of GP training to obtain fellowship and the TTWG considered this additional training requirement to be redundant.</w:t>
      </w:r>
    </w:p>
    <w:p w14:paraId="5CD73255" w14:textId="77777777" w:rsidR="002D72C2" w:rsidRDefault="002D72C2" w:rsidP="00330D20">
      <w:pPr>
        <w:pStyle w:val="BoxTitle"/>
      </w:pPr>
      <w:r>
        <w:t>Recommendation 13</w:t>
      </w:r>
    </w:p>
    <w:p w14:paraId="46B2C92F" w14:textId="27A601A5" w:rsidR="002D72C2" w:rsidRDefault="002D72C2" w:rsidP="00330D20">
      <w:pPr>
        <w:pStyle w:val="BoxText"/>
      </w:pPr>
      <w:r w:rsidRPr="00514D25">
        <w:t xml:space="preserve">Recognising that </w:t>
      </w:r>
      <w:r w:rsidR="00E47BC1">
        <w:t>level</w:t>
      </w:r>
      <w:r w:rsidRPr="00514D25">
        <w:t xml:space="preserve"> 1 mental health skills training is now a core component of general practitioner training, differential fees and separate items for medical practitioners with or without ‘Mental Health Skills Training’ should be removed from mental health treatment plan and eating disorder treatment and management plan items.</w:t>
      </w:r>
      <w:r w:rsidR="002241E3">
        <w:t xml:space="preserve"> </w:t>
      </w:r>
    </w:p>
    <w:p w14:paraId="663D1919" w14:textId="77777777" w:rsidR="003B7E88" w:rsidRPr="00841928" w:rsidRDefault="003B7E88" w:rsidP="003B7E88">
      <w:pPr>
        <w:pStyle w:val="Heading3a"/>
      </w:pPr>
      <w:r w:rsidRPr="00841928">
        <w:lastRenderedPageBreak/>
        <w:t xml:space="preserve">Location-specific services </w:t>
      </w:r>
    </w:p>
    <w:p w14:paraId="5A8AC20D" w14:textId="62847D00" w:rsidR="00236722" w:rsidRDefault="00236722" w:rsidP="00236722">
      <w:r>
        <w:t xml:space="preserve">The MBS fees for location-specific attendance items are administratively complex. Currently, separate sets of MBS items for GPs and other medical practitioners are available to provide time-tiered attendances in consulting rooms, out-of-consulting rooms and in </w:t>
      </w:r>
      <w:r w:rsidR="0068511B">
        <w:t xml:space="preserve">residential </w:t>
      </w:r>
      <w:r>
        <w:t xml:space="preserve">aged care during standard hours and after-hours. These MBS items cover </w:t>
      </w:r>
      <w:r w:rsidR="00F82912">
        <w:t>equivalent clinical services</w:t>
      </w:r>
      <w:r>
        <w:t>; however, each has different rules and fee structures. In contrast, NPs have a single set of attendance items that are location agnostic.</w:t>
      </w:r>
    </w:p>
    <w:p w14:paraId="4C041796" w14:textId="77777777" w:rsidR="007D7D1E" w:rsidRDefault="007D7D1E" w:rsidP="007D7D1E">
      <w:pPr>
        <w:pStyle w:val="NormalBeforeBullet"/>
      </w:pPr>
      <w:r>
        <w:t>The TTWG recognised that it is important for the MBS to support:</w:t>
      </w:r>
    </w:p>
    <w:p w14:paraId="5409A6B7" w14:textId="49258CAF" w:rsidR="007D7D1E" w:rsidRDefault="007D7D1E" w:rsidP="007D7D1E">
      <w:pPr>
        <w:pStyle w:val="Bullet"/>
      </w:pPr>
      <w:r>
        <w:t xml:space="preserve">services for patients outside of consulting rooms (for example, in their homes) and in </w:t>
      </w:r>
      <w:r w:rsidR="0068511B">
        <w:t xml:space="preserve">residential </w:t>
      </w:r>
      <w:r>
        <w:t xml:space="preserve">aged care </w:t>
      </w:r>
    </w:p>
    <w:p w14:paraId="114D906D" w14:textId="77777777" w:rsidR="007D7D1E" w:rsidRDefault="007D7D1E" w:rsidP="007D7D1E">
      <w:pPr>
        <w:pStyle w:val="BulletLast"/>
      </w:pPr>
      <w:r>
        <w:t xml:space="preserve">continuity of care for these patients. </w:t>
      </w:r>
    </w:p>
    <w:p w14:paraId="2BCF5532" w14:textId="4092F81B" w:rsidR="007D7D1E" w:rsidRDefault="009E4F06" w:rsidP="00236722">
      <w:r>
        <w:t xml:space="preserve">The TTWG supported higher MBS benefits for services delivered outside of consulting rooms compared to in consulting rooms because there are </w:t>
      </w:r>
      <w:r w:rsidR="009B2177">
        <w:t>additional costs and complexities associated with providing services outside of consulting rooms</w:t>
      </w:r>
      <w:r>
        <w:t>.</w:t>
      </w:r>
      <w:r w:rsidR="009B2177">
        <w:t xml:space="preserve"> In addition, providing services in </w:t>
      </w:r>
      <w:r w:rsidR="0068511B">
        <w:t xml:space="preserve">residential </w:t>
      </w:r>
      <w:r w:rsidR="009B2177">
        <w:t xml:space="preserve">aged care is assisted by </w:t>
      </w:r>
      <w:r w:rsidR="00DC0E4E">
        <w:t xml:space="preserve">additional support compared to, for example, </w:t>
      </w:r>
      <w:r w:rsidR="00FA2C78">
        <w:t xml:space="preserve">that available </w:t>
      </w:r>
      <w:r w:rsidR="00DC0E4E">
        <w:t xml:space="preserve">in a patient’s </w:t>
      </w:r>
      <w:r w:rsidR="0068511B">
        <w:t xml:space="preserve">private </w:t>
      </w:r>
      <w:r w:rsidR="00DC0E4E">
        <w:t>home. Therefore, a</w:t>
      </w:r>
      <w:r w:rsidR="00BB5F65">
        <w:t>n</w:t>
      </w:r>
      <w:r w:rsidR="00DC0E4E">
        <w:t xml:space="preserve"> </w:t>
      </w:r>
      <w:r w:rsidR="00E803B6">
        <w:t xml:space="preserve">aged care service is unlikely to be more complex than </w:t>
      </w:r>
      <w:r w:rsidR="00FA2C78">
        <w:t xml:space="preserve">a </w:t>
      </w:r>
      <w:r w:rsidR="00E803B6">
        <w:t xml:space="preserve">home visit, and a higher renumeration for aged care services </w:t>
      </w:r>
      <w:r w:rsidR="008905EB">
        <w:t xml:space="preserve">compared to other out of consulting room locations </w:t>
      </w:r>
      <w:r w:rsidR="00ED739F">
        <w:t>is</w:t>
      </w:r>
      <w:r w:rsidR="00E803B6">
        <w:t xml:space="preserve"> unjustified.</w:t>
      </w:r>
    </w:p>
    <w:p w14:paraId="25B9DC17" w14:textId="2B53C776" w:rsidR="003B7E88" w:rsidRDefault="00D3225A" w:rsidP="003B7E88">
      <w:r>
        <w:t>The TTWG also considered that there are roles for</w:t>
      </w:r>
      <w:r w:rsidR="002B5AF7">
        <w:t xml:space="preserve"> the whole primary care team, and that some services could be provided by non-medical members of the team, such as NPs and practice nurses.</w:t>
      </w:r>
    </w:p>
    <w:p w14:paraId="1C6D502B" w14:textId="2DF1C46B" w:rsidR="003C55BC" w:rsidRDefault="003C55BC" w:rsidP="003B7E88">
      <w:r w:rsidRPr="003C55BC">
        <w:t>The TTWG supported streamlining the arrangements for out-of-room services</w:t>
      </w:r>
      <w:r w:rsidR="00ED739F">
        <w:t xml:space="preserve"> and recommended </w:t>
      </w:r>
      <w:r w:rsidRPr="003C55BC">
        <w:t>moving to a fee-loading approach for out-of-room services.</w:t>
      </w:r>
      <w:r w:rsidR="006F6CE5">
        <w:t xml:space="preserve"> </w:t>
      </w:r>
      <w:r w:rsidR="006F6CE5" w:rsidRPr="006F6CE5">
        <w:t>Under this approach, a standard consultation item would be used in conjunction with an additional percentage loading paid if the service is delivered in a location other than consulting rooms. The TTWG considered that loading items should apply to GP, PMP and NP attendance items.</w:t>
      </w:r>
      <w:r w:rsidR="00F77D05">
        <w:t xml:space="preserve"> To support continuity of care, the TTWG considered it appropriate for out-of-room loading to be linked to a patient’s </w:t>
      </w:r>
      <w:proofErr w:type="spellStart"/>
      <w:r w:rsidR="00F77D05">
        <w:t>MyMedicare</w:t>
      </w:r>
      <w:proofErr w:type="spellEnd"/>
      <w:r w:rsidR="00F77D05">
        <w:t xml:space="preserve"> registration, including for NPs.</w:t>
      </w:r>
    </w:p>
    <w:p w14:paraId="53DCF5E7" w14:textId="77777777" w:rsidR="002D72C2" w:rsidRDefault="002D72C2" w:rsidP="00330D20">
      <w:pPr>
        <w:pStyle w:val="BoxTitle"/>
      </w:pPr>
      <w:r>
        <w:t>Recommendation 14</w:t>
      </w:r>
    </w:p>
    <w:p w14:paraId="5ED272FC" w14:textId="09BF010B" w:rsidR="002D72C2" w:rsidRDefault="002D72C2" w:rsidP="00330D20">
      <w:pPr>
        <w:pStyle w:val="BoxText"/>
      </w:pPr>
      <w:r w:rsidRPr="004C2831">
        <w:t xml:space="preserve">The MBS fees for services provided outside of consulting rooms (for example, home visits) be at least commensurate with the MBS fees for equivalent services provided in </w:t>
      </w:r>
      <w:r w:rsidR="008905EB">
        <w:t xml:space="preserve">residential </w:t>
      </w:r>
      <w:r w:rsidRPr="004C2831">
        <w:t>aged care. </w:t>
      </w:r>
    </w:p>
    <w:p w14:paraId="4A92261B" w14:textId="77777777" w:rsidR="002D72C2" w:rsidRDefault="002D72C2" w:rsidP="00330D20">
      <w:pPr>
        <w:pStyle w:val="BoxTitle"/>
      </w:pPr>
      <w:r>
        <w:t>Recommendation 15</w:t>
      </w:r>
    </w:p>
    <w:p w14:paraId="63CCBD9C" w14:textId="7F97C348" w:rsidR="002D72C2" w:rsidRDefault="002D72C2" w:rsidP="00330D20">
      <w:pPr>
        <w:pStyle w:val="BoxText"/>
      </w:pPr>
      <w:r>
        <w:t xml:space="preserve">The current MBS items for services provided outside of consulting rooms and in </w:t>
      </w:r>
      <w:r w:rsidR="008905EB">
        <w:t xml:space="preserve">residential </w:t>
      </w:r>
      <w:r w:rsidR="008905EB" w:rsidRPr="004C2831">
        <w:t xml:space="preserve">aged care </w:t>
      </w:r>
      <w:r>
        <w:t xml:space="preserve">be replaced with fee loading items for consistency. The fee loading items would only be available when the patient is registered through </w:t>
      </w:r>
      <w:proofErr w:type="spellStart"/>
      <w:r>
        <w:t>MyMedicare</w:t>
      </w:r>
      <w:proofErr w:type="spellEnd"/>
      <w:r>
        <w:t xml:space="preserve"> with the practice that provides the service.</w:t>
      </w:r>
    </w:p>
    <w:p w14:paraId="409307C7" w14:textId="77777777" w:rsidR="002D72C2" w:rsidRDefault="002D72C2" w:rsidP="00330D20">
      <w:pPr>
        <w:pStyle w:val="BoxText"/>
      </w:pPr>
      <w:r>
        <w:t>The loading items should apply to consultations provided by NPs on the same basis that they are available to medical practitioners.</w:t>
      </w:r>
    </w:p>
    <w:p w14:paraId="639E2BAB" w14:textId="77777777" w:rsidR="002D72C2" w:rsidRDefault="002D72C2" w:rsidP="002D72C2">
      <w:pPr>
        <w:pStyle w:val="Principle"/>
      </w:pPr>
      <w:r w:rsidRPr="00A53235">
        <w:t>Principle 4</w:t>
      </w:r>
      <w:r>
        <w:t xml:space="preserve"> – </w:t>
      </w:r>
      <w:r w:rsidRPr="00A53235">
        <w:t>MBS after-hours arrangements should be streamlined and aligned across primary care</w:t>
      </w:r>
    </w:p>
    <w:p w14:paraId="0E78749C" w14:textId="77777777" w:rsidR="00AF1AEB" w:rsidRDefault="00AF1AEB" w:rsidP="00AF1AEB">
      <w:pPr>
        <w:pStyle w:val="Heading3a"/>
      </w:pPr>
      <w:r>
        <w:t>After-hours primary care services</w:t>
      </w:r>
    </w:p>
    <w:p w14:paraId="0FEE8117" w14:textId="7C2B9B83" w:rsidR="00AF1AEB" w:rsidRDefault="00AF1AEB" w:rsidP="00AF1AEB">
      <w:r>
        <w:t>The current after-hours arrangements are complex</w:t>
      </w:r>
      <w:r w:rsidR="0009413C">
        <w:t>, with 45 MBS items for non-urgent services and a further 6 MBS items for urgent after-hours services</w:t>
      </w:r>
      <w:r>
        <w:t xml:space="preserve">. The TTWG </w:t>
      </w:r>
      <w:r>
        <w:lastRenderedPageBreak/>
        <w:t xml:space="preserve">considered the main reasons for after-hours care, which are varied but generally include urgency, convenience and access for patients. </w:t>
      </w:r>
    </w:p>
    <w:p w14:paraId="11EE4239" w14:textId="29BA068E" w:rsidR="0046567A" w:rsidRDefault="00074E86" w:rsidP="00217C91">
      <w:pPr>
        <w:pStyle w:val="NormalBeforeBullet"/>
      </w:pPr>
      <w:r>
        <w:t xml:space="preserve">The TTWG considered simplifying the after-hours items by removing the distinction between urgent and non-urgent </w:t>
      </w:r>
      <w:r w:rsidR="30A92A04">
        <w:t>services and</w:t>
      </w:r>
      <w:r>
        <w:t xml:space="preserve"> instead focusing on the time and location of the service. The group preferred an approach that moves away from standalone after-hours consultation items and instead uses fee modifiers.</w:t>
      </w:r>
      <w:r w:rsidR="00E56694">
        <w:t xml:space="preserve"> Under this approach, a percentage loading would be applied to the standard consultation items for a service that is provided out of hours. The same percentage loading would apply across all consultation items</w:t>
      </w:r>
      <w:r w:rsidR="00217C91">
        <w:t>.</w:t>
      </w:r>
      <w:r w:rsidR="00012029">
        <w:t xml:space="preserve"> The TTWG proposed that multiple loading items could apply to a single consultation.</w:t>
      </w:r>
      <w:r w:rsidR="00B86DD7">
        <w:t xml:space="preserve"> For example, an after-hours service provided out of consulting rooms would attract both the after-hours and out of rooms loadings.</w:t>
      </w:r>
    </w:p>
    <w:p w14:paraId="45FE18CF" w14:textId="77777777" w:rsidR="002D72C2" w:rsidRDefault="002D72C2" w:rsidP="00773313">
      <w:pPr>
        <w:pStyle w:val="BoxTitle"/>
      </w:pPr>
      <w:r>
        <w:t>Recommendation 16</w:t>
      </w:r>
    </w:p>
    <w:p w14:paraId="400AA74C" w14:textId="77777777" w:rsidR="002D72C2" w:rsidRDefault="002D72C2" w:rsidP="00773313">
      <w:pPr>
        <w:pStyle w:val="BoxText"/>
      </w:pPr>
      <w:r w:rsidRPr="00024E15">
        <w:t>Current after-hours items be replaced with a fee loading. The loading would apply to any service that is provided in the after-hours period.</w:t>
      </w:r>
    </w:p>
    <w:p w14:paraId="73C0F03D" w14:textId="77777777" w:rsidR="002D72C2" w:rsidRDefault="002D72C2" w:rsidP="00773313">
      <w:pPr>
        <w:pStyle w:val="BoxTitle"/>
      </w:pPr>
      <w:r>
        <w:t>Recommendation 17</w:t>
      </w:r>
    </w:p>
    <w:p w14:paraId="4BCD4800" w14:textId="2D816031" w:rsidR="002D72C2" w:rsidRDefault="002D72C2" w:rsidP="00773313">
      <w:pPr>
        <w:pStyle w:val="BoxText"/>
      </w:pPr>
      <w:r>
        <w:t>The loading for after-hours services should be applied to:</w:t>
      </w:r>
      <w:r w:rsidR="002241E3">
        <w:t xml:space="preserve"> </w:t>
      </w:r>
      <w:r>
        <w:t xml:space="preserve"> </w:t>
      </w:r>
    </w:p>
    <w:p w14:paraId="1D4FFAF3" w14:textId="77777777" w:rsidR="002D72C2" w:rsidRDefault="002D72C2" w:rsidP="00773313">
      <w:pPr>
        <w:pStyle w:val="BoxBullet"/>
      </w:pPr>
      <w:r>
        <w:t>face to face general attendance items for primary care</w:t>
      </w:r>
    </w:p>
    <w:p w14:paraId="205AF2AD" w14:textId="2FF9E242" w:rsidR="002D72C2" w:rsidRDefault="002D72C2" w:rsidP="00773313">
      <w:pPr>
        <w:pStyle w:val="BoxBullet"/>
      </w:pPr>
      <w:r>
        <w:t xml:space="preserve">telehealth (video and phone) attendance items when delivered by </w:t>
      </w:r>
      <w:r w:rsidR="00B86DD7">
        <w:t xml:space="preserve">the patient’s </w:t>
      </w:r>
      <w:r>
        <w:t>eligible telehealth practitioner</w:t>
      </w:r>
    </w:p>
    <w:p w14:paraId="5C1CABBD" w14:textId="3BD79809" w:rsidR="002D72C2" w:rsidRDefault="00773313" w:rsidP="00773313">
      <w:pPr>
        <w:pStyle w:val="BoxBullet"/>
      </w:pPr>
      <w:r>
        <w:t>n</w:t>
      </w:r>
      <w:r w:rsidR="002D72C2">
        <w:t xml:space="preserve">urse </w:t>
      </w:r>
      <w:r>
        <w:t>p</w:t>
      </w:r>
      <w:r w:rsidR="002D72C2">
        <w:t>ractitioner attendance items.  </w:t>
      </w:r>
    </w:p>
    <w:p w14:paraId="7FA43B08" w14:textId="77777777" w:rsidR="00AA7A52" w:rsidRDefault="00AA7A52" w:rsidP="00AA7A52">
      <w:pPr>
        <w:pStyle w:val="Heading3a"/>
      </w:pPr>
      <w:r w:rsidRPr="003C5B33">
        <w:t>Start time for after-hours</w:t>
      </w:r>
    </w:p>
    <w:p w14:paraId="3D3CE477" w14:textId="0A491491" w:rsidR="00F76BFE" w:rsidRDefault="00F76BFE" w:rsidP="00F76BFE">
      <w:r>
        <w:t xml:space="preserve">Currently, after-hours definitions differ </w:t>
      </w:r>
      <w:r w:rsidR="00E41A71">
        <w:t>depending on</w:t>
      </w:r>
      <w:r>
        <w:t xml:space="preserve"> when the service is delivered in or out of consultation rooms. The TTWG considered that start times for after-hours services should be aligned, regardless of the location of the service. The location of the practice from which the service is provided should be used to determine whether the service is provided after-hour</w:t>
      </w:r>
      <w:r w:rsidR="00830EF3">
        <w:t xml:space="preserve">s (relevant to telehealth </w:t>
      </w:r>
      <w:r w:rsidR="00D80E64">
        <w:t>services</w:t>
      </w:r>
      <w:r w:rsidR="00830EF3">
        <w:t>).</w:t>
      </w:r>
    </w:p>
    <w:p w14:paraId="64157030" w14:textId="7D3BD968" w:rsidR="00F76BFE" w:rsidRDefault="00830EF3" w:rsidP="00F76BFE">
      <w:r>
        <w:t>T</w:t>
      </w:r>
      <w:r w:rsidR="00F76BFE">
        <w:t>he TTWG supported a start time of 6 pm on weekdays for after-hours services</w:t>
      </w:r>
      <w:r>
        <w:t xml:space="preserve"> based on various relevant award wage determinations.</w:t>
      </w:r>
    </w:p>
    <w:p w14:paraId="52F56A25" w14:textId="11609B5C" w:rsidR="002D72C2" w:rsidRDefault="002D72C2" w:rsidP="00773313">
      <w:pPr>
        <w:pStyle w:val="BoxTitle"/>
      </w:pPr>
      <w:r>
        <w:t>Recommendation 18</w:t>
      </w:r>
    </w:p>
    <w:p w14:paraId="2BF5EA47" w14:textId="2074EF92" w:rsidR="002D72C2" w:rsidRDefault="002D72C2" w:rsidP="00773313">
      <w:pPr>
        <w:pStyle w:val="BoxText"/>
      </w:pPr>
      <w:r>
        <w:t xml:space="preserve">The definition of the MBS after-hours period for primary care be aligned across all </w:t>
      </w:r>
      <w:r w:rsidR="115B1BA4">
        <w:t>locations and</w:t>
      </w:r>
      <w:r>
        <w:t xml:space="preserve"> commence at 6 pm on weekdays.</w:t>
      </w:r>
    </w:p>
    <w:p w14:paraId="48F7AA78" w14:textId="77777777" w:rsidR="004945BF" w:rsidRPr="00A6693E" w:rsidRDefault="004945BF" w:rsidP="004945BF">
      <w:pPr>
        <w:pStyle w:val="BoxText"/>
        <w:rPr>
          <w:i/>
          <w:iCs/>
        </w:rPr>
      </w:pPr>
      <w:r w:rsidRPr="00A6693E">
        <w:rPr>
          <w:i/>
          <w:iCs/>
        </w:rPr>
        <w:t>Note that recommendation 20 addresses urgent after-hours items.</w:t>
      </w:r>
    </w:p>
    <w:p w14:paraId="142981A8" w14:textId="77777777" w:rsidR="002D72C2" w:rsidRDefault="002D72C2" w:rsidP="00773313">
      <w:pPr>
        <w:pStyle w:val="BoxTitle"/>
      </w:pPr>
      <w:r>
        <w:t>Recommendation 19</w:t>
      </w:r>
    </w:p>
    <w:p w14:paraId="175FD809" w14:textId="77777777" w:rsidR="002D72C2" w:rsidRDefault="002D72C2" w:rsidP="00773313">
      <w:pPr>
        <w:pStyle w:val="BoxText"/>
      </w:pPr>
      <w:r w:rsidRPr="00E13073">
        <w:t>The MBS regulations should specify that the time zone at the location of the practice is to be used when determining if a service is provided after-hours.</w:t>
      </w:r>
    </w:p>
    <w:p w14:paraId="776BCBAF" w14:textId="77777777" w:rsidR="006D5A5C" w:rsidRDefault="006D5A5C" w:rsidP="006D5A5C">
      <w:pPr>
        <w:pStyle w:val="Heading3a"/>
      </w:pPr>
      <w:r w:rsidRPr="009F008C">
        <w:t>Urgent after-hours items</w:t>
      </w:r>
    </w:p>
    <w:p w14:paraId="4349AA88" w14:textId="55D51867" w:rsidR="004945BF" w:rsidRDefault="005A513E" w:rsidP="004945BF">
      <w:r>
        <w:t xml:space="preserve">The TTWG noted the significant and continuing decrease in the overall use of urgent after-hours </w:t>
      </w:r>
      <w:r w:rsidR="00A02740">
        <w:t xml:space="preserve">MBS </w:t>
      </w:r>
      <w:r>
        <w:t>items since 2015. However, the telehealth items for urgent after-hours services in the unsociable hours have rapidly increasing uptake.</w:t>
      </w:r>
    </w:p>
    <w:p w14:paraId="3490F311" w14:textId="785C26B8" w:rsidR="006E46EB" w:rsidRDefault="003D0133" w:rsidP="006E46EB">
      <w:r>
        <w:t xml:space="preserve">Urgent after-hours items are intended to support patients that should not wait until the next day for </w:t>
      </w:r>
      <w:r w:rsidR="6FEC3D10">
        <w:t>treatment but</w:t>
      </w:r>
      <w:r>
        <w:t xml:space="preserve"> are not urgent enough to require hospital treatment. </w:t>
      </w:r>
      <w:r w:rsidR="006E46EB">
        <w:t xml:space="preserve">To ensure </w:t>
      </w:r>
      <w:r w:rsidR="006E46EB">
        <w:lastRenderedPageBreak/>
        <w:t xml:space="preserve">that the MBS underpins contemporary and holistic care to patients that meets their individual care needs, the TTWG supported applying a higher loading to services provided in the unsociable hours of 11 pm to 7 am than those applied for services provided from 6 pm to 11 pm. As a result, the TTWG supported removing the current MBS items for urgent after-hours </w:t>
      </w:r>
      <w:r w:rsidR="541F625B">
        <w:t>services and</w:t>
      </w:r>
      <w:r w:rsidR="006E46EB">
        <w:t xml:space="preserve"> replacing them with the higher rate loading MBS item.</w:t>
      </w:r>
    </w:p>
    <w:p w14:paraId="52EF881E" w14:textId="0BC5EE0A" w:rsidR="002D72C2" w:rsidRDefault="002D72C2" w:rsidP="00773313">
      <w:pPr>
        <w:pStyle w:val="BoxTitle"/>
      </w:pPr>
      <w:r>
        <w:t>Recommendation 20</w:t>
      </w:r>
    </w:p>
    <w:p w14:paraId="4A45BF3D" w14:textId="40E3EAA3" w:rsidR="002D72C2" w:rsidRDefault="00B7074D" w:rsidP="00773313">
      <w:pPr>
        <w:pStyle w:val="BoxText"/>
      </w:pPr>
      <w:r>
        <w:t xml:space="preserve">The current urgent after-hours MBS items be replaced with a higher rate loading item that applies between the hours of 11 pm and 7 am daily (unsociable hours). The unsociable hours loading should only be available for telehealth services if the patient is registered with </w:t>
      </w:r>
      <w:proofErr w:type="spellStart"/>
      <w:r>
        <w:t>MyMedicare</w:t>
      </w:r>
      <w:proofErr w:type="spellEnd"/>
      <w:r>
        <w:t xml:space="preserve"> with the practice providing the service. The current suite of urgent after-hours MBS items could therefore cease</w:t>
      </w:r>
      <w:r w:rsidR="002D72C2">
        <w:t>.  </w:t>
      </w:r>
    </w:p>
    <w:p w14:paraId="5BB52ED2" w14:textId="77777777" w:rsidR="00A36D75" w:rsidRDefault="00A36D75" w:rsidP="00A36D75">
      <w:pPr>
        <w:pStyle w:val="Heading3a"/>
      </w:pPr>
      <w:r>
        <w:t>After-hours bulk-billing incentives</w:t>
      </w:r>
    </w:p>
    <w:p w14:paraId="1D2F7016" w14:textId="770AE033" w:rsidR="00E10D2F" w:rsidRDefault="00E10D2F" w:rsidP="00E10D2F">
      <w:r>
        <w:t xml:space="preserve">Two bulk-billing incentive MBS items (10992 and 75872) specifically apply to after-hours attendances outside of consulting rooms where the medical practitioner is based in </w:t>
      </w:r>
      <w:r w:rsidR="0082705A">
        <w:t xml:space="preserve">Modified Monash </w:t>
      </w:r>
      <w:r w:rsidR="00A6748B">
        <w:t>(</w:t>
      </w:r>
      <w:r>
        <w:t>MM</w:t>
      </w:r>
      <w:r w:rsidR="00A6748B">
        <w:t>)</w:t>
      </w:r>
      <w:r>
        <w:t> 1 and delivers the service in MM 2–7. These items pay the equivalent of the current MM 2 bulk-billing incentives for other services.</w:t>
      </w:r>
    </w:p>
    <w:p w14:paraId="3FEBBF6E" w14:textId="77777777" w:rsidR="00E10D2F" w:rsidRPr="00275231" w:rsidRDefault="00E10D2F" w:rsidP="00E10D2F">
      <w:r>
        <w:t>In the context of the broader review, including the proposed introduction of an after-hours loading for telehealth items, the TTWG supported ceasing these items. To replace them and ensure appropriate renumeration, the TTWG supported that medical practitioners use the bulk-billing incentives that are generally applicable when using attendance items.</w:t>
      </w:r>
    </w:p>
    <w:p w14:paraId="70C666EA" w14:textId="77777777" w:rsidR="002D72C2" w:rsidRDefault="002D72C2" w:rsidP="00041A20">
      <w:pPr>
        <w:pStyle w:val="BoxTitle"/>
      </w:pPr>
      <w:r>
        <w:t>Recommendation 21</w:t>
      </w:r>
    </w:p>
    <w:p w14:paraId="663E6EF5" w14:textId="64F7BB44" w:rsidR="00B7074D" w:rsidRPr="00790CB5" w:rsidRDefault="00B7074D" w:rsidP="00B7074D">
      <w:pPr>
        <w:pStyle w:val="BoxText"/>
      </w:pPr>
      <w:r w:rsidRPr="00B7074D">
        <w:t>When providing after-hours care, medical practitioners can use the same bulk-billing incentives that are applicable when using standard attendance items. This will replace the need for after-hours bulk-billing incentive MBS items 10992 and 75872, which can only be claimed with a limited number of after-hours items. MBS items 10992 and 75872 can cease.</w:t>
      </w:r>
    </w:p>
    <w:p w14:paraId="3DEE6350" w14:textId="77777777" w:rsidR="002D72C2" w:rsidRDefault="002D72C2" w:rsidP="002D72C2">
      <w:pPr>
        <w:pStyle w:val="Principle"/>
      </w:pPr>
      <w:r w:rsidRPr="00C36CFE">
        <w:t>Principle 5</w:t>
      </w:r>
      <w:r>
        <w:t xml:space="preserve"> – </w:t>
      </w:r>
      <w:r w:rsidRPr="00C36CFE">
        <w:t>MBS primary care items should be adequately supported by non-MBS mechanisms</w:t>
      </w:r>
    </w:p>
    <w:p w14:paraId="7278E951" w14:textId="2069C696" w:rsidR="00CC1ED3" w:rsidRDefault="00E10D2F" w:rsidP="00CC1ED3">
      <w:r>
        <w:t xml:space="preserve">During its discussions, the TTWG recognised that </w:t>
      </w:r>
      <w:r w:rsidR="000C4147">
        <w:t xml:space="preserve">data collection to inform policy could be improved. However, </w:t>
      </w:r>
      <w:r w:rsidR="00CC1ED3">
        <w:t>data collection is not a sufficient justification for separate MBS items.</w:t>
      </w:r>
      <w:r w:rsidR="000D23CE">
        <w:t xml:space="preserve"> </w:t>
      </w:r>
      <w:r w:rsidR="00CC1ED3">
        <w:t>Other mechanisms of data collection should be considered as the primary mechanism for data collection on issues such as reason for visit, prevalence of specific conditions, and the overall health and wellbeing of the population.</w:t>
      </w:r>
    </w:p>
    <w:p w14:paraId="1BBAD4F8" w14:textId="3D20AE95" w:rsidR="000D23CE" w:rsidRDefault="000D23CE" w:rsidP="00CC1ED3">
      <w:r>
        <w:t xml:space="preserve">In addition, </w:t>
      </w:r>
      <w:r w:rsidRPr="006E3E03">
        <w:t>other reviews, including the Review of General Practice Incentives</w:t>
      </w:r>
      <w:r>
        <w:t>,</w:t>
      </w:r>
      <w:r w:rsidRPr="006E3E03">
        <w:t> have highlighted the need for better availability of primary care data. This will be increasingly important as the primary care system transitions to a blended payment model, which will result in MBS billing data becoming less representative of a practice’s overall activity</w:t>
      </w:r>
      <w:r>
        <w:t>.</w:t>
      </w:r>
    </w:p>
    <w:p w14:paraId="7D64C07C" w14:textId="77777777" w:rsidR="002D72C2" w:rsidRDefault="002D72C2" w:rsidP="00E10D2F">
      <w:pPr>
        <w:pStyle w:val="BoxTitle"/>
      </w:pPr>
      <w:r>
        <w:t>Recommendation 22</w:t>
      </w:r>
    </w:p>
    <w:p w14:paraId="1D395FBE" w14:textId="77777777" w:rsidR="002D72C2" w:rsidRDefault="002D72C2" w:rsidP="00E10D2F">
      <w:pPr>
        <w:pStyle w:val="BoxText"/>
      </w:pPr>
      <w:r w:rsidRPr="00EB522B">
        <w:t>The Government should ensure the funding of appropriate and contemporary data collections to inform primary care policy and funding reform. </w:t>
      </w:r>
    </w:p>
    <w:p w14:paraId="1A5EDF77" w14:textId="77777777" w:rsidR="00832469" w:rsidRDefault="00832469" w:rsidP="00B724C1">
      <w:pPr>
        <w:pStyle w:val="Heading3a"/>
      </w:pPr>
      <w:r>
        <w:t>Support for the general practice team</w:t>
      </w:r>
    </w:p>
    <w:p w14:paraId="405B708C" w14:textId="5E4C2C86" w:rsidR="0005712A" w:rsidRPr="00F61703" w:rsidRDefault="0005712A" w:rsidP="0005712A">
      <w:pPr>
        <w:rPr>
          <w:highlight w:val="yellow"/>
        </w:rPr>
      </w:pPr>
      <w:r>
        <w:t xml:space="preserve">The TTWG recognised that there is benefit in supporting other members of the general practice team, such as practice nurses, to support patients in their home and thus </w:t>
      </w:r>
      <w:r>
        <w:lastRenderedPageBreak/>
        <w:t xml:space="preserve">contribute to continuity of care. The TTWG supported funding for the team members to undertake home </w:t>
      </w:r>
      <w:r w:rsidR="0592C885">
        <w:t>visits but</w:t>
      </w:r>
      <w:r>
        <w:t xml:space="preserve"> acknowledged that this may not suit a fee-for-service model (such as the MBS).</w:t>
      </w:r>
    </w:p>
    <w:p w14:paraId="3D1AB7E4" w14:textId="77777777" w:rsidR="002D72C2" w:rsidRDefault="002D72C2" w:rsidP="00E10D2F">
      <w:pPr>
        <w:pStyle w:val="BoxTitle"/>
      </w:pPr>
      <w:r>
        <w:t>Recommendation 23</w:t>
      </w:r>
    </w:p>
    <w:p w14:paraId="450D84B0" w14:textId="77777777" w:rsidR="002D72C2" w:rsidRPr="006356C2" w:rsidRDefault="002D72C2" w:rsidP="00E10D2F">
      <w:pPr>
        <w:pStyle w:val="BoxText"/>
      </w:pPr>
      <w:r>
        <w:t>Consideration be given to a mechanism to support out of consulting rooms services provided by other members of the general practice team, such as practice nurses, whether through the MBS or another funding mechanism.</w:t>
      </w:r>
    </w:p>
    <w:p w14:paraId="36581524" w14:textId="77777777" w:rsidR="007C683E" w:rsidRDefault="007C683E" w:rsidP="007C683E">
      <w:pPr>
        <w:pStyle w:val="Heading2a"/>
      </w:pPr>
      <w:r>
        <w:t>Consultation and feedback review process</w:t>
      </w:r>
    </w:p>
    <w:p w14:paraId="3645A0C2" w14:textId="7728261E" w:rsidR="007C683E" w:rsidRDefault="007C683E" w:rsidP="007C683E">
      <w:r>
        <w:t xml:space="preserve">The TTWG considered presentations from </w:t>
      </w:r>
      <w:r w:rsidR="001F3B10">
        <w:t xml:space="preserve">several medical peak </w:t>
      </w:r>
      <w:r w:rsidR="008C6BA8">
        <w:t>organisations</w:t>
      </w:r>
      <w:r w:rsidR="001F3B10">
        <w:t xml:space="preserve"> to inform its review.</w:t>
      </w:r>
      <w:r>
        <w:t xml:space="preserve"> </w:t>
      </w:r>
      <w:r w:rsidR="009D1ADF">
        <w:t>A</w:t>
      </w:r>
      <w:r>
        <w:t xml:space="preserve"> targeted consultation</w:t>
      </w:r>
      <w:r w:rsidR="009D1ADF">
        <w:t xml:space="preserve"> took place in </w:t>
      </w:r>
      <w:r w:rsidR="008C6BA8">
        <w:t>July 2025</w:t>
      </w:r>
      <w:r>
        <w:t>, which reflected the positions agreed to and recommendations from up to and including meeting 4 (24–25 February 2025).</w:t>
      </w:r>
    </w:p>
    <w:p w14:paraId="548AAE20" w14:textId="213675A8" w:rsidR="00B80D40" w:rsidRPr="00B80D40" w:rsidRDefault="007C683E" w:rsidP="00B80D40">
      <w:r>
        <w:t>The TTWG carefully considered all feedback to inform this report.</w:t>
      </w:r>
    </w:p>
    <w:p w14:paraId="61C80430" w14:textId="20F89CD3" w:rsidR="00A24F79" w:rsidRDefault="00A274D9" w:rsidP="00A24F79">
      <w:pPr>
        <w:pStyle w:val="Heading1"/>
      </w:pPr>
      <w:bookmarkStart w:id="12" w:name="_Toc239079062"/>
      <w:bookmarkStart w:id="13" w:name="_Toc119068519"/>
      <w:bookmarkStart w:id="14" w:name="_Toc119920738"/>
      <w:r>
        <w:lastRenderedPageBreak/>
        <w:t>Principles and r</w:t>
      </w:r>
      <w:r w:rsidR="00A24F79" w:rsidRPr="00A24F79">
        <w:t>ecommendation</w:t>
      </w:r>
      <w:r w:rsidR="00A24F79">
        <w:t>s</w:t>
      </w:r>
      <w:bookmarkEnd w:id="12"/>
    </w:p>
    <w:p w14:paraId="39531FDA" w14:textId="5E79722A" w:rsidR="00A274D9" w:rsidRDefault="00A274D9" w:rsidP="00E14ADF">
      <w:r w:rsidRPr="003F4670">
        <w:t xml:space="preserve">To ensure the MBS underpins contemporary and holistic care to patients </w:t>
      </w:r>
      <w:r>
        <w:t xml:space="preserve">that </w:t>
      </w:r>
      <w:r w:rsidRPr="003F4670">
        <w:t>meet</w:t>
      </w:r>
      <w:r>
        <w:t>s their</w:t>
      </w:r>
      <w:r w:rsidRPr="003F4670">
        <w:t xml:space="preserve"> individual care needs, th</w:t>
      </w:r>
      <w:r w:rsidR="00637E0B">
        <w:t xml:space="preserve">is report </w:t>
      </w:r>
      <w:r w:rsidRPr="003F4670">
        <w:t xml:space="preserve">seeks the adoption of </w:t>
      </w:r>
      <w:r w:rsidR="00637E0B">
        <w:t>5 </w:t>
      </w:r>
      <w:r w:rsidRPr="003F4670">
        <w:t>key principles for items which should be applied to time-tiered attendances in primary care. The report also provides a range of recommendations to align current MBS time-tiered items with these key principles.</w:t>
      </w:r>
    </w:p>
    <w:p w14:paraId="0132BF78" w14:textId="77777777" w:rsidR="00790CB8" w:rsidRDefault="00790CB8" w:rsidP="00790CB8">
      <w:r>
        <w:t xml:space="preserve">The following recommendations are subject to public consultation and, once finalised, subject to acceptance by the Government. </w:t>
      </w:r>
    </w:p>
    <w:p w14:paraId="19FAFBE1" w14:textId="77777777" w:rsidR="00450B90" w:rsidRDefault="002C7741" w:rsidP="0083627F">
      <w:pPr>
        <w:pStyle w:val="RecommendationNo"/>
      </w:pPr>
      <w:r>
        <w:t>Recommendation 1</w:t>
      </w:r>
    </w:p>
    <w:p w14:paraId="1DB83971" w14:textId="6F89F1CF" w:rsidR="002C7741" w:rsidRDefault="00C14C4E" w:rsidP="0095200E">
      <w:pPr>
        <w:pStyle w:val="NormalBeforeBullet"/>
      </w:pPr>
      <w:r w:rsidRPr="003F4670">
        <w:t>Th</w:t>
      </w:r>
      <w:r w:rsidR="00637E0B">
        <w:t>at the</w:t>
      </w:r>
      <w:r w:rsidRPr="003F4670">
        <w:t xml:space="preserve"> </w:t>
      </w:r>
      <w:r w:rsidR="00637E0B">
        <w:t>go</w:t>
      </w:r>
      <w:r w:rsidRPr="003F4670">
        <w:t xml:space="preserve">vernment adopt </w:t>
      </w:r>
      <w:r w:rsidR="00637E0B">
        <w:t>5 </w:t>
      </w:r>
      <w:r>
        <w:t>key</w:t>
      </w:r>
      <w:r w:rsidRPr="003F4670">
        <w:t xml:space="preserve"> principles to be applied when developing new, or revising existing, MBS items for primary care</w:t>
      </w:r>
      <w:r w:rsidR="00B70BAF">
        <w:t>:</w:t>
      </w:r>
    </w:p>
    <w:p w14:paraId="0B389179" w14:textId="39F76910" w:rsidR="00637E0B" w:rsidRDefault="00637E0B" w:rsidP="00B70BAF">
      <w:pPr>
        <w:pStyle w:val="Bullet"/>
      </w:pPr>
      <w:r>
        <w:t>Principle 1</w:t>
      </w:r>
      <w:r w:rsidR="00B70BAF">
        <w:t xml:space="preserve">. </w:t>
      </w:r>
      <w:r>
        <w:t>Condition-specific consultation items should be minimised in primary care settings to allow practitioners to deliver holistic, clinically relevant care to patients through appropriate time-tiered items</w:t>
      </w:r>
    </w:p>
    <w:p w14:paraId="1431838D" w14:textId="758EEA2A" w:rsidR="00637E0B" w:rsidRDefault="00637E0B" w:rsidP="00B70BAF">
      <w:pPr>
        <w:pStyle w:val="Bullet"/>
      </w:pPr>
      <w:r>
        <w:t>Principle 2</w:t>
      </w:r>
      <w:r w:rsidR="00B70BAF">
        <w:t xml:space="preserve">. </w:t>
      </w:r>
      <w:r>
        <w:t>MBS benefits for time-tiered items should be equitable to support patient access to primary care services that meet their individual clinical needs</w:t>
      </w:r>
    </w:p>
    <w:p w14:paraId="4A907012" w14:textId="558E4190" w:rsidR="00637E0B" w:rsidRDefault="00637E0B" w:rsidP="00B70BAF">
      <w:pPr>
        <w:pStyle w:val="Bullet"/>
      </w:pPr>
      <w:r>
        <w:t>Principle 3</w:t>
      </w:r>
      <w:r w:rsidR="00B70BAF">
        <w:t xml:space="preserve">. </w:t>
      </w:r>
      <w:r>
        <w:t>MBS time-tiered attendance items and their regulatory requirements should be consistent unless there is a defined clinical need for variation, such as where the services sit outside of the standard scope of practice for a GP</w:t>
      </w:r>
    </w:p>
    <w:p w14:paraId="22285029" w14:textId="50C12C10" w:rsidR="00637E0B" w:rsidRDefault="00637E0B" w:rsidP="00B70BAF">
      <w:pPr>
        <w:pStyle w:val="Bullet"/>
      </w:pPr>
      <w:r>
        <w:t>Principle 4</w:t>
      </w:r>
      <w:r w:rsidR="00B70BAF">
        <w:t xml:space="preserve">. </w:t>
      </w:r>
      <w:r>
        <w:t>MBS after-hours arrangements should be streamlined and aligned across primary care</w:t>
      </w:r>
    </w:p>
    <w:p w14:paraId="33060764" w14:textId="5D20DAAC" w:rsidR="001264DE" w:rsidRDefault="00637E0B" w:rsidP="00E9248C">
      <w:pPr>
        <w:pStyle w:val="BulletLast"/>
      </w:pPr>
      <w:r>
        <w:t>Principle 5</w:t>
      </w:r>
      <w:r w:rsidR="00E9248C">
        <w:t xml:space="preserve">. </w:t>
      </w:r>
      <w:r>
        <w:t>MBS primary care items should be adequately supported by, but not replicate or replace, non-MBS funding mechanisms</w:t>
      </w:r>
    </w:p>
    <w:p w14:paraId="6F45EC62" w14:textId="1444DD0A" w:rsidR="001264DE" w:rsidRDefault="001264DE" w:rsidP="00E14ADF">
      <w:pPr>
        <w:pStyle w:val="Principle"/>
      </w:pPr>
      <w:r>
        <w:t>Principle 1</w:t>
      </w:r>
      <w:r w:rsidR="00E80A0D">
        <w:t xml:space="preserve"> – </w:t>
      </w:r>
      <w:r w:rsidR="001877E4" w:rsidRPr="001877E4">
        <w:t>Condition-specific consultation items should be minimised in primary care settings to allow practitioners to deliver holistic, clinically relevant care to patients through appropriate time-tiered items</w:t>
      </w:r>
    </w:p>
    <w:p w14:paraId="655AA460" w14:textId="77777777" w:rsidR="00450B90" w:rsidRDefault="00450B90" w:rsidP="00450B90">
      <w:pPr>
        <w:pStyle w:val="RecommendationNo"/>
      </w:pPr>
      <w:r>
        <w:t>Recommendation 2</w:t>
      </w:r>
    </w:p>
    <w:p w14:paraId="6A6C2B98" w14:textId="722F1614" w:rsidR="00E14ADF" w:rsidRDefault="00450B90" w:rsidP="00450B90">
      <w:r w:rsidRPr="00450B90">
        <w:t xml:space="preserve">To enable the delivery of non-directive pregnancy support counselling and acupuncture services under general time-tiered attendance items, </w:t>
      </w:r>
      <w:r w:rsidR="00D159FC">
        <w:t>standalone</w:t>
      </w:r>
      <w:r w:rsidRPr="00450B90">
        <w:t xml:space="preserve"> MBS items for these services should be ceased.</w:t>
      </w:r>
    </w:p>
    <w:p w14:paraId="000D5D0B" w14:textId="1BB7252C" w:rsidR="00790CB5" w:rsidRDefault="00790CB5" w:rsidP="00790CB5">
      <w:pPr>
        <w:pStyle w:val="RecommendationNo"/>
      </w:pPr>
      <w:r>
        <w:t xml:space="preserve">Recommendation </w:t>
      </w:r>
      <w:r w:rsidRPr="00790CB5">
        <w:t>3</w:t>
      </w:r>
    </w:p>
    <w:p w14:paraId="659B9AB3" w14:textId="77777777" w:rsidR="00344837" w:rsidRPr="008E23CA" w:rsidRDefault="00344837" w:rsidP="00B7074D">
      <w:r w:rsidRPr="008E23CA">
        <w:t>To enable the delivery of telehealth services for bloodborne viruses and sexual and reproductive health services under general time-tiered attendances, standalone items for these services should be replaced with a new exemption to the ‘patient’s eligible telehealth practitioner’ requirement (also known as the ‘12</w:t>
      </w:r>
      <w:r w:rsidRPr="008E23CA">
        <w:noBreakHyphen/>
        <w:t>month rule’) to ensure ongoing patient access to these services. The current standalone items could therefore cease.</w:t>
      </w:r>
    </w:p>
    <w:p w14:paraId="4D8D3E6F" w14:textId="11203D4A" w:rsidR="00790CB5" w:rsidRPr="0095200E" w:rsidRDefault="00790CB5" w:rsidP="0095200E">
      <w:pPr>
        <w:pStyle w:val="RecommendationNo"/>
      </w:pPr>
      <w:r>
        <w:t>Recommendation 4</w:t>
      </w:r>
    </w:p>
    <w:p w14:paraId="3F9D84DE" w14:textId="26210FB2" w:rsidR="00790CB5" w:rsidRDefault="00703F4E" w:rsidP="00790CB5">
      <w:r w:rsidRPr="00703F4E">
        <w:t>To enable the delivery of comprehensive antenatal care under general time-tiered attendance items, GPs and other medical practitioners working in general practice should be ineligible for MBS antenatal item 16500 and its telehealth equivalents (MBS items 91853 and 91858).</w:t>
      </w:r>
    </w:p>
    <w:p w14:paraId="69782838" w14:textId="1A22945F" w:rsidR="00D0325D" w:rsidRDefault="00D0325D" w:rsidP="00D0325D">
      <w:pPr>
        <w:pStyle w:val="Principle"/>
      </w:pPr>
      <w:r w:rsidRPr="00D0325D">
        <w:lastRenderedPageBreak/>
        <w:t>Principle 2</w:t>
      </w:r>
      <w:r w:rsidR="00E80A0D">
        <w:t xml:space="preserve"> – </w:t>
      </w:r>
      <w:r w:rsidRPr="00D0325D">
        <w:t>MBS benefits for time-tiered items should be equitable, to support patient access to primary care services that meet their individual clinical needs</w:t>
      </w:r>
    </w:p>
    <w:p w14:paraId="55737364" w14:textId="782BEE39" w:rsidR="00D0325D" w:rsidRDefault="00CE6F68" w:rsidP="00CE6F68">
      <w:pPr>
        <w:pStyle w:val="RecommendationNo"/>
      </w:pPr>
      <w:r>
        <w:t>Recommendation 5</w:t>
      </w:r>
    </w:p>
    <w:p w14:paraId="3D8D2DD9" w14:textId="21C51E61" w:rsidR="00CE6F68" w:rsidRDefault="00940BDE" w:rsidP="00940BDE">
      <w:r w:rsidRPr="00940BDE">
        <w:t>MBS benefits for time-tiered items should equitably support appropriate and varied consultation lengths to ensure patients can access care that meets their individual clinical needs.</w:t>
      </w:r>
    </w:p>
    <w:p w14:paraId="5042ED34" w14:textId="51FA434B" w:rsidR="00940BDE" w:rsidRDefault="00E654E5" w:rsidP="00E654E5">
      <w:pPr>
        <w:pStyle w:val="RecommendationNo"/>
      </w:pPr>
      <w:r>
        <w:t>Recommendation 6</w:t>
      </w:r>
    </w:p>
    <w:p w14:paraId="56D04D2C" w14:textId="4D44E9D2" w:rsidR="00E654E5" w:rsidRDefault="00376C21" w:rsidP="00E654E5">
      <w:r>
        <w:t>Bulk-bill</w:t>
      </w:r>
      <w:r w:rsidR="00E654E5">
        <w:t xml:space="preserve">ing incentives should be based on a percentage of the MBS fee for the service that is </w:t>
      </w:r>
      <w:r>
        <w:t>bulk-bill</w:t>
      </w:r>
      <w:r w:rsidR="00E654E5">
        <w:t>ed to avoid furthering the disproportionate remuneration of shorter consultations when compared to longer consultations.</w:t>
      </w:r>
    </w:p>
    <w:p w14:paraId="277A4DC6" w14:textId="6EFC0FBB" w:rsidR="00E654E5" w:rsidRDefault="00E654E5" w:rsidP="00E654E5">
      <w:r>
        <w:t xml:space="preserve">Rural loadings for </w:t>
      </w:r>
      <w:r w:rsidR="00376C21">
        <w:t>bulk-bill</w:t>
      </w:r>
      <w:r>
        <w:t>ing incentives are appropriate and should be retained under this approach.</w:t>
      </w:r>
    </w:p>
    <w:p w14:paraId="7BC44DA8" w14:textId="642A6C61" w:rsidR="00E654E5" w:rsidRDefault="00E654E5" w:rsidP="00E654E5">
      <w:pPr>
        <w:pStyle w:val="RecommendationNo"/>
      </w:pPr>
      <w:r>
        <w:t>Recommendation 7</w:t>
      </w:r>
    </w:p>
    <w:p w14:paraId="1393C7D7" w14:textId="770F7C8D" w:rsidR="00E654E5" w:rsidRDefault="00376C21" w:rsidP="00E654E5">
      <w:r>
        <w:t>Bulk-bill</w:t>
      </w:r>
      <w:r w:rsidR="002B0141" w:rsidRPr="002B0141">
        <w:t xml:space="preserve">ing incentives should be available for </w:t>
      </w:r>
      <w:r w:rsidR="009B4081">
        <w:t>n</w:t>
      </w:r>
      <w:r w:rsidR="002B0141" w:rsidRPr="002B0141">
        <w:t xml:space="preserve">urse </w:t>
      </w:r>
      <w:r w:rsidR="009B4081">
        <w:t>p</w:t>
      </w:r>
      <w:r w:rsidR="002B0141" w:rsidRPr="002B0141">
        <w:t xml:space="preserve">ractitioner services when the consultation is provided to a patient who is registered through </w:t>
      </w:r>
      <w:proofErr w:type="spellStart"/>
      <w:r w:rsidR="002B0141" w:rsidRPr="002B0141">
        <w:t>MyMedicare</w:t>
      </w:r>
      <w:proofErr w:type="spellEnd"/>
      <w:r w:rsidR="002B0141" w:rsidRPr="002B0141">
        <w:t xml:space="preserve"> with the practice that provides the service.</w:t>
      </w:r>
    </w:p>
    <w:p w14:paraId="5818B27D" w14:textId="41D69E04" w:rsidR="002B0141" w:rsidRDefault="00CC56C7" w:rsidP="00CC56C7">
      <w:pPr>
        <w:pStyle w:val="Principle"/>
      </w:pPr>
      <w:r w:rsidRPr="00CC56C7">
        <w:t>Principle 3</w:t>
      </w:r>
      <w:r w:rsidR="00E80A0D">
        <w:t xml:space="preserve"> – </w:t>
      </w:r>
      <w:r w:rsidRPr="00CC56C7">
        <w:t>MBS items and their requirements should be consistent, unless there is a defined clinical need for variation</w:t>
      </w:r>
    </w:p>
    <w:p w14:paraId="60F52595" w14:textId="6FD63F6D" w:rsidR="00CC56C7" w:rsidRDefault="00CC56C7" w:rsidP="00CC56C7">
      <w:pPr>
        <w:pStyle w:val="RecommendationNo"/>
      </w:pPr>
      <w:r>
        <w:t>Recommendation 8</w:t>
      </w:r>
    </w:p>
    <w:p w14:paraId="4AB0734A" w14:textId="2FF1AF05" w:rsidR="00CC56C7" w:rsidRDefault="00107030" w:rsidP="00CC56C7">
      <w:r w:rsidRPr="00107030">
        <w:t>Undertake work to standardise language used in item descriptors (for example describing the time-tiers for items) wherever possible across primary care items.</w:t>
      </w:r>
    </w:p>
    <w:p w14:paraId="0506D50A" w14:textId="73016C97" w:rsidR="00107030" w:rsidRDefault="00107030" w:rsidP="00107030">
      <w:pPr>
        <w:pStyle w:val="RecommendationNo"/>
      </w:pPr>
      <w:r>
        <w:t>Recommendation 9</w:t>
      </w:r>
    </w:p>
    <w:p w14:paraId="7D717AF1" w14:textId="50F69403" w:rsidR="00107030" w:rsidRDefault="00C96E35" w:rsidP="00C96E35">
      <w:r w:rsidRPr="00C96E35">
        <w:t>Align the duration of MBS time-tiers across all relevant primary care provider types and items.</w:t>
      </w:r>
    </w:p>
    <w:p w14:paraId="723F425E" w14:textId="3B2BE8B8" w:rsidR="00C96E35" w:rsidRDefault="00C96E35" w:rsidP="00C96E35">
      <w:pPr>
        <w:pStyle w:val="RecommendationNo"/>
      </w:pPr>
      <w:r>
        <w:t>Recommendation 10</w:t>
      </w:r>
    </w:p>
    <w:p w14:paraId="08E94A10" w14:textId="6B68C4D0" w:rsidR="00C96E35" w:rsidRDefault="008D7F0B" w:rsidP="00C202F9">
      <w:r w:rsidRPr="008D7F0B">
        <w:t>Address the current differences in MBS fees between general attendance time-tiered items and equivalent time items caused by the staggered reintroduction of indexation to the MBS.</w:t>
      </w:r>
      <w:r w:rsidR="00C202F9">
        <w:rPr>
          <w:rStyle w:val="FootnoteReference"/>
        </w:rPr>
        <w:footnoteReference w:id="4"/>
      </w:r>
    </w:p>
    <w:p w14:paraId="233779E1" w14:textId="0CDA1844" w:rsidR="00C202F9" w:rsidRDefault="00C202F9" w:rsidP="003E42E2">
      <w:pPr>
        <w:pStyle w:val="RecommendationNo"/>
      </w:pPr>
      <w:r>
        <w:t>Recommendation 11</w:t>
      </w:r>
    </w:p>
    <w:p w14:paraId="38CB5443" w14:textId="7E86CCCE" w:rsidR="003E42E2" w:rsidRDefault="003E42E2" w:rsidP="00C202F9">
      <w:r w:rsidRPr="003E42E2">
        <w:t xml:space="preserve">Review MBS fees for time-tiered consultations for medical practitioners (excluding GPs), for example Group A2 items and equivalents, and, at a minimum, increase the item fees to be at least in line with the equivalent items for </w:t>
      </w:r>
      <w:r w:rsidR="004E64C5">
        <w:t>n</w:t>
      </w:r>
      <w:r w:rsidRPr="003E42E2">
        <w:t xml:space="preserve">urse </w:t>
      </w:r>
      <w:r w:rsidR="004E64C5">
        <w:t>p</w:t>
      </w:r>
      <w:r w:rsidRPr="003E42E2">
        <w:t>ractitioners.  </w:t>
      </w:r>
    </w:p>
    <w:p w14:paraId="60D735B0" w14:textId="714A53F5" w:rsidR="003E42E2" w:rsidRDefault="003E42E2" w:rsidP="003E42E2">
      <w:pPr>
        <w:pStyle w:val="RecommendationNo"/>
      </w:pPr>
      <w:r>
        <w:t>Recommendation 12</w:t>
      </w:r>
    </w:p>
    <w:p w14:paraId="3FC7579F" w14:textId="4D956FCF" w:rsidR="003E42E2" w:rsidRDefault="00167CE5" w:rsidP="00167CE5">
      <w:r w:rsidRPr="00167CE5">
        <w:t xml:space="preserve">To support system simplification, consider the progressive transition to a single set of time-tiered consultation items with an appropriate fee modifier linked to the provider’s </w:t>
      </w:r>
      <w:r w:rsidRPr="00167CE5">
        <w:lastRenderedPageBreak/>
        <w:t>qualifications and/or provider type to replace the current approach of creating parallel sets of items. </w:t>
      </w:r>
    </w:p>
    <w:p w14:paraId="54CE2D04" w14:textId="723DBC43" w:rsidR="00167CE5" w:rsidRDefault="00167CE5" w:rsidP="00167CE5">
      <w:pPr>
        <w:pStyle w:val="RecommendationNo"/>
      </w:pPr>
      <w:r>
        <w:t>Recommendation 13</w:t>
      </w:r>
    </w:p>
    <w:p w14:paraId="2843844E" w14:textId="7A49BF3D" w:rsidR="00167CE5" w:rsidRDefault="00514D25" w:rsidP="00514D25">
      <w:r w:rsidRPr="00514D25">
        <w:t xml:space="preserve">Recognising that </w:t>
      </w:r>
      <w:r w:rsidR="00E47BC1">
        <w:t>level</w:t>
      </w:r>
      <w:r w:rsidRPr="00514D25">
        <w:t xml:space="preserve"> 1 mental health skills training is now a core component of general practitioner training, differential fees and separate items for medical practitioners with or without ‘Mental Health Skills Training’ should be removed from mental health treatment plan and eating disorder treatment and management plan items.</w:t>
      </w:r>
      <w:r w:rsidR="002241E3">
        <w:t xml:space="preserve"> </w:t>
      </w:r>
    </w:p>
    <w:p w14:paraId="2D2BA2C9" w14:textId="780A4BF5" w:rsidR="00514D25" w:rsidRDefault="004C2831" w:rsidP="004C2831">
      <w:pPr>
        <w:pStyle w:val="RecommendationNo"/>
      </w:pPr>
      <w:r>
        <w:t>Recommendation</w:t>
      </w:r>
      <w:r w:rsidR="00514D25">
        <w:t xml:space="preserve"> 14</w:t>
      </w:r>
    </w:p>
    <w:p w14:paraId="28162B38" w14:textId="73F02A1E" w:rsidR="004C2831" w:rsidRDefault="004C2831" w:rsidP="004C2831">
      <w:r w:rsidRPr="004C2831">
        <w:t xml:space="preserve">The MBS fees for services provided outside of consulting rooms (for example, home visits) be at least commensurate with the MBS fees for equivalent services provided in </w:t>
      </w:r>
      <w:r w:rsidR="00185E33">
        <w:t xml:space="preserve">residential </w:t>
      </w:r>
      <w:r w:rsidRPr="004C2831">
        <w:t>aged care. </w:t>
      </w:r>
    </w:p>
    <w:p w14:paraId="32180000" w14:textId="150387E1" w:rsidR="004C2831" w:rsidRDefault="004C2831" w:rsidP="008423BB">
      <w:pPr>
        <w:pStyle w:val="RecommendationNo"/>
      </w:pPr>
      <w:r>
        <w:t>Recommendation 15</w:t>
      </w:r>
    </w:p>
    <w:p w14:paraId="28A0158F" w14:textId="32B1189C" w:rsidR="008423BB" w:rsidRDefault="008423BB" w:rsidP="008423BB">
      <w:r>
        <w:t xml:space="preserve">The current MBS items for services provided outside of consulting rooms and in </w:t>
      </w:r>
      <w:r w:rsidR="00185E33">
        <w:t xml:space="preserve">residential </w:t>
      </w:r>
      <w:r w:rsidR="00185E33" w:rsidRPr="004C2831">
        <w:t xml:space="preserve">aged care </w:t>
      </w:r>
      <w:r>
        <w:t xml:space="preserve">be replaced with fee loading items for consistency. The fee loading items would only be available when the patient is registered through </w:t>
      </w:r>
      <w:proofErr w:type="spellStart"/>
      <w:r>
        <w:t>MyMedicare</w:t>
      </w:r>
      <w:proofErr w:type="spellEnd"/>
      <w:r>
        <w:t xml:space="preserve"> with the practice that provides the service.</w:t>
      </w:r>
    </w:p>
    <w:p w14:paraId="00229A29" w14:textId="0E52D9B8" w:rsidR="008423BB" w:rsidRDefault="008423BB" w:rsidP="008423BB">
      <w:r>
        <w:t xml:space="preserve">The loading items should apply to consultations provided by </w:t>
      </w:r>
      <w:r w:rsidR="00ED1D1C">
        <w:t>NPs</w:t>
      </w:r>
      <w:r>
        <w:t xml:space="preserve"> on the same basis that they are available to medical practitioners.</w:t>
      </w:r>
    </w:p>
    <w:p w14:paraId="58A048F6" w14:textId="7274ADA4" w:rsidR="00A53235" w:rsidRDefault="00A53235" w:rsidP="00A53235">
      <w:pPr>
        <w:pStyle w:val="Principle"/>
      </w:pPr>
      <w:r w:rsidRPr="00A53235">
        <w:t>Principle 4</w:t>
      </w:r>
      <w:r w:rsidR="00E80A0D">
        <w:t xml:space="preserve"> – </w:t>
      </w:r>
      <w:r w:rsidRPr="00A53235">
        <w:t>MBS after-hours arrangements should be streamlined and aligned across primary care</w:t>
      </w:r>
    </w:p>
    <w:p w14:paraId="299D6A9C" w14:textId="1BBA6423" w:rsidR="008423BB" w:rsidRDefault="008423BB" w:rsidP="00A53235">
      <w:pPr>
        <w:pStyle w:val="RecommendationNo"/>
      </w:pPr>
      <w:r>
        <w:t>Recommendation 16</w:t>
      </w:r>
    </w:p>
    <w:p w14:paraId="213DBDC6" w14:textId="42AF4973" w:rsidR="00024E15" w:rsidRDefault="00024E15" w:rsidP="008423BB">
      <w:r w:rsidRPr="00024E15">
        <w:t>Current after-hours items be replaced with a fee loading. The loading would apply to any service that is provided in the after-hours period.</w:t>
      </w:r>
    </w:p>
    <w:p w14:paraId="4B6970B4" w14:textId="05049D5C" w:rsidR="00A53235" w:rsidRDefault="00777DDE" w:rsidP="00777DDE">
      <w:pPr>
        <w:pStyle w:val="RecommendationNo"/>
      </w:pPr>
      <w:r>
        <w:t>Recommendation 17</w:t>
      </w:r>
    </w:p>
    <w:p w14:paraId="1AC043CC" w14:textId="42423FE1" w:rsidR="00777DDE" w:rsidRDefault="00777DDE" w:rsidP="00777DDE">
      <w:pPr>
        <w:pStyle w:val="NormalBeforeBullet"/>
      </w:pPr>
      <w:r>
        <w:t>The loading for after-hours services should be applied to:</w:t>
      </w:r>
      <w:r w:rsidR="002241E3">
        <w:t xml:space="preserve"> </w:t>
      </w:r>
      <w:r>
        <w:t xml:space="preserve"> </w:t>
      </w:r>
    </w:p>
    <w:p w14:paraId="5CF5A068" w14:textId="49CD1E05" w:rsidR="00777DDE" w:rsidRDefault="00777DDE" w:rsidP="00777DDE">
      <w:pPr>
        <w:pStyle w:val="Bullet"/>
      </w:pPr>
      <w:r>
        <w:t>face to face general attendance items for primary care</w:t>
      </w:r>
    </w:p>
    <w:p w14:paraId="56179191" w14:textId="386F1126" w:rsidR="00777DDE" w:rsidRDefault="00777DDE" w:rsidP="00777DDE">
      <w:pPr>
        <w:pStyle w:val="Bullet"/>
      </w:pPr>
      <w:r>
        <w:t>telehealth (video and phone) attendance items when delivered by an eligible telehealth practitioner</w:t>
      </w:r>
    </w:p>
    <w:p w14:paraId="5FA4645E" w14:textId="30A413D6" w:rsidR="00777DDE" w:rsidRDefault="00777DDE" w:rsidP="00777DDE">
      <w:pPr>
        <w:pStyle w:val="BulletLast"/>
      </w:pPr>
      <w:r>
        <w:t>Nurse Practitioner attendance items.  </w:t>
      </w:r>
    </w:p>
    <w:p w14:paraId="4D8C4AB2" w14:textId="4C381B72" w:rsidR="00777DDE" w:rsidRDefault="0046552F" w:rsidP="0046552F">
      <w:pPr>
        <w:pStyle w:val="RecommendationNo"/>
      </w:pPr>
      <w:r>
        <w:t>Recommendation 18</w:t>
      </w:r>
    </w:p>
    <w:p w14:paraId="50ABA6EE" w14:textId="569E647F" w:rsidR="0046552F" w:rsidRDefault="0046552F" w:rsidP="00777DDE">
      <w:r>
        <w:t xml:space="preserve">The definition of the MBS after-hours period for primary care be aligned across all </w:t>
      </w:r>
      <w:r w:rsidR="6E8697EC">
        <w:t>locations and</w:t>
      </w:r>
      <w:r>
        <w:t xml:space="preserve"> commence at 6</w:t>
      </w:r>
      <w:r w:rsidR="006205F1">
        <w:t> </w:t>
      </w:r>
      <w:r>
        <w:t>pm on weekdays.</w:t>
      </w:r>
    </w:p>
    <w:p w14:paraId="0A5B8503" w14:textId="5A6B5AB4" w:rsidR="0046552F" w:rsidRDefault="00E13073" w:rsidP="00E13073">
      <w:pPr>
        <w:pStyle w:val="RecommendationNo"/>
      </w:pPr>
      <w:r>
        <w:t>Recommendation 19</w:t>
      </w:r>
    </w:p>
    <w:p w14:paraId="4BD6A959" w14:textId="11B29B7D" w:rsidR="00E13073" w:rsidRDefault="00E13073" w:rsidP="00777DDE">
      <w:r w:rsidRPr="00E13073">
        <w:t>The MBS regulations should specify that the time zone at the location of the practice is to be used when determining if a service is provided after-hours.</w:t>
      </w:r>
    </w:p>
    <w:p w14:paraId="55ADB94A" w14:textId="6F426B3B" w:rsidR="00514D25" w:rsidRDefault="00CC2757" w:rsidP="00CC2757">
      <w:pPr>
        <w:pStyle w:val="RecommendationNo"/>
      </w:pPr>
      <w:r>
        <w:t>Recommendation 20</w:t>
      </w:r>
    </w:p>
    <w:p w14:paraId="1F8A002D" w14:textId="2404D6F0" w:rsidR="00B7074D" w:rsidRDefault="00B7074D" w:rsidP="00514D25">
      <w:r>
        <w:t xml:space="preserve">The current urgent after-hours MBS items be replaced with a higher rate loading item that applies between the hours of 11 pm and 7 am daily (unsociable hours). The unsociable hours loading should only be available for telehealth services if the patient is registered with </w:t>
      </w:r>
      <w:proofErr w:type="spellStart"/>
      <w:r>
        <w:t>MyMedicare</w:t>
      </w:r>
      <w:proofErr w:type="spellEnd"/>
      <w:r>
        <w:t xml:space="preserve"> with the practice providing the service. The current suite of urgent after-hours MBS items could therefore cease.</w:t>
      </w:r>
    </w:p>
    <w:p w14:paraId="3DFC3C4B" w14:textId="134BBF4D" w:rsidR="00CC2757" w:rsidRDefault="000477A5" w:rsidP="000477A5">
      <w:pPr>
        <w:pStyle w:val="RecommendationNo"/>
      </w:pPr>
      <w:r>
        <w:lastRenderedPageBreak/>
        <w:t>Recommendation 21</w:t>
      </w:r>
    </w:p>
    <w:p w14:paraId="7D16DA7C" w14:textId="22D291FB" w:rsidR="00B7074D" w:rsidRPr="00790CB5" w:rsidRDefault="00B7074D" w:rsidP="00B7074D">
      <w:r w:rsidRPr="00B7074D">
        <w:t>When providing after-hours care, medical practitioners can use the same bulk-billing incentives that are applicable when using standard attendance items. This will replace the need for after-hours bulk-billing incentive MBS items 10992 and 75872, which can only be claimed with a limited number of after-hours items. MBS items 10992 and 75872 can cease.</w:t>
      </w:r>
    </w:p>
    <w:p w14:paraId="6B0E7001" w14:textId="0C037246" w:rsidR="006356C2" w:rsidRDefault="00C36CFE" w:rsidP="00C36CFE">
      <w:pPr>
        <w:pStyle w:val="Principle"/>
      </w:pPr>
      <w:r w:rsidRPr="00C36CFE">
        <w:t>Principle 5</w:t>
      </w:r>
      <w:r w:rsidR="00E80A0D">
        <w:t xml:space="preserve"> – </w:t>
      </w:r>
      <w:r w:rsidRPr="00C36CFE">
        <w:t>MBS primary care items should be adequately supported by non-MBS mechanisms</w:t>
      </w:r>
    </w:p>
    <w:p w14:paraId="431F55B8" w14:textId="69847EE7" w:rsidR="00C36CFE" w:rsidRDefault="00106E7E" w:rsidP="00EB522B">
      <w:pPr>
        <w:pStyle w:val="RecommendationNo"/>
      </w:pPr>
      <w:r>
        <w:t xml:space="preserve">Recommendation </w:t>
      </w:r>
      <w:r w:rsidR="00EB522B">
        <w:t>22</w:t>
      </w:r>
    </w:p>
    <w:p w14:paraId="6A5BDF34" w14:textId="4743D843" w:rsidR="00EB522B" w:rsidRDefault="00EB522B" w:rsidP="00EB522B">
      <w:r w:rsidRPr="00EB522B">
        <w:t>The Government should ensure the funding of appropriate and contemporary data collections to inform primary care policy and funding reform. </w:t>
      </w:r>
    </w:p>
    <w:p w14:paraId="6E4B4146" w14:textId="7CC2C6E8" w:rsidR="00EB522B" w:rsidRDefault="00EB522B" w:rsidP="00637E0B">
      <w:pPr>
        <w:pStyle w:val="RecommendationNo"/>
      </w:pPr>
      <w:r>
        <w:t>Recommendation 23</w:t>
      </w:r>
    </w:p>
    <w:p w14:paraId="0E4849D0" w14:textId="05D2FEBF" w:rsidR="00EB522B" w:rsidRPr="006356C2" w:rsidRDefault="00291DF1" w:rsidP="00EB522B">
      <w:r>
        <w:t>Consideration be given to a mechanism to support out of consulting rooms services provided by other members of the general practice team, such as practice nurses, whether through the MBS or another funding mechanism.</w:t>
      </w:r>
    </w:p>
    <w:p w14:paraId="29B15F45" w14:textId="77777777" w:rsidR="00821270" w:rsidRDefault="00821270" w:rsidP="00821270">
      <w:pPr>
        <w:pStyle w:val="Heading1"/>
      </w:pPr>
      <w:bookmarkStart w:id="15" w:name="_Toc239079063"/>
      <w:r w:rsidRPr="00816F3E">
        <w:lastRenderedPageBreak/>
        <w:t>Acronyms</w:t>
      </w:r>
      <w:bookmarkEnd w:id="13"/>
      <w:bookmarkEnd w:id="14"/>
      <w:bookmarkEnd w:id="15"/>
    </w:p>
    <w:p w14:paraId="3FB0934D" w14:textId="77777777" w:rsidR="00D526E9" w:rsidRDefault="00D526E9" w:rsidP="00D526E9">
      <w:pPr>
        <w:ind w:left="1440" w:hanging="1440"/>
      </w:pPr>
      <w:bookmarkStart w:id="16" w:name="_Toc107920657"/>
      <w:bookmarkEnd w:id="11"/>
      <w:r>
        <w:t xml:space="preserve">BBPIP </w:t>
      </w:r>
      <w:r>
        <w:tab/>
        <w:t xml:space="preserve">Bulk-billing Practice Incentive Program </w:t>
      </w:r>
    </w:p>
    <w:p w14:paraId="740FBE5F" w14:textId="77777777" w:rsidR="00D526E9" w:rsidRDefault="00D526E9" w:rsidP="00D526E9">
      <w:pPr>
        <w:ind w:left="1440" w:hanging="1440"/>
      </w:pPr>
      <w:r>
        <w:t>CPD</w:t>
      </w:r>
      <w:r>
        <w:tab/>
        <w:t xml:space="preserve">Continuing Professional Development </w:t>
      </w:r>
    </w:p>
    <w:p w14:paraId="1B0734B4" w14:textId="77777777" w:rsidR="00D526E9" w:rsidRPr="001A6909" w:rsidRDefault="00D526E9" w:rsidP="00D526E9">
      <w:pPr>
        <w:ind w:left="1440" w:hanging="1440"/>
      </w:pPr>
      <w:r>
        <w:t>Department</w:t>
      </w:r>
      <w:r w:rsidRPr="001A6909">
        <w:tab/>
        <w:t>Australian Government Department of Health</w:t>
      </w:r>
      <w:r>
        <w:t>, Disability</w:t>
      </w:r>
      <w:r w:rsidRPr="001A6909">
        <w:t xml:space="preserve"> and Age</w:t>
      </w:r>
      <w:r>
        <w:t>ing</w:t>
      </w:r>
    </w:p>
    <w:p w14:paraId="7E7DB055" w14:textId="77777777" w:rsidR="00D526E9" w:rsidRDefault="00D526E9" w:rsidP="00D526E9">
      <w:r>
        <w:t>Government</w:t>
      </w:r>
      <w:r>
        <w:tab/>
        <w:t>Australian Government</w:t>
      </w:r>
    </w:p>
    <w:p w14:paraId="36E2B001" w14:textId="77777777" w:rsidR="00D526E9" w:rsidRPr="001A6909" w:rsidRDefault="00D526E9" w:rsidP="00D526E9">
      <w:r w:rsidRPr="001A6909">
        <w:t>GP</w:t>
      </w:r>
      <w:r w:rsidRPr="001A6909">
        <w:tab/>
      </w:r>
      <w:r>
        <w:tab/>
      </w:r>
      <w:r w:rsidRPr="001A6909">
        <w:t>general practitioner</w:t>
      </w:r>
    </w:p>
    <w:p w14:paraId="3186EB68" w14:textId="77777777" w:rsidR="00D526E9" w:rsidRPr="001A6909" w:rsidRDefault="00D526E9" w:rsidP="00D526E9">
      <w:r w:rsidRPr="001A6909">
        <w:t>MBS</w:t>
      </w:r>
      <w:r w:rsidRPr="001A6909">
        <w:tab/>
      </w:r>
      <w:r>
        <w:tab/>
      </w:r>
      <w:r w:rsidRPr="001A6909">
        <w:t>Medicare Benefits Schedule</w:t>
      </w:r>
    </w:p>
    <w:p w14:paraId="2001D4D7" w14:textId="77777777" w:rsidR="00D526E9" w:rsidRDefault="00D526E9" w:rsidP="00D526E9">
      <w:r>
        <w:t>MM</w:t>
      </w:r>
      <w:r>
        <w:tab/>
      </w:r>
      <w:r>
        <w:tab/>
        <w:t>Modified Monash (area)</w:t>
      </w:r>
    </w:p>
    <w:p w14:paraId="014F10B4" w14:textId="77777777" w:rsidR="00D526E9" w:rsidRPr="001A6909" w:rsidRDefault="00D526E9" w:rsidP="00D526E9">
      <w:r w:rsidRPr="001A6909">
        <w:t>MRAC</w:t>
      </w:r>
      <w:r w:rsidRPr="001A6909">
        <w:tab/>
      </w:r>
      <w:r>
        <w:tab/>
      </w:r>
      <w:r w:rsidRPr="001A6909">
        <w:t>Medicare Benefits Schedule Review Advisory Committee</w:t>
      </w:r>
    </w:p>
    <w:p w14:paraId="51407FA3" w14:textId="77777777" w:rsidR="00D526E9" w:rsidRDefault="00D526E9" w:rsidP="00D526E9">
      <w:r>
        <w:t>NP</w:t>
      </w:r>
      <w:r>
        <w:tab/>
      </w:r>
      <w:r>
        <w:tab/>
        <w:t>nurse practitioner</w:t>
      </w:r>
    </w:p>
    <w:p w14:paraId="326D7D8A" w14:textId="77777777" w:rsidR="00D526E9" w:rsidRDefault="00D526E9" w:rsidP="00D526E9">
      <w:r>
        <w:t>PMP</w:t>
      </w:r>
      <w:r>
        <w:tab/>
      </w:r>
      <w:r>
        <w:tab/>
        <w:t>prescribed medical practitioner</w:t>
      </w:r>
    </w:p>
    <w:p w14:paraId="2D75D699" w14:textId="1CF6A088" w:rsidR="00D526E9" w:rsidRDefault="00D526E9" w:rsidP="00D526E9">
      <w:r>
        <w:t>RACGP</w:t>
      </w:r>
      <w:r>
        <w:tab/>
      </w:r>
      <w:r>
        <w:tab/>
      </w:r>
      <w:r w:rsidRPr="0052022A">
        <w:t>Royal Australian College of General Practitioners</w:t>
      </w:r>
    </w:p>
    <w:p w14:paraId="1CB67FA7" w14:textId="77777777" w:rsidR="00D526E9" w:rsidRPr="00C549C1" w:rsidRDefault="00D526E9" w:rsidP="00D526E9">
      <w:r>
        <w:t>TT</w:t>
      </w:r>
      <w:r w:rsidRPr="001A6909">
        <w:t>WG</w:t>
      </w:r>
      <w:r w:rsidRPr="001A6909">
        <w:tab/>
      </w:r>
      <w:r>
        <w:tab/>
        <w:t>Time-Tiered W</w:t>
      </w:r>
      <w:r w:rsidRPr="001A6909">
        <w:t xml:space="preserve">orking </w:t>
      </w:r>
      <w:r>
        <w:t>G</w:t>
      </w:r>
      <w:r w:rsidRPr="001A6909">
        <w:t>roup</w:t>
      </w:r>
    </w:p>
    <w:p w14:paraId="749550DF" w14:textId="1F9EADA0" w:rsidR="00963577" w:rsidRDefault="005E0934" w:rsidP="00AE5A0B">
      <w:pPr>
        <w:pStyle w:val="Heading1"/>
      </w:pPr>
      <w:bookmarkStart w:id="17" w:name="_Toc239079064"/>
      <w:r>
        <w:lastRenderedPageBreak/>
        <w:t>Background</w:t>
      </w:r>
      <w:bookmarkEnd w:id="17"/>
    </w:p>
    <w:p w14:paraId="45C9C126" w14:textId="3064145A" w:rsidR="008D4475" w:rsidRDefault="00695111" w:rsidP="00695111">
      <w:r>
        <w:t xml:space="preserve">Time-tiered Medicare Benefits Schedule (MBS) items are </w:t>
      </w:r>
      <w:r w:rsidR="00364550">
        <w:t xml:space="preserve">a series of </w:t>
      </w:r>
      <w:r w:rsidR="00EA358B">
        <w:t xml:space="preserve">items </w:t>
      </w:r>
      <w:r w:rsidR="00BF19A0">
        <w:t xml:space="preserve">that are </w:t>
      </w:r>
      <w:r>
        <w:t>based on the time a provider spends with a patient. Time-tiered MBS items for primary care services make up around one-third of all MBS services delivered and are the most used MBS items in primary care</w:t>
      </w:r>
      <w:r w:rsidR="008D4475">
        <w:t>. In 2025, total MBS expenditure across primary care service types for levels A–E, after-hours and nurse practitioner (NP) services</w:t>
      </w:r>
      <w:r w:rsidR="008D4475">
        <w:rPr>
          <w:rStyle w:val="FootnoteReference"/>
        </w:rPr>
        <w:footnoteReference w:id="5"/>
      </w:r>
      <w:r w:rsidR="008D4475">
        <w:t xml:space="preserve"> was around $7.7 billion.</w:t>
      </w:r>
    </w:p>
    <w:p w14:paraId="3E2523A5" w14:textId="32CF47E1" w:rsidR="00695111" w:rsidRDefault="00695111" w:rsidP="00695111">
      <w:r>
        <w:t xml:space="preserve">The arrangements for time-tiered MBS items for primary care services are complex. The MBS </w:t>
      </w:r>
      <w:r w:rsidR="006107F0">
        <w:t>includes</w:t>
      </w:r>
      <w:r>
        <w:t xml:space="preserve"> </w:t>
      </w:r>
      <w:r w:rsidR="00A205DA">
        <w:t>more than</w:t>
      </w:r>
      <w:r>
        <w:t xml:space="preserve"> 300 time-tiered items across 5 time-tiers (</w:t>
      </w:r>
      <w:r w:rsidR="00E47BC1">
        <w:t>level</w:t>
      </w:r>
      <w:r>
        <w:t xml:space="preserve">s A to E) for primary care services provided by general practitioners (GPs), medical practitioners, prescribed medical practitioners </w:t>
      </w:r>
      <w:r w:rsidR="000D5696">
        <w:t xml:space="preserve">(PMPs) </w:t>
      </w:r>
      <w:r>
        <w:t>and nurse practitioners (NPs). Although some of these MBS items are for specific purposes</w:t>
      </w:r>
      <w:r w:rsidR="00F31861">
        <w:t xml:space="preserve"> or conditions</w:t>
      </w:r>
      <w:r>
        <w:t>, others relate to the same or similar clinical services provided</w:t>
      </w:r>
      <w:r w:rsidR="006B230C">
        <w:t xml:space="preserve"> –</w:t>
      </w:r>
      <w:r>
        <w:t xml:space="preserve"> for example, in different locations, during different hours or by different practitioners.</w:t>
      </w:r>
    </w:p>
    <w:p w14:paraId="31D54D2E" w14:textId="48DA154E" w:rsidR="00695111" w:rsidRPr="00FD5982" w:rsidRDefault="00695111" w:rsidP="00695111">
      <w:r>
        <w:t>Besides their complexity, other potential issues related to time-tiered MBS items that have been raised include lower per</w:t>
      </w:r>
      <w:r w:rsidR="001F5B71">
        <w:t>-</w:t>
      </w:r>
      <w:r>
        <w:t>minute rates for longer services, fee anomalies related to indexation and a lack of time-tiered MBS items for some services.</w:t>
      </w:r>
      <w:r w:rsidR="003569A6">
        <w:t xml:space="preserve"> Further, there are several inconsistencies a</w:t>
      </w:r>
      <w:r w:rsidR="003B64E7">
        <w:t xml:space="preserve">cross similar </w:t>
      </w:r>
      <w:r w:rsidR="00C06E7A">
        <w:t xml:space="preserve">MBS </w:t>
      </w:r>
      <w:r w:rsidR="003B64E7">
        <w:t>items.</w:t>
      </w:r>
    </w:p>
    <w:p w14:paraId="4EDF27C8" w14:textId="45BE197A" w:rsidR="009E1A28" w:rsidRDefault="00837D58" w:rsidP="00B15FFA">
      <w:r>
        <w:t>In December</w:t>
      </w:r>
      <w:r w:rsidR="006A158F">
        <w:t> 2020, the MBS Review Taskforce</w:t>
      </w:r>
      <w:r w:rsidR="002E5232">
        <w:t xml:space="preserve"> published</w:t>
      </w:r>
      <w:r w:rsidR="006F7BA1">
        <w:t xml:space="preserve"> its </w:t>
      </w:r>
      <w:hyperlink r:id="rId12" w:anchor="primary-care-overarching-reports" w:history="1">
        <w:r w:rsidR="00C2633B">
          <w:rPr>
            <w:rStyle w:val="Hyperlink"/>
          </w:rPr>
          <w:t>final reports on primary care</w:t>
        </w:r>
      </w:hyperlink>
      <w:r w:rsidR="00C2633B">
        <w:t>, which</w:t>
      </w:r>
      <w:bookmarkStart w:id="18" w:name="_Toc119068525"/>
      <w:bookmarkStart w:id="19" w:name="_Toc119920744"/>
      <w:r w:rsidR="00851395">
        <w:t xml:space="preserve"> included a recommendation to ‘</w:t>
      </w:r>
      <w:r w:rsidR="003B64E7">
        <w:t>u</w:t>
      </w:r>
      <w:r w:rsidR="00B15FFA">
        <w:t>ndertake additional research regarding the appropriateness of the current length, content and minimum quality metrics for GP MBS consultation items (</w:t>
      </w:r>
      <w:r w:rsidR="00E47BC1">
        <w:t>level</w:t>
      </w:r>
      <w:r w:rsidR="009A3688">
        <w:t>s</w:t>
      </w:r>
      <w:r w:rsidR="00B15FFA">
        <w:t xml:space="preserve"> A</w:t>
      </w:r>
      <w:r w:rsidR="009A3688">
        <w:t>–</w:t>
      </w:r>
      <w:r w:rsidR="00B15FFA">
        <w:t>D)</w:t>
      </w:r>
      <w:r w:rsidR="00851395">
        <w:t>’.</w:t>
      </w:r>
      <w:r w:rsidR="00A46F2D">
        <w:t xml:space="preserve"> (</w:t>
      </w:r>
      <w:r w:rsidR="00516447">
        <w:t>Level E items</w:t>
      </w:r>
      <w:r w:rsidR="00D06279">
        <w:t xml:space="preserve"> –</w:t>
      </w:r>
      <w:r w:rsidR="003C2DDE">
        <w:t xml:space="preserve"> for general</w:t>
      </w:r>
      <w:r w:rsidR="00371695">
        <w:t xml:space="preserve"> attendance services lasting </w:t>
      </w:r>
      <w:r w:rsidR="00380F1F">
        <w:t>60</w:t>
      </w:r>
      <w:r w:rsidR="00172E1B">
        <w:t> </w:t>
      </w:r>
      <w:r w:rsidR="00380F1F">
        <w:t>minutes or more</w:t>
      </w:r>
      <w:r w:rsidR="00D06279">
        <w:t xml:space="preserve"> –</w:t>
      </w:r>
      <w:r w:rsidR="00380F1F">
        <w:t xml:space="preserve"> were introduced on 1 November 2023</w:t>
      </w:r>
      <w:r w:rsidR="009A3688">
        <w:t>,</w:t>
      </w:r>
      <w:r w:rsidR="00257EB3">
        <w:t xml:space="preserve"> so were not considered by the Taskforce</w:t>
      </w:r>
      <w:r w:rsidR="00A46F2D">
        <w:t>.)</w:t>
      </w:r>
    </w:p>
    <w:p w14:paraId="37E175A9" w14:textId="408BF478" w:rsidR="00390613" w:rsidRDefault="00C4412B" w:rsidP="00B15FFA">
      <w:r>
        <w:t>In March 2023</w:t>
      </w:r>
      <w:r w:rsidR="00E42449">
        <w:t>,</w:t>
      </w:r>
      <w:r>
        <w:t xml:space="preserve"> the </w:t>
      </w:r>
      <w:hyperlink r:id="rId13" w:history="1">
        <w:r w:rsidRPr="00FC2153">
          <w:rPr>
            <w:rStyle w:val="Hyperlink"/>
            <w:i/>
            <w:iCs/>
          </w:rPr>
          <w:t>Independent Review of Medicare Integrity and Compliance</w:t>
        </w:r>
        <w:r w:rsidRPr="00FC2153">
          <w:rPr>
            <w:rStyle w:val="Hyperlink"/>
          </w:rPr>
          <w:t xml:space="preserve"> </w:t>
        </w:r>
      </w:hyperlink>
      <w:r w:rsidR="00FC2153">
        <w:t xml:space="preserve">report </w:t>
      </w:r>
      <w:r w:rsidR="00390613">
        <w:t>noted the complexity of the MBS and recommended that</w:t>
      </w:r>
      <w:r w:rsidR="00167030">
        <w:t xml:space="preserve"> the Government </w:t>
      </w:r>
      <w:r w:rsidR="00E42449">
        <w:t>‘</w:t>
      </w:r>
      <w:r w:rsidR="00167030">
        <w:t>consider restructuring the design and composition of MBS number with a time-based backbone together with additional specific intervention and procedure codes</w:t>
      </w:r>
      <w:r w:rsidR="00E865BF">
        <w:t>…</w:t>
      </w:r>
      <w:r w:rsidR="00FC2153">
        <w:t>’</w:t>
      </w:r>
      <w:r w:rsidR="00E865BF">
        <w:t>.</w:t>
      </w:r>
    </w:p>
    <w:p w14:paraId="69C43415" w14:textId="790BA87E" w:rsidR="00AE5A0B" w:rsidRPr="00413C4D" w:rsidRDefault="00537268" w:rsidP="00413C4D">
      <w:pPr>
        <w:pStyle w:val="Heading2"/>
      </w:pPr>
      <w:bookmarkStart w:id="20" w:name="_Toc239079065"/>
      <w:r w:rsidRPr="00413C4D">
        <w:t>Time-</w:t>
      </w:r>
      <w:r w:rsidR="00632427">
        <w:t>t</w:t>
      </w:r>
      <w:r w:rsidR="006A7BB1" w:rsidRPr="00413C4D">
        <w:t>iered</w:t>
      </w:r>
      <w:r w:rsidR="006468F3" w:rsidRPr="00413C4D">
        <w:t xml:space="preserve"> Primary Care</w:t>
      </w:r>
      <w:r w:rsidR="00AE5A0B" w:rsidRPr="00413C4D">
        <w:t xml:space="preserve"> Working Group</w:t>
      </w:r>
      <w:bookmarkEnd w:id="18"/>
      <w:bookmarkEnd w:id="19"/>
      <w:bookmarkEnd w:id="20"/>
    </w:p>
    <w:p w14:paraId="70D7A777" w14:textId="16DE52F9" w:rsidR="000C2927" w:rsidRDefault="00EA50A8" w:rsidP="00633CAA">
      <w:r>
        <w:t xml:space="preserve">In August 2024, the </w:t>
      </w:r>
      <w:r w:rsidR="000C2927" w:rsidRPr="000C2927">
        <w:t xml:space="preserve">Medicare Benefits Schedule Review Advisory Committee </w:t>
      </w:r>
      <w:r w:rsidR="000C2927">
        <w:t>(</w:t>
      </w:r>
      <w:r>
        <w:t>MRAC</w:t>
      </w:r>
      <w:r w:rsidR="000C2927">
        <w:t>)</w:t>
      </w:r>
      <w:r>
        <w:t xml:space="preserve"> endorsed</w:t>
      </w:r>
      <w:r w:rsidR="00936BA8">
        <w:t xml:space="preserve"> a review of </w:t>
      </w:r>
      <w:r w:rsidR="00932EB1">
        <w:t xml:space="preserve">primary care </w:t>
      </w:r>
      <w:r w:rsidR="00936BA8">
        <w:t xml:space="preserve">time-tiered </w:t>
      </w:r>
      <w:r w:rsidR="0051458F">
        <w:t xml:space="preserve">MBS </w:t>
      </w:r>
      <w:r w:rsidR="00936BA8">
        <w:t>items</w:t>
      </w:r>
      <w:r w:rsidR="00A23261">
        <w:t>.</w:t>
      </w:r>
      <w:r w:rsidR="000F5185">
        <w:t xml:space="preserve"> </w:t>
      </w:r>
      <w:r w:rsidR="00633CAA">
        <w:t xml:space="preserve">The </w:t>
      </w:r>
      <w:r w:rsidR="00632427">
        <w:t>t</w:t>
      </w:r>
      <w:r w:rsidR="00633CAA">
        <w:t xml:space="preserve">ime-Tiered Primary Care Working Group (TTWG) was established to lead the review and report its findings to the MRAC. </w:t>
      </w:r>
    </w:p>
    <w:p w14:paraId="6B9A758A" w14:textId="77777777" w:rsidR="000C2927" w:rsidRDefault="000C2927" w:rsidP="000C2927">
      <w:pPr>
        <w:pStyle w:val="Heading3"/>
      </w:pPr>
      <w:bookmarkStart w:id="21" w:name="_Members"/>
      <w:bookmarkStart w:id="22" w:name="_Toc239079066"/>
      <w:bookmarkEnd w:id="21"/>
      <w:r>
        <w:t>Members</w:t>
      </w:r>
      <w:bookmarkEnd w:id="22"/>
    </w:p>
    <w:p w14:paraId="21BC4B7B" w14:textId="16162BC9" w:rsidR="00633CAA" w:rsidRDefault="00633CAA" w:rsidP="0095200E">
      <w:pPr>
        <w:pStyle w:val="NormalBeforeBullet"/>
      </w:pPr>
      <w:r>
        <w:t>The TTWG comprise</w:t>
      </w:r>
      <w:r w:rsidR="00DE0454">
        <w:t>d</w:t>
      </w:r>
      <w:r w:rsidRPr="00415D15">
        <w:t xml:space="preserve"> MRAC members, </w:t>
      </w:r>
      <w:r>
        <w:t>including in the roles of</w:t>
      </w:r>
      <w:r w:rsidRPr="00415D15">
        <w:t xml:space="preserve"> Chair</w:t>
      </w:r>
      <w:r>
        <w:t xml:space="preserve"> and </w:t>
      </w:r>
      <w:r w:rsidRPr="00415D15">
        <w:t>consumer representative</w:t>
      </w:r>
      <w:r>
        <w:t>,</w:t>
      </w:r>
      <w:r w:rsidRPr="00415D15">
        <w:t xml:space="preserve"> as well as</w:t>
      </w:r>
      <w:r>
        <w:t> </w:t>
      </w:r>
      <w:r w:rsidRPr="00415D15">
        <w:t>departmental officers</w:t>
      </w:r>
      <w:r w:rsidR="00DE0454">
        <w:t>:</w:t>
      </w:r>
    </w:p>
    <w:p w14:paraId="6B513896" w14:textId="77777777" w:rsidR="00DE0454" w:rsidRDefault="00DE0454" w:rsidP="00DE0454">
      <w:pPr>
        <w:pStyle w:val="Bullet"/>
      </w:pPr>
      <w:r>
        <w:t>Professor Adam Elshaug, Health Services and Policy Research (Chair)</w:t>
      </w:r>
    </w:p>
    <w:p w14:paraId="25F4CD3A" w14:textId="77777777" w:rsidR="00DE0454" w:rsidRDefault="00DE0454" w:rsidP="00DE0454">
      <w:pPr>
        <w:pStyle w:val="Bullet"/>
      </w:pPr>
      <w:r>
        <w:t>Dr Jason Agostino, General Practice, Epidemiology and Indigenous Health</w:t>
      </w:r>
    </w:p>
    <w:p w14:paraId="3B71F1ED" w14:textId="77777777" w:rsidR="00DE0454" w:rsidRDefault="00DE0454" w:rsidP="00DE0454">
      <w:pPr>
        <w:pStyle w:val="Bullet"/>
      </w:pPr>
      <w:r>
        <w:lastRenderedPageBreak/>
        <w:t>Dr Imogen Colton, Departmental Policy Officer</w:t>
      </w:r>
    </w:p>
    <w:p w14:paraId="1D5AF25B" w14:textId="354A2BB9" w:rsidR="00DE0454" w:rsidRDefault="00DE0454" w:rsidP="00DE0454">
      <w:pPr>
        <w:pStyle w:val="Bullet"/>
      </w:pPr>
      <w:r>
        <w:t>Adjunct Associate Professor Chris Helms, Nurse Practitioner</w:t>
      </w:r>
      <w:r w:rsidR="00B248BF">
        <w:t xml:space="preserve"> (to July 2025)</w:t>
      </w:r>
    </w:p>
    <w:p w14:paraId="45105E0E" w14:textId="77777777" w:rsidR="00DE0454" w:rsidRDefault="00DE0454" w:rsidP="00DE0454">
      <w:pPr>
        <w:pStyle w:val="Bullet"/>
      </w:pPr>
      <w:r>
        <w:t>Ms Alison Marcus, Consumer</w:t>
      </w:r>
    </w:p>
    <w:p w14:paraId="1FF5267D" w14:textId="7595739B" w:rsidR="00DE0454" w:rsidRDefault="00DE0454" w:rsidP="00DE0454">
      <w:pPr>
        <w:pStyle w:val="Bullet"/>
      </w:pPr>
      <w:r>
        <w:t>Associate Professor Elizabeth Marles, General Practice and Indigenous Health</w:t>
      </w:r>
    </w:p>
    <w:p w14:paraId="1AD2565D" w14:textId="77777777" w:rsidR="00DE0454" w:rsidRDefault="00DE0454" w:rsidP="00DE0454">
      <w:pPr>
        <w:pStyle w:val="Bullet"/>
      </w:pPr>
      <w:r>
        <w:t>Dr Sue Masel, Rural General Practice</w:t>
      </w:r>
    </w:p>
    <w:p w14:paraId="1247F62B" w14:textId="2BA59137" w:rsidR="00DE0454" w:rsidRDefault="00DE0454" w:rsidP="00DE0454">
      <w:pPr>
        <w:pStyle w:val="Bullet"/>
      </w:pPr>
      <w:r>
        <w:t>Dr Neil Meulman, General Surgery</w:t>
      </w:r>
      <w:r w:rsidR="00B248BF">
        <w:t xml:space="preserve"> (December 2024 to September 2025)</w:t>
      </w:r>
    </w:p>
    <w:p w14:paraId="6DBB94ED" w14:textId="7A68D356" w:rsidR="00DE0454" w:rsidRDefault="00DE0454" w:rsidP="00DE0454">
      <w:pPr>
        <w:pStyle w:val="Bullet"/>
      </w:pPr>
      <w:r>
        <w:t>Associate Professor Andrew Singer, Principal Medical Advis</w:t>
      </w:r>
      <w:r w:rsidR="00073122">
        <w:t>e</w:t>
      </w:r>
      <w:r>
        <w:t>r</w:t>
      </w:r>
    </w:p>
    <w:p w14:paraId="504D48F9" w14:textId="77777777" w:rsidR="00DE0454" w:rsidRDefault="00DE0454" w:rsidP="00DE0454">
      <w:pPr>
        <w:pStyle w:val="Bullet"/>
      </w:pPr>
      <w:r>
        <w:t>Dr Clare Skinner, Emergency Medicine</w:t>
      </w:r>
    </w:p>
    <w:p w14:paraId="3FF5627B" w14:textId="77777777" w:rsidR="00DE0454" w:rsidRDefault="00DE0454" w:rsidP="0017183A">
      <w:pPr>
        <w:pStyle w:val="Bullet"/>
      </w:pPr>
      <w:r>
        <w:t>Professor Rosalie Viney, Health Economics Research.</w:t>
      </w:r>
    </w:p>
    <w:p w14:paraId="48C968DD" w14:textId="1F06668C" w:rsidR="0017183A" w:rsidRDefault="006554B0" w:rsidP="0017183A">
      <w:pPr>
        <w:pStyle w:val="Bullet"/>
      </w:pPr>
      <w:r>
        <w:t xml:space="preserve">Adjunct </w:t>
      </w:r>
      <w:r w:rsidR="00EA55FE">
        <w:t>Professor Chris Raftery, Nurse Practitioner</w:t>
      </w:r>
      <w:r w:rsidR="001B730C">
        <w:t xml:space="preserve"> (from September 2026)</w:t>
      </w:r>
    </w:p>
    <w:p w14:paraId="3D7F5D4C" w14:textId="77777777" w:rsidR="0017183A" w:rsidRDefault="0017183A" w:rsidP="006554B0">
      <w:pPr>
        <w:pStyle w:val="Bullet"/>
        <w:numPr>
          <w:ilvl w:val="0"/>
          <w:numId w:val="0"/>
        </w:numPr>
        <w:ind w:left="360"/>
      </w:pPr>
    </w:p>
    <w:p w14:paraId="2A94340A" w14:textId="71C8C01F" w:rsidR="00DF5C0C" w:rsidRDefault="00330CFF" w:rsidP="006554B0">
      <w:pPr>
        <w:pStyle w:val="Bullet"/>
        <w:numPr>
          <w:ilvl w:val="0"/>
          <w:numId w:val="0"/>
        </w:numPr>
      </w:pPr>
      <w:r>
        <w:t xml:space="preserve">The </w:t>
      </w:r>
      <w:r w:rsidR="00633CAA">
        <w:t xml:space="preserve">review </w:t>
      </w:r>
      <w:r w:rsidR="00932EB1">
        <w:t>aim</w:t>
      </w:r>
      <w:r w:rsidR="00DE0454">
        <w:t>ed</w:t>
      </w:r>
      <w:r w:rsidR="00932EB1">
        <w:t xml:space="preserve"> to </w:t>
      </w:r>
      <w:r>
        <w:t xml:space="preserve">ensure that the MBS framework for </w:t>
      </w:r>
      <w:r w:rsidR="00265C93">
        <w:t xml:space="preserve">primary care </w:t>
      </w:r>
      <w:r>
        <w:t xml:space="preserve">time-tiered </w:t>
      </w:r>
      <w:r w:rsidR="00265C93">
        <w:t xml:space="preserve">MBS </w:t>
      </w:r>
      <w:r>
        <w:t>items remain</w:t>
      </w:r>
      <w:r w:rsidR="009D042E">
        <w:t>ed</w:t>
      </w:r>
      <w:r>
        <w:t xml:space="preserve"> fit for purpose in a contemporary clinical context</w:t>
      </w:r>
      <w:r w:rsidR="00DF5C0C">
        <w:t xml:space="preserve"> by considering:</w:t>
      </w:r>
    </w:p>
    <w:p w14:paraId="06104C8A" w14:textId="35B5E039" w:rsidR="00DF5C0C" w:rsidRDefault="0094275B" w:rsidP="00DF5C0C">
      <w:pPr>
        <w:pStyle w:val="Bullet"/>
      </w:pPr>
      <w:r>
        <w:t>c</w:t>
      </w:r>
      <w:r w:rsidR="002915B5">
        <w:t xml:space="preserve">onsistency across </w:t>
      </w:r>
      <w:r w:rsidR="00313FE4">
        <w:t xml:space="preserve">MBS </w:t>
      </w:r>
      <w:r w:rsidR="002915B5">
        <w:t>items</w:t>
      </w:r>
      <w:r w:rsidR="00455086">
        <w:t xml:space="preserve"> </w:t>
      </w:r>
      <w:r w:rsidR="0040374A">
        <w:t>and</w:t>
      </w:r>
      <w:r w:rsidR="002915B5">
        <w:t xml:space="preserve"> with broader health policy objectives</w:t>
      </w:r>
    </w:p>
    <w:p w14:paraId="6E26FE4E" w14:textId="6ECB892F" w:rsidR="00544E4F" w:rsidRDefault="002915B5" w:rsidP="00DF5C0C">
      <w:pPr>
        <w:pStyle w:val="Bullet"/>
      </w:pPr>
      <w:r>
        <w:t xml:space="preserve">options to streamline the number of </w:t>
      </w:r>
      <w:r w:rsidR="00313FE4">
        <w:t xml:space="preserve">MBS </w:t>
      </w:r>
      <w:r>
        <w:t>items</w:t>
      </w:r>
    </w:p>
    <w:p w14:paraId="7342A73B" w14:textId="2A934C96" w:rsidR="00544E4F" w:rsidRDefault="00544E4F" w:rsidP="00DF5C0C">
      <w:pPr>
        <w:pStyle w:val="Bullet"/>
      </w:pPr>
      <w:r>
        <w:t>if</w:t>
      </w:r>
      <w:r w:rsidR="002915B5">
        <w:t xml:space="preserve"> the </w:t>
      </w:r>
      <w:r w:rsidR="003047D2">
        <w:t>existing</w:t>
      </w:r>
      <w:r w:rsidR="002915B5">
        <w:t xml:space="preserve"> time-tiers appropriately support</w:t>
      </w:r>
      <w:r w:rsidR="003047D2">
        <w:t>ed</w:t>
      </w:r>
      <w:r w:rsidR="002915B5">
        <w:t xml:space="preserve"> contemporary clinical practic</w:t>
      </w:r>
      <w:r w:rsidR="0040374A">
        <w:t>e</w:t>
      </w:r>
    </w:p>
    <w:p w14:paraId="2368EBC3" w14:textId="658D8A9E" w:rsidR="003047D2" w:rsidRDefault="00544E4F" w:rsidP="0051458F">
      <w:pPr>
        <w:pStyle w:val="BulletLast"/>
      </w:pPr>
      <w:r>
        <w:t>if</w:t>
      </w:r>
      <w:r w:rsidR="003047D2">
        <w:t xml:space="preserve"> certain </w:t>
      </w:r>
      <w:r w:rsidR="00313FE4">
        <w:t>MBS</w:t>
      </w:r>
      <w:r w:rsidR="00D27B68">
        <w:t xml:space="preserve"> </w:t>
      </w:r>
      <w:r w:rsidR="003047D2">
        <w:t xml:space="preserve">items that </w:t>
      </w:r>
      <w:r w:rsidR="0094275B">
        <w:t>we</w:t>
      </w:r>
      <w:r w:rsidR="003047D2">
        <w:t>re not time</w:t>
      </w:r>
      <w:r w:rsidR="00632427">
        <w:t>-</w:t>
      </w:r>
      <w:r w:rsidR="003047D2">
        <w:t>tiered should be incorporated into the time-tiered structure</w:t>
      </w:r>
      <w:r w:rsidR="005B041E">
        <w:t>.</w:t>
      </w:r>
    </w:p>
    <w:p w14:paraId="7B920446" w14:textId="77777777" w:rsidR="00DE0454" w:rsidRDefault="00DE0454" w:rsidP="00DE0454">
      <w:pPr>
        <w:pStyle w:val="Heading3"/>
      </w:pPr>
      <w:bookmarkStart w:id="23" w:name="_Toc239079067"/>
      <w:r>
        <w:t>Scope</w:t>
      </w:r>
      <w:bookmarkEnd w:id="23"/>
    </w:p>
    <w:p w14:paraId="25607FB3" w14:textId="37D82F0E" w:rsidR="00E8675D" w:rsidRPr="00633CAA" w:rsidRDefault="00E8675D" w:rsidP="0051458F">
      <w:pPr>
        <w:pStyle w:val="NormalBeforeBullet"/>
      </w:pPr>
      <w:r>
        <w:t>The review focus</w:t>
      </w:r>
      <w:r w:rsidR="00544E4F">
        <w:t>ed</w:t>
      </w:r>
      <w:r>
        <w:t xml:space="preserve"> on the framework for time-tiered items in the MBS rather than </w:t>
      </w:r>
      <w:r w:rsidR="00633CAA">
        <w:t xml:space="preserve">performing </w:t>
      </w:r>
      <w:r>
        <w:t>an item-by-item analysis.</w:t>
      </w:r>
      <w:r w:rsidR="00D0361E">
        <w:t xml:space="preserve"> </w:t>
      </w:r>
      <w:r w:rsidR="008B53ED">
        <w:t>The following</w:t>
      </w:r>
      <w:r w:rsidR="00D0361E">
        <w:t xml:space="preserve"> categories</w:t>
      </w:r>
      <w:r w:rsidR="008B53ED">
        <w:t xml:space="preserve"> of </w:t>
      </w:r>
      <w:r w:rsidR="006F367B">
        <w:t xml:space="preserve">MBS </w:t>
      </w:r>
      <w:r w:rsidR="008B53ED">
        <w:t>items were outside the scope of the review</w:t>
      </w:r>
      <w:r w:rsidR="00036D0E">
        <w:t>:</w:t>
      </w:r>
    </w:p>
    <w:p w14:paraId="7595F8AB" w14:textId="0E6BF64A" w:rsidR="00036D0E" w:rsidRDefault="00036D0E" w:rsidP="005619A2">
      <w:pPr>
        <w:pStyle w:val="Bullet"/>
      </w:pPr>
      <w:r>
        <w:t xml:space="preserve">time-tiered health assessments, </w:t>
      </w:r>
      <w:r w:rsidR="0076541E">
        <w:t>as</w:t>
      </w:r>
      <w:r>
        <w:t xml:space="preserve"> all health assessment items </w:t>
      </w:r>
      <w:r w:rsidR="0076541E">
        <w:t>were</w:t>
      </w:r>
      <w:r>
        <w:t xml:space="preserve"> under </w:t>
      </w:r>
      <w:r w:rsidR="0076541E">
        <w:t xml:space="preserve">separate </w:t>
      </w:r>
      <w:r>
        <w:t>review</w:t>
      </w:r>
    </w:p>
    <w:p w14:paraId="22940376" w14:textId="389E374B" w:rsidR="00036D0E" w:rsidRDefault="006F367B" w:rsidP="005619A2">
      <w:pPr>
        <w:pStyle w:val="Bullet"/>
      </w:pPr>
      <w:r>
        <w:t xml:space="preserve">MBS </w:t>
      </w:r>
      <w:r w:rsidR="00036D0E">
        <w:t>items announced as ceasing</w:t>
      </w:r>
    </w:p>
    <w:p w14:paraId="01E73C58" w14:textId="2CEEC947" w:rsidR="00AD4457" w:rsidRDefault="00036D0E" w:rsidP="00EA6E99">
      <w:pPr>
        <w:pStyle w:val="BulletLast"/>
      </w:pPr>
      <w:r>
        <w:t xml:space="preserve">time-tiered </w:t>
      </w:r>
      <w:r w:rsidR="006F367B">
        <w:t xml:space="preserve">MBS </w:t>
      </w:r>
      <w:r>
        <w:t>items used by practitioners outside of primary care (</w:t>
      </w:r>
      <w:r w:rsidR="001926E5">
        <w:t>for example,</w:t>
      </w:r>
      <w:r>
        <w:t xml:space="preserve"> specialist</w:t>
      </w:r>
      <w:r w:rsidR="001926E5">
        <w:t>s</w:t>
      </w:r>
      <w:r>
        <w:t xml:space="preserve"> or consultant physician</w:t>
      </w:r>
      <w:r w:rsidR="001926E5">
        <w:t>s</w:t>
      </w:r>
      <w:r>
        <w:t xml:space="preserve">), except where non-GP specialists have access to </w:t>
      </w:r>
      <w:r w:rsidR="006F367B">
        <w:t xml:space="preserve">MBS </w:t>
      </w:r>
      <w:r>
        <w:t>items that are primarily for general practice.</w:t>
      </w:r>
    </w:p>
    <w:p w14:paraId="53FB50D3" w14:textId="77777777" w:rsidR="00DE0454" w:rsidRPr="00DE0454" w:rsidRDefault="00DE0454" w:rsidP="00DE0454">
      <w:pPr>
        <w:pStyle w:val="Heading3"/>
      </w:pPr>
      <w:bookmarkStart w:id="24" w:name="_Toc239079068"/>
      <w:r w:rsidRPr="00DE0454">
        <w:t>Meetings</w:t>
      </w:r>
      <w:bookmarkEnd w:id="24"/>
    </w:p>
    <w:p w14:paraId="49FED19C" w14:textId="21668FCD" w:rsidR="00AE5A0B" w:rsidRDefault="00571161" w:rsidP="00AE5A0B">
      <w:r w:rsidRPr="00BA791E">
        <w:t xml:space="preserve">The TTWG met </w:t>
      </w:r>
      <w:r w:rsidR="003B3B87" w:rsidRPr="00BA791E">
        <w:t xml:space="preserve">on </w:t>
      </w:r>
      <w:r w:rsidR="00293014" w:rsidRPr="00BA791E">
        <w:t>8 </w:t>
      </w:r>
      <w:r w:rsidRPr="00BA791E">
        <w:t xml:space="preserve">occasions: </w:t>
      </w:r>
      <w:r w:rsidR="006F4AE8" w:rsidRPr="00BA791E">
        <w:t>4 September 202</w:t>
      </w:r>
      <w:r w:rsidR="008F27CF" w:rsidRPr="00BA791E">
        <w:t>4, 16 October 2024</w:t>
      </w:r>
      <w:r w:rsidR="00A327B8" w:rsidRPr="00BA791E">
        <w:t>, 2 December 2024</w:t>
      </w:r>
      <w:r w:rsidR="00C45CB4" w:rsidRPr="00BA791E">
        <w:t>, 24–25 February 2025</w:t>
      </w:r>
      <w:r w:rsidR="00F653FB" w:rsidRPr="00BA791E">
        <w:t xml:space="preserve">, </w:t>
      </w:r>
      <w:r w:rsidR="00720F16" w:rsidRPr="00BA791E">
        <w:t>4 June 2025</w:t>
      </w:r>
      <w:r w:rsidR="00924CBA" w:rsidRPr="00BA791E">
        <w:t xml:space="preserve">, </w:t>
      </w:r>
      <w:r w:rsidR="0040512F" w:rsidRPr="00BA791E">
        <w:t>3 September 2025</w:t>
      </w:r>
      <w:r w:rsidR="00F269A0" w:rsidRPr="00BA791E">
        <w:t>, 9 December 2025</w:t>
      </w:r>
      <w:r w:rsidR="008F27CF" w:rsidRPr="00BA791E">
        <w:t xml:space="preserve"> </w:t>
      </w:r>
      <w:r w:rsidR="002C0853" w:rsidRPr="00BA791E">
        <w:t xml:space="preserve">and </w:t>
      </w:r>
      <w:r w:rsidR="00BA791E" w:rsidRPr="00BA791E">
        <w:t>25</w:t>
      </w:r>
      <w:r w:rsidR="000E2A62" w:rsidRPr="00BA791E">
        <w:t xml:space="preserve"> May 2026</w:t>
      </w:r>
      <w:r w:rsidR="00BA791E" w:rsidRPr="00BA791E">
        <w:t>.</w:t>
      </w:r>
    </w:p>
    <w:p w14:paraId="6B2A6E2F" w14:textId="406A2967" w:rsidR="00846FF2" w:rsidRPr="00BF2A5E" w:rsidRDefault="00217579" w:rsidP="00217579">
      <w:pPr>
        <w:pStyle w:val="Heading1"/>
      </w:pPr>
      <w:bookmarkStart w:id="25" w:name="_Toc239079069"/>
      <w:r>
        <w:lastRenderedPageBreak/>
        <w:t>Time-tiered Working Group considerations and recommendations</w:t>
      </w:r>
      <w:bookmarkEnd w:id="25"/>
    </w:p>
    <w:p w14:paraId="4A7F9D6D" w14:textId="5E9915BD" w:rsidR="0085787D" w:rsidRDefault="00764706" w:rsidP="00764706">
      <w:bookmarkStart w:id="26" w:name="_Toc119068547"/>
      <w:bookmarkStart w:id="27" w:name="_Toc119920766"/>
      <w:bookmarkEnd w:id="16"/>
      <w:r>
        <w:t xml:space="preserve">The time-tiered framework is an extremely complex framework, with </w:t>
      </w:r>
      <w:r w:rsidR="0044396E">
        <w:t>more than</w:t>
      </w:r>
      <w:r>
        <w:t xml:space="preserve"> 300</w:t>
      </w:r>
      <w:r w:rsidR="00E40D4F">
        <w:t> </w:t>
      </w:r>
      <w:r>
        <w:t xml:space="preserve">MBS items for primary care across </w:t>
      </w:r>
      <w:r w:rsidR="005303FE">
        <w:t>5 </w:t>
      </w:r>
      <w:r>
        <w:t xml:space="preserve">time-tiers. </w:t>
      </w:r>
      <w:r w:rsidR="00E40D4F">
        <w:t>M</w:t>
      </w:r>
      <w:r>
        <w:t xml:space="preserve">any </w:t>
      </w:r>
      <w:r w:rsidR="00E40D4F">
        <w:t xml:space="preserve">time-tiered MBS </w:t>
      </w:r>
      <w:r>
        <w:t>items</w:t>
      </w:r>
      <w:r w:rsidR="00E40D4F">
        <w:t xml:space="preserve"> are similar, and there are</w:t>
      </w:r>
      <w:r>
        <w:t xml:space="preserve"> complex claiming rules and inconsistencies </w:t>
      </w:r>
      <w:r w:rsidR="00D90D1B">
        <w:t>among the</w:t>
      </w:r>
      <w:r>
        <w:t xml:space="preserve"> items. The </w:t>
      </w:r>
      <w:r w:rsidR="007C19EE">
        <w:t>Time-tiered Working Group (</w:t>
      </w:r>
      <w:r>
        <w:t>TTWG</w:t>
      </w:r>
      <w:r w:rsidR="007C19EE">
        <w:t>)</w:t>
      </w:r>
      <w:r>
        <w:t xml:space="preserve"> considered that patients, individual practitioners, practices and Government </w:t>
      </w:r>
      <w:r w:rsidR="002A5135">
        <w:t xml:space="preserve">would all benefit </w:t>
      </w:r>
      <w:r>
        <w:t>from simplifying the</w:t>
      </w:r>
      <w:r w:rsidR="00CB0FBC">
        <w:t xml:space="preserve"> time-tiered framework</w:t>
      </w:r>
      <w:r>
        <w:t xml:space="preserve">. </w:t>
      </w:r>
    </w:p>
    <w:p w14:paraId="5CC8556F" w14:textId="477AE56F" w:rsidR="00577802" w:rsidRDefault="00721F71" w:rsidP="00764706">
      <w:r>
        <w:t xml:space="preserve">The TTWG acknowledged the large amount of work coinciding with </w:t>
      </w:r>
      <w:r w:rsidR="00CB0FBC">
        <w:t>this review and the group’s</w:t>
      </w:r>
      <w:r>
        <w:t xml:space="preserve"> considerations and recommendations – for example, </w:t>
      </w:r>
      <w:r w:rsidR="00153059">
        <w:t>universal patient access to</w:t>
      </w:r>
      <w:r w:rsidR="00082416">
        <w:t xml:space="preserve"> bulk-billing incentives</w:t>
      </w:r>
      <w:r w:rsidR="000127D1">
        <w:t xml:space="preserve"> and the establishment of the Bulk Billing Practice Incentive Program (BBPIP)</w:t>
      </w:r>
      <w:r w:rsidR="00082416">
        <w:t>.</w:t>
      </w:r>
      <w:r w:rsidR="008D6C8C">
        <w:t xml:space="preserve"> Additionally, the</w:t>
      </w:r>
      <w:r w:rsidR="006C516E">
        <w:t xml:space="preserve"> TTWG noted the Strengthening Medicare Taskforce’s</w:t>
      </w:r>
      <w:r w:rsidR="00EC07D7">
        <w:t xml:space="preserve"> recommendation </w:t>
      </w:r>
      <w:r w:rsidR="000127D1">
        <w:t xml:space="preserve">that funding arrangements </w:t>
      </w:r>
      <w:r w:rsidR="00153059">
        <w:t xml:space="preserve">for primary care move to a blended funding model, with a </w:t>
      </w:r>
      <w:r w:rsidR="00E865BF">
        <w:t>long-term</w:t>
      </w:r>
      <w:r w:rsidR="00153059">
        <w:t xml:space="preserve"> goal of 60:40 ratio of fee for services </w:t>
      </w:r>
      <w:r w:rsidR="00EB5C05">
        <w:t>to other payments.</w:t>
      </w:r>
    </w:p>
    <w:p w14:paraId="57A1BD62" w14:textId="34CAA793" w:rsidR="00217579" w:rsidRPr="000321F9" w:rsidRDefault="00EB5C05" w:rsidP="00850480">
      <w:r>
        <w:t xml:space="preserve">Noting this </w:t>
      </w:r>
      <w:r w:rsidR="00E865BF">
        <w:t>recommendation</w:t>
      </w:r>
      <w:r>
        <w:t>, t</w:t>
      </w:r>
      <w:r w:rsidR="0029345C">
        <w:t xml:space="preserve">he </w:t>
      </w:r>
      <w:r w:rsidR="0032023B">
        <w:t xml:space="preserve">TTWG considered that the Medicare Benefits Schedule (MBS) – Australia’s fee-for-service remuneration model </w:t>
      </w:r>
      <w:r w:rsidR="00AA646E">
        <w:t xml:space="preserve">– will remain important and relevant for </w:t>
      </w:r>
      <w:r w:rsidR="00CB0FBC">
        <w:t xml:space="preserve">our </w:t>
      </w:r>
      <w:r w:rsidR="00AA646E">
        <w:t xml:space="preserve">healthcare </w:t>
      </w:r>
      <w:r w:rsidR="00CB0FBC">
        <w:t>system in the future</w:t>
      </w:r>
      <w:r w:rsidR="00AA646E">
        <w:t xml:space="preserve">. </w:t>
      </w:r>
      <w:r w:rsidR="00577802">
        <w:t>Therefore, t</w:t>
      </w:r>
      <w:r w:rsidR="00217579" w:rsidRPr="003F4670">
        <w:t xml:space="preserve">o ensure </w:t>
      </w:r>
      <w:r w:rsidR="00577802">
        <w:t xml:space="preserve">that </w:t>
      </w:r>
      <w:r w:rsidR="00217579" w:rsidRPr="003F4670">
        <w:t xml:space="preserve">the MBS underpins contemporary and holistic care to patients </w:t>
      </w:r>
      <w:r w:rsidR="00217579">
        <w:t xml:space="preserve">that </w:t>
      </w:r>
      <w:r w:rsidR="00217579" w:rsidRPr="003F4670">
        <w:t>meet</w:t>
      </w:r>
      <w:r w:rsidR="00217579">
        <w:t>s their</w:t>
      </w:r>
      <w:r w:rsidR="00217579" w:rsidRPr="003F4670">
        <w:t xml:space="preserve"> individual care needs, th</w:t>
      </w:r>
      <w:r w:rsidR="00217579">
        <w:t xml:space="preserve">is report </w:t>
      </w:r>
      <w:r w:rsidR="00217579" w:rsidRPr="003F4670">
        <w:t xml:space="preserve">seeks the adoption of </w:t>
      </w:r>
      <w:r w:rsidR="00217579">
        <w:t>5 </w:t>
      </w:r>
      <w:r w:rsidR="00217579" w:rsidRPr="003F4670">
        <w:t xml:space="preserve">key principles for items which should be applied to time-tiered attendances in primary care. The report also provides a range of </w:t>
      </w:r>
      <w:r w:rsidR="00217579" w:rsidRPr="000321F9">
        <w:t>recommendations to align current MBS time-tiered items with these key principles.</w:t>
      </w:r>
    </w:p>
    <w:p w14:paraId="58A024D7" w14:textId="3A57B5FA" w:rsidR="003A773C" w:rsidRDefault="003A773C" w:rsidP="00217579">
      <w:r w:rsidRPr="000321F9">
        <w:t>The MRAC reviewed and endorsed this report and recommendations out of session on</w:t>
      </w:r>
      <w:r w:rsidR="000321F9" w:rsidRPr="000321F9">
        <w:t xml:space="preserve"> 25 August 2026.</w:t>
      </w:r>
      <w:r>
        <w:t xml:space="preserve"> </w:t>
      </w:r>
    </w:p>
    <w:p w14:paraId="1A1BE811" w14:textId="73FB7126" w:rsidR="001F5B71" w:rsidRDefault="001F5B71" w:rsidP="001F5B71">
      <w:r>
        <w:t xml:space="preserve">The following recommendations are </w:t>
      </w:r>
      <w:r w:rsidR="0043082F">
        <w:t xml:space="preserve">the </w:t>
      </w:r>
      <w:r>
        <w:t xml:space="preserve">subject </w:t>
      </w:r>
      <w:r w:rsidR="0043082F">
        <w:t>of</w:t>
      </w:r>
      <w:r>
        <w:t xml:space="preserve"> </w:t>
      </w:r>
      <w:r w:rsidRPr="00790CB8">
        <w:t xml:space="preserve">public consultation and, once finalised, subject to acceptance by the Government. </w:t>
      </w:r>
      <w:r w:rsidR="00790CB8" w:rsidRPr="00790CB8">
        <w:t>It should also be noted that the Government is responsible for setting appropriate fees for MBS items.</w:t>
      </w:r>
      <w:r w:rsidR="00790CB8">
        <w:t xml:space="preserve"> </w:t>
      </w:r>
    </w:p>
    <w:p w14:paraId="01DD8111" w14:textId="77777777" w:rsidR="00504D3D" w:rsidRDefault="00504D3D" w:rsidP="00504D3D">
      <w:r w:rsidRPr="00877313">
        <w:t>Preliminary estimates suggest that, if fully implemented, the recommendations of this review (excluding recommendation 12) could reduce the number of time-tiered attendance items from more than 300 to around 150. Implementation of recommendation 12, which is a long-term recommendation, has the potential to further reduce the total number of items to less than 100.</w:t>
      </w:r>
    </w:p>
    <w:p w14:paraId="4747CF8F" w14:textId="08944547" w:rsidR="00196C4E" w:rsidRDefault="00196C4E" w:rsidP="00196C4E">
      <w:r>
        <w:t>This report includes the most recent data available, which in many cases is 2024–25</w:t>
      </w:r>
      <w:r w:rsidR="00CE021B">
        <w:t xml:space="preserve"> data. By the time this report is finalised and published, it will include </w:t>
      </w:r>
      <w:r w:rsidR="008F7383">
        <w:t>updated 2025–26 data.</w:t>
      </w:r>
    </w:p>
    <w:p w14:paraId="72EB350F" w14:textId="77777777" w:rsidR="00217579" w:rsidRDefault="00217579" w:rsidP="00853F75">
      <w:pPr>
        <w:pStyle w:val="BoxTitle"/>
      </w:pPr>
      <w:r>
        <w:t>Recommendation 1</w:t>
      </w:r>
    </w:p>
    <w:p w14:paraId="445F8632" w14:textId="3BCC7380" w:rsidR="00217579" w:rsidRDefault="00217579" w:rsidP="00853F75">
      <w:pPr>
        <w:pStyle w:val="BoxText"/>
      </w:pPr>
      <w:r w:rsidRPr="003F4670">
        <w:t>Th</w:t>
      </w:r>
      <w:r>
        <w:t>at the</w:t>
      </w:r>
      <w:r w:rsidRPr="003F4670">
        <w:t xml:space="preserve"> </w:t>
      </w:r>
      <w:r w:rsidR="0085787D">
        <w:t>G</w:t>
      </w:r>
      <w:r>
        <w:t>o</w:t>
      </w:r>
      <w:r w:rsidRPr="003F4670">
        <w:t xml:space="preserve">vernment adopt </w:t>
      </w:r>
      <w:r>
        <w:t>5 key</w:t>
      </w:r>
      <w:r w:rsidRPr="003F4670">
        <w:t xml:space="preserve"> principles to be applied when developing new, or revising existing, MBS items for primary care</w:t>
      </w:r>
      <w:r>
        <w:t>:</w:t>
      </w:r>
    </w:p>
    <w:p w14:paraId="1FAC0ED9" w14:textId="026093AA" w:rsidR="00217579" w:rsidRDefault="00217579" w:rsidP="00853F75">
      <w:pPr>
        <w:pStyle w:val="BoxBullet"/>
      </w:pPr>
      <w:r>
        <w:t>Principle 1</w:t>
      </w:r>
      <w:r w:rsidR="00DE0454">
        <w:t xml:space="preserve"> –</w:t>
      </w:r>
      <w:r>
        <w:t xml:space="preserve"> Condition-specific consultation items should be minimised in primary care settings to allow practitioners to deliver holistic, clinically relevant care to patients through appropriate time-tiered items</w:t>
      </w:r>
    </w:p>
    <w:p w14:paraId="26C256C7" w14:textId="501EF268" w:rsidR="00217579" w:rsidRDefault="00217579" w:rsidP="00853F75">
      <w:pPr>
        <w:pStyle w:val="BoxBullet"/>
      </w:pPr>
      <w:r>
        <w:t>Principle 2</w:t>
      </w:r>
      <w:r w:rsidR="00DE0454">
        <w:t xml:space="preserve"> –</w:t>
      </w:r>
      <w:r>
        <w:t xml:space="preserve"> MBS benefits for time-tiered items should be equitable to support patient access to primary care services [that meet their individual clinical needs]</w:t>
      </w:r>
    </w:p>
    <w:p w14:paraId="0887CFC3" w14:textId="4B2B72E8" w:rsidR="00217579" w:rsidRDefault="00217579" w:rsidP="00853F75">
      <w:pPr>
        <w:pStyle w:val="BoxBullet"/>
      </w:pPr>
      <w:r>
        <w:t>Principle 3</w:t>
      </w:r>
      <w:r w:rsidR="00DE0454">
        <w:t xml:space="preserve"> –</w:t>
      </w:r>
      <w:r>
        <w:t xml:space="preserve"> MBS time-tiered attendance items and their regulatory requirements should be consistent unless there is a defined clinical need for variation, such as where the services sit outside of the standard scope of practice for a GP</w:t>
      </w:r>
    </w:p>
    <w:p w14:paraId="5D3A198B" w14:textId="5A5B0F00" w:rsidR="00217579" w:rsidRDefault="00217579" w:rsidP="00853F75">
      <w:pPr>
        <w:pStyle w:val="BoxBullet"/>
      </w:pPr>
      <w:r>
        <w:lastRenderedPageBreak/>
        <w:t>Principle 4</w:t>
      </w:r>
      <w:r w:rsidR="00DE0454">
        <w:t xml:space="preserve"> –</w:t>
      </w:r>
      <w:r>
        <w:t xml:space="preserve"> MBS after-hours arrangements should be streamlined and aligned across primary care</w:t>
      </w:r>
    </w:p>
    <w:p w14:paraId="18F2E20F" w14:textId="13FEF1A2" w:rsidR="00217579" w:rsidRDefault="00217579" w:rsidP="00853F75">
      <w:pPr>
        <w:pStyle w:val="BoxBullet"/>
      </w:pPr>
      <w:r>
        <w:t>Principle 5</w:t>
      </w:r>
      <w:r w:rsidR="00DE0454">
        <w:t xml:space="preserve"> –</w:t>
      </w:r>
      <w:r>
        <w:t xml:space="preserve"> MBS primary care items should be adequately supported by, but not replicate or replace, non-MBS funding mechanisms</w:t>
      </w:r>
    </w:p>
    <w:p w14:paraId="38D716E4" w14:textId="2827994B" w:rsidR="00217579" w:rsidRDefault="00217579" w:rsidP="009F4203">
      <w:pPr>
        <w:pStyle w:val="Heading2"/>
      </w:pPr>
      <w:bookmarkStart w:id="28" w:name="_Toc239079070"/>
      <w:r>
        <w:t>Principle 1</w:t>
      </w:r>
      <w:r w:rsidR="00124531">
        <w:t xml:space="preserve"> – </w:t>
      </w:r>
      <w:r w:rsidRPr="001877E4">
        <w:t>Condition-specific consultation items should be minimised in primary care settings to allow practitioners to deliver holistic, clinically relevant care to patients through appropriate time-tiered items</w:t>
      </w:r>
      <w:bookmarkEnd w:id="28"/>
    </w:p>
    <w:p w14:paraId="2C952A03" w14:textId="7E73E6CF" w:rsidR="003B31E9" w:rsidRDefault="00BB528E" w:rsidP="00BB528E">
      <w:r>
        <w:t xml:space="preserve">When forming its recommendations for time-tiered items, the TTWG focused on ensuring that primary care is adequately funded to provide whole-of-person care. </w:t>
      </w:r>
      <w:r w:rsidR="00540266">
        <w:t>The TTWG considered that the ability to treat the whole patient is core to the speciality of general practice.</w:t>
      </w:r>
    </w:p>
    <w:p w14:paraId="09BAF88C" w14:textId="243F7D72" w:rsidR="003E7E18" w:rsidRDefault="00540266" w:rsidP="00BB528E">
      <w:r>
        <w:t>Noting that general attendance items can be used when no other item applies, t</w:t>
      </w:r>
      <w:r w:rsidR="00BB528E">
        <w:t xml:space="preserve">he TTWG </w:t>
      </w:r>
      <w:r w:rsidR="003B31E9">
        <w:t xml:space="preserve">therefore </w:t>
      </w:r>
      <w:r w:rsidR="00BB528E">
        <w:t xml:space="preserve">aimed to avoid a fragmented system that incentivised </w:t>
      </w:r>
      <w:r w:rsidR="006D09D7">
        <w:t xml:space="preserve">attendances for </w:t>
      </w:r>
      <w:r w:rsidR="00BB528E">
        <w:t>certain conditions</w:t>
      </w:r>
      <w:r w:rsidR="00030AAA">
        <w:t xml:space="preserve"> or encourage</w:t>
      </w:r>
      <w:r w:rsidR="002E4381">
        <w:t>d</w:t>
      </w:r>
      <w:r w:rsidR="00030AAA">
        <w:t xml:space="preserve"> multiple appointments</w:t>
      </w:r>
      <w:r w:rsidR="004B390E">
        <w:t>.</w:t>
      </w:r>
    </w:p>
    <w:p w14:paraId="5E4A0EEB" w14:textId="2C0D2D71" w:rsidR="002E4381" w:rsidRDefault="002E4381" w:rsidP="00BB528E">
      <w:r>
        <w:t>In addition, the TTWG noted that</w:t>
      </w:r>
      <w:r w:rsidR="004965A5">
        <w:t>, although</w:t>
      </w:r>
      <w:r>
        <w:t xml:space="preserve"> </w:t>
      </w:r>
      <w:r w:rsidR="00C149BE">
        <w:t xml:space="preserve">some condition or treatment-specific time-tiered items had different fees to the </w:t>
      </w:r>
      <w:r w:rsidR="006A1A30">
        <w:t>general attendance items,</w:t>
      </w:r>
      <w:r>
        <w:t xml:space="preserve"> the general time-tiered attendance items attract triple bulk</w:t>
      </w:r>
      <w:r w:rsidR="004965A5">
        <w:t>-</w:t>
      </w:r>
      <w:r>
        <w:t>billing incentives, condition or treatment-specific items do not.</w:t>
      </w:r>
    </w:p>
    <w:p w14:paraId="3E414B34" w14:textId="7B37BD9B" w:rsidR="00706D13" w:rsidRDefault="00030AAA" w:rsidP="004965A5">
      <w:r>
        <w:t>The overarching view of the TTWG was that in a time-tiered system the MBS benefits</w:t>
      </w:r>
      <w:r w:rsidR="009A2636">
        <w:t xml:space="preserve"> for consultations</w:t>
      </w:r>
      <w:r>
        <w:t xml:space="preserve"> should reflect the time spent with the patient, rather than the condition(s)</w:t>
      </w:r>
      <w:r w:rsidR="009A2636">
        <w:t xml:space="preserve"> </w:t>
      </w:r>
      <w:r w:rsidR="00301F1A">
        <w:t xml:space="preserve">of </w:t>
      </w:r>
      <w:r w:rsidR="009A2636">
        <w:t>the patient</w:t>
      </w:r>
      <w:r w:rsidR="00301F1A">
        <w:t>.</w:t>
      </w:r>
      <w:r>
        <w:t xml:space="preserve"> </w:t>
      </w:r>
    </w:p>
    <w:p w14:paraId="570894FB" w14:textId="558F32E9" w:rsidR="00B555CB" w:rsidRDefault="00B555CB" w:rsidP="00B555CB">
      <w:pPr>
        <w:pStyle w:val="Heading3"/>
        <w:rPr>
          <w:highlight w:val="yellow"/>
        </w:rPr>
      </w:pPr>
      <w:bookmarkStart w:id="29" w:name="_Toc239079071"/>
      <w:r w:rsidRPr="00317EA2">
        <w:t>Pregnancy support counselling and acupuncture services</w:t>
      </w:r>
      <w:bookmarkEnd w:id="29"/>
    </w:p>
    <w:p w14:paraId="1D49961F" w14:textId="1D98A818" w:rsidR="007D54A6" w:rsidRDefault="00E12AD9" w:rsidP="00E12AD9">
      <w:pPr>
        <w:pStyle w:val="Heading4"/>
      </w:pPr>
      <w:r>
        <w:t>N</w:t>
      </w:r>
      <w:r w:rsidRPr="00E12AD9">
        <w:t>on-Directive Pregnancy Counselling</w:t>
      </w:r>
      <w:r>
        <w:t xml:space="preserve"> services</w:t>
      </w:r>
    </w:p>
    <w:p w14:paraId="63C2D1B3" w14:textId="5635B57B" w:rsidR="006703A2" w:rsidRDefault="009547A0" w:rsidP="005D72A7">
      <w:r>
        <w:t>Non-</w:t>
      </w:r>
      <w:r w:rsidR="009151D7">
        <w:t>directive pregnancy counselling (NDPC) was introduced into the MB</w:t>
      </w:r>
      <w:r w:rsidR="00F25E44">
        <w:t>S</w:t>
      </w:r>
      <w:r w:rsidR="009151D7">
        <w:t xml:space="preserve"> in 2006.</w:t>
      </w:r>
      <w:r w:rsidR="00F25E44">
        <w:t xml:space="preserve"> </w:t>
      </w:r>
      <w:r w:rsidR="00200DC6">
        <w:t>Medical practitioner i</w:t>
      </w:r>
      <w:r w:rsidR="006A1A30">
        <w:t>tems</w:t>
      </w:r>
      <w:r w:rsidR="00F25E44">
        <w:t xml:space="preserve"> are available for GPs and PMPs who have completed NDPC training</w:t>
      </w:r>
      <w:r w:rsidR="005D72A7">
        <w:t xml:space="preserve"> to deliver NDPC attendances lasting at least 20 minutes.</w:t>
      </w:r>
      <w:r w:rsidR="006703A2">
        <w:t xml:space="preserve"> GPs and prescribed medical practitioners (PMPs) </w:t>
      </w:r>
      <w:r w:rsidR="00967FA7">
        <w:t xml:space="preserve">who </w:t>
      </w:r>
      <w:r w:rsidR="006703A2">
        <w:t xml:space="preserve">have not completed the training </w:t>
      </w:r>
      <w:r w:rsidR="003E329B">
        <w:t>can</w:t>
      </w:r>
      <w:r w:rsidR="006703A2">
        <w:t xml:space="preserve"> deliver equivalent services using general attendance items.</w:t>
      </w:r>
    </w:p>
    <w:p w14:paraId="0C2171FA" w14:textId="15E4F68B" w:rsidR="00E12AD9" w:rsidRDefault="00225543" w:rsidP="0000388A">
      <w:pPr>
        <w:pStyle w:val="NormalBeforeBullet"/>
      </w:pPr>
      <w:r>
        <w:t xml:space="preserve">The TTWG noted that </w:t>
      </w:r>
      <w:r w:rsidR="00200DC6">
        <w:t xml:space="preserve">the </w:t>
      </w:r>
      <w:r>
        <w:t>NDPC training required to access the NDCP items</w:t>
      </w:r>
      <w:r w:rsidR="006703A2">
        <w:t xml:space="preserve"> is</w:t>
      </w:r>
      <w:r w:rsidR="00B40940">
        <w:t xml:space="preserve"> now</w:t>
      </w:r>
      <w:r w:rsidR="006703A2">
        <w:t xml:space="preserve"> a component of the Pregnancy and Reproductive Health unit of the </w:t>
      </w:r>
      <w:r w:rsidR="0052022A" w:rsidRPr="0052022A">
        <w:t>Royal Australian College of General Practitioners (</w:t>
      </w:r>
      <w:r w:rsidR="006703A2" w:rsidRPr="0052022A">
        <w:t>RACGP</w:t>
      </w:r>
      <w:r w:rsidR="0052022A" w:rsidRPr="0052022A">
        <w:t>)</w:t>
      </w:r>
      <w:r w:rsidR="006703A2" w:rsidRPr="0052022A">
        <w:t xml:space="preserve"> fellowship</w:t>
      </w:r>
      <w:r w:rsidR="006703A2">
        <w:t xml:space="preserve"> curriculum. As a result, all </w:t>
      </w:r>
      <w:r w:rsidR="002A6AF5">
        <w:t>general practitioners (</w:t>
      </w:r>
      <w:r w:rsidR="006703A2">
        <w:t>GPs</w:t>
      </w:r>
      <w:r w:rsidR="002A6AF5">
        <w:t>)</w:t>
      </w:r>
      <w:r w:rsidR="006703A2">
        <w:t xml:space="preserve"> who attained RACGP fellowship under the current curriculum maintain an NDPC training credential.</w:t>
      </w:r>
      <w:r w:rsidR="00C461DD">
        <w:t xml:space="preserve"> </w:t>
      </w:r>
      <w:r w:rsidR="0000388A">
        <w:t>For t</w:t>
      </w:r>
      <w:r w:rsidR="008E1F91">
        <w:t xml:space="preserve">he following </w:t>
      </w:r>
      <w:r w:rsidR="0000388A">
        <w:t>practitioners, NDCP training is available as a 3</w:t>
      </w:r>
      <w:r w:rsidR="00AB52F9">
        <w:t>-hour</w:t>
      </w:r>
      <w:r w:rsidR="0000388A">
        <w:t xml:space="preserve"> (</w:t>
      </w:r>
      <w:r w:rsidR="006C016D">
        <w:t xml:space="preserve">Australian College of Rural and Remote Medicine; </w:t>
      </w:r>
      <w:r w:rsidR="0000388A">
        <w:t xml:space="preserve">ACRRM) or </w:t>
      </w:r>
      <w:r w:rsidR="00AB52F9">
        <w:t xml:space="preserve">a </w:t>
      </w:r>
      <w:r w:rsidR="0000388A">
        <w:t>4</w:t>
      </w:r>
      <w:r w:rsidR="00AB52F9">
        <w:t>-hour</w:t>
      </w:r>
      <w:r w:rsidR="0000388A">
        <w:t xml:space="preserve"> (RACGP) Continuing Professional Development (CPD):</w:t>
      </w:r>
    </w:p>
    <w:p w14:paraId="32FDE453" w14:textId="6771B456" w:rsidR="00E54D54" w:rsidRDefault="00E54D54" w:rsidP="00E54D54">
      <w:pPr>
        <w:pStyle w:val="Bullet"/>
      </w:pPr>
      <w:r>
        <w:t>RACGP fellows who attained fellowship before 2023</w:t>
      </w:r>
    </w:p>
    <w:p w14:paraId="512D1BBE" w14:textId="34DBB27C" w:rsidR="00E54D54" w:rsidRDefault="00E54D54" w:rsidP="00342BDD">
      <w:pPr>
        <w:pStyle w:val="Bullet"/>
      </w:pPr>
      <w:r>
        <w:t>ACRRM fellows (core generalist)</w:t>
      </w:r>
    </w:p>
    <w:p w14:paraId="702D7718" w14:textId="6D031533" w:rsidR="000A756F" w:rsidRDefault="002A6AF5" w:rsidP="00342BDD">
      <w:pPr>
        <w:pStyle w:val="BulletLast"/>
      </w:pPr>
      <w:r>
        <w:t>prescribed medical practitioners (</w:t>
      </w:r>
      <w:r w:rsidR="00E54D54">
        <w:t>PMP</w:t>
      </w:r>
      <w:r w:rsidR="00342BDD">
        <w:t>s</w:t>
      </w:r>
      <w:r>
        <w:t>)</w:t>
      </w:r>
      <w:r w:rsidR="008E1F91">
        <w:t>.</w:t>
      </w:r>
    </w:p>
    <w:p w14:paraId="30F7A53C" w14:textId="68AF426E" w:rsidR="0051155C" w:rsidDel="008E1F91" w:rsidRDefault="0000388A" w:rsidP="0051155C">
      <w:pPr>
        <w:pStyle w:val="BulletLast"/>
        <w:numPr>
          <w:ilvl w:val="0"/>
          <w:numId w:val="0"/>
        </w:numPr>
      </w:pPr>
      <w:r>
        <w:t>Ongoing CPD training is not required to maintain the credentialling.</w:t>
      </w:r>
    </w:p>
    <w:p w14:paraId="7742B818" w14:textId="64F6CBC1" w:rsidR="00E54D54" w:rsidRDefault="00C35EDE" w:rsidP="00B724C1">
      <w:pPr>
        <w:pStyle w:val="BulletLast"/>
        <w:numPr>
          <w:ilvl w:val="0"/>
          <w:numId w:val="0"/>
        </w:numPr>
      </w:pPr>
      <w:r>
        <w:t xml:space="preserve">The TTWG noted that </w:t>
      </w:r>
      <w:r w:rsidR="00E54D54">
        <w:t>MBS claiming of NDPC items continues to increase, with total GP services experiencing an average annual growth rate of 14%</w:t>
      </w:r>
      <w:r w:rsidR="002F676C">
        <w:t xml:space="preserve"> (see Figure 1).</w:t>
      </w:r>
    </w:p>
    <w:p w14:paraId="0EAA76EE" w14:textId="20615396" w:rsidR="002F676C" w:rsidRPr="005C5D01" w:rsidRDefault="00877035" w:rsidP="005C5D01">
      <w:pPr>
        <w:pStyle w:val="FigureTitle"/>
      </w:pPr>
      <w:r w:rsidRPr="005C5D01">
        <w:lastRenderedPageBreak/>
        <w:t>Figure 1:</w:t>
      </w:r>
      <w:r w:rsidRPr="005C5D01">
        <w:tab/>
      </w:r>
      <w:r w:rsidR="00634FD2" w:rsidRPr="005C5D01">
        <w:t>Non-Directive Pregnancy Counselling services delivered, 2020</w:t>
      </w:r>
      <w:r w:rsidR="00A02374">
        <w:t>–</w:t>
      </w:r>
      <w:r w:rsidR="00634FD2" w:rsidRPr="005C5D01">
        <w:t>21 to 2024</w:t>
      </w:r>
      <w:r w:rsidR="00A02374">
        <w:t>–</w:t>
      </w:r>
      <w:r w:rsidR="00634FD2" w:rsidRPr="005C5D01">
        <w:t>25</w:t>
      </w:r>
    </w:p>
    <w:p w14:paraId="62FDD28B" w14:textId="0A664050" w:rsidR="00877035" w:rsidRPr="002F676C" w:rsidRDefault="00877035" w:rsidP="00836365">
      <w:pPr>
        <w:pStyle w:val="TFIHolder"/>
        <w:rPr>
          <w:highlight w:val="yellow"/>
        </w:rPr>
      </w:pPr>
      <w:r>
        <w:rPr>
          <w:noProof/>
        </w:rPr>
        <w:drawing>
          <wp:inline distT="0" distB="0" distL="0" distR="0" wp14:anchorId="0FBDFFD4" wp14:editId="33BF9FCC">
            <wp:extent cx="4704139" cy="2859483"/>
            <wp:effectExtent l="0" t="0" r="1270" b="17145"/>
            <wp:docPr id="46187647" name="Chart 1">
              <a:extLst xmlns:a="http://schemas.openxmlformats.org/drawingml/2006/main">
                <a:ext uri="{FF2B5EF4-FFF2-40B4-BE49-F238E27FC236}">
                  <a16:creationId xmlns:a16="http://schemas.microsoft.com/office/drawing/2014/main" id="{3842FDF0-8FF7-4F67-6D75-7219658CE8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4CEE0A2" w14:textId="220C7D17" w:rsidR="00836365" w:rsidRDefault="00836365" w:rsidP="00836365">
      <w:pPr>
        <w:pStyle w:val="TFAbbrevsSpace"/>
      </w:pPr>
      <w:r>
        <w:t>GP = general practitioner; PMP = prescribed medical practitioner</w:t>
      </w:r>
    </w:p>
    <w:p w14:paraId="189138E2" w14:textId="3BC8FCE9" w:rsidR="00B0300F" w:rsidRDefault="00087F83" w:rsidP="00984B7A">
      <w:pPr>
        <w:pStyle w:val="NormalBeforeBullet"/>
      </w:pPr>
      <w:r>
        <w:t>Given the availability of general time-tiered consultation items, the</w:t>
      </w:r>
      <w:r w:rsidR="00FC6371">
        <w:t xml:space="preserve"> TTWG considered that there is </w:t>
      </w:r>
      <w:r>
        <w:t xml:space="preserve">little </w:t>
      </w:r>
      <w:r w:rsidR="00FC6371">
        <w:t xml:space="preserve">justification for separate MBS items that </w:t>
      </w:r>
      <w:r w:rsidR="00761764">
        <w:t>recognise qualifications that</w:t>
      </w:r>
      <w:r w:rsidR="006D4865">
        <w:t xml:space="preserve"> are</w:t>
      </w:r>
      <w:r w:rsidR="00761764">
        <w:t>:</w:t>
      </w:r>
    </w:p>
    <w:p w14:paraId="6A4AA945" w14:textId="04CA21DD" w:rsidR="00AE6AD5" w:rsidRDefault="00761764" w:rsidP="00984B7A">
      <w:pPr>
        <w:pStyle w:val="Bullet"/>
      </w:pPr>
      <w:r>
        <w:t xml:space="preserve">within the standard scope of practice of the </w:t>
      </w:r>
      <w:r w:rsidR="00166A44">
        <w:t>relevant profession (</w:t>
      </w:r>
      <w:r w:rsidR="0071694A">
        <w:t xml:space="preserve">for example, </w:t>
      </w:r>
      <w:r w:rsidR="00166A44">
        <w:t>standard GP training)</w:t>
      </w:r>
      <w:r w:rsidR="008B4E14">
        <w:t xml:space="preserve"> </w:t>
      </w:r>
    </w:p>
    <w:p w14:paraId="12119DD1" w14:textId="464BF033" w:rsidR="00761764" w:rsidRDefault="008B4E14" w:rsidP="00984B7A">
      <w:pPr>
        <w:pStyle w:val="NormalBeforeBullet"/>
      </w:pPr>
      <w:r>
        <w:t>or</w:t>
      </w:r>
    </w:p>
    <w:p w14:paraId="638CC7E9" w14:textId="1FF78BDE" w:rsidR="008B4E14" w:rsidRDefault="00166A44" w:rsidP="00984B7A">
      <w:pPr>
        <w:pStyle w:val="BulletLast"/>
      </w:pPr>
      <w:r>
        <w:t>recognise CPD</w:t>
      </w:r>
      <w:r w:rsidR="008B4E14">
        <w:t>-level training</w:t>
      </w:r>
      <w:r>
        <w:t xml:space="preserve"> with no ongoing </w:t>
      </w:r>
      <w:r w:rsidR="008B4E14">
        <w:t>CPD requirements.</w:t>
      </w:r>
    </w:p>
    <w:p w14:paraId="312AB06B" w14:textId="7691DCC1" w:rsidR="007D54A6" w:rsidRDefault="007D54A6" w:rsidP="007D54A6">
      <w:pPr>
        <w:pStyle w:val="Heading4"/>
      </w:pPr>
      <w:r>
        <w:t>Acupuncture</w:t>
      </w:r>
      <w:r w:rsidR="00E12AD9">
        <w:t xml:space="preserve"> services</w:t>
      </w:r>
    </w:p>
    <w:p w14:paraId="77A5DF3A" w14:textId="5778224E" w:rsidR="00021527" w:rsidRDefault="001E3A4B" w:rsidP="001E3A4B">
      <w:r>
        <w:t xml:space="preserve">Time-tiered acupuncture items were introduced to the MBS in 1984. Acupuncture items replicate both the clinical requirements and service durations of </w:t>
      </w:r>
      <w:r w:rsidR="00E47BC1">
        <w:t>level</w:t>
      </w:r>
      <w:r w:rsidR="00FE102A">
        <w:t>s</w:t>
      </w:r>
      <w:r>
        <w:t xml:space="preserve"> B, C and D attendance items, but stipulate</w:t>
      </w:r>
      <w:r w:rsidR="00E616E5">
        <w:t>d</w:t>
      </w:r>
      <w:r>
        <w:t xml:space="preserve"> that acupuncture</w:t>
      </w:r>
      <w:r w:rsidR="00240C21">
        <w:t xml:space="preserve"> </w:t>
      </w:r>
      <w:r w:rsidR="00E616E5">
        <w:t>be</w:t>
      </w:r>
      <w:r>
        <w:t xml:space="preserve"> provided as part of the attendance</w:t>
      </w:r>
      <w:r w:rsidR="00240C21">
        <w:t>.</w:t>
      </w:r>
      <w:r w:rsidR="00766EAC">
        <w:t xml:space="preserve"> This review incorporates the post</w:t>
      </w:r>
      <w:r w:rsidR="006748AE">
        <w:t>-implementation review of changes to acupuncture items in 2022</w:t>
      </w:r>
      <w:r w:rsidR="00962C10">
        <w:t xml:space="preserve"> at the recommendation of the MBS </w:t>
      </w:r>
      <w:r w:rsidR="00ED6FEA">
        <w:t>R</w:t>
      </w:r>
      <w:r w:rsidR="00962C10">
        <w:t>eview Taskforce.</w:t>
      </w:r>
    </w:p>
    <w:p w14:paraId="10345100" w14:textId="30435DC7" w:rsidR="00240C21" w:rsidRDefault="00240C21" w:rsidP="00240C21">
      <w:r>
        <w:t xml:space="preserve">The TTWG noted that </w:t>
      </w:r>
      <w:r w:rsidR="005B2D6B">
        <w:t>u</w:t>
      </w:r>
      <w:r>
        <w:t>se of MBS acupuncture services been declin</w:t>
      </w:r>
      <w:r w:rsidR="008159B7">
        <w:t>ing</w:t>
      </w:r>
      <w:r>
        <w:t xml:space="preserve"> since 2016</w:t>
      </w:r>
      <w:r w:rsidR="005B2D6B">
        <w:t>–</w:t>
      </w:r>
      <w:r>
        <w:t xml:space="preserve">17 (Figure </w:t>
      </w:r>
      <w:r w:rsidR="008159B7">
        <w:t>2</w:t>
      </w:r>
      <w:r>
        <w:t>)</w:t>
      </w:r>
      <w:r w:rsidR="005B2D6B">
        <w:t>, including a</w:t>
      </w:r>
      <w:r>
        <w:t xml:space="preserve"> significant drop in services </w:t>
      </w:r>
      <w:r w:rsidR="005C1CE7">
        <w:t>in</w:t>
      </w:r>
      <w:r>
        <w:t xml:space="preserve"> 2021</w:t>
      </w:r>
      <w:r w:rsidR="005B2D6B">
        <w:t>–</w:t>
      </w:r>
      <w:r>
        <w:t xml:space="preserve">22. </w:t>
      </w:r>
      <w:r w:rsidR="005B2D6B">
        <w:t>This</w:t>
      </w:r>
      <w:r w:rsidR="00A27E8B">
        <w:t xml:space="preserve"> is </w:t>
      </w:r>
      <w:r>
        <w:t>likely attributable</w:t>
      </w:r>
      <w:r w:rsidR="00A27E8B">
        <w:t xml:space="preserve"> </w:t>
      </w:r>
      <w:r>
        <w:t>to the impacts of the COVID-19 pandemic,</w:t>
      </w:r>
      <w:r w:rsidR="00A27E8B">
        <w:t xml:space="preserve"> but</w:t>
      </w:r>
      <w:r>
        <w:t xml:space="preserve"> service levels did not rebound </w:t>
      </w:r>
      <w:r w:rsidR="00532850">
        <w:t>after the pandemic</w:t>
      </w:r>
      <w:r>
        <w:t>.</w:t>
      </w:r>
      <w:r w:rsidR="00532850">
        <w:t xml:space="preserve"> </w:t>
      </w:r>
      <w:r>
        <w:t xml:space="preserve">Acupuncture services continued to decline </w:t>
      </w:r>
      <w:r w:rsidR="00A27E8B">
        <w:t xml:space="preserve">after changes were </w:t>
      </w:r>
      <w:r>
        <w:t>implement</w:t>
      </w:r>
      <w:r w:rsidR="00A27E8B">
        <w:t>ed</w:t>
      </w:r>
      <w:r>
        <w:t xml:space="preserve"> </w:t>
      </w:r>
      <w:r w:rsidR="00A27E8B">
        <w:t xml:space="preserve">on </w:t>
      </w:r>
      <w:r>
        <w:t>1</w:t>
      </w:r>
      <w:r w:rsidR="00A27E8B">
        <w:t> </w:t>
      </w:r>
      <w:r>
        <w:t>November 2022, with total services falling by 18.2% between 2022</w:t>
      </w:r>
      <w:r w:rsidR="00207C6A">
        <w:t>–</w:t>
      </w:r>
      <w:r>
        <w:t>23 and</w:t>
      </w:r>
      <w:r w:rsidR="00207C6A">
        <w:t xml:space="preserve"> </w:t>
      </w:r>
      <w:r>
        <w:t>2024</w:t>
      </w:r>
      <w:r w:rsidR="00207C6A">
        <w:t>–</w:t>
      </w:r>
      <w:r>
        <w:t>25</w:t>
      </w:r>
      <w:r w:rsidR="00C02C15">
        <w:t xml:space="preserve"> (Figure </w:t>
      </w:r>
      <w:r w:rsidR="008159B7">
        <w:t>2</w:t>
      </w:r>
      <w:r w:rsidR="00C02C15">
        <w:t>)</w:t>
      </w:r>
      <w:r w:rsidR="00207C6A">
        <w:t xml:space="preserve">. During this time, claims </w:t>
      </w:r>
      <w:r w:rsidR="00C94B97">
        <w:t>for</w:t>
      </w:r>
      <w:r>
        <w:t xml:space="preserve"> the most delivered acupuncture service (</w:t>
      </w:r>
      <w:r w:rsidR="00207C6A">
        <w:t xml:space="preserve">MBS </w:t>
      </w:r>
      <w:r>
        <w:t xml:space="preserve">item 193) decreased by 27.5%, </w:t>
      </w:r>
      <w:r w:rsidR="00207C6A">
        <w:t>and</w:t>
      </w:r>
      <w:r>
        <w:t xml:space="preserve"> MBS item 195 (for in</w:t>
      </w:r>
      <w:r w:rsidR="00207C6A">
        <w:t>-</w:t>
      </w:r>
      <w:r>
        <w:t xml:space="preserve">hospital acupuncture services) was claimed only </w:t>
      </w:r>
      <w:r w:rsidR="00207C6A">
        <w:t>4 </w:t>
      </w:r>
      <w:r>
        <w:t>times</w:t>
      </w:r>
      <w:r w:rsidR="00207C6A">
        <w:t>.</w:t>
      </w:r>
    </w:p>
    <w:p w14:paraId="5E648A20" w14:textId="053AAEC4" w:rsidR="00C02C15" w:rsidRDefault="00C02C15" w:rsidP="00C02C15">
      <w:pPr>
        <w:pStyle w:val="FigureTitle"/>
      </w:pPr>
      <w:r>
        <w:lastRenderedPageBreak/>
        <w:t xml:space="preserve">Figure </w:t>
      </w:r>
      <w:r w:rsidR="008159B7">
        <w:t>2</w:t>
      </w:r>
      <w:r>
        <w:t>:</w:t>
      </w:r>
      <w:r>
        <w:tab/>
        <w:t>Acupuncture services claimed</w:t>
      </w:r>
      <w:r w:rsidR="0014737B">
        <w:t xml:space="preserve"> (MBS item</w:t>
      </w:r>
      <w:r w:rsidR="00591F66">
        <w:t>s</w:t>
      </w:r>
      <w:r w:rsidR="0014737B">
        <w:t xml:space="preserve"> 193</w:t>
      </w:r>
      <w:r w:rsidR="008762B2">
        <w:t>,</w:t>
      </w:r>
      <w:r w:rsidR="00591F66">
        <w:t xml:space="preserve"> 195</w:t>
      </w:r>
      <w:r w:rsidR="008762B2">
        <w:t>, 197 and 199</w:t>
      </w:r>
      <w:r w:rsidR="0014737B">
        <w:t>)</w:t>
      </w:r>
      <w:r w:rsidR="00915386">
        <w:t>,</w:t>
      </w:r>
      <w:r>
        <w:t xml:space="preserve"> 2014–1</w:t>
      </w:r>
      <w:r w:rsidR="005634E0">
        <w:t>5</w:t>
      </w:r>
      <w:r>
        <w:t xml:space="preserve"> to 2024–25</w:t>
      </w:r>
    </w:p>
    <w:p w14:paraId="4D7E70C7" w14:textId="4B5BB98F" w:rsidR="00240C21" w:rsidRDefault="00915386" w:rsidP="00240C21">
      <w:pPr>
        <w:rPr>
          <w:highlight w:val="yellow"/>
        </w:rPr>
      </w:pPr>
      <w:r>
        <w:rPr>
          <w:noProof/>
        </w:rPr>
        <w:drawing>
          <wp:inline distT="0" distB="0" distL="0" distR="0" wp14:anchorId="18EA92AC" wp14:editId="21BA9730">
            <wp:extent cx="4963131" cy="2965193"/>
            <wp:effectExtent l="0" t="0" r="9525" b="6985"/>
            <wp:docPr id="1530003869" name="Chart 1">
              <a:extLst xmlns:a="http://schemas.openxmlformats.org/drawingml/2006/main">
                <a:ext uri="{FF2B5EF4-FFF2-40B4-BE49-F238E27FC236}">
                  <a16:creationId xmlns:a16="http://schemas.microsoft.com/office/drawing/2014/main" id="{25DB61F3-1845-2152-78C8-0D217FC77C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D238533" w14:textId="779E2C34" w:rsidR="008D4266" w:rsidRDefault="008D4266" w:rsidP="00EC41E6">
      <w:r>
        <w:t xml:space="preserve">The number of providers billing acupuncture items, and the average number of acupuncture services billed per provider, also </w:t>
      </w:r>
      <w:r w:rsidR="00C31739">
        <w:t>decreased</w:t>
      </w:r>
      <w:r>
        <w:t xml:space="preserve"> between 2020–21 and 2023–24.</w:t>
      </w:r>
      <w:r w:rsidR="00EC41E6">
        <w:t xml:space="preserve"> GP bulk-billing rates for acupuncture services have also decreased since 2021–22.</w:t>
      </w:r>
    </w:p>
    <w:p w14:paraId="0B11ED0C" w14:textId="2774E80A" w:rsidR="00813F88" w:rsidRDefault="00C61CB0" w:rsidP="00813F88">
      <w:r>
        <w:t xml:space="preserve">Regarding the </w:t>
      </w:r>
      <w:r w:rsidR="00813F88">
        <w:t xml:space="preserve">continued decline after </w:t>
      </w:r>
      <w:r w:rsidR="00875FC9">
        <w:t xml:space="preserve">changes were </w:t>
      </w:r>
      <w:r w:rsidR="00813F88">
        <w:t>implement</w:t>
      </w:r>
      <w:r w:rsidR="00875FC9">
        <w:t>ed</w:t>
      </w:r>
      <w:r w:rsidR="00813F88">
        <w:t xml:space="preserve"> </w:t>
      </w:r>
      <w:r w:rsidR="00C31739">
        <w:t xml:space="preserve">on </w:t>
      </w:r>
      <w:r w:rsidR="00813F88">
        <w:t>1</w:t>
      </w:r>
      <w:r w:rsidR="00875FC9">
        <w:t> </w:t>
      </w:r>
      <w:r w:rsidR="00813F88">
        <w:t>November 2022</w:t>
      </w:r>
      <w:r>
        <w:t>, t</w:t>
      </w:r>
      <w:r w:rsidR="00875FC9">
        <w:t xml:space="preserve">he TTWG considered </w:t>
      </w:r>
      <w:r w:rsidR="00813F88">
        <w:t>that multiple factors</w:t>
      </w:r>
      <w:r>
        <w:t>,</w:t>
      </w:r>
      <w:r w:rsidR="00813F88">
        <w:t xml:space="preserve"> including changes to the acupuncture endorsement </w:t>
      </w:r>
      <w:r w:rsidR="00875FC9">
        <w:t>m</w:t>
      </w:r>
      <w:r w:rsidR="00813F88">
        <w:t>odel and the potential provision of acupuncture within general care</w:t>
      </w:r>
      <w:r>
        <w:t>, have contributed to the decline</w:t>
      </w:r>
      <w:r w:rsidR="00813F88">
        <w:t>.</w:t>
      </w:r>
    </w:p>
    <w:p w14:paraId="266739B9" w14:textId="1F6FA127" w:rsidR="004F3FF4" w:rsidRPr="00F9431E" w:rsidRDefault="009D0EA0" w:rsidP="004E3314">
      <w:r>
        <w:t>The TTW</w:t>
      </w:r>
      <w:r w:rsidR="00E261B8">
        <w:t>G</w:t>
      </w:r>
      <w:r>
        <w:t xml:space="preserve"> also noted that </w:t>
      </w:r>
      <w:r w:rsidR="004F3FF4">
        <w:t xml:space="preserve">time-tiered attendance items for GPs attract a higher MBS benefit than the equivalent acupuncture items. Further, where a service is </w:t>
      </w:r>
      <w:r w:rsidR="00A2202F">
        <w:t>bulk-bill</w:t>
      </w:r>
      <w:r w:rsidR="004F3FF4">
        <w:t xml:space="preserve">ed, the general attendance items attract a triple bulk-billing incentive while the acupuncture items attract single </w:t>
      </w:r>
      <w:r w:rsidR="00A2202F">
        <w:t>bulk-bill</w:t>
      </w:r>
      <w:r w:rsidR="004F3FF4">
        <w:t>ing incentives.</w:t>
      </w:r>
      <w:r w:rsidR="004E3314">
        <w:t xml:space="preserve"> Given the higher renumeration for attendance items, it is possible that GPs with an endorsement for acupuncture are also using attendance items, rather than the acupuncture items, when providing </w:t>
      </w:r>
      <w:r w:rsidR="004E3314" w:rsidRPr="00F9431E">
        <w:t>acupuncture services.</w:t>
      </w:r>
      <w:r w:rsidR="002576D2" w:rsidRPr="00F9431E">
        <w:rPr>
          <w:rStyle w:val="FootnoteReference"/>
        </w:rPr>
        <w:footnoteReference w:id="6"/>
      </w:r>
    </w:p>
    <w:p w14:paraId="18CD442B" w14:textId="77777777" w:rsidR="00333C27" w:rsidRDefault="008A3549" w:rsidP="000E699E">
      <w:r>
        <w:t xml:space="preserve">After reviewing these </w:t>
      </w:r>
      <w:r w:rsidR="000E699E">
        <w:t>data, the TTWG questioned the ongoing purpose and value of maintaining specific MBS acupuncture items. Removal of all acupuncture items would support streamlining the MBS and</w:t>
      </w:r>
      <w:r>
        <w:t xml:space="preserve"> increase the benefits received by patients because the </w:t>
      </w:r>
      <w:r w:rsidR="000E699E">
        <w:t>regulatory barriers to the use of attendance item</w:t>
      </w:r>
      <w:r>
        <w:t xml:space="preserve"> would be removed</w:t>
      </w:r>
      <w:r w:rsidR="000E699E">
        <w:t>.</w:t>
      </w:r>
    </w:p>
    <w:p w14:paraId="0C80C94C" w14:textId="324BC3E0" w:rsidR="00836AFA" w:rsidRDefault="00DE22C4" w:rsidP="000E699E">
      <w:r w:rsidRPr="00F9431E">
        <w:t xml:space="preserve">The TTWG acknowledged that </w:t>
      </w:r>
      <w:r>
        <w:t xml:space="preserve">either </w:t>
      </w:r>
      <w:r w:rsidRPr="00F9431E">
        <w:t xml:space="preserve">Medical Board of Australia </w:t>
      </w:r>
      <w:r>
        <w:t xml:space="preserve">(MBA) </w:t>
      </w:r>
      <w:r w:rsidRPr="00F9431E">
        <w:t>endorsement</w:t>
      </w:r>
      <w:r>
        <w:t>,</w:t>
      </w:r>
      <w:r w:rsidRPr="00F9431E">
        <w:t xml:space="preserve"> or Chinese Medicine Board of Australia </w:t>
      </w:r>
      <w:r>
        <w:t xml:space="preserve">(CMBA) </w:t>
      </w:r>
      <w:r w:rsidRPr="00F9431E">
        <w:t>recognition</w:t>
      </w:r>
      <w:r>
        <w:t>,</w:t>
      </w:r>
      <w:r w:rsidRPr="00F9431E">
        <w:t xml:space="preserve"> in acupuncture</w:t>
      </w:r>
      <w:r>
        <w:t xml:space="preserve"> is required to bill the MBS acupuncture items. M</w:t>
      </w:r>
      <w:r w:rsidR="000E699E">
        <w:t>edical practitioners with an endorsement or registration in acupuncture would be able continue to describe themselves as ‘acupuncturists’ in accordance with the MBA and CMBA’s guidelines and have access to time-tiered items to deliver acupuncture services</w:t>
      </w:r>
      <w:r w:rsidR="00FA2C0D">
        <w:t xml:space="preserve"> if this recommendation were adopted</w:t>
      </w:r>
      <w:r w:rsidR="000E699E">
        <w:t>.</w:t>
      </w:r>
    </w:p>
    <w:p w14:paraId="2E960092" w14:textId="77777777" w:rsidR="00217579" w:rsidRPr="00D0162E" w:rsidRDefault="00217579" w:rsidP="00CA10F9">
      <w:pPr>
        <w:pStyle w:val="BoxTitle"/>
      </w:pPr>
      <w:r w:rsidRPr="00D0162E">
        <w:lastRenderedPageBreak/>
        <w:t>Recommendation 2</w:t>
      </w:r>
    </w:p>
    <w:p w14:paraId="4BA0AF6A" w14:textId="3F8F778B" w:rsidR="00217579" w:rsidRDefault="00217579" w:rsidP="00CA10F9">
      <w:pPr>
        <w:pStyle w:val="BoxText"/>
      </w:pPr>
      <w:r w:rsidRPr="00D0162E">
        <w:t xml:space="preserve">To enable the delivery of non-directive pregnancy support counselling and acupuncture services under general time-tiered attendance items, </w:t>
      </w:r>
      <w:r w:rsidR="00D159FC">
        <w:t>standalone</w:t>
      </w:r>
      <w:r w:rsidRPr="00D0162E">
        <w:t xml:space="preserve"> MBS items for these services should be ceased.</w:t>
      </w:r>
    </w:p>
    <w:p w14:paraId="1A2C8ED9" w14:textId="5C838353" w:rsidR="00A14FFB" w:rsidRDefault="00A14FFB" w:rsidP="00A14FFB">
      <w:pPr>
        <w:pStyle w:val="Heading3"/>
      </w:pPr>
      <w:bookmarkStart w:id="30" w:name="_Toc239079072"/>
      <w:r>
        <w:t>Bloodborne virus, and sexual and reproductive health services</w:t>
      </w:r>
      <w:bookmarkEnd w:id="30"/>
    </w:p>
    <w:p w14:paraId="027A87D8" w14:textId="58E394EA" w:rsidR="00466EC9" w:rsidRDefault="00466EC9" w:rsidP="00A14FFB">
      <w:r>
        <w:t>Telehealth items for blood bor</w:t>
      </w:r>
      <w:r w:rsidR="00F8760D">
        <w:t>ne viruses and sexual and reproductive health (BBV</w:t>
      </w:r>
      <w:r w:rsidR="006C016D">
        <w:t>S</w:t>
      </w:r>
      <w:r w:rsidR="00F8760D">
        <w:t xml:space="preserve">RH) were introduced to the MBS </w:t>
      </w:r>
      <w:r w:rsidR="009367A0">
        <w:t>in 2021</w:t>
      </w:r>
      <w:r w:rsidR="003D3F75">
        <w:t xml:space="preserve"> as temporary items</w:t>
      </w:r>
      <w:r w:rsidR="009367A0">
        <w:t xml:space="preserve">. </w:t>
      </w:r>
      <w:r w:rsidR="006816C1">
        <w:t>There are 24</w:t>
      </w:r>
      <w:r w:rsidR="00ED6FEA">
        <w:t> </w:t>
      </w:r>
      <w:r w:rsidR="006816C1">
        <w:t>time-tiered BBVSRH items for GPs and PMPs to provide these services via video and phone</w:t>
      </w:r>
      <w:r w:rsidR="00910F93">
        <w:t>. Unlike the standard telehealth consultation items, BBVSRH items</w:t>
      </w:r>
      <w:r w:rsidR="0079069F">
        <w:t xml:space="preserve"> are not subject to the </w:t>
      </w:r>
      <w:r w:rsidR="00ED6FEA">
        <w:t>‘</w:t>
      </w:r>
      <w:r w:rsidR="006B0318">
        <w:t>eligible</w:t>
      </w:r>
      <w:r w:rsidR="00910F93">
        <w:t xml:space="preserve"> telehealth practitioner</w:t>
      </w:r>
      <w:r w:rsidR="00ED6FEA">
        <w:t>’</w:t>
      </w:r>
      <w:r w:rsidR="00910F93">
        <w:t xml:space="preserve"> (also known as the </w:t>
      </w:r>
      <w:r w:rsidR="00ED6FEA">
        <w:t>‘</w:t>
      </w:r>
      <w:r w:rsidR="00910F93">
        <w:t>12 month</w:t>
      </w:r>
      <w:r w:rsidR="00ED6FEA">
        <w:t>’</w:t>
      </w:r>
      <w:r w:rsidR="00910F93">
        <w:t xml:space="preserve"> or </w:t>
      </w:r>
      <w:r w:rsidR="00ED6FEA">
        <w:t>‘</w:t>
      </w:r>
      <w:r w:rsidR="00910F93">
        <w:t>established clinical relationship</w:t>
      </w:r>
      <w:r w:rsidR="00ED6FEA">
        <w:t>’</w:t>
      </w:r>
      <w:r w:rsidR="00910F93">
        <w:t>) requirements</w:t>
      </w:r>
      <w:r w:rsidR="006816C1">
        <w:t>. There are no</w:t>
      </w:r>
      <w:r w:rsidR="00ED6FEA" w:rsidRPr="00ED6FEA">
        <w:t xml:space="preserve"> </w:t>
      </w:r>
      <w:r w:rsidR="00ED6FEA">
        <w:t>equivalent</w:t>
      </w:r>
      <w:r w:rsidR="006816C1">
        <w:t xml:space="preserve"> face</w:t>
      </w:r>
      <w:r w:rsidR="00ED6FEA">
        <w:t>-</w:t>
      </w:r>
      <w:r w:rsidR="006816C1">
        <w:t>to</w:t>
      </w:r>
      <w:r w:rsidR="00ED6FEA">
        <w:t>-</w:t>
      </w:r>
      <w:r w:rsidR="006816C1">
        <w:t>face items.</w:t>
      </w:r>
    </w:p>
    <w:p w14:paraId="6EBC4482" w14:textId="1C0F46FB" w:rsidR="008F6F4B" w:rsidRDefault="00ED6FEA" w:rsidP="00A14FFB">
      <w:r>
        <w:t xml:space="preserve">The </w:t>
      </w:r>
      <w:r w:rsidR="003D3F75">
        <w:t>MRAC’s Post-Implementation Review of Telehealth recommended that the BBVSRH</w:t>
      </w:r>
      <w:r w:rsidR="00440584">
        <w:t xml:space="preserve"> be made permanent and remain exempt from the </w:t>
      </w:r>
      <w:r>
        <w:t>‘</w:t>
      </w:r>
      <w:r w:rsidR="00440584">
        <w:t>eligible telehealth practitioner</w:t>
      </w:r>
      <w:r>
        <w:t>’</w:t>
      </w:r>
      <w:r w:rsidR="00440584">
        <w:t xml:space="preserve"> requirements</w:t>
      </w:r>
      <w:r w:rsidR="00995D7C">
        <w:t>.</w:t>
      </w:r>
      <w:r w:rsidR="008F6F4B">
        <w:t xml:space="preserve"> Th</w:t>
      </w:r>
      <w:r w:rsidR="00455D79">
        <w:t>is</w:t>
      </w:r>
      <w:r w:rsidR="008F6F4B">
        <w:t xml:space="preserve"> recommendation ha</w:t>
      </w:r>
      <w:r w:rsidR="00DE7A77">
        <w:t>s</w:t>
      </w:r>
      <w:r w:rsidR="008F6F4B">
        <w:t xml:space="preserve"> been implemented.</w:t>
      </w:r>
    </w:p>
    <w:p w14:paraId="4599FB95" w14:textId="77777777" w:rsidR="00925FD7" w:rsidRDefault="005D0312" w:rsidP="00A14FFB">
      <w:r>
        <w:t xml:space="preserve">The TTWG </w:t>
      </w:r>
      <w:r w:rsidR="00B31E84">
        <w:t xml:space="preserve">considered that the availability of telehealth BBVSRH services from a medical practitioner other than the patient’s </w:t>
      </w:r>
      <w:r w:rsidR="00B3299E">
        <w:t xml:space="preserve">eligible telehealth practitioner is </w:t>
      </w:r>
      <w:r w:rsidR="005A143A">
        <w:t>appropriate</w:t>
      </w:r>
      <w:r w:rsidR="00B3299E">
        <w:t xml:space="preserve">. </w:t>
      </w:r>
    </w:p>
    <w:p w14:paraId="1060B4BB" w14:textId="2CC693D6" w:rsidR="00944F4F" w:rsidRPr="00A14FFB" w:rsidRDefault="005A143A" w:rsidP="00A14FFB">
      <w:r>
        <w:t>However, in the context of this review</w:t>
      </w:r>
      <w:r w:rsidR="005C1304">
        <w:t>’s objective of streamlining the MBS</w:t>
      </w:r>
      <w:r w:rsidR="003A002A">
        <w:t xml:space="preserve">, the TTWG </w:t>
      </w:r>
      <w:r w:rsidR="00B90389">
        <w:t xml:space="preserve">noted that the </w:t>
      </w:r>
      <w:r w:rsidR="00455D79">
        <w:t xml:space="preserve">MRAC’s objective </w:t>
      </w:r>
      <w:r w:rsidR="00DE7A77">
        <w:t>of exempting these service</w:t>
      </w:r>
      <w:r w:rsidR="005504CD">
        <w:t xml:space="preserve">s from the eligible telehealth practitioner rule could be achieved </w:t>
      </w:r>
      <w:r w:rsidR="00714E60">
        <w:t>by including BBVSRH services in the general exemptions</w:t>
      </w:r>
      <w:r w:rsidR="00ED6FEA">
        <w:t>.</w:t>
      </w:r>
      <w:r w:rsidR="00925FD7">
        <w:rPr>
          <w:rStyle w:val="FootnoteReference"/>
        </w:rPr>
        <w:footnoteReference w:id="7"/>
      </w:r>
      <w:r w:rsidR="00925FD7">
        <w:t xml:space="preserve"> This would allow</w:t>
      </w:r>
      <w:r w:rsidR="00D626F9">
        <w:t xml:space="preserve"> GPs, PMPs and NPs to use general telehealth attendance items to provide these services to any patient. </w:t>
      </w:r>
      <w:r w:rsidR="001206C8">
        <w:t>The standalone MBS items for BBVSRH services could thus cease.</w:t>
      </w:r>
    </w:p>
    <w:p w14:paraId="6E764F32" w14:textId="77777777" w:rsidR="00217579" w:rsidRDefault="00217579" w:rsidP="00CA10F9">
      <w:pPr>
        <w:pStyle w:val="BoxTitle"/>
      </w:pPr>
      <w:r w:rsidRPr="001206C8">
        <w:t>Recommendation 3</w:t>
      </w:r>
    </w:p>
    <w:p w14:paraId="4BC91B43" w14:textId="34567420" w:rsidR="00217579" w:rsidRPr="00B7074D" w:rsidRDefault="00217579" w:rsidP="00344837">
      <w:pPr>
        <w:pStyle w:val="BoxText"/>
      </w:pPr>
      <w:r w:rsidRPr="00B7074D">
        <w:t>To enable the delivery of telehealth services for bloodborne viruses and sexual and reproductive health services under general time-tiered attendances, standalone items for these services should be replaced with a new exemption to the ‘patient’s eligible telehealth practitioner’ requirement (also known as the ‘12</w:t>
      </w:r>
      <w:r w:rsidR="00DD3C42" w:rsidRPr="00B7074D">
        <w:noBreakHyphen/>
      </w:r>
      <w:r w:rsidRPr="00B7074D">
        <w:t xml:space="preserve">month rule’) to ensure ongoing patient access to these services. </w:t>
      </w:r>
      <w:r w:rsidR="001206C8" w:rsidRPr="00B7074D">
        <w:t>The current standalone items could therefore cease.</w:t>
      </w:r>
    </w:p>
    <w:p w14:paraId="3F20AD67" w14:textId="77777777" w:rsidR="009F4203" w:rsidRDefault="009F4203" w:rsidP="00CA10F9">
      <w:pPr>
        <w:pStyle w:val="Heading3"/>
      </w:pPr>
      <w:bookmarkStart w:id="31" w:name="_Toc209528176"/>
      <w:bookmarkStart w:id="32" w:name="_Toc239079073"/>
      <w:r w:rsidRPr="009D01EB">
        <w:t>Antenatal attendance items</w:t>
      </w:r>
      <w:bookmarkEnd w:id="31"/>
      <w:bookmarkEnd w:id="32"/>
    </w:p>
    <w:p w14:paraId="28F83D5C" w14:textId="318D3D21" w:rsidR="00E37F1A" w:rsidRDefault="009F4203" w:rsidP="00745557">
      <w:hyperlink r:id="rId16" w:history="1">
        <w:r w:rsidRPr="004C0E30">
          <w:rPr>
            <w:rStyle w:val="Hyperlink"/>
          </w:rPr>
          <w:t>MBS item 16500</w:t>
        </w:r>
      </w:hyperlink>
      <w:r>
        <w:t xml:space="preserve"> covers routine face-to-face antenatal attendances, and MBS items </w:t>
      </w:r>
      <w:hyperlink r:id="rId17" w:history="1">
        <w:r w:rsidRPr="005D45FB">
          <w:rPr>
            <w:rStyle w:val="Hyperlink"/>
          </w:rPr>
          <w:t>91853</w:t>
        </w:r>
      </w:hyperlink>
      <w:r>
        <w:t xml:space="preserve"> and </w:t>
      </w:r>
      <w:hyperlink r:id="rId18" w:history="1">
        <w:r w:rsidRPr="00433388">
          <w:rPr>
            <w:rStyle w:val="Hyperlink"/>
          </w:rPr>
          <w:t>91858</w:t>
        </w:r>
      </w:hyperlink>
      <w:r>
        <w:t xml:space="preserve"> were added in 2020 and cover the equivalent telehealth and telephone services (as a result of </w:t>
      </w:r>
      <w:r w:rsidR="00E546AA">
        <w:t xml:space="preserve">the </w:t>
      </w:r>
      <w:r>
        <w:t>COVID-19</w:t>
      </w:r>
      <w:r w:rsidR="00E546AA">
        <w:t xml:space="preserve"> pandemic</w:t>
      </w:r>
      <w:r>
        <w:t xml:space="preserve">). </w:t>
      </w:r>
      <w:r w:rsidR="00E37F1A">
        <w:t xml:space="preserve">These items are used in both </w:t>
      </w:r>
      <w:r w:rsidR="00A82EE7">
        <w:t>primary care</w:t>
      </w:r>
      <w:r w:rsidR="00E37F1A">
        <w:t xml:space="preserve"> and </w:t>
      </w:r>
      <w:r w:rsidR="00A82EE7">
        <w:t xml:space="preserve">by specialist obstetricians. This </w:t>
      </w:r>
      <w:r w:rsidR="00F8616D">
        <w:t>TTWG only considered the use of these items in primary care, consistent with the scope of this review.</w:t>
      </w:r>
    </w:p>
    <w:p w14:paraId="63A911B2" w14:textId="271BE7D6" w:rsidR="009F4203" w:rsidRDefault="009F4203" w:rsidP="00745557">
      <w:r>
        <w:t>The TTWG noted that</w:t>
      </w:r>
      <w:r w:rsidR="004F3AC6">
        <w:t>, before</w:t>
      </w:r>
      <w:r w:rsidR="00156F0E">
        <w:t xml:space="preserve"> </w:t>
      </w:r>
      <w:r w:rsidR="00EB4F80">
        <w:t>this review, general practice stakeholders had raised concerns</w:t>
      </w:r>
      <w:r>
        <w:t xml:space="preserve"> the fees for the antenatal attendance MBS items remain the same regardless </w:t>
      </w:r>
      <w:r>
        <w:lastRenderedPageBreak/>
        <w:t>of the length of the consultation (that is, the items are not time-tiered)</w:t>
      </w:r>
      <w:r w:rsidR="00EB4F80">
        <w:t>.</w:t>
      </w:r>
      <w:r w:rsidR="007F75F8">
        <w:t xml:space="preserve"> </w:t>
      </w:r>
      <w:r w:rsidR="003677FE">
        <w:t>It was also noted that the</w:t>
      </w:r>
      <w:r>
        <w:t xml:space="preserve"> use</w:t>
      </w:r>
      <w:r w:rsidR="003677FE">
        <w:t xml:space="preserve"> of these items</w:t>
      </w:r>
      <w:r>
        <w:t xml:space="preserve"> in primary care is decreasing (Figure </w:t>
      </w:r>
      <w:r w:rsidR="00E546AA">
        <w:t>3</w:t>
      </w:r>
      <w:r>
        <w:t>).</w:t>
      </w:r>
    </w:p>
    <w:p w14:paraId="39C7CD84" w14:textId="6C396163" w:rsidR="000267D8" w:rsidRDefault="00B41513" w:rsidP="00745557">
      <w:r w:rsidRPr="00B41513">
        <w:t>From 2018–19 to 2022–23, most antenatal attendance services claimed in primary care were not co-claimed with another MBS item. For example, in 2022–23, 86% of antenatal attendance services claimed were not co-claimed with another MBS item</w:t>
      </w:r>
      <w:r w:rsidR="00DA63AD">
        <w:t xml:space="preserve"> (excluding bulk</w:t>
      </w:r>
      <w:r w:rsidR="004F3AC6">
        <w:t>-</w:t>
      </w:r>
      <w:r w:rsidR="00DA63AD">
        <w:t>billing incentives)</w:t>
      </w:r>
      <w:r w:rsidRPr="00B41513">
        <w:t>.</w:t>
      </w:r>
      <w:r w:rsidR="0061296D">
        <w:t xml:space="preserve"> Importantly, </w:t>
      </w:r>
      <w:r w:rsidR="00B81521">
        <w:t xml:space="preserve">although </w:t>
      </w:r>
      <w:r w:rsidR="0061296D">
        <w:t>the proportion of antenatal attendance</w:t>
      </w:r>
      <w:r w:rsidR="00D017BE">
        <w:t xml:space="preserve">s items </w:t>
      </w:r>
      <w:r w:rsidR="0061296D">
        <w:t>co-claimed with another item has increased, the number of co-</w:t>
      </w:r>
      <w:r w:rsidR="0092636E">
        <w:t>claimed</w:t>
      </w:r>
      <w:r w:rsidR="0061296D">
        <w:t xml:space="preserve"> attendances has </w:t>
      </w:r>
      <w:r w:rsidR="00263B77">
        <w:t>remained stable</w:t>
      </w:r>
      <w:r w:rsidR="0061296D">
        <w:t xml:space="preserve">. </w:t>
      </w:r>
      <w:r w:rsidR="00901AFC">
        <w:t>T</w:t>
      </w:r>
      <w:r w:rsidR="0061296D">
        <w:t xml:space="preserve">he </w:t>
      </w:r>
      <w:r w:rsidR="00C03885">
        <w:t xml:space="preserve">increasing proportion </w:t>
      </w:r>
      <w:r w:rsidR="0092636E">
        <w:t xml:space="preserve">of co-claiming is due to a reduction in the overall use of the </w:t>
      </w:r>
      <w:r w:rsidR="00263B77">
        <w:t>antenatal attendance items.</w:t>
      </w:r>
    </w:p>
    <w:p w14:paraId="2275BD6D" w14:textId="7A256814" w:rsidR="00B41513" w:rsidRDefault="00B41513" w:rsidP="00745557">
      <w:r w:rsidRPr="00B41513">
        <w:t>The most frequently co-claimed service in 2022–23 was MBS item 23</w:t>
      </w:r>
      <w:r w:rsidR="004F3AC6">
        <w:t>,</w:t>
      </w:r>
      <w:r w:rsidR="00A91ABA">
        <w:t xml:space="preserve"> </w:t>
      </w:r>
      <w:r w:rsidRPr="00B41513">
        <w:t>a general attendance item (Figure 4)</w:t>
      </w:r>
      <w:r w:rsidR="00A91ABA">
        <w:t>, which was co-claimed with less than 4.5% of antenatal attendances in primary care</w:t>
      </w:r>
      <w:r w:rsidRPr="00B41513">
        <w:t>.</w:t>
      </w:r>
      <w:r w:rsidR="00A91ABA">
        <w:t xml:space="preserve"> The next most commonly co-claimed items were MBS item 4001 for non-directive pregnancy counselling</w:t>
      </w:r>
      <w:r w:rsidR="00930B63">
        <w:t>,</w:t>
      </w:r>
      <w:r w:rsidR="00110E44">
        <w:t xml:space="preserve"> MBS</w:t>
      </w:r>
      <w:r w:rsidR="00930B63">
        <w:t xml:space="preserve"> item 73806 for pregnancy testing, </w:t>
      </w:r>
      <w:r w:rsidR="00110E44">
        <w:t xml:space="preserve">MBS </w:t>
      </w:r>
      <w:r w:rsidR="00930B63">
        <w:t>item 36 f</w:t>
      </w:r>
      <w:r w:rsidR="000F13D6">
        <w:t>o</w:t>
      </w:r>
      <w:r w:rsidR="00930B63">
        <w:t>r level C attendance</w:t>
      </w:r>
      <w:r w:rsidR="000F13D6">
        <w:t>s</w:t>
      </w:r>
      <w:r w:rsidR="004F3AC6">
        <w:t xml:space="preserve"> and</w:t>
      </w:r>
      <w:r w:rsidR="00930B63">
        <w:t xml:space="preserve"> </w:t>
      </w:r>
      <w:r w:rsidR="00110E44">
        <w:t xml:space="preserve">MBS item </w:t>
      </w:r>
      <w:r w:rsidR="000F13D6">
        <w:t>55703</w:t>
      </w:r>
      <w:r w:rsidR="00110E44">
        <w:t xml:space="preserve"> </w:t>
      </w:r>
      <w:r w:rsidR="00FE7263">
        <w:t xml:space="preserve">for ultrasound </w:t>
      </w:r>
      <w:r w:rsidR="0098157C">
        <w:t>at less than 12 weeks gestation.</w:t>
      </w:r>
    </w:p>
    <w:p w14:paraId="5677EAD9" w14:textId="50899CDD" w:rsidR="00EC7B06" w:rsidRDefault="00EC7B06" w:rsidP="00745557">
      <w:r>
        <w:t xml:space="preserve">The TTWG also noted that, while the </w:t>
      </w:r>
      <w:r w:rsidR="004F3AC6">
        <w:t>bulk-bill</w:t>
      </w:r>
      <w:r>
        <w:t xml:space="preserve">ing rate for item 16500 in general practice was </w:t>
      </w:r>
      <w:r w:rsidR="00DA63AD">
        <w:t>60.9% in 2023</w:t>
      </w:r>
      <w:r w:rsidR="004F3AC6">
        <w:t>–</w:t>
      </w:r>
      <w:r w:rsidR="00DA63AD">
        <w:t xml:space="preserve">24, </w:t>
      </w:r>
      <w:r w:rsidR="004F3AC6">
        <w:t>bulk-bill</w:t>
      </w:r>
      <w:r w:rsidR="00DA63AD">
        <w:t xml:space="preserve">ing incentives were only claimed with </w:t>
      </w:r>
      <w:r w:rsidR="0029474E">
        <w:t xml:space="preserve">12.8% of services, reflecting the proportion of women of reproductive age who were eligible for </w:t>
      </w:r>
      <w:r w:rsidR="004F3AC6">
        <w:t>bulk-billing incentives</w:t>
      </w:r>
      <w:r w:rsidR="0029474E">
        <w:t xml:space="preserve"> at that time</w:t>
      </w:r>
      <w:r w:rsidR="004F3AC6">
        <w:t>.</w:t>
      </w:r>
      <w:r w:rsidR="0029474E">
        <w:rPr>
          <w:rStyle w:val="FootnoteReference"/>
        </w:rPr>
        <w:footnoteReference w:id="8"/>
      </w:r>
    </w:p>
    <w:p w14:paraId="6818CC3A" w14:textId="4B11A4F9" w:rsidR="009F4203" w:rsidRDefault="009F4203" w:rsidP="009F4203">
      <w:pPr>
        <w:pStyle w:val="FigureTitle"/>
      </w:pPr>
      <w:r>
        <w:t>Figure </w:t>
      </w:r>
      <w:r w:rsidR="00E546AA">
        <w:t>3</w:t>
      </w:r>
      <w:r>
        <w:t xml:space="preserve">: </w:t>
      </w:r>
      <w:r>
        <w:tab/>
        <w:t xml:space="preserve">Use of antenatal </w:t>
      </w:r>
      <w:r w:rsidRPr="009F4203">
        <w:t>attendance</w:t>
      </w:r>
      <w:r>
        <w:t xml:space="preserve"> MBS items </w:t>
      </w:r>
      <w:r w:rsidRPr="007426E7">
        <w:t>16500, 91853 and 91858</w:t>
      </w:r>
      <w:r>
        <w:t xml:space="preserve"> in primary care, 2018–19 to 2022–23</w:t>
      </w:r>
    </w:p>
    <w:p w14:paraId="1A5FC2DC" w14:textId="77777777" w:rsidR="009F4203" w:rsidRDefault="009F4203" w:rsidP="009F4203">
      <w:r>
        <w:rPr>
          <w:noProof/>
        </w:rPr>
        <w:drawing>
          <wp:inline distT="0" distB="0" distL="0" distR="0" wp14:anchorId="583D69FA" wp14:editId="1A352ED0">
            <wp:extent cx="4572000" cy="2743200"/>
            <wp:effectExtent l="0" t="0" r="0" b="0"/>
            <wp:docPr id="391426756" name="Chart 1">
              <a:extLst xmlns:a="http://schemas.openxmlformats.org/drawingml/2006/main">
                <a:ext uri="{FF2B5EF4-FFF2-40B4-BE49-F238E27FC236}">
                  <a16:creationId xmlns:a16="http://schemas.microsoft.com/office/drawing/2014/main" id="{35C9D60B-F393-9A1E-54A8-DE8B9C6A6A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A97E808" w14:textId="2D098919" w:rsidR="009F4203" w:rsidRDefault="009F4203" w:rsidP="009F4203">
      <w:pPr>
        <w:pStyle w:val="FigureName"/>
      </w:pPr>
      <w:r>
        <w:lastRenderedPageBreak/>
        <w:t xml:space="preserve">Figure </w:t>
      </w:r>
      <w:r w:rsidR="00EA0F00">
        <w:t>4</w:t>
      </w:r>
      <w:r>
        <w:t>:</w:t>
      </w:r>
      <w:r>
        <w:tab/>
        <w:t xml:space="preserve">MBS items most frequently co-claimed with </w:t>
      </w:r>
      <w:r w:rsidRPr="004B74C6">
        <w:t xml:space="preserve">antenatal attendance </w:t>
      </w:r>
      <w:r>
        <w:t xml:space="preserve">MBS </w:t>
      </w:r>
      <w:r w:rsidRPr="004B74C6">
        <w:t xml:space="preserve">items </w:t>
      </w:r>
      <w:r w:rsidRPr="007426E7">
        <w:t>16500, 91853 and 91858</w:t>
      </w:r>
      <w:r>
        <w:t xml:space="preserve"> </w:t>
      </w:r>
      <w:r w:rsidRPr="004B74C6">
        <w:t>in primary care</w:t>
      </w:r>
      <w:r>
        <w:t>, 2022–23</w:t>
      </w:r>
    </w:p>
    <w:p w14:paraId="60AD61C8" w14:textId="77777777" w:rsidR="009F4203" w:rsidRDefault="009F4203" w:rsidP="009F4203">
      <w:pPr>
        <w:pStyle w:val="TableTitle"/>
      </w:pPr>
      <w:r>
        <w:rPr>
          <w:noProof/>
        </w:rPr>
        <w:drawing>
          <wp:inline distT="0" distB="0" distL="0" distR="0" wp14:anchorId="697FAC46" wp14:editId="5A8EEEEA">
            <wp:extent cx="4958442" cy="3336472"/>
            <wp:effectExtent l="0" t="0" r="13970" b="16510"/>
            <wp:docPr id="180430563" name="Chart 1">
              <a:extLst xmlns:a="http://schemas.openxmlformats.org/drawingml/2006/main">
                <a:ext uri="{FF2B5EF4-FFF2-40B4-BE49-F238E27FC236}">
                  <a16:creationId xmlns:a16="http://schemas.microsoft.com/office/drawing/2014/main" id="{5450BEF9-C185-1727-5991-546F40BB4B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F5896FD" w14:textId="1725F8ED" w:rsidR="00906D6A" w:rsidRDefault="00906D6A" w:rsidP="009F4203">
      <w:r>
        <w:t xml:space="preserve">The TTWG noted that, currently, </w:t>
      </w:r>
      <w:r w:rsidRPr="00906D6A">
        <w:t xml:space="preserve">the MBS benefit for an antenatal attendance is around 6% higher than a </w:t>
      </w:r>
      <w:r w:rsidR="00E47BC1">
        <w:t>level</w:t>
      </w:r>
      <w:r w:rsidRPr="00906D6A">
        <w:t xml:space="preserve"> B attendance. However, </w:t>
      </w:r>
      <w:r>
        <w:t xml:space="preserve">currently, </w:t>
      </w:r>
      <w:r w:rsidRPr="00906D6A">
        <w:t xml:space="preserve">the existence of the antenatal attendance item precludes GPs from claiming </w:t>
      </w:r>
      <w:r w:rsidR="00E47BC1">
        <w:t>level</w:t>
      </w:r>
      <w:r w:rsidRPr="00906D6A">
        <w:t xml:space="preserve"> C, D or E attendance items when they conduct an antenatal attendance longer than 20</w:t>
      </w:r>
      <w:r w:rsidR="007E4B15">
        <w:t> </w:t>
      </w:r>
      <w:r w:rsidRPr="00906D6A">
        <w:t>minutes, which pay significantly higher benefits than the antenatal attendance items.</w:t>
      </w:r>
    </w:p>
    <w:p w14:paraId="5FF70D84" w14:textId="53E04F47" w:rsidR="00551B5B" w:rsidRDefault="009F4203" w:rsidP="009F4203">
      <w:r w:rsidRPr="00A62093">
        <w:t xml:space="preserve">As </w:t>
      </w:r>
      <w:r w:rsidRPr="00321D0E">
        <w:t>of 1 July 202</w:t>
      </w:r>
      <w:r w:rsidR="00760732" w:rsidRPr="00321D0E">
        <w:t>6</w:t>
      </w:r>
      <w:r w:rsidRPr="00760732">
        <w:t xml:space="preserve">, the </w:t>
      </w:r>
      <w:r w:rsidR="00F474E4">
        <w:t>benefit</w:t>
      </w:r>
      <w:r w:rsidR="00F474E4" w:rsidRPr="00760732">
        <w:t xml:space="preserve"> </w:t>
      </w:r>
      <w:r w:rsidRPr="00760732">
        <w:t>for MBS items 16500, 91853 and 91858 was $</w:t>
      </w:r>
      <w:r w:rsidR="00CB1C26">
        <w:t>48.00 when provided out of hospital</w:t>
      </w:r>
      <w:r w:rsidR="004F3AC6">
        <w:t>.</w:t>
      </w:r>
      <w:r w:rsidR="008B5527">
        <w:rPr>
          <w:rStyle w:val="FootnoteReference"/>
        </w:rPr>
        <w:footnoteReference w:id="9"/>
      </w:r>
      <w:r>
        <w:t xml:space="preserve"> Since MBS item 16500 was introduced more than 30 years ago, there have been substantial changes in the antenatal health care provided during primary care consultations, and an antenatal attendance likely takes longer than it did in the past.</w:t>
      </w:r>
    </w:p>
    <w:p w14:paraId="768D1E8E" w14:textId="60680FB2" w:rsidR="009F4203" w:rsidRDefault="009F4203" w:rsidP="009F4203">
      <w:r>
        <w:t xml:space="preserve">The TTWG considered the decreasing use of the antenatal attendance MBS items in primary care suggested the items were no longer fit for purpose in primary care. The TTWG recognised that the decreasing use may indicate practitioners are instead using time-tiered general attendance MBS items, which may better reflect the time spent by practitioners providing antenatal health care. For example, as of </w:t>
      </w:r>
      <w:r w:rsidRPr="00D77353">
        <w:t>1 July 202</w:t>
      </w:r>
      <w:r w:rsidR="00B94475" w:rsidRPr="00D77353">
        <w:t>6</w:t>
      </w:r>
      <w:r>
        <w:t xml:space="preserve">, </w:t>
      </w:r>
      <w:hyperlink r:id="rId21" w:history="1">
        <w:r w:rsidRPr="00AC7AFB">
          <w:rPr>
            <w:rStyle w:val="Hyperlink"/>
          </w:rPr>
          <w:t>MBS item 36</w:t>
        </w:r>
      </w:hyperlink>
      <w:r>
        <w:t xml:space="preserve"> – a </w:t>
      </w:r>
      <w:r w:rsidR="00E47BC1">
        <w:t>level</w:t>
      </w:r>
      <w:r>
        <w:t xml:space="preserve"> C general attendance MBS item for attendances lasting at least 20 minutes </w:t>
      </w:r>
      <w:r w:rsidR="00D77353">
        <w:t>but less than 40 minutes</w:t>
      </w:r>
      <w:r>
        <w:t xml:space="preserve">– had a </w:t>
      </w:r>
      <w:r w:rsidR="00551B5B">
        <w:t>benefit</w:t>
      </w:r>
      <w:r>
        <w:t xml:space="preserve"> of $</w:t>
      </w:r>
      <w:r w:rsidR="00B94475">
        <w:t>87.10</w:t>
      </w:r>
      <w:r>
        <w:t>.</w:t>
      </w:r>
    </w:p>
    <w:p w14:paraId="1682BA79" w14:textId="54421A9B" w:rsidR="00AE1B43" w:rsidRDefault="009F4203" w:rsidP="009F4203">
      <w:r w:rsidRPr="00485254">
        <w:t>The TTWG also recognised that</w:t>
      </w:r>
      <w:r w:rsidR="00913F87">
        <w:t xml:space="preserve">, </w:t>
      </w:r>
      <w:r w:rsidR="004F3AC6">
        <w:t xml:space="preserve">although </w:t>
      </w:r>
      <w:r w:rsidR="00913F87">
        <w:t>the antenatal attendance</w:t>
      </w:r>
      <w:r w:rsidRPr="00485254">
        <w:t xml:space="preserve"> </w:t>
      </w:r>
      <w:r w:rsidR="007B356D">
        <w:t xml:space="preserve">can be claimed with single </w:t>
      </w:r>
      <w:r w:rsidR="004F3AC6">
        <w:t>bulk-bill</w:t>
      </w:r>
      <w:r w:rsidR="007B356D">
        <w:t>ing incentives</w:t>
      </w:r>
      <w:r w:rsidR="00AA4091">
        <w:t xml:space="preserve">, </w:t>
      </w:r>
      <w:r w:rsidRPr="00485254">
        <w:t>general attendance MBS items</w:t>
      </w:r>
      <w:r w:rsidR="00AA4091">
        <w:t xml:space="preserve"> (level B and above)</w:t>
      </w:r>
      <w:r w:rsidRPr="00485254">
        <w:t xml:space="preserve"> are eligible for a triple bulk-billing incentive payment.</w:t>
      </w:r>
      <w:r w:rsidR="00AE1B43">
        <w:t xml:space="preserve"> </w:t>
      </w:r>
      <w:r w:rsidR="00A934CD">
        <w:t>T</w:t>
      </w:r>
      <w:r w:rsidRPr="00485254">
        <w:t>h</w:t>
      </w:r>
      <w:r w:rsidR="00A934CD">
        <w:t xml:space="preserve">e expansion of </w:t>
      </w:r>
      <w:r w:rsidR="004F3AC6">
        <w:t>bulk-billing incentives</w:t>
      </w:r>
      <w:r w:rsidR="00391677">
        <w:t xml:space="preserve"> to all Medicare-eligible patients and the </w:t>
      </w:r>
      <w:r w:rsidRPr="00485254">
        <w:t xml:space="preserve">introduction of the Bulk-billing Practice Incentive Program (BBPIP) on 1 November 2025 has </w:t>
      </w:r>
      <w:r w:rsidR="003B394B">
        <w:t>increased the significance of this difference</w:t>
      </w:r>
      <w:r w:rsidR="00183348">
        <w:t xml:space="preserve"> (see </w:t>
      </w:r>
      <w:r w:rsidR="00377572">
        <w:t>T</w:t>
      </w:r>
      <w:r w:rsidR="00183348">
        <w:t>able</w:t>
      </w:r>
      <w:r w:rsidR="00377572">
        <w:t> </w:t>
      </w:r>
      <w:r w:rsidR="00354EB8">
        <w:t>1</w:t>
      </w:r>
      <w:r w:rsidR="00183348">
        <w:t>)</w:t>
      </w:r>
      <w:r w:rsidRPr="00485254">
        <w:t xml:space="preserve">. </w:t>
      </w:r>
      <w:r w:rsidR="00AE1B43">
        <w:t>Unlike general attendance items, antenatal attendances are not eligible services for the purpose of the BBPIP.</w:t>
      </w:r>
    </w:p>
    <w:p w14:paraId="7BFD6D02" w14:textId="22707266" w:rsidR="00EC3618" w:rsidRDefault="00EC3618" w:rsidP="00354EB8">
      <w:pPr>
        <w:pStyle w:val="TableTitle"/>
      </w:pPr>
      <w:r>
        <w:lastRenderedPageBreak/>
        <w:t xml:space="preserve">Table </w:t>
      </w:r>
      <w:r>
        <w:fldChar w:fldCharType="begin"/>
      </w:r>
      <w:r>
        <w:instrText>SEQ Table \* ARABIC</w:instrText>
      </w:r>
      <w:r>
        <w:fldChar w:fldCharType="separate"/>
      </w:r>
      <w:r>
        <w:rPr>
          <w:noProof/>
        </w:rPr>
        <w:t>1</w:t>
      </w:r>
      <w:r>
        <w:fldChar w:fldCharType="end"/>
      </w:r>
      <w:r w:rsidR="004F3AC6">
        <w:t>:</w:t>
      </w:r>
      <w:r w:rsidR="004F3AC6">
        <w:tab/>
      </w:r>
      <w:r>
        <w:t>Comparison of Government payments for an antenatal attendance, level B and level C for a bulk-billed patient in Modified Monash 1 areas</w:t>
      </w:r>
    </w:p>
    <w:tbl>
      <w:tblPr>
        <w:tblW w:w="787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977"/>
        <w:gridCol w:w="2126"/>
        <w:gridCol w:w="1110"/>
        <w:gridCol w:w="1333"/>
        <w:gridCol w:w="1330"/>
      </w:tblGrid>
      <w:tr w:rsidR="004F3AC6" w:rsidRPr="000C59ED" w14:paraId="53407517" w14:textId="77777777" w:rsidTr="00354EB8">
        <w:trPr>
          <w:trHeight w:val="300"/>
        </w:trPr>
        <w:tc>
          <w:tcPr>
            <w:tcW w:w="4103" w:type="dxa"/>
            <w:gridSpan w:val="2"/>
            <w:tcBorders>
              <w:top w:val="single" w:sz="6" w:space="0" w:color="auto"/>
              <w:left w:val="single" w:sz="6" w:space="0" w:color="auto"/>
              <w:bottom w:val="single" w:sz="6" w:space="0" w:color="auto"/>
              <w:right w:val="single" w:sz="6" w:space="0" w:color="auto"/>
            </w:tcBorders>
          </w:tcPr>
          <w:p w14:paraId="09832D2B" w14:textId="77777777" w:rsidR="004F3AC6" w:rsidRPr="000C59ED" w:rsidDel="004F3AC6" w:rsidRDefault="004F3AC6" w:rsidP="00354EB8">
            <w:pPr>
              <w:pStyle w:val="TableHeading"/>
            </w:pPr>
            <w:r>
              <w:t>MBS benefit</w:t>
            </w:r>
          </w:p>
          <w:p w14:paraId="2CE14E9F" w14:textId="6122C8F9" w:rsidR="004F3AC6" w:rsidRPr="000C59ED" w:rsidRDefault="004F3AC6" w:rsidP="00354EB8">
            <w:pPr>
              <w:pStyle w:val="TableHeading"/>
            </w:pPr>
          </w:p>
        </w:tc>
        <w:tc>
          <w:tcPr>
            <w:tcW w:w="1110" w:type="dxa"/>
            <w:tcBorders>
              <w:top w:val="single" w:sz="6" w:space="0" w:color="auto"/>
              <w:left w:val="single" w:sz="6" w:space="0" w:color="auto"/>
              <w:bottom w:val="single" w:sz="6" w:space="0" w:color="auto"/>
              <w:right w:val="single" w:sz="6" w:space="0" w:color="auto"/>
            </w:tcBorders>
            <w:hideMark/>
          </w:tcPr>
          <w:p w14:paraId="5A920074" w14:textId="2EEFF0E1" w:rsidR="004F3AC6" w:rsidRPr="000C59ED" w:rsidRDefault="004F3AC6" w:rsidP="00354EB8">
            <w:pPr>
              <w:pStyle w:val="TableHeading"/>
            </w:pPr>
            <w:r w:rsidRPr="000C59ED">
              <w:rPr>
                <w:lang w:val="en-US"/>
              </w:rPr>
              <w:t>Antenatal attendance</w:t>
            </w:r>
          </w:p>
        </w:tc>
        <w:tc>
          <w:tcPr>
            <w:tcW w:w="1333" w:type="dxa"/>
            <w:tcBorders>
              <w:top w:val="single" w:sz="6" w:space="0" w:color="auto"/>
              <w:left w:val="single" w:sz="6" w:space="0" w:color="auto"/>
              <w:bottom w:val="single" w:sz="6" w:space="0" w:color="auto"/>
              <w:right w:val="single" w:sz="6" w:space="0" w:color="auto"/>
            </w:tcBorders>
            <w:hideMark/>
          </w:tcPr>
          <w:p w14:paraId="2E28420D" w14:textId="4E34C05F" w:rsidR="004F3AC6" w:rsidRPr="000C59ED" w:rsidRDefault="004F3AC6" w:rsidP="00354EB8">
            <w:pPr>
              <w:pStyle w:val="TableHeading"/>
            </w:pPr>
            <w:r w:rsidRPr="000C59ED">
              <w:rPr>
                <w:lang w:val="en-US"/>
              </w:rPr>
              <w:t>Level B (item</w:t>
            </w:r>
            <w:r w:rsidR="00377572">
              <w:rPr>
                <w:lang w:val="en-US"/>
              </w:rPr>
              <w:t> </w:t>
            </w:r>
            <w:r w:rsidRPr="000C59ED">
              <w:rPr>
                <w:lang w:val="en-US"/>
              </w:rPr>
              <w:t>23)</w:t>
            </w:r>
          </w:p>
        </w:tc>
        <w:tc>
          <w:tcPr>
            <w:tcW w:w="1330" w:type="dxa"/>
            <w:tcBorders>
              <w:top w:val="single" w:sz="6" w:space="0" w:color="auto"/>
              <w:left w:val="single" w:sz="6" w:space="0" w:color="auto"/>
              <w:bottom w:val="single" w:sz="6" w:space="0" w:color="auto"/>
              <w:right w:val="single" w:sz="6" w:space="0" w:color="auto"/>
            </w:tcBorders>
            <w:hideMark/>
          </w:tcPr>
          <w:p w14:paraId="597AB361" w14:textId="71ABA1C6" w:rsidR="004F3AC6" w:rsidRPr="000C59ED" w:rsidRDefault="004F3AC6" w:rsidP="00354EB8">
            <w:pPr>
              <w:pStyle w:val="TableHeading"/>
            </w:pPr>
            <w:r w:rsidRPr="000C59ED">
              <w:rPr>
                <w:lang w:val="en-US"/>
              </w:rPr>
              <w:t>Level C (item</w:t>
            </w:r>
            <w:r w:rsidR="00377572">
              <w:rPr>
                <w:lang w:val="en-US"/>
              </w:rPr>
              <w:t> </w:t>
            </w:r>
            <w:r w:rsidRPr="000C59ED">
              <w:rPr>
                <w:lang w:val="en-US"/>
              </w:rPr>
              <w:t>36)</w:t>
            </w:r>
          </w:p>
        </w:tc>
      </w:tr>
      <w:tr w:rsidR="004F3AC6" w:rsidRPr="000C59ED" w14:paraId="7E3544C3" w14:textId="77777777" w:rsidTr="00354EB8">
        <w:trPr>
          <w:trHeight w:val="300"/>
        </w:trPr>
        <w:tc>
          <w:tcPr>
            <w:tcW w:w="4103" w:type="dxa"/>
            <w:gridSpan w:val="2"/>
            <w:tcBorders>
              <w:top w:val="single" w:sz="6" w:space="0" w:color="auto"/>
              <w:left w:val="single" w:sz="6" w:space="0" w:color="auto"/>
              <w:bottom w:val="single" w:sz="6" w:space="0" w:color="auto"/>
              <w:right w:val="single" w:sz="6" w:space="0" w:color="auto"/>
            </w:tcBorders>
          </w:tcPr>
          <w:p w14:paraId="6AD8DFED" w14:textId="49568F94" w:rsidR="004F3AC6" w:rsidRPr="000C59ED" w:rsidRDefault="004F3AC6" w:rsidP="00354EB8">
            <w:pPr>
              <w:pStyle w:val="TableText"/>
            </w:pPr>
            <w:r w:rsidRPr="000C59ED">
              <w:rPr>
                <w:lang w:val="en-US"/>
              </w:rPr>
              <w:t>MBS benefit (out of hospital)</w:t>
            </w:r>
            <w:r w:rsidRPr="000C59ED">
              <w:t> </w:t>
            </w:r>
          </w:p>
        </w:tc>
        <w:tc>
          <w:tcPr>
            <w:tcW w:w="1110" w:type="dxa"/>
            <w:tcBorders>
              <w:top w:val="single" w:sz="6" w:space="0" w:color="auto"/>
              <w:left w:val="single" w:sz="6" w:space="0" w:color="auto"/>
              <w:bottom w:val="single" w:sz="6" w:space="0" w:color="auto"/>
              <w:right w:val="single" w:sz="6" w:space="0" w:color="auto"/>
            </w:tcBorders>
            <w:hideMark/>
          </w:tcPr>
          <w:p w14:paraId="1D136882" w14:textId="5FFE749F" w:rsidR="004F3AC6" w:rsidRPr="000C59ED" w:rsidRDefault="004F3AC6" w:rsidP="00354EB8">
            <w:pPr>
              <w:pStyle w:val="TableTextDA"/>
            </w:pPr>
            <w:r>
              <w:t>$48.00</w:t>
            </w:r>
          </w:p>
        </w:tc>
        <w:tc>
          <w:tcPr>
            <w:tcW w:w="1333" w:type="dxa"/>
            <w:tcBorders>
              <w:top w:val="single" w:sz="6" w:space="0" w:color="auto"/>
              <w:left w:val="single" w:sz="6" w:space="0" w:color="auto"/>
              <w:bottom w:val="single" w:sz="6" w:space="0" w:color="auto"/>
              <w:right w:val="single" w:sz="6" w:space="0" w:color="auto"/>
            </w:tcBorders>
          </w:tcPr>
          <w:p w14:paraId="0C9CFBCD" w14:textId="1B7975E4" w:rsidR="004F3AC6" w:rsidRPr="000C59ED" w:rsidRDefault="004F3AC6" w:rsidP="00354EB8">
            <w:pPr>
              <w:pStyle w:val="TableTextDA"/>
            </w:pPr>
            <w:r>
              <w:t>$45.05</w:t>
            </w:r>
          </w:p>
        </w:tc>
        <w:tc>
          <w:tcPr>
            <w:tcW w:w="1330" w:type="dxa"/>
            <w:tcBorders>
              <w:top w:val="single" w:sz="6" w:space="0" w:color="auto"/>
              <w:left w:val="single" w:sz="6" w:space="0" w:color="auto"/>
              <w:bottom w:val="single" w:sz="6" w:space="0" w:color="auto"/>
              <w:right w:val="single" w:sz="6" w:space="0" w:color="auto"/>
            </w:tcBorders>
          </w:tcPr>
          <w:p w14:paraId="7D74A044" w14:textId="0BEB8C9D" w:rsidR="004F3AC6" w:rsidRPr="000C59ED" w:rsidRDefault="004F3AC6" w:rsidP="00354EB8">
            <w:pPr>
              <w:pStyle w:val="TableTextDA"/>
            </w:pPr>
            <w:r>
              <w:t>$87.10</w:t>
            </w:r>
          </w:p>
        </w:tc>
      </w:tr>
      <w:tr w:rsidR="004F3AC6" w:rsidRPr="000C59ED" w14:paraId="66C42D8D" w14:textId="77777777" w:rsidTr="008762B2">
        <w:trPr>
          <w:trHeight w:val="300"/>
        </w:trPr>
        <w:tc>
          <w:tcPr>
            <w:tcW w:w="1977" w:type="dxa"/>
            <w:vMerge w:val="restart"/>
            <w:tcBorders>
              <w:top w:val="single" w:sz="6" w:space="0" w:color="auto"/>
              <w:left w:val="single" w:sz="6" w:space="0" w:color="auto"/>
              <w:right w:val="single" w:sz="6" w:space="0" w:color="auto"/>
            </w:tcBorders>
          </w:tcPr>
          <w:p w14:paraId="05B1BADF" w14:textId="1F429D88" w:rsidR="004F3AC6" w:rsidRPr="000C59ED" w:rsidDel="004F3AC6" w:rsidRDefault="004F3AC6" w:rsidP="00354EB8">
            <w:pPr>
              <w:pStyle w:val="TableText"/>
              <w:rPr>
                <w:lang w:val="en-US"/>
              </w:rPr>
            </w:pPr>
            <w:r w:rsidRPr="000C59ED">
              <w:rPr>
                <w:lang w:val="en-US"/>
              </w:rPr>
              <w:t xml:space="preserve">If the service is </w:t>
            </w:r>
            <w:r>
              <w:rPr>
                <w:lang w:val="en-US"/>
              </w:rPr>
              <w:t>bulk-bill</w:t>
            </w:r>
            <w:r w:rsidRPr="000C59ED">
              <w:rPr>
                <w:lang w:val="en-US"/>
              </w:rPr>
              <w:t>ed</w:t>
            </w:r>
          </w:p>
        </w:tc>
        <w:tc>
          <w:tcPr>
            <w:tcW w:w="2126" w:type="dxa"/>
            <w:tcBorders>
              <w:top w:val="single" w:sz="6" w:space="0" w:color="auto"/>
              <w:left w:val="single" w:sz="6" w:space="0" w:color="auto"/>
              <w:bottom w:val="single" w:sz="6" w:space="0" w:color="auto"/>
              <w:right w:val="single" w:sz="6" w:space="0" w:color="auto"/>
            </w:tcBorders>
            <w:hideMark/>
          </w:tcPr>
          <w:p w14:paraId="7B090C83" w14:textId="28F8C4DA" w:rsidR="004F3AC6" w:rsidRPr="000C59ED" w:rsidRDefault="004F3AC6" w:rsidP="00354EB8">
            <w:pPr>
              <w:pStyle w:val="TableText"/>
            </w:pPr>
            <w:r>
              <w:rPr>
                <w:lang w:val="en-US"/>
              </w:rPr>
              <w:t>Bulk-bill</w:t>
            </w:r>
            <w:r w:rsidRPr="000C59ED">
              <w:rPr>
                <w:lang w:val="en-US"/>
              </w:rPr>
              <w:t>ing incentive benefit </w:t>
            </w:r>
          </w:p>
        </w:tc>
        <w:tc>
          <w:tcPr>
            <w:tcW w:w="1110" w:type="dxa"/>
            <w:tcBorders>
              <w:top w:val="single" w:sz="6" w:space="0" w:color="auto"/>
              <w:left w:val="single" w:sz="6" w:space="0" w:color="auto"/>
              <w:bottom w:val="single" w:sz="6" w:space="0" w:color="auto"/>
              <w:right w:val="single" w:sz="6" w:space="0" w:color="auto"/>
            </w:tcBorders>
          </w:tcPr>
          <w:p w14:paraId="2531F028" w14:textId="729DF6FE" w:rsidR="004F3AC6" w:rsidRPr="000C59ED" w:rsidRDefault="004F3AC6" w:rsidP="00354EB8">
            <w:pPr>
              <w:pStyle w:val="TableTextDA"/>
            </w:pPr>
            <w:r>
              <w:t>$7.50</w:t>
            </w:r>
          </w:p>
        </w:tc>
        <w:tc>
          <w:tcPr>
            <w:tcW w:w="1333" w:type="dxa"/>
            <w:tcBorders>
              <w:top w:val="single" w:sz="6" w:space="0" w:color="auto"/>
              <w:left w:val="single" w:sz="6" w:space="0" w:color="auto"/>
              <w:bottom w:val="single" w:sz="6" w:space="0" w:color="auto"/>
              <w:right w:val="single" w:sz="6" w:space="0" w:color="auto"/>
            </w:tcBorders>
          </w:tcPr>
          <w:p w14:paraId="07D6FE09" w14:textId="5803F8FA" w:rsidR="004F3AC6" w:rsidRPr="000C59ED" w:rsidRDefault="004F3AC6" w:rsidP="00354EB8">
            <w:pPr>
              <w:pStyle w:val="TableTextDA"/>
            </w:pPr>
            <w:r>
              <w:t>$22.40</w:t>
            </w:r>
          </w:p>
        </w:tc>
        <w:tc>
          <w:tcPr>
            <w:tcW w:w="1330" w:type="dxa"/>
            <w:tcBorders>
              <w:top w:val="single" w:sz="6" w:space="0" w:color="auto"/>
              <w:left w:val="single" w:sz="6" w:space="0" w:color="auto"/>
              <w:bottom w:val="single" w:sz="6" w:space="0" w:color="auto"/>
              <w:right w:val="single" w:sz="6" w:space="0" w:color="auto"/>
            </w:tcBorders>
          </w:tcPr>
          <w:p w14:paraId="5DDC4807" w14:textId="4C403205" w:rsidR="004F3AC6" w:rsidRPr="000C59ED" w:rsidRDefault="004F3AC6" w:rsidP="00354EB8">
            <w:pPr>
              <w:pStyle w:val="TableTextDA"/>
            </w:pPr>
            <w:r>
              <w:t>$22.40</w:t>
            </w:r>
          </w:p>
        </w:tc>
      </w:tr>
      <w:tr w:rsidR="004F3AC6" w:rsidRPr="000C59ED" w14:paraId="4A35F6CF" w14:textId="77777777" w:rsidTr="008762B2">
        <w:trPr>
          <w:trHeight w:val="300"/>
        </w:trPr>
        <w:tc>
          <w:tcPr>
            <w:tcW w:w="1977" w:type="dxa"/>
            <w:vMerge/>
            <w:tcBorders>
              <w:left w:val="single" w:sz="6" w:space="0" w:color="auto"/>
              <w:bottom w:val="single" w:sz="6" w:space="0" w:color="auto"/>
              <w:right w:val="single" w:sz="6" w:space="0" w:color="auto"/>
            </w:tcBorders>
          </w:tcPr>
          <w:p w14:paraId="50FEF734" w14:textId="77777777" w:rsidR="004F3AC6" w:rsidRPr="000C59ED" w:rsidRDefault="004F3AC6" w:rsidP="00354EB8">
            <w:pPr>
              <w:pStyle w:val="TableText"/>
              <w:rPr>
                <w:b/>
                <w:bCs/>
                <w:lang w:val="en-US"/>
              </w:rPr>
            </w:pPr>
          </w:p>
        </w:tc>
        <w:tc>
          <w:tcPr>
            <w:tcW w:w="2126" w:type="dxa"/>
            <w:tcBorders>
              <w:top w:val="single" w:sz="6" w:space="0" w:color="auto"/>
              <w:left w:val="single" w:sz="6" w:space="0" w:color="auto"/>
              <w:bottom w:val="single" w:sz="6" w:space="0" w:color="auto"/>
              <w:right w:val="single" w:sz="6" w:space="0" w:color="auto"/>
            </w:tcBorders>
            <w:hideMark/>
          </w:tcPr>
          <w:p w14:paraId="0F14617A" w14:textId="2C0EDB47" w:rsidR="004F3AC6" w:rsidRPr="000C59ED" w:rsidRDefault="004F3AC6" w:rsidP="00354EB8">
            <w:pPr>
              <w:pStyle w:val="TableText"/>
            </w:pPr>
            <w:r w:rsidRPr="000C59ED">
              <w:rPr>
                <w:b/>
                <w:bCs/>
                <w:lang w:val="en-US"/>
              </w:rPr>
              <w:t>Total MBS benefit paid</w:t>
            </w:r>
            <w:r w:rsidRPr="000C59ED">
              <w:t> </w:t>
            </w:r>
          </w:p>
        </w:tc>
        <w:tc>
          <w:tcPr>
            <w:tcW w:w="1110" w:type="dxa"/>
            <w:tcBorders>
              <w:top w:val="single" w:sz="6" w:space="0" w:color="auto"/>
              <w:left w:val="single" w:sz="6" w:space="0" w:color="auto"/>
              <w:bottom w:val="single" w:sz="6" w:space="0" w:color="auto"/>
              <w:right w:val="single" w:sz="6" w:space="0" w:color="auto"/>
            </w:tcBorders>
          </w:tcPr>
          <w:p w14:paraId="1BEC4456" w14:textId="003D0856" w:rsidR="004F3AC6" w:rsidRPr="00354EB8" w:rsidRDefault="004F3AC6" w:rsidP="00354EB8">
            <w:pPr>
              <w:pStyle w:val="TableTextDA"/>
              <w:rPr>
                <w:b/>
                <w:bCs/>
              </w:rPr>
            </w:pPr>
            <w:r w:rsidRPr="00354EB8">
              <w:rPr>
                <w:b/>
                <w:bCs/>
              </w:rPr>
              <w:t>$55.50</w:t>
            </w:r>
          </w:p>
        </w:tc>
        <w:tc>
          <w:tcPr>
            <w:tcW w:w="1333" w:type="dxa"/>
            <w:tcBorders>
              <w:top w:val="single" w:sz="6" w:space="0" w:color="auto"/>
              <w:left w:val="single" w:sz="6" w:space="0" w:color="auto"/>
              <w:bottom w:val="single" w:sz="6" w:space="0" w:color="auto"/>
              <w:right w:val="single" w:sz="6" w:space="0" w:color="auto"/>
            </w:tcBorders>
          </w:tcPr>
          <w:p w14:paraId="520667DD" w14:textId="673B8D2C" w:rsidR="004F3AC6" w:rsidRPr="00354EB8" w:rsidRDefault="004F3AC6" w:rsidP="00354EB8">
            <w:pPr>
              <w:pStyle w:val="TableTextDA"/>
              <w:rPr>
                <w:b/>
                <w:bCs/>
              </w:rPr>
            </w:pPr>
            <w:r w:rsidRPr="00354EB8">
              <w:rPr>
                <w:b/>
                <w:bCs/>
              </w:rPr>
              <w:t>$67.45</w:t>
            </w:r>
          </w:p>
        </w:tc>
        <w:tc>
          <w:tcPr>
            <w:tcW w:w="1330" w:type="dxa"/>
            <w:tcBorders>
              <w:top w:val="single" w:sz="6" w:space="0" w:color="auto"/>
              <w:left w:val="single" w:sz="6" w:space="0" w:color="auto"/>
              <w:bottom w:val="single" w:sz="6" w:space="0" w:color="auto"/>
              <w:right w:val="single" w:sz="6" w:space="0" w:color="auto"/>
            </w:tcBorders>
          </w:tcPr>
          <w:p w14:paraId="5ACB7435" w14:textId="2F82E40E" w:rsidR="004F3AC6" w:rsidRPr="00354EB8" w:rsidRDefault="004F3AC6" w:rsidP="00354EB8">
            <w:pPr>
              <w:pStyle w:val="TableTextDA"/>
              <w:rPr>
                <w:b/>
                <w:bCs/>
              </w:rPr>
            </w:pPr>
            <w:r w:rsidRPr="00354EB8">
              <w:rPr>
                <w:b/>
                <w:bCs/>
              </w:rPr>
              <w:t>$109.50</w:t>
            </w:r>
          </w:p>
        </w:tc>
      </w:tr>
      <w:tr w:rsidR="004F3AC6" w:rsidRPr="000C59ED" w14:paraId="0900993D" w14:textId="77777777" w:rsidTr="008762B2">
        <w:trPr>
          <w:trHeight w:val="300"/>
        </w:trPr>
        <w:tc>
          <w:tcPr>
            <w:tcW w:w="1977" w:type="dxa"/>
            <w:vMerge w:val="restart"/>
            <w:tcBorders>
              <w:top w:val="single" w:sz="6" w:space="0" w:color="auto"/>
              <w:left w:val="single" w:sz="6" w:space="0" w:color="auto"/>
              <w:right w:val="single" w:sz="6" w:space="0" w:color="auto"/>
            </w:tcBorders>
          </w:tcPr>
          <w:p w14:paraId="5EEFFC67" w14:textId="4FAFCCA1" w:rsidR="004F3AC6" w:rsidRPr="000C59ED" w:rsidRDefault="004F3AC6" w:rsidP="00354EB8">
            <w:pPr>
              <w:pStyle w:val="TableText"/>
              <w:rPr>
                <w:lang w:val="en-US"/>
              </w:rPr>
            </w:pPr>
            <w:r w:rsidRPr="000C59ED">
              <w:rPr>
                <w:lang w:val="en-US"/>
              </w:rPr>
              <w:t>If the practice participates in BBPIP</w:t>
            </w:r>
          </w:p>
        </w:tc>
        <w:tc>
          <w:tcPr>
            <w:tcW w:w="2126" w:type="dxa"/>
            <w:tcBorders>
              <w:top w:val="single" w:sz="6" w:space="0" w:color="auto"/>
              <w:left w:val="single" w:sz="6" w:space="0" w:color="auto"/>
              <w:bottom w:val="single" w:sz="6" w:space="0" w:color="auto"/>
              <w:right w:val="single" w:sz="6" w:space="0" w:color="auto"/>
            </w:tcBorders>
            <w:hideMark/>
          </w:tcPr>
          <w:p w14:paraId="7081EBF4" w14:textId="09856E95" w:rsidR="004F3AC6" w:rsidRPr="000C59ED" w:rsidRDefault="004F3AC6" w:rsidP="00354EB8">
            <w:pPr>
              <w:pStyle w:val="TableText"/>
            </w:pPr>
            <w:r w:rsidRPr="000C59ED">
              <w:rPr>
                <w:lang w:val="en-US"/>
              </w:rPr>
              <w:t>Contribution to quarterly BBPIP payment</w:t>
            </w:r>
            <w:r w:rsidRPr="000C59ED">
              <w:t> </w:t>
            </w:r>
          </w:p>
        </w:tc>
        <w:tc>
          <w:tcPr>
            <w:tcW w:w="1110" w:type="dxa"/>
            <w:tcBorders>
              <w:top w:val="single" w:sz="6" w:space="0" w:color="auto"/>
              <w:left w:val="single" w:sz="6" w:space="0" w:color="auto"/>
              <w:bottom w:val="single" w:sz="6" w:space="0" w:color="auto"/>
              <w:right w:val="single" w:sz="6" w:space="0" w:color="auto"/>
            </w:tcBorders>
            <w:hideMark/>
          </w:tcPr>
          <w:p w14:paraId="4345D04C" w14:textId="772BE4ED" w:rsidR="004F3AC6" w:rsidRPr="000C59ED" w:rsidRDefault="004F3AC6" w:rsidP="00354EB8">
            <w:pPr>
              <w:pStyle w:val="TableTextDA"/>
            </w:pPr>
            <w:r w:rsidRPr="000C59ED">
              <w:rPr>
                <w:lang w:val="en-US"/>
              </w:rPr>
              <w:t>Nil</w:t>
            </w:r>
          </w:p>
        </w:tc>
        <w:tc>
          <w:tcPr>
            <w:tcW w:w="1333" w:type="dxa"/>
            <w:tcBorders>
              <w:top w:val="single" w:sz="6" w:space="0" w:color="auto"/>
              <w:left w:val="single" w:sz="6" w:space="0" w:color="auto"/>
              <w:bottom w:val="single" w:sz="6" w:space="0" w:color="auto"/>
              <w:right w:val="single" w:sz="6" w:space="0" w:color="auto"/>
            </w:tcBorders>
          </w:tcPr>
          <w:p w14:paraId="6854D9BC" w14:textId="246E52A3" w:rsidR="004F3AC6" w:rsidRPr="000C59ED" w:rsidRDefault="004F3AC6" w:rsidP="00354EB8">
            <w:pPr>
              <w:pStyle w:val="TableTextDA"/>
            </w:pPr>
            <w:r>
              <w:t>$5.63</w:t>
            </w:r>
          </w:p>
        </w:tc>
        <w:tc>
          <w:tcPr>
            <w:tcW w:w="1330" w:type="dxa"/>
            <w:tcBorders>
              <w:top w:val="single" w:sz="6" w:space="0" w:color="auto"/>
              <w:left w:val="single" w:sz="6" w:space="0" w:color="auto"/>
              <w:bottom w:val="single" w:sz="6" w:space="0" w:color="auto"/>
              <w:right w:val="single" w:sz="6" w:space="0" w:color="auto"/>
            </w:tcBorders>
          </w:tcPr>
          <w:p w14:paraId="1A31F13E" w14:textId="59ABCBB5" w:rsidR="004F3AC6" w:rsidRPr="000C59ED" w:rsidRDefault="004F3AC6" w:rsidP="00354EB8">
            <w:pPr>
              <w:pStyle w:val="TableTextDA"/>
            </w:pPr>
            <w:r>
              <w:t>$10.89</w:t>
            </w:r>
          </w:p>
        </w:tc>
      </w:tr>
      <w:tr w:rsidR="004F3AC6" w:rsidRPr="000C59ED" w14:paraId="3D1CB645" w14:textId="77777777" w:rsidTr="008762B2">
        <w:trPr>
          <w:trHeight w:val="300"/>
        </w:trPr>
        <w:tc>
          <w:tcPr>
            <w:tcW w:w="1977" w:type="dxa"/>
            <w:vMerge/>
            <w:tcBorders>
              <w:left w:val="single" w:sz="6" w:space="0" w:color="auto"/>
              <w:bottom w:val="single" w:sz="6" w:space="0" w:color="auto"/>
              <w:right w:val="single" w:sz="6" w:space="0" w:color="auto"/>
            </w:tcBorders>
          </w:tcPr>
          <w:p w14:paraId="501E4156" w14:textId="77777777" w:rsidR="004F3AC6" w:rsidRPr="000C59ED" w:rsidRDefault="004F3AC6" w:rsidP="00354EB8">
            <w:pPr>
              <w:pStyle w:val="TableText"/>
              <w:rPr>
                <w:b/>
                <w:bCs/>
                <w:lang w:val="en-US"/>
              </w:rPr>
            </w:pPr>
          </w:p>
        </w:tc>
        <w:tc>
          <w:tcPr>
            <w:tcW w:w="2126" w:type="dxa"/>
            <w:tcBorders>
              <w:top w:val="single" w:sz="6" w:space="0" w:color="auto"/>
              <w:left w:val="single" w:sz="6" w:space="0" w:color="auto"/>
              <w:bottom w:val="single" w:sz="6" w:space="0" w:color="auto"/>
              <w:right w:val="single" w:sz="6" w:space="0" w:color="auto"/>
            </w:tcBorders>
            <w:hideMark/>
          </w:tcPr>
          <w:p w14:paraId="77037819" w14:textId="06049C3F" w:rsidR="004F3AC6" w:rsidRPr="000C59ED" w:rsidRDefault="004F3AC6" w:rsidP="00354EB8">
            <w:pPr>
              <w:pStyle w:val="TableText"/>
            </w:pPr>
            <w:r w:rsidRPr="000C59ED">
              <w:rPr>
                <w:b/>
                <w:bCs/>
                <w:lang w:val="en-US"/>
              </w:rPr>
              <w:t xml:space="preserve">Total </w:t>
            </w:r>
            <w:r>
              <w:rPr>
                <w:b/>
                <w:bCs/>
                <w:lang w:val="en-US"/>
              </w:rPr>
              <w:t>g</w:t>
            </w:r>
            <w:r w:rsidRPr="000C59ED">
              <w:rPr>
                <w:b/>
                <w:bCs/>
                <w:lang w:val="en-US"/>
              </w:rPr>
              <w:t>overnment payment</w:t>
            </w:r>
            <w:r w:rsidRPr="000C59ED">
              <w:t> </w:t>
            </w:r>
          </w:p>
        </w:tc>
        <w:tc>
          <w:tcPr>
            <w:tcW w:w="1110" w:type="dxa"/>
            <w:tcBorders>
              <w:top w:val="single" w:sz="6" w:space="0" w:color="auto"/>
              <w:left w:val="single" w:sz="6" w:space="0" w:color="auto"/>
              <w:bottom w:val="single" w:sz="6" w:space="0" w:color="auto"/>
              <w:right w:val="single" w:sz="6" w:space="0" w:color="auto"/>
            </w:tcBorders>
          </w:tcPr>
          <w:p w14:paraId="5B234719" w14:textId="4DA431D9" w:rsidR="004F3AC6" w:rsidRPr="00354EB8" w:rsidRDefault="004F3AC6" w:rsidP="00354EB8">
            <w:pPr>
              <w:pStyle w:val="TableTextDA"/>
              <w:rPr>
                <w:b/>
                <w:bCs/>
              </w:rPr>
            </w:pPr>
            <w:r w:rsidRPr="00354EB8">
              <w:rPr>
                <w:b/>
                <w:bCs/>
              </w:rPr>
              <w:t>$55.50</w:t>
            </w:r>
          </w:p>
        </w:tc>
        <w:tc>
          <w:tcPr>
            <w:tcW w:w="1333" w:type="dxa"/>
            <w:tcBorders>
              <w:top w:val="single" w:sz="6" w:space="0" w:color="auto"/>
              <w:left w:val="single" w:sz="6" w:space="0" w:color="auto"/>
              <w:bottom w:val="single" w:sz="6" w:space="0" w:color="auto"/>
              <w:right w:val="single" w:sz="6" w:space="0" w:color="auto"/>
            </w:tcBorders>
          </w:tcPr>
          <w:p w14:paraId="736B7933" w14:textId="6DA0980B" w:rsidR="004F3AC6" w:rsidRPr="00354EB8" w:rsidRDefault="004F3AC6" w:rsidP="00354EB8">
            <w:pPr>
              <w:pStyle w:val="TableTextDA"/>
              <w:rPr>
                <w:b/>
                <w:bCs/>
              </w:rPr>
            </w:pPr>
            <w:r w:rsidRPr="00354EB8">
              <w:rPr>
                <w:b/>
                <w:bCs/>
              </w:rPr>
              <w:t>$73.08</w:t>
            </w:r>
          </w:p>
        </w:tc>
        <w:tc>
          <w:tcPr>
            <w:tcW w:w="1330" w:type="dxa"/>
            <w:tcBorders>
              <w:top w:val="single" w:sz="6" w:space="0" w:color="auto"/>
              <w:left w:val="single" w:sz="6" w:space="0" w:color="auto"/>
              <w:bottom w:val="single" w:sz="6" w:space="0" w:color="auto"/>
              <w:right w:val="single" w:sz="6" w:space="0" w:color="auto"/>
            </w:tcBorders>
          </w:tcPr>
          <w:p w14:paraId="7D1581AD" w14:textId="1A8E9505" w:rsidR="004F3AC6" w:rsidRPr="00354EB8" w:rsidRDefault="004F3AC6" w:rsidP="00354EB8">
            <w:pPr>
              <w:pStyle w:val="TableTextDA"/>
              <w:rPr>
                <w:b/>
                <w:bCs/>
              </w:rPr>
            </w:pPr>
            <w:r w:rsidRPr="00354EB8">
              <w:rPr>
                <w:b/>
                <w:bCs/>
              </w:rPr>
              <w:t>$120.39</w:t>
            </w:r>
          </w:p>
        </w:tc>
      </w:tr>
    </w:tbl>
    <w:p w14:paraId="7D42CF9E" w14:textId="77777777" w:rsidR="000C59ED" w:rsidRDefault="000C59ED" w:rsidP="009F4203"/>
    <w:p w14:paraId="2BA499B5" w14:textId="10568022" w:rsidR="009F4203" w:rsidRDefault="00237547" w:rsidP="009F4203">
      <w:r>
        <w:t>During targeted consultation, s</w:t>
      </w:r>
      <w:r w:rsidR="009F4203" w:rsidRPr="0096254D">
        <w:t xml:space="preserve">takeholders also flagged that, if antenatal items are removed, they will not be able to co-claim these services with other attendances. However, </w:t>
      </w:r>
      <w:r w:rsidR="00E72C74">
        <w:t xml:space="preserve">the recommendation, if adopted, would allow </w:t>
      </w:r>
      <w:r w:rsidR="009F4203" w:rsidRPr="0096254D">
        <w:t xml:space="preserve">GPs to claim a higher time-tier MBS item </w:t>
      </w:r>
      <w:r w:rsidR="00531B04">
        <w:t>for longer</w:t>
      </w:r>
      <w:r w:rsidR="009F4203" w:rsidRPr="0096254D">
        <w:t xml:space="preserve"> consultation</w:t>
      </w:r>
      <w:r w:rsidR="00531B04">
        <w:t>s. In addition,</w:t>
      </w:r>
      <w:r w:rsidR="009F4203" w:rsidRPr="0096254D">
        <w:t xml:space="preserve"> practitioners </w:t>
      </w:r>
      <w:r w:rsidR="00531B04">
        <w:t xml:space="preserve">would </w:t>
      </w:r>
      <w:r w:rsidR="009F4203" w:rsidRPr="0096254D">
        <w:t xml:space="preserve">still be able to co-claim other items in accordance with MBS billing rules. </w:t>
      </w:r>
      <w:r w:rsidR="00C8671A">
        <w:t xml:space="preserve">The data also show that MBS item 16500 is </w:t>
      </w:r>
      <w:r w:rsidR="00312BBD">
        <w:t xml:space="preserve">rarely co-claimed. </w:t>
      </w:r>
      <w:r w:rsidR="009F4203" w:rsidRPr="0096254D">
        <w:t>Therefore, the TTWG considered its recommendation will allow better access and more appropriate rebates for patients.</w:t>
      </w:r>
      <w:r w:rsidR="009F4203">
        <w:t xml:space="preserve"> </w:t>
      </w:r>
    </w:p>
    <w:p w14:paraId="65A0B9A2" w14:textId="77777777" w:rsidR="00696928" w:rsidRDefault="00696928" w:rsidP="00696928">
      <w:r>
        <w:t>The TTWG considered that, to better support comprehensive antenatal health care, GPs and other medical practitioners working in a primary care setting should have access to the full suite of time-tiered general attendance MBS items for antenatal attendances. The TTWG suggested that this could be achieved by amending the antenatal attendance MBS items to exclude medical practitioners working in primary care.</w:t>
      </w:r>
    </w:p>
    <w:p w14:paraId="64A99170" w14:textId="5E998C47" w:rsidR="009F4203" w:rsidRDefault="009F4203" w:rsidP="009F4203">
      <w:r>
        <w:t xml:space="preserve">If the </w:t>
      </w:r>
      <w:r w:rsidR="00531B04">
        <w:t xml:space="preserve">TTWG’s </w:t>
      </w:r>
      <w:r>
        <w:t xml:space="preserve">recommendation was adopted, </w:t>
      </w:r>
      <w:r w:rsidRPr="000029E7">
        <w:t xml:space="preserve">obstetricians would continue to have access to the antenatal attendance </w:t>
      </w:r>
      <w:r>
        <w:t xml:space="preserve">MBS </w:t>
      </w:r>
      <w:r w:rsidRPr="000029E7">
        <w:t>items.</w:t>
      </w:r>
    </w:p>
    <w:p w14:paraId="7D27BAF8" w14:textId="7BA08E57" w:rsidR="00217579" w:rsidRDefault="00217579" w:rsidP="009F4203">
      <w:pPr>
        <w:pStyle w:val="BoxName"/>
      </w:pPr>
      <w:r>
        <w:t>Recommendation 4</w:t>
      </w:r>
    </w:p>
    <w:p w14:paraId="783CAFEE" w14:textId="77777777" w:rsidR="00217579" w:rsidRDefault="00217579" w:rsidP="009F4203">
      <w:pPr>
        <w:pStyle w:val="BoxText"/>
      </w:pPr>
      <w:r w:rsidRPr="00703F4E">
        <w:t>To enable the delivery of comprehensive antenatal care under general time-tiered attendance items, GPs and other medical practitioners working in general practice should be ineligible for MBS antenatal item 16500 and its telehealth equivalents (MBS items 91853 and 91858).</w:t>
      </w:r>
    </w:p>
    <w:p w14:paraId="4B3636C5" w14:textId="5D2D7569" w:rsidR="00217579" w:rsidRDefault="00217579" w:rsidP="002365D1">
      <w:pPr>
        <w:pStyle w:val="Heading2"/>
      </w:pPr>
      <w:bookmarkStart w:id="33" w:name="_Toc239079074"/>
      <w:r w:rsidRPr="00D0325D">
        <w:t>Principle 2</w:t>
      </w:r>
      <w:r w:rsidR="00124531">
        <w:t xml:space="preserve"> – </w:t>
      </w:r>
      <w:r w:rsidRPr="00D0325D">
        <w:t>MBS benefits for time-tiered items should be equitable, to support patient access to primary care services that meet their individual clinical needs</w:t>
      </w:r>
      <w:bookmarkEnd w:id="33"/>
    </w:p>
    <w:p w14:paraId="1B851B5A" w14:textId="77777777" w:rsidR="005742BF" w:rsidRDefault="005742BF" w:rsidP="005742BF">
      <w:bookmarkStart w:id="34" w:name="_Fee-per-minute_rates_for"/>
      <w:bookmarkStart w:id="35" w:name="_Toc209528179"/>
      <w:bookmarkEnd w:id="34"/>
      <w:r>
        <w:t>The TTWG considered MBS item fees and MBS utilisation data from the Department to inform the recommendations for principle 2.</w:t>
      </w:r>
    </w:p>
    <w:p w14:paraId="07FBABF6" w14:textId="77777777" w:rsidR="00F57911" w:rsidRDefault="00F57911" w:rsidP="00F57911">
      <w:pPr>
        <w:pStyle w:val="Heading3"/>
      </w:pPr>
      <w:bookmarkStart w:id="36" w:name="_Toc239079075"/>
      <w:r>
        <w:lastRenderedPageBreak/>
        <w:t>Fee-per-minute rates for general attendance MBS items</w:t>
      </w:r>
      <w:bookmarkEnd w:id="35"/>
      <w:bookmarkEnd w:id="36"/>
    </w:p>
    <w:p w14:paraId="00272EF8" w14:textId="13BF42B8" w:rsidR="00F57911" w:rsidRPr="005D4211" w:rsidRDefault="00F57911" w:rsidP="00F57911">
      <w:r>
        <w:t xml:space="preserve">The fee-per-minute rates for </w:t>
      </w:r>
      <w:r w:rsidR="00E47BC1">
        <w:t>level</w:t>
      </w:r>
      <w:r>
        <w:t xml:space="preserve">s C, D and E general </w:t>
      </w:r>
      <w:r w:rsidRPr="001641C3">
        <w:t xml:space="preserve">attendances as of </w:t>
      </w:r>
      <w:r w:rsidRPr="000321F9">
        <w:t>1 July 2025</w:t>
      </w:r>
      <w:r>
        <w:t xml:space="preserve"> were lower than those for </w:t>
      </w:r>
      <w:r w:rsidR="00E47BC1">
        <w:t>level</w:t>
      </w:r>
      <w:r>
        <w:t>s A and B general attendances (Figure </w:t>
      </w:r>
      <w:r w:rsidR="00E2265F">
        <w:t>5</w:t>
      </w:r>
      <w:r>
        <w:t xml:space="preserve"> and Table 1).</w:t>
      </w:r>
    </w:p>
    <w:p w14:paraId="7A419C68" w14:textId="05FFD7F0" w:rsidR="00F57911" w:rsidRDefault="00F57911" w:rsidP="00F57911">
      <w:pPr>
        <w:pStyle w:val="FigureTitle"/>
      </w:pPr>
      <w:r>
        <w:t>Figure </w:t>
      </w:r>
      <w:r w:rsidR="0009154A">
        <w:t>5</w:t>
      </w:r>
      <w:r>
        <w:t>: Fee-per-minute rates for general attendance MBS items as of 1 July 2025</w:t>
      </w:r>
    </w:p>
    <w:p w14:paraId="421A4A74" w14:textId="77777777" w:rsidR="00F57911" w:rsidRDefault="00F57911" w:rsidP="00F57911">
      <w:r>
        <w:rPr>
          <w:noProof/>
        </w:rPr>
        <w:drawing>
          <wp:inline distT="0" distB="0" distL="0" distR="0" wp14:anchorId="581F4A8B" wp14:editId="437BA34B">
            <wp:extent cx="5018314" cy="2933700"/>
            <wp:effectExtent l="0" t="0" r="11430" b="0"/>
            <wp:docPr id="1192503814" name="Chart 1">
              <a:extLst xmlns:a="http://schemas.openxmlformats.org/drawingml/2006/main">
                <a:ext uri="{FF2B5EF4-FFF2-40B4-BE49-F238E27FC236}">
                  <a16:creationId xmlns:a16="http://schemas.microsoft.com/office/drawing/2014/main" id="{0667FAD4-5F59-D3A3-34E6-C31938601B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20B38F1" w14:textId="64F5279E" w:rsidR="00F57911" w:rsidRDefault="00F57911" w:rsidP="00F57911">
      <w:r>
        <w:t xml:space="preserve">In 2023–24, 66% of the services provided by GPs were </w:t>
      </w:r>
      <w:r w:rsidR="00E47BC1">
        <w:t>level</w:t>
      </w:r>
      <w:r>
        <w:t xml:space="preserve"> B general attendances (Figure </w:t>
      </w:r>
      <w:r w:rsidR="00A55766">
        <w:t>6</w:t>
      </w:r>
      <w:r>
        <w:t>).</w:t>
      </w:r>
    </w:p>
    <w:p w14:paraId="7394499F" w14:textId="68BF2AA0" w:rsidR="00F57911" w:rsidRDefault="00F57911" w:rsidP="00F57911">
      <w:pPr>
        <w:pStyle w:val="FigureTitle"/>
      </w:pPr>
      <w:r>
        <w:t>Figure </w:t>
      </w:r>
      <w:r w:rsidR="00A55766">
        <w:t>6</w:t>
      </w:r>
      <w:r>
        <w:t xml:space="preserve">: </w:t>
      </w:r>
      <w:r>
        <w:tab/>
        <w:t>Services provided by general practitioners</w:t>
      </w:r>
      <w:r w:rsidR="00551DE5">
        <w:t xml:space="preserve"> by primary care service type</w:t>
      </w:r>
      <w:r>
        <w:t>, 2023–24</w:t>
      </w:r>
    </w:p>
    <w:p w14:paraId="1AD941F7" w14:textId="77777777" w:rsidR="00F57911" w:rsidRDefault="00F57911" w:rsidP="00F57911">
      <w:r>
        <w:rPr>
          <w:noProof/>
        </w:rPr>
        <w:drawing>
          <wp:inline distT="0" distB="0" distL="0" distR="0" wp14:anchorId="79344FA8" wp14:editId="66E0D0F2">
            <wp:extent cx="5018314" cy="3096986"/>
            <wp:effectExtent l="0" t="0" r="11430" b="8255"/>
            <wp:docPr id="830246326" name="Chart 1">
              <a:extLst xmlns:a="http://schemas.openxmlformats.org/drawingml/2006/main">
                <a:ext uri="{FF2B5EF4-FFF2-40B4-BE49-F238E27FC236}">
                  <a16:creationId xmlns:a16="http://schemas.microsoft.com/office/drawing/2014/main" id="{BC282037-3FA2-68CA-D8FB-3EE07FF2F9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BC4551C" w14:textId="3AC627B7" w:rsidR="00F57911" w:rsidRDefault="000A0B7A" w:rsidP="00F57911">
      <w:r>
        <w:t xml:space="preserve">The TTWG also considered that the current </w:t>
      </w:r>
      <w:r w:rsidR="005042E0">
        <w:t xml:space="preserve">fee structure raised gender equity issues for both patients and providers. </w:t>
      </w:r>
      <w:r w:rsidR="00F57911">
        <w:t xml:space="preserve">In 2023–24, female GPs provided 40.3% of total non-referred attendance services provided by GPs, 47.8% of </w:t>
      </w:r>
      <w:r w:rsidR="00E47BC1">
        <w:t>level</w:t>
      </w:r>
      <w:r w:rsidR="00F57911">
        <w:t xml:space="preserve"> C general attendances and 52.6% of </w:t>
      </w:r>
      <w:r w:rsidR="00E47BC1">
        <w:t>level</w:t>
      </w:r>
      <w:r w:rsidR="00F57911">
        <w:t xml:space="preserve"> D general attendances (Figure </w:t>
      </w:r>
      <w:r w:rsidR="00D97E4F">
        <w:t>7</w:t>
      </w:r>
      <w:r w:rsidR="00F57911">
        <w:t>).</w:t>
      </w:r>
      <w:r w:rsidR="005042E0">
        <w:t xml:space="preserve"> Further, female patients accounted for 55.8% of</w:t>
      </w:r>
      <w:r w:rsidR="005F3A03">
        <w:t xml:space="preserve"> MBS</w:t>
      </w:r>
      <w:r w:rsidR="005042E0">
        <w:t xml:space="preserve"> </w:t>
      </w:r>
      <w:r w:rsidR="005F3A03">
        <w:t>item 23 (level B) claims</w:t>
      </w:r>
      <w:r w:rsidR="00697E2E">
        <w:t xml:space="preserve"> and</w:t>
      </w:r>
      <w:r w:rsidR="005F3A03">
        <w:t xml:space="preserve"> 65.5% of MBS item 123 (level E) claims.</w:t>
      </w:r>
    </w:p>
    <w:p w14:paraId="5601C55F" w14:textId="76A2E86F" w:rsidR="00F57911" w:rsidRDefault="00F57911" w:rsidP="00F57911">
      <w:pPr>
        <w:pStyle w:val="FigureTitle"/>
      </w:pPr>
      <w:r>
        <w:lastRenderedPageBreak/>
        <w:t>Figure </w:t>
      </w:r>
      <w:r w:rsidR="00D97E4F">
        <w:t>7</w:t>
      </w:r>
      <w:r>
        <w:t xml:space="preserve">: </w:t>
      </w:r>
      <w:r>
        <w:tab/>
        <w:t>Proportion of non-referred attendance services provided by general practitioners (GPs) that were provided by female GPs, 2023–24</w:t>
      </w:r>
    </w:p>
    <w:p w14:paraId="1CFDC22D" w14:textId="77777777" w:rsidR="00F57911" w:rsidRDefault="00F57911" w:rsidP="00F57911">
      <w:r w:rsidRPr="008A30E7">
        <w:rPr>
          <w:noProof/>
        </w:rPr>
        <w:t xml:space="preserve"> </w:t>
      </w:r>
      <w:r>
        <w:rPr>
          <w:noProof/>
        </w:rPr>
        <w:drawing>
          <wp:inline distT="0" distB="0" distL="0" distR="0" wp14:anchorId="59BCC9ED" wp14:editId="082B078F">
            <wp:extent cx="4936671" cy="2982686"/>
            <wp:effectExtent l="0" t="0" r="16510" b="8255"/>
            <wp:docPr id="466717814" name="Chart 1">
              <a:extLst xmlns:a="http://schemas.openxmlformats.org/drawingml/2006/main">
                <a:ext uri="{FF2B5EF4-FFF2-40B4-BE49-F238E27FC236}">
                  <a16:creationId xmlns:a16="http://schemas.microsoft.com/office/drawing/2014/main" id="{C343EDB4-E41F-7191-16D8-2136BB1959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E0F0B11" w14:textId="09F2581B" w:rsidR="00F57911" w:rsidRDefault="00F57911" w:rsidP="00F57911">
      <w:r>
        <w:t xml:space="preserve">The TTWG considered that GPs may be disincentivised from providing longer consultations (such as </w:t>
      </w:r>
      <w:r w:rsidR="00E47BC1">
        <w:t>level</w:t>
      </w:r>
      <w:r w:rsidR="00042EF7">
        <w:t>s</w:t>
      </w:r>
      <w:r>
        <w:t xml:space="preserve"> C and D) when appropriate because of such MBS items attracting lower fee</w:t>
      </w:r>
      <w:r w:rsidR="00297630">
        <w:t>-</w:t>
      </w:r>
      <w:r>
        <w:t>per</w:t>
      </w:r>
      <w:r w:rsidR="00297630">
        <w:t>-</w:t>
      </w:r>
      <w:r>
        <w:t>minute rates. The TTWG also considered that the lower fee</w:t>
      </w:r>
      <w:r w:rsidR="00297630">
        <w:t>-</w:t>
      </w:r>
      <w:r>
        <w:t>per</w:t>
      </w:r>
      <w:r w:rsidR="00297630">
        <w:t>-</w:t>
      </w:r>
      <w:r>
        <w:t xml:space="preserve">minute rates for </w:t>
      </w:r>
      <w:r w:rsidR="00E47BC1">
        <w:t>level</w:t>
      </w:r>
      <w:r w:rsidR="00042EF7">
        <w:t>s</w:t>
      </w:r>
      <w:r>
        <w:t xml:space="preserve"> C and D general attendances could disincentivise GPs from bulk-billing these MBS items.</w:t>
      </w:r>
    </w:p>
    <w:p w14:paraId="32287965" w14:textId="10A86EB4" w:rsidR="00F57911" w:rsidRDefault="00F57911" w:rsidP="00F57911">
      <w:r>
        <w:t xml:space="preserve">The TTWG also recognised that, compared with the proportion of total non-referred attendance services that are provided by female GPs, the proportion of </w:t>
      </w:r>
      <w:r w:rsidR="00E47BC1">
        <w:t>level</w:t>
      </w:r>
      <w:r w:rsidR="00042EF7">
        <w:t>s</w:t>
      </w:r>
      <w:r>
        <w:t xml:space="preserve"> C and D general attendances that are provided by female GPs is high. The TTWG recognised that female GPs provide a larger proportion of the longer (</w:t>
      </w:r>
      <w:r w:rsidR="00E47BC1">
        <w:t>level</w:t>
      </w:r>
      <w:r>
        <w:t>s C and D) general attendance consultations than their male counterparts (compared to total non-referred attendance services). The group noted that this presents equity issues because of the lower fee</w:t>
      </w:r>
      <w:r w:rsidR="00F774D6">
        <w:t>-</w:t>
      </w:r>
      <w:r>
        <w:t>per</w:t>
      </w:r>
      <w:r w:rsidR="00F774D6">
        <w:t>-</w:t>
      </w:r>
      <w:r>
        <w:t>minute rates for these MBS items.</w:t>
      </w:r>
    </w:p>
    <w:p w14:paraId="383E7056" w14:textId="77777777" w:rsidR="00124A82" w:rsidRDefault="00864A7E" w:rsidP="00124A82">
      <w:pPr>
        <w:pStyle w:val="NormalBeforeBullet"/>
      </w:pPr>
      <w:r w:rsidRPr="00864A7E">
        <w:t xml:space="preserve">The </w:t>
      </w:r>
      <w:r>
        <w:t>TT</w:t>
      </w:r>
      <w:r w:rsidRPr="00864A7E">
        <w:t>WG recognis</w:t>
      </w:r>
      <w:r>
        <w:t>ed</w:t>
      </w:r>
      <w:r w:rsidRPr="00864A7E">
        <w:t xml:space="preserve"> that there is a role for both long and short consultations, and that the length of a consultation should be guided by clinical need. The </w:t>
      </w:r>
      <w:r>
        <w:t xml:space="preserve">group </w:t>
      </w:r>
      <w:r w:rsidRPr="00864A7E">
        <w:t>also acknowledge</w:t>
      </w:r>
      <w:r>
        <w:t>d</w:t>
      </w:r>
      <w:r w:rsidRPr="00864A7E">
        <w:t xml:space="preserve"> that there is a relatively higher administrative workload associated with</w:t>
      </w:r>
      <w:r>
        <w:t xml:space="preserve"> </w:t>
      </w:r>
      <w:r w:rsidRPr="00864A7E">
        <w:t xml:space="preserve">shorter consultations than longer consultations. As a result, it is reasonable </w:t>
      </w:r>
      <w:r>
        <w:t>to expect</w:t>
      </w:r>
      <w:r w:rsidRPr="00864A7E">
        <w:t xml:space="preserve"> a small </w:t>
      </w:r>
      <w:r w:rsidR="00A3194D">
        <w:t>‘flag</w:t>
      </w:r>
      <w:r w:rsidRPr="00864A7E">
        <w:t xml:space="preserve"> fall</w:t>
      </w:r>
      <w:r>
        <w:t>’</w:t>
      </w:r>
      <w:r w:rsidRPr="00864A7E">
        <w:t xml:space="preserve"> effect on short consultations</w:t>
      </w:r>
      <w:r>
        <w:t>.</w:t>
      </w:r>
      <w:r w:rsidR="002241E3">
        <w:t xml:space="preserve"> </w:t>
      </w:r>
      <w:r>
        <w:t>H</w:t>
      </w:r>
      <w:r w:rsidRPr="00864A7E">
        <w:t xml:space="preserve">owever, the </w:t>
      </w:r>
      <w:r>
        <w:t>TT</w:t>
      </w:r>
      <w:r w:rsidRPr="00864A7E">
        <w:t>WG consider</w:t>
      </w:r>
      <w:r>
        <w:t>ed</w:t>
      </w:r>
      <w:r w:rsidRPr="00864A7E">
        <w:t xml:space="preserve"> the current per</w:t>
      </w:r>
      <w:r>
        <w:t>-</w:t>
      </w:r>
      <w:r w:rsidRPr="00864A7E">
        <w:t xml:space="preserve">minute differences between short and longer consultations is too </w:t>
      </w:r>
      <w:r>
        <w:t>great</w:t>
      </w:r>
      <w:r w:rsidRPr="00864A7E">
        <w:t>.</w:t>
      </w:r>
      <w:r w:rsidR="00865445">
        <w:t xml:space="preserve"> </w:t>
      </w:r>
      <w:r w:rsidR="00124A82">
        <w:t>The TTWG considered a number of options for achieving this, including:</w:t>
      </w:r>
    </w:p>
    <w:p w14:paraId="4E68716D" w14:textId="77777777" w:rsidR="00124A82" w:rsidRDefault="00124A82" w:rsidP="00124A82">
      <w:pPr>
        <w:pStyle w:val="Bullet"/>
      </w:pPr>
      <w:r>
        <w:t>simply increasing the fee for levels C, D and E</w:t>
      </w:r>
    </w:p>
    <w:p w14:paraId="17D448CD" w14:textId="77777777" w:rsidR="00124A82" w:rsidRDefault="00124A82" w:rsidP="00124A82">
      <w:pPr>
        <w:pStyle w:val="Bullet"/>
      </w:pPr>
      <w:r>
        <w:t>the Australian Medical Association’s (AMA’s) proposal for 7 time-tiers</w:t>
      </w:r>
    </w:p>
    <w:p w14:paraId="45F9B105" w14:textId="77777777" w:rsidR="00124A82" w:rsidRDefault="00124A82" w:rsidP="00124A82">
      <w:pPr>
        <w:pStyle w:val="BulletLast"/>
      </w:pPr>
      <w:r>
        <w:t>time blocks with a flag fall for the initial block.</w:t>
      </w:r>
    </w:p>
    <w:p w14:paraId="1708F0C6" w14:textId="77777777" w:rsidR="00124A82" w:rsidRDefault="00124A82" w:rsidP="00124A82">
      <w:r>
        <w:t>The TTWG concluded that there are several approaches that could achieve the objective. However, given the complexity of changing the overall time-tiered framework (for example, as per the AMA proposal), the TTWG acknowledged that increasing the fees for levels C–E is the option that could be implemented fastest. However, doing so would not preclude longer term changes to the time-tiered structure.</w:t>
      </w:r>
    </w:p>
    <w:p w14:paraId="5AB3A09D" w14:textId="4D099B3E" w:rsidR="00A3194D" w:rsidRDefault="00A3194D" w:rsidP="00124A82">
      <w:pPr>
        <w:pStyle w:val="NormalBeforeBullet"/>
      </w:pPr>
      <w:r>
        <w:lastRenderedPageBreak/>
        <w:t>The TTWG considered that evaluation of any changes to fee-per-minute rates after their implementation would be important to understand their impact on patients, individual GPs and GPs as a workforce.</w:t>
      </w:r>
    </w:p>
    <w:p w14:paraId="01B380AA" w14:textId="77777777" w:rsidR="005918C6" w:rsidRDefault="005918C6" w:rsidP="005918C6">
      <w:pPr>
        <w:pStyle w:val="BoxTitle"/>
      </w:pPr>
      <w:r>
        <w:t>Recommendation 5</w:t>
      </w:r>
    </w:p>
    <w:p w14:paraId="5E5BBAB9" w14:textId="1657097C" w:rsidR="005918C6" w:rsidRDefault="005918C6" w:rsidP="005918C6">
      <w:pPr>
        <w:pStyle w:val="BoxText"/>
      </w:pPr>
      <w:r w:rsidRPr="00940BDE">
        <w:t xml:space="preserve">MBS </w:t>
      </w:r>
      <w:r w:rsidR="00FB1564">
        <w:t>fees-per-minute</w:t>
      </w:r>
      <w:r w:rsidRPr="00940BDE">
        <w:t xml:space="preserve"> for time-tiered items should equitably support appropriate and varied consultation lengths to ensure patients can access care that meets their individual clinical needs.</w:t>
      </w:r>
    </w:p>
    <w:p w14:paraId="48685334" w14:textId="35C81B21" w:rsidR="00893DD1" w:rsidRDefault="00893DD1" w:rsidP="00893DD1">
      <w:pPr>
        <w:pStyle w:val="Heading3"/>
      </w:pPr>
      <w:bookmarkStart w:id="37" w:name="_Toc239079076"/>
      <w:r>
        <w:t>Bulk-billing incentives structure</w:t>
      </w:r>
      <w:bookmarkEnd w:id="37"/>
    </w:p>
    <w:p w14:paraId="2036D0A0" w14:textId="2947F3FF" w:rsidR="00864A7E" w:rsidRPr="00864A7E" w:rsidRDefault="005918C6" w:rsidP="00864A7E">
      <w:r>
        <w:t xml:space="preserve">The TTWG also considered that </w:t>
      </w:r>
      <w:r w:rsidR="00864A7E" w:rsidRPr="00864A7E">
        <w:t>the current bulk</w:t>
      </w:r>
      <w:r w:rsidR="00941396">
        <w:t>-</w:t>
      </w:r>
      <w:r w:rsidR="00864A7E" w:rsidRPr="00864A7E">
        <w:t xml:space="preserve">billing incentives </w:t>
      </w:r>
      <w:r w:rsidR="00941396">
        <w:t xml:space="preserve">structure </w:t>
      </w:r>
      <w:r w:rsidR="00864A7E" w:rsidRPr="00864A7E">
        <w:t xml:space="preserve">exacerbates the lack of financial incentives for longer consultations compared to shorter consultations. The </w:t>
      </w:r>
      <w:r w:rsidR="00026889">
        <w:t>TT</w:t>
      </w:r>
      <w:r w:rsidR="00864A7E" w:rsidRPr="00864A7E">
        <w:t>WG supports bulk</w:t>
      </w:r>
      <w:r w:rsidR="00026889">
        <w:t>-</w:t>
      </w:r>
      <w:r w:rsidR="00864A7E" w:rsidRPr="00864A7E">
        <w:t>billing incentives and scaling incentives according to remoteness. However, bulk</w:t>
      </w:r>
      <w:r w:rsidR="00026889">
        <w:t>-</w:t>
      </w:r>
      <w:r w:rsidR="00864A7E" w:rsidRPr="00864A7E">
        <w:t>billing incentives should not provide additional structural incentives for shorter consultations.</w:t>
      </w:r>
    </w:p>
    <w:p w14:paraId="775BEFAD" w14:textId="77777777" w:rsidR="0031315F" w:rsidRDefault="0031315F" w:rsidP="0031315F">
      <w:pPr>
        <w:pStyle w:val="BoxTitle"/>
      </w:pPr>
      <w:r>
        <w:t>Recommendation 6</w:t>
      </w:r>
    </w:p>
    <w:p w14:paraId="1D06C67F" w14:textId="6750D430" w:rsidR="0031315F" w:rsidRDefault="0031315F" w:rsidP="0031315F">
      <w:pPr>
        <w:pStyle w:val="BoxText"/>
      </w:pPr>
      <w:r>
        <w:t xml:space="preserve">Bulk-billing incentives should be based on a percentage of the MBS fee for the service that is </w:t>
      </w:r>
      <w:r w:rsidR="00376C21">
        <w:t>bulk-bill</w:t>
      </w:r>
      <w:r>
        <w:t>ed to avoid furthering the disproportionate remuneration of shorter consultations when compared to longer consultations.</w:t>
      </w:r>
    </w:p>
    <w:p w14:paraId="27F9B959" w14:textId="77777777" w:rsidR="0031315F" w:rsidRDefault="0031315F" w:rsidP="0031315F">
      <w:pPr>
        <w:pStyle w:val="BoxText"/>
      </w:pPr>
      <w:r>
        <w:t>Rural loadings for bulk-billing incentives are appropriate and should be retained under this approach.</w:t>
      </w:r>
    </w:p>
    <w:p w14:paraId="2F9F64D9" w14:textId="648A7D83" w:rsidR="0031315F" w:rsidRDefault="0031315F" w:rsidP="00CA6D8C">
      <w:pPr>
        <w:pStyle w:val="Heading3"/>
      </w:pPr>
      <w:bookmarkStart w:id="38" w:name="_Toc239079077"/>
      <w:r>
        <w:t xml:space="preserve">Bulk-billing incentives </w:t>
      </w:r>
      <w:r w:rsidR="00CA6D8C">
        <w:t>for nurse practitioners</w:t>
      </w:r>
      <w:bookmarkEnd w:id="38"/>
    </w:p>
    <w:p w14:paraId="468D426C" w14:textId="0BF16814" w:rsidR="00864A7E" w:rsidRDefault="0031315F" w:rsidP="00864A7E">
      <w:r>
        <w:t>Currently</w:t>
      </w:r>
      <w:r w:rsidR="00864A7E" w:rsidRPr="00864A7E">
        <w:t>, bulk</w:t>
      </w:r>
      <w:r w:rsidR="00F651D7">
        <w:t>-</w:t>
      </w:r>
      <w:r w:rsidR="00864A7E" w:rsidRPr="00864A7E">
        <w:t>billing incentives are only available for services provided by a medical practitioner. In the context of supporting GP-led multidisciplinary team</w:t>
      </w:r>
      <w:r>
        <w:t>s</w:t>
      </w:r>
      <w:r w:rsidR="00864A7E" w:rsidRPr="00864A7E">
        <w:t xml:space="preserve">, the </w:t>
      </w:r>
      <w:r w:rsidR="00F651D7">
        <w:t>TT</w:t>
      </w:r>
      <w:r w:rsidR="00864A7E" w:rsidRPr="00864A7E">
        <w:t>WG</w:t>
      </w:r>
      <w:r w:rsidR="00402A25">
        <w:t xml:space="preserve"> </w:t>
      </w:r>
      <w:r w:rsidR="00864A7E" w:rsidRPr="00864A7E">
        <w:t>support</w:t>
      </w:r>
      <w:r w:rsidR="00F651D7">
        <w:t>ed</w:t>
      </w:r>
      <w:r w:rsidR="00864A7E" w:rsidRPr="00864A7E">
        <w:t xml:space="preserve"> extending bulk</w:t>
      </w:r>
      <w:r w:rsidR="00F651D7">
        <w:t>-</w:t>
      </w:r>
      <w:r w:rsidR="00864A7E" w:rsidRPr="00864A7E">
        <w:t xml:space="preserve">billing incentives to </w:t>
      </w:r>
      <w:r w:rsidR="00F651D7">
        <w:t xml:space="preserve">NPs </w:t>
      </w:r>
      <w:r w:rsidR="00864A7E" w:rsidRPr="00864A7E">
        <w:t xml:space="preserve">working in </w:t>
      </w:r>
      <w:proofErr w:type="spellStart"/>
      <w:r w:rsidR="00864A7E" w:rsidRPr="00864A7E">
        <w:t>MyMedicare</w:t>
      </w:r>
      <w:proofErr w:type="spellEnd"/>
      <w:r w:rsidR="00864A7E" w:rsidRPr="00864A7E">
        <w:t xml:space="preserve"> practices. This would both support the </w:t>
      </w:r>
      <w:r w:rsidR="00F651D7">
        <w:t>NP</w:t>
      </w:r>
      <w:r w:rsidR="00864A7E" w:rsidRPr="00864A7E">
        <w:t xml:space="preserve"> workforce in general practice settings and encourage general practices to engage more NP</w:t>
      </w:r>
      <w:r w:rsidR="00F651D7">
        <w:t>s</w:t>
      </w:r>
      <w:r w:rsidR="00864A7E" w:rsidRPr="00864A7E">
        <w:t xml:space="preserve">. It would also support improved continuity of care </w:t>
      </w:r>
      <w:r w:rsidR="00BB15DD">
        <w:t xml:space="preserve">for patients </w:t>
      </w:r>
      <w:r w:rsidR="00864A7E" w:rsidRPr="00864A7E">
        <w:t>by encouraging a broader range of professions within a general practice.</w:t>
      </w:r>
    </w:p>
    <w:p w14:paraId="37A6FA02" w14:textId="2A51359F" w:rsidR="00CA6D8C" w:rsidRDefault="00791B0F" w:rsidP="00864A7E">
      <w:pPr>
        <w:rPr>
          <w:b/>
          <w:bCs/>
        </w:rPr>
      </w:pPr>
      <w:r>
        <w:t xml:space="preserve">The TTWG noted </w:t>
      </w:r>
      <w:r w:rsidR="00A94D75">
        <w:t xml:space="preserve">consultation </w:t>
      </w:r>
      <w:r>
        <w:t xml:space="preserve">feedback that the </w:t>
      </w:r>
      <w:r w:rsidR="00403A1C">
        <w:t>requirement for the bulk-billing incentive to be linked</w:t>
      </w:r>
      <w:r>
        <w:t xml:space="preserve"> to </w:t>
      </w:r>
      <w:proofErr w:type="spellStart"/>
      <w:r>
        <w:t>MyMedicare</w:t>
      </w:r>
      <w:proofErr w:type="spellEnd"/>
      <w:r>
        <w:t xml:space="preserve"> would exclude </w:t>
      </w:r>
      <w:r w:rsidR="00015917">
        <w:t>nurse practitioner–led</w:t>
      </w:r>
      <w:r w:rsidR="00E94090">
        <w:t xml:space="preserve"> practices. However, t</w:t>
      </w:r>
      <w:r w:rsidR="00CA6D8C" w:rsidRPr="00333C27">
        <w:t>he TTWG</w:t>
      </w:r>
      <w:r w:rsidR="00E94090">
        <w:t xml:space="preserve"> </w:t>
      </w:r>
      <w:r w:rsidR="00CA6D8C" w:rsidRPr="00333C27">
        <w:t xml:space="preserve">highlighted </w:t>
      </w:r>
      <w:r w:rsidR="00E94090">
        <w:t xml:space="preserve">that </w:t>
      </w:r>
      <w:proofErr w:type="spellStart"/>
      <w:r w:rsidR="00E94090">
        <w:t>MyMedicare</w:t>
      </w:r>
      <w:proofErr w:type="spellEnd"/>
      <w:r w:rsidR="00E94090">
        <w:t xml:space="preserve"> clinics are accredited</w:t>
      </w:r>
      <w:r w:rsidR="003D6516">
        <w:t xml:space="preserve"> and therefore </w:t>
      </w:r>
      <w:r w:rsidR="00403A1C">
        <w:t>are proven to meet</w:t>
      </w:r>
      <w:r w:rsidR="003D6516">
        <w:t xml:space="preserve"> certain standards. The TTWG maintained </w:t>
      </w:r>
      <w:r w:rsidR="00CA6D8C" w:rsidRPr="00333C27">
        <w:t xml:space="preserve">that including </w:t>
      </w:r>
      <w:proofErr w:type="spellStart"/>
      <w:r w:rsidR="00CA6D8C" w:rsidRPr="00333C27">
        <w:t>MyMedicare</w:t>
      </w:r>
      <w:proofErr w:type="spellEnd"/>
      <w:r w:rsidR="00CA6D8C" w:rsidRPr="00333C27">
        <w:t xml:space="preserve"> registration</w:t>
      </w:r>
      <w:r w:rsidR="00333C27" w:rsidRPr="00333C27">
        <w:t xml:space="preserve"> would ensure</w:t>
      </w:r>
      <w:r w:rsidR="00333C27">
        <w:t xml:space="preserve"> </w:t>
      </w:r>
      <w:r w:rsidR="003D6516">
        <w:t xml:space="preserve">patient safety and </w:t>
      </w:r>
      <w:r w:rsidR="00333C27">
        <w:t>continuity of care, which was a focus of the TTWG’s discussions and therefore recommendations</w:t>
      </w:r>
      <w:r w:rsidR="00A94D75">
        <w:t xml:space="preserve"> (</w:t>
      </w:r>
      <w:r w:rsidR="00C45C2D">
        <w:t xml:space="preserve">also </w:t>
      </w:r>
      <w:r w:rsidR="00A94D75">
        <w:t xml:space="preserve">see </w:t>
      </w:r>
      <w:hyperlink w:anchor="_Targeted_consultation" w:history="1">
        <w:r w:rsidR="00833F90">
          <w:rPr>
            <w:rStyle w:val="Hyperlink"/>
          </w:rPr>
          <w:t>Targeted consultation</w:t>
        </w:r>
      </w:hyperlink>
      <w:r w:rsidR="00C45C2D">
        <w:t>)</w:t>
      </w:r>
      <w:r w:rsidR="00333C27">
        <w:t>.</w:t>
      </w:r>
      <w:r w:rsidR="00CC476B">
        <w:t xml:space="preserve"> </w:t>
      </w:r>
    </w:p>
    <w:p w14:paraId="2B150307" w14:textId="77777777" w:rsidR="00217579" w:rsidRDefault="00217579" w:rsidP="002365D1">
      <w:pPr>
        <w:pStyle w:val="BoxTitle"/>
      </w:pPr>
      <w:r>
        <w:t>Recommendation 7</w:t>
      </w:r>
    </w:p>
    <w:p w14:paraId="6021DC30" w14:textId="1A5FD060" w:rsidR="00217579" w:rsidRDefault="00376C21" w:rsidP="002365D1">
      <w:pPr>
        <w:pStyle w:val="BoxText"/>
      </w:pPr>
      <w:r>
        <w:t>Bulk-bill</w:t>
      </w:r>
      <w:r w:rsidR="00217579" w:rsidRPr="002B0141">
        <w:t xml:space="preserve">ing incentives should be available for </w:t>
      </w:r>
      <w:r w:rsidR="00BB15DD">
        <w:t>n</w:t>
      </w:r>
      <w:r w:rsidR="00217579" w:rsidRPr="002B0141">
        <w:t>urse</w:t>
      </w:r>
      <w:r w:rsidR="00BB15DD">
        <w:t xml:space="preserve"> p</w:t>
      </w:r>
      <w:r w:rsidR="00217579" w:rsidRPr="002B0141">
        <w:t xml:space="preserve">ractitioner services when the consultation is provided to a patient who is registered through </w:t>
      </w:r>
      <w:proofErr w:type="spellStart"/>
      <w:r w:rsidR="00217579" w:rsidRPr="002B0141">
        <w:t>MyMedicare</w:t>
      </w:r>
      <w:proofErr w:type="spellEnd"/>
      <w:r w:rsidR="00217579" w:rsidRPr="002B0141">
        <w:t xml:space="preserve"> with the practice that provides the service.</w:t>
      </w:r>
    </w:p>
    <w:p w14:paraId="0ADA9B42" w14:textId="4300521E" w:rsidR="00217579" w:rsidRDefault="00217579" w:rsidP="002365D1">
      <w:pPr>
        <w:pStyle w:val="Heading2"/>
      </w:pPr>
      <w:bookmarkStart w:id="39" w:name="_Toc239079078"/>
      <w:r w:rsidRPr="00CC56C7">
        <w:lastRenderedPageBreak/>
        <w:t>Principle 3</w:t>
      </w:r>
      <w:r w:rsidR="00124531">
        <w:t xml:space="preserve"> – </w:t>
      </w:r>
      <w:r w:rsidRPr="00CC56C7">
        <w:t>MBS items and their requirements should be consistent, unless there is a defined clinical need for variation</w:t>
      </w:r>
      <w:bookmarkEnd w:id="39"/>
    </w:p>
    <w:p w14:paraId="3EC56D57" w14:textId="0E8A197E" w:rsidR="00A119A0" w:rsidRDefault="00A119A0" w:rsidP="00A119A0">
      <w:pPr>
        <w:pStyle w:val="Heading3"/>
      </w:pPr>
      <w:bookmarkStart w:id="40" w:name="_Toc239079079"/>
      <w:r w:rsidRPr="00A119A0">
        <w:t>Simplification and consistency of time-tiered items</w:t>
      </w:r>
      <w:bookmarkEnd w:id="40"/>
    </w:p>
    <w:p w14:paraId="5FF3DE58" w14:textId="5ABF39E4" w:rsidR="00267463" w:rsidRDefault="00267463" w:rsidP="00267463">
      <w:pPr>
        <w:pStyle w:val="NormalBeforeBullet"/>
      </w:pPr>
      <w:r>
        <w:t>The complexity of time-tiered items has increased</w:t>
      </w:r>
      <w:r w:rsidR="00842616">
        <w:t xml:space="preserve"> over time</w:t>
      </w:r>
      <w:r>
        <w:t xml:space="preserve"> for several reasons, </w:t>
      </w:r>
      <w:r w:rsidR="00E706BC">
        <w:t xml:space="preserve">including </w:t>
      </w:r>
      <w:r>
        <w:t xml:space="preserve">recognising new services, such as telehealth or mental health items, </w:t>
      </w:r>
      <w:r w:rsidR="00E706BC">
        <w:t xml:space="preserve">and </w:t>
      </w:r>
      <w:r>
        <w:t>adding an additional time-tier (</w:t>
      </w:r>
      <w:r w:rsidR="00E47BC1">
        <w:t>level</w:t>
      </w:r>
      <w:r>
        <w:t xml:space="preserve"> E). </w:t>
      </w:r>
      <w:r w:rsidR="00E706BC">
        <w:t xml:space="preserve">The TTWG agreed </w:t>
      </w:r>
      <w:r>
        <w:t xml:space="preserve">that the clinical services provided under these items are appropriate and needed, </w:t>
      </w:r>
      <w:r w:rsidR="00842616">
        <w:t xml:space="preserve">but </w:t>
      </w:r>
      <w:r>
        <w:t>t</w:t>
      </w:r>
      <w:r w:rsidR="00E706BC">
        <w:t xml:space="preserve">he group also </w:t>
      </w:r>
      <w:r>
        <w:t>consider</w:t>
      </w:r>
      <w:r w:rsidR="00E706BC">
        <w:t>ed</w:t>
      </w:r>
      <w:r>
        <w:t xml:space="preserve"> </w:t>
      </w:r>
      <w:r w:rsidR="00E706BC">
        <w:t xml:space="preserve">that </w:t>
      </w:r>
      <w:r>
        <w:t>the current MBS structures could be improved.</w:t>
      </w:r>
    </w:p>
    <w:p w14:paraId="43C432B6" w14:textId="513DE4D9" w:rsidR="008F2600" w:rsidRPr="008F2600" w:rsidRDefault="00026AC2" w:rsidP="00267463">
      <w:pPr>
        <w:pStyle w:val="NormalBeforeBullet"/>
      </w:pPr>
      <w:r>
        <w:t>T</w:t>
      </w:r>
      <w:r w:rsidR="008F2600" w:rsidRPr="008F2600">
        <w:t xml:space="preserve">he TTWG </w:t>
      </w:r>
      <w:r w:rsidR="00F303CF">
        <w:t xml:space="preserve">highlighted the following </w:t>
      </w:r>
      <w:r w:rsidR="008F2600" w:rsidRPr="008F2600">
        <w:t>inconsistencies across various MBS items:</w:t>
      </w:r>
    </w:p>
    <w:p w14:paraId="58DA441C" w14:textId="6C6BB024" w:rsidR="008F2600" w:rsidRPr="008F2600" w:rsidRDefault="008F2600" w:rsidP="008F2600">
      <w:pPr>
        <w:pStyle w:val="Bullet"/>
      </w:pPr>
      <w:r w:rsidRPr="008F2600">
        <w:t xml:space="preserve">differences in the time-tiers for GPs, NPs and </w:t>
      </w:r>
      <w:r w:rsidR="00A442A6">
        <w:t>PMPs</w:t>
      </w:r>
      <w:r w:rsidRPr="008F2600">
        <w:t xml:space="preserve"> </w:t>
      </w:r>
    </w:p>
    <w:p w14:paraId="4873D7C3" w14:textId="5B062C39" w:rsidR="008F2600" w:rsidRPr="008F2600" w:rsidRDefault="008F2600" w:rsidP="008F2600">
      <w:pPr>
        <w:pStyle w:val="Bullet"/>
      </w:pPr>
      <w:r w:rsidRPr="008F2600">
        <w:t>inconsistencies in the way items are described and the detail of the requirements</w:t>
      </w:r>
    </w:p>
    <w:p w14:paraId="1F293BC5" w14:textId="4AA1A862" w:rsidR="008F2600" w:rsidRPr="008F2600" w:rsidRDefault="008F2600" w:rsidP="008F2600">
      <w:pPr>
        <w:pStyle w:val="Bullet"/>
      </w:pPr>
      <w:r w:rsidRPr="008F2600">
        <w:t>several ways of describing the time-tiers used throughout the MBS using slightly different language, such as ‘at least x minutes’, ‘not less than’ and ‘more than’</w:t>
      </w:r>
    </w:p>
    <w:p w14:paraId="0BE6A593" w14:textId="7575464D" w:rsidR="008F2600" w:rsidRPr="008F2600" w:rsidRDefault="008F2600" w:rsidP="008F2600">
      <w:pPr>
        <w:pStyle w:val="BulletLast"/>
      </w:pPr>
      <w:r w:rsidRPr="008F2600">
        <w:t>inconsistencies between the specific times for each time-tier by provider type, and sometimes mode.</w:t>
      </w:r>
    </w:p>
    <w:p w14:paraId="6882BA22" w14:textId="2C412D80" w:rsidR="008F2600" w:rsidRPr="008F2600" w:rsidRDefault="008F2600" w:rsidP="008F2600">
      <w:r w:rsidRPr="008F2600">
        <w:t>The TTWG agreed that simplification of wording and consistency of duration of time-tiers would benefit all Medicare users.</w:t>
      </w:r>
    </w:p>
    <w:p w14:paraId="7F82F4AF" w14:textId="77777777" w:rsidR="00217579" w:rsidRDefault="00217579" w:rsidP="00DE3089">
      <w:pPr>
        <w:pStyle w:val="BoxTitle"/>
      </w:pPr>
      <w:r>
        <w:t>Recommendation 8</w:t>
      </w:r>
    </w:p>
    <w:p w14:paraId="5DF1E93D" w14:textId="77777777" w:rsidR="00217579" w:rsidRDefault="00217579" w:rsidP="002365D1">
      <w:pPr>
        <w:pStyle w:val="BoxText"/>
      </w:pPr>
      <w:r w:rsidRPr="00107030">
        <w:t>Undertake work to standardise language used in item descriptors (for example describing the time-tiers for items) wherever possible across primary care items.</w:t>
      </w:r>
    </w:p>
    <w:p w14:paraId="38B45E1B" w14:textId="77777777" w:rsidR="00FD203E" w:rsidRDefault="00FD203E" w:rsidP="00FD203E">
      <w:pPr>
        <w:pStyle w:val="Heading3"/>
      </w:pPr>
      <w:bookmarkStart w:id="41" w:name="_Toc239079080"/>
      <w:bookmarkStart w:id="42" w:name="_Toc209528178"/>
      <w:r>
        <w:t>Time-tiered items for different provider types and service delivery modes</w:t>
      </w:r>
      <w:bookmarkEnd w:id="41"/>
    </w:p>
    <w:p w14:paraId="7A8B03C7" w14:textId="69AFAAEE" w:rsidR="00FD203E" w:rsidRDefault="00FD203E" w:rsidP="00FD203E">
      <w:r w:rsidRPr="00F8542C">
        <w:t xml:space="preserve">Some of </w:t>
      </w:r>
      <w:r>
        <w:t>the</w:t>
      </w:r>
      <w:r w:rsidRPr="00F8542C">
        <w:t xml:space="preserve"> differences </w:t>
      </w:r>
      <w:r>
        <w:t xml:space="preserve">current seen across time-tiered item </w:t>
      </w:r>
      <w:r w:rsidRPr="00F8542C">
        <w:t>do not impact clinical care, but other</w:t>
      </w:r>
      <w:r>
        <w:t>s</w:t>
      </w:r>
      <w:r w:rsidRPr="00F8542C">
        <w:t xml:space="preserve"> do directly impact consumers</w:t>
      </w:r>
      <w:r>
        <w:t>.</w:t>
      </w:r>
      <w:r w:rsidRPr="00F8542C">
        <w:t xml:space="preserve"> For example, the length of </w:t>
      </w:r>
      <w:r w:rsidR="00E47BC1">
        <w:t>level</w:t>
      </w:r>
      <w:r w:rsidRPr="00F8542C">
        <w:t xml:space="preserve">s of A–E consultations vary across provider types and modes (see Table </w:t>
      </w:r>
      <w:r w:rsidR="00A442A6">
        <w:t>2</w:t>
      </w:r>
      <w:r w:rsidRPr="00F8542C">
        <w:t>). The TTWG did not consider there to be clinical justification for different length</w:t>
      </w:r>
      <w:r>
        <w:t>s of</w:t>
      </w:r>
      <w:r w:rsidRPr="00F8542C">
        <w:t xml:space="preserve"> time-tiers for consultation items depending on provider type and mode of service in primary care settings.</w:t>
      </w:r>
    </w:p>
    <w:p w14:paraId="421CDE8E" w14:textId="33372D32" w:rsidR="00FD203E" w:rsidRDefault="00FD203E" w:rsidP="00FD203E">
      <w:pPr>
        <w:pStyle w:val="TableTitle"/>
      </w:pPr>
      <w:r>
        <w:lastRenderedPageBreak/>
        <w:t xml:space="preserve">Table </w:t>
      </w:r>
      <w:r w:rsidR="00A442A6">
        <w:t>2</w:t>
      </w:r>
      <w:r>
        <w:t>:</w:t>
      </w:r>
      <w:r>
        <w:tab/>
        <w:t xml:space="preserve">Variation in the duration of </w:t>
      </w:r>
      <w:r w:rsidR="00E47BC1">
        <w:t>level</w:t>
      </w:r>
      <w:r>
        <w:t>s A–E consultations for different primary care provider types for professional attendance items in standard hours</w:t>
      </w:r>
    </w:p>
    <w:tbl>
      <w:tblPr>
        <w:tblStyle w:val="GridTable4-Accent61"/>
        <w:tblW w:w="8046" w:type="dxa"/>
        <w:tblLook w:val="04A0" w:firstRow="1" w:lastRow="0" w:firstColumn="1" w:lastColumn="0" w:noHBand="0" w:noVBand="1"/>
      </w:tblPr>
      <w:tblGrid>
        <w:gridCol w:w="959"/>
        <w:gridCol w:w="2441"/>
        <w:gridCol w:w="2237"/>
        <w:gridCol w:w="2409"/>
      </w:tblGrid>
      <w:tr w:rsidR="00FD203E" w:rsidRPr="00297630" w14:paraId="7D3A129B" w14:textId="77777777" w:rsidTr="7FBB19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Pr>
          <w:p w14:paraId="6892D1C3" w14:textId="77777777" w:rsidR="00FD203E" w:rsidRPr="00297630" w:rsidRDefault="00FD203E" w:rsidP="0099246F">
            <w:pPr>
              <w:pStyle w:val="TableHeading"/>
              <w:rPr>
                <w:rFonts w:asciiTheme="minorHAnsi" w:hAnsiTheme="minorHAnsi" w:cstheme="minorHAnsi"/>
                <w:b/>
                <w:bCs/>
                <w:color w:val="auto"/>
              </w:rPr>
            </w:pPr>
            <w:r w:rsidRPr="00297630">
              <w:rPr>
                <w:rFonts w:asciiTheme="minorHAnsi" w:hAnsiTheme="minorHAnsi" w:cstheme="minorHAnsi"/>
                <w:b/>
                <w:bCs/>
                <w:color w:val="auto"/>
              </w:rPr>
              <w:t>Level</w:t>
            </w:r>
          </w:p>
        </w:tc>
        <w:tc>
          <w:tcPr>
            <w:tcW w:w="2441" w:type="dxa"/>
          </w:tcPr>
          <w:p w14:paraId="6386206C" w14:textId="77777777" w:rsidR="00FD203E" w:rsidRPr="00297630" w:rsidRDefault="00FD203E" w:rsidP="0099246F">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rPr>
            </w:pPr>
            <w:r w:rsidRPr="00297630">
              <w:rPr>
                <w:rFonts w:asciiTheme="minorHAnsi" w:hAnsiTheme="minorHAnsi" w:cstheme="minorHAnsi"/>
                <w:b/>
                <w:bCs/>
                <w:color w:val="auto"/>
              </w:rPr>
              <w:t>General practitioner</w:t>
            </w:r>
          </w:p>
        </w:tc>
        <w:tc>
          <w:tcPr>
            <w:tcW w:w="2237" w:type="dxa"/>
          </w:tcPr>
          <w:p w14:paraId="2B96AF5E" w14:textId="77777777" w:rsidR="00FD203E" w:rsidRPr="00297630" w:rsidRDefault="00FD203E" w:rsidP="0099246F">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rPr>
            </w:pPr>
            <w:r w:rsidRPr="00297630">
              <w:rPr>
                <w:rFonts w:asciiTheme="minorHAnsi" w:hAnsiTheme="minorHAnsi" w:cstheme="minorHAnsi"/>
                <w:b/>
                <w:bCs/>
                <w:color w:val="auto"/>
              </w:rPr>
              <w:t>Prescribed medical practitioner</w:t>
            </w:r>
          </w:p>
        </w:tc>
        <w:tc>
          <w:tcPr>
            <w:tcW w:w="2409" w:type="dxa"/>
          </w:tcPr>
          <w:p w14:paraId="4ED284B6" w14:textId="77777777" w:rsidR="00FD203E" w:rsidRPr="00297630" w:rsidRDefault="00FD203E" w:rsidP="7FBB1979">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b/>
                <w:bCs/>
                <w:color w:val="auto"/>
              </w:rPr>
            </w:pPr>
            <w:r w:rsidRPr="7FBB1979">
              <w:rPr>
                <w:rFonts w:asciiTheme="minorHAnsi" w:hAnsiTheme="minorHAnsi" w:cstheme="minorBidi"/>
                <w:b/>
                <w:bCs/>
                <w:color w:val="auto"/>
              </w:rPr>
              <w:t>Nurse practitioner</w:t>
            </w:r>
          </w:p>
        </w:tc>
      </w:tr>
      <w:tr w:rsidR="00FD203E" w:rsidRPr="000B1513" w14:paraId="02DAE34C" w14:textId="77777777" w:rsidTr="7FBB1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Pr>
          <w:p w14:paraId="37E8B201" w14:textId="77777777" w:rsidR="00FD203E" w:rsidRPr="000B1513" w:rsidRDefault="00FD203E" w:rsidP="0099246F">
            <w:pPr>
              <w:pStyle w:val="TableText"/>
              <w:rPr>
                <w:rFonts w:asciiTheme="minorHAnsi" w:hAnsiTheme="minorHAnsi" w:cstheme="minorHAnsi"/>
              </w:rPr>
            </w:pPr>
            <w:r>
              <w:rPr>
                <w:rFonts w:asciiTheme="minorHAnsi" w:hAnsiTheme="minorHAnsi" w:cstheme="minorHAnsi"/>
              </w:rPr>
              <w:t>A</w:t>
            </w:r>
          </w:p>
        </w:tc>
        <w:tc>
          <w:tcPr>
            <w:tcW w:w="2441" w:type="dxa"/>
          </w:tcPr>
          <w:p w14:paraId="7501A734" w14:textId="77777777" w:rsidR="00FD203E" w:rsidRPr="00B82EDB" w:rsidRDefault="00FD203E" w:rsidP="0099246F">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F2F</w:t>
            </w:r>
            <w:r w:rsidRPr="00B82EDB">
              <w:rPr>
                <w:rFonts w:asciiTheme="minorHAnsi" w:hAnsiTheme="minorHAnsi" w:cstheme="minorHAnsi"/>
              </w:rPr>
              <w:t xml:space="preserve"> and video: </w:t>
            </w:r>
            <w:r>
              <w:rPr>
                <w:rFonts w:asciiTheme="minorHAnsi" w:hAnsiTheme="minorHAnsi" w:cstheme="minorHAnsi"/>
              </w:rPr>
              <w:t>s</w:t>
            </w:r>
            <w:r w:rsidRPr="00B82EDB">
              <w:rPr>
                <w:rFonts w:asciiTheme="minorHAnsi" w:hAnsiTheme="minorHAnsi" w:cstheme="minorHAnsi"/>
              </w:rPr>
              <w:t>traightforward task</w:t>
            </w:r>
          </w:p>
          <w:p w14:paraId="5B7863BC" w14:textId="77777777" w:rsidR="00FD203E" w:rsidRPr="000B1513" w:rsidRDefault="00FD203E" w:rsidP="0099246F">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82EDB">
              <w:rPr>
                <w:rFonts w:asciiTheme="minorHAnsi" w:hAnsiTheme="minorHAnsi" w:cstheme="minorHAnsi"/>
              </w:rPr>
              <w:t>Telephone: less than 6</w:t>
            </w:r>
            <w:r>
              <w:rPr>
                <w:rFonts w:asciiTheme="minorHAnsi" w:hAnsiTheme="minorHAnsi" w:cstheme="minorHAnsi"/>
              </w:rPr>
              <w:t> </w:t>
            </w:r>
            <w:r w:rsidRPr="00B82EDB">
              <w:rPr>
                <w:rFonts w:asciiTheme="minorHAnsi" w:hAnsiTheme="minorHAnsi" w:cstheme="minorHAnsi"/>
              </w:rPr>
              <w:t>minutes</w:t>
            </w:r>
          </w:p>
        </w:tc>
        <w:tc>
          <w:tcPr>
            <w:tcW w:w="2237" w:type="dxa"/>
          </w:tcPr>
          <w:p w14:paraId="3497083A" w14:textId="77777777" w:rsidR="00FD203E" w:rsidRPr="00B82EDB" w:rsidRDefault="00FD203E" w:rsidP="0099246F">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F2F</w:t>
            </w:r>
            <w:r w:rsidRPr="00B82EDB">
              <w:rPr>
                <w:rFonts w:asciiTheme="minorHAnsi" w:hAnsiTheme="minorHAnsi" w:cstheme="minorHAnsi"/>
              </w:rPr>
              <w:t xml:space="preserve"> and video: </w:t>
            </w:r>
            <w:r>
              <w:rPr>
                <w:rFonts w:asciiTheme="minorHAnsi" w:hAnsiTheme="minorHAnsi" w:cstheme="minorHAnsi"/>
              </w:rPr>
              <w:t>not more than 5 minutes</w:t>
            </w:r>
          </w:p>
          <w:p w14:paraId="21236640" w14:textId="77777777" w:rsidR="00FD203E" w:rsidRPr="000B1513" w:rsidRDefault="00FD203E" w:rsidP="0099246F">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82EDB">
              <w:rPr>
                <w:rFonts w:asciiTheme="minorHAnsi" w:hAnsiTheme="minorHAnsi" w:cstheme="minorHAnsi"/>
              </w:rPr>
              <w:t>Telephone: less than 6</w:t>
            </w:r>
            <w:r>
              <w:rPr>
                <w:rFonts w:asciiTheme="minorHAnsi" w:hAnsiTheme="minorHAnsi" w:cstheme="minorHAnsi"/>
              </w:rPr>
              <w:t> </w:t>
            </w:r>
            <w:r w:rsidRPr="00B82EDB">
              <w:rPr>
                <w:rFonts w:asciiTheme="minorHAnsi" w:hAnsiTheme="minorHAnsi" w:cstheme="minorHAnsi"/>
              </w:rPr>
              <w:t>minutes</w:t>
            </w:r>
          </w:p>
        </w:tc>
        <w:tc>
          <w:tcPr>
            <w:tcW w:w="2409" w:type="dxa"/>
          </w:tcPr>
          <w:p w14:paraId="66165C2C" w14:textId="77777777" w:rsidR="00FD203E" w:rsidRPr="000B1513" w:rsidRDefault="00FD203E" w:rsidP="0099246F">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Straightforward task</w:t>
            </w:r>
          </w:p>
        </w:tc>
      </w:tr>
      <w:tr w:rsidR="00FD203E" w:rsidRPr="000B1513" w14:paraId="2F331275" w14:textId="77777777" w:rsidTr="7FBB1979">
        <w:tc>
          <w:tcPr>
            <w:cnfStyle w:val="001000000000" w:firstRow="0" w:lastRow="0" w:firstColumn="1" w:lastColumn="0" w:oddVBand="0" w:evenVBand="0" w:oddHBand="0" w:evenHBand="0" w:firstRowFirstColumn="0" w:firstRowLastColumn="0" w:lastRowFirstColumn="0" w:lastRowLastColumn="0"/>
            <w:tcW w:w="959" w:type="dxa"/>
          </w:tcPr>
          <w:p w14:paraId="224E8FE3" w14:textId="77777777" w:rsidR="00FD203E" w:rsidRPr="000B1513" w:rsidRDefault="00FD203E" w:rsidP="0099246F">
            <w:pPr>
              <w:pStyle w:val="TableText"/>
              <w:rPr>
                <w:rFonts w:asciiTheme="minorHAnsi" w:hAnsiTheme="minorHAnsi" w:cstheme="minorHAnsi"/>
              </w:rPr>
            </w:pPr>
            <w:r>
              <w:rPr>
                <w:rFonts w:asciiTheme="minorHAnsi" w:hAnsiTheme="minorHAnsi" w:cstheme="minorHAnsi"/>
              </w:rPr>
              <w:t>B</w:t>
            </w:r>
          </w:p>
        </w:tc>
        <w:tc>
          <w:tcPr>
            <w:tcW w:w="2441" w:type="dxa"/>
          </w:tcPr>
          <w:p w14:paraId="3AF2B090" w14:textId="77777777" w:rsidR="00FD203E" w:rsidRPr="00B82EDB" w:rsidRDefault="00FD203E" w:rsidP="0099246F">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F2F</w:t>
            </w:r>
            <w:r w:rsidRPr="00B82EDB">
              <w:rPr>
                <w:rFonts w:asciiTheme="minorHAnsi" w:hAnsiTheme="minorHAnsi" w:cstheme="minorHAnsi"/>
              </w:rPr>
              <w:t xml:space="preserve"> and video: </w:t>
            </w:r>
            <w:r>
              <w:rPr>
                <w:rFonts w:asciiTheme="minorHAnsi" w:hAnsiTheme="minorHAnsi" w:cstheme="minorHAnsi"/>
              </w:rPr>
              <w:t>at least 6 minutes and less than 20 minutes</w:t>
            </w:r>
          </w:p>
          <w:p w14:paraId="0B6C5E88" w14:textId="77777777" w:rsidR="00FD203E" w:rsidRPr="000B1513" w:rsidRDefault="00FD203E" w:rsidP="0099246F">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82EDB">
              <w:rPr>
                <w:rFonts w:asciiTheme="minorHAnsi" w:hAnsiTheme="minorHAnsi" w:cstheme="minorHAnsi"/>
              </w:rPr>
              <w:t>Telephone: less than 6</w:t>
            </w:r>
            <w:r>
              <w:rPr>
                <w:rFonts w:asciiTheme="minorHAnsi" w:hAnsiTheme="minorHAnsi" w:cstheme="minorHAnsi"/>
              </w:rPr>
              <w:t> </w:t>
            </w:r>
            <w:r w:rsidRPr="00B82EDB">
              <w:rPr>
                <w:rFonts w:asciiTheme="minorHAnsi" w:hAnsiTheme="minorHAnsi" w:cstheme="minorHAnsi"/>
              </w:rPr>
              <w:t>minutes</w:t>
            </w:r>
          </w:p>
        </w:tc>
        <w:tc>
          <w:tcPr>
            <w:tcW w:w="2237" w:type="dxa"/>
          </w:tcPr>
          <w:p w14:paraId="57732F31" w14:textId="77777777" w:rsidR="00FD203E" w:rsidRPr="00B82EDB" w:rsidRDefault="00FD203E" w:rsidP="0099246F">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F2F</w:t>
            </w:r>
            <w:r w:rsidRPr="00B82EDB">
              <w:rPr>
                <w:rFonts w:asciiTheme="minorHAnsi" w:hAnsiTheme="minorHAnsi" w:cstheme="minorHAnsi"/>
              </w:rPr>
              <w:t xml:space="preserve"> and video</w:t>
            </w:r>
            <w:r>
              <w:rPr>
                <w:rFonts w:asciiTheme="minorHAnsi" w:hAnsiTheme="minorHAnsi" w:cstheme="minorHAnsi"/>
              </w:rPr>
              <w:t>: more than 5 minutes but not more than 25 minutes</w:t>
            </w:r>
          </w:p>
          <w:p w14:paraId="78E655F2" w14:textId="2DEEB3BD" w:rsidR="00FD203E" w:rsidRPr="000B1513" w:rsidRDefault="00FD203E" w:rsidP="0099246F">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82EDB">
              <w:rPr>
                <w:rFonts w:asciiTheme="minorHAnsi" w:hAnsiTheme="minorHAnsi" w:cstheme="minorHAnsi"/>
              </w:rPr>
              <w:t xml:space="preserve">Telephone: </w:t>
            </w:r>
            <w:r w:rsidR="00FB4132">
              <w:rPr>
                <w:rFonts w:asciiTheme="minorHAnsi" w:hAnsiTheme="minorHAnsi" w:cstheme="minorHAnsi"/>
              </w:rPr>
              <w:t>at least</w:t>
            </w:r>
            <w:r w:rsidRPr="00B82EDB">
              <w:rPr>
                <w:rFonts w:asciiTheme="minorHAnsi" w:hAnsiTheme="minorHAnsi" w:cstheme="minorHAnsi"/>
              </w:rPr>
              <w:t xml:space="preserve"> 6</w:t>
            </w:r>
            <w:r>
              <w:rPr>
                <w:rFonts w:asciiTheme="minorHAnsi" w:hAnsiTheme="minorHAnsi" w:cstheme="minorHAnsi"/>
              </w:rPr>
              <w:t> </w:t>
            </w:r>
            <w:r w:rsidRPr="00B82EDB">
              <w:rPr>
                <w:rFonts w:asciiTheme="minorHAnsi" w:hAnsiTheme="minorHAnsi" w:cstheme="minorHAnsi"/>
              </w:rPr>
              <w:t>minutes</w:t>
            </w:r>
          </w:p>
        </w:tc>
        <w:tc>
          <w:tcPr>
            <w:tcW w:w="2409" w:type="dxa"/>
          </w:tcPr>
          <w:p w14:paraId="377C1B60" w14:textId="77777777" w:rsidR="00FD203E" w:rsidRPr="000B1513" w:rsidRDefault="00FD203E" w:rsidP="0099246F">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A</w:t>
            </w:r>
            <w:r w:rsidRPr="00621582">
              <w:rPr>
                <w:rFonts w:asciiTheme="minorHAnsi" w:hAnsiTheme="minorHAnsi" w:cstheme="minorHAnsi"/>
              </w:rPr>
              <w:t>t least 6 minutes and less than 20 minutes</w:t>
            </w:r>
          </w:p>
        </w:tc>
      </w:tr>
      <w:tr w:rsidR="00FD203E" w:rsidRPr="000B1513" w14:paraId="6D8DB700" w14:textId="77777777" w:rsidTr="7FBB1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Pr>
          <w:p w14:paraId="5557F183" w14:textId="77777777" w:rsidR="00FD203E" w:rsidRPr="000B1513" w:rsidRDefault="00FD203E" w:rsidP="0099246F">
            <w:pPr>
              <w:pStyle w:val="TableText"/>
              <w:rPr>
                <w:rFonts w:asciiTheme="minorHAnsi" w:hAnsiTheme="minorHAnsi" w:cstheme="minorHAnsi"/>
              </w:rPr>
            </w:pPr>
            <w:r>
              <w:rPr>
                <w:rFonts w:asciiTheme="minorHAnsi" w:hAnsiTheme="minorHAnsi" w:cstheme="minorHAnsi"/>
              </w:rPr>
              <w:t>C</w:t>
            </w:r>
          </w:p>
        </w:tc>
        <w:tc>
          <w:tcPr>
            <w:tcW w:w="2441" w:type="dxa"/>
          </w:tcPr>
          <w:p w14:paraId="29D914B8" w14:textId="77777777" w:rsidR="00FD203E" w:rsidRPr="000B1513" w:rsidRDefault="00FD203E" w:rsidP="0099246F">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At least 20 minutes</w:t>
            </w:r>
          </w:p>
        </w:tc>
        <w:tc>
          <w:tcPr>
            <w:tcW w:w="2237" w:type="dxa"/>
          </w:tcPr>
          <w:p w14:paraId="07FCA06D" w14:textId="77777777" w:rsidR="00FD203E" w:rsidRPr="000B1513" w:rsidRDefault="00FD203E" w:rsidP="0099246F">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More than 25 minutes but not more than 45 minutes</w:t>
            </w:r>
          </w:p>
        </w:tc>
        <w:tc>
          <w:tcPr>
            <w:tcW w:w="2409" w:type="dxa"/>
          </w:tcPr>
          <w:p w14:paraId="01A33750" w14:textId="77777777" w:rsidR="00FD203E" w:rsidRPr="000B1513" w:rsidRDefault="00FD203E" w:rsidP="0099246F">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At least 20 minutes</w:t>
            </w:r>
          </w:p>
        </w:tc>
      </w:tr>
      <w:tr w:rsidR="00FD203E" w:rsidRPr="000B1513" w14:paraId="27E211C5" w14:textId="77777777" w:rsidTr="7FBB1979">
        <w:tc>
          <w:tcPr>
            <w:cnfStyle w:val="001000000000" w:firstRow="0" w:lastRow="0" w:firstColumn="1" w:lastColumn="0" w:oddVBand="0" w:evenVBand="0" w:oddHBand="0" w:evenHBand="0" w:firstRowFirstColumn="0" w:firstRowLastColumn="0" w:lastRowFirstColumn="0" w:lastRowLastColumn="0"/>
            <w:tcW w:w="959" w:type="dxa"/>
          </w:tcPr>
          <w:p w14:paraId="70B26B04" w14:textId="77777777" w:rsidR="00FD203E" w:rsidRPr="000B1513" w:rsidRDefault="00FD203E" w:rsidP="0099246F">
            <w:pPr>
              <w:pStyle w:val="TableText"/>
              <w:rPr>
                <w:rFonts w:asciiTheme="minorHAnsi" w:hAnsiTheme="minorHAnsi" w:cstheme="minorHAnsi"/>
              </w:rPr>
            </w:pPr>
            <w:r>
              <w:rPr>
                <w:rFonts w:asciiTheme="minorHAnsi" w:hAnsiTheme="minorHAnsi" w:cstheme="minorHAnsi"/>
              </w:rPr>
              <w:t>D</w:t>
            </w:r>
          </w:p>
        </w:tc>
        <w:tc>
          <w:tcPr>
            <w:tcW w:w="2441" w:type="dxa"/>
          </w:tcPr>
          <w:p w14:paraId="07C0731D" w14:textId="77777777" w:rsidR="00FD203E" w:rsidRPr="000B1513" w:rsidRDefault="00FD203E" w:rsidP="0099246F">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At least 40 minutes</w:t>
            </w:r>
          </w:p>
        </w:tc>
        <w:tc>
          <w:tcPr>
            <w:tcW w:w="2237" w:type="dxa"/>
          </w:tcPr>
          <w:p w14:paraId="7D0CE058" w14:textId="77777777" w:rsidR="00FD203E" w:rsidRPr="000B1513" w:rsidRDefault="00FD203E" w:rsidP="0099246F">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More than 45 minutes but not more than 60 minutes</w:t>
            </w:r>
          </w:p>
        </w:tc>
        <w:tc>
          <w:tcPr>
            <w:tcW w:w="2409" w:type="dxa"/>
          </w:tcPr>
          <w:p w14:paraId="720794BD" w14:textId="77777777" w:rsidR="00FD203E" w:rsidRPr="000B1513" w:rsidRDefault="00FD203E" w:rsidP="0099246F">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At least 40 minutes</w:t>
            </w:r>
          </w:p>
        </w:tc>
      </w:tr>
      <w:tr w:rsidR="00FD203E" w:rsidRPr="000B1513" w14:paraId="45227D56" w14:textId="77777777" w:rsidTr="7FBB1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Pr>
          <w:p w14:paraId="26D076D4" w14:textId="77777777" w:rsidR="00FD203E" w:rsidRPr="000B1513" w:rsidRDefault="00FD203E" w:rsidP="0099246F">
            <w:pPr>
              <w:pStyle w:val="TableText"/>
              <w:rPr>
                <w:rFonts w:asciiTheme="minorHAnsi" w:hAnsiTheme="minorHAnsi" w:cstheme="minorHAnsi"/>
              </w:rPr>
            </w:pPr>
            <w:r w:rsidRPr="000B1513">
              <w:rPr>
                <w:rFonts w:asciiTheme="minorHAnsi" w:hAnsiTheme="minorHAnsi" w:cstheme="minorHAnsi"/>
              </w:rPr>
              <w:t>E</w:t>
            </w:r>
          </w:p>
        </w:tc>
        <w:tc>
          <w:tcPr>
            <w:tcW w:w="2441" w:type="dxa"/>
          </w:tcPr>
          <w:p w14:paraId="266B68B3" w14:textId="77777777" w:rsidR="00FD203E" w:rsidRPr="000B1513" w:rsidRDefault="00FD203E" w:rsidP="0099246F">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At least 60 minutes</w:t>
            </w:r>
          </w:p>
        </w:tc>
        <w:tc>
          <w:tcPr>
            <w:tcW w:w="2237" w:type="dxa"/>
          </w:tcPr>
          <w:p w14:paraId="019C7206" w14:textId="77777777" w:rsidR="00FD203E" w:rsidRPr="000B1513" w:rsidRDefault="00FD203E" w:rsidP="0099246F">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More than 60 minutes</w:t>
            </w:r>
          </w:p>
        </w:tc>
        <w:tc>
          <w:tcPr>
            <w:tcW w:w="2409" w:type="dxa"/>
          </w:tcPr>
          <w:p w14:paraId="69CEFF3C" w14:textId="77777777" w:rsidR="00FD203E" w:rsidRPr="000B1513" w:rsidRDefault="00FD203E" w:rsidP="0099246F">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At least 60 minutes</w:t>
            </w:r>
          </w:p>
        </w:tc>
      </w:tr>
    </w:tbl>
    <w:p w14:paraId="572F17B2" w14:textId="77777777" w:rsidR="00FD203E" w:rsidRDefault="00FD203E" w:rsidP="00FD203E">
      <w:pPr>
        <w:pStyle w:val="TFNoteSourceSpace"/>
      </w:pPr>
      <w:r>
        <w:t>F2F = face to face</w:t>
      </w:r>
    </w:p>
    <w:p w14:paraId="44ACDE22" w14:textId="77777777" w:rsidR="00FD203E" w:rsidRDefault="00FD203E" w:rsidP="00FD203E">
      <w:pPr>
        <w:pStyle w:val="BoxTitle"/>
      </w:pPr>
      <w:r>
        <w:t>Recommendation 9</w:t>
      </w:r>
    </w:p>
    <w:p w14:paraId="36D2895B" w14:textId="77777777" w:rsidR="00FD203E" w:rsidRDefault="00FD203E" w:rsidP="00FD203E">
      <w:pPr>
        <w:pStyle w:val="BoxText"/>
      </w:pPr>
      <w:r w:rsidRPr="00C96E35">
        <w:t>Align the duration of MBS time-tiers across all relevant primary care provider types and items.</w:t>
      </w:r>
    </w:p>
    <w:p w14:paraId="6BB224AB" w14:textId="77777777" w:rsidR="00E25B33" w:rsidRDefault="00E25B33" w:rsidP="00E25B33">
      <w:pPr>
        <w:pStyle w:val="Heading3"/>
      </w:pPr>
      <w:bookmarkStart w:id="43" w:name="_Toc239079081"/>
      <w:r>
        <w:t>Fees for equivalent MBS items</w:t>
      </w:r>
      <w:bookmarkEnd w:id="42"/>
      <w:bookmarkEnd w:id="43"/>
    </w:p>
    <w:p w14:paraId="2C359F92" w14:textId="36565C94" w:rsidR="00E25B33" w:rsidRDefault="00E25B33" w:rsidP="00E25B33">
      <w:r>
        <w:t>The</w:t>
      </w:r>
      <w:r w:rsidR="0056490E">
        <w:t xml:space="preserve"> TTWG recognised the </w:t>
      </w:r>
      <w:r>
        <w:t>fee discrepancies between time-tiered general attendance MBS items and some equivalent MBS items caused by the staggered reintroduction of indexation of MBS rebates from 2017. For example, as of 1 July 202</w:t>
      </w:r>
      <w:r w:rsidR="00511AE3">
        <w:t>6</w:t>
      </w:r>
      <w:r>
        <w:t xml:space="preserve">, the fee for </w:t>
      </w:r>
      <w:hyperlink r:id="rId25" w:history="1">
        <w:r w:rsidRPr="000E0B98">
          <w:rPr>
            <w:rStyle w:val="Hyperlink"/>
          </w:rPr>
          <w:t>MBS item 36</w:t>
        </w:r>
      </w:hyperlink>
      <w:r>
        <w:t xml:space="preserve"> (a professional attendance by a GP at consulting rooms lasting at least 20 minutes) was $8</w:t>
      </w:r>
      <w:r w:rsidR="00511AE3">
        <w:t>7.1</w:t>
      </w:r>
      <w:r>
        <w:t>0, whereas the fee for</w:t>
      </w:r>
      <w:r w:rsidR="00770723">
        <w:t xml:space="preserve"> MBS item 19</w:t>
      </w:r>
      <w:r w:rsidR="00BB2841">
        <w:t>7 for an a</w:t>
      </w:r>
      <w:r w:rsidR="00296E55">
        <w:t xml:space="preserve">ttendance for acupuncture </w:t>
      </w:r>
      <w:r>
        <w:t>was $8</w:t>
      </w:r>
      <w:r w:rsidR="00AD4918">
        <w:t>5.80</w:t>
      </w:r>
      <w:r>
        <w:t>.</w:t>
      </w:r>
    </w:p>
    <w:p w14:paraId="203769CD" w14:textId="3B01EF6A" w:rsidR="00E25B33" w:rsidRPr="008D1701" w:rsidRDefault="00E25B33" w:rsidP="00E25B33">
      <w:r>
        <w:t>The TTWG noted the difference in MBS fees between general attendance time-tiered MBS items and their equivalents caused by the staggered reintroduction of indexation and considered that this should be addressed</w:t>
      </w:r>
      <w:r w:rsidR="00382419">
        <w:t>, if the relevant items continue.</w:t>
      </w:r>
    </w:p>
    <w:p w14:paraId="38CAF783" w14:textId="77777777" w:rsidR="00217579" w:rsidRDefault="00217579" w:rsidP="00E25B33">
      <w:pPr>
        <w:pStyle w:val="BoxTitle"/>
      </w:pPr>
      <w:r>
        <w:lastRenderedPageBreak/>
        <w:t>Recommendation 10</w:t>
      </w:r>
    </w:p>
    <w:p w14:paraId="5D8626B1" w14:textId="77777777" w:rsidR="00217579" w:rsidRDefault="00217579" w:rsidP="00E25B33">
      <w:pPr>
        <w:pStyle w:val="BoxText"/>
      </w:pPr>
      <w:r w:rsidRPr="008D7F0B">
        <w:t>Address the current differences in MBS fees between general attendance time-tiered items and equivalent time items caused by the staggered reintroduction of indexation to the MBS.</w:t>
      </w:r>
      <w:r>
        <w:rPr>
          <w:rStyle w:val="FootnoteReference"/>
        </w:rPr>
        <w:footnoteReference w:id="10"/>
      </w:r>
    </w:p>
    <w:p w14:paraId="0788B9D6" w14:textId="4F66DEBF" w:rsidR="00376C21" w:rsidRDefault="00801931" w:rsidP="00801931">
      <w:pPr>
        <w:pStyle w:val="Heading3"/>
      </w:pPr>
      <w:bookmarkStart w:id="44" w:name="_Toc239079082"/>
      <w:r>
        <w:t>Service provider types and qualifications</w:t>
      </w:r>
      <w:bookmarkEnd w:id="44"/>
    </w:p>
    <w:p w14:paraId="7F9115B5" w14:textId="7090255C" w:rsidR="00801931" w:rsidRDefault="00801931" w:rsidP="00801931">
      <w:r>
        <w:t>The MBS is first and foremost a patient benefit scheme</w:t>
      </w:r>
      <w:r w:rsidR="00AF6599">
        <w:t xml:space="preserve">, but </w:t>
      </w:r>
      <w:r>
        <w:t xml:space="preserve">it </w:t>
      </w:r>
      <w:r w:rsidR="00734BC5">
        <w:t xml:space="preserve">can also </w:t>
      </w:r>
      <w:r>
        <w:t>support broader health policy objectives, including workforce policy. In general practice, the MBS has been used to support workforce policies since at least the mid</w:t>
      </w:r>
      <w:r w:rsidR="00AF6599">
        <w:t>-</w:t>
      </w:r>
      <w:r>
        <w:t xml:space="preserve">1990s, when the distinction between GPs and other medical practitioners (now </w:t>
      </w:r>
      <w:r w:rsidR="00F301D1">
        <w:t>PMPs</w:t>
      </w:r>
      <w:r>
        <w:t>) was introduced.</w:t>
      </w:r>
    </w:p>
    <w:p w14:paraId="22236BCE" w14:textId="2B2C67A6" w:rsidR="00801931" w:rsidRDefault="00801931" w:rsidP="00801931">
      <w:r>
        <w:t xml:space="preserve">The </w:t>
      </w:r>
      <w:r w:rsidR="00F301D1">
        <w:t>TT</w:t>
      </w:r>
      <w:r>
        <w:t>WG support</w:t>
      </w:r>
      <w:r w:rsidR="00F301D1">
        <w:t>ed</w:t>
      </w:r>
      <w:r>
        <w:t xml:space="preserve"> the continuation of MBS fees based on professional qualifications in primary care settings, including maintaining the distinction between specialist GPs (and those in specialist GP training) and medical practitioners</w:t>
      </w:r>
      <w:r w:rsidR="00012235">
        <w:t xml:space="preserve"> who do not hold specialist qualifications</w:t>
      </w:r>
      <w:r>
        <w:t xml:space="preserve"> working in general practice settings. However, this needs to be considered alongside the additional complexity this creates in the schedule, and the impact on of the different fee structures on patients</w:t>
      </w:r>
      <w:r w:rsidR="00DB7D0E">
        <w:t xml:space="preserve"> (see Table 3)</w:t>
      </w:r>
      <w:r>
        <w:t>.</w:t>
      </w:r>
    </w:p>
    <w:p w14:paraId="0B3737B9" w14:textId="7857AFB6" w:rsidR="00801931" w:rsidRDefault="007E0ABF" w:rsidP="00801931">
      <w:r>
        <w:t>T</w:t>
      </w:r>
      <w:r w:rsidR="00801931">
        <w:t xml:space="preserve">he MBS </w:t>
      </w:r>
      <w:r w:rsidR="007E40D7">
        <w:t>benefits</w:t>
      </w:r>
      <w:r w:rsidR="00801931">
        <w:t xml:space="preserve"> for equivalent general attendance items </w:t>
      </w:r>
      <w:r>
        <w:t xml:space="preserve">for PMPs, </w:t>
      </w:r>
      <w:r w:rsidR="00801931">
        <w:t>vary by location</w:t>
      </w:r>
      <w:r w:rsidR="00DB7D0E">
        <w:t xml:space="preserve"> (Table </w:t>
      </w:r>
      <w:r w:rsidR="00FB7B85">
        <w:t>3</w:t>
      </w:r>
      <w:r w:rsidR="00DB7D0E">
        <w:t>)</w:t>
      </w:r>
      <w:r w:rsidR="00801931">
        <w:t xml:space="preserve">. In Modified Monash </w:t>
      </w:r>
      <w:r w:rsidR="00EC47AA">
        <w:t xml:space="preserve">(MM) </w:t>
      </w:r>
      <w:r w:rsidR="00801931">
        <w:t>areas 2</w:t>
      </w:r>
      <w:r w:rsidR="00EC47AA">
        <w:t>–</w:t>
      </w:r>
      <w:r w:rsidR="00801931">
        <w:t xml:space="preserve">7, </w:t>
      </w:r>
      <w:r w:rsidR="00204C58">
        <w:t xml:space="preserve">PMPs </w:t>
      </w:r>
      <w:r w:rsidR="00801931">
        <w:t xml:space="preserve">have access to the Group A7 Subgroup 2 attendance items, </w:t>
      </w:r>
      <w:r w:rsidR="00A9681D">
        <w:t xml:space="preserve">for </w:t>
      </w:r>
      <w:r w:rsidR="00801931">
        <w:t xml:space="preserve">which </w:t>
      </w:r>
      <w:r w:rsidR="00A9681D">
        <w:t xml:space="preserve">MBS </w:t>
      </w:r>
      <w:r w:rsidR="007E40D7">
        <w:t xml:space="preserve">benefits </w:t>
      </w:r>
      <w:r w:rsidR="00801931">
        <w:t xml:space="preserve">are </w:t>
      </w:r>
      <w:r w:rsidR="00F524F4">
        <w:t xml:space="preserve">set at </w:t>
      </w:r>
      <w:r w:rsidR="00801931">
        <w:t xml:space="preserve">80% of the equivalent GP </w:t>
      </w:r>
      <w:r w:rsidR="00A9681D">
        <w:t xml:space="preserve">MBS </w:t>
      </w:r>
      <w:r w:rsidR="007E40D7">
        <w:t>benefits</w:t>
      </w:r>
      <w:r w:rsidR="00801931">
        <w:t xml:space="preserve">. In </w:t>
      </w:r>
      <w:r w:rsidR="00F96331">
        <w:t>MM</w:t>
      </w:r>
      <w:r w:rsidR="00EC47AA">
        <w:t> </w:t>
      </w:r>
      <w:r w:rsidR="00801931">
        <w:t xml:space="preserve">1, the same service is provided using the Group A2 items, which are not subject to annual indexation of the MBS. As a result, the benefit the patient receives for a </w:t>
      </w:r>
      <w:r w:rsidR="00E47BC1">
        <w:t>level</w:t>
      </w:r>
      <w:r w:rsidR="00801931">
        <w:t xml:space="preserve"> B equivalent service in MM2</w:t>
      </w:r>
      <w:r w:rsidR="00F96331">
        <w:t>–</w:t>
      </w:r>
      <w:r w:rsidR="00801931">
        <w:t>7 is 80% of the GP fee, and in MM</w:t>
      </w:r>
      <w:r w:rsidR="00EC47AA">
        <w:t> </w:t>
      </w:r>
      <w:r w:rsidR="00801931">
        <w:t>1 it is less than 50% of the</w:t>
      </w:r>
      <w:r w:rsidR="00296B59">
        <w:t xml:space="preserve"> equivalent GP</w:t>
      </w:r>
      <w:r w:rsidR="00801931">
        <w:t xml:space="preserve"> fee</w:t>
      </w:r>
      <w:r w:rsidR="00A06AF2">
        <w:t>.</w:t>
      </w:r>
      <w:r w:rsidR="00296B59">
        <w:t xml:space="preserve"> This difference in </w:t>
      </w:r>
      <w:r w:rsidR="00712B84">
        <w:t xml:space="preserve">benefits could </w:t>
      </w:r>
      <w:r w:rsidR="0083681D">
        <w:t>adversely affect patients through increased out</w:t>
      </w:r>
      <w:r w:rsidR="00712B84">
        <w:t>-</w:t>
      </w:r>
      <w:r w:rsidR="0083681D">
        <w:t>of</w:t>
      </w:r>
      <w:r w:rsidR="00712B84">
        <w:t>-</w:t>
      </w:r>
      <w:r w:rsidR="0083681D">
        <w:t>pocket costs.</w:t>
      </w:r>
    </w:p>
    <w:p w14:paraId="628BC107" w14:textId="0C70D769" w:rsidR="007A67D8" w:rsidRDefault="007A67D8" w:rsidP="00801931">
      <w:r>
        <w:t xml:space="preserve">While not within the scope of this review, the </w:t>
      </w:r>
      <w:r w:rsidR="008D70DC">
        <w:t>TTWG notes that the Group A2 items are also used by non-GP specialists (in all MM areas), when providing an unreferred service.</w:t>
      </w:r>
    </w:p>
    <w:p w14:paraId="21E36B7E" w14:textId="43A6EB03" w:rsidR="00A06AF2" w:rsidRDefault="00A06AF2" w:rsidP="00001BFB">
      <w:pPr>
        <w:pStyle w:val="TableTitle"/>
      </w:pPr>
      <w:r>
        <w:t>Table</w:t>
      </w:r>
      <w:r w:rsidR="00DB7D0E">
        <w:t xml:space="preserve"> </w:t>
      </w:r>
      <w:r w:rsidR="00FB7B85">
        <w:t>3</w:t>
      </w:r>
      <w:r w:rsidR="00DB7D0E">
        <w:t>:</w:t>
      </w:r>
      <w:r w:rsidR="00DB7D0E">
        <w:tab/>
        <w:t xml:space="preserve">MBS </w:t>
      </w:r>
      <w:r w:rsidR="007E40D7">
        <w:t>benefits</w:t>
      </w:r>
      <w:r w:rsidR="00DB7D0E">
        <w:t xml:space="preserve"> by provider type, 202</w:t>
      </w:r>
      <w:r w:rsidR="007E40D7">
        <w:t>6</w:t>
      </w:r>
      <w:r w:rsidR="00F74221">
        <w:t>–</w:t>
      </w:r>
      <w:r w:rsidR="007E40D7">
        <w:t>27</w:t>
      </w:r>
    </w:p>
    <w:tbl>
      <w:tblPr>
        <w:tblStyle w:val="GridTable4-Accent61"/>
        <w:tblW w:w="0" w:type="auto"/>
        <w:tblLook w:val="04A0" w:firstRow="1" w:lastRow="0" w:firstColumn="1" w:lastColumn="0" w:noHBand="0" w:noVBand="1"/>
      </w:tblPr>
      <w:tblGrid>
        <w:gridCol w:w="1576"/>
        <w:gridCol w:w="1576"/>
        <w:gridCol w:w="1576"/>
        <w:gridCol w:w="1577"/>
        <w:gridCol w:w="1577"/>
      </w:tblGrid>
      <w:tr w:rsidR="009D1663" w:rsidRPr="001F50B6" w14:paraId="04C129C5" w14:textId="77777777" w:rsidTr="009662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6" w:type="dxa"/>
            <w:vMerge w:val="restart"/>
          </w:tcPr>
          <w:p w14:paraId="16A7521A" w14:textId="61D7B9AC" w:rsidR="009D1663" w:rsidRPr="001F50B6" w:rsidRDefault="009D1663" w:rsidP="009D1663">
            <w:pPr>
              <w:pStyle w:val="TableHeading"/>
              <w:rPr>
                <w:rFonts w:asciiTheme="minorHAnsi" w:hAnsiTheme="minorHAnsi" w:cstheme="minorHAnsi"/>
                <w:b/>
                <w:bCs/>
                <w:color w:val="auto"/>
              </w:rPr>
            </w:pPr>
            <w:r w:rsidRPr="001F50B6">
              <w:rPr>
                <w:rFonts w:asciiTheme="minorHAnsi" w:hAnsiTheme="minorHAnsi" w:cstheme="minorHAnsi"/>
                <w:b/>
                <w:bCs/>
                <w:color w:val="auto"/>
              </w:rPr>
              <w:t>Level</w:t>
            </w:r>
          </w:p>
        </w:tc>
        <w:tc>
          <w:tcPr>
            <w:tcW w:w="1576" w:type="dxa"/>
            <w:vMerge w:val="restart"/>
          </w:tcPr>
          <w:p w14:paraId="2C055F8D" w14:textId="14777B4F" w:rsidR="009D1663" w:rsidRPr="001F50B6" w:rsidRDefault="009D1663" w:rsidP="009D1663">
            <w:pPr>
              <w:pStyle w:val="TableHead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rPr>
            </w:pPr>
            <w:r w:rsidRPr="001F50B6">
              <w:rPr>
                <w:rFonts w:asciiTheme="minorHAnsi" w:hAnsiTheme="minorHAnsi" w:cstheme="minorHAnsi"/>
                <w:b/>
                <w:bCs/>
                <w:color w:val="auto"/>
              </w:rPr>
              <w:t>General practitioner</w:t>
            </w:r>
          </w:p>
        </w:tc>
        <w:tc>
          <w:tcPr>
            <w:tcW w:w="3153" w:type="dxa"/>
            <w:gridSpan w:val="2"/>
          </w:tcPr>
          <w:p w14:paraId="67CAD717" w14:textId="5B827283" w:rsidR="009D1663" w:rsidRPr="001F50B6" w:rsidRDefault="009D1663" w:rsidP="009D1663">
            <w:pPr>
              <w:pStyle w:val="TableHead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rPr>
            </w:pPr>
            <w:r w:rsidRPr="001F50B6">
              <w:rPr>
                <w:rFonts w:asciiTheme="minorHAnsi" w:hAnsiTheme="minorHAnsi" w:cstheme="minorHAnsi"/>
                <w:b/>
                <w:bCs/>
                <w:color w:val="auto"/>
              </w:rPr>
              <w:t>Prescribed medical practitioner</w:t>
            </w:r>
          </w:p>
        </w:tc>
        <w:tc>
          <w:tcPr>
            <w:tcW w:w="1577" w:type="dxa"/>
            <w:vMerge w:val="restart"/>
          </w:tcPr>
          <w:p w14:paraId="6BAA7115" w14:textId="50AFC48D" w:rsidR="009D1663" w:rsidRPr="001F50B6" w:rsidRDefault="009D1663" w:rsidP="009D1663">
            <w:pPr>
              <w:pStyle w:val="TableHead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rPr>
            </w:pPr>
            <w:r w:rsidRPr="001F50B6">
              <w:rPr>
                <w:rFonts w:asciiTheme="minorHAnsi" w:hAnsiTheme="minorHAnsi" w:cstheme="minorHAnsi"/>
                <w:b/>
                <w:bCs/>
                <w:color w:val="auto"/>
              </w:rPr>
              <w:t>Nurse practitioner</w:t>
            </w:r>
          </w:p>
        </w:tc>
      </w:tr>
      <w:tr w:rsidR="009D1663" w:rsidRPr="009D1663" w14:paraId="43DD406D" w14:textId="77777777" w:rsidTr="009662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6" w:type="dxa"/>
            <w:vMerge/>
            <w:shd w:val="clear" w:color="auto" w:fill="F79646"/>
          </w:tcPr>
          <w:p w14:paraId="016C16DA" w14:textId="77777777" w:rsidR="009D1663" w:rsidRPr="009D1663" w:rsidRDefault="009D1663" w:rsidP="009D1663">
            <w:pPr>
              <w:pStyle w:val="TableHeading"/>
              <w:rPr>
                <w:rFonts w:asciiTheme="minorHAnsi" w:hAnsiTheme="minorHAnsi" w:cstheme="minorHAnsi"/>
              </w:rPr>
            </w:pPr>
          </w:p>
        </w:tc>
        <w:tc>
          <w:tcPr>
            <w:tcW w:w="1576" w:type="dxa"/>
            <w:vMerge/>
            <w:shd w:val="clear" w:color="auto" w:fill="F79646"/>
          </w:tcPr>
          <w:p w14:paraId="2AB56A16" w14:textId="77777777" w:rsidR="009D1663" w:rsidRPr="009D1663" w:rsidRDefault="009D1663" w:rsidP="009D1663">
            <w:pPr>
              <w:pStyle w:val="TableHead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576" w:type="dxa"/>
            <w:shd w:val="clear" w:color="auto" w:fill="F79646"/>
          </w:tcPr>
          <w:p w14:paraId="0CB38D03" w14:textId="1EF4036B" w:rsidR="009D1663" w:rsidRPr="009D1663" w:rsidRDefault="009D1663" w:rsidP="009D1663">
            <w:pPr>
              <w:pStyle w:val="TableHead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D1663">
              <w:rPr>
                <w:rFonts w:asciiTheme="minorHAnsi" w:hAnsiTheme="minorHAnsi" w:cstheme="minorHAnsi"/>
              </w:rPr>
              <w:t>MM</w:t>
            </w:r>
            <w:r w:rsidR="00EC47AA">
              <w:rPr>
                <w:rFonts w:asciiTheme="minorHAnsi" w:hAnsiTheme="minorHAnsi" w:cstheme="minorHAnsi"/>
              </w:rPr>
              <w:t> </w:t>
            </w:r>
            <w:r w:rsidRPr="009D1663">
              <w:rPr>
                <w:rFonts w:asciiTheme="minorHAnsi" w:hAnsiTheme="minorHAnsi" w:cstheme="minorHAnsi"/>
              </w:rPr>
              <w:t>1</w:t>
            </w:r>
          </w:p>
        </w:tc>
        <w:tc>
          <w:tcPr>
            <w:tcW w:w="1577" w:type="dxa"/>
            <w:shd w:val="clear" w:color="auto" w:fill="F79646"/>
          </w:tcPr>
          <w:p w14:paraId="5F3561D9" w14:textId="1233D440" w:rsidR="009D1663" w:rsidRPr="009D1663" w:rsidRDefault="009D1663" w:rsidP="009D1663">
            <w:pPr>
              <w:pStyle w:val="TableHead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D1663">
              <w:rPr>
                <w:rFonts w:asciiTheme="minorHAnsi" w:hAnsiTheme="minorHAnsi" w:cstheme="minorHAnsi"/>
              </w:rPr>
              <w:t>MM</w:t>
            </w:r>
            <w:r w:rsidR="00EC47AA">
              <w:rPr>
                <w:rFonts w:asciiTheme="minorHAnsi" w:hAnsiTheme="minorHAnsi" w:cstheme="minorHAnsi"/>
              </w:rPr>
              <w:t> </w:t>
            </w:r>
            <w:r w:rsidRPr="009D1663">
              <w:rPr>
                <w:rFonts w:asciiTheme="minorHAnsi" w:hAnsiTheme="minorHAnsi" w:cstheme="minorHAnsi"/>
              </w:rPr>
              <w:t>2–7</w:t>
            </w:r>
          </w:p>
        </w:tc>
        <w:tc>
          <w:tcPr>
            <w:tcW w:w="1577" w:type="dxa"/>
            <w:vMerge/>
            <w:shd w:val="clear" w:color="auto" w:fill="F79646"/>
          </w:tcPr>
          <w:p w14:paraId="1DF7BB68" w14:textId="77777777" w:rsidR="009D1663" w:rsidRPr="009D1663" w:rsidRDefault="009D1663" w:rsidP="009D1663">
            <w:pPr>
              <w:pStyle w:val="TableHead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9D1663" w:rsidRPr="009D1663" w14:paraId="4442F787" w14:textId="77777777" w:rsidTr="0096625C">
        <w:tc>
          <w:tcPr>
            <w:cnfStyle w:val="001000000000" w:firstRow="0" w:lastRow="0" w:firstColumn="1" w:lastColumn="0" w:oddVBand="0" w:evenVBand="0" w:oddHBand="0" w:evenHBand="0" w:firstRowFirstColumn="0" w:firstRowLastColumn="0" w:lastRowFirstColumn="0" w:lastRowLastColumn="0"/>
            <w:tcW w:w="1576" w:type="dxa"/>
          </w:tcPr>
          <w:p w14:paraId="19FD5F8E" w14:textId="563355C2" w:rsidR="009D1663" w:rsidRPr="009D1663" w:rsidRDefault="009D1663" w:rsidP="009D1663">
            <w:pPr>
              <w:pStyle w:val="TableText"/>
              <w:rPr>
                <w:rFonts w:asciiTheme="minorHAnsi" w:hAnsiTheme="minorHAnsi" w:cstheme="minorHAnsi"/>
              </w:rPr>
            </w:pPr>
            <w:r>
              <w:rPr>
                <w:rFonts w:asciiTheme="minorHAnsi" w:hAnsiTheme="minorHAnsi" w:cstheme="minorHAnsi"/>
              </w:rPr>
              <w:t>A</w:t>
            </w:r>
          </w:p>
        </w:tc>
        <w:tc>
          <w:tcPr>
            <w:tcW w:w="1576" w:type="dxa"/>
          </w:tcPr>
          <w:p w14:paraId="284788C7" w14:textId="5FACE36D" w:rsidR="009D1663" w:rsidRPr="009D1663" w:rsidRDefault="007A33FE" w:rsidP="009D1663">
            <w:pPr>
              <w:pStyle w:val="Table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$20.55</w:t>
            </w:r>
          </w:p>
        </w:tc>
        <w:tc>
          <w:tcPr>
            <w:tcW w:w="1576" w:type="dxa"/>
          </w:tcPr>
          <w:p w14:paraId="5B570AFD" w14:textId="362F4E6C" w:rsidR="009D1663" w:rsidRPr="009D1663" w:rsidRDefault="00174E30" w:rsidP="009D1663">
            <w:pPr>
              <w:pStyle w:val="Table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$11.00</w:t>
            </w:r>
          </w:p>
        </w:tc>
        <w:tc>
          <w:tcPr>
            <w:tcW w:w="1577" w:type="dxa"/>
          </w:tcPr>
          <w:p w14:paraId="354D7DCD" w14:textId="2B07677A" w:rsidR="009D1663" w:rsidRPr="009D1663" w:rsidRDefault="005D762F" w:rsidP="009D1663">
            <w:pPr>
              <w:pStyle w:val="Table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$16.50</w:t>
            </w:r>
          </w:p>
        </w:tc>
        <w:tc>
          <w:tcPr>
            <w:tcW w:w="1577" w:type="dxa"/>
          </w:tcPr>
          <w:p w14:paraId="78DFFEE8" w14:textId="2F957519" w:rsidR="009D1663" w:rsidRPr="009D1663" w:rsidRDefault="00AA36FA" w:rsidP="009D1663">
            <w:pPr>
              <w:pStyle w:val="Table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$12.75</w:t>
            </w:r>
          </w:p>
        </w:tc>
      </w:tr>
      <w:tr w:rsidR="009D1663" w:rsidRPr="009D1663" w14:paraId="7E9A6D29" w14:textId="77777777" w:rsidTr="009662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6" w:type="dxa"/>
          </w:tcPr>
          <w:p w14:paraId="581EC996" w14:textId="5EDC5699" w:rsidR="009D1663" w:rsidRPr="009D1663" w:rsidRDefault="009D1663" w:rsidP="009D1663">
            <w:pPr>
              <w:pStyle w:val="TableText"/>
              <w:rPr>
                <w:rFonts w:asciiTheme="minorHAnsi" w:hAnsiTheme="minorHAnsi" w:cstheme="minorHAnsi"/>
              </w:rPr>
            </w:pPr>
            <w:r>
              <w:rPr>
                <w:rFonts w:asciiTheme="minorHAnsi" w:hAnsiTheme="minorHAnsi" w:cstheme="minorHAnsi"/>
              </w:rPr>
              <w:t>B</w:t>
            </w:r>
          </w:p>
        </w:tc>
        <w:tc>
          <w:tcPr>
            <w:tcW w:w="1576" w:type="dxa"/>
          </w:tcPr>
          <w:p w14:paraId="30286DA3" w14:textId="626BE6BF" w:rsidR="009D1663" w:rsidRPr="009D1663" w:rsidRDefault="007A33FE" w:rsidP="009D1663">
            <w:pPr>
              <w:pStyle w:val="Table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$45.05</w:t>
            </w:r>
          </w:p>
        </w:tc>
        <w:tc>
          <w:tcPr>
            <w:tcW w:w="1576" w:type="dxa"/>
          </w:tcPr>
          <w:p w14:paraId="1A02E082" w14:textId="26C13134" w:rsidR="009D1663" w:rsidRPr="009D1663" w:rsidRDefault="00174E30" w:rsidP="009D1663">
            <w:pPr>
              <w:pStyle w:val="Table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$21.00</w:t>
            </w:r>
          </w:p>
        </w:tc>
        <w:tc>
          <w:tcPr>
            <w:tcW w:w="1577" w:type="dxa"/>
          </w:tcPr>
          <w:p w14:paraId="7B6B89FB" w14:textId="05DB50EB" w:rsidR="009D1663" w:rsidRPr="009D1663" w:rsidRDefault="005D762F" w:rsidP="009D1663">
            <w:pPr>
              <w:pStyle w:val="Table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$35.95</w:t>
            </w:r>
          </w:p>
        </w:tc>
        <w:tc>
          <w:tcPr>
            <w:tcW w:w="1577" w:type="dxa"/>
          </w:tcPr>
          <w:p w14:paraId="67994935" w14:textId="6C81EBFC" w:rsidR="009D1663" w:rsidRPr="009D1663" w:rsidRDefault="00AA36FA" w:rsidP="009D1663">
            <w:pPr>
              <w:pStyle w:val="Table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$27.80</w:t>
            </w:r>
          </w:p>
        </w:tc>
      </w:tr>
      <w:tr w:rsidR="009D1663" w:rsidRPr="009D1663" w14:paraId="3F2550B9" w14:textId="77777777" w:rsidTr="0096625C">
        <w:tc>
          <w:tcPr>
            <w:cnfStyle w:val="001000000000" w:firstRow="0" w:lastRow="0" w:firstColumn="1" w:lastColumn="0" w:oddVBand="0" w:evenVBand="0" w:oddHBand="0" w:evenHBand="0" w:firstRowFirstColumn="0" w:firstRowLastColumn="0" w:lastRowFirstColumn="0" w:lastRowLastColumn="0"/>
            <w:tcW w:w="1576" w:type="dxa"/>
          </w:tcPr>
          <w:p w14:paraId="055AC837" w14:textId="229B5642" w:rsidR="009D1663" w:rsidRPr="009D1663" w:rsidRDefault="009D1663" w:rsidP="009D1663">
            <w:pPr>
              <w:pStyle w:val="TableText"/>
              <w:rPr>
                <w:rFonts w:asciiTheme="minorHAnsi" w:hAnsiTheme="minorHAnsi" w:cstheme="minorHAnsi"/>
              </w:rPr>
            </w:pPr>
            <w:r>
              <w:rPr>
                <w:rFonts w:asciiTheme="minorHAnsi" w:hAnsiTheme="minorHAnsi" w:cstheme="minorHAnsi"/>
              </w:rPr>
              <w:t>C</w:t>
            </w:r>
          </w:p>
        </w:tc>
        <w:tc>
          <w:tcPr>
            <w:tcW w:w="1576" w:type="dxa"/>
          </w:tcPr>
          <w:p w14:paraId="06BFA573" w14:textId="21643B6E" w:rsidR="009D1663" w:rsidRPr="009D1663" w:rsidRDefault="007A33FE" w:rsidP="009D1663">
            <w:pPr>
              <w:pStyle w:val="Table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$87.10</w:t>
            </w:r>
          </w:p>
        </w:tc>
        <w:tc>
          <w:tcPr>
            <w:tcW w:w="1576" w:type="dxa"/>
          </w:tcPr>
          <w:p w14:paraId="013ADA7D" w14:textId="2CB2CAE6" w:rsidR="009D1663" w:rsidRPr="009D1663" w:rsidRDefault="00B80CCB" w:rsidP="009D1663">
            <w:pPr>
              <w:pStyle w:val="Table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$38.00</w:t>
            </w:r>
          </w:p>
        </w:tc>
        <w:tc>
          <w:tcPr>
            <w:tcW w:w="1577" w:type="dxa"/>
          </w:tcPr>
          <w:p w14:paraId="49DC993E" w14:textId="495B035F" w:rsidR="009D1663" w:rsidRPr="009D1663" w:rsidRDefault="005D762F" w:rsidP="009D1663">
            <w:pPr>
              <w:pStyle w:val="Table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$69.70</w:t>
            </w:r>
          </w:p>
        </w:tc>
        <w:tc>
          <w:tcPr>
            <w:tcW w:w="1577" w:type="dxa"/>
          </w:tcPr>
          <w:p w14:paraId="2EEFC355" w14:textId="2C197949" w:rsidR="009D1663" w:rsidRPr="009D1663" w:rsidRDefault="00AA36FA" w:rsidP="009D1663">
            <w:pPr>
              <w:pStyle w:val="Table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$52.55</w:t>
            </w:r>
          </w:p>
        </w:tc>
      </w:tr>
      <w:tr w:rsidR="009D1663" w:rsidRPr="009D1663" w14:paraId="4FD9C370" w14:textId="77777777" w:rsidTr="009662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6" w:type="dxa"/>
          </w:tcPr>
          <w:p w14:paraId="15968F91" w14:textId="2C9EDDD0" w:rsidR="009D1663" w:rsidRPr="009D1663" w:rsidRDefault="009D1663" w:rsidP="009D1663">
            <w:pPr>
              <w:pStyle w:val="TableText"/>
              <w:rPr>
                <w:rFonts w:asciiTheme="minorHAnsi" w:hAnsiTheme="minorHAnsi" w:cstheme="minorHAnsi"/>
              </w:rPr>
            </w:pPr>
            <w:r>
              <w:rPr>
                <w:rFonts w:asciiTheme="minorHAnsi" w:hAnsiTheme="minorHAnsi" w:cstheme="minorHAnsi"/>
              </w:rPr>
              <w:t>D</w:t>
            </w:r>
          </w:p>
        </w:tc>
        <w:tc>
          <w:tcPr>
            <w:tcW w:w="1576" w:type="dxa"/>
          </w:tcPr>
          <w:p w14:paraId="4C0E76A8" w14:textId="237E6D49" w:rsidR="009D1663" w:rsidRPr="009D1663" w:rsidRDefault="007A33FE" w:rsidP="009D1663">
            <w:pPr>
              <w:pStyle w:val="Table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$128.35</w:t>
            </w:r>
          </w:p>
        </w:tc>
        <w:tc>
          <w:tcPr>
            <w:tcW w:w="1576" w:type="dxa"/>
          </w:tcPr>
          <w:p w14:paraId="61EAE1B9" w14:textId="253EED24" w:rsidR="009D1663" w:rsidRPr="009D1663" w:rsidRDefault="00B80CCB" w:rsidP="009D1663">
            <w:pPr>
              <w:pStyle w:val="Table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$61.00</w:t>
            </w:r>
          </w:p>
        </w:tc>
        <w:tc>
          <w:tcPr>
            <w:tcW w:w="1577" w:type="dxa"/>
          </w:tcPr>
          <w:p w14:paraId="0AE2561E" w14:textId="0A0BBF12" w:rsidR="009D1663" w:rsidRPr="00F74221" w:rsidRDefault="005D762F" w:rsidP="009D1663">
            <w:pPr>
              <w:pStyle w:val="Table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74221">
              <w:rPr>
                <w:rFonts w:asciiTheme="minorHAnsi" w:hAnsiTheme="minorHAnsi" w:cstheme="minorHAnsi"/>
              </w:rPr>
              <w:t>$102.65</w:t>
            </w:r>
          </w:p>
        </w:tc>
        <w:tc>
          <w:tcPr>
            <w:tcW w:w="1577" w:type="dxa"/>
          </w:tcPr>
          <w:p w14:paraId="280E838F" w14:textId="64F4B2C2" w:rsidR="009D1663" w:rsidRPr="009D1663" w:rsidRDefault="00AA36FA" w:rsidP="009D1663">
            <w:pPr>
              <w:pStyle w:val="Table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$77.55</w:t>
            </w:r>
          </w:p>
        </w:tc>
      </w:tr>
      <w:tr w:rsidR="009D1663" w:rsidRPr="009D1663" w14:paraId="57C560B3" w14:textId="77777777" w:rsidTr="0096625C">
        <w:tc>
          <w:tcPr>
            <w:cnfStyle w:val="001000000000" w:firstRow="0" w:lastRow="0" w:firstColumn="1" w:lastColumn="0" w:oddVBand="0" w:evenVBand="0" w:oddHBand="0" w:evenHBand="0" w:firstRowFirstColumn="0" w:firstRowLastColumn="0" w:lastRowFirstColumn="0" w:lastRowLastColumn="0"/>
            <w:tcW w:w="1576" w:type="dxa"/>
          </w:tcPr>
          <w:p w14:paraId="1F331DE0" w14:textId="1981DFD4" w:rsidR="009D1663" w:rsidRPr="009D1663" w:rsidRDefault="009D1663" w:rsidP="009D1663">
            <w:pPr>
              <w:pStyle w:val="TableText"/>
              <w:rPr>
                <w:rFonts w:asciiTheme="minorHAnsi" w:hAnsiTheme="minorHAnsi" w:cstheme="minorHAnsi"/>
              </w:rPr>
            </w:pPr>
            <w:r w:rsidRPr="009D1663">
              <w:rPr>
                <w:rFonts w:asciiTheme="minorHAnsi" w:hAnsiTheme="minorHAnsi" w:cstheme="minorHAnsi"/>
              </w:rPr>
              <w:t xml:space="preserve">E </w:t>
            </w:r>
          </w:p>
        </w:tc>
        <w:tc>
          <w:tcPr>
            <w:tcW w:w="1576" w:type="dxa"/>
          </w:tcPr>
          <w:p w14:paraId="070DCA68" w14:textId="6A9A9A7B" w:rsidR="009D1663" w:rsidRPr="009D1663" w:rsidRDefault="007A33FE" w:rsidP="009D1663">
            <w:pPr>
              <w:pStyle w:val="Table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$207.90</w:t>
            </w:r>
          </w:p>
        </w:tc>
        <w:tc>
          <w:tcPr>
            <w:tcW w:w="1576" w:type="dxa"/>
          </w:tcPr>
          <w:p w14:paraId="371ABBD1" w14:textId="0EB39E53" w:rsidR="009D1663" w:rsidRPr="009D1663" w:rsidRDefault="00F96331" w:rsidP="009D1663">
            <w:pPr>
              <w:pStyle w:val="Table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$98.40</w:t>
            </w:r>
          </w:p>
        </w:tc>
        <w:tc>
          <w:tcPr>
            <w:tcW w:w="1577" w:type="dxa"/>
          </w:tcPr>
          <w:p w14:paraId="17A41812" w14:textId="28FEFE1C" w:rsidR="009D1663" w:rsidRPr="00F74221" w:rsidRDefault="005D762F" w:rsidP="009D1663">
            <w:pPr>
              <w:pStyle w:val="Table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74221">
              <w:rPr>
                <w:rFonts w:asciiTheme="minorHAnsi" w:hAnsiTheme="minorHAnsi" w:cstheme="minorHAnsi"/>
              </w:rPr>
              <w:t>$166.30</w:t>
            </w:r>
          </w:p>
        </w:tc>
        <w:tc>
          <w:tcPr>
            <w:tcW w:w="1577" w:type="dxa"/>
          </w:tcPr>
          <w:p w14:paraId="0D3C2789" w14:textId="56E4FE95" w:rsidR="009D1663" w:rsidRPr="009D1663" w:rsidRDefault="00AA36FA" w:rsidP="009D1663">
            <w:pPr>
              <w:pStyle w:val="Table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$117.20</w:t>
            </w:r>
          </w:p>
        </w:tc>
      </w:tr>
    </w:tbl>
    <w:p w14:paraId="61C2BC97" w14:textId="762BB6AD" w:rsidR="00001BFB" w:rsidRDefault="00EC47AA" w:rsidP="00EC47AA">
      <w:pPr>
        <w:pStyle w:val="TFAbbrevsSpace"/>
      </w:pPr>
      <w:r>
        <w:t>MM = </w:t>
      </w:r>
      <w:r w:rsidRPr="00EC47AA">
        <w:t>Modified Monash area</w:t>
      </w:r>
    </w:p>
    <w:p w14:paraId="7E0F33BC" w14:textId="279CD817" w:rsidR="005E7B58" w:rsidRDefault="00A06AF2" w:rsidP="00A06AF2">
      <w:r>
        <w:t xml:space="preserve">The </w:t>
      </w:r>
      <w:r w:rsidR="00FD6700">
        <w:t>TT</w:t>
      </w:r>
      <w:r>
        <w:t>WG consider</w:t>
      </w:r>
      <w:r w:rsidR="00FD6700">
        <w:t>ed</w:t>
      </w:r>
      <w:r>
        <w:t xml:space="preserve"> that MBS </w:t>
      </w:r>
      <w:r w:rsidR="007E40D7">
        <w:t>benefits</w:t>
      </w:r>
      <w:r>
        <w:t xml:space="preserve"> for </w:t>
      </w:r>
      <w:r w:rsidR="00204C58">
        <w:t>PMP</w:t>
      </w:r>
      <w:r>
        <w:t xml:space="preserve">s should, in all instances, be at least commensurate to the MBS </w:t>
      </w:r>
      <w:r w:rsidR="00AA36FA">
        <w:t>benefits</w:t>
      </w:r>
      <w:r w:rsidR="007E40D7">
        <w:t xml:space="preserve"> </w:t>
      </w:r>
      <w:r>
        <w:t xml:space="preserve">for </w:t>
      </w:r>
      <w:r w:rsidR="00EC47AA">
        <w:t>NPs</w:t>
      </w:r>
      <w:r>
        <w:t xml:space="preserve">, noting that this is not the </w:t>
      </w:r>
      <w:r w:rsidR="00EC47AA">
        <w:t xml:space="preserve">current </w:t>
      </w:r>
      <w:r>
        <w:t xml:space="preserve">case for </w:t>
      </w:r>
      <w:r w:rsidR="00FD6700">
        <w:lastRenderedPageBreak/>
        <w:t>PMPs</w:t>
      </w:r>
      <w:r>
        <w:t xml:space="preserve"> working in MM</w:t>
      </w:r>
      <w:r w:rsidR="00EC47AA">
        <w:t> </w:t>
      </w:r>
      <w:r>
        <w:t xml:space="preserve">1. </w:t>
      </w:r>
      <w:r w:rsidR="008D70DC">
        <w:t xml:space="preserve">Maintaining this equivalent would also require that </w:t>
      </w:r>
      <w:r w:rsidR="0073712A">
        <w:t>these items be indexed as part of the annual MBS indexation.</w:t>
      </w:r>
    </w:p>
    <w:p w14:paraId="362929A9" w14:textId="77777777" w:rsidR="004E01B1" w:rsidRDefault="004E01B1" w:rsidP="004E01B1">
      <w:pPr>
        <w:pStyle w:val="BoxTitle"/>
      </w:pPr>
      <w:r>
        <w:t>Recommendation 11</w:t>
      </w:r>
    </w:p>
    <w:p w14:paraId="6430033F" w14:textId="77777777" w:rsidR="004E01B1" w:rsidRDefault="004E01B1" w:rsidP="004E01B1">
      <w:pPr>
        <w:pStyle w:val="BoxText"/>
      </w:pPr>
      <w:r w:rsidRPr="003E42E2">
        <w:t xml:space="preserve">Review MBS </w:t>
      </w:r>
      <w:r>
        <w:t>benefits</w:t>
      </w:r>
      <w:r w:rsidRPr="003E42E2">
        <w:t xml:space="preserve"> for time-tiered consultations for medical practitioners (excluding </w:t>
      </w:r>
      <w:r>
        <w:t>general practitioners</w:t>
      </w:r>
      <w:r w:rsidRPr="003E42E2">
        <w:t>)</w:t>
      </w:r>
      <w:r>
        <w:t xml:space="preserve"> –</w:t>
      </w:r>
      <w:r w:rsidRPr="003E42E2">
        <w:t xml:space="preserve"> for example</w:t>
      </w:r>
      <w:r>
        <w:t>,</w:t>
      </w:r>
      <w:r w:rsidRPr="003E42E2">
        <w:t xml:space="preserve"> Group A2 items and equivalents</w:t>
      </w:r>
      <w:r>
        <w:t xml:space="preserve"> –</w:t>
      </w:r>
      <w:r w:rsidRPr="003E42E2">
        <w:t xml:space="preserve"> and, at a minimum, increase the item </w:t>
      </w:r>
      <w:r>
        <w:t>benefits</w:t>
      </w:r>
      <w:r w:rsidRPr="003E42E2">
        <w:t xml:space="preserve"> to be at least in line with the equivalent items for </w:t>
      </w:r>
      <w:r>
        <w:t>n</w:t>
      </w:r>
      <w:r w:rsidRPr="003E42E2">
        <w:t xml:space="preserve">urse </w:t>
      </w:r>
      <w:r>
        <w:t>p</w:t>
      </w:r>
      <w:r w:rsidRPr="003E42E2">
        <w:t>ractitioners.  </w:t>
      </w:r>
    </w:p>
    <w:p w14:paraId="6B4BCC8F" w14:textId="5F453BAD" w:rsidR="00A06AF2" w:rsidRDefault="00A06AF2" w:rsidP="00A06AF2">
      <w:r>
        <w:t xml:space="preserve">The </w:t>
      </w:r>
      <w:r w:rsidR="00FD6700">
        <w:t>TT</w:t>
      </w:r>
      <w:r>
        <w:t xml:space="preserve">WG also noted that replicating items for different provider types contributes to the complexity of the MBS, </w:t>
      </w:r>
      <w:r w:rsidR="0022248A">
        <w:t xml:space="preserve">by </w:t>
      </w:r>
      <w:r>
        <w:t>both increasing the number of items and increasing opportunities for inconsistencies and discrepancies between those items.</w:t>
      </w:r>
    </w:p>
    <w:p w14:paraId="73ED4EDD" w14:textId="5D985520" w:rsidR="0070781D" w:rsidRDefault="0070781D" w:rsidP="00A06AF2">
      <w:r>
        <w:t>While the TTWG recognise</w:t>
      </w:r>
      <w:r w:rsidR="00B916DB">
        <w:t>d</w:t>
      </w:r>
      <w:r>
        <w:t xml:space="preserve"> that this has been the preferred approach to re</w:t>
      </w:r>
      <w:r w:rsidR="002D1183">
        <w:t xml:space="preserve">cognising different providers historically, </w:t>
      </w:r>
      <w:r w:rsidR="006543FF">
        <w:t xml:space="preserve">it </w:t>
      </w:r>
      <w:r w:rsidR="00B916DB">
        <w:t>saw</w:t>
      </w:r>
      <w:r w:rsidR="00C35FDD">
        <w:t xml:space="preserve"> merit in </w:t>
      </w:r>
      <w:r w:rsidR="00B916DB">
        <w:t xml:space="preserve">further </w:t>
      </w:r>
      <w:r w:rsidR="00C35FDD">
        <w:t>considering alternative approaches to structuring items where equivalent clinical services are provided</w:t>
      </w:r>
      <w:r w:rsidR="00B916DB">
        <w:t xml:space="preserve">, especially where the fees for </w:t>
      </w:r>
      <w:r w:rsidR="005E58C7">
        <w:t>one provider are a fixed percentage of the fees for another provider.</w:t>
      </w:r>
    </w:p>
    <w:p w14:paraId="5462713E" w14:textId="47E5DB21" w:rsidR="00217579" w:rsidRDefault="00217579" w:rsidP="00361DD6">
      <w:pPr>
        <w:pStyle w:val="BoxTitle"/>
      </w:pPr>
      <w:r>
        <w:t>Recommendation 12</w:t>
      </w:r>
    </w:p>
    <w:p w14:paraId="5F9F34E2" w14:textId="212B7617" w:rsidR="00F8542C" w:rsidRDefault="00217579" w:rsidP="00361DD6">
      <w:pPr>
        <w:pStyle w:val="BoxText"/>
      </w:pPr>
      <w:r w:rsidRPr="00167CE5">
        <w:t>To support system simplification, consider the progressive transition to a single set of time-tiered consultation items with an appropriate fee modifier linked to the provider’s qualifications and/or provider type to replace the current approach of creating parallel sets of items. </w:t>
      </w:r>
    </w:p>
    <w:p w14:paraId="38188ECF" w14:textId="153E9552" w:rsidR="00217579" w:rsidRDefault="00A1463B" w:rsidP="00A1463B">
      <w:pPr>
        <w:pStyle w:val="Heading3"/>
      </w:pPr>
      <w:bookmarkStart w:id="45" w:name="_Requirements_for_Mental"/>
      <w:bookmarkStart w:id="46" w:name="_Toc239079083"/>
      <w:bookmarkEnd w:id="45"/>
      <w:r w:rsidRPr="00C43594">
        <w:t>Requirements for Mental Health Skills Training</w:t>
      </w:r>
      <w:bookmarkEnd w:id="46"/>
    </w:p>
    <w:p w14:paraId="424980A0" w14:textId="653E2461" w:rsidR="00275B16" w:rsidRDefault="00F82C7B" w:rsidP="00F120B3">
      <w:pPr>
        <w:pStyle w:val="NormalBeforeBullet"/>
      </w:pPr>
      <w:r>
        <w:t xml:space="preserve">As noted previously, the TTWG queried the </w:t>
      </w:r>
      <w:r w:rsidR="00703D59">
        <w:t>ongoing need for separate MBS items where a service:</w:t>
      </w:r>
    </w:p>
    <w:p w14:paraId="4F4F963C" w14:textId="69F38C76" w:rsidR="00F120B3" w:rsidRDefault="00703D59" w:rsidP="00F120B3">
      <w:pPr>
        <w:pStyle w:val="Bullet"/>
      </w:pPr>
      <w:r>
        <w:t xml:space="preserve">is within the usual scope of </w:t>
      </w:r>
      <w:r w:rsidR="0013679D">
        <w:t xml:space="preserve">practice </w:t>
      </w:r>
      <w:r>
        <w:t xml:space="preserve">the </w:t>
      </w:r>
      <w:r w:rsidR="0013679D">
        <w:t xml:space="preserve">relevant </w:t>
      </w:r>
      <w:r>
        <w:t>profession</w:t>
      </w:r>
    </w:p>
    <w:p w14:paraId="47F13E72" w14:textId="2F078A40" w:rsidR="00703D59" w:rsidRDefault="00703D59" w:rsidP="00F120B3">
      <w:pPr>
        <w:pStyle w:val="NormalBeforeBullet"/>
      </w:pPr>
      <w:r>
        <w:t>or</w:t>
      </w:r>
    </w:p>
    <w:p w14:paraId="252E0F53" w14:textId="10126A27" w:rsidR="00703D59" w:rsidRDefault="00703D59" w:rsidP="00F120B3">
      <w:pPr>
        <w:pStyle w:val="BulletLast"/>
      </w:pPr>
      <w:r>
        <w:t>a CPD-level qualification with</w:t>
      </w:r>
      <w:r w:rsidR="0013679D">
        <w:t>out ongoing CPD requirements to maintain the credential.</w:t>
      </w:r>
    </w:p>
    <w:p w14:paraId="47DB8766" w14:textId="3811FD53" w:rsidR="0013679D" w:rsidRDefault="002F1413" w:rsidP="0013679D">
      <w:r>
        <w:t>Currently</w:t>
      </w:r>
      <w:r w:rsidR="00C43594">
        <w:t>,</w:t>
      </w:r>
      <w:r>
        <w:t xml:space="preserve"> there are separate</w:t>
      </w:r>
      <w:r w:rsidR="00C43594">
        <w:t xml:space="preserve"> MBS items</w:t>
      </w:r>
      <w:r>
        <w:t xml:space="preserve"> for prepar</w:t>
      </w:r>
      <w:r w:rsidR="00C43594">
        <w:t>ing</w:t>
      </w:r>
      <w:r>
        <w:t xml:space="preserve"> a Mental Health Treatment Plan, and</w:t>
      </w:r>
      <w:r w:rsidR="00C43594">
        <w:t xml:space="preserve"> for</w:t>
      </w:r>
      <w:r>
        <w:t xml:space="preserve"> prepar</w:t>
      </w:r>
      <w:r w:rsidR="00C43594">
        <w:t>ing</w:t>
      </w:r>
      <w:r>
        <w:t xml:space="preserve"> and review</w:t>
      </w:r>
      <w:r w:rsidR="00C43594">
        <w:t>ing</w:t>
      </w:r>
      <w:r>
        <w:t xml:space="preserve"> </w:t>
      </w:r>
      <w:r w:rsidR="00C230A4">
        <w:t>an E</w:t>
      </w:r>
      <w:r>
        <w:t xml:space="preserve">ating </w:t>
      </w:r>
      <w:r w:rsidR="00C230A4">
        <w:t>D</w:t>
      </w:r>
      <w:r>
        <w:t xml:space="preserve">isorder </w:t>
      </w:r>
      <w:r w:rsidR="00C230A4">
        <w:t>T</w:t>
      </w:r>
      <w:r>
        <w:t xml:space="preserve">reatment and </w:t>
      </w:r>
      <w:r w:rsidR="00C230A4">
        <w:t>M</w:t>
      </w:r>
      <w:r>
        <w:t xml:space="preserve">anagement </w:t>
      </w:r>
      <w:r w:rsidR="00C230A4">
        <w:t>P</w:t>
      </w:r>
      <w:r>
        <w:t>lan</w:t>
      </w:r>
      <w:r w:rsidR="00C230A4">
        <w:t xml:space="preserve"> for GPs and PMPs with and without mental health skills training. </w:t>
      </w:r>
      <w:r w:rsidR="00124118">
        <w:t>Apart from training</w:t>
      </w:r>
      <w:r w:rsidR="007F15B4">
        <w:t xml:space="preserve"> requirements, the only difference between the items for those with and without mental health skills training is the </w:t>
      </w:r>
      <w:r w:rsidR="00C43594">
        <w:t xml:space="preserve">MBS </w:t>
      </w:r>
      <w:r w:rsidR="007F15B4">
        <w:t xml:space="preserve">fee. Importantly, </w:t>
      </w:r>
      <w:r w:rsidR="00212BFA">
        <w:t>these</w:t>
      </w:r>
      <w:r w:rsidR="00C43594">
        <w:t xml:space="preserve"> MBS</w:t>
      </w:r>
      <w:r w:rsidR="00212BFA">
        <w:t xml:space="preserve"> items allow the GP/PMP to put in place a </w:t>
      </w:r>
      <w:r w:rsidR="00A85C2B">
        <w:t>plan and refer the patient for treatment service. They are not items for treating the patient’s condition.</w:t>
      </w:r>
    </w:p>
    <w:p w14:paraId="30CD7540" w14:textId="7DF05551" w:rsidR="00A85C2B" w:rsidRDefault="00E1748A" w:rsidP="0013679D">
      <w:r>
        <w:t xml:space="preserve">Mental health skills training </w:t>
      </w:r>
      <w:r w:rsidR="002C058A">
        <w:t>has been</w:t>
      </w:r>
      <w:r w:rsidR="0025305F">
        <w:t xml:space="preserve"> a core component of the RACGP </w:t>
      </w:r>
      <w:r w:rsidR="00A4770F">
        <w:t>fellowship curriculum</w:t>
      </w:r>
      <w:r w:rsidR="002C058A">
        <w:t xml:space="preserve"> since 2023</w:t>
      </w:r>
      <w:r w:rsidR="00241CCA">
        <w:t>.</w:t>
      </w:r>
      <w:r w:rsidR="002C058A">
        <w:t xml:space="preserve"> </w:t>
      </w:r>
      <w:r w:rsidR="001072B9">
        <w:t xml:space="preserve">For others, mental health skills training is </w:t>
      </w:r>
      <w:r w:rsidR="00F64634">
        <w:t>available through General Practice Mental Health Standards Collaboration</w:t>
      </w:r>
      <w:r w:rsidR="00194032">
        <w:t xml:space="preserve"> (GPMHSC)</w:t>
      </w:r>
      <w:r w:rsidR="00F64634">
        <w:t xml:space="preserve"> as part of CPD. There are no ongoing CPD requirements to maintain the credential.</w:t>
      </w:r>
    </w:p>
    <w:p w14:paraId="7AF0F13E" w14:textId="3711D5F2" w:rsidR="0060581E" w:rsidRDefault="0060581E" w:rsidP="0060581E">
      <w:r>
        <w:t>The TTWG support</w:t>
      </w:r>
      <w:r w:rsidR="00306155">
        <w:t>ed</w:t>
      </w:r>
      <w:r>
        <w:t xml:space="preserve"> different MBS fees based on practitioner qualifications and endorsements linked to their registration</w:t>
      </w:r>
      <w:r w:rsidR="00306155">
        <w:t>. However</w:t>
      </w:r>
      <w:r>
        <w:t xml:space="preserve">, the </w:t>
      </w:r>
      <w:r w:rsidR="009E5940">
        <w:t>TT</w:t>
      </w:r>
      <w:r>
        <w:t>WG d</w:t>
      </w:r>
      <w:r w:rsidR="00306155">
        <w:t>id</w:t>
      </w:r>
      <w:r>
        <w:t xml:space="preserve"> not support MBS items that recognise continuing professional development training.</w:t>
      </w:r>
    </w:p>
    <w:p w14:paraId="4FEF3EC9" w14:textId="22274E4C" w:rsidR="00A1463B" w:rsidRDefault="00DF5DAB" w:rsidP="0060581E">
      <w:r>
        <w:t>Therefore</w:t>
      </w:r>
      <w:r w:rsidR="0060581E">
        <w:t xml:space="preserve">, the </w:t>
      </w:r>
      <w:r w:rsidR="009E5940">
        <w:t>TT</w:t>
      </w:r>
      <w:r w:rsidR="0060581E">
        <w:t xml:space="preserve">WG </w:t>
      </w:r>
      <w:r w:rsidR="008D5BEC">
        <w:t xml:space="preserve">did not consider it appropriate to have </w:t>
      </w:r>
      <w:r w:rsidR="0060581E">
        <w:t xml:space="preserve">separate </w:t>
      </w:r>
      <w:r w:rsidR="008D5BEC">
        <w:t xml:space="preserve">MBS </w:t>
      </w:r>
      <w:r w:rsidR="0060581E">
        <w:t>items with different fees</w:t>
      </w:r>
      <w:r w:rsidR="008D5BEC">
        <w:t xml:space="preserve"> </w:t>
      </w:r>
      <w:r w:rsidR="0060581E">
        <w:t xml:space="preserve">for </w:t>
      </w:r>
      <w:r w:rsidR="00810661">
        <w:t>M</w:t>
      </w:r>
      <w:r w:rsidR="0060581E">
        <w:t xml:space="preserve">ental </w:t>
      </w:r>
      <w:r w:rsidR="00810661">
        <w:t>H</w:t>
      </w:r>
      <w:r w:rsidR="0060581E">
        <w:t xml:space="preserve">ealth </w:t>
      </w:r>
      <w:r w:rsidR="00810661">
        <w:t>T</w:t>
      </w:r>
      <w:r w:rsidR="0060581E">
        <w:t xml:space="preserve">reatment </w:t>
      </w:r>
      <w:r w:rsidR="00810661">
        <w:t>P</w:t>
      </w:r>
      <w:r w:rsidR="0060581E">
        <w:t>lan</w:t>
      </w:r>
      <w:r w:rsidR="00F619B3">
        <w:t xml:space="preserve"> and Eating Disorder Treatment and Management Plan</w:t>
      </w:r>
      <w:r w:rsidR="0060581E">
        <w:t xml:space="preserve"> items </w:t>
      </w:r>
      <w:r w:rsidR="008D5BEC">
        <w:t xml:space="preserve">that </w:t>
      </w:r>
      <w:r w:rsidR="0060581E">
        <w:t>depend</w:t>
      </w:r>
      <w:r w:rsidR="008D5BEC">
        <w:t xml:space="preserve"> on whet</w:t>
      </w:r>
      <w:r w:rsidR="0060581E">
        <w:t xml:space="preserve">her the GP has done </w:t>
      </w:r>
      <w:r w:rsidR="0013715A">
        <w:t>M</w:t>
      </w:r>
      <w:r w:rsidR="0060581E">
        <w:t xml:space="preserve">ental </w:t>
      </w:r>
      <w:r w:rsidR="0013715A">
        <w:t>H</w:t>
      </w:r>
      <w:r w:rsidR="0060581E">
        <w:t xml:space="preserve">ealth </w:t>
      </w:r>
      <w:r w:rsidR="0013715A">
        <w:t>S</w:t>
      </w:r>
      <w:r w:rsidR="0060581E">
        <w:t xml:space="preserve">kills </w:t>
      </w:r>
      <w:r w:rsidR="0013715A">
        <w:t>T</w:t>
      </w:r>
      <w:r w:rsidR="0060581E">
        <w:t xml:space="preserve">raining. </w:t>
      </w:r>
      <w:r w:rsidR="008D5BEC">
        <w:t xml:space="preserve">The </w:t>
      </w:r>
      <w:r w:rsidR="009E5940">
        <w:t>TT</w:t>
      </w:r>
      <w:r w:rsidR="0060581E">
        <w:t>WG acknowledge</w:t>
      </w:r>
      <w:r w:rsidR="00CF11C0">
        <w:t>d</w:t>
      </w:r>
      <w:r w:rsidR="0060581E">
        <w:t xml:space="preserve"> </w:t>
      </w:r>
      <w:r w:rsidR="00CF11C0">
        <w:t xml:space="preserve">that, originally, this may </w:t>
      </w:r>
      <w:r w:rsidR="005B4BC8">
        <w:t>have</w:t>
      </w:r>
      <w:r w:rsidR="00CF11C0">
        <w:t xml:space="preserve"> been an important </w:t>
      </w:r>
      <w:r w:rsidR="00CF11C0">
        <w:lastRenderedPageBreak/>
        <w:t xml:space="preserve">inclusion </w:t>
      </w:r>
      <w:r w:rsidR="0060581E">
        <w:t>to encourage GPs to undertake the training</w:t>
      </w:r>
      <w:r w:rsidR="00CF11C0">
        <w:t xml:space="preserve">. However, </w:t>
      </w:r>
      <w:r w:rsidR="0060581E">
        <w:t>this training is now part of GP training to obtain fellowship</w:t>
      </w:r>
      <w:r w:rsidR="00CF11C0">
        <w:t xml:space="preserve"> and the TTWG considered </w:t>
      </w:r>
      <w:r w:rsidR="00A15AC4">
        <w:t>this additional training requirement to be redundant</w:t>
      </w:r>
      <w:r w:rsidR="0060581E">
        <w:t>.</w:t>
      </w:r>
    </w:p>
    <w:p w14:paraId="7C74FA94" w14:textId="496F25F6" w:rsidR="00DF5DAB" w:rsidRDefault="00DF5DAB" w:rsidP="007D33E4">
      <w:pPr>
        <w:pStyle w:val="NormalBeforeBullet"/>
      </w:pPr>
      <w:r>
        <w:t xml:space="preserve">In contrast, the TTWG noted that </w:t>
      </w:r>
      <w:r w:rsidR="00194032">
        <w:t xml:space="preserve">Focused Psychological Strategies Training (also provided by the </w:t>
      </w:r>
      <w:r w:rsidR="00437E6D">
        <w:t xml:space="preserve">GPMHSC) allows GPs and PMP to access </w:t>
      </w:r>
      <w:r w:rsidR="007D33E4">
        <w:t xml:space="preserve">MBS </w:t>
      </w:r>
      <w:r w:rsidR="00437E6D">
        <w:t>items to provide treatment through the focused psychological strategies and eating disorder treatment items</w:t>
      </w:r>
      <w:r w:rsidR="007D33E4">
        <w:t>. This Focused Psychological Strategies Training</w:t>
      </w:r>
      <w:r w:rsidR="00437E6D">
        <w:t>:</w:t>
      </w:r>
    </w:p>
    <w:p w14:paraId="5AAF8497" w14:textId="365B63BC" w:rsidR="00437E6D" w:rsidRDefault="00EA40AB" w:rsidP="007D33E4">
      <w:pPr>
        <w:pStyle w:val="Bullet"/>
      </w:pPr>
      <w:r>
        <w:t>is not within the usual scope of practice for GPs/PMPs (other than rural generalists with advanced skills in mental health)</w:t>
      </w:r>
    </w:p>
    <w:p w14:paraId="5E9884BC" w14:textId="6C4A366A" w:rsidR="00EA40AB" w:rsidRDefault="00746F04" w:rsidP="007D33E4">
      <w:pPr>
        <w:pStyle w:val="BulletLast"/>
      </w:pPr>
      <w:r>
        <w:t>requires ongoing CPD (every 3 years) to maintain the credential.</w:t>
      </w:r>
    </w:p>
    <w:p w14:paraId="69B92CB8" w14:textId="12FC873E" w:rsidR="00F619B3" w:rsidRDefault="00F619B3" w:rsidP="004E01B1">
      <w:r>
        <w:t xml:space="preserve">The TTWG therefore support retaining </w:t>
      </w:r>
      <w:r w:rsidR="00274994">
        <w:t>the additional training and credentialling for focused psychological strategies and eating disorder treatment items.</w:t>
      </w:r>
    </w:p>
    <w:p w14:paraId="79BCA860" w14:textId="77777777" w:rsidR="00217579" w:rsidRDefault="00217579" w:rsidP="00361DD6">
      <w:pPr>
        <w:pStyle w:val="BoxTitle"/>
      </w:pPr>
      <w:r>
        <w:t>Recommendation 13</w:t>
      </w:r>
    </w:p>
    <w:p w14:paraId="559468C1" w14:textId="39EE15C8" w:rsidR="00217579" w:rsidRDefault="00217579" w:rsidP="00361DD6">
      <w:pPr>
        <w:pStyle w:val="BoxText"/>
      </w:pPr>
      <w:r w:rsidRPr="00514D25">
        <w:t xml:space="preserve">Recognising that </w:t>
      </w:r>
      <w:r w:rsidR="00E47BC1">
        <w:t>level</w:t>
      </w:r>
      <w:r w:rsidRPr="00514D25">
        <w:t xml:space="preserve"> 1 mental health skills training is now a core component of general practitioner training, differential fees and separate items for medical practitioners with or without ‘Mental Health Skills Training’ should be removed from </w:t>
      </w:r>
      <w:r w:rsidR="00E44D97">
        <w:t>M</w:t>
      </w:r>
      <w:r w:rsidRPr="00514D25">
        <w:t xml:space="preserve">ental </w:t>
      </w:r>
      <w:r w:rsidR="00E44D97">
        <w:t>H</w:t>
      </w:r>
      <w:r w:rsidRPr="00514D25">
        <w:t xml:space="preserve">ealth </w:t>
      </w:r>
      <w:r w:rsidR="00E44D97">
        <w:t>T</w:t>
      </w:r>
      <w:r w:rsidRPr="00514D25">
        <w:t xml:space="preserve">reatment </w:t>
      </w:r>
      <w:r w:rsidR="00E44D97">
        <w:t>P</w:t>
      </w:r>
      <w:r w:rsidRPr="00514D25">
        <w:t xml:space="preserve">lan and </w:t>
      </w:r>
      <w:r w:rsidR="00E44D97">
        <w:t>E</w:t>
      </w:r>
      <w:r w:rsidRPr="00514D25">
        <w:t xml:space="preserve">ating </w:t>
      </w:r>
      <w:r w:rsidR="00E44D97">
        <w:t>D</w:t>
      </w:r>
      <w:r w:rsidRPr="00514D25">
        <w:t xml:space="preserve">isorder </w:t>
      </w:r>
      <w:r w:rsidR="00E44D97">
        <w:t>T</w:t>
      </w:r>
      <w:r w:rsidRPr="00514D25">
        <w:t xml:space="preserve">reatment and </w:t>
      </w:r>
      <w:r w:rsidR="00E44D97">
        <w:t>M</w:t>
      </w:r>
      <w:r w:rsidRPr="00514D25">
        <w:t xml:space="preserve">anagement </w:t>
      </w:r>
      <w:r w:rsidR="00E44D97">
        <w:t>P</w:t>
      </w:r>
      <w:r w:rsidRPr="00514D25">
        <w:t>lan items.</w:t>
      </w:r>
      <w:r w:rsidR="002241E3">
        <w:t xml:space="preserve"> </w:t>
      </w:r>
    </w:p>
    <w:p w14:paraId="4DE5AA57" w14:textId="54546665" w:rsidR="005E7570" w:rsidRPr="00841928" w:rsidRDefault="005E7570" w:rsidP="009E3E0E">
      <w:pPr>
        <w:pStyle w:val="Heading3"/>
      </w:pPr>
      <w:bookmarkStart w:id="47" w:name="_Toc239079084"/>
      <w:r w:rsidRPr="00841928">
        <w:t>Location-specific services</w:t>
      </w:r>
      <w:bookmarkEnd w:id="47"/>
      <w:r w:rsidRPr="00841928">
        <w:t xml:space="preserve"> </w:t>
      </w:r>
    </w:p>
    <w:p w14:paraId="60319AE5" w14:textId="4C06A63E" w:rsidR="00F61703" w:rsidRDefault="00756898" w:rsidP="00F61703">
      <w:r>
        <w:t xml:space="preserve">Currently, </w:t>
      </w:r>
      <w:r w:rsidR="00F61703">
        <w:t xml:space="preserve">separate sets of </w:t>
      </w:r>
      <w:r>
        <w:t xml:space="preserve">MBS </w:t>
      </w:r>
      <w:r w:rsidR="00F61703">
        <w:t xml:space="preserve">items for </w:t>
      </w:r>
      <w:r w:rsidR="00841928">
        <w:t xml:space="preserve">GPs </w:t>
      </w:r>
      <w:r w:rsidR="00F61703">
        <w:t xml:space="preserve">and other medical practitioners </w:t>
      </w:r>
      <w:r>
        <w:t xml:space="preserve">are available </w:t>
      </w:r>
      <w:r w:rsidR="00F61703">
        <w:t>to provide time-tiered attendances in consulting rooms, out</w:t>
      </w:r>
      <w:r w:rsidR="0025643D">
        <w:t>-</w:t>
      </w:r>
      <w:r w:rsidR="00F61703">
        <w:t>of</w:t>
      </w:r>
      <w:r w:rsidR="0025643D">
        <w:t>-</w:t>
      </w:r>
      <w:r w:rsidR="00F61703">
        <w:t xml:space="preserve">consulting rooms and in </w:t>
      </w:r>
      <w:r w:rsidR="00FA2C78">
        <w:t xml:space="preserve">residential </w:t>
      </w:r>
      <w:r w:rsidR="00F61703">
        <w:t xml:space="preserve">aged care </w:t>
      </w:r>
      <w:r w:rsidR="0025643D">
        <w:t>during</w:t>
      </w:r>
      <w:r w:rsidR="00F61703">
        <w:t xml:space="preserve"> standard hours and after-hours. </w:t>
      </w:r>
      <w:r>
        <w:t>These MBS</w:t>
      </w:r>
      <w:r w:rsidR="00F61703">
        <w:t xml:space="preserve"> items cover </w:t>
      </w:r>
      <w:r w:rsidR="00B9284E">
        <w:t>equivalent clinical services</w:t>
      </w:r>
      <w:r>
        <w:t xml:space="preserve">; however, </w:t>
      </w:r>
      <w:r w:rsidR="00F61703">
        <w:t>each has different rules and fee structures</w:t>
      </w:r>
      <w:r w:rsidR="0025643D">
        <w:t xml:space="preserve"> (Table </w:t>
      </w:r>
      <w:r w:rsidR="000F0E13">
        <w:t>4</w:t>
      </w:r>
      <w:r w:rsidR="0025643D">
        <w:t>)</w:t>
      </w:r>
      <w:r w:rsidR="00F61703">
        <w:t xml:space="preserve">. In contrast, </w:t>
      </w:r>
      <w:r w:rsidR="00332C57">
        <w:t>NPs</w:t>
      </w:r>
      <w:r w:rsidR="00F61703">
        <w:t xml:space="preserve"> have a single set of attendance items that </w:t>
      </w:r>
      <w:r w:rsidR="00332C57">
        <w:t>are</w:t>
      </w:r>
      <w:r w:rsidR="00F61703">
        <w:t xml:space="preserve"> location agnostic.</w:t>
      </w:r>
    </w:p>
    <w:p w14:paraId="2AF25285" w14:textId="0046C9D2" w:rsidR="00456E82" w:rsidRDefault="00456E82" w:rsidP="00456E82">
      <w:pPr>
        <w:pStyle w:val="TableTitle"/>
      </w:pPr>
      <w:r>
        <w:t xml:space="preserve">Table </w:t>
      </w:r>
      <w:r w:rsidR="000F0E13">
        <w:t>4</w:t>
      </w:r>
      <w:r>
        <w:t>:</w:t>
      </w:r>
      <w:r>
        <w:tab/>
        <w:t>Fee structures for MBS items by location and time of day</w:t>
      </w:r>
    </w:p>
    <w:tbl>
      <w:tblPr>
        <w:tblStyle w:val="GridTable4-Accent61"/>
        <w:tblW w:w="0" w:type="auto"/>
        <w:tblLook w:val="04A0" w:firstRow="1" w:lastRow="0" w:firstColumn="1" w:lastColumn="0" w:noHBand="0" w:noVBand="1"/>
      </w:tblPr>
      <w:tblGrid>
        <w:gridCol w:w="2627"/>
        <w:gridCol w:w="2627"/>
        <w:gridCol w:w="2628"/>
      </w:tblGrid>
      <w:tr w:rsidR="00456E82" w:rsidRPr="001F50B6" w14:paraId="3D226DA7" w14:textId="77777777" w:rsidTr="001F50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7" w:type="dxa"/>
          </w:tcPr>
          <w:p w14:paraId="6B8F2889" w14:textId="05C9E063" w:rsidR="00456E82" w:rsidRPr="001F50B6" w:rsidRDefault="006E51A1" w:rsidP="00AE38F3">
            <w:pPr>
              <w:pStyle w:val="TableHeading"/>
              <w:rPr>
                <w:rFonts w:asciiTheme="minorHAnsi" w:hAnsiTheme="minorHAnsi" w:cstheme="minorHAnsi"/>
                <w:b/>
                <w:bCs/>
                <w:color w:val="auto"/>
              </w:rPr>
            </w:pPr>
            <w:r w:rsidRPr="001F50B6">
              <w:rPr>
                <w:rFonts w:asciiTheme="minorHAnsi" w:hAnsiTheme="minorHAnsi" w:cstheme="minorHAnsi"/>
                <w:b/>
                <w:bCs/>
                <w:color w:val="auto"/>
              </w:rPr>
              <w:t>Location</w:t>
            </w:r>
          </w:p>
        </w:tc>
        <w:tc>
          <w:tcPr>
            <w:tcW w:w="2627" w:type="dxa"/>
          </w:tcPr>
          <w:p w14:paraId="6E13058E" w14:textId="6C0B520F" w:rsidR="00456E82" w:rsidRPr="001F50B6" w:rsidRDefault="006E51A1" w:rsidP="00AE38F3">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rPr>
            </w:pPr>
            <w:r w:rsidRPr="001F50B6">
              <w:rPr>
                <w:rFonts w:asciiTheme="minorHAnsi" w:hAnsiTheme="minorHAnsi" w:cstheme="minorHAnsi"/>
                <w:b/>
                <w:bCs/>
                <w:color w:val="auto"/>
              </w:rPr>
              <w:t>Standard hours</w:t>
            </w:r>
          </w:p>
        </w:tc>
        <w:tc>
          <w:tcPr>
            <w:tcW w:w="2628" w:type="dxa"/>
          </w:tcPr>
          <w:p w14:paraId="6AC9071A" w14:textId="6E20A7D8" w:rsidR="00456E82" w:rsidRPr="001F50B6" w:rsidRDefault="006E51A1" w:rsidP="00AE38F3">
            <w:pPr>
              <w:pStyle w:val="TableHeading"/>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rPr>
            </w:pPr>
            <w:r w:rsidRPr="001F50B6">
              <w:rPr>
                <w:rFonts w:asciiTheme="minorHAnsi" w:hAnsiTheme="minorHAnsi" w:cstheme="minorHAnsi"/>
                <w:b/>
                <w:bCs/>
                <w:color w:val="auto"/>
              </w:rPr>
              <w:t>After-hours</w:t>
            </w:r>
          </w:p>
        </w:tc>
      </w:tr>
      <w:tr w:rsidR="00456E82" w:rsidRPr="00456E82" w14:paraId="56B57968" w14:textId="77777777" w:rsidTr="001F50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7" w:type="dxa"/>
          </w:tcPr>
          <w:p w14:paraId="6CD56739" w14:textId="5C2B941B" w:rsidR="00456E82" w:rsidRPr="00456E82" w:rsidRDefault="006E51A1" w:rsidP="00456E82">
            <w:pPr>
              <w:pStyle w:val="TableText"/>
              <w:rPr>
                <w:rFonts w:asciiTheme="minorHAnsi" w:hAnsiTheme="minorHAnsi" w:cstheme="minorHAnsi"/>
              </w:rPr>
            </w:pPr>
            <w:r>
              <w:rPr>
                <w:rFonts w:asciiTheme="minorHAnsi" w:hAnsiTheme="minorHAnsi" w:cstheme="minorHAnsi"/>
              </w:rPr>
              <w:t>Aged care home</w:t>
            </w:r>
          </w:p>
        </w:tc>
        <w:tc>
          <w:tcPr>
            <w:tcW w:w="2627" w:type="dxa"/>
          </w:tcPr>
          <w:p w14:paraId="51E5E174" w14:textId="3D9D27E7" w:rsidR="00456E82" w:rsidRPr="00456E82" w:rsidRDefault="006E51A1" w:rsidP="00456E82">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Flag fall applies for the first patient seen</w:t>
            </w:r>
          </w:p>
        </w:tc>
        <w:tc>
          <w:tcPr>
            <w:tcW w:w="2628" w:type="dxa"/>
          </w:tcPr>
          <w:p w14:paraId="7B0700C5" w14:textId="02C0F681" w:rsidR="00456E82" w:rsidRPr="00456E82" w:rsidRDefault="006E51A1" w:rsidP="00456E82">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Derived fee applies for all patients seen</w:t>
            </w:r>
          </w:p>
        </w:tc>
      </w:tr>
      <w:tr w:rsidR="00456E82" w:rsidRPr="00456E82" w14:paraId="4766980E" w14:textId="77777777" w:rsidTr="001F50B6">
        <w:tc>
          <w:tcPr>
            <w:cnfStyle w:val="001000000000" w:firstRow="0" w:lastRow="0" w:firstColumn="1" w:lastColumn="0" w:oddVBand="0" w:evenVBand="0" w:oddHBand="0" w:evenHBand="0" w:firstRowFirstColumn="0" w:firstRowLastColumn="0" w:lastRowFirstColumn="0" w:lastRowLastColumn="0"/>
            <w:tcW w:w="2627" w:type="dxa"/>
          </w:tcPr>
          <w:p w14:paraId="0AFF5DBB" w14:textId="2816D8CD" w:rsidR="00456E82" w:rsidRPr="00456E82" w:rsidRDefault="00AE38F3" w:rsidP="00456E82">
            <w:pPr>
              <w:pStyle w:val="TableText"/>
              <w:rPr>
                <w:rFonts w:asciiTheme="minorHAnsi" w:hAnsiTheme="minorHAnsi" w:cstheme="minorHAnsi"/>
              </w:rPr>
            </w:pPr>
            <w:r>
              <w:rPr>
                <w:rFonts w:asciiTheme="minorHAnsi" w:hAnsiTheme="minorHAnsi" w:cstheme="minorHAnsi"/>
              </w:rPr>
              <w:t>Outside of consulting room, but not aged care homes</w:t>
            </w:r>
          </w:p>
        </w:tc>
        <w:tc>
          <w:tcPr>
            <w:tcW w:w="2627" w:type="dxa"/>
          </w:tcPr>
          <w:p w14:paraId="01BB8556" w14:textId="7084D64B" w:rsidR="00456E82" w:rsidRPr="00456E82" w:rsidRDefault="00AE38F3" w:rsidP="00456E82">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Derived fee applies for all patients seen</w:t>
            </w:r>
          </w:p>
        </w:tc>
        <w:tc>
          <w:tcPr>
            <w:tcW w:w="2628" w:type="dxa"/>
          </w:tcPr>
          <w:p w14:paraId="11F6E2C7" w14:textId="331DEC64" w:rsidR="00456E82" w:rsidRPr="00456E82" w:rsidRDefault="00AE38F3" w:rsidP="00456E82">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Derived fee applies for all patients seen</w:t>
            </w:r>
          </w:p>
        </w:tc>
      </w:tr>
    </w:tbl>
    <w:p w14:paraId="5F5383AF" w14:textId="2D5485F2" w:rsidR="00456E82" w:rsidRDefault="00456E82" w:rsidP="00F61703">
      <w:r>
        <w:tab/>
      </w:r>
    </w:p>
    <w:p w14:paraId="5D4B9F77" w14:textId="77777777" w:rsidR="00DB5C13" w:rsidRDefault="00F61703" w:rsidP="00DB5C13">
      <w:pPr>
        <w:pStyle w:val="NormalBeforeBullet"/>
      </w:pPr>
      <w:r>
        <w:t xml:space="preserve">The </w:t>
      </w:r>
      <w:r w:rsidR="00332C57">
        <w:t>TT</w:t>
      </w:r>
      <w:r>
        <w:t>WG recognise</w:t>
      </w:r>
      <w:r w:rsidR="00332C57">
        <w:t>d</w:t>
      </w:r>
      <w:r>
        <w:t xml:space="preserve"> </w:t>
      </w:r>
      <w:r w:rsidR="002F6E8C">
        <w:t xml:space="preserve">that it is important for the </w:t>
      </w:r>
      <w:r>
        <w:t xml:space="preserve">MBS </w:t>
      </w:r>
      <w:r w:rsidR="002F6E8C">
        <w:t xml:space="preserve">to </w:t>
      </w:r>
      <w:r>
        <w:t>support</w:t>
      </w:r>
      <w:r w:rsidR="00DB5C13">
        <w:t>:</w:t>
      </w:r>
    </w:p>
    <w:p w14:paraId="01221879" w14:textId="2D784027" w:rsidR="00DB5C13" w:rsidRDefault="00F61703" w:rsidP="00DB5C13">
      <w:pPr>
        <w:pStyle w:val="Bullet"/>
      </w:pPr>
      <w:r>
        <w:t>services for patients outside of consulting rooms (</w:t>
      </w:r>
      <w:r w:rsidR="002F6E8C">
        <w:t>for example,</w:t>
      </w:r>
      <w:r>
        <w:t xml:space="preserve"> in their homes) and in </w:t>
      </w:r>
      <w:r w:rsidR="00FA2C78">
        <w:t xml:space="preserve">residential </w:t>
      </w:r>
      <w:r w:rsidR="002F6E8C">
        <w:t xml:space="preserve">aged care </w:t>
      </w:r>
    </w:p>
    <w:p w14:paraId="7D7D6EBF" w14:textId="77777777" w:rsidR="00DB5C13" w:rsidRDefault="00F61703" w:rsidP="00DB5C13">
      <w:pPr>
        <w:pStyle w:val="BulletLast"/>
      </w:pPr>
      <w:r>
        <w:t xml:space="preserve">continuity of care for these patients. </w:t>
      </w:r>
    </w:p>
    <w:p w14:paraId="600B8FB9" w14:textId="77777777" w:rsidR="00131956" w:rsidRDefault="00F61703" w:rsidP="0021569E">
      <w:r>
        <w:t xml:space="preserve">The </w:t>
      </w:r>
      <w:r w:rsidR="00DB5C13">
        <w:t>TT</w:t>
      </w:r>
      <w:r>
        <w:t>WG also recognise</w:t>
      </w:r>
      <w:r w:rsidR="00DB5C13">
        <w:t>d</w:t>
      </w:r>
      <w:r>
        <w:t xml:space="preserve"> that, compared to services provided in consulting rooms, there are additional costs and complexit</w:t>
      </w:r>
      <w:r w:rsidR="00DB5C13">
        <w:t>ies</w:t>
      </w:r>
      <w:r>
        <w:t xml:space="preserve"> associated with providing services outside of consulting rooms.</w:t>
      </w:r>
      <w:r w:rsidR="0021569E">
        <w:t xml:space="preserve"> The TTWG thus supported continuing higher MBS benefits </w:t>
      </w:r>
      <w:r w:rsidR="008175C6">
        <w:t xml:space="preserve">for services delivered </w:t>
      </w:r>
      <w:r w:rsidR="0021569E">
        <w:t xml:space="preserve">outside of </w:t>
      </w:r>
      <w:r w:rsidR="006A5120">
        <w:t xml:space="preserve">consulting </w:t>
      </w:r>
      <w:r w:rsidR="0021569E">
        <w:t xml:space="preserve">rooms </w:t>
      </w:r>
      <w:r w:rsidR="008175C6">
        <w:t xml:space="preserve">compared to </w:t>
      </w:r>
      <w:r w:rsidR="0021569E">
        <w:t xml:space="preserve">in </w:t>
      </w:r>
      <w:r w:rsidR="006A5120">
        <w:t xml:space="preserve">consulting </w:t>
      </w:r>
      <w:r w:rsidR="0021569E">
        <w:t xml:space="preserve">rooms for this reason. </w:t>
      </w:r>
    </w:p>
    <w:p w14:paraId="6F7697C3" w14:textId="435A5F2F" w:rsidR="0021569E" w:rsidRDefault="002372C7" w:rsidP="0021569E">
      <w:r>
        <w:t xml:space="preserve">The TTWG acknowledged that </w:t>
      </w:r>
      <w:r w:rsidR="0021569E">
        <w:t xml:space="preserve">services provided in </w:t>
      </w:r>
      <w:r w:rsidR="00864138">
        <w:t xml:space="preserve">residential </w:t>
      </w:r>
      <w:r w:rsidR="008175C6">
        <w:t xml:space="preserve">aged care </w:t>
      </w:r>
      <w:r w:rsidR="0021569E">
        <w:t>and other locations can be highly complex,</w:t>
      </w:r>
      <w:r w:rsidR="006A5120">
        <w:t xml:space="preserve"> but </w:t>
      </w:r>
      <w:r w:rsidR="0021569E">
        <w:t xml:space="preserve">the </w:t>
      </w:r>
      <w:r w:rsidR="006A5120">
        <w:t>TT</w:t>
      </w:r>
      <w:r w:rsidR="0021569E">
        <w:t xml:space="preserve">WG </w:t>
      </w:r>
      <w:r w:rsidR="006A5120">
        <w:t xml:space="preserve">also </w:t>
      </w:r>
      <w:r w:rsidR="008F575D">
        <w:t>highlighted</w:t>
      </w:r>
      <w:r w:rsidR="0021569E">
        <w:t xml:space="preserve"> the additional supports available in </w:t>
      </w:r>
      <w:r w:rsidR="00864138">
        <w:t xml:space="preserve">residential </w:t>
      </w:r>
      <w:r w:rsidR="0021569E">
        <w:t xml:space="preserve">aged care compared to, for example, a patient’s </w:t>
      </w:r>
      <w:r w:rsidR="00864138">
        <w:t xml:space="preserve">private </w:t>
      </w:r>
      <w:r w:rsidR="0021569E">
        <w:t>home.</w:t>
      </w:r>
      <w:r>
        <w:t xml:space="preserve"> </w:t>
      </w:r>
      <w:r w:rsidR="006A5120">
        <w:lastRenderedPageBreak/>
        <w:t>Therefore</w:t>
      </w:r>
      <w:r>
        <w:t xml:space="preserve">, the TTWG did not consider services delivered in </w:t>
      </w:r>
      <w:r w:rsidR="00864138">
        <w:t xml:space="preserve">residential </w:t>
      </w:r>
      <w:r>
        <w:t xml:space="preserve">aged care to be more complex than other locations, such as home visits, and therefore did not consider the higher MBS fees for </w:t>
      </w:r>
      <w:r w:rsidR="00864138">
        <w:t xml:space="preserve">residential </w:t>
      </w:r>
      <w:r>
        <w:t xml:space="preserve">aged care </w:t>
      </w:r>
      <w:r w:rsidR="00F675D9">
        <w:t xml:space="preserve">visits </w:t>
      </w:r>
      <w:r w:rsidR="00391851">
        <w:t>relative to other out</w:t>
      </w:r>
      <w:r w:rsidR="00F675D9">
        <w:t>-</w:t>
      </w:r>
      <w:r w:rsidR="00391851">
        <w:t>of</w:t>
      </w:r>
      <w:r w:rsidR="00F675D9">
        <w:t>-</w:t>
      </w:r>
      <w:r w:rsidR="00391851">
        <w:t xml:space="preserve">consulting room </w:t>
      </w:r>
      <w:r w:rsidR="00F675D9">
        <w:t xml:space="preserve">visits </w:t>
      </w:r>
      <w:r>
        <w:t>to be justified.</w:t>
      </w:r>
    </w:p>
    <w:p w14:paraId="3A20BD49" w14:textId="6FF9D32E" w:rsidR="00F61703" w:rsidRDefault="009362DC" w:rsidP="00F61703">
      <w:pPr>
        <w:pStyle w:val="NormalBeforeBullet"/>
      </w:pPr>
      <w:r>
        <w:t>The TTWG noted current</w:t>
      </w:r>
      <w:r w:rsidR="00F61703">
        <w:t xml:space="preserve"> evidence suggest</w:t>
      </w:r>
      <w:r>
        <w:t>ing</w:t>
      </w:r>
      <w:r w:rsidR="00F61703">
        <w:t xml:space="preserve"> that the current MBS arrangements are not adequately supporting patients that would benefit from </w:t>
      </w:r>
      <w:r w:rsidR="00F14E3D">
        <w:t>out-of-room</w:t>
      </w:r>
      <w:r w:rsidR="00F61703">
        <w:t xml:space="preserve"> services:</w:t>
      </w:r>
    </w:p>
    <w:p w14:paraId="4B3C461D" w14:textId="6100F1E5" w:rsidR="00F61703" w:rsidRDefault="00F61703" w:rsidP="0099246F">
      <w:pPr>
        <w:pStyle w:val="Bullet"/>
      </w:pPr>
      <w:r>
        <w:t xml:space="preserve">Anecdotal evidence indicates that many </w:t>
      </w:r>
      <w:r w:rsidR="00F675D9">
        <w:t xml:space="preserve">residential </w:t>
      </w:r>
      <w:r w:rsidR="005E1D99">
        <w:t>aged care homes</w:t>
      </w:r>
      <w:r>
        <w:t xml:space="preserve"> have difficulty accessing general practice services for their patients.</w:t>
      </w:r>
    </w:p>
    <w:p w14:paraId="67FF4B26" w14:textId="49ECE112" w:rsidR="00F61703" w:rsidRDefault="00F61703" w:rsidP="0051165C">
      <w:pPr>
        <w:pStyle w:val="BulletLast"/>
      </w:pPr>
      <w:r>
        <w:t>MBS data indicated that out</w:t>
      </w:r>
      <w:r w:rsidR="009947F9">
        <w:t>-</w:t>
      </w:r>
      <w:r>
        <w:t>of</w:t>
      </w:r>
      <w:r w:rsidR="009947F9">
        <w:t>-</w:t>
      </w:r>
      <w:r>
        <w:t>room services have been in steady decline for more than</w:t>
      </w:r>
      <w:r w:rsidR="00EE62CF">
        <w:t xml:space="preserve"> 10 years</w:t>
      </w:r>
      <w:r>
        <w:t xml:space="preserve">. While the expansion of telehealth services in March 2020 has allowed some patients to access their practitioner through this </w:t>
      </w:r>
      <w:r w:rsidR="00EA00E0">
        <w:t>mode</w:t>
      </w:r>
      <w:r>
        <w:t>, there are still significant numbers of people who require care in the home. This includes those with disabilities, older people living in the</w:t>
      </w:r>
      <w:r w:rsidR="00EE62CF">
        <w:t>ir own</w:t>
      </w:r>
      <w:r>
        <w:t xml:space="preserve"> </w:t>
      </w:r>
      <w:r w:rsidR="00F675D9">
        <w:t xml:space="preserve">private </w:t>
      </w:r>
      <w:r>
        <w:t>home for longer</w:t>
      </w:r>
      <w:r w:rsidR="00285EBD">
        <w:t>,</w:t>
      </w:r>
      <w:r>
        <w:t xml:space="preserve"> and palliative care patients.</w:t>
      </w:r>
    </w:p>
    <w:p w14:paraId="67A84067" w14:textId="7813F4E5" w:rsidR="00F61703" w:rsidRDefault="00F61703" w:rsidP="00F61703">
      <w:r>
        <w:t xml:space="preserve">The </w:t>
      </w:r>
      <w:r w:rsidR="00957556">
        <w:t>TT</w:t>
      </w:r>
      <w:r>
        <w:t>WG also consider</w:t>
      </w:r>
      <w:r w:rsidR="00957556">
        <w:t>ed</w:t>
      </w:r>
      <w:r w:rsidR="004336BB">
        <w:t xml:space="preserve"> that</w:t>
      </w:r>
      <w:r>
        <w:t xml:space="preserve"> there is a role for the entire primary care team in relation to</w:t>
      </w:r>
      <w:r w:rsidR="00EA0FB8">
        <w:t xml:space="preserve"> s</w:t>
      </w:r>
      <w:r>
        <w:t>ervices outside of consulting rooms</w:t>
      </w:r>
      <w:r w:rsidR="004336BB">
        <w:t xml:space="preserve">. The group also </w:t>
      </w:r>
      <w:r>
        <w:t>note</w:t>
      </w:r>
      <w:r w:rsidR="004336BB">
        <w:t>d</w:t>
      </w:r>
      <w:r>
        <w:t xml:space="preserve"> that some services could be provided by non-medical members of the team, such as </w:t>
      </w:r>
      <w:r w:rsidR="004336BB">
        <w:t xml:space="preserve">NPs </w:t>
      </w:r>
      <w:r>
        <w:t>and practice nurses</w:t>
      </w:r>
      <w:r w:rsidR="00B8786C">
        <w:t xml:space="preserve"> (see also r</w:t>
      </w:r>
      <w:hyperlink w:anchor="_Principle_5_–" w:history="1">
        <w:r w:rsidR="00B8786C" w:rsidRPr="7FBB1979">
          <w:rPr>
            <w:rStyle w:val="Hyperlink"/>
          </w:rPr>
          <w:t>ecommendation 23</w:t>
        </w:r>
      </w:hyperlink>
      <w:r w:rsidR="00B8786C">
        <w:t>)</w:t>
      </w:r>
      <w:r>
        <w:t>.</w:t>
      </w:r>
      <w:r w:rsidR="61AE10A7">
        <w:t xml:space="preserve"> </w:t>
      </w:r>
    </w:p>
    <w:p w14:paraId="6F612C0D" w14:textId="7C86F8E4" w:rsidR="00F61703" w:rsidRDefault="00F61703" w:rsidP="00F61703">
      <w:r>
        <w:t xml:space="preserve">The </w:t>
      </w:r>
      <w:r w:rsidR="009362DC">
        <w:t>TT</w:t>
      </w:r>
      <w:r>
        <w:t>WG support</w:t>
      </w:r>
      <w:r w:rsidR="009362DC">
        <w:t>ed</w:t>
      </w:r>
      <w:r>
        <w:t xml:space="preserve"> streamlining the arrangements for out</w:t>
      </w:r>
      <w:r w:rsidR="009362DC">
        <w:t>-</w:t>
      </w:r>
      <w:r>
        <w:t>of</w:t>
      </w:r>
      <w:r w:rsidR="009362DC">
        <w:t>-</w:t>
      </w:r>
      <w:r>
        <w:t xml:space="preserve">room services. </w:t>
      </w:r>
      <w:r w:rsidR="009362DC">
        <w:t xml:space="preserve">Therefore, </w:t>
      </w:r>
      <w:r>
        <w:t xml:space="preserve">the </w:t>
      </w:r>
      <w:r w:rsidR="009362DC">
        <w:t>TT</w:t>
      </w:r>
      <w:r>
        <w:t>WG support</w:t>
      </w:r>
      <w:r w:rsidR="00F470FF">
        <w:t>ed</w:t>
      </w:r>
      <w:r>
        <w:t xml:space="preserve"> moving to a fee</w:t>
      </w:r>
      <w:r w:rsidR="00F470FF">
        <w:t>-</w:t>
      </w:r>
      <w:r>
        <w:t>loading approach</w:t>
      </w:r>
      <w:r w:rsidR="00EC542D" w:rsidRPr="00EC542D">
        <w:t xml:space="preserve"> </w:t>
      </w:r>
      <w:r w:rsidR="00EC542D">
        <w:t>for out-of-room services</w:t>
      </w:r>
      <w:r>
        <w:t xml:space="preserve"> (</w:t>
      </w:r>
      <w:r w:rsidR="00F470FF">
        <w:t xml:space="preserve">similar to </w:t>
      </w:r>
      <w:r w:rsidR="00996FC9" w:rsidRPr="00996FC9">
        <w:t xml:space="preserve">recommendations 16 and 17; see </w:t>
      </w:r>
      <w:hyperlink w:anchor="_After-hours_primary_care" w:history="1">
        <w:r w:rsidR="00996FC9" w:rsidRPr="00996FC9">
          <w:rPr>
            <w:rStyle w:val="Hyperlink"/>
          </w:rPr>
          <w:t>After-</w:t>
        </w:r>
        <w:r w:rsidRPr="00996FC9">
          <w:rPr>
            <w:rStyle w:val="Hyperlink"/>
          </w:rPr>
          <w:t xml:space="preserve">hours </w:t>
        </w:r>
        <w:r w:rsidR="00996FC9" w:rsidRPr="00996FC9">
          <w:rPr>
            <w:rStyle w:val="Hyperlink"/>
          </w:rPr>
          <w:t>primary care services</w:t>
        </w:r>
      </w:hyperlink>
      <w:r w:rsidRPr="00996FC9">
        <w:t>)</w:t>
      </w:r>
      <w:r>
        <w:t>. Under this approach</w:t>
      </w:r>
      <w:r w:rsidR="00F470FF">
        <w:t>,</w:t>
      </w:r>
      <w:r>
        <w:t xml:space="preserve"> a standard consultation item (</w:t>
      </w:r>
      <w:r w:rsidR="00F470FF">
        <w:t>such as MBS</w:t>
      </w:r>
      <w:r>
        <w:t xml:space="preserve"> </w:t>
      </w:r>
      <w:r w:rsidR="00F470FF">
        <w:t>i</w:t>
      </w:r>
      <w:r>
        <w:t>tem 23)</w:t>
      </w:r>
      <w:r w:rsidR="00397086">
        <w:t xml:space="preserve"> would be used in </w:t>
      </w:r>
      <w:r w:rsidR="00473E2E">
        <w:t>conjunction</w:t>
      </w:r>
      <w:r>
        <w:t xml:space="preserve"> with an additional percentage loading paid if the service is delivered in a location other than consulting rooms. The </w:t>
      </w:r>
      <w:r w:rsidR="00EA3447">
        <w:t>TT</w:t>
      </w:r>
      <w:r>
        <w:t>WG consider</w:t>
      </w:r>
      <w:r w:rsidR="00EA3447">
        <w:t>ed</w:t>
      </w:r>
      <w:r>
        <w:t xml:space="preserve"> that loading item</w:t>
      </w:r>
      <w:r w:rsidR="00EA3447">
        <w:t>s</w:t>
      </w:r>
      <w:r>
        <w:t xml:space="preserve"> should apply to GP</w:t>
      </w:r>
      <w:r w:rsidR="00473E2E">
        <w:t>, PMP</w:t>
      </w:r>
      <w:r>
        <w:t xml:space="preserve"> and </w:t>
      </w:r>
      <w:r w:rsidR="00EA3447">
        <w:t xml:space="preserve">NP </w:t>
      </w:r>
      <w:r>
        <w:t>attendance items.</w:t>
      </w:r>
      <w:r w:rsidR="00C5460A">
        <w:t xml:space="preserve"> </w:t>
      </w:r>
    </w:p>
    <w:p w14:paraId="1102F222" w14:textId="27F33BA3" w:rsidR="00F61703" w:rsidRDefault="00F61703" w:rsidP="00F61703">
      <w:r>
        <w:t xml:space="preserve">The </w:t>
      </w:r>
      <w:r w:rsidR="009267F1">
        <w:t>TT</w:t>
      </w:r>
      <w:r>
        <w:t xml:space="preserve">WG also noted the importance of continuity of care for many people that access services outside of rooms, whether in </w:t>
      </w:r>
      <w:r w:rsidR="00F675D9">
        <w:t xml:space="preserve">residential </w:t>
      </w:r>
      <w:r>
        <w:t xml:space="preserve">aged care or </w:t>
      </w:r>
      <w:r w:rsidR="00E87A1C">
        <w:t>their own</w:t>
      </w:r>
      <w:r>
        <w:t xml:space="preserve"> home. To support continuity of care</w:t>
      </w:r>
      <w:r w:rsidR="00C11DED">
        <w:t>,</w:t>
      </w:r>
      <w:r>
        <w:t xml:space="preserve"> the </w:t>
      </w:r>
      <w:r w:rsidR="00C11DED">
        <w:t>TT</w:t>
      </w:r>
      <w:r>
        <w:t>WG consider</w:t>
      </w:r>
      <w:r w:rsidR="00C11DED">
        <w:t>ed</w:t>
      </w:r>
      <w:r>
        <w:t xml:space="preserve"> it appropriate for out</w:t>
      </w:r>
      <w:r w:rsidR="00C11DED">
        <w:t>-</w:t>
      </w:r>
      <w:r>
        <w:t>of</w:t>
      </w:r>
      <w:r w:rsidR="00C11DED">
        <w:t>-</w:t>
      </w:r>
      <w:r>
        <w:t xml:space="preserve">room loading to be linked to a patient’s </w:t>
      </w:r>
      <w:proofErr w:type="spellStart"/>
      <w:r>
        <w:t>MyMedicare</w:t>
      </w:r>
      <w:proofErr w:type="spellEnd"/>
      <w:r>
        <w:t xml:space="preserve"> registration</w:t>
      </w:r>
      <w:r w:rsidR="00866D4B">
        <w:t>, including for NPs</w:t>
      </w:r>
      <w:r>
        <w:t>.</w:t>
      </w:r>
    </w:p>
    <w:p w14:paraId="004C35BE" w14:textId="7D0267FC" w:rsidR="007A7D3F" w:rsidRDefault="007A7D3F" w:rsidP="00F61703">
      <w:r>
        <w:t xml:space="preserve">The TTWG acknowledged that there may be policy justification for additional incentives to ensure the provision of services in certain locations, such as </w:t>
      </w:r>
      <w:r w:rsidR="00F675D9">
        <w:t xml:space="preserve">residential </w:t>
      </w:r>
      <w:r>
        <w:t xml:space="preserve">aged care, but considered that any such incentives should be provided through non-MBS funding mechanisms. </w:t>
      </w:r>
    </w:p>
    <w:p w14:paraId="398393F3" w14:textId="7A0195DA" w:rsidR="00217579" w:rsidRDefault="00217579" w:rsidP="009E3E0E">
      <w:pPr>
        <w:pStyle w:val="BoxTitle"/>
      </w:pPr>
      <w:r>
        <w:t>Recommendation 14</w:t>
      </w:r>
    </w:p>
    <w:p w14:paraId="07CF90F8" w14:textId="4B4C4F91" w:rsidR="00217579" w:rsidRDefault="00217579" w:rsidP="009E3E0E">
      <w:pPr>
        <w:pStyle w:val="BoxText"/>
      </w:pPr>
      <w:r w:rsidRPr="004C2831">
        <w:t xml:space="preserve">The MBS fees for services provided outside of consulting rooms (for example, home visits) be at least commensurate with the MBS fees for equivalent services provided in </w:t>
      </w:r>
      <w:r w:rsidR="00185E33">
        <w:t xml:space="preserve">residential </w:t>
      </w:r>
      <w:r w:rsidR="00185E33" w:rsidRPr="004C2831">
        <w:t>aged care</w:t>
      </w:r>
      <w:r w:rsidRPr="006E2972">
        <w:rPr>
          <w:color w:val="C45911" w:themeColor="accent2" w:themeShade="BF"/>
        </w:rPr>
        <w:t>. </w:t>
      </w:r>
    </w:p>
    <w:p w14:paraId="40F93CB5" w14:textId="77777777" w:rsidR="00217579" w:rsidRDefault="00217579" w:rsidP="009E3E0E">
      <w:pPr>
        <w:pStyle w:val="BoxTitle"/>
      </w:pPr>
      <w:r>
        <w:t>Recommendation 15</w:t>
      </w:r>
    </w:p>
    <w:p w14:paraId="6ABD2A8E" w14:textId="2604BB66" w:rsidR="00217579" w:rsidRDefault="00217579" w:rsidP="009E3E0E">
      <w:pPr>
        <w:pStyle w:val="BoxText"/>
      </w:pPr>
      <w:r>
        <w:t xml:space="preserve">The current MBS items for services provided outside of consulting rooms and in </w:t>
      </w:r>
      <w:r w:rsidR="00185E33">
        <w:t xml:space="preserve">residential aged care </w:t>
      </w:r>
      <w:r>
        <w:t xml:space="preserve">be replaced with fee loading items for consistency. The </w:t>
      </w:r>
    </w:p>
    <w:p w14:paraId="2448D1EF" w14:textId="58397FB2" w:rsidR="00217579" w:rsidRDefault="00217579" w:rsidP="4BF2B614">
      <w:r>
        <w:br w:type="page"/>
      </w:r>
    </w:p>
    <w:p w14:paraId="349AB197" w14:textId="7B984A4B" w:rsidR="00217579" w:rsidRDefault="00217579" w:rsidP="009E3E0E">
      <w:pPr>
        <w:pStyle w:val="BoxText"/>
      </w:pPr>
      <w:r>
        <w:lastRenderedPageBreak/>
        <w:t xml:space="preserve"> loading items would only be available when the patient is registered through </w:t>
      </w:r>
      <w:proofErr w:type="spellStart"/>
      <w:r>
        <w:t>MyMedicare</w:t>
      </w:r>
      <w:proofErr w:type="spellEnd"/>
      <w:r>
        <w:t xml:space="preserve"> with the practice that provides the service.</w:t>
      </w:r>
    </w:p>
    <w:p w14:paraId="2D9BAC6C" w14:textId="3A30774E" w:rsidR="00217579" w:rsidRDefault="00217579" w:rsidP="009E3E0E">
      <w:pPr>
        <w:pStyle w:val="BoxText"/>
      </w:pPr>
      <w:r>
        <w:t>The loading items should apply to consultations provided by nurse practitioners on the same basis that they are available to medical practitioners.</w:t>
      </w:r>
    </w:p>
    <w:p w14:paraId="48327869" w14:textId="3DB79DAE" w:rsidR="00217579" w:rsidRPr="00945183" w:rsidRDefault="00217579" w:rsidP="00AC2BBF">
      <w:pPr>
        <w:pStyle w:val="Heading2"/>
      </w:pPr>
      <w:bookmarkStart w:id="48" w:name="_Toc239079085"/>
      <w:r w:rsidRPr="00945183">
        <w:t>Principle 4</w:t>
      </w:r>
      <w:r w:rsidR="00124531" w:rsidRPr="00945183">
        <w:t xml:space="preserve"> – </w:t>
      </w:r>
      <w:r w:rsidRPr="00945183">
        <w:t>MBS after-hours arrangements should be streamlined and aligned across primary care</w:t>
      </w:r>
      <w:bookmarkEnd w:id="48"/>
    </w:p>
    <w:p w14:paraId="2FA280FA" w14:textId="77777777" w:rsidR="00AC2BBF" w:rsidRDefault="00AC2BBF" w:rsidP="00BB671D">
      <w:pPr>
        <w:pStyle w:val="Heading3"/>
      </w:pPr>
      <w:bookmarkStart w:id="49" w:name="_After-hours_primary_care"/>
      <w:bookmarkStart w:id="50" w:name="_Toc209528182"/>
      <w:bookmarkStart w:id="51" w:name="_Toc239079086"/>
      <w:bookmarkEnd w:id="49"/>
      <w:r w:rsidRPr="00945183">
        <w:t>After-hours primary care services</w:t>
      </w:r>
      <w:bookmarkEnd w:id="50"/>
      <w:bookmarkEnd w:id="51"/>
    </w:p>
    <w:p w14:paraId="0758E5F3" w14:textId="73B35884" w:rsidR="005C2030" w:rsidRDefault="00945183" w:rsidP="006B7C4A">
      <w:r>
        <w:t>The current after-hours arrangements are complex</w:t>
      </w:r>
      <w:r w:rsidR="00CA6F85">
        <w:t xml:space="preserve">, with 45 </w:t>
      </w:r>
      <w:r w:rsidR="009E0C1A">
        <w:t xml:space="preserve">MBS </w:t>
      </w:r>
      <w:r w:rsidR="00CA6F85">
        <w:t xml:space="preserve">items </w:t>
      </w:r>
      <w:r w:rsidR="009E0C1A">
        <w:t>for non-urgent services and a further 6 MBS items for urgent after-hours services</w:t>
      </w:r>
      <w:r w:rsidR="00327008">
        <w:t xml:space="preserve">. </w:t>
      </w:r>
      <w:r w:rsidR="006B7C4A">
        <w:t xml:space="preserve">The </w:t>
      </w:r>
      <w:r w:rsidR="00534B80">
        <w:t>TTWG</w:t>
      </w:r>
      <w:r w:rsidR="006B7C4A">
        <w:t xml:space="preserve"> considered the main reasons for after-hours care, which are varied but generally include urgency, convenience and access for patients. </w:t>
      </w:r>
      <w:r w:rsidR="005C2030">
        <w:t>P</w:t>
      </w:r>
      <w:r w:rsidR="006B7C4A">
        <w:t xml:space="preserve">atients aged over 85 </w:t>
      </w:r>
      <w:r w:rsidR="005C2030">
        <w:t xml:space="preserve">year </w:t>
      </w:r>
      <w:r w:rsidR="006B7C4A">
        <w:t>and those under 5 years</w:t>
      </w:r>
      <w:r w:rsidR="005C2030">
        <w:t xml:space="preserve"> are largest users of MBS after-hours services</w:t>
      </w:r>
      <w:r w:rsidR="00FD05F0">
        <w:t xml:space="preserve"> according to MBS data</w:t>
      </w:r>
      <w:r w:rsidR="006B7C4A">
        <w:t xml:space="preserve">. </w:t>
      </w:r>
    </w:p>
    <w:p w14:paraId="398D5524" w14:textId="77777777" w:rsidR="008D1B83" w:rsidRDefault="00F26E45" w:rsidP="008D1B83">
      <w:pPr>
        <w:pStyle w:val="NormalBeforeBullet"/>
      </w:pPr>
      <w:r>
        <w:t xml:space="preserve">The </w:t>
      </w:r>
      <w:r w:rsidR="005B215A">
        <w:t>TT</w:t>
      </w:r>
      <w:r>
        <w:t xml:space="preserve">WG also </w:t>
      </w:r>
      <w:r w:rsidR="005B215A">
        <w:t>noted</w:t>
      </w:r>
      <w:r>
        <w:t xml:space="preserve"> that the environment for after-hours primary care services has changed since the MBS Review Taskforce reviewed the after-hours items</w:t>
      </w:r>
      <w:r w:rsidR="008A40CF">
        <w:t>:</w:t>
      </w:r>
      <w:r>
        <w:t xml:space="preserve"> </w:t>
      </w:r>
    </w:p>
    <w:p w14:paraId="1527F25F" w14:textId="63D9335F" w:rsidR="008D1B83" w:rsidRDefault="008E3C04" w:rsidP="008D1B83">
      <w:pPr>
        <w:pStyle w:val="Bullet"/>
      </w:pPr>
      <w:r>
        <w:t>S</w:t>
      </w:r>
      <w:r w:rsidR="00F26E45">
        <w:t xml:space="preserve">ervices such as the </w:t>
      </w:r>
      <w:proofErr w:type="spellStart"/>
      <w:r w:rsidR="00F26E45">
        <w:t>HealthDirect</w:t>
      </w:r>
      <w:proofErr w:type="spellEnd"/>
      <w:r w:rsidR="00F26E45">
        <w:t xml:space="preserve"> GP hotline, </w:t>
      </w:r>
      <w:r w:rsidR="00946F31">
        <w:t>1800M</w:t>
      </w:r>
      <w:r w:rsidR="008824E4">
        <w:t>EDICARE</w:t>
      </w:r>
      <w:r w:rsidR="00946F31">
        <w:t xml:space="preserve">, </w:t>
      </w:r>
      <w:r w:rsidR="00F26E45">
        <w:t>state and territory virtual ED services</w:t>
      </w:r>
      <w:r w:rsidR="008A40CF">
        <w:t xml:space="preserve"> and</w:t>
      </w:r>
      <w:r w:rsidR="00F26E45">
        <w:t xml:space="preserve"> Medicare Urgent Care Clinics </w:t>
      </w:r>
      <w:r w:rsidR="008A40CF">
        <w:t>have been introduced or expanded</w:t>
      </w:r>
      <w:r>
        <w:t>.</w:t>
      </w:r>
    </w:p>
    <w:p w14:paraId="41094B74" w14:textId="77777777" w:rsidR="008E3C04" w:rsidRDefault="008D1B83" w:rsidP="008E3C04">
      <w:pPr>
        <w:pStyle w:val="Bullet"/>
      </w:pPr>
      <w:r>
        <w:t xml:space="preserve">The </w:t>
      </w:r>
      <w:r w:rsidR="00F26E45">
        <w:t>Taskforce’s recommendations relating to MBS items for urgent after-hours services</w:t>
      </w:r>
      <w:r>
        <w:t xml:space="preserve"> have been implement</w:t>
      </w:r>
      <w:r w:rsidR="008E3C04">
        <w:t>ed.</w:t>
      </w:r>
    </w:p>
    <w:p w14:paraId="664A3900" w14:textId="6D47AB48" w:rsidR="008E3C04" w:rsidRDefault="008E3C04" w:rsidP="008E3C04">
      <w:pPr>
        <w:pStyle w:val="BulletLast"/>
      </w:pPr>
      <w:r>
        <w:t>T</w:t>
      </w:r>
      <w:r w:rsidR="00F26E45">
        <w:t>elehealth services have become a permanent feature of the MBS</w:t>
      </w:r>
      <w:r w:rsidR="006D5D38">
        <w:t xml:space="preserve">, although </w:t>
      </w:r>
      <w:r w:rsidR="00F22972">
        <w:t>after-hours telehealth items are limited to urgent services in the unsociable period (11</w:t>
      </w:r>
      <w:r w:rsidR="008824E4">
        <w:t> </w:t>
      </w:r>
      <w:r w:rsidR="00F22972">
        <w:t>pm</w:t>
      </w:r>
      <w:r w:rsidR="008824E4">
        <w:t xml:space="preserve"> to </w:t>
      </w:r>
      <w:r w:rsidR="00F22972">
        <w:t>7</w:t>
      </w:r>
      <w:r w:rsidR="008824E4">
        <w:t> </w:t>
      </w:r>
      <w:r w:rsidR="00F22972">
        <w:t>am)</w:t>
      </w:r>
      <w:r w:rsidR="00F26E45">
        <w:t>.</w:t>
      </w:r>
      <w:r w:rsidR="0016493E">
        <w:t xml:space="preserve"> </w:t>
      </w:r>
    </w:p>
    <w:p w14:paraId="47551606" w14:textId="44AE1AE2" w:rsidR="00F26E45" w:rsidRDefault="0016493E" w:rsidP="008E3C04">
      <w:r w:rsidRPr="00E05AE0">
        <w:t>Members discuss</w:t>
      </w:r>
      <w:r>
        <w:t>ed</w:t>
      </w:r>
      <w:r w:rsidRPr="00E05AE0">
        <w:t xml:space="preserve"> the role of telehealth in after-hours services, including the potential for telehealth to provide high-quality primary care and the important of existing relationships between patients and providers</w:t>
      </w:r>
      <w:r>
        <w:t xml:space="preserve"> to maintain continuity of care</w:t>
      </w:r>
      <w:r w:rsidRPr="00E05AE0">
        <w:t>.</w:t>
      </w:r>
    </w:p>
    <w:p w14:paraId="63E1B212" w14:textId="6916E6D8" w:rsidR="00393E69" w:rsidRPr="00DD0F56" w:rsidRDefault="00A2708D" w:rsidP="00393E69">
      <w:r>
        <w:t>U</w:t>
      </w:r>
      <w:r w:rsidR="002038B9" w:rsidRPr="002038B9">
        <w:t xml:space="preserve">se of after-hours MBS items has remained steady </w:t>
      </w:r>
      <w:r w:rsidRPr="002038B9">
        <w:t>since 2021</w:t>
      </w:r>
      <w:r>
        <w:t>–</w:t>
      </w:r>
      <w:r w:rsidRPr="002038B9">
        <w:t>22</w:t>
      </w:r>
      <w:r>
        <w:t xml:space="preserve">, </w:t>
      </w:r>
      <w:r w:rsidR="002038B9" w:rsidRPr="002038B9">
        <w:t>at around 7.7 million services per year, which is significantly lower than the peak in usage of 12.3 million after-hours services in 2017</w:t>
      </w:r>
      <w:r>
        <w:t>–</w:t>
      </w:r>
      <w:r w:rsidR="002038B9" w:rsidRPr="002038B9">
        <w:t>18. </w:t>
      </w:r>
      <w:r w:rsidR="00393E69">
        <w:t xml:space="preserve">The TTWG acknowledged that </w:t>
      </w:r>
      <w:r w:rsidR="001576BD">
        <w:t xml:space="preserve">where </w:t>
      </w:r>
      <w:r w:rsidR="00393E69">
        <w:t xml:space="preserve">after-hours consultations </w:t>
      </w:r>
      <w:r w:rsidR="001576BD">
        <w:t>are not</w:t>
      </w:r>
      <w:r w:rsidR="00393E69">
        <w:t xml:space="preserve"> urgent</w:t>
      </w:r>
      <w:r w:rsidR="001576BD">
        <w:t>, p</w:t>
      </w:r>
      <w:r w:rsidR="00393E69">
        <w:t xml:space="preserve">atients could also be using other services, such as </w:t>
      </w:r>
      <w:proofErr w:type="spellStart"/>
      <w:r w:rsidR="00EF30FC">
        <w:t>HealthDirect</w:t>
      </w:r>
      <w:proofErr w:type="spellEnd"/>
      <w:r w:rsidR="00EF30FC">
        <w:t xml:space="preserve"> GP hotline</w:t>
      </w:r>
      <w:r w:rsidR="009A1A26">
        <w:t>/1800</w:t>
      </w:r>
      <w:r>
        <w:t>MEDICARE</w:t>
      </w:r>
      <w:r w:rsidR="00393E69">
        <w:t>, to relieve pressure from general practice and after-hours services.</w:t>
      </w:r>
    </w:p>
    <w:p w14:paraId="7987D347" w14:textId="305DD01B" w:rsidR="00393E69" w:rsidRDefault="00393E69" w:rsidP="00393E69">
      <w:r>
        <w:t xml:space="preserve">The TTWG also noted that the issue of declining per minute rates for longer consultations during </w:t>
      </w:r>
      <w:r w:rsidR="00BC4073">
        <w:t>‘</w:t>
      </w:r>
      <w:r>
        <w:t>standard</w:t>
      </w:r>
      <w:r w:rsidR="00BC4073">
        <w:t>’</w:t>
      </w:r>
      <w:r>
        <w:t xml:space="preserve"> hours </w:t>
      </w:r>
      <w:r w:rsidR="00BC4073">
        <w:t xml:space="preserve">(see </w:t>
      </w:r>
      <w:hyperlink w:anchor="_Fee-per-minute_rates_for" w:history="1">
        <w:r w:rsidR="008D520E" w:rsidRPr="008D520E">
          <w:rPr>
            <w:rStyle w:val="Hyperlink"/>
          </w:rPr>
          <w:t>Fee-per-minute rates for general attendance MBS items</w:t>
        </w:r>
      </w:hyperlink>
      <w:r w:rsidR="008D520E">
        <w:t xml:space="preserve">) is </w:t>
      </w:r>
      <w:r>
        <w:t xml:space="preserve">exacerbated in the after-hours period. For example, the after-hours </w:t>
      </w:r>
      <w:r w:rsidR="00E47BC1">
        <w:t>level</w:t>
      </w:r>
      <w:r>
        <w:t xml:space="preserve"> A item (MBS item 5000) fee is 168% of its standard-hours equivalent (item 3), </w:t>
      </w:r>
      <w:r w:rsidR="006F3BFC">
        <w:t xml:space="preserve">but </w:t>
      </w:r>
      <w:r>
        <w:t xml:space="preserve">the after-hours </w:t>
      </w:r>
      <w:r w:rsidR="00E47BC1">
        <w:t>level</w:t>
      </w:r>
      <w:r>
        <w:t xml:space="preserve"> D item (MBS item 5060) is 110% of it standard-hours equivalent (</w:t>
      </w:r>
      <w:r w:rsidR="009E0705">
        <w:t xml:space="preserve">MBS </w:t>
      </w:r>
      <w:r>
        <w:t xml:space="preserve">item 44). </w:t>
      </w:r>
    </w:p>
    <w:p w14:paraId="4D72B94D" w14:textId="5A3B5CCA" w:rsidR="00ED33AE" w:rsidRPr="00ED33AE" w:rsidRDefault="00F04F1C" w:rsidP="00A2708D">
      <w:pPr>
        <w:pStyle w:val="NormalBeforeBullet"/>
      </w:pPr>
      <w:r>
        <w:t>In considering these issues, the TTWG was</w:t>
      </w:r>
      <w:r w:rsidR="00ED33AE">
        <w:t xml:space="preserve"> </w:t>
      </w:r>
      <w:r w:rsidR="00A2708D">
        <w:t>aware</w:t>
      </w:r>
      <w:r w:rsidR="00ED33AE" w:rsidRPr="00ED33AE">
        <w:t xml:space="preserve"> of the findings of the 2023</w:t>
      </w:r>
      <w:r w:rsidR="00A2708D">
        <w:t>–</w:t>
      </w:r>
      <w:r w:rsidR="00ED33AE" w:rsidRPr="00ED33AE">
        <w:t>24 Review of After-Hours Primary Care Policy and Programs</w:t>
      </w:r>
      <w:r w:rsidR="00A2708D">
        <w:t>.</w:t>
      </w:r>
      <w:r w:rsidR="00ED33AE" w:rsidRPr="00ED33AE">
        <w:rPr>
          <w:vertAlign w:val="superscript"/>
        </w:rPr>
        <w:t>6</w:t>
      </w:r>
      <w:r w:rsidR="00ED33AE" w:rsidRPr="00ED33AE">
        <w:t xml:space="preserve"> The Review identified the features of an ideal after-hours system as one that: </w:t>
      </w:r>
    </w:p>
    <w:p w14:paraId="453BA3FA" w14:textId="174D151C" w:rsidR="00ED33AE" w:rsidRPr="00ED33AE" w:rsidRDefault="00A2708D" w:rsidP="003B3AAA">
      <w:pPr>
        <w:pStyle w:val="Bullet"/>
      </w:pPr>
      <w:r>
        <w:t>p</w:t>
      </w:r>
      <w:r w:rsidR="00ED33AE" w:rsidRPr="00ED33AE">
        <w:t>rovides consumers with the care they need at the right time and place </w:t>
      </w:r>
    </w:p>
    <w:p w14:paraId="1C0E81F8" w14:textId="1F9EBBC1" w:rsidR="00ED33AE" w:rsidRPr="00ED33AE" w:rsidRDefault="00A2708D" w:rsidP="003B3AAA">
      <w:pPr>
        <w:pStyle w:val="Bullet"/>
      </w:pPr>
      <w:r>
        <w:t>p</w:t>
      </w:r>
      <w:r w:rsidR="00ED33AE" w:rsidRPr="00ED33AE">
        <w:t>rovides quality after-hours care with assurance of continuity of care, irrespective of postcode </w:t>
      </w:r>
    </w:p>
    <w:p w14:paraId="739CB9E4" w14:textId="749EE6F2" w:rsidR="00ED33AE" w:rsidRPr="00ED33AE" w:rsidRDefault="00A2708D" w:rsidP="0095200E">
      <w:pPr>
        <w:pStyle w:val="Bullet"/>
      </w:pPr>
      <w:r>
        <w:t>i</w:t>
      </w:r>
      <w:r w:rsidR="00ED33AE">
        <w:t xml:space="preserve">s culturally safe and appropriate, and meets the complex and unique needs of First Nations </w:t>
      </w:r>
      <w:r w:rsidR="00ED33AE" w:rsidRPr="0095200E">
        <w:t>people</w:t>
      </w:r>
      <w:r w:rsidR="00ED33AE">
        <w:t> </w:t>
      </w:r>
    </w:p>
    <w:p w14:paraId="5E9465E0" w14:textId="34EE2EB5" w:rsidR="00ED33AE" w:rsidRPr="00ED33AE" w:rsidRDefault="00A2708D" w:rsidP="003B3AAA">
      <w:pPr>
        <w:pStyle w:val="Bullet"/>
      </w:pPr>
      <w:r>
        <w:lastRenderedPageBreak/>
        <w:t>h</w:t>
      </w:r>
      <w:r w:rsidR="00ED33AE" w:rsidRPr="00ED33AE">
        <w:t>as funding settings that incentivise high-quality cost-effective services </w:t>
      </w:r>
    </w:p>
    <w:p w14:paraId="7E151A90" w14:textId="4CC23621" w:rsidR="00ED33AE" w:rsidRPr="00ED33AE" w:rsidRDefault="003B3AAA" w:rsidP="003B3AAA">
      <w:pPr>
        <w:pStyle w:val="Bullet"/>
      </w:pPr>
      <w:r>
        <w:t>s</w:t>
      </w:r>
      <w:r w:rsidR="00ED33AE" w:rsidRPr="00ED33AE">
        <w:t>upports consumers to engage with their regular primary care provider </w:t>
      </w:r>
    </w:p>
    <w:p w14:paraId="0AA8FE80" w14:textId="0D177DA7" w:rsidR="00ED33AE" w:rsidRPr="00ED33AE" w:rsidRDefault="003B3AAA" w:rsidP="003B3AAA">
      <w:pPr>
        <w:pStyle w:val="BulletLast"/>
      </w:pPr>
      <w:r>
        <w:t>i</w:t>
      </w:r>
      <w:r w:rsidR="00ED33AE" w:rsidRPr="00ED33AE">
        <w:t>mproves providers’ quality of life through better planning and managing after-hours care demand, reducing the time spent on-call. </w:t>
      </w:r>
    </w:p>
    <w:p w14:paraId="3D6B7783" w14:textId="77777777" w:rsidR="00ED33AE" w:rsidRDefault="00787C21" w:rsidP="00DC77F9">
      <w:r w:rsidRPr="00DC77F9">
        <w:t>To address th</w:t>
      </w:r>
      <w:r w:rsidR="00DC77F9">
        <w:t>ese</w:t>
      </w:r>
      <w:r w:rsidRPr="00DC77F9">
        <w:t xml:space="preserve"> issue</w:t>
      </w:r>
      <w:r w:rsidR="00DC77F9">
        <w:t>s</w:t>
      </w:r>
      <w:r w:rsidRPr="00DC77F9">
        <w:t>, t</w:t>
      </w:r>
      <w:r w:rsidR="00657248" w:rsidRPr="00DC77F9">
        <w:t>he TTWG considered simplifying the after-hours items by removing the distinction between urgent and non-urgent services, and instead focusing on the time and location</w:t>
      </w:r>
      <w:r w:rsidR="00607838">
        <w:t xml:space="preserve"> </w:t>
      </w:r>
      <w:r w:rsidR="00607838" w:rsidRPr="00DC77F9">
        <w:t>of the service</w:t>
      </w:r>
      <w:r w:rsidR="00657248" w:rsidRPr="00DC77F9">
        <w:t>.</w:t>
      </w:r>
    </w:p>
    <w:p w14:paraId="18F47CBD" w14:textId="15F179AF" w:rsidR="00BE4E6D" w:rsidRDefault="00657248" w:rsidP="00DC77F9">
      <w:r w:rsidRPr="00DC77F9">
        <w:t>The</w:t>
      </w:r>
      <w:r>
        <w:t xml:space="preserve"> group preferred </w:t>
      </w:r>
      <w:r w:rsidR="00DC77F9">
        <w:t xml:space="preserve">an approach that </w:t>
      </w:r>
      <w:r w:rsidR="00787C21">
        <w:t>move</w:t>
      </w:r>
      <w:r w:rsidR="00DC77F9">
        <w:t>s</w:t>
      </w:r>
      <w:r w:rsidR="00787C21">
        <w:t xml:space="preserve"> away from </w:t>
      </w:r>
      <w:r w:rsidR="00D159FC">
        <w:t>standalone</w:t>
      </w:r>
      <w:r w:rsidR="00787C21">
        <w:t xml:space="preserve"> after</w:t>
      </w:r>
      <w:r>
        <w:t>-</w:t>
      </w:r>
      <w:r w:rsidR="00787C21">
        <w:t xml:space="preserve">hours consultation items and </w:t>
      </w:r>
      <w:r w:rsidR="00DC77F9">
        <w:t xml:space="preserve">instead uses </w:t>
      </w:r>
      <w:r w:rsidR="00787C21">
        <w:t>fee modifier</w:t>
      </w:r>
      <w:r w:rsidR="00DC77F9">
        <w:t>s</w:t>
      </w:r>
      <w:r w:rsidR="00787C21">
        <w:t>. Under this approach, a percentage loading would be applied to the standard consultation items (</w:t>
      </w:r>
      <w:r w:rsidR="000F37A4">
        <w:t>for example, MBS </w:t>
      </w:r>
      <w:r w:rsidR="00787C21">
        <w:t>item 23) for a service that is provided out of hours. The same percentage loading would apply across all consultation items.</w:t>
      </w:r>
    </w:p>
    <w:p w14:paraId="3F92FB05" w14:textId="308DFFA8" w:rsidR="00787C21" w:rsidRDefault="00787C21" w:rsidP="00DC77F9">
      <w:r>
        <w:t xml:space="preserve">The </w:t>
      </w:r>
      <w:r w:rsidR="000F37A4">
        <w:t>TT</w:t>
      </w:r>
      <w:r>
        <w:t xml:space="preserve">WG also </w:t>
      </w:r>
      <w:r w:rsidR="000F37A4">
        <w:t xml:space="preserve">considered that </w:t>
      </w:r>
      <w:r>
        <w:t>expanding the range of services that receive higher MBS benefits in the after-hours period</w:t>
      </w:r>
      <w:r w:rsidR="000F37A4">
        <w:t xml:space="preserve"> would be beneficial</w:t>
      </w:r>
      <w:r>
        <w:t xml:space="preserve">. In particular, the </w:t>
      </w:r>
      <w:r w:rsidR="000F37A4">
        <w:t>TT</w:t>
      </w:r>
      <w:r>
        <w:t>WG support</w:t>
      </w:r>
      <w:r w:rsidR="000F37A4">
        <w:t>ed</w:t>
      </w:r>
      <w:r>
        <w:t xml:space="preserve"> appl</w:t>
      </w:r>
      <w:r w:rsidR="00716826">
        <w:t xml:space="preserve">ying </w:t>
      </w:r>
      <w:r>
        <w:t>the after-hours fee modifier to the equivalent telehealth items (phone and video)</w:t>
      </w:r>
      <w:r w:rsidR="00716826">
        <w:t xml:space="preserve">, </w:t>
      </w:r>
      <w:r w:rsidR="00E924A6">
        <w:t xml:space="preserve">as long as </w:t>
      </w:r>
      <w:r>
        <w:t xml:space="preserve">the established clinical relationship rules apply to the telehealth consultation items to support continuity of care. The </w:t>
      </w:r>
      <w:r w:rsidR="00E924A6">
        <w:t>TT</w:t>
      </w:r>
      <w:r>
        <w:t>WG note</w:t>
      </w:r>
      <w:r w:rsidR="00E924A6">
        <w:t>d</w:t>
      </w:r>
      <w:r>
        <w:t xml:space="preserve"> that exten</w:t>
      </w:r>
      <w:r w:rsidR="00E924A6">
        <w:t xml:space="preserve">ding </w:t>
      </w:r>
      <w:r>
        <w:t xml:space="preserve">after-hours loading to telehealth services where there is an established clinical relationship is consistent with MRAC’s findings in </w:t>
      </w:r>
      <w:r w:rsidR="0091677A">
        <w:t>its</w:t>
      </w:r>
      <w:r>
        <w:t xml:space="preserve"> </w:t>
      </w:r>
      <w:hyperlink r:id="rId26" w:history="1">
        <w:r w:rsidRPr="00833EF8">
          <w:rPr>
            <w:rStyle w:val="Hyperlink"/>
          </w:rPr>
          <w:t>Telehealth Post-Implementation Review</w:t>
        </w:r>
        <w:r w:rsidR="0091677A" w:rsidRPr="00833EF8">
          <w:rPr>
            <w:rStyle w:val="Hyperlink"/>
          </w:rPr>
          <w:t xml:space="preserve"> </w:t>
        </w:r>
        <w:r w:rsidR="00833EF8" w:rsidRPr="00833EF8">
          <w:rPr>
            <w:rStyle w:val="Hyperlink"/>
          </w:rPr>
          <w:t>final report</w:t>
        </w:r>
      </w:hyperlink>
      <w:r>
        <w:t>.</w:t>
      </w:r>
    </w:p>
    <w:p w14:paraId="1FF0D290" w14:textId="77777777" w:rsidR="00FC1440" w:rsidRDefault="00787C21" w:rsidP="00AC2BBF">
      <w:pPr>
        <w:pStyle w:val="NormalBeforeBullet"/>
      </w:pPr>
      <w:r>
        <w:t xml:space="preserve">The </w:t>
      </w:r>
      <w:r w:rsidR="00833EF8">
        <w:t>TT</w:t>
      </w:r>
      <w:r>
        <w:t>WG also support</w:t>
      </w:r>
      <w:r w:rsidR="00833EF8">
        <w:t>ed</w:t>
      </w:r>
      <w:r>
        <w:t xml:space="preserve"> exten</w:t>
      </w:r>
      <w:r w:rsidR="00833EF8">
        <w:t>ding</w:t>
      </w:r>
      <w:r>
        <w:t xml:space="preserve"> the after-hours fee to attendance items for </w:t>
      </w:r>
      <w:r w:rsidR="006205F1">
        <w:t>NPs</w:t>
      </w:r>
      <w:r>
        <w:t>, to support patient access.</w:t>
      </w:r>
    </w:p>
    <w:p w14:paraId="50433AFE" w14:textId="5BA9D96E" w:rsidR="006205F1" w:rsidRDefault="00FC1440" w:rsidP="00AC2BBF">
      <w:pPr>
        <w:pStyle w:val="NormalBeforeBullet"/>
      </w:pPr>
      <w:r>
        <w:t xml:space="preserve">The TTWG </w:t>
      </w:r>
      <w:r w:rsidR="002018DA">
        <w:t>considered</w:t>
      </w:r>
      <w:r>
        <w:t xml:space="preserve"> that</w:t>
      </w:r>
      <w:r w:rsidR="003B3AAA">
        <w:t xml:space="preserve"> –</w:t>
      </w:r>
      <w:r>
        <w:t xml:space="preserve"> under </w:t>
      </w:r>
      <w:r w:rsidR="002018DA">
        <w:t>its proposed</w:t>
      </w:r>
      <w:r w:rsidR="003B3AAA">
        <w:t xml:space="preserve"> </w:t>
      </w:r>
      <w:r w:rsidR="001C65DF">
        <w:t xml:space="preserve">framework </w:t>
      </w:r>
      <w:r w:rsidR="002018DA">
        <w:t xml:space="preserve">– </w:t>
      </w:r>
      <w:r w:rsidR="001C65DF">
        <w:t>multiple loading items could apply to a single consultation. For example, an after-hours service provided out of consulting rooms would attract both the after-hours and out of rooms loadings.</w:t>
      </w:r>
    </w:p>
    <w:p w14:paraId="5342316E" w14:textId="77777777" w:rsidR="00217579" w:rsidRDefault="00217579" w:rsidP="00AC2BBF">
      <w:pPr>
        <w:pStyle w:val="BoxTitle"/>
      </w:pPr>
      <w:r>
        <w:t>Recommendation 16</w:t>
      </w:r>
    </w:p>
    <w:p w14:paraId="2D6F2845" w14:textId="77777777" w:rsidR="00217579" w:rsidRDefault="00217579" w:rsidP="00AC2BBF">
      <w:pPr>
        <w:pStyle w:val="BoxText"/>
      </w:pPr>
      <w:r w:rsidRPr="00024E15">
        <w:t>Current after-hours items be replaced with a fee loading. The loading would apply to any service that is provided in the after-hours period.</w:t>
      </w:r>
    </w:p>
    <w:p w14:paraId="1C68BAB5" w14:textId="77777777" w:rsidR="00217579" w:rsidRDefault="00217579" w:rsidP="00AC2BBF">
      <w:pPr>
        <w:pStyle w:val="BoxTitle"/>
      </w:pPr>
      <w:r>
        <w:t>Recommendation 17</w:t>
      </w:r>
    </w:p>
    <w:p w14:paraId="78CF6AD9" w14:textId="666EEA13" w:rsidR="00217579" w:rsidRDefault="00217579" w:rsidP="00AC2BBF">
      <w:pPr>
        <w:pStyle w:val="BoxText"/>
      </w:pPr>
      <w:r>
        <w:t>The loading for after-hours services should be applied to:</w:t>
      </w:r>
      <w:r w:rsidR="002241E3">
        <w:t xml:space="preserve"> </w:t>
      </w:r>
      <w:r>
        <w:t xml:space="preserve"> </w:t>
      </w:r>
    </w:p>
    <w:p w14:paraId="4842F068" w14:textId="151AF2C5" w:rsidR="00217579" w:rsidRDefault="00217579" w:rsidP="00AC2BBF">
      <w:pPr>
        <w:pStyle w:val="BoxBullet"/>
      </w:pPr>
      <w:r>
        <w:t>face</w:t>
      </w:r>
      <w:r w:rsidR="006205F1">
        <w:t>-</w:t>
      </w:r>
      <w:r>
        <w:t>to</w:t>
      </w:r>
      <w:r w:rsidR="006205F1">
        <w:t>-</w:t>
      </w:r>
      <w:r>
        <w:t>face general attendance items for primary care</w:t>
      </w:r>
    </w:p>
    <w:p w14:paraId="4B0D9D13" w14:textId="0EB57839" w:rsidR="00217579" w:rsidRDefault="00217579" w:rsidP="00AC2BBF">
      <w:pPr>
        <w:pStyle w:val="BoxBullet"/>
      </w:pPr>
      <w:r>
        <w:t xml:space="preserve">telehealth (video and phone) attendance items when delivered by </w:t>
      </w:r>
      <w:r w:rsidR="001C65DF">
        <w:t>the patient’s</w:t>
      </w:r>
      <w:r>
        <w:t xml:space="preserve"> eligible telehealth practitioner</w:t>
      </w:r>
    </w:p>
    <w:p w14:paraId="644FACD4" w14:textId="251DDA5C" w:rsidR="00217579" w:rsidRDefault="00767836" w:rsidP="00AC2BBF">
      <w:pPr>
        <w:pStyle w:val="BoxBullet"/>
      </w:pPr>
      <w:r>
        <w:t>nurse practitioner</w:t>
      </w:r>
      <w:r w:rsidR="00217579">
        <w:t xml:space="preserve"> attendance items.  </w:t>
      </w:r>
    </w:p>
    <w:p w14:paraId="283F3E9C" w14:textId="77AC574B" w:rsidR="005A4A34" w:rsidRDefault="003C5B33" w:rsidP="003C5B33">
      <w:pPr>
        <w:pStyle w:val="Heading3"/>
      </w:pPr>
      <w:bookmarkStart w:id="52" w:name="_Toc239079087"/>
      <w:r w:rsidRPr="003C5B33">
        <w:t>Start time for after-hours</w:t>
      </w:r>
      <w:bookmarkEnd w:id="52"/>
    </w:p>
    <w:p w14:paraId="6AF4416E" w14:textId="3C02CA04" w:rsidR="009E55C3" w:rsidRDefault="00AE29C9" w:rsidP="009E55C3">
      <w:pPr>
        <w:pStyle w:val="NormalBeforeBullet"/>
      </w:pPr>
      <w:r>
        <w:t xml:space="preserve">Currently </w:t>
      </w:r>
      <w:r w:rsidR="003C5B33">
        <w:t xml:space="preserve">after-hours </w:t>
      </w:r>
      <w:r>
        <w:t xml:space="preserve">MBS </w:t>
      </w:r>
      <w:r w:rsidR="003C5B33">
        <w:t>items for consultations</w:t>
      </w:r>
      <w:r w:rsidR="003A5876">
        <w:t xml:space="preserve"> apply from</w:t>
      </w:r>
      <w:r w:rsidR="009E55C3">
        <w:t>:</w:t>
      </w:r>
    </w:p>
    <w:p w14:paraId="4BF657C4" w14:textId="2343E7E9" w:rsidR="00DD0D6B" w:rsidRDefault="003C5B33" w:rsidP="009E55C3">
      <w:pPr>
        <w:pStyle w:val="Bullet"/>
      </w:pPr>
      <w:r>
        <w:t>8</w:t>
      </w:r>
      <w:r w:rsidR="009E55C3">
        <w:t> </w:t>
      </w:r>
      <w:r>
        <w:t>pm on a weekday and 1</w:t>
      </w:r>
      <w:r w:rsidR="009E55C3">
        <w:t> </w:t>
      </w:r>
      <w:r>
        <w:t>pm on a Saturda</w:t>
      </w:r>
      <w:r w:rsidR="00DD0D6B">
        <w:t>y</w:t>
      </w:r>
      <w:r w:rsidR="003A5876">
        <w:t xml:space="preserve"> in consulting rooms</w:t>
      </w:r>
    </w:p>
    <w:p w14:paraId="37E45FAF" w14:textId="520CC302" w:rsidR="003C5B33" w:rsidRDefault="003C5B33" w:rsidP="009F3A15">
      <w:pPr>
        <w:pStyle w:val="BulletLast"/>
      </w:pPr>
      <w:r>
        <w:t>6</w:t>
      </w:r>
      <w:r w:rsidR="00DD0D6B">
        <w:t> </w:t>
      </w:r>
      <w:r>
        <w:t>pm on weekdays and 12</w:t>
      </w:r>
      <w:r w:rsidR="009F3A15">
        <w:t> pm (n</w:t>
      </w:r>
      <w:r>
        <w:t>oon</w:t>
      </w:r>
      <w:r w:rsidR="009F3A15">
        <w:t>)</w:t>
      </w:r>
      <w:r>
        <w:t xml:space="preserve"> on Saturdays</w:t>
      </w:r>
      <w:r w:rsidR="003A5876">
        <w:t xml:space="preserve"> delivered outside of consulting rooms</w:t>
      </w:r>
      <w:r>
        <w:t>.</w:t>
      </w:r>
    </w:p>
    <w:p w14:paraId="6AC618FF" w14:textId="35C8987D" w:rsidR="003C5B33" w:rsidRDefault="003C5B33" w:rsidP="003C5B33">
      <w:r>
        <w:t xml:space="preserve">The </w:t>
      </w:r>
      <w:r w:rsidR="009F3A15">
        <w:t>TT</w:t>
      </w:r>
      <w:r>
        <w:t>WG consider</w:t>
      </w:r>
      <w:r w:rsidR="009F3A15">
        <w:t>ed</w:t>
      </w:r>
      <w:r>
        <w:t xml:space="preserve"> that start times for after-hours services should be aligned, regardless of the location of the service. In addition, given the availability of telehealth services (including telehealth items </w:t>
      </w:r>
      <w:r w:rsidR="00645673">
        <w:t xml:space="preserve">currently available </w:t>
      </w:r>
      <w:r>
        <w:t xml:space="preserve">for urgent after-hours services), </w:t>
      </w:r>
      <w:r>
        <w:lastRenderedPageBreak/>
        <w:t>the location of the practice from which the service is provided should be used to determine whether the service is provided after-hours.</w:t>
      </w:r>
    </w:p>
    <w:p w14:paraId="4DD1A67E" w14:textId="509BA662" w:rsidR="003C5B33" w:rsidRPr="003C5B33" w:rsidRDefault="00050637" w:rsidP="003C5B33">
      <w:r>
        <w:t xml:space="preserve">The TTWG </w:t>
      </w:r>
      <w:r w:rsidR="000C388D">
        <w:t xml:space="preserve">noted </w:t>
      </w:r>
      <w:r w:rsidR="00FC0268">
        <w:t xml:space="preserve">from </w:t>
      </w:r>
      <w:r w:rsidR="003C5B33">
        <w:t xml:space="preserve">various relevant award wage </w:t>
      </w:r>
      <w:r w:rsidR="00FC0268">
        <w:t xml:space="preserve">determinations </w:t>
      </w:r>
      <w:r w:rsidR="000C388D">
        <w:t xml:space="preserve">that </w:t>
      </w:r>
      <w:r w:rsidR="003C5B33">
        <w:t>the cost of providing a service increases from 6</w:t>
      </w:r>
      <w:r w:rsidR="000C388D">
        <w:t> </w:t>
      </w:r>
      <w:r w:rsidR="003C5B33">
        <w:t>pm. Accordingly</w:t>
      </w:r>
      <w:r w:rsidR="000C388D">
        <w:t>,</w:t>
      </w:r>
      <w:r w:rsidR="003C5B33">
        <w:t xml:space="preserve"> the </w:t>
      </w:r>
      <w:r w:rsidR="000C388D">
        <w:t>TT</w:t>
      </w:r>
      <w:r w:rsidR="003C5B33">
        <w:t>WG support</w:t>
      </w:r>
      <w:r w:rsidR="000C388D">
        <w:t>ed</w:t>
      </w:r>
      <w:r w:rsidR="003C5B33">
        <w:t xml:space="preserve"> a </w:t>
      </w:r>
      <w:r w:rsidR="00455DC0">
        <w:t>start</w:t>
      </w:r>
      <w:r w:rsidR="003C5B33">
        <w:t xml:space="preserve"> time of 6</w:t>
      </w:r>
      <w:r w:rsidR="00455DC0">
        <w:t> </w:t>
      </w:r>
      <w:r w:rsidR="003C5B33">
        <w:t>pm on weekdays for after-hours services.</w:t>
      </w:r>
    </w:p>
    <w:p w14:paraId="5FA6336E" w14:textId="6570822F" w:rsidR="00217579" w:rsidRDefault="00217579" w:rsidP="00AC2BBF">
      <w:pPr>
        <w:pStyle w:val="BoxTitle"/>
      </w:pPr>
      <w:r>
        <w:t>Recommendation 18</w:t>
      </w:r>
    </w:p>
    <w:p w14:paraId="060FEAD1" w14:textId="15190E1A" w:rsidR="00217579" w:rsidRDefault="00217579" w:rsidP="00AC2BBF">
      <w:pPr>
        <w:pStyle w:val="BoxText"/>
      </w:pPr>
      <w:r w:rsidRPr="0046552F">
        <w:t xml:space="preserve">The definition of the MBS after-hours period for primary care be aligned across all locations and </w:t>
      </w:r>
      <w:r w:rsidR="00455DC0">
        <w:t xml:space="preserve">start </w:t>
      </w:r>
      <w:r w:rsidRPr="0046552F">
        <w:t>at 6</w:t>
      </w:r>
      <w:r w:rsidR="00BB671D">
        <w:t> </w:t>
      </w:r>
      <w:r w:rsidRPr="0046552F">
        <w:t>pm on weekdays.</w:t>
      </w:r>
    </w:p>
    <w:p w14:paraId="67F1CF1B" w14:textId="0524216B" w:rsidR="00455DC0" w:rsidRPr="00A6693E" w:rsidRDefault="00455DC0" w:rsidP="00AC2BBF">
      <w:pPr>
        <w:pStyle w:val="BoxText"/>
        <w:rPr>
          <w:i/>
          <w:iCs/>
        </w:rPr>
      </w:pPr>
      <w:r w:rsidRPr="00A6693E">
        <w:rPr>
          <w:i/>
          <w:iCs/>
        </w:rPr>
        <w:t xml:space="preserve">Note that </w:t>
      </w:r>
      <w:r w:rsidR="00A6693E" w:rsidRPr="00A6693E">
        <w:rPr>
          <w:i/>
          <w:iCs/>
        </w:rPr>
        <w:t>recommendation 20 addresses urgent after-hours items</w:t>
      </w:r>
      <w:r w:rsidR="00E3041B">
        <w:rPr>
          <w:i/>
          <w:iCs/>
        </w:rPr>
        <w:t xml:space="preserve"> </w:t>
      </w:r>
      <w:r w:rsidR="009524F0">
        <w:rPr>
          <w:i/>
          <w:iCs/>
        </w:rPr>
        <w:t>durin</w:t>
      </w:r>
      <w:r w:rsidR="00AA4E10">
        <w:rPr>
          <w:i/>
          <w:iCs/>
        </w:rPr>
        <w:t>g</w:t>
      </w:r>
      <w:r w:rsidR="00E3041B">
        <w:rPr>
          <w:i/>
          <w:iCs/>
        </w:rPr>
        <w:t xml:space="preserve"> the unsociable period</w:t>
      </w:r>
      <w:r w:rsidR="00A6693E" w:rsidRPr="00A6693E">
        <w:rPr>
          <w:i/>
          <w:iCs/>
        </w:rPr>
        <w:t>.</w:t>
      </w:r>
    </w:p>
    <w:p w14:paraId="2BAFFDF6" w14:textId="77777777" w:rsidR="00217579" w:rsidRDefault="00217579" w:rsidP="00AC2BBF">
      <w:pPr>
        <w:pStyle w:val="BoxTitle"/>
      </w:pPr>
      <w:r>
        <w:t>Recommendation 19</w:t>
      </w:r>
    </w:p>
    <w:p w14:paraId="19AE9C63" w14:textId="77777777" w:rsidR="00217579" w:rsidRDefault="00217579" w:rsidP="00AC2BBF">
      <w:pPr>
        <w:pStyle w:val="BoxText"/>
      </w:pPr>
      <w:r w:rsidRPr="00E13073">
        <w:t>The MBS regulations should specify that the time zone at the location of the practice is to be used when determining if a service is provided after-hours.</w:t>
      </w:r>
    </w:p>
    <w:p w14:paraId="6E7968A1" w14:textId="2B65DDB3" w:rsidR="00F87A00" w:rsidRDefault="009F008C" w:rsidP="009F008C">
      <w:pPr>
        <w:pStyle w:val="Heading3"/>
      </w:pPr>
      <w:bookmarkStart w:id="53" w:name="_Toc239079088"/>
      <w:r w:rsidRPr="009F008C">
        <w:t>Urgent after-hours items</w:t>
      </w:r>
      <w:bookmarkEnd w:id="53"/>
    </w:p>
    <w:p w14:paraId="4F08F498" w14:textId="63176035" w:rsidR="001B04AA" w:rsidRDefault="00CF0543" w:rsidP="001B04AA">
      <w:r>
        <w:t>The TTWG has considered t</w:t>
      </w:r>
      <w:r w:rsidR="001B04AA">
        <w:t>he review of MBS time-tiered items for primary care</w:t>
      </w:r>
      <w:r>
        <w:t>, which</w:t>
      </w:r>
      <w:r w:rsidR="001B04AA">
        <w:t xml:space="preserve"> incorporate</w:t>
      </w:r>
      <w:r>
        <w:t>d</w:t>
      </w:r>
      <w:r w:rsidR="001B04AA">
        <w:t xml:space="preserve"> the post</w:t>
      </w:r>
      <w:r w:rsidR="00E42250">
        <w:t>-</w:t>
      </w:r>
      <w:r w:rsidR="001B04AA">
        <w:t xml:space="preserve">implementation review of the 2018 changes to urgent after-hours items. The </w:t>
      </w:r>
      <w:r w:rsidR="00E42250">
        <w:t>TT</w:t>
      </w:r>
      <w:r w:rsidR="001B04AA">
        <w:t>WG has reviewed the use of urgent after-hours following those changes, and the 2020 introduction of telehealth items for the unsociable after</w:t>
      </w:r>
      <w:r w:rsidR="0044186B">
        <w:t>-</w:t>
      </w:r>
      <w:r w:rsidR="001B04AA">
        <w:t>hours period (11</w:t>
      </w:r>
      <w:r w:rsidR="0044186B">
        <w:t> </w:t>
      </w:r>
      <w:r w:rsidR="001B04AA">
        <w:t>pm</w:t>
      </w:r>
      <w:r w:rsidR="00B02F02">
        <w:t xml:space="preserve"> to </w:t>
      </w:r>
      <w:r w:rsidR="001B04AA">
        <w:t>7</w:t>
      </w:r>
      <w:r w:rsidR="0044186B">
        <w:t> </w:t>
      </w:r>
      <w:r w:rsidR="001B04AA">
        <w:t>am).</w:t>
      </w:r>
    </w:p>
    <w:p w14:paraId="6528C9AB" w14:textId="47708141" w:rsidR="001B04AA" w:rsidRDefault="001B04AA" w:rsidP="001B04AA">
      <w:r>
        <w:t xml:space="preserve">The </w:t>
      </w:r>
      <w:r w:rsidR="0044186B">
        <w:t>TT</w:t>
      </w:r>
      <w:r>
        <w:t>WG note</w:t>
      </w:r>
      <w:r w:rsidR="0044186B">
        <w:t>d</w:t>
      </w:r>
      <w:r>
        <w:t xml:space="preserve"> the significant and continuing decrease in the overall use of urgent after</w:t>
      </w:r>
      <w:r w:rsidR="0044186B">
        <w:t>-</w:t>
      </w:r>
      <w:r>
        <w:t xml:space="preserve">hours items since 2015. However, </w:t>
      </w:r>
      <w:r w:rsidR="0045104D">
        <w:t>t</w:t>
      </w:r>
      <w:r>
        <w:t>he telehealth items for urgent after-hours services in the unsociable hours</w:t>
      </w:r>
      <w:r w:rsidR="0045104D">
        <w:t xml:space="preserve"> have rapidly increasing uptake</w:t>
      </w:r>
      <w:r>
        <w:t xml:space="preserve">. </w:t>
      </w:r>
      <w:r w:rsidR="0045104D">
        <w:t xml:space="preserve">These </w:t>
      </w:r>
      <w:r>
        <w:t>items</w:t>
      </w:r>
      <w:r w:rsidR="0045104D">
        <w:t>’ usage</w:t>
      </w:r>
      <w:r>
        <w:t xml:space="preserve"> is still relatively low compared to other GP items, </w:t>
      </w:r>
      <w:r w:rsidR="0045104D">
        <w:t xml:space="preserve">but </w:t>
      </w:r>
      <w:r>
        <w:t xml:space="preserve">the claiming data suggest that the telehealth items are playing a different role in providing services to patients </w:t>
      </w:r>
      <w:r w:rsidR="0045104D">
        <w:t xml:space="preserve">than </w:t>
      </w:r>
      <w:r>
        <w:t xml:space="preserve">the </w:t>
      </w:r>
      <w:r w:rsidR="00961825">
        <w:t xml:space="preserve">equivalent </w:t>
      </w:r>
      <w:r>
        <w:t>face-to-face items.</w:t>
      </w:r>
    </w:p>
    <w:p w14:paraId="0F7080EF" w14:textId="5B5BB8C1" w:rsidR="001B04AA" w:rsidRDefault="00961825" w:rsidP="00AC0B3F">
      <w:r>
        <w:t xml:space="preserve">The TTWG acknowledged that </w:t>
      </w:r>
      <w:r w:rsidR="001B04AA">
        <w:t>the urgent after-hours items are intended to support patients that should not wait until the next day for treatment, but are not urgent enough to require hospital treatment</w:t>
      </w:r>
      <w:r>
        <w:t>. Therefore</w:t>
      </w:r>
      <w:r w:rsidR="001B04AA">
        <w:t xml:space="preserve">, the </w:t>
      </w:r>
      <w:r>
        <w:t>TT</w:t>
      </w:r>
      <w:r w:rsidR="001B04AA">
        <w:t>WG consider</w:t>
      </w:r>
      <w:r>
        <w:t>ed</w:t>
      </w:r>
      <w:r w:rsidR="001B04AA">
        <w:t xml:space="preserve"> </w:t>
      </w:r>
      <w:r>
        <w:t xml:space="preserve">that the </w:t>
      </w:r>
      <w:r w:rsidR="001B04AA">
        <w:t>need for ongoing support of urgent after-hours general practice care, especially in the unsociable hours</w:t>
      </w:r>
      <w:r>
        <w:t>, still exists</w:t>
      </w:r>
      <w:r w:rsidR="001B04AA">
        <w:t>.</w:t>
      </w:r>
      <w:r w:rsidR="00AC0B3F">
        <w:t xml:space="preserve"> Recalling </w:t>
      </w:r>
      <w:r w:rsidR="001D03AF">
        <w:t xml:space="preserve">its commitment to ensuring that the </w:t>
      </w:r>
      <w:r w:rsidR="001D03AF" w:rsidRPr="003F4670">
        <w:t xml:space="preserve">MBS underpins contemporary and holistic care to patients </w:t>
      </w:r>
      <w:r w:rsidR="001D03AF">
        <w:t xml:space="preserve">that </w:t>
      </w:r>
      <w:r w:rsidR="001D03AF" w:rsidRPr="003F4670">
        <w:t>meet</w:t>
      </w:r>
      <w:r w:rsidR="001D03AF">
        <w:t>s their</w:t>
      </w:r>
      <w:r w:rsidR="001D03AF" w:rsidRPr="003F4670">
        <w:t xml:space="preserve"> individual care needs</w:t>
      </w:r>
      <w:r w:rsidR="00AC0B3F">
        <w:t>,</w:t>
      </w:r>
      <w:r w:rsidR="001D03AF">
        <w:t xml:space="preserve"> the TTWG supported </w:t>
      </w:r>
      <w:r w:rsidR="001B04AA">
        <w:t>applying a higher loading to services provided in the unsociable hours</w:t>
      </w:r>
      <w:r w:rsidR="00506B29">
        <w:t xml:space="preserve"> of 11 pm to </w:t>
      </w:r>
      <w:r w:rsidR="003320F9">
        <w:t xml:space="preserve">7 am than those applied for services provided from </w:t>
      </w:r>
      <w:r w:rsidR="001B04AA">
        <w:t>6</w:t>
      </w:r>
      <w:r w:rsidR="003320F9">
        <w:t> </w:t>
      </w:r>
      <w:r w:rsidR="001B04AA">
        <w:t>pm</w:t>
      </w:r>
      <w:r w:rsidR="003320F9">
        <w:t xml:space="preserve"> to </w:t>
      </w:r>
      <w:r w:rsidR="001B04AA">
        <w:t>11</w:t>
      </w:r>
      <w:r w:rsidR="003320F9">
        <w:t> </w:t>
      </w:r>
      <w:r w:rsidR="001B04AA">
        <w:t>pm.</w:t>
      </w:r>
      <w:r w:rsidR="00506B29">
        <w:t xml:space="preserve"> </w:t>
      </w:r>
      <w:r w:rsidR="00D803F5">
        <w:t xml:space="preserve">This means that the </w:t>
      </w:r>
      <w:r w:rsidR="00506B29">
        <w:t xml:space="preserve">current </w:t>
      </w:r>
      <w:r w:rsidR="00753CB1">
        <w:t xml:space="preserve">MBS </w:t>
      </w:r>
      <w:r w:rsidR="00506B29">
        <w:t>items for urgent after-hours services</w:t>
      </w:r>
      <w:r w:rsidR="00D803F5">
        <w:t xml:space="preserve"> could be removed</w:t>
      </w:r>
      <w:r w:rsidR="00753CB1">
        <w:t>.</w:t>
      </w:r>
    </w:p>
    <w:p w14:paraId="4902CC1E" w14:textId="0B32F750" w:rsidR="009F008C" w:rsidRPr="009F008C" w:rsidRDefault="001B04AA" w:rsidP="001B04AA">
      <w:r>
        <w:t xml:space="preserve">The </w:t>
      </w:r>
      <w:r w:rsidR="00753CB1">
        <w:t>TT</w:t>
      </w:r>
      <w:r>
        <w:t>WG consider</w:t>
      </w:r>
      <w:r w:rsidR="00753CB1">
        <w:t>ed</w:t>
      </w:r>
      <w:r>
        <w:t xml:space="preserve"> that telehealth access in the unsociable hours can improve access to services for some patients. However, </w:t>
      </w:r>
      <w:r w:rsidR="00753CB1">
        <w:t xml:space="preserve">the TTWG </w:t>
      </w:r>
      <w:r w:rsidR="008E72DE">
        <w:t xml:space="preserve">recalled the </w:t>
      </w:r>
      <w:r>
        <w:t xml:space="preserve">MRAC’s findings in the </w:t>
      </w:r>
      <w:hyperlink r:id="rId27" w:history="1">
        <w:r w:rsidR="00DC14E3" w:rsidRPr="00833EF8">
          <w:rPr>
            <w:rStyle w:val="Hyperlink"/>
          </w:rPr>
          <w:t>Telehealth Post-Implementation Review final report</w:t>
        </w:r>
      </w:hyperlink>
      <w:r w:rsidR="007351E8">
        <w:t xml:space="preserve"> </w:t>
      </w:r>
      <w:r w:rsidR="008E72DE">
        <w:t xml:space="preserve">and </w:t>
      </w:r>
      <w:r>
        <w:t>consider</w:t>
      </w:r>
      <w:r w:rsidR="008E72DE">
        <w:t xml:space="preserve">ed that telehealth is </w:t>
      </w:r>
      <w:r>
        <w:t>most effective where continuity of care</w:t>
      </w:r>
      <w:r w:rsidR="008E72DE">
        <w:t xml:space="preserve"> e</w:t>
      </w:r>
      <w:r w:rsidR="00AD0BDD">
        <w:t>xists</w:t>
      </w:r>
      <w:r>
        <w:t xml:space="preserve">. To support </w:t>
      </w:r>
      <w:r w:rsidR="00AD0BDD">
        <w:t xml:space="preserve">MRAC’s previous findings, </w:t>
      </w:r>
      <w:r>
        <w:t xml:space="preserve">the </w:t>
      </w:r>
      <w:r w:rsidR="00AD0BDD">
        <w:t>TT</w:t>
      </w:r>
      <w:r>
        <w:t xml:space="preserve">WG </w:t>
      </w:r>
      <w:r w:rsidR="00AD0BDD">
        <w:t>recommended that</w:t>
      </w:r>
      <w:r>
        <w:t xml:space="preserve"> the application of the higher unsociable hours loading to telehealth services when the patient access the service through the practice where they are registered through </w:t>
      </w:r>
      <w:proofErr w:type="spellStart"/>
      <w:r>
        <w:t>MyMedicare</w:t>
      </w:r>
      <w:proofErr w:type="spellEnd"/>
      <w:r>
        <w:t xml:space="preserve"> only.</w:t>
      </w:r>
      <w:r w:rsidR="006E2972">
        <w:t xml:space="preserve"> T</w:t>
      </w:r>
      <w:r w:rsidR="006E2972" w:rsidRPr="006E2972">
        <w:t xml:space="preserve">he ‘standard’ after-hours loading would apply where the patient is not registered with </w:t>
      </w:r>
      <w:proofErr w:type="spellStart"/>
      <w:r w:rsidR="006E2972" w:rsidRPr="006E2972">
        <w:t>MyMedicare</w:t>
      </w:r>
      <w:proofErr w:type="spellEnd"/>
      <w:r w:rsidR="006E2972" w:rsidRPr="006E2972">
        <w:t xml:space="preserve"> (where eligible).</w:t>
      </w:r>
    </w:p>
    <w:p w14:paraId="5AB24985" w14:textId="77777777" w:rsidR="00217579" w:rsidRDefault="00217579" w:rsidP="00AC2BBF">
      <w:pPr>
        <w:pStyle w:val="BoxTitle"/>
      </w:pPr>
      <w:r>
        <w:t>Recommendation 20</w:t>
      </w:r>
    </w:p>
    <w:p w14:paraId="04BB5F11" w14:textId="09505E67" w:rsidR="00217579" w:rsidRPr="00B7074D" w:rsidRDefault="00217579" w:rsidP="00B7074D">
      <w:pPr>
        <w:pStyle w:val="BoxText"/>
      </w:pPr>
      <w:r>
        <w:t xml:space="preserve">The current urgent after-hours </w:t>
      </w:r>
      <w:r w:rsidR="00E149B3">
        <w:t xml:space="preserve">MBS </w:t>
      </w:r>
      <w:r>
        <w:t xml:space="preserve">items </w:t>
      </w:r>
      <w:r w:rsidR="00E149B3">
        <w:t>be</w:t>
      </w:r>
      <w:r>
        <w:t xml:space="preserve"> replaced with a higher rate loading item that applies between the hours of 11</w:t>
      </w:r>
      <w:r w:rsidR="00F87A00">
        <w:t> </w:t>
      </w:r>
      <w:r>
        <w:t>pm and 7</w:t>
      </w:r>
      <w:r w:rsidR="00F87A00">
        <w:t> </w:t>
      </w:r>
      <w:r>
        <w:t xml:space="preserve">am daily (unsociable hours). The unsociable hours loading should only be available for telehealth services if the patient is </w:t>
      </w:r>
      <w:r>
        <w:lastRenderedPageBreak/>
        <w:t xml:space="preserve">registered with </w:t>
      </w:r>
      <w:proofErr w:type="spellStart"/>
      <w:r>
        <w:t>MyMedicare</w:t>
      </w:r>
      <w:proofErr w:type="spellEnd"/>
      <w:r>
        <w:t xml:space="preserve"> with the practice providing the service. </w:t>
      </w:r>
      <w:r w:rsidR="00E149B3">
        <w:t xml:space="preserve">The current suite of urgent after-hours MBS </w:t>
      </w:r>
      <w:r w:rsidR="00F84A58">
        <w:t xml:space="preserve">items </w:t>
      </w:r>
      <w:r w:rsidR="00857AA1">
        <w:t xml:space="preserve">could </w:t>
      </w:r>
      <w:r w:rsidR="00F84A58">
        <w:t>therefore cease.</w:t>
      </w:r>
    </w:p>
    <w:p w14:paraId="0051C4AD" w14:textId="1EA6A3B6" w:rsidR="001D5ACF" w:rsidRDefault="001D5ACF" w:rsidP="001D5ACF">
      <w:pPr>
        <w:pStyle w:val="Heading3"/>
      </w:pPr>
      <w:bookmarkStart w:id="54" w:name="_Toc239079089"/>
      <w:r>
        <w:t xml:space="preserve">After-hours </w:t>
      </w:r>
      <w:r w:rsidR="00A2202F">
        <w:t>bulk-bill</w:t>
      </w:r>
      <w:r>
        <w:t>ing incentives</w:t>
      </w:r>
      <w:bookmarkEnd w:id="54"/>
    </w:p>
    <w:p w14:paraId="0BD12DED" w14:textId="0AA317CE" w:rsidR="001D5ACF" w:rsidRDefault="00CA0A4E" w:rsidP="001D5ACF">
      <w:r>
        <w:t>Two</w:t>
      </w:r>
      <w:r w:rsidR="001D5ACF">
        <w:t xml:space="preserve"> </w:t>
      </w:r>
      <w:r w:rsidR="00A2202F">
        <w:t>bulk-bill</w:t>
      </w:r>
      <w:r w:rsidR="001D5ACF">
        <w:t xml:space="preserve">ing incentive MBS items </w:t>
      </w:r>
      <w:r>
        <w:t>(</w:t>
      </w:r>
      <w:r w:rsidR="001D5ACF">
        <w:t xml:space="preserve">10992 and 75872) specifically </w:t>
      </w:r>
      <w:r>
        <w:t xml:space="preserve">apply </w:t>
      </w:r>
      <w:r w:rsidR="001D5ACF">
        <w:t xml:space="preserve">to after-hours attendances outside of consulting rooms </w:t>
      </w:r>
      <w:r w:rsidR="005E6E03">
        <w:t>if</w:t>
      </w:r>
      <w:r w:rsidR="001D5ACF">
        <w:t xml:space="preserve"> the medical practitioner is based in </w:t>
      </w:r>
      <w:r>
        <w:t>MM </w:t>
      </w:r>
      <w:r w:rsidR="001D5ACF">
        <w:t xml:space="preserve">1 </w:t>
      </w:r>
      <w:r w:rsidR="005E6E03">
        <w:t>but</w:t>
      </w:r>
      <w:r w:rsidR="001D5ACF">
        <w:t xml:space="preserve"> delivers the service in </w:t>
      </w:r>
      <w:r>
        <w:t>MM </w:t>
      </w:r>
      <w:r w:rsidR="001D5ACF">
        <w:t>2</w:t>
      </w:r>
      <w:r>
        <w:t>–</w:t>
      </w:r>
      <w:r w:rsidR="001D5ACF">
        <w:t>7. These items pay the equivalent of the current M</w:t>
      </w:r>
      <w:r>
        <w:t>M </w:t>
      </w:r>
      <w:r w:rsidR="001D5ACF">
        <w:t xml:space="preserve">2 </w:t>
      </w:r>
      <w:r w:rsidR="00A2202F">
        <w:t>bulk-bill</w:t>
      </w:r>
      <w:r w:rsidR="001D5ACF">
        <w:t>ing incentives for other services.</w:t>
      </w:r>
    </w:p>
    <w:p w14:paraId="4B202688" w14:textId="60AF5A80" w:rsidR="001B04AA" w:rsidRPr="00275231" w:rsidRDefault="001D5ACF" w:rsidP="002D6A48">
      <w:r>
        <w:t xml:space="preserve">In the context of the broader review, including the proposed introduction of an after-hours loading for telehealth items, the </w:t>
      </w:r>
      <w:r w:rsidR="00266457">
        <w:t>TT</w:t>
      </w:r>
      <w:r>
        <w:t>WG support</w:t>
      </w:r>
      <w:r w:rsidR="002D6A48">
        <w:t>ed</w:t>
      </w:r>
      <w:r>
        <w:t xml:space="preserve"> </w:t>
      </w:r>
      <w:r w:rsidR="002D6A48">
        <w:t>ceasing</w:t>
      </w:r>
      <w:r>
        <w:t xml:space="preserve"> these items.</w:t>
      </w:r>
      <w:r w:rsidR="00266457">
        <w:t xml:space="preserve"> To replace them and ensure appropriate renumeration, the TTWG </w:t>
      </w:r>
      <w:r w:rsidR="002D6A48">
        <w:t xml:space="preserve">supported that </w:t>
      </w:r>
      <w:r>
        <w:t xml:space="preserve">medical practitioners use the </w:t>
      </w:r>
      <w:r w:rsidR="00A2202F">
        <w:t>bulk-bill</w:t>
      </w:r>
      <w:r>
        <w:t>ing incentives that are generally applicable when using attendance items.</w:t>
      </w:r>
    </w:p>
    <w:p w14:paraId="216F8527" w14:textId="77777777" w:rsidR="00217579" w:rsidRPr="00857AA1" w:rsidRDefault="00217579" w:rsidP="00AC2BBF">
      <w:pPr>
        <w:pStyle w:val="BoxTitle"/>
      </w:pPr>
      <w:r w:rsidRPr="00857AA1">
        <w:t>Recommendation 21</w:t>
      </w:r>
    </w:p>
    <w:p w14:paraId="6C567D2E" w14:textId="1C7EFDB0" w:rsidR="000A32F9" w:rsidRPr="000A32F9" w:rsidRDefault="000A32F9" w:rsidP="00B7074D">
      <w:pPr>
        <w:pStyle w:val="BoxText"/>
        <w:rPr>
          <w:i/>
          <w:iCs/>
          <w:color w:val="C45911" w:themeColor="accent2" w:themeShade="BF"/>
        </w:rPr>
      </w:pPr>
      <w:r w:rsidRPr="00B7074D">
        <w:t>When providing after-hours care, medical practitioners can use the same bulk-billing incentives that are applicable when using standard attendance items. This will replace the need for after-hours bulk-billing incentive MBS items 10992 and 75872, which can only be claimed with a limited number of after-hours items. MBS items 10992 and 75872 can cease.</w:t>
      </w:r>
    </w:p>
    <w:p w14:paraId="0272758C" w14:textId="73516745" w:rsidR="00217579" w:rsidRDefault="00217579" w:rsidP="00813B0D">
      <w:pPr>
        <w:pStyle w:val="Heading2"/>
      </w:pPr>
      <w:bookmarkStart w:id="55" w:name="_Principle_5_–"/>
      <w:bookmarkStart w:id="56" w:name="_Toc239079090"/>
      <w:bookmarkEnd w:id="55"/>
      <w:r w:rsidRPr="00C36CFE">
        <w:t>Principle 5</w:t>
      </w:r>
      <w:r w:rsidR="00124531">
        <w:t xml:space="preserve"> – </w:t>
      </w:r>
      <w:r w:rsidRPr="00C36CFE">
        <w:t>MBS primary care items should be adequately supported by non-MBS mechanisms</w:t>
      </w:r>
      <w:bookmarkEnd w:id="56"/>
    </w:p>
    <w:p w14:paraId="21AEEA3D" w14:textId="77777777" w:rsidR="00813B0D" w:rsidRDefault="00813B0D" w:rsidP="00813B0D">
      <w:pPr>
        <w:pStyle w:val="Heading3"/>
      </w:pPr>
      <w:bookmarkStart w:id="57" w:name="_Toc209528175"/>
      <w:bookmarkStart w:id="58" w:name="_Toc239079091"/>
      <w:r>
        <w:t>Data collection</w:t>
      </w:r>
      <w:bookmarkEnd w:id="57"/>
      <w:bookmarkEnd w:id="58"/>
    </w:p>
    <w:p w14:paraId="46512032" w14:textId="3B62AA35" w:rsidR="00A91484" w:rsidRDefault="00813B0D" w:rsidP="00813B0D">
      <w:r>
        <w:t xml:space="preserve">The TTWG considered MBS utilisation data from the Department to inform its recommendations, where possible. However, throughout its discussions, the TTWG recognised that </w:t>
      </w:r>
      <w:r w:rsidR="000D6785">
        <w:t xml:space="preserve">data collection could be improved. </w:t>
      </w:r>
      <w:r>
        <w:t xml:space="preserve">The </w:t>
      </w:r>
      <w:r w:rsidRPr="00DC4F1E">
        <w:t>Bettering the Evaluation and Care of Health</w:t>
      </w:r>
      <w:r>
        <w:t xml:space="preserve"> (BEACH) project collected data about general practice from 1998 to 2016. Although valuable at the time, this dataset is outdated. </w:t>
      </w:r>
    </w:p>
    <w:p w14:paraId="4E5CFBBA" w14:textId="301EA2CE" w:rsidR="00813B0D" w:rsidRDefault="00A91484" w:rsidP="00242BE5">
      <w:r>
        <w:t xml:space="preserve">In addition, </w:t>
      </w:r>
      <w:r w:rsidR="00242BE5">
        <w:t xml:space="preserve">recognising the challenges associated with the current complexity of the MBS, and privacy issues associated with condition-specific items, </w:t>
      </w:r>
      <w:r w:rsidR="00B73C83">
        <w:t xml:space="preserve">data </w:t>
      </w:r>
      <w:r w:rsidR="00242BE5">
        <w:t>collection is not a sufficient justification for separate MBS items. Other mechanisms of data collection should be considered as the primary mechanism for data collection on issues such as reason for visit, prevalence of specific conditions</w:t>
      </w:r>
      <w:r w:rsidR="00B73C83">
        <w:t>,</w:t>
      </w:r>
      <w:r w:rsidR="00242BE5">
        <w:t xml:space="preserve"> and the overall health and wellbeing of the population.</w:t>
      </w:r>
    </w:p>
    <w:p w14:paraId="1020C976" w14:textId="633A371C" w:rsidR="006E3E03" w:rsidRDefault="006E3E03" w:rsidP="00242BE5">
      <w:r w:rsidRPr="006E3E03">
        <w:t xml:space="preserve">The </w:t>
      </w:r>
      <w:r>
        <w:t>TT</w:t>
      </w:r>
      <w:r w:rsidRPr="006E3E03">
        <w:t>WG notes that several other reviews, including the Review of General Practice Incentives</w:t>
      </w:r>
      <w:r w:rsidR="003727AC">
        <w:t>,</w:t>
      </w:r>
      <w:r w:rsidRPr="006E3E03">
        <w:t> have highlighted the need for better availability of primary care data. This will be increasingly important as the primary care system transitions to a blended payment model, which will result in MBS billing data becoming less representative of a practice’s overall activity. </w:t>
      </w:r>
    </w:p>
    <w:p w14:paraId="7C1439AC" w14:textId="77777777" w:rsidR="00217579" w:rsidRDefault="00217579" w:rsidP="00813B0D">
      <w:pPr>
        <w:pStyle w:val="BoxTitle"/>
      </w:pPr>
      <w:r>
        <w:t>Recommendation 22</w:t>
      </w:r>
    </w:p>
    <w:p w14:paraId="2EF57612" w14:textId="77777777" w:rsidR="00217579" w:rsidRDefault="00217579" w:rsidP="00813B0D">
      <w:pPr>
        <w:pStyle w:val="BoxText"/>
      </w:pPr>
      <w:r w:rsidRPr="00EB522B">
        <w:t>The Government should ensure the funding of appropriate and contemporary data collections to inform primary care policy and funding reform. </w:t>
      </w:r>
    </w:p>
    <w:p w14:paraId="2FAA58D2" w14:textId="308C97EE" w:rsidR="00AA4E10" w:rsidRDefault="0038247B" w:rsidP="0038247B">
      <w:pPr>
        <w:pStyle w:val="Heading3"/>
      </w:pPr>
      <w:bookmarkStart w:id="59" w:name="_Toc239079092"/>
      <w:r>
        <w:t>Support for the general practice team</w:t>
      </w:r>
      <w:bookmarkEnd w:id="59"/>
    </w:p>
    <w:p w14:paraId="6563BADA" w14:textId="2523E4D6" w:rsidR="00E35CD0" w:rsidRPr="00F61703" w:rsidRDefault="006F56C3" w:rsidP="00E35CD0">
      <w:pPr>
        <w:rPr>
          <w:highlight w:val="yellow"/>
        </w:rPr>
      </w:pPr>
      <w:r>
        <w:t>As noted in previous section, the</w:t>
      </w:r>
      <w:r w:rsidR="00E35CD0">
        <w:t xml:space="preserve"> TTWG recognised that there is benefit in supporting other members of the general practice team, such as practice nurses, to support patients in their home. The TTWG supported funding for the team members to undertake home </w:t>
      </w:r>
      <w:r w:rsidR="00E35CD0">
        <w:lastRenderedPageBreak/>
        <w:t>visits, but acknowledged that this may not suit a fee-for-service model (such as the MBS)</w:t>
      </w:r>
      <w:r w:rsidR="00755348">
        <w:t>. Th</w:t>
      </w:r>
      <w:r w:rsidR="00E35CD0">
        <w:t>is may be more appropriately addressed through a non-MBS funding mechanism.</w:t>
      </w:r>
    </w:p>
    <w:p w14:paraId="19BF6164" w14:textId="1461A091" w:rsidR="00217579" w:rsidRPr="00E35CD0" w:rsidRDefault="00217579" w:rsidP="00201EE3">
      <w:pPr>
        <w:pStyle w:val="BoxTitle"/>
      </w:pPr>
      <w:r w:rsidRPr="00E35CD0">
        <w:t>Recommendation 23</w:t>
      </w:r>
    </w:p>
    <w:p w14:paraId="5E07EC6D" w14:textId="77777777" w:rsidR="00217579" w:rsidRPr="006356C2" w:rsidRDefault="00217579" w:rsidP="00201EE3">
      <w:pPr>
        <w:pStyle w:val="BoxText"/>
      </w:pPr>
      <w:r w:rsidRPr="00E35CD0">
        <w:t>Consideration be given to a mechanism to support out of consulting rooms services provided by other members of the general practice team, such as practice nurses, whether through the MBS or another funding mechanism.</w:t>
      </w:r>
    </w:p>
    <w:p w14:paraId="5AAFEA98" w14:textId="0F6E8749" w:rsidR="00821270" w:rsidRDefault="00821270" w:rsidP="00821270">
      <w:pPr>
        <w:pStyle w:val="Heading1"/>
      </w:pPr>
      <w:bookmarkStart w:id="60" w:name="_Toc239079093"/>
      <w:r w:rsidRPr="0011171D">
        <w:lastRenderedPageBreak/>
        <w:t>Consultation and feedback review process</w:t>
      </w:r>
      <w:bookmarkEnd w:id="26"/>
      <w:bookmarkEnd w:id="27"/>
      <w:bookmarkEnd w:id="60"/>
    </w:p>
    <w:p w14:paraId="0E452074" w14:textId="43722BFF" w:rsidR="001C53C1" w:rsidRDefault="001C53C1" w:rsidP="001C53C1">
      <w:r>
        <w:t>The TTWG carefully considered all presentations and consultation feedback to inform this report.</w:t>
      </w:r>
    </w:p>
    <w:p w14:paraId="68223E6C" w14:textId="0F4B1A0C" w:rsidR="00CB14DB" w:rsidRDefault="00CB14DB" w:rsidP="005D6FC7">
      <w:pPr>
        <w:pStyle w:val="Heading2"/>
      </w:pPr>
      <w:bookmarkStart w:id="61" w:name="_Toc239079094"/>
      <w:r>
        <w:t>Presentations</w:t>
      </w:r>
      <w:bookmarkEnd w:id="61"/>
    </w:p>
    <w:p w14:paraId="726899E9" w14:textId="6762A0E3" w:rsidR="00CB14DB" w:rsidRDefault="00CB14DB" w:rsidP="00CB14DB">
      <w:r>
        <w:t xml:space="preserve">The TTWG considered </w:t>
      </w:r>
      <w:r w:rsidRPr="00CB14DB">
        <w:t>presentations from the Royal Australian College of General Practitioners, the Australian College of Rural and Remote Medicine</w:t>
      </w:r>
      <w:r w:rsidR="003D7F8C">
        <w:t>, the Australian Medical Association</w:t>
      </w:r>
      <w:r w:rsidRPr="00CB14DB">
        <w:t xml:space="preserve"> and the Royal Australian and New Zealand College of Obstetricians and Gynaecologists to inform its recommendation</w:t>
      </w:r>
      <w:r>
        <w:t>s.</w:t>
      </w:r>
    </w:p>
    <w:p w14:paraId="6921FE9F" w14:textId="30B9EF68" w:rsidR="00F36CA4" w:rsidRDefault="00F36CA4" w:rsidP="005D6FC7">
      <w:pPr>
        <w:pStyle w:val="Heading2"/>
      </w:pPr>
      <w:bookmarkStart w:id="62" w:name="_Targeted_consultation"/>
      <w:bookmarkStart w:id="63" w:name="_Toc239079095"/>
      <w:bookmarkEnd w:id="62"/>
      <w:r>
        <w:t>Targeted consultation</w:t>
      </w:r>
      <w:bookmarkEnd w:id="63"/>
    </w:p>
    <w:p w14:paraId="5E6BC8C3" w14:textId="17DCEF1C" w:rsidR="00F36CA4" w:rsidRPr="00763336" w:rsidRDefault="00AC7B0E" w:rsidP="00582EB8">
      <w:r>
        <w:t>A</w:t>
      </w:r>
      <w:r w:rsidR="00F36CA4">
        <w:t xml:space="preserve"> draft consultation paper </w:t>
      </w:r>
      <w:r>
        <w:t xml:space="preserve">was prepared </w:t>
      </w:r>
      <w:r w:rsidR="00F36CA4">
        <w:t>for targeted consultation</w:t>
      </w:r>
      <w:r>
        <w:t>, which</w:t>
      </w:r>
      <w:r w:rsidR="00582EB8">
        <w:t xml:space="preserve"> </w:t>
      </w:r>
      <w:r w:rsidRPr="00763336">
        <w:t>r</w:t>
      </w:r>
      <w:r w:rsidR="00F36CA4" w:rsidRPr="00763336">
        <w:t>eflect</w:t>
      </w:r>
      <w:r w:rsidRPr="00763336">
        <w:t>ed</w:t>
      </w:r>
      <w:r w:rsidR="00F36CA4" w:rsidRPr="00763336">
        <w:t xml:space="preserve"> the positions agreed</w:t>
      </w:r>
      <w:r w:rsidR="00A94310">
        <w:t xml:space="preserve"> to and recommendations from</w:t>
      </w:r>
      <w:r w:rsidR="00F36CA4" w:rsidRPr="00763336">
        <w:t xml:space="preserve"> up to and including meeting 4</w:t>
      </w:r>
      <w:r w:rsidR="00763336" w:rsidRPr="00763336">
        <w:t xml:space="preserve"> (24–25 February 2025)</w:t>
      </w:r>
      <w:r w:rsidR="00582EB8">
        <w:t>.</w:t>
      </w:r>
    </w:p>
    <w:p w14:paraId="06A88D9E" w14:textId="7D5F3680" w:rsidR="00F36CA4" w:rsidRDefault="00F36CA4" w:rsidP="00BD14F9">
      <w:pPr>
        <w:pStyle w:val="NormalBeforeBullet"/>
      </w:pPr>
      <w:r>
        <w:t xml:space="preserve">The participants in the targeted consultation </w:t>
      </w:r>
      <w:r w:rsidR="00AC7B0E">
        <w:t>we</w:t>
      </w:r>
      <w:r>
        <w:t>re:</w:t>
      </w:r>
    </w:p>
    <w:p w14:paraId="0B4D94DC" w14:textId="36F93CB2" w:rsidR="00F36CA4" w:rsidRDefault="00F36CA4" w:rsidP="005D6FC7">
      <w:pPr>
        <w:pStyle w:val="Bullet"/>
      </w:pPr>
      <w:r>
        <w:t>Royal Australian College of General Practitioners</w:t>
      </w:r>
    </w:p>
    <w:p w14:paraId="3A5460B6" w14:textId="44ACF8C7" w:rsidR="00F36CA4" w:rsidRDefault="00F36CA4" w:rsidP="005D6FC7">
      <w:pPr>
        <w:pStyle w:val="Bullet"/>
      </w:pPr>
      <w:r>
        <w:t>Australian College of Rural and Remote Medicine</w:t>
      </w:r>
    </w:p>
    <w:p w14:paraId="520F0713" w14:textId="71ACA630" w:rsidR="00F36CA4" w:rsidRDefault="00F36CA4" w:rsidP="005D6FC7">
      <w:pPr>
        <w:pStyle w:val="Bullet"/>
      </w:pPr>
      <w:r>
        <w:t>Australian College of Nurse Practitioners</w:t>
      </w:r>
    </w:p>
    <w:p w14:paraId="258F3F64" w14:textId="3F9AAFE0" w:rsidR="00F36CA4" w:rsidRDefault="00F36CA4" w:rsidP="005D6FC7">
      <w:pPr>
        <w:pStyle w:val="Bullet"/>
      </w:pPr>
      <w:r>
        <w:t>Australian Medical Association</w:t>
      </w:r>
    </w:p>
    <w:p w14:paraId="037FB0DB" w14:textId="66CF77E7" w:rsidR="00F36CA4" w:rsidRDefault="00F36CA4" w:rsidP="005D6FC7">
      <w:pPr>
        <w:pStyle w:val="Bullet"/>
      </w:pPr>
      <w:r>
        <w:t>Rural Doctors Association of Australia</w:t>
      </w:r>
    </w:p>
    <w:p w14:paraId="54B066A6" w14:textId="1857EE87" w:rsidR="00F36CA4" w:rsidRDefault="00F36CA4" w:rsidP="0022770A">
      <w:pPr>
        <w:pStyle w:val="BulletLast"/>
      </w:pPr>
      <w:r>
        <w:t>National Aboriginal Community Controlled Health Organisation</w:t>
      </w:r>
      <w:r w:rsidR="0022770A">
        <w:t>.</w:t>
      </w:r>
    </w:p>
    <w:p w14:paraId="7BD294E6" w14:textId="15777B56" w:rsidR="00572D12" w:rsidRDefault="00572D12" w:rsidP="00572D12">
      <w:pPr>
        <w:rPr>
          <w:b/>
          <w:bCs/>
        </w:rPr>
      </w:pPr>
      <w:r>
        <w:t xml:space="preserve">The TTWG noted </w:t>
      </w:r>
      <w:r w:rsidR="002023A6">
        <w:t xml:space="preserve">concerns </w:t>
      </w:r>
      <w:r>
        <w:t xml:space="preserve">from some organisation about linking MBS claiming to </w:t>
      </w:r>
      <w:proofErr w:type="spellStart"/>
      <w:r>
        <w:t>MyMedicare</w:t>
      </w:r>
      <w:proofErr w:type="spellEnd"/>
      <w:r>
        <w:t xml:space="preserve"> registered clinics. This requirement would exclude </w:t>
      </w:r>
      <w:r w:rsidR="00015917">
        <w:t>nurse practitioner–led</w:t>
      </w:r>
      <w:r>
        <w:t xml:space="preserve"> practices. However, t</w:t>
      </w:r>
      <w:r w:rsidRPr="00333C27">
        <w:t>he TTWG</w:t>
      </w:r>
      <w:r>
        <w:t xml:space="preserve"> </w:t>
      </w:r>
      <w:r w:rsidRPr="00333C27">
        <w:t xml:space="preserve">highlighted </w:t>
      </w:r>
      <w:r>
        <w:t xml:space="preserve">that </w:t>
      </w:r>
      <w:proofErr w:type="spellStart"/>
      <w:r>
        <w:t>MyMedicare</w:t>
      </w:r>
      <w:proofErr w:type="spellEnd"/>
      <w:r>
        <w:t xml:space="preserve"> clinics are accredited and therefore are proven to meet certain standards. </w:t>
      </w:r>
      <w:r w:rsidR="00C27671">
        <w:t xml:space="preserve">The principle of </w:t>
      </w:r>
      <w:proofErr w:type="spellStart"/>
      <w:r w:rsidR="00C27671">
        <w:t>MyMedicare</w:t>
      </w:r>
      <w:proofErr w:type="spellEnd"/>
      <w:r w:rsidR="00C27671">
        <w:t xml:space="preserve"> is to improve continuity of care. </w:t>
      </w:r>
      <w:r>
        <w:t xml:space="preserve">The TTWG maintained </w:t>
      </w:r>
      <w:r w:rsidRPr="00333C27">
        <w:t xml:space="preserve">that including </w:t>
      </w:r>
      <w:proofErr w:type="spellStart"/>
      <w:r w:rsidRPr="00333C27">
        <w:t>MyMedicare</w:t>
      </w:r>
      <w:proofErr w:type="spellEnd"/>
      <w:r w:rsidRPr="00333C27">
        <w:t xml:space="preserve"> registration would ensure</w:t>
      </w:r>
      <w:r>
        <w:t xml:space="preserve"> patient safety and continuity of care, which was a focus of the TTWG’s discussions and therefore recommendations. </w:t>
      </w:r>
      <w:r w:rsidR="00567968">
        <w:t xml:space="preserve">The TTWG recognised that </w:t>
      </w:r>
      <w:r w:rsidR="00F2058F">
        <w:t xml:space="preserve">there may be additional work by the Government to better include </w:t>
      </w:r>
      <w:r w:rsidR="00015917">
        <w:t>nurse practitioner–led</w:t>
      </w:r>
      <w:r w:rsidR="00F2058F">
        <w:t xml:space="preserve"> practices, but this is out of scope for this review.</w:t>
      </w:r>
    </w:p>
    <w:p w14:paraId="3D62E7DC" w14:textId="58A73C94" w:rsidR="005121AC" w:rsidRDefault="005121AC" w:rsidP="00AC7B0E"/>
    <w:p w14:paraId="0F92F169" w14:textId="748DCDFD" w:rsidR="00C77576" w:rsidRPr="00F213E5" w:rsidRDefault="00C77576" w:rsidP="009674A0">
      <w:pPr>
        <w:pStyle w:val="Heading1"/>
      </w:pPr>
      <w:bookmarkStart w:id="64" w:name="_Appendix_1_Medicare"/>
      <w:bookmarkStart w:id="65" w:name="_Toc119068520"/>
      <w:bookmarkStart w:id="66" w:name="_Toc119920739"/>
      <w:bookmarkStart w:id="67" w:name="_Toc239079096"/>
      <w:bookmarkEnd w:id="64"/>
      <w:r>
        <w:lastRenderedPageBreak/>
        <w:t>Appendix</w:t>
      </w:r>
      <w:bookmarkStart w:id="68" w:name="_Toc107835767"/>
      <w:bookmarkStart w:id="69" w:name="_Toc107835834"/>
      <w:bookmarkStart w:id="70" w:name="_Toc107911558"/>
      <w:bookmarkStart w:id="71" w:name="_Toc107920653"/>
      <w:bookmarkStart w:id="72" w:name="_Toc111552634"/>
      <w:bookmarkStart w:id="73" w:name="_Toc111558643"/>
      <w:bookmarkStart w:id="74" w:name="_Toc111561067"/>
      <w:bookmarkStart w:id="75" w:name="_Toc119068521"/>
      <w:bookmarkStart w:id="76" w:name="_Toc119920740"/>
      <w:bookmarkEnd w:id="65"/>
      <w:bookmarkEnd w:id="66"/>
      <w:r w:rsidR="003D7F8C">
        <w:tab/>
      </w:r>
      <w:r w:rsidRPr="00F213E5">
        <w:t>Medicare Benefits Schedule Continuous Review</w:t>
      </w:r>
      <w:bookmarkEnd w:id="67"/>
      <w:bookmarkEnd w:id="68"/>
      <w:bookmarkEnd w:id="69"/>
      <w:bookmarkEnd w:id="70"/>
      <w:bookmarkEnd w:id="71"/>
      <w:bookmarkEnd w:id="72"/>
      <w:bookmarkEnd w:id="73"/>
      <w:bookmarkEnd w:id="74"/>
      <w:bookmarkEnd w:id="75"/>
      <w:bookmarkEnd w:id="76"/>
    </w:p>
    <w:p w14:paraId="1343F342" w14:textId="77777777" w:rsidR="00C77576" w:rsidRPr="00641C75" w:rsidRDefault="00C77576" w:rsidP="00C77576">
      <w:r w:rsidRPr="00641C75">
        <w:t xml:space="preserve">The </w:t>
      </w:r>
      <w:r>
        <w:t>Medicare Benefits Schedule (</w:t>
      </w:r>
      <w:r w:rsidRPr="00641C75">
        <w:t>MBS</w:t>
      </w:r>
      <w:r>
        <w:t>)</w:t>
      </w:r>
      <w:r w:rsidRPr="00641C75">
        <w:t xml:space="preserve"> is a list of health professional services (items) </w:t>
      </w:r>
      <w:r>
        <w:t>subsidised by</w:t>
      </w:r>
      <w:r w:rsidRPr="00641C75">
        <w:t xml:space="preserve"> the Australian Government</w:t>
      </w:r>
      <w:r>
        <w:t xml:space="preserve"> for health consumers</w:t>
      </w:r>
      <w:r w:rsidRPr="00641C75">
        <w:t>. MBS items provide patient benefits for a wide range of health services including consultations, diagnostic tests</w:t>
      </w:r>
      <w:r>
        <w:t>, therapies,</w:t>
      </w:r>
      <w:r w:rsidRPr="00641C75">
        <w:t xml:space="preserve"> and operations.</w:t>
      </w:r>
    </w:p>
    <w:p w14:paraId="30D7E19A" w14:textId="77777777" w:rsidR="00C77576" w:rsidRPr="00641C75" w:rsidRDefault="00C77576" w:rsidP="00C77576">
      <w:r w:rsidRPr="00641C75">
        <w:t>The MBS Continuous Review builds on the work of the MBS Review Taskforce</w:t>
      </w:r>
      <w:r>
        <w:t xml:space="preserve"> (the Taskforce).</w:t>
      </w:r>
      <w:r w:rsidRPr="00641C75">
        <w:t xml:space="preserve"> </w:t>
      </w:r>
      <w:r>
        <w:t>F</w:t>
      </w:r>
      <w:r w:rsidRPr="00641C75">
        <w:t>rom 2015 to 2020</w:t>
      </w:r>
      <w:r>
        <w:t>, the Taskforce</w:t>
      </w:r>
      <w:r w:rsidRPr="00641C75">
        <w:t xml:space="preserve"> provided the first extensive, line</w:t>
      </w:r>
      <w:r>
        <w:t>-</w:t>
      </w:r>
      <w:r w:rsidRPr="00641C75">
        <w:t>by</w:t>
      </w:r>
      <w:r>
        <w:t>-</w:t>
      </w:r>
      <w:r w:rsidRPr="00641C75">
        <w:t>line review of the MBS since its inception in 1984.</w:t>
      </w:r>
    </w:p>
    <w:p w14:paraId="64F69461" w14:textId="77777777" w:rsidR="00C77576" w:rsidRPr="00641C75" w:rsidRDefault="00C77576" w:rsidP="00C77576">
      <w:r w:rsidRPr="00641C75">
        <w:t>In October 2020, the Australian Government committed to establishing a continuous review framework for the MBS, consistent with recommendations from the Taskforce Final Report.</w:t>
      </w:r>
    </w:p>
    <w:p w14:paraId="62A7395C" w14:textId="77777777" w:rsidR="00C77576" w:rsidRPr="00641C75" w:rsidRDefault="00C77576" w:rsidP="00C77576">
      <w:r>
        <w:t>Established in 2021, the MBS Continuous Review allows for ongoing rigorous and comprehensive reviews of Medicare items and services by experts, on a continuous basis, to ensure that the MBS works for patients and supports health professionals to provide high-quality care.</w:t>
      </w:r>
    </w:p>
    <w:p w14:paraId="44505C62" w14:textId="77777777" w:rsidR="00C77576" w:rsidRPr="00816F3E" w:rsidRDefault="00C77576" w:rsidP="001A5487">
      <w:pPr>
        <w:pStyle w:val="Heading2a"/>
      </w:pPr>
      <w:bookmarkStart w:id="77" w:name="_Toc107835768"/>
      <w:bookmarkStart w:id="78" w:name="_Toc107835835"/>
      <w:bookmarkStart w:id="79" w:name="_Toc107911559"/>
      <w:bookmarkStart w:id="80" w:name="_Toc107920654"/>
      <w:bookmarkStart w:id="81" w:name="_Toc111552635"/>
      <w:bookmarkStart w:id="82" w:name="_Toc111558644"/>
      <w:bookmarkStart w:id="83" w:name="_Toc111561068"/>
      <w:bookmarkStart w:id="84" w:name="_Toc119068522"/>
      <w:bookmarkStart w:id="85" w:name="_Toc119920741"/>
      <w:r w:rsidRPr="00816F3E">
        <w:t>Medicare Benefits Schedule Review Advisory Committee</w:t>
      </w:r>
      <w:bookmarkEnd w:id="77"/>
      <w:bookmarkEnd w:id="78"/>
      <w:bookmarkEnd w:id="79"/>
      <w:bookmarkEnd w:id="80"/>
      <w:bookmarkEnd w:id="81"/>
      <w:bookmarkEnd w:id="82"/>
      <w:bookmarkEnd w:id="83"/>
      <w:bookmarkEnd w:id="84"/>
      <w:bookmarkEnd w:id="85"/>
    </w:p>
    <w:p w14:paraId="59F4ECE6" w14:textId="77777777" w:rsidR="00C77576" w:rsidRDefault="00C77576" w:rsidP="00C77576">
      <w:pPr>
        <w:pStyle w:val="NormalBeforeBullet"/>
      </w:pPr>
      <w:r w:rsidRPr="00641C75">
        <w:t xml:space="preserve">The MBS Continuous Review is </w:t>
      </w:r>
      <w:r>
        <w:t>supported</w:t>
      </w:r>
      <w:r w:rsidRPr="00641C75">
        <w:t xml:space="preserve"> by the </w:t>
      </w:r>
      <w:r>
        <w:t>MBS Review Advisory Committee (</w:t>
      </w:r>
      <w:r w:rsidRPr="00641C75">
        <w:t>MRAC</w:t>
      </w:r>
      <w:r>
        <w:t>)</w:t>
      </w:r>
      <w:r w:rsidRPr="00641C75">
        <w:t>. The Committee’s role is to provide</w:t>
      </w:r>
      <w:r>
        <w:t xml:space="preserve"> independent clinical, professional and consumer</w:t>
      </w:r>
      <w:r w:rsidRPr="00641C75">
        <w:t xml:space="preserve"> advice to Government on</w:t>
      </w:r>
      <w:r>
        <w:t>:</w:t>
      </w:r>
    </w:p>
    <w:p w14:paraId="24311078" w14:textId="77777777" w:rsidR="00C77576" w:rsidRDefault="00C77576" w:rsidP="00132161">
      <w:pPr>
        <w:pStyle w:val="BulletBeforeDash"/>
        <w:numPr>
          <w:ilvl w:val="0"/>
          <w:numId w:val="13"/>
        </w:numPr>
      </w:pPr>
      <w:r>
        <w:t>opportunities to improve patient outcomes in instances where a health technology assessment by the Medical Services Advisory Committee (MSAC) is not appropriate</w:t>
      </w:r>
    </w:p>
    <w:p w14:paraId="09518811" w14:textId="77777777" w:rsidR="00C77576" w:rsidRDefault="00C77576" w:rsidP="00132161">
      <w:pPr>
        <w:pStyle w:val="BulletBeforeDash"/>
        <w:numPr>
          <w:ilvl w:val="0"/>
          <w:numId w:val="13"/>
        </w:numPr>
      </w:pPr>
      <w:r>
        <w:t xml:space="preserve">the </w:t>
      </w:r>
      <w:r w:rsidRPr="005466C5">
        <w:t>safety</w:t>
      </w:r>
      <w:r>
        <w:t xml:space="preserve"> and</w:t>
      </w:r>
      <w:r w:rsidRPr="005466C5">
        <w:t xml:space="preserve"> efficacy of existing</w:t>
      </w:r>
      <w:r>
        <w:t xml:space="preserve"> MBS</w:t>
      </w:r>
      <w:r w:rsidRPr="005466C5">
        <w:t xml:space="preserve"> items</w:t>
      </w:r>
    </w:p>
    <w:p w14:paraId="17DD97B2" w14:textId="77777777" w:rsidR="00C77576" w:rsidRDefault="00C77576" w:rsidP="001A5487">
      <w:pPr>
        <w:pStyle w:val="BulletBeforeDash"/>
        <w:numPr>
          <w:ilvl w:val="0"/>
          <w:numId w:val="13"/>
        </w:numPr>
        <w:spacing w:after="240"/>
        <w:ind w:left="357" w:hanging="357"/>
      </w:pPr>
      <w:r w:rsidRPr="005466C5">
        <w:t>implemen</w:t>
      </w:r>
      <w:r>
        <w:t>ted</w:t>
      </w:r>
      <w:r w:rsidRPr="00247FB4">
        <w:t xml:space="preserve"> changes to the MBS</w:t>
      </w:r>
      <w:r>
        <w:t>,</w:t>
      </w:r>
      <w:r w:rsidRPr="00247FB4">
        <w:t xml:space="preserve"> to </w:t>
      </w:r>
      <w:r>
        <w:t xml:space="preserve">monitor </w:t>
      </w:r>
      <w:r w:rsidRPr="00247FB4">
        <w:t xml:space="preserve">benefits and </w:t>
      </w:r>
      <w:r>
        <w:t>address</w:t>
      </w:r>
      <w:r w:rsidRPr="00247FB4">
        <w:t xml:space="preserve"> </w:t>
      </w:r>
      <w:r>
        <w:t>unintended</w:t>
      </w:r>
      <w:r w:rsidRPr="00247FB4">
        <w:t xml:space="preserve"> consequences.</w:t>
      </w:r>
    </w:p>
    <w:p w14:paraId="2B113EE3" w14:textId="22FE27BA" w:rsidR="00C77576" w:rsidRDefault="00C77576" w:rsidP="001A5487">
      <w:bookmarkStart w:id="86" w:name="_Toc107835769"/>
      <w:bookmarkStart w:id="87" w:name="_Toc107835836"/>
      <w:bookmarkStart w:id="88" w:name="_Toc107911560"/>
      <w:bookmarkStart w:id="89" w:name="_Toc107920655"/>
      <w:bookmarkStart w:id="90" w:name="_Toc111552636"/>
      <w:bookmarkStart w:id="91" w:name="_Toc111558645"/>
      <w:bookmarkStart w:id="92" w:name="_Toc111561069"/>
      <w:bookmarkStart w:id="93" w:name="_Toc119068523"/>
      <w:bookmarkStart w:id="94" w:name="_Toc119920742"/>
      <w:bookmarkStart w:id="95" w:name="_Hlk119420236"/>
      <w:r>
        <w:t xml:space="preserve">The </w:t>
      </w:r>
      <w:r w:rsidRPr="00641C75">
        <w:t>MRAC comprise</w:t>
      </w:r>
      <w:r>
        <w:t>s</w:t>
      </w:r>
      <w:r w:rsidRPr="00641C75">
        <w:t xml:space="preserve"> </w:t>
      </w:r>
      <w:r>
        <w:t>practising clinicians</w:t>
      </w:r>
      <w:r w:rsidRPr="00065C67">
        <w:t>,</w:t>
      </w:r>
      <w:r>
        <w:t xml:space="preserve"> academics,</w:t>
      </w:r>
      <w:r w:rsidRPr="00065C67">
        <w:t xml:space="preserve"> health system experts</w:t>
      </w:r>
      <w:r>
        <w:t xml:space="preserve"> </w:t>
      </w:r>
      <w:r w:rsidRPr="00065C67">
        <w:t xml:space="preserve">and consumer </w:t>
      </w:r>
      <w:r>
        <w:t>representatives. The current MRAC membership is available on the Department of Health</w:t>
      </w:r>
      <w:r w:rsidR="006C15EC">
        <w:t>, Disability</w:t>
      </w:r>
      <w:r>
        <w:t xml:space="preserve"> and Age</w:t>
      </w:r>
      <w:r w:rsidR="006C15EC">
        <w:t>ing</w:t>
      </w:r>
      <w:r>
        <w:t xml:space="preserve">’s </w:t>
      </w:r>
      <w:hyperlink r:id="rId28" w:history="1">
        <w:r w:rsidRPr="007F7628">
          <w:rPr>
            <w:rStyle w:val="Hyperlink"/>
          </w:rPr>
          <w:t>MRAC webpage</w:t>
        </w:r>
      </w:hyperlink>
      <w:r>
        <w:t>.</w:t>
      </w:r>
    </w:p>
    <w:p w14:paraId="6D6A47DA" w14:textId="77777777" w:rsidR="00472B53" w:rsidRPr="0011171D" w:rsidRDefault="00472B53" w:rsidP="001A5487">
      <w:pPr>
        <w:pStyle w:val="Heading2a"/>
      </w:pPr>
      <w:bookmarkStart w:id="96" w:name="_Toc107835770"/>
      <w:bookmarkStart w:id="97" w:name="_Toc107835837"/>
      <w:bookmarkStart w:id="98" w:name="_Toc107911561"/>
      <w:bookmarkStart w:id="99" w:name="_Toc107920656"/>
      <w:bookmarkStart w:id="100" w:name="_Toc111552637"/>
      <w:bookmarkStart w:id="101" w:name="_Toc111558646"/>
      <w:bookmarkStart w:id="102" w:name="_Toc111561070"/>
      <w:bookmarkStart w:id="103" w:name="_Toc119068524"/>
      <w:bookmarkStart w:id="104" w:name="_Toc119920743"/>
      <w:bookmarkEnd w:id="86"/>
      <w:bookmarkEnd w:id="87"/>
      <w:bookmarkEnd w:id="88"/>
      <w:bookmarkEnd w:id="89"/>
      <w:bookmarkEnd w:id="90"/>
      <w:bookmarkEnd w:id="91"/>
      <w:bookmarkEnd w:id="92"/>
      <w:bookmarkEnd w:id="93"/>
      <w:bookmarkEnd w:id="94"/>
      <w:bookmarkEnd w:id="95"/>
      <w:r>
        <w:t>MBS Continuous Review guiding principles</w:t>
      </w:r>
    </w:p>
    <w:p w14:paraId="2153737A" w14:textId="77777777" w:rsidR="00472B53" w:rsidRPr="00641C75" w:rsidRDefault="00472B53" w:rsidP="00472B53">
      <w:pPr>
        <w:pStyle w:val="NormalBeforeBullet"/>
      </w:pPr>
      <w:r w:rsidRPr="00641C75">
        <w:t>The following principles guide the deliberations and recommendations of the MBS Continuous Review:</w:t>
      </w:r>
    </w:p>
    <w:p w14:paraId="1981DDC6" w14:textId="77777777" w:rsidR="00472B53" w:rsidRPr="00641C75" w:rsidRDefault="00472B53" w:rsidP="00472B53">
      <w:pPr>
        <w:numPr>
          <w:ilvl w:val="0"/>
          <w:numId w:val="10"/>
        </w:numPr>
        <w:spacing w:after="120"/>
      </w:pPr>
      <w:r w:rsidRPr="00641C75">
        <w:t>The MBS:</w:t>
      </w:r>
    </w:p>
    <w:p w14:paraId="2625AF3A" w14:textId="77777777" w:rsidR="00472B53" w:rsidRPr="00641C75" w:rsidRDefault="00472B53" w:rsidP="00472B53">
      <w:pPr>
        <w:pStyle w:val="BulletBeforeDash"/>
      </w:pPr>
      <w:r>
        <w:t>i</w:t>
      </w:r>
      <w:r w:rsidRPr="00641C75">
        <w:t>s structured to support coordinated care through the health system by</w:t>
      </w:r>
    </w:p>
    <w:p w14:paraId="0EC003B0" w14:textId="77777777" w:rsidR="00472B53" w:rsidRPr="00641C75" w:rsidRDefault="00472B53" w:rsidP="00472B53">
      <w:pPr>
        <w:pStyle w:val="Dash"/>
        <w:ind w:left="572" w:hanging="215"/>
      </w:pPr>
      <w:r w:rsidRPr="00641C75">
        <w:t>recognising the central role of General Practice in coordinating care</w:t>
      </w:r>
    </w:p>
    <w:p w14:paraId="775A3294" w14:textId="77777777" w:rsidR="00472B53" w:rsidRPr="00641C75" w:rsidRDefault="00472B53" w:rsidP="00472B53">
      <w:pPr>
        <w:pStyle w:val="DashLast"/>
        <w:ind w:left="572" w:hanging="215"/>
      </w:pPr>
      <w:r w:rsidRPr="00641C75">
        <w:t>facilitating communication through General Practice to enable holistic coordinated care</w:t>
      </w:r>
    </w:p>
    <w:p w14:paraId="5A534815" w14:textId="77777777" w:rsidR="00472B53" w:rsidRPr="00641C75" w:rsidRDefault="00472B53" w:rsidP="00472B53">
      <w:pPr>
        <w:pStyle w:val="BulletBeforeDash"/>
      </w:pPr>
      <w:r>
        <w:t>i</w:t>
      </w:r>
      <w:r w:rsidRPr="00641C75">
        <w:t>s designed to provide sustainable, high</w:t>
      </w:r>
      <w:r>
        <w:t>-</w:t>
      </w:r>
      <w:r w:rsidRPr="00641C75">
        <w:t>value, evidence-based and appropriate care to the Australian community</w:t>
      </w:r>
    </w:p>
    <w:p w14:paraId="48013242" w14:textId="77777777" w:rsidR="00472B53" w:rsidRPr="00641C75" w:rsidRDefault="00472B53" w:rsidP="00472B53">
      <w:pPr>
        <w:pStyle w:val="DashLast"/>
        <w:ind w:left="572" w:hanging="215"/>
      </w:pPr>
      <w:r>
        <w:t>i</w:t>
      </w:r>
      <w:r w:rsidRPr="00641C75">
        <w:t>tem descriptors and explanatory notes are designed to ensure clarity, consistency</w:t>
      </w:r>
      <w:r>
        <w:t xml:space="preserve"> and</w:t>
      </w:r>
      <w:r w:rsidRPr="00641C75">
        <w:t xml:space="preserve"> appropriate use by health professionals</w:t>
      </w:r>
    </w:p>
    <w:p w14:paraId="70F1E5A4" w14:textId="77777777" w:rsidR="00472B53" w:rsidRPr="00641C75" w:rsidRDefault="00472B53" w:rsidP="00472B53">
      <w:pPr>
        <w:pStyle w:val="Bullet"/>
      </w:pPr>
      <w:r>
        <w:t>p</w:t>
      </w:r>
      <w:r w:rsidRPr="00641C75">
        <w:t>romotes equity according to patient need</w:t>
      </w:r>
    </w:p>
    <w:p w14:paraId="0B03B25A" w14:textId="77777777" w:rsidR="00472B53" w:rsidRPr="00641C75" w:rsidRDefault="00472B53" w:rsidP="00472B53">
      <w:pPr>
        <w:pStyle w:val="Bullet"/>
      </w:pPr>
      <w:r>
        <w:t>e</w:t>
      </w:r>
      <w:r w:rsidRPr="00641C75">
        <w:t>nsures accountability to the patient and to the Australian community (taxpayer)</w:t>
      </w:r>
    </w:p>
    <w:p w14:paraId="27DDDE38" w14:textId="77777777" w:rsidR="00472B53" w:rsidRPr="00641C75" w:rsidRDefault="00472B53" w:rsidP="00472B53">
      <w:pPr>
        <w:pStyle w:val="BulletLast"/>
      </w:pPr>
      <w:r>
        <w:lastRenderedPageBreak/>
        <w:t>i</w:t>
      </w:r>
      <w:r w:rsidRPr="00641C75">
        <w:t>s continuously evaluated and revised to provide high</w:t>
      </w:r>
      <w:r>
        <w:t>-</w:t>
      </w:r>
      <w:r w:rsidRPr="00641C75">
        <w:t>value health care to the Australian community.</w:t>
      </w:r>
    </w:p>
    <w:p w14:paraId="05A2D4AD" w14:textId="77777777" w:rsidR="00472B53" w:rsidRPr="00641C75" w:rsidRDefault="00472B53" w:rsidP="00472B53">
      <w:pPr>
        <w:numPr>
          <w:ilvl w:val="0"/>
          <w:numId w:val="10"/>
        </w:numPr>
        <w:spacing w:after="120"/>
        <w:ind w:hanging="357"/>
      </w:pPr>
      <w:r w:rsidRPr="00641C75">
        <w:t>Service providers of the MBS:</w:t>
      </w:r>
    </w:p>
    <w:p w14:paraId="52C5AB84" w14:textId="77777777" w:rsidR="00472B53" w:rsidRPr="00641C75" w:rsidRDefault="00472B53" w:rsidP="00472B53">
      <w:pPr>
        <w:pStyle w:val="Bullet"/>
      </w:pPr>
      <w:r>
        <w:t>u</w:t>
      </w:r>
      <w:r w:rsidRPr="00641C75">
        <w:t>nderstand the purpose and requirements of the MBS</w:t>
      </w:r>
    </w:p>
    <w:p w14:paraId="0451C96A" w14:textId="77777777" w:rsidR="00472B53" w:rsidRPr="00641C75" w:rsidRDefault="00472B53" w:rsidP="00472B53">
      <w:pPr>
        <w:pStyle w:val="Bullet"/>
      </w:pPr>
      <w:r>
        <w:t>u</w:t>
      </w:r>
      <w:r w:rsidRPr="00641C75">
        <w:t>tilise the MBS for evidence-based car</w:t>
      </w:r>
      <w:r>
        <w:t>e</w:t>
      </w:r>
    </w:p>
    <w:p w14:paraId="50A88E8B" w14:textId="77777777" w:rsidR="00472B53" w:rsidRPr="00641C75" w:rsidRDefault="00472B53" w:rsidP="00472B53">
      <w:pPr>
        <w:pStyle w:val="Bullet"/>
      </w:pPr>
      <w:r>
        <w:t>e</w:t>
      </w:r>
      <w:r w:rsidRPr="00641C75">
        <w:t>nsure patients are informed of the benefits, risks and harms of services</w:t>
      </w:r>
      <w:r>
        <w:t>,</w:t>
      </w:r>
      <w:r w:rsidRPr="00641C75">
        <w:t xml:space="preserve"> and are engaged through shared decision making</w:t>
      </w:r>
    </w:p>
    <w:p w14:paraId="6D715CAF" w14:textId="77777777" w:rsidR="00472B53" w:rsidRPr="00641C75" w:rsidRDefault="00472B53" w:rsidP="00472B53">
      <w:pPr>
        <w:pStyle w:val="BulletLast"/>
      </w:pPr>
      <w:r>
        <w:t>u</w:t>
      </w:r>
      <w:r w:rsidRPr="00641C75">
        <w:t>tilise decision support tools, Patient Reported Outcome and Experience Measures where available and appropriate.</w:t>
      </w:r>
    </w:p>
    <w:p w14:paraId="30FD9EE2" w14:textId="77777777" w:rsidR="00472B53" w:rsidRPr="00641C75" w:rsidRDefault="00472B53" w:rsidP="00472B53">
      <w:pPr>
        <w:numPr>
          <w:ilvl w:val="0"/>
          <w:numId w:val="10"/>
        </w:numPr>
        <w:spacing w:after="120"/>
        <w:ind w:hanging="357"/>
      </w:pPr>
      <w:r w:rsidRPr="00641C75">
        <w:t>Consumers of the MBS:</w:t>
      </w:r>
    </w:p>
    <w:p w14:paraId="0CC520F1" w14:textId="77777777" w:rsidR="00472B53" w:rsidRPr="00641C75" w:rsidRDefault="00472B53" w:rsidP="00472B53">
      <w:pPr>
        <w:pStyle w:val="Bullet"/>
      </w:pPr>
      <w:r>
        <w:t>a</w:t>
      </w:r>
      <w:r w:rsidRPr="00641C75">
        <w:t>re encouraged to become partners in their own care to the extent they choose</w:t>
      </w:r>
    </w:p>
    <w:p w14:paraId="018D730E" w14:textId="77777777" w:rsidR="00472B53" w:rsidRDefault="00472B53" w:rsidP="00472B53">
      <w:pPr>
        <w:pStyle w:val="BulletLast"/>
      </w:pPr>
      <w:r>
        <w:t>a</w:t>
      </w:r>
      <w:r w:rsidRPr="00641C75">
        <w:t>re encouraged to participate in MBS reviews so patient health</w:t>
      </w:r>
      <w:r>
        <w:t>care</w:t>
      </w:r>
      <w:r w:rsidRPr="00641C75">
        <w:t xml:space="preserve"> needs can be prioritised in design and implementation of MBS items.</w:t>
      </w:r>
    </w:p>
    <w:p w14:paraId="2A8387BA" w14:textId="77777777" w:rsidR="00472B53" w:rsidRDefault="00472B53" w:rsidP="00472B53">
      <w:pPr>
        <w:spacing w:after="120"/>
      </w:pPr>
      <w:bookmarkStart w:id="105" w:name="_Hlk119420156"/>
      <w:r>
        <w:t>The MRAC and its working groups recognise that General Practice general practitioners are specialists in their own right. Usage of the term ‘General Practice’, both within this report and in the MBS itself, does not imply that general practitioners are not specialists.</w:t>
      </w:r>
    </w:p>
    <w:p w14:paraId="12FAA16C" w14:textId="77777777" w:rsidR="00472B53" w:rsidRPr="00641C75" w:rsidRDefault="00472B53" w:rsidP="00472B53">
      <w:pPr>
        <w:spacing w:after="120"/>
      </w:pPr>
      <w:r>
        <w:t>The MRAC</w:t>
      </w:r>
      <w:r w:rsidRPr="004C2A47">
        <w:t xml:space="preserve"> note</w:t>
      </w:r>
      <w:r>
        <w:t>s</w:t>
      </w:r>
      <w:r w:rsidRPr="004C2A47">
        <w:t xml:space="preserve"> that the MBS </w:t>
      </w:r>
      <w:r>
        <w:t>i</w:t>
      </w:r>
      <w:r w:rsidRPr="004C2A47">
        <w:t>s one of several available approaches to fund</w:t>
      </w:r>
      <w:r>
        <w:t>ing health</w:t>
      </w:r>
      <w:r w:rsidRPr="004C2A47">
        <w:t xml:space="preserve"> services</w:t>
      </w:r>
      <w:r>
        <w:t>. The MRAC and its working groups apply a whole-of-healthcare-system approach to its reviews.</w:t>
      </w:r>
    </w:p>
    <w:bookmarkEnd w:id="105"/>
    <w:p w14:paraId="1ED5F645" w14:textId="77777777" w:rsidR="00C77576" w:rsidRPr="0011171D" w:rsidRDefault="00C77576" w:rsidP="001A5487">
      <w:pPr>
        <w:pStyle w:val="Heading2a"/>
      </w:pPr>
      <w:r w:rsidRPr="0011171D">
        <w:t>Government consideration</w:t>
      </w:r>
      <w:bookmarkEnd w:id="96"/>
      <w:bookmarkEnd w:id="97"/>
      <w:bookmarkEnd w:id="98"/>
      <w:bookmarkEnd w:id="99"/>
      <w:bookmarkEnd w:id="100"/>
      <w:bookmarkEnd w:id="101"/>
      <w:bookmarkEnd w:id="102"/>
      <w:bookmarkEnd w:id="103"/>
      <w:bookmarkEnd w:id="104"/>
    </w:p>
    <w:p w14:paraId="11557728" w14:textId="77777777" w:rsidR="00C77576" w:rsidRPr="00641C75" w:rsidRDefault="00C77576" w:rsidP="00C77576">
      <w:r w:rsidRPr="00641C75">
        <w:t xml:space="preserve">If the Australian Government agrees to the implementation of recommendations, </w:t>
      </w:r>
      <w:r>
        <w:t>it</w:t>
      </w:r>
      <w:r w:rsidRPr="00641C75">
        <w:t xml:space="preserve"> will be communicated through Government</w:t>
      </w:r>
      <w:r>
        <w:t xml:space="preserve"> announcement</w:t>
      </w:r>
      <w:r w:rsidRPr="00641C75">
        <w:t>.</w:t>
      </w:r>
    </w:p>
    <w:p w14:paraId="16C8F4F4" w14:textId="6BB644ED" w:rsidR="00C77576" w:rsidRDefault="00C77576" w:rsidP="00C77576">
      <w:r w:rsidRPr="00641C75">
        <w:t xml:space="preserve">Information will also be made available on </w:t>
      </w:r>
      <w:hyperlink r:id="rId29" w:history="1">
        <w:r w:rsidR="00D00C41">
          <w:rPr>
            <w:rStyle w:val="Hyperlink"/>
          </w:rPr>
          <w:t>Department of Health, Disability and Ageing website</w:t>
        </w:r>
      </w:hyperlink>
      <w:r w:rsidRPr="00641C75">
        <w:t xml:space="preserve">, including </w:t>
      </w:r>
      <w:hyperlink r:id="rId30" w:history="1">
        <w:r w:rsidRPr="004434CD">
          <w:rPr>
            <w:rStyle w:val="Hyperlink"/>
          </w:rPr>
          <w:t>MBS Online</w:t>
        </w:r>
      </w:hyperlink>
      <w:r>
        <w:t>,</w:t>
      </w:r>
      <w:r w:rsidRPr="00641C75">
        <w:t xml:space="preserve"> and departmental newsletters.</w:t>
      </w:r>
    </w:p>
    <w:sectPr w:rsidR="00C77576" w:rsidSect="00442D8E">
      <w:headerReference w:type="even" r:id="rId31"/>
      <w:headerReference w:type="default" r:id="rId32"/>
      <w:footerReference w:type="even" r:id="rId33"/>
      <w:footerReference w:type="default" r:id="rId34"/>
      <w:headerReference w:type="first" r:id="rId35"/>
      <w:footerReference w:type="first" r:id="rId36"/>
      <w:pgSz w:w="11906" w:h="16838"/>
      <w:pgMar w:top="1440" w:right="2007" w:bottom="1440" w:left="200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1069B" w14:textId="77777777" w:rsidR="00232571" w:rsidRDefault="00232571">
      <w:r>
        <w:separator/>
      </w:r>
    </w:p>
  </w:endnote>
  <w:endnote w:type="continuationSeparator" w:id="0">
    <w:p w14:paraId="645E5B8A" w14:textId="77777777" w:rsidR="00232571" w:rsidRDefault="00232571">
      <w:r>
        <w:continuationSeparator/>
      </w:r>
    </w:p>
  </w:endnote>
  <w:endnote w:type="continuationNotice" w:id="1">
    <w:p w14:paraId="4F5221BD" w14:textId="77777777" w:rsidR="00232571" w:rsidRDefault="002325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C6EA3" w14:textId="6B972AD3" w:rsidR="005D73E6" w:rsidRDefault="005D73E6">
    <w:pPr>
      <w:pStyle w:val="Footer"/>
    </w:pPr>
    <w:r>
      <w:rPr>
        <w:noProof/>
      </w:rPr>
      <mc:AlternateContent>
        <mc:Choice Requires="wps">
          <w:drawing>
            <wp:anchor distT="0" distB="0" distL="0" distR="0" simplePos="0" relativeHeight="251658244" behindDoc="0" locked="0" layoutInCell="1" allowOverlap="1" wp14:anchorId="2152C55C" wp14:editId="259C2641">
              <wp:simplePos x="635" y="635"/>
              <wp:positionH relativeFrom="page">
                <wp:align>center</wp:align>
              </wp:positionH>
              <wp:positionV relativeFrom="page">
                <wp:align>bottom</wp:align>
              </wp:positionV>
              <wp:extent cx="622300" cy="391160"/>
              <wp:effectExtent l="0" t="0" r="6350" b="0"/>
              <wp:wrapNone/>
              <wp:docPr id="1419633150"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A90BD9D" w14:textId="3DC6FDD0" w:rsidR="005D73E6" w:rsidRPr="005D73E6" w:rsidRDefault="005D73E6" w:rsidP="005D73E6">
                          <w:pPr>
                            <w:spacing w:after="0"/>
                            <w:rPr>
                              <w:rFonts w:ascii="Aptos" w:eastAsia="Aptos" w:hAnsi="Aptos" w:cs="Aptos"/>
                              <w:noProof/>
                              <w:color w:val="FF0000"/>
                            </w:rPr>
                          </w:pPr>
                          <w:r w:rsidRPr="005D73E6">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52C55C" id="_x0000_t202" coordsize="21600,21600" o:spt="202" path="m,l,21600r21600,l21600,xe">
              <v:stroke joinstyle="miter"/>
              <v:path gradientshapeok="t" o:connecttype="rect"/>
            </v:shapetype>
            <v:shape id="Text Box 9" o:spid="_x0000_s1031" type="#_x0000_t202" alt="OFFICIAL" style="position:absolute;margin-left:0;margin-top:0;width:49pt;height:30.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dT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0rPh2n30J9pKUQTnx7J1cttV4LH54FEsE0LYk2&#10;PNGhDfQVh7PFWQP482/+mE+4U5SzngRTcUuK5sx8t8RH1NZo4Ghsk1Hc5p8jPHbf3QPJsKAX4WQy&#10;yYvBjKZG6F5JzsvYiELCSmpX8e1o3oeTcuk5SLVcpiSSkRNhbTdOxtIRrojly/Aq0J0BD8TUI4xq&#10;EuU73E+58aZ3y30g9BMpEdoTkGfESYKJq/NziRp/+5+yro968Qs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LoM91MNAgAAHAQA&#10;AA4AAAAAAAAAAAAAAAAALgIAAGRycy9lMm9Eb2MueG1sUEsBAi0AFAAGAAgAAAAhAIJRlNfaAAAA&#10;AwEAAA8AAAAAAAAAAAAAAAAAZwQAAGRycy9kb3ducmV2LnhtbFBLBQYAAAAABAAEAPMAAABuBQAA&#10;AAA=&#10;" filled="f" stroked="f">
              <v:textbox style="mso-fit-shape-to-text:t" inset="0,0,0,15pt">
                <w:txbxContent>
                  <w:p w14:paraId="1A90BD9D" w14:textId="3DC6FDD0" w:rsidR="005D73E6" w:rsidRPr="005D73E6" w:rsidRDefault="005D73E6" w:rsidP="005D73E6">
                    <w:pPr>
                      <w:spacing w:after="0"/>
                      <w:rPr>
                        <w:rFonts w:ascii="Aptos" w:eastAsia="Aptos" w:hAnsi="Aptos" w:cs="Aptos"/>
                        <w:noProof/>
                        <w:color w:val="FF0000"/>
                      </w:rPr>
                    </w:pPr>
                    <w:r w:rsidRPr="005D73E6">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5D518" w14:textId="750074D9" w:rsidR="00AC3100" w:rsidRPr="00D80DA1" w:rsidRDefault="005D73E6" w:rsidP="00D80DA1">
    <w:pPr>
      <w:pStyle w:val="Footer"/>
      <w:framePr w:wrap="none" w:vAnchor="text" w:hAnchor="page" w:x="9667" w:y="24"/>
      <w:rPr>
        <w:rStyle w:val="PageNumber"/>
        <w:rFonts w:ascii="Open Sans" w:hAnsi="Open Sans" w:cs="Open Sans"/>
        <w:b w:val="0"/>
        <w:bCs/>
      </w:rPr>
    </w:pPr>
    <w:r>
      <w:rPr>
        <w:rFonts w:ascii="Open Sans" w:hAnsi="Open Sans" w:cs="Open Sans"/>
        <w:b/>
        <w:noProof/>
      </w:rPr>
      <mc:AlternateContent>
        <mc:Choice Requires="wps">
          <w:drawing>
            <wp:anchor distT="0" distB="0" distL="0" distR="0" simplePos="0" relativeHeight="251658241" behindDoc="0" locked="0" layoutInCell="1" allowOverlap="1" wp14:anchorId="2D8F8EA9" wp14:editId="09BBEEB2">
              <wp:simplePos x="6138545" y="10100310"/>
              <wp:positionH relativeFrom="page">
                <wp:align>center</wp:align>
              </wp:positionH>
              <wp:positionV relativeFrom="page">
                <wp:align>bottom</wp:align>
              </wp:positionV>
              <wp:extent cx="622300" cy="391160"/>
              <wp:effectExtent l="0" t="0" r="6350" b="0"/>
              <wp:wrapNone/>
              <wp:docPr id="230296391"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9CDB372" w14:textId="0369DC1B" w:rsidR="005D73E6" w:rsidRPr="005D73E6" w:rsidRDefault="005D73E6" w:rsidP="005D73E6">
                          <w:pPr>
                            <w:spacing w:after="0"/>
                            <w:rPr>
                              <w:rFonts w:ascii="Aptos" w:eastAsia="Aptos" w:hAnsi="Aptos" w:cs="Aptos"/>
                              <w:noProof/>
                              <w:color w:val="FF0000"/>
                            </w:rPr>
                          </w:pPr>
                          <w:r w:rsidRPr="005D73E6">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D8F8EA9" id="_x0000_t202" coordsize="21600,21600" o:spt="202" path="m,l,21600r21600,l21600,xe">
              <v:stroke joinstyle="miter"/>
              <v:path gradientshapeok="t" o:connecttype="rect"/>
            </v:shapetype>
            <v:shape id="Text Box 10" o:spid="_x0000_s1032" type="#_x0000_t202" alt="OFFICIAL" style="position:absolute;margin-left:0;margin-top:0;width:49pt;height:30.8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0Vu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2p+Tj9FuojLYVw4ts7uWqp9Vr48CyQCKZpSbTh&#10;iQ5toK84nC3OGsCff/PHfMKdopz1JJiKW1I0Z+a7JT6itkYDR2ObjOI2/xzhsfvuHkiGBb0IJ5NJ&#10;XgxmNDVC90pyXsZGFBJWUruKb0fzPpyUS89BquUyJZGMnAhru3Eylo5wRSxfhleB7gx4IKYeYVST&#10;KN/hfsqNN71b7gOhn0iJ0J6APCNOEkxcnZ9L1Pjb/5R1fdSLXwA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NezRW4NAgAAHAQA&#10;AA4AAAAAAAAAAAAAAAAALgIAAGRycy9lMm9Eb2MueG1sUEsBAi0AFAAGAAgAAAAhAIJRlNfaAAAA&#10;AwEAAA8AAAAAAAAAAAAAAAAAZwQAAGRycy9kb3ducmV2LnhtbFBLBQYAAAAABAAEAPMAAABuBQAA&#10;AAA=&#10;" filled="f" stroked="f">
              <v:textbox style="mso-fit-shape-to-text:t" inset="0,0,0,15pt">
                <w:txbxContent>
                  <w:p w14:paraId="19CDB372" w14:textId="0369DC1B" w:rsidR="005D73E6" w:rsidRPr="005D73E6" w:rsidRDefault="005D73E6" w:rsidP="005D73E6">
                    <w:pPr>
                      <w:spacing w:after="0"/>
                      <w:rPr>
                        <w:rFonts w:ascii="Aptos" w:eastAsia="Aptos" w:hAnsi="Aptos" w:cs="Aptos"/>
                        <w:noProof/>
                        <w:color w:val="FF0000"/>
                      </w:rPr>
                    </w:pPr>
                    <w:r w:rsidRPr="005D73E6">
                      <w:rPr>
                        <w:rFonts w:ascii="Aptos" w:eastAsia="Aptos" w:hAnsi="Aptos" w:cs="Aptos"/>
                        <w:noProof/>
                        <w:color w:val="FF0000"/>
                      </w:rPr>
                      <w:t>OFFICIAL</w:t>
                    </w:r>
                  </w:p>
                </w:txbxContent>
              </v:textbox>
              <w10:wrap anchorx="page" anchory="page"/>
            </v:shape>
          </w:pict>
        </mc:Fallback>
      </mc:AlternateContent>
    </w:r>
    <w:sdt>
      <w:sdtPr>
        <w:rPr>
          <w:rStyle w:val="PageNumber"/>
          <w:rFonts w:ascii="Open Sans" w:hAnsi="Open Sans" w:cs="Open Sans"/>
        </w:rPr>
        <w:id w:val="-732998565"/>
        <w:docPartObj>
          <w:docPartGallery w:val="Page Numbers (Bottom of Page)"/>
          <w:docPartUnique/>
        </w:docPartObj>
      </w:sdtPr>
      <w:sdtEndPr>
        <w:rPr>
          <w:rStyle w:val="PageNumber"/>
          <w:b w:val="0"/>
          <w:bCs/>
        </w:rPr>
      </w:sdtEndPr>
      <w:sdtContent>
        <w:r w:rsidR="00AC3100" w:rsidRPr="00D80DA1">
          <w:rPr>
            <w:rStyle w:val="PageNumber"/>
            <w:rFonts w:ascii="Open Sans" w:hAnsi="Open Sans" w:cs="Open Sans"/>
            <w:b w:val="0"/>
            <w:bCs/>
          </w:rPr>
          <w:fldChar w:fldCharType="begin"/>
        </w:r>
        <w:r w:rsidR="00AC3100" w:rsidRPr="00D80DA1">
          <w:rPr>
            <w:rStyle w:val="PageNumber"/>
            <w:rFonts w:ascii="Open Sans" w:hAnsi="Open Sans" w:cs="Open Sans"/>
            <w:b w:val="0"/>
            <w:bCs/>
          </w:rPr>
          <w:instrText xml:space="preserve"> PAGE </w:instrText>
        </w:r>
        <w:r w:rsidR="00AC3100" w:rsidRPr="00D80DA1">
          <w:rPr>
            <w:rStyle w:val="PageNumber"/>
            <w:rFonts w:ascii="Open Sans" w:hAnsi="Open Sans" w:cs="Open Sans"/>
            <w:b w:val="0"/>
            <w:bCs/>
          </w:rPr>
          <w:fldChar w:fldCharType="separate"/>
        </w:r>
        <w:r w:rsidR="00AC3100" w:rsidRPr="00D80DA1">
          <w:rPr>
            <w:rStyle w:val="PageNumber"/>
            <w:rFonts w:ascii="Open Sans" w:hAnsi="Open Sans" w:cs="Open Sans"/>
            <w:b w:val="0"/>
            <w:bCs/>
            <w:noProof/>
          </w:rPr>
          <w:t>2</w:t>
        </w:r>
        <w:r w:rsidR="00AC3100" w:rsidRPr="00D80DA1">
          <w:rPr>
            <w:rStyle w:val="PageNumber"/>
            <w:rFonts w:ascii="Open Sans" w:hAnsi="Open Sans" w:cs="Open Sans"/>
            <w:b w:val="0"/>
            <w:bCs/>
          </w:rPr>
          <w:fldChar w:fldCharType="end"/>
        </w:r>
      </w:sdtContent>
    </w:sdt>
  </w:p>
  <w:p w14:paraId="34ACD941" w14:textId="08F39C7F" w:rsidR="00AC3100" w:rsidRPr="00FB2650" w:rsidRDefault="00B83019" w:rsidP="00FB2650">
    <w:pPr>
      <w:pStyle w:val="Footer"/>
      <w:tabs>
        <w:tab w:val="left" w:pos="567"/>
      </w:tabs>
      <w:ind w:right="360"/>
      <w:rPr>
        <w:i/>
        <w:iCs/>
      </w:rPr>
    </w:pPr>
    <w:r w:rsidRPr="00B83019">
      <w:rPr>
        <w:i/>
        <w:iCs/>
      </w:rPr>
      <w:t>Time-Tiered Primary Care</w:t>
    </w:r>
    <w:r>
      <w:rPr>
        <w:i/>
        <w:iCs/>
        <w:color w:val="4472C4" w:themeColor="accent1"/>
      </w:rPr>
      <w:t xml:space="preserve"> </w:t>
    </w:r>
    <w:r w:rsidR="00AC3100">
      <w:rPr>
        <w:i/>
        <w:iCs/>
      </w:rPr>
      <w:t xml:space="preserve">Working Group: Draft </w:t>
    </w:r>
    <w:r w:rsidR="005D6FC7">
      <w:rPr>
        <w:i/>
        <w:iCs/>
      </w:rPr>
      <w:t>Final</w:t>
    </w:r>
    <w:r w:rsidR="00AC3100">
      <w:rPr>
        <w:i/>
        <w:iCs/>
      </w:rPr>
      <w:t xml:space="preserve"> Report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FAAD8" w14:textId="4AF8AD1B" w:rsidR="00AC3100" w:rsidRPr="00D80DA1" w:rsidRDefault="005D73E6" w:rsidP="00FF29AD">
    <w:pPr>
      <w:pStyle w:val="Footer"/>
      <w:framePr w:wrap="none" w:vAnchor="text" w:hAnchor="margin" w:xAlign="right" w:y="1"/>
      <w:rPr>
        <w:rStyle w:val="PageNumber"/>
        <w:b w:val="0"/>
        <w:bCs/>
      </w:rPr>
    </w:pPr>
    <w:r>
      <w:rPr>
        <w:rFonts w:ascii="Times New Roman" w:hAnsi="Times New Roman"/>
        <w:bCs/>
        <w:noProof/>
      </w:rPr>
      <mc:AlternateContent>
        <mc:Choice Requires="wps">
          <w:drawing>
            <wp:anchor distT="0" distB="0" distL="0" distR="0" simplePos="0" relativeHeight="251658240" behindDoc="0" locked="0" layoutInCell="1" allowOverlap="1" wp14:anchorId="4115C04C" wp14:editId="36F0726A">
              <wp:simplePos x="6210300" y="10086975"/>
              <wp:positionH relativeFrom="page">
                <wp:align>center</wp:align>
              </wp:positionH>
              <wp:positionV relativeFrom="page">
                <wp:align>bottom</wp:align>
              </wp:positionV>
              <wp:extent cx="622300" cy="391160"/>
              <wp:effectExtent l="0" t="0" r="6350" b="0"/>
              <wp:wrapNone/>
              <wp:docPr id="543561964"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BEC8961" w14:textId="4C5F2049" w:rsidR="005D73E6" w:rsidRPr="005D73E6" w:rsidRDefault="005D73E6" w:rsidP="005D73E6">
                          <w:pPr>
                            <w:spacing w:after="0"/>
                            <w:rPr>
                              <w:rFonts w:ascii="Aptos" w:eastAsia="Aptos" w:hAnsi="Aptos" w:cs="Aptos"/>
                              <w:noProof/>
                              <w:color w:val="FF0000"/>
                            </w:rPr>
                          </w:pPr>
                          <w:r w:rsidRPr="005D73E6">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15C04C" id="_x0000_t202" coordsize="21600,21600" o:spt="202" path="m,l,21600r21600,l21600,xe">
              <v:stroke joinstyle="miter"/>
              <v:path gradientshapeok="t" o:connecttype="rect"/>
            </v:shapetype>
            <v:shape id="Text Box 8" o:spid="_x0000_s1034" type="#_x0000_t202" alt="OFFICIAL" style="position:absolute;margin-left:0;margin-top:0;width:49pt;height:30.8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C5MOrjDgIAABwE&#10;AAAOAAAAAAAAAAAAAAAAAC4CAABkcnMvZTJvRG9jLnhtbFBLAQItABQABgAIAAAAIQCCUZTX2gAA&#10;AAMBAAAPAAAAAAAAAAAAAAAAAGgEAABkcnMvZG93bnJldi54bWxQSwUGAAAAAAQABADzAAAAbwUA&#10;AAAA&#10;" filled="f" stroked="f">
              <v:textbox style="mso-fit-shape-to-text:t" inset="0,0,0,15pt">
                <w:txbxContent>
                  <w:p w14:paraId="4BEC8961" w14:textId="4C5F2049" w:rsidR="005D73E6" w:rsidRPr="005D73E6" w:rsidRDefault="005D73E6" w:rsidP="005D73E6">
                    <w:pPr>
                      <w:spacing w:after="0"/>
                      <w:rPr>
                        <w:rFonts w:ascii="Aptos" w:eastAsia="Aptos" w:hAnsi="Aptos" w:cs="Aptos"/>
                        <w:noProof/>
                        <w:color w:val="FF0000"/>
                      </w:rPr>
                    </w:pPr>
                    <w:r w:rsidRPr="005D73E6">
                      <w:rPr>
                        <w:rFonts w:ascii="Aptos" w:eastAsia="Aptos" w:hAnsi="Aptos" w:cs="Aptos"/>
                        <w:noProof/>
                        <w:color w:val="FF0000"/>
                      </w:rPr>
                      <w:t>OFFICIAL</w:t>
                    </w:r>
                  </w:p>
                </w:txbxContent>
              </v:textbox>
              <w10:wrap anchorx="page" anchory="page"/>
            </v:shape>
          </w:pict>
        </mc:Fallback>
      </mc:AlternateContent>
    </w:r>
    <w:sdt>
      <w:sdtPr>
        <w:rPr>
          <w:rStyle w:val="PageNumber"/>
          <w:b w:val="0"/>
          <w:bCs/>
        </w:rPr>
        <w:id w:val="413367297"/>
        <w:docPartObj>
          <w:docPartGallery w:val="Page Numbers (Bottom of Page)"/>
          <w:docPartUnique/>
        </w:docPartObj>
      </w:sdtPr>
      <w:sdtContent>
        <w:r w:rsidR="00AC3100" w:rsidRPr="00D80DA1">
          <w:rPr>
            <w:rStyle w:val="PageNumber"/>
            <w:rFonts w:ascii="Open Sans" w:hAnsi="Open Sans" w:cs="Open Sans"/>
            <w:b w:val="0"/>
            <w:bCs/>
          </w:rPr>
          <w:fldChar w:fldCharType="begin"/>
        </w:r>
        <w:r w:rsidR="00AC3100" w:rsidRPr="00D80DA1">
          <w:rPr>
            <w:rStyle w:val="PageNumber"/>
            <w:rFonts w:ascii="Open Sans" w:hAnsi="Open Sans" w:cs="Open Sans"/>
            <w:b w:val="0"/>
            <w:bCs/>
          </w:rPr>
          <w:instrText xml:space="preserve"> PAGE </w:instrText>
        </w:r>
        <w:r w:rsidR="00AC3100" w:rsidRPr="00D80DA1">
          <w:rPr>
            <w:rStyle w:val="PageNumber"/>
            <w:rFonts w:ascii="Open Sans" w:hAnsi="Open Sans" w:cs="Open Sans"/>
            <w:b w:val="0"/>
            <w:bCs/>
          </w:rPr>
          <w:fldChar w:fldCharType="separate"/>
        </w:r>
        <w:r w:rsidR="00AC3100" w:rsidRPr="00D80DA1">
          <w:rPr>
            <w:rStyle w:val="PageNumber"/>
            <w:rFonts w:ascii="Open Sans" w:hAnsi="Open Sans" w:cs="Open Sans"/>
            <w:b w:val="0"/>
            <w:bCs/>
            <w:noProof/>
          </w:rPr>
          <w:t>29</w:t>
        </w:r>
        <w:r w:rsidR="00AC3100" w:rsidRPr="00D80DA1">
          <w:rPr>
            <w:rStyle w:val="PageNumber"/>
            <w:rFonts w:ascii="Open Sans" w:hAnsi="Open Sans" w:cs="Open Sans"/>
            <w:b w:val="0"/>
            <w:bCs/>
          </w:rPr>
          <w:fldChar w:fldCharType="end"/>
        </w:r>
      </w:sdtContent>
    </w:sdt>
  </w:p>
  <w:p w14:paraId="7059E4CD" w14:textId="77777777" w:rsidR="00AC3100" w:rsidRPr="00FB2650" w:rsidRDefault="00AC3100" w:rsidP="00DE1F4A">
    <w:pPr>
      <w:pStyle w:val="Footer"/>
      <w:ind w:right="360"/>
      <w:rPr>
        <w:i/>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DFABA" w14:textId="77777777" w:rsidR="00232571" w:rsidRDefault="00232571">
      <w:r>
        <w:separator/>
      </w:r>
    </w:p>
  </w:footnote>
  <w:footnote w:type="continuationSeparator" w:id="0">
    <w:p w14:paraId="5174A301" w14:textId="77777777" w:rsidR="00232571" w:rsidRDefault="00232571">
      <w:r>
        <w:continuationSeparator/>
      </w:r>
    </w:p>
  </w:footnote>
  <w:footnote w:type="continuationNotice" w:id="1">
    <w:p w14:paraId="0AB89791" w14:textId="77777777" w:rsidR="00232571" w:rsidRDefault="00232571"/>
  </w:footnote>
  <w:footnote w:id="2">
    <w:p w14:paraId="2C4F79ED" w14:textId="73674552" w:rsidR="00F63C4E" w:rsidRDefault="00F63C4E">
      <w:pPr>
        <w:pStyle w:val="FootnoteText"/>
      </w:pPr>
      <w:r>
        <w:rPr>
          <w:rStyle w:val="FootnoteReference"/>
        </w:rPr>
        <w:footnoteRef/>
      </w:r>
      <w:r>
        <w:t xml:space="preserve"> </w:t>
      </w:r>
      <w:r w:rsidR="004172FE">
        <w:tab/>
      </w:r>
      <w:r>
        <w:t>Primary care services types A</w:t>
      </w:r>
      <w:r w:rsidR="00DA4391">
        <w:t>–</w:t>
      </w:r>
      <w:r>
        <w:t xml:space="preserve">E include all GP, </w:t>
      </w:r>
      <w:r w:rsidR="00DA4391">
        <w:t xml:space="preserve">prescribed medical practitioner </w:t>
      </w:r>
      <w:r>
        <w:t xml:space="preserve">and medical practitioner items </w:t>
      </w:r>
      <w:r w:rsidR="009C546E">
        <w:t>for levels A</w:t>
      </w:r>
      <w:r w:rsidR="00DA4391">
        <w:t>–</w:t>
      </w:r>
      <w:r w:rsidR="009C546E">
        <w:t>E across all modes and locations (excluding after-hours items)</w:t>
      </w:r>
      <w:r w:rsidR="00007FC4">
        <w:t>.</w:t>
      </w:r>
      <w:r w:rsidR="009C546E">
        <w:t xml:space="preserve"> </w:t>
      </w:r>
      <w:r w:rsidR="00007FC4">
        <w:t>T</w:t>
      </w:r>
      <w:r w:rsidR="009C546E">
        <w:t>he after-hours types include after</w:t>
      </w:r>
      <w:r w:rsidR="00007FC4">
        <w:t>-</w:t>
      </w:r>
      <w:r w:rsidR="009C546E">
        <w:t xml:space="preserve">hours items and nurse practitioner </w:t>
      </w:r>
      <w:proofErr w:type="spellStart"/>
      <w:r w:rsidR="009C546E">
        <w:t>time-tiered</w:t>
      </w:r>
      <w:proofErr w:type="spellEnd"/>
      <w:r w:rsidR="009C546E">
        <w:t xml:space="preserve"> attendance (all modes) are included in the nurse practitioner services primary care service type.</w:t>
      </w:r>
    </w:p>
  </w:footnote>
  <w:footnote w:id="3">
    <w:p w14:paraId="7DAFB419" w14:textId="77777777" w:rsidR="002D72C2" w:rsidRDefault="002D72C2" w:rsidP="002D72C2">
      <w:pPr>
        <w:pStyle w:val="FootnoteText"/>
      </w:pPr>
      <w:r>
        <w:rPr>
          <w:rStyle w:val="FootnoteReference"/>
        </w:rPr>
        <w:footnoteRef/>
      </w:r>
      <w:r>
        <w:t xml:space="preserve"> Impacted items:</w:t>
      </w:r>
    </w:p>
    <w:p w14:paraId="589D1CEA" w14:textId="77777777" w:rsidR="002D72C2" w:rsidRDefault="002D72C2" w:rsidP="002D72C2">
      <w:pPr>
        <w:pStyle w:val="FootnoteText"/>
      </w:pPr>
      <w:r>
        <w:t>•</w:t>
      </w:r>
      <w:r>
        <w:tab/>
        <w:t>Group A7: Acupuncture and non-Specialist Items (193,195,197, 199)</w:t>
      </w:r>
    </w:p>
    <w:p w14:paraId="1E6B2456" w14:textId="7C10C6F7" w:rsidR="002D72C2" w:rsidRDefault="002D72C2" w:rsidP="002D72C2">
      <w:pPr>
        <w:pStyle w:val="FootnoteText"/>
      </w:pPr>
      <w:r>
        <w:t>•</w:t>
      </w:r>
      <w:r>
        <w:tab/>
        <w:t xml:space="preserve">Group A20: GP mental health treatment (GP 2700, 2701; PMP </w:t>
      </w:r>
      <w:r w:rsidR="002539E3">
        <w:t>–</w:t>
      </w:r>
      <w:r>
        <w:t xml:space="preserve"> 272, 276) and telehealth equivalents (GP </w:t>
      </w:r>
      <w:r w:rsidR="002539E3">
        <w:t>–</w:t>
      </w:r>
      <w:r>
        <w:t xml:space="preserve"> 92112, 92113; PMP </w:t>
      </w:r>
      <w:r w:rsidR="008C2EB0">
        <w:t>–</w:t>
      </w:r>
      <w:r>
        <w:t xml:space="preserve"> 92118, 92119)</w:t>
      </w:r>
    </w:p>
    <w:p w14:paraId="0F5DBD3A" w14:textId="07BE9AAD" w:rsidR="002D72C2" w:rsidRPr="00C202F9" w:rsidRDefault="002D72C2" w:rsidP="002D72C2">
      <w:pPr>
        <w:pStyle w:val="FootnoteText"/>
        <w:rPr>
          <w:lang w:val="en-GB"/>
        </w:rPr>
      </w:pPr>
      <w:r>
        <w:t>•</w:t>
      </w:r>
      <w:r>
        <w:tab/>
        <w:t xml:space="preserve">Group A36: Eating disorder services (GP </w:t>
      </w:r>
      <w:r w:rsidR="002539E3">
        <w:t>–</w:t>
      </w:r>
      <w:r>
        <w:t xml:space="preserve"> 90250, 90251; PMP </w:t>
      </w:r>
      <w:r w:rsidR="002539E3">
        <w:t>–</w:t>
      </w:r>
      <w:r>
        <w:t xml:space="preserve"> 90254, 90255) and telehealth equivalents (GP </w:t>
      </w:r>
      <w:r w:rsidR="002539E3">
        <w:t>–</w:t>
      </w:r>
      <w:r>
        <w:t xml:space="preserve"> 92146, 92147; PMP </w:t>
      </w:r>
      <w:r w:rsidR="002539E3">
        <w:t>–</w:t>
      </w:r>
      <w:r>
        <w:t xml:space="preserve"> 90150, 92151)</w:t>
      </w:r>
    </w:p>
  </w:footnote>
  <w:footnote w:id="4">
    <w:p w14:paraId="763D45D5" w14:textId="77777777" w:rsidR="00C202F9" w:rsidRDefault="00C202F9" w:rsidP="00C202F9">
      <w:pPr>
        <w:pStyle w:val="FootnoteText"/>
      </w:pPr>
      <w:r>
        <w:rPr>
          <w:rStyle w:val="FootnoteReference"/>
        </w:rPr>
        <w:footnoteRef/>
      </w:r>
      <w:r>
        <w:t xml:space="preserve"> Impacted items:</w:t>
      </w:r>
    </w:p>
    <w:p w14:paraId="27AD05B9" w14:textId="77777777" w:rsidR="00C202F9" w:rsidRDefault="00C202F9" w:rsidP="00C202F9">
      <w:pPr>
        <w:pStyle w:val="FootnoteText"/>
      </w:pPr>
      <w:r>
        <w:t>•</w:t>
      </w:r>
      <w:r>
        <w:tab/>
        <w:t>Group A7: Acupuncture and non-Specialist Items (193,195,197, 199)</w:t>
      </w:r>
    </w:p>
    <w:p w14:paraId="33C16219" w14:textId="70AC2C29" w:rsidR="00C202F9" w:rsidRDefault="00C202F9" w:rsidP="00C202F9">
      <w:pPr>
        <w:pStyle w:val="FootnoteText"/>
      </w:pPr>
      <w:r>
        <w:t>•</w:t>
      </w:r>
      <w:r>
        <w:tab/>
        <w:t xml:space="preserve">Group A20: GP mental health treatment (GP 2700, 2701; PMP </w:t>
      </w:r>
      <w:r w:rsidR="007E2335">
        <w:t>–</w:t>
      </w:r>
      <w:r>
        <w:t xml:space="preserve"> 272, 276) and telehealth equivalents (GP </w:t>
      </w:r>
      <w:r w:rsidR="00216E69">
        <w:t>–</w:t>
      </w:r>
      <w:r>
        <w:t xml:space="preserve"> 92112, 92113; PMP </w:t>
      </w:r>
      <w:r w:rsidR="00216E69">
        <w:t>–</w:t>
      </w:r>
      <w:r>
        <w:t xml:space="preserve"> 92118, 92119)</w:t>
      </w:r>
    </w:p>
    <w:p w14:paraId="2D534FF5" w14:textId="4DF9775F" w:rsidR="00C202F9" w:rsidRPr="00C202F9" w:rsidRDefault="00C202F9" w:rsidP="00C202F9">
      <w:pPr>
        <w:pStyle w:val="FootnoteText"/>
        <w:rPr>
          <w:lang w:val="en-GB"/>
        </w:rPr>
      </w:pPr>
      <w:r>
        <w:t>•</w:t>
      </w:r>
      <w:r>
        <w:tab/>
        <w:t xml:space="preserve">Group A36: Eating disorder services (GP </w:t>
      </w:r>
      <w:r w:rsidR="00216E69">
        <w:t>–</w:t>
      </w:r>
      <w:r>
        <w:t xml:space="preserve"> 90250, 90251; PMP </w:t>
      </w:r>
      <w:r w:rsidR="00216E69">
        <w:t>–</w:t>
      </w:r>
      <w:r>
        <w:t xml:space="preserve"> 90254, 90255) and telehealth equivalents (GP </w:t>
      </w:r>
      <w:r w:rsidR="00216E69">
        <w:t>–</w:t>
      </w:r>
      <w:r>
        <w:t xml:space="preserve"> 92146, 92147; PMP </w:t>
      </w:r>
      <w:r w:rsidR="00216E69">
        <w:t>–</w:t>
      </w:r>
      <w:r>
        <w:t xml:space="preserve"> 90150, 92151)</w:t>
      </w:r>
    </w:p>
  </w:footnote>
  <w:footnote w:id="5">
    <w:p w14:paraId="71ED76A4" w14:textId="77777777" w:rsidR="008D4475" w:rsidRDefault="008D4475" w:rsidP="008D4475">
      <w:pPr>
        <w:pStyle w:val="FootnoteText"/>
      </w:pPr>
      <w:r>
        <w:rPr>
          <w:rStyle w:val="FootnoteReference"/>
        </w:rPr>
        <w:footnoteRef/>
      </w:r>
      <w:r>
        <w:t xml:space="preserve"> </w:t>
      </w:r>
      <w:r>
        <w:tab/>
        <w:t xml:space="preserve">Primary care services types A–E include all GP, prescribed medical practitioner and medical practitioner items for levels A–E across all modes and locations (excluding after-hours items). The after-hours types include after-hours items and nurse practitioner </w:t>
      </w:r>
      <w:proofErr w:type="spellStart"/>
      <w:r>
        <w:t>time-tiered</w:t>
      </w:r>
      <w:proofErr w:type="spellEnd"/>
      <w:r>
        <w:t xml:space="preserve"> attendance (all modes) are included in the nurse practitioner services primary care service type.</w:t>
      </w:r>
    </w:p>
  </w:footnote>
  <w:footnote w:id="6">
    <w:p w14:paraId="510C33E7" w14:textId="5F61DEAF" w:rsidR="002576D2" w:rsidRDefault="002576D2" w:rsidP="002576D2">
      <w:pPr>
        <w:pStyle w:val="FootnoteText"/>
      </w:pPr>
      <w:r>
        <w:rPr>
          <w:rStyle w:val="FootnoteReference"/>
        </w:rPr>
        <w:footnoteRef/>
      </w:r>
      <w:r>
        <w:t xml:space="preserve"> </w:t>
      </w:r>
      <w:r>
        <w:tab/>
        <w:t>Due to the nature of MBS item utilisation data, it is not possible to identify the number of acupuncture treatments delivered under general attendance items.</w:t>
      </w:r>
    </w:p>
  </w:footnote>
  <w:footnote w:id="7">
    <w:p w14:paraId="0972A1AD" w14:textId="6098C0C7" w:rsidR="00925FD7" w:rsidRDefault="00925FD7">
      <w:pPr>
        <w:pStyle w:val="FootnoteText"/>
      </w:pPr>
      <w:r>
        <w:rPr>
          <w:rStyle w:val="FootnoteReference"/>
        </w:rPr>
        <w:footnoteRef/>
      </w:r>
      <w:r>
        <w:t xml:space="preserve"> </w:t>
      </w:r>
      <w:r w:rsidR="00ED6FEA">
        <w:tab/>
      </w:r>
      <w:r>
        <w:t>Exemption</w:t>
      </w:r>
      <w:r w:rsidR="001777EF">
        <w:t>s</w:t>
      </w:r>
      <w:r>
        <w:t xml:space="preserve"> to the </w:t>
      </w:r>
      <w:r w:rsidR="00ED6FEA">
        <w:t>‘</w:t>
      </w:r>
      <w:r w:rsidR="001777EF">
        <w:t>eligible telehealth practitioner</w:t>
      </w:r>
      <w:r w:rsidR="00ED6FEA">
        <w:t>’</w:t>
      </w:r>
      <w:r w:rsidR="001777EF">
        <w:t xml:space="preserve"> requirements </w:t>
      </w:r>
      <w:r w:rsidR="00C87F66">
        <w:t xml:space="preserve">currently apply to people under 12 months of age, people experiencing homelessness, people in </w:t>
      </w:r>
      <w:r w:rsidR="002B24B0">
        <w:t xml:space="preserve">COVID-19 isolation or quarantine because of a </w:t>
      </w:r>
      <w:r w:rsidR="00ED6FEA">
        <w:t>s</w:t>
      </w:r>
      <w:r w:rsidR="002B24B0">
        <w:t xml:space="preserve">tate or </w:t>
      </w:r>
      <w:r w:rsidR="00ED6FEA">
        <w:t>t</w:t>
      </w:r>
      <w:r w:rsidR="002B24B0">
        <w:t>erritory health order, a person receiving a service for a medical or nurse practitioner located at an Aboriginal Medical Service or an Aboriginal Community Con</w:t>
      </w:r>
      <w:r w:rsidR="009F718C">
        <w:t>trolled Health Services, and a person who is in a natural disaster area.</w:t>
      </w:r>
    </w:p>
  </w:footnote>
  <w:footnote w:id="8">
    <w:p w14:paraId="203F5953" w14:textId="67785132" w:rsidR="0029474E" w:rsidRDefault="0029474E">
      <w:pPr>
        <w:pStyle w:val="FootnoteText"/>
      </w:pPr>
      <w:r>
        <w:rPr>
          <w:rStyle w:val="FootnoteReference"/>
        </w:rPr>
        <w:footnoteRef/>
      </w:r>
      <w:r>
        <w:t xml:space="preserve"> </w:t>
      </w:r>
      <w:r w:rsidR="004F3AC6">
        <w:tab/>
      </w:r>
      <w:r>
        <w:t xml:space="preserve">Since 1 November 2025 all Medicare-eligible people have been eligible for </w:t>
      </w:r>
      <w:r w:rsidR="004F3AC6">
        <w:t>bulk-bill</w:t>
      </w:r>
      <w:r>
        <w:t>ing incentives.</w:t>
      </w:r>
    </w:p>
  </w:footnote>
  <w:footnote w:id="9">
    <w:p w14:paraId="19A5CF0E" w14:textId="470B24AA" w:rsidR="008B5527" w:rsidRPr="00354EB8" w:rsidRDefault="008B5527" w:rsidP="00354EB8">
      <w:pPr>
        <w:pStyle w:val="FootnoteText"/>
        <w:rPr>
          <w:rStyle w:val="FootnoteReference"/>
          <w:vertAlign w:val="baseline"/>
        </w:rPr>
      </w:pPr>
      <w:r>
        <w:rPr>
          <w:rStyle w:val="FootnoteReference"/>
        </w:rPr>
        <w:footnoteRef/>
      </w:r>
      <w:r>
        <w:t xml:space="preserve"> </w:t>
      </w:r>
      <w:r w:rsidR="004F3AC6">
        <w:tab/>
      </w:r>
      <w:r>
        <w:t>The MBS fee for these items is $56.45. 75% and 85% benefits are available depending on whether the service is provided in or out of hospital.</w:t>
      </w:r>
    </w:p>
  </w:footnote>
  <w:footnote w:id="10">
    <w:p w14:paraId="22A23A9D" w14:textId="77777777" w:rsidR="00217579" w:rsidRDefault="00217579" w:rsidP="00217579">
      <w:pPr>
        <w:pStyle w:val="FootnoteText"/>
      </w:pPr>
      <w:r>
        <w:rPr>
          <w:rStyle w:val="FootnoteReference"/>
        </w:rPr>
        <w:footnoteRef/>
      </w:r>
      <w:r>
        <w:t xml:space="preserve"> Impacted items:</w:t>
      </w:r>
    </w:p>
    <w:p w14:paraId="44AF5008" w14:textId="77777777" w:rsidR="00217579" w:rsidRDefault="00217579" w:rsidP="00217579">
      <w:pPr>
        <w:pStyle w:val="FootnoteText"/>
      </w:pPr>
      <w:r>
        <w:t>•</w:t>
      </w:r>
      <w:r>
        <w:tab/>
        <w:t>Group A7: Acupuncture and non-Specialist Items (193,195,197, 199)</w:t>
      </w:r>
    </w:p>
    <w:p w14:paraId="149E2930" w14:textId="2581DFC7" w:rsidR="00217579" w:rsidRDefault="00217579" w:rsidP="00217579">
      <w:pPr>
        <w:pStyle w:val="FootnoteText"/>
      </w:pPr>
      <w:r>
        <w:t>•</w:t>
      </w:r>
      <w:r>
        <w:tab/>
        <w:t xml:space="preserve">Group A20: GP mental health treatment (GP 2700, 2701; PMP </w:t>
      </w:r>
      <w:r w:rsidR="00155038">
        <w:t>–</w:t>
      </w:r>
      <w:r>
        <w:t xml:space="preserve"> 272, 276) and telehealth equivalents (GP </w:t>
      </w:r>
      <w:r w:rsidR="00155038">
        <w:t>–</w:t>
      </w:r>
      <w:r>
        <w:t xml:space="preserve"> 92112, 92113; PMP - 92118, 92119)</w:t>
      </w:r>
    </w:p>
    <w:p w14:paraId="129EC798" w14:textId="038A8A7A" w:rsidR="00217579" w:rsidRPr="00C202F9" w:rsidRDefault="00217579" w:rsidP="00217579">
      <w:pPr>
        <w:pStyle w:val="FootnoteText"/>
        <w:rPr>
          <w:lang w:val="en-GB"/>
        </w:rPr>
      </w:pPr>
      <w:r>
        <w:t>•</w:t>
      </w:r>
      <w:r>
        <w:tab/>
        <w:t xml:space="preserve">Group A36: Eating disorder services (GP </w:t>
      </w:r>
      <w:r w:rsidR="00155038">
        <w:t>–</w:t>
      </w:r>
      <w:r>
        <w:t xml:space="preserve"> 90250, 90251; PMP - 90254, 90255) and telehealth equivalents (GP </w:t>
      </w:r>
      <w:r w:rsidR="00155038">
        <w:t>–</w:t>
      </w:r>
      <w:r>
        <w:t xml:space="preserve"> 92146, 92147; PMP - 90150, 92151)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C6348" w14:textId="060B680B" w:rsidR="005D73E6" w:rsidRDefault="005D73E6">
    <w:pPr>
      <w:pStyle w:val="Header"/>
    </w:pPr>
    <w:r>
      <w:rPr>
        <w:noProof/>
      </w:rPr>
      <mc:AlternateContent>
        <mc:Choice Requires="wps">
          <w:drawing>
            <wp:anchor distT="0" distB="0" distL="0" distR="0" simplePos="0" relativeHeight="251658242" behindDoc="0" locked="0" layoutInCell="1" allowOverlap="1" wp14:anchorId="7EA32CDC" wp14:editId="44C6C7FA">
              <wp:simplePos x="635" y="635"/>
              <wp:positionH relativeFrom="page">
                <wp:align>center</wp:align>
              </wp:positionH>
              <wp:positionV relativeFrom="page">
                <wp:align>top</wp:align>
              </wp:positionV>
              <wp:extent cx="622300" cy="391160"/>
              <wp:effectExtent l="0" t="0" r="6350" b="8890"/>
              <wp:wrapNone/>
              <wp:docPr id="1293816581"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7993C986" w14:textId="35A7055A" w:rsidR="005D73E6" w:rsidRPr="005D73E6" w:rsidRDefault="005D73E6" w:rsidP="005D73E6">
                          <w:pPr>
                            <w:spacing w:after="0"/>
                            <w:rPr>
                              <w:rFonts w:ascii="Aptos" w:eastAsia="Aptos" w:hAnsi="Aptos" w:cs="Aptos"/>
                              <w:noProof/>
                              <w:color w:val="FF0000"/>
                            </w:rPr>
                          </w:pPr>
                          <w:r w:rsidRPr="005D73E6">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A32CDC" id="_x0000_t202" coordsize="21600,21600" o:spt="202" path="m,l,21600r21600,l21600,xe">
              <v:stroke joinstyle="miter"/>
              <v:path gradientshapeok="t" o:connecttype="rect"/>
            </v:shapetype>
            <v:shape id="Text Box 6" o:spid="_x0000_s1029" type="#_x0000_t202" alt="OFFICIAL" style="position:absolute;margin-left:0;margin-top:0;width:49pt;height:30.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7993C986" w14:textId="35A7055A" w:rsidR="005D73E6" w:rsidRPr="005D73E6" w:rsidRDefault="005D73E6" w:rsidP="005D73E6">
                    <w:pPr>
                      <w:spacing w:after="0"/>
                      <w:rPr>
                        <w:rFonts w:ascii="Aptos" w:eastAsia="Aptos" w:hAnsi="Aptos" w:cs="Aptos"/>
                        <w:noProof/>
                        <w:color w:val="FF0000"/>
                      </w:rPr>
                    </w:pPr>
                    <w:r w:rsidRPr="005D73E6">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246FB" w14:textId="2D72DDC4" w:rsidR="005D73E6" w:rsidRDefault="005D73E6">
    <w:pPr>
      <w:pStyle w:val="Header"/>
    </w:pPr>
    <w:r>
      <w:rPr>
        <w:noProof/>
      </w:rPr>
      <mc:AlternateContent>
        <mc:Choice Requires="wps">
          <w:drawing>
            <wp:anchor distT="0" distB="0" distL="0" distR="0" simplePos="0" relativeHeight="251658243" behindDoc="0" locked="0" layoutInCell="1" allowOverlap="1" wp14:anchorId="2AB283C4" wp14:editId="6A75D13B">
              <wp:simplePos x="1275080" y="450850"/>
              <wp:positionH relativeFrom="page">
                <wp:align>center</wp:align>
              </wp:positionH>
              <wp:positionV relativeFrom="page">
                <wp:align>top</wp:align>
              </wp:positionV>
              <wp:extent cx="622300" cy="391160"/>
              <wp:effectExtent l="0" t="0" r="6350" b="8890"/>
              <wp:wrapNone/>
              <wp:docPr id="168465412"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202E927B" w14:textId="35B6402B" w:rsidR="005D73E6" w:rsidRPr="005D73E6" w:rsidRDefault="005D73E6" w:rsidP="005D73E6">
                          <w:pPr>
                            <w:spacing w:after="0"/>
                            <w:rPr>
                              <w:rFonts w:ascii="Aptos" w:eastAsia="Aptos" w:hAnsi="Aptos" w:cs="Aptos"/>
                              <w:noProof/>
                              <w:color w:val="FF0000"/>
                            </w:rPr>
                          </w:pPr>
                          <w:r w:rsidRPr="005D73E6">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AB283C4" id="_x0000_t202" coordsize="21600,21600" o:spt="202" path="m,l,21600r21600,l21600,xe">
              <v:stroke joinstyle="miter"/>
              <v:path gradientshapeok="t" o:connecttype="rect"/>
            </v:shapetype>
            <v:shape id="Text Box 7" o:spid="_x0000_s1030" type="#_x0000_t202" alt="OFFICIAL" style="position:absolute;margin-left:0;margin-top:0;width:49pt;height:30.8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" filled="f" stroked="f">
              <v:textbox style="mso-fit-shape-to-text:t" inset="0,15pt,0,0">
                <w:txbxContent>
                  <w:p w14:paraId="202E927B" w14:textId="35B6402B" w:rsidR="005D73E6" w:rsidRPr="005D73E6" w:rsidRDefault="005D73E6" w:rsidP="005D73E6">
                    <w:pPr>
                      <w:spacing w:after="0"/>
                      <w:rPr>
                        <w:rFonts w:ascii="Aptos" w:eastAsia="Aptos" w:hAnsi="Aptos" w:cs="Aptos"/>
                        <w:noProof/>
                        <w:color w:val="FF0000"/>
                      </w:rPr>
                    </w:pPr>
                    <w:r w:rsidRPr="005D73E6">
                      <w:rPr>
                        <w:rFonts w:ascii="Aptos" w:eastAsia="Aptos" w:hAnsi="Aptos" w:cs="Aptos"/>
                        <w:noProof/>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32906" w14:textId="3235FFB9" w:rsidR="005D73E6" w:rsidRDefault="005D73E6">
    <w:pPr>
      <w:pStyle w:val="Header"/>
    </w:pPr>
    <w:r>
      <w:rPr>
        <w:noProof/>
      </w:rPr>
      <mc:AlternateContent>
        <mc:Choice Requires="wps">
          <w:drawing>
            <wp:anchor distT="0" distB="0" distL="0" distR="0" simplePos="0" relativeHeight="251658245" behindDoc="0" locked="0" layoutInCell="1" allowOverlap="1" wp14:anchorId="5CA01A3F" wp14:editId="039EF3A5">
              <wp:simplePos x="1276350" y="447675"/>
              <wp:positionH relativeFrom="page">
                <wp:align>center</wp:align>
              </wp:positionH>
              <wp:positionV relativeFrom="page">
                <wp:align>top</wp:align>
              </wp:positionV>
              <wp:extent cx="622300" cy="391160"/>
              <wp:effectExtent l="0" t="0" r="6350" b="8890"/>
              <wp:wrapNone/>
              <wp:docPr id="58544668"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23D36E9C" w14:textId="0147249A" w:rsidR="005D73E6" w:rsidRPr="005D73E6" w:rsidRDefault="005D73E6" w:rsidP="005D73E6">
                          <w:pPr>
                            <w:spacing w:after="0"/>
                            <w:rPr>
                              <w:rFonts w:ascii="Aptos" w:eastAsia="Aptos" w:hAnsi="Aptos" w:cs="Aptos"/>
                              <w:noProof/>
                              <w:color w:val="FF0000"/>
                            </w:rPr>
                          </w:pPr>
                          <w:r w:rsidRPr="005D73E6">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A01A3F" id="_x0000_t202" coordsize="21600,21600" o:spt="202" path="m,l,21600r21600,l21600,xe">
              <v:stroke joinstyle="miter"/>
              <v:path gradientshapeok="t" o:connecttype="rect"/>
            </v:shapetype>
            <v:shape id="Text Box 5" o:spid="_x0000_s1033" type="#_x0000_t202" alt="OFFICIAL" style="position:absolute;margin-left:0;margin-top:0;width:49pt;height:30.8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BKSAlqDQIAABwEAAAO&#10;AAAAAAAAAAAAAAAAAC4CAABkcnMvZTJvRG9jLnhtbFBLAQItABQABgAIAAAAIQBhokho2AAAAAMB&#10;AAAPAAAAAAAAAAAAAAAAAGcEAABkcnMvZG93bnJldi54bWxQSwUGAAAAAAQABADzAAAAbAUAAAAA&#10;" filled="f" stroked="f">
              <v:textbox style="mso-fit-shape-to-text:t" inset="0,15pt,0,0">
                <w:txbxContent>
                  <w:p w14:paraId="23D36E9C" w14:textId="0147249A" w:rsidR="005D73E6" w:rsidRPr="005D73E6" w:rsidRDefault="005D73E6" w:rsidP="005D73E6">
                    <w:pPr>
                      <w:spacing w:after="0"/>
                      <w:rPr>
                        <w:rFonts w:ascii="Aptos" w:eastAsia="Aptos" w:hAnsi="Aptos" w:cs="Aptos"/>
                        <w:noProof/>
                        <w:color w:val="FF0000"/>
                      </w:rPr>
                    </w:pPr>
                    <w:r w:rsidRPr="005D73E6">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71CA"/>
    <w:multiLevelType w:val="hybridMultilevel"/>
    <w:tmpl w:val="C2F02C9C"/>
    <w:lvl w:ilvl="0" w:tplc="44303C18">
      <w:start w:val="1"/>
      <w:numFmt w:val="bullet"/>
      <w:pStyle w:val="BoxDash"/>
      <w:lvlText w:val=""/>
      <w:lvlJc w:val="left"/>
      <w:pPr>
        <w:ind w:left="36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105138"/>
    <w:multiLevelType w:val="hybridMultilevel"/>
    <w:tmpl w:val="0E8C4BC4"/>
    <w:lvl w:ilvl="0" w:tplc="EC840366">
      <w:start w:val="1"/>
      <w:numFmt w:val="bullet"/>
      <w:pStyle w:val="Dash"/>
      <w:lvlText w:val="–"/>
      <w:lvlJc w:val="left"/>
      <w:pPr>
        <w:tabs>
          <w:tab w:val="num" w:pos="216"/>
        </w:tabs>
        <w:ind w:left="360" w:firstLine="0"/>
      </w:pPr>
      <w:rPr>
        <w:rFonts w:ascii="Times New Roman" w:hAnsi="Times New Roman" w:cs="Times New Roman"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D227FA"/>
    <w:multiLevelType w:val="multilevel"/>
    <w:tmpl w:val="D9485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A60661"/>
    <w:multiLevelType w:val="multilevel"/>
    <w:tmpl w:val="C426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BB4224"/>
    <w:multiLevelType w:val="hybridMultilevel"/>
    <w:tmpl w:val="9A809E82"/>
    <w:lvl w:ilvl="0" w:tplc="288E36DA">
      <w:start w:val="1"/>
      <w:numFmt w:val="bullet"/>
      <w:pStyle w:val="BoxBullet"/>
      <w:lvlText w:val=""/>
      <w:lvlJc w:val="left"/>
      <w:pPr>
        <w:tabs>
          <w:tab w:val="num" w:pos="357"/>
        </w:tabs>
        <w:ind w:left="357" w:hanging="35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C37556"/>
    <w:multiLevelType w:val="hybridMultilevel"/>
    <w:tmpl w:val="AC222614"/>
    <w:lvl w:ilvl="0" w:tplc="FFFFFFFF">
      <w:start w:val="1"/>
      <w:numFmt w:val="decimal"/>
      <w:lvlText w:val="%1."/>
      <w:lvlJc w:val="left"/>
      <w:pPr>
        <w:tabs>
          <w:tab w:val="num" w:pos="360"/>
        </w:tabs>
        <w:ind w:left="360" w:hanging="360"/>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164CC9"/>
    <w:multiLevelType w:val="hybridMultilevel"/>
    <w:tmpl w:val="AB8233FA"/>
    <w:lvl w:ilvl="0" w:tplc="0C09000F">
      <w:start w:val="1"/>
      <w:numFmt w:val="decimal"/>
      <w:lvlText w:val="%1."/>
      <w:lvlJc w:val="left"/>
      <w:pPr>
        <w:ind w:left="360" w:hanging="360"/>
      </w:p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7" w15:restartNumberingAfterBreak="0">
    <w:nsid w:val="1CCA286F"/>
    <w:multiLevelType w:val="multilevel"/>
    <w:tmpl w:val="C8FAB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01922A3"/>
    <w:multiLevelType w:val="hybridMultilevel"/>
    <w:tmpl w:val="224280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5FA1EC2"/>
    <w:multiLevelType w:val="hybridMultilevel"/>
    <w:tmpl w:val="4F82C0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5FC5EFF"/>
    <w:multiLevelType w:val="hybridMultilevel"/>
    <w:tmpl w:val="38A0C8C6"/>
    <w:lvl w:ilvl="0" w:tplc="69FE925C">
      <w:start w:val="1"/>
      <w:numFmt w:val="bullet"/>
      <w:pStyle w:val="Quote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2A802CC9"/>
    <w:multiLevelType w:val="multilevel"/>
    <w:tmpl w:val="BF105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ADC7920"/>
    <w:multiLevelType w:val="hybridMultilevel"/>
    <w:tmpl w:val="AC222614"/>
    <w:lvl w:ilvl="0" w:tplc="FFFFFFF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B5E68AB"/>
    <w:multiLevelType w:val="hybridMultilevel"/>
    <w:tmpl w:val="87A0776E"/>
    <w:lvl w:ilvl="0" w:tplc="2F44CE76">
      <w:start w:val="1"/>
      <w:numFmt w:val="bullet"/>
      <w:lvlText w:val=""/>
      <w:lvlJc w:val="left"/>
      <w:pPr>
        <w:ind w:left="720" w:hanging="360"/>
      </w:pPr>
      <w:rPr>
        <w:rFonts w:ascii="Symbol" w:hAnsi="Symbol"/>
      </w:rPr>
    </w:lvl>
    <w:lvl w:ilvl="1" w:tplc="4126CE7C">
      <w:start w:val="1"/>
      <w:numFmt w:val="bullet"/>
      <w:lvlText w:val=""/>
      <w:lvlJc w:val="left"/>
      <w:pPr>
        <w:ind w:left="720" w:hanging="360"/>
      </w:pPr>
      <w:rPr>
        <w:rFonts w:ascii="Symbol" w:hAnsi="Symbol"/>
      </w:rPr>
    </w:lvl>
    <w:lvl w:ilvl="2" w:tplc="E35AAC2E">
      <w:start w:val="1"/>
      <w:numFmt w:val="bullet"/>
      <w:lvlText w:val=""/>
      <w:lvlJc w:val="left"/>
      <w:pPr>
        <w:ind w:left="720" w:hanging="360"/>
      </w:pPr>
      <w:rPr>
        <w:rFonts w:ascii="Symbol" w:hAnsi="Symbol"/>
      </w:rPr>
    </w:lvl>
    <w:lvl w:ilvl="3" w:tplc="F470F8CA">
      <w:start w:val="1"/>
      <w:numFmt w:val="bullet"/>
      <w:lvlText w:val=""/>
      <w:lvlJc w:val="left"/>
      <w:pPr>
        <w:ind w:left="720" w:hanging="360"/>
      </w:pPr>
      <w:rPr>
        <w:rFonts w:ascii="Symbol" w:hAnsi="Symbol"/>
      </w:rPr>
    </w:lvl>
    <w:lvl w:ilvl="4" w:tplc="0E402DBE">
      <w:start w:val="1"/>
      <w:numFmt w:val="bullet"/>
      <w:lvlText w:val=""/>
      <w:lvlJc w:val="left"/>
      <w:pPr>
        <w:ind w:left="720" w:hanging="360"/>
      </w:pPr>
      <w:rPr>
        <w:rFonts w:ascii="Symbol" w:hAnsi="Symbol"/>
      </w:rPr>
    </w:lvl>
    <w:lvl w:ilvl="5" w:tplc="39EEE742">
      <w:start w:val="1"/>
      <w:numFmt w:val="bullet"/>
      <w:lvlText w:val=""/>
      <w:lvlJc w:val="left"/>
      <w:pPr>
        <w:ind w:left="720" w:hanging="360"/>
      </w:pPr>
      <w:rPr>
        <w:rFonts w:ascii="Symbol" w:hAnsi="Symbol"/>
      </w:rPr>
    </w:lvl>
    <w:lvl w:ilvl="6" w:tplc="85F22970">
      <w:start w:val="1"/>
      <w:numFmt w:val="bullet"/>
      <w:lvlText w:val=""/>
      <w:lvlJc w:val="left"/>
      <w:pPr>
        <w:ind w:left="720" w:hanging="360"/>
      </w:pPr>
      <w:rPr>
        <w:rFonts w:ascii="Symbol" w:hAnsi="Symbol"/>
      </w:rPr>
    </w:lvl>
    <w:lvl w:ilvl="7" w:tplc="35F4254A">
      <w:start w:val="1"/>
      <w:numFmt w:val="bullet"/>
      <w:lvlText w:val=""/>
      <w:lvlJc w:val="left"/>
      <w:pPr>
        <w:ind w:left="720" w:hanging="360"/>
      </w:pPr>
      <w:rPr>
        <w:rFonts w:ascii="Symbol" w:hAnsi="Symbol"/>
      </w:rPr>
    </w:lvl>
    <w:lvl w:ilvl="8" w:tplc="D37E183A">
      <w:start w:val="1"/>
      <w:numFmt w:val="bullet"/>
      <w:lvlText w:val=""/>
      <w:lvlJc w:val="left"/>
      <w:pPr>
        <w:ind w:left="720" w:hanging="360"/>
      </w:pPr>
      <w:rPr>
        <w:rFonts w:ascii="Symbol" w:hAnsi="Symbol"/>
      </w:rPr>
    </w:lvl>
  </w:abstractNum>
  <w:abstractNum w:abstractNumId="14" w15:restartNumberingAfterBreak="0">
    <w:nsid w:val="31C50287"/>
    <w:multiLevelType w:val="hybridMultilevel"/>
    <w:tmpl w:val="523C5C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B695F22"/>
    <w:multiLevelType w:val="hybridMultilevel"/>
    <w:tmpl w:val="E1E832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C2C2FA0"/>
    <w:multiLevelType w:val="hybridMultilevel"/>
    <w:tmpl w:val="8F30AF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D1A51AB"/>
    <w:multiLevelType w:val="hybridMultilevel"/>
    <w:tmpl w:val="8D2432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D2033D9"/>
    <w:multiLevelType w:val="multilevel"/>
    <w:tmpl w:val="71D0A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F793480"/>
    <w:multiLevelType w:val="multilevel"/>
    <w:tmpl w:val="BF6AC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2087D42"/>
    <w:multiLevelType w:val="hybridMultilevel"/>
    <w:tmpl w:val="48C87A36"/>
    <w:lvl w:ilvl="0" w:tplc="E1F647D4">
      <w:start w:val="1"/>
      <w:numFmt w:val="decimal"/>
      <w:pStyle w:val="TableNumberedList"/>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24D379E"/>
    <w:multiLevelType w:val="hybridMultilevel"/>
    <w:tmpl w:val="EC02AF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62F4A0B"/>
    <w:multiLevelType w:val="hybridMultilevel"/>
    <w:tmpl w:val="8230ED46"/>
    <w:lvl w:ilvl="0" w:tplc="37762F46">
      <w:start w:val="1"/>
      <w:numFmt w:val="bullet"/>
      <w:pStyle w:val="TableBullet"/>
      <w:lvlText w:val="•"/>
      <w:lvlJc w:val="left"/>
      <w:pPr>
        <w:tabs>
          <w:tab w:val="num" w:pos="360"/>
        </w:tabs>
        <w:ind w:left="360" w:hanging="360"/>
      </w:pPr>
      <w:rPr>
        <w:rFonts w:ascii="Verdana" w:hAnsi="Verdana" w:hint="default"/>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7281FC5"/>
    <w:multiLevelType w:val="hybridMultilevel"/>
    <w:tmpl w:val="DF0206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4FF65B7D"/>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B3710A8"/>
    <w:multiLevelType w:val="multilevel"/>
    <w:tmpl w:val="8230ED46"/>
    <w:styleLink w:val="CurrentList1"/>
    <w:lvl w:ilvl="0">
      <w:start w:val="1"/>
      <w:numFmt w:val="bullet"/>
      <w:lvlText w:val="•"/>
      <w:lvlJc w:val="left"/>
      <w:pPr>
        <w:tabs>
          <w:tab w:val="num" w:pos="360"/>
        </w:tabs>
        <w:ind w:left="360" w:hanging="360"/>
      </w:pPr>
      <w:rPr>
        <w:rFonts w:ascii="Verdana" w:hAnsi="Verdana" w:hint="default"/>
        <w:sz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C6264B4"/>
    <w:multiLevelType w:val="hybridMultilevel"/>
    <w:tmpl w:val="04C2F852"/>
    <w:lvl w:ilvl="0" w:tplc="2E5E2236">
      <w:start w:val="1"/>
      <w:numFmt w:val="bullet"/>
      <w:pStyle w:val="TableDash"/>
      <w:lvlText w:val="–"/>
      <w:lvlJc w:val="left"/>
      <w:pPr>
        <w:tabs>
          <w:tab w:val="num" w:pos="216"/>
        </w:tabs>
        <w:ind w:left="432" w:hanging="216"/>
      </w:pPr>
      <w:rPr>
        <w:rFonts w:ascii="Times New Roman" w:hAnsi="Times New Roman" w:cs="Times New Roman"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CFD2F4A"/>
    <w:multiLevelType w:val="hybridMultilevel"/>
    <w:tmpl w:val="E4EE2E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34A5BB2"/>
    <w:multiLevelType w:val="hybridMultilevel"/>
    <w:tmpl w:val="0A2EC3E2"/>
    <w:lvl w:ilvl="0" w:tplc="DF183732">
      <w:start w:val="1"/>
      <w:numFmt w:val="bullet"/>
      <w:lvlText w:val=""/>
      <w:lvlJc w:val="left"/>
      <w:pPr>
        <w:ind w:left="720" w:hanging="360"/>
      </w:pPr>
      <w:rPr>
        <w:rFonts w:ascii="Wingdings" w:hAnsi="Wingding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A213EBB"/>
    <w:multiLevelType w:val="hybridMultilevel"/>
    <w:tmpl w:val="6BECA06C"/>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78E81FDC"/>
    <w:multiLevelType w:val="hybridMultilevel"/>
    <w:tmpl w:val="D5C698E8"/>
    <w:lvl w:ilvl="0" w:tplc="A79EC4F8">
      <w:start w:val="1"/>
      <w:numFmt w:val="bullet"/>
      <w:pStyle w:val="BulletBeforeDash"/>
      <w:lvlText w:val="•"/>
      <w:lvlJc w:val="left"/>
      <w:pPr>
        <w:tabs>
          <w:tab w:val="num" w:pos="360"/>
        </w:tabs>
        <w:ind w:left="360" w:hanging="360"/>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16cid:durableId="845754006">
    <w:abstractNumId w:val="22"/>
  </w:num>
  <w:num w:numId="2" w16cid:durableId="1649237372">
    <w:abstractNumId w:val="26"/>
  </w:num>
  <w:num w:numId="3" w16cid:durableId="1577594479">
    <w:abstractNumId w:val="30"/>
  </w:num>
  <w:num w:numId="4" w16cid:durableId="867835794">
    <w:abstractNumId w:val="1"/>
  </w:num>
  <w:num w:numId="5" w16cid:durableId="388960005">
    <w:abstractNumId w:val="0"/>
  </w:num>
  <w:num w:numId="6" w16cid:durableId="1449083786">
    <w:abstractNumId w:val="28"/>
  </w:num>
  <w:num w:numId="7" w16cid:durableId="1863670293">
    <w:abstractNumId w:val="10"/>
  </w:num>
  <w:num w:numId="8" w16cid:durableId="1270551377">
    <w:abstractNumId w:val="4"/>
  </w:num>
  <w:num w:numId="9" w16cid:durableId="341711299">
    <w:abstractNumId w:val="20"/>
  </w:num>
  <w:num w:numId="10" w16cid:durableId="1665861900">
    <w:abstractNumId w:val="29"/>
  </w:num>
  <w:num w:numId="11" w16cid:durableId="524683400">
    <w:abstractNumId w:val="25"/>
  </w:num>
  <w:num w:numId="12" w16cid:durableId="990674590">
    <w:abstractNumId w:val="24"/>
  </w:num>
  <w:num w:numId="13" w16cid:durableId="352150456">
    <w:abstractNumId w:val="12"/>
  </w:num>
  <w:num w:numId="14" w16cid:durableId="1428966356">
    <w:abstractNumId w:val="23"/>
  </w:num>
  <w:num w:numId="15" w16cid:durableId="668140075">
    <w:abstractNumId w:val="5"/>
  </w:num>
  <w:num w:numId="16" w16cid:durableId="1421482359">
    <w:abstractNumId w:val="9"/>
  </w:num>
  <w:num w:numId="17" w16cid:durableId="1536429099">
    <w:abstractNumId w:val="13"/>
  </w:num>
  <w:num w:numId="18" w16cid:durableId="1483810986">
    <w:abstractNumId w:val="6"/>
  </w:num>
  <w:num w:numId="19" w16cid:durableId="468088464">
    <w:abstractNumId w:val="21"/>
  </w:num>
  <w:num w:numId="20" w16cid:durableId="291442672">
    <w:abstractNumId w:val="8"/>
  </w:num>
  <w:num w:numId="21" w16cid:durableId="18287684">
    <w:abstractNumId w:val="16"/>
  </w:num>
  <w:num w:numId="22" w16cid:durableId="1215460011">
    <w:abstractNumId w:val="27"/>
  </w:num>
  <w:num w:numId="23" w16cid:durableId="890535925">
    <w:abstractNumId w:val="14"/>
  </w:num>
  <w:num w:numId="24" w16cid:durableId="1201824575">
    <w:abstractNumId w:val="15"/>
  </w:num>
  <w:num w:numId="25" w16cid:durableId="289824514">
    <w:abstractNumId w:val="7"/>
  </w:num>
  <w:num w:numId="26" w16cid:durableId="1253855137">
    <w:abstractNumId w:val="11"/>
  </w:num>
  <w:num w:numId="27" w16cid:durableId="1795295679">
    <w:abstractNumId w:val="3"/>
  </w:num>
  <w:num w:numId="28" w16cid:durableId="1504083911">
    <w:abstractNumId w:val="2"/>
  </w:num>
  <w:num w:numId="29" w16cid:durableId="2005889376">
    <w:abstractNumId w:val="19"/>
  </w:num>
  <w:num w:numId="30" w16cid:durableId="291912641">
    <w:abstractNumId w:val="18"/>
  </w:num>
  <w:num w:numId="31" w16cid:durableId="1518425325">
    <w:abstractNumId w:val="17"/>
  </w:num>
  <w:num w:numId="32" w16cid:durableId="715740780">
    <w:abstractNumId w:val="30"/>
  </w:num>
  <w:num w:numId="33" w16cid:durableId="1139953177">
    <w:abstractNumId w:val="3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80"/>
  <w:proofState w:spelling="clean"/>
  <w:linkStyles/>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7E4"/>
    <w:rsid w:val="00000402"/>
    <w:rsid w:val="00000946"/>
    <w:rsid w:val="00000C00"/>
    <w:rsid w:val="00001BFB"/>
    <w:rsid w:val="00002959"/>
    <w:rsid w:val="000029E7"/>
    <w:rsid w:val="0000311A"/>
    <w:rsid w:val="0000388A"/>
    <w:rsid w:val="00003BF7"/>
    <w:rsid w:val="00003F10"/>
    <w:rsid w:val="00005ED4"/>
    <w:rsid w:val="000072AD"/>
    <w:rsid w:val="00007D0A"/>
    <w:rsid w:val="00007FC4"/>
    <w:rsid w:val="00012029"/>
    <w:rsid w:val="000121EB"/>
    <w:rsid w:val="00012235"/>
    <w:rsid w:val="000127D1"/>
    <w:rsid w:val="00013C0C"/>
    <w:rsid w:val="00015917"/>
    <w:rsid w:val="00015AE4"/>
    <w:rsid w:val="00015D0B"/>
    <w:rsid w:val="00016AA9"/>
    <w:rsid w:val="00016C69"/>
    <w:rsid w:val="000178B5"/>
    <w:rsid w:val="00017A2A"/>
    <w:rsid w:val="00017DB7"/>
    <w:rsid w:val="00020167"/>
    <w:rsid w:val="00020678"/>
    <w:rsid w:val="00021527"/>
    <w:rsid w:val="000220C9"/>
    <w:rsid w:val="00024066"/>
    <w:rsid w:val="00024E15"/>
    <w:rsid w:val="00024EDF"/>
    <w:rsid w:val="00025824"/>
    <w:rsid w:val="00026531"/>
    <w:rsid w:val="000267D8"/>
    <w:rsid w:val="00026889"/>
    <w:rsid w:val="00026AC2"/>
    <w:rsid w:val="00026C6D"/>
    <w:rsid w:val="00027B3D"/>
    <w:rsid w:val="000308F9"/>
    <w:rsid w:val="00030AAA"/>
    <w:rsid w:val="0003107F"/>
    <w:rsid w:val="00031114"/>
    <w:rsid w:val="00031C79"/>
    <w:rsid w:val="00031CC3"/>
    <w:rsid w:val="000320F6"/>
    <w:rsid w:val="000321F9"/>
    <w:rsid w:val="00032737"/>
    <w:rsid w:val="000328A7"/>
    <w:rsid w:val="00032F24"/>
    <w:rsid w:val="0003436B"/>
    <w:rsid w:val="000349C5"/>
    <w:rsid w:val="00034CBC"/>
    <w:rsid w:val="00035305"/>
    <w:rsid w:val="00035700"/>
    <w:rsid w:val="000367F9"/>
    <w:rsid w:val="00036D0E"/>
    <w:rsid w:val="00036DE2"/>
    <w:rsid w:val="000371D8"/>
    <w:rsid w:val="00037346"/>
    <w:rsid w:val="00040BDD"/>
    <w:rsid w:val="00041A20"/>
    <w:rsid w:val="00041BBD"/>
    <w:rsid w:val="00042199"/>
    <w:rsid w:val="00042C97"/>
    <w:rsid w:val="00042EF7"/>
    <w:rsid w:val="0004379F"/>
    <w:rsid w:val="00043E11"/>
    <w:rsid w:val="00044345"/>
    <w:rsid w:val="00044AD4"/>
    <w:rsid w:val="00045116"/>
    <w:rsid w:val="000452CC"/>
    <w:rsid w:val="000462BB"/>
    <w:rsid w:val="000477A5"/>
    <w:rsid w:val="00047D0E"/>
    <w:rsid w:val="00047E9F"/>
    <w:rsid w:val="00050637"/>
    <w:rsid w:val="00050B14"/>
    <w:rsid w:val="00051569"/>
    <w:rsid w:val="00052071"/>
    <w:rsid w:val="00052578"/>
    <w:rsid w:val="0005276D"/>
    <w:rsid w:val="00053A1A"/>
    <w:rsid w:val="0005496B"/>
    <w:rsid w:val="00056D9B"/>
    <w:rsid w:val="0005712A"/>
    <w:rsid w:val="0005735C"/>
    <w:rsid w:val="00057C70"/>
    <w:rsid w:val="00057DBE"/>
    <w:rsid w:val="0006005C"/>
    <w:rsid w:val="00060693"/>
    <w:rsid w:val="00060FAB"/>
    <w:rsid w:val="0006222C"/>
    <w:rsid w:val="00062598"/>
    <w:rsid w:val="00063087"/>
    <w:rsid w:val="00064A96"/>
    <w:rsid w:val="00065393"/>
    <w:rsid w:val="00065473"/>
    <w:rsid w:val="00065682"/>
    <w:rsid w:val="00065A0A"/>
    <w:rsid w:val="00065C9A"/>
    <w:rsid w:val="0006615B"/>
    <w:rsid w:val="00066AA8"/>
    <w:rsid w:val="0006734D"/>
    <w:rsid w:val="00067900"/>
    <w:rsid w:val="00070BDB"/>
    <w:rsid w:val="00072F2D"/>
    <w:rsid w:val="00073122"/>
    <w:rsid w:val="000733E6"/>
    <w:rsid w:val="000741AC"/>
    <w:rsid w:val="000745F5"/>
    <w:rsid w:val="00074B9A"/>
    <w:rsid w:val="00074E86"/>
    <w:rsid w:val="000765DC"/>
    <w:rsid w:val="0007689B"/>
    <w:rsid w:val="00076944"/>
    <w:rsid w:val="00076D41"/>
    <w:rsid w:val="000771BC"/>
    <w:rsid w:val="000772C4"/>
    <w:rsid w:val="000778DF"/>
    <w:rsid w:val="00081620"/>
    <w:rsid w:val="00082416"/>
    <w:rsid w:val="000831C5"/>
    <w:rsid w:val="000838C0"/>
    <w:rsid w:val="00083AC3"/>
    <w:rsid w:val="00083F15"/>
    <w:rsid w:val="00084759"/>
    <w:rsid w:val="00084A7A"/>
    <w:rsid w:val="00085015"/>
    <w:rsid w:val="0008686B"/>
    <w:rsid w:val="000868C0"/>
    <w:rsid w:val="000869F6"/>
    <w:rsid w:val="00087F83"/>
    <w:rsid w:val="000908B0"/>
    <w:rsid w:val="00090AA5"/>
    <w:rsid w:val="00090B52"/>
    <w:rsid w:val="00090EE8"/>
    <w:rsid w:val="0009154A"/>
    <w:rsid w:val="0009174B"/>
    <w:rsid w:val="0009413C"/>
    <w:rsid w:val="0009414B"/>
    <w:rsid w:val="00095634"/>
    <w:rsid w:val="000961DF"/>
    <w:rsid w:val="00096EC1"/>
    <w:rsid w:val="00097A25"/>
    <w:rsid w:val="00097DD9"/>
    <w:rsid w:val="000A0044"/>
    <w:rsid w:val="000A041E"/>
    <w:rsid w:val="000A0B7A"/>
    <w:rsid w:val="000A0C75"/>
    <w:rsid w:val="000A16F5"/>
    <w:rsid w:val="000A172E"/>
    <w:rsid w:val="000A192F"/>
    <w:rsid w:val="000A19C8"/>
    <w:rsid w:val="000A2CFC"/>
    <w:rsid w:val="000A2D4D"/>
    <w:rsid w:val="000A32F9"/>
    <w:rsid w:val="000A38C7"/>
    <w:rsid w:val="000A38F0"/>
    <w:rsid w:val="000A3BF9"/>
    <w:rsid w:val="000A3E2A"/>
    <w:rsid w:val="000A44BD"/>
    <w:rsid w:val="000A4803"/>
    <w:rsid w:val="000A5E5B"/>
    <w:rsid w:val="000A74ED"/>
    <w:rsid w:val="000A756F"/>
    <w:rsid w:val="000A7674"/>
    <w:rsid w:val="000A7907"/>
    <w:rsid w:val="000A7A17"/>
    <w:rsid w:val="000B04D6"/>
    <w:rsid w:val="000B08A1"/>
    <w:rsid w:val="000B08DA"/>
    <w:rsid w:val="000B118A"/>
    <w:rsid w:val="000B1513"/>
    <w:rsid w:val="000B1F64"/>
    <w:rsid w:val="000B2083"/>
    <w:rsid w:val="000B249A"/>
    <w:rsid w:val="000B3626"/>
    <w:rsid w:val="000B4408"/>
    <w:rsid w:val="000B463C"/>
    <w:rsid w:val="000B536A"/>
    <w:rsid w:val="000B58C9"/>
    <w:rsid w:val="000B5B44"/>
    <w:rsid w:val="000B6559"/>
    <w:rsid w:val="000B7111"/>
    <w:rsid w:val="000B79FB"/>
    <w:rsid w:val="000C016C"/>
    <w:rsid w:val="000C1F0F"/>
    <w:rsid w:val="000C1F27"/>
    <w:rsid w:val="000C2927"/>
    <w:rsid w:val="000C35E9"/>
    <w:rsid w:val="000C380F"/>
    <w:rsid w:val="000C388D"/>
    <w:rsid w:val="000C4147"/>
    <w:rsid w:val="000C4C43"/>
    <w:rsid w:val="000C59ED"/>
    <w:rsid w:val="000C5A66"/>
    <w:rsid w:val="000C60B7"/>
    <w:rsid w:val="000C6546"/>
    <w:rsid w:val="000C6A4B"/>
    <w:rsid w:val="000C71D4"/>
    <w:rsid w:val="000D0F8F"/>
    <w:rsid w:val="000D170B"/>
    <w:rsid w:val="000D1A56"/>
    <w:rsid w:val="000D1A63"/>
    <w:rsid w:val="000D23CE"/>
    <w:rsid w:val="000D352D"/>
    <w:rsid w:val="000D4330"/>
    <w:rsid w:val="000D5696"/>
    <w:rsid w:val="000D5D06"/>
    <w:rsid w:val="000D610B"/>
    <w:rsid w:val="000D6785"/>
    <w:rsid w:val="000D7235"/>
    <w:rsid w:val="000D7850"/>
    <w:rsid w:val="000D7DF0"/>
    <w:rsid w:val="000E0B98"/>
    <w:rsid w:val="000E143D"/>
    <w:rsid w:val="000E220E"/>
    <w:rsid w:val="000E24F3"/>
    <w:rsid w:val="000E2A62"/>
    <w:rsid w:val="000E2BCB"/>
    <w:rsid w:val="000E32AD"/>
    <w:rsid w:val="000E38E7"/>
    <w:rsid w:val="000E3C0F"/>
    <w:rsid w:val="000E4449"/>
    <w:rsid w:val="000E4A80"/>
    <w:rsid w:val="000E4E75"/>
    <w:rsid w:val="000E4EAE"/>
    <w:rsid w:val="000E4FB8"/>
    <w:rsid w:val="000E61B4"/>
    <w:rsid w:val="000E6794"/>
    <w:rsid w:val="000E699E"/>
    <w:rsid w:val="000F0E0F"/>
    <w:rsid w:val="000F0E13"/>
    <w:rsid w:val="000F13D6"/>
    <w:rsid w:val="000F1A6E"/>
    <w:rsid w:val="000F2C87"/>
    <w:rsid w:val="000F308C"/>
    <w:rsid w:val="000F3094"/>
    <w:rsid w:val="000F33B1"/>
    <w:rsid w:val="000F37A4"/>
    <w:rsid w:val="000F4519"/>
    <w:rsid w:val="000F4593"/>
    <w:rsid w:val="000F45DA"/>
    <w:rsid w:val="000F4B9E"/>
    <w:rsid w:val="000F5185"/>
    <w:rsid w:val="000F6196"/>
    <w:rsid w:val="000F6AA8"/>
    <w:rsid w:val="000F761C"/>
    <w:rsid w:val="001007C7"/>
    <w:rsid w:val="0010151D"/>
    <w:rsid w:val="001018D6"/>
    <w:rsid w:val="001021A7"/>
    <w:rsid w:val="001040EE"/>
    <w:rsid w:val="00104632"/>
    <w:rsid w:val="001047F7"/>
    <w:rsid w:val="001051B0"/>
    <w:rsid w:val="001060D1"/>
    <w:rsid w:val="00106356"/>
    <w:rsid w:val="00106E7E"/>
    <w:rsid w:val="00107030"/>
    <w:rsid w:val="001072B9"/>
    <w:rsid w:val="00107BA2"/>
    <w:rsid w:val="0011035E"/>
    <w:rsid w:val="00110AE9"/>
    <w:rsid w:val="00110E44"/>
    <w:rsid w:val="0011171D"/>
    <w:rsid w:val="00112819"/>
    <w:rsid w:val="00112BBB"/>
    <w:rsid w:val="00112E1B"/>
    <w:rsid w:val="00113955"/>
    <w:rsid w:val="0011397D"/>
    <w:rsid w:val="00114065"/>
    <w:rsid w:val="001141C1"/>
    <w:rsid w:val="001146C6"/>
    <w:rsid w:val="00114D4A"/>
    <w:rsid w:val="001155E3"/>
    <w:rsid w:val="00115A60"/>
    <w:rsid w:val="00116366"/>
    <w:rsid w:val="00116536"/>
    <w:rsid w:val="0012042A"/>
    <w:rsid w:val="001206C8"/>
    <w:rsid w:val="00120973"/>
    <w:rsid w:val="00120984"/>
    <w:rsid w:val="0012175A"/>
    <w:rsid w:val="001221D7"/>
    <w:rsid w:val="001229F7"/>
    <w:rsid w:val="001230C2"/>
    <w:rsid w:val="00123799"/>
    <w:rsid w:val="00123CF8"/>
    <w:rsid w:val="00124118"/>
    <w:rsid w:val="00124531"/>
    <w:rsid w:val="00124A82"/>
    <w:rsid w:val="00124CC7"/>
    <w:rsid w:val="00125C0F"/>
    <w:rsid w:val="001264DE"/>
    <w:rsid w:val="00126722"/>
    <w:rsid w:val="001307BD"/>
    <w:rsid w:val="00130B80"/>
    <w:rsid w:val="001311B0"/>
    <w:rsid w:val="00131533"/>
    <w:rsid w:val="00131956"/>
    <w:rsid w:val="00132161"/>
    <w:rsid w:val="00133645"/>
    <w:rsid w:val="00133E54"/>
    <w:rsid w:val="00134EB5"/>
    <w:rsid w:val="001352AC"/>
    <w:rsid w:val="00135375"/>
    <w:rsid w:val="00135679"/>
    <w:rsid w:val="0013648E"/>
    <w:rsid w:val="00136529"/>
    <w:rsid w:val="0013679D"/>
    <w:rsid w:val="0013698E"/>
    <w:rsid w:val="0013715A"/>
    <w:rsid w:val="00137223"/>
    <w:rsid w:val="0013732C"/>
    <w:rsid w:val="001375CA"/>
    <w:rsid w:val="0014015A"/>
    <w:rsid w:val="00140634"/>
    <w:rsid w:val="00140ADD"/>
    <w:rsid w:val="00140AF4"/>
    <w:rsid w:val="00141220"/>
    <w:rsid w:val="0014300A"/>
    <w:rsid w:val="00146CB1"/>
    <w:rsid w:val="0014737B"/>
    <w:rsid w:val="0014746A"/>
    <w:rsid w:val="001476BC"/>
    <w:rsid w:val="00147FEE"/>
    <w:rsid w:val="00151C4E"/>
    <w:rsid w:val="00153059"/>
    <w:rsid w:val="00154FD1"/>
    <w:rsid w:val="00155038"/>
    <w:rsid w:val="001550F6"/>
    <w:rsid w:val="001556A6"/>
    <w:rsid w:val="00156B29"/>
    <w:rsid w:val="00156ED4"/>
    <w:rsid w:val="00156F0E"/>
    <w:rsid w:val="001576BD"/>
    <w:rsid w:val="00160FF0"/>
    <w:rsid w:val="0016199A"/>
    <w:rsid w:val="001619D8"/>
    <w:rsid w:val="00161B58"/>
    <w:rsid w:val="001621F0"/>
    <w:rsid w:val="001628EA"/>
    <w:rsid w:val="00163865"/>
    <w:rsid w:val="00163E2F"/>
    <w:rsid w:val="001640C7"/>
    <w:rsid w:val="001641C3"/>
    <w:rsid w:val="0016493E"/>
    <w:rsid w:val="00165082"/>
    <w:rsid w:val="001666D0"/>
    <w:rsid w:val="00166A44"/>
    <w:rsid w:val="00166BCE"/>
    <w:rsid w:val="00167030"/>
    <w:rsid w:val="00167CE5"/>
    <w:rsid w:val="0017183A"/>
    <w:rsid w:val="0017212A"/>
    <w:rsid w:val="00172505"/>
    <w:rsid w:val="00172907"/>
    <w:rsid w:val="00172E1B"/>
    <w:rsid w:val="001739CF"/>
    <w:rsid w:val="00174E30"/>
    <w:rsid w:val="0017564F"/>
    <w:rsid w:val="00175A99"/>
    <w:rsid w:val="001760A0"/>
    <w:rsid w:val="001762E3"/>
    <w:rsid w:val="0017647E"/>
    <w:rsid w:val="00176AA6"/>
    <w:rsid w:val="001777EF"/>
    <w:rsid w:val="00177E3E"/>
    <w:rsid w:val="00180D60"/>
    <w:rsid w:val="001810F0"/>
    <w:rsid w:val="00182DDA"/>
    <w:rsid w:val="00183348"/>
    <w:rsid w:val="001834C6"/>
    <w:rsid w:val="00183BD1"/>
    <w:rsid w:val="0018444E"/>
    <w:rsid w:val="00184F47"/>
    <w:rsid w:val="001853E1"/>
    <w:rsid w:val="00185515"/>
    <w:rsid w:val="00185868"/>
    <w:rsid w:val="00185E33"/>
    <w:rsid w:val="001865EA"/>
    <w:rsid w:val="00186B47"/>
    <w:rsid w:val="00187767"/>
    <w:rsid w:val="001877E4"/>
    <w:rsid w:val="001902F5"/>
    <w:rsid w:val="00190AB3"/>
    <w:rsid w:val="00190B11"/>
    <w:rsid w:val="0019124F"/>
    <w:rsid w:val="001926E5"/>
    <w:rsid w:val="00193574"/>
    <w:rsid w:val="00193B56"/>
    <w:rsid w:val="00194032"/>
    <w:rsid w:val="00194EC1"/>
    <w:rsid w:val="00195AA9"/>
    <w:rsid w:val="00195B80"/>
    <w:rsid w:val="00196826"/>
    <w:rsid w:val="00196C4E"/>
    <w:rsid w:val="00196CF4"/>
    <w:rsid w:val="001A124A"/>
    <w:rsid w:val="001A2259"/>
    <w:rsid w:val="001A4D85"/>
    <w:rsid w:val="001A4DEA"/>
    <w:rsid w:val="001A5487"/>
    <w:rsid w:val="001A5700"/>
    <w:rsid w:val="001A5D5E"/>
    <w:rsid w:val="001A626C"/>
    <w:rsid w:val="001A651C"/>
    <w:rsid w:val="001A6680"/>
    <w:rsid w:val="001A6909"/>
    <w:rsid w:val="001A6A5C"/>
    <w:rsid w:val="001A6B0C"/>
    <w:rsid w:val="001A718B"/>
    <w:rsid w:val="001A7A3A"/>
    <w:rsid w:val="001B04AA"/>
    <w:rsid w:val="001B0E35"/>
    <w:rsid w:val="001B17AF"/>
    <w:rsid w:val="001B1FBE"/>
    <w:rsid w:val="001B20A6"/>
    <w:rsid w:val="001B2C06"/>
    <w:rsid w:val="001B2D4C"/>
    <w:rsid w:val="001B3298"/>
    <w:rsid w:val="001B33D7"/>
    <w:rsid w:val="001B4232"/>
    <w:rsid w:val="001B4FA0"/>
    <w:rsid w:val="001B4FB3"/>
    <w:rsid w:val="001B6C43"/>
    <w:rsid w:val="001B730C"/>
    <w:rsid w:val="001C1F71"/>
    <w:rsid w:val="001C1FA0"/>
    <w:rsid w:val="001C2271"/>
    <w:rsid w:val="001C53C1"/>
    <w:rsid w:val="001C54A8"/>
    <w:rsid w:val="001C5986"/>
    <w:rsid w:val="001C6533"/>
    <w:rsid w:val="001C65DF"/>
    <w:rsid w:val="001C67A5"/>
    <w:rsid w:val="001C6AA3"/>
    <w:rsid w:val="001C7898"/>
    <w:rsid w:val="001D03AF"/>
    <w:rsid w:val="001D13DE"/>
    <w:rsid w:val="001D172E"/>
    <w:rsid w:val="001D1C18"/>
    <w:rsid w:val="001D4551"/>
    <w:rsid w:val="001D4997"/>
    <w:rsid w:val="001D5ACF"/>
    <w:rsid w:val="001D7779"/>
    <w:rsid w:val="001E08E5"/>
    <w:rsid w:val="001E187C"/>
    <w:rsid w:val="001E285C"/>
    <w:rsid w:val="001E35C3"/>
    <w:rsid w:val="001E368F"/>
    <w:rsid w:val="001E3A4B"/>
    <w:rsid w:val="001E3AE1"/>
    <w:rsid w:val="001E3BAF"/>
    <w:rsid w:val="001E4C52"/>
    <w:rsid w:val="001E511D"/>
    <w:rsid w:val="001E54DE"/>
    <w:rsid w:val="001E5E7A"/>
    <w:rsid w:val="001E6D7C"/>
    <w:rsid w:val="001E6F03"/>
    <w:rsid w:val="001E7530"/>
    <w:rsid w:val="001F0E1E"/>
    <w:rsid w:val="001F1530"/>
    <w:rsid w:val="001F1A93"/>
    <w:rsid w:val="001F3B10"/>
    <w:rsid w:val="001F3D8C"/>
    <w:rsid w:val="001F50B6"/>
    <w:rsid w:val="001F5940"/>
    <w:rsid w:val="001F5B71"/>
    <w:rsid w:val="001F6269"/>
    <w:rsid w:val="001F6C49"/>
    <w:rsid w:val="001F6D17"/>
    <w:rsid w:val="00200AFE"/>
    <w:rsid w:val="00200DC6"/>
    <w:rsid w:val="002018DA"/>
    <w:rsid w:val="0020190D"/>
    <w:rsid w:val="00201C38"/>
    <w:rsid w:val="00201EE3"/>
    <w:rsid w:val="002023A6"/>
    <w:rsid w:val="00202534"/>
    <w:rsid w:val="002030BA"/>
    <w:rsid w:val="002038B9"/>
    <w:rsid w:val="00204031"/>
    <w:rsid w:val="00204C58"/>
    <w:rsid w:val="00205027"/>
    <w:rsid w:val="00205030"/>
    <w:rsid w:val="00205190"/>
    <w:rsid w:val="00206771"/>
    <w:rsid w:val="00206CC1"/>
    <w:rsid w:val="00207195"/>
    <w:rsid w:val="00207425"/>
    <w:rsid w:val="002076E5"/>
    <w:rsid w:val="0020788A"/>
    <w:rsid w:val="00207C6A"/>
    <w:rsid w:val="00211DC8"/>
    <w:rsid w:val="00212BFA"/>
    <w:rsid w:val="00213672"/>
    <w:rsid w:val="00213A48"/>
    <w:rsid w:val="00213C77"/>
    <w:rsid w:val="00214055"/>
    <w:rsid w:val="00214626"/>
    <w:rsid w:val="00214805"/>
    <w:rsid w:val="002155E1"/>
    <w:rsid w:val="00215685"/>
    <w:rsid w:val="0021569E"/>
    <w:rsid w:val="002159A1"/>
    <w:rsid w:val="00215C18"/>
    <w:rsid w:val="0021629C"/>
    <w:rsid w:val="00216E69"/>
    <w:rsid w:val="00217579"/>
    <w:rsid w:val="00217C91"/>
    <w:rsid w:val="00220AA5"/>
    <w:rsid w:val="00220DB2"/>
    <w:rsid w:val="00221673"/>
    <w:rsid w:val="0022248A"/>
    <w:rsid w:val="002237FD"/>
    <w:rsid w:val="00223B1C"/>
    <w:rsid w:val="002241E3"/>
    <w:rsid w:val="00224845"/>
    <w:rsid w:val="0022484D"/>
    <w:rsid w:val="0022490E"/>
    <w:rsid w:val="00225543"/>
    <w:rsid w:val="00225EEE"/>
    <w:rsid w:val="00226DD1"/>
    <w:rsid w:val="00226FD5"/>
    <w:rsid w:val="0022770A"/>
    <w:rsid w:val="00230F01"/>
    <w:rsid w:val="002312ED"/>
    <w:rsid w:val="0023131A"/>
    <w:rsid w:val="00231935"/>
    <w:rsid w:val="00231E56"/>
    <w:rsid w:val="00232571"/>
    <w:rsid w:val="00232629"/>
    <w:rsid w:val="00232D86"/>
    <w:rsid w:val="002333E8"/>
    <w:rsid w:val="00233F88"/>
    <w:rsid w:val="002359B5"/>
    <w:rsid w:val="002365D1"/>
    <w:rsid w:val="00236722"/>
    <w:rsid w:val="00236E6D"/>
    <w:rsid w:val="002372C7"/>
    <w:rsid w:val="00237547"/>
    <w:rsid w:val="00237FBA"/>
    <w:rsid w:val="002407F0"/>
    <w:rsid w:val="00240A98"/>
    <w:rsid w:val="00240C21"/>
    <w:rsid w:val="00241CCA"/>
    <w:rsid w:val="00242BE5"/>
    <w:rsid w:val="00242C98"/>
    <w:rsid w:val="002440D3"/>
    <w:rsid w:val="00244113"/>
    <w:rsid w:val="002442BF"/>
    <w:rsid w:val="00244E21"/>
    <w:rsid w:val="00245135"/>
    <w:rsid w:val="00245C19"/>
    <w:rsid w:val="00246B60"/>
    <w:rsid w:val="00250007"/>
    <w:rsid w:val="002503AC"/>
    <w:rsid w:val="002525C7"/>
    <w:rsid w:val="00252964"/>
    <w:rsid w:val="002529A5"/>
    <w:rsid w:val="0025305F"/>
    <w:rsid w:val="00253406"/>
    <w:rsid w:val="002539E3"/>
    <w:rsid w:val="002546F3"/>
    <w:rsid w:val="002549DB"/>
    <w:rsid w:val="00254A75"/>
    <w:rsid w:val="00254BC3"/>
    <w:rsid w:val="00254F23"/>
    <w:rsid w:val="0025643D"/>
    <w:rsid w:val="002576D2"/>
    <w:rsid w:val="00257A0B"/>
    <w:rsid w:val="00257AAB"/>
    <w:rsid w:val="00257EB3"/>
    <w:rsid w:val="002611A7"/>
    <w:rsid w:val="00261225"/>
    <w:rsid w:val="00261CB1"/>
    <w:rsid w:val="002622A5"/>
    <w:rsid w:val="002626C8"/>
    <w:rsid w:val="00263B77"/>
    <w:rsid w:val="002641F3"/>
    <w:rsid w:val="0026466F"/>
    <w:rsid w:val="00264F9F"/>
    <w:rsid w:val="00265C93"/>
    <w:rsid w:val="00266457"/>
    <w:rsid w:val="00266AF9"/>
    <w:rsid w:val="00266F35"/>
    <w:rsid w:val="0026705E"/>
    <w:rsid w:val="00267452"/>
    <w:rsid w:val="00267463"/>
    <w:rsid w:val="0026776A"/>
    <w:rsid w:val="00270CF3"/>
    <w:rsid w:val="00272628"/>
    <w:rsid w:val="00272AD1"/>
    <w:rsid w:val="00273F54"/>
    <w:rsid w:val="00274994"/>
    <w:rsid w:val="00274AD4"/>
    <w:rsid w:val="00275231"/>
    <w:rsid w:val="0027530D"/>
    <w:rsid w:val="00275B16"/>
    <w:rsid w:val="00275B73"/>
    <w:rsid w:val="00276215"/>
    <w:rsid w:val="002764F5"/>
    <w:rsid w:val="002801F5"/>
    <w:rsid w:val="00280808"/>
    <w:rsid w:val="00281274"/>
    <w:rsid w:val="00281640"/>
    <w:rsid w:val="00281DF9"/>
    <w:rsid w:val="002828B1"/>
    <w:rsid w:val="00282D19"/>
    <w:rsid w:val="002833B3"/>
    <w:rsid w:val="002848FC"/>
    <w:rsid w:val="002854FF"/>
    <w:rsid w:val="002856F0"/>
    <w:rsid w:val="0028573E"/>
    <w:rsid w:val="00285C1A"/>
    <w:rsid w:val="00285E7C"/>
    <w:rsid w:val="00285EBD"/>
    <w:rsid w:val="002863C3"/>
    <w:rsid w:val="00286AFA"/>
    <w:rsid w:val="0028741C"/>
    <w:rsid w:val="002906FE"/>
    <w:rsid w:val="0029094F"/>
    <w:rsid w:val="00290F4D"/>
    <w:rsid w:val="00290F85"/>
    <w:rsid w:val="00291555"/>
    <w:rsid w:val="002915B5"/>
    <w:rsid w:val="00291DF1"/>
    <w:rsid w:val="0029263E"/>
    <w:rsid w:val="00292B30"/>
    <w:rsid w:val="00292DA5"/>
    <w:rsid w:val="00293014"/>
    <w:rsid w:val="00293443"/>
    <w:rsid w:val="0029345C"/>
    <w:rsid w:val="00294250"/>
    <w:rsid w:val="0029474E"/>
    <w:rsid w:val="002947EC"/>
    <w:rsid w:val="002948C5"/>
    <w:rsid w:val="002959F9"/>
    <w:rsid w:val="00295D56"/>
    <w:rsid w:val="0029607A"/>
    <w:rsid w:val="00296B59"/>
    <w:rsid w:val="00296E55"/>
    <w:rsid w:val="00297630"/>
    <w:rsid w:val="002A0831"/>
    <w:rsid w:val="002A2A18"/>
    <w:rsid w:val="002A427B"/>
    <w:rsid w:val="002A4D51"/>
    <w:rsid w:val="002A4FB1"/>
    <w:rsid w:val="002A5135"/>
    <w:rsid w:val="002A5B37"/>
    <w:rsid w:val="002A5BA1"/>
    <w:rsid w:val="002A62FA"/>
    <w:rsid w:val="002A6AF5"/>
    <w:rsid w:val="002A7460"/>
    <w:rsid w:val="002A7727"/>
    <w:rsid w:val="002A7C78"/>
    <w:rsid w:val="002B0141"/>
    <w:rsid w:val="002B088B"/>
    <w:rsid w:val="002B0D2B"/>
    <w:rsid w:val="002B0F76"/>
    <w:rsid w:val="002B1708"/>
    <w:rsid w:val="002B1F85"/>
    <w:rsid w:val="002B22FE"/>
    <w:rsid w:val="002B24B0"/>
    <w:rsid w:val="002B2789"/>
    <w:rsid w:val="002B29E1"/>
    <w:rsid w:val="002B3046"/>
    <w:rsid w:val="002B3574"/>
    <w:rsid w:val="002B36C3"/>
    <w:rsid w:val="002B5AF7"/>
    <w:rsid w:val="002B6A89"/>
    <w:rsid w:val="002C058A"/>
    <w:rsid w:val="002C0853"/>
    <w:rsid w:val="002C0BAF"/>
    <w:rsid w:val="002C1507"/>
    <w:rsid w:val="002C1BFE"/>
    <w:rsid w:val="002C2123"/>
    <w:rsid w:val="002C221F"/>
    <w:rsid w:val="002C2CC0"/>
    <w:rsid w:val="002C2F24"/>
    <w:rsid w:val="002C5992"/>
    <w:rsid w:val="002C652F"/>
    <w:rsid w:val="002C67E1"/>
    <w:rsid w:val="002C7058"/>
    <w:rsid w:val="002C7741"/>
    <w:rsid w:val="002C7AE6"/>
    <w:rsid w:val="002D0CA2"/>
    <w:rsid w:val="002D1183"/>
    <w:rsid w:val="002D132B"/>
    <w:rsid w:val="002D13FF"/>
    <w:rsid w:val="002D15F7"/>
    <w:rsid w:val="002D24B2"/>
    <w:rsid w:val="002D29F5"/>
    <w:rsid w:val="002D40A3"/>
    <w:rsid w:val="002D62B9"/>
    <w:rsid w:val="002D6A48"/>
    <w:rsid w:val="002D6DFF"/>
    <w:rsid w:val="002D72C2"/>
    <w:rsid w:val="002D74DC"/>
    <w:rsid w:val="002E0256"/>
    <w:rsid w:val="002E0853"/>
    <w:rsid w:val="002E0CBF"/>
    <w:rsid w:val="002E1616"/>
    <w:rsid w:val="002E3F82"/>
    <w:rsid w:val="002E4381"/>
    <w:rsid w:val="002E5232"/>
    <w:rsid w:val="002E5EB4"/>
    <w:rsid w:val="002E6E4D"/>
    <w:rsid w:val="002E7357"/>
    <w:rsid w:val="002E7C23"/>
    <w:rsid w:val="002F1307"/>
    <w:rsid w:val="002F1413"/>
    <w:rsid w:val="002F192B"/>
    <w:rsid w:val="002F21C7"/>
    <w:rsid w:val="002F244F"/>
    <w:rsid w:val="002F2576"/>
    <w:rsid w:val="002F2CED"/>
    <w:rsid w:val="002F3828"/>
    <w:rsid w:val="002F4A9C"/>
    <w:rsid w:val="002F4C15"/>
    <w:rsid w:val="002F53DE"/>
    <w:rsid w:val="002F5598"/>
    <w:rsid w:val="002F59CC"/>
    <w:rsid w:val="002F676C"/>
    <w:rsid w:val="002F6E8C"/>
    <w:rsid w:val="002F7800"/>
    <w:rsid w:val="002F7C04"/>
    <w:rsid w:val="00300685"/>
    <w:rsid w:val="00301B36"/>
    <w:rsid w:val="00301D59"/>
    <w:rsid w:val="00301F1A"/>
    <w:rsid w:val="00302B77"/>
    <w:rsid w:val="0030417B"/>
    <w:rsid w:val="0030441A"/>
    <w:rsid w:val="00304480"/>
    <w:rsid w:val="003047D2"/>
    <w:rsid w:val="003049CC"/>
    <w:rsid w:val="00304BBB"/>
    <w:rsid w:val="003050E6"/>
    <w:rsid w:val="00305C93"/>
    <w:rsid w:val="00306155"/>
    <w:rsid w:val="00306A09"/>
    <w:rsid w:val="00306FAA"/>
    <w:rsid w:val="0030741E"/>
    <w:rsid w:val="003104C4"/>
    <w:rsid w:val="003113AC"/>
    <w:rsid w:val="003127E5"/>
    <w:rsid w:val="00312BBD"/>
    <w:rsid w:val="0031315F"/>
    <w:rsid w:val="003135FC"/>
    <w:rsid w:val="0031362E"/>
    <w:rsid w:val="00313FE4"/>
    <w:rsid w:val="00314041"/>
    <w:rsid w:val="0031591E"/>
    <w:rsid w:val="0031698A"/>
    <w:rsid w:val="003169A4"/>
    <w:rsid w:val="00316F7B"/>
    <w:rsid w:val="00317630"/>
    <w:rsid w:val="00317EA2"/>
    <w:rsid w:val="00317F5D"/>
    <w:rsid w:val="00317F7E"/>
    <w:rsid w:val="0032023B"/>
    <w:rsid w:val="00320E44"/>
    <w:rsid w:val="00321ADC"/>
    <w:rsid w:val="00321CA8"/>
    <w:rsid w:val="00321D0E"/>
    <w:rsid w:val="0032218B"/>
    <w:rsid w:val="00322335"/>
    <w:rsid w:val="00322446"/>
    <w:rsid w:val="00322803"/>
    <w:rsid w:val="00323116"/>
    <w:rsid w:val="00324172"/>
    <w:rsid w:val="00324847"/>
    <w:rsid w:val="00325432"/>
    <w:rsid w:val="00325B39"/>
    <w:rsid w:val="00326429"/>
    <w:rsid w:val="00327008"/>
    <w:rsid w:val="003271E9"/>
    <w:rsid w:val="00327A51"/>
    <w:rsid w:val="00327B92"/>
    <w:rsid w:val="00330CFF"/>
    <w:rsid w:val="00330D20"/>
    <w:rsid w:val="00331D3B"/>
    <w:rsid w:val="003320F9"/>
    <w:rsid w:val="00332C57"/>
    <w:rsid w:val="00333618"/>
    <w:rsid w:val="00333C27"/>
    <w:rsid w:val="00333DDD"/>
    <w:rsid w:val="00333E6B"/>
    <w:rsid w:val="003343F4"/>
    <w:rsid w:val="003345A2"/>
    <w:rsid w:val="003348CE"/>
    <w:rsid w:val="0033512D"/>
    <w:rsid w:val="003355E5"/>
    <w:rsid w:val="00336C1E"/>
    <w:rsid w:val="00337D78"/>
    <w:rsid w:val="003420C1"/>
    <w:rsid w:val="0034291E"/>
    <w:rsid w:val="003429B6"/>
    <w:rsid w:val="00342AC7"/>
    <w:rsid w:val="00342BDD"/>
    <w:rsid w:val="00342E8C"/>
    <w:rsid w:val="00344837"/>
    <w:rsid w:val="003456DC"/>
    <w:rsid w:val="00346AED"/>
    <w:rsid w:val="00351878"/>
    <w:rsid w:val="003519E7"/>
    <w:rsid w:val="00352B5E"/>
    <w:rsid w:val="00353510"/>
    <w:rsid w:val="00354426"/>
    <w:rsid w:val="00354EB8"/>
    <w:rsid w:val="00355BD2"/>
    <w:rsid w:val="003569A6"/>
    <w:rsid w:val="00356B69"/>
    <w:rsid w:val="0035735C"/>
    <w:rsid w:val="00357490"/>
    <w:rsid w:val="003574EF"/>
    <w:rsid w:val="00357A50"/>
    <w:rsid w:val="00360B7F"/>
    <w:rsid w:val="00361508"/>
    <w:rsid w:val="00361DD6"/>
    <w:rsid w:val="00362251"/>
    <w:rsid w:val="00362DA7"/>
    <w:rsid w:val="0036347D"/>
    <w:rsid w:val="003638BB"/>
    <w:rsid w:val="00364550"/>
    <w:rsid w:val="00364B6D"/>
    <w:rsid w:val="00364C42"/>
    <w:rsid w:val="00365708"/>
    <w:rsid w:val="003661FF"/>
    <w:rsid w:val="003667FB"/>
    <w:rsid w:val="00367195"/>
    <w:rsid w:val="00367202"/>
    <w:rsid w:val="003677FE"/>
    <w:rsid w:val="0037025B"/>
    <w:rsid w:val="00371695"/>
    <w:rsid w:val="0037244A"/>
    <w:rsid w:val="003727AC"/>
    <w:rsid w:val="00373252"/>
    <w:rsid w:val="00373635"/>
    <w:rsid w:val="00373642"/>
    <w:rsid w:val="003761B7"/>
    <w:rsid w:val="00376733"/>
    <w:rsid w:val="00376C21"/>
    <w:rsid w:val="00376CAF"/>
    <w:rsid w:val="00377572"/>
    <w:rsid w:val="00377C04"/>
    <w:rsid w:val="00380949"/>
    <w:rsid w:val="00380D6D"/>
    <w:rsid w:val="00380F1F"/>
    <w:rsid w:val="0038186E"/>
    <w:rsid w:val="0038187A"/>
    <w:rsid w:val="003821CB"/>
    <w:rsid w:val="00382419"/>
    <w:rsid w:val="0038247B"/>
    <w:rsid w:val="00382F1E"/>
    <w:rsid w:val="00384507"/>
    <w:rsid w:val="003845F4"/>
    <w:rsid w:val="003849B4"/>
    <w:rsid w:val="00384E18"/>
    <w:rsid w:val="00384F86"/>
    <w:rsid w:val="0038504F"/>
    <w:rsid w:val="00386C16"/>
    <w:rsid w:val="00387282"/>
    <w:rsid w:val="003874E2"/>
    <w:rsid w:val="00390208"/>
    <w:rsid w:val="00390613"/>
    <w:rsid w:val="00390EBF"/>
    <w:rsid w:val="00391677"/>
    <w:rsid w:val="00391851"/>
    <w:rsid w:val="00391BFE"/>
    <w:rsid w:val="00392D53"/>
    <w:rsid w:val="003932D4"/>
    <w:rsid w:val="00393DC0"/>
    <w:rsid w:val="00393E69"/>
    <w:rsid w:val="0039594B"/>
    <w:rsid w:val="003961A2"/>
    <w:rsid w:val="003964E5"/>
    <w:rsid w:val="003965EF"/>
    <w:rsid w:val="00396B00"/>
    <w:rsid w:val="00396EC3"/>
    <w:rsid w:val="00397086"/>
    <w:rsid w:val="00397571"/>
    <w:rsid w:val="003A002A"/>
    <w:rsid w:val="003A025E"/>
    <w:rsid w:val="003A054F"/>
    <w:rsid w:val="003A0855"/>
    <w:rsid w:val="003A10A1"/>
    <w:rsid w:val="003A1758"/>
    <w:rsid w:val="003A2950"/>
    <w:rsid w:val="003A43BB"/>
    <w:rsid w:val="003A4A92"/>
    <w:rsid w:val="003A4B85"/>
    <w:rsid w:val="003A4BBB"/>
    <w:rsid w:val="003A4C70"/>
    <w:rsid w:val="003A4E8E"/>
    <w:rsid w:val="003A53FB"/>
    <w:rsid w:val="003A5876"/>
    <w:rsid w:val="003A5D4E"/>
    <w:rsid w:val="003A6207"/>
    <w:rsid w:val="003A70BF"/>
    <w:rsid w:val="003A711E"/>
    <w:rsid w:val="003A773C"/>
    <w:rsid w:val="003B055D"/>
    <w:rsid w:val="003B1F7D"/>
    <w:rsid w:val="003B288B"/>
    <w:rsid w:val="003B2D8C"/>
    <w:rsid w:val="003B31E9"/>
    <w:rsid w:val="003B373E"/>
    <w:rsid w:val="003B394B"/>
    <w:rsid w:val="003B3AAA"/>
    <w:rsid w:val="003B3B87"/>
    <w:rsid w:val="003B4A7E"/>
    <w:rsid w:val="003B5743"/>
    <w:rsid w:val="003B5BA9"/>
    <w:rsid w:val="003B64E7"/>
    <w:rsid w:val="003B7E88"/>
    <w:rsid w:val="003B7F66"/>
    <w:rsid w:val="003C217F"/>
    <w:rsid w:val="003C21AA"/>
    <w:rsid w:val="003C2369"/>
    <w:rsid w:val="003C2D6B"/>
    <w:rsid w:val="003C2DDE"/>
    <w:rsid w:val="003C3FEC"/>
    <w:rsid w:val="003C4308"/>
    <w:rsid w:val="003C4B56"/>
    <w:rsid w:val="003C4F26"/>
    <w:rsid w:val="003C4F52"/>
    <w:rsid w:val="003C55BC"/>
    <w:rsid w:val="003C5B33"/>
    <w:rsid w:val="003C5DB3"/>
    <w:rsid w:val="003C6741"/>
    <w:rsid w:val="003C67BC"/>
    <w:rsid w:val="003C67CC"/>
    <w:rsid w:val="003C6D39"/>
    <w:rsid w:val="003C7652"/>
    <w:rsid w:val="003C7DD6"/>
    <w:rsid w:val="003D0133"/>
    <w:rsid w:val="003D0D21"/>
    <w:rsid w:val="003D0DF0"/>
    <w:rsid w:val="003D1C41"/>
    <w:rsid w:val="003D1FD4"/>
    <w:rsid w:val="003D2476"/>
    <w:rsid w:val="003D2856"/>
    <w:rsid w:val="003D2F27"/>
    <w:rsid w:val="003D3F75"/>
    <w:rsid w:val="003D43AC"/>
    <w:rsid w:val="003D50B7"/>
    <w:rsid w:val="003D54F7"/>
    <w:rsid w:val="003D5EFC"/>
    <w:rsid w:val="003D6516"/>
    <w:rsid w:val="003D6FD9"/>
    <w:rsid w:val="003D7089"/>
    <w:rsid w:val="003D7E8C"/>
    <w:rsid w:val="003D7F8C"/>
    <w:rsid w:val="003E1CE9"/>
    <w:rsid w:val="003E3004"/>
    <w:rsid w:val="003E329B"/>
    <w:rsid w:val="003E364D"/>
    <w:rsid w:val="003E3C8F"/>
    <w:rsid w:val="003E42E2"/>
    <w:rsid w:val="003E4B2F"/>
    <w:rsid w:val="003E577D"/>
    <w:rsid w:val="003E6911"/>
    <w:rsid w:val="003E7379"/>
    <w:rsid w:val="003E7E18"/>
    <w:rsid w:val="003E7F9F"/>
    <w:rsid w:val="003E7FDF"/>
    <w:rsid w:val="003F138A"/>
    <w:rsid w:val="003F1E90"/>
    <w:rsid w:val="003F2311"/>
    <w:rsid w:val="003F2B7D"/>
    <w:rsid w:val="003F314E"/>
    <w:rsid w:val="003F41CE"/>
    <w:rsid w:val="003F4BB2"/>
    <w:rsid w:val="003F687E"/>
    <w:rsid w:val="003F7090"/>
    <w:rsid w:val="003F712E"/>
    <w:rsid w:val="003F71ED"/>
    <w:rsid w:val="00400A3B"/>
    <w:rsid w:val="00400B50"/>
    <w:rsid w:val="00400E20"/>
    <w:rsid w:val="00401149"/>
    <w:rsid w:val="004011F8"/>
    <w:rsid w:val="00401362"/>
    <w:rsid w:val="004013D7"/>
    <w:rsid w:val="00401815"/>
    <w:rsid w:val="0040239A"/>
    <w:rsid w:val="00402A25"/>
    <w:rsid w:val="00403028"/>
    <w:rsid w:val="0040309A"/>
    <w:rsid w:val="0040374A"/>
    <w:rsid w:val="00403A1C"/>
    <w:rsid w:val="00403F8A"/>
    <w:rsid w:val="00404345"/>
    <w:rsid w:val="00404718"/>
    <w:rsid w:val="00404AA4"/>
    <w:rsid w:val="00404F79"/>
    <w:rsid w:val="0040512F"/>
    <w:rsid w:val="004053D2"/>
    <w:rsid w:val="004054DD"/>
    <w:rsid w:val="00406B37"/>
    <w:rsid w:val="00406B91"/>
    <w:rsid w:val="00406E47"/>
    <w:rsid w:val="00406F70"/>
    <w:rsid w:val="00411644"/>
    <w:rsid w:val="0041168E"/>
    <w:rsid w:val="00411B09"/>
    <w:rsid w:val="004121B7"/>
    <w:rsid w:val="0041311F"/>
    <w:rsid w:val="00413B85"/>
    <w:rsid w:val="00413C4D"/>
    <w:rsid w:val="00413C75"/>
    <w:rsid w:val="0041406F"/>
    <w:rsid w:val="0041522C"/>
    <w:rsid w:val="00415D15"/>
    <w:rsid w:val="00416545"/>
    <w:rsid w:val="004172FE"/>
    <w:rsid w:val="00417D0A"/>
    <w:rsid w:val="004216BE"/>
    <w:rsid w:val="00421B57"/>
    <w:rsid w:val="00422309"/>
    <w:rsid w:val="004225E9"/>
    <w:rsid w:val="0042551B"/>
    <w:rsid w:val="004257ED"/>
    <w:rsid w:val="004259E9"/>
    <w:rsid w:val="00425D3D"/>
    <w:rsid w:val="00426FDE"/>
    <w:rsid w:val="0043082F"/>
    <w:rsid w:val="00430E0F"/>
    <w:rsid w:val="004320E3"/>
    <w:rsid w:val="00432A57"/>
    <w:rsid w:val="00433388"/>
    <w:rsid w:val="004336BB"/>
    <w:rsid w:val="00434F15"/>
    <w:rsid w:val="00435E79"/>
    <w:rsid w:val="00437E6D"/>
    <w:rsid w:val="0044043D"/>
    <w:rsid w:val="00440584"/>
    <w:rsid w:val="0044071F"/>
    <w:rsid w:val="00440B1D"/>
    <w:rsid w:val="00440B3F"/>
    <w:rsid w:val="00440BCC"/>
    <w:rsid w:val="00440C6D"/>
    <w:rsid w:val="00440E94"/>
    <w:rsid w:val="004410DD"/>
    <w:rsid w:val="0044186B"/>
    <w:rsid w:val="00441F9B"/>
    <w:rsid w:val="00442D8E"/>
    <w:rsid w:val="004434CD"/>
    <w:rsid w:val="0044396E"/>
    <w:rsid w:val="00444770"/>
    <w:rsid w:val="004458EC"/>
    <w:rsid w:val="00445A2B"/>
    <w:rsid w:val="00445A3B"/>
    <w:rsid w:val="0044638B"/>
    <w:rsid w:val="00446D93"/>
    <w:rsid w:val="00446E45"/>
    <w:rsid w:val="004506AF"/>
    <w:rsid w:val="00450A8B"/>
    <w:rsid w:val="00450B90"/>
    <w:rsid w:val="0045104D"/>
    <w:rsid w:val="004521F7"/>
    <w:rsid w:val="004527F9"/>
    <w:rsid w:val="00452834"/>
    <w:rsid w:val="00452C19"/>
    <w:rsid w:val="0045333F"/>
    <w:rsid w:val="00454229"/>
    <w:rsid w:val="00455086"/>
    <w:rsid w:val="00455761"/>
    <w:rsid w:val="0045588A"/>
    <w:rsid w:val="00455D79"/>
    <w:rsid w:val="00455DC0"/>
    <w:rsid w:val="00456E82"/>
    <w:rsid w:val="004601AE"/>
    <w:rsid w:val="004606FE"/>
    <w:rsid w:val="00460BE1"/>
    <w:rsid w:val="00460DF1"/>
    <w:rsid w:val="00460DF4"/>
    <w:rsid w:val="0046272D"/>
    <w:rsid w:val="004635AA"/>
    <w:rsid w:val="00463999"/>
    <w:rsid w:val="00464235"/>
    <w:rsid w:val="00464FEF"/>
    <w:rsid w:val="0046513F"/>
    <w:rsid w:val="0046552F"/>
    <w:rsid w:val="0046559F"/>
    <w:rsid w:val="0046567A"/>
    <w:rsid w:val="004656C3"/>
    <w:rsid w:val="00466338"/>
    <w:rsid w:val="00466EC9"/>
    <w:rsid w:val="00467513"/>
    <w:rsid w:val="00467595"/>
    <w:rsid w:val="00467C94"/>
    <w:rsid w:val="00470876"/>
    <w:rsid w:val="00471488"/>
    <w:rsid w:val="00471C80"/>
    <w:rsid w:val="00472263"/>
    <w:rsid w:val="0047287D"/>
    <w:rsid w:val="00472887"/>
    <w:rsid w:val="00472A1B"/>
    <w:rsid w:val="00472B53"/>
    <w:rsid w:val="0047366E"/>
    <w:rsid w:val="00473E2E"/>
    <w:rsid w:val="00476738"/>
    <w:rsid w:val="00476943"/>
    <w:rsid w:val="00477AB0"/>
    <w:rsid w:val="00481AEA"/>
    <w:rsid w:val="00481E27"/>
    <w:rsid w:val="00482464"/>
    <w:rsid w:val="004829DD"/>
    <w:rsid w:val="00482ECF"/>
    <w:rsid w:val="00482F33"/>
    <w:rsid w:val="00483ACA"/>
    <w:rsid w:val="00483DEA"/>
    <w:rsid w:val="00483DFC"/>
    <w:rsid w:val="0048459E"/>
    <w:rsid w:val="00484710"/>
    <w:rsid w:val="0048510E"/>
    <w:rsid w:val="00485254"/>
    <w:rsid w:val="00486563"/>
    <w:rsid w:val="00486758"/>
    <w:rsid w:val="0048702E"/>
    <w:rsid w:val="00487509"/>
    <w:rsid w:val="00487832"/>
    <w:rsid w:val="00487A6B"/>
    <w:rsid w:val="00487D48"/>
    <w:rsid w:val="00490D0A"/>
    <w:rsid w:val="00491624"/>
    <w:rsid w:val="00491642"/>
    <w:rsid w:val="00493926"/>
    <w:rsid w:val="00493C0F"/>
    <w:rsid w:val="00493CD5"/>
    <w:rsid w:val="0049400B"/>
    <w:rsid w:val="004945BF"/>
    <w:rsid w:val="00494FAA"/>
    <w:rsid w:val="0049502A"/>
    <w:rsid w:val="00496324"/>
    <w:rsid w:val="00496446"/>
    <w:rsid w:val="004965A5"/>
    <w:rsid w:val="00496E58"/>
    <w:rsid w:val="00497067"/>
    <w:rsid w:val="0049732F"/>
    <w:rsid w:val="00497A18"/>
    <w:rsid w:val="004A0334"/>
    <w:rsid w:val="004A0964"/>
    <w:rsid w:val="004A0E0C"/>
    <w:rsid w:val="004A1151"/>
    <w:rsid w:val="004A156A"/>
    <w:rsid w:val="004A2A86"/>
    <w:rsid w:val="004A386D"/>
    <w:rsid w:val="004A44E0"/>
    <w:rsid w:val="004A4B6F"/>
    <w:rsid w:val="004A4B97"/>
    <w:rsid w:val="004A5454"/>
    <w:rsid w:val="004A5664"/>
    <w:rsid w:val="004A5A21"/>
    <w:rsid w:val="004A6058"/>
    <w:rsid w:val="004A6FA8"/>
    <w:rsid w:val="004A74B0"/>
    <w:rsid w:val="004A7DC3"/>
    <w:rsid w:val="004B0C4B"/>
    <w:rsid w:val="004B0DF0"/>
    <w:rsid w:val="004B2AFB"/>
    <w:rsid w:val="004B31C2"/>
    <w:rsid w:val="004B385F"/>
    <w:rsid w:val="004B390E"/>
    <w:rsid w:val="004B4B22"/>
    <w:rsid w:val="004B4C58"/>
    <w:rsid w:val="004B5F56"/>
    <w:rsid w:val="004B7259"/>
    <w:rsid w:val="004B74C6"/>
    <w:rsid w:val="004C0E30"/>
    <w:rsid w:val="004C2831"/>
    <w:rsid w:val="004C2BF4"/>
    <w:rsid w:val="004C476C"/>
    <w:rsid w:val="004C4E4B"/>
    <w:rsid w:val="004C5740"/>
    <w:rsid w:val="004C589C"/>
    <w:rsid w:val="004C5D71"/>
    <w:rsid w:val="004C68F8"/>
    <w:rsid w:val="004C6B34"/>
    <w:rsid w:val="004D046D"/>
    <w:rsid w:val="004D06B2"/>
    <w:rsid w:val="004D0DCA"/>
    <w:rsid w:val="004D161F"/>
    <w:rsid w:val="004D217A"/>
    <w:rsid w:val="004D27B0"/>
    <w:rsid w:val="004D2F2D"/>
    <w:rsid w:val="004D3077"/>
    <w:rsid w:val="004D320D"/>
    <w:rsid w:val="004D4A71"/>
    <w:rsid w:val="004D566F"/>
    <w:rsid w:val="004D5C6E"/>
    <w:rsid w:val="004D68D7"/>
    <w:rsid w:val="004D6A27"/>
    <w:rsid w:val="004D6D80"/>
    <w:rsid w:val="004D6E34"/>
    <w:rsid w:val="004D76E0"/>
    <w:rsid w:val="004D7B86"/>
    <w:rsid w:val="004D7FF1"/>
    <w:rsid w:val="004E01B1"/>
    <w:rsid w:val="004E04DD"/>
    <w:rsid w:val="004E05B3"/>
    <w:rsid w:val="004E0EEC"/>
    <w:rsid w:val="004E157E"/>
    <w:rsid w:val="004E1B22"/>
    <w:rsid w:val="004E3314"/>
    <w:rsid w:val="004E419B"/>
    <w:rsid w:val="004E4A69"/>
    <w:rsid w:val="004E579F"/>
    <w:rsid w:val="004E60F3"/>
    <w:rsid w:val="004E64C5"/>
    <w:rsid w:val="004E7684"/>
    <w:rsid w:val="004E7F84"/>
    <w:rsid w:val="004F02A2"/>
    <w:rsid w:val="004F0F15"/>
    <w:rsid w:val="004F2415"/>
    <w:rsid w:val="004F2987"/>
    <w:rsid w:val="004F2AE2"/>
    <w:rsid w:val="004F2B9E"/>
    <w:rsid w:val="004F3AC6"/>
    <w:rsid w:val="004F3FF4"/>
    <w:rsid w:val="004F40F0"/>
    <w:rsid w:val="004F4127"/>
    <w:rsid w:val="004F4567"/>
    <w:rsid w:val="004F504D"/>
    <w:rsid w:val="004F504F"/>
    <w:rsid w:val="004F5A07"/>
    <w:rsid w:val="004F715B"/>
    <w:rsid w:val="004F7710"/>
    <w:rsid w:val="004F7ACB"/>
    <w:rsid w:val="005002DB"/>
    <w:rsid w:val="00500406"/>
    <w:rsid w:val="00500CC6"/>
    <w:rsid w:val="005018B2"/>
    <w:rsid w:val="00501DAB"/>
    <w:rsid w:val="005022B5"/>
    <w:rsid w:val="00502C8E"/>
    <w:rsid w:val="005033E3"/>
    <w:rsid w:val="005042E0"/>
    <w:rsid w:val="00504488"/>
    <w:rsid w:val="00504D3D"/>
    <w:rsid w:val="00504E1C"/>
    <w:rsid w:val="005059E5"/>
    <w:rsid w:val="00505E5F"/>
    <w:rsid w:val="00506B29"/>
    <w:rsid w:val="00510A78"/>
    <w:rsid w:val="00510C5E"/>
    <w:rsid w:val="00511122"/>
    <w:rsid w:val="005114A0"/>
    <w:rsid w:val="0051155C"/>
    <w:rsid w:val="0051165C"/>
    <w:rsid w:val="00511AE3"/>
    <w:rsid w:val="005121AC"/>
    <w:rsid w:val="005125A1"/>
    <w:rsid w:val="0051288A"/>
    <w:rsid w:val="00512BFF"/>
    <w:rsid w:val="00512E31"/>
    <w:rsid w:val="0051387E"/>
    <w:rsid w:val="0051458F"/>
    <w:rsid w:val="00514C2B"/>
    <w:rsid w:val="00514D25"/>
    <w:rsid w:val="005157D8"/>
    <w:rsid w:val="0051607D"/>
    <w:rsid w:val="00516447"/>
    <w:rsid w:val="005164DF"/>
    <w:rsid w:val="005168E4"/>
    <w:rsid w:val="0051729B"/>
    <w:rsid w:val="005174D9"/>
    <w:rsid w:val="00517BDB"/>
    <w:rsid w:val="00520069"/>
    <w:rsid w:val="0052022A"/>
    <w:rsid w:val="00520413"/>
    <w:rsid w:val="00520661"/>
    <w:rsid w:val="005241BD"/>
    <w:rsid w:val="00525631"/>
    <w:rsid w:val="005264F2"/>
    <w:rsid w:val="00526C5E"/>
    <w:rsid w:val="005277D8"/>
    <w:rsid w:val="00527B75"/>
    <w:rsid w:val="005300F1"/>
    <w:rsid w:val="005303FE"/>
    <w:rsid w:val="0053061A"/>
    <w:rsid w:val="0053069D"/>
    <w:rsid w:val="0053118F"/>
    <w:rsid w:val="00531B04"/>
    <w:rsid w:val="00531BF8"/>
    <w:rsid w:val="00532133"/>
    <w:rsid w:val="00532850"/>
    <w:rsid w:val="0053288D"/>
    <w:rsid w:val="00532D5A"/>
    <w:rsid w:val="00533239"/>
    <w:rsid w:val="00533933"/>
    <w:rsid w:val="00534265"/>
    <w:rsid w:val="00534551"/>
    <w:rsid w:val="00534B80"/>
    <w:rsid w:val="00534FFF"/>
    <w:rsid w:val="0053532F"/>
    <w:rsid w:val="00537268"/>
    <w:rsid w:val="005378AF"/>
    <w:rsid w:val="00540266"/>
    <w:rsid w:val="00540A69"/>
    <w:rsid w:val="00540C0F"/>
    <w:rsid w:val="00541765"/>
    <w:rsid w:val="00541DC5"/>
    <w:rsid w:val="0054216B"/>
    <w:rsid w:val="00542CC6"/>
    <w:rsid w:val="00543799"/>
    <w:rsid w:val="00544E4F"/>
    <w:rsid w:val="00546A1B"/>
    <w:rsid w:val="00547705"/>
    <w:rsid w:val="0054771C"/>
    <w:rsid w:val="005478ED"/>
    <w:rsid w:val="005504CD"/>
    <w:rsid w:val="00550E79"/>
    <w:rsid w:val="00551B5B"/>
    <w:rsid w:val="00551BD5"/>
    <w:rsid w:val="00551DE5"/>
    <w:rsid w:val="00553A6F"/>
    <w:rsid w:val="00554365"/>
    <w:rsid w:val="0055508E"/>
    <w:rsid w:val="005558E3"/>
    <w:rsid w:val="005569F5"/>
    <w:rsid w:val="005573FA"/>
    <w:rsid w:val="00557695"/>
    <w:rsid w:val="00557C21"/>
    <w:rsid w:val="00557D2F"/>
    <w:rsid w:val="00560644"/>
    <w:rsid w:val="005615F6"/>
    <w:rsid w:val="005619A2"/>
    <w:rsid w:val="005634E0"/>
    <w:rsid w:val="005646B3"/>
    <w:rsid w:val="0056490E"/>
    <w:rsid w:val="00564ECD"/>
    <w:rsid w:val="00564F36"/>
    <w:rsid w:val="00565D12"/>
    <w:rsid w:val="00566155"/>
    <w:rsid w:val="005665F8"/>
    <w:rsid w:val="00567968"/>
    <w:rsid w:val="0057005C"/>
    <w:rsid w:val="0057010E"/>
    <w:rsid w:val="0057060A"/>
    <w:rsid w:val="005707C2"/>
    <w:rsid w:val="0057092A"/>
    <w:rsid w:val="00570D57"/>
    <w:rsid w:val="00570F77"/>
    <w:rsid w:val="00571161"/>
    <w:rsid w:val="005714F5"/>
    <w:rsid w:val="005715BD"/>
    <w:rsid w:val="00571B25"/>
    <w:rsid w:val="00571D61"/>
    <w:rsid w:val="005721A7"/>
    <w:rsid w:val="00572D12"/>
    <w:rsid w:val="00573DBC"/>
    <w:rsid w:val="005742BF"/>
    <w:rsid w:val="00574B49"/>
    <w:rsid w:val="00575766"/>
    <w:rsid w:val="005760B3"/>
    <w:rsid w:val="00576407"/>
    <w:rsid w:val="005769DF"/>
    <w:rsid w:val="00577802"/>
    <w:rsid w:val="00581B82"/>
    <w:rsid w:val="005826B7"/>
    <w:rsid w:val="00582B79"/>
    <w:rsid w:val="00582DA3"/>
    <w:rsid w:val="00582EB8"/>
    <w:rsid w:val="00582ED4"/>
    <w:rsid w:val="00583672"/>
    <w:rsid w:val="00583D91"/>
    <w:rsid w:val="00583F04"/>
    <w:rsid w:val="005841E4"/>
    <w:rsid w:val="005845A7"/>
    <w:rsid w:val="00584ECD"/>
    <w:rsid w:val="0058504B"/>
    <w:rsid w:val="005854AB"/>
    <w:rsid w:val="00590240"/>
    <w:rsid w:val="00590335"/>
    <w:rsid w:val="00590F19"/>
    <w:rsid w:val="005918C6"/>
    <w:rsid w:val="00591F66"/>
    <w:rsid w:val="00592A43"/>
    <w:rsid w:val="005930E5"/>
    <w:rsid w:val="00594598"/>
    <w:rsid w:val="0059595B"/>
    <w:rsid w:val="005964AB"/>
    <w:rsid w:val="005966BA"/>
    <w:rsid w:val="0059710E"/>
    <w:rsid w:val="005A06AF"/>
    <w:rsid w:val="005A077E"/>
    <w:rsid w:val="005A08CF"/>
    <w:rsid w:val="005A0E54"/>
    <w:rsid w:val="005A143A"/>
    <w:rsid w:val="005A2A7B"/>
    <w:rsid w:val="005A2F82"/>
    <w:rsid w:val="005A47B3"/>
    <w:rsid w:val="005A4A34"/>
    <w:rsid w:val="005A513E"/>
    <w:rsid w:val="005A52DC"/>
    <w:rsid w:val="005A5574"/>
    <w:rsid w:val="005A5619"/>
    <w:rsid w:val="005A6709"/>
    <w:rsid w:val="005A673F"/>
    <w:rsid w:val="005A758A"/>
    <w:rsid w:val="005B041E"/>
    <w:rsid w:val="005B0465"/>
    <w:rsid w:val="005B10BA"/>
    <w:rsid w:val="005B1128"/>
    <w:rsid w:val="005B1133"/>
    <w:rsid w:val="005B215A"/>
    <w:rsid w:val="005B281B"/>
    <w:rsid w:val="005B2D6B"/>
    <w:rsid w:val="005B3570"/>
    <w:rsid w:val="005B375A"/>
    <w:rsid w:val="005B3C19"/>
    <w:rsid w:val="005B45CA"/>
    <w:rsid w:val="005B4BC8"/>
    <w:rsid w:val="005B4F5B"/>
    <w:rsid w:val="005B5AFF"/>
    <w:rsid w:val="005B6FA7"/>
    <w:rsid w:val="005B7B94"/>
    <w:rsid w:val="005C05E2"/>
    <w:rsid w:val="005C0F06"/>
    <w:rsid w:val="005C116A"/>
    <w:rsid w:val="005C1304"/>
    <w:rsid w:val="005C1325"/>
    <w:rsid w:val="005C1697"/>
    <w:rsid w:val="005C1CE7"/>
    <w:rsid w:val="005C1DC4"/>
    <w:rsid w:val="005C2030"/>
    <w:rsid w:val="005C25CF"/>
    <w:rsid w:val="005C2A60"/>
    <w:rsid w:val="005C2AA4"/>
    <w:rsid w:val="005C32C2"/>
    <w:rsid w:val="005C3C2D"/>
    <w:rsid w:val="005C40DD"/>
    <w:rsid w:val="005C414E"/>
    <w:rsid w:val="005C45FE"/>
    <w:rsid w:val="005C5D01"/>
    <w:rsid w:val="005C66C2"/>
    <w:rsid w:val="005C7812"/>
    <w:rsid w:val="005C7CBF"/>
    <w:rsid w:val="005C7F09"/>
    <w:rsid w:val="005D0312"/>
    <w:rsid w:val="005D0985"/>
    <w:rsid w:val="005D1AC7"/>
    <w:rsid w:val="005D279A"/>
    <w:rsid w:val="005D3134"/>
    <w:rsid w:val="005D4211"/>
    <w:rsid w:val="005D42CA"/>
    <w:rsid w:val="005D45FB"/>
    <w:rsid w:val="005D4CA5"/>
    <w:rsid w:val="005D52E8"/>
    <w:rsid w:val="005D5782"/>
    <w:rsid w:val="005D58F7"/>
    <w:rsid w:val="005D62A5"/>
    <w:rsid w:val="005D64D5"/>
    <w:rsid w:val="005D6FC7"/>
    <w:rsid w:val="005D72A7"/>
    <w:rsid w:val="005D73E6"/>
    <w:rsid w:val="005D762F"/>
    <w:rsid w:val="005E0934"/>
    <w:rsid w:val="005E17AD"/>
    <w:rsid w:val="005E1D99"/>
    <w:rsid w:val="005E2CD1"/>
    <w:rsid w:val="005E358F"/>
    <w:rsid w:val="005E4578"/>
    <w:rsid w:val="005E47A0"/>
    <w:rsid w:val="005E5480"/>
    <w:rsid w:val="005E58C7"/>
    <w:rsid w:val="005E5CA5"/>
    <w:rsid w:val="005E6BE0"/>
    <w:rsid w:val="005E6E03"/>
    <w:rsid w:val="005E70E3"/>
    <w:rsid w:val="005E72D1"/>
    <w:rsid w:val="005E7570"/>
    <w:rsid w:val="005E7B58"/>
    <w:rsid w:val="005E7B60"/>
    <w:rsid w:val="005F012A"/>
    <w:rsid w:val="005F019C"/>
    <w:rsid w:val="005F0929"/>
    <w:rsid w:val="005F2703"/>
    <w:rsid w:val="005F31BD"/>
    <w:rsid w:val="005F33BB"/>
    <w:rsid w:val="005F3A03"/>
    <w:rsid w:val="005F4FB8"/>
    <w:rsid w:val="005F5B31"/>
    <w:rsid w:val="005F62B3"/>
    <w:rsid w:val="005F65E8"/>
    <w:rsid w:val="005F67CE"/>
    <w:rsid w:val="005F70ED"/>
    <w:rsid w:val="005F750F"/>
    <w:rsid w:val="005F7611"/>
    <w:rsid w:val="006005C1"/>
    <w:rsid w:val="006007CF"/>
    <w:rsid w:val="00604308"/>
    <w:rsid w:val="006043EB"/>
    <w:rsid w:val="00604921"/>
    <w:rsid w:val="00604E64"/>
    <w:rsid w:val="006056A6"/>
    <w:rsid w:val="0060581E"/>
    <w:rsid w:val="00606F06"/>
    <w:rsid w:val="00607838"/>
    <w:rsid w:val="00607866"/>
    <w:rsid w:val="006107F0"/>
    <w:rsid w:val="006108C6"/>
    <w:rsid w:val="0061143A"/>
    <w:rsid w:val="0061296D"/>
    <w:rsid w:val="00612E5E"/>
    <w:rsid w:val="00612F29"/>
    <w:rsid w:val="00614AA6"/>
    <w:rsid w:val="006157CC"/>
    <w:rsid w:val="00615F66"/>
    <w:rsid w:val="00616C45"/>
    <w:rsid w:val="00617806"/>
    <w:rsid w:val="00617C74"/>
    <w:rsid w:val="00620187"/>
    <w:rsid w:val="006205F1"/>
    <w:rsid w:val="00621582"/>
    <w:rsid w:val="006228FF"/>
    <w:rsid w:val="00622AC6"/>
    <w:rsid w:val="00622E9B"/>
    <w:rsid w:val="00623549"/>
    <w:rsid w:val="0062355C"/>
    <w:rsid w:val="006243C7"/>
    <w:rsid w:val="00624F11"/>
    <w:rsid w:val="006255D9"/>
    <w:rsid w:val="00626788"/>
    <w:rsid w:val="00630025"/>
    <w:rsid w:val="006308AE"/>
    <w:rsid w:val="00630FE9"/>
    <w:rsid w:val="00632427"/>
    <w:rsid w:val="006325DC"/>
    <w:rsid w:val="0063294D"/>
    <w:rsid w:val="0063356F"/>
    <w:rsid w:val="00633583"/>
    <w:rsid w:val="00633CAA"/>
    <w:rsid w:val="0063485A"/>
    <w:rsid w:val="00634CA6"/>
    <w:rsid w:val="00634D41"/>
    <w:rsid w:val="00634FD2"/>
    <w:rsid w:val="00635345"/>
    <w:rsid w:val="006356C2"/>
    <w:rsid w:val="00635A9E"/>
    <w:rsid w:val="00636398"/>
    <w:rsid w:val="00637E0B"/>
    <w:rsid w:val="006402DA"/>
    <w:rsid w:val="00640BD1"/>
    <w:rsid w:val="0064175E"/>
    <w:rsid w:val="00641766"/>
    <w:rsid w:val="00642604"/>
    <w:rsid w:val="00642637"/>
    <w:rsid w:val="00642641"/>
    <w:rsid w:val="00642C39"/>
    <w:rsid w:val="00643903"/>
    <w:rsid w:val="00643A47"/>
    <w:rsid w:val="00644167"/>
    <w:rsid w:val="006441AA"/>
    <w:rsid w:val="00645005"/>
    <w:rsid w:val="00645673"/>
    <w:rsid w:val="006456BB"/>
    <w:rsid w:val="00645DA5"/>
    <w:rsid w:val="0064633F"/>
    <w:rsid w:val="0064682F"/>
    <w:rsid w:val="006468F3"/>
    <w:rsid w:val="00646CBE"/>
    <w:rsid w:val="00646E34"/>
    <w:rsid w:val="006507A4"/>
    <w:rsid w:val="00650CA6"/>
    <w:rsid w:val="006512F4"/>
    <w:rsid w:val="00651397"/>
    <w:rsid w:val="00651764"/>
    <w:rsid w:val="006529EF"/>
    <w:rsid w:val="00652F32"/>
    <w:rsid w:val="006543FF"/>
    <w:rsid w:val="00654B3E"/>
    <w:rsid w:val="00654B5B"/>
    <w:rsid w:val="00655119"/>
    <w:rsid w:val="006553CE"/>
    <w:rsid w:val="006554B0"/>
    <w:rsid w:val="00655CE6"/>
    <w:rsid w:val="006568A7"/>
    <w:rsid w:val="006569D7"/>
    <w:rsid w:val="00656B74"/>
    <w:rsid w:val="00656D59"/>
    <w:rsid w:val="00657015"/>
    <w:rsid w:val="00657248"/>
    <w:rsid w:val="006573E7"/>
    <w:rsid w:val="00660022"/>
    <w:rsid w:val="00660829"/>
    <w:rsid w:val="00660BA6"/>
    <w:rsid w:val="0066178F"/>
    <w:rsid w:val="00661B11"/>
    <w:rsid w:val="00661EEE"/>
    <w:rsid w:val="006620EB"/>
    <w:rsid w:val="006625AE"/>
    <w:rsid w:val="00662714"/>
    <w:rsid w:val="006627D7"/>
    <w:rsid w:val="0066345A"/>
    <w:rsid w:val="006662B4"/>
    <w:rsid w:val="00666542"/>
    <w:rsid w:val="00667128"/>
    <w:rsid w:val="00667EEA"/>
    <w:rsid w:val="0067029E"/>
    <w:rsid w:val="006703A2"/>
    <w:rsid w:val="0067086B"/>
    <w:rsid w:val="00671835"/>
    <w:rsid w:val="00671B64"/>
    <w:rsid w:val="006727CC"/>
    <w:rsid w:val="00674775"/>
    <w:rsid w:val="006748AE"/>
    <w:rsid w:val="00674E73"/>
    <w:rsid w:val="00675D80"/>
    <w:rsid w:val="00675F6D"/>
    <w:rsid w:val="006769D2"/>
    <w:rsid w:val="00676AE5"/>
    <w:rsid w:val="00676C25"/>
    <w:rsid w:val="00677232"/>
    <w:rsid w:val="00677556"/>
    <w:rsid w:val="006816C1"/>
    <w:rsid w:val="006832BA"/>
    <w:rsid w:val="00683941"/>
    <w:rsid w:val="00683D48"/>
    <w:rsid w:val="00684B82"/>
    <w:rsid w:val="0068511B"/>
    <w:rsid w:val="0068519A"/>
    <w:rsid w:val="00685867"/>
    <w:rsid w:val="00686ED6"/>
    <w:rsid w:val="006870F1"/>
    <w:rsid w:val="00690654"/>
    <w:rsid w:val="0069072F"/>
    <w:rsid w:val="006908BE"/>
    <w:rsid w:val="006915F5"/>
    <w:rsid w:val="00691DCE"/>
    <w:rsid w:val="00691E14"/>
    <w:rsid w:val="00692DB8"/>
    <w:rsid w:val="0069301A"/>
    <w:rsid w:val="00693746"/>
    <w:rsid w:val="00693AF4"/>
    <w:rsid w:val="00693C06"/>
    <w:rsid w:val="00694BB3"/>
    <w:rsid w:val="00694DBB"/>
    <w:rsid w:val="00695111"/>
    <w:rsid w:val="00695198"/>
    <w:rsid w:val="00696928"/>
    <w:rsid w:val="00696BAF"/>
    <w:rsid w:val="00696FCB"/>
    <w:rsid w:val="0069794D"/>
    <w:rsid w:val="00697B21"/>
    <w:rsid w:val="00697C28"/>
    <w:rsid w:val="00697E2E"/>
    <w:rsid w:val="006A115B"/>
    <w:rsid w:val="006A158F"/>
    <w:rsid w:val="006A1A30"/>
    <w:rsid w:val="006A1E58"/>
    <w:rsid w:val="006A2067"/>
    <w:rsid w:val="006A4503"/>
    <w:rsid w:val="006A5120"/>
    <w:rsid w:val="006A5789"/>
    <w:rsid w:val="006A5794"/>
    <w:rsid w:val="006A588D"/>
    <w:rsid w:val="006A5B3F"/>
    <w:rsid w:val="006A6027"/>
    <w:rsid w:val="006A6B1A"/>
    <w:rsid w:val="006A70CB"/>
    <w:rsid w:val="006A7BB1"/>
    <w:rsid w:val="006A7BFF"/>
    <w:rsid w:val="006B0318"/>
    <w:rsid w:val="006B04F7"/>
    <w:rsid w:val="006B06D0"/>
    <w:rsid w:val="006B0BA3"/>
    <w:rsid w:val="006B1D7F"/>
    <w:rsid w:val="006B230C"/>
    <w:rsid w:val="006B2EE9"/>
    <w:rsid w:val="006B3418"/>
    <w:rsid w:val="006B3B68"/>
    <w:rsid w:val="006B47D7"/>
    <w:rsid w:val="006B4C81"/>
    <w:rsid w:val="006B6257"/>
    <w:rsid w:val="006B683A"/>
    <w:rsid w:val="006B71BF"/>
    <w:rsid w:val="006B7AF0"/>
    <w:rsid w:val="006B7C4A"/>
    <w:rsid w:val="006C016D"/>
    <w:rsid w:val="006C0B28"/>
    <w:rsid w:val="006C15EC"/>
    <w:rsid w:val="006C2EAC"/>
    <w:rsid w:val="006C37D4"/>
    <w:rsid w:val="006C3EAA"/>
    <w:rsid w:val="006C4338"/>
    <w:rsid w:val="006C4644"/>
    <w:rsid w:val="006C47D2"/>
    <w:rsid w:val="006C516E"/>
    <w:rsid w:val="006C54BB"/>
    <w:rsid w:val="006C5E3C"/>
    <w:rsid w:val="006C5F1C"/>
    <w:rsid w:val="006C66F3"/>
    <w:rsid w:val="006C6EB9"/>
    <w:rsid w:val="006C70F2"/>
    <w:rsid w:val="006C7C79"/>
    <w:rsid w:val="006C7D43"/>
    <w:rsid w:val="006D09D7"/>
    <w:rsid w:val="006D1CBC"/>
    <w:rsid w:val="006D1DA1"/>
    <w:rsid w:val="006D329B"/>
    <w:rsid w:val="006D460A"/>
    <w:rsid w:val="006D4865"/>
    <w:rsid w:val="006D5530"/>
    <w:rsid w:val="006D5A5C"/>
    <w:rsid w:val="006D5D38"/>
    <w:rsid w:val="006D6234"/>
    <w:rsid w:val="006D70C8"/>
    <w:rsid w:val="006D7118"/>
    <w:rsid w:val="006D712B"/>
    <w:rsid w:val="006D77D0"/>
    <w:rsid w:val="006E02D5"/>
    <w:rsid w:val="006E146B"/>
    <w:rsid w:val="006E1845"/>
    <w:rsid w:val="006E2972"/>
    <w:rsid w:val="006E2CE4"/>
    <w:rsid w:val="006E3230"/>
    <w:rsid w:val="006E36F0"/>
    <w:rsid w:val="006E3946"/>
    <w:rsid w:val="006E3E03"/>
    <w:rsid w:val="006E46EB"/>
    <w:rsid w:val="006E48A9"/>
    <w:rsid w:val="006E51A1"/>
    <w:rsid w:val="006E5B7D"/>
    <w:rsid w:val="006E671E"/>
    <w:rsid w:val="006E6C6E"/>
    <w:rsid w:val="006E7326"/>
    <w:rsid w:val="006F166C"/>
    <w:rsid w:val="006F2647"/>
    <w:rsid w:val="006F367B"/>
    <w:rsid w:val="006F3BFC"/>
    <w:rsid w:val="006F44E5"/>
    <w:rsid w:val="006F470F"/>
    <w:rsid w:val="006F4AE8"/>
    <w:rsid w:val="006F4B59"/>
    <w:rsid w:val="006F4EE6"/>
    <w:rsid w:val="006F56C3"/>
    <w:rsid w:val="006F6CE5"/>
    <w:rsid w:val="006F72D0"/>
    <w:rsid w:val="006F7BA1"/>
    <w:rsid w:val="006F7F3B"/>
    <w:rsid w:val="00700E98"/>
    <w:rsid w:val="007015C5"/>
    <w:rsid w:val="00702B21"/>
    <w:rsid w:val="00702B52"/>
    <w:rsid w:val="00702EE1"/>
    <w:rsid w:val="00702FF7"/>
    <w:rsid w:val="0070389C"/>
    <w:rsid w:val="00703C2D"/>
    <w:rsid w:val="00703D59"/>
    <w:rsid w:val="00703F4E"/>
    <w:rsid w:val="007045E9"/>
    <w:rsid w:val="0070475E"/>
    <w:rsid w:val="00704E09"/>
    <w:rsid w:val="0070544A"/>
    <w:rsid w:val="00706004"/>
    <w:rsid w:val="00706D13"/>
    <w:rsid w:val="00706DA7"/>
    <w:rsid w:val="0070781D"/>
    <w:rsid w:val="0071025F"/>
    <w:rsid w:val="00710608"/>
    <w:rsid w:val="00710949"/>
    <w:rsid w:val="00712B84"/>
    <w:rsid w:val="00712EF5"/>
    <w:rsid w:val="0071331F"/>
    <w:rsid w:val="00713D48"/>
    <w:rsid w:val="00714E0C"/>
    <w:rsid w:val="00714E60"/>
    <w:rsid w:val="007157B7"/>
    <w:rsid w:val="00716826"/>
    <w:rsid w:val="0071694A"/>
    <w:rsid w:val="00720F16"/>
    <w:rsid w:val="0072105E"/>
    <w:rsid w:val="007218D1"/>
    <w:rsid w:val="00721B7D"/>
    <w:rsid w:val="00721ED1"/>
    <w:rsid w:val="00721F71"/>
    <w:rsid w:val="0072233A"/>
    <w:rsid w:val="007228CE"/>
    <w:rsid w:val="00722F4F"/>
    <w:rsid w:val="00724208"/>
    <w:rsid w:val="00724474"/>
    <w:rsid w:val="00724901"/>
    <w:rsid w:val="0072509C"/>
    <w:rsid w:val="0072512C"/>
    <w:rsid w:val="00725570"/>
    <w:rsid w:val="0072721A"/>
    <w:rsid w:val="0072768F"/>
    <w:rsid w:val="00727B03"/>
    <w:rsid w:val="00731374"/>
    <w:rsid w:val="00731611"/>
    <w:rsid w:val="00731E8F"/>
    <w:rsid w:val="007321E5"/>
    <w:rsid w:val="0073259F"/>
    <w:rsid w:val="00732EBF"/>
    <w:rsid w:val="00732ED2"/>
    <w:rsid w:val="00732EF5"/>
    <w:rsid w:val="00733AA4"/>
    <w:rsid w:val="00733F73"/>
    <w:rsid w:val="00734BC5"/>
    <w:rsid w:val="00735015"/>
    <w:rsid w:val="007351E8"/>
    <w:rsid w:val="007356EE"/>
    <w:rsid w:val="00736200"/>
    <w:rsid w:val="0073625F"/>
    <w:rsid w:val="00736702"/>
    <w:rsid w:val="00736864"/>
    <w:rsid w:val="00736A08"/>
    <w:rsid w:val="0073712A"/>
    <w:rsid w:val="00737964"/>
    <w:rsid w:val="007407E5"/>
    <w:rsid w:val="00741436"/>
    <w:rsid w:val="00741501"/>
    <w:rsid w:val="007419ED"/>
    <w:rsid w:val="00741DE8"/>
    <w:rsid w:val="007426E7"/>
    <w:rsid w:val="00742740"/>
    <w:rsid w:val="007427CD"/>
    <w:rsid w:val="007430E4"/>
    <w:rsid w:val="00743D68"/>
    <w:rsid w:val="00744B24"/>
    <w:rsid w:val="00744C79"/>
    <w:rsid w:val="00745557"/>
    <w:rsid w:val="00746962"/>
    <w:rsid w:val="00746F04"/>
    <w:rsid w:val="00750268"/>
    <w:rsid w:val="00751279"/>
    <w:rsid w:val="00751F69"/>
    <w:rsid w:val="007520D0"/>
    <w:rsid w:val="007522E2"/>
    <w:rsid w:val="007524B7"/>
    <w:rsid w:val="0075335E"/>
    <w:rsid w:val="00753CB1"/>
    <w:rsid w:val="0075441E"/>
    <w:rsid w:val="00755348"/>
    <w:rsid w:val="007565D1"/>
    <w:rsid w:val="00756898"/>
    <w:rsid w:val="00757C79"/>
    <w:rsid w:val="007600A2"/>
    <w:rsid w:val="0076021C"/>
    <w:rsid w:val="00760575"/>
    <w:rsid w:val="00760732"/>
    <w:rsid w:val="00760F06"/>
    <w:rsid w:val="007611D1"/>
    <w:rsid w:val="00761500"/>
    <w:rsid w:val="00761764"/>
    <w:rsid w:val="00762B1D"/>
    <w:rsid w:val="00762B63"/>
    <w:rsid w:val="00762E21"/>
    <w:rsid w:val="00763336"/>
    <w:rsid w:val="00763505"/>
    <w:rsid w:val="00763A57"/>
    <w:rsid w:val="00763DFD"/>
    <w:rsid w:val="00764706"/>
    <w:rsid w:val="0076541E"/>
    <w:rsid w:val="00766EAC"/>
    <w:rsid w:val="00767836"/>
    <w:rsid w:val="00770723"/>
    <w:rsid w:val="007712A7"/>
    <w:rsid w:val="00772FBA"/>
    <w:rsid w:val="0077315B"/>
    <w:rsid w:val="00773183"/>
    <w:rsid w:val="00773313"/>
    <w:rsid w:val="00773CC0"/>
    <w:rsid w:val="0077451C"/>
    <w:rsid w:val="00774E4B"/>
    <w:rsid w:val="007753D4"/>
    <w:rsid w:val="00775520"/>
    <w:rsid w:val="00776076"/>
    <w:rsid w:val="007760B6"/>
    <w:rsid w:val="00776261"/>
    <w:rsid w:val="0077639C"/>
    <w:rsid w:val="00776BD3"/>
    <w:rsid w:val="00776D8A"/>
    <w:rsid w:val="007770D4"/>
    <w:rsid w:val="00777DDE"/>
    <w:rsid w:val="00777E37"/>
    <w:rsid w:val="00780D64"/>
    <w:rsid w:val="00780DC0"/>
    <w:rsid w:val="00780EAA"/>
    <w:rsid w:val="00780F33"/>
    <w:rsid w:val="0078117D"/>
    <w:rsid w:val="007816BE"/>
    <w:rsid w:val="00781794"/>
    <w:rsid w:val="007840C4"/>
    <w:rsid w:val="007845F3"/>
    <w:rsid w:val="007875F8"/>
    <w:rsid w:val="00787C1B"/>
    <w:rsid w:val="00787C21"/>
    <w:rsid w:val="00790252"/>
    <w:rsid w:val="0079069F"/>
    <w:rsid w:val="00790CB5"/>
    <w:rsid w:val="00790CB8"/>
    <w:rsid w:val="00791B0F"/>
    <w:rsid w:val="0079200E"/>
    <w:rsid w:val="00794A82"/>
    <w:rsid w:val="00794BEE"/>
    <w:rsid w:val="00795CC3"/>
    <w:rsid w:val="00796A3C"/>
    <w:rsid w:val="00796D52"/>
    <w:rsid w:val="00797080"/>
    <w:rsid w:val="007A0911"/>
    <w:rsid w:val="007A0E1E"/>
    <w:rsid w:val="007A1C50"/>
    <w:rsid w:val="007A2006"/>
    <w:rsid w:val="007A234C"/>
    <w:rsid w:val="007A2589"/>
    <w:rsid w:val="007A2719"/>
    <w:rsid w:val="007A2F8B"/>
    <w:rsid w:val="007A33FE"/>
    <w:rsid w:val="007A34E4"/>
    <w:rsid w:val="007A354C"/>
    <w:rsid w:val="007A3C06"/>
    <w:rsid w:val="007A4E73"/>
    <w:rsid w:val="007A5A45"/>
    <w:rsid w:val="007A5D7F"/>
    <w:rsid w:val="007A5FA3"/>
    <w:rsid w:val="007A6276"/>
    <w:rsid w:val="007A677F"/>
    <w:rsid w:val="007A67D8"/>
    <w:rsid w:val="007A69E2"/>
    <w:rsid w:val="007A6A2D"/>
    <w:rsid w:val="007A6B63"/>
    <w:rsid w:val="007A6F3F"/>
    <w:rsid w:val="007A7D3F"/>
    <w:rsid w:val="007A7DDF"/>
    <w:rsid w:val="007A7DFC"/>
    <w:rsid w:val="007A7E05"/>
    <w:rsid w:val="007AAE38"/>
    <w:rsid w:val="007B041D"/>
    <w:rsid w:val="007B1002"/>
    <w:rsid w:val="007B1313"/>
    <w:rsid w:val="007B30F0"/>
    <w:rsid w:val="007B33AF"/>
    <w:rsid w:val="007B356D"/>
    <w:rsid w:val="007B3CF5"/>
    <w:rsid w:val="007B4723"/>
    <w:rsid w:val="007B4AFC"/>
    <w:rsid w:val="007B6318"/>
    <w:rsid w:val="007B690C"/>
    <w:rsid w:val="007B69C1"/>
    <w:rsid w:val="007B6DC2"/>
    <w:rsid w:val="007C00FE"/>
    <w:rsid w:val="007C0FF7"/>
    <w:rsid w:val="007C130B"/>
    <w:rsid w:val="007C19EE"/>
    <w:rsid w:val="007C1F9C"/>
    <w:rsid w:val="007C2681"/>
    <w:rsid w:val="007C3E7E"/>
    <w:rsid w:val="007C406C"/>
    <w:rsid w:val="007C49E5"/>
    <w:rsid w:val="007C683E"/>
    <w:rsid w:val="007C7A75"/>
    <w:rsid w:val="007C7FA8"/>
    <w:rsid w:val="007D1189"/>
    <w:rsid w:val="007D21D6"/>
    <w:rsid w:val="007D28CE"/>
    <w:rsid w:val="007D3046"/>
    <w:rsid w:val="007D309F"/>
    <w:rsid w:val="007D33E4"/>
    <w:rsid w:val="007D472D"/>
    <w:rsid w:val="007D54A6"/>
    <w:rsid w:val="007D5696"/>
    <w:rsid w:val="007D5CE1"/>
    <w:rsid w:val="007D6F45"/>
    <w:rsid w:val="007D75A5"/>
    <w:rsid w:val="007D7832"/>
    <w:rsid w:val="007D7D1E"/>
    <w:rsid w:val="007E07AE"/>
    <w:rsid w:val="007E0ABF"/>
    <w:rsid w:val="007E1F99"/>
    <w:rsid w:val="007E2335"/>
    <w:rsid w:val="007E24EF"/>
    <w:rsid w:val="007E32EF"/>
    <w:rsid w:val="007E3969"/>
    <w:rsid w:val="007E398F"/>
    <w:rsid w:val="007E3D45"/>
    <w:rsid w:val="007E40D7"/>
    <w:rsid w:val="007E4B15"/>
    <w:rsid w:val="007E54D7"/>
    <w:rsid w:val="007E5EA6"/>
    <w:rsid w:val="007E6152"/>
    <w:rsid w:val="007E69DD"/>
    <w:rsid w:val="007E73E0"/>
    <w:rsid w:val="007E7461"/>
    <w:rsid w:val="007E77DB"/>
    <w:rsid w:val="007E7DD5"/>
    <w:rsid w:val="007F15B4"/>
    <w:rsid w:val="007F1964"/>
    <w:rsid w:val="007F2339"/>
    <w:rsid w:val="007F2CEA"/>
    <w:rsid w:val="007F36AE"/>
    <w:rsid w:val="007F3C74"/>
    <w:rsid w:val="007F4A5C"/>
    <w:rsid w:val="007F4C8C"/>
    <w:rsid w:val="007F4D46"/>
    <w:rsid w:val="007F4F45"/>
    <w:rsid w:val="007F57A0"/>
    <w:rsid w:val="007F5AB4"/>
    <w:rsid w:val="007F6B2F"/>
    <w:rsid w:val="007F7570"/>
    <w:rsid w:val="007F75F8"/>
    <w:rsid w:val="007F7A79"/>
    <w:rsid w:val="007F7F66"/>
    <w:rsid w:val="00801234"/>
    <w:rsid w:val="00801931"/>
    <w:rsid w:val="008019C3"/>
    <w:rsid w:val="008024DF"/>
    <w:rsid w:val="0080260E"/>
    <w:rsid w:val="00802766"/>
    <w:rsid w:val="00802E32"/>
    <w:rsid w:val="0080370C"/>
    <w:rsid w:val="008040C4"/>
    <w:rsid w:val="00805BB6"/>
    <w:rsid w:val="008065C1"/>
    <w:rsid w:val="00806CB4"/>
    <w:rsid w:val="008079CA"/>
    <w:rsid w:val="00810661"/>
    <w:rsid w:val="008109D5"/>
    <w:rsid w:val="00810E74"/>
    <w:rsid w:val="008110C5"/>
    <w:rsid w:val="00811BFB"/>
    <w:rsid w:val="00812252"/>
    <w:rsid w:val="00812A9F"/>
    <w:rsid w:val="0081336B"/>
    <w:rsid w:val="0081392E"/>
    <w:rsid w:val="00813B0D"/>
    <w:rsid w:val="00813F88"/>
    <w:rsid w:val="008142F2"/>
    <w:rsid w:val="0081478B"/>
    <w:rsid w:val="008159B7"/>
    <w:rsid w:val="00816B43"/>
    <w:rsid w:val="00816DC3"/>
    <w:rsid w:val="00816F3E"/>
    <w:rsid w:val="008175C6"/>
    <w:rsid w:val="00817A25"/>
    <w:rsid w:val="008208C2"/>
    <w:rsid w:val="00820B18"/>
    <w:rsid w:val="00820FAE"/>
    <w:rsid w:val="00821270"/>
    <w:rsid w:val="00821F19"/>
    <w:rsid w:val="008244A8"/>
    <w:rsid w:val="00824668"/>
    <w:rsid w:val="00824EB1"/>
    <w:rsid w:val="008256BA"/>
    <w:rsid w:val="008257CC"/>
    <w:rsid w:val="008258B6"/>
    <w:rsid w:val="00826D3B"/>
    <w:rsid w:val="00826EE4"/>
    <w:rsid w:val="00826FB9"/>
    <w:rsid w:val="0082702A"/>
    <w:rsid w:val="0082705A"/>
    <w:rsid w:val="0082708A"/>
    <w:rsid w:val="008270E6"/>
    <w:rsid w:val="0082767F"/>
    <w:rsid w:val="00827D4B"/>
    <w:rsid w:val="00830861"/>
    <w:rsid w:val="00830DE9"/>
    <w:rsid w:val="00830EF3"/>
    <w:rsid w:val="0083161C"/>
    <w:rsid w:val="008317A2"/>
    <w:rsid w:val="00831FC2"/>
    <w:rsid w:val="008320B8"/>
    <w:rsid w:val="00832469"/>
    <w:rsid w:val="00832CF0"/>
    <w:rsid w:val="00832EBE"/>
    <w:rsid w:val="008339D1"/>
    <w:rsid w:val="00833EF8"/>
    <w:rsid w:val="00833F90"/>
    <w:rsid w:val="008340E7"/>
    <w:rsid w:val="0083569F"/>
    <w:rsid w:val="00835835"/>
    <w:rsid w:val="0083627F"/>
    <w:rsid w:val="00836365"/>
    <w:rsid w:val="0083681D"/>
    <w:rsid w:val="00836AFA"/>
    <w:rsid w:val="00836F94"/>
    <w:rsid w:val="0083705B"/>
    <w:rsid w:val="008373E1"/>
    <w:rsid w:val="00837692"/>
    <w:rsid w:val="008378AC"/>
    <w:rsid w:val="00837D58"/>
    <w:rsid w:val="00840023"/>
    <w:rsid w:val="00840F74"/>
    <w:rsid w:val="00841928"/>
    <w:rsid w:val="008423BB"/>
    <w:rsid w:val="00842616"/>
    <w:rsid w:val="00842935"/>
    <w:rsid w:val="00842A66"/>
    <w:rsid w:val="00842D3F"/>
    <w:rsid w:val="008439B2"/>
    <w:rsid w:val="00843E2F"/>
    <w:rsid w:val="008440C5"/>
    <w:rsid w:val="008441A3"/>
    <w:rsid w:val="00844692"/>
    <w:rsid w:val="00844AAF"/>
    <w:rsid w:val="008450F9"/>
    <w:rsid w:val="00846EAD"/>
    <w:rsid w:val="00846F99"/>
    <w:rsid w:val="00846FF2"/>
    <w:rsid w:val="00847ED1"/>
    <w:rsid w:val="00850021"/>
    <w:rsid w:val="00850480"/>
    <w:rsid w:val="00850BBB"/>
    <w:rsid w:val="00850EE6"/>
    <w:rsid w:val="008511B7"/>
    <w:rsid w:val="00851395"/>
    <w:rsid w:val="008520D4"/>
    <w:rsid w:val="0085242A"/>
    <w:rsid w:val="00853167"/>
    <w:rsid w:val="008531D0"/>
    <w:rsid w:val="00853257"/>
    <w:rsid w:val="00853F75"/>
    <w:rsid w:val="00854182"/>
    <w:rsid w:val="008556AC"/>
    <w:rsid w:val="00856450"/>
    <w:rsid w:val="0085787D"/>
    <w:rsid w:val="00857AA1"/>
    <w:rsid w:val="00860386"/>
    <w:rsid w:val="008603CA"/>
    <w:rsid w:val="00860471"/>
    <w:rsid w:val="00860AC6"/>
    <w:rsid w:val="00860E83"/>
    <w:rsid w:val="008618B7"/>
    <w:rsid w:val="00863701"/>
    <w:rsid w:val="00863AF3"/>
    <w:rsid w:val="00864138"/>
    <w:rsid w:val="0086492B"/>
    <w:rsid w:val="00864A7E"/>
    <w:rsid w:val="008651C7"/>
    <w:rsid w:val="00865445"/>
    <w:rsid w:val="0086628B"/>
    <w:rsid w:val="008668F1"/>
    <w:rsid w:val="00866B73"/>
    <w:rsid w:val="00866D4B"/>
    <w:rsid w:val="0086775F"/>
    <w:rsid w:val="00867EE4"/>
    <w:rsid w:val="00870A57"/>
    <w:rsid w:val="008718ED"/>
    <w:rsid w:val="00871D4F"/>
    <w:rsid w:val="0087213A"/>
    <w:rsid w:val="00872307"/>
    <w:rsid w:val="0087297D"/>
    <w:rsid w:val="00872EA1"/>
    <w:rsid w:val="0087330D"/>
    <w:rsid w:val="0087359E"/>
    <w:rsid w:val="00873905"/>
    <w:rsid w:val="00873F3E"/>
    <w:rsid w:val="008757B2"/>
    <w:rsid w:val="00875FC9"/>
    <w:rsid w:val="00876044"/>
    <w:rsid w:val="008761D6"/>
    <w:rsid w:val="008762B2"/>
    <w:rsid w:val="008764B3"/>
    <w:rsid w:val="00876966"/>
    <w:rsid w:val="00876E71"/>
    <w:rsid w:val="00877035"/>
    <w:rsid w:val="00877313"/>
    <w:rsid w:val="0088042A"/>
    <w:rsid w:val="008824E4"/>
    <w:rsid w:val="00882924"/>
    <w:rsid w:val="00882C7D"/>
    <w:rsid w:val="00883C81"/>
    <w:rsid w:val="00884F0B"/>
    <w:rsid w:val="00886599"/>
    <w:rsid w:val="00886797"/>
    <w:rsid w:val="00887DCA"/>
    <w:rsid w:val="008905EB"/>
    <w:rsid w:val="0089140F"/>
    <w:rsid w:val="00891990"/>
    <w:rsid w:val="00892630"/>
    <w:rsid w:val="008928D3"/>
    <w:rsid w:val="00892A49"/>
    <w:rsid w:val="00893AFE"/>
    <w:rsid w:val="00893DD1"/>
    <w:rsid w:val="00894037"/>
    <w:rsid w:val="008954D5"/>
    <w:rsid w:val="00896E2B"/>
    <w:rsid w:val="00896E8E"/>
    <w:rsid w:val="008A15CF"/>
    <w:rsid w:val="008A30E7"/>
    <w:rsid w:val="008A3286"/>
    <w:rsid w:val="008A3549"/>
    <w:rsid w:val="008A40CF"/>
    <w:rsid w:val="008A463F"/>
    <w:rsid w:val="008A49B1"/>
    <w:rsid w:val="008A4EA8"/>
    <w:rsid w:val="008A51AE"/>
    <w:rsid w:val="008B009A"/>
    <w:rsid w:val="008B02AD"/>
    <w:rsid w:val="008B0C28"/>
    <w:rsid w:val="008B15F0"/>
    <w:rsid w:val="008B2A66"/>
    <w:rsid w:val="008B2FA2"/>
    <w:rsid w:val="008B3775"/>
    <w:rsid w:val="008B467A"/>
    <w:rsid w:val="008B4C0F"/>
    <w:rsid w:val="008B4E14"/>
    <w:rsid w:val="008B53ED"/>
    <w:rsid w:val="008B5527"/>
    <w:rsid w:val="008B57D7"/>
    <w:rsid w:val="008B64E8"/>
    <w:rsid w:val="008B6A44"/>
    <w:rsid w:val="008B6B41"/>
    <w:rsid w:val="008C0E7C"/>
    <w:rsid w:val="008C1536"/>
    <w:rsid w:val="008C16B5"/>
    <w:rsid w:val="008C1771"/>
    <w:rsid w:val="008C1D5A"/>
    <w:rsid w:val="008C2416"/>
    <w:rsid w:val="008C28A1"/>
    <w:rsid w:val="008C2E98"/>
    <w:rsid w:val="008C2EB0"/>
    <w:rsid w:val="008C38E1"/>
    <w:rsid w:val="008C3F37"/>
    <w:rsid w:val="008C4670"/>
    <w:rsid w:val="008C487E"/>
    <w:rsid w:val="008C499B"/>
    <w:rsid w:val="008C51D9"/>
    <w:rsid w:val="008C5458"/>
    <w:rsid w:val="008C59C0"/>
    <w:rsid w:val="008C59CB"/>
    <w:rsid w:val="008C66CF"/>
    <w:rsid w:val="008C6BA8"/>
    <w:rsid w:val="008C6BFA"/>
    <w:rsid w:val="008C78E0"/>
    <w:rsid w:val="008D079C"/>
    <w:rsid w:val="008D1606"/>
    <w:rsid w:val="008D1701"/>
    <w:rsid w:val="008D1B83"/>
    <w:rsid w:val="008D256A"/>
    <w:rsid w:val="008D3561"/>
    <w:rsid w:val="008D4266"/>
    <w:rsid w:val="008D4397"/>
    <w:rsid w:val="008D4475"/>
    <w:rsid w:val="008D520E"/>
    <w:rsid w:val="008D5BEC"/>
    <w:rsid w:val="008D6C6B"/>
    <w:rsid w:val="008D6C8C"/>
    <w:rsid w:val="008D70DC"/>
    <w:rsid w:val="008D7A83"/>
    <w:rsid w:val="008D7DC3"/>
    <w:rsid w:val="008D7F0B"/>
    <w:rsid w:val="008E0C34"/>
    <w:rsid w:val="008E0F20"/>
    <w:rsid w:val="008E1F91"/>
    <w:rsid w:val="008E232E"/>
    <w:rsid w:val="008E295F"/>
    <w:rsid w:val="008E2DF9"/>
    <w:rsid w:val="008E3579"/>
    <w:rsid w:val="008E3895"/>
    <w:rsid w:val="008E3C04"/>
    <w:rsid w:val="008E4162"/>
    <w:rsid w:val="008E47CD"/>
    <w:rsid w:val="008E480E"/>
    <w:rsid w:val="008E59BF"/>
    <w:rsid w:val="008E6D65"/>
    <w:rsid w:val="008E72DE"/>
    <w:rsid w:val="008F10D0"/>
    <w:rsid w:val="008F1A39"/>
    <w:rsid w:val="008F1CDC"/>
    <w:rsid w:val="008F1EF8"/>
    <w:rsid w:val="008F20BB"/>
    <w:rsid w:val="008F2520"/>
    <w:rsid w:val="008F2600"/>
    <w:rsid w:val="008F27CF"/>
    <w:rsid w:val="008F2ACD"/>
    <w:rsid w:val="008F339F"/>
    <w:rsid w:val="008F358F"/>
    <w:rsid w:val="008F3ABC"/>
    <w:rsid w:val="008F3D35"/>
    <w:rsid w:val="008F42AA"/>
    <w:rsid w:val="008F4331"/>
    <w:rsid w:val="008F4B82"/>
    <w:rsid w:val="008F51E3"/>
    <w:rsid w:val="008F54CD"/>
    <w:rsid w:val="008F575D"/>
    <w:rsid w:val="008F5B97"/>
    <w:rsid w:val="008F666A"/>
    <w:rsid w:val="008F6F4B"/>
    <w:rsid w:val="008F70AA"/>
    <w:rsid w:val="008F732F"/>
    <w:rsid w:val="008F7383"/>
    <w:rsid w:val="008F782B"/>
    <w:rsid w:val="008F7B9F"/>
    <w:rsid w:val="00901678"/>
    <w:rsid w:val="00901934"/>
    <w:rsid w:val="00901AFC"/>
    <w:rsid w:val="00902A54"/>
    <w:rsid w:val="00903328"/>
    <w:rsid w:val="009042B0"/>
    <w:rsid w:val="0090439B"/>
    <w:rsid w:val="009058C1"/>
    <w:rsid w:val="009062A4"/>
    <w:rsid w:val="00906550"/>
    <w:rsid w:val="00906D6A"/>
    <w:rsid w:val="00906FF9"/>
    <w:rsid w:val="00910BAC"/>
    <w:rsid w:val="00910DA8"/>
    <w:rsid w:val="00910F93"/>
    <w:rsid w:val="00912821"/>
    <w:rsid w:val="00912D82"/>
    <w:rsid w:val="00912F05"/>
    <w:rsid w:val="009131DF"/>
    <w:rsid w:val="00913E07"/>
    <w:rsid w:val="00913F87"/>
    <w:rsid w:val="009143FC"/>
    <w:rsid w:val="009151D7"/>
    <w:rsid w:val="00915386"/>
    <w:rsid w:val="0091677A"/>
    <w:rsid w:val="00917267"/>
    <w:rsid w:val="00917B0D"/>
    <w:rsid w:val="00920490"/>
    <w:rsid w:val="009216AB"/>
    <w:rsid w:val="00921745"/>
    <w:rsid w:val="00921957"/>
    <w:rsid w:val="00922BE7"/>
    <w:rsid w:val="00923621"/>
    <w:rsid w:val="00923807"/>
    <w:rsid w:val="00923A0E"/>
    <w:rsid w:val="00923BA8"/>
    <w:rsid w:val="00924CBA"/>
    <w:rsid w:val="00925FD7"/>
    <w:rsid w:val="0092610D"/>
    <w:rsid w:val="0092636E"/>
    <w:rsid w:val="009267F1"/>
    <w:rsid w:val="00926A07"/>
    <w:rsid w:val="00927896"/>
    <w:rsid w:val="00930B63"/>
    <w:rsid w:val="00931595"/>
    <w:rsid w:val="00932EB1"/>
    <w:rsid w:val="009332B9"/>
    <w:rsid w:val="00935BA4"/>
    <w:rsid w:val="009362DC"/>
    <w:rsid w:val="009367A0"/>
    <w:rsid w:val="00936BA8"/>
    <w:rsid w:val="00936ED4"/>
    <w:rsid w:val="00937B3A"/>
    <w:rsid w:val="00940423"/>
    <w:rsid w:val="00940BDE"/>
    <w:rsid w:val="00941329"/>
    <w:rsid w:val="00941396"/>
    <w:rsid w:val="00941410"/>
    <w:rsid w:val="00941934"/>
    <w:rsid w:val="009424F7"/>
    <w:rsid w:val="009425AB"/>
    <w:rsid w:val="0094275B"/>
    <w:rsid w:val="00942A2C"/>
    <w:rsid w:val="00942ED6"/>
    <w:rsid w:val="00944155"/>
    <w:rsid w:val="00944470"/>
    <w:rsid w:val="00944F4F"/>
    <w:rsid w:val="0094509F"/>
    <w:rsid w:val="00945183"/>
    <w:rsid w:val="00945FC8"/>
    <w:rsid w:val="00946F31"/>
    <w:rsid w:val="009476AC"/>
    <w:rsid w:val="00947763"/>
    <w:rsid w:val="00950BCA"/>
    <w:rsid w:val="00951A16"/>
    <w:rsid w:val="0095200E"/>
    <w:rsid w:val="009524F0"/>
    <w:rsid w:val="00952705"/>
    <w:rsid w:val="00952D7E"/>
    <w:rsid w:val="009540D0"/>
    <w:rsid w:val="009547A0"/>
    <w:rsid w:val="00955040"/>
    <w:rsid w:val="00955CAA"/>
    <w:rsid w:val="0095654C"/>
    <w:rsid w:val="00957556"/>
    <w:rsid w:val="00960A55"/>
    <w:rsid w:val="00961775"/>
    <w:rsid w:val="00961825"/>
    <w:rsid w:val="0096193C"/>
    <w:rsid w:val="00961F3F"/>
    <w:rsid w:val="00962228"/>
    <w:rsid w:val="009624C4"/>
    <w:rsid w:val="0096254D"/>
    <w:rsid w:val="0096269E"/>
    <w:rsid w:val="00962C10"/>
    <w:rsid w:val="00963577"/>
    <w:rsid w:val="0096394E"/>
    <w:rsid w:val="009650E1"/>
    <w:rsid w:val="00965178"/>
    <w:rsid w:val="009658DF"/>
    <w:rsid w:val="0096625C"/>
    <w:rsid w:val="009674A0"/>
    <w:rsid w:val="00967A2F"/>
    <w:rsid w:val="00967F19"/>
    <w:rsid w:val="00967FA7"/>
    <w:rsid w:val="009703A2"/>
    <w:rsid w:val="00970765"/>
    <w:rsid w:val="00971649"/>
    <w:rsid w:val="00971937"/>
    <w:rsid w:val="0097402A"/>
    <w:rsid w:val="009743AA"/>
    <w:rsid w:val="009747F0"/>
    <w:rsid w:val="00974D88"/>
    <w:rsid w:val="00974DF5"/>
    <w:rsid w:val="009757F9"/>
    <w:rsid w:val="00975E3A"/>
    <w:rsid w:val="00976A7E"/>
    <w:rsid w:val="00977173"/>
    <w:rsid w:val="009772AC"/>
    <w:rsid w:val="009779A8"/>
    <w:rsid w:val="00980834"/>
    <w:rsid w:val="009809DD"/>
    <w:rsid w:val="00980B08"/>
    <w:rsid w:val="00980B15"/>
    <w:rsid w:val="0098152C"/>
    <w:rsid w:val="0098157C"/>
    <w:rsid w:val="009815E1"/>
    <w:rsid w:val="00981879"/>
    <w:rsid w:val="00982747"/>
    <w:rsid w:val="00983208"/>
    <w:rsid w:val="0098394E"/>
    <w:rsid w:val="0098397E"/>
    <w:rsid w:val="00984B7A"/>
    <w:rsid w:val="00984CEB"/>
    <w:rsid w:val="00984D63"/>
    <w:rsid w:val="009857B9"/>
    <w:rsid w:val="00985C0E"/>
    <w:rsid w:val="00985C30"/>
    <w:rsid w:val="00987A6E"/>
    <w:rsid w:val="009911E1"/>
    <w:rsid w:val="0099246F"/>
    <w:rsid w:val="00992510"/>
    <w:rsid w:val="009928C4"/>
    <w:rsid w:val="00993C8E"/>
    <w:rsid w:val="00993EC5"/>
    <w:rsid w:val="009947F9"/>
    <w:rsid w:val="009949CF"/>
    <w:rsid w:val="009951E9"/>
    <w:rsid w:val="00995D7C"/>
    <w:rsid w:val="00996535"/>
    <w:rsid w:val="009967F4"/>
    <w:rsid w:val="00996FC9"/>
    <w:rsid w:val="009971A7"/>
    <w:rsid w:val="00997512"/>
    <w:rsid w:val="009A00C9"/>
    <w:rsid w:val="009A01A5"/>
    <w:rsid w:val="009A0510"/>
    <w:rsid w:val="009A1A26"/>
    <w:rsid w:val="009A24E9"/>
    <w:rsid w:val="009A2636"/>
    <w:rsid w:val="009A2A19"/>
    <w:rsid w:val="009A2BA8"/>
    <w:rsid w:val="009A3688"/>
    <w:rsid w:val="009A544E"/>
    <w:rsid w:val="009A72C4"/>
    <w:rsid w:val="009B05DD"/>
    <w:rsid w:val="009B0AC2"/>
    <w:rsid w:val="009B110D"/>
    <w:rsid w:val="009B1903"/>
    <w:rsid w:val="009B2177"/>
    <w:rsid w:val="009B3C9D"/>
    <w:rsid w:val="009B3D52"/>
    <w:rsid w:val="009B4081"/>
    <w:rsid w:val="009B4727"/>
    <w:rsid w:val="009B4BD6"/>
    <w:rsid w:val="009B5112"/>
    <w:rsid w:val="009B51F3"/>
    <w:rsid w:val="009B5340"/>
    <w:rsid w:val="009B7133"/>
    <w:rsid w:val="009B789F"/>
    <w:rsid w:val="009C0473"/>
    <w:rsid w:val="009C0631"/>
    <w:rsid w:val="009C0D45"/>
    <w:rsid w:val="009C1E22"/>
    <w:rsid w:val="009C24DC"/>
    <w:rsid w:val="009C2F07"/>
    <w:rsid w:val="009C35B9"/>
    <w:rsid w:val="009C4165"/>
    <w:rsid w:val="009C546E"/>
    <w:rsid w:val="009C55EE"/>
    <w:rsid w:val="009C6463"/>
    <w:rsid w:val="009C65BD"/>
    <w:rsid w:val="009C7822"/>
    <w:rsid w:val="009C7991"/>
    <w:rsid w:val="009C7BCB"/>
    <w:rsid w:val="009C7CD3"/>
    <w:rsid w:val="009C7DE4"/>
    <w:rsid w:val="009D01EB"/>
    <w:rsid w:val="009D042E"/>
    <w:rsid w:val="009D0A8C"/>
    <w:rsid w:val="009D0EA0"/>
    <w:rsid w:val="009D1663"/>
    <w:rsid w:val="009D1ADF"/>
    <w:rsid w:val="009D1C2D"/>
    <w:rsid w:val="009D201E"/>
    <w:rsid w:val="009D21CC"/>
    <w:rsid w:val="009D2760"/>
    <w:rsid w:val="009D2E4E"/>
    <w:rsid w:val="009D319D"/>
    <w:rsid w:val="009D3E73"/>
    <w:rsid w:val="009D616A"/>
    <w:rsid w:val="009D65D2"/>
    <w:rsid w:val="009E0705"/>
    <w:rsid w:val="009E0C1A"/>
    <w:rsid w:val="009E0F78"/>
    <w:rsid w:val="009E18B6"/>
    <w:rsid w:val="009E1A28"/>
    <w:rsid w:val="009E3BFD"/>
    <w:rsid w:val="009E3E0E"/>
    <w:rsid w:val="009E419E"/>
    <w:rsid w:val="009E43F6"/>
    <w:rsid w:val="009E4F06"/>
    <w:rsid w:val="009E55C3"/>
    <w:rsid w:val="009E5940"/>
    <w:rsid w:val="009E61D1"/>
    <w:rsid w:val="009E62EF"/>
    <w:rsid w:val="009E6547"/>
    <w:rsid w:val="009E67A8"/>
    <w:rsid w:val="009E67F6"/>
    <w:rsid w:val="009E6FF0"/>
    <w:rsid w:val="009F008C"/>
    <w:rsid w:val="009F0D84"/>
    <w:rsid w:val="009F1449"/>
    <w:rsid w:val="009F28EA"/>
    <w:rsid w:val="009F38CF"/>
    <w:rsid w:val="009F3A15"/>
    <w:rsid w:val="009F4203"/>
    <w:rsid w:val="009F55B0"/>
    <w:rsid w:val="009F6212"/>
    <w:rsid w:val="009F69A5"/>
    <w:rsid w:val="009F6C71"/>
    <w:rsid w:val="009F718C"/>
    <w:rsid w:val="009F7E7D"/>
    <w:rsid w:val="00A00890"/>
    <w:rsid w:val="00A00BE9"/>
    <w:rsid w:val="00A010B4"/>
    <w:rsid w:val="00A01350"/>
    <w:rsid w:val="00A0224A"/>
    <w:rsid w:val="00A02374"/>
    <w:rsid w:val="00A02740"/>
    <w:rsid w:val="00A03ED2"/>
    <w:rsid w:val="00A04379"/>
    <w:rsid w:val="00A05019"/>
    <w:rsid w:val="00A0547A"/>
    <w:rsid w:val="00A05592"/>
    <w:rsid w:val="00A0580E"/>
    <w:rsid w:val="00A06AF2"/>
    <w:rsid w:val="00A07012"/>
    <w:rsid w:val="00A1024E"/>
    <w:rsid w:val="00A119A0"/>
    <w:rsid w:val="00A12F0A"/>
    <w:rsid w:val="00A130A2"/>
    <w:rsid w:val="00A13796"/>
    <w:rsid w:val="00A1386B"/>
    <w:rsid w:val="00A14435"/>
    <w:rsid w:val="00A1463B"/>
    <w:rsid w:val="00A1486E"/>
    <w:rsid w:val="00A14B92"/>
    <w:rsid w:val="00A14FFB"/>
    <w:rsid w:val="00A15AAB"/>
    <w:rsid w:val="00A15AC4"/>
    <w:rsid w:val="00A16562"/>
    <w:rsid w:val="00A1673A"/>
    <w:rsid w:val="00A1705B"/>
    <w:rsid w:val="00A1709A"/>
    <w:rsid w:val="00A17110"/>
    <w:rsid w:val="00A17307"/>
    <w:rsid w:val="00A177D3"/>
    <w:rsid w:val="00A17835"/>
    <w:rsid w:val="00A205DA"/>
    <w:rsid w:val="00A20906"/>
    <w:rsid w:val="00A20E15"/>
    <w:rsid w:val="00A2202F"/>
    <w:rsid w:val="00A225C1"/>
    <w:rsid w:val="00A22702"/>
    <w:rsid w:val="00A23261"/>
    <w:rsid w:val="00A2393B"/>
    <w:rsid w:val="00A23992"/>
    <w:rsid w:val="00A23E04"/>
    <w:rsid w:val="00A24115"/>
    <w:rsid w:val="00A24F79"/>
    <w:rsid w:val="00A25387"/>
    <w:rsid w:val="00A257EB"/>
    <w:rsid w:val="00A2708D"/>
    <w:rsid w:val="00A274D9"/>
    <w:rsid w:val="00A275CE"/>
    <w:rsid w:val="00A27D43"/>
    <w:rsid w:val="00A27E8B"/>
    <w:rsid w:val="00A317D6"/>
    <w:rsid w:val="00A3194D"/>
    <w:rsid w:val="00A31DAC"/>
    <w:rsid w:val="00A327B8"/>
    <w:rsid w:val="00A33EDB"/>
    <w:rsid w:val="00A33F89"/>
    <w:rsid w:val="00A34356"/>
    <w:rsid w:val="00A343EA"/>
    <w:rsid w:val="00A34FF7"/>
    <w:rsid w:val="00A35855"/>
    <w:rsid w:val="00A35B76"/>
    <w:rsid w:val="00A36D75"/>
    <w:rsid w:val="00A37943"/>
    <w:rsid w:val="00A40162"/>
    <w:rsid w:val="00A402F2"/>
    <w:rsid w:val="00A4085B"/>
    <w:rsid w:val="00A40F7A"/>
    <w:rsid w:val="00A4117B"/>
    <w:rsid w:val="00A41565"/>
    <w:rsid w:val="00A43DCE"/>
    <w:rsid w:val="00A43EAE"/>
    <w:rsid w:val="00A43F8A"/>
    <w:rsid w:val="00A442A6"/>
    <w:rsid w:val="00A444C6"/>
    <w:rsid w:val="00A4508C"/>
    <w:rsid w:val="00A46091"/>
    <w:rsid w:val="00A46769"/>
    <w:rsid w:val="00A46775"/>
    <w:rsid w:val="00A46BD9"/>
    <w:rsid w:val="00A46F2D"/>
    <w:rsid w:val="00A470EB"/>
    <w:rsid w:val="00A471DA"/>
    <w:rsid w:val="00A4770F"/>
    <w:rsid w:val="00A47948"/>
    <w:rsid w:val="00A5075C"/>
    <w:rsid w:val="00A50A1B"/>
    <w:rsid w:val="00A51F77"/>
    <w:rsid w:val="00A526FA"/>
    <w:rsid w:val="00A52993"/>
    <w:rsid w:val="00A52A4C"/>
    <w:rsid w:val="00A52B1A"/>
    <w:rsid w:val="00A53235"/>
    <w:rsid w:val="00A53A59"/>
    <w:rsid w:val="00A53FBF"/>
    <w:rsid w:val="00A541B2"/>
    <w:rsid w:val="00A5438C"/>
    <w:rsid w:val="00A54561"/>
    <w:rsid w:val="00A54642"/>
    <w:rsid w:val="00A54C80"/>
    <w:rsid w:val="00A5502A"/>
    <w:rsid w:val="00A55766"/>
    <w:rsid w:val="00A5594D"/>
    <w:rsid w:val="00A55ABC"/>
    <w:rsid w:val="00A55FE0"/>
    <w:rsid w:val="00A56516"/>
    <w:rsid w:val="00A6061B"/>
    <w:rsid w:val="00A607B5"/>
    <w:rsid w:val="00A60986"/>
    <w:rsid w:val="00A609A0"/>
    <w:rsid w:val="00A60FF7"/>
    <w:rsid w:val="00A61F44"/>
    <w:rsid w:val="00A62093"/>
    <w:rsid w:val="00A620E5"/>
    <w:rsid w:val="00A62867"/>
    <w:rsid w:val="00A637BB"/>
    <w:rsid w:val="00A63898"/>
    <w:rsid w:val="00A6421B"/>
    <w:rsid w:val="00A6453F"/>
    <w:rsid w:val="00A64CBD"/>
    <w:rsid w:val="00A6593D"/>
    <w:rsid w:val="00A65B4F"/>
    <w:rsid w:val="00A6693E"/>
    <w:rsid w:val="00A66991"/>
    <w:rsid w:val="00A672C5"/>
    <w:rsid w:val="00A6748B"/>
    <w:rsid w:val="00A67ED8"/>
    <w:rsid w:val="00A704FB"/>
    <w:rsid w:val="00A709E2"/>
    <w:rsid w:val="00A70B7C"/>
    <w:rsid w:val="00A70F53"/>
    <w:rsid w:val="00A71299"/>
    <w:rsid w:val="00A71AE3"/>
    <w:rsid w:val="00A71E79"/>
    <w:rsid w:val="00A729AB"/>
    <w:rsid w:val="00A731FC"/>
    <w:rsid w:val="00A73605"/>
    <w:rsid w:val="00A73982"/>
    <w:rsid w:val="00A741A7"/>
    <w:rsid w:val="00A743F9"/>
    <w:rsid w:val="00A74B1B"/>
    <w:rsid w:val="00A7547B"/>
    <w:rsid w:val="00A75761"/>
    <w:rsid w:val="00A761DA"/>
    <w:rsid w:val="00A778A3"/>
    <w:rsid w:val="00A81B60"/>
    <w:rsid w:val="00A82EE7"/>
    <w:rsid w:val="00A84E81"/>
    <w:rsid w:val="00A85227"/>
    <w:rsid w:val="00A85570"/>
    <w:rsid w:val="00A85C2B"/>
    <w:rsid w:val="00A8618E"/>
    <w:rsid w:val="00A861D9"/>
    <w:rsid w:val="00A861EF"/>
    <w:rsid w:val="00A863CE"/>
    <w:rsid w:val="00A864F5"/>
    <w:rsid w:val="00A86704"/>
    <w:rsid w:val="00A86BA7"/>
    <w:rsid w:val="00A86FEA"/>
    <w:rsid w:val="00A87156"/>
    <w:rsid w:val="00A873FB"/>
    <w:rsid w:val="00A876FB"/>
    <w:rsid w:val="00A8782C"/>
    <w:rsid w:val="00A87BEC"/>
    <w:rsid w:val="00A9087E"/>
    <w:rsid w:val="00A91094"/>
    <w:rsid w:val="00A91484"/>
    <w:rsid w:val="00A91A17"/>
    <w:rsid w:val="00A91ABA"/>
    <w:rsid w:val="00A91ECB"/>
    <w:rsid w:val="00A92931"/>
    <w:rsid w:val="00A934CD"/>
    <w:rsid w:val="00A9424E"/>
    <w:rsid w:val="00A94310"/>
    <w:rsid w:val="00A94D75"/>
    <w:rsid w:val="00A95ADF"/>
    <w:rsid w:val="00A9681D"/>
    <w:rsid w:val="00A97459"/>
    <w:rsid w:val="00A97954"/>
    <w:rsid w:val="00AA21BA"/>
    <w:rsid w:val="00AA245E"/>
    <w:rsid w:val="00AA33C8"/>
    <w:rsid w:val="00AA34CC"/>
    <w:rsid w:val="00AA36CC"/>
    <w:rsid w:val="00AA36FA"/>
    <w:rsid w:val="00AA4091"/>
    <w:rsid w:val="00AA4BCF"/>
    <w:rsid w:val="00AA4E10"/>
    <w:rsid w:val="00AA58F7"/>
    <w:rsid w:val="00AA646E"/>
    <w:rsid w:val="00AA6E01"/>
    <w:rsid w:val="00AA6F2D"/>
    <w:rsid w:val="00AA7A52"/>
    <w:rsid w:val="00AA7D66"/>
    <w:rsid w:val="00AB073F"/>
    <w:rsid w:val="00AB2C23"/>
    <w:rsid w:val="00AB38E6"/>
    <w:rsid w:val="00AB3EF2"/>
    <w:rsid w:val="00AB3FD5"/>
    <w:rsid w:val="00AB468B"/>
    <w:rsid w:val="00AB52F9"/>
    <w:rsid w:val="00AB56F2"/>
    <w:rsid w:val="00AB5AFD"/>
    <w:rsid w:val="00AB7041"/>
    <w:rsid w:val="00AC017A"/>
    <w:rsid w:val="00AC06BC"/>
    <w:rsid w:val="00AC097E"/>
    <w:rsid w:val="00AC0B3F"/>
    <w:rsid w:val="00AC1170"/>
    <w:rsid w:val="00AC2BBF"/>
    <w:rsid w:val="00AC3100"/>
    <w:rsid w:val="00AC366E"/>
    <w:rsid w:val="00AC3A3D"/>
    <w:rsid w:val="00AC3A8F"/>
    <w:rsid w:val="00AC4295"/>
    <w:rsid w:val="00AC5AC0"/>
    <w:rsid w:val="00AC7AFB"/>
    <w:rsid w:val="00AC7B0E"/>
    <w:rsid w:val="00AC7E9F"/>
    <w:rsid w:val="00AC7EC1"/>
    <w:rsid w:val="00AD0629"/>
    <w:rsid w:val="00AD0BDD"/>
    <w:rsid w:val="00AD1A37"/>
    <w:rsid w:val="00AD2D32"/>
    <w:rsid w:val="00AD2DBC"/>
    <w:rsid w:val="00AD3ADE"/>
    <w:rsid w:val="00AD3AEB"/>
    <w:rsid w:val="00AD4331"/>
    <w:rsid w:val="00AD4457"/>
    <w:rsid w:val="00AD4918"/>
    <w:rsid w:val="00AD4BFC"/>
    <w:rsid w:val="00AD5E33"/>
    <w:rsid w:val="00AD671F"/>
    <w:rsid w:val="00AD7673"/>
    <w:rsid w:val="00AD7AB6"/>
    <w:rsid w:val="00AD7FB8"/>
    <w:rsid w:val="00AD7FFD"/>
    <w:rsid w:val="00AE00C4"/>
    <w:rsid w:val="00AE057F"/>
    <w:rsid w:val="00AE083D"/>
    <w:rsid w:val="00AE096F"/>
    <w:rsid w:val="00AE0ECE"/>
    <w:rsid w:val="00AE1B43"/>
    <w:rsid w:val="00AE20C4"/>
    <w:rsid w:val="00AE29C9"/>
    <w:rsid w:val="00AE326C"/>
    <w:rsid w:val="00AE3718"/>
    <w:rsid w:val="00AE38F3"/>
    <w:rsid w:val="00AE4700"/>
    <w:rsid w:val="00AE5A0B"/>
    <w:rsid w:val="00AE5BF2"/>
    <w:rsid w:val="00AE6009"/>
    <w:rsid w:val="00AE6047"/>
    <w:rsid w:val="00AE6AD5"/>
    <w:rsid w:val="00AE6EEE"/>
    <w:rsid w:val="00AE7E66"/>
    <w:rsid w:val="00AF0E24"/>
    <w:rsid w:val="00AF1460"/>
    <w:rsid w:val="00AF1AEB"/>
    <w:rsid w:val="00AF2283"/>
    <w:rsid w:val="00AF2509"/>
    <w:rsid w:val="00AF3389"/>
    <w:rsid w:val="00AF3F77"/>
    <w:rsid w:val="00AF403D"/>
    <w:rsid w:val="00AF419F"/>
    <w:rsid w:val="00AF4471"/>
    <w:rsid w:val="00AF525F"/>
    <w:rsid w:val="00AF6599"/>
    <w:rsid w:val="00AF6B04"/>
    <w:rsid w:val="00AF6DFC"/>
    <w:rsid w:val="00AF7332"/>
    <w:rsid w:val="00AF7DB0"/>
    <w:rsid w:val="00AF7E0A"/>
    <w:rsid w:val="00AF7E0D"/>
    <w:rsid w:val="00B009A7"/>
    <w:rsid w:val="00B00C5D"/>
    <w:rsid w:val="00B01F71"/>
    <w:rsid w:val="00B02153"/>
    <w:rsid w:val="00B02F02"/>
    <w:rsid w:val="00B0300F"/>
    <w:rsid w:val="00B0382F"/>
    <w:rsid w:val="00B0410D"/>
    <w:rsid w:val="00B05ECD"/>
    <w:rsid w:val="00B06162"/>
    <w:rsid w:val="00B06C76"/>
    <w:rsid w:val="00B07400"/>
    <w:rsid w:val="00B10888"/>
    <w:rsid w:val="00B10C03"/>
    <w:rsid w:val="00B10F5F"/>
    <w:rsid w:val="00B112A0"/>
    <w:rsid w:val="00B1197D"/>
    <w:rsid w:val="00B11A45"/>
    <w:rsid w:val="00B12EA6"/>
    <w:rsid w:val="00B133D4"/>
    <w:rsid w:val="00B13B34"/>
    <w:rsid w:val="00B13FE7"/>
    <w:rsid w:val="00B156A4"/>
    <w:rsid w:val="00B15FFA"/>
    <w:rsid w:val="00B164ED"/>
    <w:rsid w:val="00B16B35"/>
    <w:rsid w:val="00B16F11"/>
    <w:rsid w:val="00B1706B"/>
    <w:rsid w:val="00B1713C"/>
    <w:rsid w:val="00B1760B"/>
    <w:rsid w:val="00B179AC"/>
    <w:rsid w:val="00B20CA7"/>
    <w:rsid w:val="00B2108F"/>
    <w:rsid w:val="00B21D81"/>
    <w:rsid w:val="00B21F88"/>
    <w:rsid w:val="00B22627"/>
    <w:rsid w:val="00B230A1"/>
    <w:rsid w:val="00B231EE"/>
    <w:rsid w:val="00B237D7"/>
    <w:rsid w:val="00B248BF"/>
    <w:rsid w:val="00B24A35"/>
    <w:rsid w:val="00B269F9"/>
    <w:rsid w:val="00B3005E"/>
    <w:rsid w:val="00B300DF"/>
    <w:rsid w:val="00B30185"/>
    <w:rsid w:val="00B30725"/>
    <w:rsid w:val="00B307D6"/>
    <w:rsid w:val="00B31619"/>
    <w:rsid w:val="00B316A8"/>
    <w:rsid w:val="00B31E84"/>
    <w:rsid w:val="00B31FBB"/>
    <w:rsid w:val="00B3299E"/>
    <w:rsid w:val="00B32B20"/>
    <w:rsid w:val="00B32DD9"/>
    <w:rsid w:val="00B33637"/>
    <w:rsid w:val="00B34754"/>
    <w:rsid w:val="00B36365"/>
    <w:rsid w:val="00B379D1"/>
    <w:rsid w:val="00B37D7A"/>
    <w:rsid w:val="00B37E39"/>
    <w:rsid w:val="00B4002E"/>
    <w:rsid w:val="00B4028E"/>
    <w:rsid w:val="00B408C8"/>
    <w:rsid w:val="00B40940"/>
    <w:rsid w:val="00B40B96"/>
    <w:rsid w:val="00B411A9"/>
    <w:rsid w:val="00B411D8"/>
    <w:rsid w:val="00B41513"/>
    <w:rsid w:val="00B42632"/>
    <w:rsid w:val="00B42837"/>
    <w:rsid w:val="00B44057"/>
    <w:rsid w:val="00B444B6"/>
    <w:rsid w:val="00B445E0"/>
    <w:rsid w:val="00B44E89"/>
    <w:rsid w:val="00B4564E"/>
    <w:rsid w:val="00B4589F"/>
    <w:rsid w:val="00B45F4D"/>
    <w:rsid w:val="00B462F2"/>
    <w:rsid w:val="00B46F20"/>
    <w:rsid w:val="00B4782C"/>
    <w:rsid w:val="00B47C35"/>
    <w:rsid w:val="00B51E8D"/>
    <w:rsid w:val="00B52853"/>
    <w:rsid w:val="00B529B9"/>
    <w:rsid w:val="00B53047"/>
    <w:rsid w:val="00B532DE"/>
    <w:rsid w:val="00B535BD"/>
    <w:rsid w:val="00B546BE"/>
    <w:rsid w:val="00B54D7D"/>
    <w:rsid w:val="00B54D96"/>
    <w:rsid w:val="00B55052"/>
    <w:rsid w:val="00B555CB"/>
    <w:rsid w:val="00B55E10"/>
    <w:rsid w:val="00B56846"/>
    <w:rsid w:val="00B56C44"/>
    <w:rsid w:val="00B57A9C"/>
    <w:rsid w:val="00B57D55"/>
    <w:rsid w:val="00B6032A"/>
    <w:rsid w:val="00B605AA"/>
    <w:rsid w:val="00B60653"/>
    <w:rsid w:val="00B60EE3"/>
    <w:rsid w:val="00B61F61"/>
    <w:rsid w:val="00B6221A"/>
    <w:rsid w:val="00B64506"/>
    <w:rsid w:val="00B64BB4"/>
    <w:rsid w:val="00B64EB4"/>
    <w:rsid w:val="00B665A2"/>
    <w:rsid w:val="00B66B2F"/>
    <w:rsid w:val="00B66BE8"/>
    <w:rsid w:val="00B6741F"/>
    <w:rsid w:val="00B7074D"/>
    <w:rsid w:val="00B70BAF"/>
    <w:rsid w:val="00B71BA4"/>
    <w:rsid w:val="00B724C1"/>
    <w:rsid w:val="00B73C83"/>
    <w:rsid w:val="00B75A14"/>
    <w:rsid w:val="00B75EF6"/>
    <w:rsid w:val="00B76458"/>
    <w:rsid w:val="00B76B45"/>
    <w:rsid w:val="00B77B3C"/>
    <w:rsid w:val="00B80CCB"/>
    <w:rsid w:val="00B80D40"/>
    <w:rsid w:val="00B8111E"/>
    <w:rsid w:val="00B814C3"/>
    <w:rsid w:val="00B81521"/>
    <w:rsid w:val="00B81527"/>
    <w:rsid w:val="00B81E68"/>
    <w:rsid w:val="00B820A4"/>
    <w:rsid w:val="00B82A52"/>
    <w:rsid w:val="00B82EDB"/>
    <w:rsid w:val="00B82EE2"/>
    <w:rsid w:val="00B83019"/>
    <w:rsid w:val="00B83232"/>
    <w:rsid w:val="00B832CA"/>
    <w:rsid w:val="00B83E0F"/>
    <w:rsid w:val="00B8408B"/>
    <w:rsid w:val="00B84250"/>
    <w:rsid w:val="00B84946"/>
    <w:rsid w:val="00B84AC6"/>
    <w:rsid w:val="00B853C8"/>
    <w:rsid w:val="00B85819"/>
    <w:rsid w:val="00B867BF"/>
    <w:rsid w:val="00B86DD7"/>
    <w:rsid w:val="00B87132"/>
    <w:rsid w:val="00B8786C"/>
    <w:rsid w:val="00B90389"/>
    <w:rsid w:val="00B90BC4"/>
    <w:rsid w:val="00B90BF4"/>
    <w:rsid w:val="00B916DB"/>
    <w:rsid w:val="00B9284E"/>
    <w:rsid w:val="00B928D9"/>
    <w:rsid w:val="00B92F04"/>
    <w:rsid w:val="00B93089"/>
    <w:rsid w:val="00B93191"/>
    <w:rsid w:val="00B939F8"/>
    <w:rsid w:val="00B94475"/>
    <w:rsid w:val="00B9460B"/>
    <w:rsid w:val="00B95962"/>
    <w:rsid w:val="00B9642E"/>
    <w:rsid w:val="00B96E3C"/>
    <w:rsid w:val="00B97141"/>
    <w:rsid w:val="00B97864"/>
    <w:rsid w:val="00B979C9"/>
    <w:rsid w:val="00BA0181"/>
    <w:rsid w:val="00BA039B"/>
    <w:rsid w:val="00BA0907"/>
    <w:rsid w:val="00BA1EAE"/>
    <w:rsid w:val="00BA2E73"/>
    <w:rsid w:val="00BA3C41"/>
    <w:rsid w:val="00BA48F7"/>
    <w:rsid w:val="00BA540B"/>
    <w:rsid w:val="00BA56AA"/>
    <w:rsid w:val="00BA60CE"/>
    <w:rsid w:val="00BA7260"/>
    <w:rsid w:val="00BA74A9"/>
    <w:rsid w:val="00BA77DB"/>
    <w:rsid w:val="00BA791E"/>
    <w:rsid w:val="00BB0018"/>
    <w:rsid w:val="00BB03B8"/>
    <w:rsid w:val="00BB0F5F"/>
    <w:rsid w:val="00BB15DD"/>
    <w:rsid w:val="00BB1EED"/>
    <w:rsid w:val="00BB2675"/>
    <w:rsid w:val="00BB2841"/>
    <w:rsid w:val="00BB2CAE"/>
    <w:rsid w:val="00BB33C1"/>
    <w:rsid w:val="00BB386D"/>
    <w:rsid w:val="00BB3B4B"/>
    <w:rsid w:val="00BB3E8C"/>
    <w:rsid w:val="00BB4718"/>
    <w:rsid w:val="00BB528E"/>
    <w:rsid w:val="00BB5F65"/>
    <w:rsid w:val="00BB5FD8"/>
    <w:rsid w:val="00BB6278"/>
    <w:rsid w:val="00BB65EA"/>
    <w:rsid w:val="00BB671D"/>
    <w:rsid w:val="00BB7905"/>
    <w:rsid w:val="00BC04D3"/>
    <w:rsid w:val="00BC07F1"/>
    <w:rsid w:val="00BC244A"/>
    <w:rsid w:val="00BC28A7"/>
    <w:rsid w:val="00BC296E"/>
    <w:rsid w:val="00BC30B6"/>
    <w:rsid w:val="00BC3391"/>
    <w:rsid w:val="00BC4073"/>
    <w:rsid w:val="00BC52F7"/>
    <w:rsid w:val="00BC5B60"/>
    <w:rsid w:val="00BC6711"/>
    <w:rsid w:val="00BC7023"/>
    <w:rsid w:val="00BD02ED"/>
    <w:rsid w:val="00BD0421"/>
    <w:rsid w:val="00BD0F51"/>
    <w:rsid w:val="00BD1457"/>
    <w:rsid w:val="00BD14F9"/>
    <w:rsid w:val="00BD18C7"/>
    <w:rsid w:val="00BD2143"/>
    <w:rsid w:val="00BD284C"/>
    <w:rsid w:val="00BD2CA0"/>
    <w:rsid w:val="00BD3194"/>
    <w:rsid w:val="00BD3C7C"/>
    <w:rsid w:val="00BD4EE4"/>
    <w:rsid w:val="00BD53F5"/>
    <w:rsid w:val="00BD56AA"/>
    <w:rsid w:val="00BD5A75"/>
    <w:rsid w:val="00BD6240"/>
    <w:rsid w:val="00BD6301"/>
    <w:rsid w:val="00BD659F"/>
    <w:rsid w:val="00BD6C4E"/>
    <w:rsid w:val="00BE1187"/>
    <w:rsid w:val="00BE15F2"/>
    <w:rsid w:val="00BE2779"/>
    <w:rsid w:val="00BE2F2E"/>
    <w:rsid w:val="00BE385D"/>
    <w:rsid w:val="00BE3BF9"/>
    <w:rsid w:val="00BE406E"/>
    <w:rsid w:val="00BE4E6D"/>
    <w:rsid w:val="00BE53F9"/>
    <w:rsid w:val="00BE5A7D"/>
    <w:rsid w:val="00BE5D73"/>
    <w:rsid w:val="00BE6159"/>
    <w:rsid w:val="00BE633E"/>
    <w:rsid w:val="00BE6413"/>
    <w:rsid w:val="00BE71D0"/>
    <w:rsid w:val="00BF0294"/>
    <w:rsid w:val="00BF1252"/>
    <w:rsid w:val="00BF17C9"/>
    <w:rsid w:val="00BF19A0"/>
    <w:rsid w:val="00BF27EE"/>
    <w:rsid w:val="00BF2A5E"/>
    <w:rsid w:val="00BF401D"/>
    <w:rsid w:val="00BF46A8"/>
    <w:rsid w:val="00BF47FD"/>
    <w:rsid w:val="00BF4805"/>
    <w:rsid w:val="00BF4B34"/>
    <w:rsid w:val="00BF4C5B"/>
    <w:rsid w:val="00BF51FD"/>
    <w:rsid w:val="00BF665F"/>
    <w:rsid w:val="00BF6739"/>
    <w:rsid w:val="00BF6E2D"/>
    <w:rsid w:val="00BF74B6"/>
    <w:rsid w:val="00BF779E"/>
    <w:rsid w:val="00BF7BE8"/>
    <w:rsid w:val="00BF7EE3"/>
    <w:rsid w:val="00C016E3"/>
    <w:rsid w:val="00C01906"/>
    <w:rsid w:val="00C01B26"/>
    <w:rsid w:val="00C02753"/>
    <w:rsid w:val="00C02B06"/>
    <w:rsid w:val="00C02C15"/>
    <w:rsid w:val="00C03885"/>
    <w:rsid w:val="00C040C0"/>
    <w:rsid w:val="00C04741"/>
    <w:rsid w:val="00C05000"/>
    <w:rsid w:val="00C05D38"/>
    <w:rsid w:val="00C0613F"/>
    <w:rsid w:val="00C065CE"/>
    <w:rsid w:val="00C06CF4"/>
    <w:rsid w:val="00C06E7A"/>
    <w:rsid w:val="00C07251"/>
    <w:rsid w:val="00C07328"/>
    <w:rsid w:val="00C0791E"/>
    <w:rsid w:val="00C10301"/>
    <w:rsid w:val="00C10905"/>
    <w:rsid w:val="00C10C3E"/>
    <w:rsid w:val="00C1154A"/>
    <w:rsid w:val="00C11DED"/>
    <w:rsid w:val="00C12540"/>
    <w:rsid w:val="00C126C7"/>
    <w:rsid w:val="00C12800"/>
    <w:rsid w:val="00C13131"/>
    <w:rsid w:val="00C13278"/>
    <w:rsid w:val="00C13902"/>
    <w:rsid w:val="00C13948"/>
    <w:rsid w:val="00C149BE"/>
    <w:rsid w:val="00C14C4E"/>
    <w:rsid w:val="00C150D0"/>
    <w:rsid w:val="00C2004F"/>
    <w:rsid w:val="00C202F9"/>
    <w:rsid w:val="00C20977"/>
    <w:rsid w:val="00C218E6"/>
    <w:rsid w:val="00C21CF4"/>
    <w:rsid w:val="00C21E5F"/>
    <w:rsid w:val="00C21EE3"/>
    <w:rsid w:val="00C22454"/>
    <w:rsid w:val="00C22717"/>
    <w:rsid w:val="00C230A4"/>
    <w:rsid w:val="00C237C6"/>
    <w:rsid w:val="00C23DC4"/>
    <w:rsid w:val="00C2497E"/>
    <w:rsid w:val="00C2633B"/>
    <w:rsid w:val="00C268ED"/>
    <w:rsid w:val="00C26FA2"/>
    <w:rsid w:val="00C270F9"/>
    <w:rsid w:val="00C27671"/>
    <w:rsid w:val="00C27902"/>
    <w:rsid w:val="00C27FE7"/>
    <w:rsid w:val="00C3117B"/>
    <w:rsid w:val="00C31739"/>
    <w:rsid w:val="00C31829"/>
    <w:rsid w:val="00C327A5"/>
    <w:rsid w:val="00C33CFE"/>
    <w:rsid w:val="00C3443B"/>
    <w:rsid w:val="00C34666"/>
    <w:rsid w:val="00C3491D"/>
    <w:rsid w:val="00C357B0"/>
    <w:rsid w:val="00C35D84"/>
    <w:rsid w:val="00C35EDE"/>
    <w:rsid w:val="00C35FDD"/>
    <w:rsid w:val="00C363C3"/>
    <w:rsid w:val="00C3659C"/>
    <w:rsid w:val="00C36CFE"/>
    <w:rsid w:val="00C372C4"/>
    <w:rsid w:val="00C405ED"/>
    <w:rsid w:val="00C4156D"/>
    <w:rsid w:val="00C41691"/>
    <w:rsid w:val="00C42388"/>
    <w:rsid w:val="00C424DC"/>
    <w:rsid w:val="00C43594"/>
    <w:rsid w:val="00C43839"/>
    <w:rsid w:val="00C4412B"/>
    <w:rsid w:val="00C44B9C"/>
    <w:rsid w:val="00C4581A"/>
    <w:rsid w:val="00C45C2D"/>
    <w:rsid w:val="00C45CB4"/>
    <w:rsid w:val="00C461DD"/>
    <w:rsid w:val="00C4643A"/>
    <w:rsid w:val="00C46CAE"/>
    <w:rsid w:val="00C46D83"/>
    <w:rsid w:val="00C471AE"/>
    <w:rsid w:val="00C4726D"/>
    <w:rsid w:val="00C50653"/>
    <w:rsid w:val="00C51466"/>
    <w:rsid w:val="00C52676"/>
    <w:rsid w:val="00C52B6E"/>
    <w:rsid w:val="00C53042"/>
    <w:rsid w:val="00C53EC5"/>
    <w:rsid w:val="00C5460A"/>
    <w:rsid w:val="00C549C1"/>
    <w:rsid w:val="00C54E38"/>
    <w:rsid w:val="00C57C2E"/>
    <w:rsid w:val="00C57E55"/>
    <w:rsid w:val="00C60658"/>
    <w:rsid w:val="00C61039"/>
    <w:rsid w:val="00C61048"/>
    <w:rsid w:val="00C61301"/>
    <w:rsid w:val="00C61CB0"/>
    <w:rsid w:val="00C62483"/>
    <w:rsid w:val="00C62814"/>
    <w:rsid w:val="00C6310F"/>
    <w:rsid w:val="00C63714"/>
    <w:rsid w:val="00C6437E"/>
    <w:rsid w:val="00C64E13"/>
    <w:rsid w:val="00C64F7E"/>
    <w:rsid w:val="00C65251"/>
    <w:rsid w:val="00C665C0"/>
    <w:rsid w:val="00C67263"/>
    <w:rsid w:val="00C6764B"/>
    <w:rsid w:val="00C67FA8"/>
    <w:rsid w:val="00C7053F"/>
    <w:rsid w:val="00C71796"/>
    <w:rsid w:val="00C71F5B"/>
    <w:rsid w:val="00C721EB"/>
    <w:rsid w:val="00C721FC"/>
    <w:rsid w:val="00C7221C"/>
    <w:rsid w:val="00C73118"/>
    <w:rsid w:val="00C742B7"/>
    <w:rsid w:val="00C7486B"/>
    <w:rsid w:val="00C75ABC"/>
    <w:rsid w:val="00C75C01"/>
    <w:rsid w:val="00C75C80"/>
    <w:rsid w:val="00C764F0"/>
    <w:rsid w:val="00C771AF"/>
    <w:rsid w:val="00C77576"/>
    <w:rsid w:val="00C80F07"/>
    <w:rsid w:val="00C811E1"/>
    <w:rsid w:val="00C813A4"/>
    <w:rsid w:val="00C813C4"/>
    <w:rsid w:val="00C8197A"/>
    <w:rsid w:val="00C81D20"/>
    <w:rsid w:val="00C81DE3"/>
    <w:rsid w:val="00C82AF4"/>
    <w:rsid w:val="00C831DF"/>
    <w:rsid w:val="00C838D0"/>
    <w:rsid w:val="00C858F7"/>
    <w:rsid w:val="00C86673"/>
    <w:rsid w:val="00C8671A"/>
    <w:rsid w:val="00C87616"/>
    <w:rsid w:val="00C87F66"/>
    <w:rsid w:val="00C87FE1"/>
    <w:rsid w:val="00C9013F"/>
    <w:rsid w:val="00C918E5"/>
    <w:rsid w:val="00C922D7"/>
    <w:rsid w:val="00C92BD1"/>
    <w:rsid w:val="00C937A5"/>
    <w:rsid w:val="00C93C62"/>
    <w:rsid w:val="00C9458D"/>
    <w:rsid w:val="00C94886"/>
    <w:rsid w:val="00C94B97"/>
    <w:rsid w:val="00C96213"/>
    <w:rsid w:val="00C9649B"/>
    <w:rsid w:val="00C96924"/>
    <w:rsid w:val="00C969DA"/>
    <w:rsid w:val="00C96E35"/>
    <w:rsid w:val="00C974D0"/>
    <w:rsid w:val="00CA0A4E"/>
    <w:rsid w:val="00CA0D30"/>
    <w:rsid w:val="00CA10F9"/>
    <w:rsid w:val="00CA141E"/>
    <w:rsid w:val="00CA3464"/>
    <w:rsid w:val="00CA34FD"/>
    <w:rsid w:val="00CA3968"/>
    <w:rsid w:val="00CA3AF3"/>
    <w:rsid w:val="00CA3E6A"/>
    <w:rsid w:val="00CA3E81"/>
    <w:rsid w:val="00CA4CB8"/>
    <w:rsid w:val="00CA4DDF"/>
    <w:rsid w:val="00CA5553"/>
    <w:rsid w:val="00CA6211"/>
    <w:rsid w:val="00CA66CA"/>
    <w:rsid w:val="00CA6D8C"/>
    <w:rsid w:val="00CA6F85"/>
    <w:rsid w:val="00CA71EB"/>
    <w:rsid w:val="00CA72D3"/>
    <w:rsid w:val="00CA7BB8"/>
    <w:rsid w:val="00CB0D9D"/>
    <w:rsid w:val="00CB0FBC"/>
    <w:rsid w:val="00CB12EC"/>
    <w:rsid w:val="00CB14DB"/>
    <w:rsid w:val="00CB1C26"/>
    <w:rsid w:val="00CB326C"/>
    <w:rsid w:val="00CB510B"/>
    <w:rsid w:val="00CB58DA"/>
    <w:rsid w:val="00CB68F0"/>
    <w:rsid w:val="00CB695E"/>
    <w:rsid w:val="00CB6F3C"/>
    <w:rsid w:val="00CB6FF0"/>
    <w:rsid w:val="00CB7955"/>
    <w:rsid w:val="00CC0AD0"/>
    <w:rsid w:val="00CC0D3F"/>
    <w:rsid w:val="00CC1185"/>
    <w:rsid w:val="00CC1196"/>
    <w:rsid w:val="00CC19BA"/>
    <w:rsid w:val="00CC1ED3"/>
    <w:rsid w:val="00CC2652"/>
    <w:rsid w:val="00CC2757"/>
    <w:rsid w:val="00CC2CE3"/>
    <w:rsid w:val="00CC3C13"/>
    <w:rsid w:val="00CC476B"/>
    <w:rsid w:val="00CC56C7"/>
    <w:rsid w:val="00CC5F7B"/>
    <w:rsid w:val="00CC63A8"/>
    <w:rsid w:val="00CC656B"/>
    <w:rsid w:val="00CC6A45"/>
    <w:rsid w:val="00CC7111"/>
    <w:rsid w:val="00CD0CB4"/>
    <w:rsid w:val="00CD15EF"/>
    <w:rsid w:val="00CD2E1D"/>
    <w:rsid w:val="00CD3144"/>
    <w:rsid w:val="00CD3504"/>
    <w:rsid w:val="00CD351C"/>
    <w:rsid w:val="00CD3CE9"/>
    <w:rsid w:val="00CD3DC8"/>
    <w:rsid w:val="00CD3F89"/>
    <w:rsid w:val="00CD41B8"/>
    <w:rsid w:val="00CD44C9"/>
    <w:rsid w:val="00CD4DB2"/>
    <w:rsid w:val="00CD561A"/>
    <w:rsid w:val="00CD5711"/>
    <w:rsid w:val="00CD62CE"/>
    <w:rsid w:val="00CD6A73"/>
    <w:rsid w:val="00CD6DDC"/>
    <w:rsid w:val="00CD6FAC"/>
    <w:rsid w:val="00CD77EC"/>
    <w:rsid w:val="00CE021B"/>
    <w:rsid w:val="00CE0D26"/>
    <w:rsid w:val="00CE13AF"/>
    <w:rsid w:val="00CE3463"/>
    <w:rsid w:val="00CE3BC4"/>
    <w:rsid w:val="00CE4197"/>
    <w:rsid w:val="00CE4429"/>
    <w:rsid w:val="00CE529C"/>
    <w:rsid w:val="00CE6250"/>
    <w:rsid w:val="00CE6353"/>
    <w:rsid w:val="00CE6B41"/>
    <w:rsid w:val="00CE6F68"/>
    <w:rsid w:val="00CE71C1"/>
    <w:rsid w:val="00CE79A3"/>
    <w:rsid w:val="00CE7DF2"/>
    <w:rsid w:val="00CF04F7"/>
    <w:rsid w:val="00CF0543"/>
    <w:rsid w:val="00CF056E"/>
    <w:rsid w:val="00CF0856"/>
    <w:rsid w:val="00CF08B4"/>
    <w:rsid w:val="00CF118B"/>
    <w:rsid w:val="00CF11C0"/>
    <w:rsid w:val="00CF1B95"/>
    <w:rsid w:val="00CF225B"/>
    <w:rsid w:val="00CF2560"/>
    <w:rsid w:val="00CF31DB"/>
    <w:rsid w:val="00CF3E96"/>
    <w:rsid w:val="00CF5CB1"/>
    <w:rsid w:val="00CF5D6E"/>
    <w:rsid w:val="00CF64DA"/>
    <w:rsid w:val="00CF664D"/>
    <w:rsid w:val="00CF6808"/>
    <w:rsid w:val="00CF6B1F"/>
    <w:rsid w:val="00CF7AB5"/>
    <w:rsid w:val="00D004BD"/>
    <w:rsid w:val="00D00C41"/>
    <w:rsid w:val="00D0162E"/>
    <w:rsid w:val="00D017BE"/>
    <w:rsid w:val="00D0325D"/>
    <w:rsid w:val="00D03437"/>
    <w:rsid w:val="00D0361E"/>
    <w:rsid w:val="00D0390D"/>
    <w:rsid w:val="00D05489"/>
    <w:rsid w:val="00D06279"/>
    <w:rsid w:val="00D06498"/>
    <w:rsid w:val="00D07438"/>
    <w:rsid w:val="00D10216"/>
    <w:rsid w:val="00D13B5A"/>
    <w:rsid w:val="00D13D6A"/>
    <w:rsid w:val="00D1486B"/>
    <w:rsid w:val="00D14935"/>
    <w:rsid w:val="00D14DAB"/>
    <w:rsid w:val="00D159FC"/>
    <w:rsid w:val="00D15B56"/>
    <w:rsid w:val="00D1616B"/>
    <w:rsid w:val="00D166F7"/>
    <w:rsid w:val="00D1720B"/>
    <w:rsid w:val="00D17497"/>
    <w:rsid w:val="00D17900"/>
    <w:rsid w:val="00D17C88"/>
    <w:rsid w:val="00D20052"/>
    <w:rsid w:val="00D200D7"/>
    <w:rsid w:val="00D201CD"/>
    <w:rsid w:val="00D21595"/>
    <w:rsid w:val="00D21732"/>
    <w:rsid w:val="00D22887"/>
    <w:rsid w:val="00D22E52"/>
    <w:rsid w:val="00D24105"/>
    <w:rsid w:val="00D25C9B"/>
    <w:rsid w:val="00D261A4"/>
    <w:rsid w:val="00D267AD"/>
    <w:rsid w:val="00D2738F"/>
    <w:rsid w:val="00D274B3"/>
    <w:rsid w:val="00D275AD"/>
    <w:rsid w:val="00D27AC4"/>
    <w:rsid w:val="00D27B68"/>
    <w:rsid w:val="00D3171E"/>
    <w:rsid w:val="00D3197C"/>
    <w:rsid w:val="00D31D2A"/>
    <w:rsid w:val="00D31EE1"/>
    <w:rsid w:val="00D3225A"/>
    <w:rsid w:val="00D32A53"/>
    <w:rsid w:val="00D32AB3"/>
    <w:rsid w:val="00D330AA"/>
    <w:rsid w:val="00D33FEA"/>
    <w:rsid w:val="00D34F9A"/>
    <w:rsid w:val="00D369A5"/>
    <w:rsid w:val="00D4367B"/>
    <w:rsid w:val="00D43C87"/>
    <w:rsid w:val="00D43E1B"/>
    <w:rsid w:val="00D43E60"/>
    <w:rsid w:val="00D449A8"/>
    <w:rsid w:val="00D44E50"/>
    <w:rsid w:val="00D45DDE"/>
    <w:rsid w:val="00D4676E"/>
    <w:rsid w:val="00D46C3C"/>
    <w:rsid w:val="00D506C3"/>
    <w:rsid w:val="00D50CB5"/>
    <w:rsid w:val="00D51ED9"/>
    <w:rsid w:val="00D526E9"/>
    <w:rsid w:val="00D52B2B"/>
    <w:rsid w:val="00D54C72"/>
    <w:rsid w:val="00D558C7"/>
    <w:rsid w:val="00D56662"/>
    <w:rsid w:val="00D56C84"/>
    <w:rsid w:val="00D602C8"/>
    <w:rsid w:val="00D6081A"/>
    <w:rsid w:val="00D61614"/>
    <w:rsid w:val="00D626F9"/>
    <w:rsid w:val="00D63689"/>
    <w:rsid w:val="00D63809"/>
    <w:rsid w:val="00D63E99"/>
    <w:rsid w:val="00D64222"/>
    <w:rsid w:val="00D64549"/>
    <w:rsid w:val="00D64AB9"/>
    <w:rsid w:val="00D654DD"/>
    <w:rsid w:val="00D65A79"/>
    <w:rsid w:val="00D65B25"/>
    <w:rsid w:val="00D67111"/>
    <w:rsid w:val="00D6773B"/>
    <w:rsid w:val="00D67C4A"/>
    <w:rsid w:val="00D7101B"/>
    <w:rsid w:val="00D724C0"/>
    <w:rsid w:val="00D727AC"/>
    <w:rsid w:val="00D74C82"/>
    <w:rsid w:val="00D768F4"/>
    <w:rsid w:val="00D77353"/>
    <w:rsid w:val="00D77538"/>
    <w:rsid w:val="00D803F5"/>
    <w:rsid w:val="00D80DA1"/>
    <w:rsid w:val="00D80E64"/>
    <w:rsid w:val="00D80F14"/>
    <w:rsid w:val="00D8231A"/>
    <w:rsid w:val="00D82704"/>
    <w:rsid w:val="00D82F25"/>
    <w:rsid w:val="00D84000"/>
    <w:rsid w:val="00D84EE5"/>
    <w:rsid w:val="00D858CA"/>
    <w:rsid w:val="00D867F7"/>
    <w:rsid w:val="00D86C26"/>
    <w:rsid w:val="00D86DD5"/>
    <w:rsid w:val="00D87E93"/>
    <w:rsid w:val="00D87FEE"/>
    <w:rsid w:val="00D90D1B"/>
    <w:rsid w:val="00D90D32"/>
    <w:rsid w:val="00D910D6"/>
    <w:rsid w:val="00D9147C"/>
    <w:rsid w:val="00D9264B"/>
    <w:rsid w:val="00D92C17"/>
    <w:rsid w:val="00D92E63"/>
    <w:rsid w:val="00D92F3C"/>
    <w:rsid w:val="00D9382A"/>
    <w:rsid w:val="00D94B0F"/>
    <w:rsid w:val="00D94E1E"/>
    <w:rsid w:val="00D96F31"/>
    <w:rsid w:val="00D97E4F"/>
    <w:rsid w:val="00DA0920"/>
    <w:rsid w:val="00DA0B54"/>
    <w:rsid w:val="00DA0D2B"/>
    <w:rsid w:val="00DA0EE5"/>
    <w:rsid w:val="00DA1A1F"/>
    <w:rsid w:val="00DA1D1F"/>
    <w:rsid w:val="00DA2572"/>
    <w:rsid w:val="00DA298F"/>
    <w:rsid w:val="00DA2B0D"/>
    <w:rsid w:val="00DA3402"/>
    <w:rsid w:val="00DA3763"/>
    <w:rsid w:val="00DA41F1"/>
    <w:rsid w:val="00DA4391"/>
    <w:rsid w:val="00DA49D9"/>
    <w:rsid w:val="00DA63AD"/>
    <w:rsid w:val="00DA63B8"/>
    <w:rsid w:val="00DA7514"/>
    <w:rsid w:val="00DA76F7"/>
    <w:rsid w:val="00DB0097"/>
    <w:rsid w:val="00DB0127"/>
    <w:rsid w:val="00DB06B3"/>
    <w:rsid w:val="00DB0E3E"/>
    <w:rsid w:val="00DB10CB"/>
    <w:rsid w:val="00DB2C2C"/>
    <w:rsid w:val="00DB3597"/>
    <w:rsid w:val="00DB4CCF"/>
    <w:rsid w:val="00DB58AA"/>
    <w:rsid w:val="00DB5C13"/>
    <w:rsid w:val="00DB67F2"/>
    <w:rsid w:val="00DB70BC"/>
    <w:rsid w:val="00DB71D2"/>
    <w:rsid w:val="00DB7A53"/>
    <w:rsid w:val="00DB7AC5"/>
    <w:rsid w:val="00DB7D0E"/>
    <w:rsid w:val="00DC02B9"/>
    <w:rsid w:val="00DC0639"/>
    <w:rsid w:val="00DC0C44"/>
    <w:rsid w:val="00DC0DBB"/>
    <w:rsid w:val="00DC0E4E"/>
    <w:rsid w:val="00DC102D"/>
    <w:rsid w:val="00DC1484"/>
    <w:rsid w:val="00DC14E3"/>
    <w:rsid w:val="00DC1979"/>
    <w:rsid w:val="00DC1AEF"/>
    <w:rsid w:val="00DC3257"/>
    <w:rsid w:val="00DC3624"/>
    <w:rsid w:val="00DC4DCD"/>
    <w:rsid w:val="00DC4F1E"/>
    <w:rsid w:val="00DC5C4D"/>
    <w:rsid w:val="00DC5DDF"/>
    <w:rsid w:val="00DC613D"/>
    <w:rsid w:val="00DC6423"/>
    <w:rsid w:val="00DC65AB"/>
    <w:rsid w:val="00DC65D3"/>
    <w:rsid w:val="00DC660B"/>
    <w:rsid w:val="00DC7460"/>
    <w:rsid w:val="00DC77F9"/>
    <w:rsid w:val="00DD0D6B"/>
    <w:rsid w:val="00DD0F56"/>
    <w:rsid w:val="00DD123D"/>
    <w:rsid w:val="00DD12C6"/>
    <w:rsid w:val="00DD1EBF"/>
    <w:rsid w:val="00DD1EC0"/>
    <w:rsid w:val="00DD1F8B"/>
    <w:rsid w:val="00DD2F1A"/>
    <w:rsid w:val="00DD35F4"/>
    <w:rsid w:val="00DD3C42"/>
    <w:rsid w:val="00DD42F5"/>
    <w:rsid w:val="00DD4526"/>
    <w:rsid w:val="00DD5D3C"/>
    <w:rsid w:val="00DD5F7D"/>
    <w:rsid w:val="00DD7EF8"/>
    <w:rsid w:val="00DE0454"/>
    <w:rsid w:val="00DE0615"/>
    <w:rsid w:val="00DE1A78"/>
    <w:rsid w:val="00DE1F4A"/>
    <w:rsid w:val="00DE22C4"/>
    <w:rsid w:val="00DE29E3"/>
    <w:rsid w:val="00DE3089"/>
    <w:rsid w:val="00DE3303"/>
    <w:rsid w:val="00DE39D3"/>
    <w:rsid w:val="00DE3CC9"/>
    <w:rsid w:val="00DE4378"/>
    <w:rsid w:val="00DE48D9"/>
    <w:rsid w:val="00DE4D54"/>
    <w:rsid w:val="00DE4ED2"/>
    <w:rsid w:val="00DE5774"/>
    <w:rsid w:val="00DE57F7"/>
    <w:rsid w:val="00DE7349"/>
    <w:rsid w:val="00DE7A77"/>
    <w:rsid w:val="00DF0ADC"/>
    <w:rsid w:val="00DF1446"/>
    <w:rsid w:val="00DF2035"/>
    <w:rsid w:val="00DF2D41"/>
    <w:rsid w:val="00DF368F"/>
    <w:rsid w:val="00DF4414"/>
    <w:rsid w:val="00DF46C6"/>
    <w:rsid w:val="00DF508C"/>
    <w:rsid w:val="00DF50BB"/>
    <w:rsid w:val="00DF5C0C"/>
    <w:rsid w:val="00DF5DAB"/>
    <w:rsid w:val="00DF76F7"/>
    <w:rsid w:val="00DF7B6B"/>
    <w:rsid w:val="00E003AD"/>
    <w:rsid w:val="00E01D30"/>
    <w:rsid w:val="00E0273F"/>
    <w:rsid w:val="00E02BF4"/>
    <w:rsid w:val="00E03BCD"/>
    <w:rsid w:val="00E04423"/>
    <w:rsid w:val="00E04E09"/>
    <w:rsid w:val="00E0515F"/>
    <w:rsid w:val="00E052D2"/>
    <w:rsid w:val="00E05411"/>
    <w:rsid w:val="00E05739"/>
    <w:rsid w:val="00E059FD"/>
    <w:rsid w:val="00E05AE0"/>
    <w:rsid w:val="00E0650D"/>
    <w:rsid w:val="00E06966"/>
    <w:rsid w:val="00E100DE"/>
    <w:rsid w:val="00E10D2F"/>
    <w:rsid w:val="00E11294"/>
    <w:rsid w:val="00E114FB"/>
    <w:rsid w:val="00E12AD9"/>
    <w:rsid w:val="00E13073"/>
    <w:rsid w:val="00E146D9"/>
    <w:rsid w:val="00E147B7"/>
    <w:rsid w:val="00E149B3"/>
    <w:rsid w:val="00E14ADF"/>
    <w:rsid w:val="00E14B15"/>
    <w:rsid w:val="00E150A4"/>
    <w:rsid w:val="00E151B0"/>
    <w:rsid w:val="00E15469"/>
    <w:rsid w:val="00E1561F"/>
    <w:rsid w:val="00E15EA4"/>
    <w:rsid w:val="00E1748A"/>
    <w:rsid w:val="00E17E05"/>
    <w:rsid w:val="00E17F4F"/>
    <w:rsid w:val="00E20CDD"/>
    <w:rsid w:val="00E2185D"/>
    <w:rsid w:val="00E21E7C"/>
    <w:rsid w:val="00E21F21"/>
    <w:rsid w:val="00E2265F"/>
    <w:rsid w:val="00E226E3"/>
    <w:rsid w:val="00E22DA5"/>
    <w:rsid w:val="00E237E4"/>
    <w:rsid w:val="00E2399F"/>
    <w:rsid w:val="00E23F15"/>
    <w:rsid w:val="00E25B33"/>
    <w:rsid w:val="00E261B8"/>
    <w:rsid w:val="00E26285"/>
    <w:rsid w:val="00E26F0A"/>
    <w:rsid w:val="00E276FD"/>
    <w:rsid w:val="00E27CB2"/>
    <w:rsid w:val="00E3041B"/>
    <w:rsid w:val="00E30D57"/>
    <w:rsid w:val="00E30F1C"/>
    <w:rsid w:val="00E311B5"/>
    <w:rsid w:val="00E31342"/>
    <w:rsid w:val="00E31AC3"/>
    <w:rsid w:val="00E31CDB"/>
    <w:rsid w:val="00E31D46"/>
    <w:rsid w:val="00E323D0"/>
    <w:rsid w:val="00E33EDA"/>
    <w:rsid w:val="00E34DD7"/>
    <w:rsid w:val="00E35CD0"/>
    <w:rsid w:val="00E35FA1"/>
    <w:rsid w:val="00E374C1"/>
    <w:rsid w:val="00E37B80"/>
    <w:rsid w:val="00E37F1A"/>
    <w:rsid w:val="00E40D4F"/>
    <w:rsid w:val="00E40D51"/>
    <w:rsid w:val="00E414F6"/>
    <w:rsid w:val="00E41596"/>
    <w:rsid w:val="00E41A71"/>
    <w:rsid w:val="00E41AD6"/>
    <w:rsid w:val="00E42250"/>
    <w:rsid w:val="00E42449"/>
    <w:rsid w:val="00E436A5"/>
    <w:rsid w:val="00E44D97"/>
    <w:rsid w:val="00E44FA8"/>
    <w:rsid w:val="00E45520"/>
    <w:rsid w:val="00E455B4"/>
    <w:rsid w:val="00E45F9F"/>
    <w:rsid w:val="00E46946"/>
    <w:rsid w:val="00E4696C"/>
    <w:rsid w:val="00E46D9F"/>
    <w:rsid w:val="00E4782F"/>
    <w:rsid w:val="00E47BC1"/>
    <w:rsid w:val="00E47BD1"/>
    <w:rsid w:val="00E508B2"/>
    <w:rsid w:val="00E52613"/>
    <w:rsid w:val="00E5283B"/>
    <w:rsid w:val="00E52FCE"/>
    <w:rsid w:val="00E532F4"/>
    <w:rsid w:val="00E546AA"/>
    <w:rsid w:val="00E54CE0"/>
    <w:rsid w:val="00E54D36"/>
    <w:rsid w:val="00E54D54"/>
    <w:rsid w:val="00E54FA5"/>
    <w:rsid w:val="00E56694"/>
    <w:rsid w:val="00E56FB9"/>
    <w:rsid w:val="00E57AC3"/>
    <w:rsid w:val="00E57B2B"/>
    <w:rsid w:val="00E57E91"/>
    <w:rsid w:val="00E60EA0"/>
    <w:rsid w:val="00E616E5"/>
    <w:rsid w:val="00E618C3"/>
    <w:rsid w:val="00E6272C"/>
    <w:rsid w:val="00E63451"/>
    <w:rsid w:val="00E6451D"/>
    <w:rsid w:val="00E64608"/>
    <w:rsid w:val="00E65297"/>
    <w:rsid w:val="00E654E5"/>
    <w:rsid w:val="00E662D5"/>
    <w:rsid w:val="00E66876"/>
    <w:rsid w:val="00E66C44"/>
    <w:rsid w:val="00E66D61"/>
    <w:rsid w:val="00E66FA1"/>
    <w:rsid w:val="00E67A80"/>
    <w:rsid w:val="00E70531"/>
    <w:rsid w:val="00E706BC"/>
    <w:rsid w:val="00E71F7D"/>
    <w:rsid w:val="00E72C74"/>
    <w:rsid w:val="00E73720"/>
    <w:rsid w:val="00E73A29"/>
    <w:rsid w:val="00E741B3"/>
    <w:rsid w:val="00E75FCC"/>
    <w:rsid w:val="00E7605B"/>
    <w:rsid w:val="00E7762F"/>
    <w:rsid w:val="00E7794A"/>
    <w:rsid w:val="00E77C07"/>
    <w:rsid w:val="00E77DE4"/>
    <w:rsid w:val="00E803B6"/>
    <w:rsid w:val="00E80A0D"/>
    <w:rsid w:val="00E81BE9"/>
    <w:rsid w:val="00E82C7A"/>
    <w:rsid w:val="00E82CC1"/>
    <w:rsid w:val="00E82DC4"/>
    <w:rsid w:val="00E83302"/>
    <w:rsid w:val="00E841F5"/>
    <w:rsid w:val="00E85407"/>
    <w:rsid w:val="00E858E6"/>
    <w:rsid w:val="00E85A51"/>
    <w:rsid w:val="00E85DE9"/>
    <w:rsid w:val="00E860A4"/>
    <w:rsid w:val="00E865BF"/>
    <w:rsid w:val="00E8675D"/>
    <w:rsid w:val="00E86B2D"/>
    <w:rsid w:val="00E87064"/>
    <w:rsid w:val="00E871CD"/>
    <w:rsid w:val="00E87457"/>
    <w:rsid w:val="00E8783D"/>
    <w:rsid w:val="00E87A1C"/>
    <w:rsid w:val="00E892FF"/>
    <w:rsid w:val="00E9190A"/>
    <w:rsid w:val="00E91A9C"/>
    <w:rsid w:val="00E91DD6"/>
    <w:rsid w:val="00E92210"/>
    <w:rsid w:val="00E922F1"/>
    <w:rsid w:val="00E9248C"/>
    <w:rsid w:val="00E924A6"/>
    <w:rsid w:val="00E9270F"/>
    <w:rsid w:val="00E93515"/>
    <w:rsid w:val="00E938A9"/>
    <w:rsid w:val="00E9394B"/>
    <w:rsid w:val="00E93968"/>
    <w:rsid w:val="00E94090"/>
    <w:rsid w:val="00E94EC6"/>
    <w:rsid w:val="00E94F0A"/>
    <w:rsid w:val="00E953F0"/>
    <w:rsid w:val="00E955A1"/>
    <w:rsid w:val="00E96769"/>
    <w:rsid w:val="00E975E4"/>
    <w:rsid w:val="00EA00E0"/>
    <w:rsid w:val="00EA0BC7"/>
    <w:rsid w:val="00EA0F00"/>
    <w:rsid w:val="00EA0FB8"/>
    <w:rsid w:val="00EA191B"/>
    <w:rsid w:val="00EA2BEE"/>
    <w:rsid w:val="00EA3066"/>
    <w:rsid w:val="00EA306E"/>
    <w:rsid w:val="00EA3447"/>
    <w:rsid w:val="00EA349A"/>
    <w:rsid w:val="00EA358B"/>
    <w:rsid w:val="00EA40AB"/>
    <w:rsid w:val="00EA50A8"/>
    <w:rsid w:val="00EA55FE"/>
    <w:rsid w:val="00EA68AD"/>
    <w:rsid w:val="00EA69B6"/>
    <w:rsid w:val="00EA69C8"/>
    <w:rsid w:val="00EA6E99"/>
    <w:rsid w:val="00EB0622"/>
    <w:rsid w:val="00EB17C7"/>
    <w:rsid w:val="00EB2165"/>
    <w:rsid w:val="00EB3105"/>
    <w:rsid w:val="00EB4115"/>
    <w:rsid w:val="00EB43F4"/>
    <w:rsid w:val="00EB4F2F"/>
    <w:rsid w:val="00EB4F80"/>
    <w:rsid w:val="00EB518F"/>
    <w:rsid w:val="00EB522B"/>
    <w:rsid w:val="00EB572B"/>
    <w:rsid w:val="00EB5C05"/>
    <w:rsid w:val="00EB77B1"/>
    <w:rsid w:val="00EC02CD"/>
    <w:rsid w:val="00EC07D7"/>
    <w:rsid w:val="00EC1DCC"/>
    <w:rsid w:val="00EC2A9C"/>
    <w:rsid w:val="00EC2FD8"/>
    <w:rsid w:val="00EC30C9"/>
    <w:rsid w:val="00EC3618"/>
    <w:rsid w:val="00EC41E6"/>
    <w:rsid w:val="00EC47AA"/>
    <w:rsid w:val="00EC5334"/>
    <w:rsid w:val="00EC542D"/>
    <w:rsid w:val="00EC5909"/>
    <w:rsid w:val="00EC591F"/>
    <w:rsid w:val="00EC598F"/>
    <w:rsid w:val="00EC6739"/>
    <w:rsid w:val="00EC7444"/>
    <w:rsid w:val="00EC74D5"/>
    <w:rsid w:val="00EC7B06"/>
    <w:rsid w:val="00EC7DCF"/>
    <w:rsid w:val="00ED077C"/>
    <w:rsid w:val="00ED0869"/>
    <w:rsid w:val="00ED08CC"/>
    <w:rsid w:val="00ED0C39"/>
    <w:rsid w:val="00ED1D1C"/>
    <w:rsid w:val="00ED33AE"/>
    <w:rsid w:val="00ED3F29"/>
    <w:rsid w:val="00ED510C"/>
    <w:rsid w:val="00ED6931"/>
    <w:rsid w:val="00ED6D1D"/>
    <w:rsid w:val="00ED6FEA"/>
    <w:rsid w:val="00ED739F"/>
    <w:rsid w:val="00ED761F"/>
    <w:rsid w:val="00EE077D"/>
    <w:rsid w:val="00EE14AB"/>
    <w:rsid w:val="00EE221F"/>
    <w:rsid w:val="00EE2503"/>
    <w:rsid w:val="00EE2548"/>
    <w:rsid w:val="00EE2CAC"/>
    <w:rsid w:val="00EE2CC0"/>
    <w:rsid w:val="00EE3464"/>
    <w:rsid w:val="00EE42E8"/>
    <w:rsid w:val="00EE4570"/>
    <w:rsid w:val="00EE56A0"/>
    <w:rsid w:val="00EE62CF"/>
    <w:rsid w:val="00EE6591"/>
    <w:rsid w:val="00EE7DFD"/>
    <w:rsid w:val="00EF0908"/>
    <w:rsid w:val="00EF095B"/>
    <w:rsid w:val="00EF183E"/>
    <w:rsid w:val="00EF22C9"/>
    <w:rsid w:val="00EF30FC"/>
    <w:rsid w:val="00EF339D"/>
    <w:rsid w:val="00EF4895"/>
    <w:rsid w:val="00EF4C33"/>
    <w:rsid w:val="00EF5303"/>
    <w:rsid w:val="00EF5561"/>
    <w:rsid w:val="00EF59AF"/>
    <w:rsid w:val="00EF73AF"/>
    <w:rsid w:val="00F00843"/>
    <w:rsid w:val="00F00890"/>
    <w:rsid w:val="00F00914"/>
    <w:rsid w:val="00F0094B"/>
    <w:rsid w:val="00F0119E"/>
    <w:rsid w:val="00F014E6"/>
    <w:rsid w:val="00F02964"/>
    <w:rsid w:val="00F03210"/>
    <w:rsid w:val="00F03C62"/>
    <w:rsid w:val="00F04277"/>
    <w:rsid w:val="00F04E4A"/>
    <w:rsid w:val="00F04F1C"/>
    <w:rsid w:val="00F05467"/>
    <w:rsid w:val="00F06F2D"/>
    <w:rsid w:val="00F07E59"/>
    <w:rsid w:val="00F10411"/>
    <w:rsid w:val="00F11F29"/>
    <w:rsid w:val="00F120B3"/>
    <w:rsid w:val="00F126DC"/>
    <w:rsid w:val="00F1312E"/>
    <w:rsid w:val="00F14E3D"/>
    <w:rsid w:val="00F15542"/>
    <w:rsid w:val="00F15D20"/>
    <w:rsid w:val="00F165DD"/>
    <w:rsid w:val="00F1662C"/>
    <w:rsid w:val="00F16A09"/>
    <w:rsid w:val="00F16A21"/>
    <w:rsid w:val="00F16C01"/>
    <w:rsid w:val="00F16C74"/>
    <w:rsid w:val="00F17136"/>
    <w:rsid w:val="00F2017F"/>
    <w:rsid w:val="00F20182"/>
    <w:rsid w:val="00F202FE"/>
    <w:rsid w:val="00F2058F"/>
    <w:rsid w:val="00F209BC"/>
    <w:rsid w:val="00F213E5"/>
    <w:rsid w:val="00F21544"/>
    <w:rsid w:val="00F2184E"/>
    <w:rsid w:val="00F21DD8"/>
    <w:rsid w:val="00F22972"/>
    <w:rsid w:val="00F22B4D"/>
    <w:rsid w:val="00F23044"/>
    <w:rsid w:val="00F24004"/>
    <w:rsid w:val="00F2496E"/>
    <w:rsid w:val="00F249B9"/>
    <w:rsid w:val="00F24A81"/>
    <w:rsid w:val="00F24E1B"/>
    <w:rsid w:val="00F24FC0"/>
    <w:rsid w:val="00F25A96"/>
    <w:rsid w:val="00F25CD4"/>
    <w:rsid w:val="00F25E44"/>
    <w:rsid w:val="00F266FF"/>
    <w:rsid w:val="00F269A0"/>
    <w:rsid w:val="00F26D48"/>
    <w:rsid w:val="00F26E45"/>
    <w:rsid w:val="00F301D1"/>
    <w:rsid w:val="00F303CF"/>
    <w:rsid w:val="00F30BF1"/>
    <w:rsid w:val="00F30CC4"/>
    <w:rsid w:val="00F31692"/>
    <w:rsid w:val="00F31835"/>
    <w:rsid w:val="00F31861"/>
    <w:rsid w:val="00F3214F"/>
    <w:rsid w:val="00F34C40"/>
    <w:rsid w:val="00F34E73"/>
    <w:rsid w:val="00F364FD"/>
    <w:rsid w:val="00F3674C"/>
    <w:rsid w:val="00F36CA4"/>
    <w:rsid w:val="00F37889"/>
    <w:rsid w:val="00F41328"/>
    <w:rsid w:val="00F41451"/>
    <w:rsid w:val="00F418D7"/>
    <w:rsid w:val="00F42590"/>
    <w:rsid w:val="00F4383E"/>
    <w:rsid w:val="00F43FF2"/>
    <w:rsid w:val="00F44188"/>
    <w:rsid w:val="00F46EFC"/>
    <w:rsid w:val="00F470FF"/>
    <w:rsid w:val="00F474E4"/>
    <w:rsid w:val="00F50C78"/>
    <w:rsid w:val="00F51060"/>
    <w:rsid w:val="00F510E4"/>
    <w:rsid w:val="00F517D8"/>
    <w:rsid w:val="00F51B2B"/>
    <w:rsid w:val="00F524F4"/>
    <w:rsid w:val="00F52C94"/>
    <w:rsid w:val="00F52DE6"/>
    <w:rsid w:val="00F541CC"/>
    <w:rsid w:val="00F544B0"/>
    <w:rsid w:val="00F54AFE"/>
    <w:rsid w:val="00F55EAD"/>
    <w:rsid w:val="00F57168"/>
    <w:rsid w:val="00F57911"/>
    <w:rsid w:val="00F57D5B"/>
    <w:rsid w:val="00F606F9"/>
    <w:rsid w:val="00F609D8"/>
    <w:rsid w:val="00F60ABB"/>
    <w:rsid w:val="00F60B7B"/>
    <w:rsid w:val="00F61703"/>
    <w:rsid w:val="00F619B3"/>
    <w:rsid w:val="00F61C6D"/>
    <w:rsid w:val="00F62297"/>
    <w:rsid w:val="00F62DD2"/>
    <w:rsid w:val="00F63A94"/>
    <w:rsid w:val="00F63C4E"/>
    <w:rsid w:val="00F64634"/>
    <w:rsid w:val="00F64E53"/>
    <w:rsid w:val="00F651D7"/>
    <w:rsid w:val="00F653FB"/>
    <w:rsid w:val="00F65427"/>
    <w:rsid w:val="00F65D12"/>
    <w:rsid w:val="00F6611D"/>
    <w:rsid w:val="00F6693C"/>
    <w:rsid w:val="00F675D9"/>
    <w:rsid w:val="00F701B1"/>
    <w:rsid w:val="00F701B7"/>
    <w:rsid w:val="00F71DF2"/>
    <w:rsid w:val="00F73277"/>
    <w:rsid w:val="00F7371D"/>
    <w:rsid w:val="00F73846"/>
    <w:rsid w:val="00F74063"/>
    <w:rsid w:val="00F74221"/>
    <w:rsid w:val="00F74562"/>
    <w:rsid w:val="00F74678"/>
    <w:rsid w:val="00F74A83"/>
    <w:rsid w:val="00F754B1"/>
    <w:rsid w:val="00F75855"/>
    <w:rsid w:val="00F75DBC"/>
    <w:rsid w:val="00F765AF"/>
    <w:rsid w:val="00F76BFE"/>
    <w:rsid w:val="00F76D64"/>
    <w:rsid w:val="00F7730D"/>
    <w:rsid w:val="00F773A2"/>
    <w:rsid w:val="00F774D6"/>
    <w:rsid w:val="00F778DC"/>
    <w:rsid w:val="00F77D05"/>
    <w:rsid w:val="00F810BC"/>
    <w:rsid w:val="00F81B94"/>
    <w:rsid w:val="00F81D5D"/>
    <w:rsid w:val="00F81D91"/>
    <w:rsid w:val="00F821E1"/>
    <w:rsid w:val="00F827ED"/>
    <w:rsid w:val="00F82912"/>
    <w:rsid w:val="00F82A30"/>
    <w:rsid w:val="00F82C7B"/>
    <w:rsid w:val="00F83D7B"/>
    <w:rsid w:val="00F84495"/>
    <w:rsid w:val="00F848AB"/>
    <w:rsid w:val="00F84A58"/>
    <w:rsid w:val="00F84D0B"/>
    <w:rsid w:val="00F8542C"/>
    <w:rsid w:val="00F86142"/>
    <w:rsid w:val="00F8616D"/>
    <w:rsid w:val="00F8685D"/>
    <w:rsid w:val="00F8735C"/>
    <w:rsid w:val="00F8760D"/>
    <w:rsid w:val="00F87A00"/>
    <w:rsid w:val="00F90D49"/>
    <w:rsid w:val="00F90E30"/>
    <w:rsid w:val="00F92719"/>
    <w:rsid w:val="00F93E82"/>
    <w:rsid w:val="00F9431E"/>
    <w:rsid w:val="00F94C23"/>
    <w:rsid w:val="00F9501A"/>
    <w:rsid w:val="00F951D6"/>
    <w:rsid w:val="00F9600B"/>
    <w:rsid w:val="00F96331"/>
    <w:rsid w:val="00F96454"/>
    <w:rsid w:val="00F9645D"/>
    <w:rsid w:val="00F96753"/>
    <w:rsid w:val="00FA081D"/>
    <w:rsid w:val="00FA198C"/>
    <w:rsid w:val="00FA1E8F"/>
    <w:rsid w:val="00FA20FF"/>
    <w:rsid w:val="00FA2C0D"/>
    <w:rsid w:val="00FA2C78"/>
    <w:rsid w:val="00FA31BF"/>
    <w:rsid w:val="00FA5026"/>
    <w:rsid w:val="00FA59CD"/>
    <w:rsid w:val="00FA5EB3"/>
    <w:rsid w:val="00FA6ADB"/>
    <w:rsid w:val="00FA76B3"/>
    <w:rsid w:val="00FB04FE"/>
    <w:rsid w:val="00FB1564"/>
    <w:rsid w:val="00FB18AA"/>
    <w:rsid w:val="00FB1F62"/>
    <w:rsid w:val="00FB21DB"/>
    <w:rsid w:val="00FB2650"/>
    <w:rsid w:val="00FB344B"/>
    <w:rsid w:val="00FB3D05"/>
    <w:rsid w:val="00FB4132"/>
    <w:rsid w:val="00FB4169"/>
    <w:rsid w:val="00FB45DC"/>
    <w:rsid w:val="00FB5062"/>
    <w:rsid w:val="00FB6C5F"/>
    <w:rsid w:val="00FB7B85"/>
    <w:rsid w:val="00FC0268"/>
    <w:rsid w:val="00FC132B"/>
    <w:rsid w:val="00FC1440"/>
    <w:rsid w:val="00FC2153"/>
    <w:rsid w:val="00FC3D41"/>
    <w:rsid w:val="00FC4178"/>
    <w:rsid w:val="00FC4400"/>
    <w:rsid w:val="00FC50D6"/>
    <w:rsid w:val="00FC6371"/>
    <w:rsid w:val="00FC6999"/>
    <w:rsid w:val="00FC6F31"/>
    <w:rsid w:val="00FC74FA"/>
    <w:rsid w:val="00FC7B63"/>
    <w:rsid w:val="00FD05F0"/>
    <w:rsid w:val="00FD060F"/>
    <w:rsid w:val="00FD0E7A"/>
    <w:rsid w:val="00FD0E90"/>
    <w:rsid w:val="00FD15E0"/>
    <w:rsid w:val="00FD185F"/>
    <w:rsid w:val="00FD18E0"/>
    <w:rsid w:val="00FD196A"/>
    <w:rsid w:val="00FD203E"/>
    <w:rsid w:val="00FD2C04"/>
    <w:rsid w:val="00FD2DAB"/>
    <w:rsid w:val="00FD3E5F"/>
    <w:rsid w:val="00FD5982"/>
    <w:rsid w:val="00FD6700"/>
    <w:rsid w:val="00FD723B"/>
    <w:rsid w:val="00FE0FE8"/>
    <w:rsid w:val="00FE102A"/>
    <w:rsid w:val="00FE1090"/>
    <w:rsid w:val="00FE1F01"/>
    <w:rsid w:val="00FE20B6"/>
    <w:rsid w:val="00FE2251"/>
    <w:rsid w:val="00FE2A8C"/>
    <w:rsid w:val="00FE5993"/>
    <w:rsid w:val="00FE7263"/>
    <w:rsid w:val="00FF0458"/>
    <w:rsid w:val="00FF1088"/>
    <w:rsid w:val="00FF29AD"/>
    <w:rsid w:val="00FF3196"/>
    <w:rsid w:val="00FF326A"/>
    <w:rsid w:val="00FF4EA5"/>
    <w:rsid w:val="00FF4FE7"/>
    <w:rsid w:val="00FF5183"/>
    <w:rsid w:val="00FF576F"/>
    <w:rsid w:val="00FF60D8"/>
    <w:rsid w:val="00FF67A8"/>
    <w:rsid w:val="00FF699D"/>
    <w:rsid w:val="00FF6C8D"/>
    <w:rsid w:val="00FF708A"/>
    <w:rsid w:val="00FF77C4"/>
    <w:rsid w:val="00FF77E4"/>
    <w:rsid w:val="0161ED8F"/>
    <w:rsid w:val="0199EB63"/>
    <w:rsid w:val="03537F7D"/>
    <w:rsid w:val="0378E1F6"/>
    <w:rsid w:val="040275E2"/>
    <w:rsid w:val="04CA6623"/>
    <w:rsid w:val="04D73A60"/>
    <w:rsid w:val="0592C885"/>
    <w:rsid w:val="06D3253F"/>
    <w:rsid w:val="07DEE19F"/>
    <w:rsid w:val="088A2FFD"/>
    <w:rsid w:val="092645A7"/>
    <w:rsid w:val="09E5B605"/>
    <w:rsid w:val="0A1F0FF2"/>
    <w:rsid w:val="0A6406E1"/>
    <w:rsid w:val="0AD32421"/>
    <w:rsid w:val="0BD6893C"/>
    <w:rsid w:val="0CD71D83"/>
    <w:rsid w:val="0E66FFA0"/>
    <w:rsid w:val="0ECF68D3"/>
    <w:rsid w:val="106E7A1C"/>
    <w:rsid w:val="114B95CA"/>
    <w:rsid w:val="115B1BA4"/>
    <w:rsid w:val="117072CE"/>
    <w:rsid w:val="119A6B7E"/>
    <w:rsid w:val="126E4E7D"/>
    <w:rsid w:val="127A6438"/>
    <w:rsid w:val="129B7ED0"/>
    <w:rsid w:val="137C8B69"/>
    <w:rsid w:val="13DF7F3C"/>
    <w:rsid w:val="14F36411"/>
    <w:rsid w:val="1561B106"/>
    <w:rsid w:val="16E36E7E"/>
    <w:rsid w:val="17E3FC68"/>
    <w:rsid w:val="19CA19D9"/>
    <w:rsid w:val="1A1865C8"/>
    <w:rsid w:val="1A371CD0"/>
    <w:rsid w:val="1B2B032C"/>
    <w:rsid w:val="1B945F5B"/>
    <w:rsid w:val="1BA1DB8C"/>
    <w:rsid w:val="1E4A5F32"/>
    <w:rsid w:val="1E8C98D4"/>
    <w:rsid w:val="1EA16A18"/>
    <w:rsid w:val="20A24BBA"/>
    <w:rsid w:val="20BA10CD"/>
    <w:rsid w:val="20C5B2AF"/>
    <w:rsid w:val="20DF7455"/>
    <w:rsid w:val="22177604"/>
    <w:rsid w:val="22AF139A"/>
    <w:rsid w:val="23961507"/>
    <w:rsid w:val="25E2B797"/>
    <w:rsid w:val="27E59B4B"/>
    <w:rsid w:val="27F40722"/>
    <w:rsid w:val="282C9181"/>
    <w:rsid w:val="2853E960"/>
    <w:rsid w:val="28ACB811"/>
    <w:rsid w:val="29253C01"/>
    <w:rsid w:val="297FA584"/>
    <w:rsid w:val="29F94276"/>
    <w:rsid w:val="2B475472"/>
    <w:rsid w:val="2BBF9635"/>
    <w:rsid w:val="2BD7717D"/>
    <w:rsid w:val="2C22BB45"/>
    <w:rsid w:val="2D35C71D"/>
    <w:rsid w:val="2D998595"/>
    <w:rsid w:val="2DE5AA20"/>
    <w:rsid w:val="2EBAFDE6"/>
    <w:rsid w:val="2FF33F73"/>
    <w:rsid w:val="30141009"/>
    <w:rsid w:val="305D5056"/>
    <w:rsid w:val="30A92A04"/>
    <w:rsid w:val="31D8F34D"/>
    <w:rsid w:val="331BF0C2"/>
    <w:rsid w:val="33CED379"/>
    <w:rsid w:val="351FECF9"/>
    <w:rsid w:val="3642F480"/>
    <w:rsid w:val="366218FE"/>
    <w:rsid w:val="37C7C8D4"/>
    <w:rsid w:val="38BE46B2"/>
    <w:rsid w:val="38C071C1"/>
    <w:rsid w:val="39FB0AD2"/>
    <w:rsid w:val="3AEAFE59"/>
    <w:rsid w:val="3AFBD7FB"/>
    <w:rsid w:val="3B1689E3"/>
    <w:rsid w:val="3B36126F"/>
    <w:rsid w:val="3C56CA5C"/>
    <w:rsid w:val="3D3CE6D5"/>
    <w:rsid w:val="3E639E20"/>
    <w:rsid w:val="3EF3F193"/>
    <w:rsid w:val="3EF76E3E"/>
    <w:rsid w:val="3FC589BD"/>
    <w:rsid w:val="419A59DE"/>
    <w:rsid w:val="42569DB8"/>
    <w:rsid w:val="442CC7EB"/>
    <w:rsid w:val="450AEF44"/>
    <w:rsid w:val="47DDB0EF"/>
    <w:rsid w:val="4AE78C23"/>
    <w:rsid w:val="4BE8AEA6"/>
    <w:rsid w:val="4BF2B614"/>
    <w:rsid w:val="4CD85F5A"/>
    <w:rsid w:val="4DAB0EF8"/>
    <w:rsid w:val="4DAD8537"/>
    <w:rsid w:val="4DAECC0B"/>
    <w:rsid w:val="4F98FB69"/>
    <w:rsid w:val="4F9B4924"/>
    <w:rsid w:val="5392F0C1"/>
    <w:rsid w:val="53C2CA8C"/>
    <w:rsid w:val="541F625B"/>
    <w:rsid w:val="551795AB"/>
    <w:rsid w:val="555C62E8"/>
    <w:rsid w:val="55F3C02B"/>
    <w:rsid w:val="56655F1F"/>
    <w:rsid w:val="566E06C9"/>
    <w:rsid w:val="56CA2CDC"/>
    <w:rsid w:val="57739C0B"/>
    <w:rsid w:val="57F749BC"/>
    <w:rsid w:val="580511CD"/>
    <w:rsid w:val="5887916C"/>
    <w:rsid w:val="58DEB044"/>
    <w:rsid w:val="59D27337"/>
    <w:rsid w:val="5A11FBD0"/>
    <w:rsid w:val="5AF72428"/>
    <w:rsid w:val="5B4A4F73"/>
    <w:rsid w:val="5B96161B"/>
    <w:rsid w:val="5D18DA14"/>
    <w:rsid w:val="5D46BC94"/>
    <w:rsid w:val="60F9960F"/>
    <w:rsid w:val="619413A7"/>
    <w:rsid w:val="61A715A7"/>
    <w:rsid w:val="61AE10A7"/>
    <w:rsid w:val="61C9716D"/>
    <w:rsid w:val="6292539C"/>
    <w:rsid w:val="62BDB233"/>
    <w:rsid w:val="63810F37"/>
    <w:rsid w:val="64E6C69B"/>
    <w:rsid w:val="66A87141"/>
    <w:rsid w:val="67363A7C"/>
    <w:rsid w:val="67694265"/>
    <w:rsid w:val="686A4EB8"/>
    <w:rsid w:val="69AB48D7"/>
    <w:rsid w:val="6BC062DF"/>
    <w:rsid w:val="6E131F3C"/>
    <w:rsid w:val="6E4BA127"/>
    <w:rsid w:val="6E8697EC"/>
    <w:rsid w:val="6FEC3D10"/>
    <w:rsid w:val="706EE6FD"/>
    <w:rsid w:val="715ADD16"/>
    <w:rsid w:val="7356DEC3"/>
    <w:rsid w:val="737650EA"/>
    <w:rsid w:val="73800DC3"/>
    <w:rsid w:val="738A6F30"/>
    <w:rsid w:val="7489ACF0"/>
    <w:rsid w:val="75440510"/>
    <w:rsid w:val="776BDCA2"/>
    <w:rsid w:val="77E0939A"/>
    <w:rsid w:val="7811094D"/>
    <w:rsid w:val="78A235DE"/>
    <w:rsid w:val="7968A220"/>
    <w:rsid w:val="79A82363"/>
    <w:rsid w:val="7A9A3632"/>
    <w:rsid w:val="7C5866F8"/>
    <w:rsid w:val="7CA0DF41"/>
    <w:rsid w:val="7ECC2160"/>
    <w:rsid w:val="7FBB197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D07E31"/>
  <w15:chartTrackingRefBased/>
  <w15:docId w15:val="{C9A90D2F-481B-4EC4-B686-84ED76A67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73A"/>
    <w:pPr>
      <w:spacing w:after="160" w:line="259" w:lineRule="auto"/>
    </w:pPr>
    <w:rPr>
      <w:rFonts w:ascii="Arial" w:hAnsi="Arial" w:cs="Times New Roman"/>
      <w:kern w:val="2"/>
      <w:sz w:val="20"/>
      <w14:ligatures w14:val="standardContextual"/>
    </w:rPr>
  </w:style>
  <w:style w:type="paragraph" w:styleId="Heading1">
    <w:name w:val="heading 1"/>
    <w:basedOn w:val="Normal"/>
    <w:next w:val="Normal"/>
    <w:link w:val="Heading1Char"/>
    <w:qFormat/>
    <w:rsid w:val="0095200E"/>
    <w:pPr>
      <w:keepNext/>
      <w:pageBreakBefore/>
      <w:spacing w:after="480"/>
      <w:outlineLvl w:val="0"/>
    </w:pPr>
    <w:rPr>
      <w:rFonts w:cs="Arial"/>
      <w:b/>
      <w:bCs/>
      <w:kern w:val="32"/>
      <w:sz w:val="40"/>
      <w:szCs w:val="32"/>
    </w:rPr>
  </w:style>
  <w:style w:type="paragraph" w:styleId="Heading2">
    <w:name w:val="heading 2"/>
    <w:basedOn w:val="Normal"/>
    <w:next w:val="Normal"/>
    <w:link w:val="Heading2Char"/>
    <w:qFormat/>
    <w:rsid w:val="0095200E"/>
    <w:pPr>
      <w:keepNext/>
      <w:spacing w:before="240"/>
      <w:outlineLvl w:val="1"/>
    </w:pPr>
    <w:rPr>
      <w:rFonts w:cs="Arial"/>
      <w:b/>
      <w:bCs/>
      <w:iCs/>
      <w:sz w:val="28"/>
      <w:szCs w:val="28"/>
    </w:rPr>
  </w:style>
  <w:style w:type="paragraph" w:styleId="Heading3">
    <w:name w:val="heading 3"/>
    <w:basedOn w:val="Normal"/>
    <w:next w:val="Normal"/>
    <w:link w:val="Heading3Char"/>
    <w:qFormat/>
    <w:rsid w:val="00736864"/>
    <w:pPr>
      <w:keepNext/>
      <w:spacing w:before="240"/>
      <w:ind w:left="720" w:hanging="720"/>
      <w:outlineLvl w:val="2"/>
    </w:pPr>
    <w:rPr>
      <w:rFonts w:cs="Arial"/>
      <w:b/>
      <w:bCs/>
      <w:szCs w:val="26"/>
    </w:rPr>
  </w:style>
  <w:style w:type="paragraph" w:styleId="Heading4">
    <w:name w:val="heading 4"/>
    <w:basedOn w:val="Normal"/>
    <w:next w:val="Normal"/>
    <w:link w:val="Heading4Char"/>
    <w:rsid w:val="00736864"/>
    <w:pPr>
      <w:keepNext/>
      <w:spacing w:before="120" w:after="120"/>
      <w:outlineLvl w:val="3"/>
    </w:pPr>
    <w:rPr>
      <w:b/>
      <w:bCs/>
      <w:i/>
      <w:szCs w:val="28"/>
    </w:rPr>
  </w:style>
  <w:style w:type="paragraph" w:styleId="Heading5">
    <w:name w:val="heading 5"/>
    <w:basedOn w:val="Normal"/>
    <w:next w:val="Normal"/>
    <w:link w:val="Heading5Char"/>
    <w:rsid w:val="00736864"/>
    <w:pPr>
      <w:keepNext/>
      <w:spacing w:before="60" w:after="60"/>
      <w:outlineLvl w:val="4"/>
    </w:pPr>
    <w:rPr>
      <w:bCs/>
      <w:i/>
      <w:iCs/>
      <w:szCs w:val="26"/>
    </w:rPr>
  </w:style>
  <w:style w:type="paragraph" w:styleId="Heading6">
    <w:name w:val="heading 6"/>
    <w:basedOn w:val="Normal"/>
    <w:next w:val="Normal"/>
    <w:link w:val="Heading6Char"/>
    <w:uiPriority w:val="9"/>
    <w:unhideWhenUsed/>
    <w:rsid w:val="00E82CC1"/>
    <w:pPr>
      <w:keepNext/>
      <w:keepLines/>
      <w:spacing w:before="40"/>
      <w:outlineLvl w:val="5"/>
    </w:pPr>
    <w:rPr>
      <w:rFonts w:eastAsiaTheme="majorEastAsia" w:cstheme="majorBidi"/>
      <w:color w:val="1F3763" w:themeColor="accent1" w:themeShade="7F"/>
    </w:rPr>
  </w:style>
  <w:style w:type="character" w:default="1" w:styleId="DefaultParagraphFont">
    <w:name w:val="Default Paragraph Font"/>
    <w:uiPriority w:val="1"/>
    <w:semiHidden/>
    <w:unhideWhenUsed/>
    <w:rsid w:val="00A167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673A"/>
  </w:style>
  <w:style w:type="character" w:customStyle="1" w:styleId="Heading1Char">
    <w:name w:val="Heading 1 Char"/>
    <w:basedOn w:val="DefaultParagraphFont"/>
    <w:link w:val="Heading1"/>
    <w:rsid w:val="0095200E"/>
    <w:rPr>
      <w:rFonts w:ascii="Calibri" w:eastAsia="Times New Roman" w:hAnsi="Calibri" w:cs="Arial"/>
      <w:b/>
      <w:bCs/>
      <w:color w:val="000000"/>
      <w:kern w:val="32"/>
      <w:sz w:val="40"/>
      <w:szCs w:val="32"/>
    </w:rPr>
  </w:style>
  <w:style w:type="character" w:customStyle="1" w:styleId="Heading2Char">
    <w:name w:val="Heading 2 Char"/>
    <w:basedOn w:val="DefaultParagraphFont"/>
    <w:link w:val="Heading2"/>
    <w:rsid w:val="0095200E"/>
    <w:rPr>
      <w:rFonts w:ascii="Calibri" w:eastAsia="Times New Roman" w:hAnsi="Calibri" w:cs="Arial"/>
      <w:b/>
      <w:bCs/>
      <w:iCs/>
      <w:color w:val="000000"/>
      <w:sz w:val="28"/>
      <w:szCs w:val="28"/>
    </w:rPr>
  </w:style>
  <w:style w:type="character" w:customStyle="1" w:styleId="Heading3Char">
    <w:name w:val="Heading 3 Char"/>
    <w:basedOn w:val="DefaultParagraphFont"/>
    <w:link w:val="Heading3"/>
    <w:rsid w:val="00736864"/>
    <w:rPr>
      <w:rFonts w:ascii="Calibri" w:eastAsia="Times New Roman" w:hAnsi="Calibri" w:cs="Arial"/>
      <w:b/>
      <w:bCs/>
      <w:color w:val="000000"/>
      <w:sz w:val="22"/>
      <w:szCs w:val="26"/>
    </w:rPr>
  </w:style>
  <w:style w:type="character" w:customStyle="1" w:styleId="Heading4Char">
    <w:name w:val="Heading 4 Char"/>
    <w:basedOn w:val="DefaultParagraphFont"/>
    <w:link w:val="Heading4"/>
    <w:rsid w:val="00736864"/>
    <w:rPr>
      <w:rFonts w:ascii="Calibri" w:eastAsia="Times New Roman" w:hAnsi="Calibri" w:cs="Times New Roman"/>
      <w:b/>
      <w:bCs/>
      <w:i/>
      <w:color w:val="000000"/>
      <w:sz w:val="22"/>
      <w:szCs w:val="28"/>
    </w:rPr>
  </w:style>
  <w:style w:type="character" w:customStyle="1" w:styleId="Heading5Char">
    <w:name w:val="Heading 5 Char"/>
    <w:basedOn w:val="DefaultParagraphFont"/>
    <w:link w:val="Heading5"/>
    <w:rsid w:val="00736864"/>
    <w:rPr>
      <w:rFonts w:ascii="Calibri" w:eastAsia="Times New Roman" w:hAnsi="Calibri" w:cs="Times New Roman"/>
      <w:bCs/>
      <w:i/>
      <w:iCs/>
      <w:color w:val="000000"/>
      <w:sz w:val="22"/>
      <w:szCs w:val="26"/>
    </w:rPr>
  </w:style>
  <w:style w:type="paragraph" w:styleId="Subtitle">
    <w:name w:val="Subtitle"/>
    <w:basedOn w:val="Normal"/>
    <w:next w:val="Normal"/>
    <w:link w:val="SubtitleChar"/>
    <w:uiPriority w:val="11"/>
    <w:rsid w:val="00736864"/>
    <w:pPr>
      <w:numPr>
        <w:ilvl w:val="1"/>
      </w:numPr>
      <w:jc w:val="center"/>
    </w:pPr>
    <w:rPr>
      <w:rFonts w:eastAsiaTheme="majorEastAsia" w:cstheme="majorBidi"/>
      <w:b/>
      <w:iCs/>
      <w:sz w:val="40"/>
    </w:rPr>
  </w:style>
  <w:style w:type="character" w:customStyle="1" w:styleId="SubtitleChar">
    <w:name w:val="Subtitle Char"/>
    <w:basedOn w:val="DefaultParagraphFont"/>
    <w:link w:val="Subtitle"/>
    <w:uiPriority w:val="11"/>
    <w:rsid w:val="00736864"/>
    <w:rPr>
      <w:rFonts w:ascii="Calibri" w:eastAsiaTheme="majorEastAsia" w:hAnsi="Calibri" w:cstheme="majorBidi"/>
      <w:b/>
      <w:iCs/>
      <w:sz w:val="40"/>
    </w:rPr>
  </w:style>
  <w:style w:type="paragraph" w:customStyle="1" w:styleId="PullQuote">
    <w:name w:val="PullQuote"/>
    <w:basedOn w:val="Normal"/>
    <w:next w:val="Normal"/>
    <w:rsid w:val="00736864"/>
    <w:rPr>
      <w:b/>
      <w:color w:val="7B7B7B" w:themeColor="accent3" w:themeShade="BF"/>
    </w:rPr>
  </w:style>
  <w:style w:type="paragraph" w:customStyle="1" w:styleId="ReportDate">
    <w:name w:val="ReportDate"/>
    <w:basedOn w:val="Normal"/>
    <w:rsid w:val="00736864"/>
    <w:pPr>
      <w:jc w:val="center"/>
    </w:pPr>
    <w:rPr>
      <w:sz w:val="40"/>
    </w:rPr>
  </w:style>
  <w:style w:type="paragraph" w:customStyle="1" w:styleId="Heading1a">
    <w:name w:val="Heading 1a"/>
    <w:basedOn w:val="Heading1"/>
    <w:next w:val="Normal"/>
    <w:rsid w:val="00736864"/>
    <w:pPr>
      <w:outlineLvl w:val="9"/>
    </w:pPr>
  </w:style>
  <w:style w:type="paragraph" w:customStyle="1" w:styleId="Heading2a">
    <w:name w:val="Heading 2a"/>
    <w:basedOn w:val="Heading2"/>
    <w:next w:val="Normal"/>
    <w:rsid w:val="00736864"/>
    <w:pPr>
      <w:outlineLvl w:val="9"/>
    </w:pPr>
  </w:style>
  <w:style w:type="paragraph" w:customStyle="1" w:styleId="Heading3a">
    <w:name w:val="Heading 3a"/>
    <w:basedOn w:val="Heading3"/>
    <w:next w:val="Normal"/>
    <w:rsid w:val="00736864"/>
    <w:pPr>
      <w:ind w:left="0" w:firstLine="0"/>
      <w:outlineLvl w:val="9"/>
    </w:pPr>
  </w:style>
  <w:style w:type="paragraph" w:styleId="Header">
    <w:name w:val="header"/>
    <w:basedOn w:val="Normal"/>
    <w:link w:val="HeaderChar"/>
    <w:semiHidden/>
    <w:rsid w:val="00736864"/>
    <w:pPr>
      <w:tabs>
        <w:tab w:val="right" w:pos="9000"/>
      </w:tabs>
      <w:spacing w:after="0"/>
    </w:pPr>
    <w:rPr>
      <w:sz w:val="18"/>
    </w:rPr>
  </w:style>
  <w:style w:type="character" w:customStyle="1" w:styleId="HeaderChar">
    <w:name w:val="Header Char"/>
    <w:basedOn w:val="DefaultParagraphFont"/>
    <w:link w:val="Header"/>
    <w:semiHidden/>
    <w:rsid w:val="00736864"/>
    <w:rPr>
      <w:rFonts w:ascii="Calibri" w:eastAsia="Times New Roman" w:hAnsi="Calibri" w:cs="Times New Roman"/>
      <w:color w:val="000000"/>
      <w:sz w:val="18"/>
      <w:szCs w:val="20"/>
    </w:rPr>
  </w:style>
  <w:style w:type="paragraph" w:styleId="Footer">
    <w:name w:val="footer"/>
    <w:basedOn w:val="Normal"/>
    <w:link w:val="FooterChar"/>
    <w:uiPriority w:val="99"/>
    <w:rsid w:val="00736864"/>
    <w:pPr>
      <w:tabs>
        <w:tab w:val="right" w:pos="9000"/>
      </w:tabs>
      <w:spacing w:after="0"/>
    </w:pPr>
  </w:style>
  <w:style w:type="character" w:customStyle="1" w:styleId="FooterChar">
    <w:name w:val="Footer Char"/>
    <w:basedOn w:val="DefaultParagraphFont"/>
    <w:link w:val="Footer"/>
    <w:uiPriority w:val="99"/>
    <w:rsid w:val="00736864"/>
    <w:rPr>
      <w:rFonts w:ascii="Calibri" w:eastAsia="Times New Roman" w:hAnsi="Calibri" w:cs="Times New Roman"/>
      <w:color w:val="000000"/>
      <w:sz w:val="20"/>
      <w:szCs w:val="20"/>
    </w:rPr>
  </w:style>
  <w:style w:type="character" w:styleId="PageNumber">
    <w:name w:val="page number"/>
    <w:basedOn w:val="DefaultParagraphFont"/>
    <w:semiHidden/>
    <w:rsid w:val="00736864"/>
    <w:rPr>
      <w:rFonts w:ascii="Times New Roman" w:hAnsi="Times New Roman"/>
      <w:b/>
      <w:sz w:val="20"/>
    </w:rPr>
  </w:style>
  <w:style w:type="paragraph" w:customStyle="1" w:styleId="TableText">
    <w:name w:val="TableText"/>
    <w:basedOn w:val="Normal"/>
    <w:rsid w:val="00736864"/>
    <w:pPr>
      <w:keepNext/>
      <w:spacing w:before="60" w:after="60"/>
    </w:pPr>
    <w:rPr>
      <w:sz w:val="21"/>
      <w:szCs w:val="21"/>
    </w:rPr>
  </w:style>
  <w:style w:type="paragraph" w:customStyle="1" w:styleId="TFListNotesSpace">
    <w:name w:val="TFListNotes+Space"/>
    <w:basedOn w:val="TableText"/>
    <w:next w:val="Normal"/>
    <w:rsid w:val="00736864"/>
    <w:pPr>
      <w:keepNext w:val="0"/>
      <w:keepLines/>
      <w:spacing w:before="0" w:after="360"/>
      <w:ind w:left="170" w:hanging="170"/>
    </w:pPr>
    <w:rPr>
      <w:sz w:val="18"/>
      <w:szCs w:val="18"/>
    </w:rPr>
  </w:style>
  <w:style w:type="paragraph" w:customStyle="1" w:styleId="TFListNotes">
    <w:name w:val="TFListNotes"/>
    <w:basedOn w:val="TFListNotesSpace"/>
    <w:rsid w:val="00736864"/>
    <w:pPr>
      <w:keepNext/>
      <w:spacing w:after="0"/>
    </w:pPr>
  </w:style>
  <w:style w:type="paragraph" w:customStyle="1" w:styleId="TableTitle">
    <w:name w:val="TableTitle"/>
    <w:basedOn w:val="TableText"/>
    <w:rsid w:val="00736864"/>
    <w:pPr>
      <w:tabs>
        <w:tab w:val="left" w:pos="1080"/>
      </w:tabs>
      <w:spacing w:before="120" w:after="120"/>
      <w:ind w:left="1080" w:hanging="1080"/>
    </w:pPr>
    <w:rPr>
      <w:b/>
      <w:bCs/>
      <w:sz w:val="22"/>
    </w:rPr>
  </w:style>
  <w:style w:type="paragraph" w:customStyle="1" w:styleId="TableHeading">
    <w:name w:val="TableHeading"/>
    <w:basedOn w:val="TableText"/>
    <w:rsid w:val="00736864"/>
    <w:rPr>
      <w:b/>
      <w:bCs/>
    </w:rPr>
  </w:style>
  <w:style w:type="paragraph" w:customStyle="1" w:styleId="TableBullet">
    <w:name w:val="TableBullet"/>
    <w:basedOn w:val="TableText"/>
    <w:rsid w:val="00736864"/>
    <w:pPr>
      <w:numPr>
        <w:numId w:val="1"/>
      </w:numPr>
      <w:tabs>
        <w:tab w:val="clear" w:pos="360"/>
        <w:tab w:val="left" w:pos="216"/>
      </w:tabs>
    </w:pPr>
  </w:style>
  <w:style w:type="paragraph" w:customStyle="1" w:styleId="TableDash">
    <w:name w:val="TableDash"/>
    <w:basedOn w:val="TableText"/>
    <w:rsid w:val="00736864"/>
    <w:pPr>
      <w:numPr>
        <w:numId w:val="2"/>
      </w:numPr>
      <w:tabs>
        <w:tab w:val="clear" w:pos="216"/>
        <w:tab w:val="num" w:pos="432"/>
      </w:tabs>
    </w:pPr>
  </w:style>
  <w:style w:type="paragraph" w:styleId="Quote">
    <w:name w:val="Quote"/>
    <w:basedOn w:val="Normal"/>
    <w:link w:val="QuoteChar"/>
    <w:rsid w:val="00736864"/>
    <w:pPr>
      <w:ind w:left="720" w:right="720"/>
    </w:pPr>
  </w:style>
  <w:style w:type="character" w:customStyle="1" w:styleId="QuoteChar">
    <w:name w:val="Quote Char"/>
    <w:basedOn w:val="DefaultParagraphFont"/>
    <w:link w:val="Quote"/>
    <w:rsid w:val="00736864"/>
    <w:rPr>
      <w:rFonts w:ascii="Calibri" w:eastAsia="Times New Roman" w:hAnsi="Calibri" w:cs="Times New Roman"/>
      <w:color w:val="000000"/>
      <w:sz w:val="20"/>
      <w:szCs w:val="20"/>
    </w:rPr>
  </w:style>
  <w:style w:type="paragraph" w:customStyle="1" w:styleId="References">
    <w:name w:val="References"/>
    <w:basedOn w:val="Normal"/>
    <w:rsid w:val="00736864"/>
    <w:pPr>
      <w:keepLines/>
      <w:ind w:left="720" w:hanging="720"/>
    </w:pPr>
  </w:style>
  <w:style w:type="paragraph" w:styleId="FootnoteText">
    <w:name w:val="footnote text"/>
    <w:basedOn w:val="Normal"/>
    <w:link w:val="FootnoteTextChar"/>
    <w:semiHidden/>
    <w:rsid w:val="00736864"/>
    <w:pPr>
      <w:spacing w:after="0"/>
      <w:ind w:left="360" w:hanging="360"/>
    </w:pPr>
  </w:style>
  <w:style w:type="character" w:customStyle="1" w:styleId="FootnoteTextChar">
    <w:name w:val="Footnote Text Char"/>
    <w:basedOn w:val="DefaultParagraphFont"/>
    <w:link w:val="FootnoteText"/>
    <w:semiHidden/>
    <w:rsid w:val="00736864"/>
    <w:rPr>
      <w:rFonts w:ascii="Calibri" w:eastAsia="Times New Roman" w:hAnsi="Calibri" w:cs="Times New Roman"/>
      <w:color w:val="000000"/>
      <w:sz w:val="20"/>
      <w:szCs w:val="20"/>
    </w:rPr>
  </w:style>
  <w:style w:type="character" w:styleId="FootnoteReference">
    <w:name w:val="footnote reference"/>
    <w:basedOn w:val="DefaultParagraphFont"/>
    <w:semiHidden/>
    <w:rsid w:val="00736864"/>
    <w:rPr>
      <w:vertAlign w:val="superscript"/>
    </w:rPr>
  </w:style>
  <w:style w:type="paragraph" w:customStyle="1" w:styleId="FigTabPara">
    <w:name w:val="FigTabPara"/>
    <w:basedOn w:val="Normal"/>
    <w:next w:val="Normal"/>
    <w:rsid w:val="00736864"/>
    <w:pPr>
      <w:keepNext/>
      <w:spacing w:after="120"/>
      <w:ind w:left="1077"/>
    </w:pPr>
  </w:style>
  <w:style w:type="paragraph" w:customStyle="1" w:styleId="TFIHolder">
    <w:name w:val="TFIHolder"/>
    <w:basedOn w:val="TFAbbrevs"/>
    <w:qFormat/>
    <w:rsid w:val="00736864"/>
    <w:rPr>
      <w:sz w:val="12"/>
    </w:rPr>
  </w:style>
  <w:style w:type="paragraph" w:customStyle="1" w:styleId="TFAbbrevs">
    <w:name w:val="TFAbbrevs"/>
    <w:basedOn w:val="TFListNotes"/>
    <w:rsid w:val="00736864"/>
  </w:style>
  <w:style w:type="paragraph" w:customStyle="1" w:styleId="FigureTitleSpace">
    <w:name w:val="FigureTitle+Space"/>
    <w:basedOn w:val="Normal"/>
    <w:next w:val="Normal"/>
    <w:rsid w:val="000741AC"/>
    <w:pPr>
      <w:keepLines/>
      <w:tabs>
        <w:tab w:val="left" w:pos="1080"/>
      </w:tabs>
      <w:spacing w:before="120" w:after="360"/>
    </w:pPr>
    <w:rPr>
      <w:b/>
      <w:bCs/>
    </w:rPr>
  </w:style>
  <w:style w:type="paragraph" w:styleId="TOC1">
    <w:name w:val="toc 1"/>
    <w:basedOn w:val="Normal"/>
    <w:next w:val="Normal"/>
    <w:autoRedefine/>
    <w:uiPriority w:val="39"/>
    <w:rsid w:val="00736864"/>
    <w:pPr>
      <w:tabs>
        <w:tab w:val="left" w:pos="720"/>
        <w:tab w:val="right" w:leader="dot" w:pos="9016"/>
      </w:tabs>
      <w:spacing w:before="360" w:after="60"/>
      <w:ind w:left="720" w:right="720" w:hanging="720"/>
    </w:pPr>
    <w:rPr>
      <w:b/>
      <w:bCs/>
      <w:noProof/>
    </w:rPr>
  </w:style>
  <w:style w:type="paragraph" w:styleId="TOC2">
    <w:name w:val="toc 2"/>
    <w:basedOn w:val="Normal"/>
    <w:next w:val="Normal"/>
    <w:autoRedefine/>
    <w:uiPriority w:val="39"/>
    <w:rsid w:val="00736864"/>
    <w:pPr>
      <w:tabs>
        <w:tab w:val="left" w:pos="1440"/>
        <w:tab w:val="right" w:leader="dot" w:pos="9016"/>
      </w:tabs>
      <w:spacing w:before="120" w:after="60"/>
      <w:ind w:left="1440" w:right="720" w:hanging="720"/>
    </w:pPr>
  </w:style>
  <w:style w:type="paragraph" w:styleId="TOC3">
    <w:name w:val="toc 3"/>
    <w:basedOn w:val="Normal"/>
    <w:next w:val="Normal"/>
    <w:autoRedefine/>
    <w:uiPriority w:val="39"/>
    <w:rsid w:val="00736864"/>
    <w:pPr>
      <w:tabs>
        <w:tab w:val="left" w:pos="2160"/>
        <w:tab w:val="right" w:leader="dot" w:pos="9016"/>
      </w:tabs>
      <w:spacing w:after="20"/>
      <w:ind w:left="2160" w:right="720" w:hanging="720"/>
    </w:pPr>
  </w:style>
  <w:style w:type="paragraph" w:styleId="TableofFigures">
    <w:name w:val="table of figures"/>
    <w:basedOn w:val="Normal"/>
    <w:next w:val="Normal"/>
    <w:uiPriority w:val="99"/>
    <w:rsid w:val="00736864"/>
    <w:pPr>
      <w:tabs>
        <w:tab w:val="left" w:pos="1080"/>
        <w:tab w:val="right" w:leader="dot" w:pos="9000"/>
      </w:tabs>
      <w:spacing w:after="120"/>
      <w:ind w:left="1080" w:right="720" w:hangingChars="450" w:hanging="1080"/>
    </w:pPr>
  </w:style>
  <w:style w:type="paragraph" w:customStyle="1" w:styleId="BulletBeforeDash">
    <w:name w:val="BulletBeforeDash"/>
    <w:basedOn w:val="Normal"/>
    <w:link w:val="BulletBeforeDashChar"/>
    <w:rsid w:val="00736864"/>
    <w:pPr>
      <w:numPr>
        <w:numId w:val="3"/>
      </w:numPr>
      <w:spacing w:after="0"/>
    </w:pPr>
  </w:style>
  <w:style w:type="paragraph" w:customStyle="1" w:styleId="Bullet">
    <w:name w:val="Bullet"/>
    <w:basedOn w:val="BulletBeforeDash"/>
    <w:link w:val="BulletChar"/>
    <w:qFormat/>
    <w:rsid w:val="00736864"/>
    <w:pPr>
      <w:spacing w:after="120"/>
    </w:pPr>
  </w:style>
  <w:style w:type="paragraph" w:customStyle="1" w:styleId="BulletLast">
    <w:name w:val="BulletLast"/>
    <w:basedOn w:val="Bullet"/>
    <w:qFormat/>
    <w:rsid w:val="00736864"/>
    <w:pPr>
      <w:spacing w:after="240"/>
    </w:pPr>
  </w:style>
  <w:style w:type="paragraph" w:customStyle="1" w:styleId="Dash">
    <w:name w:val="Dash"/>
    <w:basedOn w:val="Normal"/>
    <w:rsid w:val="00736864"/>
    <w:pPr>
      <w:numPr>
        <w:numId w:val="4"/>
      </w:numPr>
      <w:tabs>
        <w:tab w:val="left" w:pos="720"/>
      </w:tabs>
      <w:spacing w:after="0"/>
    </w:pPr>
  </w:style>
  <w:style w:type="paragraph" w:customStyle="1" w:styleId="DashLast">
    <w:name w:val="DashLast"/>
    <w:basedOn w:val="Dash"/>
    <w:rsid w:val="00736864"/>
    <w:pPr>
      <w:tabs>
        <w:tab w:val="clear" w:pos="216"/>
      </w:tabs>
      <w:spacing w:after="120"/>
      <w:ind w:left="714" w:hanging="357"/>
    </w:pPr>
  </w:style>
  <w:style w:type="paragraph" w:customStyle="1" w:styleId="DashLastSpace">
    <w:name w:val="DashLast+Space"/>
    <w:basedOn w:val="DashLast"/>
    <w:rsid w:val="00736864"/>
    <w:pPr>
      <w:spacing w:after="240"/>
    </w:pPr>
  </w:style>
  <w:style w:type="paragraph" w:customStyle="1" w:styleId="NormalBeforeBullet">
    <w:name w:val="NormalBeforeBullet"/>
    <w:basedOn w:val="Normal"/>
    <w:qFormat/>
    <w:rsid w:val="00736864"/>
    <w:pPr>
      <w:keepNext/>
      <w:spacing w:after="120"/>
    </w:pPr>
  </w:style>
  <w:style w:type="paragraph" w:customStyle="1" w:styleId="BoxText">
    <w:name w:val="BoxText"/>
    <w:basedOn w:val="Normal"/>
    <w:qFormat/>
    <w:rsid w:val="00736864"/>
    <w:pPr>
      <w:pBdr>
        <w:top w:val="single" w:sz="4" w:space="4" w:color="000000"/>
        <w:left w:val="single" w:sz="4" w:space="4" w:color="000000"/>
        <w:bottom w:val="single" w:sz="4" w:space="4" w:color="000000"/>
        <w:right w:val="single" w:sz="4" w:space="4" w:color="000000"/>
      </w:pBdr>
      <w:spacing w:after="120"/>
    </w:pPr>
  </w:style>
  <w:style w:type="paragraph" w:customStyle="1" w:styleId="BoxNotes">
    <w:name w:val="BoxNotes"/>
    <w:basedOn w:val="BoxText"/>
    <w:rsid w:val="00736864"/>
    <w:pPr>
      <w:spacing w:before="120" w:after="60"/>
    </w:pPr>
    <w:rPr>
      <w:sz w:val="18"/>
    </w:rPr>
  </w:style>
  <w:style w:type="paragraph" w:customStyle="1" w:styleId="BoxTitle">
    <w:name w:val="BoxTitle"/>
    <w:basedOn w:val="BoxText"/>
    <w:rsid w:val="00736864"/>
    <w:pPr>
      <w:keepNext/>
      <w:spacing w:before="180"/>
      <w:ind w:left="1080" w:hanging="1080"/>
    </w:pPr>
    <w:rPr>
      <w:b/>
      <w:bCs/>
      <w:sz w:val="24"/>
    </w:rPr>
  </w:style>
  <w:style w:type="paragraph" w:customStyle="1" w:styleId="BoxHeading">
    <w:name w:val="BoxHeading"/>
    <w:basedOn w:val="BoxText"/>
    <w:rsid w:val="00736864"/>
    <w:pPr>
      <w:keepNext/>
      <w:spacing w:before="120" w:after="60"/>
    </w:pPr>
    <w:rPr>
      <w:b/>
      <w:bCs/>
    </w:rPr>
  </w:style>
  <w:style w:type="paragraph" w:customStyle="1" w:styleId="BoxBullet">
    <w:name w:val="BoxBullet"/>
    <w:basedOn w:val="BoxText"/>
    <w:rsid w:val="00736864"/>
    <w:pPr>
      <w:numPr>
        <w:numId w:val="8"/>
      </w:numPr>
    </w:pPr>
  </w:style>
  <w:style w:type="paragraph" w:customStyle="1" w:styleId="BoxDashManual">
    <w:name w:val="BoxDashManual"/>
    <w:basedOn w:val="BoxText"/>
    <w:rsid w:val="00736864"/>
    <w:pPr>
      <w:tabs>
        <w:tab w:val="left" w:pos="360"/>
        <w:tab w:val="left" w:pos="720"/>
      </w:tabs>
      <w:ind w:left="720" w:hanging="720"/>
    </w:pPr>
  </w:style>
  <w:style w:type="paragraph" w:customStyle="1" w:styleId="FigureTitle">
    <w:name w:val="FigureTitle"/>
    <w:basedOn w:val="FigureNameSpace"/>
    <w:next w:val="Normal"/>
    <w:rsid w:val="00736864"/>
    <w:pPr>
      <w:keepNext/>
      <w:spacing w:after="120"/>
      <w:ind w:left="1077" w:hanging="1077"/>
    </w:pPr>
  </w:style>
  <w:style w:type="paragraph" w:styleId="Index1">
    <w:name w:val="index 1"/>
    <w:basedOn w:val="Normal"/>
    <w:next w:val="Normal"/>
    <w:rsid w:val="00736864"/>
    <w:pPr>
      <w:spacing w:after="0"/>
      <w:ind w:left="518" w:hanging="518"/>
    </w:pPr>
    <w:rPr>
      <w:noProof/>
    </w:rPr>
  </w:style>
  <w:style w:type="paragraph" w:styleId="Index2">
    <w:name w:val="index 2"/>
    <w:basedOn w:val="Index1"/>
    <w:next w:val="Normal"/>
    <w:rsid w:val="00736864"/>
    <w:pPr>
      <w:ind w:left="816" w:hanging="476"/>
    </w:pPr>
  </w:style>
  <w:style w:type="paragraph" w:styleId="TOC4">
    <w:name w:val="toc 4"/>
    <w:basedOn w:val="Normal"/>
    <w:next w:val="Normal"/>
    <w:autoRedefine/>
    <w:semiHidden/>
    <w:rsid w:val="00736864"/>
    <w:pPr>
      <w:tabs>
        <w:tab w:val="right" w:leader="dot" w:pos="9016"/>
      </w:tabs>
      <w:spacing w:after="0"/>
      <w:ind w:left="2160" w:right="720"/>
    </w:pPr>
    <w:rPr>
      <w:noProof/>
    </w:rPr>
  </w:style>
  <w:style w:type="paragraph" w:customStyle="1" w:styleId="NumberList">
    <w:name w:val="NumberList"/>
    <w:basedOn w:val="Normal"/>
    <w:rsid w:val="00736864"/>
    <w:pPr>
      <w:tabs>
        <w:tab w:val="left" w:pos="360"/>
      </w:tabs>
      <w:ind w:left="357" w:hanging="357"/>
    </w:pPr>
  </w:style>
  <w:style w:type="paragraph" w:customStyle="1" w:styleId="TFNoteSourceSpace">
    <w:name w:val="TFNoteSource+Space"/>
    <w:basedOn w:val="TFListNotesSpace"/>
    <w:next w:val="Normal"/>
    <w:rsid w:val="00736864"/>
  </w:style>
  <w:style w:type="paragraph" w:customStyle="1" w:styleId="TFNoteSource">
    <w:name w:val="TFNoteSource"/>
    <w:basedOn w:val="TFNoteSourceSpace"/>
    <w:rsid w:val="00736864"/>
    <w:pPr>
      <w:spacing w:after="0"/>
    </w:pPr>
  </w:style>
  <w:style w:type="character" w:customStyle="1" w:styleId="DesignerNotesChar">
    <w:name w:val="DesignerNotesChar"/>
    <w:basedOn w:val="DefaultParagraphFont"/>
    <w:rsid w:val="00736864"/>
    <w:rPr>
      <w:rFonts w:ascii="Arial" w:hAnsi="Arial"/>
      <w:b/>
      <w:color w:val="3366FF"/>
      <w:sz w:val="20"/>
    </w:rPr>
  </w:style>
  <w:style w:type="paragraph" w:customStyle="1" w:styleId="TFAbbrevsSpace">
    <w:name w:val="TFAbbrevs+Space"/>
    <w:basedOn w:val="TFAbbrevs"/>
    <w:next w:val="Normal"/>
    <w:rsid w:val="00736864"/>
    <w:pPr>
      <w:spacing w:after="360"/>
    </w:pPr>
  </w:style>
  <w:style w:type="character" w:styleId="Strong">
    <w:name w:val="Strong"/>
    <w:basedOn w:val="DefaultParagraphFont"/>
    <w:uiPriority w:val="22"/>
    <w:qFormat/>
    <w:rsid w:val="00736864"/>
    <w:rPr>
      <w:b/>
      <w:bCs/>
    </w:rPr>
  </w:style>
  <w:style w:type="character" w:styleId="Emphasis">
    <w:name w:val="Emphasis"/>
    <w:basedOn w:val="DefaultParagraphFont"/>
    <w:uiPriority w:val="20"/>
    <w:qFormat/>
    <w:rsid w:val="00736864"/>
    <w:rPr>
      <w:i/>
      <w:iCs/>
    </w:rPr>
  </w:style>
  <w:style w:type="character" w:customStyle="1" w:styleId="Roman">
    <w:name w:val="Roman"/>
    <w:uiPriority w:val="1"/>
    <w:rsid w:val="00736864"/>
    <w:rPr>
      <w:b w:val="0"/>
      <w:i/>
    </w:rPr>
  </w:style>
  <w:style w:type="character" w:customStyle="1" w:styleId="PullQuoteOrigin">
    <w:name w:val="PullQuoteOrigin"/>
    <w:basedOn w:val="DefaultParagraphFont"/>
    <w:uiPriority w:val="1"/>
    <w:rsid w:val="00736864"/>
    <w:rPr>
      <w:b/>
      <w:noProof/>
      <w:color w:val="7B7B7B" w:themeColor="accent3" w:themeShade="BF"/>
    </w:rPr>
  </w:style>
  <w:style w:type="table" w:styleId="TableGrid">
    <w:name w:val="Table Grid"/>
    <w:basedOn w:val="TableNormal"/>
    <w:uiPriority w:val="59"/>
    <w:rsid w:val="00736864"/>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FIHolderSpace">
    <w:name w:val="TFIHolder+Space"/>
    <w:basedOn w:val="TFIHolder"/>
    <w:qFormat/>
    <w:rsid w:val="00736864"/>
    <w:pPr>
      <w:spacing w:after="240"/>
    </w:pPr>
  </w:style>
  <w:style w:type="paragraph" w:customStyle="1" w:styleId="DesignerNotes">
    <w:name w:val="DesignerNotes"/>
    <w:basedOn w:val="Normal"/>
    <w:rsid w:val="00736864"/>
    <w:rPr>
      <w:b/>
      <w:color w:val="3366FF"/>
    </w:rPr>
  </w:style>
  <w:style w:type="character" w:customStyle="1" w:styleId="Subscript">
    <w:name w:val="Subscript"/>
    <w:basedOn w:val="DefaultParagraphFont"/>
    <w:uiPriority w:val="1"/>
    <w:rsid w:val="00736864"/>
    <w:rPr>
      <w:noProof/>
      <w:vertAlign w:val="subscript"/>
    </w:rPr>
  </w:style>
  <w:style w:type="character" w:customStyle="1" w:styleId="Superscript">
    <w:name w:val="Superscript"/>
    <w:basedOn w:val="DefaultParagraphFont"/>
    <w:uiPriority w:val="1"/>
    <w:rsid w:val="00736864"/>
    <w:rPr>
      <w:noProof/>
      <w:vertAlign w:val="superscript"/>
    </w:rPr>
  </w:style>
  <w:style w:type="character" w:customStyle="1" w:styleId="Symbol">
    <w:name w:val="Symbol"/>
    <w:basedOn w:val="DefaultParagraphFont"/>
    <w:uiPriority w:val="1"/>
    <w:rsid w:val="00736864"/>
    <w:rPr>
      <w:noProof/>
    </w:rPr>
  </w:style>
  <w:style w:type="character" w:customStyle="1" w:styleId="NoBreak">
    <w:name w:val="NoBreak"/>
    <w:basedOn w:val="DefaultParagraphFont"/>
    <w:uiPriority w:val="1"/>
    <w:rsid w:val="00736864"/>
    <w:rPr>
      <w:noProof/>
    </w:rPr>
  </w:style>
  <w:style w:type="paragraph" w:customStyle="1" w:styleId="MathEquation">
    <w:name w:val="MathEquation"/>
    <w:basedOn w:val="Normal"/>
    <w:rsid w:val="00736864"/>
    <w:rPr>
      <w:rFonts w:ascii="Cambria Math" w:hAnsi="Cambria Math"/>
      <w:i/>
      <w:noProof/>
    </w:rPr>
  </w:style>
  <w:style w:type="paragraph" w:customStyle="1" w:styleId="ComputerCode">
    <w:name w:val="ComputerCode"/>
    <w:basedOn w:val="Normal"/>
    <w:rsid w:val="00736864"/>
    <w:pPr>
      <w:ind w:left="567"/>
      <w:contextualSpacing/>
    </w:pPr>
    <w:rPr>
      <w:rFonts w:ascii="Courier New" w:hAnsi="Courier New"/>
    </w:rPr>
  </w:style>
  <w:style w:type="paragraph" w:customStyle="1" w:styleId="BulletChecklist">
    <w:name w:val="BulletChecklist"/>
    <w:basedOn w:val="Bullet"/>
    <w:rsid w:val="00736864"/>
    <w:pPr>
      <w:tabs>
        <w:tab w:val="clear" w:pos="360"/>
      </w:tabs>
      <w:ind w:left="720"/>
    </w:pPr>
    <w:rPr>
      <w:noProof/>
    </w:rPr>
  </w:style>
  <w:style w:type="paragraph" w:customStyle="1" w:styleId="ImprintText">
    <w:name w:val="ImprintText"/>
    <w:basedOn w:val="Normal"/>
    <w:rsid w:val="00736864"/>
    <w:pPr>
      <w:spacing w:after="120"/>
    </w:pPr>
  </w:style>
  <w:style w:type="paragraph" w:customStyle="1" w:styleId="AltText">
    <w:name w:val="AltText"/>
    <w:basedOn w:val="Normal"/>
    <w:rsid w:val="00736864"/>
    <w:rPr>
      <w:color w:val="538135" w:themeColor="accent6" w:themeShade="BF"/>
    </w:rPr>
  </w:style>
  <w:style w:type="paragraph" w:styleId="Caption">
    <w:name w:val="caption"/>
    <w:basedOn w:val="Normal"/>
    <w:next w:val="Normal"/>
    <w:uiPriority w:val="35"/>
    <w:unhideWhenUsed/>
    <w:rsid w:val="00736864"/>
    <w:pPr>
      <w:spacing w:after="0"/>
    </w:pPr>
    <w:rPr>
      <w:b/>
      <w:bCs/>
      <w:sz w:val="18"/>
      <w:szCs w:val="18"/>
    </w:rPr>
  </w:style>
  <w:style w:type="paragraph" w:customStyle="1" w:styleId="Credit">
    <w:name w:val="Credit"/>
    <w:basedOn w:val="Caption"/>
    <w:next w:val="Normal"/>
    <w:rsid w:val="00736864"/>
    <w:pPr>
      <w:spacing w:after="240"/>
    </w:pPr>
    <w:rPr>
      <w:b w:val="0"/>
      <w:noProof/>
    </w:rPr>
  </w:style>
  <w:style w:type="paragraph" w:customStyle="1" w:styleId="NormalFirstPara">
    <w:name w:val="NormalFirstPara"/>
    <w:basedOn w:val="Normal"/>
    <w:rsid w:val="00736864"/>
    <w:rPr>
      <w:noProof/>
      <w:color w:val="A5A5A5" w:themeColor="accent3"/>
    </w:rPr>
  </w:style>
  <w:style w:type="paragraph" w:customStyle="1" w:styleId="TableHeadingCA">
    <w:name w:val="TableHeadingCA"/>
    <w:basedOn w:val="TableHeading"/>
    <w:rsid w:val="00736864"/>
    <w:pPr>
      <w:jc w:val="center"/>
    </w:pPr>
  </w:style>
  <w:style w:type="paragraph" w:customStyle="1" w:styleId="TableTextCA">
    <w:name w:val="TableTextCA"/>
    <w:basedOn w:val="TableText"/>
    <w:rsid w:val="00736864"/>
    <w:pPr>
      <w:jc w:val="center"/>
    </w:pPr>
  </w:style>
  <w:style w:type="paragraph" w:customStyle="1" w:styleId="TableTextDA">
    <w:name w:val="TableTextDA"/>
    <w:basedOn w:val="TableText"/>
    <w:rsid w:val="000741AC"/>
    <w:pPr>
      <w:tabs>
        <w:tab w:val="decimal" w:pos="1119"/>
      </w:tabs>
    </w:pPr>
  </w:style>
  <w:style w:type="paragraph" w:customStyle="1" w:styleId="NormalIndent">
    <w:name w:val="NormalIndent"/>
    <w:basedOn w:val="Normal"/>
    <w:rsid w:val="00736864"/>
    <w:pPr>
      <w:ind w:left="357"/>
    </w:pPr>
  </w:style>
  <w:style w:type="paragraph" w:styleId="BalloonText">
    <w:name w:val="Balloon Text"/>
    <w:basedOn w:val="Normal"/>
    <w:link w:val="BalloonTextChar"/>
    <w:uiPriority w:val="99"/>
    <w:semiHidden/>
    <w:unhideWhenUsed/>
    <w:rsid w:val="0073686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6864"/>
    <w:rPr>
      <w:rFonts w:ascii="Tahoma" w:eastAsia="Times New Roman" w:hAnsi="Tahoma" w:cs="Tahoma"/>
      <w:color w:val="000000"/>
      <w:sz w:val="16"/>
      <w:szCs w:val="16"/>
    </w:rPr>
  </w:style>
  <w:style w:type="paragraph" w:styleId="Title">
    <w:name w:val="Title"/>
    <w:basedOn w:val="Normal"/>
    <w:next w:val="Normal"/>
    <w:link w:val="TitleChar"/>
    <w:uiPriority w:val="10"/>
    <w:rsid w:val="00736864"/>
    <w:pPr>
      <w:spacing w:after="300"/>
      <w:contextualSpacing/>
      <w:jc w:val="center"/>
    </w:pPr>
    <w:rPr>
      <w:rFonts w:eastAsiaTheme="majorEastAsia" w:cstheme="majorBidi"/>
      <w:b/>
      <w:spacing w:val="5"/>
      <w:kern w:val="28"/>
      <w:sz w:val="48"/>
      <w:szCs w:val="52"/>
    </w:rPr>
  </w:style>
  <w:style w:type="character" w:customStyle="1" w:styleId="TitleChar">
    <w:name w:val="Title Char"/>
    <w:basedOn w:val="DefaultParagraphFont"/>
    <w:link w:val="Title"/>
    <w:uiPriority w:val="10"/>
    <w:rsid w:val="00736864"/>
    <w:rPr>
      <w:rFonts w:ascii="Calibri" w:eastAsiaTheme="majorEastAsia" w:hAnsi="Calibri" w:cstheme="majorBidi"/>
      <w:b/>
      <w:spacing w:val="5"/>
      <w:kern w:val="28"/>
      <w:sz w:val="48"/>
      <w:szCs w:val="52"/>
    </w:rPr>
  </w:style>
  <w:style w:type="paragraph" w:customStyle="1" w:styleId="SectionTitle">
    <w:name w:val="SectionTitle"/>
    <w:basedOn w:val="Normal"/>
    <w:next w:val="Normal"/>
    <w:rsid w:val="00736864"/>
    <w:pPr>
      <w:jc w:val="center"/>
    </w:pPr>
    <w:rPr>
      <w:b/>
      <w:sz w:val="40"/>
    </w:rPr>
  </w:style>
  <w:style w:type="paragraph" w:customStyle="1" w:styleId="SectionSubtitle">
    <w:name w:val="SectionSubtitle"/>
    <w:basedOn w:val="Normal"/>
    <w:rsid w:val="00736864"/>
    <w:pPr>
      <w:spacing w:after="0"/>
      <w:jc w:val="center"/>
    </w:pPr>
    <w:rPr>
      <w:sz w:val="32"/>
    </w:rPr>
  </w:style>
  <w:style w:type="paragraph" w:customStyle="1" w:styleId="QuoteNumberList">
    <w:name w:val="QuoteNumberList"/>
    <w:basedOn w:val="Quote"/>
    <w:rsid w:val="00736864"/>
    <w:pPr>
      <w:ind w:left="1117" w:hanging="397"/>
    </w:pPr>
    <w:rPr>
      <w:noProof/>
    </w:rPr>
  </w:style>
  <w:style w:type="paragraph" w:customStyle="1" w:styleId="QuoteBullet">
    <w:name w:val="QuoteBullet"/>
    <w:basedOn w:val="Quote"/>
    <w:rsid w:val="00736864"/>
    <w:pPr>
      <w:numPr>
        <w:numId w:val="7"/>
      </w:numPr>
    </w:pPr>
    <w:rPr>
      <w:noProof/>
    </w:rPr>
  </w:style>
  <w:style w:type="paragraph" w:customStyle="1" w:styleId="BoxDash">
    <w:name w:val="BoxDash"/>
    <w:basedOn w:val="BoxBullet"/>
    <w:rsid w:val="00736864"/>
    <w:pPr>
      <w:numPr>
        <w:numId w:val="5"/>
      </w:numPr>
    </w:pPr>
  </w:style>
  <w:style w:type="character" w:customStyle="1" w:styleId="CrossRef">
    <w:name w:val="CrossRef"/>
    <w:basedOn w:val="DefaultParagraphFont"/>
    <w:uiPriority w:val="1"/>
    <w:rsid w:val="00736864"/>
    <w:rPr>
      <w:rFonts w:ascii="Calibri" w:hAnsi="Calibri"/>
      <w:b/>
      <w:noProof/>
      <w:color w:val="ED7D31" w:themeColor="accent2"/>
      <w:sz w:val="24"/>
    </w:rPr>
  </w:style>
  <w:style w:type="paragraph" w:customStyle="1" w:styleId="TableNumberedList">
    <w:name w:val="TableNumberedList"/>
    <w:basedOn w:val="TableText"/>
    <w:autoRedefine/>
    <w:qFormat/>
    <w:rsid w:val="00C4726D"/>
    <w:pPr>
      <w:numPr>
        <w:numId w:val="9"/>
      </w:numPr>
      <w:ind w:left="357" w:hanging="357"/>
    </w:pPr>
  </w:style>
  <w:style w:type="character" w:customStyle="1" w:styleId="StrongEmphasis">
    <w:name w:val="StrongEmphasis"/>
    <w:basedOn w:val="DefaultParagraphFont"/>
    <w:rsid w:val="00736864"/>
    <w:rPr>
      <w:b/>
      <w:bCs/>
      <w:i/>
      <w:iCs/>
    </w:rPr>
  </w:style>
  <w:style w:type="character" w:customStyle="1" w:styleId="MathEquationChar">
    <w:name w:val="MathEquationChar"/>
    <w:basedOn w:val="DefaultParagraphFont"/>
    <w:uiPriority w:val="1"/>
    <w:rsid w:val="00736864"/>
    <w:rPr>
      <w:rFonts w:ascii="Cambria Math" w:hAnsi="Cambria Math"/>
      <w:noProof/>
    </w:rPr>
  </w:style>
  <w:style w:type="character" w:customStyle="1" w:styleId="SubscriptEmphasis">
    <w:name w:val="SubscriptEmphasis"/>
    <w:basedOn w:val="DefaultParagraphFont"/>
    <w:uiPriority w:val="1"/>
    <w:rsid w:val="00736864"/>
    <w:rPr>
      <w:i/>
      <w:noProof/>
      <w:vertAlign w:val="subscript"/>
    </w:rPr>
  </w:style>
  <w:style w:type="character" w:customStyle="1" w:styleId="Heading6Char">
    <w:name w:val="Heading 6 Char"/>
    <w:basedOn w:val="DefaultParagraphFont"/>
    <w:link w:val="Heading6"/>
    <w:uiPriority w:val="9"/>
    <w:rsid w:val="00C4726D"/>
    <w:rPr>
      <w:rFonts w:eastAsiaTheme="majorEastAsia" w:cstheme="majorBidi"/>
      <w:color w:val="1F3763" w:themeColor="accent1" w:themeShade="7F"/>
      <w:sz w:val="22"/>
      <w:szCs w:val="22"/>
    </w:rPr>
  </w:style>
  <w:style w:type="character" w:styleId="CommentReference">
    <w:name w:val="annotation reference"/>
    <w:basedOn w:val="DefaultParagraphFont"/>
    <w:uiPriority w:val="99"/>
    <w:semiHidden/>
    <w:unhideWhenUsed/>
    <w:rsid w:val="00736864"/>
    <w:rPr>
      <w:sz w:val="16"/>
      <w:szCs w:val="16"/>
    </w:rPr>
  </w:style>
  <w:style w:type="paragraph" w:styleId="CommentText">
    <w:name w:val="annotation text"/>
    <w:basedOn w:val="Normal"/>
    <w:link w:val="CommentTextChar"/>
    <w:uiPriority w:val="99"/>
    <w:unhideWhenUsed/>
    <w:rsid w:val="00736864"/>
  </w:style>
  <w:style w:type="character" w:customStyle="1" w:styleId="CommentTextChar">
    <w:name w:val="Comment Text Char"/>
    <w:basedOn w:val="DefaultParagraphFont"/>
    <w:link w:val="CommentText"/>
    <w:uiPriority w:val="99"/>
    <w:rsid w:val="00736864"/>
    <w:rPr>
      <w:rFonts w:ascii="Calibri" w:eastAsia="Times New Roman" w:hAnsi="Calibri"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736864"/>
    <w:rPr>
      <w:b/>
      <w:bCs/>
    </w:rPr>
  </w:style>
  <w:style w:type="character" w:customStyle="1" w:styleId="CommentSubjectChar">
    <w:name w:val="Comment Subject Char"/>
    <w:basedOn w:val="CommentTextChar"/>
    <w:link w:val="CommentSubject"/>
    <w:uiPriority w:val="99"/>
    <w:semiHidden/>
    <w:rsid w:val="00736864"/>
    <w:rPr>
      <w:rFonts w:ascii="Calibri" w:eastAsia="Times New Roman" w:hAnsi="Calibri" w:cs="Times New Roman"/>
      <w:b/>
      <w:bCs/>
      <w:color w:val="000000"/>
      <w:sz w:val="20"/>
      <w:szCs w:val="20"/>
    </w:rPr>
  </w:style>
  <w:style w:type="paragraph" w:styleId="ListParagraph">
    <w:name w:val="List Paragraph"/>
    <w:aliases w:val="Bullet Point,Bullet point,Bulletr List Paragraph,Content descriptions,FooterText,L,List Bullet 1,List Paragraph1,List Paragraph11,List Paragraph2,List Paragraph21,Listeafsnit1,NFP GP Bulleted List,Paragraphe de liste1,Recommendation,リスト段落"/>
    <w:basedOn w:val="Normal"/>
    <w:link w:val="ListParagraphChar"/>
    <w:uiPriority w:val="34"/>
    <w:qFormat/>
    <w:rsid w:val="00C4726D"/>
    <w:pPr>
      <w:spacing w:after="200" w:line="276" w:lineRule="auto"/>
      <w:ind w:left="720"/>
      <w:contextualSpacing/>
    </w:pPr>
  </w:style>
  <w:style w:type="character" w:customStyle="1" w:styleId="ListParagraphChar">
    <w:name w:val="List Paragraph Char"/>
    <w:aliases w:val="Bullet Point Char,Bullet point Char,Bulletr List Paragraph Char,Content descriptions Char,FooterText Char,L Char,List Bullet 1 Char,List Paragraph1 Char,List Paragraph11 Char,List Paragraph2 Char,List Paragraph21 Char,リスト段落 Char"/>
    <w:link w:val="ListParagraph"/>
    <w:uiPriority w:val="34"/>
    <w:qFormat/>
    <w:locked/>
    <w:rsid w:val="00C4726D"/>
    <w:rPr>
      <w:sz w:val="22"/>
      <w:szCs w:val="22"/>
    </w:rPr>
  </w:style>
  <w:style w:type="table" w:styleId="ListTable3-Accent1">
    <w:name w:val="List Table 3 Accent 1"/>
    <w:basedOn w:val="TableNormal"/>
    <w:uiPriority w:val="48"/>
    <w:rsid w:val="00C4726D"/>
    <w:rPr>
      <w:rFonts w:ascii="Times New Roman" w:eastAsia="Times New Roman" w:hAnsi="Times New Roman" w:cs="Times New Roman"/>
      <w:sz w:val="20"/>
      <w:szCs w:val="20"/>
      <w:lang w:eastAsia="en-AU"/>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character" w:styleId="Hyperlink">
    <w:name w:val="Hyperlink"/>
    <w:basedOn w:val="DefaultParagraphFont"/>
    <w:uiPriority w:val="99"/>
    <w:unhideWhenUsed/>
    <w:rsid w:val="00C4726D"/>
    <w:rPr>
      <w:color w:val="0563C1" w:themeColor="hyperlink"/>
      <w:u w:val="single"/>
    </w:rPr>
  </w:style>
  <w:style w:type="character" w:styleId="UnresolvedMention">
    <w:name w:val="Unresolved Mention"/>
    <w:basedOn w:val="DefaultParagraphFont"/>
    <w:uiPriority w:val="99"/>
    <w:rsid w:val="00C4726D"/>
    <w:rPr>
      <w:color w:val="605E5C"/>
      <w:shd w:val="clear" w:color="auto" w:fill="E1DFDD"/>
    </w:rPr>
  </w:style>
  <w:style w:type="paragraph" w:styleId="Revision">
    <w:name w:val="Revision"/>
    <w:hidden/>
    <w:uiPriority w:val="99"/>
    <w:semiHidden/>
    <w:rsid w:val="00736864"/>
    <w:rPr>
      <w:rFonts w:eastAsia="Times New Roman"/>
    </w:rPr>
  </w:style>
  <w:style w:type="character" w:styleId="FollowedHyperlink">
    <w:name w:val="FollowedHyperlink"/>
    <w:basedOn w:val="DefaultParagraphFont"/>
    <w:uiPriority w:val="99"/>
    <w:semiHidden/>
    <w:unhideWhenUsed/>
    <w:rsid w:val="00C4726D"/>
    <w:rPr>
      <w:color w:val="954F72" w:themeColor="followedHyperlink"/>
      <w:u w:val="single"/>
    </w:rPr>
  </w:style>
  <w:style w:type="paragraph" w:customStyle="1" w:styleId="paragraph">
    <w:name w:val="paragraph"/>
    <w:basedOn w:val="Normal"/>
    <w:rsid w:val="00776BD3"/>
    <w:pPr>
      <w:spacing w:before="100" w:beforeAutospacing="1" w:after="100" w:afterAutospacing="1"/>
    </w:pPr>
  </w:style>
  <w:style w:type="character" w:customStyle="1" w:styleId="normaltextrun">
    <w:name w:val="normaltextrun"/>
    <w:basedOn w:val="DefaultParagraphFont"/>
    <w:rsid w:val="00C4726D"/>
  </w:style>
  <w:style w:type="character" w:customStyle="1" w:styleId="eop">
    <w:name w:val="eop"/>
    <w:basedOn w:val="DefaultParagraphFont"/>
    <w:rsid w:val="00776BD3"/>
  </w:style>
  <w:style w:type="paragraph" w:customStyle="1" w:styleId="FigureNameSpace">
    <w:name w:val="FigureName+Space"/>
    <w:basedOn w:val="Normal"/>
    <w:next w:val="Normal"/>
    <w:rsid w:val="00736864"/>
    <w:pPr>
      <w:keepLines/>
      <w:tabs>
        <w:tab w:val="left" w:pos="1080"/>
      </w:tabs>
      <w:spacing w:before="120" w:after="360"/>
      <w:ind w:left="1080" w:hanging="1080"/>
    </w:pPr>
    <w:rPr>
      <w:b/>
      <w:bCs/>
    </w:rPr>
  </w:style>
  <w:style w:type="paragraph" w:customStyle="1" w:styleId="BoxName">
    <w:name w:val="BoxName"/>
    <w:basedOn w:val="BoxText"/>
    <w:rsid w:val="00C4726D"/>
    <w:pPr>
      <w:keepNext/>
      <w:spacing w:before="180"/>
      <w:ind w:left="1080" w:hanging="1080"/>
    </w:pPr>
    <w:rPr>
      <w:b/>
      <w:bCs/>
    </w:rPr>
  </w:style>
  <w:style w:type="paragraph" w:customStyle="1" w:styleId="FigureName">
    <w:name w:val="FigureName"/>
    <w:basedOn w:val="FigureNameSpace"/>
    <w:next w:val="Normal"/>
    <w:rsid w:val="00C4726D"/>
    <w:pPr>
      <w:keepNext/>
      <w:spacing w:after="120"/>
      <w:ind w:left="1077" w:hanging="1077"/>
    </w:pPr>
  </w:style>
  <w:style w:type="paragraph" w:customStyle="1" w:styleId="TableTextDecimalAlign">
    <w:name w:val="TableTextDecimalAlign"/>
    <w:basedOn w:val="TableText"/>
    <w:rsid w:val="00736864"/>
    <w:pPr>
      <w:tabs>
        <w:tab w:val="decimal" w:pos="1119"/>
      </w:tabs>
    </w:pPr>
  </w:style>
  <w:style w:type="numbering" w:customStyle="1" w:styleId="CurrentList1">
    <w:name w:val="Current List1"/>
    <w:uiPriority w:val="99"/>
    <w:rsid w:val="00C4726D"/>
    <w:pPr>
      <w:numPr>
        <w:numId w:val="11"/>
      </w:numPr>
    </w:pPr>
  </w:style>
  <w:style w:type="numbering" w:customStyle="1" w:styleId="CurrentList2">
    <w:name w:val="Current List2"/>
    <w:uiPriority w:val="99"/>
    <w:rsid w:val="00C4726D"/>
    <w:pPr>
      <w:numPr>
        <w:numId w:val="12"/>
      </w:numPr>
    </w:pPr>
  </w:style>
  <w:style w:type="paragraph" w:customStyle="1" w:styleId="DepartmentalNormal">
    <w:name w:val="Departmental Normal"/>
    <w:basedOn w:val="Normal"/>
    <w:rsid w:val="00E82CC1"/>
  </w:style>
  <w:style w:type="character" w:styleId="LineNumber">
    <w:name w:val="line number"/>
    <w:basedOn w:val="DefaultParagraphFont"/>
    <w:uiPriority w:val="99"/>
    <w:semiHidden/>
    <w:unhideWhenUsed/>
    <w:rsid w:val="00736864"/>
  </w:style>
  <w:style w:type="table" w:styleId="ListTable4-Accent2">
    <w:name w:val="List Table 4 Accent 2"/>
    <w:basedOn w:val="TableNormal"/>
    <w:uiPriority w:val="49"/>
    <w:rsid w:val="00816F3E"/>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61">
    <w:name w:val="Grid Table 4 - Accent 61"/>
    <w:basedOn w:val="TableNormal"/>
    <w:next w:val="GridTable4-Accent6"/>
    <w:uiPriority w:val="49"/>
    <w:rsid w:val="00081620"/>
    <w:rPr>
      <w:rFonts w:ascii="Times New Roman" w:eastAsia="Times New Roman" w:hAnsi="Times New Roman" w:cs="Times New Roman"/>
      <w:sz w:val="20"/>
      <w:szCs w:val="20"/>
      <w:lang w:eastAsia="en-AU"/>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4-Accent6">
    <w:name w:val="Grid Table 4 Accent 6"/>
    <w:basedOn w:val="TableNormal"/>
    <w:uiPriority w:val="49"/>
    <w:rsid w:val="00081620"/>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HTMLCode">
    <w:name w:val="HTML Code"/>
    <w:basedOn w:val="DefaultParagraphFont"/>
    <w:uiPriority w:val="99"/>
    <w:semiHidden/>
    <w:unhideWhenUsed/>
    <w:rsid w:val="00020167"/>
    <w:rPr>
      <w:rFonts w:ascii="Courier New" w:eastAsia="Times New Roman" w:hAnsi="Courier New" w:cs="Courier New"/>
      <w:sz w:val="20"/>
      <w:szCs w:val="20"/>
    </w:rPr>
  </w:style>
  <w:style w:type="character" w:customStyle="1" w:styleId="BulletBeforeDashChar">
    <w:name w:val="BulletBeforeDash Char"/>
    <w:basedOn w:val="DefaultParagraphFont"/>
    <w:link w:val="BulletBeforeDash"/>
    <w:rsid w:val="00472B53"/>
    <w:rPr>
      <w:rFonts w:ascii="Calibri" w:eastAsia="Times New Roman" w:hAnsi="Calibri" w:cs="Times New Roman"/>
      <w:color w:val="000000"/>
      <w:sz w:val="22"/>
      <w:szCs w:val="20"/>
    </w:rPr>
  </w:style>
  <w:style w:type="character" w:customStyle="1" w:styleId="BulletChar">
    <w:name w:val="Bullet Char"/>
    <w:basedOn w:val="BulletBeforeDashChar"/>
    <w:link w:val="Bullet"/>
    <w:rsid w:val="00472B53"/>
    <w:rPr>
      <w:rFonts w:ascii="Calibri" w:eastAsia="Times New Roman" w:hAnsi="Calibri" w:cs="Times New Roman"/>
      <w:color w:val="000000"/>
      <w:sz w:val="22"/>
      <w:szCs w:val="20"/>
    </w:rPr>
  </w:style>
  <w:style w:type="paragraph" w:customStyle="1" w:styleId="RecommendationNo">
    <w:name w:val="RecommendationNo"/>
    <w:basedOn w:val="Normal"/>
    <w:qFormat/>
    <w:rsid w:val="0095200E"/>
    <w:pPr>
      <w:keepNext/>
    </w:pPr>
    <w:rPr>
      <w:b/>
    </w:rPr>
  </w:style>
  <w:style w:type="paragraph" w:customStyle="1" w:styleId="Principle">
    <w:name w:val="Principle"/>
    <w:basedOn w:val="Normal"/>
    <w:qFormat/>
    <w:rsid w:val="00E14ADF"/>
    <w:rPr>
      <w:b/>
      <w:color w:val="ED7D31" w:themeColor="accen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9154">
      <w:bodyDiv w:val="1"/>
      <w:marLeft w:val="0"/>
      <w:marRight w:val="0"/>
      <w:marTop w:val="0"/>
      <w:marBottom w:val="0"/>
      <w:divBdr>
        <w:top w:val="none" w:sz="0" w:space="0" w:color="auto"/>
        <w:left w:val="none" w:sz="0" w:space="0" w:color="auto"/>
        <w:bottom w:val="none" w:sz="0" w:space="0" w:color="auto"/>
        <w:right w:val="none" w:sz="0" w:space="0" w:color="auto"/>
      </w:divBdr>
    </w:div>
    <w:div w:id="68844609">
      <w:bodyDiv w:val="1"/>
      <w:marLeft w:val="0"/>
      <w:marRight w:val="0"/>
      <w:marTop w:val="0"/>
      <w:marBottom w:val="0"/>
      <w:divBdr>
        <w:top w:val="none" w:sz="0" w:space="0" w:color="auto"/>
        <w:left w:val="none" w:sz="0" w:space="0" w:color="auto"/>
        <w:bottom w:val="none" w:sz="0" w:space="0" w:color="auto"/>
        <w:right w:val="none" w:sz="0" w:space="0" w:color="auto"/>
      </w:divBdr>
      <w:divsChild>
        <w:div w:id="368922009">
          <w:marLeft w:val="0"/>
          <w:marRight w:val="0"/>
          <w:marTop w:val="0"/>
          <w:marBottom w:val="0"/>
          <w:divBdr>
            <w:top w:val="none" w:sz="0" w:space="0" w:color="auto"/>
            <w:left w:val="none" w:sz="0" w:space="0" w:color="auto"/>
            <w:bottom w:val="none" w:sz="0" w:space="0" w:color="auto"/>
            <w:right w:val="none" w:sz="0" w:space="0" w:color="auto"/>
          </w:divBdr>
          <w:divsChild>
            <w:div w:id="127362000">
              <w:marLeft w:val="0"/>
              <w:marRight w:val="0"/>
              <w:marTop w:val="0"/>
              <w:marBottom w:val="0"/>
              <w:divBdr>
                <w:top w:val="none" w:sz="0" w:space="0" w:color="auto"/>
                <w:left w:val="none" w:sz="0" w:space="0" w:color="auto"/>
                <w:bottom w:val="none" w:sz="0" w:space="0" w:color="auto"/>
                <w:right w:val="none" w:sz="0" w:space="0" w:color="auto"/>
              </w:divBdr>
              <w:divsChild>
                <w:div w:id="397939016">
                  <w:marLeft w:val="0"/>
                  <w:marRight w:val="0"/>
                  <w:marTop w:val="0"/>
                  <w:marBottom w:val="0"/>
                  <w:divBdr>
                    <w:top w:val="none" w:sz="0" w:space="0" w:color="auto"/>
                    <w:left w:val="none" w:sz="0" w:space="0" w:color="auto"/>
                    <w:bottom w:val="none" w:sz="0" w:space="0" w:color="auto"/>
                    <w:right w:val="none" w:sz="0" w:space="0" w:color="auto"/>
                  </w:divBdr>
                </w:div>
              </w:divsChild>
            </w:div>
            <w:div w:id="179245852">
              <w:marLeft w:val="0"/>
              <w:marRight w:val="0"/>
              <w:marTop w:val="0"/>
              <w:marBottom w:val="0"/>
              <w:divBdr>
                <w:top w:val="none" w:sz="0" w:space="0" w:color="auto"/>
                <w:left w:val="none" w:sz="0" w:space="0" w:color="auto"/>
                <w:bottom w:val="none" w:sz="0" w:space="0" w:color="auto"/>
                <w:right w:val="none" w:sz="0" w:space="0" w:color="auto"/>
              </w:divBdr>
              <w:divsChild>
                <w:div w:id="83574101">
                  <w:marLeft w:val="0"/>
                  <w:marRight w:val="0"/>
                  <w:marTop w:val="0"/>
                  <w:marBottom w:val="0"/>
                  <w:divBdr>
                    <w:top w:val="none" w:sz="0" w:space="0" w:color="auto"/>
                    <w:left w:val="none" w:sz="0" w:space="0" w:color="auto"/>
                    <w:bottom w:val="none" w:sz="0" w:space="0" w:color="auto"/>
                    <w:right w:val="none" w:sz="0" w:space="0" w:color="auto"/>
                  </w:divBdr>
                </w:div>
              </w:divsChild>
            </w:div>
            <w:div w:id="256642775">
              <w:marLeft w:val="0"/>
              <w:marRight w:val="0"/>
              <w:marTop w:val="0"/>
              <w:marBottom w:val="0"/>
              <w:divBdr>
                <w:top w:val="none" w:sz="0" w:space="0" w:color="auto"/>
                <w:left w:val="none" w:sz="0" w:space="0" w:color="auto"/>
                <w:bottom w:val="none" w:sz="0" w:space="0" w:color="auto"/>
                <w:right w:val="none" w:sz="0" w:space="0" w:color="auto"/>
              </w:divBdr>
              <w:divsChild>
                <w:div w:id="1245651213">
                  <w:marLeft w:val="0"/>
                  <w:marRight w:val="0"/>
                  <w:marTop w:val="0"/>
                  <w:marBottom w:val="0"/>
                  <w:divBdr>
                    <w:top w:val="none" w:sz="0" w:space="0" w:color="auto"/>
                    <w:left w:val="none" w:sz="0" w:space="0" w:color="auto"/>
                    <w:bottom w:val="none" w:sz="0" w:space="0" w:color="auto"/>
                    <w:right w:val="none" w:sz="0" w:space="0" w:color="auto"/>
                  </w:divBdr>
                </w:div>
              </w:divsChild>
            </w:div>
            <w:div w:id="258029903">
              <w:marLeft w:val="0"/>
              <w:marRight w:val="0"/>
              <w:marTop w:val="0"/>
              <w:marBottom w:val="0"/>
              <w:divBdr>
                <w:top w:val="none" w:sz="0" w:space="0" w:color="auto"/>
                <w:left w:val="none" w:sz="0" w:space="0" w:color="auto"/>
                <w:bottom w:val="none" w:sz="0" w:space="0" w:color="auto"/>
                <w:right w:val="none" w:sz="0" w:space="0" w:color="auto"/>
              </w:divBdr>
              <w:divsChild>
                <w:div w:id="1189755995">
                  <w:marLeft w:val="0"/>
                  <w:marRight w:val="0"/>
                  <w:marTop w:val="0"/>
                  <w:marBottom w:val="0"/>
                  <w:divBdr>
                    <w:top w:val="none" w:sz="0" w:space="0" w:color="auto"/>
                    <w:left w:val="none" w:sz="0" w:space="0" w:color="auto"/>
                    <w:bottom w:val="none" w:sz="0" w:space="0" w:color="auto"/>
                    <w:right w:val="none" w:sz="0" w:space="0" w:color="auto"/>
                  </w:divBdr>
                </w:div>
              </w:divsChild>
            </w:div>
            <w:div w:id="310906274">
              <w:marLeft w:val="0"/>
              <w:marRight w:val="0"/>
              <w:marTop w:val="0"/>
              <w:marBottom w:val="0"/>
              <w:divBdr>
                <w:top w:val="none" w:sz="0" w:space="0" w:color="auto"/>
                <w:left w:val="none" w:sz="0" w:space="0" w:color="auto"/>
                <w:bottom w:val="none" w:sz="0" w:space="0" w:color="auto"/>
                <w:right w:val="none" w:sz="0" w:space="0" w:color="auto"/>
              </w:divBdr>
              <w:divsChild>
                <w:div w:id="1817606366">
                  <w:marLeft w:val="0"/>
                  <w:marRight w:val="0"/>
                  <w:marTop w:val="0"/>
                  <w:marBottom w:val="0"/>
                  <w:divBdr>
                    <w:top w:val="none" w:sz="0" w:space="0" w:color="auto"/>
                    <w:left w:val="none" w:sz="0" w:space="0" w:color="auto"/>
                    <w:bottom w:val="none" w:sz="0" w:space="0" w:color="auto"/>
                    <w:right w:val="none" w:sz="0" w:space="0" w:color="auto"/>
                  </w:divBdr>
                </w:div>
              </w:divsChild>
            </w:div>
            <w:div w:id="451246249">
              <w:marLeft w:val="0"/>
              <w:marRight w:val="0"/>
              <w:marTop w:val="0"/>
              <w:marBottom w:val="0"/>
              <w:divBdr>
                <w:top w:val="none" w:sz="0" w:space="0" w:color="auto"/>
                <w:left w:val="none" w:sz="0" w:space="0" w:color="auto"/>
                <w:bottom w:val="none" w:sz="0" w:space="0" w:color="auto"/>
                <w:right w:val="none" w:sz="0" w:space="0" w:color="auto"/>
              </w:divBdr>
              <w:divsChild>
                <w:div w:id="1081681206">
                  <w:marLeft w:val="0"/>
                  <w:marRight w:val="0"/>
                  <w:marTop w:val="0"/>
                  <w:marBottom w:val="0"/>
                  <w:divBdr>
                    <w:top w:val="none" w:sz="0" w:space="0" w:color="auto"/>
                    <w:left w:val="none" w:sz="0" w:space="0" w:color="auto"/>
                    <w:bottom w:val="none" w:sz="0" w:space="0" w:color="auto"/>
                    <w:right w:val="none" w:sz="0" w:space="0" w:color="auto"/>
                  </w:divBdr>
                </w:div>
              </w:divsChild>
            </w:div>
            <w:div w:id="516702277">
              <w:marLeft w:val="0"/>
              <w:marRight w:val="0"/>
              <w:marTop w:val="0"/>
              <w:marBottom w:val="0"/>
              <w:divBdr>
                <w:top w:val="none" w:sz="0" w:space="0" w:color="auto"/>
                <w:left w:val="none" w:sz="0" w:space="0" w:color="auto"/>
                <w:bottom w:val="none" w:sz="0" w:space="0" w:color="auto"/>
                <w:right w:val="none" w:sz="0" w:space="0" w:color="auto"/>
              </w:divBdr>
              <w:divsChild>
                <w:div w:id="1859431">
                  <w:marLeft w:val="0"/>
                  <w:marRight w:val="0"/>
                  <w:marTop w:val="0"/>
                  <w:marBottom w:val="0"/>
                  <w:divBdr>
                    <w:top w:val="none" w:sz="0" w:space="0" w:color="auto"/>
                    <w:left w:val="none" w:sz="0" w:space="0" w:color="auto"/>
                    <w:bottom w:val="none" w:sz="0" w:space="0" w:color="auto"/>
                    <w:right w:val="none" w:sz="0" w:space="0" w:color="auto"/>
                  </w:divBdr>
                </w:div>
              </w:divsChild>
            </w:div>
            <w:div w:id="528835206">
              <w:marLeft w:val="0"/>
              <w:marRight w:val="0"/>
              <w:marTop w:val="0"/>
              <w:marBottom w:val="0"/>
              <w:divBdr>
                <w:top w:val="none" w:sz="0" w:space="0" w:color="auto"/>
                <w:left w:val="none" w:sz="0" w:space="0" w:color="auto"/>
                <w:bottom w:val="none" w:sz="0" w:space="0" w:color="auto"/>
                <w:right w:val="none" w:sz="0" w:space="0" w:color="auto"/>
              </w:divBdr>
              <w:divsChild>
                <w:div w:id="1150975506">
                  <w:marLeft w:val="0"/>
                  <w:marRight w:val="0"/>
                  <w:marTop w:val="0"/>
                  <w:marBottom w:val="0"/>
                  <w:divBdr>
                    <w:top w:val="none" w:sz="0" w:space="0" w:color="auto"/>
                    <w:left w:val="none" w:sz="0" w:space="0" w:color="auto"/>
                    <w:bottom w:val="none" w:sz="0" w:space="0" w:color="auto"/>
                    <w:right w:val="none" w:sz="0" w:space="0" w:color="auto"/>
                  </w:divBdr>
                </w:div>
              </w:divsChild>
            </w:div>
            <w:div w:id="605580882">
              <w:marLeft w:val="0"/>
              <w:marRight w:val="0"/>
              <w:marTop w:val="0"/>
              <w:marBottom w:val="0"/>
              <w:divBdr>
                <w:top w:val="none" w:sz="0" w:space="0" w:color="auto"/>
                <w:left w:val="none" w:sz="0" w:space="0" w:color="auto"/>
                <w:bottom w:val="none" w:sz="0" w:space="0" w:color="auto"/>
                <w:right w:val="none" w:sz="0" w:space="0" w:color="auto"/>
              </w:divBdr>
              <w:divsChild>
                <w:div w:id="1356689580">
                  <w:marLeft w:val="0"/>
                  <w:marRight w:val="0"/>
                  <w:marTop w:val="0"/>
                  <w:marBottom w:val="0"/>
                  <w:divBdr>
                    <w:top w:val="none" w:sz="0" w:space="0" w:color="auto"/>
                    <w:left w:val="none" w:sz="0" w:space="0" w:color="auto"/>
                    <w:bottom w:val="none" w:sz="0" w:space="0" w:color="auto"/>
                    <w:right w:val="none" w:sz="0" w:space="0" w:color="auto"/>
                  </w:divBdr>
                </w:div>
              </w:divsChild>
            </w:div>
            <w:div w:id="606354693">
              <w:marLeft w:val="0"/>
              <w:marRight w:val="0"/>
              <w:marTop w:val="0"/>
              <w:marBottom w:val="0"/>
              <w:divBdr>
                <w:top w:val="none" w:sz="0" w:space="0" w:color="auto"/>
                <w:left w:val="none" w:sz="0" w:space="0" w:color="auto"/>
                <w:bottom w:val="none" w:sz="0" w:space="0" w:color="auto"/>
                <w:right w:val="none" w:sz="0" w:space="0" w:color="auto"/>
              </w:divBdr>
              <w:divsChild>
                <w:div w:id="1717201091">
                  <w:marLeft w:val="0"/>
                  <w:marRight w:val="0"/>
                  <w:marTop w:val="0"/>
                  <w:marBottom w:val="0"/>
                  <w:divBdr>
                    <w:top w:val="none" w:sz="0" w:space="0" w:color="auto"/>
                    <w:left w:val="none" w:sz="0" w:space="0" w:color="auto"/>
                    <w:bottom w:val="none" w:sz="0" w:space="0" w:color="auto"/>
                    <w:right w:val="none" w:sz="0" w:space="0" w:color="auto"/>
                  </w:divBdr>
                </w:div>
              </w:divsChild>
            </w:div>
            <w:div w:id="707339108">
              <w:marLeft w:val="0"/>
              <w:marRight w:val="0"/>
              <w:marTop w:val="0"/>
              <w:marBottom w:val="0"/>
              <w:divBdr>
                <w:top w:val="none" w:sz="0" w:space="0" w:color="auto"/>
                <w:left w:val="none" w:sz="0" w:space="0" w:color="auto"/>
                <w:bottom w:val="none" w:sz="0" w:space="0" w:color="auto"/>
                <w:right w:val="none" w:sz="0" w:space="0" w:color="auto"/>
              </w:divBdr>
              <w:divsChild>
                <w:div w:id="1073893029">
                  <w:marLeft w:val="0"/>
                  <w:marRight w:val="0"/>
                  <w:marTop w:val="0"/>
                  <w:marBottom w:val="0"/>
                  <w:divBdr>
                    <w:top w:val="none" w:sz="0" w:space="0" w:color="auto"/>
                    <w:left w:val="none" w:sz="0" w:space="0" w:color="auto"/>
                    <w:bottom w:val="none" w:sz="0" w:space="0" w:color="auto"/>
                    <w:right w:val="none" w:sz="0" w:space="0" w:color="auto"/>
                  </w:divBdr>
                </w:div>
              </w:divsChild>
            </w:div>
            <w:div w:id="815411459">
              <w:marLeft w:val="0"/>
              <w:marRight w:val="0"/>
              <w:marTop w:val="0"/>
              <w:marBottom w:val="0"/>
              <w:divBdr>
                <w:top w:val="none" w:sz="0" w:space="0" w:color="auto"/>
                <w:left w:val="none" w:sz="0" w:space="0" w:color="auto"/>
                <w:bottom w:val="none" w:sz="0" w:space="0" w:color="auto"/>
                <w:right w:val="none" w:sz="0" w:space="0" w:color="auto"/>
              </w:divBdr>
              <w:divsChild>
                <w:div w:id="930311480">
                  <w:marLeft w:val="0"/>
                  <w:marRight w:val="0"/>
                  <w:marTop w:val="0"/>
                  <w:marBottom w:val="0"/>
                  <w:divBdr>
                    <w:top w:val="none" w:sz="0" w:space="0" w:color="auto"/>
                    <w:left w:val="none" w:sz="0" w:space="0" w:color="auto"/>
                    <w:bottom w:val="none" w:sz="0" w:space="0" w:color="auto"/>
                    <w:right w:val="none" w:sz="0" w:space="0" w:color="auto"/>
                  </w:divBdr>
                </w:div>
              </w:divsChild>
            </w:div>
            <w:div w:id="849178113">
              <w:marLeft w:val="0"/>
              <w:marRight w:val="0"/>
              <w:marTop w:val="0"/>
              <w:marBottom w:val="0"/>
              <w:divBdr>
                <w:top w:val="none" w:sz="0" w:space="0" w:color="auto"/>
                <w:left w:val="none" w:sz="0" w:space="0" w:color="auto"/>
                <w:bottom w:val="none" w:sz="0" w:space="0" w:color="auto"/>
                <w:right w:val="none" w:sz="0" w:space="0" w:color="auto"/>
              </w:divBdr>
              <w:divsChild>
                <w:div w:id="2096317306">
                  <w:marLeft w:val="0"/>
                  <w:marRight w:val="0"/>
                  <w:marTop w:val="0"/>
                  <w:marBottom w:val="0"/>
                  <w:divBdr>
                    <w:top w:val="none" w:sz="0" w:space="0" w:color="auto"/>
                    <w:left w:val="none" w:sz="0" w:space="0" w:color="auto"/>
                    <w:bottom w:val="none" w:sz="0" w:space="0" w:color="auto"/>
                    <w:right w:val="none" w:sz="0" w:space="0" w:color="auto"/>
                  </w:divBdr>
                </w:div>
              </w:divsChild>
            </w:div>
            <w:div w:id="925457763">
              <w:marLeft w:val="0"/>
              <w:marRight w:val="0"/>
              <w:marTop w:val="0"/>
              <w:marBottom w:val="0"/>
              <w:divBdr>
                <w:top w:val="none" w:sz="0" w:space="0" w:color="auto"/>
                <w:left w:val="none" w:sz="0" w:space="0" w:color="auto"/>
                <w:bottom w:val="none" w:sz="0" w:space="0" w:color="auto"/>
                <w:right w:val="none" w:sz="0" w:space="0" w:color="auto"/>
              </w:divBdr>
              <w:divsChild>
                <w:div w:id="487479267">
                  <w:marLeft w:val="0"/>
                  <w:marRight w:val="0"/>
                  <w:marTop w:val="0"/>
                  <w:marBottom w:val="0"/>
                  <w:divBdr>
                    <w:top w:val="none" w:sz="0" w:space="0" w:color="auto"/>
                    <w:left w:val="none" w:sz="0" w:space="0" w:color="auto"/>
                    <w:bottom w:val="none" w:sz="0" w:space="0" w:color="auto"/>
                    <w:right w:val="none" w:sz="0" w:space="0" w:color="auto"/>
                  </w:divBdr>
                </w:div>
              </w:divsChild>
            </w:div>
            <w:div w:id="975257314">
              <w:marLeft w:val="0"/>
              <w:marRight w:val="0"/>
              <w:marTop w:val="0"/>
              <w:marBottom w:val="0"/>
              <w:divBdr>
                <w:top w:val="none" w:sz="0" w:space="0" w:color="auto"/>
                <w:left w:val="none" w:sz="0" w:space="0" w:color="auto"/>
                <w:bottom w:val="none" w:sz="0" w:space="0" w:color="auto"/>
                <w:right w:val="none" w:sz="0" w:space="0" w:color="auto"/>
              </w:divBdr>
              <w:divsChild>
                <w:div w:id="1017270326">
                  <w:marLeft w:val="0"/>
                  <w:marRight w:val="0"/>
                  <w:marTop w:val="0"/>
                  <w:marBottom w:val="0"/>
                  <w:divBdr>
                    <w:top w:val="none" w:sz="0" w:space="0" w:color="auto"/>
                    <w:left w:val="none" w:sz="0" w:space="0" w:color="auto"/>
                    <w:bottom w:val="none" w:sz="0" w:space="0" w:color="auto"/>
                    <w:right w:val="none" w:sz="0" w:space="0" w:color="auto"/>
                  </w:divBdr>
                </w:div>
              </w:divsChild>
            </w:div>
            <w:div w:id="1310088842">
              <w:marLeft w:val="0"/>
              <w:marRight w:val="0"/>
              <w:marTop w:val="0"/>
              <w:marBottom w:val="0"/>
              <w:divBdr>
                <w:top w:val="none" w:sz="0" w:space="0" w:color="auto"/>
                <w:left w:val="none" w:sz="0" w:space="0" w:color="auto"/>
                <w:bottom w:val="none" w:sz="0" w:space="0" w:color="auto"/>
                <w:right w:val="none" w:sz="0" w:space="0" w:color="auto"/>
              </w:divBdr>
              <w:divsChild>
                <w:div w:id="1103526662">
                  <w:marLeft w:val="0"/>
                  <w:marRight w:val="0"/>
                  <w:marTop w:val="0"/>
                  <w:marBottom w:val="0"/>
                  <w:divBdr>
                    <w:top w:val="none" w:sz="0" w:space="0" w:color="auto"/>
                    <w:left w:val="none" w:sz="0" w:space="0" w:color="auto"/>
                    <w:bottom w:val="none" w:sz="0" w:space="0" w:color="auto"/>
                    <w:right w:val="none" w:sz="0" w:space="0" w:color="auto"/>
                  </w:divBdr>
                </w:div>
              </w:divsChild>
            </w:div>
            <w:div w:id="1353994165">
              <w:marLeft w:val="0"/>
              <w:marRight w:val="0"/>
              <w:marTop w:val="0"/>
              <w:marBottom w:val="0"/>
              <w:divBdr>
                <w:top w:val="none" w:sz="0" w:space="0" w:color="auto"/>
                <w:left w:val="none" w:sz="0" w:space="0" w:color="auto"/>
                <w:bottom w:val="none" w:sz="0" w:space="0" w:color="auto"/>
                <w:right w:val="none" w:sz="0" w:space="0" w:color="auto"/>
              </w:divBdr>
              <w:divsChild>
                <w:div w:id="931621931">
                  <w:marLeft w:val="0"/>
                  <w:marRight w:val="0"/>
                  <w:marTop w:val="0"/>
                  <w:marBottom w:val="0"/>
                  <w:divBdr>
                    <w:top w:val="none" w:sz="0" w:space="0" w:color="auto"/>
                    <w:left w:val="none" w:sz="0" w:space="0" w:color="auto"/>
                    <w:bottom w:val="none" w:sz="0" w:space="0" w:color="auto"/>
                    <w:right w:val="none" w:sz="0" w:space="0" w:color="auto"/>
                  </w:divBdr>
                </w:div>
              </w:divsChild>
            </w:div>
            <w:div w:id="1406103891">
              <w:marLeft w:val="0"/>
              <w:marRight w:val="0"/>
              <w:marTop w:val="0"/>
              <w:marBottom w:val="0"/>
              <w:divBdr>
                <w:top w:val="none" w:sz="0" w:space="0" w:color="auto"/>
                <w:left w:val="none" w:sz="0" w:space="0" w:color="auto"/>
                <w:bottom w:val="none" w:sz="0" w:space="0" w:color="auto"/>
                <w:right w:val="none" w:sz="0" w:space="0" w:color="auto"/>
              </w:divBdr>
              <w:divsChild>
                <w:div w:id="1090585516">
                  <w:marLeft w:val="0"/>
                  <w:marRight w:val="0"/>
                  <w:marTop w:val="0"/>
                  <w:marBottom w:val="0"/>
                  <w:divBdr>
                    <w:top w:val="none" w:sz="0" w:space="0" w:color="auto"/>
                    <w:left w:val="none" w:sz="0" w:space="0" w:color="auto"/>
                    <w:bottom w:val="none" w:sz="0" w:space="0" w:color="auto"/>
                    <w:right w:val="none" w:sz="0" w:space="0" w:color="auto"/>
                  </w:divBdr>
                </w:div>
              </w:divsChild>
            </w:div>
            <w:div w:id="1444955269">
              <w:marLeft w:val="0"/>
              <w:marRight w:val="0"/>
              <w:marTop w:val="0"/>
              <w:marBottom w:val="0"/>
              <w:divBdr>
                <w:top w:val="none" w:sz="0" w:space="0" w:color="auto"/>
                <w:left w:val="none" w:sz="0" w:space="0" w:color="auto"/>
                <w:bottom w:val="none" w:sz="0" w:space="0" w:color="auto"/>
                <w:right w:val="none" w:sz="0" w:space="0" w:color="auto"/>
              </w:divBdr>
              <w:divsChild>
                <w:div w:id="423963970">
                  <w:marLeft w:val="0"/>
                  <w:marRight w:val="0"/>
                  <w:marTop w:val="0"/>
                  <w:marBottom w:val="0"/>
                  <w:divBdr>
                    <w:top w:val="none" w:sz="0" w:space="0" w:color="auto"/>
                    <w:left w:val="none" w:sz="0" w:space="0" w:color="auto"/>
                    <w:bottom w:val="none" w:sz="0" w:space="0" w:color="auto"/>
                    <w:right w:val="none" w:sz="0" w:space="0" w:color="auto"/>
                  </w:divBdr>
                </w:div>
              </w:divsChild>
            </w:div>
            <w:div w:id="1454592395">
              <w:marLeft w:val="0"/>
              <w:marRight w:val="0"/>
              <w:marTop w:val="0"/>
              <w:marBottom w:val="0"/>
              <w:divBdr>
                <w:top w:val="none" w:sz="0" w:space="0" w:color="auto"/>
                <w:left w:val="none" w:sz="0" w:space="0" w:color="auto"/>
                <w:bottom w:val="none" w:sz="0" w:space="0" w:color="auto"/>
                <w:right w:val="none" w:sz="0" w:space="0" w:color="auto"/>
              </w:divBdr>
              <w:divsChild>
                <w:div w:id="597060121">
                  <w:marLeft w:val="0"/>
                  <w:marRight w:val="0"/>
                  <w:marTop w:val="0"/>
                  <w:marBottom w:val="0"/>
                  <w:divBdr>
                    <w:top w:val="none" w:sz="0" w:space="0" w:color="auto"/>
                    <w:left w:val="none" w:sz="0" w:space="0" w:color="auto"/>
                    <w:bottom w:val="none" w:sz="0" w:space="0" w:color="auto"/>
                    <w:right w:val="none" w:sz="0" w:space="0" w:color="auto"/>
                  </w:divBdr>
                </w:div>
              </w:divsChild>
            </w:div>
            <w:div w:id="1532112534">
              <w:marLeft w:val="0"/>
              <w:marRight w:val="0"/>
              <w:marTop w:val="0"/>
              <w:marBottom w:val="0"/>
              <w:divBdr>
                <w:top w:val="none" w:sz="0" w:space="0" w:color="auto"/>
                <w:left w:val="none" w:sz="0" w:space="0" w:color="auto"/>
                <w:bottom w:val="none" w:sz="0" w:space="0" w:color="auto"/>
                <w:right w:val="none" w:sz="0" w:space="0" w:color="auto"/>
              </w:divBdr>
              <w:divsChild>
                <w:div w:id="37895972">
                  <w:marLeft w:val="0"/>
                  <w:marRight w:val="0"/>
                  <w:marTop w:val="0"/>
                  <w:marBottom w:val="0"/>
                  <w:divBdr>
                    <w:top w:val="none" w:sz="0" w:space="0" w:color="auto"/>
                    <w:left w:val="none" w:sz="0" w:space="0" w:color="auto"/>
                    <w:bottom w:val="none" w:sz="0" w:space="0" w:color="auto"/>
                    <w:right w:val="none" w:sz="0" w:space="0" w:color="auto"/>
                  </w:divBdr>
                </w:div>
              </w:divsChild>
            </w:div>
            <w:div w:id="1537039101">
              <w:marLeft w:val="0"/>
              <w:marRight w:val="0"/>
              <w:marTop w:val="0"/>
              <w:marBottom w:val="0"/>
              <w:divBdr>
                <w:top w:val="none" w:sz="0" w:space="0" w:color="auto"/>
                <w:left w:val="none" w:sz="0" w:space="0" w:color="auto"/>
                <w:bottom w:val="none" w:sz="0" w:space="0" w:color="auto"/>
                <w:right w:val="none" w:sz="0" w:space="0" w:color="auto"/>
              </w:divBdr>
              <w:divsChild>
                <w:div w:id="1980762712">
                  <w:marLeft w:val="0"/>
                  <w:marRight w:val="0"/>
                  <w:marTop w:val="0"/>
                  <w:marBottom w:val="0"/>
                  <w:divBdr>
                    <w:top w:val="none" w:sz="0" w:space="0" w:color="auto"/>
                    <w:left w:val="none" w:sz="0" w:space="0" w:color="auto"/>
                    <w:bottom w:val="none" w:sz="0" w:space="0" w:color="auto"/>
                    <w:right w:val="none" w:sz="0" w:space="0" w:color="auto"/>
                  </w:divBdr>
                </w:div>
              </w:divsChild>
            </w:div>
            <w:div w:id="1707484338">
              <w:marLeft w:val="0"/>
              <w:marRight w:val="0"/>
              <w:marTop w:val="0"/>
              <w:marBottom w:val="0"/>
              <w:divBdr>
                <w:top w:val="none" w:sz="0" w:space="0" w:color="auto"/>
                <w:left w:val="none" w:sz="0" w:space="0" w:color="auto"/>
                <w:bottom w:val="none" w:sz="0" w:space="0" w:color="auto"/>
                <w:right w:val="none" w:sz="0" w:space="0" w:color="auto"/>
              </w:divBdr>
              <w:divsChild>
                <w:div w:id="1077171742">
                  <w:marLeft w:val="0"/>
                  <w:marRight w:val="0"/>
                  <w:marTop w:val="0"/>
                  <w:marBottom w:val="0"/>
                  <w:divBdr>
                    <w:top w:val="none" w:sz="0" w:space="0" w:color="auto"/>
                    <w:left w:val="none" w:sz="0" w:space="0" w:color="auto"/>
                    <w:bottom w:val="none" w:sz="0" w:space="0" w:color="auto"/>
                    <w:right w:val="none" w:sz="0" w:space="0" w:color="auto"/>
                  </w:divBdr>
                </w:div>
              </w:divsChild>
            </w:div>
            <w:div w:id="1765609308">
              <w:marLeft w:val="0"/>
              <w:marRight w:val="0"/>
              <w:marTop w:val="0"/>
              <w:marBottom w:val="0"/>
              <w:divBdr>
                <w:top w:val="none" w:sz="0" w:space="0" w:color="auto"/>
                <w:left w:val="none" w:sz="0" w:space="0" w:color="auto"/>
                <w:bottom w:val="none" w:sz="0" w:space="0" w:color="auto"/>
                <w:right w:val="none" w:sz="0" w:space="0" w:color="auto"/>
              </w:divBdr>
              <w:divsChild>
                <w:div w:id="707729576">
                  <w:marLeft w:val="0"/>
                  <w:marRight w:val="0"/>
                  <w:marTop w:val="0"/>
                  <w:marBottom w:val="0"/>
                  <w:divBdr>
                    <w:top w:val="none" w:sz="0" w:space="0" w:color="auto"/>
                    <w:left w:val="none" w:sz="0" w:space="0" w:color="auto"/>
                    <w:bottom w:val="none" w:sz="0" w:space="0" w:color="auto"/>
                    <w:right w:val="none" w:sz="0" w:space="0" w:color="auto"/>
                  </w:divBdr>
                </w:div>
              </w:divsChild>
            </w:div>
            <w:div w:id="1884167590">
              <w:marLeft w:val="0"/>
              <w:marRight w:val="0"/>
              <w:marTop w:val="0"/>
              <w:marBottom w:val="0"/>
              <w:divBdr>
                <w:top w:val="none" w:sz="0" w:space="0" w:color="auto"/>
                <w:left w:val="none" w:sz="0" w:space="0" w:color="auto"/>
                <w:bottom w:val="none" w:sz="0" w:space="0" w:color="auto"/>
                <w:right w:val="none" w:sz="0" w:space="0" w:color="auto"/>
              </w:divBdr>
              <w:divsChild>
                <w:div w:id="678310812">
                  <w:marLeft w:val="0"/>
                  <w:marRight w:val="0"/>
                  <w:marTop w:val="0"/>
                  <w:marBottom w:val="0"/>
                  <w:divBdr>
                    <w:top w:val="none" w:sz="0" w:space="0" w:color="auto"/>
                    <w:left w:val="none" w:sz="0" w:space="0" w:color="auto"/>
                    <w:bottom w:val="none" w:sz="0" w:space="0" w:color="auto"/>
                    <w:right w:val="none" w:sz="0" w:space="0" w:color="auto"/>
                  </w:divBdr>
                </w:div>
              </w:divsChild>
            </w:div>
            <w:div w:id="2082360863">
              <w:marLeft w:val="0"/>
              <w:marRight w:val="0"/>
              <w:marTop w:val="0"/>
              <w:marBottom w:val="0"/>
              <w:divBdr>
                <w:top w:val="none" w:sz="0" w:space="0" w:color="auto"/>
                <w:left w:val="none" w:sz="0" w:space="0" w:color="auto"/>
                <w:bottom w:val="none" w:sz="0" w:space="0" w:color="auto"/>
                <w:right w:val="none" w:sz="0" w:space="0" w:color="auto"/>
              </w:divBdr>
              <w:divsChild>
                <w:div w:id="1993101958">
                  <w:marLeft w:val="0"/>
                  <w:marRight w:val="0"/>
                  <w:marTop w:val="0"/>
                  <w:marBottom w:val="0"/>
                  <w:divBdr>
                    <w:top w:val="none" w:sz="0" w:space="0" w:color="auto"/>
                    <w:left w:val="none" w:sz="0" w:space="0" w:color="auto"/>
                    <w:bottom w:val="none" w:sz="0" w:space="0" w:color="auto"/>
                    <w:right w:val="none" w:sz="0" w:space="0" w:color="auto"/>
                  </w:divBdr>
                </w:div>
              </w:divsChild>
            </w:div>
            <w:div w:id="2111194521">
              <w:marLeft w:val="0"/>
              <w:marRight w:val="0"/>
              <w:marTop w:val="0"/>
              <w:marBottom w:val="0"/>
              <w:divBdr>
                <w:top w:val="none" w:sz="0" w:space="0" w:color="auto"/>
                <w:left w:val="none" w:sz="0" w:space="0" w:color="auto"/>
                <w:bottom w:val="none" w:sz="0" w:space="0" w:color="auto"/>
                <w:right w:val="none" w:sz="0" w:space="0" w:color="auto"/>
              </w:divBdr>
              <w:divsChild>
                <w:div w:id="126380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17364">
      <w:bodyDiv w:val="1"/>
      <w:marLeft w:val="0"/>
      <w:marRight w:val="0"/>
      <w:marTop w:val="0"/>
      <w:marBottom w:val="0"/>
      <w:divBdr>
        <w:top w:val="none" w:sz="0" w:space="0" w:color="auto"/>
        <w:left w:val="none" w:sz="0" w:space="0" w:color="auto"/>
        <w:bottom w:val="none" w:sz="0" w:space="0" w:color="auto"/>
        <w:right w:val="none" w:sz="0" w:space="0" w:color="auto"/>
      </w:divBdr>
    </w:div>
    <w:div w:id="507985599">
      <w:bodyDiv w:val="1"/>
      <w:marLeft w:val="0"/>
      <w:marRight w:val="0"/>
      <w:marTop w:val="0"/>
      <w:marBottom w:val="0"/>
      <w:divBdr>
        <w:top w:val="none" w:sz="0" w:space="0" w:color="auto"/>
        <w:left w:val="none" w:sz="0" w:space="0" w:color="auto"/>
        <w:bottom w:val="none" w:sz="0" w:space="0" w:color="auto"/>
        <w:right w:val="none" w:sz="0" w:space="0" w:color="auto"/>
      </w:divBdr>
    </w:div>
    <w:div w:id="548343859">
      <w:bodyDiv w:val="1"/>
      <w:marLeft w:val="0"/>
      <w:marRight w:val="0"/>
      <w:marTop w:val="0"/>
      <w:marBottom w:val="0"/>
      <w:divBdr>
        <w:top w:val="none" w:sz="0" w:space="0" w:color="auto"/>
        <w:left w:val="none" w:sz="0" w:space="0" w:color="auto"/>
        <w:bottom w:val="none" w:sz="0" w:space="0" w:color="auto"/>
        <w:right w:val="none" w:sz="0" w:space="0" w:color="auto"/>
      </w:divBdr>
    </w:div>
    <w:div w:id="648485340">
      <w:bodyDiv w:val="1"/>
      <w:marLeft w:val="0"/>
      <w:marRight w:val="0"/>
      <w:marTop w:val="0"/>
      <w:marBottom w:val="0"/>
      <w:divBdr>
        <w:top w:val="none" w:sz="0" w:space="0" w:color="auto"/>
        <w:left w:val="none" w:sz="0" w:space="0" w:color="auto"/>
        <w:bottom w:val="none" w:sz="0" w:space="0" w:color="auto"/>
        <w:right w:val="none" w:sz="0" w:space="0" w:color="auto"/>
      </w:divBdr>
    </w:div>
    <w:div w:id="722606067">
      <w:bodyDiv w:val="1"/>
      <w:marLeft w:val="0"/>
      <w:marRight w:val="0"/>
      <w:marTop w:val="0"/>
      <w:marBottom w:val="0"/>
      <w:divBdr>
        <w:top w:val="none" w:sz="0" w:space="0" w:color="auto"/>
        <w:left w:val="none" w:sz="0" w:space="0" w:color="auto"/>
        <w:bottom w:val="none" w:sz="0" w:space="0" w:color="auto"/>
        <w:right w:val="none" w:sz="0" w:space="0" w:color="auto"/>
      </w:divBdr>
    </w:div>
    <w:div w:id="728311144">
      <w:bodyDiv w:val="1"/>
      <w:marLeft w:val="0"/>
      <w:marRight w:val="0"/>
      <w:marTop w:val="0"/>
      <w:marBottom w:val="0"/>
      <w:divBdr>
        <w:top w:val="none" w:sz="0" w:space="0" w:color="auto"/>
        <w:left w:val="none" w:sz="0" w:space="0" w:color="auto"/>
        <w:bottom w:val="none" w:sz="0" w:space="0" w:color="auto"/>
        <w:right w:val="none" w:sz="0" w:space="0" w:color="auto"/>
      </w:divBdr>
    </w:div>
    <w:div w:id="998311776">
      <w:bodyDiv w:val="1"/>
      <w:marLeft w:val="0"/>
      <w:marRight w:val="0"/>
      <w:marTop w:val="0"/>
      <w:marBottom w:val="0"/>
      <w:divBdr>
        <w:top w:val="none" w:sz="0" w:space="0" w:color="auto"/>
        <w:left w:val="none" w:sz="0" w:space="0" w:color="auto"/>
        <w:bottom w:val="none" w:sz="0" w:space="0" w:color="auto"/>
        <w:right w:val="none" w:sz="0" w:space="0" w:color="auto"/>
      </w:divBdr>
      <w:divsChild>
        <w:div w:id="1619680768">
          <w:marLeft w:val="1080"/>
          <w:marRight w:val="0"/>
          <w:marTop w:val="100"/>
          <w:marBottom w:val="0"/>
          <w:divBdr>
            <w:top w:val="none" w:sz="0" w:space="0" w:color="auto"/>
            <w:left w:val="none" w:sz="0" w:space="0" w:color="auto"/>
            <w:bottom w:val="none" w:sz="0" w:space="0" w:color="auto"/>
            <w:right w:val="none" w:sz="0" w:space="0" w:color="auto"/>
          </w:divBdr>
        </w:div>
      </w:divsChild>
    </w:div>
    <w:div w:id="1016271702">
      <w:bodyDiv w:val="1"/>
      <w:marLeft w:val="0"/>
      <w:marRight w:val="0"/>
      <w:marTop w:val="0"/>
      <w:marBottom w:val="0"/>
      <w:divBdr>
        <w:top w:val="none" w:sz="0" w:space="0" w:color="auto"/>
        <w:left w:val="none" w:sz="0" w:space="0" w:color="auto"/>
        <w:bottom w:val="none" w:sz="0" w:space="0" w:color="auto"/>
        <w:right w:val="none" w:sz="0" w:space="0" w:color="auto"/>
      </w:divBdr>
    </w:div>
    <w:div w:id="1365404153">
      <w:bodyDiv w:val="1"/>
      <w:marLeft w:val="0"/>
      <w:marRight w:val="0"/>
      <w:marTop w:val="0"/>
      <w:marBottom w:val="0"/>
      <w:divBdr>
        <w:top w:val="none" w:sz="0" w:space="0" w:color="auto"/>
        <w:left w:val="none" w:sz="0" w:space="0" w:color="auto"/>
        <w:bottom w:val="none" w:sz="0" w:space="0" w:color="auto"/>
        <w:right w:val="none" w:sz="0" w:space="0" w:color="auto"/>
      </w:divBdr>
    </w:div>
    <w:div w:id="1663242317">
      <w:bodyDiv w:val="1"/>
      <w:marLeft w:val="0"/>
      <w:marRight w:val="0"/>
      <w:marTop w:val="0"/>
      <w:marBottom w:val="0"/>
      <w:divBdr>
        <w:top w:val="none" w:sz="0" w:space="0" w:color="auto"/>
        <w:left w:val="none" w:sz="0" w:space="0" w:color="auto"/>
        <w:bottom w:val="none" w:sz="0" w:space="0" w:color="auto"/>
        <w:right w:val="none" w:sz="0" w:space="0" w:color="auto"/>
      </w:divBdr>
    </w:div>
    <w:div w:id="1870726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ealth.gov.au/resources/publications/independent-review-of-medicare-integrity-and-compliance-final-report?language=en" TargetMode="External"/><Relationship Id="rId18" Type="http://schemas.openxmlformats.org/officeDocument/2006/relationships/hyperlink" Target="https://www9.health.gov.au/mbs/fullDisplay.cfm?type=item&amp;q=91858&amp;qt=item" TargetMode="External"/><Relationship Id="rId26" Type="http://schemas.openxmlformats.org/officeDocument/2006/relationships/hyperlink" Target="https://www.health.gov.au/sites/default/files/2024-06/mbs-review-advisory-committee-telehealth-post-implementation-review-final-report.pdf" TargetMode="External"/><Relationship Id="rId21" Type="http://schemas.openxmlformats.org/officeDocument/2006/relationships/hyperlink" Target="https://www9.health.gov.au/mbs/fullDisplay.cfm?type=item&amp;q=36&amp;qt=ItemID"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health.gov.au/resources/collections/mbs-review-final-taskforce-reports-findings-and-recommendations?language=und" TargetMode="External"/><Relationship Id="rId17" Type="http://schemas.openxmlformats.org/officeDocument/2006/relationships/hyperlink" Target="https://www9.health.gov.au/mbs/fullDisplay.cfm?type=item&amp;q=91853&amp;qt=item" TargetMode="External"/><Relationship Id="rId25" Type="http://schemas.openxmlformats.org/officeDocument/2006/relationships/hyperlink" Target="https://www9.health.gov.au/mbs/fullDisplay.cfm?type=item&amp;q=36&amp;qt=ItemID"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9.health.gov.au/mbs/fullDisplay.cfm?type=item&amp;q=16500&amp;qt=item" TargetMode="External"/><Relationship Id="rId20" Type="http://schemas.openxmlformats.org/officeDocument/2006/relationships/chart" Target="charts/chart4.xml"/><Relationship Id="rId29" Type="http://schemas.openxmlformats.org/officeDocument/2006/relationships/hyperlink" Target="https://www.health.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chart" Target="charts/chart7.xm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chart" Target="charts/chart2.xml"/><Relationship Id="rId23" Type="http://schemas.openxmlformats.org/officeDocument/2006/relationships/chart" Target="charts/chart6.xml"/><Relationship Id="rId28" Type="http://schemas.openxmlformats.org/officeDocument/2006/relationships/hyperlink" Target="https://www.health.gov.au/committees-and-groups/medicare-benefits-schedule-mbs-review-advisory-committee-mrac" TargetMode="Externa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chart" Target="charts/chart3.xm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 Id="rId22" Type="http://schemas.openxmlformats.org/officeDocument/2006/relationships/chart" Target="charts/chart5.xml"/><Relationship Id="rId27" Type="http://schemas.openxmlformats.org/officeDocument/2006/relationships/hyperlink" Target="https://www.health.gov.au/sites/default/files/2024-06/mbs-review-advisory-committee-telehealth-post-implementation-review-final-report.pdf" TargetMode="External"/><Relationship Id="rId30" Type="http://schemas.openxmlformats.org/officeDocument/2006/relationships/hyperlink" Target="https://www.mbsonline.gov.au/" TargetMode="Externa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charts/_rels/chart1.xml.rels><?xml version="1.0" encoding="UTF-8" standalone="yes"?>
<Relationships xmlns="http://schemas.openxmlformats.org/package/2006/relationships"><Relationship Id="rId3" Type="http://schemas.openxmlformats.org/officeDocument/2006/relationships/oleObject" Target="https://biotext.sharepoint.com/Shared%20Documents/01-Projects/01-Projects%20-%20Active/DoH/MRAC/24-052-MRAC24-26/Reports/02-TTWG/TTWG-graphs-01(4Sept25).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biotext.sharepoint.com/Shared%20Documents/01-Projects/01-Projects%20-%20Active/DoH/MRAC/24-052-MRAC24-26/Reports/02-TTWG/TTWG-graphs-01(4Sept25).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biotext.sharepoint.com/Shared%20Documents/01-Projects/01-Projects%20-%20Active/DoH/MRAC/24-052-MRAC24-26/Reports/02-TTWG/TTWG-graphs-01(4Sept25).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biotext.sharepoint.com/Shared%20Documents/01-Projects/01-Projects%20-%20Active/DoH/MRAC/24-052-MRAC24-26/Reports/02-TTWG/TTWG-graphs-01(4Sept25).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biotext.sharepoint.com/Shared%20Documents/01-Projects/01-Projects%20-%20Active/DoH/MRAC/24-052-MRAC24-26/Reports/02-TTWG/TTWG-graphs-01(4Sept25).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biotext.sharepoint.com/Shared%20Documents/01-Projects/01-Projects%20-%20Active/DoH/MRAC/24-052-MRAC24-26/Reports/02-TTWG/TTWG-graphs-01(4Sept25).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biotext.sharepoint.com/Shared%20Documents/01-Projects/01-Projects%20-%20Active/DoH/MRAC/24-052-MRAC24-26/Reports/02-TTWG/TTWG-graphs-01(4Sept25).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 1 - NDPC items'!$A$2</c:f>
              <c:strCache>
                <c:ptCount val="1"/>
                <c:pt idx="0">
                  <c:v>GPs</c:v>
                </c:pt>
              </c:strCache>
            </c:strRef>
          </c:tx>
          <c:spPr>
            <a:solidFill>
              <a:schemeClr val="accent1">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1 - NDPC items'!$B$1:$F$1</c:f>
              <c:strCache>
                <c:ptCount val="5"/>
                <c:pt idx="0">
                  <c:v>2020–21 </c:v>
                </c:pt>
                <c:pt idx="1">
                  <c:v>2021–22</c:v>
                </c:pt>
                <c:pt idx="2">
                  <c:v>2022–23</c:v>
                </c:pt>
                <c:pt idx="3">
                  <c:v>2023–24</c:v>
                </c:pt>
                <c:pt idx="4">
                  <c:v>2024–25</c:v>
                </c:pt>
              </c:strCache>
            </c:strRef>
          </c:cat>
          <c:val>
            <c:numRef>
              <c:f>'Figure 1 - NDPC items'!$B$2:$F$2</c:f>
              <c:numCache>
                <c:formatCode>#,##0</c:formatCode>
                <c:ptCount val="5"/>
                <c:pt idx="0">
                  <c:v>27270</c:v>
                </c:pt>
                <c:pt idx="1">
                  <c:v>30526</c:v>
                </c:pt>
                <c:pt idx="2">
                  <c:v>36741</c:v>
                </c:pt>
                <c:pt idx="3">
                  <c:v>42530</c:v>
                </c:pt>
                <c:pt idx="4">
                  <c:v>45916</c:v>
                </c:pt>
              </c:numCache>
            </c:numRef>
          </c:val>
          <c:extLst>
            <c:ext xmlns:c16="http://schemas.microsoft.com/office/drawing/2014/chart" uri="{C3380CC4-5D6E-409C-BE32-E72D297353CC}">
              <c16:uniqueId val="{00000000-C430-44CA-B241-6F8194218A70}"/>
            </c:ext>
          </c:extLst>
        </c:ser>
        <c:ser>
          <c:idx val="1"/>
          <c:order val="1"/>
          <c:tx>
            <c:strRef>
              <c:f>'Figure 1 - NDPC items'!$A$3</c:f>
              <c:strCache>
                <c:ptCount val="1"/>
                <c:pt idx="0">
                  <c:v>PMPs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1 - NDPC items'!$B$1:$F$1</c:f>
              <c:strCache>
                <c:ptCount val="5"/>
                <c:pt idx="0">
                  <c:v>2020–21 </c:v>
                </c:pt>
                <c:pt idx="1">
                  <c:v>2021–22</c:v>
                </c:pt>
                <c:pt idx="2">
                  <c:v>2022–23</c:v>
                </c:pt>
                <c:pt idx="3">
                  <c:v>2023–24</c:v>
                </c:pt>
                <c:pt idx="4">
                  <c:v>2024–25</c:v>
                </c:pt>
              </c:strCache>
            </c:strRef>
          </c:cat>
          <c:val>
            <c:numRef>
              <c:f>'Figure 1 - NDPC items'!$B$3:$F$3</c:f>
              <c:numCache>
                <c:formatCode>General</c:formatCode>
                <c:ptCount val="5"/>
                <c:pt idx="0">
                  <c:v>810</c:v>
                </c:pt>
                <c:pt idx="1">
                  <c:v>699</c:v>
                </c:pt>
                <c:pt idx="2">
                  <c:v>500</c:v>
                </c:pt>
                <c:pt idx="3">
                  <c:v>346</c:v>
                </c:pt>
                <c:pt idx="4">
                  <c:v>566</c:v>
                </c:pt>
              </c:numCache>
            </c:numRef>
          </c:val>
          <c:extLst>
            <c:ext xmlns:c16="http://schemas.microsoft.com/office/drawing/2014/chart" uri="{C3380CC4-5D6E-409C-BE32-E72D297353CC}">
              <c16:uniqueId val="{00000001-C430-44CA-B241-6F8194218A70}"/>
            </c:ext>
          </c:extLst>
        </c:ser>
        <c:dLbls>
          <c:showLegendKey val="0"/>
          <c:showVal val="0"/>
          <c:showCatName val="0"/>
          <c:showSerName val="0"/>
          <c:showPercent val="0"/>
          <c:showBubbleSize val="0"/>
        </c:dLbls>
        <c:gapWidth val="219"/>
        <c:overlap val="-27"/>
        <c:axId val="313461424"/>
        <c:axId val="313456144"/>
      </c:barChart>
      <c:catAx>
        <c:axId val="313461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3456144"/>
        <c:crosses val="autoZero"/>
        <c:auto val="1"/>
        <c:lblAlgn val="ctr"/>
        <c:lblOffset val="100"/>
        <c:noMultiLvlLbl val="0"/>
      </c:catAx>
      <c:valAx>
        <c:axId val="31345614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Service</a:t>
                </a:r>
                <a:r>
                  <a:rPr lang="en-AU" baseline="0"/>
                  <a:t>s provided</a:t>
                </a:r>
                <a:endParaRPr lang="en-A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AU"/>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3461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'Figure 2 - acupuncture'!$A$2</c:f>
              <c:strCache>
                <c:ptCount val="1"/>
                <c:pt idx="0">
                  <c:v>Services (no.)</c:v>
                </c:pt>
              </c:strCache>
            </c:strRef>
          </c:tx>
          <c:spPr>
            <a:ln w="28575" cap="rnd">
              <a:solidFill>
                <a:srgbClr val="F79646"/>
              </a:solidFill>
              <a:round/>
            </a:ln>
            <a:effectLst/>
          </c:spPr>
          <c:marker>
            <c:symbol val="none"/>
          </c:marker>
          <c:cat>
            <c:strRef>
              <c:f>'Figure 2 - acupuncture'!$B$1:$L$1</c:f>
              <c:strCache>
                <c:ptCount val="11"/>
                <c:pt idx="0">
                  <c:v>2014–15 </c:v>
                </c:pt>
                <c:pt idx="1">
                  <c:v>2015–16 </c:v>
                </c:pt>
                <c:pt idx="2">
                  <c:v>2016–17</c:v>
                </c:pt>
                <c:pt idx="3">
                  <c:v>2017–18</c:v>
                </c:pt>
                <c:pt idx="4">
                  <c:v>2018–19</c:v>
                </c:pt>
                <c:pt idx="5">
                  <c:v>2019–20</c:v>
                </c:pt>
                <c:pt idx="6">
                  <c:v>2020–21</c:v>
                </c:pt>
                <c:pt idx="7">
                  <c:v>2021–22</c:v>
                </c:pt>
                <c:pt idx="8">
                  <c:v>2022–23</c:v>
                </c:pt>
                <c:pt idx="9">
                  <c:v>2023–24</c:v>
                </c:pt>
                <c:pt idx="10">
                  <c:v>2024–2025</c:v>
                </c:pt>
              </c:strCache>
            </c:strRef>
          </c:cat>
          <c:val>
            <c:numRef>
              <c:f>'Figure 2 - acupuncture'!$B$2:$L$2</c:f>
              <c:numCache>
                <c:formatCode>#,##0</c:formatCode>
                <c:ptCount val="11"/>
                <c:pt idx="0">
                  <c:v>535919</c:v>
                </c:pt>
                <c:pt idx="1">
                  <c:v>520561</c:v>
                </c:pt>
                <c:pt idx="2">
                  <c:v>502931</c:v>
                </c:pt>
                <c:pt idx="3">
                  <c:v>494061</c:v>
                </c:pt>
                <c:pt idx="4">
                  <c:v>476387</c:v>
                </c:pt>
                <c:pt idx="5">
                  <c:v>401261</c:v>
                </c:pt>
                <c:pt idx="6">
                  <c:v>411583</c:v>
                </c:pt>
                <c:pt idx="7">
                  <c:v>304429</c:v>
                </c:pt>
                <c:pt idx="8">
                  <c:v>263190</c:v>
                </c:pt>
                <c:pt idx="9">
                  <c:v>244732</c:v>
                </c:pt>
                <c:pt idx="10">
                  <c:v>222646</c:v>
                </c:pt>
              </c:numCache>
            </c:numRef>
          </c:val>
          <c:smooth val="0"/>
          <c:extLst>
            <c:ext xmlns:c16="http://schemas.microsoft.com/office/drawing/2014/chart" uri="{C3380CC4-5D6E-409C-BE32-E72D297353CC}">
              <c16:uniqueId val="{00000000-97D1-4B13-9C18-27B9F212F041}"/>
            </c:ext>
          </c:extLst>
        </c:ser>
        <c:dLbls>
          <c:showLegendKey val="0"/>
          <c:showVal val="0"/>
          <c:showCatName val="0"/>
          <c:showSerName val="0"/>
          <c:showPercent val="0"/>
          <c:showBubbleSize val="0"/>
        </c:dLbls>
        <c:smooth val="0"/>
        <c:axId val="1577377168"/>
        <c:axId val="1577375248"/>
      </c:lineChart>
      <c:catAx>
        <c:axId val="15773771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Financial</a:t>
                </a:r>
                <a:r>
                  <a:rPr lang="en-AU" baseline="0"/>
                  <a:t> year</a:t>
                </a:r>
                <a:endParaRPr lang="en-AU"/>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7375248"/>
        <c:crosses val="autoZero"/>
        <c:auto val="1"/>
        <c:lblAlgn val="ctr"/>
        <c:lblOffset val="100"/>
        <c:noMultiLvlLbl val="0"/>
      </c:catAx>
      <c:valAx>
        <c:axId val="15773752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Services</a:t>
                </a:r>
                <a:r>
                  <a:rPr lang="en-AU" baseline="0"/>
                  <a:t> (no.)</a:t>
                </a:r>
                <a:endParaRPr lang="en-A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AU"/>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737716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 1'!$A$2</c:f>
              <c:strCache>
                <c:ptCount val="1"/>
                <c:pt idx="0">
                  <c:v>Total antenatal services</c:v>
                </c:pt>
              </c:strCache>
            </c:strRef>
          </c:tx>
          <c:spPr>
            <a:solidFill>
              <a:schemeClr val="accent2"/>
            </a:solidFill>
            <a:ln>
              <a:noFill/>
            </a:ln>
            <a:effectLst/>
          </c:spPr>
          <c:invertIfNegative val="0"/>
          <c:cat>
            <c:strRef>
              <c:f>'Figure 1'!$B$1:$F$1</c:f>
              <c:strCache>
                <c:ptCount val="5"/>
                <c:pt idx="0">
                  <c:v>2018–19</c:v>
                </c:pt>
                <c:pt idx="1">
                  <c:v>2019–20</c:v>
                </c:pt>
                <c:pt idx="2">
                  <c:v>2020–21</c:v>
                </c:pt>
                <c:pt idx="3">
                  <c:v>2021–22</c:v>
                </c:pt>
                <c:pt idx="4">
                  <c:v>2022–23</c:v>
                </c:pt>
              </c:strCache>
            </c:strRef>
          </c:cat>
          <c:val>
            <c:numRef>
              <c:f>'Figure 1'!$B$2:$F$2</c:f>
              <c:numCache>
                <c:formatCode>General</c:formatCode>
                <c:ptCount val="5"/>
                <c:pt idx="0">
                  <c:v>648633</c:v>
                </c:pt>
                <c:pt idx="1">
                  <c:v>606666</c:v>
                </c:pt>
                <c:pt idx="2">
                  <c:v>575041</c:v>
                </c:pt>
                <c:pt idx="3">
                  <c:v>472235</c:v>
                </c:pt>
                <c:pt idx="4">
                  <c:v>451530</c:v>
                </c:pt>
              </c:numCache>
            </c:numRef>
          </c:val>
          <c:extLst>
            <c:ext xmlns:c16="http://schemas.microsoft.com/office/drawing/2014/chart" uri="{C3380CC4-5D6E-409C-BE32-E72D297353CC}">
              <c16:uniqueId val="{00000000-890D-4C7D-8B34-CAB473991B48}"/>
            </c:ext>
          </c:extLst>
        </c:ser>
        <c:ser>
          <c:idx val="1"/>
          <c:order val="1"/>
          <c:tx>
            <c:strRef>
              <c:f>'Figure 1'!$A$3</c:f>
              <c:strCache>
                <c:ptCount val="1"/>
                <c:pt idx="0">
                  <c:v>Total co-claimed services</c:v>
                </c:pt>
              </c:strCache>
            </c:strRef>
          </c:tx>
          <c:spPr>
            <a:solidFill>
              <a:schemeClr val="accent1">
                <a:lumMod val="75000"/>
              </a:schemeClr>
            </a:solidFill>
            <a:ln>
              <a:noFill/>
            </a:ln>
            <a:effectLst/>
          </c:spPr>
          <c:invertIfNegative val="0"/>
          <c:cat>
            <c:strRef>
              <c:f>'Figure 1'!$B$1:$F$1</c:f>
              <c:strCache>
                <c:ptCount val="5"/>
                <c:pt idx="0">
                  <c:v>2018–19</c:v>
                </c:pt>
                <c:pt idx="1">
                  <c:v>2019–20</c:v>
                </c:pt>
                <c:pt idx="2">
                  <c:v>2020–21</c:v>
                </c:pt>
                <c:pt idx="3">
                  <c:v>2021–22</c:v>
                </c:pt>
                <c:pt idx="4">
                  <c:v>2022–23</c:v>
                </c:pt>
              </c:strCache>
            </c:strRef>
          </c:cat>
          <c:val>
            <c:numRef>
              <c:f>'Figure 1'!$B$3:$F$3</c:f>
              <c:numCache>
                <c:formatCode>General</c:formatCode>
                <c:ptCount val="5"/>
                <c:pt idx="0">
                  <c:v>76296</c:v>
                </c:pt>
                <c:pt idx="1">
                  <c:v>71903</c:v>
                </c:pt>
                <c:pt idx="2">
                  <c:v>65884</c:v>
                </c:pt>
                <c:pt idx="3">
                  <c:v>60164</c:v>
                </c:pt>
                <c:pt idx="4">
                  <c:v>63625</c:v>
                </c:pt>
              </c:numCache>
            </c:numRef>
          </c:val>
          <c:extLst>
            <c:ext xmlns:c16="http://schemas.microsoft.com/office/drawing/2014/chart" uri="{C3380CC4-5D6E-409C-BE32-E72D297353CC}">
              <c16:uniqueId val="{00000001-890D-4C7D-8B34-CAB473991B48}"/>
            </c:ext>
          </c:extLst>
        </c:ser>
        <c:dLbls>
          <c:showLegendKey val="0"/>
          <c:showVal val="0"/>
          <c:showCatName val="0"/>
          <c:showSerName val="0"/>
          <c:showPercent val="0"/>
          <c:showBubbleSize val="0"/>
        </c:dLbls>
        <c:gapWidth val="150"/>
        <c:axId val="1050642208"/>
        <c:axId val="1050640768"/>
      </c:barChart>
      <c:lineChart>
        <c:grouping val="standard"/>
        <c:varyColors val="0"/>
        <c:ser>
          <c:idx val="2"/>
          <c:order val="2"/>
          <c:tx>
            <c:strRef>
              <c:f>'Figure 1'!$A$4</c:f>
              <c:strCache>
                <c:ptCount val="1"/>
                <c:pt idx="0">
                  <c:v>Co-claimed services (%)</c:v>
                </c:pt>
              </c:strCache>
            </c:strRef>
          </c:tx>
          <c:spPr>
            <a:ln w="28575" cap="rnd">
              <a:solidFill>
                <a:schemeClr val="tx1"/>
              </a:solidFill>
              <a:round/>
            </a:ln>
            <a:effectLst/>
          </c:spPr>
          <c:marker>
            <c:symbol val="none"/>
          </c:marker>
          <c:cat>
            <c:strRef>
              <c:f>'Figure 1'!$B$1:$F$1</c:f>
              <c:strCache>
                <c:ptCount val="5"/>
                <c:pt idx="0">
                  <c:v>2018–19</c:v>
                </c:pt>
                <c:pt idx="1">
                  <c:v>2019–20</c:v>
                </c:pt>
                <c:pt idx="2">
                  <c:v>2020–21</c:v>
                </c:pt>
                <c:pt idx="3">
                  <c:v>2021–22</c:v>
                </c:pt>
                <c:pt idx="4">
                  <c:v>2022–23</c:v>
                </c:pt>
              </c:strCache>
            </c:strRef>
          </c:cat>
          <c:val>
            <c:numRef>
              <c:f>'Figure 1'!$B$4:$F$4</c:f>
              <c:numCache>
                <c:formatCode>General</c:formatCode>
                <c:ptCount val="5"/>
                <c:pt idx="0">
                  <c:v>11.76</c:v>
                </c:pt>
                <c:pt idx="1">
                  <c:v>11.85</c:v>
                </c:pt>
                <c:pt idx="2">
                  <c:v>11.46</c:v>
                </c:pt>
                <c:pt idx="3">
                  <c:v>12.74</c:v>
                </c:pt>
                <c:pt idx="4">
                  <c:v>14.09</c:v>
                </c:pt>
              </c:numCache>
            </c:numRef>
          </c:val>
          <c:smooth val="0"/>
          <c:extLst>
            <c:ext xmlns:c16="http://schemas.microsoft.com/office/drawing/2014/chart" uri="{C3380CC4-5D6E-409C-BE32-E72D297353CC}">
              <c16:uniqueId val="{00000002-890D-4C7D-8B34-CAB473991B48}"/>
            </c:ext>
          </c:extLst>
        </c:ser>
        <c:dLbls>
          <c:showLegendKey val="0"/>
          <c:showVal val="0"/>
          <c:showCatName val="0"/>
          <c:showSerName val="0"/>
          <c:showPercent val="0"/>
          <c:showBubbleSize val="0"/>
        </c:dLbls>
        <c:marker val="1"/>
        <c:smooth val="0"/>
        <c:axId val="1053888096"/>
        <c:axId val="1053884736"/>
      </c:lineChart>
      <c:catAx>
        <c:axId val="105064220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Financial</a:t>
                </a:r>
                <a:r>
                  <a:rPr lang="en-AU" baseline="0"/>
                  <a:t> year</a:t>
                </a:r>
                <a:endParaRPr lang="en-AU"/>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0640768"/>
        <c:crosses val="autoZero"/>
        <c:auto val="1"/>
        <c:lblAlgn val="ctr"/>
        <c:lblOffset val="100"/>
        <c:noMultiLvlLbl val="0"/>
      </c:catAx>
      <c:valAx>
        <c:axId val="10506407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Services</a:t>
                </a:r>
                <a:r>
                  <a:rPr lang="en-AU" baseline="0"/>
                  <a:t> (no.)</a:t>
                </a:r>
                <a:endParaRPr lang="en-A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AU"/>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0642208"/>
        <c:crosses val="autoZero"/>
        <c:crossBetween val="between"/>
      </c:valAx>
      <c:valAx>
        <c:axId val="1053884736"/>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 Co-claimed</a:t>
                </a:r>
                <a:r>
                  <a:rPr lang="en-AU" baseline="0"/>
                  <a:t> services (%)</a:t>
                </a:r>
                <a:endParaRPr lang="en-A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AU"/>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3888096"/>
        <c:crosses val="max"/>
        <c:crossBetween val="between"/>
      </c:valAx>
      <c:catAx>
        <c:axId val="1053888096"/>
        <c:scaling>
          <c:orientation val="minMax"/>
        </c:scaling>
        <c:delete val="1"/>
        <c:axPos val="b"/>
        <c:numFmt formatCode="General" sourceLinked="1"/>
        <c:majorTickMark val="none"/>
        <c:minorTickMark val="none"/>
        <c:tickLblPos val="nextTo"/>
        <c:crossAx val="105388473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 2'!$B$2</c:f>
              <c:strCache>
                <c:ptCount val="1"/>
                <c:pt idx="0">
                  <c:v>Co-claimed with antenatal attendance MBS items</c:v>
                </c:pt>
              </c:strCache>
            </c:strRef>
          </c:tx>
          <c:spPr>
            <a:solidFill>
              <a:schemeClr val="accent2"/>
            </a:solidFill>
            <a:ln>
              <a:noFill/>
            </a:ln>
            <a:effectLst/>
          </c:spPr>
          <c:invertIfNegative val="0"/>
          <c:cat>
            <c:numRef>
              <c:f>'Figure 2'!$A$3:$A$9</c:f>
              <c:numCache>
                <c:formatCode>General</c:formatCode>
                <c:ptCount val="7"/>
                <c:pt idx="0">
                  <c:v>23</c:v>
                </c:pt>
                <c:pt idx="1">
                  <c:v>4001</c:v>
                </c:pt>
                <c:pt idx="2">
                  <c:v>73806</c:v>
                </c:pt>
                <c:pt idx="3">
                  <c:v>36</c:v>
                </c:pt>
                <c:pt idx="4">
                  <c:v>55703</c:v>
                </c:pt>
                <c:pt idx="5">
                  <c:v>55068</c:v>
                </c:pt>
                <c:pt idx="6">
                  <c:v>16514</c:v>
                </c:pt>
              </c:numCache>
            </c:numRef>
          </c:cat>
          <c:val>
            <c:numRef>
              <c:f>'Figure 2'!$B$3:$B$9</c:f>
              <c:numCache>
                <c:formatCode>#,##0</c:formatCode>
                <c:ptCount val="7"/>
                <c:pt idx="0">
                  <c:v>18681</c:v>
                </c:pt>
                <c:pt idx="1">
                  <c:v>5906</c:v>
                </c:pt>
                <c:pt idx="2">
                  <c:v>3043</c:v>
                </c:pt>
                <c:pt idx="3">
                  <c:v>2021</c:v>
                </c:pt>
                <c:pt idx="4">
                  <c:v>1078</c:v>
                </c:pt>
                <c:pt idx="5" formatCode="General">
                  <c:v>711</c:v>
                </c:pt>
                <c:pt idx="6" formatCode="General">
                  <c:v>600</c:v>
                </c:pt>
              </c:numCache>
            </c:numRef>
          </c:val>
          <c:extLst>
            <c:ext xmlns:c16="http://schemas.microsoft.com/office/drawing/2014/chart" uri="{C3380CC4-5D6E-409C-BE32-E72D297353CC}">
              <c16:uniqueId val="{00000000-BCDB-4B45-935E-65C57A1BB4D8}"/>
            </c:ext>
          </c:extLst>
        </c:ser>
        <c:dLbls>
          <c:showLegendKey val="0"/>
          <c:showVal val="0"/>
          <c:showCatName val="0"/>
          <c:showSerName val="0"/>
          <c:showPercent val="0"/>
          <c:showBubbleSize val="0"/>
        </c:dLbls>
        <c:gapWidth val="219"/>
        <c:overlap val="-27"/>
        <c:axId val="1431693136"/>
        <c:axId val="1431687856"/>
      </c:barChart>
      <c:lineChart>
        <c:grouping val="standard"/>
        <c:varyColors val="0"/>
        <c:ser>
          <c:idx val="1"/>
          <c:order val="1"/>
          <c:tx>
            <c:strRef>
              <c:f>'Figure 2'!$C$2</c:f>
              <c:strCache>
                <c:ptCount val="1"/>
                <c:pt idx="0">
                  <c:v>Co-claimed with antenatal attendance MBS items that were for this MBS item (%)</c:v>
                </c:pt>
              </c:strCache>
            </c:strRef>
          </c:tx>
          <c:spPr>
            <a:ln w="28575" cap="rnd">
              <a:solidFill>
                <a:schemeClr val="tx1"/>
              </a:solidFill>
              <a:round/>
            </a:ln>
            <a:effectLst/>
          </c:spPr>
          <c:marker>
            <c:symbol val="none"/>
          </c:marker>
          <c:cat>
            <c:numRef>
              <c:f>'Figure 2'!$A$3:$A$9</c:f>
              <c:numCache>
                <c:formatCode>General</c:formatCode>
                <c:ptCount val="7"/>
                <c:pt idx="0">
                  <c:v>23</c:v>
                </c:pt>
                <c:pt idx="1">
                  <c:v>4001</c:v>
                </c:pt>
                <c:pt idx="2">
                  <c:v>73806</c:v>
                </c:pt>
                <c:pt idx="3">
                  <c:v>36</c:v>
                </c:pt>
                <c:pt idx="4">
                  <c:v>55703</c:v>
                </c:pt>
                <c:pt idx="5">
                  <c:v>55068</c:v>
                </c:pt>
                <c:pt idx="6">
                  <c:v>16514</c:v>
                </c:pt>
              </c:numCache>
            </c:numRef>
          </c:cat>
          <c:val>
            <c:numRef>
              <c:f>'Figure 2'!$C$3:$C$9</c:f>
              <c:numCache>
                <c:formatCode>General</c:formatCode>
                <c:ptCount val="7"/>
                <c:pt idx="0">
                  <c:v>29.36</c:v>
                </c:pt>
                <c:pt idx="1">
                  <c:v>9.2799999999999994</c:v>
                </c:pt>
                <c:pt idx="2">
                  <c:v>4.78</c:v>
                </c:pt>
                <c:pt idx="3">
                  <c:v>3.18</c:v>
                </c:pt>
                <c:pt idx="4">
                  <c:v>1.69</c:v>
                </c:pt>
                <c:pt idx="5">
                  <c:v>1.1200000000000001</c:v>
                </c:pt>
                <c:pt idx="6">
                  <c:v>0.94</c:v>
                </c:pt>
              </c:numCache>
            </c:numRef>
          </c:val>
          <c:smooth val="0"/>
          <c:extLst>
            <c:ext xmlns:c16="http://schemas.microsoft.com/office/drawing/2014/chart" uri="{C3380CC4-5D6E-409C-BE32-E72D297353CC}">
              <c16:uniqueId val="{00000001-BCDB-4B45-935E-65C57A1BB4D8}"/>
            </c:ext>
          </c:extLst>
        </c:ser>
        <c:dLbls>
          <c:showLegendKey val="0"/>
          <c:showVal val="0"/>
          <c:showCatName val="0"/>
          <c:showSerName val="0"/>
          <c:showPercent val="0"/>
          <c:showBubbleSize val="0"/>
        </c:dLbls>
        <c:marker val="1"/>
        <c:smooth val="0"/>
        <c:axId val="1492826656"/>
        <c:axId val="1431694576"/>
      </c:lineChart>
      <c:catAx>
        <c:axId val="14316931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MBS</a:t>
                </a:r>
                <a:r>
                  <a:rPr lang="en-AU" baseline="0"/>
                  <a:t> item</a:t>
                </a:r>
                <a:endParaRPr lang="en-AU"/>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1687856"/>
        <c:crosses val="autoZero"/>
        <c:auto val="1"/>
        <c:lblAlgn val="ctr"/>
        <c:lblOffset val="100"/>
        <c:noMultiLvlLbl val="0"/>
      </c:catAx>
      <c:valAx>
        <c:axId val="14316878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Number</a:t>
                </a:r>
              </a:p>
            </c:rich>
          </c:tx>
          <c:layout>
            <c:manualLayout>
              <c:xMode val="edge"/>
              <c:yMode val="edge"/>
              <c:x val="2.0273694880892042E-2"/>
              <c:y val="0.26353293021680785"/>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1693136"/>
        <c:crosses val="autoZero"/>
        <c:crossBetween val="between"/>
      </c:valAx>
      <c:valAx>
        <c:axId val="1431694576"/>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Co-claimed</a:t>
                </a:r>
                <a:r>
                  <a:rPr lang="en-AU" baseline="0"/>
                  <a:t> services (%)</a:t>
                </a:r>
                <a:endParaRPr lang="en-A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AU"/>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92826656"/>
        <c:crosses val="max"/>
        <c:crossBetween val="between"/>
      </c:valAx>
      <c:catAx>
        <c:axId val="1492826656"/>
        <c:scaling>
          <c:orientation val="minMax"/>
        </c:scaling>
        <c:delete val="1"/>
        <c:axPos val="b"/>
        <c:numFmt formatCode="General" sourceLinked="1"/>
        <c:majorTickMark val="out"/>
        <c:minorTickMark val="none"/>
        <c:tickLblPos val="nextTo"/>
        <c:crossAx val="143169457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Figur!$B$1</c:f>
              <c:strCache>
                <c:ptCount val="1"/>
                <c:pt idx="0">
                  <c:v>Level A </c:v>
                </c:pt>
              </c:strCache>
            </c:strRef>
          </c:tx>
          <c:spPr>
            <a:ln w="19050" cap="rnd">
              <a:solidFill>
                <a:schemeClr val="accent2"/>
              </a:solidFill>
              <a:round/>
            </a:ln>
            <a:effectLst/>
          </c:spPr>
          <c:marker>
            <c:symbol val="none"/>
          </c:marker>
          <c:xVal>
            <c:numRef>
              <c:f>Figur!$A$2:$A$81</c:f>
              <c:numCache>
                <c:formatCode>General</c:formatCode>
                <c:ptCount val="8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numCache>
            </c:numRef>
          </c:xVal>
          <c:yVal>
            <c:numRef>
              <c:f>Figur!$B$2:$B$81</c:f>
              <c:numCache>
                <c:formatCode>General</c:formatCode>
                <c:ptCount val="80"/>
                <c:pt idx="2" formatCode="0.00">
                  <c:v>6.6833333333333336</c:v>
                </c:pt>
                <c:pt idx="3" formatCode="0.00">
                  <c:v>5.0125000000000002</c:v>
                </c:pt>
                <c:pt idx="4" formatCode="0.00">
                  <c:v>4.01</c:v>
                </c:pt>
                <c:pt idx="5" formatCode="0.00">
                  <c:v>3.3416666666666668</c:v>
                </c:pt>
              </c:numCache>
            </c:numRef>
          </c:yVal>
          <c:smooth val="1"/>
          <c:extLst>
            <c:ext xmlns:c16="http://schemas.microsoft.com/office/drawing/2014/chart" uri="{C3380CC4-5D6E-409C-BE32-E72D297353CC}">
              <c16:uniqueId val="{00000000-18B4-47BA-831B-E0BB5C94B51A}"/>
            </c:ext>
          </c:extLst>
        </c:ser>
        <c:ser>
          <c:idx val="1"/>
          <c:order val="1"/>
          <c:tx>
            <c:strRef>
              <c:f>Figur!$C$1</c:f>
              <c:strCache>
                <c:ptCount val="1"/>
                <c:pt idx="0">
                  <c:v>Level B</c:v>
                </c:pt>
              </c:strCache>
            </c:strRef>
          </c:tx>
          <c:spPr>
            <a:ln w="19050" cap="rnd">
              <a:solidFill>
                <a:schemeClr val="accent4"/>
              </a:solidFill>
              <a:round/>
            </a:ln>
            <a:effectLst/>
          </c:spPr>
          <c:marker>
            <c:symbol val="none"/>
          </c:marker>
          <c:xVal>
            <c:numRef>
              <c:f>Figur!$A$2:$A$81</c:f>
              <c:numCache>
                <c:formatCode>General</c:formatCode>
                <c:ptCount val="8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numCache>
            </c:numRef>
          </c:xVal>
          <c:yVal>
            <c:numRef>
              <c:f>Figur!$C$2:$C$81</c:f>
              <c:numCache>
                <c:formatCode>General</c:formatCode>
                <c:ptCount val="80"/>
                <c:pt idx="5" formatCode="0.00">
                  <c:v>7.3166666666666664</c:v>
                </c:pt>
                <c:pt idx="6" formatCode="0.00">
                  <c:v>6.2714285714285714</c:v>
                </c:pt>
                <c:pt idx="7" formatCode="0.00">
                  <c:v>5.4874999999999998</c:v>
                </c:pt>
                <c:pt idx="8" formatCode="0.00">
                  <c:v>4.8777777777777773</c:v>
                </c:pt>
                <c:pt idx="9" formatCode="0.00">
                  <c:v>4.3899999999999997</c:v>
                </c:pt>
                <c:pt idx="10" formatCode="0.00">
                  <c:v>3.9909090909090907</c:v>
                </c:pt>
                <c:pt idx="11" formatCode="0.00">
                  <c:v>3.6583333333333332</c:v>
                </c:pt>
                <c:pt idx="12" formatCode="0.00">
                  <c:v>3.3769230769230769</c:v>
                </c:pt>
                <c:pt idx="13" formatCode="0.00">
                  <c:v>3.1357142857142857</c:v>
                </c:pt>
                <c:pt idx="14" formatCode="0.00">
                  <c:v>2.9266666666666667</c:v>
                </c:pt>
                <c:pt idx="15" formatCode="0.00">
                  <c:v>2.7437499999999999</c:v>
                </c:pt>
                <c:pt idx="16" formatCode="0.00">
                  <c:v>2.5823529411764703</c:v>
                </c:pt>
                <c:pt idx="17" formatCode="0.00">
                  <c:v>2.4388888888888887</c:v>
                </c:pt>
                <c:pt idx="18" formatCode="0.00">
                  <c:v>2.3105263157894735</c:v>
                </c:pt>
                <c:pt idx="19" formatCode="0.00">
                  <c:v>2.1949999999999998</c:v>
                </c:pt>
              </c:numCache>
            </c:numRef>
          </c:yVal>
          <c:smooth val="1"/>
          <c:extLst>
            <c:ext xmlns:c16="http://schemas.microsoft.com/office/drawing/2014/chart" uri="{C3380CC4-5D6E-409C-BE32-E72D297353CC}">
              <c16:uniqueId val="{00000001-18B4-47BA-831B-E0BB5C94B51A}"/>
            </c:ext>
          </c:extLst>
        </c:ser>
        <c:ser>
          <c:idx val="2"/>
          <c:order val="2"/>
          <c:tx>
            <c:strRef>
              <c:f>Figur!$D$1</c:f>
              <c:strCache>
                <c:ptCount val="1"/>
                <c:pt idx="0">
                  <c:v>Level C</c:v>
                </c:pt>
              </c:strCache>
            </c:strRef>
          </c:tx>
          <c:spPr>
            <a:ln w="19050" cap="rnd">
              <a:solidFill>
                <a:schemeClr val="accent6"/>
              </a:solidFill>
              <a:round/>
            </a:ln>
            <a:effectLst/>
          </c:spPr>
          <c:marker>
            <c:symbol val="none"/>
          </c:marker>
          <c:xVal>
            <c:numRef>
              <c:f>Figur!$A$2:$A$81</c:f>
              <c:numCache>
                <c:formatCode>General</c:formatCode>
                <c:ptCount val="8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numCache>
            </c:numRef>
          </c:xVal>
          <c:yVal>
            <c:numRef>
              <c:f>Figur!$D$2:$D$81</c:f>
              <c:numCache>
                <c:formatCode>General</c:formatCode>
                <c:ptCount val="80"/>
                <c:pt idx="19" formatCode="0.00">
                  <c:v>4.2450000000000001</c:v>
                </c:pt>
                <c:pt idx="20" formatCode="0.00">
                  <c:v>4.0428571428571427</c:v>
                </c:pt>
                <c:pt idx="21" formatCode="0.00">
                  <c:v>3.8590909090909093</c:v>
                </c:pt>
                <c:pt idx="22" formatCode="0.00">
                  <c:v>3.6913043478260872</c:v>
                </c:pt>
                <c:pt idx="23" formatCode="0.00">
                  <c:v>3.5375000000000001</c:v>
                </c:pt>
                <c:pt idx="24" formatCode="0.00">
                  <c:v>3.3960000000000004</c:v>
                </c:pt>
                <c:pt idx="25" formatCode="0.00">
                  <c:v>3.2653846153846158</c:v>
                </c:pt>
                <c:pt idx="26" formatCode="0.00">
                  <c:v>3.1444444444444448</c:v>
                </c:pt>
                <c:pt idx="27" formatCode="0.00">
                  <c:v>3.0321428571428575</c:v>
                </c:pt>
                <c:pt idx="28" formatCode="0.00">
                  <c:v>2.9275862068965521</c:v>
                </c:pt>
                <c:pt idx="29" formatCode="0.00">
                  <c:v>2.83</c:v>
                </c:pt>
                <c:pt idx="30" formatCode="0.00">
                  <c:v>2.7387096774193549</c:v>
                </c:pt>
                <c:pt idx="31" formatCode="0.00">
                  <c:v>2.6531250000000002</c:v>
                </c:pt>
                <c:pt idx="32" formatCode="0.00">
                  <c:v>2.5727272727272728</c:v>
                </c:pt>
                <c:pt idx="33" formatCode="0.00">
                  <c:v>2.4970588235294118</c:v>
                </c:pt>
                <c:pt idx="34" formatCode="0.00">
                  <c:v>2.4257142857142857</c:v>
                </c:pt>
                <c:pt idx="35" formatCode="0.00">
                  <c:v>2.3583333333333334</c:v>
                </c:pt>
                <c:pt idx="36" formatCode="0.00">
                  <c:v>2.2945945945945949</c:v>
                </c:pt>
                <c:pt idx="37" formatCode="0.00">
                  <c:v>2.2342105263157896</c:v>
                </c:pt>
                <c:pt idx="38" formatCode="0.00">
                  <c:v>2.1769230769230772</c:v>
                </c:pt>
                <c:pt idx="39" formatCode="0.00">
                  <c:v>2.1225000000000001</c:v>
                </c:pt>
              </c:numCache>
            </c:numRef>
          </c:yVal>
          <c:smooth val="1"/>
          <c:extLst>
            <c:ext xmlns:c16="http://schemas.microsoft.com/office/drawing/2014/chart" uri="{C3380CC4-5D6E-409C-BE32-E72D297353CC}">
              <c16:uniqueId val="{00000002-18B4-47BA-831B-E0BB5C94B51A}"/>
            </c:ext>
          </c:extLst>
        </c:ser>
        <c:ser>
          <c:idx val="3"/>
          <c:order val="3"/>
          <c:tx>
            <c:strRef>
              <c:f>Figur!$E$1</c:f>
              <c:strCache>
                <c:ptCount val="1"/>
                <c:pt idx="0">
                  <c:v>Level D</c:v>
                </c:pt>
              </c:strCache>
            </c:strRef>
          </c:tx>
          <c:spPr>
            <a:ln w="19050" cap="rnd">
              <a:solidFill>
                <a:schemeClr val="accent2">
                  <a:lumMod val="60000"/>
                </a:schemeClr>
              </a:solidFill>
              <a:round/>
            </a:ln>
            <a:effectLst/>
          </c:spPr>
          <c:marker>
            <c:symbol val="none"/>
          </c:marker>
          <c:xVal>
            <c:numRef>
              <c:f>Figur!$A$2:$A$81</c:f>
              <c:numCache>
                <c:formatCode>General</c:formatCode>
                <c:ptCount val="8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numCache>
            </c:numRef>
          </c:xVal>
          <c:yVal>
            <c:numRef>
              <c:f>Figur!$E$2:$E$81</c:f>
              <c:numCache>
                <c:formatCode>General</c:formatCode>
                <c:ptCount val="80"/>
                <c:pt idx="39" formatCode="0.00">
                  <c:v>3.1274999999999999</c:v>
                </c:pt>
                <c:pt idx="40" formatCode="0.00">
                  <c:v>3.051219512195122</c:v>
                </c:pt>
                <c:pt idx="41" formatCode="0.00">
                  <c:v>2.9785714285714286</c:v>
                </c:pt>
                <c:pt idx="42" formatCode="0.00">
                  <c:v>2.909302325581395</c:v>
                </c:pt>
                <c:pt idx="43" formatCode="0.00">
                  <c:v>2.8431818181818183</c:v>
                </c:pt>
                <c:pt idx="44" formatCode="0.00">
                  <c:v>2.78</c:v>
                </c:pt>
                <c:pt idx="45" formatCode="0.00">
                  <c:v>2.7195652173913043</c:v>
                </c:pt>
                <c:pt idx="46" formatCode="0.00">
                  <c:v>2.6617021276595745</c:v>
                </c:pt>
                <c:pt idx="47" formatCode="0.00">
                  <c:v>2.6062499999999997</c:v>
                </c:pt>
                <c:pt idx="48" formatCode="0.00">
                  <c:v>2.5530612244897957</c:v>
                </c:pt>
                <c:pt idx="49" formatCode="0.00">
                  <c:v>2.5019999999999998</c:v>
                </c:pt>
                <c:pt idx="50" formatCode="0.00">
                  <c:v>2.452941176470588</c:v>
                </c:pt>
                <c:pt idx="51" formatCode="0.00">
                  <c:v>2.4057692307692307</c:v>
                </c:pt>
                <c:pt idx="52" formatCode="0.00">
                  <c:v>2.3603773584905658</c:v>
                </c:pt>
                <c:pt idx="53" formatCode="0.00">
                  <c:v>2.3166666666666664</c:v>
                </c:pt>
                <c:pt idx="54" formatCode="0.00">
                  <c:v>2.2745454545454544</c:v>
                </c:pt>
                <c:pt idx="55" formatCode="0.00">
                  <c:v>2.2339285714285713</c:v>
                </c:pt>
                <c:pt idx="56" formatCode="0.00">
                  <c:v>2.1947368421052631</c:v>
                </c:pt>
                <c:pt idx="57" formatCode="0.00">
                  <c:v>2.1568965517241376</c:v>
                </c:pt>
                <c:pt idx="58" formatCode="0.00">
                  <c:v>2.1203389830508472</c:v>
                </c:pt>
                <c:pt idx="59" formatCode="0.00">
                  <c:v>2.085</c:v>
                </c:pt>
              </c:numCache>
            </c:numRef>
          </c:yVal>
          <c:smooth val="1"/>
          <c:extLst>
            <c:ext xmlns:c16="http://schemas.microsoft.com/office/drawing/2014/chart" uri="{C3380CC4-5D6E-409C-BE32-E72D297353CC}">
              <c16:uniqueId val="{00000003-18B4-47BA-831B-E0BB5C94B51A}"/>
            </c:ext>
          </c:extLst>
        </c:ser>
        <c:ser>
          <c:idx val="4"/>
          <c:order val="4"/>
          <c:tx>
            <c:strRef>
              <c:f>Figur!$F$1</c:f>
              <c:strCache>
                <c:ptCount val="1"/>
                <c:pt idx="0">
                  <c:v>Level E</c:v>
                </c:pt>
              </c:strCache>
            </c:strRef>
          </c:tx>
          <c:spPr>
            <a:ln w="19050" cap="rnd">
              <a:solidFill>
                <a:schemeClr val="accent4">
                  <a:lumMod val="60000"/>
                </a:schemeClr>
              </a:solidFill>
              <a:round/>
            </a:ln>
            <a:effectLst/>
          </c:spPr>
          <c:marker>
            <c:symbol val="none"/>
          </c:marker>
          <c:xVal>
            <c:numRef>
              <c:f>Figur!$A$2:$A$81</c:f>
              <c:numCache>
                <c:formatCode>General</c:formatCode>
                <c:ptCount val="8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numCache>
            </c:numRef>
          </c:xVal>
          <c:yVal>
            <c:numRef>
              <c:f>Figur!$F$2:$F$81</c:f>
              <c:numCache>
                <c:formatCode>General</c:formatCode>
                <c:ptCount val="80"/>
                <c:pt idx="59" formatCode="0.00">
                  <c:v>3.3774999999999999</c:v>
                </c:pt>
                <c:pt idx="60" formatCode="0.00">
                  <c:v>3.3221311475409836</c:v>
                </c:pt>
                <c:pt idx="61" formatCode="0.00">
                  <c:v>3.2685483870967742</c:v>
                </c:pt>
                <c:pt idx="62" formatCode="0.00">
                  <c:v>3.2166666666666668</c:v>
                </c:pt>
                <c:pt idx="63" formatCode="0.00">
                  <c:v>3.1664062500000001</c:v>
                </c:pt>
                <c:pt idx="64" formatCode="0.00">
                  <c:v>3.117692307692308</c:v>
                </c:pt>
                <c:pt idx="65" formatCode="0.00">
                  <c:v>3.0704545454545453</c:v>
                </c:pt>
                <c:pt idx="66" formatCode="0.00">
                  <c:v>3.024626865671642</c:v>
                </c:pt>
                <c:pt idx="67" formatCode="0.00">
                  <c:v>2.9801470588235297</c:v>
                </c:pt>
                <c:pt idx="68" formatCode="0.00">
                  <c:v>2.9369565217391305</c:v>
                </c:pt>
                <c:pt idx="69" formatCode="0.00">
                  <c:v>2.895</c:v>
                </c:pt>
                <c:pt idx="70" formatCode="0.00">
                  <c:v>2.8542253521126759</c:v>
                </c:pt>
                <c:pt idx="71" formatCode="0.00">
                  <c:v>2.8145833333333332</c:v>
                </c:pt>
                <c:pt idx="72" formatCode="0.00">
                  <c:v>2.776027397260274</c:v>
                </c:pt>
                <c:pt idx="73" formatCode="0.00">
                  <c:v>2.7385135135135137</c:v>
                </c:pt>
                <c:pt idx="74" formatCode="0.00">
                  <c:v>2.702</c:v>
                </c:pt>
                <c:pt idx="75" formatCode="0.00">
                  <c:v>2.6664473684210526</c:v>
                </c:pt>
                <c:pt idx="76" formatCode="0.00">
                  <c:v>2.6318181818181818</c:v>
                </c:pt>
                <c:pt idx="77" formatCode="0.00">
                  <c:v>2.5980769230769232</c:v>
                </c:pt>
                <c:pt idx="78" formatCode="0.00">
                  <c:v>2.5651898734177214</c:v>
                </c:pt>
                <c:pt idx="79" formatCode="0.00">
                  <c:v>2.5331250000000001</c:v>
                </c:pt>
              </c:numCache>
            </c:numRef>
          </c:yVal>
          <c:smooth val="1"/>
          <c:extLst>
            <c:ext xmlns:c16="http://schemas.microsoft.com/office/drawing/2014/chart" uri="{C3380CC4-5D6E-409C-BE32-E72D297353CC}">
              <c16:uniqueId val="{00000004-18B4-47BA-831B-E0BB5C94B51A}"/>
            </c:ext>
          </c:extLst>
        </c:ser>
        <c:dLbls>
          <c:showLegendKey val="0"/>
          <c:showVal val="0"/>
          <c:showCatName val="0"/>
          <c:showSerName val="0"/>
          <c:showPercent val="0"/>
          <c:showBubbleSize val="0"/>
        </c:dLbls>
        <c:axId val="55733919"/>
        <c:axId val="55734399"/>
      </c:scatterChart>
      <c:valAx>
        <c:axId val="55733919"/>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Consultation</a:t>
                </a:r>
                <a:r>
                  <a:rPr lang="en-AU" baseline="0"/>
                  <a:t> length (minutes)</a:t>
                </a:r>
                <a:endParaRPr lang="en-AU"/>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34399"/>
        <c:crosses val="autoZero"/>
        <c:crossBetween val="midCat"/>
      </c:valAx>
      <c:valAx>
        <c:axId val="5573439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Rate per minute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33919"/>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659492563429571"/>
          <c:y val="5.0925925925925923E-2"/>
          <c:w val="0.83284951881014879"/>
          <c:h val="0.54007655293088364"/>
        </c:manualLayout>
      </c:layout>
      <c:barChart>
        <c:barDir val="col"/>
        <c:grouping val="clustered"/>
        <c:varyColors val="0"/>
        <c:ser>
          <c:idx val="0"/>
          <c:order val="0"/>
          <c:spPr>
            <a:solidFill>
              <a:schemeClr val="accent2"/>
            </a:solidFill>
            <a:ln>
              <a:noFill/>
            </a:ln>
            <a:effectLst/>
          </c:spPr>
          <c:invertIfNegative val="0"/>
          <c:cat>
            <c:strRef>
              <c:f>'Figure 4'!$A$2:$A$10</c:f>
              <c:strCache>
                <c:ptCount val="9"/>
                <c:pt idx="0">
                  <c:v>Level A</c:v>
                </c:pt>
                <c:pt idx="1">
                  <c:v>Level B</c:v>
                </c:pt>
                <c:pt idx="2">
                  <c:v>Level C</c:v>
                </c:pt>
                <c:pt idx="3">
                  <c:v>Level D</c:v>
                </c:pt>
                <c:pt idx="4">
                  <c:v>Level E</c:v>
                </c:pt>
                <c:pt idx="5">
                  <c:v>Chronic disease and complex care</c:v>
                </c:pt>
                <c:pt idx="6">
                  <c:v>After hours</c:v>
                </c:pt>
                <c:pt idx="7">
                  <c:v>Mental health care</c:v>
                </c:pt>
                <c:pt idx="8">
                  <c:v>Other primary care</c:v>
                </c:pt>
              </c:strCache>
            </c:strRef>
          </c:cat>
          <c:val>
            <c:numRef>
              <c:f>'Figure 4'!$B$2:$B$10</c:f>
              <c:numCache>
                <c:formatCode>General</c:formatCode>
                <c:ptCount val="9"/>
                <c:pt idx="0">
                  <c:v>5</c:v>
                </c:pt>
                <c:pt idx="1">
                  <c:v>66</c:v>
                </c:pt>
                <c:pt idx="2">
                  <c:v>13</c:v>
                </c:pt>
                <c:pt idx="3">
                  <c:v>1</c:v>
                </c:pt>
                <c:pt idx="4">
                  <c:v>0</c:v>
                </c:pt>
                <c:pt idx="5">
                  <c:v>7</c:v>
                </c:pt>
                <c:pt idx="6">
                  <c:v>5</c:v>
                </c:pt>
                <c:pt idx="7">
                  <c:v>2</c:v>
                </c:pt>
                <c:pt idx="8">
                  <c:v>2</c:v>
                </c:pt>
              </c:numCache>
            </c:numRef>
          </c:val>
          <c:extLst>
            <c:ext xmlns:c16="http://schemas.microsoft.com/office/drawing/2014/chart" uri="{C3380CC4-5D6E-409C-BE32-E72D297353CC}">
              <c16:uniqueId val="{00000000-EC76-43E6-A5CA-A7C0A95EFFF1}"/>
            </c:ext>
          </c:extLst>
        </c:ser>
        <c:dLbls>
          <c:showLegendKey val="0"/>
          <c:showVal val="0"/>
          <c:showCatName val="0"/>
          <c:showSerName val="0"/>
          <c:showPercent val="0"/>
          <c:showBubbleSize val="0"/>
        </c:dLbls>
        <c:gapWidth val="219"/>
        <c:overlap val="-27"/>
        <c:axId val="656005040"/>
        <c:axId val="656006480"/>
      </c:barChart>
      <c:catAx>
        <c:axId val="65600504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Primary care service type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6006480"/>
        <c:crosses val="autoZero"/>
        <c:auto val="1"/>
        <c:lblAlgn val="ctr"/>
        <c:lblOffset val="100"/>
        <c:noMultiLvlLbl val="0"/>
      </c:catAx>
      <c:valAx>
        <c:axId val="6560064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Proportion</a:t>
                </a:r>
                <a:r>
                  <a:rPr lang="en-AU" baseline="0"/>
                  <a:t> (%)</a:t>
                </a:r>
                <a:endParaRPr lang="en-A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A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600504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 5'!$B$1</c:f>
              <c:strCache>
                <c:ptCount val="1"/>
                <c:pt idx="0">
                  <c:v>Female providers proportion of that service</c:v>
                </c:pt>
              </c:strCache>
            </c:strRef>
          </c:tx>
          <c:spPr>
            <a:solidFill>
              <a:schemeClr val="accent2"/>
            </a:solidFill>
            <a:ln>
              <a:noFill/>
            </a:ln>
            <a:effectLst/>
          </c:spPr>
          <c:invertIfNegative val="0"/>
          <c:cat>
            <c:strRef>
              <c:f>'Figure 5'!$A$2:$A$10</c:f>
              <c:strCache>
                <c:ptCount val="9"/>
                <c:pt idx="0">
                  <c:v>Level A</c:v>
                </c:pt>
                <c:pt idx="1">
                  <c:v>Level B</c:v>
                </c:pt>
                <c:pt idx="2">
                  <c:v>Level C</c:v>
                </c:pt>
                <c:pt idx="3">
                  <c:v>Level D</c:v>
                </c:pt>
                <c:pt idx="4">
                  <c:v>Level E</c:v>
                </c:pt>
                <c:pt idx="5">
                  <c:v>Chronic disease and complex care</c:v>
                </c:pt>
                <c:pt idx="6">
                  <c:v>After hours</c:v>
                </c:pt>
                <c:pt idx="7">
                  <c:v>Mental health care</c:v>
                </c:pt>
                <c:pt idx="8">
                  <c:v>Other primary care</c:v>
                </c:pt>
              </c:strCache>
            </c:strRef>
          </c:cat>
          <c:val>
            <c:numRef>
              <c:f>'Figure 5'!$B$2:$B$10</c:f>
              <c:numCache>
                <c:formatCode>General</c:formatCode>
                <c:ptCount val="9"/>
                <c:pt idx="0">
                  <c:v>41.6</c:v>
                </c:pt>
                <c:pt idx="1">
                  <c:v>38.799999999999997</c:v>
                </c:pt>
                <c:pt idx="2">
                  <c:v>47.8</c:v>
                </c:pt>
                <c:pt idx="3">
                  <c:v>52.6</c:v>
                </c:pt>
                <c:pt idx="4">
                  <c:v>55.5</c:v>
                </c:pt>
                <c:pt idx="5">
                  <c:v>41.7</c:v>
                </c:pt>
                <c:pt idx="6">
                  <c:v>31.1</c:v>
                </c:pt>
                <c:pt idx="7">
                  <c:v>50.6</c:v>
                </c:pt>
                <c:pt idx="8">
                  <c:v>40.200000000000003</c:v>
                </c:pt>
              </c:numCache>
            </c:numRef>
          </c:val>
          <c:extLst>
            <c:ext xmlns:c16="http://schemas.microsoft.com/office/drawing/2014/chart" uri="{C3380CC4-5D6E-409C-BE32-E72D297353CC}">
              <c16:uniqueId val="{00000000-99A8-47EF-BAFB-3EB7FB49A387}"/>
            </c:ext>
          </c:extLst>
        </c:ser>
        <c:dLbls>
          <c:showLegendKey val="0"/>
          <c:showVal val="0"/>
          <c:showCatName val="0"/>
          <c:showSerName val="0"/>
          <c:showPercent val="0"/>
          <c:showBubbleSize val="0"/>
        </c:dLbls>
        <c:gapWidth val="150"/>
        <c:axId val="1064034496"/>
        <c:axId val="1064035936"/>
      </c:barChart>
      <c:lineChart>
        <c:grouping val="standard"/>
        <c:varyColors val="0"/>
        <c:ser>
          <c:idx val="1"/>
          <c:order val="1"/>
          <c:tx>
            <c:strRef>
              <c:f>'Figure 5'!$C$1</c:f>
              <c:strCache>
                <c:ptCount val="1"/>
                <c:pt idx="0">
                  <c:v>Female providers proportion of all services</c:v>
                </c:pt>
              </c:strCache>
            </c:strRef>
          </c:tx>
          <c:spPr>
            <a:ln w="28575" cap="rnd">
              <a:solidFill>
                <a:schemeClr val="tx1"/>
              </a:solidFill>
              <a:round/>
            </a:ln>
            <a:effectLst/>
          </c:spPr>
          <c:marker>
            <c:symbol val="none"/>
          </c:marker>
          <c:cat>
            <c:strRef>
              <c:f>'Figure 5'!$A$2:$A$10</c:f>
              <c:strCache>
                <c:ptCount val="9"/>
                <c:pt idx="0">
                  <c:v>Level A</c:v>
                </c:pt>
                <c:pt idx="1">
                  <c:v>Level B</c:v>
                </c:pt>
                <c:pt idx="2">
                  <c:v>Level C</c:v>
                </c:pt>
                <c:pt idx="3">
                  <c:v>Level D</c:v>
                </c:pt>
                <c:pt idx="4">
                  <c:v>Level E</c:v>
                </c:pt>
                <c:pt idx="5">
                  <c:v>Chronic disease and complex care</c:v>
                </c:pt>
                <c:pt idx="6">
                  <c:v>After hours</c:v>
                </c:pt>
                <c:pt idx="7">
                  <c:v>Mental health care</c:v>
                </c:pt>
                <c:pt idx="8">
                  <c:v>Other primary care</c:v>
                </c:pt>
              </c:strCache>
            </c:strRef>
          </c:cat>
          <c:val>
            <c:numRef>
              <c:f>'Figure 5'!$C$2:$C$10</c:f>
              <c:numCache>
                <c:formatCode>General</c:formatCode>
                <c:ptCount val="9"/>
                <c:pt idx="0">
                  <c:v>40.299999999999997</c:v>
                </c:pt>
                <c:pt idx="1">
                  <c:v>40.299999999999997</c:v>
                </c:pt>
                <c:pt idx="2">
                  <c:v>40.299999999999997</c:v>
                </c:pt>
                <c:pt idx="3">
                  <c:v>40.299999999999997</c:v>
                </c:pt>
                <c:pt idx="4">
                  <c:v>40.299999999999997</c:v>
                </c:pt>
                <c:pt idx="5">
                  <c:v>40.299999999999997</c:v>
                </c:pt>
                <c:pt idx="6">
                  <c:v>40.299999999999997</c:v>
                </c:pt>
                <c:pt idx="7">
                  <c:v>40.299999999999997</c:v>
                </c:pt>
                <c:pt idx="8">
                  <c:v>40.299999999999997</c:v>
                </c:pt>
              </c:numCache>
            </c:numRef>
          </c:val>
          <c:smooth val="0"/>
          <c:extLst>
            <c:ext xmlns:c16="http://schemas.microsoft.com/office/drawing/2014/chart" uri="{C3380CC4-5D6E-409C-BE32-E72D297353CC}">
              <c16:uniqueId val="{00000001-99A8-47EF-BAFB-3EB7FB49A387}"/>
            </c:ext>
          </c:extLst>
        </c:ser>
        <c:dLbls>
          <c:showLegendKey val="0"/>
          <c:showVal val="0"/>
          <c:showCatName val="0"/>
          <c:showSerName val="0"/>
          <c:showPercent val="0"/>
          <c:showBubbleSize val="0"/>
        </c:dLbls>
        <c:marker val="1"/>
        <c:smooth val="0"/>
        <c:axId val="1064034496"/>
        <c:axId val="1064035936"/>
      </c:lineChart>
      <c:catAx>
        <c:axId val="106403449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Type of primary</a:t>
                </a:r>
                <a:r>
                  <a:rPr lang="en-AU" baseline="0"/>
                  <a:t> care service</a:t>
                </a:r>
                <a:endParaRPr lang="en-AU"/>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4035936"/>
        <c:crosses val="autoZero"/>
        <c:auto val="1"/>
        <c:lblAlgn val="ctr"/>
        <c:lblOffset val="100"/>
        <c:noMultiLvlLbl val="0"/>
      </c:catAx>
      <c:valAx>
        <c:axId val="10640359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Proportion</a:t>
                </a:r>
                <a:r>
                  <a:rPr lang="en-AU" baseline="0"/>
                  <a:t> of services (%)</a:t>
                </a:r>
                <a:endParaRPr lang="en-A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A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40344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DF68DC8D972B43B83332B40B4B2510" ma:contentTypeVersion="9" ma:contentTypeDescription="Create a new document." ma:contentTypeScope="" ma:versionID="2e0b09b7e44a934c14e677cfce96d5c0">
  <xsd:schema xmlns:xsd="http://www.w3.org/2001/XMLSchema" xmlns:xs="http://www.w3.org/2001/XMLSchema" xmlns:p="http://schemas.microsoft.com/office/2006/metadata/properties" xmlns:ns2="b460321b-948a-465f-b38c-9a30c8f89503" xmlns:ns3="f1e650ad-e2db-4e42-ad66-bfd110803e6d" targetNamespace="http://schemas.microsoft.com/office/2006/metadata/properties" ma:root="true" ma:fieldsID="59ce8de76b819db2f43b05bcfd13dd72" ns2:_="" ns3:_="">
    <xsd:import namespace="b460321b-948a-465f-b38c-9a30c8f89503"/>
    <xsd:import namespace="f1e650ad-e2db-4e42-ad66-bfd110803e6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0321b-948a-465f-b38c-9a30c8f8950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1e650ad-e2db-4e42-ad66-bfd110803e6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07DEC5-88B2-4C3B-A7AF-416ABB45E0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60321b-948a-465f-b38c-9a30c8f89503"/>
    <ds:schemaRef ds:uri="f1e650ad-e2db-4e42-ad66-bfd110803e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00A107-96CC-4086-9B6D-C61C215F9EB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3986394-E703-48E1-B6E2-4C89BB49FD4D}">
  <ds:schemaRefs>
    <ds:schemaRef ds:uri="http://schemas.microsoft.com/sharepoint/v3/contenttype/forms"/>
  </ds:schemaRefs>
</ds:datastoreItem>
</file>

<file path=customXml/itemProps4.xml><?xml version="1.0" encoding="utf-8"?>
<ds:datastoreItem xmlns:ds="http://schemas.openxmlformats.org/officeDocument/2006/customXml" ds:itemID="{EF43292D-72B3-0946-9AE3-701CA1F22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46</Pages>
  <Words>15360</Words>
  <Characters>88324</Characters>
  <Application>Microsoft Office Word</Application>
  <DocSecurity>2</DocSecurity>
  <Lines>1698</Lines>
  <Paragraphs>816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Biotext</dc:creator>
  <cp:keywords/>
  <dc:description/>
  <cp:lastModifiedBy>MERRETT, Robyn</cp:lastModifiedBy>
  <cp:revision>8</cp:revision>
  <cp:lastPrinted>2026-09-18T04:40:00Z</cp:lastPrinted>
  <dcterms:created xsi:type="dcterms:W3CDTF">2026-09-18T04:35:00Z</dcterms:created>
  <dcterms:modified xsi:type="dcterms:W3CDTF">2026-09-18T04:40:00Z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0x01010056DF68DC8D972B43B83332B40B4B2510</vt:lpwstr>
  </property>
  <property fmtid="{D5CDD505-2E9C-101B-9397-08002B2CF9AE}" pid="3" name="Order">
    <vt:r8>5909600</vt:r8>
  </property>
  <property fmtid="{D5CDD505-2E9C-101B-9397-08002B2CF9AE}" pid="4" name="MediaServiceImageTags">
    <vt:lpwstr/>
  </property>
  <property fmtid="{D5CDD505-2E9C-101B-9397-08002B2CF9AE}" pid="5" name="ClassificationContentMarkingHeaderShapeIds">
    <vt:lpwstr>37d521c,4d1e1305,a0a9404</vt:lpwstr>
  </property>
  <property fmtid="{D5CDD505-2E9C-101B-9397-08002B2CF9AE}" pid="6" name="ClassificationContentMarkingHeaderFontProps">
    <vt:lpwstr>#ff0000,12,Aptos</vt:lpwstr>
  </property>
  <property fmtid="{D5CDD505-2E9C-101B-9397-08002B2CF9AE}" pid="7" name="ClassificationContentMarkingHeaderText">
    <vt:lpwstr>OFFICIAL</vt:lpwstr>
  </property>
  <property fmtid="{D5CDD505-2E9C-101B-9397-08002B2CF9AE}" pid="8" name="ClassificationContentMarkingFooterShapeIds">
    <vt:lpwstr>206618ec,549de1fe,dba0b47</vt:lpwstr>
  </property>
  <property fmtid="{D5CDD505-2E9C-101B-9397-08002B2CF9AE}" pid="9" name="ClassificationContentMarkingFooterFontProps">
    <vt:lpwstr>#ff0000,12,Aptos</vt:lpwstr>
  </property>
  <property fmtid="{D5CDD505-2E9C-101B-9397-08002B2CF9AE}" pid="10" name="ClassificationContentMarkingFooterText">
    <vt:lpwstr>OFFICIAL</vt:lpwstr>
  </property>
  <property fmtid="{D5CDD505-2E9C-101B-9397-08002B2CF9AE}" pid="11" name="MSIP_Label_7cd3e8b9-ffed-43a8-b7f4-cc2fa0382d36_Enabled">
    <vt:lpwstr>true</vt:lpwstr>
  </property>
  <property fmtid="{D5CDD505-2E9C-101B-9397-08002B2CF9AE}" pid="12" name="MSIP_Label_7cd3e8b9-ffed-43a8-b7f4-cc2fa0382d36_SetDate">
    <vt:lpwstr>2026-07-13T01:41:43Z</vt:lpwstr>
  </property>
  <property fmtid="{D5CDD505-2E9C-101B-9397-08002B2CF9AE}" pid="13" name="MSIP_Label_7cd3e8b9-ffed-43a8-b7f4-cc2fa0382d36_Method">
    <vt:lpwstr>Privileged</vt:lpwstr>
  </property>
  <property fmtid="{D5CDD505-2E9C-101B-9397-08002B2CF9AE}" pid="14" name="MSIP_Label_7cd3e8b9-ffed-43a8-b7f4-cc2fa0382d36_Name">
    <vt:lpwstr>O</vt:lpwstr>
  </property>
  <property fmtid="{D5CDD505-2E9C-101B-9397-08002B2CF9AE}" pid="15" name="MSIP_Label_7cd3e8b9-ffed-43a8-b7f4-cc2fa0382d36_SiteId">
    <vt:lpwstr>34a3929c-73cf-4954-abfe-147dc3517892</vt:lpwstr>
  </property>
  <property fmtid="{D5CDD505-2E9C-101B-9397-08002B2CF9AE}" pid="16" name="MSIP_Label_7cd3e8b9-ffed-43a8-b7f4-cc2fa0382d36_ActionId">
    <vt:lpwstr>dd3a4a41-803b-441b-8d6a-fce2afba6535</vt:lpwstr>
  </property>
  <property fmtid="{D5CDD505-2E9C-101B-9397-08002B2CF9AE}" pid="17" name="MSIP_Label_7cd3e8b9-ffed-43a8-b7f4-cc2fa0382d36_ContentBits">
    <vt:lpwstr>3</vt:lpwstr>
  </property>
  <property fmtid="{D5CDD505-2E9C-101B-9397-08002B2CF9AE}" pid="18" name="MSIP_Label_7cd3e8b9-ffed-43a8-b7f4-cc2fa0382d36_Tag">
    <vt:lpwstr>10, 0, 1, 1</vt:lpwstr>
  </property>
  <property fmtid="{D5CDD505-2E9C-101B-9397-08002B2CF9AE}" pid="19" name="docLang">
    <vt:lpwstr>en</vt:lpwstr>
  </property>
</Properties>
</file>