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8FDF" w14:textId="5D678A0F" w:rsidR="00C64F7E" w:rsidRDefault="00BB5FD8" w:rsidP="00543799">
      <w:pPr>
        <w:pStyle w:val="Heading1"/>
        <w:keepNext w:val="0"/>
        <w:pageBreakBefore w:val="0"/>
        <w:spacing w:after="600"/>
        <w:ind w:left="0" w:firstLine="0"/>
        <w:jc w:val="center"/>
      </w:pPr>
      <w:bookmarkStart w:id="0" w:name="_Toc107835763"/>
      <w:bookmarkStart w:id="1" w:name="_Toc107835830"/>
      <w:bookmarkStart w:id="2" w:name="_Toc107911554"/>
      <w:bookmarkStart w:id="3" w:name="_Toc107920649"/>
      <w:bookmarkStart w:id="4" w:name="_Toc111552628"/>
      <w:bookmarkStart w:id="5" w:name="_Toc111558637"/>
      <w:bookmarkStart w:id="6" w:name="_Toc111561061"/>
      <w:r>
        <w:t xml:space="preserve">Medicare </w:t>
      </w:r>
      <w:r w:rsidR="00762E21">
        <w:t>B</w:t>
      </w:r>
      <w:r>
        <w:t xml:space="preserve">enefits Schedule </w:t>
      </w:r>
      <w:r w:rsidR="00543799">
        <w:br/>
      </w:r>
      <w:r w:rsidR="00D43E1B">
        <w:t>Review Advisory Committee</w:t>
      </w:r>
    </w:p>
    <w:p w14:paraId="6C173CDD" w14:textId="3A4976E2" w:rsidR="008954D5" w:rsidRDefault="008954D5" w:rsidP="00543799">
      <w:pPr>
        <w:pStyle w:val="Heading1"/>
        <w:keepNext w:val="0"/>
        <w:pageBreakBefore w:val="0"/>
        <w:spacing w:after="600"/>
        <w:ind w:left="0" w:firstLine="720"/>
        <w:jc w:val="center"/>
      </w:pPr>
      <w:r>
        <w:t>Surgical Assistant Working Group</w:t>
      </w:r>
      <w:bookmarkEnd w:id="0"/>
      <w:bookmarkEnd w:id="1"/>
      <w:bookmarkEnd w:id="2"/>
      <w:bookmarkEnd w:id="3"/>
      <w:bookmarkEnd w:id="4"/>
      <w:bookmarkEnd w:id="5"/>
      <w:bookmarkEnd w:id="6"/>
    </w:p>
    <w:p w14:paraId="75B8E716" w14:textId="0276B2F5" w:rsidR="008954D5" w:rsidRDefault="008954D5" w:rsidP="00543799">
      <w:pPr>
        <w:pStyle w:val="Heading1a"/>
        <w:pageBreakBefore w:val="0"/>
        <w:spacing w:after="600"/>
        <w:jc w:val="center"/>
      </w:pPr>
      <w:r>
        <w:t xml:space="preserve">Draft </w:t>
      </w:r>
      <w:r w:rsidR="551795AB">
        <w:t>Final</w:t>
      </w:r>
      <w:r>
        <w:t xml:space="preserve"> </w:t>
      </w:r>
      <w:r w:rsidR="00C64F7E">
        <w:t>R</w:t>
      </w:r>
      <w:r>
        <w:t>eport</w:t>
      </w:r>
    </w:p>
    <w:p w14:paraId="45E3BBA2" w14:textId="16C7E55F" w:rsidR="00A41565" w:rsidRPr="00CD6FAC" w:rsidRDefault="00BF27EE" w:rsidP="00543799">
      <w:pPr>
        <w:spacing w:after="600"/>
        <w:jc w:val="center"/>
        <w:rPr>
          <w:sz w:val="40"/>
          <w:szCs w:val="40"/>
        </w:rPr>
      </w:pPr>
      <w:r w:rsidRPr="00CD6FAC">
        <w:rPr>
          <w:color w:val="auto"/>
          <w:sz w:val="40"/>
          <w:szCs w:val="40"/>
        </w:rPr>
        <w:t>August</w:t>
      </w:r>
      <w:r w:rsidRPr="00CD6FAC">
        <w:rPr>
          <w:sz w:val="40"/>
          <w:szCs w:val="40"/>
        </w:rPr>
        <w:t xml:space="preserve"> </w:t>
      </w:r>
      <w:r w:rsidR="002A427B" w:rsidRPr="00CD6FAC">
        <w:rPr>
          <w:sz w:val="40"/>
          <w:szCs w:val="40"/>
        </w:rPr>
        <w:t>2022</w:t>
      </w:r>
    </w:p>
    <w:p w14:paraId="01F14A2F" w14:textId="0215A6C6" w:rsidR="002A427B" w:rsidRDefault="002A427B" w:rsidP="002A427B">
      <w:pPr>
        <w:pStyle w:val="Heading1"/>
      </w:pPr>
      <w:bookmarkStart w:id="7" w:name="_Toc107835765"/>
      <w:bookmarkStart w:id="8" w:name="_Toc107835832"/>
      <w:bookmarkStart w:id="9" w:name="_Toc107911556"/>
      <w:bookmarkStart w:id="10" w:name="_Toc107920651"/>
      <w:bookmarkStart w:id="11" w:name="_Toc111552630"/>
      <w:bookmarkStart w:id="12" w:name="_Toc111558639"/>
      <w:bookmarkStart w:id="13" w:name="_Toc111561063"/>
      <w:r>
        <w:lastRenderedPageBreak/>
        <w:t>Contents</w:t>
      </w:r>
      <w:bookmarkEnd w:id="7"/>
      <w:bookmarkEnd w:id="8"/>
      <w:bookmarkEnd w:id="9"/>
      <w:bookmarkEnd w:id="10"/>
      <w:bookmarkEnd w:id="11"/>
      <w:bookmarkEnd w:id="12"/>
      <w:bookmarkEnd w:id="13"/>
    </w:p>
    <w:p w14:paraId="1F30A0D4" w14:textId="3A89F8B9" w:rsidR="00E85407" w:rsidRDefault="00893AFE" w:rsidP="00E85407">
      <w:pPr>
        <w:pStyle w:val="TOC1"/>
        <w:rPr>
          <w:rFonts w:asciiTheme="minorHAnsi" w:eastAsiaTheme="minorEastAsia" w:hAnsiTheme="minorHAnsi" w:cstheme="minorBidi"/>
          <w:color w:val="auto"/>
          <w:szCs w:val="24"/>
          <w:lang w:eastAsia="en-GB"/>
        </w:rPr>
      </w:pPr>
      <w:r>
        <w:fldChar w:fldCharType="begin"/>
      </w:r>
      <w:r>
        <w:instrText xml:space="preserve"> TOC \o "1-3" \h \z \u </w:instrText>
      </w:r>
      <w:r>
        <w:fldChar w:fldCharType="separate"/>
      </w:r>
      <w:hyperlink w:anchor="_Toc111561064" w:history="1">
        <w:r w:rsidR="00E85407" w:rsidRPr="000930EA">
          <w:rPr>
            <w:rStyle w:val="Hyperlink"/>
          </w:rPr>
          <w:t>Summary</w:t>
        </w:r>
        <w:r w:rsidR="00E85407">
          <w:rPr>
            <w:webHidden/>
          </w:rPr>
          <w:tab/>
        </w:r>
        <w:r w:rsidR="00E85407">
          <w:rPr>
            <w:webHidden/>
          </w:rPr>
          <w:fldChar w:fldCharType="begin"/>
        </w:r>
        <w:r w:rsidR="00E85407">
          <w:rPr>
            <w:webHidden/>
          </w:rPr>
          <w:instrText xml:space="preserve"> PAGEREF _Toc111561064 \h </w:instrText>
        </w:r>
        <w:r w:rsidR="00E85407">
          <w:rPr>
            <w:webHidden/>
          </w:rPr>
        </w:r>
        <w:r w:rsidR="00E85407">
          <w:rPr>
            <w:webHidden/>
          </w:rPr>
          <w:fldChar w:fldCharType="separate"/>
        </w:r>
        <w:r w:rsidR="00E85407">
          <w:rPr>
            <w:webHidden/>
          </w:rPr>
          <w:t>3</w:t>
        </w:r>
        <w:r w:rsidR="00E85407">
          <w:rPr>
            <w:webHidden/>
          </w:rPr>
          <w:fldChar w:fldCharType="end"/>
        </w:r>
      </w:hyperlink>
    </w:p>
    <w:p w14:paraId="2796BA70" w14:textId="59883757" w:rsidR="00E85407" w:rsidRDefault="008340E7" w:rsidP="00E85407">
      <w:pPr>
        <w:pStyle w:val="TOC1"/>
        <w:rPr>
          <w:rFonts w:asciiTheme="minorHAnsi" w:eastAsiaTheme="minorEastAsia" w:hAnsiTheme="minorHAnsi" w:cstheme="minorBidi"/>
          <w:color w:val="auto"/>
          <w:szCs w:val="24"/>
          <w:lang w:eastAsia="en-GB"/>
        </w:rPr>
      </w:pPr>
      <w:hyperlink w:anchor="_Toc111561065" w:history="1">
        <w:r w:rsidR="00E85407" w:rsidRPr="000930EA">
          <w:rPr>
            <w:rStyle w:val="Hyperlink"/>
          </w:rPr>
          <w:t>Acronyms</w:t>
        </w:r>
        <w:r w:rsidR="00E85407">
          <w:rPr>
            <w:webHidden/>
          </w:rPr>
          <w:tab/>
        </w:r>
        <w:r w:rsidR="00E85407">
          <w:rPr>
            <w:webHidden/>
          </w:rPr>
          <w:fldChar w:fldCharType="begin"/>
        </w:r>
        <w:r w:rsidR="00E85407">
          <w:rPr>
            <w:webHidden/>
          </w:rPr>
          <w:instrText xml:space="preserve"> PAGEREF _Toc111561065 \h </w:instrText>
        </w:r>
        <w:r w:rsidR="00E85407">
          <w:rPr>
            <w:webHidden/>
          </w:rPr>
        </w:r>
        <w:r w:rsidR="00E85407">
          <w:rPr>
            <w:webHidden/>
          </w:rPr>
          <w:fldChar w:fldCharType="separate"/>
        </w:r>
        <w:r w:rsidR="00E85407">
          <w:rPr>
            <w:webHidden/>
          </w:rPr>
          <w:t>4</w:t>
        </w:r>
        <w:r w:rsidR="00E85407">
          <w:rPr>
            <w:webHidden/>
          </w:rPr>
          <w:fldChar w:fldCharType="end"/>
        </w:r>
      </w:hyperlink>
    </w:p>
    <w:p w14:paraId="5C7B10DC" w14:textId="3246BBC2" w:rsidR="00E85407" w:rsidRDefault="008340E7" w:rsidP="00E85407">
      <w:pPr>
        <w:pStyle w:val="TOC1"/>
        <w:rPr>
          <w:rFonts w:asciiTheme="minorHAnsi" w:eastAsiaTheme="minorEastAsia" w:hAnsiTheme="minorHAnsi" w:cstheme="minorBidi"/>
          <w:color w:val="auto"/>
          <w:szCs w:val="24"/>
          <w:lang w:eastAsia="en-GB"/>
        </w:rPr>
      </w:pPr>
      <w:hyperlink w:anchor="_Toc111561066" w:history="1">
        <w:r w:rsidR="00E85407" w:rsidRPr="000930EA">
          <w:rPr>
            <w:rStyle w:val="Hyperlink"/>
          </w:rPr>
          <w:t>Preamble</w:t>
        </w:r>
        <w:r w:rsidR="00E85407">
          <w:rPr>
            <w:webHidden/>
          </w:rPr>
          <w:tab/>
        </w:r>
        <w:r w:rsidR="00E85407">
          <w:rPr>
            <w:webHidden/>
          </w:rPr>
          <w:fldChar w:fldCharType="begin"/>
        </w:r>
        <w:r w:rsidR="00E85407">
          <w:rPr>
            <w:webHidden/>
          </w:rPr>
          <w:instrText xml:space="preserve"> PAGEREF _Toc111561066 \h </w:instrText>
        </w:r>
        <w:r w:rsidR="00E85407">
          <w:rPr>
            <w:webHidden/>
          </w:rPr>
        </w:r>
        <w:r w:rsidR="00E85407">
          <w:rPr>
            <w:webHidden/>
          </w:rPr>
          <w:fldChar w:fldCharType="separate"/>
        </w:r>
        <w:r w:rsidR="00E85407">
          <w:rPr>
            <w:webHidden/>
          </w:rPr>
          <w:t>5</w:t>
        </w:r>
        <w:r w:rsidR="00E85407">
          <w:rPr>
            <w:webHidden/>
          </w:rPr>
          <w:fldChar w:fldCharType="end"/>
        </w:r>
      </w:hyperlink>
    </w:p>
    <w:p w14:paraId="40E2BC69" w14:textId="669D9EFF" w:rsidR="00E85407" w:rsidRDefault="008340E7" w:rsidP="00E85407">
      <w:pPr>
        <w:pStyle w:val="TOC1"/>
        <w:rPr>
          <w:rFonts w:asciiTheme="minorHAnsi" w:eastAsiaTheme="minorEastAsia" w:hAnsiTheme="minorHAnsi" w:cstheme="minorBidi"/>
          <w:color w:val="auto"/>
          <w:szCs w:val="24"/>
          <w:lang w:eastAsia="en-GB"/>
        </w:rPr>
      </w:pPr>
      <w:hyperlink w:anchor="_Toc111561071" w:history="1">
        <w:r w:rsidR="00E85407" w:rsidRPr="000930EA">
          <w:rPr>
            <w:rStyle w:val="Hyperlink"/>
          </w:rPr>
          <w:t>Summary of the submissions</w:t>
        </w:r>
        <w:r w:rsidR="00E85407">
          <w:rPr>
            <w:webHidden/>
          </w:rPr>
          <w:tab/>
        </w:r>
        <w:r w:rsidR="00E85407">
          <w:rPr>
            <w:webHidden/>
          </w:rPr>
          <w:fldChar w:fldCharType="begin"/>
        </w:r>
        <w:r w:rsidR="00E85407">
          <w:rPr>
            <w:webHidden/>
          </w:rPr>
          <w:instrText xml:space="preserve"> PAGEREF _Toc111561071 \h </w:instrText>
        </w:r>
        <w:r w:rsidR="00E85407">
          <w:rPr>
            <w:webHidden/>
          </w:rPr>
        </w:r>
        <w:r w:rsidR="00E85407">
          <w:rPr>
            <w:webHidden/>
          </w:rPr>
          <w:fldChar w:fldCharType="separate"/>
        </w:r>
        <w:r w:rsidR="00E85407">
          <w:rPr>
            <w:webHidden/>
          </w:rPr>
          <w:t>8</w:t>
        </w:r>
        <w:r w:rsidR="00E85407">
          <w:rPr>
            <w:webHidden/>
          </w:rPr>
          <w:fldChar w:fldCharType="end"/>
        </w:r>
      </w:hyperlink>
    </w:p>
    <w:p w14:paraId="5562E01C" w14:textId="645BA201" w:rsidR="00E85407" w:rsidRDefault="008340E7">
      <w:pPr>
        <w:pStyle w:val="TOC2"/>
        <w:rPr>
          <w:rFonts w:asciiTheme="minorHAnsi" w:eastAsiaTheme="minorEastAsia" w:hAnsiTheme="minorHAnsi" w:cstheme="minorBidi"/>
          <w:noProof/>
          <w:color w:val="auto"/>
          <w:szCs w:val="24"/>
          <w:lang w:eastAsia="en-GB"/>
        </w:rPr>
      </w:pPr>
      <w:hyperlink w:anchor="_Toc111561072" w:history="1">
        <w:r w:rsidR="00E85407" w:rsidRPr="000930EA">
          <w:rPr>
            <w:rStyle w:val="Hyperlink"/>
            <w:noProof/>
          </w:rPr>
          <w:t>Surgical assistant billing arrangements</w:t>
        </w:r>
        <w:r w:rsidR="00E85407">
          <w:rPr>
            <w:noProof/>
            <w:webHidden/>
          </w:rPr>
          <w:tab/>
        </w:r>
        <w:r w:rsidR="00E85407">
          <w:rPr>
            <w:noProof/>
            <w:webHidden/>
          </w:rPr>
          <w:fldChar w:fldCharType="begin"/>
        </w:r>
        <w:r w:rsidR="00E85407">
          <w:rPr>
            <w:noProof/>
            <w:webHidden/>
          </w:rPr>
          <w:instrText xml:space="preserve"> PAGEREF _Toc111561072 \h </w:instrText>
        </w:r>
        <w:r w:rsidR="00E85407">
          <w:rPr>
            <w:noProof/>
            <w:webHidden/>
          </w:rPr>
        </w:r>
        <w:r w:rsidR="00E85407">
          <w:rPr>
            <w:noProof/>
            <w:webHidden/>
          </w:rPr>
          <w:fldChar w:fldCharType="separate"/>
        </w:r>
        <w:r w:rsidR="00E85407">
          <w:rPr>
            <w:noProof/>
            <w:webHidden/>
          </w:rPr>
          <w:t>8</w:t>
        </w:r>
        <w:r w:rsidR="00E85407">
          <w:rPr>
            <w:noProof/>
            <w:webHidden/>
          </w:rPr>
          <w:fldChar w:fldCharType="end"/>
        </w:r>
      </w:hyperlink>
    </w:p>
    <w:p w14:paraId="4D3C7574" w14:textId="31871E74" w:rsidR="00E85407" w:rsidRDefault="008340E7">
      <w:pPr>
        <w:pStyle w:val="TOC2"/>
        <w:rPr>
          <w:rFonts w:asciiTheme="minorHAnsi" w:eastAsiaTheme="minorEastAsia" w:hAnsiTheme="minorHAnsi" w:cstheme="minorBidi"/>
          <w:noProof/>
          <w:color w:val="auto"/>
          <w:szCs w:val="24"/>
          <w:lang w:eastAsia="en-GB"/>
        </w:rPr>
      </w:pPr>
      <w:hyperlink w:anchor="_Toc111561073" w:history="1">
        <w:r w:rsidR="00E85407" w:rsidRPr="000930EA">
          <w:rPr>
            <w:rStyle w:val="Hyperlink"/>
            <w:noProof/>
          </w:rPr>
          <w:t>Access to surgical assistant MBS items for non-medical surgical assistants</w:t>
        </w:r>
        <w:r w:rsidR="00E85407">
          <w:rPr>
            <w:noProof/>
            <w:webHidden/>
          </w:rPr>
          <w:tab/>
        </w:r>
        <w:r w:rsidR="00E85407">
          <w:rPr>
            <w:noProof/>
            <w:webHidden/>
          </w:rPr>
          <w:fldChar w:fldCharType="begin"/>
        </w:r>
        <w:r w:rsidR="00E85407">
          <w:rPr>
            <w:noProof/>
            <w:webHidden/>
          </w:rPr>
          <w:instrText xml:space="preserve"> PAGEREF _Toc111561073 \h </w:instrText>
        </w:r>
        <w:r w:rsidR="00E85407">
          <w:rPr>
            <w:noProof/>
            <w:webHidden/>
          </w:rPr>
        </w:r>
        <w:r w:rsidR="00E85407">
          <w:rPr>
            <w:noProof/>
            <w:webHidden/>
          </w:rPr>
          <w:fldChar w:fldCharType="separate"/>
        </w:r>
        <w:r w:rsidR="00E85407">
          <w:rPr>
            <w:noProof/>
            <w:webHidden/>
          </w:rPr>
          <w:t>9</w:t>
        </w:r>
        <w:r w:rsidR="00E85407">
          <w:rPr>
            <w:noProof/>
            <w:webHidden/>
          </w:rPr>
          <w:fldChar w:fldCharType="end"/>
        </w:r>
      </w:hyperlink>
    </w:p>
    <w:p w14:paraId="2372B078" w14:textId="430C9E23" w:rsidR="00E85407" w:rsidRDefault="008340E7" w:rsidP="00E85407">
      <w:pPr>
        <w:pStyle w:val="TOC1"/>
        <w:rPr>
          <w:rFonts w:asciiTheme="minorHAnsi" w:eastAsiaTheme="minorEastAsia" w:hAnsiTheme="minorHAnsi" w:cstheme="minorBidi"/>
          <w:color w:val="auto"/>
          <w:szCs w:val="24"/>
          <w:lang w:eastAsia="en-GB"/>
        </w:rPr>
      </w:pPr>
      <w:hyperlink w:anchor="_Toc111561074" w:history="1">
        <w:r w:rsidR="00E85407" w:rsidRPr="000930EA">
          <w:rPr>
            <w:rStyle w:val="Hyperlink"/>
          </w:rPr>
          <w:t>Surgical Assistant Working Group</w:t>
        </w:r>
        <w:r w:rsidR="00E85407">
          <w:rPr>
            <w:webHidden/>
          </w:rPr>
          <w:tab/>
        </w:r>
        <w:r w:rsidR="00E85407">
          <w:rPr>
            <w:webHidden/>
          </w:rPr>
          <w:fldChar w:fldCharType="begin"/>
        </w:r>
        <w:r w:rsidR="00E85407">
          <w:rPr>
            <w:webHidden/>
          </w:rPr>
          <w:instrText xml:space="preserve"> PAGEREF _Toc111561074 \h </w:instrText>
        </w:r>
        <w:r w:rsidR="00E85407">
          <w:rPr>
            <w:webHidden/>
          </w:rPr>
        </w:r>
        <w:r w:rsidR="00E85407">
          <w:rPr>
            <w:webHidden/>
          </w:rPr>
          <w:fldChar w:fldCharType="separate"/>
        </w:r>
        <w:r w:rsidR="00E85407">
          <w:rPr>
            <w:webHidden/>
          </w:rPr>
          <w:t>10</w:t>
        </w:r>
        <w:r w:rsidR="00E85407">
          <w:rPr>
            <w:webHidden/>
          </w:rPr>
          <w:fldChar w:fldCharType="end"/>
        </w:r>
      </w:hyperlink>
    </w:p>
    <w:p w14:paraId="01E8B075" w14:textId="6B0F606A" w:rsidR="00E85407" w:rsidRDefault="008340E7" w:rsidP="00E85407">
      <w:pPr>
        <w:pStyle w:val="TOC1"/>
        <w:rPr>
          <w:rFonts w:asciiTheme="minorHAnsi" w:eastAsiaTheme="minorEastAsia" w:hAnsiTheme="minorHAnsi" w:cstheme="minorBidi"/>
          <w:color w:val="auto"/>
          <w:szCs w:val="24"/>
          <w:lang w:eastAsia="en-GB"/>
        </w:rPr>
      </w:pPr>
      <w:hyperlink w:anchor="_Toc111561075" w:history="1">
        <w:r w:rsidR="00E85407" w:rsidRPr="000930EA">
          <w:rPr>
            <w:rStyle w:val="Hyperlink"/>
          </w:rPr>
          <w:t>General response to the applications</w:t>
        </w:r>
        <w:r w:rsidR="00E85407">
          <w:rPr>
            <w:webHidden/>
          </w:rPr>
          <w:tab/>
        </w:r>
        <w:r w:rsidR="00E85407">
          <w:rPr>
            <w:webHidden/>
          </w:rPr>
          <w:fldChar w:fldCharType="begin"/>
        </w:r>
        <w:r w:rsidR="00E85407">
          <w:rPr>
            <w:webHidden/>
          </w:rPr>
          <w:instrText xml:space="preserve"> PAGEREF _Toc111561075 \h </w:instrText>
        </w:r>
        <w:r w:rsidR="00E85407">
          <w:rPr>
            <w:webHidden/>
          </w:rPr>
        </w:r>
        <w:r w:rsidR="00E85407">
          <w:rPr>
            <w:webHidden/>
          </w:rPr>
          <w:fldChar w:fldCharType="separate"/>
        </w:r>
        <w:r w:rsidR="00E85407">
          <w:rPr>
            <w:webHidden/>
          </w:rPr>
          <w:t>11</w:t>
        </w:r>
        <w:r w:rsidR="00E85407">
          <w:rPr>
            <w:webHidden/>
          </w:rPr>
          <w:fldChar w:fldCharType="end"/>
        </w:r>
      </w:hyperlink>
    </w:p>
    <w:p w14:paraId="56C62935" w14:textId="446FD11B" w:rsidR="00E85407" w:rsidRDefault="008340E7">
      <w:pPr>
        <w:pStyle w:val="TOC2"/>
        <w:rPr>
          <w:rFonts w:asciiTheme="minorHAnsi" w:eastAsiaTheme="minorEastAsia" w:hAnsiTheme="minorHAnsi" w:cstheme="minorBidi"/>
          <w:noProof/>
          <w:color w:val="auto"/>
          <w:szCs w:val="24"/>
          <w:lang w:eastAsia="en-GB"/>
        </w:rPr>
      </w:pPr>
      <w:hyperlink w:anchor="_Toc111561076" w:history="1">
        <w:r w:rsidR="00E85407" w:rsidRPr="000930EA">
          <w:rPr>
            <w:rStyle w:val="Hyperlink"/>
            <w:noProof/>
          </w:rPr>
          <w:t>Population</w:t>
        </w:r>
        <w:r w:rsidR="00E85407">
          <w:rPr>
            <w:noProof/>
            <w:webHidden/>
          </w:rPr>
          <w:tab/>
        </w:r>
        <w:r w:rsidR="00E85407">
          <w:rPr>
            <w:noProof/>
            <w:webHidden/>
          </w:rPr>
          <w:fldChar w:fldCharType="begin"/>
        </w:r>
        <w:r w:rsidR="00E85407">
          <w:rPr>
            <w:noProof/>
            <w:webHidden/>
          </w:rPr>
          <w:instrText xml:space="preserve"> PAGEREF _Toc111561076 \h </w:instrText>
        </w:r>
        <w:r w:rsidR="00E85407">
          <w:rPr>
            <w:noProof/>
            <w:webHidden/>
          </w:rPr>
        </w:r>
        <w:r w:rsidR="00E85407">
          <w:rPr>
            <w:noProof/>
            <w:webHidden/>
          </w:rPr>
          <w:fldChar w:fldCharType="separate"/>
        </w:r>
        <w:r w:rsidR="00E85407">
          <w:rPr>
            <w:noProof/>
            <w:webHidden/>
          </w:rPr>
          <w:t>11</w:t>
        </w:r>
        <w:r w:rsidR="00E85407">
          <w:rPr>
            <w:noProof/>
            <w:webHidden/>
          </w:rPr>
          <w:fldChar w:fldCharType="end"/>
        </w:r>
      </w:hyperlink>
    </w:p>
    <w:p w14:paraId="0B27B2A5" w14:textId="2BC08C12" w:rsidR="00E85407" w:rsidRDefault="008340E7">
      <w:pPr>
        <w:pStyle w:val="TOC2"/>
        <w:rPr>
          <w:rFonts w:asciiTheme="minorHAnsi" w:eastAsiaTheme="minorEastAsia" w:hAnsiTheme="minorHAnsi" w:cstheme="minorBidi"/>
          <w:noProof/>
          <w:color w:val="auto"/>
          <w:szCs w:val="24"/>
          <w:lang w:eastAsia="en-GB"/>
        </w:rPr>
      </w:pPr>
      <w:hyperlink w:anchor="_Toc111561077" w:history="1">
        <w:r w:rsidR="00E85407" w:rsidRPr="000930EA">
          <w:rPr>
            <w:rStyle w:val="Hyperlink"/>
            <w:noProof/>
          </w:rPr>
          <w:t>Intervention</w:t>
        </w:r>
        <w:r w:rsidR="00E85407">
          <w:rPr>
            <w:noProof/>
            <w:webHidden/>
          </w:rPr>
          <w:tab/>
        </w:r>
        <w:r w:rsidR="00E85407">
          <w:rPr>
            <w:noProof/>
            <w:webHidden/>
          </w:rPr>
          <w:fldChar w:fldCharType="begin"/>
        </w:r>
        <w:r w:rsidR="00E85407">
          <w:rPr>
            <w:noProof/>
            <w:webHidden/>
          </w:rPr>
          <w:instrText xml:space="preserve"> PAGEREF _Toc111561077 \h </w:instrText>
        </w:r>
        <w:r w:rsidR="00E85407">
          <w:rPr>
            <w:noProof/>
            <w:webHidden/>
          </w:rPr>
        </w:r>
        <w:r w:rsidR="00E85407">
          <w:rPr>
            <w:noProof/>
            <w:webHidden/>
          </w:rPr>
          <w:fldChar w:fldCharType="separate"/>
        </w:r>
        <w:r w:rsidR="00E85407">
          <w:rPr>
            <w:noProof/>
            <w:webHidden/>
          </w:rPr>
          <w:t>11</w:t>
        </w:r>
        <w:r w:rsidR="00E85407">
          <w:rPr>
            <w:noProof/>
            <w:webHidden/>
          </w:rPr>
          <w:fldChar w:fldCharType="end"/>
        </w:r>
      </w:hyperlink>
    </w:p>
    <w:p w14:paraId="0CFD2D00" w14:textId="32C891C9" w:rsidR="00E85407" w:rsidRDefault="008340E7">
      <w:pPr>
        <w:pStyle w:val="TOC2"/>
        <w:rPr>
          <w:rFonts w:asciiTheme="minorHAnsi" w:eastAsiaTheme="minorEastAsia" w:hAnsiTheme="minorHAnsi" w:cstheme="minorBidi"/>
          <w:noProof/>
          <w:color w:val="auto"/>
          <w:szCs w:val="24"/>
          <w:lang w:eastAsia="en-GB"/>
        </w:rPr>
      </w:pPr>
      <w:hyperlink w:anchor="_Toc111561078" w:history="1">
        <w:r w:rsidR="00E85407" w:rsidRPr="000930EA">
          <w:rPr>
            <w:rStyle w:val="Hyperlink"/>
            <w:noProof/>
          </w:rPr>
          <w:t>Comparator</w:t>
        </w:r>
        <w:r w:rsidR="00E85407">
          <w:rPr>
            <w:noProof/>
            <w:webHidden/>
          </w:rPr>
          <w:tab/>
        </w:r>
        <w:r w:rsidR="00E85407">
          <w:rPr>
            <w:noProof/>
            <w:webHidden/>
          </w:rPr>
          <w:fldChar w:fldCharType="begin"/>
        </w:r>
        <w:r w:rsidR="00E85407">
          <w:rPr>
            <w:noProof/>
            <w:webHidden/>
          </w:rPr>
          <w:instrText xml:space="preserve"> PAGEREF _Toc111561078 \h </w:instrText>
        </w:r>
        <w:r w:rsidR="00E85407">
          <w:rPr>
            <w:noProof/>
            <w:webHidden/>
          </w:rPr>
        </w:r>
        <w:r w:rsidR="00E85407">
          <w:rPr>
            <w:noProof/>
            <w:webHidden/>
          </w:rPr>
          <w:fldChar w:fldCharType="separate"/>
        </w:r>
        <w:r w:rsidR="00E85407">
          <w:rPr>
            <w:noProof/>
            <w:webHidden/>
          </w:rPr>
          <w:t>12</w:t>
        </w:r>
        <w:r w:rsidR="00E85407">
          <w:rPr>
            <w:noProof/>
            <w:webHidden/>
          </w:rPr>
          <w:fldChar w:fldCharType="end"/>
        </w:r>
      </w:hyperlink>
    </w:p>
    <w:p w14:paraId="67B4104C" w14:textId="7858062C" w:rsidR="00E85407" w:rsidRDefault="008340E7">
      <w:pPr>
        <w:pStyle w:val="TOC2"/>
        <w:rPr>
          <w:rFonts w:asciiTheme="minorHAnsi" w:eastAsiaTheme="minorEastAsia" w:hAnsiTheme="minorHAnsi" w:cstheme="minorBidi"/>
          <w:noProof/>
          <w:color w:val="auto"/>
          <w:szCs w:val="24"/>
          <w:lang w:eastAsia="en-GB"/>
        </w:rPr>
      </w:pPr>
      <w:hyperlink w:anchor="_Toc111561079" w:history="1">
        <w:r w:rsidR="00E85407" w:rsidRPr="000930EA">
          <w:rPr>
            <w:rStyle w:val="Hyperlink"/>
            <w:noProof/>
          </w:rPr>
          <w:t>Outcomes</w:t>
        </w:r>
        <w:r w:rsidR="00E85407">
          <w:rPr>
            <w:noProof/>
            <w:webHidden/>
          </w:rPr>
          <w:tab/>
        </w:r>
        <w:r w:rsidR="00E85407">
          <w:rPr>
            <w:noProof/>
            <w:webHidden/>
          </w:rPr>
          <w:fldChar w:fldCharType="begin"/>
        </w:r>
        <w:r w:rsidR="00E85407">
          <w:rPr>
            <w:noProof/>
            <w:webHidden/>
          </w:rPr>
          <w:instrText xml:space="preserve"> PAGEREF _Toc111561079 \h </w:instrText>
        </w:r>
        <w:r w:rsidR="00E85407">
          <w:rPr>
            <w:noProof/>
            <w:webHidden/>
          </w:rPr>
        </w:r>
        <w:r w:rsidR="00E85407">
          <w:rPr>
            <w:noProof/>
            <w:webHidden/>
          </w:rPr>
          <w:fldChar w:fldCharType="separate"/>
        </w:r>
        <w:r w:rsidR="00E85407">
          <w:rPr>
            <w:noProof/>
            <w:webHidden/>
          </w:rPr>
          <w:t>12</w:t>
        </w:r>
        <w:r w:rsidR="00E85407">
          <w:rPr>
            <w:noProof/>
            <w:webHidden/>
          </w:rPr>
          <w:fldChar w:fldCharType="end"/>
        </w:r>
      </w:hyperlink>
    </w:p>
    <w:p w14:paraId="01E20F67" w14:textId="4E63C490" w:rsidR="00E85407" w:rsidRDefault="008340E7" w:rsidP="00E85407">
      <w:pPr>
        <w:pStyle w:val="TOC1"/>
        <w:rPr>
          <w:rFonts w:asciiTheme="minorHAnsi" w:eastAsiaTheme="minorEastAsia" w:hAnsiTheme="minorHAnsi" w:cstheme="minorBidi"/>
          <w:color w:val="auto"/>
          <w:szCs w:val="24"/>
          <w:lang w:eastAsia="en-GB"/>
        </w:rPr>
      </w:pPr>
      <w:hyperlink w:anchor="_Toc111561080" w:history="1">
        <w:r w:rsidR="00E85407" w:rsidRPr="000930EA">
          <w:rPr>
            <w:rStyle w:val="Hyperlink"/>
          </w:rPr>
          <w:t>Assessment of main issues</w:t>
        </w:r>
        <w:r w:rsidR="00E85407">
          <w:rPr>
            <w:webHidden/>
          </w:rPr>
          <w:tab/>
        </w:r>
        <w:r w:rsidR="00E85407">
          <w:rPr>
            <w:webHidden/>
          </w:rPr>
          <w:fldChar w:fldCharType="begin"/>
        </w:r>
        <w:r w:rsidR="00E85407">
          <w:rPr>
            <w:webHidden/>
          </w:rPr>
          <w:instrText xml:space="preserve"> PAGEREF _Toc111561080 \h </w:instrText>
        </w:r>
        <w:r w:rsidR="00E85407">
          <w:rPr>
            <w:webHidden/>
          </w:rPr>
        </w:r>
        <w:r w:rsidR="00E85407">
          <w:rPr>
            <w:webHidden/>
          </w:rPr>
          <w:fldChar w:fldCharType="separate"/>
        </w:r>
        <w:r w:rsidR="00E85407">
          <w:rPr>
            <w:webHidden/>
          </w:rPr>
          <w:t>14</w:t>
        </w:r>
        <w:r w:rsidR="00E85407">
          <w:rPr>
            <w:webHidden/>
          </w:rPr>
          <w:fldChar w:fldCharType="end"/>
        </w:r>
      </w:hyperlink>
    </w:p>
    <w:p w14:paraId="58758316" w14:textId="0635FE36" w:rsidR="00E85407" w:rsidRDefault="008340E7">
      <w:pPr>
        <w:pStyle w:val="TOC2"/>
        <w:rPr>
          <w:rFonts w:asciiTheme="minorHAnsi" w:eastAsiaTheme="minorEastAsia" w:hAnsiTheme="minorHAnsi" w:cstheme="minorBidi"/>
          <w:noProof/>
          <w:color w:val="auto"/>
          <w:szCs w:val="24"/>
          <w:lang w:eastAsia="en-GB"/>
        </w:rPr>
      </w:pPr>
      <w:hyperlink w:anchor="_Toc111561081" w:history="1">
        <w:r w:rsidR="00E85407" w:rsidRPr="000930EA">
          <w:rPr>
            <w:rStyle w:val="Hyperlink"/>
            <w:noProof/>
          </w:rPr>
          <w:t>Impacts on other aspects of the healthcare system</w:t>
        </w:r>
        <w:r w:rsidR="00E85407">
          <w:rPr>
            <w:noProof/>
            <w:webHidden/>
          </w:rPr>
          <w:tab/>
        </w:r>
        <w:r w:rsidR="00E85407">
          <w:rPr>
            <w:noProof/>
            <w:webHidden/>
          </w:rPr>
          <w:fldChar w:fldCharType="begin"/>
        </w:r>
        <w:r w:rsidR="00E85407">
          <w:rPr>
            <w:noProof/>
            <w:webHidden/>
          </w:rPr>
          <w:instrText xml:space="preserve"> PAGEREF _Toc111561081 \h </w:instrText>
        </w:r>
        <w:r w:rsidR="00E85407">
          <w:rPr>
            <w:noProof/>
            <w:webHidden/>
          </w:rPr>
        </w:r>
        <w:r w:rsidR="00E85407">
          <w:rPr>
            <w:noProof/>
            <w:webHidden/>
          </w:rPr>
          <w:fldChar w:fldCharType="separate"/>
        </w:r>
        <w:r w:rsidR="00E85407">
          <w:rPr>
            <w:noProof/>
            <w:webHidden/>
          </w:rPr>
          <w:t>14</w:t>
        </w:r>
        <w:r w:rsidR="00E85407">
          <w:rPr>
            <w:noProof/>
            <w:webHidden/>
          </w:rPr>
          <w:fldChar w:fldCharType="end"/>
        </w:r>
      </w:hyperlink>
    </w:p>
    <w:p w14:paraId="2F32C454" w14:textId="451B095E" w:rsidR="00E85407" w:rsidRDefault="008340E7">
      <w:pPr>
        <w:pStyle w:val="TOC3"/>
        <w:rPr>
          <w:rFonts w:asciiTheme="minorHAnsi" w:eastAsiaTheme="minorEastAsia" w:hAnsiTheme="minorHAnsi" w:cstheme="minorBidi"/>
          <w:noProof/>
          <w:color w:val="auto"/>
          <w:szCs w:val="24"/>
          <w:lang w:eastAsia="en-GB"/>
        </w:rPr>
      </w:pPr>
      <w:hyperlink w:anchor="_Toc111561082" w:history="1">
        <w:r w:rsidR="00E85407" w:rsidRPr="000930EA">
          <w:rPr>
            <w:rStyle w:val="Hyperlink"/>
            <w:noProof/>
          </w:rPr>
          <w:t>Workforce impacts</w:t>
        </w:r>
        <w:r w:rsidR="00E85407">
          <w:rPr>
            <w:noProof/>
            <w:webHidden/>
          </w:rPr>
          <w:tab/>
        </w:r>
        <w:r w:rsidR="00E85407">
          <w:rPr>
            <w:noProof/>
            <w:webHidden/>
          </w:rPr>
          <w:fldChar w:fldCharType="begin"/>
        </w:r>
        <w:r w:rsidR="00E85407">
          <w:rPr>
            <w:noProof/>
            <w:webHidden/>
          </w:rPr>
          <w:instrText xml:space="preserve"> PAGEREF _Toc111561082 \h </w:instrText>
        </w:r>
        <w:r w:rsidR="00E85407">
          <w:rPr>
            <w:noProof/>
            <w:webHidden/>
          </w:rPr>
        </w:r>
        <w:r w:rsidR="00E85407">
          <w:rPr>
            <w:noProof/>
            <w:webHidden/>
          </w:rPr>
          <w:fldChar w:fldCharType="separate"/>
        </w:r>
        <w:r w:rsidR="00E85407">
          <w:rPr>
            <w:noProof/>
            <w:webHidden/>
          </w:rPr>
          <w:t>14</w:t>
        </w:r>
        <w:r w:rsidR="00E85407">
          <w:rPr>
            <w:noProof/>
            <w:webHidden/>
          </w:rPr>
          <w:fldChar w:fldCharType="end"/>
        </w:r>
      </w:hyperlink>
    </w:p>
    <w:p w14:paraId="49A2931F" w14:textId="61DEC4E2" w:rsidR="00E85407" w:rsidRDefault="008340E7">
      <w:pPr>
        <w:pStyle w:val="TOC3"/>
        <w:rPr>
          <w:rFonts w:asciiTheme="minorHAnsi" w:eastAsiaTheme="minorEastAsia" w:hAnsiTheme="minorHAnsi" w:cstheme="minorBidi"/>
          <w:noProof/>
          <w:color w:val="auto"/>
          <w:szCs w:val="24"/>
          <w:lang w:eastAsia="en-GB"/>
        </w:rPr>
      </w:pPr>
      <w:hyperlink w:anchor="_Toc111561083" w:history="1">
        <w:r w:rsidR="00E85407" w:rsidRPr="000930EA">
          <w:rPr>
            <w:rStyle w:val="Hyperlink"/>
            <w:noProof/>
          </w:rPr>
          <w:t>Patient care and out-of-pocket costs</w:t>
        </w:r>
        <w:r w:rsidR="00E85407">
          <w:rPr>
            <w:noProof/>
            <w:webHidden/>
          </w:rPr>
          <w:tab/>
        </w:r>
        <w:r w:rsidR="00E85407">
          <w:rPr>
            <w:noProof/>
            <w:webHidden/>
          </w:rPr>
          <w:fldChar w:fldCharType="begin"/>
        </w:r>
        <w:r w:rsidR="00E85407">
          <w:rPr>
            <w:noProof/>
            <w:webHidden/>
          </w:rPr>
          <w:instrText xml:space="preserve"> PAGEREF _Toc111561083 \h </w:instrText>
        </w:r>
        <w:r w:rsidR="00E85407">
          <w:rPr>
            <w:noProof/>
            <w:webHidden/>
          </w:rPr>
        </w:r>
        <w:r w:rsidR="00E85407">
          <w:rPr>
            <w:noProof/>
            <w:webHidden/>
          </w:rPr>
          <w:fldChar w:fldCharType="separate"/>
        </w:r>
        <w:r w:rsidR="00E85407">
          <w:rPr>
            <w:noProof/>
            <w:webHidden/>
          </w:rPr>
          <w:t>14</w:t>
        </w:r>
        <w:r w:rsidR="00E85407">
          <w:rPr>
            <w:noProof/>
            <w:webHidden/>
          </w:rPr>
          <w:fldChar w:fldCharType="end"/>
        </w:r>
      </w:hyperlink>
    </w:p>
    <w:p w14:paraId="7CF2E679" w14:textId="7731143A" w:rsidR="00E85407" w:rsidRDefault="008340E7">
      <w:pPr>
        <w:pStyle w:val="TOC2"/>
        <w:rPr>
          <w:rFonts w:asciiTheme="minorHAnsi" w:eastAsiaTheme="minorEastAsia" w:hAnsiTheme="minorHAnsi" w:cstheme="minorBidi"/>
          <w:noProof/>
          <w:color w:val="auto"/>
          <w:szCs w:val="24"/>
          <w:lang w:eastAsia="en-GB"/>
        </w:rPr>
      </w:pPr>
      <w:hyperlink w:anchor="_Toc111561084" w:history="1">
        <w:r w:rsidR="00E85407" w:rsidRPr="000930EA">
          <w:rPr>
            <w:rStyle w:val="Hyperlink"/>
            <w:noProof/>
          </w:rPr>
          <w:t>Other issues</w:t>
        </w:r>
        <w:r w:rsidR="00E85407">
          <w:rPr>
            <w:noProof/>
            <w:webHidden/>
          </w:rPr>
          <w:tab/>
        </w:r>
        <w:r w:rsidR="00E85407">
          <w:rPr>
            <w:noProof/>
            <w:webHidden/>
          </w:rPr>
          <w:fldChar w:fldCharType="begin"/>
        </w:r>
        <w:r w:rsidR="00E85407">
          <w:rPr>
            <w:noProof/>
            <w:webHidden/>
          </w:rPr>
          <w:instrText xml:space="preserve"> PAGEREF _Toc111561084 \h </w:instrText>
        </w:r>
        <w:r w:rsidR="00E85407">
          <w:rPr>
            <w:noProof/>
            <w:webHidden/>
          </w:rPr>
        </w:r>
        <w:r w:rsidR="00E85407">
          <w:rPr>
            <w:noProof/>
            <w:webHidden/>
          </w:rPr>
          <w:fldChar w:fldCharType="separate"/>
        </w:r>
        <w:r w:rsidR="00E85407">
          <w:rPr>
            <w:noProof/>
            <w:webHidden/>
          </w:rPr>
          <w:t>14</w:t>
        </w:r>
        <w:r w:rsidR="00E85407">
          <w:rPr>
            <w:noProof/>
            <w:webHidden/>
          </w:rPr>
          <w:fldChar w:fldCharType="end"/>
        </w:r>
      </w:hyperlink>
    </w:p>
    <w:p w14:paraId="0D80A479" w14:textId="64131836" w:rsidR="00E85407" w:rsidRDefault="008340E7">
      <w:pPr>
        <w:pStyle w:val="TOC3"/>
        <w:rPr>
          <w:rFonts w:asciiTheme="minorHAnsi" w:eastAsiaTheme="minorEastAsia" w:hAnsiTheme="minorHAnsi" w:cstheme="minorBidi"/>
          <w:noProof/>
          <w:color w:val="auto"/>
          <w:szCs w:val="24"/>
          <w:lang w:eastAsia="en-GB"/>
        </w:rPr>
      </w:pPr>
      <w:hyperlink w:anchor="_Toc111561085" w:history="1">
        <w:r w:rsidR="00E85407" w:rsidRPr="000930EA">
          <w:rPr>
            <w:rStyle w:val="Hyperlink"/>
            <w:noProof/>
          </w:rPr>
          <w:t>Qualifications and credentialling</w:t>
        </w:r>
        <w:r w:rsidR="00E85407">
          <w:rPr>
            <w:noProof/>
            <w:webHidden/>
          </w:rPr>
          <w:tab/>
        </w:r>
        <w:r w:rsidR="00E85407">
          <w:rPr>
            <w:noProof/>
            <w:webHidden/>
          </w:rPr>
          <w:fldChar w:fldCharType="begin"/>
        </w:r>
        <w:r w:rsidR="00E85407">
          <w:rPr>
            <w:noProof/>
            <w:webHidden/>
          </w:rPr>
          <w:instrText xml:space="preserve"> PAGEREF _Toc111561085 \h </w:instrText>
        </w:r>
        <w:r w:rsidR="00E85407">
          <w:rPr>
            <w:noProof/>
            <w:webHidden/>
          </w:rPr>
        </w:r>
        <w:r w:rsidR="00E85407">
          <w:rPr>
            <w:noProof/>
            <w:webHidden/>
          </w:rPr>
          <w:fldChar w:fldCharType="separate"/>
        </w:r>
        <w:r w:rsidR="00E85407">
          <w:rPr>
            <w:noProof/>
            <w:webHidden/>
          </w:rPr>
          <w:t>14</w:t>
        </w:r>
        <w:r w:rsidR="00E85407">
          <w:rPr>
            <w:noProof/>
            <w:webHidden/>
          </w:rPr>
          <w:fldChar w:fldCharType="end"/>
        </w:r>
      </w:hyperlink>
    </w:p>
    <w:p w14:paraId="1B327AD2" w14:textId="2457BB19" w:rsidR="00E85407" w:rsidRDefault="008340E7">
      <w:pPr>
        <w:pStyle w:val="TOC3"/>
        <w:rPr>
          <w:rFonts w:asciiTheme="minorHAnsi" w:eastAsiaTheme="minorEastAsia" w:hAnsiTheme="minorHAnsi" w:cstheme="minorBidi"/>
          <w:noProof/>
          <w:color w:val="auto"/>
          <w:szCs w:val="24"/>
          <w:lang w:eastAsia="en-GB"/>
        </w:rPr>
      </w:pPr>
      <w:hyperlink w:anchor="_Toc111561086" w:history="1">
        <w:r w:rsidR="00E85407" w:rsidRPr="000930EA">
          <w:rPr>
            <w:rStyle w:val="Hyperlink"/>
            <w:noProof/>
          </w:rPr>
          <w:t>Number of nurse practitioners and perioperative nurses that could have access to MBS items</w:t>
        </w:r>
        <w:r w:rsidR="00E85407">
          <w:rPr>
            <w:noProof/>
            <w:webHidden/>
          </w:rPr>
          <w:tab/>
        </w:r>
        <w:r w:rsidR="00E85407">
          <w:rPr>
            <w:noProof/>
            <w:webHidden/>
          </w:rPr>
          <w:fldChar w:fldCharType="begin"/>
        </w:r>
        <w:r w:rsidR="00E85407">
          <w:rPr>
            <w:noProof/>
            <w:webHidden/>
          </w:rPr>
          <w:instrText xml:space="preserve"> PAGEREF _Toc111561086 \h </w:instrText>
        </w:r>
        <w:r w:rsidR="00E85407">
          <w:rPr>
            <w:noProof/>
            <w:webHidden/>
          </w:rPr>
        </w:r>
        <w:r w:rsidR="00E85407">
          <w:rPr>
            <w:noProof/>
            <w:webHidden/>
          </w:rPr>
          <w:fldChar w:fldCharType="separate"/>
        </w:r>
        <w:r w:rsidR="00E85407">
          <w:rPr>
            <w:noProof/>
            <w:webHidden/>
          </w:rPr>
          <w:t>15</w:t>
        </w:r>
        <w:r w:rsidR="00E85407">
          <w:rPr>
            <w:noProof/>
            <w:webHidden/>
          </w:rPr>
          <w:fldChar w:fldCharType="end"/>
        </w:r>
      </w:hyperlink>
    </w:p>
    <w:p w14:paraId="7A9E7AFD" w14:textId="34125B75" w:rsidR="00E85407" w:rsidRDefault="008340E7">
      <w:pPr>
        <w:pStyle w:val="TOC3"/>
        <w:rPr>
          <w:rFonts w:asciiTheme="minorHAnsi" w:eastAsiaTheme="minorEastAsia" w:hAnsiTheme="minorHAnsi" w:cstheme="minorBidi"/>
          <w:noProof/>
          <w:color w:val="auto"/>
          <w:szCs w:val="24"/>
          <w:lang w:eastAsia="en-GB"/>
        </w:rPr>
      </w:pPr>
      <w:hyperlink w:anchor="_Toc111561087" w:history="1">
        <w:r w:rsidR="00E85407" w:rsidRPr="000930EA">
          <w:rPr>
            <w:rStyle w:val="Hyperlink"/>
            <w:noProof/>
          </w:rPr>
          <w:t>Metropolitan versus rural/remote</w:t>
        </w:r>
        <w:r w:rsidR="00E85407">
          <w:rPr>
            <w:noProof/>
            <w:webHidden/>
          </w:rPr>
          <w:tab/>
        </w:r>
        <w:r w:rsidR="00E85407">
          <w:rPr>
            <w:noProof/>
            <w:webHidden/>
          </w:rPr>
          <w:fldChar w:fldCharType="begin"/>
        </w:r>
        <w:r w:rsidR="00E85407">
          <w:rPr>
            <w:noProof/>
            <w:webHidden/>
          </w:rPr>
          <w:instrText xml:space="preserve"> PAGEREF _Toc111561087 \h </w:instrText>
        </w:r>
        <w:r w:rsidR="00E85407">
          <w:rPr>
            <w:noProof/>
            <w:webHidden/>
          </w:rPr>
        </w:r>
        <w:r w:rsidR="00E85407">
          <w:rPr>
            <w:noProof/>
            <w:webHidden/>
          </w:rPr>
          <w:fldChar w:fldCharType="separate"/>
        </w:r>
        <w:r w:rsidR="00E85407">
          <w:rPr>
            <w:noProof/>
            <w:webHidden/>
          </w:rPr>
          <w:t>15</w:t>
        </w:r>
        <w:r w:rsidR="00E85407">
          <w:rPr>
            <w:noProof/>
            <w:webHidden/>
          </w:rPr>
          <w:fldChar w:fldCharType="end"/>
        </w:r>
      </w:hyperlink>
    </w:p>
    <w:p w14:paraId="2CE13EA9" w14:textId="4C67AD38" w:rsidR="00E85407" w:rsidRDefault="008340E7">
      <w:pPr>
        <w:pStyle w:val="TOC3"/>
        <w:rPr>
          <w:rFonts w:asciiTheme="minorHAnsi" w:eastAsiaTheme="minorEastAsia" w:hAnsiTheme="minorHAnsi" w:cstheme="minorBidi"/>
          <w:noProof/>
          <w:color w:val="auto"/>
          <w:szCs w:val="24"/>
          <w:lang w:eastAsia="en-GB"/>
        </w:rPr>
      </w:pPr>
      <w:hyperlink w:anchor="_Toc111561088" w:history="1">
        <w:r w:rsidR="00E85407" w:rsidRPr="000930EA">
          <w:rPr>
            <w:rStyle w:val="Hyperlink"/>
            <w:noProof/>
          </w:rPr>
          <w:t>Cost-effectiveness and estimated cost to the government</w:t>
        </w:r>
        <w:r w:rsidR="00E85407">
          <w:rPr>
            <w:noProof/>
            <w:webHidden/>
          </w:rPr>
          <w:tab/>
        </w:r>
        <w:r w:rsidR="00E85407">
          <w:rPr>
            <w:noProof/>
            <w:webHidden/>
          </w:rPr>
          <w:fldChar w:fldCharType="begin"/>
        </w:r>
        <w:r w:rsidR="00E85407">
          <w:rPr>
            <w:noProof/>
            <w:webHidden/>
          </w:rPr>
          <w:instrText xml:space="preserve"> PAGEREF _Toc111561088 \h </w:instrText>
        </w:r>
        <w:r w:rsidR="00E85407">
          <w:rPr>
            <w:noProof/>
            <w:webHidden/>
          </w:rPr>
        </w:r>
        <w:r w:rsidR="00E85407">
          <w:rPr>
            <w:noProof/>
            <w:webHidden/>
          </w:rPr>
          <w:fldChar w:fldCharType="separate"/>
        </w:r>
        <w:r w:rsidR="00E85407">
          <w:rPr>
            <w:noProof/>
            <w:webHidden/>
          </w:rPr>
          <w:t>16</w:t>
        </w:r>
        <w:r w:rsidR="00E85407">
          <w:rPr>
            <w:noProof/>
            <w:webHidden/>
          </w:rPr>
          <w:fldChar w:fldCharType="end"/>
        </w:r>
      </w:hyperlink>
    </w:p>
    <w:p w14:paraId="582DB1E2" w14:textId="3302A48D" w:rsidR="00E85407" w:rsidRDefault="008340E7" w:rsidP="00E85407">
      <w:pPr>
        <w:pStyle w:val="TOC1"/>
        <w:rPr>
          <w:rFonts w:asciiTheme="minorHAnsi" w:eastAsiaTheme="minorEastAsia" w:hAnsiTheme="minorHAnsi" w:cstheme="minorBidi"/>
          <w:color w:val="auto"/>
          <w:szCs w:val="24"/>
          <w:lang w:eastAsia="en-GB"/>
        </w:rPr>
      </w:pPr>
      <w:hyperlink w:anchor="_Toc111561089" w:history="1">
        <w:r w:rsidR="00E85407" w:rsidRPr="000930EA">
          <w:rPr>
            <w:rStyle w:val="Hyperlink"/>
          </w:rPr>
          <w:t>Qualitative and quantitative analysis</w:t>
        </w:r>
        <w:r w:rsidR="00E85407">
          <w:rPr>
            <w:webHidden/>
          </w:rPr>
          <w:tab/>
        </w:r>
        <w:r w:rsidR="00E85407">
          <w:rPr>
            <w:webHidden/>
          </w:rPr>
          <w:fldChar w:fldCharType="begin"/>
        </w:r>
        <w:r w:rsidR="00E85407">
          <w:rPr>
            <w:webHidden/>
          </w:rPr>
          <w:instrText xml:space="preserve"> PAGEREF _Toc111561089 \h </w:instrText>
        </w:r>
        <w:r w:rsidR="00E85407">
          <w:rPr>
            <w:webHidden/>
          </w:rPr>
        </w:r>
        <w:r w:rsidR="00E85407">
          <w:rPr>
            <w:webHidden/>
          </w:rPr>
          <w:fldChar w:fldCharType="separate"/>
        </w:r>
        <w:r w:rsidR="00E85407">
          <w:rPr>
            <w:webHidden/>
          </w:rPr>
          <w:t>17</w:t>
        </w:r>
        <w:r w:rsidR="00E85407">
          <w:rPr>
            <w:webHidden/>
          </w:rPr>
          <w:fldChar w:fldCharType="end"/>
        </w:r>
      </w:hyperlink>
    </w:p>
    <w:p w14:paraId="6C0E18CB" w14:textId="5BA56371" w:rsidR="00E85407" w:rsidRDefault="008340E7">
      <w:pPr>
        <w:pStyle w:val="TOC2"/>
        <w:rPr>
          <w:rFonts w:asciiTheme="minorHAnsi" w:eastAsiaTheme="minorEastAsia" w:hAnsiTheme="minorHAnsi" w:cstheme="minorBidi"/>
          <w:noProof/>
          <w:color w:val="auto"/>
          <w:szCs w:val="24"/>
          <w:lang w:eastAsia="en-GB"/>
        </w:rPr>
      </w:pPr>
      <w:hyperlink w:anchor="_Toc111561090" w:history="1">
        <w:r w:rsidR="00E85407" w:rsidRPr="000930EA">
          <w:rPr>
            <w:rStyle w:val="Hyperlink"/>
            <w:noProof/>
          </w:rPr>
          <w:t>Strength of clinical evidence</w:t>
        </w:r>
        <w:r w:rsidR="00E85407">
          <w:rPr>
            <w:noProof/>
            <w:webHidden/>
          </w:rPr>
          <w:tab/>
        </w:r>
        <w:r w:rsidR="00E85407">
          <w:rPr>
            <w:noProof/>
            <w:webHidden/>
          </w:rPr>
          <w:fldChar w:fldCharType="begin"/>
        </w:r>
        <w:r w:rsidR="00E85407">
          <w:rPr>
            <w:noProof/>
            <w:webHidden/>
          </w:rPr>
          <w:instrText xml:space="preserve"> PAGEREF _Toc111561090 \h </w:instrText>
        </w:r>
        <w:r w:rsidR="00E85407">
          <w:rPr>
            <w:noProof/>
            <w:webHidden/>
          </w:rPr>
        </w:r>
        <w:r w:rsidR="00E85407">
          <w:rPr>
            <w:noProof/>
            <w:webHidden/>
          </w:rPr>
          <w:fldChar w:fldCharType="separate"/>
        </w:r>
        <w:r w:rsidR="00E85407">
          <w:rPr>
            <w:noProof/>
            <w:webHidden/>
          </w:rPr>
          <w:t>17</w:t>
        </w:r>
        <w:r w:rsidR="00E85407">
          <w:rPr>
            <w:noProof/>
            <w:webHidden/>
          </w:rPr>
          <w:fldChar w:fldCharType="end"/>
        </w:r>
      </w:hyperlink>
    </w:p>
    <w:p w14:paraId="73DA20F3" w14:textId="50C70FC7" w:rsidR="00E85407" w:rsidRDefault="008340E7" w:rsidP="00E85407">
      <w:pPr>
        <w:pStyle w:val="TOC1"/>
        <w:rPr>
          <w:rFonts w:asciiTheme="minorHAnsi" w:eastAsiaTheme="minorEastAsia" w:hAnsiTheme="minorHAnsi" w:cstheme="minorBidi"/>
          <w:color w:val="auto"/>
          <w:szCs w:val="24"/>
          <w:lang w:eastAsia="en-GB"/>
        </w:rPr>
      </w:pPr>
      <w:hyperlink w:anchor="_Toc111561091" w:history="1">
        <w:r w:rsidR="00E85407" w:rsidRPr="000930EA">
          <w:rPr>
            <w:rStyle w:val="Hyperlink"/>
          </w:rPr>
          <w:t>Information gaps and barriers to implementation</w:t>
        </w:r>
        <w:r w:rsidR="00E85407">
          <w:rPr>
            <w:webHidden/>
          </w:rPr>
          <w:tab/>
        </w:r>
        <w:r w:rsidR="00E85407">
          <w:rPr>
            <w:webHidden/>
          </w:rPr>
          <w:fldChar w:fldCharType="begin"/>
        </w:r>
        <w:r w:rsidR="00E85407">
          <w:rPr>
            <w:webHidden/>
          </w:rPr>
          <w:instrText xml:space="preserve"> PAGEREF _Toc111561091 \h </w:instrText>
        </w:r>
        <w:r w:rsidR="00E85407">
          <w:rPr>
            <w:webHidden/>
          </w:rPr>
        </w:r>
        <w:r w:rsidR="00E85407">
          <w:rPr>
            <w:webHidden/>
          </w:rPr>
          <w:fldChar w:fldCharType="separate"/>
        </w:r>
        <w:r w:rsidR="00E85407">
          <w:rPr>
            <w:webHidden/>
          </w:rPr>
          <w:t>18</w:t>
        </w:r>
        <w:r w:rsidR="00E85407">
          <w:rPr>
            <w:webHidden/>
          </w:rPr>
          <w:fldChar w:fldCharType="end"/>
        </w:r>
      </w:hyperlink>
    </w:p>
    <w:p w14:paraId="122EF833" w14:textId="647D95BE" w:rsidR="00E85407" w:rsidRDefault="008340E7">
      <w:pPr>
        <w:pStyle w:val="TOC2"/>
        <w:rPr>
          <w:rFonts w:asciiTheme="minorHAnsi" w:eastAsiaTheme="minorEastAsia" w:hAnsiTheme="minorHAnsi" w:cstheme="minorBidi"/>
          <w:noProof/>
          <w:color w:val="auto"/>
          <w:szCs w:val="24"/>
          <w:lang w:eastAsia="en-GB"/>
        </w:rPr>
      </w:pPr>
      <w:hyperlink w:anchor="_Toc111561092" w:history="1">
        <w:r w:rsidR="00E85407" w:rsidRPr="000930EA">
          <w:rPr>
            <w:rStyle w:val="Hyperlink"/>
            <w:noProof/>
          </w:rPr>
          <w:t>Number of surgical assisting items being claimed</w:t>
        </w:r>
        <w:r w:rsidR="00E85407">
          <w:rPr>
            <w:noProof/>
            <w:webHidden/>
          </w:rPr>
          <w:tab/>
        </w:r>
        <w:r w:rsidR="00E85407">
          <w:rPr>
            <w:noProof/>
            <w:webHidden/>
          </w:rPr>
          <w:fldChar w:fldCharType="begin"/>
        </w:r>
        <w:r w:rsidR="00E85407">
          <w:rPr>
            <w:noProof/>
            <w:webHidden/>
          </w:rPr>
          <w:instrText xml:space="preserve"> PAGEREF _Toc111561092 \h </w:instrText>
        </w:r>
        <w:r w:rsidR="00E85407">
          <w:rPr>
            <w:noProof/>
            <w:webHidden/>
          </w:rPr>
        </w:r>
        <w:r w:rsidR="00E85407">
          <w:rPr>
            <w:noProof/>
            <w:webHidden/>
          </w:rPr>
          <w:fldChar w:fldCharType="separate"/>
        </w:r>
        <w:r w:rsidR="00E85407">
          <w:rPr>
            <w:noProof/>
            <w:webHidden/>
          </w:rPr>
          <w:t>18</w:t>
        </w:r>
        <w:r w:rsidR="00E85407">
          <w:rPr>
            <w:noProof/>
            <w:webHidden/>
          </w:rPr>
          <w:fldChar w:fldCharType="end"/>
        </w:r>
      </w:hyperlink>
    </w:p>
    <w:p w14:paraId="2EF481FD" w14:textId="67BD8B80" w:rsidR="00E85407" w:rsidRDefault="008340E7">
      <w:pPr>
        <w:pStyle w:val="TOC2"/>
        <w:rPr>
          <w:rFonts w:asciiTheme="minorHAnsi" w:eastAsiaTheme="minorEastAsia" w:hAnsiTheme="minorHAnsi" w:cstheme="minorBidi"/>
          <w:noProof/>
          <w:color w:val="auto"/>
          <w:szCs w:val="24"/>
          <w:lang w:eastAsia="en-GB"/>
        </w:rPr>
      </w:pPr>
      <w:hyperlink w:anchor="_Toc111561093" w:history="1">
        <w:r w:rsidR="00E85407" w:rsidRPr="000930EA">
          <w:rPr>
            <w:rStyle w:val="Hyperlink"/>
            <w:noProof/>
          </w:rPr>
          <w:t>Eligibility based on PNSA-only qualification</w:t>
        </w:r>
        <w:r w:rsidR="00E85407">
          <w:rPr>
            <w:noProof/>
            <w:webHidden/>
          </w:rPr>
          <w:tab/>
        </w:r>
        <w:r w:rsidR="00E85407">
          <w:rPr>
            <w:noProof/>
            <w:webHidden/>
          </w:rPr>
          <w:fldChar w:fldCharType="begin"/>
        </w:r>
        <w:r w:rsidR="00E85407">
          <w:rPr>
            <w:noProof/>
            <w:webHidden/>
          </w:rPr>
          <w:instrText xml:space="preserve"> PAGEREF _Toc111561093 \h </w:instrText>
        </w:r>
        <w:r w:rsidR="00E85407">
          <w:rPr>
            <w:noProof/>
            <w:webHidden/>
          </w:rPr>
        </w:r>
        <w:r w:rsidR="00E85407">
          <w:rPr>
            <w:noProof/>
            <w:webHidden/>
          </w:rPr>
          <w:fldChar w:fldCharType="separate"/>
        </w:r>
        <w:r w:rsidR="00E85407">
          <w:rPr>
            <w:noProof/>
            <w:webHidden/>
          </w:rPr>
          <w:t>18</w:t>
        </w:r>
        <w:r w:rsidR="00E85407">
          <w:rPr>
            <w:noProof/>
            <w:webHidden/>
          </w:rPr>
          <w:fldChar w:fldCharType="end"/>
        </w:r>
      </w:hyperlink>
    </w:p>
    <w:p w14:paraId="752B88FE" w14:textId="54826B0C" w:rsidR="00E85407" w:rsidRDefault="008340E7">
      <w:pPr>
        <w:pStyle w:val="TOC2"/>
        <w:rPr>
          <w:rFonts w:asciiTheme="minorHAnsi" w:eastAsiaTheme="minorEastAsia" w:hAnsiTheme="minorHAnsi" w:cstheme="minorBidi"/>
          <w:noProof/>
          <w:color w:val="auto"/>
          <w:szCs w:val="24"/>
          <w:lang w:eastAsia="en-GB"/>
        </w:rPr>
      </w:pPr>
      <w:hyperlink w:anchor="_Toc111561094" w:history="1">
        <w:r w:rsidR="00E85407" w:rsidRPr="000930EA">
          <w:rPr>
            <w:rStyle w:val="Hyperlink"/>
            <w:noProof/>
          </w:rPr>
          <w:t>Appropriate access of NPs to MBS items</w:t>
        </w:r>
        <w:r w:rsidR="00E85407">
          <w:rPr>
            <w:noProof/>
            <w:webHidden/>
          </w:rPr>
          <w:tab/>
        </w:r>
        <w:r w:rsidR="00E85407">
          <w:rPr>
            <w:noProof/>
            <w:webHidden/>
          </w:rPr>
          <w:fldChar w:fldCharType="begin"/>
        </w:r>
        <w:r w:rsidR="00E85407">
          <w:rPr>
            <w:noProof/>
            <w:webHidden/>
          </w:rPr>
          <w:instrText xml:space="preserve"> PAGEREF _Toc111561094 \h </w:instrText>
        </w:r>
        <w:r w:rsidR="00E85407">
          <w:rPr>
            <w:noProof/>
            <w:webHidden/>
          </w:rPr>
        </w:r>
        <w:r w:rsidR="00E85407">
          <w:rPr>
            <w:noProof/>
            <w:webHidden/>
          </w:rPr>
          <w:fldChar w:fldCharType="separate"/>
        </w:r>
        <w:r w:rsidR="00E85407">
          <w:rPr>
            <w:noProof/>
            <w:webHidden/>
          </w:rPr>
          <w:t>18</w:t>
        </w:r>
        <w:r w:rsidR="00E85407">
          <w:rPr>
            <w:noProof/>
            <w:webHidden/>
          </w:rPr>
          <w:fldChar w:fldCharType="end"/>
        </w:r>
      </w:hyperlink>
    </w:p>
    <w:p w14:paraId="13AB9C7A" w14:textId="1339552B" w:rsidR="002A427B" w:rsidRDefault="008340E7" w:rsidP="00E85407">
      <w:pPr>
        <w:pStyle w:val="TOC1"/>
      </w:pPr>
      <w:hyperlink w:anchor="_Toc111561095" w:history="1">
        <w:r w:rsidR="00E85407" w:rsidRPr="00E85407">
          <w:rPr>
            <w:rStyle w:val="Hyperlink"/>
          </w:rPr>
          <w:t>Draft recommendations</w:t>
        </w:r>
        <w:r w:rsidR="00E85407" w:rsidRPr="00E85407">
          <w:rPr>
            <w:webHidden/>
          </w:rPr>
          <w:tab/>
        </w:r>
        <w:r w:rsidR="00E85407" w:rsidRPr="00E85407">
          <w:rPr>
            <w:webHidden/>
          </w:rPr>
          <w:fldChar w:fldCharType="begin"/>
        </w:r>
        <w:r w:rsidR="00E85407" w:rsidRPr="00E85407">
          <w:rPr>
            <w:webHidden/>
          </w:rPr>
          <w:instrText xml:space="preserve"> PAGEREF _Toc111561095 \h </w:instrText>
        </w:r>
        <w:r w:rsidR="00E85407" w:rsidRPr="00E85407">
          <w:rPr>
            <w:webHidden/>
          </w:rPr>
        </w:r>
        <w:r w:rsidR="00E85407" w:rsidRPr="00E85407">
          <w:rPr>
            <w:webHidden/>
          </w:rPr>
          <w:fldChar w:fldCharType="separate"/>
        </w:r>
        <w:r w:rsidR="00E85407">
          <w:rPr>
            <w:webHidden/>
          </w:rPr>
          <w:t>19</w:t>
        </w:r>
        <w:r w:rsidR="00E85407" w:rsidRPr="00E85407">
          <w:rPr>
            <w:webHidden/>
          </w:rPr>
          <w:fldChar w:fldCharType="end"/>
        </w:r>
      </w:hyperlink>
      <w:r w:rsidR="00893AFE">
        <w:fldChar w:fldCharType="end"/>
      </w:r>
      <w:r w:rsidR="002A427B">
        <w:br w:type="page"/>
      </w:r>
    </w:p>
    <w:p w14:paraId="556675FF" w14:textId="3DC6D259" w:rsidR="0053061A" w:rsidRDefault="00F60ABB" w:rsidP="002A427B">
      <w:pPr>
        <w:pStyle w:val="Heading1"/>
      </w:pPr>
      <w:bookmarkStart w:id="14" w:name="_Toc111561064"/>
      <w:bookmarkStart w:id="15" w:name="_Toc107920652"/>
      <w:r>
        <w:lastRenderedPageBreak/>
        <w:t>S</w:t>
      </w:r>
      <w:r w:rsidR="0053061A">
        <w:t>ummary</w:t>
      </w:r>
      <w:bookmarkEnd w:id="14"/>
    </w:p>
    <w:p w14:paraId="36BE74B4" w14:textId="40FD5180" w:rsidR="007C1F9C" w:rsidRDefault="00434F15" w:rsidP="0053061A">
      <w:r>
        <w:t>In Australia, s</w:t>
      </w:r>
      <w:r w:rsidR="0053061A">
        <w:t xml:space="preserve">urgeons can choose </w:t>
      </w:r>
      <w:r>
        <w:t xml:space="preserve">their own surgical assistant – someone </w:t>
      </w:r>
      <w:r w:rsidR="0053061A">
        <w:t xml:space="preserve">who </w:t>
      </w:r>
      <w:r w:rsidR="00C424DC">
        <w:t xml:space="preserve">assists them during procedures. </w:t>
      </w:r>
      <w:r w:rsidR="00996535">
        <w:t>This is often someone that they trust and have a good working relationship with.</w:t>
      </w:r>
    </w:p>
    <w:p w14:paraId="69DBBA0B" w14:textId="35A8FE68" w:rsidR="0053061A" w:rsidRDefault="00854182" w:rsidP="0053061A">
      <w:r>
        <w:t xml:space="preserve">Surgical assistants can set their own fees. </w:t>
      </w:r>
      <w:r w:rsidR="00996535">
        <w:t>Currently, i</w:t>
      </w:r>
      <w:r w:rsidR="00C424DC">
        <w:t xml:space="preserve">f </w:t>
      </w:r>
      <w:r w:rsidR="00C918E5">
        <w:t>a</w:t>
      </w:r>
      <w:r w:rsidR="00C424DC">
        <w:t xml:space="preserve"> surgeon chooses a surgical assistant </w:t>
      </w:r>
      <w:r w:rsidR="00996535">
        <w:t>who</w:t>
      </w:r>
      <w:r w:rsidR="00C424DC">
        <w:t xml:space="preserve"> is medically trained</w:t>
      </w:r>
      <w:r w:rsidR="007C1F9C">
        <w:t xml:space="preserve"> (called a medical surgical assistant)</w:t>
      </w:r>
      <w:r w:rsidR="00C424DC">
        <w:t xml:space="preserve">, such as another surgeon or a general practitioner (GP), patients can </w:t>
      </w:r>
      <w:r w:rsidR="00996535">
        <w:t>be reimbursed some of the cost of the assistant through the Medicare Benefits Sche</w:t>
      </w:r>
      <w:r w:rsidR="00C71796">
        <w:t>dul</w:t>
      </w:r>
      <w:r w:rsidR="00996535">
        <w:t>e (MBS). However, if the surgical assistant is not medically trained</w:t>
      </w:r>
      <w:r w:rsidR="007C1F9C">
        <w:t xml:space="preserve"> (called a non-medical surgical assistant)</w:t>
      </w:r>
      <w:r w:rsidR="00996535">
        <w:t xml:space="preserve">, such as a nurse, patients must pay for the </w:t>
      </w:r>
      <w:r w:rsidR="006D5530">
        <w:t xml:space="preserve">surgical </w:t>
      </w:r>
      <w:r w:rsidR="00996535">
        <w:t>assistant out of their own pocket.</w:t>
      </w:r>
      <w:r w:rsidR="00497067">
        <w:t xml:space="preserve"> Sometimes, the only out-of-pocket costs to patients are for nurse surgical assistants.</w:t>
      </w:r>
    </w:p>
    <w:p w14:paraId="3E2DB8F7" w14:textId="69F8D2B3" w:rsidR="00497067" w:rsidRDefault="00C918E5" w:rsidP="0053061A">
      <w:r>
        <w:t xml:space="preserve">Having to pay </w:t>
      </w:r>
      <w:r w:rsidR="008110C5">
        <w:t xml:space="preserve">extra </w:t>
      </w:r>
      <w:r>
        <w:t xml:space="preserve">out-of-pocket costs for a </w:t>
      </w:r>
      <w:r w:rsidR="7968A220">
        <w:t xml:space="preserve">non-medical </w:t>
      </w:r>
      <w:r>
        <w:t>surgical assistant</w:t>
      </w:r>
      <w:r w:rsidR="008110C5">
        <w:t>, on top of other out-of-pocket fees associated with private services,</w:t>
      </w:r>
      <w:r>
        <w:t xml:space="preserve"> means more patients choose to wait to have surgery in public hospitals. This not only puts more pressure on the public </w:t>
      </w:r>
      <w:proofErr w:type="gramStart"/>
      <w:r>
        <w:t>system,</w:t>
      </w:r>
      <w:r w:rsidDel="00F81D91">
        <w:t xml:space="preserve"> </w:t>
      </w:r>
      <w:r>
        <w:t>but</w:t>
      </w:r>
      <w:proofErr w:type="gramEnd"/>
      <w:r>
        <w:t xml:space="preserve"> can result in the patient’s condition worsening while they wait.</w:t>
      </w:r>
    </w:p>
    <w:p w14:paraId="24FC28F2" w14:textId="7FD5C6E6" w:rsidR="007C1F9C" w:rsidRDefault="008F3D35" w:rsidP="00434F15">
      <w:pPr>
        <w:pStyle w:val="NormalBeforeBullet"/>
      </w:pPr>
      <w:r>
        <w:t>The MBS Review Advisory Committee (MRAC) established</w:t>
      </w:r>
      <w:r w:rsidR="00C64F7E">
        <w:t xml:space="preserve"> the</w:t>
      </w:r>
      <w:r>
        <w:t xml:space="preserve"> Surgical Assistant Working Group (SAWG) to consider </w:t>
      </w:r>
      <w:r w:rsidR="007C1F9C">
        <w:t>two</w:t>
      </w:r>
      <w:r>
        <w:t xml:space="preserve"> issue</w:t>
      </w:r>
      <w:r w:rsidR="007C1F9C">
        <w:t>s:</w:t>
      </w:r>
    </w:p>
    <w:p w14:paraId="76CAC8F9" w14:textId="512C64DB" w:rsidR="007C1F9C" w:rsidRDefault="005E358F" w:rsidP="007C1F9C">
      <w:pPr>
        <w:pStyle w:val="Bullet"/>
      </w:pPr>
      <w:r>
        <w:t>w</w:t>
      </w:r>
      <w:r w:rsidR="007C1F9C">
        <w:t xml:space="preserve">hether </w:t>
      </w:r>
      <w:r w:rsidR="00CD3DC8">
        <w:t xml:space="preserve">medical </w:t>
      </w:r>
      <w:r w:rsidR="007C1F9C">
        <w:t>surgical assistants are charging patients too much and</w:t>
      </w:r>
      <w:r w:rsidR="00741501">
        <w:t>,</w:t>
      </w:r>
      <w:r w:rsidR="007C1F9C">
        <w:t xml:space="preserve"> if so, what could be done </w:t>
      </w:r>
      <w:r w:rsidR="006D5530">
        <w:t>to address it</w:t>
      </w:r>
    </w:p>
    <w:p w14:paraId="65815DF2" w14:textId="0E7776E9" w:rsidR="008F3D35" w:rsidRDefault="005E358F" w:rsidP="008B6B41">
      <w:pPr>
        <w:pStyle w:val="BulletLast"/>
      </w:pPr>
      <w:r>
        <w:t>w</w:t>
      </w:r>
      <w:r w:rsidR="007C1F9C">
        <w:t xml:space="preserve">hether patients should be reimbursed </w:t>
      </w:r>
      <w:r w:rsidR="00CD3DC8">
        <w:t xml:space="preserve">when a surgeon chooses to use an experienced and </w:t>
      </w:r>
      <w:r w:rsidR="008B6B41">
        <w:t xml:space="preserve">qualified </w:t>
      </w:r>
      <w:r w:rsidR="007C1F9C">
        <w:t>non-medical surgical assistant</w:t>
      </w:r>
      <w:r w:rsidR="008B6B41">
        <w:t>.</w:t>
      </w:r>
    </w:p>
    <w:p w14:paraId="59DC23F7" w14:textId="5EC3E93C" w:rsidR="008B6B41" w:rsidRDefault="008B6B41" w:rsidP="008B6B41">
      <w:r>
        <w:t xml:space="preserve">For the first issue, the SAWG </w:t>
      </w:r>
      <w:r w:rsidR="00741501">
        <w:t xml:space="preserve">could not find any </w:t>
      </w:r>
      <w:r>
        <w:t xml:space="preserve">evidence of surgical assistants charging patients too much for their services, so </w:t>
      </w:r>
      <w:r w:rsidR="00854182">
        <w:t xml:space="preserve">it </w:t>
      </w:r>
      <w:r>
        <w:t>did not recommend any changes to the current billing arrangements.</w:t>
      </w:r>
    </w:p>
    <w:p w14:paraId="0C86DD32" w14:textId="3F5245AB" w:rsidR="00BF27EE" w:rsidRDefault="008B6B41" w:rsidP="008B6B41">
      <w:r>
        <w:t xml:space="preserve">For the second issue, the SAWG </w:t>
      </w:r>
      <w:r w:rsidR="005E358F">
        <w:t xml:space="preserve">recommended that patients should be reimbursed </w:t>
      </w:r>
      <w:r w:rsidR="009424F7">
        <w:t xml:space="preserve">if they </w:t>
      </w:r>
      <w:r w:rsidR="006D5530">
        <w:t>agre</w:t>
      </w:r>
      <w:r w:rsidR="009424F7">
        <w:t xml:space="preserve">e to have a </w:t>
      </w:r>
      <w:r w:rsidR="005E358F">
        <w:t xml:space="preserve">suitably qualified non-medical surgical assistant. The SAWG </w:t>
      </w:r>
      <w:r w:rsidR="00CD3DC8">
        <w:t>not</w:t>
      </w:r>
      <w:r>
        <w:t>ed that</w:t>
      </w:r>
      <w:r w:rsidR="000E143D">
        <w:t xml:space="preserve"> </w:t>
      </w:r>
      <w:r w:rsidR="009424F7">
        <w:t>there is a</w:t>
      </w:r>
      <w:r w:rsidR="00CD3DC8">
        <w:t xml:space="preserve"> lack of available </w:t>
      </w:r>
      <w:r w:rsidR="009424F7">
        <w:t xml:space="preserve">medical </w:t>
      </w:r>
      <w:r w:rsidR="00CD3DC8">
        <w:t xml:space="preserve">surgical assistants in both rural and metropolitan areas. </w:t>
      </w:r>
      <w:r w:rsidR="00D275AD">
        <w:t xml:space="preserve">If non-medical surgical assistants could </w:t>
      </w:r>
      <w:r w:rsidR="00A91ECB">
        <w:t>access surgical assistant MBS items</w:t>
      </w:r>
      <w:r w:rsidR="00D275AD">
        <w:t xml:space="preserve">, it would reduce out-of-pocket costs to patients and ensure that all patients have equal access to reimbursement. </w:t>
      </w:r>
      <w:r w:rsidR="00AE326C">
        <w:t xml:space="preserve">The SAWG also considered that, </w:t>
      </w:r>
      <w:r w:rsidR="00A91ECB">
        <w:t>because the surgeon chooses their surgical assistant</w:t>
      </w:r>
      <w:r w:rsidR="00AE326C">
        <w:t>,</w:t>
      </w:r>
      <w:r w:rsidR="006D5530">
        <w:t xml:space="preserve"> this would limit the number of non-medical surgical assistants </w:t>
      </w:r>
      <w:r w:rsidR="00E5283B">
        <w:t>accessing MBS items,</w:t>
      </w:r>
      <w:r w:rsidR="00AE326C">
        <w:t xml:space="preserve"> </w:t>
      </w:r>
      <w:r w:rsidR="00E5283B">
        <w:t>so it</w:t>
      </w:r>
      <w:r w:rsidR="00AE326C">
        <w:t xml:space="preserve"> would not be a </w:t>
      </w:r>
      <w:r w:rsidR="009424F7">
        <w:t>significant extra</w:t>
      </w:r>
      <w:r w:rsidR="00AE326C">
        <w:t xml:space="preserve"> cost to the government.</w:t>
      </w:r>
    </w:p>
    <w:p w14:paraId="65D4C2DB" w14:textId="77777777" w:rsidR="00BF27EE" w:rsidRDefault="00BF27EE">
      <w:pPr>
        <w:spacing w:after="0"/>
      </w:pPr>
      <w:r>
        <w:br w:type="page"/>
      </w:r>
    </w:p>
    <w:p w14:paraId="6243F8CB" w14:textId="0726B5E5" w:rsidR="00BF27EE" w:rsidRDefault="00BF27EE" w:rsidP="00BF27EE">
      <w:pPr>
        <w:pStyle w:val="Heading1"/>
      </w:pPr>
      <w:bookmarkStart w:id="16" w:name="_Toc111561065"/>
      <w:r>
        <w:lastRenderedPageBreak/>
        <w:t>Acronyms</w:t>
      </w:r>
      <w:bookmarkEnd w:id="16"/>
    </w:p>
    <w:p w14:paraId="64AC793B" w14:textId="77777777" w:rsidR="00BF27EE" w:rsidRDefault="00BF27EE" w:rsidP="00BF27EE">
      <w:r>
        <w:t>AANSA</w:t>
      </w:r>
      <w:r>
        <w:tab/>
        <w:t>Australian Association of Nurse Surgical Assistants</w:t>
      </w:r>
    </w:p>
    <w:p w14:paraId="47B3C571" w14:textId="77777777" w:rsidR="00BF27EE" w:rsidRDefault="00BF27EE" w:rsidP="00BF27EE">
      <w:r>
        <w:t>ACNP</w:t>
      </w:r>
      <w:r>
        <w:tab/>
      </w:r>
      <w:r>
        <w:tab/>
        <w:t>Australian College of Nurse Practitioners</w:t>
      </w:r>
    </w:p>
    <w:p w14:paraId="56AA674D" w14:textId="77777777" w:rsidR="00BF27EE" w:rsidRDefault="00BF27EE" w:rsidP="00BF27EE">
      <w:r>
        <w:t>ACSQHC</w:t>
      </w:r>
      <w:r>
        <w:tab/>
        <w:t>Australian Commission on Safety and Quality in Health Care</w:t>
      </w:r>
    </w:p>
    <w:p w14:paraId="6249DA59" w14:textId="77777777" w:rsidR="00BF27EE" w:rsidRDefault="00BF27EE" w:rsidP="00BF27EE">
      <w:r>
        <w:t>AHPRA</w:t>
      </w:r>
      <w:r>
        <w:tab/>
        <w:t>Australian Health Practitioner Regulation Agency</w:t>
      </w:r>
    </w:p>
    <w:p w14:paraId="464A7F51" w14:textId="77777777" w:rsidR="00BF27EE" w:rsidRDefault="00BF27EE" w:rsidP="00BF27EE">
      <w:r>
        <w:t>GP</w:t>
      </w:r>
      <w:r>
        <w:tab/>
      </w:r>
      <w:r>
        <w:tab/>
        <w:t>general practitioner</w:t>
      </w:r>
    </w:p>
    <w:p w14:paraId="33033159" w14:textId="0352C7BA" w:rsidR="00BF27EE" w:rsidRDefault="00BF27EE" w:rsidP="00BF27EE">
      <w:r>
        <w:t>MBS</w:t>
      </w:r>
      <w:r>
        <w:tab/>
      </w:r>
      <w:r>
        <w:tab/>
        <w:t>Medicare Benefits Sche</w:t>
      </w:r>
      <w:r w:rsidR="00C71796">
        <w:t>dul</w:t>
      </w:r>
      <w:r>
        <w:t>e</w:t>
      </w:r>
    </w:p>
    <w:p w14:paraId="1C8904E4" w14:textId="77777777" w:rsidR="00BF27EE" w:rsidRDefault="00BF27EE" w:rsidP="00BF27EE">
      <w:r>
        <w:t>MRAC</w:t>
      </w:r>
      <w:r>
        <w:tab/>
      </w:r>
      <w:r>
        <w:tab/>
        <w:t>MBS Review Advisory Committee</w:t>
      </w:r>
    </w:p>
    <w:p w14:paraId="4F8D6556" w14:textId="77777777" w:rsidR="00BF27EE" w:rsidRDefault="00BF27EE" w:rsidP="00BF27EE">
      <w:r>
        <w:t>MSAC</w:t>
      </w:r>
      <w:r>
        <w:tab/>
      </w:r>
      <w:r>
        <w:tab/>
        <w:t>Medical Services Advisory Committee</w:t>
      </w:r>
    </w:p>
    <w:p w14:paraId="7E756B28" w14:textId="77777777" w:rsidR="00BF27EE" w:rsidRDefault="00BF27EE" w:rsidP="00BF27EE">
      <w:r>
        <w:t>NMBA</w:t>
      </w:r>
      <w:r>
        <w:tab/>
        <w:t>Nursing and Midwifery Board of Australia</w:t>
      </w:r>
    </w:p>
    <w:p w14:paraId="799CD257" w14:textId="77777777" w:rsidR="00BF27EE" w:rsidRDefault="00BF27EE" w:rsidP="00BF27EE">
      <w:r>
        <w:t>NP</w:t>
      </w:r>
      <w:r>
        <w:tab/>
      </w:r>
      <w:r>
        <w:tab/>
        <w:t>nurse practitioner</w:t>
      </w:r>
    </w:p>
    <w:p w14:paraId="103E5AB4" w14:textId="77777777" w:rsidR="00BF27EE" w:rsidRDefault="00BF27EE" w:rsidP="00BF27EE">
      <w:r>
        <w:t>NPRG</w:t>
      </w:r>
      <w:r>
        <w:tab/>
      </w:r>
      <w:r>
        <w:tab/>
        <w:t>Nurse Practitioner Reference Group</w:t>
      </w:r>
    </w:p>
    <w:p w14:paraId="432A720C" w14:textId="77777777" w:rsidR="00BF27EE" w:rsidRDefault="00BF27EE" w:rsidP="00BF27EE">
      <w:r>
        <w:t>OECD</w:t>
      </w:r>
      <w:r>
        <w:tab/>
      </w:r>
      <w:r>
        <w:tab/>
        <w:t>Organisation for Economic Co-operation and Development</w:t>
      </w:r>
    </w:p>
    <w:p w14:paraId="4E661B36" w14:textId="77777777" w:rsidR="00BF27EE" w:rsidRDefault="00BF27EE" w:rsidP="00BF27EE">
      <w:r>
        <w:t>PARC</w:t>
      </w:r>
      <w:r>
        <w:tab/>
      </w:r>
      <w:r>
        <w:tab/>
        <w:t>Principles and Rules Committee</w:t>
      </w:r>
    </w:p>
    <w:p w14:paraId="3E2ED330" w14:textId="77777777" w:rsidR="00BF27EE" w:rsidRDefault="00BF27EE" w:rsidP="00BF27EE">
      <w:r>
        <w:t>PASC</w:t>
      </w:r>
      <w:r>
        <w:tab/>
      </w:r>
      <w:r>
        <w:tab/>
        <w:t>PICO Advisory Sub-Committee</w:t>
      </w:r>
    </w:p>
    <w:p w14:paraId="2568B9D9" w14:textId="77777777" w:rsidR="00BF27EE" w:rsidRDefault="00BF27EE" w:rsidP="00BF27EE">
      <w:r>
        <w:t>PICO</w:t>
      </w:r>
      <w:r>
        <w:tab/>
      </w:r>
      <w:r>
        <w:tab/>
        <w:t>population, intervention, comparator, outcomes</w:t>
      </w:r>
    </w:p>
    <w:p w14:paraId="3DAE7267" w14:textId="77777777" w:rsidR="00BF27EE" w:rsidRDefault="00BF27EE" w:rsidP="00BF27EE">
      <w:r>
        <w:t>PNSA</w:t>
      </w:r>
      <w:r>
        <w:tab/>
      </w:r>
      <w:r>
        <w:tab/>
        <w:t>perioperative nurse surgical assistant</w:t>
      </w:r>
    </w:p>
    <w:p w14:paraId="49795A5D" w14:textId="210FD188" w:rsidR="00F1312E" w:rsidRDefault="00BF27EE" w:rsidP="00434F15">
      <w:r>
        <w:t>SAWG</w:t>
      </w:r>
      <w:r>
        <w:tab/>
      </w:r>
      <w:r>
        <w:tab/>
        <w:t>Surgical Assistant Working Group</w:t>
      </w:r>
    </w:p>
    <w:p w14:paraId="36D2FF66" w14:textId="1320338D" w:rsidR="002A427B" w:rsidRDefault="002155E1" w:rsidP="002A427B">
      <w:pPr>
        <w:pStyle w:val="Heading1"/>
      </w:pPr>
      <w:bookmarkStart w:id="17" w:name="_Toc111561066"/>
      <w:r>
        <w:lastRenderedPageBreak/>
        <w:t>Preamble</w:t>
      </w:r>
      <w:bookmarkEnd w:id="15"/>
      <w:bookmarkEnd w:id="17"/>
    </w:p>
    <w:p w14:paraId="3A1B3893" w14:textId="77777777" w:rsidR="00DE4D54" w:rsidRPr="00641C75" w:rsidRDefault="00DE4D54" w:rsidP="00DE4D54">
      <w:pPr>
        <w:pStyle w:val="Heading2"/>
      </w:pPr>
      <w:bookmarkStart w:id="18" w:name="_Toc107835767"/>
      <w:bookmarkStart w:id="19" w:name="_Toc107835834"/>
      <w:bookmarkStart w:id="20" w:name="_Toc107911558"/>
      <w:bookmarkStart w:id="21" w:name="_Toc107920653"/>
      <w:bookmarkStart w:id="22" w:name="_Toc111552634"/>
      <w:bookmarkStart w:id="23" w:name="_Toc111558643"/>
      <w:bookmarkStart w:id="24" w:name="_Toc111561067"/>
      <w:r w:rsidRPr="00641C75">
        <w:t>Medicare Benefits Schedule Continuous Review</w:t>
      </w:r>
      <w:bookmarkEnd w:id="18"/>
      <w:bookmarkEnd w:id="19"/>
      <w:bookmarkEnd w:id="20"/>
      <w:bookmarkEnd w:id="21"/>
      <w:bookmarkEnd w:id="22"/>
      <w:bookmarkEnd w:id="23"/>
      <w:bookmarkEnd w:id="24"/>
    </w:p>
    <w:p w14:paraId="4156271C" w14:textId="61F571AB" w:rsidR="00DE4D54" w:rsidRPr="00641C75" w:rsidRDefault="00DE4D54" w:rsidP="00DE4D54">
      <w:r w:rsidRPr="00641C75">
        <w:t xml:space="preserve">The </w:t>
      </w:r>
      <w:r w:rsidR="00736702">
        <w:t>Medicare Benefits Schedule (</w:t>
      </w:r>
      <w:r w:rsidRPr="00641C75">
        <w:t>MBS</w:t>
      </w:r>
      <w:r w:rsidR="00736702">
        <w:t>)</w:t>
      </w:r>
      <w:r w:rsidRPr="00641C75">
        <w:t xml:space="preserve"> is a list of health professional services (items) that the Australian Government subsidises. MBS items provide patient benefits for a wide range of health services including consultations, diagnostic tests</w:t>
      </w:r>
      <w:r>
        <w:t>, therapy,</w:t>
      </w:r>
      <w:r w:rsidRPr="00641C75">
        <w:t xml:space="preserve"> and operations.</w:t>
      </w:r>
    </w:p>
    <w:p w14:paraId="2127307F" w14:textId="77777777" w:rsidR="00DE4D54" w:rsidRPr="00641C75" w:rsidRDefault="00DE4D54" w:rsidP="00DE4D54">
      <w:r w:rsidRPr="00641C75">
        <w:t xml:space="preserve">The MBS Continuous Review builds on the work of the MBS Review Taskforce, which from 2015 to 2020 provided the first extensive, line by line review of the MBS since its inception in 1984. </w:t>
      </w:r>
    </w:p>
    <w:p w14:paraId="777C2B03" w14:textId="77777777" w:rsidR="00DE4D54" w:rsidRPr="00641C75" w:rsidRDefault="00DE4D54" w:rsidP="00DE4D54">
      <w:r w:rsidRPr="00641C75">
        <w:t>In October 2020, the Australian Government committed to establishing a continuous review framework for the MBS, consistent with recommendations from the MBS Review Taskforce Final Report.</w:t>
      </w:r>
    </w:p>
    <w:p w14:paraId="718AF8BD" w14:textId="2EE735A9" w:rsidR="00DE4D54" w:rsidRPr="00641C75" w:rsidRDefault="00DE4D54" w:rsidP="00DE4D54">
      <w:r>
        <w:t xml:space="preserve">Established in 2021, the MBS Continuous Review </w:t>
      </w:r>
      <w:r w:rsidR="00C64F7E">
        <w:t>allows for ongoing rigorous and comprehensive reviews of Medicare items and services by experts, on a continuous basis, to ensure that the MBS works for patients and supports health professionals to provide high quality care.</w:t>
      </w:r>
      <w:r w:rsidR="00C64F7E" w:rsidDel="00C64F7E">
        <w:t xml:space="preserve"> </w:t>
      </w:r>
    </w:p>
    <w:p w14:paraId="7B75652A" w14:textId="77777777" w:rsidR="00DE4D54" w:rsidRPr="00C64F7E" w:rsidRDefault="00DE4D54" w:rsidP="00C64F7E">
      <w:pPr>
        <w:rPr>
          <w:b/>
          <w:bCs/>
        </w:rPr>
      </w:pPr>
      <w:bookmarkStart w:id="25" w:name="_Toc107835768"/>
      <w:bookmarkStart w:id="26" w:name="_Toc107835835"/>
      <w:bookmarkStart w:id="27" w:name="_Toc107911559"/>
      <w:bookmarkStart w:id="28" w:name="_Toc107920654"/>
      <w:bookmarkStart w:id="29" w:name="_Toc111552635"/>
      <w:bookmarkStart w:id="30" w:name="_Toc111558644"/>
      <w:bookmarkStart w:id="31" w:name="_Toc111561068"/>
      <w:r w:rsidRPr="00C64F7E">
        <w:rPr>
          <w:b/>
          <w:bCs/>
        </w:rPr>
        <w:t>Medicare Benefits Schedule Review Advisory Committee</w:t>
      </w:r>
      <w:bookmarkEnd w:id="25"/>
      <w:bookmarkEnd w:id="26"/>
      <w:bookmarkEnd w:id="27"/>
      <w:bookmarkEnd w:id="28"/>
      <w:bookmarkEnd w:id="29"/>
      <w:bookmarkEnd w:id="30"/>
      <w:bookmarkEnd w:id="31"/>
    </w:p>
    <w:p w14:paraId="61B6FBDC" w14:textId="69ECEA0A" w:rsidR="00DE4D54" w:rsidRDefault="00DE4D54" w:rsidP="00DE4D54">
      <w:pPr>
        <w:pStyle w:val="NormalBeforeBullet"/>
      </w:pPr>
      <w:r w:rsidRPr="00641C75">
        <w:t xml:space="preserve">The MBS Continuous Review is </w:t>
      </w:r>
      <w:r>
        <w:t>supported</w:t>
      </w:r>
      <w:r w:rsidRPr="00641C75">
        <w:t xml:space="preserve"> by the MRAC. The Committee’s role is to provide</w:t>
      </w:r>
      <w:r>
        <w:t xml:space="preserve"> independent clinical, professional and consumer</w:t>
      </w:r>
      <w:r w:rsidRPr="00641C75">
        <w:t xml:space="preserve"> advice to Government on</w:t>
      </w:r>
      <w:r>
        <w:t>:</w:t>
      </w:r>
      <w:r w:rsidRPr="00641C75">
        <w:t xml:space="preserve"> </w:t>
      </w:r>
    </w:p>
    <w:p w14:paraId="43E90DA6" w14:textId="77777777" w:rsidR="00DE4D54" w:rsidRDefault="00DE4D54" w:rsidP="00DE4D54">
      <w:pPr>
        <w:pStyle w:val="Bullet"/>
      </w:pPr>
      <w:r>
        <w:t xml:space="preserve">opportunities to improve patient outcomes in instances where a health technology assessment by the Medical Services Advisory Committee is not </w:t>
      </w:r>
      <w:proofErr w:type="gramStart"/>
      <w:r>
        <w:t>appropriate;</w:t>
      </w:r>
      <w:proofErr w:type="gramEnd"/>
    </w:p>
    <w:p w14:paraId="5EBD7444" w14:textId="77777777" w:rsidR="00DE4D54" w:rsidRDefault="00DE4D54" w:rsidP="00DE4D54">
      <w:pPr>
        <w:pStyle w:val="Bullet"/>
      </w:pPr>
      <w:r>
        <w:t xml:space="preserve">the </w:t>
      </w:r>
      <w:r w:rsidRPr="005466C5">
        <w:t>safety</w:t>
      </w:r>
      <w:r>
        <w:t xml:space="preserve"> and</w:t>
      </w:r>
      <w:r w:rsidRPr="005466C5">
        <w:t xml:space="preserve"> efficacy of existing</w:t>
      </w:r>
      <w:r>
        <w:t xml:space="preserve"> MBS</w:t>
      </w:r>
      <w:r w:rsidRPr="005466C5">
        <w:t xml:space="preserve"> items; </w:t>
      </w:r>
      <w:r>
        <w:t>and</w:t>
      </w:r>
    </w:p>
    <w:p w14:paraId="2522422D" w14:textId="77777777" w:rsidR="00DE4D54" w:rsidRPr="007C6A22" w:rsidRDefault="00DE4D54" w:rsidP="00DE4D54">
      <w:pPr>
        <w:pStyle w:val="BulletLast"/>
      </w:pPr>
      <w:r w:rsidRPr="005466C5">
        <w:t>implemen</w:t>
      </w:r>
      <w:r>
        <w:t>ted</w:t>
      </w:r>
      <w:r w:rsidRPr="00247FB4">
        <w:t xml:space="preserve"> changes to the MBS</w:t>
      </w:r>
      <w:r>
        <w:t>,</w:t>
      </w:r>
      <w:r w:rsidRPr="00247FB4">
        <w:t xml:space="preserve"> to </w:t>
      </w:r>
      <w:r>
        <w:t xml:space="preserve">monitor </w:t>
      </w:r>
      <w:r w:rsidRPr="00247FB4">
        <w:t xml:space="preserve">benefits and </w:t>
      </w:r>
      <w:r>
        <w:t>address</w:t>
      </w:r>
      <w:r w:rsidRPr="00247FB4">
        <w:t xml:space="preserve"> </w:t>
      </w:r>
      <w:r>
        <w:t>unintended</w:t>
      </w:r>
      <w:r w:rsidRPr="00247FB4">
        <w:t xml:space="preserve"> consequences. </w:t>
      </w:r>
    </w:p>
    <w:p w14:paraId="1E1E5137" w14:textId="540D55C7" w:rsidR="00B445E0" w:rsidRDefault="00B445E0" w:rsidP="00065393">
      <w:pPr>
        <w:pStyle w:val="NormalBeforeBullet"/>
      </w:pPr>
      <w:r>
        <w:t xml:space="preserve">The </w:t>
      </w:r>
      <w:r w:rsidRPr="00641C75">
        <w:t xml:space="preserve">MRAC is comprised </w:t>
      </w:r>
      <w:r>
        <w:t>o</w:t>
      </w:r>
      <w:r w:rsidRPr="00065C67">
        <w:t>f multi-disciplinary and skills-based members including clinical, health systems and research experts</w:t>
      </w:r>
      <w:r w:rsidR="00176AA6">
        <w:t>,</w:t>
      </w:r>
      <w:r w:rsidRPr="00065C67">
        <w:t xml:space="preserve"> as well as allied health, nursing, and consumer </w:t>
      </w:r>
      <w:r>
        <w:t>representatives. The Committee’s current members are:</w:t>
      </w:r>
    </w:p>
    <w:tbl>
      <w:tblPr>
        <w:tblStyle w:val="ListTable3-Accent1"/>
        <w:tblpPr w:leftFromText="180" w:rightFromText="180" w:vertAnchor="text" w:horzAnchor="page" w:tblpX="1559" w:tblpY="401"/>
        <w:tblW w:w="0" w:type="auto"/>
        <w:tblBorders>
          <w:insideH w:val="single" w:sz="4" w:space="0" w:color="4472C4" w:themeColor="accent1"/>
          <w:insideV w:val="single" w:sz="4" w:space="0" w:color="4472C4" w:themeColor="accent1"/>
        </w:tblBorders>
        <w:tblLook w:val="04A0" w:firstRow="1" w:lastRow="0" w:firstColumn="1" w:lastColumn="0" w:noHBand="0" w:noVBand="1"/>
      </w:tblPr>
      <w:tblGrid>
        <w:gridCol w:w="4248"/>
        <w:gridCol w:w="4541"/>
      </w:tblGrid>
      <w:tr w:rsidR="00B445E0" w:rsidRPr="00E312DD" w14:paraId="5004DFCF" w14:textId="77777777" w:rsidTr="555C62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12F79"/>
              <w:left w:val="single" w:sz="4" w:space="0" w:color="012F79"/>
              <w:right w:val="single" w:sz="4" w:space="0" w:color="012F79"/>
            </w:tcBorders>
            <w:shd w:val="clear" w:color="auto" w:fill="004992"/>
            <w:hideMark/>
          </w:tcPr>
          <w:p w14:paraId="0C1E7457" w14:textId="77777777" w:rsidR="00B445E0" w:rsidRPr="00D96F31" w:rsidRDefault="00B445E0" w:rsidP="00912D82">
            <w:pPr>
              <w:pStyle w:val="TableHeading"/>
              <w:rPr>
                <w:b/>
                <w:bCs/>
                <w:color w:val="FFFFFF" w:themeColor="background1"/>
              </w:rPr>
            </w:pPr>
            <w:r w:rsidRPr="00267452">
              <w:rPr>
                <w:rFonts w:cstheme="minorHAnsi"/>
                <w:color w:val="FFFFFF" w:themeColor="background1"/>
              </w:rPr>
              <w:t>Member</w:t>
            </w:r>
          </w:p>
        </w:tc>
        <w:tc>
          <w:tcPr>
            <w:tcW w:w="0" w:type="dxa"/>
            <w:tcBorders>
              <w:top w:val="single" w:sz="4" w:space="0" w:color="012F79"/>
              <w:left w:val="single" w:sz="4" w:space="0" w:color="012F79"/>
              <w:right w:val="single" w:sz="4" w:space="0" w:color="012F79"/>
            </w:tcBorders>
            <w:shd w:val="clear" w:color="auto" w:fill="004992"/>
            <w:hideMark/>
          </w:tcPr>
          <w:p w14:paraId="0761DA6B" w14:textId="77777777" w:rsidR="00B445E0" w:rsidRPr="00D96F31" w:rsidRDefault="00B445E0" w:rsidP="00912D82">
            <w:pPr>
              <w:pStyle w:val="TableHeading"/>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267452">
              <w:rPr>
                <w:rFonts w:cstheme="minorHAnsi"/>
                <w:color w:val="FFFFFF" w:themeColor="background1"/>
              </w:rPr>
              <w:t>Speciality</w:t>
            </w:r>
          </w:p>
        </w:tc>
      </w:tr>
      <w:tr w:rsidR="00B445E0" w:rsidRPr="00E312DD" w14:paraId="6001A400"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hideMark/>
          </w:tcPr>
          <w:p w14:paraId="660AF717" w14:textId="77777777" w:rsidR="00B445E0" w:rsidRPr="00E312DD" w:rsidRDefault="00B445E0" w:rsidP="00912D82">
            <w:pPr>
              <w:pStyle w:val="TableText"/>
            </w:pPr>
            <w:r w:rsidRPr="00E312DD">
              <w:rPr>
                <w:rFonts w:cstheme="minorHAnsi"/>
              </w:rPr>
              <w:t>Conjoint Professor Anne Duggan (Chair)</w:t>
            </w:r>
          </w:p>
        </w:tc>
        <w:tc>
          <w:tcPr>
            <w:tcW w:w="4541" w:type="dxa"/>
            <w:tcBorders>
              <w:left w:val="single" w:sz="4" w:space="0" w:color="012F79"/>
              <w:bottom w:val="single" w:sz="4" w:space="0" w:color="012F79"/>
              <w:right w:val="single" w:sz="4" w:space="0" w:color="012F79"/>
            </w:tcBorders>
            <w:hideMark/>
          </w:tcPr>
          <w:p w14:paraId="4DB626F7"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Policy and Clinical Advisor / </w:t>
            </w:r>
            <w:r w:rsidRPr="00E312DD">
              <w:rPr>
                <w:rFonts w:cstheme="minorHAnsi"/>
              </w:rPr>
              <w:t>Gastroenterology</w:t>
            </w:r>
          </w:p>
        </w:tc>
      </w:tr>
      <w:tr w:rsidR="00B445E0" w:rsidRPr="00E312DD" w14:paraId="787A00F8"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39FD7EC6" w14:textId="77777777" w:rsidR="00B445E0" w:rsidRPr="00E312DD" w:rsidRDefault="00B445E0" w:rsidP="00912D82">
            <w:pPr>
              <w:pStyle w:val="TableText"/>
            </w:pPr>
            <w:r w:rsidRPr="00E312DD">
              <w:rPr>
                <w:rFonts w:cstheme="minorHAnsi"/>
              </w:rPr>
              <w:t>Ms Jo Watson (Deputy Chair)</w:t>
            </w:r>
          </w:p>
        </w:tc>
        <w:tc>
          <w:tcPr>
            <w:tcW w:w="4541" w:type="dxa"/>
            <w:tcBorders>
              <w:top w:val="single" w:sz="4" w:space="0" w:color="012F79"/>
              <w:left w:val="single" w:sz="4" w:space="0" w:color="012F79"/>
              <w:bottom w:val="single" w:sz="4" w:space="0" w:color="012F79"/>
              <w:right w:val="single" w:sz="4" w:space="0" w:color="012F79"/>
            </w:tcBorders>
            <w:hideMark/>
          </w:tcPr>
          <w:p w14:paraId="4CF5458D"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Consumer Representative</w:t>
            </w:r>
          </w:p>
        </w:tc>
      </w:tr>
      <w:tr w:rsidR="00B445E0" w:rsidRPr="00E312DD" w14:paraId="531359B8"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7B84269F" w14:textId="77777777" w:rsidR="00B445E0" w:rsidRPr="00E312DD" w:rsidRDefault="00B445E0" w:rsidP="00912D82">
            <w:pPr>
              <w:pStyle w:val="TableText"/>
            </w:pPr>
            <w:r w:rsidRPr="00E312DD">
              <w:rPr>
                <w:rFonts w:cstheme="minorHAnsi"/>
              </w:rPr>
              <w:t>Dr Jason Agostino</w:t>
            </w:r>
          </w:p>
        </w:tc>
        <w:tc>
          <w:tcPr>
            <w:tcW w:w="4541" w:type="dxa"/>
            <w:tcBorders>
              <w:top w:val="single" w:sz="4" w:space="0" w:color="012F79"/>
              <w:left w:val="single" w:sz="4" w:space="0" w:color="012F79"/>
              <w:bottom w:val="single" w:sz="4" w:space="0" w:color="012F79"/>
              <w:right w:val="single" w:sz="4" w:space="0" w:color="012F79"/>
            </w:tcBorders>
            <w:hideMark/>
          </w:tcPr>
          <w:p w14:paraId="17CA9DC5"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Indigenous Health</w:t>
            </w:r>
          </w:p>
        </w:tc>
      </w:tr>
      <w:tr w:rsidR="00B445E0" w:rsidRPr="00E312DD" w14:paraId="066A1DE5"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2865C8CD" w14:textId="77777777" w:rsidR="00B445E0" w:rsidRPr="00E312DD" w:rsidRDefault="00B445E0" w:rsidP="00912D82">
            <w:pPr>
              <w:pStyle w:val="TableText"/>
            </w:pPr>
            <w:r w:rsidRPr="00E312DD">
              <w:rPr>
                <w:rFonts w:cstheme="minorHAnsi"/>
              </w:rPr>
              <w:t>Dr Matt Andrews</w:t>
            </w:r>
          </w:p>
        </w:tc>
        <w:tc>
          <w:tcPr>
            <w:tcW w:w="4541" w:type="dxa"/>
            <w:tcBorders>
              <w:top w:val="single" w:sz="4" w:space="0" w:color="012F79"/>
              <w:left w:val="single" w:sz="4" w:space="0" w:color="012F79"/>
              <w:bottom w:val="single" w:sz="4" w:space="0" w:color="012F79"/>
              <w:right w:val="single" w:sz="4" w:space="0" w:color="012F79"/>
            </w:tcBorders>
            <w:hideMark/>
          </w:tcPr>
          <w:p w14:paraId="63D53BF5"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Radiology</w:t>
            </w:r>
          </w:p>
        </w:tc>
      </w:tr>
      <w:tr w:rsidR="00B445E0" w:rsidRPr="00E312DD" w14:paraId="6FB19C20"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30097F48" w14:textId="77777777" w:rsidR="00B445E0" w:rsidRPr="00E312DD" w:rsidRDefault="00B445E0" w:rsidP="00912D82">
            <w:pPr>
              <w:pStyle w:val="TableText"/>
            </w:pPr>
            <w:r w:rsidRPr="00E312DD">
              <w:rPr>
                <w:rFonts w:cstheme="minorHAnsi"/>
              </w:rPr>
              <w:t>Professor John Atherton</w:t>
            </w:r>
          </w:p>
        </w:tc>
        <w:tc>
          <w:tcPr>
            <w:tcW w:w="4541" w:type="dxa"/>
            <w:tcBorders>
              <w:top w:val="single" w:sz="4" w:space="0" w:color="012F79"/>
              <w:left w:val="single" w:sz="4" w:space="0" w:color="012F79"/>
              <w:bottom w:val="single" w:sz="4" w:space="0" w:color="012F79"/>
              <w:right w:val="single" w:sz="4" w:space="0" w:color="012F79"/>
            </w:tcBorders>
            <w:hideMark/>
          </w:tcPr>
          <w:p w14:paraId="7764C39F"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Cardiology</w:t>
            </w:r>
          </w:p>
        </w:tc>
      </w:tr>
      <w:tr w:rsidR="00B445E0" w:rsidRPr="00E312DD" w14:paraId="310ECC0A"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0BBF7116" w14:textId="77777777" w:rsidR="00B445E0" w:rsidRPr="00E312DD" w:rsidRDefault="00B445E0" w:rsidP="4F98FB69">
            <w:pPr>
              <w:pStyle w:val="TableText"/>
              <w:rPr>
                <w:rFonts w:cstheme="minorBidi"/>
              </w:rPr>
            </w:pPr>
            <w:r w:rsidRPr="4F98FB69">
              <w:rPr>
                <w:rFonts w:cstheme="minorBidi"/>
              </w:rPr>
              <w:t>Professor Wendy Brown</w:t>
            </w:r>
          </w:p>
        </w:tc>
        <w:tc>
          <w:tcPr>
            <w:tcW w:w="4541" w:type="dxa"/>
            <w:tcBorders>
              <w:top w:val="single" w:sz="4" w:space="0" w:color="012F79"/>
              <w:left w:val="single" w:sz="4" w:space="0" w:color="012F79"/>
              <w:bottom w:val="single" w:sz="4" w:space="0" w:color="012F79"/>
              <w:right w:val="single" w:sz="4" w:space="0" w:color="012F79"/>
            </w:tcBorders>
            <w:hideMark/>
          </w:tcPr>
          <w:p w14:paraId="4A621D67" w14:textId="402314B5" w:rsidR="00B445E0" w:rsidRPr="00E312DD" w:rsidRDefault="00B445E0" w:rsidP="4F98FB69">
            <w:pPr>
              <w:pStyle w:val="TableText"/>
              <w:cnfStyle w:val="000000000000" w:firstRow="0" w:lastRow="0" w:firstColumn="0" w:lastColumn="0" w:oddVBand="0" w:evenVBand="0" w:oddHBand="0" w:evenHBand="0" w:firstRowFirstColumn="0" w:firstRowLastColumn="0" w:lastRowFirstColumn="0" w:lastRowLastColumn="0"/>
              <w:rPr>
                <w:rFonts w:cstheme="minorBidi"/>
              </w:rPr>
            </w:pPr>
            <w:r w:rsidRPr="4F98FB69">
              <w:rPr>
                <w:rFonts w:cstheme="minorBidi"/>
              </w:rPr>
              <w:t xml:space="preserve">General </w:t>
            </w:r>
            <w:r w:rsidR="00C64F7E">
              <w:rPr>
                <w:rFonts w:cstheme="minorBidi"/>
              </w:rPr>
              <w:t xml:space="preserve">Surgeon – Upper Gastrointestinal </w:t>
            </w:r>
            <w:r w:rsidRPr="4F98FB69">
              <w:rPr>
                <w:rFonts w:cstheme="minorBidi"/>
              </w:rPr>
              <w:t>and Bariatric Surgery</w:t>
            </w:r>
          </w:p>
        </w:tc>
      </w:tr>
      <w:tr w:rsidR="00B445E0" w:rsidRPr="00E312DD" w14:paraId="3262E610"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1FB66A62" w14:textId="77777777" w:rsidR="00B445E0" w:rsidRPr="00E312DD" w:rsidRDefault="00B445E0" w:rsidP="00912D82">
            <w:pPr>
              <w:pStyle w:val="TableText"/>
              <w:rPr>
                <w:rFonts w:cstheme="minorHAnsi"/>
              </w:rPr>
            </w:pPr>
            <w:r w:rsidRPr="00E312DD">
              <w:rPr>
                <w:rFonts w:cstheme="minorHAnsi"/>
              </w:rPr>
              <w:t>Professor Adam Elshaug</w:t>
            </w:r>
          </w:p>
        </w:tc>
        <w:tc>
          <w:tcPr>
            <w:tcW w:w="4541" w:type="dxa"/>
            <w:tcBorders>
              <w:top w:val="single" w:sz="4" w:space="0" w:color="012F79"/>
              <w:left w:val="single" w:sz="4" w:space="0" w:color="012F79"/>
              <w:bottom w:val="single" w:sz="4" w:space="0" w:color="012F79"/>
              <w:right w:val="single" w:sz="4" w:space="0" w:color="012F79"/>
            </w:tcBorders>
            <w:hideMark/>
          </w:tcPr>
          <w:p w14:paraId="341C07C5"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Health Services / Systems Research</w:t>
            </w:r>
          </w:p>
        </w:tc>
      </w:tr>
      <w:tr w:rsidR="00B445E0" w:rsidRPr="00E312DD" w14:paraId="6DAAE3DE"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1720B0F5" w14:textId="77777777" w:rsidR="00B445E0" w:rsidRPr="00E312DD" w:rsidRDefault="00B445E0" w:rsidP="00912D82">
            <w:pPr>
              <w:pStyle w:val="TableText"/>
              <w:rPr>
                <w:rFonts w:cstheme="minorHAnsi"/>
              </w:rPr>
            </w:pPr>
            <w:r w:rsidRPr="00E312DD">
              <w:rPr>
                <w:rFonts w:cstheme="minorHAnsi"/>
              </w:rPr>
              <w:lastRenderedPageBreak/>
              <w:t>Ms Margaret Foulds</w:t>
            </w:r>
          </w:p>
        </w:tc>
        <w:tc>
          <w:tcPr>
            <w:tcW w:w="4541" w:type="dxa"/>
            <w:tcBorders>
              <w:top w:val="single" w:sz="4" w:space="0" w:color="012F79"/>
              <w:left w:val="single" w:sz="4" w:space="0" w:color="012F79"/>
              <w:bottom w:val="single" w:sz="4" w:space="0" w:color="012F79"/>
              <w:right w:val="single" w:sz="4" w:space="0" w:color="012F79"/>
            </w:tcBorders>
            <w:hideMark/>
          </w:tcPr>
          <w:p w14:paraId="5C3162DF"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Psychology</w:t>
            </w:r>
          </w:p>
        </w:tc>
      </w:tr>
      <w:tr w:rsidR="00B445E0" w:rsidRPr="00E312DD" w14:paraId="3B47C351"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4FF4BA34" w14:textId="77777777" w:rsidR="00B445E0" w:rsidRPr="00E312DD" w:rsidRDefault="00B445E0" w:rsidP="00912D82">
            <w:pPr>
              <w:pStyle w:val="TableText"/>
              <w:rPr>
                <w:rFonts w:cstheme="minorHAnsi"/>
              </w:rPr>
            </w:pPr>
            <w:r w:rsidRPr="00E312DD">
              <w:rPr>
                <w:rFonts w:cstheme="minorHAnsi"/>
              </w:rPr>
              <w:t>Associate Professor Sally Green</w:t>
            </w:r>
          </w:p>
        </w:tc>
        <w:tc>
          <w:tcPr>
            <w:tcW w:w="4541" w:type="dxa"/>
            <w:tcBorders>
              <w:top w:val="single" w:sz="4" w:space="0" w:color="012F79"/>
              <w:left w:val="single" w:sz="4" w:space="0" w:color="012F79"/>
              <w:bottom w:val="single" w:sz="4" w:space="0" w:color="012F79"/>
              <w:right w:val="single" w:sz="4" w:space="0" w:color="012F79"/>
            </w:tcBorders>
            <w:hideMark/>
          </w:tcPr>
          <w:p w14:paraId="7A982EC9"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Health Services / Systems Research</w:t>
            </w:r>
          </w:p>
        </w:tc>
      </w:tr>
      <w:tr w:rsidR="00B445E0" w:rsidRPr="00E312DD" w14:paraId="72E50D40"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4B1CBC4A" w14:textId="77777777" w:rsidR="00B445E0" w:rsidRPr="00E312DD" w:rsidRDefault="00B445E0" w:rsidP="00912D82">
            <w:pPr>
              <w:pStyle w:val="TableText"/>
              <w:rPr>
                <w:rFonts w:cstheme="minorHAnsi"/>
              </w:rPr>
            </w:pPr>
            <w:r w:rsidRPr="00E312DD">
              <w:rPr>
                <w:rFonts w:cstheme="minorHAnsi"/>
              </w:rPr>
              <w:t>Dr Chris Helms</w:t>
            </w:r>
          </w:p>
        </w:tc>
        <w:tc>
          <w:tcPr>
            <w:tcW w:w="4541" w:type="dxa"/>
            <w:tcBorders>
              <w:top w:val="single" w:sz="4" w:space="0" w:color="012F79"/>
              <w:left w:val="single" w:sz="4" w:space="0" w:color="012F79"/>
              <w:bottom w:val="single" w:sz="4" w:space="0" w:color="012F79"/>
              <w:right w:val="single" w:sz="4" w:space="0" w:color="012F79"/>
            </w:tcBorders>
          </w:tcPr>
          <w:p w14:paraId="28702FC3"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Nurse Practitioner</w:t>
            </w:r>
          </w:p>
        </w:tc>
      </w:tr>
      <w:tr w:rsidR="00B445E0" w:rsidRPr="00E312DD" w14:paraId="1D52C5E6"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583A400B" w14:textId="77777777" w:rsidR="00B445E0" w:rsidRPr="00E312DD" w:rsidRDefault="00B445E0" w:rsidP="00912D82">
            <w:pPr>
              <w:pStyle w:val="TableText"/>
              <w:rPr>
                <w:rFonts w:cstheme="minorHAnsi"/>
              </w:rPr>
            </w:pPr>
            <w:r w:rsidRPr="00E312DD">
              <w:rPr>
                <w:rFonts w:cstheme="minorHAnsi"/>
              </w:rPr>
              <w:t>Professor Harriet Hiscock</w:t>
            </w:r>
          </w:p>
        </w:tc>
        <w:tc>
          <w:tcPr>
            <w:tcW w:w="4541" w:type="dxa"/>
            <w:tcBorders>
              <w:top w:val="single" w:sz="4" w:space="0" w:color="012F79"/>
              <w:left w:val="single" w:sz="4" w:space="0" w:color="012F79"/>
              <w:bottom w:val="single" w:sz="4" w:space="0" w:color="012F79"/>
              <w:right w:val="single" w:sz="4" w:space="0" w:color="012F79"/>
            </w:tcBorders>
          </w:tcPr>
          <w:p w14:paraId="4DB7C022"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Paediatrics</w:t>
            </w:r>
          </w:p>
        </w:tc>
      </w:tr>
      <w:tr w:rsidR="00B445E0" w:rsidRPr="00E312DD" w14:paraId="11CA63E3"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0B7ED177" w14:textId="77777777" w:rsidR="00B445E0" w:rsidRPr="00E312DD" w:rsidRDefault="00B445E0" w:rsidP="00912D82">
            <w:pPr>
              <w:pStyle w:val="TableText"/>
              <w:rPr>
                <w:rFonts w:cstheme="minorHAnsi"/>
              </w:rPr>
            </w:pPr>
            <w:r w:rsidRPr="00E312DD">
              <w:rPr>
                <w:rFonts w:cstheme="minorHAnsi"/>
              </w:rPr>
              <w:t>Professor Anthony Lawler</w:t>
            </w:r>
          </w:p>
        </w:tc>
        <w:tc>
          <w:tcPr>
            <w:tcW w:w="4541" w:type="dxa"/>
            <w:tcBorders>
              <w:top w:val="single" w:sz="4" w:space="0" w:color="012F79"/>
              <w:left w:val="single" w:sz="4" w:space="0" w:color="012F79"/>
              <w:bottom w:val="single" w:sz="4" w:space="0" w:color="012F79"/>
              <w:right w:val="single" w:sz="4" w:space="0" w:color="012F79"/>
            </w:tcBorders>
            <w:hideMark/>
          </w:tcPr>
          <w:p w14:paraId="1B366B98"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Health Services Administration / Emergency Medicine</w:t>
            </w:r>
          </w:p>
        </w:tc>
      </w:tr>
      <w:tr w:rsidR="00B445E0" w:rsidRPr="00E312DD" w14:paraId="4B74A7A7"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right w:val="single" w:sz="4" w:space="0" w:color="012F79"/>
            </w:tcBorders>
            <w:hideMark/>
          </w:tcPr>
          <w:p w14:paraId="1C66C1C0" w14:textId="77777777" w:rsidR="00B445E0" w:rsidRPr="00E312DD" w:rsidRDefault="00B445E0" w:rsidP="00912D82">
            <w:pPr>
              <w:pStyle w:val="TableText"/>
              <w:rPr>
                <w:rFonts w:cstheme="minorHAnsi"/>
              </w:rPr>
            </w:pPr>
            <w:r w:rsidRPr="00E312DD">
              <w:rPr>
                <w:rFonts w:cstheme="minorHAnsi"/>
              </w:rPr>
              <w:t>Ms Alison Marcus</w:t>
            </w:r>
          </w:p>
        </w:tc>
        <w:tc>
          <w:tcPr>
            <w:tcW w:w="4541" w:type="dxa"/>
            <w:tcBorders>
              <w:top w:val="single" w:sz="4" w:space="0" w:color="012F79"/>
              <w:left w:val="single" w:sz="4" w:space="0" w:color="012F79"/>
              <w:right w:val="single" w:sz="4" w:space="0" w:color="012F79"/>
            </w:tcBorders>
            <w:hideMark/>
          </w:tcPr>
          <w:p w14:paraId="2D23A4C3"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Consumer Representative</w:t>
            </w:r>
          </w:p>
        </w:tc>
      </w:tr>
      <w:tr w:rsidR="00B445E0" w:rsidRPr="00E312DD" w14:paraId="25F67FA3"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55509133" w14:textId="77777777" w:rsidR="00B445E0" w:rsidRPr="00E312DD" w:rsidRDefault="00B445E0" w:rsidP="00912D82">
            <w:pPr>
              <w:pStyle w:val="TableText"/>
              <w:rPr>
                <w:rFonts w:cstheme="minorHAnsi"/>
              </w:rPr>
            </w:pPr>
            <w:r>
              <w:rPr>
                <w:rFonts w:cstheme="minorHAnsi"/>
              </w:rPr>
              <w:t>Associate Professor</w:t>
            </w:r>
            <w:r w:rsidRPr="00E312DD">
              <w:rPr>
                <w:rFonts w:cstheme="minorHAnsi"/>
              </w:rPr>
              <w:t xml:space="preserve"> Elizabeth Marles</w:t>
            </w:r>
          </w:p>
        </w:tc>
        <w:tc>
          <w:tcPr>
            <w:tcW w:w="4541" w:type="dxa"/>
            <w:tcBorders>
              <w:top w:val="single" w:sz="4" w:space="0" w:color="012F79"/>
              <w:left w:val="single" w:sz="4" w:space="0" w:color="012F79"/>
              <w:bottom w:val="single" w:sz="4" w:space="0" w:color="012F79"/>
              <w:right w:val="single" w:sz="4" w:space="0" w:color="012F79"/>
            </w:tcBorders>
            <w:hideMark/>
          </w:tcPr>
          <w:p w14:paraId="0EDF4213"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General Practice / Indigenous Health</w:t>
            </w:r>
          </w:p>
        </w:tc>
      </w:tr>
      <w:tr w:rsidR="00B445E0" w:rsidRPr="00E312DD" w14:paraId="52187152"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7C8B548C" w14:textId="77777777" w:rsidR="00B445E0" w:rsidRPr="00E312DD" w:rsidRDefault="00B445E0" w:rsidP="00912D82">
            <w:pPr>
              <w:pStyle w:val="TableText"/>
              <w:rPr>
                <w:rFonts w:cstheme="minorHAnsi"/>
              </w:rPr>
            </w:pPr>
            <w:r w:rsidRPr="00E312DD">
              <w:rPr>
                <w:rFonts w:cstheme="minorHAnsi"/>
              </w:rPr>
              <w:t>Dr Sue Masel</w:t>
            </w:r>
          </w:p>
        </w:tc>
        <w:tc>
          <w:tcPr>
            <w:tcW w:w="4541" w:type="dxa"/>
            <w:tcBorders>
              <w:top w:val="single" w:sz="4" w:space="0" w:color="012F79"/>
              <w:left w:val="single" w:sz="4" w:space="0" w:color="012F79"/>
              <w:bottom w:val="single" w:sz="4" w:space="0" w:color="012F79"/>
              <w:right w:val="single" w:sz="4" w:space="0" w:color="012F79"/>
            </w:tcBorders>
            <w:hideMark/>
          </w:tcPr>
          <w:p w14:paraId="083771E1"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Rural General Practice</w:t>
            </w:r>
          </w:p>
        </w:tc>
      </w:tr>
      <w:tr w:rsidR="00B445E0" w:rsidRPr="00E312DD" w14:paraId="087ABA06" w14:textId="77777777" w:rsidTr="555C62E8">
        <w:trPr>
          <w:trHeight w:val="31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0EC0338E" w14:textId="77777777" w:rsidR="00B445E0" w:rsidRPr="00E312DD" w:rsidRDefault="00B445E0" w:rsidP="00912D82">
            <w:pPr>
              <w:pStyle w:val="TableText"/>
              <w:rPr>
                <w:rFonts w:cstheme="minorHAnsi"/>
              </w:rPr>
            </w:pPr>
            <w:r w:rsidRPr="00E312DD">
              <w:rPr>
                <w:rFonts w:cstheme="minorHAnsi"/>
              </w:rPr>
              <w:t>Professor Christobel Saunders</w:t>
            </w:r>
          </w:p>
        </w:tc>
        <w:tc>
          <w:tcPr>
            <w:tcW w:w="4541" w:type="dxa"/>
            <w:tcBorders>
              <w:top w:val="single" w:sz="4" w:space="0" w:color="012F79"/>
              <w:left w:val="single" w:sz="4" w:space="0" w:color="012F79"/>
              <w:bottom w:val="single" w:sz="4" w:space="0" w:color="012F79"/>
              <w:right w:val="single" w:sz="4" w:space="0" w:color="012F79"/>
            </w:tcBorders>
            <w:hideMark/>
          </w:tcPr>
          <w:p w14:paraId="7E867D1D" w14:textId="4514098C" w:rsidR="00B445E0" w:rsidRPr="00E312DD" w:rsidRDefault="0029607A" w:rsidP="555C62E8">
            <w:pPr>
              <w:pStyle w:val="TableText"/>
              <w:cnfStyle w:val="000000000000" w:firstRow="0" w:lastRow="0" w:firstColumn="0" w:lastColumn="0" w:oddVBand="0" w:evenVBand="0" w:oddHBand="0" w:evenHBand="0" w:firstRowFirstColumn="0" w:firstRowLastColumn="0" w:lastRowFirstColumn="0" w:lastRowLastColumn="0"/>
              <w:rPr>
                <w:rFonts w:cstheme="minorBidi"/>
              </w:rPr>
            </w:pPr>
            <w:r w:rsidRPr="555C62E8">
              <w:rPr>
                <w:rFonts w:cstheme="minorBidi"/>
              </w:rPr>
              <w:t xml:space="preserve">General Surgeon – </w:t>
            </w:r>
            <w:r w:rsidR="00B445E0" w:rsidRPr="555C62E8">
              <w:rPr>
                <w:rFonts w:cstheme="minorBidi"/>
              </w:rPr>
              <w:t>Breast Cancer and Reconstructive Surgery</w:t>
            </w:r>
          </w:p>
        </w:tc>
      </w:tr>
      <w:tr w:rsidR="00B445E0" w:rsidRPr="00E312DD" w14:paraId="1F016769"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673F2EA7" w14:textId="77777777" w:rsidR="00B445E0" w:rsidRPr="00E312DD" w:rsidRDefault="00B445E0" w:rsidP="00912D82">
            <w:pPr>
              <w:pStyle w:val="TableText"/>
              <w:rPr>
                <w:rFonts w:cstheme="minorHAnsi"/>
              </w:rPr>
            </w:pPr>
            <w:r w:rsidRPr="00E312DD">
              <w:rPr>
                <w:rFonts w:cstheme="minorHAnsi"/>
              </w:rPr>
              <w:t>Associate Professor Ken Sikaris</w:t>
            </w:r>
          </w:p>
        </w:tc>
        <w:tc>
          <w:tcPr>
            <w:tcW w:w="4541" w:type="dxa"/>
            <w:tcBorders>
              <w:top w:val="single" w:sz="4" w:space="0" w:color="012F79"/>
              <w:left w:val="single" w:sz="4" w:space="0" w:color="012F79"/>
              <w:bottom w:val="single" w:sz="4" w:space="0" w:color="012F79"/>
              <w:right w:val="single" w:sz="4" w:space="0" w:color="012F79"/>
            </w:tcBorders>
            <w:hideMark/>
          </w:tcPr>
          <w:p w14:paraId="7DED9887"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Pathology</w:t>
            </w:r>
          </w:p>
        </w:tc>
      </w:tr>
      <w:tr w:rsidR="00B445E0" w:rsidRPr="00E312DD" w14:paraId="69579DAF" w14:textId="77777777" w:rsidTr="555C62E8">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13E8DE12" w14:textId="77777777" w:rsidR="00B445E0" w:rsidRPr="00E312DD" w:rsidRDefault="00B445E0" w:rsidP="00912D82">
            <w:pPr>
              <w:pStyle w:val="TableText"/>
              <w:rPr>
                <w:rFonts w:cstheme="minorHAnsi"/>
              </w:rPr>
            </w:pPr>
            <w:r w:rsidRPr="00E312DD">
              <w:rPr>
                <w:rFonts w:cstheme="minorHAnsi"/>
              </w:rPr>
              <w:t>Ms Robyn Stephen</w:t>
            </w:r>
          </w:p>
        </w:tc>
        <w:tc>
          <w:tcPr>
            <w:tcW w:w="4541" w:type="dxa"/>
            <w:tcBorders>
              <w:top w:val="single" w:sz="4" w:space="0" w:color="012F79"/>
              <w:left w:val="single" w:sz="4" w:space="0" w:color="012F79"/>
              <w:bottom w:val="single" w:sz="4" w:space="0" w:color="012F79"/>
              <w:right w:val="single" w:sz="4" w:space="0" w:color="012F79"/>
            </w:tcBorders>
            <w:hideMark/>
          </w:tcPr>
          <w:p w14:paraId="679C117C"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Paediatric Speech Pathology</w:t>
            </w:r>
          </w:p>
        </w:tc>
      </w:tr>
      <w:tr w:rsidR="00B445E0" w:rsidRPr="00E312DD" w14:paraId="45ED23E6" w14:textId="77777777" w:rsidTr="555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61492208" w14:textId="77777777" w:rsidR="00B445E0" w:rsidRPr="00E312DD" w:rsidRDefault="00B445E0" w:rsidP="00912D82">
            <w:pPr>
              <w:pStyle w:val="TableText"/>
              <w:rPr>
                <w:rFonts w:cstheme="minorHAnsi"/>
              </w:rPr>
            </w:pPr>
            <w:r w:rsidRPr="00E312DD">
              <w:rPr>
                <w:rFonts w:cstheme="minorHAnsi"/>
              </w:rPr>
              <w:t>Associate Professor Angus Turner</w:t>
            </w:r>
          </w:p>
        </w:tc>
        <w:tc>
          <w:tcPr>
            <w:tcW w:w="4541" w:type="dxa"/>
            <w:tcBorders>
              <w:top w:val="single" w:sz="4" w:space="0" w:color="012F79"/>
              <w:left w:val="single" w:sz="4" w:space="0" w:color="012F79"/>
              <w:bottom w:val="single" w:sz="4" w:space="0" w:color="012F79"/>
              <w:right w:val="single" w:sz="4" w:space="0" w:color="012F79"/>
            </w:tcBorders>
            <w:hideMark/>
          </w:tcPr>
          <w:p w14:paraId="4DAB767B" w14:textId="77777777" w:rsidR="00B445E0" w:rsidRPr="00E312DD" w:rsidRDefault="00B445E0" w:rsidP="00912D82">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Ophthalmology / Rural and Remote Medicine</w:t>
            </w:r>
          </w:p>
        </w:tc>
      </w:tr>
      <w:tr w:rsidR="00B445E0" w:rsidRPr="00E312DD" w14:paraId="0EEAB520" w14:textId="77777777" w:rsidTr="555C62E8">
        <w:trPr>
          <w:trHeight w:val="7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bottom w:val="single" w:sz="4" w:space="0" w:color="012F79"/>
              <w:right w:val="single" w:sz="4" w:space="0" w:color="012F79"/>
            </w:tcBorders>
            <w:hideMark/>
          </w:tcPr>
          <w:p w14:paraId="358718E1" w14:textId="77777777" w:rsidR="00B445E0" w:rsidRPr="00E312DD" w:rsidRDefault="00B445E0" w:rsidP="00912D82">
            <w:pPr>
              <w:pStyle w:val="TableText"/>
              <w:rPr>
                <w:rFonts w:cstheme="minorHAnsi"/>
              </w:rPr>
            </w:pPr>
            <w:r w:rsidRPr="00E312DD">
              <w:rPr>
                <w:rFonts w:cstheme="minorHAnsi"/>
              </w:rPr>
              <w:t>Professor Christopher Vertullo</w:t>
            </w:r>
          </w:p>
        </w:tc>
        <w:tc>
          <w:tcPr>
            <w:tcW w:w="4541" w:type="dxa"/>
            <w:tcBorders>
              <w:top w:val="single" w:sz="4" w:space="0" w:color="012F79"/>
              <w:left w:val="single" w:sz="4" w:space="0" w:color="012F79"/>
              <w:bottom w:val="single" w:sz="4" w:space="0" w:color="012F79"/>
              <w:right w:val="single" w:sz="4" w:space="0" w:color="012F79"/>
            </w:tcBorders>
            <w:hideMark/>
          </w:tcPr>
          <w:p w14:paraId="1AD23FEA" w14:textId="77777777" w:rsidR="00B445E0" w:rsidRPr="00E312DD" w:rsidRDefault="00B445E0" w:rsidP="00912D82">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Orthopaedic Surgery</w:t>
            </w:r>
          </w:p>
        </w:tc>
      </w:tr>
    </w:tbl>
    <w:p w14:paraId="2660DB65" w14:textId="0031CEFD" w:rsidR="00DE4D54" w:rsidRPr="00641C75" w:rsidRDefault="00DE4D54" w:rsidP="00DE4D54">
      <w:pPr>
        <w:pStyle w:val="Heading2"/>
      </w:pPr>
      <w:bookmarkStart w:id="32" w:name="_Toc107835769"/>
      <w:bookmarkStart w:id="33" w:name="_Toc107835836"/>
      <w:bookmarkStart w:id="34" w:name="_Toc107911560"/>
      <w:bookmarkStart w:id="35" w:name="_Toc107920655"/>
      <w:bookmarkStart w:id="36" w:name="_Toc111552636"/>
      <w:bookmarkStart w:id="37" w:name="_Toc111558645"/>
      <w:bookmarkStart w:id="38" w:name="_Toc111561069"/>
      <w:r w:rsidRPr="00641C75">
        <w:t>MBS Continuous Review Guiding Principles</w:t>
      </w:r>
      <w:bookmarkEnd w:id="32"/>
      <w:bookmarkEnd w:id="33"/>
      <w:bookmarkEnd w:id="34"/>
      <w:bookmarkEnd w:id="35"/>
      <w:bookmarkEnd w:id="36"/>
      <w:bookmarkEnd w:id="37"/>
      <w:bookmarkEnd w:id="38"/>
    </w:p>
    <w:p w14:paraId="6CCD835C" w14:textId="77777777" w:rsidR="00DE4D54" w:rsidRPr="00641C75" w:rsidRDefault="00DE4D54" w:rsidP="00DE4D54">
      <w:pPr>
        <w:pStyle w:val="NormalBeforeBullet"/>
      </w:pPr>
      <w:r w:rsidRPr="00641C75">
        <w:t>The following principles guide the deliberations and recommendations of the MBS Continuous Review:</w:t>
      </w:r>
    </w:p>
    <w:p w14:paraId="2335602D" w14:textId="77777777" w:rsidR="00DE4D54" w:rsidRPr="00641C75" w:rsidRDefault="00DE4D54" w:rsidP="00DE4D54">
      <w:pPr>
        <w:numPr>
          <w:ilvl w:val="0"/>
          <w:numId w:val="30"/>
        </w:numPr>
        <w:spacing w:after="120"/>
      </w:pPr>
      <w:r w:rsidRPr="00641C75">
        <w:t>The MBS:</w:t>
      </w:r>
    </w:p>
    <w:p w14:paraId="51B76CA6" w14:textId="77777777" w:rsidR="00DE4D54" w:rsidRPr="00641C75" w:rsidRDefault="00DE4D54" w:rsidP="00DE4D54">
      <w:pPr>
        <w:numPr>
          <w:ilvl w:val="0"/>
          <w:numId w:val="29"/>
        </w:numPr>
        <w:spacing w:after="120"/>
      </w:pPr>
      <w:r w:rsidRPr="00641C75">
        <w:t>Is structured to support coordinated care through the health system by:</w:t>
      </w:r>
    </w:p>
    <w:p w14:paraId="04CFEF08" w14:textId="77777777" w:rsidR="00DE4D54" w:rsidRPr="00641C75" w:rsidRDefault="00DE4D54" w:rsidP="00DE4D54">
      <w:pPr>
        <w:numPr>
          <w:ilvl w:val="1"/>
          <w:numId w:val="29"/>
        </w:numPr>
        <w:spacing w:after="120"/>
      </w:pPr>
      <w:r w:rsidRPr="00641C75">
        <w:t>recognising the central role of General Practice in coordinating care; and</w:t>
      </w:r>
    </w:p>
    <w:p w14:paraId="3811A766" w14:textId="77777777" w:rsidR="00DE4D54" w:rsidRPr="00641C75" w:rsidRDefault="00DE4D54" w:rsidP="00DE4D54">
      <w:pPr>
        <w:numPr>
          <w:ilvl w:val="1"/>
          <w:numId w:val="29"/>
        </w:numPr>
        <w:spacing w:after="120"/>
      </w:pPr>
      <w:r w:rsidRPr="00641C75">
        <w:t>facilitating communication through General Practice to enable holistic coordinated care.</w:t>
      </w:r>
    </w:p>
    <w:p w14:paraId="184FD550" w14:textId="77777777" w:rsidR="00DE4D54" w:rsidRPr="00641C75" w:rsidRDefault="00DE4D54" w:rsidP="00DE4D54">
      <w:pPr>
        <w:numPr>
          <w:ilvl w:val="0"/>
          <w:numId w:val="29"/>
        </w:numPr>
        <w:spacing w:after="120"/>
      </w:pPr>
      <w:r w:rsidRPr="00641C75">
        <w:t>Is designed to provide sustainable, high value, evidence-based and appropriate care to the Australian community.</w:t>
      </w:r>
    </w:p>
    <w:p w14:paraId="49B72F0F" w14:textId="77777777" w:rsidR="00DE4D54" w:rsidRPr="00641C75" w:rsidRDefault="00DE4D54" w:rsidP="00DE4D54">
      <w:pPr>
        <w:numPr>
          <w:ilvl w:val="1"/>
          <w:numId w:val="29"/>
        </w:numPr>
        <w:spacing w:after="120"/>
      </w:pPr>
      <w:r w:rsidRPr="00641C75">
        <w:t>Item descriptors and explanatory notes are designed to ensure clarity, consistency, and appropriate use by health professionals.</w:t>
      </w:r>
    </w:p>
    <w:p w14:paraId="139539DA" w14:textId="77777777" w:rsidR="00DE4D54" w:rsidRPr="00641C75" w:rsidRDefault="00DE4D54" w:rsidP="00DE4D54">
      <w:pPr>
        <w:numPr>
          <w:ilvl w:val="0"/>
          <w:numId w:val="29"/>
        </w:numPr>
        <w:spacing w:after="120"/>
      </w:pPr>
      <w:r w:rsidRPr="00641C75">
        <w:t>Promotes equity according to patient need.</w:t>
      </w:r>
    </w:p>
    <w:p w14:paraId="5ED92D25" w14:textId="77777777" w:rsidR="00DE4D54" w:rsidRPr="00641C75" w:rsidRDefault="00DE4D54" w:rsidP="00DE4D54">
      <w:pPr>
        <w:numPr>
          <w:ilvl w:val="0"/>
          <w:numId w:val="29"/>
        </w:numPr>
        <w:spacing w:after="120"/>
      </w:pPr>
      <w:r w:rsidRPr="00641C75">
        <w:t>Ensures accountability to the patient and to the Australian community (taxpayer).</w:t>
      </w:r>
    </w:p>
    <w:p w14:paraId="4CA5D32F" w14:textId="77777777" w:rsidR="00DE4D54" w:rsidRDefault="00DE4D54" w:rsidP="00DE4D54">
      <w:pPr>
        <w:numPr>
          <w:ilvl w:val="0"/>
          <w:numId w:val="29"/>
        </w:numPr>
        <w:spacing w:after="120"/>
      </w:pPr>
      <w:r w:rsidRPr="00641C75">
        <w:t>Is continuously evaluated and revised to provide high value health care to the Australian community.</w:t>
      </w:r>
    </w:p>
    <w:p w14:paraId="10A39DC0" w14:textId="77777777" w:rsidR="00DE4D54" w:rsidRPr="00641C75" w:rsidRDefault="00DE4D54" w:rsidP="00DE4D54">
      <w:pPr>
        <w:spacing w:after="0"/>
        <w:ind w:left="1213"/>
      </w:pPr>
    </w:p>
    <w:p w14:paraId="6FE782E6" w14:textId="77777777" w:rsidR="00DE4D54" w:rsidRPr="00641C75" w:rsidRDefault="00DE4D54" w:rsidP="00DE4D54">
      <w:pPr>
        <w:numPr>
          <w:ilvl w:val="0"/>
          <w:numId w:val="30"/>
        </w:numPr>
        <w:spacing w:after="120"/>
        <w:ind w:hanging="357"/>
      </w:pPr>
      <w:r w:rsidRPr="00641C75">
        <w:t>Service providers of the MBS:</w:t>
      </w:r>
    </w:p>
    <w:p w14:paraId="1F959B95" w14:textId="77777777" w:rsidR="00DE4D54" w:rsidRPr="00641C75" w:rsidRDefault="00DE4D54" w:rsidP="00DE4D54">
      <w:pPr>
        <w:numPr>
          <w:ilvl w:val="0"/>
          <w:numId w:val="29"/>
        </w:numPr>
        <w:spacing w:after="120"/>
        <w:ind w:hanging="357"/>
      </w:pPr>
      <w:r w:rsidRPr="00641C75">
        <w:t>Understand the purpose and requirements of the MBS.</w:t>
      </w:r>
    </w:p>
    <w:p w14:paraId="497E5781" w14:textId="77777777" w:rsidR="00DE4D54" w:rsidRPr="00641C75" w:rsidRDefault="00DE4D54" w:rsidP="00DE4D54">
      <w:pPr>
        <w:numPr>
          <w:ilvl w:val="0"/>
          <w:numId w:val="29"/>
        </w:numPr>
        <w:spacing w:after="120"/>
        <w:ind w:hanging="357"/>
      </w:pPr>
      <w:r w:rsidRPr="00641C75">
        <w:t>Utilise the MBS for evidence-based car</w:t>
      </w:r>
      <w:r>
        <w:t>e.</w:t>
      </w:r>
    </w:p>
    <w:p w14:paraId="0EEFC86F" w14:textId="77777777" w:rsidR="00DE4D54" w:rsidRPr="00641C75" w:rsidRDefault="00DE4D54" w:rsidP="00DE4D54">
      <w:pPr>
        <w:numPr>
          <w:ilvl w:val="0"/>
          <w:numId w:val="29"/>
        </w:numPr>
        <w:spacing w:after="120"/>
        <w:ind w:hanging="357"/>
      </w:pPr>
      <w:r w:rsidRPr="00641C75">
        <w:t>Ensure patients are informed of the benefits, risks, and harms of services and are engaged through shared decision making.</w:t>
      </w:r>
    </w:p>
    <w:p w14:paraId="1FE8F243" w14:textId="77777777" w:rsidR="00DE4D54" w:rsidRDefault="00DE4D54" w:rsidP="00DE4D54">
      <w:pPr>
        <w:numPr>
          <w:ilvl w:val="0"/>
          <w:numId w:val="29"/>
        </w:numPr>
        <w:spacing w:after="120"/>
        <w:ind w:hanging="357"/>
      </w:pPr>
      <w:r w:rsidRPr="00641C75">
        <w:lastRenderedPageBreak/>
        <w:t>Utilise decision support tools, Patient Reported Outcome and Experience Measures where available and appropriate.</w:t>
      </w:r>
    </w:p>
    <w:p w14:paraId="46A2C710" w14:textId="77777777" w:rsidR="00DE4D54" w:rsidRPr="00641C75" w:rsidRDefault="00DE4D54" w:rsidP="00DE4D54">
      <w:pPr>
        <w:spacing w:after="0"/>
      </w:pPr>
    </w:p>
    <w:p w14:paraId="6DBB78AB" w14:textId="77777777" w:rsidR="00DE4D54" w:rsidRPr="00641C75" w:rsidRDefault="00DE4D54" w:rsidP="00DE4D54">
      <w:pPr>
        <w:numPr>
          <w:ilvl w:val="0"/>
          <w:numId w:val="30"/>
        </w:numPr>
        <w:spacing w:after="120"/>
        <w:ind w:hanging="357"/>
      </w:pPr>
      <w:r w:rsidRPr="00641C75">
        <w:t>Consumers of the MBS:</w:t>
      </w:r>
    </w:p>
    <w:p w14:paraId="4C111961" w14:textId="77777777" w:rsidR="00DE4D54" w:rsidRPr="00641C75" w:rsidRDefault="00DE4D54" w:rsidP="00DE4D54">
      <w:pPr>
        <w:numPr>
          <w:ilvl w:val="0"/>
          <w:numId w:val="29"/>
        </w:numPr>
        <w:spacing w:after="120"/>
        <w:ind w:hanging="357"/>
      </w:pPr>
      <w:r w:rsidRPr="00641C75">
        <w:t>Are encouraged to become partners in their own care to the extent they choose.</w:t>
      </w:r>
    </w:p>
    <w:p w14:paraId="47076F63" w14:textId="77777777" w:rsidR="00DE4D54" w:rsidRDefault="00DE4D54" w:rsidP="00DE4D54">
      <w:pPr>
        <w:numPr>
          <w:ilvl w:val="0"/>
          <w:numId w:val="29"/>
        </w:numPr>
        <w:spacing w:after="120"/>
        <w:ind w:hanging="357"/>
      </w:pPr>
      <w:r w:rsidRPr="00641C75">
        <w:t>Are encouraged to participate in MBS reviews so patient health care needs can be prioritised in design and implementation of MBS items.</w:t>
      </w:r>
    </w:p>
    <w:p w14:paraId="0348F7F1" w14:textId="77777777" w:rsidR="00DE4D54" w:rsidRDefault="00DE4D54" w:rsidP="00DE4D54">
      <w:pPr>
        <w:spacing w:after="120"/>
        <w:ind w:left="1211"/>
      </w:pPr>
    </w:p>
    <w:p w14:paraId="215C9D43" w14:textId="31CC20EB" w:rsidR="00DE4D54" w:rsidRPr="00641C75" w:rsidRDefault="00DE4D54" w:rsidP="00DE4D54">
      <w:pPr>
        <w:spacing w:after="120"/>
      </w:pPr>
      <w:r w:rsidRPr="004C2A47">
        <w:t xml:space="preserve">The </w:t>
      </w:r>
      <w:r w:rsidR="00C71796">
        <w:t>C</w:t>
      </w:r>
      <w:r w:rsidRPr="004C2A47">
        <w:t>ommittee note</w:t>
      </w:r>
      <w:r>
        <w:t>s</w:t>
      </w:r>
      <w:r w:rsidRPr="004C2A47">
        <w:t xml:space="preserve"> that the MBS </w:t>
      </w:r>
      <w:r>
        <w:t>i</w:t>
      </w:r>
      <w:r w:rsidRPr="004C2A47">
        <w:t xml:space="preserve">s one of several available approaches to </w:t>
      </w:r>
      <w:r>
        <w:t xml:space="preserve">the </w:t>
      </w:r>
      <w:r w:rsidRPr="004C2A47">
        <w:t>fund</w:t>
      </w:r>
      <w:r>
        <w:t>ing of health</w:t>
      </w:r>
      <w:r w:rsidRPr="004C2A47">
        <w:t xml:space="preserve"> services</w:t>
      </w:r>
      <w:r>
        <w:t xml:space="preserve">. </w:t>
      </w:r>
    </w:p>
    <w:p w14:paraId="7909DC78" w14:textId="77777777" w:rsidR="00DE4D54" w:rsidRPr="00641C75" w:rsidRDefault="00DE4D54" w:rsidP="00E04E09">
      <w:pPr>
        <w:pStyle w:val="Heading2"/>
      </w:pPr>
      <w:bookmarkStart w:id="39" w:name="_Toc107835770"/>
      <w:bookmarkStart w:id="40" w:name="_Toc107835837"/>
      <w:bookmarkStart w:id="41" w:name="_Toc107911561"/>
      <w:bookmarkStart w:id="42" w:name="_Toc107920656"/>
      <w:bookmarkStart w:id="43" w:name="_Toc111552637"/>
      <w:bookmarkStart w:id="44" w:name="_Toc111558646"/>
      <w:bookmarkStart w:id="45" w:name="_Toc111561070"/>
      <w:r w:rsidRPr="00641C75">
        <w:t>Government consideration</w:t>
      </w:r>
      <w:bookmarkEnd w:id="39"/>
      <w:bookmarkEnd w:id="40"/>
      <w:bookmarkEnd w:id="41"/>
      <w:bookmarkEnd w:id="42"/>
      <w:bookmarkEnd w:id="43"/>
      <w:bookmarkEnd w:id="44"/>
      <w:bookmarkEnd w:id="45"/>
    </w:p>
    <w:p w14:paraId="0A5BE33B" w14:textId="77777777" w:rsidR="00DE4D54" w:rsidRPr="00641C75" w:rsidRDefault="00DE4D54" w:rsidP="00DE4D54">
      <w:r w:rsidRPr="00641C75">
        <w:t xml:space="preserve">If the Australian Government agrees to the implementation of recommendations, </w:t>
      </w:r>
      <w:r>
        <w:t>this</w:t>
      </w:r>
      <w:r w:rsidRPr="00641C75">
        <w:t xml:space="preserve"> will be communicated through Government</w:t>
      </w:r>
      <w:r>
        <w:t xml:space="preserve"> announcement</w:t>
      </w:r>
      <w:r w:rsidRPr="00641C75">
        <w:t>.</w:t>
      </w:r>
    </w:p>
    <w:p w14:paraId="0228F6D3" w14:textId="4BE0C772" w:rsidR="00DE4D54" w:rsidRPr="00641C75" w:rsidRDefault="00DE4D54" w:rsidP="00DE4D54">
      <w:r w:rsidRPr="00641C75">
        <w:t>Information will also be made available on the Department of Health</w:t>
      </w:r>
      <w:r w:rsidR="00B445E0">
        <w:t xml:space="preserve"> and Aged Care </w:t>
      </w:r>
      <w:r w:rsidRPr="00641C75">
        <w:t xml:space="preserve">website, including MBS </w:t>
      </w:r>
      <w:r>
        <w:t>O</w:t>
      </w:r>
      <w:r w:rsidRPr="00641C75">
        <w:t>nline and departmental newsletters.</w:t>
      </w:r>
    </w:p>
    <w:p w14:paraId="4535FF36" w14:textId="40CA3F7B" w:rsidR="002A427B" w:rsidRDefault="002A427B">
      <w:pPr>
        <w:spacing w:after="0"/>
      </w:pPr>
      <w:r>
        <w:br w:type="page"/>
      </w:r>
    </w:p>
    <w:p w14:paraId="1343C5D9" w14:textId="06BB77BC" w:rsidR="002155E1" w:rsidRDefault="00032F24" w:rsidP="002A427B">
      <w:pPr>
        <w:pStyle w:val="Heading1"/>
      </w:pPr>
      <w:bookmarkStart w:id="46" w:name="_Toc107920657"/>
      <w:bookmarkStart w:id="47" w:name="_Toc111561071"/>
      <w:r>
        <w:lastRenderedPageBreak/>
        <w:t xml:space="preserve">Summary of the </w:t>
      </w:r>
      <w:r w:rsidR="00C64F7E">
        <w:t>issues</w:t>
      </w:r>
      <w:bookmarkEnd w:id="46"/>
      <w:bookmarkEnd w:id="47"/>
    </w:p>
    <w:p w14:paraId="02CF5D36" w14:textId="154A419A" w:rsidR="00035700" w:rsidRDefault="00035700" w:rsidP="00035700">
      <w:r>
        <w:t xml:space="preserve">Surgeons may choose to engage a surgical assistant to assist them during procedures. This may be a ‘medical surgical assistant’, such as another surgeon or a </w:t>
      </w:r>
      <w:r w:rsidR="00751F69">
        <w:t>GP</w:t>
      </w:r>
      <w:r>
        <w:t xml:space="preserve"> (particularly in rural and remote areas), or a ‘non-medical surgical assistant’, such as a perioperative nurse surgical assistant (PNSA) or a nurse practitioner (NP).</w:t>
      </w:r>
    </w:p>
    <w:p w14:paraId="6A8FF8D0" w14:textId="0FE5898C" w:rsidR="00035700" w:rsidRDefault="00035700" w:rsidP="00A05592">
      <w:r>
        <w:t>Medical surgical assistants can charge a separate fee for their services against one of seven MBS items (items 51300–51318 in Group T9 – Assistance at operations). The patient claims a benefit against the item and pays any remaining out-of-pocket costs. These MBS items are payable only for surgical assistant services provided by medical practitioners other than the surgeon, the anaesthetist</w:t>
      </w:r>
      <w:r w:rsidR="0086492B">
        <w:t>,</w:t>
      </w:r>
      <w:r>
        <w:t xml:space="preserve"> and the assistant anaesthetist. Non-medical surgical assistants do not have access to these surgical assistant MBS items, so charges for their services are passed on to the patient as an out-of-pocket cost.</w:t>
      </w:r>
    </w:p>
    <w:p w14:paraId="0C0F3873" w14:textId="71FA7A66" w:rsidR="002155E1" w:rsidRDefault="009747F0" w:rsidP="00F71DF2">
      <w:pPr>
        <w:pStyle w:val="NormalBeforeBullet"/>
      </w:pPr>
      <w:r>
        <w:t xml:space="preserve">On 23 March 2021, the </w:t>
      </w:r>
      <w:r w:rsidR="0086492B">
        <w:t xml:space="preserve">former </w:t>
      </w:r>
      <w:r>
        <w:t xml:space="preserve">Minister for Health agreed that the MRAC </w:t>
      </w:r>
      <w:r w:rsidR="0086492B">
        <w:t xml:space="preserve">should </w:t>
      </w:r>
      <w:r w:rsidR="002801F5">
        <w:t>consider</w:t>
      </w:r>
      <w:r>
        <w:t xml:space="preserve"> and advis</w:t>
      </w:r>
      <w:r w:rsidR="0086492B">
        <w:t>e</w:t>
      </w:r>
      <w:r>
        <w:t xml:space="preserve"> on the following surgical assistant remuneration issues</w:t>
      </w:r>
      <w:r w:rsidR="004011F8">
        <w:t>:</w:t>
      </w:r>
    </w:p>
    <w:p w14:paraId="2C948D29" w14:textId="7CF02C7A" w:rsidR="004011F8" w:rsidRDefault="004011F8" w:rsidP="0086492B">
      <w:pPr>
        <w:pStyle w:val="BulletLast"/>
        <w:numPr>
          <w:ilvl w:val="0"/>
          <w:numId w:val="33"/>
        </w:numPr>
        <w:spacing w:after="0"/>
        <w:ind w:left="357" w:hanging="357"/>
      </w:pPr>
      <w:r>
        <w:t>Surgical assistant billing arrangements</w:t>
      </w:r>
      <w:r w:rsidR="00490D0A">
        <w:t>.</w:t>
      </w:r>
    </w:p>
    <w:p w14:paraId="277B2F43" w14:textId="4B9903FF" w:rsidR="004011F8" w:rsidRDefault="004011F8" w:rsidP="0086492B">
      <w:pPr>
        <w:pStyle w:val="BulletLast"/>
        <w:numPr>
          <w:ilvl w:val="0"/>
          <w:numId w:val="33"/>
        </w:numPr>
      </w:pPr>
      <w:r>
        <w:t>Access to surgical assistant MBS items for non-medical surgical assistants</w:t>
      </w:r>
      <w:r w:rsidR="00490D0A">
        <w:t>.</w:t>
      </w:r>
    </w:p>
    <w:p w14:paraId="483B27DA" w14:textId="05B1845F" w:rsidR="00C327A5" w:rsidRDefault="00035700" w:rsidP="00C327A5">
      <w:r>
        <w:t>In July 2021, the Department of Health</w:t>
      </w:r>
      <w:r w:rsidR="00B445E0">
        <w:t xml:space="preserve"> </w:t>
      </w:r>
      <w:r w:rsidR="00A51F77">
        <w:t xml:space="preserve">and Aged Care </w:t>
      </w:r>
      <w:r>
        <w:t xml:space="preserve">(the Department) invited stakeholders to submit preliminary MBS policy submissions to assist </w:t>
      </w:r>
      <w:r w:rsidR="38C071C1">
        <w:t xml:space="preserve">the </w:t>
      </w:r>
      <w:r>
        <w:t xml:space="preserve">MRAC in </w:t>
      </w:r>
      <w:r w:rsidR="00E94F0A">
        <w:t>undertaking this review.</w:t>
      </w:r>
    </w:p>
    <w:p w14:paraId="7F870A90" w14:textId="62E09908" w:rsidR="004011F8" w:rsidRDefault="004011F8" w:rsidP="004011F8">
      <w:pPr>
        <w:pStyle w:val="Heading2"/>
      </w:pPr>
      <w:bookmarkStart w:id="48" w:name="_Toc107920658"/>
      <w:bookmarkStart w:id="49" w:name="_Toc111561072"/>
      <w:r>
        <w:t>Surgical assistant billing arrangements</w:t>
      </w:r>
      <w:bookmarkEnd w:id="48"/>
      <w:bookmarkEnd w:id="49"/>
    </w:p>
    <w:p w14:paraId="66BE7FDA" w14:textId="3AD30967" w:rsidR="005A077E" w:rsidRDefault="005A077E" w:rsidP="00AE0ECE">
      <w:pPr>
        <w:pStyle w:val="NormalBeforeBullet"/>
      </w:pPr>
      <w:r>
        <w:t>The Taskforce’s</w:t>
      </w:r>
      <w:r w:rsidR="002801F5">
        <w:t xml:space="preserve"> </w:t>
      </w:r>
      <w:r>
        <w:t xml:space="preserve">Principles and Rules Committee (PARC) considered the current arrangements for the remuneration of surgical assistants over a series of meetings, which commenced on 26 April 2016. PARC identified two main issues </w:t>
      </w:r>
      <w:r w:rsidR="00490D0A">
        <w:t>that result in patients paying varying amounts for the same surgical services and/or being unaware in advance of the total cost of surgery:</w:t>
      </w:r>
    </w:p>
    <w:p w14:paraId="26417912" w14:textId="5E6251FC" w:rsidR="00AE0ECE" w:rsidRDefault="00AE0ECE" w:rsidP="00490D0A">
      <w:pPr>
        <w:pStyle w:val="NumberList"/>
        <w:numPr>
          <w:ilvl w:val="0"/>
          <w:numId w:val="28"/>
        </w:numPr>
      </w:pPr>
      <w:r>
        <w:t xml:space="preserve">Separate billing of the patient by the </w:t>
      </w:r>
      <w:r w:rsidRPr="00490D0A">
        <w:t>surgeon</w:t>
      </w:r>
      <w:r>
        <w:t xml:space="preserve"> and surgical assistant, and the surgeon’s frequent lack of visibility of their assistant’s billing practices</w:t>
      </w:r>
      <w:r w:rsidR="00490D0A">
        <w:t>.</w:t>
      </w:r>
    </w:p>
    <w:p w14:paraId="3F01B31D" w14:textId="496FBAE9" w:rsidR="00490D0A" w:rsidRDefault="00490D0A" w:rsidP="00490D0A">
      <w:pPr>
        <w:pStyle w:val="NumberList"/>
        <w:numPr>
          <w:ilvl w:val="0"/>
          <w:numId w:val="28"/>
        </w:numPr>
      </w:pPr>
      <w:r>
        <w:t xml:space="preserve">Wide variability in the amount of out-of-pocket costs charged by surgical assistants, including some assistants charging a higher fee than the surgeon, and large differences between the lowest, </w:t>
      </w:r>
      <w:proofErr w:type="gramStart"/>
      <w:r>
        <w:t>average</w:t>
      </w:r>
      <w:proofErr w:type="gramEnd"/>
      <w:r>
        <w:t xml:space="preserve"> and highest fees charged by surgical assistants as a cohort.</w:t>
      </w:r>
    </w:p>
    <w:p w14:paraId="29021718" w14:textId="015FE42B" w:rsidR="001E368F" w:rsidRDefault="00490D0A" w:rsidP="00490D0A">
      <w:r>
        <w:t xml:space="preserve">PARC developed a set of draft principles and recommendations </w:t>
      </w:r>
      <w:r w:rsidR="00B76458">
        <w:t xml:space="preserve">that </w:t>
      </w:r>
      <w:r>
        <w:t xml:space="preserve">aimed </w:t>
      </w:r>
      <w:r w:rsidR="00B76458">
        <w:t>to</w:t>
      </w:r>
      <w:r>
        <w:t xml:space="preserve"> improv</w:t>
      </w:r>
      <w:r w:rsidR="00816DC3">
        <w:t>e</w:t>
      </w:r>
      <w:r>
        <w:t xml:space="preserve"> fee transparency and </w:t>
      </w:r>
      <w:proofErr w:type="gramStart"/>
      <w:r>
        <w:t>consistency</w:t>
      </w:r>
      <w:r w:rsidR="00B76458">
        <w:t>, and</w:t>
      </w:r>
      <w:proofErr w:type="gramEnd"/>
      <w:r w:rsidR="00B76458">
        <w:t xml:space="preserve"> embed proper fee relativities between primary surgeons and their assistants. </w:t>
      </w:r>
      <w:r w:rsidR="4DAB0EF8">
        <w:t>M</w:t>
      </w:r>
      <w:r w:rsidR="005D58F7">
        <w:t xml:space="preserve">ore than </w:t>
      </w:r>
      <w:r w:rsidR="00B76458">
        <w:t xml:space="preserve">100 stakeholder submissions </w:t>
      </w:r>
      <w:r w:rsidR="20A24BBA">
        <w:t xml:space="preserve">were </w:t>
      </w:r>
      <w:r w:rsidR="3C56CA5C">
        <w:t xml:space="preserve">received </w:t>
      </w:r>
      <w:r w:rsidR="00816DC3">
        <w:t>during consultation</w:t>
      </w:r>
      <w:r w:rsidR="00B76458">
        <w:t xml:space="preserve">, with the majority rejecting </w:t>
      </w:r>
      <w:r w:rsidR="00816DC3">
        <w:t>the recommendations</w:t>
      </w:r>
      <w:r w:rsidR="00130B80">
        <w:t xml:space="preserve">. </w:t>
      </w:r>
      <w:r w:rsidR="00A637BB">
        <w:t>Particularly, t</w:t>
      </w:r>
      <w:r w:rsidR="00816DC3">
        <w:t xml:space="preserve">here was strong </w:t>
      </w:r>
      <w:r w:rsidR="000F761C">
        <w:t>ob</w:t>
      </w:r>
      <w:r w:rsidR="00816DC3">
        <w:t xml:space="preserve">jection </w:t>
      </w:r>
      <w:r w:rsidR="000F761C">
        <w:t>from stakeholder</w:t>
      </w:r>
      <w:r w:rsidR="00A637BB">
        <w:t>s</w:t>
      </w:r>
      <w:r w:rsidR="000F761C">
        <w:t xml:space="preserve"> </w:t>
      </w:r>
      <w:r w:rsidR="00816DC3">
        <w:t xml:space="preserve">of </w:t>
      </w:r>
      <w:r w:rsidR="00A637BB">
        <w:t xml:space="preserve">the </w:t>
      </w:r>
      <w:r w:rsidR="00816DC3">
        <w:t xml:space="preserve">primary surgeon being responsible for the </w:t>
      </w:r>
      <w:r w:rsidR="00A637BB">
        <w:t xml:space="preserve">fees of an assistant surgeon, and the bundling of surgical fees. There was also opposition </w:t>
      </w:r>
      <w:r w:rsidR="00BA7260">
        <w:t xml:space="preserve">to a proposed reduction in assistant fees in a proportional sense. </w:t>
      </w:r>
      <w:r w:rsidR="001E368F">
        <w:t>Consumers did not express a view on the proposal, despite it being designed primarily for their benefit.</w:t>
      </w:r>
    </w:p>
    <w:p w14:paraId="25CCE4D7" w14:textId="3B3C0713" w:rsidR="00574B49" w:rsidRDefault="00574B49" w:rsidP="00574B49">
      <w:pPr>
        <w:pStyle w:val="Heading2"/>
      </w:pPr>
      <w:bookmarkStart w:id="50" w:name="_Toc107920659"/>
      <w:bookmarkStart w:id="51" w:name="_Toc111561073"/>
      <w:r>
        <w:lastRenderedPageBreak/>
        <w:t>Access to surgical assistant MBS items for non-medical surgical assistants</w:t>
      </w:r>
      <w:bookmarkEnd w:id="50"/>
      <w:bookmarkEnd w:id="51"/>
    </w:p>
    <w:p w14:paraId="2A4AF6ED" w14:textId="66F123E0" w:rsidR="00BF4C5B" w:rsidRDefault="00A31DAC" w:rsidP="00042C97">
      <w:pPr>
        <w:pStyle w:val="NormalBeforeBullet"/>
      </w:pPr>
      <w:r>
        <w:t>Non-medical surgical assistant groups, specifically PNSAs and NPs, are seeking to access existing surgical assistant MBS items (items 51300–51318 in Group T9 – Assistance a</w:t>
      </w:r>
      <w:r w:rsidR="00952705">
        <w:t>t</w:t>
      </w:r>
      <w:r>
        <w:t xml:space="preserve"> </w:t>
      </w:r>
      <w:r w:rsidR="006056A6">
        <w:t>O</w:t>
      </w:r>
      <w:r>
        <w:t>perations</w:t>
      </w:r>
      <w:r w:rsidR="00ED0869">
        <w:t>; not fee differential or new MBS items)</w:t>
      </w:r>
      <w:r>
        <w:t>.</w:t>
      </w:r>
      <w:r w:rsidR="00A05592">
        <w:t xml:space="preserve"> </w:t>
      </w:r>
      <w:r w:rsidR="00BF4C5B">
        <w:t>These groups</w:t>
      </w:r>
      <w:r w:rsidR="00BA7260">
        <w:t xml:space="preserve"> </w:t>
      </w:r>
      <w:r w:rsidR="00BF4C5B">
        <w:t>argue that access is required to address issues</w:t>
      </w:r>
      <w:r w:rsidR="00042C97">
        <w:t xml:space="preserve"> that</w:t>
      </w:r>
      <w:r w:rsidR="00BF4C5B">
        <w:t xml:space="preserve"> includ</w:t>
      </w:r>
      <w:r w:rsidR="00042C97">
        <w:t>e</w:t>
      </w:r>
      <w:r w:rsidR="00BF4C5B">
        <w:t>:</w:t>
      </w:r>
    </w:p>
    <w:p w14:paraId="3EF00489" w14:textId="6E540474" w:rsidR="00BF4C5B" w:rsidRDefault="00042C97" w:rsidP="00BF4C5B">
      <w:pPr>
        <w:pStyle w:val="Bullet"/>
      </w:pPr>
      <w:r>
        <w:t>p</w:t>
      </w:r>
      <w:r w:rsidR="00BF4C5B">
        <w:t>atients incurring increased out-of-pocket exp</w:t>
      </w:r>
      <w:r>
        <w:t>enses for surgical assistance services rendered by a non-medical surgical assistant</w:t>
      </w:r>
    </w:p>
    <w:p w14:paraId="433F916D" w14:textId="19FCA6C2" w:rsidR="00042C97" w:rsidRDefault="00042C97" w:rsidP="00BF4C5B">
      <w:pPr>
        <w:pStyle w:val="Bullet"/>
      </w:pPr>
      <w:r>
        <w:t>reduced access to surgical services in the private sector</w:t>
      </w:r>
    </w:p>
    <w:p w14:paraId="0CA9D1AD" w14:textId="170292A1" w:rsidR="001E54DE" w:rsidRDefault="001E54DE" w:rsidP="00ED0869">
      <w:pPr>
        <w:pStyle w:val="Bullet"/>
      </w:pPr>
      <w:r>
        <w:t xml:space="preserve">increased pressure from </w:t>
      </w:r>
      <w:r w:rsidR="00042C97">
        <w:t>movement of patients from the private sector to public hospitals</w:t>
      </w:r>
      <w:r w:rsidR="000D7235">
        <w:t xml:space="preserve"> to avoid </w:t>
      </w:r>
      <w:r w:rsidR="00E04423">
        <w:t xml:space="preserve">rising </w:t>
      </w:r>
      <w:r w:rsidR="000D7235">
        <w:t>out-of-pocket expenses</w:t>
      </w:r>
    </w:p>
    <w:p w14:paraId="23DD1C45" w14:textId="00C1E852" w:rsidR="003345A2" w:rsidRDefault="001E54DE" w:rsidP="003345A2">
      <w:pPr>
        <w:pStyle w:val="Bullet"/>
      </w:pPr>
      <w:r>
        <w:t>a shortage of GPs to provide surgical assistance</w:t>
      </w:r>
    </w:p>
    <w:p w14:paraId="2C43AFB1" w14:textId="1265AE69" w:rsidR="003127E5" w:rsidRDefault="003345A2" w:rsidP="00574B49">
      <w:pPr>
        <w:pStyle w:val="BulletLast"/>
      </w:pPr>
      <w:r>
        <w:t>extended waiting periods for surgery due to a lack of surgical assistants</w:t>
      </w:r>
      <w:r w:rsidR="00042C97">
        <w:t>.</w:t>
      </w:r>
    </w:p>
    <w:p w14:paraId="51ABC808" w14:textId="49BE8010" w:rsidR="00A31DAC" w:rsidRDefault="00BF4C5B" w:rsidP="00574B49">
      <w:r>
        <w:t>NPs have access to other MBS items, including for attendances, telehealth attendances, requesting diagnostic imaging services, and requesting and providing pathology services. NPs also have certain prescribing and referral rights. PNSAs do not have provider numbers or access to MBS items.</w:t>
      </w:r>
    </w:p>
    <w:p w14:paraId="08E83474" w14:textId="7AD650C6" w:rsidR="00574B49" w:rsidRDefault="00A31DAC" w:rsidP="00574B49">
      <w:r>
        <w:t>In 201</w:t>
      </w:r>
      <w:r w:rsidR="00BA7260">
        <w:t>2</w:t>
      </w:r>
      <w:r>
        <w:t xml:space="preserve">, </w:t>
      </w:r>
      <w:r w:rsidR="00B30725">
        <w:t xml:space="preserve">the Australian Association of Nurse Surgical Assistants (AANSA) applied to </w:t>
      </w:r>
      <w:r w:rsidR="00A741A7">
        <w:t>the Medical Services Advisory Committee (</w:t>
      </w:r>
      <w:r w:rsidR="00B30725">
        <w:t>MSAC</w:t>
      </w:r>
      <w:r w:rsidR="00A741A7">
        <w:t>)</w:t>
      </w:r>
      <w:r w:rsidR="00B30725">
        <w:t xml:space="preserve"> </w:t>
      </w:r>
      <w:r w:rsidR="00A741A7">
        <w:t>seeking PNSA access to surgical assistance MBS items (MSAC Application 1359). The application</w:t>
      </w:r>
      <w:r w:rsidR="00441F9B">
        <w:t>,</w:t>
      </w:r>
      <w:r w:rsidR="00A741A7">
        <w:t xml:space="preserve"> by Ms Lisa Yang (a representative of </w:t>
      </w:r>
      <w:r w:rsidR="00441F9B">
        <w:t>AANSA) and Ms Toni Hains,</w:t>
      </w:r>
      <w:r w:rsidR="00A741A7">
        <w:t xml:space="preserve"> was presented to the December 2013 PICO Advisory Sub-Committee (PASC) meeting. Following this, the Department contacted the Nursing and Midwifery Board of Australia (NMBA), seeking their views and requesting information on the spread of medical surgical assistants and any gaps in servicing that may exist. Ultimately, the MSAC application </w:t>
      </w:r>
      <w:r w:rsidR="00BD18C7">
        <w:t>was withdrawn</w:t>
      </w:r>
      <w:r w:rsidR="00A741A7">
        <w:t>.</w:t>
      </w:r>
    </w:p>
    <w:p w14:paraId="2089C2E5" w14:textId="1FF04416" w:rsidR="00A741A7" w:rsidRDefault="00A741A7" w:rsidP="00574B49">
      <w:r>
        <w:t xml:space="preserve">In January 2019, </w:t>
      </w:r>
      <w:r w:rsidR="00441F9B">
        <w:t xml:space="preserve">Ms Hains submitted an initial MSAC application for consideration of NP access to surgical assistance MBS items (MSAC Application 1581). After being put on hold pending the outcome of the MBS Review, the application underwent </w:t>
      </w:r>
      <w:r w:rsidR="28ACB811">
        <w:t xml:space="preserve">a </w:t>
      </w:r>
      <w:r w:rsidR="00441F9B">
        <w:t xml:space="preserve">suitability assessment as part of the MSAC application process. </w:t>
      </w:r>
      <w:r w:rsidR="00BF4C5B">
        <w:t>The suitability assessment determined that the application should not progress to M</w:t>
      </w:r>
      <w:r w:rsidR="00441F9B">
        <w:t xml:space="preserve">SAC </w:t>
      </w:r>
      <w:r w:rsidR="00BF4C5B">
        <w:t>for</w:t>
      </w:r>
      <w:r w:rsidR="00441F9B">
        <w:t xml:space="preserve"> consider</w:t>
      </w:r>
      <w:r w:rsidR="00BF4C5B">
        <w:t xml:space="preserve">ation, as there is </w:t>
      </w:r>
      <w:r w:rsidR="00441F9B">
        <w:t>no health technology assessment question to answer.</w:t>
      </w:r>
    </w:p>
    <w:p w14:paraId="1D3B151B" w14:textId="1115C25C" w:rsidR="00441F9B" w:rsidRDefault="00417D0A" w:rsidP="00574B49">
      <w:r>
        <w:t>Following the request from the Department for stakeholder submissions, Ms Hains provided a submission seeking NP access to surgical assistant MBS items.</w:t>
      </w:r>
    </w:p>
    <w:p w14:paraId="0ACE02DA" w14:textId="04731936" w:rsidR="0048459E" w:rsidRPr="00574B49" w:rsidRDefault="002D13FF" w:rsidP="00574B49">
      <w:r>
        <w:t>The SAWG notes that there is o</w:t>
      </w:r>
      <w:r w:rsidR="0048459E">
        <w:t xml:space="preserve">ther work being </w:t>
      </w:r>
      <w:r>
        <w:t xml:space="preserve">undertaken </w:t>
      </w:r>
      <w:r w:rsidR="0048459E">
        <w:t xml:space="preserve">by the Department </w:t>
      </w:r>
      <w:r w:rsidR="00D82F25">
        <w:t xml:space="preserve">that </w:t>
      </w:r>
      <w:r w:rsidR="0048459E">
        <w:t>is relevan</w:t>
      </w:r>
      <w:r w:rsidR="00D82F25">
        <w:t>t</w:t>
      </w:r>
      <w:r w:rsidR="0048459E">
        <w:t xml:space="preserve"> to this review –</w:t>
      </w:r>
      <w:r w:rsidR="005D58F7">
        <w:t xml:space="preserve"> </w:t>
      </w:r>
      <w:r w:rsidR="0048459E">
        <w:t>the Health Workforce Division is developing a Nurse Practitioner 10-year Plan</w:t>
      </w:r>
      <w:r w:rsidR="003127E5">
        <w:t>, while the Private Health Insurance Branch is also undertaking relevant work, particularly due to implications for out-of-pocket expenses.</w:t>
      </w:r>
    </w:p>
    <w:p w14:paraId="6CD389C5" w14:textId="641BA734" w:rsidR="003E577D" w:rsidRDefault="003E577D" w:rsidP="00104632">
      <w:pPr>
        <w:pStyle w:val="Heading1"/>
      </w:pPr>
      <w:bookmarkStart w:id="52" w:name="_Toc107920660"/>
      <w:bookmarkStart w:id="53" w:name="_Toc111561074"/>
      <w:r>
        <w:lastRenderedPageBreak/>
        <w:t>Surgical Assist</w:t>
      </w:r>
      <w:r w:rsidR="00B1713C">
        <w:t>ant</w:t>
      </w:r>
      <w:r>
        <w:t xml:space="preserve"> Working Group</w:t>
      </w:r>
      <w:bookmarkEnd w:id="52"/>
      <w:bookmarkEnd w:id="53"/>
    </w:p>
    <w:p w14:paraId="036B3BEA" w14:textId="5F263D56" w:rsidR="00776BD3" w:rsidRDefault="003E577D" w:rsidP="001F5940">
      <w:r>
        <w:t>The S</w:t>
      </w:r>
      <w:r w:rsidR="67363A7C">
        <w:t xml:space="preserve">urgical </w:t>
      </w:r>
      <w:r>
        <w:t>A</w:t>
      </w:r>
      <w:r w:rsidR="69AB48D7">
        <w:t xml:space="preserve">ssistant </w:t>
      </w:r>
      <w:r>
        <w:t>W</w:t>
      </w:r>
      <w:r w:rsidR="351FECF9">
        <w:t xml:space="preserve">orking </w:t>
      </w:r>
      <w:r>
        <w:t>G</w:t>
      </w:r>
      <w:r w:rsidR="23961507">
        <w:t>roup (SAWG)</w:t>
      </w:r>
      <w:r>
        <w:t xml:space="preserve"> was established as a subgroup of the MRAC to review and advise </w:t>
      </w:r>
      <w:r w:rsidR="001E5E7A">
        <w:t>the Committee on surgical assistant re</w:t>
      </w:r>
      <w:r w:rsidR="001F5940">
        <w:t>muneration</w:t>
      </w:r>
      <w:r w:rsidR="001E5E7A">
        <w:t xml:space="preserve"> issues.</w:t>
      </w:r>
      <w:r w:rsidR="00D20052">
        <w:t xml:space="preserve"> The SAWG comprise</w:t>
      </w:r>
      <w:r w:rsidR="00434F15">
        <w:t>s</w:t>
      </w:r>
      <w:r w:rsidR="00D20052">
        <w:t xml:space="preserve"> MRAC members, including medical practitioners, a nurse </w:t>
      </w:r>
      <w:proofErr w:type="gramStart"/>
      <w:r w:rsidR="00D20052">
        <w:t>practitioner</w:t>
      </w:r>
      <w:proofErr w:type="gramEnd"/>
      <w:r w:rsidR="00D20052">
        <w:t xml:space="preserve"> and a consumer representative.</w:t>
      </w:r>
    </w:p>
    <w:p w14:paraId="57591CA8" w14:textId="47502299" w:rsidR="001F5940" w:rsidRDefault="001E5E7A" w:rsidP="001F5940">
      <w:r>
        <w:t xml:space="preserve">In considering </w:t>
      </w:r>
      <w:r w:rsidR="00D20052">
        <w:t>surgical assistant re</w:t>
      </w:r>
      <w:r w:rsidR="00776BD3">
        <w:t>mun</w:t>
      </w:r>
      <w:r w:rsidR="00D20052">
        <w:t>eration</w:t>
      </w:r>
      <w:r>
        <w:t xml:space="preserve"> issues, the SAWG invited </w:t>
      </w:r>
      <w:r w:rsidR="00776BD3">
        <w:t xml:space="preserve">submissions </w:t>
      </w:r>
      <w:r>
        <w:t>from relevant organisations.</w:t>
      </w:r>
      <w:r w:rsidR="00F014E6">
        <w:t xml:space="preserve"> </w:t>
      </w:r>
      <w:r w:rsidR="005D58F7">
        <w:t>N</w:t>
      </w:r>
      <w:r w:rsidR="00F014E6">
        <w:t xml:space="preserve">ine submissions </w:t>
      </w:r>
      <w:r w:rsidR="005D58F7">
        <w:t xml:space="preserve">were </w:t>
      </w:r>
      <w:r w:rsidR="00F014E6">
        <w:t>received</w:t>
      </w:r>
      <w:r w:rsidR="001F5940">
        <w:t>.</w:t>
      </w:r>
    </w:p>
    <w:p w14:paraId="49C67CE2" w14:textId="179A06B3" w:rsidR="001E5E7A" w:rsidRDefault="001F5940" w:rsidP="00F014E6">
      <w:pPr>
        <w:pStyle w:val="NormalBeforeBullet"/>
      </w:pPr>
      <w:r>
        <w:t>The SAWG invited presentations from:</w:t>
      </w:r>
    </w:p>
    <w:p w14:paraId="467E4A8E" w14:textId="5BD97647" w:rsidR="00F014E6" w:rsidRDefault="00F014E6" w:rsidP="001F5940">
      <w:pPr>
        <w:pStyle w:val="Bullet"/>
      </w:pPr>
      <w:r>
        <w:t>Australian Association of Nurse Surgical Assistants (AANSA)</w:t>
      </w:r>
    </w:p>
    <w:p w14:paraId="20486887" w14:textId="6D21CCD6" w:rsidR="00F014E6" w:rsidRDefault="00F014E6" w:rsidP="00F014E6">
      <w:pPr>
        <w:pStyle w:val="Bullet"/>
      </w:pPr>
      <w:r>
        <w:t>Australian College of Nurse Practitioners (ACNP)</w:t>
      </w:r>
    </w:p>
    <w:p w14:paraId="412B1D49" w14:textId="59990E2C" w:rsidR="001F5940" w:rsidRDefault="001F5940" w:rsidP="00F014E6">
      <w:pPr>
        <w:pStyle w:val="Bullet"/>
      </w:pPr>
      <w:r>
        <w:t>Australian College of Nursing (ACN)</w:t>
      </w:r>
    </w:p>
    <w:p w14:paraId="72CB6CDD" w14:textId="1BDBF509" w:rsidR="00F014E6" w:rsidRDefault="00F014E6" w:rsidP="00F014E6">
      <w:pPr>
        <w:pStyle w:val="Bullet"/>
      </w:pPr>
      <w:r>
        <w:t>Medical Surgical Assistants Society of Australia (MSASA)</w:t>
      </w:r>
    </w:p>
    <w:p w14:paraId="60541683" w14:textId="7CC02B95" w:rsidR="00F014E6" w:rsidRDefault="001F5940" w:rsidP="00F014E6">
      <w:pPr>
        <w:pStyle w:val="Bullet"/>
      </w:pPr>
      <w:r>
        <w:t>Royal Australian College of Surgeons (RACS)</w:t>
      </w:r>
    </w:p>
    <w:p w14:paraId="7354EA1D" w14:textId="77998D66" w:rsidR="00FF60D8" w:rsidRDefault="00FF60D8" w:rsidP="00065393">
      <w:pPr>
        <w:pStyle w:val="BulletLast"/>
      </w:pPr>
      <w:r>
        <w:t>Dr Neil Meulman (independent surgeon)</w:t>
      </w:r>
      <w:r w:rsidR="00065393">
        <w:t>.</w:t>
      </w:r>
    </w:p>
    <w:p w14:paraId="5BC5FFCC" w14:textId="0DD69684" w:rsidR="001E5E7A" w:rsidRPr="003E577D" w:rsidRDefault="001E5E7A" w:rsidP="003E577D">
      <w:r>
        <w:t xml:space="preserve">The SAWG met on </w:t>
      </w:r>
      <w:r w:rsidR="001F5940">
        <w:t xml:space="preserve">three occasions: </w:t>
      </w:r>
      <w:r>
        <w:t xml:space="preserve">Friday 8 April 2022, </w:t>
      </w:r>
      <w:r w:rsidR="001E187C">
        <w:t xml:space="preserve">Tuesday 10 May </w:t>
      </w:r>
      <w:proofErr w:type="gramStart"/>
      <w:r w:rsidR="001E187C">
        <w:t>2022</w:t>
      </w:r>
      <w:proofErr w:type="gramEnd"/>
      <w:r w:rsidR="002407F0">
        <w:t xml:space="preserve"> and </w:t>
      </w:r>
      <w:r w:rsidR="001E187C">
        <w:t>Tuesday</w:t>
      </w:r>
      <w:r w:rsidR="00B60EE3">
        <w:t> </w:t>
      </w:r>
      <w:r w:rsidR="001E187C">
        <w:t>24 May 2022.</w:t>
      </w:r>
    </w:p>
    <w:p w14:paraId="6505BFE7" w14:textId="0D558507" w:rsidR="002155E1" w:rsidRDefault="003C5DB3" w:rsidP="00104632">
      <w:pPr>
        <w:pStyle w:val="Heading1"/>
      </w:pPr>
      <w:bookmarkStart w:id="54" w:name="_Toc107920661"/>
      <w:bookmarkStart w:id="55" w:name="_Toc111561075"/>
      <w:r>
        <w:lastRenderedPageBreak/>
        <w:t>SAWG findings</w:t>
      </w:r>
      <w:bookmarkEnd w:id="54"/>
      <w:bookmarkEnd w:id="55"/>
    </w:p>
    <w:p w14:paraId="1F5BB450" w14:textId="62F33F0C" w:rsidR="00F014E6" w:rsidRDefault="00F014E6" w:rsidP="009E3BFD">
      <w:r>
        <w:t xml:space="preserve">The SAWG considered </w:t>
      </w:r>
      <w:r w:rsidR="009D616A">
        <w:t xml:space="preserve">that </w:t>
      </w:r>
      <w:r>
        <w:t xml:space="preserve">there were no significant data indicating instances where surgical assistants are charging a fee </w:t>
      </w:r>
      <w:proofErr w:type="gramStart"/>
      <w:r>
        <w:t>in excess of</w:t>
      </w:r>
      <w:proofErr w:type="gramEnd"/>
      <w:r>
        <w:t xml:space="preserve"> the primary surgeon. </w:t>
      </w:r>
      <w:r w:rsidR="001E4C52">
        <w:t xml:space="preserve">The SAWG </w:t>
      </w:r>
      <w:r w:rsidR="009D616A">
        <w:t>considered the previous MBS Review Taskforce Recommendation to reduce the surgical assistan</w:t>
      </w:r>
      <w:r w:rsidR="008C4670">
        <w:t>t’s</w:t>
      </w:r>
      <w:r w:rsidR="009D616A">
        <w:t xml:space="preserve"> fee from 20% of the surgeon’s fee to 15% but </w:t>
      </w:r>
      <w:r w:rsidR="001E4C52">
        <w:t xml:space="preserve">noted that </w:t>
      </w:r>
      <w:proofErr w:type="gramStart"/>
      <w:r w:rsidR="001E4C52">
        <w:t>the majority of</w:t>
      </w:r>
      <w:proofErr w:type="gramEnd"/>
      <w:r w:rsidR="001E4C52">
        <w:t xml:space="preserve"> surgical assistants charged under 20%.</w:t>
      </w:r>
      <w:r w:rsidR="001E4C52" w:rsidRPr="001E4C52">
        <w:t xml:space="preserve"> </w:t>
      </w:r>
      <w:r w:rsidR="001E4C52" w:rsidRPr="00107BA2">
        <w:rPr>
          <w:b/>
          <w:bCs/>
        </w:rPr>
        <w:t>Therefore, the SAWG determined that the issue of surgical assistant billing arrangements will be closed, with no changes recommended</w:t>
      </w:r>
      <w:r w:rsidR="001E4C52">
        <w:t>.</w:t>
      </w:r>
    </w:p>
    <w:p w14:paraId="753CC1AE" w14:textId="2A66C7BD" w:rsidR="009E3BFD" w:rsidRDefault="00065473" w:rsidP="009E3BFD">
      <w:r>
        <w:t>For the issue of expanding</w:t>
      </w:r>
      <w:r w:rsidR="00A51F77">
        <w:t xml:space="preserve"> access to</w:t>
      </w:r>
      <w:r>
        <w:t xml:space="preserve"> MBS items to include non-medical surgical assistants, t</w:t>
      </w:r>
      <w:r w:rsidR="009E3BFD">
        <w:t>he SAWG considered the submission</w:t>
      </w:r>
      <w:r w:rsidR="00F014E6">
        <w:t xml:space="preserve">s </w:t>
      </w:r>
      <w:r w:rsidR="009E3BFD">
        <w:t>in line with the PICO framework (population, intervention, comparator, outcomes).</w:t>
      </w:r>
    </w:p>
    <w:p w14:paraId="515330FC" w14:textId="1125E131" w:rsidR="004E157E" w:rsidRDefault="004E157E" w:rsidP="00952705">
      <w:pPr>
        <w:pStyle w:val="Heading2"/>
      </w:pPr>
      <w:bookmarkStart w:id="56" w:name="_Toc107920662"/>
      <w:bookmarkStart w:id="57" w:name="_Toc111561076"/>
      <w:r>
        <w:t>Population</w:t>
      </w:r>
      <w:bookmarkEnd w:id="56"/>
      <w:bookmarkEnd w:id="57"/>
    </w:p>
    <w:p w14:paraId="181DFB83" w14:textId="7DC08C85" w:rsidR="005B10BA" w:rsidRDefault="001E187C" w:rsidP="004E157E">
      <w:r>
        <w:t xml:space="preserve">The </w:t>
      </w:r>
      <w:r w:rsidR="009E3BFD">
        <w:t xml:space="preserve">SAWG noted that while clinical need </w:t>
      </w:r>
      <w:r w:rsidR="00F202FE">
        <w:t xml:space="preserve">for surgical assistants </w:t>
      </w:r>
      <w:r w:rsidR="009E3BFD">
        <w:t xml:space="preserve">appears to be met through </w:t>
      </w:r>
      <w:r w:rsidR="00C75C80">
        <w:t>a combination of</w:t>
      </w:r>
      <w:r w:rsidR="009E3BFD">
        <w:t xml:space="preserve"> medical and non-medical surgical assistants, the inability for </w:t>
      </w:r>
      <w:r w:rsidR="00B8408B">
        <w:t xml:space="preserve">non-medical surgical assistants </w:t>
      </w:r>
      <w:r w:rsidR="009E3BFD">
        <w:t>to provide a service that patients can receive a rebate for means there is an inequity</w:t>
      </w:r>
      <w:r w:rsidR="00065473">
        <w:t xml:space="preserve"> of access</w:t>
      </w:r>
      <w:r w:rsidR="009C1E22">
        <w:t>.</w:t>
      </w:r>
      <w:r w:rsidR="00F31692">
        <w:t xml:space="preserve"> </w:t>
      </w:r>
      <w:r w:rsidR="009C1E22">
        <w:t xml:space="preserve">Currently, nurses are providing up to 50% of surgical assisting and bill separately </w:t>
      </w:r>
      <w:r w:rsidR="47DDB0EF">
        <w:t>from</w:t>
      </w:r>
      <w:r w:rsidR="009C1E22">
        <w:t xml:space="preserve"> the surgeon</w:t>
      </w:r>
      <w:r w:rsidR="00F42590">
        <w:t>, and</w:t>
      </w:r>
      <w:r w:rsidR="009C1E22">
        <w:t xml:space="preserve"> p</w:t>
      </w:r>
      <w:r w:rsidR="00F31692">
        <w:t xml:space="preserve">atients may be unwilling or unable to pay for </w:t>
      </w:r>
      <w:r w:rsidR="00B8408B">
        <w:t xml:space="preserve">nurse </w:t>
      </w:r>
      <w:r w:rsidR="00F31692">
        <w:t>surgical assistants out of their own pocket</w:t>
      </w:r>
      <w:r w:rsidR="009E3BFD">
        <w:t xml:space="preserve">. </w:t>
      </w:r>
      <w:r>
        <w:t xml:space="preserve">The </w:t>
      </w:r>
      <w:r w:rsidR="006512F4">
        <w:t>SAWG noted that some surgeons completely bulk bill, particularly in rural areas, and the only out-of-pocket costs are for nurse surgical assistant</w:t>
      </w:r>
      <w:r w:rsidR="00AE6EEE">
        <w:t>s</w:t>
      </w:r>
      <w:r w:rsidR="006512F4">
        <w:t>.</w:t>
      </w:r>
    </w:p>
    <w:p w14:paraId="61DE8EB9" w14:textId="7A5FB24E" w:rsidR="005B10BA" w:rsidRDefault="001E187C" w:rsidP="005B10BA">
      <w:r>
        <w:t xml:space="preserve">The </w:t>
      </w:r>
      <w:r w:rsidR="00C75C80">
        <w:t xml:space="preserve">SAWG noted that there was a need in both rural and metropolitan areas. While metropolitan areas have greater availability of surgical trainees in the public system, there are difficulties securing surgical assistance on weekends, </w:t>
      </w:r>
      <w:r w:rsidR="00657015">
        <w:t>during holidays and after hours.</w:t>
      </w:r>
      <w:r w:rsidR="005B10BA" w:rsidRPr="005B10BA">
        <w:t xml:space="preserve"> </w:t>
      </w:r>
      <w:r w:rsidR="005B10BA">
        <w:t xml:space="preserve">This issue is compounded by </w:t>
      </w:r>
      <w:r w:rsidR="00594598">
        <w:t>a</w:t>
      </w:r>
      <w:r w:rsidR="005B10BA">
        <w:t xml:space="preserve"> lack of GP surgeons, which can result in medical interns without basic education or skills in surgery providing surgical assistance, raising safety, </w:t>
      </w:r>
      <w:proofErr w:type="gramStart"/>
      <w:r w:rsidR="005B10BA">
        <w:t>efficiency</w:t>
      </w:r>
      <w:proofErr w:type="gramEnd"/>
      <w:r w:rsidR="005B10BA">
        <w:t xml:space="preserve"> and quality issues.</w:t>
      </w:r>
    </w:p>
    <w:p w14:paraId="3B3EB320" w14:textId="01ED970C" w:rsidR="00C75C80" w:rsidRDefault="001E187C" w:rsidP="004E157E">
      <w:r>
        <w:t xml:space="preserve">The </w:t>
      </w:r>
      <w:r w:rsidR="0053118F">
        <w:t>SAWG also noted</w:t>
      </w:r>
      <w:r w:rsidR="005B10BA">
        <w:t xml:space="preserve"> anecdotal evidence that some surgeons prefer</w:t>
      </w:r>
      <w:r w:rsidR="00F42590">
        <w:t xml:space="preserve"> </w:t>
      </w:r>
      <w:r w:rsidR="005B10BA">
        <w:t xml:space="preserve">certain </w:t>
      </w:r>
      <w:r w:rsidR="00A51F77">
        <w:t xml:space="preserve">nurses </w:t>
      </w:r>
      <w:r w:rsidR="004C6B34">
        <w:t xml:space="preserve">with PNSA qualifications </w:t>
      </w:r>
      <w:r w:rsidR="007D3046">
        <w:t xml:space="preserve">to provide surgical assistance </w:t>
      </w:r>
      <w:r w:rsidR="005B10BA">
        <w:t>over GPs or other medical practitioners</w:t>
      </w:r>
      <w:r w:rsidR="00C065CE">
        <w:t xml:space="preserve">, </w:t>
      </w:r>
      <w:r w:rsidR="007D3046">
        <w:t xml:space="preserve">and </w:t>
      </w:r>
      <w:r w:rsidR="00C065CE">
        <w:t>especially</w:t>
      </w:r>
      <w:r w:rsidR="0046272D">
        <w:t xml:space="preserve"> </w:t>
      </w:r>
      <w:r w:rsidR="00C065CE">
        <w:t>medical surgical assistants whose focus is not surgery</w:t>
      </w:r>
      <w:r w:rsidR="005B10BA">
        <w:t xml:space="preserve">. </w:t>
      </w:r>
      <w:r w:rsidR="00C065CE">
        <w:t xml:space="preserve">This is becoming more common as the demand increases for experienced surgical assistants for more complicated surgeries. </w:t>
      </w:r>
      <w:r w:rsidR="0053118F">
        <w:t>Th</w:t>
      </w:r>
      <w:r w:rsidR="00C065CE">
        <w:t xml:space="preserve">e preference for certain </w:t>
      </w:r>
      <w:r w:rsidR="001C5986">
        <w:t xml:space="preserve">nurse surgical assistants </w:t>
      </w:r>
      <w:r w:rsidR="0053118F">
        <w:t xml:space="preserve">is usually due to the experience of the </w:t>
      </w:r>
      <w:r w:rsidR="001C5986">
        <w:t>nurse</w:t>
      </w:r>
      <w:r w:rsidR="0053118F">
        <w:t xml:space="preserve"> and a long working relationship with the surgeon</w:t>
      </w:r>
      <w:r w:rsidR="00C065CE">
        <w:t>.</w:t>
      </w:r>
    </w:p>
    <w:p w14:paraId="0FB83D8D" w14:textId="158B35BC" w:rsidR="004E157E" w:rsidRDefault="004E157E" w:rsidP="004E157E">
      <w:pPr>
        <w:pStyle w:val="Heading2"/>
      </w:pPr>
      <w:bookmarkStart w:id="58" w:name="_Toc107920663"/>
      <w:bookmarkStart w:id="59" w:name="_Toc111561077"/>
      <w:r>
        <w:t>Intervention</w:t>
      </w:r>
      <w:bookmarkEnd w:id="58"/>
      <w:bookmarkEnd w:id="59"/>
    </w:p>
    <w:p w14:paraId="18992186" w14:textId="0860FEF2" w:rsidR="004E157E" w:rsidRDefault="001E187C" w:rsidP="004E157E">
      <w:r>
        <w:t xml:space="preserve">The </w:t>
      </w:r>
      <w:r w:rsidR="00E41AD6">
        <w:t>SAWG noted that</w:t>
      </w:r>
      <w:r w:rsidR="00AE6EEE">
        <w:t xml:space="preserve"> while expanding access to MBS surgical assisting items may lead to a growth of the non-medical surgical assistant workforce, the more important </w:t>
      </w:r>
      <w:r w:rsidR="009D616A">
        <w:t xml:space="preserve">factor is that </w:t>
      </w:r>
      <w:r w:rsidR="00AE6EEE">
        <w:t>it will</w:t>
      </w:r>
      <w:r w:rsidR="00E41AD6">
        <w:t xml:space="preserve"> reduce the out-of-pocket costs to pati</w:t>
      </w:r>
      <w:r w:rsidR="00DD1EBF">
        <w:t>e</w:t>
      </w:r>
      <w:r w:rsidR="00E41AD6">
        <w:t>nts</w:t>
      </w:r>
      <w:r w:rsidR="0046272D">
        <w:t xml:space="preserve"> and should facilitate a level of patient equity by expanding the choice of assistant.</w:t>
      </w:r>
    </w:p>
    <w:p w14:paraId="6A0E69A2" w14:textId="52D0FEFD" w:rsidR="00702EE1" w:rsidRDefault="001E187C" w:rsidP="004E157E">
      <w:r>
        <w:t xml:space="preserve">The </w:t>
      </w:r>
      <w:r w:rsidR="00C838D0">
        <w:t xml:space="preserve">SAWG noted that having nurses perform the surgical assistant role </w:t>
      </w:r>
      <w:r w:rsidR="002D13FF">
        <w:t xml:space="preserve">can </w:t>
      </w:r>
      <w:r w:rsidR="00494FAA">
        <w:t>improve</w:t>
      </w:r>
      <w:r w:rsidR="00C838D0">
        <w:t xml:space="preserve"> and consolidate the surgical team dynamics and associated efficiencie</w:t>
      </w:r>
      <w:r w:rsidR="00534551">
        <w:t>s</w:t>
      </w:r>
      <w:r w:rsidR="00E2399F">
        <w:t xml:space="preserve">, </w:t>
      </w:r>
      <w:r w:rsidR="00494FAA">
        <w:t xml:space="preserve">as experienced nurses </w:t>
      </w:r>
      <w:r w:rsidR="002D13FF">
        <w:t xml:space="preserve">may be </w:t>
      </w:r>
      <w:r w:rsidR="00494FAA">
        <w:t>more familiar with the surgical environment than GPs or medical interns. It</w:t>
      </w:r>
      <w:r w:rsidR="00E2399F">
        <w:t xml:space="preserve"> </w:t>
      </w:r>
      <w:r w:rsidR="00494FAA">
        <w:t xml:space="preserve">also improves </w:t>
      </w:r>
      <w:r w:rsidR="00E2399F">
        <w:t>safety</w:t>
      </w:r>
      <w:r w:rsidR="00494FAA">
        <w:t xml:space="preserve">, </w:t>
      </w:r>
      <w:r w:rsidR="00F202FE">
        <w:t>which h</w:t>
      </w:r>
      <w:r w:rsidR="00244113">
        <w:t>as</w:t>
      </w:r>
      <w:r w:rsidR="00F202FE">
        <w:t xml:space="preserve"> been</w:t>
      </w:r>
      <w:r w:rsidR="00244113">
        <w:t xml:space="preserve"> </w:t>
      </w:r>
      <w:r w:rsidR="00702EE1">
        <w:t>established through</w:t>
      </w:r>
      <w:r w:rsidR="00494FAA">
        <w:t xml:space="preserve"> existing regulatory and credentialing </w:t>
      </w:r>
      <w:r w:rsidR="00494FAA">
        <w:lastRenderedPageBreak/>
        <w:t>arrangements and peer-reviewed clinical evidence available in Australia and internationally.</w:t>
      </w:r>
      <w:r>
        <w:t xml:space="preserve"> The</w:t>
      </w:r>
      <w:r w:rsidR="00702EE1">
        <w:t xml:space="preserve"> </w:t>
      </w:r>
      <w:r w:rsidR="00494FAA">
        <w:t xml:space="preserve">SAWG </w:t>
      </w:r>
      <w:r w:rsidR="00702EE1">
        <w:t xml:space="preserve">also </w:t>
      </w:r>
      <w:r w:rsidR="00494FAA">
        <w:t xml:space="preserve">noted that access to </w:t>
      </w:r>
      <w:r w:rsidR="00702EE1">
        <w:t>health</w:t>
      </w:r>
      <w:r w:rsidR="00F42590">
        <w:t xml:space="preserve"> </w:t>
      </w:r>
      <w:r w:rsidR="00702EE1">
        <w:t>care is improved through a skilled and willing workforce.</w:t>
      </w:r>
    </w:p>
    <w:p w14:paraId="6D0668EA" w14:textId="5EDBD3CF" w:rsidR="008F339F" w:rsidRDefault="00B6741F" w:rsidP="004E157E">
      <w:r w:rsidRPr="64E6C69B">
        <w:rPr>
          <w:u w:val="single"/>
        </w:rPr>
        <w:t>The SAWG noted that the choice of appropriate surgical assistant would remain with the surgeon, which would continue to determine and limit access to these MBS items</w:t>
      </w:r>
      <w:r>
        <w:t xml:space="preserve">. </w:t>
      </w:r>
      <w:r w:rsidR="00BA0181">
        <w:t xml:space="preserve">The </w:t>
      </w:r>
      <w:r w:rsidR="008F339F">
        <w:t xml:space="preserve">SAWG considered that while limiting the expansion of access to surgical assistance MBS items to NPs </w:t>
      </w:r>
      <w:r w:rsidR="00626788">
        <w:t>(rather than all nurse surgical assistants</w:t>
      </w:r>
      <w:r w:rsidR="008C38E1">
        <w:t xml:space="preserve">; see </w:t>
      </w:r>
      <w:hyperlink w:anchor="_Number_of_nurse">
        <w:r w:rsidR="008C38E1" w:rsidRPr="64E6C69B">
          <w:rPr>
            <w:rStyle w:val="Hyperlink"/>
          </w:rPr>
          <w:t>Number of nurse practitioners and perioperative nurses that could have access to MBS items</w:t>
        </w:r>
      </w:hyperlink>
      <w:r w:rsidR="00626788">
        <w:t xml:space="preserve">) </w:t>
      </w:r>
      <w:r w:rsidR="008F339F">
        <w:t xml:space="preserve">may be simpler to implement and monitor, </w:t>
      </w:r>
      <w:r w:rsidR="00742740">
        <w:t>it</w:t>
      </w:r>
      <w:r w:rsidR="008F339F">
        <w:t xml:space="preserve"> may </w:t>
      </w:r>
      <w:r>
        <w:t xml:space="preserve">also </w:t>
      </w:r>
      <w:r w:rsidR="00742740">
        <w:t>introduce</w:t>
      </w:r>
      <w:r w:rsidR="008F339F">
        <w:t xml:space="preserve"> equity issues</w:t>
      </w:r>
      <w:r w:rsidR="00742740">
        <w:t xml:space="preserve"> for areas where there </w:t>
      </w:r>
      <w:r w:rsidR="2C22BB45">
        <w:t xml:space="preserve">is </w:t>
      </w:r>
      <w:r w:rsidR="00742740">
        <w:t>a lack of NPs,</w:t>
      </w:r>
      <w:r w:rsidR="008F339F">
        <w:t xml:space="preserve"> particularly in rural and remote areas.</w:t>
      </w:r>
    </w:p>
    <w:p w14:paraId="5022D412" w14:textId="5A7DF05C" w:rsidR="00702EE1" w:rsidRDefault="001E187C" w:rsidP="00702EE1">
      <w:pPr>
        <w:pStyle w:val="NormalBeforeBullet"/>
      </w:pPr>
      <w:r>
        <w:t xml:space="preserve">The </w:t>
      </w:r>
      <w:r w:rsidR="00702EE1">
        <w:t>SAWG also considered that allowing non-medical surgical assistants access to MBS items would:</w:t>
      </w:r>
    </w:p>
    <w:p w14:paraId="03C7A593" w14:textId="2440759C" w:rsidR="00534551" w:rsidRDefault="00702EE1" w:rsidP="00702EE1">
      <w:pPr>
        <w:pStyle w:val="Bullet"/>
      </w:pPr>
      <w:r>
        <w:t>improve access to healthcare through a skilled and willing workforce</w:t>
      </w:r>
    </w:p>
    <w:p w14:paraId="57EC9EE3" w14:textId="20A21C0D" w:rsidR="00702EE1" w:rsidRDefault="00702EE1" w:rsidP="00702EE1">
      <w:pPr>
        <w:pStyle w:val="Bullet"/>
      </w:pPr>
      <w:r>
        <w:t>provide options for filling the gap in service</w:t>
      </w:r>
    </w:p>
    <w:p w14:paraId="061AE6F5" w14:textId="2F721686" w:rsidR="00702EE1" w:rsidRDefault="00702EE1" w:rsidP="00244113">
      <w:pPr>
        <w:pStyle w:val="BulletLast"/>
      </w:pPr>
      <w:r>
        <w:t xml:space="preserve">resolve the </w:t>
      </w:r>
      <w:r w:rsidR="00F42590">
        <w:t>two</w:t>
      </w:r>
      <w:r>
        <w:t>-tiered payment system</w:t>
      </w:r>
      <w:r w:rsidR="0046272D">
        <w:t>.</w:t>
      </w:r>
    </w:p>
    <w:p w14:paraId="53BB993E" w14:textId="6C6EA966" w:rsidR="004E157E" w:rsidRDefault="004E157E" w:rsidP="004E157E">
      <w:pPr>
        <w:pStyle w:val="Heading2"/>
      </w:pPr>
      <w:bookmarkStart w:id="60" w:name="_Toc107920664"/>
      <w:bookmarkStart w:id="61" w:name="_Toc111561078"/>
      <w:r>
        <w:t>Comparator</w:t>
      </w:r>
      <w:bookmarkEnd w:id="60"/>
      <w:bookmarkEnd w:id="61"/>
    </w:p>
    <w:p w14:paraId="6C659946" w14:textId="32599207" w:rsidR="004E157E" w:rsidRDefault="001E187C" w:rsidP="004E157E">
      <w:r>
        <w:t xml:space="preserve">The </w:t>
      </w:r>
      <w:r w:rsidR="00244113">
        <w:t xml:space="preserve">SAWG noted </w:t>
      </w:r>
      <w:r w:rsidR="00D33FEA">
        <w:t xml:space="preserve">that </w:t>
      </w:r>
      <w:r w:rsidR="00244113">
        <w:t xml:space="preserve">an alternative way to meet the need of a lack of medical surgical assistants would be to increase the cohort of medical surgical assistants. </w:t>
      </w:r>
      <w:r w:rsidR="0081478B">
        <w:t>The projections of the National Medical Workforce Strategy indicate a growth in the number of non-</w:t>
      </w:r>
      <w:proofErr w:type="gramStart"/>
      <w:r w:rsidR="0081478B">
        <w:t>specialist</w:t>
      </w:r>
      <w:proofErr w:type="gramEnd"/>
      <w:r w:rsidR="0081478B">
        <w:t xml:space="preserve"> </w:t>
      </w:r>
      <w:r w:rsidR="00390EBF">
        <w:t>‘</w:t>
      </w:r>
      <w:r w:rsidR="0081478B">
        <w:t>service grade</w:t>
      </w:r>
      <w:r w:rsidR="00390EBF">
        <w:t>’</w:t>
      </w:r>
      <w:r w:rsidR="0081478B">
        <w:t xml:space="preserve"> medical graduates. </w:t>
      </w:r>
      <w:r w:rsidR="00244113">
        <w:t xml:space="preserve">However, </w:t>
      </w:r>
      <w:r w:rsidR="00645DA5">
        <w:t xml:space="preserve">the SAWG considered that </w:t>
      </w:r>
      <w:r w:rsidR="00244113">
        <w:t>th</w:t>
      </w:r>
      <w:r w:rsidR="00B820A4">
        <w:t>e increase in medical surgical assistants</w:t>
      </w:r>
      <w:r w:rsidR="00244113">
        <w:t xml:space="preserve"> is unlikely to </w:t>
      </w:r>
      <w:r w:rsidR="007F3C74">
        <w:t>happen quickly</w:t>
      </w:r>
      <w:r w:rsidR="0081478B">
        <w:t xml:space="preserve">. </w:t>
      </w:r>
      <w:r w:rsidR="00645DA5">
        <w:t xml:space="preserve">The SAWG also considered that </w:t>
      </w:r>
      <w:r w:rsidR="002D13FF">
        <w:t xml:space="preserve">such an increase </w:t>
      </w:r>
      <w:r w:rsidR="00244113">
        <w:t xml:space="preserve">may not </w:t>
      </w:r>
      <w:r w:rsidR="0081478B">
        <w:t>solve the issue</w:t>
      </w:r>
      <w:r w:rsidR="007F3C74">
        <w:t>,</w:t>
      </w:r>
      <w:r w:rsidR="0081478B">
        <w:t xml:space="preserve"> as </w:t>
      </w:r>
      <w:r w:rsidR="002D13FF">
        <w:t xml:space="preserve">given that choice of assistant is that of the </w:t>
      </w:r>
      <w:r w:rsidR="0081478B">
        <w:t>surgeon</w:t>
      </w:r>
      <w:r w:rsidR="002D13FF">
        <w:t xml:space="preserve">, many may still prefer </w:t>
      </w:r>
      <w:r w:rsidR="0081478B">
        <w:t xml:space="preserve">experienced </w:t>
      </w:r>
      <w:r w:rsidR="00024EDF">
        <w:t xml:space="preserve">nurses </w:t>
      </w:r>
      <w:r w:rsidR="002D13FF">
        <w:t xml:space="preserve">with whom they have a </w:t>
      </w:r>
      <w:r w:rsidR="00BA0181">
        <w:t>long</w:t>
      </w:r>
      <w:r w:rsidR="002D13FF">
        <w:t>standing</w:t>
      </w:r>
      <w:r w:rsidR="00BA0181">
        <w:t xml:space="preserve"> working relationship</w:t>
      </w:r>
      <w:r w:rsidR="00024EDF">
        <w:t>.</w:t>
      </w:r>
    </w:p>
    <w:p w14:paraId="3590A390" w14:textId="3143EA9D" w:rsidR="007F3C74" w:rsidRDefault="001E187C" w:rsidP="004E157E">
      <w:r>
        <w:t xml:space="preserve">The </w:t>
      </w:r>
      <w:r w:rsidR="00E93968">
        <w:t xml:space="preserve">SAWG </w:t>
      </w:r>
      <w:r w:rsidR="00CA0D30">
        <w:t>consider</w:t>
      </w:r>
      <w:r w:rsidR="00E93968">
        <w:t xml:space="preserve">ed that </w:t>
      </w:r>
      <w:r w:rsidR="00CA0D30">
        <w:t xml:space="preserve">while the rebates could be increased for T8/surgical items when surgeons use assistants who cannot bill, this was a complex solution and was subject to </w:t>
      </w:r>
      <w:r w:rsidR="001021A7">
        <w:t>inappropriate use</w:t>
      </w:r>
      <w:r w:rsidR="00CA0D30">
        <w:t xml:space="preserve">. </w:t>
      </w:r>
      <w:r>
        <w:t xml:space="preserve">The </w:t>
      </w:r>
      <w:r w:rsidR="007F3C74">
        <w:t xml:space="preserve">SAWG </w:t>
      </w:r>
      <w:r w:rsidR="00CA0D30">
        <w:t>also considere</w:t>
      </w:r>
      <w:r w:rsidR="007F3C74">
        <w:t>d that introducing more surgical training programs w</w:t>
      </w:r>
      <w:r w:rsidR="78A235DE">
        <w:t>ould</w:t>
      </w:r>
      <w:r w:rsidR="007F3C74">
        <w:t xml:space="preserve"> not have an impact either, given the </w:t>
      </w:r>
      <w:r w:rsidR="008E0F20">
        <w:t xml:space="preserve">small number of nurses who </w:t>
      </w:r>
      <w:r w:rsidR="00FC4178">
        <w:t>do</w:t>
      </w:r>
      <w:r w:rsidR="0096269E">
        <w:t xml:space="preserve"> or </w:t>
      </w:r>
      <w:r w:rsidR="00FC4178">
        <w:t>can</w:t>
      </w:r>
      <w:r w:rsidR="0096269E">
        <w:t xml:space="preserve"> </w:t>
      </w:r>
      <w:r w:rsidR="00E05739">
        <w:t xml:space="preserve">perform the </w:t>
      </w:r>
      <w:r w:rsidR="008E0F20">
        <w:t>surgical assistant</w:t>
      </w:r>
      <w:r w:rsidR="00E05739">
        <w:t xml:space="preserve"> role</w:t>
      </w:r>
      <w:r w:rsidR="007F3C74">
        <w:t>.</w:t>
      </w:r>
    </w:p>
    <w:p w14:paraId="338E2741" w14:textId="7FECB06B" w:rsidR="004E157E" w:rsidRDefault="004E157E" w:rsidP="004E157E">
      <w:pPr>
        <w:pStyle w:val="Heading2"/>
      </w:pPr>
      <w:bookmarkStart w:id="62" w:name="_Toc107920665"/>
      <w:bookmarkStart w:id="63" w:name="_Toc111561079"/>
      <w:r>
        <w:t>Outcome</w:t>
      </w:r>
      <w:r w:rsidR="001E187C">
        <w:t>s</w:t>
      </w:r>
      <w:bookmarkEnd w:id="62"/>
      <w:bookmarkEnd w:id="63"/>
    </w:p>
    <w:p w14:paraId="2BD253A1" w14:textId="158C5B3C" w:rsidR="005E17AD" w:rsidRDefault="001E187C" w:rsidP="004E157E">
      <w:r>
        <w:t xml:space="preserve">The </w:t>
      </w:r>
      <w:r w:rsidR="00CA0D30">
        <w:t xml:space="preserve">SAWG considered </w:t>
      </w:r>
      <w:r w:rsidR="009D616A">
        <w:t xml:space="preserve">that it was difficult to quantify the likely costs vs benefits </w:t>
      </w:r>
      <w:r w:rsidR="005E17AD">
        <w:t xml:space="preserve">of the </w:t>
      </w:r>
      <w:r w:rsidR="5A11FBD0">
        <w:t>non-medical</w:t>
      </w:r>
      <w:r w:rsidR="005E17AD">
        <w:t xml:space="preserve"> surgical assistant role </w:t>
      </w:r>
      <w:r w:rsidR="009D616A">
        <w:t>due to the lack of available data.</w:t>
      </w:r>
      <w:r w:rsidR="008F339F">
        <w:t xml:space="preserve"> </w:t>
      </w:r>
      <w:r w:rsidR="005E17AD">
        <w:t>The SAWG noted that the Department recently engaged KPMG to conduct a cost–benefit analysis of NP models of care in the aged care and primary health care sectors in Australia, to assess existing NP models from an economic perspective.</w:t>
      </w:r>
    </w:p>
    <w:p w14:paraId="6CA89335" w14:textId="389543CE" w:rsidR="00B4564E" w:rsidRDefault="005E17AD" w:rsidP="004E157E">
      <w:r w:rsidRPr="00B60EE3">
        <w:t xml:space="preserve">The report, titled </w:t>
      </w:r>
      <w:hyperlink r:id="rId11" w:history="1">
        <w:r w:rsidRPr="005E17AD">
          <w:rPr>
            <w:rStyle w:val="Hyperlink"/>
            <w:i/>
            <w:iCs/>
            <w:color w:val="auto"/>
            <w:sz w:val="22"/>
            <w:szCs w:val="22"/>
            <w:lang w:eastAsia="en-US"/>
          </w:rPr>
          <w:t>Cost benefit analysis of nurse practitioner models of care</w:t>
        </w:r>
      </w:hyperlink>
      <w:r w:rsidRPr="005E17AD">
        <w:rPr>
          <w:color w:val="auto"/>
          <w:sz w:val="22"/>
          <w:szCs w:val="22"/>
          <w:lang w:eastAsia="en-US"/>
        </w:rPr>
        <w:t xml:space="preserve"> </w:t>
      </w:r>
      <w:r w:rsidRPr="00B60EE3">
        <w:t xml:space="preserve">and available on the Department’s website, identified key success factors and challenges of current NP models, as well as areas for potential expansion. </w:t>
      </w:r>
      <w:r w:rsidR="008F339F" w:rsidRPr="00B60EE3">
        <w:t xml:space="preserve">While the KPMG report did not account for surgical assisting, </w:t>
      </w:r>
      <w:r w:rsidRPr="00B60EE3">
        <w:t xml:space="preserve">the SAWG considered that </w:t>
      </w:r>
      <w:r w:rsidR="008F339F" w:rsidRPr="00B60EE3">
        <w:t xml:space="preserve">it could potentially be extrapolated </w:t>
      </w:r>
      <w:r w:rsidR="008F339F">
        <w:t>to this area of practice. The SAWG considered that it would likely be cost neutral, although it may shift some nurses currently employed by hospitals or surgeons to Medicare billing.</w:t>
      </w:r>
    </w:p>
    <w:p w14:paraId="04B7685B" w14:textId="4464FE3A" w:rsidR="00B4564E" w:rsidRPr="004E157E" w:rsidRDefault="001E187C" w:rsidP="00B4564E">
      <w:r>
        <w:lastRenderedPageBreak/>
        <w:t xml:space="preserve">The </w:t>
      </w:r>
      <w:r w:rsidR="00B4564E">
        <w:t xml:space="preserve">SAWG considered that the patient should </w:t>
      </w:r>
      <w:r w:rsidR="001021A7">
        <w:t>receive a rebate</w:t>
      </w:r>
      <w:r w:rsidR="00D33FEA">
        <w:t xml:space="preserve"> </w:t>
      </w:r>
      <w:r w:rsidR="00B4564E">
        <w:t xml:space="preserve">regardless of the person assisting the surgeon. </w:t>
      </w:r>
      <w:r>
        <w:t xml:space="preserve">The </w:t>
      </w:r>
      <w:r w:rsidR="00B4564E">
        <w:t xml:space="preserve">SAWG noted that there would be simplified billing for patients, dependent on arrangements with the surgeon. </w:t>
      </w:r>
      <w:r>
        <w:t xml:space="preserve">The </w:t>
      </w:r>
      <w:r w:rsidR="00B4564E">
        <w:t>SAWG considered there were limited risks, given the governance of the role (including local credentialling processes and surgeon oversight).</w:t>
      </w:r>
    </w:p>
    <w:p w14:paraId="0F1D8984" w14:textId="72644E63" w:rsidR="002155E1" w:rsidRDefault="002155E1" w:rsidP="00104632">
      <w:pPr>
        <w:pStyle w:val="Heading1"/>
      </w:pPr>
      <w:bookmarkStart w:id="64" w:name="_Toc107920666"/>
      <w:bookmarkStart w:id="65" w:name="_Toc111561080"/>
      <w:r>
        <w:lastRenderedPageBreak/>
        <w:t>Assessment of main issues</w:t>
      </w:r>
      <w:bookmarkEnd w:id="64"/>
      <w:bookmarkEnd w:id="65"/>
    </w:p>
    <w:p w14:paraId="3E996304" w14:textId="75B8D67A" w:rsidR="004E157E" w:rsidRDefault="004E157E" w:rsidP="00104632">
      <w:pPr>
        <w:pStyle w:val="Heading2"/>
      </w:pPr>
      <w:bookmarkStart w:id="66" w:name="_Toc107920667"/>
      <w:bookmarkStart w:id="67" w:name="_Toc111561081"/>
      <w:r>
        <w:t>Impacts on other aspects of the healthcare system</w:t>
      </w:r>
      <w:bookmarkEnd w:id="66"/>
      <w:bookmarkEnd w:id="67"/>
    </w:p>
    <w:p w14:paraId="3868FA2A" w14:textId="77777777" w:rsidR="00C22454" w:rsidRDefault="00C22454" w:rsidP="00C22454">
      <w:pPr>
        <w:pStyle w:val="Heading3"/>
      </w:pPr>
      <w:bookmarkStart w:id="68" w:name="_Toc107920668"/>
      <w:bookmarkStart w:id="69" w:name="_Toc111561082"/>
      <w:r>
        <w:t>Workforce impacts</w:t>
      </w:r>
      <w:bookmarkEnd w:id="68"/>
      <w:bookmarkEnd w:id="69"/>
    </w:p>
    <w:p w14:paraId="2E51FCF1" w14:textId="15FA4382" w:rsidR="00C22454" w:rsidRDefault="00C22454" w:rsidP="00C22454">
      <w:r>
        <w:t xml:space="preserve">The SAWG noted feedback from </w:t>
      </w:r>
      <w:r w:rsidR="00D33FEA">
        <w:t xml:space="preserve">the </w:t>
      </w:r>
      <w:r>
        <w:t>ACNP that workforce issues</w:t>
      </w:r>
      <w:r w:rsidR="00196CF4">
        <w:t xml:space="preserve">, </w:t>
      </w:r>
      <w:r w:rsidR="002D13FF">
        <w:t>such as</w:t>
      </w:r>
      <w:r w:rsidR="00196CF4">
        <w:t xml:space="preserve"> a lack of available medical surgical assistants,</w:t>
      </w:r>
      <w:r>
        <w:t xml:space="preserve"> are having a negative impact on surgical assisting, and </w:t>
      </w:r>
      <w:r w:rsidR="3642F480">
        <w:t xml:space="preserve">that </w:t>
      </w:r>
      <w:r>
        <w:t>this is not expected to improve</w:t>
      </w:r>
      <w:r w:rsidR="002D13FF">
        <w:t xml:space="preserve"> within the current model of care</w:t>
      </w:r>
      <w:r>
        <w:t>. The SAWG noted that it is important to consider the workforce that surgical assistants are being drawn from and what impact that may have on their other settings of practice.</w:t>
      </w:r>
    </w:p>
    <w:p w14:paraId="1A6181AB" w14:textId="6761E28F" w:rsidR="00C22454" w:rsidRDefault="00C22454" w:rsidP="00C22454">
      <w:r>
        <w:t>The SAWG noted that rural surgeons have been relying on non-medical surgical assistants for several years. Unless there is a dramatic shift of doctors to rural centres, reliance on non-medical surgical assistants in these areas is likely to increase. The SAWG noted that nurses are providing up to 50% of surgical assisting services in some regions of Australia, and are already funded in some instances due to need (</w:t>
      </w:r>
      <w:proofErr w:type="gramStart"/>
      <w:r w:rsidR="00D33FEA">
        <w:t>e.g.</w:t>
      </w:r>
      <w:proofErr w:type="gramEnd"/>
      <w:r w:rsidR="00D33FEA">
        <w:t> </w:t>
      </w:r>
      <w:r>
        <w:t>WorkCover Queensland and Surgery Connect).</w:t>
      </w:r>
    </w:p>
    <w:p w14:paraId="6E54687C" w14:textId="22F29450" w:rsidR="00E0273F" w:rsidRDefault="00E0273F" w:rsidP="00E0273F">
      <w:pPr>
        <w:pStyle w:val="Heading3"/>
      </w:pPr>
      <w:bookmarkStart w:id="70" w:name="_Toc107920669"/>
      <w:bookmarkStart w:id="71" w:name="_Toc111561083"/>
      <w:r>
        <w:t>Patient</w:t>
      </w:r>
      <w:r w:rsidR="009540D0">
        <w:t xml:space="preserve"> care and out-of-pocket costs</w:t>
      </w:r>
      <w:bookmarkEnd w:id="70"/>
      <w:bookmarkEnd w:id="71"/>
    </w:p>
    <w:p w14:paraId="4C6BDE2A" w14:textId="26DE0F64" w:rsidR="00E0273F" w:rsidRDefault="004F2AE2" w:rsidP="00E0273F">
      <w:r>
        <w:t xml:space="preserve">The </w:t>
      </w:r>
      <w:r w:rsidR="00476738">
        <w:t xml:space="preserve">SAWG considered that the </w:t>
      </w:r>
      <w:r>
        <w:t xml:space="preserve">quality of service provided to patients may be increased by having a greater workforce of dedicated, well-trained </w:t>
      </w:r>
      <w:r w:rsidR="127A6438">
        <w:t xml:space="preserve">surgical </w:t>
      </w:r>
      <w:r>
        <w:t>assistants.</w:t>
      </w:r>
      <w:r w:rsidR="00342E8C">
        <w:t xml:space="preserve"> Decreasing the need for GPs to surgical assist may </w:t>
      </w:r>
      <w:r w:rsidR="00F84D0B">
        <w:t>also allow</w:t>
      </w:r>
      <w:r w:rsidR="00342E8C">
        <w:t xml:space="preserve"> </w:t>
      </w:r>
      <w:r w:rsidR="009540D0">
        <w:t xml:space="preserve">procedural </w:t>
      </w:r>
      <w:r w:rsidR="00342E8C">
        <w:t>GPs</w:t>
      </w:r>
      <w:r w:rsidR="009540D0">
        <w:t xml:space="preserve"> in rural and remote areas</w:t>
      </w:r>
      <w:r w:rsidR="00342E8C">
        <w:t xml:space="preserve"> </w:t>
      </w:r>
      <w:r w:rsidR="00F84D0B">
        <w:t xml:space="preserve">to provide a better service to their </w:t>
      </w:r>
      <w:r w:rsidR="006620EB">
        <w:t>community and</w:t>
      </w:r>
      <w:r w:rsidR="009540D0">
        <w:t xml:space="preserve"> complement the GP shortage.</w:t>
      </w:r>
    </w:p>
    <w:p w14:paraId="412B581D" w14:textId="3BAD5E9C" w:rsidR="004F2AE2" w:rsidRDefault="00546A1B" w:rsidP="00E0273F">
      <w:r>
        <w:t>The SAWG considered that i</w:t>
      </w:r>
      <w:r w:rsidR="004F2AE2">
        <w:t xml:space="preserve">f there is no change to the current surgical assisting items, there is the potential for patients to move to the public systems to avoid out-of-pocket costs, which </w:t>
      </w:r>
      <w:r w:rsidR="00136529">
        <w:t xml:space="preserve">would </w:t>
      </w:r>
      <w:r w:rsidR="004F2AE2">
        <w:t xml:space="preserve">place more pressure </w:t>
      </w:r>
      <w:r w:rsidR="00136529">
        <w:t xml:space="preserve">on the public system. This could result in patients deteriorating while waiting for </w:t>
      </w:r>
      <w:r w:rsidR="00D33FEA">
        <w:t xml:space="preserve">care from </w:t>
      </w:r>
      <w:r w:rsidR="00136529">
        <w:t>the public system.</w:t>
      </w:r>
    </w:p>
    <w:p w14:paraId="398F831E" w14:textId="59E13188" w:rsidR="00980834" w:rsidRDefault="00546A1B" w:rsidP="00E0273F">
      <w:r>
        <w:t xml:space="preserve">The </w:t>
      </w:r>
      <w:r w:rsidR="00980834">
        <w:t>SAWG also considered there may be upward</w:t>
      </w:r>
      <w:r w:rsidR="00D33FEA">
        <w:t>s</w:t>
      </w:r>
      <w:r w:rsidR="00980834">
        <w:t xml:space="preserve"> pressure on out-of-pocket costs if rebates for nurse surgical assistants are not passed on to patients (</w:t>
      </w:r>
      <w:proofErr w:type="gramStart"/>
      <w:r w:rsidR="00980834">
        <w:t>i</w:t>
      </w:r>
      <w:r>
        <w:t>.</w:t>
      </w:r>
      <w:r w:rsidR="00980834">
        <w:t>e</w:t>
      </w:r>
      <w:r>
        <w:t>.</w:t>
      </w:r>
      <w:proofErr w:type="gramEnd"/>
      <w:r w:rsidR="00980834">
        <w:t xml:space="preserve"> if they are </w:t>
      </w:r>
      <w:r w:rsidR="00C405ED">
        <w:t>negated</w:t>
      </w:r>
      <w:r w:rsidR="00980834">
        <w:t xml:space="preserve"> by increased fees). </w:t>
      </w:r>
      <w:r>
        <w:t xml:space="preserve">The </w:t>
      </w:r>
      <w:r w:rsidR="00980834">
        <w:t xml:space="preserve">SAWG noted that this would need to be </w:t>
      </w:r>
      <w:r w:rsidR="006620EB">
        <w:t>monitored but</w:t>
      </w:r>
      <w:r w:rsidR="00980834">
        <w:t xml:space="preserve"> given</w:t>
      </w:r>
      <w:r w:rsidR="6E4BA127">
        <w:t xml:space="preserve"> that</w:t>
      </w:r>
      <w:r w:rsidR="00980834">
        <w:t xml:space="preserve"> the setting of fees sits with the organisation or practitioner, it would be difficult to guard against this other than through appropriate adherence to informed financial consent.</w:t>
      </w:r>
    </w:p>
    <w:p w14:paraId="4BFDCFBF" w14:textId="47DED3E0" w:rsidR="00980834" w:rsidRPr="00E0273F" w:rsidRDefault="00980834" w:rsidP="00980834">
      <w:pPr>
        <w:pStyle w:val="Heading2"/>
      </w:pPr>
      <w:bookmarkStart w:id="72" w:name="_Toc107920670"/>
      <w:bookmarkStart w:id="73" w:name="_Toc111561084"/>
      <w:r>
        <w:t>Other issues</w:t>
      </w:r>
      <w:bookmarkEnd w:id="72"/>
      <w:bookmarkEnd w:id="73"/>
    </w:p>
    <w:p w14:paraId="7C6D2AD5" w14:textId="77777777" w:rsidR="00C22454" w:rsidRDefault="00C22454" w:rsidP="00C22454">
      <w:pPr>
        <w:pStyle w:val="Heading3"/>
      </w:pPr>
      <w:bookmarkStart w:id="74" w:name="_Toc107920671"/>
      <w:bookmarkStart w:id="75" w:name="_Toc111561085"/>
      <w:r>
        <w:t>Qualifications and credentialling</w:t>
      </w:r>
      <w:bookmarkEnd w:id="74"/>
      <w:bookmarkEnd w:id="75"/>
    </w:p>
    <w:p w14:paraId="4C4BDAFE" w14:textId="631839FA" w:rsidR="007F36AE" w:rsidRDefault="00196CF4" w:rsidP="007F36AE">
      <w:r>
        <w:t xml:space="preserve">The SAWG noted that there are differences </w:t>
      </w:r>
      <w:r w:rsidR="00BB33C1">
        <w:t xml:space="preserve">in the educational regulatory governance </w:t>
      </w:r>
      <w:r>
        <w:t xml:space="preserve">between NPs with PNSA qualifications and </w:t>
      </w:r>
      <w:r w:rsidR="00BB33C1">
        <w:t xml:space="preserve">people with PNSA qualifications alone. </w:t>
      </w:r>
      <w:r w:rsidR="00ED08CC">
        <w:t xml:space="preserve">The SAWG noted that PNSA programs are not always accredited against recognised standards (see </w:t>
      </w:r>
      <w:hyperlink w:anchor="_Eligibility_based_on" w:history="1">
        <w:r w:rsidR="00ED08CC" w:rsidRPr="00ED08CC">
          <w:rPr>
            <w:rStyle w:val="Hyperlink"/>
          </w:rPr>
          <w:t>Eligibility based on PNSA-only qualification</w:t>
        </w:r>
      </w:hyperlink>
      <w:r w:rsidR="00ED08CC">
        <w:t>). Conversely,</w:t>
      </w:r>
      <w:r w:rsidR="001834C6">
        <w:t xml:space="preserve"> </w:t>
      </w:r>
      <w:r w:rsidR="00C22454" w:rsidRPr="00390208">
        <w:t xml:space="preserve">NPs are regulated specifically as an advanced practice nursing </w:t>
      </w:r>
      <w:r w:rsidR="006620EB" w:rsidRPr="00390208">
        <w:t>group and</w:t>
      </w:r>
      <w:r w:rsidR="00C22454" w:rsidRPr="00390208">
        <w:t xml:space="preserve"> are underpinned by NP standards and educational standards; these include the Australian Commission on Safety and Quality in Health Care </w:t>
      </w:r>
      <w:r w:rsidR="007F36AE">
        <w:t xml:space="preserve">(ACSQHC) </w:t>
      </w:r>
      <w:r w:rsidR="00C22454" w:rsidRPr="00390208">
        <w:t xml:space="preserve">Clinical Governance Standards 1.23 and 1.24. </w:t>
      </w:r>
      <w:r w:rsidR="00C22454">
        <w:t>The SAWG noted that t</w:t>
      </w:r>
      <w:r w:rsidR="00C22454" w:rsidRPr="00390208">
        <w:t xml:space="preserve">hese processes are monitored during each healthcare facility’s accreditation audit. Further, many NP surgical assistants are accredited and credentialled in each facility to work as a surgical </w:t>
      </w:r>
      <w:r w:rsidR="00C22454" w:rsidRPr="00390208">
        <w:lastRenderedPageBreak/>
        <w:t>assistant</w:t>
      </w:r>
      <w:r w:rsidR="006441AA">
        <w:t>.</w:t>
      </w:r>
      <w:r w:rsidR="0003107F">
        <w:t xml:space="preserve"> </w:t>
      </w:r>
      <w:r w:rsidR="002546F3">
        <w:t xml:space="preserve">The </w:t>
      </w:r>
      <w:r w:rsidR="00C22454">
        <w:t>SAWG noted that there is consistency in the application of requirements in terms of skills and training across both public and private sectors.</w:t>
      </w:r>
    </w:p>
    <w:p w14:paraId="427C3C91" w14:textId="17035CA7" w:rsidR="00C22454" w:rsidRPr="00390208" w:rsidRDefault="007F36AE" w:rsidP="00C22454">
      <w:r>
        <w:t xml:space="preserve">The SAWG noted that there is only one course for registered nurses wanting PNSA training, which is offered by La Trobe University. The SAWG noted that entry into the </w:t>
      </w:r>
      <w:r w:rsidR="00BF27EE">
        <w:t xml:space="preserve">PNSA </w:t>
      </w:r>
      <w:r>
        <w:t>course requires a current registration with the Australian Health Practitioner Regulation Agency (AHPRA). The SAWG considered that using an AHPRA classification is in line with the approach used for medical practitioner eligibility to bill.</w:t>
      </w:r>
    </w:p>
    <w:p w14:paraId="332C5EA5" w14:textId="77777777" w:rsidR="00C22454" w:rsidRDefault="00C22454" w:rsidP="00C22454">
      <w:r>
        <w:t>The SAWG noted that while surgical assistants are determined by formal credentialling processes, they are also chosen based on a surgeon’s preference. The SAWG considered that the surgeon is the best person to assess whether someone is a good assistant, and that the concept of a team is important to a patient’s care.</w:t>
      </w:r>
    </w:p>
    <w:p w14:paraId="55C60463" w14:textId="77777777" w:rsidR="00675D80" w:rsidRPr="00C81D20" w:rsidRDefault="00675D80" w:rsidP="00675D80">
      <w:pPr>
        <w:pStyle w:val="Heading3"/>
      </w:pPr>
      <w:bookmarkStart w:id="76" w:name="_Number_of_nurse"/>
      <w:bookmarkStart w:id="77" w:name="_Toc107920672"/>
      <w:bookmarkStart w:id="78" w:name="_Toc111561086"/>
      <w:bookmarkEnd w:id="76"/>
      <w:r w:rsidRPr="00C81D20">
        <w:t>Number of nurse practitioners and perioperative nurses</w:t>
      </w:r>
      <w:r>
        <w:t xml:space="preserve"> that could have access to MBS items</w:t>
      </w:r>
      <w:bookmarkEnd w:id="77"/>
      <w:bookmarkEnd w:id="78"/>
    </w:p>
    <w:p w14:paraId="28A3387C" w14:textId="5CEEF016" w:rsidR="00675D80" w:rsidRPr="00C81D20" w:rsidRDefault="00675D80" w:rsidP="00675D80">
      <w:r w:rsidRPr="00C81D20">
        <w:t>The SAWG noted that there is an estimated 2,500 NPs</w:t>
      </w:r>
      <w:r>
        <w:t xml:space="preserve"> in Australia</w:t>
      </w:r>
      <w:r w:rsidRPr="00C81D20">
        <w:t xml:space="preserve">, across all fields of practice. This number is steadily growing, believed to be the result of the Nurse Practitioner Steering Committee 10-year Plan and other initiatives. Comparatively, there </w:t>
      </w:r>
      <w:r w:rsidR="00BB33C1">
        <w:t xml:space="preserve">are </w:t>
      </w:r>
      <w:r w:rsidR="001834C6">
        <w:t>more than</w:t>
      </w:r>
      <w:r w:rsidR="001834C6" w:rsidRPr="00C81D20">
        <w:t xml:space="preserve"> </w:t>
      </w:r>
      <w:r w:rsidR="00BB33C1">
        <w:t>4</w:t>
      </w:r>
      <w:r w:rsidRPr="00C81D20">
        <w:t>00,000 nurses in Australia</w:t>
      </w:r>
      <w:r w:rsidR="00BB33C1">
        <w:t>, and more than 300,000 registered nurses</w:t>
      </w:r>
      <w:r w:rsidR="00BE6413">
        <w:t>.</w:t>
      </w:r>
      <w:r w:rsidRPr="00C81D20">
        <w:t xml:space="preserve"> </w:t>
      </w:r>
      <w:r w:rsidR="00BE6413">
        <w:t>T</w:t>
      </w:r>
      <w:r>
        <w:t xml:space="preserve">he </w:t>
      </w:r>
      <w:r w:rsidRPr="00C81D20">
        <w:t>SAWG noted feedback from ACNP that funding PNSA</w:t>
      </w:r>
      <w:r w:rsidR="00BB33C1">
        <w:t>s without an NP endorsement</w:t>
      </w:r>
      <w:r w:rsidRPr="00C81D20">
        <w:t xml:space="preserve"> would need much greater consideration and would be a much bigger project to undertake. However, </w:t>
      </w:r>
      <w:r>
        <w:t xml:space="preserve">the </w:t>
      </w:r>
      <w:r w:rsidRPr="00C81D20">
        <w:t>SAWG considered that PNSAs with accreditation in surgical assisting should not be excluded from accessing MBS items.</w:t>
      </w:r>
    </w:p>
    <w:p w14:paraId="380FEB63" w14:textId="3559511A" w:rsidR="00675D80" w:rsidRDefault="00675D80" w:rsidP="00D44E50">
      <w:r>
        <w:t>T</w:t>
      </w:r>
      <w:r w:rsidR="002F59CC">
        <w:t>he</w:t>
      </w:r>
      <w:r>
        <w:t xml:space="preserve"> </w:t>
      </w:r>
      <w:r w:rsidRPr="00C81D20">
        <w:t xml:space="preserve">SAWG noted that </w:t>
      </w:r>
      <w:r>
        <w:t xml:space="preserve">while </w:t>
      </w:r>
      <w:r w:rsidRPr="00C81D20">
        <w:t xml:space="preserve">it is difficult to estimate the number of NP surgical assistants in Australia, </w:t>
      </w:r>
      <w:r>
        <w:t xml:space="preserve">it is </w:t>
      </w:r>
      <w:r w:rsidR="002F59CC">
        <w:t>approximated</w:t>
      </w:r>
      <w:r>
        <w:t xml:space="preserve"> to be around</w:t>
      </w:r>
      <w:r w:rsidRPr="00C81D20">
        <w:t xml:space="preserve"> 100, with around three quarters working in private practice.</w:t>
      </w:r>
      <w:r w:rsidR="0003107F">
        <w:t xml:space="preserve"> </w:t>
      </w:r>
      <w:r>
        <w:t xml:space="preserve">The </w:t>
      </w:r>
      <w:r w:rsidRPr="00C81D20">
        <w:t xml:space="preserve">SAWG </w:t>
      </w:r>
      <w:r>
        <w:t>considered</w:t>
      </w:r>
      <w:r w:rsidRPr="00C81D20">
        <w:t xml:space="preserve"> that the number of NP surgical assistants </w:t>
      </w:r>
      <w:r w:rsidR="00DB71D2">
        <w:t xml:space="preserve">may increase, as those with a PNSA qualification (at the </w:t>
      </w:r>
      <w:proofErr w:type="gramStart"/>
      <w:r w:rsidR="00DB71D2">
        <w:t>Master</w:t>
      </w:r>
      <w:r w:rsidR="003A43BB">
        <w:t>’</w:t>
      </w:r>
      <w:r w:rsidR="00DB71D2">
        <w:t>s</w:t>
      </w:r>
      <w:proofErr w:type="gramEnd"/>
      <w:r w:rsidR="00DB71D2">
        <w:t xml:space="preserve"> level) can expedite their pathway to NP qualifications through recognition of prior learning</w:t>
      </w:r>
      <w:r w:rsidRPr="00C81D20">
        <w:t xml:space="preserve">, </w:t>
      </w:r>
      <w:r w:rsidR="00DB71D2">
        <w:t>but</w:t>
      </w:r>
      <w:r w:rsidRPr="00C81D20">
        <w:t xml:space="preserve"> it is usually experienced nurses already working in the operating theatre that would take on th</w:t>
      </w:r>
      <w:r w:rsidR="00DB71D2">
        <w:t>e</w:t>
      </w:r>
      <w:r w:rsidRPr="00C81D20">
        <w:t xml:space="preserve"> role</w:t>
      </w:r>
      <w:r w:rsidR="00DB71D2">
        <w:t xml:space="preserve"> of surgical assistant</w:t>
      </w:r>
      <w:r w:rsidRPr="00C81D20">
        <w:t>.</w:t>
      </w:r>
    </w:p>
    <w:p w14:paraId="6A5A1C66" w14:textId="0F728C59" w:rsidR="00787C1B" w:rsidRDefault="00787C1B" w:rsidP="00787C1B">
      <w:pPr>
        <w:pStyle w:val="Heading3"/>
      </w:pPr>
      <w:bookmarkStart w:id="79" w:name="_Toc107920673"/>
      <w:bookmarkStart w:id="80" w:name="_Toc111561087"/>
      <w:r>
        <w:t>Metropolitan versus rural/remote</w:t>
      </w:r>
      <w:bookmarkEnd w:id="79"/>
      <w:bookmarkEnd w:id="80"/>
    </w:p>
    <w:p w14:paraId="4527E210" w14:textId="154F9FD5" w:rsidR="00A20E15" w:rsidRDefault="00AE083D" w:rsidP="00787C1B">
      <w:r>
        <w:t xml:space="preserve">The </w:t>
      </w:r>
      <w:r w:rsidR="007C130B">
        <w:t xml:space="preserve">SAWG </w:t>
      </w:r>
      <w:r w:rsidR="002F59CC">
        <w:t>consider</w:t>
      </w:r>
      <w:r w:rsidR="007C130B">
        <w:t>ed</w:t>
      </w:r>
      <w:r w:rsidR="00CE79A3">
        <w:t xml:space="preserve"> </w:t>
      </w:r>
      <w:r w:rsidR="002F59CC">
        <w:t>that while initially</w:t>
      </w:r>
      <w:r w:rsidR="00CE79A3">
        <w:t xml:space="preserve"> limiting </w:t>
      </w:r>
      <w:r w:rsidR="00540C0F">
        <w:t>provider number access to</w:t>
      </w:r>
      <w:r w:rsidR="00CE79A3">
        <w:t xml:space="preserve"> those working in rural and remote areas </w:t>
      </w:r>
      <w:r w:rsidR="00B01F71">
        <w:t xml:space="preserve">would </w:t>
      </w:r>
      <w:r w:rsidR="00352B5E">
        <w:t>limit the financial impact</w:t>
      </w:r>
      <w:r w:rsidR="002F59CC">
        <w:t>,</w:t>
      </w:r>
      <w:r w:rsidR="00352B5E">
        <w:t xml:space="preserve"> </w:t>
      </w:r>
      <w:r w:rsidR="00CE79A3">
        <w:t xml:space="preserve">it </w:t>
      </w:r>
      <w:r w:rsidR="002F59CC">
        <w:t xml:space="preserve">is </w:t>
      </w:r>
      <w:r w:rsidR="00CE79A3">
        <w:t>difficult to split between rural and metro</w:t>
      </w:r>
      <w:r w:rsidR="00540C0F">
        <w:t>politan areas</w:t>
      </w:r>
      <w:r w:rsidR="00CE79A3">
        <w:t xml:space="preserve"> as </w:t>
      </w:r>
      <w:r w:rsidR="00540C0F">
        <w:t>the distinction between each is quite</w:t>
      </w:r>
      <w:r w:rsidR="00CE79A3">
        <w:t xml:space="preserve"> artificial</w:t>
      </w:r>
      <w:r w:rsidR="00540C0F">
        <w:t>.</w:t>
      </w:r>
      <w:r w:rsidR="00532133">
        <w:t xml:space="preserve"> Additionally, </w:t>
      </w:r>
      <w:r w:rsidR="002F59CC">
        <w:t xml:space="preserve">the </w:t>
      </w:r>
      <w:r w:rsidR="00532133">
        <w:t>SAWG was concer</w:t>
      </w:r>
      <w:r w:rsidR="008317A2">
        <w:t>n</w:t>
      </w:r>
      <w:r w:rsidR="00532133">
        <w:t xml:space="preserve">ed that </w:t>
      </w:r>
      <w:r w:rsidR="007C130B">
        <w:t xml:space="preserve">limiting </w:t>
      </w:r>
      <w:r w:rsidR="002F59CC">
        <w:t xml:space="preserve">access </w:t>
      </w:r>
      <w:r w:rsidR="007C130B">
        <w:t xml:space="preserve">to </w:t>
      </w:r>
      <w:r w:rsidR="00532133">
        <w:t xml:space="preserve">rural areas </w:t>
      </w:r>
      <w:r w:rsidR="007C130B">
        <w:t xml:space="preserve">would not solve the issue of a lack of numbers, as </w:t>
      </w:r>
      <w:r w:rsidR="009B4BD6">
        <w:t>rural centres</w:t>
      </w:r>
      <w:r w:rsidR="007C130B">
        <w:t xml:space="preserve"> </w:t>
      </w:r>
      <w:r w:rsidR="00532133">
        <w:t xml:space="preserve">may not have </w:t>
      </w:r>
      <w:r w:rsidR="007C130B">
        <w:t>people available with the necessary skill base to assist with surgeries.</w:t>
      </w:r>
    </w:p>
    <w:p w14:paraId="74087233" w14:textId="12D91ED8" w:rsidR="00390208" w:rsidRPr="000367F9" w:rsidRDefault="00AE083D" w:rsidP="00390208">
      <w:r>
        <w:t xml:space="preserve">The </w:t>
      </w:r>
      <w:r w:rsidR="00A20E15">
        <w:t xml:space="preserve">SAWG also noted that </w:t>
      </w:r>
      <w:r w:rsidR="009B4BD6">
        <w:t xml:space="preserve">non-medical surgical assisting was already occurring in metropolitan areas, </w:t>
      </w:r>
      <w:r>
        <w:t xml:space="preserve">as there is an unmet need for medical surgical assistants after hours and </w:t>
      </w:r>
      <w:r w:rsidRPr="000367F9">
        <w:t>on weekends. The SAWG considered that</w:t>
      </w:r>
      <w:r w:rsidR="009B4BD6" w:rsidRPr="000367F9">
        <w:t xml:space="preserve"> it was important to ensure all patients </w:t>
      </w:r>
      <w:r w:rsidR="00B01F71" w:rsidRPr="000367F9">
        <w:t xml:space="preserve">could be reimbursed and all credentialled non-medical surgical assistants </w:t>
      </w:r>
      <w:r w:rsidR="009B4BD6" w:rsidRPr="000367F9">
        <w:t>ha</w:t>
      </w:r>
      <w:r w:rsidR="00476738" w:rsidRPr="000367F9">
        <w:t>ve</w:t>
      </w:r>
      <w:r w:rsidR="009B4BD6" w:rsidRPr="000367F9">
        <w:t xml:space="preserve"> access to </w:t>
      </w:r>
      <w:r w:rsidR="001F5940" w:rsidRPr="000367F9">
        <w:t>r</w:t>
      </w:r>
      <w:r w:rsidR="001F5940">
        <w:t>emun</w:t>
      </w:r>
      <w:r w:rsidR="001F5940" w:rsidRPr="000367F9">
        <w:t>eration</w:t>
      </w:r>
      <w:r w:rsidR="00BE6413">
        <w:t>,</w:t>
      </w:r>
      <w:r w:rsidR="009B4BD6" w:rsidRPr="000367F9">
        <w:t xml:space="preserve"> regardless of where they lived</w:t>
      </w:r>
      <w:r w:rsidR="00B01F71" w:rsidRPr="000367F9">
        <w:t xml:space="preserve"> or worked</w:t>
      </w:r>
      <w:r w:rsidR="009B4BD6" w:rsidRPr="000367F9">
        <w:t>.</w:t>
      </w:r>
    </w:p>
    <w:p w14:paraId="6DD56244" w14:textId="4C1721FF" w:rsidR="00390208" w:rsidRPr="000367F9" w:rsidRDefault="00390208" w:rsidP="00390208">
      <w:pPr>
        <w:pStyle w:val="Heading3"/>
      </w:pPr>
      <w:bookmarkStart w:id="81" w:name="_Toc107920674"/>
      <w:bookmarkStart w:id="82" w:name="_Toc111561088"/>
      <w:r w:rsidRPr="000367F9">
        <w:lastRenderedPageBreak/>
        <w:t>Cost</w:t>
      </w:r>
      <w:r w:rsidR="00BE6413">
        <w:t>-</w:t>
      </w:r>
      <w:r w:rsidRPr="000367F9">
        <w:t>effectiveness and estimated cost to the government</w:t>
      </w:r>
      <w:bookmarkEnd w:id="81"/>
      <w:bookmarkEnd w:id="82"/>
    </w:p>
    <w:p w14:paraId="062F5C66" w14:textId="78C3FDFB" w:rsidR="00EC591F" w:rsidRDefault="737650EA" w:rsidP="00390208">
      <w:r w:rsidRPr="003C5DB3">
        <w:t xml:space="preserve">Currently, if a patient agrees to have a qualified nurse as a surgical assistant, the surgical assistant fee is incurred as an out-of-pocket cost to the patient. Allowing non-medical surgical assistants access to MBS items will mean that patients no longer incur this cost. However, because surgical assistants </w:t>
      </w:r>
      <w:r w:rsidR="2D35C71D" w:rsidRPr="003C5DB3">
        <w:t>can</w:t>
      </w:r>
      <w:r w:rsidRPr="003C5DB3">
        <w:t xml:space="preserve"> set their own fees, if a nurse surgical assistant chooses to charge a fee above that of the MBS rebate, </w:t>
      </w:r>
      <w:r w:rsidR="6BC062DF" w:rsidRPr="003C5DB3">
        <w:t>the excess will still be incurred as an out-of-pocket cost to patients</w:t>
      </w:r>
      <w:r w:rsidR="7489ACF0" w:rsidRPr="003C5DB3">
        <w:t>,</w:t>
      </w:r>
      <w:r w:rsidR="2EBAFDE6" w:rsidRPr="003C5DB3">
        <w:t xml:space="preserve"> as is</w:t>
      </w:r>
      <w:r w:rsidR="619413A7" w:rsidRPr="003C5DB3">
        <w:t xml:space="preserve"> the case currently with medical surgical assistants</w:t>
      </w:r>
      <w:r w:rsidR="6BC062DF" w:rsidRPr="003C5DB3">
        <w:t>.</w:t>
      </w:r>
    </w:p>
    <w:p w14:paraId="4970C6CB" w14:textId="4494CA3D" w:rsidR="00390208" w:rsidRPr="000367F9" w:rsidRDefault="22AF139A" w:rsidP="00390208">
      <w:r>
        <w:t xml:space="preserve">The </w:t>
      </w:r>
      <w:r w:rsidR="2FF33F73">
        <w:t>SAWG noted the statement from ACNP that it is cost-effective to broaden MBS surgical assisting access, and ethically appropriate to ensure timely access to affordable health</w:t>
      </w:r>
      <w:r w:rsidR="7CA0DF41">
        <w:t xml:space="preserve"> </w:t>
      </w:r>
      <w:r w:rsidR="2FF33F73">
        <w:t>care.</w:t>
      </w:r>
      <w:r>
        <w:t xml:space="preserve"> The </w:t>
      </w:r>
      <w:r w:rsidR="2FF33F73">
        <w:t xml:space="preserve">SAWG </w:t>
      </w:r>
      <w:r>
        <w:t xml:space="preserve">also </w:t>
      </w:r>
      <w:r w:rsidR="2FF33F73">
        <w:t>noted that</w:t>
      </w:r>
      <w:r>
        <w:t>,</w:t>
      </w:r>
      <w:r w:rsidR="2FF33F73">
        <w:t xml:space="preserve"> with equal patient outcomes and equal MBS patient rebates, the </w:t>
      </w:r>
      <w:r w:rsidR="0AD32421">
        <w:t>appropriately qualified n</w:t>
      </w:r>
      <w:r w:rsidR="5D46BC94">
        <w:t>on-medical</w:t>
      </w:r>
      <w:r w:rsidR="0AD32421">
        <w:t xml:space="preserve"> </w:t>
      </w:r>
      <w:r w:rsidR="2FF33F73">
        <w:t>surgical assistant is estimated to be as cost</w:t>
      </w:r>
      <w:r w:rsidR="0378E1F6">
        <w:t>-</w:t>
      </w:r>
      <w:r w:rsidR="2FF33F73">
        <w:t>effective as the medical surgical assistant.</w:t>
      </w:r>
    </w:p>
    <w:p w14:paraId="068733BD" w14:textId="247155ED" w:rsidR="00390208" w:rsidRPr="000367F9" w:rsidRDefault="22AF139A" w:rsidP="00390208">
      <w:pPr>
        <w:pStyle w:val="NormalBeforeBullet"/>
      </w:pPr>
      <w:r>
        <w:t xml:space="preserve">The </w:t>
      </w:r>
      <w:r w:rsidR="2FF33F73">
        <w:t xml:space="preserve">SAWG noted that the cost–benefit analysis should also consider the cost of not broadening MBS access for the </w:t>
      </w:r>
      <w:r w:rsidR="14F36411">
        <w:t>non-medical</w:t>
      </w:r>
      <w:r w:rsidR="0AD32421">
        <w:t xml:space="preserve"> </w:t>
      </w:r>
      <w:r w:rsidR="2FF33F73">
        <w:t xml:space="preserve">surgical assistant, including patients abandoning private health insurance, a reduction in surgical services, and extended waiting periods for surgery. Furthermore, using a </w:t>
      </w:r>
      <w:r w:rsidR="0AD32421">
        <w:t>qualified n</w:t>
      </w:r>
      <w:r w:rsidR="419A59DE">
        <w:t xml:space="preserve">on-medical </w:t>
      </w:r>
      <w:r w:rsidR="2FF33F73">
        <w:t>surgical assistant saves time on training, which would equate to a cost saving and systems benefit.</w:t>
      </w:r>
    </w:p>
    <w:p w14:paraId="0E68CC2B" w14:textId="1B740CD4" w:rsidR="002155E1" w:rsidRDefault="002155E1" w:rsidP="00104632">
      <w:pPr>
        <w:pStyle w:val="Heading1"/>
      </w:pPr>
      <w:bookmarkStart w:id="83" w:name="_Toc107920675"/>
      <w:bookmarkStart w:id="84" w:name="_Toc111561089"/>
      <w:r>
        <w:lastRenderedPageBreak/>
        <w:t>Qualitative and quantitative analysis</w:t>
      </w:r>
      <w:bookmarkEnd w:id="83"/>
      <w:bookmarkEnd w:id="84"/>
    </w:p>
    <w:p w14:paraId="48A2E1B6" w14:textId="3D50DE9C" w:rsidR="001B4FA0" w:rsidRDefault="001B4FA0" w:rsidP="00546A1B">
      <w:pPr>
        <w:pStyle w:val="Heading2"/>
      </w:pPr>
      <w:bookmarkStart w:id="85" w:name="_Toc107920676"/>
      <w:bookmarkStart w:id="86" w:name="_Toc111561090"/>
      <w:r>
        <w:t>Strength of clinical evidence</w:t>
      </w:r>
      <w:bookmarkEnd w:id="85"/>
      <w:bookmarkEnd w:id="86"/>
    </w:p>
    <w:p w14:paraId="6278ECB9" w14:textId="5FEA0F7B" w:rsidR="001B4FA0" w:rsidRDefault="00C13948" w:rsidP="001B4FA0">
      <w:r>
        <w:t xml:space="preserve">The </w:t>
      </w:r>
      <w:r w:rsidR="00F9600B">
        <w:t>SAWG noted that there is growing evidence from high-income countries from the Organisation for Economic Co-operation and Development (OECD) that NP</w:t>
      </w:r>
      <w:r w:rsidR="003343F4">
        <w:t>s</w:t>
      </w:r>
      <w:r w:rsidR="00F9600B">
        <w:t xml:space="preserve"> improve access to health</w:t>
      </w:r>
      <w:r w:rsidR="003343F4">
        <w:t xml:space="preserve"> </w:t>
      </w:r>
      <w:r w:rsidR="00F9600B">
        <w:t>care while promoting safe and quality outcomes.</w:t>
      </w:r>
      <w:r w:rsidR="000A3E2A">
        <w:t xml:space="preserve"> There is also a great body of Australian and international evidence in peer-reviewed journals about the benefits of the PNSA role in Australia specifically.</w:t>
      </w:r>
    </w:p>
    <w:p w14:paraId="6ED1109E" w14:textId="3C1C4685" w:rsidR="006441AA" w:rsidRDefault="006441AA" w:rsidP="001B4FA0">
      <w:r w:rsidRPr="000367F9">
        <w:t xml:space="preserve">The SAWG noted that </w:t>
      </w:r>
      <w:r w:rsidR="005E17AD">
        <w:t xml:space="preserve">while </w:t>
      </w:r>
      <w:r w:rsidR="00E147B7">
        <w:t>the</w:t>
      </w:r>
      <w:r w:rsidRPr="000367F9">
        <w:t xml:space="preserve"> KPMG report</w:t>
      </w:r>
      <w:r w:rsidR="00E147B7">
        <w:t xml:space="preserve"> </w:t>
      </w:r>
      <w:r w:rsidRPr="000367F9">
        <w:t>did not specifically study surgical service, its discussion of private practice clinics support</w:t>
      </w:r>
      <w:r w:rsidR="00333618">
        <w:t>s</w:t>
      </w:r>
      <w:r w:rsidRPr="000367F9">
        <w:t xml:space="preserve"> this submission. The study found that the benefits of NPs vastly outweigh the costs and reported positive findings for quality of care and value of services. The report had a wide range of recommendations, consistent with those of the Nurse Practitioner Reference Group (NPRG) as part of the MBS Review, as well as numerous additional recommendations to government in relation to training and funding of positions.</w:t>
      </w:r>
    </w:p>
    <w:p w14:paraId="7C0519DC" w14:textId="45A2178C" w:rsidR="002155E1" w:rsidRDefault="002155E1" w:rsidP="00104632">
      <w:pPr>
        <w:pStyle w:val="Heading1"/>
      </w:pPr>
      <w:bookmarkStart w:id="87" w:name="_Toc107920677"/>
      <w:bookmarkStart w:id="88" w:name="_Toc111561091"/>
      <w:r>
        <w:lastRenderedPageBreak/>
        <w:t>Information gaps and barriers to implementation</w:t>
      </w:r>
      <w:bookmarkEnd w:id="87"/>
      <w:bookmarkEnd w:id="88"/>
    </w:p>
    <w:p w14:paraId="766E39D0" w14:textId="01E270A1" w:rsidR="002155E1" w:rsidRDefault="006441AA">
      <w:pPr>
        <w:rPr>
          <w:color w:val="auto"/>
        </w:rPr>
      </w:pPr>
      <w:r w:rsidRPr="00A73605">
        <w:rPr>
          <w:color w:val="auto"/>
        </w:rPr>
        <w:t>The SAWG note</w:t>
      </w:r>
      <w:r w:rsidR="006620EB">
        <w:rPr>
          <w:color w:val="auto"/>
        </w:rPr>
        <w:t>s</w:t>
      </w:r>
      <w:r w:rsidRPr="00A73605">
        <w:rPr>
          <w:color w:val="auto"/>
        </w:rPr>
        <w:t xml:space="preserve"> that no consumer feedback </w:t>
      </w:r>
      <w:r w:rsidR="006620EB">
        <w:rPr>
          <w:color w:val="auto"/>
        </w:rPr>
        <w:t xml:space="preserve">has been sought or </w:t>
      </w:r>
      <w:r w:rsidRPr="00A73605">
        <w:rPr>
          <w:color w:val="auto"/>
        </w:rPr>
        <w:t>provided</w:t>
      </w:r>
      <w:r w:rsidR="006620EB">
        <w:rPr>
          <w:color w:val="auto"/>
        </w:rPr>
        <w:t xml:space="preserve"> thus far to inform development of this report. Consumer feedback is </w:t>
      </w:r>
      <w:r w:rsidR="00A73605" w:rsidRPr="00A73605">
        <w:rPr>
          <w:color w:val="auto"/>
        </w:rPr>
        <w:t>considered</w:t>
      </w:r>
      <w:r w:rsidR="006620EB">
        <w:rPr>
          <w:color w:val="auto"/>
        </w:rPr>
        <w:t xml:space="preserve"> </w:t>
      </w:r>
      <w:r w:rsidR="00A73605" w:rsidRPr="00A73605">
        <w:rPr>
          <w:color w:val="auto"/>
        </w:rPr>
        <w:t>valuabl</w:t>
      </w:r>
      <w:r w:rsidR="00A73605">
        <w:rPr>
          <w:color w:val="auto"/>
        </w:rPr>
        <w:t xml:space="preserve">e </w:t>
      </w:r>
      <w:r w:rsidR="00BE6413">
        <w:rPr>
          <w:color w:val="auto"/>
        </w:rPr>
        <w:t>for</w:t>
      </w:r>
      <w:r w:rsidR="00A73605">
        <w:rPr>
          <w:color w:val="auto"/>
        </w:rPr>
        <w:t xml:space="preserve"> informing discussion</w:t>
      </w:r>
      <w:r w:rsidR="006620EB">
        <w:rPr>
          <w:color w:val="auto"/>
        </w:rPr>
        <w:t xml:space="preserve"> and the provision of final advice to government</w:t>
      </w:r>
      <w:r w:rsidR="00A73605">
        <w:rPr>
          <w:color w:val="auto"/>
        </w:rPr>
        <w:t>.</w:t>
      </w:r>
    </w:p>
    <w:p w14:paraId="67078EC0" w14:textId="2BBAFDE3" w:rsidR="009E0F78" w:rsidRDefault="009E0F78">
      <w:pPr>
        <w:rPr>
          <w:color w:val="auto"/>
        </w:rPr>
      </w:pPr>
      <w:r>
        <w:rPr>
          <w:color w:val="auto"/>
        </w:rPr>
        <w:t xml:space="preserve">Consumer comments will specifically be sought during the consultation period. </w:t>
      </w:r>
    </w:p>
    <w:p w14:paraId="1B5FC506" w14:textId="55649351" w:rsidR="00B1760B" w:rsidRPr="00A73605" w:rsidRDefault="00B1760B" w:rsidP="00B1760B">
      <w:pPr>
        <w:pStyle w:val="Heading2"/>
      </w:pPr>
      <w:bookmarkStart w:id="89" w:name="_Toc107920678"/>
      <w:bookmarkStart w:id="90" w:name="_Toc111561092"/>
      <w:r>
        <w:t xml:space="preserve">Number of </w:t>
      </w:r>
      <w:r w:rsidR="008C38E1">
        <w:t xml:space="preserve">surgical </w:t>
      </w:r>
      <w:r>
        <w:t>assisting items being claimed</w:t>
      </w:r>
      <w:bookmarkEnd w:id="89"/>
      <w:bookmarkEnd w:id="90"/>
    </w:p>
    <w:p w14:paraId="5CE2BE12" w14:textId="0E745D26" w:rsidR="003A711E" w:rsidRDefault="00A73605" w:rsidP="003A711E">
      <w:r>
        <w:t xml:space="preserve">The </w:t>
      </w:r>
      <w:r w:rsidR="00694BB3">
        <w:t xml:space="preserve">SAWG noted that because most assisting item numbers do not match a particular surgical item number, it is difficult to determine the role surgical assistants are already playing. When looking at the number of claims for Caesarean section item numbers </w:t>
      </w:r>
      <w:r w:rsidR="003343F4">
        <w:t xml:space="preserve">the previous </w:t>
      </w:r>
      <w:r w:rsidR="00694BB3">
        <w:t xml:space="preserve">financial year (which does have separate </w:t>
      </w:r>
      <w:r w:rsidR="005D1AC7">
        <w:t>item numbers for surgery and assistant)</w:t>
      </w:r>
      <w:r w:rsidR="00694BB3">
        <w:t xml:space="preserve">, it shows a large difference: 67,886 surgeries were claimed, compared to 21,782 assisting claims. </w:t>
      </w:r>
      <w:r>
        <w:t xml:space="preserve">The </w:t>
      </w:r>
      <w:r w:rsidR="00694BB3">
        <w:t xml:space="preserve">SAWG noted that while it is likely that an assistant was present for every surgery, the data </w:t>
      </w:r>
      <w:r w:rsidR="003343F4">
        <w:t xml:space="preserve">are </w:t>
      </w:r>
      <w:r w:rsidR="00694BB3">
        <w:t>lacking because the item number cannot always apply to the assistant within the surgery.</w:t>
      </w:r>
      <w:r w:rsidR="005D1AC7">
        <w:t xml:space="preserve"> </w:t>
      </w:r>
      <w:r>
        <w:t xml:space="preserve">The </w:t>
      </w:r>
      <w:r w:rsidR="005D1AC7">
        <w:t xml:space="preserve">SAWG questioned the discrepancy in the proportion of surgeries requiring assistance and the proportion where items are claimed, noting this needed to be managed somewhere – the extent to which these are filled by </w:t>
      </w:r>
      <w:r w:rsidR="0044638B">
        <w:t xml:space="preserve">nurses </w:t>
      </w:r>
      <w:r w:rsidR="005D1AC7">
        <w:t>or by other assistants.</w:t>
      </w:r>
    </w:p>
    <w:p w14:paraId="44DD1B5D" w14:textId="441FA364" w:rsidR="007F36AE" w:rsidRPr="005D1AC7" w:rsidRDefault="00B1760B" w:rsidP="007F36AE">
      <w:pPr>
        <w:pStyle w:val="Heading2"/>
      </w:pPr>
      <w:bookmarkStart w:id="91" w:name="_Eligibility_based_on"/>
      <w:bookmarkStart w:id="92" w:name="_Toc107920679"/>
      <w:bookmarkStart w:id="93" w:name="_Toc111561093"/>
      <w:bookmarkEnd w:id="91"/>
      <w:r>
        <w:t>Eligibility based on P</w:t>
      </w:r>
      <w:r w:rsidR="00BE6413">
        <w:t>NS</w:t>
      </w:r>
      <w:r>
        <w:t>A-only qualification</w:t>
      </w:r>
      <w:bookmarkEnd w:id="92"/>
      <w:bookmarkEnd w:id="93"/>
    </w:p>
    <w:p w14:paraId="308DB322" w14:textId="62CF9010" w:rsidR="00694BB3" w:rsidRDefault="006E671E">
      <w:r>
        <w:t xml:space="preserve">The SAWG </w:t>
      </w:r>
      <w:r w:rsidR="003355E5">
        <w:t>noted that the PN</w:t>
      </w:r>
      <w:r w:rsidR="00BE6413">
        <w:t>S</w:t>
      </w:r>
      <w:r w:rsidR="003355E5">
        <w:t xml:space="preserve">A program offered by La Trobe University is not accredited against recognised </w:t>
      </w:r>
      <w:r w:rsidR="008F1EF8">
        <w:t>or professionally accepted standards. The SAWG considered that without a formal accreditation process for an education program, the program can change core aspects (such as entry requirements) without regulatory oversight. The SAWG considered it important that eligibility is tied to programs of study that are accredited and then recognise</w:t>
      </w:r>
      <w:r w:rsidR="00E03BCD">
        <w:t>d</w:t>
      </w:r>
      <w:r w:rsidR="008F1EF8">
        <w:t xml:space="preserve"> by the relevant professional board.</w:t>
      </w:r>
      <w:r w:rsidR="00E03BCD">
        <w:t xml:space="preserve"> Instead of relying on a PNSA-only qualification, the SAWG considered that existing pathways</w:t>
      </w:r>
      <w:r w:rsidR="00096EC1">
        <w:t xml:space="preserve"> (such as some of La Trobe’s Master’s degree units)</w:t>
      </w:r>
      <w:r w:rsidR="00E03BCD">
        <w:t xml:space="preserve"> can harmonise NP and PNSA education programs through recognition of prior learning, which would decrease the time and training needed to become qualified to surgical assist and create earlier availability of the surgical assistant workforce. </w:t>
      </w:r>
      <w:r w:rsidR="00F541CC">
        <w:t xml:space="preserve">The SAWG considered that this may only really benefit the private sector, but that may reduce pressure on the public sector. </w:t>
      </w:r>
      <w:r w:rsidR="00E03BCD">
        <w:t xml:space="preserve">The SAWG also considered that </w:t>
      </w:r>
      <w:r w:rsidR="00096EC1">
        <w:t xml:space="preserve">having </w:t>
      </w:r>
      <w:r w:rsidR="00E03BCD">
        <w:t>a</w:t>
      </w:r>
      <w:r w:rsidR="003B373E">
        <w:t>n</w:t>
      </w:r>
      <w:r w:rsidR="00E03BCD">
        <w:t xml:space="preserve"> NP program approved by the </w:t>
      </w:r>
      <w:r w:rsidR="00E7605B">
        <w:t xml:space="preserve">NMBA </w:t>
      </w:r>
      <w:r w:rsidR="00096EC1">
        <w:t xml:space="preserve">would mean that Services Australia would only have to verify the NP endorsement on the AHPRA register. The PNSA (or equivalent) </w:t>
      </w:r>
      <w:r w:rsidR="007F36AE">
        <w:t xml:space="preserve">endorsement could then be relegated to the local hospital credentialing process, </w:t>
      </w:r>
      <w:r w:rsidR="003B373E">
        <w:t xml:space="preserve">which is </w:t>
      </w:r>
      <w:r w:rsidR="007F36AE">
        <w:t xml:space="preserve">required by </w:t>
      </w:r>
      <w:r w:rsidR="003343F4">
        <w:t xml:space="preserve">the </w:t>
      </w:r>
      <w:r w:rsidR="007F36AE">
        <w:t>ACSQHC.</w:t>
      </w:r>
    </w:p>
    <w:p w14:paraId="46505E91" w14:textId="14FA95A7" w:rsidR="00E7605B" w:rsidRDefault="00E7605B" w:rsidP="00E7605B">
      <w:pPr>
        <w:pStyle w:val="Heading2"/>
      </w:pPr>
      <w:bookmarkStart w:id="94" w:name="_Toc107920680"/>
      <w:bookmarkStart w:id="95" w:name="_Toc111561094"/>
      <w:r>
        <w:t>Appropriate access of NPs to MBS items</w:t>
      </w:r>
      <w:bookmarkEnd w:id="94"/>
      <w:bookmarkEnd w:id="95"/>
    </w:p>
    <w:p w14:paraId="6C4BE5DB" w14:textId="2FBC471C" w:rsidR="00E7605B" w:rsidRPr="00E7605B" w:rsidRDefault="117072CE" w:rsidP="00E7605B">
      <w:r>
        <w:t>The SAWG consider</w:t>
      </w:r>
      <w:r w:rsidR="009C4165">
        <w:t>s</w:t>
      </w:r>
      <w:r>
        <w:t xml:space="preserve"> that </w:t>
      </w:r>
      <w:r w:rsidR="009C4165">
        <w:t xml:space="preserve">NP access to surgical assistance MBS items should be restricted to NP with appropriate credentials, training, and experience. </w:t>
      </w:r>
      <w:r>
        <w:t>The SAWG noted that currently, the only regulatory classification of NPs is through NMBA endorsement, and this endorsement is agnostic of the type of NP.</w:t>
      </w:r>
    </w:p>
    <w:p w14:paraId="683DFEBB" w14:textId="3552CE80" w:rsidR="002155E1" w:rsidRPr="00CF3E96" w:rsidRDefault="002155E1" w:rsidP="00104632">
      <w:pPr>
        <w:pStyle w:val="Heading1"/>
      </w:pPr>
      <w:bookmarkStart w:id="96" w:name="_Toc107920681"/>
      <w:bookmarkStart w:id="97" w:name="_Toc111561095"/>
      <w:r w:rsidRPr="00CF3E96">
        <w:lastRenderedPageBreak/>
        <w:t>Draft recommendations</w:t>
      </w:r>
      <w:bookmarkEnd w:id="96"/>
      <w:bookmarkEnd w:id="97"/>
    </w:p>
    <w:p w14:paraId="75D75334" w14:textId="6500BF55" w:rsidR="00CF3E96" w:rsidRDefault="00546A1B" w:rsidP="00546A1B">
      <w:r w:rsidRPr="00CF3E96">
        <w:t>The</w:t>
      </w:r>
      <w:r w:rsidR="00CF3E96">
        <w:t xml:space="preserve"> SAWG </w:t>
      </w:r>
      <w:r w:rsidRPr="00CF3E96">
        <w:t xml:space="preserve">recommends that current MBS items for surgical assistants are altered to enable claiming by providers that </w:t>
      </w:r>
      <w:proofErr w:type="gramStart"/>
      <w:r w:rsidRPr="00CF3E96">
        <w:t>are considered to be</w:t>
      </w:r>
      <w:proofErr w:type="gramEnd"/>
      <w:r w:rsidRPr="00CF3E96">
        <w:t xml:space="preserve"> acceptable practitioners to perform the role.</w:t>
      </w:r>
    </w:p>
    <w:p w14:paraId="2DFEBA69" w14:textId="528F64EA" w:rsidR="00CF3E96" w:rsidRDefault="00CF3E96" w:rsidP="00546A1B">
      <w:r>
        <w:t xml:space="preserve">This change should be achieved by updating explanatory note TN.9.1 (to Assistance at Operations – (Items 51300 to 51318)) </w:t>
      </w:r>
      <w:r w:rsidR="00546A1B" w:rsidRPr="00CF3E96">
        <w:t>to include a statement on what is an acceptable practitioner</w:t>
      </w:r>
      <w:r>
        <w:t xml:space="preserve">. </w:t>
      </w:r>
      <w:r w:rsidR="00D20052" w:rsidRPr="00CF3E96">
        <w:t xml:space="preserve">This </w:t>
      </w:r>
      <w:r>
        <w:t xml:space="preserve">amendment </w:t>
      </w:r>
      <w:r w:rsidR="00D20052" w:rsidRPr="00CF3E96">
        <w:t xml:space="preserve">would </w:t>
      </w:r>
      <w:r w:rsidR="009C4165">
        <w:t xml:space="preserve">include </w:t>
      </w:r>
      <w:r w:rsidR="00D20052" w:rsidRPr="00CF3E96">
        <w:t xml:space="preserve">add </w:t>
      </w:r>
      <w:r>
        <w:t xml:space="preserve">additional wording </w:t>
      </w:r>
      <w:r w:rsidR="00D20052" w:rsidRPr="00CF3E96">
        <w:t>to the line within TN</w:t>
      </w:r>
      <w:r w:rsidR="001760A0" w:rsidRPr="00CF3E96">
        <w:t>.</w:t>
      </w:r>
      <w:r w:rsidR="00D20052" w:rsidRPr="00CF3E96">
        <w:t xml:space="preserve">9.1 </w:t>
      </w:r>
      <w:r>
        <w:t xml:space="preserve">which currently </w:t>
      </w:r>
      <w:r w:rsidR="00D20052" w:rsidRPr="00CF3E96">
        <w:t>read</w:t>
      </w:r>
      <w:r>
        <w:t>s:</w:t>
      </w:r>
    </w:p>
    <w:p w14:paraId="24913FD0" w14:textId="11964DBD" w:rsidR="00D20052" w:rsidRPr="009C4165" w:rsidRDefault="00390EBF" w:rsidP="00546A1B">
      <w:pPr>
        <w:rPr>
          <w:i/>
          <w:iCs/>
        </w:rPr>
      </w:pPr>
      <w:r w:rsidRPr="009C4165">
        <w:rPr>
          <w:i/>
          <w:iCs/>
        </w:rPr>
        <w:t>‘</w:t>
      </w:r>
      <w:r w:rsidR="00D20052" w:rsidRPr="009C4165">
        <w:rPr>
          <w:i/>
          <w:iCs/>
        </w:rPr>
        <w:t>The assistance must be rendered by a medical practitioner other than the surgeon, the anaesthetist or the assistant anaesthetist</w:t>
      </w:r>
      <w:r w:rsidR="00892A49" w:rsidRPr="009C4165">
        <w:rPr>
          <w:i/>
          <w:iCs/>
        </w:rPr>
        <w:t>.</w:t>
      </w:r>
      <w:r w:rsidR="00CF3E96" w:rsidRPr="009C4165">
        <w:rPr>
          <w:i/>
          <w:iCs/>
        </w:rPr>
        <w:t>’</w:t>
      </w:r>
    </w:p>
    <w:p w14:paraId="245C97C9" w14:textId="4E6A713D" w:rsidR="00CF3E96" w:rsidRDefault="00CF3E96" w:rsidP="00546A1B">
      <w:r>
        <w:t>Proposed amendment as follows:</w:t>
      </w:r>
    </w:p>
    <w:p w14:paraId="648714D0" w14:textId="3C7DC53F" w:rsidR="00CF3E96" w:rsidRPr="009C4165" w:rsidRDefault="00CF3E96" w:rsidP="00546A1B">
      <w:pPr>
        <w:rPr>
          <w:i/>
          <w:iCs/>
        </w:rPr>
      </w:pPr>
      <w:r w:rsidRPr="009C4165">
        <w:rPr>
          <w:i/>
          <w:iCs/>
        </w:rPr>
        <w:t xml:space="preserve">‘The assistance must be rendered by a medical practitioner, or suitably qualified </w:t>
      </w:r>
      <w:r w:rsidR="009C4165">
        <w:rPr>
          <w:i/>
          <w:iCs/>
        </w:rPr>
        <w:t>nurse or nurse practitioner</w:t>
      </w:r>
      <w:r w:rsidRPr="009C4165">
        <w:rPr>
          <w:i/>
          <w:iCs/>
        </w:rPr>
        <w:t xml:space="preserve"> other than the surgeon, the anaesthetist or the assistant anaesthetist.’</w:t>
      </w:r>
    </w:p>
    <w:p w14:paraId="3B71967D" w14:textId="05487D26" w:rsidR="00CF3E96" w:rsidRDefault="00D20052" w:rsidP="00546A1B">
      <w:r w:rsidRPr="00CF3E96">
        <w:t xml:space="preserve">This would allow MBS claiming for suitably trained and experienced </w:t>
      </w:r>
      <w:r w:rsidR="009C4165">
        <w:t xml:space="preserve">nurses and </w:t>
      </w:r>
      <w:r w:rsidRPr="00CF3E96">
        <w:t>nurse practitioners.</w:t>
      </w:r>
      <w:r w:rsidR="00CF3E96">
        <w:t xml:space="preserve"> Eligibility to claim assistance at operations items for </w:t>
      </w:r>
      <w:r w:rsidR="009C4165">
        <w:t>nurses and nurse practitioners</w:t>
      </w:r>
      <w:r w:rsidR="00CF3E96">
        <w:t xml:space="preserve"> will require completion of the Perioperative Nurse Surgical Assistant </w:t>
      </w:r>
      <w:r w:rsidR="005D0985">
        <w:t>postgraduate qualification that has been recognised for Medicare provider number eligibility.</w:t>
      </w:r>
      <w:r w:rsidR="00A01350">
        <w:t xml:space="preserve"> The SAWG consider that this qualification requires minimum of 116 hours of study and appears to be the most reasonable credentialling pathway.</w:t>
      </w:r>
    </w:p>
    <w:p w14:paraId="77C0471D" w14:textId="749D533E" w:rsidR="00D20052" w:rsidRDefault="00D20052" w:rsidP="00546A1B">
      <w:r w:rsidRPr="00CF3E96">
        <w:t>Changes are not recommended to have location-based requirements.</w:t>
      </w:r>
    </w:p>
    <w:p w14:paraId="1D8CDFC8" w14:textId="01797621" w:rsidR="009C4165" w:rsidRDefault="009C4165" w:rsidP="00546A1B"/>
    <w:tbl>
      <w:tblPr>
        <w:tblStyle w:val="TableGrid"/>
        <w:tblW w:w="0" w:type="auto"/>
        <w:tblLook w:val="04A0" w:firstRow="1" w:lastRow="0" w:firstColumn="1" w:lastColumn="0" w:noHBand="0" w:noVBand="1"/>
      </w:tblPr>
      <w:tblGrid>
        <w:gridCol w:w="9016"/>
      </w:tblGrid>
      <w:tr w:rsidR="001760A0" w14:paraId="1E37C30F" w14:textId="77777777" w:rsidTr="001760A0">
        <w:tc>
          <w:tcPr>
            <w:tcW w:w="9016" w:type="dxa"/>
          </w:tcPr>
          <w:p w14:paraId="6F4AA8B9" w14:textId="1415EE13" w:rsidR="001760A0" w:rsidRDefault="001760A0" w:rsidP="001760A0">
            <w:pPr>
              <w:pStyle w:val="TableTitle"/>
            </w:pPr>
            <w:bookmarkStart w:id="98" w:name="_Hlk112229298"/>
            <w:r>
              <w:lastRenderedPageBreak/>
              <w:t>Current Explanatory Notes for TN.9.1</w:t>
            </w:r>
          </w:p>
        </w:tc>
      </w:tr>
      <w:tr w:rsidR="001760A0" w14:paraId="0DCCE6C9" w14:textId="77777777" w:rsidTr="001760A0">
        <w:tc>
          <w:tcPr>
            <w:tcW w:w="9016" w:type="dxa"/>
          </w:tcPr>
          <w:p w14:paraId="33E678C1" w14:textId="77777777" w:rsidR="001760A0" w:rsidRDefault="00BE53F9" w:rsidP="00BE53F9">
            <w:pPr>
              <w:pStyle w:val="TableText"/>
              <w:jc w:val="center"/>
            </w:pPr>
            <w:r>
              <w:t>Assistance at Operations – (Items 51300 to 51318)</w:t>
            </w:r>
          </w:p>
          <w:p w14:paraId="1825CDF9" w14:textId="77777777" w:rsidR="00BE53F9" w:rsidRDefault="00BE53F9" w:rsidP="00BE53F9">
            <w:pPr>
              <w:pStyle w:val="TableText"/>
              <w:jc w:val="center"/>
            </w:pPr>
          </w:p>
          <w:p w14:paraId="74099A16" w14:textId="16787385" w:rsidR="00BE53F9" w:rsidRDefault="00BE53F9" w:rsidP="00BE53F9">
            <w:pPr>
              <w:pStyle w:val="TableText"/>
            </w:pPr>
            <w:r w:rsidRPr="00BE53F9">
              <w:t xml:space="preserve">Items covering operations which are eligible for benefits for surgical assistance have been identified by the inclusion of the word </w:t>
            </w:r>
            <w:r w:rsidR="00390EBF">
              <w:t>“</w:t>
            </w:r>
            <w:r w:rsidRPr="00BE53F9">
              <w:t>Assist.</w:t>
            </w:r>
            <w:r w:rsidR="00390EBF">
              <w:t>”</w:t>
            </w:r>
            <w:r w:rsidRPr="00BE53F9">
              <w:t xml:space="preserve"> in the item description.</w:t>
            </w:r>
            <w:r>
              <w:t xml:space="preserve"> </w:t>
            </w:r>
            <w:r w:rsidRPr="00BE53F9">
              <w:t>Medicare benefits are not payable for surgical assistance associated with procedures which have not been so identified.</w:t>
            </w:r>
          </w:p>
          <w:p w14:paraId="126FB025" w14:textId="77777777" w:rsidR="00BE53F9" w:rsidRPr="00BE53F9" w:rsidRDefault="00BE53F9" w:rsidP="00BE53F9">
            <w:pPr>
              <w:pStyle w:val="TableText"/>
            </w:pPr>
          </w:p>
          <w:p w14:paraId="2F693B93" w14:textId="6F6735AE" w:rsidR="00BE53F9" w:rsidRDefault="00BE53F9" w:rsidP="00BE53F9">
            <w:pPr>
              <w:pStyle w:val="TableText"/>
            </w:pPr>
            <w:r w:rsidRPr="00BE53F9">
              <w:t>The assistance must be rendered by a medical practitioner</w:t>
            </w:r>
            <w:r w:rsidRPr="00A01350">
              <w:rPr>
                <w:color w:val="FF0000"/>
              </w:rPr>
              <w:t xml:space="preserve"> </w:t>
            </w:r>
            <w:r w:rsidRPr="00BE53F9">
              <w:t xml:space="preserve">other than the surgeon, the </w:t>
            </w:r>
            <w:proofErr w:type="gramStart"/>
            <w:r w:rsidRPr="00BE53F9">
              <w:t>anaesthetist</w:t>
            </w:r>
            <w:proofErr w:type="gramEnd"/>
            <w:r w:rsidRPr="00BE53F9">
              <w:t xml:space="preserve"> or the assistant anaesthetist.</w:t>
            </w:r>
          </w:p>
          <w:p w14:paraId="6472015E" w14:textId="77777777" w:rsidR="00BE53F9" w:rsidRPr="00BE53F9" w:rsidRDefault="00BE53F9" w:rsidP="00BE53F9">
            <w:pPr>
              <w:pStyle w:val="TableText"/>
            </w:pPr>
          </w:p>
          <w:p w14:paraId="731F3A5C" w14:textId="04AB705C" w:rsidR="00BE53F9" w:rsidRDefault="00BE53F9" w:rsidP="00BE53F9">
            <w:pPr>
              <w:pStyle w:val="TableText"/>
            </w:pPr>
            <w:r w:rsidRPr="00BE53F9">
              <w:t xml:space="preserve">Where more than one practitioner </w:t>
            </w:r>
            <w:proofErr w:type="gramStart"/>
            <w:r w:rsidRPr="00BE53F9">
              <w:t>provides assistance to</w:t>
            </w:r>
            <w:proofErr w:type="gramEnd"/>
            <w:r w:rsidRPr="00BE53F9">
              <w:t xml:space="preserve"> a surgeon no additional benefits are payable.</w:t>
            </w:r>
            <w:r>
              <w:t xml:space="preserve"> </w:t>
            </w:r>
            <w:r w:rsidRPr="00BE53F9">
              <w:t>The assistance benefit payable is the same irrespective of the number of practitioners providing surgical assistance.</w:t>
            </w:r>
          </w:p>
          <w:p w14:paraId="40021A8A" w14:textId="77777777" w:rsidR="00BE53F9" w:rsidRPr="00BE53F9" w:rsidRDefault="00BE53F9" w:rsidP="00BE53F9">
            <w:pPr>
              <w:pStyle w:val="TableText"/>
            </w:pPr>
          </w:p>
          <w:p w14:paraId="100ED1F6" w14:textId="07E754AC" w:rsidR="00BE53F9" w:rsidRPr="00BE53F9" w:rsidRDefault="00BE53F9" w:rsidP="00BE53F9">
            <w:pPr>
              <w:pStyle w:val="TableText"/>
            </w:pPr>
            <w:r w:rsidRPr="00BE53F9">
              <w:rPr>
                <w:b/>
                <w:bCs/>
              </w:rPr>
              <w:t>NOTE: </w:t>
            </w:r>
            <w:r w:rsidRPr="00BE53F9">
              <w:t>The Benefit in respect of assistance at an operation is not payable unless the assistance is rendered by a medical practitioner other than the anaesthetist or assistant anaesthetist.</w:t>
            </w:r>
            <w:r>
              <w:t xml:space="preserve"> </w:t>
            </w:r>
            <w:r w:rsidRPr="00BE53F9">
              <w:t>The amount specified is the amount payable whether the assistance is rendered by one or more medical practitioners.</w:t>
            </w:r>
          </w:p>
          <w:p w14:paraId="26E64440" w14:textId="77777777" w:rsidR="00BE53F9" w:rsidRDefault="00BE53F9" w:rsidP="00E04E09">
            <w:pPr>
              <w:pStyle w:val="TableText"/>
            </w:pPr>
          </w:p>
          <w:p w14:paraId="23998BA2" w14:textId="6AD50A6A" w:rsidR="00BE53F9" w:rsidRDefault="00BE53F9" w:rsidP="00BE53F9">
            <w:pPr>
              <w:pStyle w:val="TableHeading"/>
            </w:pPr>
            <w:r w:rsidRPr="00BE53F9">
              <w:t>Assistance at Multiple Operations</w:t>
            </w:r>
          </w:p>
          <w:p w14:paraId="09FD6312" w14:textId="77777777" w:rsidR="00BE53F9" w:rsidRPr="00BE53F9" w:rsidRDefault="00BE53F9" w:rsidP="00E04E09">
            <w:pPr>
              <w:pStyle w:val="TableText"/>
            </w:pPr>
          </w:p>
          <w:p w14:paraId="548E8158" w14:textId="77777777" w:rsidR="00BE53F9" w:rsidRPr="00BE53F9" w:rsidRDefault="00BE53F9" w:rsidP="00BE53F9">
            <w:pPr>
              <w:pStyle w:val="TableText"/>
            </w:pPr>
            <w:r w:rsidRPr="00BE53F9">
              <w:t>Where surgical assistance is provided at two or more operations performed on a patient on the one occasion the multiple operation formula is applied to all the operations to determine the surgeon's fee for Medicare benefits purposes.  The multiple-operation formula is then applied to those items at which assistance was rendered and for which Medicare benefits for surgical assistance is payable to determine the abated fee level for assistance.  The abated fee is used to determine the appropriate Schedule item covering the surgical assistance (</w:t>
            </w:r>
            <w:proofErr w:type="gramStart"/>
            <w:r w:rsidRPr="00BE53F9">
              <w:t>ie</w:t>
            </w:r>
            <w:proofErr w:type="gramEnd"/>
            <w:r w:rsidRPr="00BE53F9">
              <w:t xml:space="preserve"> either Item 51300 or 51303).</w:t>
            </w:r>
          </w:p>
          <w:p w14:paraId="012C249C" w14:textId="77777777" w:rsidR="00BE53F9" w:rsidRDefault="00BE53F9" w:rsidP="00BE53F9">
            <w:pPr>
              <w:pStyle w:val="TableText"/>
            </w:pPr>
          </w:p>
          <w:tbl>
            <w:tblPr>
              <w:tblStyle w:val="TableGrid"/>
              <w:tblW w:w="0" w:type="auto"/>
              <w:tblLook w:val="04A0" w:firstRow="1" w:lastRow="0" w:firstColumn="1" w:lastColumn="0" w:noHBand="0" w:noVBand="1"/>
            </w:tblPr>
            <w:tblGrid>
              <w:gridCol w:w="4395"/>
              <w:gridCol w:w="4395"/>
            </w:tblGrid>
            <w:tr w:rsidR="00BE53F9" w14:paraId="30948383" w14:textId="77777777" w:rsidTr="00BE53F9">
              <w:tc>
                <w:tcPr>
                  <w:tcW w:w="4395" w:type="dxa"/>
                </w:tcPr>
                <w:p w14:paraId="316C3FA2" w14:textId="3EA06F5E" w:rsidR="00BE53F9" w:rsidRDefault="00BE53F9" w:rsidP="00BE53F9">
                  <w:pPr>
                    <w:pStyle w:val="TableHeading"/>
                  </w:pPr>
                  <w:r>
                    <w:t>Multiple Operation Rule – Surgeon</w:t>
                  </w:r>
                </w:p>
              </w:tc>
              <w:tc>
                <w:tcPr>
                  <w:tcW w:w="4395" w:type="dxa"/>
                </w:tcPr>
                <w:p w14:paraId="20D1ED97" w14:textId="2B6D6F84" w:rsidR="00BE53F9" w:rsidRDefault="00BE53F9" w:rsidP="00BE53F9">
                  <w:pPr>
                    <w:pStyle w:val="TableHeading"/>
                  </w:pPr>
                  <w:r>
                    <w:t>Multiple Operation Rule – Assistant</w:t>
                  </w:r>
                </w:p>
              </w:tc>
            </w:tr>
            <w:tr w:rsidR="00BE53F9" w14:paraId="27C98248" w14:textId="77777777" w:rsidTr="00BE53F9">
              <w:tc>
                <w:tcPr>
                  <w:tcW w:w="4395" w:type="dxa"/>
                </w:tcPr>
                <w:p w14:paraId="4C860145" w14:textId="1E2AF1C3" w:rsidR="00BE53F9" w:rsidRDefault="00BE53F9" w:rsidP="00BE53F9">
                  <w:pPr>
                    <w:pStyle w:val="TableText"/>
                  </w:pPr>
                  <w:r>
                    <w:t>Item A – $300@100%</w:t>
                  </w:r>
                </w:p>
              </w:tc>
              <w:tc>
                <w:tcPr>
                  <w:tcW w:w="4395" w:type="dxa"/>
                </w:tcPr>
                <w:p w14:paraId="4BEB953F" w14:textId="6C6455FF" w:rsidR="00BE53F9" w:rsidRDefault="00BE53F9" w:rsidP="00BE53F9">
                  <w:pPr>
                    <w:pStyle w:val="TableText"/>
                  </w:pPr>
                  <w:r>
                    <w:t>Item A (Assist.) – $300@100%</w:t>
                  </w:r>
                </w:p>
              </w:tc>
            </w:tr>
            <w:tr w:rsidR="00BE53F9" w14:paraId="5C4DF36A" w14:textId="77777777" w:rsidTr="00BE53F9">
              <w:tc>
                <w:tcPr>
                  <w:tcW w:w="4395" w:type="dxa"/>
                </w:tcPr>
                <w:p w14:paraId="7897C950" w14:textId="2042C920" w:rsidR="00BE53F9" w:rsidRDefault="00BE53F9" w:rsidP="00BE53F9">
                  <w:pPr>
                    <w:pStyle w:val="TableText"/>
                  </w:pPr>
                  <w:r>
                    <w:t>Item B – $250@50%</w:t>
                  </w:r>
                </w:p>
              </w:tc>
              <w:tc>
                <w:tcPr>
                  <w:tcW w:w="4395" w:type="dxa"/>
                </w:tcPr>
                <w:p w14:paraId="7212F500" w14:textId="63692C89" w:rsidR="00BE53F9" w:rsidRDefault="00BE53F9" w:rsidP="00BE53F9">
                  <w:pPr>
                    <w:pStyle w:val="TableText"/>
                  </w:pPr>
                  <w:r>
                    <w:t>Item B (No Assist.)</w:t>
                  </w:r>
                </w:p>
              </w:tc>
            </w:tr>
            <w:tr w:rsidR="00BE53F9" w14:paraId="11ECA633" w14:textId="77777777" w:rsidTr="00BE53F9">
              <w:tc>
                <w:tcPr>
                  <w:tcW w:w="4395" w:type="dxa"/>
                </w:tcPr>
                <w:p w14:paraId="3580116F" w14:textId="5A664F54" w:rsidR="00BE53F9" w:rsidRDefault="00BE53F9" w:rsidP="00BE53F9">
                  <w:pPr>
                    <w:pStyle w:val="TableText"/>
                  </w:pPr>
                  <w:r>
                    <w:t>Item C – $200@25%</w:t>
                  </w:r>
                </w:p>
              </w:tc>
              <w:tc>
                <w:tcPr>
                  <w:tcW w:w="4395" w:type="dxa"/>
                </w:tcPr>
                <w:p w14:paraId="0D29A6B2" w14:textId="397FC64D" w:rsidR="00BE53F9" w:rsidRDefault="00BE53F9" w:rsidP="00BE53F9">
                  <w:pPr>
                    <w:pStyle w:val="TableText"/>
                  </w:pPr>
                  <w:r>
                    <w:t>Item C (Assist.) – $200@50%</w:t>
                  </w:r>
                </w:p>
              </w:tc>
            </w:tr>
            <w:tr w:rsidR="00BE53F9" w14:paraId="71EB8CCF" w14:textId="77777777" w:rsidTr="00BE53F9">
              <w:tc>
                <w:tcPr>
                  <w:tcW w:w="4395" w:type="dxa"/>
                </w:tcPr>
                <w:p w14:paraId="3EB0BA75" w14:textId="7FA81A72" w:rsidR="00BE53F9" w:rsidRDefault="00BE53F9" w:rsidP="00BE53F9">
                  <w:pPr>
                    <w:pStyle w:val="TableText"/>
                  </w:pPr>
                  <w:r>
                    <w:t>Item D – $150@25%</w:t>
                  </w:r>
                </w:p>
              </w:tc>
              <w:tc>
                <w:tcPr>
                  <w:tcW w:w="4395" w:type="dxa"/>
                </w:tcPr>
                <w:p w14:paraId="1CEE02BB" w14:textId="155F251C" w:rsidR="00BE53F9" w:rsidRDefault="00BE53F9" w:rsidP="00BE53F9">
                  <w:pPr>
                    <w:pStyle w:val="TableText"/>
                  </w:pPr>
                  <w:r>
                    <w:t>Item D (Assist.) – $150@25%</w:t>
                  </w:r>
                </w:p>
              </w:tc>
            </w:tr>
          </w:tbl>
          <w:p w14:paraId="44740D57" w14:textId="77777777" w:rsidR="00BE53F9" w:rsidRDefault="00BE53F9" w:rsidP="00BE53F9">
            <w:pPr>
              <w:pStyle w:val="TableText"/>
            </w:pPr>
          </w:p>
          <w:p w14:paraId="13F7F279" w14:textId="4CA4CCEC" w:rsidR="00E04E09" w:rsidRDefault="00E04E09" w:rsidP="00E04E09">
            <w:pPr>
              <w:pStyle w:val="TableText"/>
            </w:pPr>
            <w:r w:rsidRPr="00E04E09">
              <w:t xml:space="preserve">The derived fee applicable to Item 51303 is calculated </w:t>
            </w:r>
            <w:proofErr w:type="gramStart"/>
            <w:r w:rsidRPr="00E04E09">
              <w:t>on the basis of</w:t>
            </w:r>
            <w:proofErr w:type="gramEnd"/>
            <w:r w:rsidRPr="00E04E09">
              <w:t xml:space="preserve"> one-fifth of the abated Schedule fee for the surgery which attracts an assistance rebate.</w:t>
            </w:r>
          </w:p>
          <w:p w14:paraId="69565585" w14:textId="77777777" w:rsidR="00E04E09" w:rsidRPr="00E04E09" w:rsidRDefault="00E04E09" w:rsidP="00E04E09">
            <w:pPr>
              <w:pStyle w:val="TableText"/>
            </w:pPr>
          </w:p>
          <w:p w14:paraId="2A1DD35E" w14:textId="64CACAD1" w:rsidR="00E04E09" w:rsidRDefault="00E04E09" w:rsidP="00E04E09">
            <w:pPr>
              <w:pStyle w:val="TableHeading"/>
            </w:pPr>
            <w:r w:rsidRPr="00E04E09">
              <w:t>Surgeons Operating Independently</w:t>
            </w:r>
          </w:p>
          <w:p w14:paraId="52D39329" w14:textId="77777777" w:rsidR="00E04E09" w:rsidRPr="00E04E09" w:rsidRDefault="00E04E09" w:rsidP="00E04E09">
            <w:pPr>
              <w:pStyle w:val="TableText"/>
            </w:pPr>
          </w:p>
          <w:p w14:paraId="55427498" w14:textId="717FA6A0" w:rsidR="00E04E09" w:rsidRPr="00E04E09" w:rsidRDefault="00E04E09" w:rsidP="00E04E09">
            <w:pPr>
              <w:pStyle w:val="TableText"/>
            </w:pPr>
            <w:r w:rsidRPr="00E04E09">
              <w:t>Where two surgeons operate independently (</w:t>
            </w:r>
            <w:proofErr w:type="gramStart"/>
            <w:r w:rsidRPr="00E04E09">
              <w:t>i</w:t>
            </w:r>
            <w:r>
              <w:t>.</w:t>
            </w:r>
            <w:r w:rsidRPr="00E04E09">
              <w:t>e</w:t>
            </w:r>
            <w:r>
              <w:t>.</w:t>
            </w:r>
            <w:proofErr w:type="gramEnd"/>
            <w:r w:rsidRPr="00E04E09">
              <w:t xml:space="preserve"> neither assists the other or administers the anaesthetic) the procedures they perform are considered as two separate operations, and therefore, where a surgical assistant is engaged by each, or one of the surgeons, benefits for surgical assistance are payable in the same manner as if the surgeons were operating separately.</w:t>
            </w:r>
          </w:p>
          <w:p w14:paraId="6B47AF13" w14:textId="77777777" w:rsidR="00BE53F9" w:rsidRDefault="00BE53F9" w:rsidP="00BE53F9">
            <w:pPr>
              <w:pStyle w:val="TableText"/>
            </w:pPr>
          </w:p>
          <w:p w14:paraId="5C42E80B" w14:textId="2A819EB0" w:rsidR="00BE53F9" w:rsidRDefault="00E04E09" w:rsidP="00BE53F9">
            <w:pPr>
              <w:pStyle w:val="TableText"/>
            </w:pPr>
            <w:r>
              <w:t>Related Items: 51300, 51303, 51306, 51309, 51312, 51315, 51318</w:t>
            </w:r>
          </w:p>
        </w:tc>
      </w:tr>
      <w:bookmarkEnd w:id="98"/>
    </w:tbl>
    <w:p w14:paraId="49C5B25E" w14:textId="7B1FC2A3" w:rsidR="003C2369" w:rsidRDefault="003C2369" w:rsidP="004F715B">
      <w:pPr>
        <w:pStyle w:val="BulletLast"/>
        <w:numPr>
          <w:ilvl w:val="0"/>
          <w:numId w:val="0"/>
        </w:numPr>
      </w:pPr>
    </w:p>
    <w:p w14:paraId="0C7AD510" w14:textId="5F4C8560" w:rsidR="00A01350" w:rsidRDefault="00A01350" w:rsidP="004F715B">
      <w:pPr>
        <w:pStyle w:val="BulletLast"/>
        <w:numPr>
          <w:ilvl w:val="0"/>
          <w:numId w:val="0"/>
        </w:numPr>
      </w:pPr>
    </w:p>
    <w:tbl>
      <w:tblPr>
        <w:tblStyle w:val="TableGrid"/>
        <w:tblW w:w="0" w:type="auto"/>
        <w:tblLook w:val="04A0" w:firstRow="1" w:lastRow="0" w:firstColumn="1" w:lastColumn="0" w:noHBand="0" w:noVBand="1"/>
      </w:tblPr>
      <w:tblGrid>
        <w:gridCol w:w="9016"/>
      </w:tblGrid>
      <w:tr w:rsidR="00A01350" w14:paraId="2ED80181" w14:textId="77777777" w:rsidTr="005B7B94">
        <w:tc>
          <w:tcPr>
            <w:tcW w:w="9016" w:type="dxa"/>
          </w:tcPr>
          <w:p w14:paraId="5B001FFD" w14:textId="559BDBF2" w:rsidR="00A01350" w:rsidRDefault="00A01350" w:rsidP="005B7B94">
            <w:pPr>
              <w:pStyle w:val="TableTitle"/>
            </w:pPr>
            <w:r>
              <w:lastRenderedPageBreak/>
              <w:t>Proposed amended Explanatory Notes for TN.9.1</w:t>
            </w:r>
          </w:p>
        </w:tc>
      </w:tr>
      <w:tr w:rsidR="00A01350" w14:paraId="5B2713E2" w14:textId="77777777" w:rsidTr="005B7B94">
        <w:tc>
          <w:tcPr>
            <w:tcW w:w="9016" w:type="dxa"/>
          </w:tcPr>
          <w:p w14:paraId="2FBE8E7A" w14:textId="77777777" w:rsidR="00A01350" w:rsidRDefault="00A01350" w:rsidP="005B7B94">
            <w:pPr>
              <w:pStyle w:val="TableText"/>
              <w:jc w:val="center"/>
            </w:pPr>
            <w:r>
              <w:t>Assistance at Operations – (Items 51300 to 51318)</w:t>
            </w:r>
          </w:p>
          <w:p w14:paraId="3C6CA547" w14:textId="77777777" w:rsidR="00A01350" w:rsidRDefault="00A01350" w:rsidP="005B7B94">
            <w:pPr>
              <w:pStyle w:val="TableText"/>
              <w:jc w:val="center"/>
            </w:pPr>
          </w:p>
          <w:p w14:paraId="2F0D6F28" w14:textId="77777777" w:rsidR="00A01350" w:rsidRDefault="00A01350" w:rsidP="005B7B94">
            <w:pPr>
              <w:pStyle w:val="TableText"/>
            </w:pPr>
            <w:r w:rsidRPr="00BE53F9">
              <w:t xml:space="preserve">Items covering operations which are eligible for benefits for surgical assistance have been identified by the inclusion of the word </w:t>
            </w:r>
            <w:r>
              <w:t>“</w:t>
            </w:r>
            <w:r w:rsidRPr="00BE53F9">
              <w:t>Assist.</w:t>
            </w:r>
            <w:r>
              <w:t>”</w:t>
            </w:r>
            <w:r w:rsidRPr="00BE53F9">
              <w:t xml:space="preserve"> in the item description.</w:t>
            </w:r>
            <w:r>
              <w:t xml:space="preserve"> </w:t>
            </w:r>
            <w:r w:rsidRPr="00BE53F9">
              <w:t>Medicare benefits are not payable for surgical assistance associated with procedures which have not been so identified.</w:t>
            </w:r>
          </w:p>
          <w:p w14:paraId="316E2D9F" w14:textId="77777777" w:rsidR="00A01350" w:rsidRPr="00BE53F9" w:rsidRDefault="00A01350" w:rsidP="005B7B94">
            <w:pPr>
              <w:pStyle w:val="TableText"/>
            </w:pPr>
          </w:p>
          <w:p w14:paraId="6AD8E94D" w14:textId="65833EC2" w:rsidR="00A01350" w:rsidRDefault="00A01350" w:rsidP="005B7B94">
            <w:pPr>
              <w:pStyle w:val="TableText"/>
            </w:pPr>
            <w:r w:rsidRPr="00BE53F9">
              <w:t>The assistance must be rendered by a medical practitioner</w:t>
            </w:r>
            <w:r w:rsidRPr="00A01350">
              <w:rPr>
                <w:color w:val="FF0000"/>
              </w:rPr>
              <w:t>, or suitably qualified nurse or nurse practitioner</w:t>
            </w:r>
            <w:r w:rsidRPr="00BE53F9">
              <w:t xml:space="preserve"> other than the surgeon, the </w:t>
            </w:r>
            <w:proofErr w:type="gramStart"/>
            <w:r w:rsidRPr="00BE53F9">
              <w:t>anaesthetist</w:t>
            </w:r>
            <w:proofErr w:type="gramEnd"/>
            <w:r w:rsidRPr="00BE53F9">
              <w:t xml:space="preserve"> or the assistant anaesthetist.</w:t>
            </w:r>
          </w:p>
          <w:p w14:paraId="1E7B2630" w14:textId="77777777" w:rsidR="00A01350" w:rsidRPr="00BE53F9" w:rsidRDefault="00A01350" w:rsidP="005B7B94">
            <w:pPr>
              <w:pStyle w:val="TableText"/>
            </w:pPr>
          </w:p>
          <w:p w14:paraId="7574B29C" w14:textId="77777777" w:rsidR="00A01350" w:rsidRDefault="00A01350" w:rsidP="005B7B94">
            <w:pPr>
              <w:pStyle w:val="TableText"/>
            </w:pPr>
            <w:r w:rsidRPr="00BE53F9">
              <w:t xml:space="preserve">Where more than one practitioner </w:t>
            </w:r>
            <w:proofErr w:type="gramStart"/>
            <w:r w:rsidRPr="00BE53F9">
              <w:t>provides assistance to</w:t>
            </w:r>
            <w:proofErr w:type="gramEnd"/>
            <w:r w:rsidRPr="00BE53F9">
              <w:t xml:space="preserve"> a surgeon no additional benefits are payable.</w:t>
            </w:r>
            <w:r>
              <w:t xml:space="preserve"> </w:t>
            </w:r>
            <w:r w:rsidRPr="00BE53F9">
              <w:t>The assistance benefit payable is the same irrespective of the number of practitioners providing surgical assistance.</w:t>
            </w:r>
          </w:p>
          <w:p w14:paraId="18F50D33" w14:textId="77777777" w:rsidR="00A01350" w:rsidRPr="00BE53F9" w:rsidRDefault="00A01350" w:rsidP="005B7B94">
            <w:pPr>
              <w:pStyle w:val="TableText"/>
            </w:pPr>
          </w:p>
          <w:p w14:paraId="0C082131" w14:textId="77777777" w:rsidR="00A01350" w:rsidRPr="00BE53F9" w:rsidRDefault="00A01350" w:rsidP="005B7B94">
            <w:pPr>
              <w:pStyle w:val="TableText"/>
            </w:pPr>
            <w:r w:rsidRPr="00BE53F9">
              <w:rPr>
                <w:b/>
                <w:bCs/>
              </w:rPr>
              <w:t>NOTE: </w:t>
            </w:r>
            <w:r w:rsidRPr="00BE53F9">
              <w:t>The Benefit in respect of assistance at an operation is not payable unless the assistance is rendered by a medical practitioner other than the anaesthetist or assistant anaesthetist.</w:t>
            </w:r>
            <w:r>
              <w:t xml:space="preserve"> </w:t>
            </w:r>
            <w:r w:rsidRPr="00BE53F9">
              <w:t>The amount specified is the amount payable whether the assistance is rendered by one or more medical practitioners.</w:t>
            </w:r>
          </w:p>
          <w:p w14:paraId="2EEE091A" w14:textId="77777777" w:rsidR="00A01350" w:rsidRDefault="00A01350" w:rsidP="005B7B94">
            <w:pPr>
              <w:pStyle w:val="TableText"/>
            </w:pPr>
          </w:p>
          <w:p w14:paraId="7CDFFC0A" w14:textId="77777777" w:rsidR="00A01350" w:rsidRDefault="00A01350" w:rsidP="005B7B94">
            <w:pPr>
              <w:pStyle w:val="TableHeading"/>
            </w:pPr>
            <w:r w:rsidRPr="00BE53F9">
              <w:t>Assistance at Multiple Operations</w:t>
            </w:r>
          </w:p>
          <w:p w14:paraId="37D5046B" w14:textId="77777777" w:rsidR="00A01350" w:rsidRPr="00BE53F9" w:rsidRDefault="00A01350" w:rsidP="005B7B94">
            <w:pPr>
              <w:pStyle w:val="TableText"/>
            </w:pPr>
          </w:p>
          <w:p w14:paraId="02174F39" w14:textId="77777777" w:rsidR="00A01350" w:rsidRPr="00BE53F9" w:rsidRDefault="00A01350" w:rsidP="005B7B94">
            <w:pPr>
              <w:pStyle w:val="TableText"/>
            </w:pPr>
            <w:r w:rsidRPr="00BE53F9">
              <w:t>Where surgical assistance is provided at two or more operations performed on a patient on the one occasion the multiple operation formula is applied to all the operations to determine the surgeon's fee for Medicare benefits purposes.  The multiple-operation formula is then applied to those items at which assistance was rendered and for which Medicare benefits for surgical assistance is payable to determine the abated fee level for assistance.  The abated fee is used to determine the appropriate Schedule item covering the surgical assistance (</w:t>
            </w:r>
            <w:proofErr w:type="gramStart"/>
            <w:r w:rsidRPr="00BE53F9">
              <w:t>ie</w:t>
            </w:r>
            <w:proofErr w:type="gramEnd"/>
            <w:r w:rsidRPr="00BE53F9">
              <w:t xml:space="preserve"> either Item 51300 or 51303).</w:t>
            </w:r>
          </w:p>
          <w:p w14:paraId="5346E2B9" w14:textId="77777777" w:rsidR="00A01350" w:rsidRDefault="00A01350" w:rsidP="005B7B94">
            <w:pPr>
              <w:pStyle w:val="TableText"/>
            </w:pPr>
          </w:p>
          <w:tbl>
            <w:tblPr>
              <w:tblStyle w:val="TableGrid"/>
              <w:tblW w:w="0" w:type="auto"/>
              <w:tblLook w:val="04A0" w:firstRow="1" w:lastRow="0" w:firstColumn="1" w:lastColumn="0" w:noHBand="0" w:noVBand="1"/>
            </w:tblPr>
            <w:tblGrid>
              <w:gridCol w:w="4395"/>
              <w:gridCol w:w="4395"/>
            </w:tblGrid>
            <w:tr w:rsidR="00A01350" w14:paraId="67A3AAAE" w14:textId="77777777" w:rsidTr="005B7B94">
              <w:tc>
                <w:tcPr>
                  <w:tcW w:w="4395" w:type="dxa"/>
                </w:tcPr>
                <w:p w14:paraId="6174A2B5" w14:textId="77777777" w:rsidR="00A01350" w:rsidRDefault="00A01350" w:rsidP="005B7B94">
                  <w:pPr>
                    <w:pStyle w:val="TableHeading"/>
                  </w:pPr>
                  <w:r>
                    <w:t>Multiple Operation Rule – Surgeon</w:t>
                  </w:r>
                </w:p>
              </w:tc>
              <w:tc>
                <w:tcPr>
                  <w:tcW w:w="4395" w:type="dxa"/>
                </w:tcPr>
                <w:p w14:paraId="5292DFE1" w14:textId="77777777" w:rsidR="00A01350" w:rsidRDefault="00A01350" w:rsidP="005B7B94">
                  <w:pPr>
                    <w:pStyle w:val="TableHeading"/>
                  </w:pPr>
                  <w:r>
                    <w:t>Multiple Operation Rule – Assistant</w:t>
                  </w:r>
                </w:p>
              </w:tc>
            </w:tr>
            <w:tr w:rsidR="00A01350" w14:paraId="5B5F2E4E" w14:textId="77777777" w:rsidTr="005B7B94">
              <w:tc>
                <w:tcPr>
                  <w:tcW w:w="4395" w:type="dxa"/>
                </w:tcPr>
                <w:p w14:paraId="0CD7BD4A" w14:textId="77777777" w:rsidR="00A01350" w:rsidRDefault="00A01350" w:rsidP="005B7B94">
                  <w:pPr>
                    <w:pStyle w:val="TableText"/>
                  </w:pPr>
                  <w:r>
                    <w:t>Item A – $300@100%</w:t>
                  </w:r>
                </w:p>
              </w:tc>
              <w:tc>
                <w:tcPr>
                  <w:tcW w:w="4395" w:type="dxa"/>
                </w:tcPr>
                <w:p w14:paraId="4B857ED2" w14:textId="77777777" w:rsidR="00A01350" w:rsidRDefault="00A01350" w:rsidP="005B7B94">
                  <w:pPr>
                    <w:pStyle w:val="TableText"/>
                  </w:pPr>
                  <w:r>
                    <w:t>Item A (Assist.) – $300@100%</w:t>
                  </w:r>
                </w:p>
              </w:tc>
            </w:tr>
            <w:tr w:rsidR="00A01350" w14:paraId="29523857" w14:textId="77777777" w:rsidTr="005B7B94">
              <w:tc>
                <w:tcPr>
                  <w:tcW w:w="4395" w:type="dxa"/>
                </w:tcPr>
                <w:p w14:paraId="6D805561" w14:textId="77777777" w:rsidR="00A01350" w:rsidRDefault="00A01350" w:rsidP="005B7B94">
                  <w:pPr>
                    <w:pStyle w:val="TableText"/>
                  </w:pPr>
                  <w:r>
                    <w:t>Item B – $250@50%</w:t>
                  </w:r>
                </w:p>
              </w:tc>
              <w:tc>
                <w:tcPr>
                  <w:tcW w:w="4395" w:type="dxa"/>
                </w:tcPr>
                <w:p w14:paraId="6F584B6B" w14:textId="77777777" w:rsidR="00A01350" w:rsidRDefault="00A01350" w:rsidP="005B7B94">
                  <w:pPr>
                    <w:pStyle w:val="TableText"/>
                  </w:pPr>
                  <w:r>
                    <w:t>Item B (No Assist.)</w:t>
                  </w:r>
                </w:p>
              </w:tc>
            </w:tr>
            <w:tr w:rsidR="00A01350" w14:paraId="726D1B47" w14:textId="77777777" w:rsidTr="005B7B94">
              <w:tc>
                <w:tcPr>
                  <w:tcW w:w="4395" w:type="dxa"/>
                </w:tcPr>
                <w:p w14:paraId="52482DCF" w14:textId="77777777" w:rsidR="00A01350" w:rsidRDefault="00A01350" w:rsidP="005B7B94">
                  <w:pPr>
                    <w:pStyle w:val="TableText"/>
                  </w:pPr>
                  <w:r>
                    <w:t>Item C – $200@25%</w:t>
                  </w:r>
                </w:p>
              </w:tc>
              <w:tc>
                <w:tcPr>
                  <w:tcW w:w="4395" w:type="dxa"/>
                </w:tcPr>
                <w:p w14:paraId="36122DA0" w14:textId="77777777" w:rsidR="00A01350" w:rsidRDefault="00A01350" w:rsidP="005B7B94">
                  <w:pPr>
                    <w:pStyle w:val="TableText"/>
                  </w:pPr>
                  <w:r>
                    <w:t>Item C (Assist.) – $200@50%</w:t>
                  </w:r>
                </w:p>
              </w:tc>
            </w:tr>
            <w:tr w:rsidR="00A01350" w14:paraId="76B0E44F" w14:textId="77777777" w:rsidTr="005B7B94">
              <w:tc>
                <w:tcPr>
                  <w:tcW w:w="4395" w:type="dxa"/>
                </w:tcPr>
                <w:p w14:paraId="5EBC6FEC" w14:textId="77777777" w:rsidR="00A01350" w:rsidRDefault="00A01350" w:rsidP="005B7B94">
                  <w:pPr>
                    <w:pStyle w:val="TableText"/>
                  </w:pPr>
                  <w:r>
                    <w:t>Item D – $150@25%</w:t>
                  </w:r>
                </w:p>
              </w:tc>
              <w:tc>
                <w:tcPr>
                  <w:tcW w:w="4395" w:type="dxa"/>
                </w:tcPr>
                <w:p w14:paraId="7E1E97C2" w14:textId="77777777" w:rsidR="00A01350" w:rsidRDefault="00A01350" w:rsidP="005B7B94">
                  <w:pPr>
                    <w:pStyle w:val="TableText"/>
                  </w:pPr>
                  <w:r>
                    <w:t>Item D (Assist.) – $150@25%</w:t>
                  </w:r>
                </w:p>
              </w:tc>
            </w:tr>
          </w:tbl>
          <w:p w14:paraId="7B33AE32" w14:textId="77777777" w:rsidR="00A01350" w:rsidRDefault="00A01350" w:rsidP="005B7B94">
            <w:pPr>
              <w:pStyle w:val="TableText"/>
            </w:pPr>
          </w:p>
          <w:p w14:paraId="08AEABFA" w14:textId="77777777" w:rsidR="00A01350" w:rsidRDefault="00A01350" w:rsidP="005B7B94">
            <w:pPr>
              <w:pStyle w:val="TableText"/>
            </w:pPr>
            <w:r w:rsidRPr="00E04E09">
              <w:t xml:space="preserve">The derived fee applicable to Item 51303 is calculated </w:t>
            </w:r>
            <w:proofErr w:type="gramStart"/>
            <w:r w:rsidRPr="00E04E09">
              <w:t>on the basis of</w:t>
            </w:r>
            <w:proofErr w:type="gramEnd"/>
            <w:r w:rsidRPr="00E04E09">
              <w:t xml:space="preserve"> one-fifth of the abated Schedule fee for the surgery which attracts an assistance rebate.</w:t>
            </w:r>
          </w:p>
          <w:p w14:paraId="30085A62" w14:textId="77777777" w:rsidR="00A01350" w:rsidRPr="00E04E09" w:rsidRDefault="00A01350" w:rsidP="005B7B94">
            <w:pPr>
              <w:pStyle w:val="TableText"/>
            </w:pPr>
          </w:p>
          <w:p w14:paraId="4B801CCB" w14:textId="77777777" w:rsidR="00A01350" w:rsidRDefault="00A01350" w:rsidP="005B7B94">
            <w:pPr>
              <w:pStyle w:val="TableHeading"/>
            </w:pPr>
            <w:r w:rsidRPr="00E04E09">
              <w:t>Surgeons Operating Independently</w:t>
            </w:r>
          </w:p>
          <w:p w14:paraId="0CDD849F" w14:textId="77777777" w:rsidR="00A01350" w:rsidRPr="00E04E09" w:rsidRDefault="00A01350" w:rsidP="005B7B94">
            <w:pPr>
              <w:pStyle w:val="TableText"/>
            </w:pPr>
          </w:p>
          <w:p w14:paraId="29357851" w14:textId="77777777" w:rsidR="00A01350" w:rsidRPr="00E04E09" w:rsidRDefault="00A01350" w:rsidP="005B7B94">
            <w:pPr>
              <w:pStyle w:val="TableText"/>
            </w:pPr>
            <w:r w:rsidRPr="00E04E09">
              <w:t>Where two surgeons operate independently (</w:t>
            </w:r>
            <w:proofErr w:type="gramStart"/>
            <w:r w:rsidRPr="00E04E09">
              <w:t>i</w:t>
            </w:r>
            <w:r>
              <w:t>.</w:t>
            </w:r>
            <w:r w:rsidRPr="00E04E09">
              <w:t>e</w:t>
            </w:r>
            <w:r>
              <w:t>.</w:t>
            </w:r>
            <w:proofErr w:type="gramEnd"/>
            <w:r w:rsidRPr="00E04E09">
              <w:t xml:space="preserve"> neither assists the other or administers the anaesthetic) the procedures they perform are considered as two separate operations, and therefore, where a surgical assistant is engaged by each, or one of the surgeons, benefits for surgical assistance are payable in the same manner as if the surgeons were operating separately.</w:t>
            </w:r>
          </w:p>
          <w:p w14:paraId="035589E1" w14:textId="77777777" w:rsidR="00A01350" w:rsidRDefault="00A01350" w:rsidP="005B7B94">
            <w:pPr>
              <w:pStyle w:val="TableText"/>
            </w:pPr>
          </w:p>
          <w:p w14:paraId="03973709" w14:textId="77777777" w:rsidR="00A01350" w:rsidRDefault="00A01350" w:rsidP="005B7B94">
            <w:pPr>
              <w:pStyle w:val="TableText"/>
            </w:pPr>
            <w:r>
              <w:t>Related Items: 51300, 51303, 51306, 51309, 51312, 51315, 51318</w:t>
            </w:r>
          </w:p>
        </w:tc>
      </w:tr>
    </w:tbl>
    <w:p w14:paraId="15A5A76B" w14:textId="1A1F39D6" w:rsidR="00A01350" w:rsidRPr="00A01350" w:rsidRDefault="00A01350" w:rsidP="004F715B">
      <w:pPr>
        <w:pStyle w:val="BulletLast"/>
        <w:numPr>
          <w:ilvl w:val="0"/>
          <w:numId w:val="0"/>
        </w:numPr>
        <w:rPr>
          <w:b/>
          <w:bCs/>
        </w:rPr>
      </w:pPr>
    </w:p>
    <w:sectPr w:rsidR="00A01350" w:rsidRPr="00A01350" w:rsidSect="00EB0622">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596F" w14:textId="77777777" w:rsidR="00F20182" w:rsidRDefault="00F20182" w:rsidP="00EB0622">
      <w:pPr>
        <w:spacing w:after="0"/>
      </w:pPr>
      <w:r>
        <w:separator/>
      </w:r>
    </w:p>
  </w:endnote>
  <w:endnote w:type="continuationSeparator" w:id="0">
    <w:p w14:paraId="19923045" w14:textId="77777777" w:rsidR="00F20182" w:rsidRDefault="00F20182" w:rsidP="00EB0622">
      <w:pPr>
        <w:spacing w:after="0"/>
      </w:pPr>
      <w:r>
        <w:continuationSeparator/>
      </w:r>
    </w:p>
  </w:endnote>
  <w:endnote w:type="continuationNotice" w:id="1">
    <w:p w14:paraId="30A6C77C" w14:textId="77777777" w:rsidR="00F20182" w:rsidRDefault="00F201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6D31" w14:textId="24A843D6" w:rsidR="00EB0622" w:rsidRDefault="00EB0622" w:rsidP="00912D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EE1D9A" w14:textId="77777777" w:rsidR="00EB0622" w:rsidRDefault="00EB0622" w:rsidP="00EB0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223049"/>
      <w:docPartObj>
        <w:docPartGallery w:val="Page Numbers (Bottom of Page)"/>
        <w:docPartUnique/>
      </w:docPartObj>
    </w:sdtPr>
    <w:sdtContent>
      <w:p w14:paraId="743DF48B" w14:textId="1506F23C" w:rsidR="00EB0622" w:rsidRDefault="00EB0622" w:rsidP="00912D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07463" w14:textId="77777777" w:rsidR="00EB0622" w:rsidRDefault="00EB0622" w:rsidP="00EB0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6835" w14:textId="77777777" w:rsidR="00F20182" w:rsidRDefault="00F20182" w:rsidP="00EB0622">
      <w:pPr>
        <w:spacing w:after="0"/>
      </w:pPr>
      <w:r>
        <w:separator/>
      </w:r>
    </w:p>
  </w:footnote>
  <w:footnote w:type="continuationSeparator" w:id="0">
    <w:p w14:paraId="1FC94AAB" w14:textId="77777777" w:rsidR="00F20182" w:rsidRDefault="00F20182" w:rsidP="00EB0622">
      <w:pPr>
        <w:spacing w:after="0"/>
      </w:pPr>
      <w:r>
        <w:continuationSeparator/>
      </w:r>
    </w:p>
  </w:footnote>
  <w:footnote w:type="continuationNotice" w:id="1">
    <w:p w14:paraId="715F259C" w14:textId="77777777" w:rsidR="00F20182" w:rsidRDefault="00F201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C50F5"/>
    <w:multiLevelType w:val="hybridMultilevel"/>
    <w:tmpl w:val="9364C676"/>
    <w:lvl w:ilvl="0" w:tplc="0C090001">
      <w:start w:val="1"/>
      <w:numFmt w:val="bullet"/>
      <w:lvlText w:val=""/>
      <w:lvlJc w:val="left"/>
      <w:pPr>
        <w:ind w:left="1211" w:hanging="360"/>
      </w:pPr>
      <w:rPr>
        <w:rFonts w:ascii="Symbol" w:hAnsi="Symbol" w:hint="default"/>
      </w:rPr>
    </w:lvl>
    <w:lvl w:ilvl="1" w:tplc="2B4EB362">
      <w:start w:val="12"/>
      <w:numFmt w:val="bullet"/>
      <w:lvlText w:val="-"/>
      <w:lvlJc w:val="left"/>
      <w:pPr>
        <w:ind w:left="1931" w:hanging="360"/>
      </w:pPr>
      <w:rPr>
        <w:rFonts w:ascii="CeraPro-Regular" w:eastAsiaTheme="minorHAnsi" w:hAnsi="CeraPro-Regular" w:cs="CeraPro-Regular" w:hint="default"/>
        <w:color w:val="auto"/>
        <w:sz w:val="20"/>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B2593"/>
    <w:multiLevelType w:val="hybridMultilevel"/>
    <w:tmpl w:val="6388D5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35B27"/>
    <w:multiLevelType w:val="hybridMultilevel"/>
    <w:tmpl w:val="6130D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651309"/>
    <w:multiLevelType w:val="hybridMultilevel"/>
    <w:tmpl w:val="DB4C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1D1555"/>
    <w:multiLevelType w:val="hybridMultilevel"/>
    <w:tmpl w:val="23F2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13EBB"/>
    <w:multiLevelType w:val="hybridMultilevel"/>
    <w:tmpl w:val="6BECA0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5642B4"/>
    <w:multiLevelType w:val="hybridMultilevel"/>
    <w:tmpl w:val="7146FF48"/>
    <w:lvl w:ilvl="0" w:tplc="0CBA9B8C">
      <w:start w:val="1"/>
      <w:numFmt w:val="bullet"/>
      <w:lvlText w:val="•"/>
      <w:lvlJc w:val="left"/>
      <w:pPr>
        <w:tabs>
          <w:tab w:val="num" w:pos="720"/>
        </w:tabs>
        <w:ind w:left="720" w:hanging="360"/>
      </w:pPr>
      <w:rPr>
        <w:rFonts w:ascii="Arial" w:hAnsi="Arial" w:hint="default"/>
      </w:rPr>
    </w:lvl>
    <w:lvl w:ilvl="1" w:tplc="C1E85454">
      <w:start w:val="1"/>
      <w:numFmt w:val="bullet"/>
      <w:lvlText w:val="•"/>
      <w:lvlJc w:val="left"/>
      <w:pPr>
        <w:tabs>
          <w:tab w:val="num" w:pos="1440"/>
        </w:tabs>
        <w:ind w:left="1440" w:hanging="360"/>
      </w:pPr>
      <w:rPr>
        <w:rFonts w:ascii="Arial" w:hAnsi="Arial" w:hint="default"/>
      </w:rPr>
    </w:lvl>
    <w:lvl w:ilvl="2" w:tplc="896A0B4E" w:tentative="1">
      <w:start w:val="1"/>
      <w:numFmt w:val="bullet"/>
      <w:lvlText w:val="•"/>
      <w:lvlJc w:val="left"/>
      <w:pPr>
        <w:tabs>
          <w:tab w:val="num" w:pos="2160"/>
        </w:tabs>
        <w:ind w:left="2160" w:hanging="360"/>
      </w:pPr>
      <w:rPr>
        <w:rFonts w:ascii="Arial" w:hAnsi="Arial" w:hint="default"/>
      </w:rPr>
    </w:lvl>
    <w:lvl w:ilvl="3" w:tplc="3026AB2E" w:tentative="1">
      <w:start w:val="1"/>
      <w:numFmt w:val="bullet"/>
      <w:lvlText w:val="•"/>
      <w:lvlJc w:val="left"/>
      <w:pPr>
        <w:tabs>
          <w:tab w:val="num" w:pos="2880"/>
        </w:tabs>
        <w:ind w:left="2880" w:hanging="360"/>
      </w:pPr>
      <w:rPr>
        <w:rFonts w:ascii="Arial" w:hAnsi="Arial" w:hint="default"/>
      </w:rPr>
    </w:lvl>
    <w:lvl w:ilvl="4" w:tplc="93AA86AA" w:tentative="1">
      <w:start w:val="1"/>
      <w:numFmt w:val="bullet"/>
      <w:lvlText w:val="•"/>
      <w:lvlJc w:val="left"/>
      <w:pPr>
        <w:tabs>
          <w:tab w:val="num" w:pos="3600"/>
        </w:tabs>
        <w:ind w:left="3600" w:hanging="360"/>
      </w:pPr>
      <w:rPr>
        <w:rFonts w:ascii="Arial" w:hAnsi="Arial" w:hint="default"/>
      </w:rPr>
    </w:lvl>
    <w:lvl w:ilvl="5" w:tplc="C1A0CBC4" w:tentative="1">
      <w:start w:val="1"/>
      <w:numFmt w:val="bullet"/>
      <w:lvlText w:val="•"/>
      <w:lvlJc w:val="left"/>
      <w:pPr>
        <w:tabs>
          <w:tab w:val="num" w:pos="4320"/>
        </w:tabs>
        <w:ind w:left="4320" w:hanging="360"/>
      </w:pPr>
      <w:rPr>
        <w:rFonts w:ascii="Arial" w:hAnsi="Arial" w:hint="default"/>
      </w:rPr>
    </w:lvl>
    <w:lvl w:ilvl="6" w:tplc="C21644C0" w:tentative="1">
      <w:start w:val="1"/>
      <w:numFmt w:val="bullet"/>
      <w:lvlText w:val="•"/>
      <w:lvlJc w:val="left"/>
      <w:pPr>
        <w:tabs>
          <w:tab w:val="num" w:pos="5040"/>
        </w:tabs>
        <w:ind w:left="5040" w:hanging="360"/>
      </w:pPr>
      <w:rPr>
        <w:rFonts w:ascii="Arial" w:hAnsi="Arial" w:hint="default"/>
      </w:rPr>
    </w:lvl>
    <w:lvl w:ilvl="7" w:tplc="E3083C74" w:tentative="1">
      <w:start w:val="1"/>
      <w:numFmt w:val="bullet"/>
      <w:lvlText w:val="•"/>
      <w:lvlJc w:val="left"/>
      <w:pPr>
        <w:tabs>
          <w:tab w:val="num" w:pos="5760"/>
        </w:tabs>
        <w:ind w:left="5760" w:hanging="360"/>
      </w:pPr>
      <w:rPr>
        <w:rFonts w:ascii="Arial" w:hAnsi="Arial" w:hint="default"/>
      </w:rPr>
    </w:lvl>
    <w:lvl w:ilvl="8" w:tplc="9718F7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32"/>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8"/>
  </w:num>
  <w:num w:numId="17">
    <w:abstractNumId w:val="0"/>
  </w:num>
  <w:num w:numId="18">
    <w:abstractNumId w:val="14"/>
  </w:num>
  <w:num w:numId="19">
    <w:abstractNumId w:val="29"/>
  </w:num>
  <w:num w:numId="20">
    <w:abstractNumId w:val="15"/>
  </w:num>
  <w:num w:numId="21">
    <w:abstractNumId w:val="17"/>
  </w:num>
  <w:num w:numId="22">
    <w:abstractNumId w:val="18"/>
  </w:num>
  <w:num w:numId="23">
    <w:abstractNumId w:val="13"/>
  </w:num>
  <w:num w:numId="24">
    <w:abstractNumId w:val="16"/>
  </w:num>
  <w:num w:numId="25">
    <w:abstractNumId w:val="27"/>
  </w:num>
  <w:num w:numId="26">
    <w:abstractNumId w:val="24"/>
  </w:num>
  <w:num w:numId="27">
    <w:abstractNumId w:val="20"/>
  </w:num>
  <w:num w:numId="28">
    <w:abstractNumId w:val="23"/>
  </w:num>
  <w:num w:numId="29">
    <w:abstractNumId w:val="19"/>
  </w:num>
  <w:num w:numId="30">
    <w:abstractNumId w:val="30"/>
  </w:num>
  <w:num w:numId="31">
    <w:abstractNumId w:val="25"/>
  </w:num>
  <w:num w:numId="32">
    <w:abstractNumId w:val="32"/>
  </w:num>
  <w:num w:numId="33">
    <w:abstractNumId w:val="2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E1"/>
    <w:rsid w:val="00017DB7"/>
    <w:rsid w:val="00024EDF"/>
    <w:rsid w:val="0003107F"/>
    <w:rsid w:val="00031C79"/>
    <w:rsid w:val="00032F24"/>
    <w:rsid w:val="0003436B"/>
    <w:rsid w:val="00034CBC"/>
    <w:rsid w:val="00035305"/>
    <w:rsid w:val="00035700"/>
    <w:rsid w:val="000367F9"/>
    <w:rsid w:val="00042C97"/>
    <w:rsid w:val="00043E11"/>
    <w:rsid w:val="00060FAB"/>
    <w:rsid w:val="0006222C"/>
    <w:rsid w:val="00065393"/>
    <w:rsid w:val="00065473"/>
    <w:rsid w:val="00065A0A"/>
    <w:rsid w:val="0006615B"/>
    <w:rsid w:val="000741AC"/>
    <w:rsid w:val="00096EC1"/>
    <w:rsid w:val="00097A25"/>
    <w:rsid w:val="000A041E"/>
    <w:rsid w:val="000A3E2A"/>
    <w:rsid w:val="000D0F8F"/>
    <w:rsid w:val="000D610B"/>
    <w:rsid w:val="000D7235"/>
    <w:rsid w:val="000E143D"/>
    <w:rsid w:val="000E38E7"/>
    <w:rsid w:val="000F761C"/>
    <w:rsid w:val="001021A7"/>
    <w:rsid w:val="00104632"/>
    <w:rsid w:val="00107BA2"/>
    <w:rsid w:val="0011397D"/>
    <w:rsid w:val="001141C1"/>
    <w:rsid w:val="001146C6"/>
    <w:rsid w:val="00123799"/>
    <w:rsid w:val="00130B80"/>
    <w:rsid w:val="00136529"/>
    <w:rsid w:val="00147FEE"/>
    <w:rsid w:val="001621F0"/>
    <w:rsid w:val="001628EA"/>
    <w:rsid w:val="00163865"/>
    <w:rsid w:val="00172907"/>
    <w:rsid w:val="001760A0"/>
    <w:rsid w:val="00176AA6"/>
    <w:rsid w:val="001834C6"/>
    <w:rsid w:val="001865EA"/>
    <w:rsid w:val="00196CF4"/>
    <w:rsid w:val="001A2259"/>
    <w:rsid w:val="001A7A3A"/>
    <w:rsid w:val="001B0E35"/>
    <w:rsid w:val="001B4FA0"/>
    <w:rsid w:val="001C5986"/>
    <w:rsid w:val="001E187C"/>
    <w:rsid w:val="001E368F"/>
    <w:rsid w:val="001E4C52"/>
    <w:rsid w:val="001E54DE"/>
    <w:rsid w:val="001E5E7A"/>
    <w:rsid w:val="001F5940"/>
    <w:rsid w:val="00205027"/>
    <w:rsid w:val="00211DC8"/>
    <w:rsid w:val="002155E1"/>
    <w:rsid w:val="00231935"/>
    <w:rsid w:val="00231E56"/>
    <w:rsid w:val="00233F88"/>
    <w:rsid w:val="00236E6D"/>
    <w:rsid w:val="002407F0"/>
    <w:rsid w:val="00244113"/>
    <w:rsid w:val="00246B60"/>
    <w:rsid w:val="002546F3"/>
    <w:rsid w:val="00264F9F"/>
    <w:rsid w:val="00267452"/>
    <w:rsid w:val="0027530D"/>
    <w:rsid w:val="00275B73"/>
    <w:rsid w:val="002801F5"/>
    <w:rsid w:val="0029607A"/>
    <w:rsid w:val="002A427B"/>
    <w:rsid w:val="002B1708"/>
    <w:rsid w:val="002B1F85"/>
    <w:rsid w:val="002B2789"/>
    <w:rsid w:val="002B6A89"/>
    <w:rsid w:val="002C2CC0"/>
    <w:rsid w:val="002D13FF"/>
    <w:rsid w:val="002D62B9"/>
    <w:rsid w:val="002E3F82"/>
    <w:rsid w:val="002F21C7"/>
    <w:rsid w:val="002F59CC"/>
    <w:rsid w:val="00300685"/>
    <w:rsid w:val="0030417B"/>
    <w:rsid w:val="00305C93"/>
    <w:rsid w:val="003127E5"/>
    <w:rsid w:val="00320E44"/>
    <w:rsid w:val="00323116"/>
    <w:rsid w:val="00333618"/>
    <w:rsid w:val="003343F4"/>
    <w:rsid w:val="003345A2"/>
    <w:rsid w:val="003355E5"/>
    <w:rsid w:val="00337D78"/>
    <w:rsid w:val="00342E8C"/>
    <w:rsid w:val="00351878"/>
    <w:rsid w:val="00352B5E"/>
    <w:rsid w:val="0037025B"/>
    <w:rsid w:val="00377C04"/>
    <w:rsid w:val="00390208"/>
    <w:rsid w:val="00390EBF"/>
    <w:rsid w:val="00391BFE"/>
    <w:rsid w:val="00393DC0"/>
    <w:rsid w:val="00397571"/>
    <w:rsid w:val="003A1758"/>
    <w:rsid w:val="003A43BB"/>
    <w:rsid w:val="003A4A92"/>
    <w:rsid w:val="003A4E8E"/>
    <w:rsid w:val="003A711E"/>
    <w:rsid w:val="003B288B"/>
    <w:rsid w:val="003B373E"/>
    <w:rsid w:val="003C2369"/>
    <w:rsid w:val="003C5DB3"/>
    <w:rsid w:val="003D2F27"/>
    <w:rsid w:val="003E577D"/>
    <w:rsid w:val="003E7379"/>
    <w:rsid w:val="003F138A"/>
    <w:rsid w:val="003F7090"/>
    <w:rsid w:val="003F712E"/>
    <w:rsid w:val="00400A3B"/>
    <w:rsid w:val="004011F8"/>
    <w:rsid w:val="00413C75"/>
    <w:rsid w:val="00417D0A"/>
    <w:rsid w:val="0042551B"/>
    <w:rsid w:val="00434F15"/>
    <w:rsid w:val="00440BCC"/>
    <w:rsid w:val="00441F9B"/>
    <w:rsid w:val="0044638B"/>
    <w:rsid w:val="00452C19"/>
    <w:rsid w:val="0046272D"/>
    <w:rsid w:val="004635AA"/>
    <w:rsid w:val="00464235"/>
    <w:rsid w:val="00471C80"/>
    <w:rsid w:val="00476738"/>
    <w:rsid w:val="0048459E"/>
    <w:rsid w:val="0048510E"/>
    <w:rsid w:val="00490D0A"/>
    <w:rsid w:val="00494FAA"/>
    <w:rsid w:val="00497067"/>
    <w:rsid w:val="0049732F"/>
    <w:rsid w:val="00497A18"/>
    <w:rsid w:val="004A5664"/>
    <w:rsid w:val="004A6058"/>
    <w:rsid w:val="004C6B34"/>
    <w:rsid w:val="004E157E"/>
    <w:rsid w:val="004E7F84"/>
    <w:rsid w:val="004F2AE2"/>
    <w:rsid w:val="004F715B"/>
    <w:rsid w:val="00500CC6"/>
    <w:rsid w:val="00501DAB"/>
    <w:rsid w:val="00510C5E"/>
    <w:rsid w:val="0053061A"/>
    <w:rsid w:val="0053118F"/>
    <w:rsid w:val="00532133"/>
    <w:rsid w:val="00534551"/>
    <w:rsid w:val="00534FFF"/>
    <w:rsid w:val="00540C0F"/>
    <w:rsid w:val="0054216B"/>
    <w:rsid w:val="00542CC6"/>
    <w:rsid w:val="00543799"/>
    <w:rsid w:val="00546A1B"/>
    <w:rsid w:val="00566155"/>
    <w:rsid w:val="00574B49"/>
    <w:rsid w:val="00594598"/>
    <w:rsid w:val="005966BA"/>
    <w:rsid w:val="005A077E"/>
    <w:rsid w:val="005A758A"/>
    <w:rsid w:val="005B10BA"/>
    <w:rsid w:val="005B7B94"/>
    <w:rsid w:val="005C2AA4"/>
    <w:rsid w:val="005D0985"/>
    <w:rsid w:val="005D1AC7"/>
    <w:rsid w:val="005D58F7"/>
    <w:rsid w:val="005E17AD"/>
    <w:rsid w:val="005E358F"/>
    <w:rsid w:val="005F019C"/>
    <w:rsid w:val="005F4FB8"/>
    <w:rsid w:val="006043EB"/>
    <w:rsid w:val="006056A6"/>
    <w:rsid w:val="00612F29"/>
    <w:rsid w:val="006243C7"/>
    <w:rsid w:val="00626788"/>
    <w:rsid w:val="00630FE9"/>
    <w:rsid w:val="0063356F"/>
    <w:rsid w:val="00634D41"/>
    <w:rsid w:val="006402DA"/>
    <w:rsid w:val="00643A47"/>
    <w:rsid w:val="006441AA"/>
    <w:rsid w:val="00645DA5"/>
    <w:rsid w:val="00646CBE"/>
    <w:rsid w:val="006507A4"/>
    <w:rsid w:val="006512F4"/>
    <w:rsid w:val="00654B3E"/>
    <w:rsid w:val="00657015"/>
    <w:rsid w:val="006573E7"/>
    <w:rsid w:val="006620EB"/>
    <w:rsid w:val="006625AE"/>
    <w:rsid w:val="00675D80"/>
    <w:rsid w:val="006870F1"/>
    <w:rsid w:val="00694BB3"/>
    <w:rsid w:val="006A1E58"/>
    <w:rsid w:val="006B04F7"/>
    <w:rsid w:val="006B06D0"/>
    <w:rsid w:val="006B3418"/>
    <w:rsid w:val="006C54BB"/>
    <w:rsid w:val="006D5530"/>
    <w:rsid w:val="006D7118"/>
    <w:rsid w:val="006E671E"/>
    <w:rsid w:val="006F4B59"/>
    <w:rsid w:val="00702EE1"/>
    <w:rsid w:val="00724208"/>
    <w:rsid w:val="00731374"/>
    <w:rsid w:val="00736702"/>
    <w:rsid w:val="00741501"/>
    <w:rsid w:val="00742740"/>
    <w:rsid w:val="00743D68"/>
    <w:rsid w:val="00751F69"/>
    <w:rsid w:val="00762E21"/>
    <w:rsid w:val="00763DFD"/>
    <w:rsid w:val="00776BD3"/>
    <w:rsid w:val="00780F33"/>
    <w:rsid w:val="007816BE"/>
    <w:rsid w:val="007840C4"/>
    <w:rsid w:val="00787C1B"/>
    <w:rsid w:val="007A1C50"/>
    <w:rsid w:val="007A2589"/>
    <w:rsid w:val="007A354C"/>
    <w:rsid w:val="007A3C06"/>
    <w:rsid w:val="007A6F3F"/>
    <w:rsid w:val="007AAE38"/>
    <w:rsid w:val="007B69C1"/>
    <w:rsid w:val="007C130B"/>
    <w:rsid w:val="007C1F9C"/>
    <w:rsid w:val="007C2681"/>
    <w:rsid w:val="007D3046"/>
    <w:rsid w:val="007D472D"/>
    <w:rsid w:val="007F36AE"/>
    <w:rsid w:val="007F3C74"/>
    <w:rsid w:val="00802E32"/>
    <w:rsid w:val="008065C1"/>
    <w:rsid w:val="008110C5"/>
    <w:rsid w:val="0081478B"/>
    <w:rsid w:val="00816B43"/>
    <w:rsid w:val="00816DC3"/>
    <w:rsid w:val="008317A2"/>
    <w:rsid w:val="008340E7"/>
    <w:rsid w:val="00840023"/>
    <w:rsid w:val="00844692"/>
    <w:rsid w:val="00850BBB"/>
    <w:rsid w:val="00850EE6"/>
    <w:rsid w:val="00854182"/>
    <w:rsid w:val="0086492B"/>
    <w:rsid w:val="00886599"/>
    <w:rsid w:val="00892A49"/>
    <w:rsid w:val="00893AFE"/>
    <w:rsid w:val="00894037"/>
    <w:rsid w:val="008954D5"/>
    <w:rsid w:val="008A463F"/>
    <w:rsid w:val="008B57D7"/>
    <w:rsid w:val="008B6B41"/>
    <w:rsid w:val="008C2E98"/>
    <w:rsid w:val="008C38E1"/>
    <w:rsid w:val="008C4670"/>
    <w:rsid w:val="008D7DC3"/>
    <w:rsid w:val="008E0F20"/>
    <w:rsid w:val="008E47CD"/>
    <w:rsid w:val="008F1EF8"/>
    <w:rsid w:val="008F2520"/>
    <w:rsid w:val="008F339F"/>
    <w:rsid w:val="008F3D35"/>
    <w:rsid w:val="00903328"/>
    <w:rsid w:val="00912D82"/>
    <w:rsid w:val="00922BE7"/>
    <w:rsid w:val="00926A07"/>
    <w:rsid w:val="009424F7"/>
    <w:rsid w:val="00945FC8"/>
    <w:rsid w:val="009476AC"/>
    <w:rsid w:val="00952705"/>
    <w:rsid w:val="00952D7E"/>
    <w:rsid w:val="009540D0"/>
    <w:rsid w:val="00960A55"/>
    <w:rsid w:val="0096269E"/>
    <w:rsid w:val="009650E1"/>
    <w:rsid w:val="009747F0"/>
    <w:rsid w:val="00980834"/>
    <w:rsid w:val="00985C30"/>
    <w:rsid w:val="009928C4"/>
    <w:rsid w:val="00996535"/>
    <w:rsid w:val="009A01A5"/>
    <w:rsid w:val="009B4BD6"/>
    <w:rsid w:val="009B5340"/>
    <w:rsid w:val="009C1E22"/>
    <w:rsid w:val="009C4165"/>
    <w:rsid w:val="009D616A"/>
    <w:rsid w:val="009E0F78"/>
    <w:rsid w:val="009E3BFD"/>
    <w:rsid w:val="009E43F6"/>
    <w:rsid w:val="009E6547"/>
    <w:rsid w:val="009E6FF0"/>
    <w:rsid w:val="00A01350"/>
    <w:rsid w:val="00A05592"/>
    <w:rsid w:val="00A20E15"/>
    <w:rsid w:val="00A31DAC"/>
    <w:rsid w:val="00A402F2"/>
    <w:rsid w:val="00A41565"/>
    <w:rsid w:val="00A43EAE"/>
    <w:rsid w:val="00A51F77"/>
    <w:rsid w:val="00A52A4C"/>
    <w:rsid w:val="00A53FBF"/>
    <w:rsid w:val="00A5438C"/>
    <w:rsid w:val="00A55ABC"/>
    <w:rsid w:val="00A607B5"/>
    <w:rsid w:val="00A609A0"/>
    <w:rsid w:val="00A61F44"/>
    <w:rsid w:val="00A637BB"/>
    <w:rsid w:val="00A6453F"/>
    <w:rsid w:val="00A64CBD"/>
    <w:rsid w:val="00A65B4F"/>
    <w:rsid w:val="00A71AE3"/>
    <w:rsid w:val="00A73605"/>
    <w:rsid w:val="00A741A7"/>
    <w:rsid w:val="00A761DA"/>
    <w:rsid w:val="00A8782C"/>
    <w:rsid w:val="00A91ECB"/>
    <w:rsid w:val="00AA21BA"/>
    <w:rsid w:val="00AB468B"/>
    <w:rsid w:val="00AC06BC"/>
    <w:rsid w:val="00AC5AC0"/>
    <w:rsid w:val="00AD7FFD"/>
    <w:rsid w:val="00AE083D"/>
    <w:rsid w:val="00AE0ECE"/>
    <w:rsid w:val="00AE326C"/>
    <w:rsid w:val="00AE6EEE"/>
    <w:rsid w:val="00AF403D"/>
    <w:rsid w:val="00B01F71"/>
    <w:rsid w:val="00B06162"/>
    <w:rsid w:val="00B11A45"/>
    <w:rsid w:val="00B13FE7"/>
    <w:rsid w:val="00B164ED"/>
    <w:rsid w:val="00B1713C"/>
    <w:rsid w:val="00B1760B"/>
    <w:rsid w:val="00B30725"/>
    <w:rsid w:val="00B4002E"/>
    <w:rsid w:val="00B42632"/>
    <w:rsid w:val="00B445E0"/>
    <w:rsid w:val="00B4564E"/>
    <w:rsid w:val="00B54D7D"/>
    <w:rsid w:val="00B60EE3"/>
    <w:rsid w:val="00B6741F"/>
    <w:rsid w:val="00B76458"/>
    <w:rsid w:val="00B820A4"/>
    <w:rsid w:val="00B8408B"/>
    <w:rsid w:val="00BA0181"/>
    <w:rsid w:val="00BA48F7"/>
    <w:rsid w:val="00BA7260"/>
    <w:rsid w:val="00BB33C1"/>
    <w:rsid w:val="00BB5FD8"/>
    <w:rsid w:val="00BB65EA"/>
    <w:rsid w:val="00BD0421"/>
    <w:rsid w:val="00BD18C7"/>
    <w:rsid w:val="00BD56AA"/>
    <w:rsid w:val="00BE406E"/>
    <w:rsid w:val="00BE53F9"/>
    <w:rsid w:val="00BE6413"/>
    <w:rsid w:val="00BF27EE"/>
    <w:rsid w:val="00BF4C5B"/>
    <w:rsid w:val="00BF665F"/>
    <w:rsid w:val="00C065CE"/>
    <w:rsid w:val="00C12800"/>
    <w:rsid w:val="00C13948"/>
    <w:rsid w:val="00C22454"/>
    <w:rsid w:val="00C237C6"/>
    <w:rsid w:val="00C268ED"/>
    <w:rsid w:val="00C327A5"/>
    <w:rsid w:val="00C34666"/>
    <w:rsid w:val="00C363C3"/>
    <w:rsid w:val="00C405ED"/>
    <w:rsid w:val="00C4156D"/>
    <w:rsid w:val="00C424DC"/>
    <w:rsid w:val="00C46CAE"/>
    <w:rsid w:val="00C64F7E"/>
    <w:rsid w:val="00C71796"/>
    <w:rsid w:val="00C71F5B"/>
    <w:rsid w:val="00C73118"/>
    <w:rsid w:val="00C742B7"/>
    <w:rsid w:val="00C75C80"/>
    <w:rsid w:val="00C813C4"/>
    <w:rsid w:val="00C81D20"/>
    <w:rsid w:val="00C82AF4"/>
    <w:rsid w:val="00C838D0"/>
    <w:rsid w:val="00C918E5"/>
    <w:rsid w:val="00CA0D30"/>
    <w:rsid w:val="00CA141E"/>
    <w:rsid w:val="00CA71EB"/>
    <w:rsid w:val="00CB0D9D"/>
    <w:rsid w:val="00CB12EC"/>
    <w:rsid w:val="00CB326C"/>
    <w:rsid w:val="00CC1185"/>
    <w:rsid w:val="00CC1196"/>
    <w:rsid w:val="00CC5F7B"/>
    <w:rsid w:val="00CD3DC8"/>
    <w:rsid w:val="00CD6FAC"/>
    <w:rsid w:val="00CE6250"/>
    <w:rsid w:val="00CE79A3"/>
    <w:rsid w:val="00CF3E96"/>
    <w:rsid w:val="00D07438"/>
    <w:rsid w:val="00D17C88"/>
    <w:rsid w:val="00D20052"/>
    <w:rsid w:val="00D24105"/>
    <w:rsid w:val="00D275AD"/>
    <w:rsid w:val="00D33FEA"/>
    <w:rsid w:val="00D43E1B"/>
    <w:rsid w:val="00D44E50"/>
    <w:rsid w:val="00D4676E"/>
    <w:rsid w:val="00D56C84"/>
    <w:rsid w:val="00D63689"/>
    <w:rsid w:val="00D63E99"/>
    <w:rsid w:val="00D64AB9"/>
    <w:rsid w:val="00D82F25"/>
    <w:rsid w:val="00D910D6"/>
    <w:rsid w:val="00D96F31"/>
    <w:rsid w:val="00DA0B54"/>
    <w:rsid w:val="00DA76F7"/>
    <w:rsid w:val="00DB67F2"/>
    <w:rsid w:val="00DB71D2"/>
    <w:rsid w:val="00DC102D"/>
    <w:rsid w:val="00DC1979"/>
    <w:rsid w:val="00DD1EBF"/>
    <w:rsid w:val="00DD5D3C"/>
    <w:rsid w:val="00DE4D54"/>
    <w:rsid w:val="00DE4ED2"/>
    <w:rsid w:val="00E0273F"/>
    <w:rsid w:val="00E03BCD"/>
    <w:rsid w:val="00E04423"/>
    <w:rsid w:val="00E04E09"/>
    <w:rsid w:val="00E05411"/>
    <w:rsid w:val="00E05739"/>
    <w:rsid w:val="00E147B7"/>
    <w:rsid w:val="00E2185D"/>
    <w:rsid w:val="00E2399F"/>
    <w:rsid w:val="00E27CB2"/>
    <w:rsid w:val="00E34DD7"/>
    <w:rsid w:val="00E41AD6"/>
    <w:rsid w:val="00E5283B"/>
    <w:rsid w:val="00E57AC3"/>
    <w:rsid w:val="00E65297"/>
    <w:rsid w:val="00E662D5"/>
    <w:rsid w:val="00E75FCC"/>
    <w:rsid w:val="00E7605B"/>
    <w:rsid w:val="00E82C7A"/>
    <w:rsid w:val="00E841F5"/>
    <w:rsid w:val="00E85407"/>
    <w:rsid w:val="00E85A51"/>
    <w:rsid w:val="00E860A4"/>
    <w:rsid w:val="00E93968"/>
    <w:rsid w:val="00E94F0A"/>
    <w:rsid w:val="00E953F0"/>
    <w:rsid w:val="00EA2BEE"/>
    <w:rsid w:val="00EB0622"/>
    <w:rsid w:val="00EC2FD8"/>
    <w:rsid w:val="00EC591F"/>
    <w:rsid w:val="00ED0869"/>
    <w:rsid w:val="00ED08CC"/>
    <w:rsid w:val="00ED6D1D"/>
    <w:rsid w:val="00EE2548"/>
    <w:rsid w:val="00F014E6"/>
    <w:rsid w:val="00F03C62"/>
    <w:rsid w:val="00F1312E"/>
    <w:rsid w:val="00F165DD"/>
    <w:rsid w:val="00F1662C"/>
    <w:rsid w:val="00F20182"/>
    <w:rsid w:val="00F202FE"/>
    <w:rsid w:val="00F30CC4"/>
    <w:rsid w:val="00F31692"/>
    <w:rsid w:val="00F31835"/>
    <w:rsid w:val="00F42590"/>
    <w:rsid w:val="00F541CC"/>
    <w:rsid w:val="00F54AFE"/>
    <w:rsid w:val="00F60ABB"/>
    <w:rsid w:val="00F71DF2"/>
    <w:rsid w:val="00F73277"/>
    <w:rsid w:val="00F7371D"/>
    <w:rsid w:val="00F74063"/>
    <w:rsid w:val="00F765AF"/>
    <w:rsid w:val="00F778DC"/>
    <w:rsid w:val="00F81D91"/>
    <w:rsid w:val="00F84D0B"/>
    <w:rsid w:val="00F8685D"/>
    <w:rsid w:val="00F90D49"/>
    <w:rsid w:val="00F9600B"/>
    <w:rsid w:val="00FA20FF"/>
    <w:rsid w:val="00FA59CD"/>
    <w:rsid w:val="00FC4178"/>
    <w:rsid w:val="00FD723B"/>
    <w:rsid w:val="00FF4EA5"/>
    <w:rsid w:val="00FF60D8"/>
    <w:rsid w:val="0378E1F6"/>
    <w:rsid w:val="04CA6623"/>
    <w:rsid w:val="06D3253F"/>
    <w:rsid w:val="07DEE19F"/>
    <w:rsid w:val="088A2FFD"/>
    <w:rsid w:val="092645A7"/>
    <w:rsid w:val="09E5B605"/>
    <w:rsid w:val="0A1F0FF2"/>
    <w:rsid w:val="0A6406E1"/>
    <w:rsid w:val="0AD32421"/>
    <w:rsid w:val="0BD6893C"/>
    <w:rsid w:val="0E66FFA0"/>
    <w:rsid w:val="114B95CA"/>
    <w:rsid w:val="117072CE"/>
    <w:rsid w:val="126E4E7D"/>
    <w:rsid w:val="127A6438"/>
    <w:rsid w:val="129B7ED0"/>
    <w:rsid w:val="137C8B69"/>
    <w:rsid w:val="13DF7F3C"/>
    <w:rsid w:val="14F36411"/>
    <w:rsid w:val="16E36E7E"/>
    <w:rsid w:val="17E3FC68"/>
    <w:rsid w:val="19CA19D9"/>
    <w:rsid w:val="1A1865C8"/>
    <w:rsid w:val="1A371CD0"/>
    <w:rsid w:val="1B2B032C"/>
    <w:rsid w:val="1B945F5B"/>
    <w:rsid w:val="1BA1DB8C"/>
    <w:rsid w:val="1E4A5F32"/>
    <w:rsid w:val="1E8C98D4"/>
    <w:rsid w:val="1EA16A18"/>
    <w:rsid w:val="20A24BBA"/>
    <w:rsid w:val="20BA10CD"/>
    <w:rsid w:val="20C5B2AF"/>
    <w:rsid w:val="20DF7455"/>
    <w:rsid w:val="22177604"/>
    <w:rsid w:val="22AF139A"/>
    <w:rsid w:val="23961507"/>
    <w:rsid w:val="25E2B797"/>
    <w:rsid w:val="2853E960"/>
    <w:rsid w:val="28ACB811"/>
    <w:rsid w:val="2BD7717D"/>
    <w:rsid w:val="2C22BB45"/>
    <w:rsid w:val="2D35C71D"/>
    <w:rsid w:val="2DE5AA20"/>
    <w:rsid w:val="2EBAFDE6"/>
    <w:rsid w:val="2FF33F73"/>
    <w:rsid w:val="30141009"/>
    <w:rsid w:val="331BF0C2"/>
    <w:rsid w:val="351FECF9"/>
    <w:rsid w:val="3642F480"/>
    <w:rsid w:val="366218FE"/>
    <w:rsid w:val="37C7C8D4"/>
    <w:rsid w:val="38BE46B2"/>
    <w:rsid w:val="38C071C1"/>
    <w:rsid w:val="39FB0AD2"/>
    <w:rsid w:val="3AEAFE59"/>
    <w:rsid w:val="3B36126F"/>
    <w:rsid w:val="3C56CA5C"/>
    <w:rsid w:val="3D3CE6D5"/>
    <w:rsid w:val="3E639E20"/>
    <w:rsid w:val="3EF3F193"/>
    <w:rsid w:val="3EF76E3E"/>
    <w:rsid w:val="3FC589BD"/>
    <w:rsid w:val="419A59DE"/>
    <w:rsid w:val="42569DB8"/>
    <w:rsid w:val="442CC7EB"/>
    <w:rsid w:val="47DDB0EF"/>
    <w:rsid w:val="4AE78C23"/>
    <w:rsid w:val="4CD85F5A"/>
    <w:rsid w:val="4DAB0EF8"/>
    <w:rsid w:val="4DAD8537"/>
    <w:rsid w:val="4DAECC0B"/>
    <w:rsid w:val="4F98FB69"/>
    <w:rsid w:val="4F9B4924"/>
    <w:rsid w:val="5392F0C1"/>
    <w:rsid w:val="53C2CA8C"/>
    <w:rsid w:val="551795AB"/>
    <w:rsid w:val="555C62E8"/>
    <w:rsid w:val="55F3C02B"/>
    <w:rsid w:val="56655F1F"/>
    <w:rsid w:val="566E06C9"/>
    <w:rsid w:val="56CA2CDC"/>
    <w:rsid w:val="57739C0B"/>
    <w:rsid w:val="57F749BC"/>
    <w:rsid w:val="580511CD"/>
    <w:rsid w:val="5887916C"/>
    <w:rsid w:val="58DEB044"/>
    <w:rsid w:val="59D27337"/>
    <w:rsid w:val="5A11FBD0"/>
    <w:rsid w:val="5AF72428"/>
    <w:rsid w:val="5B96161B"/>
    <w:rsid w:val="5D46BC94"/>
    <w:rsid w:val="60F9960F"/>
    <w:rsid w:val="619413A7"/>
    <w:rsid w:val="61A715A7"/>
    <w:rsid w:val="6292539C"/>
    <w:rsid w:val="63810F37"/>
    <w:rsid w:val="64E6C69B"/>
    <w:rsid w:val="66A87141"/>
    <w:rsid w:val="67363A7C"/>
    <w:rsid w:val="67694265"/>
    <w:rsid w:val="686A4EB8"/>
    <w:rsid w:val="69AB48D7"/>
    <w:rsid w:val="6BC062DF"/>
    <w:rsid w:val="6E4BA127"/>
    <w:rsid w:val="706EE6FD"/>
    <w:rsid w:val="715ADD16"/>
    <w:rsid w:val="7356DEC3"/>
    <w:rsid w:val="737650EA"/>
    <w:rsid w:val="73800DC3"/>
    <w:rsid w:val="7489ACF0"/>
    <w:rsid w:val="776BDCA2"/>
    <w:rsid w:val="77E0939A"/>
    <w:rsid w:val="78A235DE"/>
    <w:rsid w:val="7968A220"/>
    <w:rsid w:val="79A82363"/>
    <w:rsid w:val="7A9A3632"/>
    <w:rsid w:val="7C5866F8"/>
    <w:rsid w:val="7CA0DF41"/>
    <w:rsid w:val="7ECC21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4F34"/>
  <w15:chartTrackingRefBased/>
  <w15:docId w15:val="{B2FAC8E7-CBF7-438D-B5B7-C6594984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50"/>
    <w:pPr>
      <w:spacing w:after="240"/>
    </w:pPr>
    <w:rPr>
      <w:rFonts w:ascii="Times New Roman" w:eastAsia="Times New Roman" w:hAnsi="Times New Roman" w:cs="Times New Roman"/>
      <w:color w:val="000000"/>
      <w:szCs w:val="20"/>
      <w:lang w:eastAsia="en-AU"/>
    </w:rPr>
  </w:style>
  <w:style w:type="paragraph" w:styleId="Heading1">
    <w:name w:val="heading 1"/>
    <w:basedOn w:val="Normal"/>
    <w:next w:val="Normal"/>
    <w:link w:val="Heading1Char"/>
    <w:qFormat/>
    <w:rsid w:val="000741AC"/>
    <w:pPr>
      <w:keepNext/>
      <w:pageBreakBefore/>
      <w:spacing w:after="480"/>
      <w:ind w:left="720" w:hanging="720"/>
      <w:outlineLvl w:val="0"/>
    </w:pPr>
    <w:rPr>
      <w:rFonts w:cs="Arial"/>
      <w:b/>
      <w:bCs/>
      <w:kern w:val="32"/>
      <w:sz w:val="40"/>
      <w:szCs w:val="32"/>
    </w:rPr>
  </w:style>
  <w:style w:type="paragraph" w:styleId="Heading2">
    <w:name w:val="heading 2"/>
    <w:basedOn w:val="Normal"/>
    <w:next w:val="Normal"/>
    <w:link w:val="Heading2Char"/>
    <w:qFormat/>
    <w:rsid w:val="000741AC"/>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0741AC"/>
    <w:pPr>
      <w:keepNext/>
      <w:spacing w:before="240"/>
      <w:ind w:left="720" w:hanging="720"/>
      <w:outlineLvl w:val="2"/>
    </w:pPr>
    <w:rPr>
      <w:rFonts w:cs="Arial"/>
      <w:b/>
      <w:bCs/>
      <w:szCs w:val="26"/>
    </w:rPr>
  </w:style>
  <w:style w:type="paragraph" w:styleId="Heading4">
    <w:name w:val="heading 4"/>
    <w:basedOn w:val="Normal"/>
    <w:next w:val="Normal"/>
    <w:link w:val="Heading4Char"/>
    <w:rsid w:val="000741AC"/>
    <w:pPr>
      <w:keepNext/>
      <w:spacing w:before="120" w:after="120"/>
      <w:outlineLvl w:val="3"/>
    </w:pPr>
    <w:rPr>
      <w:b/>
      <w:bCs/>
      <w:i/>
      <w:szCs w:val="28"/>
    </w:rPr>
  </w:style>
  <w:style w:type="paragraph" w:styleId="Heading5">
    <w:name w:val="heading 5"/>
    <w:basedOn w:val="Normal"/>
    <w:next w:val="Normal"/>
    <w:link w:val="Heading5Char"/>
    <w:rsid w:val="000741AC"/>
    <w:pPr>
      <w:keepNext/>
      <w:spacing w:before="60" w:after="60"/>
      <w:outlineLvl w:val="4"/>
    </w:pPr>
    <w:rPr>
      <w:bCs/>
      <w:i/>
      <w:iCs/>
      <w:sz w:val="22"/>
      <w:szCs w:val="26"/>
    </w:rPr>
  </w:style>
  <w:style w:type="paragraph" w:styleId="Heading6">
    <w:name w:val="heading 6"/>
    <w:basedOn w:val="Normal"/>
    <w:next w:val="Normal"/>
    <w:link w:val="Heading6Char"/>
    <w:uiPriority w:val="9"/>
    <w:unhideWhenUsed/>
    <w:qFormat/>
    <w:rsid w:val="0010463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1AC"/>
    <w:rPr>
      <w:rFonts w:ascii="Times New Roman" w:eastAsia="Times New Roman" w:hAnsi="Times New Roman" w:cs="Arial"/>
      <w:b/>
      <w:bCs/>
      <w:color w:val="000000"/>
      <w:kern w:val="32"/>
      <w:sz w:val="40"/>
      <w:szCs w:val="32"/>
      <w:lang w:eastAsia="en-AU"/>
    </w:rPr>
  </w:style>
  <w:style w:type="character" w:customStyle="1" w:styleId="Heading2Char">
    <w:name w:val="Heading 2 Char"/>
    <w:basedOn w:val="DefaultParagraphFont"/>
    <w:link w:val="Heading2"/>
    <w:rsid w:val="000741AC"/>
    <w:rPr>
      <w:rFonts w:ascii="Times New Roman" w:eastAsia="Times New Roman" w:hAnsi="Times New Roman" w:cs="Arial"/>
      <w:b/>
      <w:bCs/>
      <w:iCs/>
      <w:color w:val="000000"/>
      <w:sz w:val="28"/>
      <w:szCs w:val="28"/>
      <w:lang w:eastAsia="en-AU"/>
    </w:rPr>
  </w:style>
  <w:style w:type="character" w:customStyle="1" w:styleId="Heading3Char">
    <w:name w:val="Heading 3 Char"/>
    <w:basedOn w:val="DefaultParagraphFont"/>
    <w:link w:val="Heading3"/>
    <w:rsid w:val="000741AC"/>
    <w:rPr>
      <w:rFonts w:ascii="Times New Roman" w:eastAsia="Times New Roman" w:hAnsi="Times New Roman" w:cs="Arial"/>
      <w:b/>
      <w:bCs/>
      <w:color w:val="000000"/>
      <w:szCs w:val="26"/>
      <w:lang w:eastAsia="en-AU"/>
    </w:rPr>
  </w:style>
  <w:style w:type="character" w:customStyle="1" w:styleId="Heading4Char">
    <w:name w:val="Heading 4 Char"/>
    <w:basedOn w:val="DefaultParagraphFont"/>
    <w:link w:val="Heading4"/>
    <w:rsid w:val="000741AC"/>
    <w:rPr>
      <w:rFonts w:ascii="Times New Roman" w:eastAsia="Times New Roman" w:hAnsi="Times New Roman" w:cs="Times New Roman"/>
      <w:b/>
      <w:bCs/>
      <w:i/>
      <w:color w:val="000000"/>
      <w:szCs w:val="28"/>
      <w:lang w:eastAsia="en-AU"/>
    </w:rPr>
  </w:style>
  <w:style w:type="character" w:customStyle="1" w:styleId="Heading5Char">
    <w:name w:val="Heading 5 Char"/>
    <w:basedOn w:val="DefaultParagraphFont"/>
    <w:link w:val="Heading5"/>
    <w:rsid w:val="000741AC"/>
    <w:rPr>
      <w:rFonts w:ascii="Times New Roman" w:eastAsia="Times New Roman" w:hAnsi="Times New Roman" w:cs="Times New Roman"/>
      <w:bCs/>
      <w:i/>
      <w:iCs/>
      <w:color w:val="000000"/>
      <w:sz w:val="22"/>
      <w:szCs w:val="26"/>
      <w:lang w:eastAsia="en-AU"/>
    </w:rPr>
  </w:style>
  <w:style w:type="paragraph" w:styleId="Subtitle">
    <w:name w:val="Subtitle"/>
    <w:basedOn w:val="Normal"/>
    <w:next w:val="Normal"/>
    <w:link w:val="SubtitleChar"/>
    <w:uiPriority w:val="11"/>
    <w:rsid w:val="000741AC"/>
    <w:pPr>
      <w:numPr>
        <w:ilvl w:val="1"/>
      </w:numPr>
      <w:jc w:val="center"/>
    </w:pPr>
    <w:rPr>
      <w:rFonts w:ascii="Times New Roman Bold" w:eastAsiaTheme="majorEastAsia" w:hAnsi="Times New Roman Bold" w:cstheme="majorBidi"/>
      <w:b/>
      <w:iCs/>
      <w:color w:val="auto"/>
      <w:sz w:val="40"/>
      <w:szCs w:val="24"/>
    </w:rPr>
  </w:style>
  <w:style w:type="character" w:customStyle="1" w:styleId="SubtitleChar">
    <w:name w:val="Subtitle Char"/>
    <w:basedOn w:val="DefaultParagraphFont"/>
    <w:link w:val="Subtitle"/>
    <w:uiPriority w:val="11"/>
    <w:rsid w:val="000741AC"/>
    <w:rPr>
      <w:rFonts w:ascii="Times New Roman Bold" w:eastAsiaTheme="majorEastAsia" w:hAnsi="Times New Roman Bold" w:cstheme="majorBidi"/>
      <w:b/>
      <w:iCs/>
      <w:sz w:val="40"/>
      <w:lang w:eastAsia="en-AU"/>
    </w:rPr>
  </w:style>
  <w:style w:type="paragraph" w:customStyle="1" w:styleId="PullQuote">
    <w:name w:val="PullQuote"/>
    <w:basedOn w:val="Normal"/>
    <w:next w:val="Normal"/>
    <w:rsid w:val="000741AC"/>
    <w:rPr>
      <w:rFonts w:ascii="Times New Roman Bold" w:hAnsi="Times New Roman Bold"/>
      <w:b/>
      <w:color w:val="7B7B7B" w:themeColor="accent3" w:themeShade="BF"/>
    </w:rPr>
  </w:style>
  <w:style w:type="paragraph" w:customStyle="1" w:styleId="ReportDate">
    <w:name w:val="ReportDate"/>
    <w:basedOn w:val="Normal"/>
    <w:rsid w:val="000741AC"/>
    <w:pPr>
      <w:jc w:val="center"/>
    </w:pPr>
    <w:rPr>
      <w:sz w:val="40"/>
    </w:rPr>
  </w:style>
  <w:style w:type="paragraph" w:customStyle="1" w:styleId="Heading1a">
    <w:name w:val="Heading 1a"/>
    <w:basedOn w:val="Heading1"/>
    <w:next w:val="Normal"/>
    <w:rsid w:val="000741AC"/>
    <w:pPr>
      <w:outlineLvl w:val="9"/>
    </w:pPr>
  </w:style>
  <w:style w:type="paragraph" w:customStyle="1" w:styleId="Heading2a">
    <w:name w:val="Heading 2a"/>
    <w:basedOn w:val="Heading2"/>
    <w:next w:val="Normal"/>
    <w:rsid w:val="000741AC"/>
    <w:pPr>
      <w:ind w:left="0" w:firstLine="0"/>
      <w:outlineLvl w:val="9"/>
    </w:pPr>
  </w:style>
  <w:style w:type="paragraph" w:customStyle="1" w:styleId="Heading3a">
    <w:name w:val="Heading 3a"/>
    <w:basedOn w:val="Heading3"/>
    <w:next w:val="Normal"/>
    <w:rsid w:val="000741AC"/>
    <w:pPr>
      <w:ind w:left="0" w:firstLine="0"/>
      <w:outlineLvl w:val="9"/>
    </w:pPr>
  </w:style>
  <w:style w:type="paragraph" w:styleId="Header">
    <w:name w:val="header"/>
    <w:basedOn w:val="Normal"/>
    <w:link w:val="HeaderChar"/>
    <w:semiHidden/>
    <w:rsid w:val="000741AC"/>
    <w:pPr>
      <w:tabs>
        <w:tab w:val="right" w:pos="9000"/>
      </w:tabs>
      <w:spacing w:after="0"/>
    </w:pPr>
    <w:rPr>
      <w:sz w:val="18"/>
    </w:rPr>
  </w:style>
  <w:style w:type="character" w:customStyle="1" w:styleId="HeaderChar">
    <w:name w:val="Header Char"/>
    <w:basedOn w:val="DefaultParagraphFont"/>
    <w:link w:val="Header"/>
    <w:semiHidden/>
    <w:rsid w:val="000741AC"/>
    <w:rPr>
      <w:rFonts w:ascii="Times New Roman" w:eastAsia="Times New Roman" w:hAnsi="Times New Roman" w:cs="Times New Roman"/>
      <w:color w:val="000000"/>
      <w:sz w:val="18"/>
      <w:szCs w:val="20"/>
      <w:lang w:eastAsia="en-AU"/>
    </w:rPr>
  </w:style>
  <w:style w:type="paragraph" w:styleId="Footer">
    <w:name w:val="footer"/>
    <w:basedOn w:val="Normal"/>
    <w:link w:val="FooterChar"/>
    <w:uiPriority w:val="99"/>
    <w:rsid w:val="000741AC"/>
    <w:pPr>
      <w:tabs>
        <w:tab w:val="right" w:pos="9000"/>
      </w:tabs>
      <w:spacing w:after="0"/>
    </w:pPr>
    <w:rPr>
      <w:sz w:val="20"/>
    </w:rPr>
  </w:style>
  <w:style w:type="character" w:customStyle="1" w:styleId="FooterChar">
    <w:name w:val="Footer Char"/>
    <w:basedOn w:val="DefaultParagraphFont"/>
    <w:link w:val="Footer"/>
    <w:uiPriority w:val="99"/>
    <w:rsid w:val="000741AC"/>
    <w:rPr>
      <w:rFonts w:ascii="Times New Roman" w:eastAsia="Times New Roman" w:hAnsi="Times New Roman" w:cs="Times New Roman"/>
      <w:color w:val="000000"/>
      <w:sz w:val="20"/>
      <w:szCs w:val="20"/>
      <w:lang w:eastAsia="en-AU"/>
    </w:rPr>
  </w:style>
  <w:style w:type="character" w:styleId="PageNumber">
    <w:name w:val="page number"/>
    <w:basedOn w:val="DefaultParagraphFont"/>
    <w:semiHidden/>
    <w:rsid w:val="000741AC"/>
    <w:rPr>
      <w:rFonts w:ascii="Times New Roman" w:hAnsi="Times New Roman"/>
      <w:b/>
      <w:sz w:val="20"/>
    </w:rPr>
  </w:style>
  <w:style w:type="paragraph" w:customStyle="1" w:styleId="TableText">
    <w:name w:val="TableText"/>
    <w:basedOn w:val="Normal"/>
    <w:rsid w:val="000741AC"/>
    <w:pPr>
      <w:keepNext/>
      <w:spacing w:before="60" w:after="60"/>
    </w:pPr>
    <w:rPr>
      <w:sz w:val="21"/>
      <w:szCs w:val="21"/>
    </w:rPr>
  </w:style>
  <w:style w:type="paragraph" w:customStyle="1" w:styleId="TFListNotesSpace">
    <w:name w:val="TFListNotes+Space"/>
    <w:basedOn w:val="TableText"/>
    <w:next w:val="Normal"/>
    <w:rsid w:val="000741AC"/>
    <w:pPr>
      <w:keepNext w:val="0"/>
      <w:keepLines/>
      <w:spacing w:before="0" w:after="360"/>
      <w:ind w:left="170" w:hanging="170"/>
    </w:pPr>
    <w:rPr>
      <w:sz w:val="18"/>
      <w:szCs w:val="18"/>
    </w:rPr>
  </w:style>
  <w:style w:type="paragraph" w:customStyle="1" w:styleId="TFListNotes">
    <w:name w:val="TFListNotes"/>
    <w:basedOn w:val="TFListNotesSpace"/>
    <w:rsid w:val="000741AC"/>
    <w:pPr>
      <w:keepNext/>
      <w:spacing w:after="0"/>
    </w:pPr>
  </w:style>
  <w:style w:type="paragraph" w:customStyle="1" w:styleId="TableTitle">
    <w:name w:val="TableTitle"/>
    <w:basedOn w:val="TableText"/>
    <w:rsid w:val="000741AC"/>
    <w:pPr>
      <w:tabs>
        <w:tab w:val="left" w:pos="1080"/>
      </w:tabs>
      <w:spacing w:before="120" w:after="120"/>
    </w:pPr>
    <w:rPr>
      <w:rFonts w:ascii="Times New Roman Bold" w:hAnsi="Times New Roman Bold"/>
      <w:b/>
      <w:bCs/>
      <w:sz w:val="22"/>
    </w:rPr>
  </w:style>
  <w:style w:type="paragraph" w:customStyle="1" w:styleId="TableHeading">
    <w:name w:val="TableHeading"/>
    <w:basedOn w:val="TableText"/>
    <w:rsid w:val="000741AC"/>
    <w:rPr>
      <w:b/>
      <w:bCs/>
    </w:rPr>
  </w:style>
  <w:style w:type="paragraph" w:customStyle="1" w:styleId="TableBullet">
    <w:name w:val="TableBullet"/>
    <w:basedOn w:val="TableText"/>
    <w:rsid w:val="000741AC"/>
    <w:pPr>
      <w:numPr>
        <w:numId w:val="1"/>
      </w:numPr>
      <w:tabs>
        <w:tab w:val="clear" w:pos="360"/>
        <w:tab w:val="left" w:pos="216"/>
      </w:tabs>
      <w:ind w:left="216" w:hanging="216"/>
    </w:pPr>
  </w:style>
  <w:style w:type="paragraph" w:customStyle="1" w:styleId="TableDash">
    <w:name w:val="TableDash"/>
    <w:basedOn w:val="TableText"/>
    <w:rsid w:val="000741AC"/>
    <w:pPr>
      <w:numPr>
        <w:numId w:val="2"/>
      </w:numPr>
      <w:tabs>
        <w:tab w:val="clear" w:pos="216"/>
        <w:tab w:val="num" w:pos="432"/>
      </w:tabs>
    </w:pPr>
  </w:style>
  <w:style w:type="paragraph" w:styleId="Quote">
    <w:name w:val="Quote"/>
    <w:basedOn w:val="Normal"/>
    <w:link w:val="QuoteChar"/>
    <w:rsid w:val="000741AC"/>
    <w:pPr>
      <w:ind w:left="720" w:right="720"/>
    </w:pPr>
    <w:rPr>
      <w:sz w:val="20"/>
    </w:rPr>
  </w:style>
  <w:style w:type="character" w:customStyle="1" w:styleId="QuoteChar">
    <w:name w:val="Quote Char"/>
    <w:basedOn w:val="DefaultParagraphFont"/>
    <w:link w:val="Quote"/>
    <w:rsid w:val="000741AC"/>
    <w:rPr>
      <w:rFonts w:ascii="Times New Roman" w:eastAsia="Times New Roman" w:hAnsi="Times New Roman" w:cs="Times New Roman"/>
      <w:color w:val="000000"/>
      <w:sz w:val="20"/>
      <w:szCs w:val="20"/>
      <w:lang w:eastAsia="en-AU"/>
    </w:rPr>
  </w:style>
  <w:style w:type="paragraph" w:customStyle="1" w:styleId="References">
    <w:name w:val="References"/>
    <w:basedOn w:val="Normal"/>
    <w:rsid w:val="000741AC"/>
    <w:pPr>
      <w:keepLines/>
      <w:ind w:left="720" w:hanging="720"/>
    </w:pPr>
  </w:style>
  <w:style w:type="paragraph" w:styleId="FootnoteText">
    <w:name w:val="footnote text"/>
    <w:basedOn w:val="Normal"/>
    <w:link w:val="FootnoteTextChar"/>
    <w:semiHidden/>
    <w:rsid w:val="000741AC"/>
    <w:pPr>
      <w:spacing w:after="0"/>
      <w:ind w:left="360" w:hanging="360"/>
    </w:pPr>
    <w:rPr>
      <w:sz w:val="20"/>
    </w:rPr>
  </w:style>
  <w:style w:type="character" w:customStyle="1" w:styleId="FootnoteTextChar">
    <w:name w:val="Footnote Text Char"/>
    <w:basedOn w:val="DefaultParagraphFont"/>
    <w:link w:val="FootnoteText"/>
    <w:semiHidden/>
    <w:rsid w:val="000741AC"/>
    <w:rPr>
      <w:rFonts w:ascii="Times New Roman" w:eastAsia="Times New Roman" w:hAnsi="Times New Roman" w:cs="Times New Roman"/>
      <w:color w:val="000000"/>
      <w:sz w:val="20"/>
      <w:szCs w:val="20"/>
      <w:lang w:eastAsia="en-AU"/>
    </w:rPr>
  </w:style>
  <w:style w:type="character" w:styleId="FootnoteReference">
    <w:name w:val="footnote reference"/>
    <w:basedOn w:val="DefaultParagraphFont"/>
    <w:semiHidden/>
    <w:rsid w:val="000741AC"/>
    <w:rPr>
      <w:vertAlign w:val="superscript"/>
    </w:rPr>
  </w:style>
  <w:style w:type="paragraph" w:customStyle="1" w:styleId="FigTabPara">
    <w:name w:val="FigTabPara"/>
    <w:basedOn w:val="Normal"/>
    <w:next w:val="TFIHolder"/>
    <w:rsid w:val="000741AC"/>
    <w:pPr>
      <w:keepNext/>
      <w:spacing w:after="120"/>
      <w:ind w:left="1077"/>
    </w:pPr>
  </w:style>
  <w:style w:type="paragraph" w:customStyle="1" w:styleId="TFIHolder">
    <w:name w:val="TFIHolder"/>
    <w:basedOn w:val="TFAbbrevs"/>
    <w:qFormat/>
    <w:rsid w:val="000741AC"/>
    <w:rPr>
      <w:sz w:val="12"/>
    </w:rPr>
  </w:style>
  <w:style w:type="paragraph" w:customStyle="1" w:styleId="TFAbbrevs">
    <w:name w:val="TFAbbrevs"/>
    <w:basedOn w:val="TFListNotes"/>
    <w:rsid w:val="000741AC"/>
    <w:pPr>
      <w:ind w:left="0" w:firstLine="0"/>
    </w:pPr>
  </w:style>
  <w:style w:type="paragraph" w:customStyle="1" w:styleId="FigureTitleSpace">
    <w:name w:val="FigureTitle+Space"/>
    <w:basedOn w:val="Normal"/>
    <w:next w:val="Normal"/>
    <w:rsid w:val="000741AC"/>
    <w:pPr>
      <w:keepLines/>
      <w:tabs>
        <w:tab w:val="left" w:pos="1080"/>
      </w:tabs>
      <w:spacing w:before="120" w:after="360"/>
    </w:pPr>
    <w:rPr>
      <w:b/>
      <w:bCs/>
      <w:sz w:val="22"/>
    </w:rPr>
  </w:style>
  <w:style w:type="paragraph" w:styleId="TOC1">
    <w:name w:val="toc 1"/>
    <w:basedOn w:val="Normal"/>
    <w:next w:val="Normal"/>
    <w:autoRedefine/>
    <w:uiPriority w:val="39"/>
    <w:rsid w:val="00E85407"/>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0741AC"/>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0741AC"/>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0741AC"/>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0741AC"/>
    <w:pPr>
      <w:numPr>
        <w:numId w:val="3"/>
      </w:numPr>
      <w:spacing w:after="0"/>
    </w:pPr>
  </w:style>
  <w:style w:type="paragraph" w:customStyle="1" w:styleId="Bullet">
    <w:name w:val="Bullet"/>
    <w:basedOn w:val="BulletBeforeDash"/>
    <w:qFormat/>
    <w:rsid w:val="000741AC"/>
    <w:pPr>
      <w:spacing w:after="120"/>
    </w:pPr>
  </w:style>
  <w:style w:type="paragraph" w:customStyle="1" w:styleId="BulletLast">
    <w:name w:val="BulletLast"/>
    <w:basedOn w:val="Bullet"/>
    <w:qFormat/>
    <w:rsid w:val="000741AC"/>
    <w:pPr>
      <w:spacing w:after="240"/>
    </w:pPr>
  </w:style>
  <w:style w:type="paragraph" w:customStyle="1" w:styleId="Dash">
    <w:name w:val="Dash"/>
    <w:basedOn w:val="Normal"/>
    <w:rsid w:val="000741AC"/>
    <w:pPr>
      <w:numPr>
        <w:numId w:val="4"/>
      </w:numPr>
      <w:tabs>
        <w:tab w:val="clear" w:pos="216"/>
        <w:tab w:val="left" w:pos="720"/>
      </w:tabs>
      <w:spacing w:after="0"/>
      <w:ind w:left="720" w:hanging="360"/>
    </w:pPr>
  </w:style>
  <w:style w:type="paragraph" w:customStyle="1" w:styleId="DashLast">
    <w:name w:val="DashLast"/>
    <w:basedOn w:val="Dash"/>
    <w:rsid w:val="000741AC"/>
    <w:pPr>
      <w:spacing w:after="120"/>
    </w:pPr>
  </w:style>
  <w:style w:type="paragraph" w:customStyle="1" w:styleId="DashLastSpace">
    <w:name w:val="DashLast+Space"/>
    <w:basedOn w:val="DashLast"/>
    <w:rsid w:val="000741AC"/>
    <w:pPr>
      <w:spacing w:after="240"/>
    </w:pPr>
  </w:style>
  <w:style w:type="paragraph" w:customStyle="1" w:styleId="NormalBeforeBullet">
    <w:name w:val="NormalBeforeBullet"/>
    <w:basedOn w:val="Normal"/>
    <w:qFormat/>
    <w:rsid w:val="000741AC"/>
    <w:pPr>
      <w:keepNext/>
      <w:spacing w:after="120"/>
    </w:pPr>
  </w:style>
  <w:style w:type="paragraph" w:customStyle="1" w:styleId="BoxText">
    <w:name w:val="BoxText"/>
    <w:basedOn w:val="Normal"/>
    <w:qFormat/>
    <w:rsid w:val="000741AC"/>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0741AC"/>
    <w:pPr>
      <w:spacing w:before="120" w:after="60"/>
    </w:pPr>
    <w:rPr>
      <w:sz w:val="18"/>
    </w:rPr>
  </w:style>
  <w:style w:type="paragraph" w:customStyle="1" w:styleId="BoxTitle">
    <w:name w:val="BoxTitle"/>
    <w:basedOn w:val="BoxText"/>
    <w:rsid w:val="000741AC"/>
    <w:pPr>
      <w:keepNext/>
      <w:spacing w:before="180"/>
    </w:pPr>
    <w:rPr>
      <w:b/>
      <w:bCs/>
      <w:sz w:val="24"/>
    </w:rPr>
  </w:style>
  <w:style w:type="paragraph" w:customStyle="1" w:styleId="BoxHeading">
    <w:name w:val="BoxHeading"/>
    <w:basedOn w:val="BoxText"/>
    <w:rsid w:val="000741AC"/>
    <w:pPr>
      <w:keepNext/>
      <w:spacing w:before="120" w:after="60"/>
    </w:pPr>
    <w:rPr>
      <w:b/>
      <w:bCs/>
    </w:rPr>
  </w:style>
  <w:style w:type="paragraph" w:customStyle="1" w:styleId="BoxBullet">
    <w:name w:val="BoxBullet"/>
    <w:basedOn w:val="BoxText"/>
    <w:rsid w:val="000741AC"/>
    <w:pPr>
      <w:numPr>
        <w:numId w:val="23"/>
      </w:numPr>
    </w:pPr>
  </w:style>
  <w:style w:type="paragraph" w:customStyle="1" w:styleId="BoxDashManual">
    <w:name w:val="BoxDashManual"/>
    <w:basedOn w:val="BoxText"/>
    <w:rsid w:val="000741AC"/>
    <w:pPr>
      <w:tabs>
        <w:tab w:val="left" w:pos="360"/>
        <w:tab w:val="left" w:pos="720"/>
      </w:tabs>
      <w:ind w:left="720" w:hanging="720"/>
    </w:pPr>
  </w:style>
  <w:style w:type="paragraph" w:customStyle="1" w:styleId="FigureTitle">
    <w:name w:val="FigureTitle"/>
    <w:basedOn w:val="FigureTitleSpace"/>
    <w:next w:val="Normal"/>
    <w:rsid w:val="000741AC"/>
    <w:pPr>
      <w:keepNext/>
      <w:spacing w:after="120"/>
    </w:pPr>
  </w:style>
  <w:style w:type="paragraph" w:styleId="Index1">
    <w:name w:val="index 1"/>
    <w:basedOn w:val="Normal"/>
    <w:next w:val="Normal"/>
    <w:rsid w:val="000741AC"/>
    <w:pPr>
      <w:spacing w:after="0"/>
      <w:ind w:left="518" w:hanging="518"/>
    </w:pPr>
    <w:rPr>
      <w:noProof/>
      <w:sz w:val="22"/>
    </w:rPr>
  </w:style>
  <w:style w:type="paragraph" w:styleId="Index2">
    <w:name w:val="index 2"/>
    <w:basedOn w:val="Index1"/>
    <w:next w:val="Normal"/>
    <w:rsid w:val="000741AC"/>
    <w:pPr>
      <w:ind w:left="816" w:hanging="476"/>
    </w:pPr>
  </w:style>
  <w:style w:type="paragraph" w:styleId="TOC4">
    <w:name w:val="toc 4"/>
    <w:basedOn w:val="Normal"/>
    <w:next w:val="Normal"/>
    <w:autoRedefine/>
    <w:semiHidden/>
    <w:rsid w:val="000741AC"/>
    <w:pPr>
      <w:tabs>
        <w:tab w:val="right" w:leader="dot" w:pos="9016"/>
      </w:tabs>
      <w:spacing w:after="0"/>
      <w:ind w:left="2160" w:right="720"/>
    </w:pPr>
    <w:rPr>
      <w:noProof/>
      <w:szCs w:val="24"/>
    </w:rPr>
  </w:style>
  <w:style w:type="paragraph" w:customStyle="1" w:styleId="NumberList">
    <w:name w:val="NumberList"/>
    <w:basedOn w:val="Normal"/>
    <w:rsid w:val="000741AC"/>
    <w:pPr>
      <w:tabs>
        <w:tab w:val="left" w:pos="360"/>
      </w:tabs>
      <w:ind w:left="360" w:hanging="360"/>
    </w:pPr>
  </w:style>
  <w:style w:type="paragraph" w:customStyle="1" w:styleId="TFNoteSourceSpace">
    <w:name w:val="TFNoteSource+Space"/>
    <w:basedOn w:val="TFListNotesSpace"/>
    <w:next w:val="Normal"/>
    <w:rsid w:val="000741AC"/>
    <w:pPr>
      <w:ind w:left="0" w:firstLine="0"/>
    </w:pPr>
  </w:style>
  <w:style w:type="paragraph" w:customStyle="1" w:styleId="TFNoteSource">
    <w:name w:val="TFNoteSource"/>
    <w:basedOn w:val="TFNoteSourceSpace"/>
    <w:rsid w:val="000741AC"/>
    <w:pPr>
      <w:spacing w:after="0"/>
    </w:pPr>
  </w:style>
  <w:style w:type="character" w:customStyle="1" w:styleId="DesignerNotesChar">
    <w:name w:val="DesignerNotesChar"/>
    <w:basedOn w:val="DefaultParagraphFont"/>
    <w:rsid w:val="000741AC"/>
    <w:rPr>
      <w:rFonts w:ascii="Arial" w:hAnsi="Arial"/>
      <w:b/>
      <w:color w:val="3366FF"/>
      <w:sz w:val="20"/>
    </w:rPr>
  </w:style>
  <w:style w:type="paragraph" w:customStyle="1" w:styleId="TFAbbrevsSpace">
    <w:name w:val="TFAbbrevs+Space"/>
    <w:basedOn w:val="TFAbbrevs"/>
    <w:next w:val="Normal"/>
    <w:rsid w:val="000741AC"/>
    <w:pPr>
      <w:spacing w:after="360"/>
    </w:pPr>
  </w:style>
  <w:style w:type="character" w:styleId="Strong">
    <w:name w:val="Strong"/>
    <w:basedOn w:val="DefaultParagraphFont"/>
    <w:uiPriority w:val="22"/>
    <w:qFormat/>
    <w:rsid w:val="000741AC"/>
    <w:rPr>
      <w:b/>
      <w:bCs/>
    </w:rPr>
  </w:style>
  <w:style w:type="character" w:styleId="Emphasis">
    <w:name w:val="Emphasis"/>
    <w:basedOn w:val="DefaultParagraphFont"/>
    <w:uiPriority w:val="20"/>
    <w:qFormat/>
    <w:rsid w:val="000741AC"/>
    <w:rPr>
      <w:i/>
      <w:iCs/>
    </w:rPr>
  </w:style>
  <w:style w:type="character" w:customStyle="1" w:styleId="Roman">
    <w:name w:val="Roman"/>
    <w:uiPriority w:val="1"/>
    <w:rsid w:val="000741AC"/>
    <w:rPr>
      <w:b w:val="0"/>
      <w:i/>
    </w:rPr>
  </w:style>
  <w:style w:type="character" w:customStyle="1" w:styleId="PullQuoteOrigin">
    <w:name w:val="PullQuoteOrigin"/>
    <w:basedOn w:val="DefaultParagraphFont"/>
    <w:uiPriority w:val="1"/>
    <w:rsid w:val="000741AC"/>
    <w:rPr>
      <w:b/>
      <w:noProof/>
      <w:color w:val="7B7B7B" w:themeColor="accent3" w:themeShade="BF"/>
    </w:rPr>
  </w:style>
  <w:style w:type="table" w:styleId="TableGrid">
    <w:name w:val="Table Grid"/>
    <w:basedOn w:val="TableNormal"/>
    <w:uiPriority w:val="59"/>
    <w:rsid w:val="000741A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0741AC"/>
    <w:pPr>
      <w:spacing w:after="240"/>
    </w:pPr>
  </w:style>
  <w:style w:type="paragraph" w:customStyle="1" w:styleId="DesignerNotes">
    <w:name w:val="DesignerNotes"/>
    <w:basedOn w:val="Normal"/>
    <w:rsid w:val="000741AC"/>
    <w:rPr>
      <w:rFonts w:ascii="Arial" w:hAnsi="Arial"/>
      <w:b/>
      <w:color w:val="3366FF"/>
      <w:sz w:val="20"/>
    </w:rPr>
  </w:style>
  <w:style w:type="character" w:customStyle="1" w:styleId="Subscript">
    <w:name w:val="Subscript"/>
    <w:basedOn w:val="DefaultParagraphFont"/>
    <w:uiPriority w:val="1"/>
    <w:rsid w:val="000741AC"/>
    <w:rPr>
      <w:noProof/>
      <w:vertAlign w:val="subscript"/>
    </w:rPr>
  </w:style>
  <w:style w:type="character" w:customStyle="1" w:styleId="Superscript">
    <w:name w:val="Superscript"/>
    <w:basedOn w:val="DefaultParagraphFont"/>
    <w:uiPriority w:val="1"/>
    <w:rsid w:val="000741AC"/>
    <w:rPr>
      <w:noProof/>
      <w:vertAlign w:val="superscript"/>
    </w:rPr>
  </w:style>
  <w:style w:type="character" w:customStyle="1" w:styleId="Symbol">
    <w:name w:val="Symbol"/>
    <w:basedOn w:val="DefaultParagraphFont"/>
    <w:uiPriority w:val="1"/>
    <w:rsid w:val="000741AC"/>
    <w:rPr>
      <w:noProof/>
    </w:rPr>
  </w:style>
  <w:style w:type="character" w:customStyle="1" w:styleId="NoBreak">
    <w:name w:val="NoBreak"/>
    <w:basedOn w:val="DefaultParagraphFont"/>
    <w:uiPriority w:val="1"/>
    <w:rsid w:val="000741AC"/>
    <w:rPr>
      <w:noProof/>
    </w:rPr>
  </w:style>
  <w:style w:type="paragraph" w:customStyle="1" w:styleId="MathEquation">
    <w:name w:val="MathEquation"/>
    <w:basedOn w:val="Normal"/>
    <w:rsid w:val="000741AC"/>
    <w:rPr>
      <w:rFonts w:ascii="Cambria Math" w:hAnsi="Cambria Math"/>
      <w:i/>
      <w:noProof/>
    </w:rPr>
  </w:style>
  <w:style w:type="paragraph" w:customStyle="1" w:styleId="ComputerCode">
    <w:name w:val="ComputerCode"/>
    <w:basedOn w:val="Normal"/>
    <w:rsid w:val="000741AC"/>
    <w:pPr>
      <w:ind w:left="567"/>
      <w:contextualSpacing/>
    </w:pPr>
    <w:rPr>
      <w:rFonts w:ascii="Courier New" w:hAnsi="Courier New"/>
      <w:color w:val="auto"/>
      <w:sz w:val="20"/>
      <w:szCs w:val="24"/>
    </w:rPr>
  </w:style>
  <w:style w:type="paragraph" w:customStyle="1" w:styleId="BulletChecklist">
    <w:name w:val="BulletChecklist"/>
    <w:basedOn w:val="Bullet"/>
    <w:rsid w:val="000741AC"/>
    <w:pPr>
      <w:numPr>
        <w:numId w:val="16"/>
      </w:numPr>
    </w:pPr>
    <w:rPr>
      <w:noProof/>
    </w:rPr>
  </w:style>
  <w:style w:type="paragraph" w:customStyle="1" w:styleId="ImprintText">
    <w:name w:val="ImprintText"/>
    <w:basedOn w:val="Normal"/>
    <w:rsid w:val="000741AC"/>
    <w:pPr>
      <w:spacing w:after="120"/>
    </w:pPr>
    <w:rPr>
      <w:sz w:val="20"/>
    </w:rPr>
  </w:style>
  <w:style w:type="paragraph" w:customStyle="1" w:styleId="AltText">
    <w:name w:val="AltText"/>
    <w:basedOn w:val="Normal"/>
    <w:rsid w:val="000741AC"/>
    <w:rPr>
      <w:rFonts w:ascii="Arial" w:hAnsi="Arial"/>
      <w:color w:val="538135" w:themeColor="accent6" w:themeShade="BF"/>
      <w:sz w:val="20"/>
    </w:rPr>
  </w:style>
  <w:style w:type="paragraph" w:styleId="Caption">
    <w:name w:val="caption"/>
    <w:basedOn w:val="Normal"/>
    <w:next w:val="Credit"/>
    <w:uiPriority w:val="35"/>
    <w:unhideWhenUsed/>
    <w:rsid w:val="000741AC"/>
    <w:pPr>
      <w:spacing w:after="0"/>
    </w:pPr>
    <w:rPr>
      <w:b/>
      <w:bCs/>
      <w:color w:val="auto"/>
      <w:sz w:val="18"/>
      <w:szCs w:val="18"/>
    </w:rPr>
  </w:style>
  <w:style w:type="paragraph" w:customStyle="1" w:styleId="Credit">
    <w:name w:val="Credit"/>
    <w:basedOn w:val="Caption"/>
    <w:next w:val="Normal"/>
    <w:rsid w:val="000741AC"/>
    <w:pPr>
      <w:spacing w:after="240"/>
    </w:pPr>
    <w:rPr>
      <w:b w:val="0"/>
      <w:noProof/>
    </w:rPr>
  </w:style>
  <w:style w:type="paragraph" w:customStyle="1" w:styleId="NormalFirstPara">
    <w:name w:val="NormalFirstPara"/>
    <w:basedOn w:val="Normal"/>
    <w:rsid w:val="000741AC"/>
    <w:rPr>
      <w:noProof/>
      <w:color w:val="A5A5A5" w:themeColor="accent3"/>
    </w:rPr>
  </w:style>
  <w:style w:type="paragraph" w:customStyle="1" w:styleId="TableHeadingCA">
    <w:name w:val="TableHeadingCA"/>
    <w:basedOn w:val="TableHeading"/>
    <w:rsid w:val="000741AC"/>
    <w:pPr>
      <w:jc w:val="center"/>
    </w:pPr>
  </w:style>
  <w:style w:type="paragraph" w:customStyle="1" w:styleId="TableTextCA">
    <w:name w:val="TableTextCA"/>
    <w:basedOn w:val="TableText"/>
    <w:rsid w:val="000741AC"/>
    <w:pPr>
      <w:jc w:val="center"/>
    </w:pPr>
  </w:style>
  <w:style w:type="paragraph" w:customStyle="1" w:styleId="TableTextDA">
    <w:name w:val="TableTextDA"/>
    <w:basedOn w:val="TableText"/>
    <w:rsid w:val="000741AC"/>
    <w:pPr>
      <w:tabs>
        <w:tab w:val="decimal" w:pos="1119"/>
      </w:tabs>
    </w:pPr>
  </w:style>
  <w:style w:type="paragraph" w:customStyle="1" w:styleId="NormalIndent">
    <w:name w:val="NormalIndent"/>
    <w:basedOn w:val="Normal"/>
    <w:rsid w:val="000741AC"/>
    <w:pPr>
      <w:ind w:left="357"/>
    </w:pPr>
  </w:style>
  <w:style w:type="paragraph" w:styleId="BalloonText">
    <w:name w:val="Balloon Text"/>
    <w:basedOn w:val="Normal"/>
    <w:link w:val="BalloonTextChar"/>
    <w:uiPriority w:val="99"/>
    <w:semiHidden/>
    <w:unhideWhenUsed/>
    <w:rsid w:val="000741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AC"/>
    <w:rPr>
      <w:rFonts w:ascii="Tahoma" w:eastAsia="Times New Roman" w:hAnsi="Tahoma" w:cs="Tahoma"/>
      <w:color w:val="000000"/>
      <w:sz w:val="16"/>
      <w:szCs w:val="16"/>
      <w:lang w:eastAsia="en-AU"/>
    </w:rPr>
  </w:style>
  <w:style w:type="paragraph" w:styleId="Title">
    <w:name w:val="Title"/>
    <w:basedOn w:val="Normal"/>
    <w:next w:val="Normal"/>
    <w:link w:val="TitleChar"/>
    <w:uiPriority w:val="10"/>
    <w:rsid w:val="000741AC"/>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0741AC"/>
    <w:rPr>
      <w:rFonts w:ascii="Times New Roman Bold" w:eastAsiaTheme="majorEastAsia" w:hAnsi="Times New Roman Bold" w:cstheme="majorBidi"/>
      <w:b/>
      <w:spacing w:val="5"/>
      <w:kern w:val="28"/>
      <w:sz w:val="48"/>
      <w:szCs w:val="52"/>
      <w:lang w:eastAsia="en-AU"/>
    </w:rPr>
  </w:style>
  <w:style w:type="paragraph" w:customStyle="1" w:styleId="SectionTitle">
    <w:name w:val="SectionTitle"/>
    <w:basedOn w:val="Normal"/>
    <w:next w:val="Normal"/>
    <w:rsid w:val="000741AC"/>
    <w:pPr>
      <w:jc w:val="center"/>
    </w:pPr>
    <w:rPr>
      <w:b/>
      <w:sz w:val="40"/>
    </w:rPr>
  </w:style>
  <w:style w:type="paragraph" w:customStyle="1" w:styleId="SectionSubtitle">
    <w:name w:val="SectionSubtitle"/>
    <w:basedOn w:val="Normal"/>
    <w:rsid w:val="000741AC"/>
    <w:pPr>
      <w:spacing w:after="0"/>
      <w:jc w:val="center"/>
    </w:pPr>
    <w:rPr>
      <w:sz w:val="32"/>
    </w:rPr>
  </w:style>
  <w:style w:type="paragraph" w:customStyle="1" w:styleId="QuoteNumberList">
    <w:name w:val="QuoteNumberList"/>
    <w:basedOn w:val="Quote"/>
    <w:rsid w:val="000741AC"/>
    <w:pPr>
      <w:ind w:left="1117" w:hanging="397"/>
    </w:pPr>
    <w:rPr>
      <w:noProof/>
    </w:rPr>
  </w:style>
  <w:style w:type="paragraph" w:customStyle="1" w:styleId="QuoteBullet">
    <w:name w:val="QuoteBullet"/>
    <w:basedOn w:val="Quote"/>
    <w:rsid w:val="000741AC"/>
    <w:pPr>
      <w:numPr>
        <w:numId w:val="18"/>
      </w:numPr>
      <w:ind w:left="1117" w:hanging="397"/>
    </w:pPr>
    <w:rPr>
      <w:noProof/>
    </w:rPr>
  </w:style>
  <w:style w:type="paragraph" w:customStyle="1" w:styleId="BoxDash">
    <w:name w:val="BoxDash"/>
    <w:basedOn w:val="BoxBullet"/>
    <w:rsid w:val="000741AC"/>
    <w:pPr>
      <w:numPr>
        <w:numId w:val="5"/>
      </w:numPr>
    </w:pPr>
  </w:style>
  <w:style w:type="character" w:customStyle="1" w:styleId="CrossRef">
    <w:name w:val="CrossRef"/>
    <w:basedOn w:val="DefaultParagraphFont"/>
    <w:uiPriority w:val="1"/>
    <w:rsid w:val="000741AC"/>
    <w:rPr>
      <w:rFonts w:ascii="Times New Roman" w:hAnsi="Times New Roman"/>
      <w:b/>
      <w:noProof/>
      <w:color w:val="ED7D31" w:themeColor="accent2"/>
      <w:sz w:val="24"/>
    </w:rPr>
  </w:style>
  <w:style w:type="paragraph" w:customStyle="1" w:styleId="TableNumberedList">
    <w:name w:val="TableNumberedList"/>
    <w:basedOn w:val="TableText"/>
    <w:autoRedefine/>
    <w:qFormat/>
    <w:rsid w:val="000741AC"/>
    <w:pPr>
      <w:numPr>
        <w:numId w:val="27"/>
      </w:numPr>
      <w:ind w:left="357" w:hanging="357"/>
    </w:pPr>
  </w:style>
  <w:style w:type="character" w:customStyle="1" w:styleId="StrongEmphasis">
    <w:name w:val="StrongEmphasis"/>
    <w:basedOn w:val="DefaultParagraphFont"/>
    <w:rsid w:val="000741AC"/>
    <w:rPr>
      <w:b/>
      <w:bCs/>
      <w:i/>
      <w:iCs/>
    </w:rPr>
  </w:style>
  <w:style w:type="character" w:customStyle="1" w:styleId="MathEquationChar">
    <w:name w:val="MathEquationChar"/>
    <w:basedOn w:val="DefaultParagraphFont"/>
    <w:uiPriority w:val="1"/>
    <w:rsid w:val="000741AC"/>
    <w:rPr>
      <w:rFonts w:ascii="Cambria Math" w:hAnsi="Cambria Math"/>
      <w:noProof/>
    </w:rPr>
  </w:style>
  <w:style w:type="character" w:customStyle="1" w:styleId="SubscriptEmphasis">
    <w:name w:val="SubscriptEmphasis"/>
    <w:basedOn w:val="DefaultParagraphFont"/>
    <w:uiPriority w:val="1"/>
    <w:rsid w:val="000741AC"/>
    <w:rPr>
      <w:i/>
      <w:noProof/>
      <w:vertAlign w:val="subscript"/>
    </w:rPr>
  </w:style>
  <w:style w:type="character" w:customStyle="1" w:styleId="Heading6Char">
    <w:name w:val="Heading 6 Char"/>
    <w:basedOn w:val="DefaultParagraphFont"/>
    <w:link w:val="Heading6"/>
    <w:uiPriority w:val="9"/>
    <w:rsid w:val="00104632"/>
    <w:rPr>
      <w:rFonts w:asciiTheme="majorHAnsi" w:eastAsiaTheme="majorEastAsia" w:hAnsiTheme="majorHAnsi" w:cstheme="majorBidi"/>
      <w:color w:val="1F3763" w:themeColor="accent1" w:themeShade="7F"/>
      <w:szCs w:val="20"/>
      <w:lang w:eastAsia="en-AU"/>
    </w:rPr>
  </w:style>
  <w:style w:type="character" w:styleId="CommentReference">
    <w:name w:val="annotation reference"/>
    <w:basedOn w:val="DefaultParagraphFont"/>
    <w:uiPriority w:val="99"/>
    <w:semiHidden/>
    <w:unhideWhenUsed/>
    <w:rsid w:val="00574B49"/>
    <w:rPr>
      <w:sz w:val="16"/>
      <w:szCs w:val="16"/>
    </w:rPr>
  </w:style>
  <w:style w:type="paragraph" w:styleId="CommentText">
    <w:name w:val="annotation text"/>
    <w:basedOn w:val="Normal"/>
    <w:link w:val="CommentTextChar"/>
    <w:uiPriority w:val="99"/>
    <w:unhideWhenUsed/>
    <w:rsid w:val="00574B49"/>
    <w:rPr>
      <w:sz w:val="20"/>
    </w:rPr>
  </w:style>
  <w:style w:type="character" w:customStyle="1" w:styleId="CommentTextChar">
    <w:name w:val="Comment Text Char"/>
    <w:basedOn w:val="DefaultParagraphFont"/>
    <w:link w:val="CommentText"/>
    <w:uiPriority w:val="99"/>
    <w:rsid w:val="00574B49"/>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574B49"/>
    <w:rPr>
      <w:b/>
      <w:bCs/>
    </w:rPr>
  </w:style>
  <w:style w:type="character" w:customStyle="1" w:styleId="CommentSubjectChar">
    <w:name w:val="Comment Subject Char"/>
    <w:basedOn w:val="CommentTextChar"/>
    <w:link w:val="CommentSubject"/>
    <w:uiPriority w:val="99"/>
    <w:semiHidden/>
    <w:rsid w:val="00574B49"/>
    <w:rPr>
      <w:rFonts w:ascii="Times New Roman" w:eastAsia="Times New Roman" w:hAnsi="Times New Roman" w:cs="Times New Roman"/>
      <w:b/>
      <w:bCs/>
      <w:color w:val="000000"/>
      <w:sz w:val="20"/>
      <w:szCs w:val="20"/>
      <w:lang w:eastAsia="en-AU"/>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DE4D54"/>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qFormat/>
    <w:locked/>
    <w:rsid w:val="00DE4D54"/>
    <w:rPr>
      <w:sz w:val="22"/>
      <w:szCs w:val="22"/>
    </w:rPr>
  </w:style>
  <w:style w:type="table" w:styleId="ListTable3-Accent1">
    <w:name w:val="List Table 3 Accent 1"/>
    <w:basedOn w:val="TableNormal"/>
    <w:uiPriority w:val="48"/>
    <w:rsid w:val="00DE4D54"/>
    <w:rPr>
      <w:rFonts w:ascii="Times New Roman" w:eastAsia="Times New Roman" w:hAnsi="Times New Roman" w:cs="Times New Roman"/>
      <w:sz w:val="20"/>
      <w:szCs w:val="20"/>
      <w:lang w:eastAsia="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2407F0"/>
    <w:rPr>
      <w:color w:val="0563C1" w:themeColor="hyperlink"/>
      <w:u w:val="single"/>
    </w:rPr>
  </w:style>
  <w:style w:type="character" w:styleId="UnresolvedMention">
    <w:name w:val="Unresolved Mention"/>
    <w:basedOn w:val="DefaultParagraphFont"/>
    <w:uiPriority w:val="99"/>
    <w:semiHidden/>
    <w:unhideWhenUsed/>
    <w:rsid w:val="002407F0"/>
    <w:rPr>
      <w:color w:val="605E5C"/>
      <w:shd w:val="clear" w:color="auto" w:fill="E1DFDD"/>
    </w:rPr>
  </w:style>
  <w:style w:type="paragraph" w:styleId="Revision">
    <w:name w:val="Revision"/>
    <w:hidden/>
    <w:uiPriority w:val="99"/>
    <w:semiHidden/>
    <w:rsid w:val="005D58F7"/>
    <w:rPr>
      <w:rFonts w:ascii="Times New Roman" w:eastAsia="Times New Roman" w:hAnsi="Times New Roman" w:cs="Times New Roman"/>
      <w:color w:val="000000"/>
      <w:szCs w:val="20"/>
      <w:lang w:eastAsia="en-AU"/>
    </w:rPr>
  </w:style>
  <w:style w:type="character" w:styleId="FollowedHyperlink">
    <w:name w:val="FollowedHyperlink"/>
    <w:basedOn w:val="DefaultParagraphFont"/>
    <w:uiPriority w:val="99"/>
    <w:semiHidden/>
    <w:unhideWhenUsed/>
    <w:rsid w:val="00776BD3"/>
    <w:rPr>
      <w:color w:val="954F72" w:themeColor="followedHyperlink"/>
      <w:u w:val="single"/>
    </w:rPr>
  </w:style>
  <w:style w:type="paragraph" w:customStyle="1" w:styleId="paragraph">
    <w:name w:val="paragraph"/>
    <w:basedOn w:val="Normal"/>
    <w:rsid w:val="00776BD3"/>
    <w:pPr>
      <w:spacing w:before="100" w:beforeAutospacing="1" w:after="100" w:afterAutospacing="1"/>
    </w:pPr>
    <w:rPr>
      <w:color w:val="auto"/>
      <w:szCs w:val="24"/>
    </w:rPr>
  </w:style>
  <w:style w:type="character" w:customStyle="1" w:styleId="normaltextrun">
    <w:name w:val="normaltextrun"/>
    <w:basedOn w:val="DefaultParagraphFont"/>
    <w:rsid w:val="00776BD3"/>
  </w:style>
  <w:style w:type="character" w:customStyle="1" w:styleId="eop">
    <w:name w:val="eop"/>
    <w:basedOn w:val="DefaultParagraphFont"/>
    <w:rsid w:val="0077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54">
      <w:bodyDiv w:val="1"/>
      <w:marLeft w:val="0"/>
      <w:marRight w:val="0"/>
      <w:marTop w:val="0"/>
      <w:marBottom w:val="0"/>
      <w:divBdr>
        <w:top w:val="none" w:sz="0" w:space="0" w:color="auto"/>
        <w:left w:val="none" w:sz="0" w:space="0" w:color="auto"/>
        <w:bottom w:val="none" w:sz="0" w:space="0" w:color="auto"/>
        <w:right w:val="none" w:sz="0" w:space="0" w:color="auto"/>
      </w:divBdr>
    </w:div>
    <w:div w:id="68844609">
      <w:bodyDiv w:val="1"/>
      <w:marLeft w:val="0"/>
      <w:marRight w:val="0"/>
      <w:marTop w:val="0"/>
      <w:marBottom w:val="0"/>
      <w:divBdr>
        <w:top w:val="none" w:sz="0" w:space="0" w:color="auto"/>
        <w:left w:val="none" w:sz="0" w:space="0" w:color="auto"/>
        <w:bottom w:val="none" w:sz="0" w:space="0" w:color="auto"/>
        <w:right w:val="none" w:sz="0" w:space="0" w:color="auto"/>
      </w:divBdr>
      <w:divsChild>
        <w:div w:id="368922009">
          <w:marLeft w:val="0"/>
          <w:marRight w:val="0"/>
          <w:marTop w:val="0"/>
          <w:marBottom w:val="0"/>
          <w:divBdr>
            <w:top w:val="none" w:sz="0" w:space="0" w:color="auto"/>
            <w:left w:val="none" w:sz="0" w:space="0" w:color="auto"/>
            <w:bottom w:val="none" w:sz="0" w:space="0" w:color="auto"/>
            <w:right w:val="none" w:sz="0" w:space="0" w:color="auto"/>
          </w:divBdr>
          <w:divsChild>
            <w:div w:id="127362000">
              <w:marLeft w:val="0"/>
              <w:marRight w:val="0"/>
              <w:marTop w:val="0"/>
              <w:marBottom w:val="0"/>
              <w:divBdr>
                <w:top w:val="none" w:sz="0" w:space="0" w:color="auto"/>
                <w:left w:val="none" w:sz="0" w:space="0" w:color="auto"/>
                <w:bottom w:val="none" w:sz="0" w:space="0" w:color="auto"/>
                <w:right w:val="none" w:sz="0" w:space="0" w:color="auto"/>
              </w:divBdr>
              <w:divsChild>
                <w:div w:id="397939016">
                  <w:marLeft w:val="0"/>
                  <w:marRight w:val="0"/>
                  <w:marTop w:val="0"/>
                  <w:marBottom w:val="0"/>
                  <w:divBdr>
                    <w:top w:val="none" w:sz="0" w:space="0" w:color="auto"/>
                    <w:left w:val="none" w:sz="0" w:space="0" w:color="auto"/>
                    <w:bottom w:val="none" w:sz="0" w:space="0" w:color="auto"/>
                    <w:right w:val="none" w:sz="0" w:space="0" w:color="auto"/>
                  </w:divBdr>
                </w:div>
              </w:divsChild>
            </w:div>
            <w:div w:id="179245852">
              <w:marLeft w:val="0"/>
              <w:marRight w:val="0"/>
              <w:marTop w:val="0"/>
              <w:marBottom w:val="0"/>
              <w:divBdr>
                <w:top w:val="none" w:sz="0" w:space="0" w:color="auto"/>
                <w:left w:val="none" w:sz="0" w:space="0" w:color="auto"/>
                <w:bottom w:val="none" w:sz="0" w:space="0" w:color="auto"/>
                <w:right w:val="none" w:sz="0" w:space="0" w:color="auto"/>
              </w:divBdr>
              <w:divsChild>
                <w:div w:id="83574101">
                  <w:marLeft w:val="0"/>
                  <w:marRight w:val="0"/>
                  <w:marTop w:val="0"/>
                  <w:marBottom w:val="0"/>
                  <w:divBdr>
                    <w:top w:val="none" w:sz="0" w:space="0" w:color="auto"/>
                    <w:left w:val="none" w:sz="0" w:space="0" w:color="auto"/>
                    <w:bottom w:val="none" w:sz="0" w:space="0" w:color="auto"/>
                    <w:right w:val="none" w:sz="0" w:space="0" w:color="auto"/>
                  </w:divBdr>
                </w:div>
              </w:divsChild>
            </w:div>
            <w:div w:id="256642775">
              <w:marLeft w:val="0"/>
              <w:marRight w:val="0"/>
              <w:marTop w:val="0"/>
              <w:marBottom w:val="0"/>
              <w:divBdr>
                <w:top w:val="none" w:sz="0" w:space="0" w:color="auto"/>
                <w:left w:val="none" w:sz="0" w:space="0" w:color="auto"/>
                <w:bottom w:val="none" w:sz="0" w:space="0" w:color="auto"/>
                <w:right w:val="none" w:sz="0" w:space="0" w:color="auto"/>
              </w:divBdr>
              <w:divsChild>
                <w:div w:id="1245651213">
                  <w:marLeft w:val="0"/>
                  <w:marRight w:val="0"/>
                  <w:marTop w:val="0"/>
                  <w:marBottom w:val="0"/>
                  <w:divBdr>
                    <w:top w:val="none" w:sz="0" w:space="0" w:color="auto"/>
                    <w:left w:val="none" w:sz="0" w:space="0" w:color="auto"/>
                    <w:bottom w:val="none" w:sz="0" w:space="0" w:color="auto"/>
                    <w:right w:val="none" w:sz="0" w:space="0" w:color="auto"/>
                  </w:divBdr>
                </w:div>
              </w:divsChild>
            </w:div>
            <w:div w:id="258029903">
              <w:marLeft w:val="0"/>
              <w:marRight w:val="0"/>
              <w:marTop w:val="0"/>
              <w:marBottom w:val="0"/>
              <w:divBdr>
                <w:top w:val="none" w:sz="0" w:space="0" w:color="auto"/>
                <w:left w:val="none" w:sz="0" w:space="0" w:color="auto"/>
                <w:bottom w:val="none" w:sz="0" w:space="0" w:color="auto"/>
                <w:right w:val="none" w:sz="0" w:space="0" w:color="auto"/>
              </w:divBdr>
              <w:divsChild>
                <w:div w:id="1189755995">
                  <w:marLeft w:val="0"/>
                  <w:marRight w:val="0"/>
                  <w:marTop w:val="0"/>
                  <w:marBottom w:val="0"/>
                  <w:divBdr>
                    <w:top w:val="none" w:sz="0" w:space="0" w:color="auto"/>
                    <w:left w:val="none" w:sz="0" w:space="0" w:color="auto"/>
                    <w:bottom w:val="none" w:sz="0" w:space="0" w:color="auto"/>
                    <w:right w:val="none" w:sz="0" w:space="0" w:color="auto"/>
                  </w:divBdr>
                </w:div>
              </w:divsChild>
            </w:div>
            <w:div w:id="310906274">
              <w:marLeft w:val="0"/>
              <w:marRight w:val="0"/>
              <w:marTop w:val="0"/>
              <w:marBottom w:val="0"/>
              <w:divBdr>
                <w:top w:val="none" w:sz="0" w:space="0" w:color="auto"/>
                <w:left w:val="none" w:sz="0" w:space="0" w:color="auto"/>
                <w:bottom w:val="none" w:sz="0" w:space="0" w:color="auto"/>
                <w:right w:val="none" w:sz="0" w:space="0" w:color="auto"/>
              </w:divBdr>
              <w:divsChild>
                <w:div w:id="1817606366">
                  <w:marLeft w:val="0"/>
                  <w:marRight w:val="0"/>
                  <w:marTop w:val="0"/>
                  <w:marBottom w:val="0"/>
                  <w:divBdr>
                    <w:top w:val="none" w:sz="0" w:space="0" w:color="auto"/>
                    <w:left w:val="none" w:sz="0" w:space="0" w:color="auto"/>
                    <w:bottom w:val="none" w:sz="0" w:space="0" w:color="auto"/>
                    <w:right w:val="none" w:sz="0" w:space="0" w:color="auto"/>
                  </w:divBdr>
                </w:div>
              </w:divsChild>
            </w:div>
            <w:div w:id="451246249">
              <w:marLeft w:val="0"/>
              <w:marRight w:val="0"/>
              <w:marTop w:val="0"/>
              <w:marBottom w:val="0"/>
              <w:divBdr>
                <w:top w:val="none" w:sz="0" w:space="0" w:color="auto"/>
                <w:left w:val="none" w:sz="0" w:space="0" w:color="auto"/>
                <w:bottom w:val="none" w:sz="0" w:space="0" w:color="auto"/>
                <w:right w:val="none" w:sz="0" w:space="0" w:color="auto"/>
              </w:divBdr>
              <w:divsChild>
                <w:div w:id="1081681206">
                  <w:marLeft w:val="0"/>
                  <w:marRight w:val="0"/>
                  <w:marTop w:val="0"/>
                  <w:marBottom w:val="0"/>
                  <w:divBdr>
                    <w:top w:val="none" w:sz="0" w:space="0" w:color="auto"/>
                    <w:left w:val="none" w:sz="0" w:space="0" w:color="auto"/>
                    <w:bottom w:val="none" w:sz="0" w:space="0" w:color="auto"/>
                    <w:right w:val="none" w:sz="0" w:space="0" w:color="auto"/>
                  </w:divBdr>
                </w:div>
              </w:divsChild>
            </w:div>
            <w:div w:id="516702277">
              <w:marLeft w:val="0"/>
              <w:marRight w:val="0"/>
              <w:marTop w:val="0"/>
              <w:marBottom w:val="0"/>
              <w:divBdr>
                <w:top w:val="none" w:sz="0" w:space="0" w:color="auto"/>
                <w:left w:val="none" w:sz="0" w:space="0" w:color="auto"/>
                <w:bottom w:val="none" w:sz="0" w:space="0" w:color="auto"/>
                <w:right w:val="none" w:sz="0" w:space="0" w:color="auto"/>
              </w:divBdr>
              <w:divsChild>
                <w:div w:id="1859431">
                  <w:marLeft w:val="0"/>
                  <w:marRight w:val="0"/>
                  <w:marTop w:val="0"/>
                  <w:marBottom w:val="0"/>
                  <w:divBdr>
                    <w:top w:val="none" w:sz="0" w:space="0" w:color="auto"/>
                    <w:left w:val="none" w:sz="0" w:space="0" w:color="auto"/>
                    <w:bottom w:val="none" w:sz="0" w:space="0" w:color="auto"/>
                    <w:right w:val="none" w:sz="0" w:space="0" w:color="auto"/>
                  </w:divBdr>
                </w:div>
              </w:divsChild>
            </w:div>
            <w:div w:id="528835206">
              <w:marLeft w:val="0"/>
              <w:marRight w:val="0"/>
              <w:marTop w:val="0"/>
              <w:marBottom w:val="0"/>
              <w:divBdr>
                <w:top w:val="none" w:sz="0" w:space="0" w:color="auto"/>
                <w:left w:val="none" w:sz="0" w:space="0" w:color="auto"/>
                <w:bottom w:val="none" w:sz="0" w:space="0" w:color="auto"/>
                <w:right w:val="none" w:sz="0" w:space="0" w:color="auto"/>
              </w:divBdr>
              <w:divsChild>
                <w:div w:id="1150975506">
                  <w:marLeft w:val="0"/>
                  <w:marRight w:val="0"/>
                  <w:marTop w:val="0"/>
                  <w:marBottom w:val="0"/>
                  <w:divBdr>
                    <w:top w:val="none" w:sz="0" w:space="0" w:color="auto"/>
                    <w:left w:val="none" w:sz="0" w:space="0" w:color="auto"/>
                    <w:bottom w:val="none" w:sz="0" w:space="0" w:color="auto"/>
                    <w:right w:val="none" w:sz="0" w:space="0" w:color="auto"/>
                  </w:divBdr>
                </w:div>
              </w:divsChild>
            </w:div>
            <w:div w:id="605580882">
              <w:marLeft w:val="0"/>
              <w:marRight w:val="0"/>
              <w:marTop w:val="0"/>
              <w:marBottom w:val="0"/>
              <w:divBdr>
                <w:top w:val="none" w:sz="0" w:space="0" w:color="auto"/>
                <w:left w:val="none" w:sz="0" w:space="0" w:color="auto"/>
                <w:bottom w:val="none" w:sz="0" w:space="0" w:color="auto"/>
                <w:right w:val="none" w:sz="0" w:space="0" w:color="auto"/>
              </w:divBdr>
              <w:divsChild>
                <w:div w:id="1356689580">
                  <w:marLeft w:val="0"/>
                  <w:marRight w:val="0"/>
                  <w:marTop w:val="0"/>
                  <w:marBottom w:val="0"/>
                  <w:divBdr>
                    <w:top w:val="none" w:sz="0" w:space="0" w:color="auto"/>
                    <w:left w:val="none" w:sz="0" w:space="0" w:color="auto"/>
                    <w:bottom w:val="none" w:sz="0" w:space="0" w:color="auto"/>
                    <w:right w:val="none" w:sz="0" w:space="0" w:color="auto"/>
                  </w:divBdr>
                </w:div>
              </w:divsChild>
            </w:div>
            <w:div w:id="606354693">
              <w:marLeft w:val="0"/>
              <w:marRight w:val="0"/>
              <w:marTop w:val="0"/>
              <w:marBottom w:val="0"/>
              <w:divBdr>
                <w:top w:val="none" w:sz="0" w:space="0" w:color="auto"/>
                <w:left w:val="none" w:sz="0" w:space="0" w:color="auto"/>
                <w:bottom w:val="none" w:sz="0" w:space="0" w:color="auto"/>
                <w:right w:val="none" w:sz="0" w:space="0" w:color="auto"/>
              </w:divBdr>
              <w:divsChild>
                <w:div w:id="1717201091">
                  <w:marLeft w:val="0"/>
                  <w:marRight w:val="0"/>
                  <w:marTop w:val="0"/>
                  <w:marBottom w:val="0"/>
                  <w:divBdr>
                    <w:top w:val="none" w:sz="0" w:space="0" w:color="auto"/>
                    <w:left w:val="none" w:sz="0" w:space="0" w:color="auto"/>
                    <w:bottom w:val="none" w:sz="0" w:space="0" w:color="auto"/>
                    <w:right w:val="none" w:sz="0" w:space="0" w:color="auto"/>
                  </w:divBdr>
                </w:div>
              </w:divsChild>
            </w:div>
            <w:div w:id="707339108">
              <w:marLeft w:val="0"/>
              <w:marRight w:val="0"/>
              <w:marTop w:val="0"/>
              <w:marBottom w:val="0"/>
              <w:divBdr>
                <w:top w:val="none" w:sz="0" w:space="0" w:color="auto"/>
                <w:left w:val="none" w:sz="0" w:space="0" w:color="auto"/>
                <w:bottom w:val="none" w:sz="0" w:space="0" w:color="auto"/>
                <w:right w:val="none" w:sz="0" w:space="0" w:color="auto"/>
              </w:divBdr>
              <w:divsChild>
                <w:div w:id="1073893029">
                  <w:marLeft w:val="0"/>
                  <w:marRight w:val="0"/>
                  <w:marTop w:val="0"/>
                  <w:marBottom w:val="0"/>
                  <w:divBdr>
                    <w:top w:val="none" w:sz="0" w:space="0" w:color="auto"/>
                    <w:left w:val="none" w:sz="0" w:space="0" w:color="auto"/>
                    <w:bottom w:val="none" w:sz="0" w:space="0" w:color="auto"/>
                    <w:right w:val="none" w:sz="0" w:space="0" w:color="auto"/>
                  </w:divBdr>
                </w:div>
              </w:divsChild>
            </w:div>
            <w:div w:id="815411459">
              <w:marLeft w:val="0"/>
              <w:marRight w:val="0"/>
              <w:marTop w:val="0"/>
              <w:marBottom w:val="0"/>
              <w:divBdr>
                <w:top w:val="none" w:sz="0" w:space="0" w:color="auto"/>
                <w:left w:val="none" w:sz="0" w:space="0" w:color="auto"/>
                <w:bottom w:val="none" w:sz="0" w:space="0" w:color="auto"/>
                <w:right w:val="none" w:sz="0" w:space="0" w:color="auto"/>
              </w:divBdr>
              <w:divsChild>
                <w:div w:id="930311480">
                  <w:marLeft w:val="0"/>
                  <w:marRight w:val="0"/>
                  <w:marTop w:val="0"/>
                  <w:marBottom w:val="0"/>
                  <w:divBdr>
                    <w:top w:val="none" w:sz="0" w:space="0" w:color="auto"/>
                    <w:left w:val="none" w:sz="0" w:space="0" w:color="auto"/>
                    <w:bottom w:val="none" w:sz="0" w:space="0" w:color="auto"/>
                    <w:right w:val="none" w:sz="0" w:space="0" w:color="auto"/>
                  </w:divBdr>
                </w:div>
              </w:divsChild>
            </w:div>
            <w:div w:id="849178113">
              <w:marLeft w:val="0"/>
              <w:marRight w:val="0"/>
              <w:marTop w:val="0"/>
              <w:marBottom w:val="0"/>
              <w:divBdr>
                <w:top w:val="none" w:sz="0" w:space="0" w:color="auto"/>
                <w:left w:val="none" w:sz="0" w:space="0" w:color="auto"/>
                <w:bottom w:val="none" w:sz="0" w:space="0" w:color="auto"/>
                <w:right w:val="none" w:sz="0" w:space="0" w:color="auto"/>
              </w:divBdr>
              <w:divsChild>
                <w:div w:id="2096317306">
                  <w:marLeft w:val="0"/>
                  <w:marRight w:val="0"/>
                  <w:marTop w:val="0"/>
                  <w:marBottom w:val="0"/>
                  <w:divBdr>
                    <w:top w:val="none" w:sz="0" w:space="0" w:color="auto"/>
                    <w:left w:val="none" w:sz="0" w:space="0" w:color="auto"/>
                    <w:bottom w:val="none" w:sz="0" w:space="0" w:color="auto"/>
                    <w:right w:val="none" w:sz="0" w:space="0" w:color="auto"/>
                  </w:divBdr>
                </w:div>
              </w:divsChild>
            </w:div>
            <w:div w:id="925457763">
              <w:marLeft w:val="0"/>
              <w:marRight w:val="0"/>
              <w:marTop w:val="0"/>
              <w:marBottom w:val="0"/>
              <w:divBdr>
                <w:top w:val="none" w:sz="0" w:space="0" w:color="auto"/>
                <w:left w:val="none" w:sz="0" w:space="0" w:color="auto"/>
                <w:bottom w:val="none" w:sz="0" w:space="0" w:color="auto"/>
                <w:right w:val="none" w:sz="0" w:space="0" w:color="auto"/>
              </w:divBdr>
              <w:divsChild>
                <w:div w:id="487479267">
                  <w:marLeft w:val="0"/>
                  <w:marRight w:val="0"/>
                  <w:marTop w:val="0"/>
                  <w:marBottom w:val="0"/>
                  <w:divBdr>
                    <w:top w:val="none" w:sz="0" w:space="0" w:color="auto"/>
                    <w:left w:val="none" w:sz="0" w:space="0" w:color="auto"/>
                    <w:bottom w:val="none" w:sz="0" w:space="0" w:color="auto"/>
                    <w:right w:val="none" w:sz="0" w:space="0" w:color="auto"/>
                  </w:divBdr>
                </w:div>
              </w:divsChild>
            </w:div>
            <w:div w:id="975257314">
              <w:marLeft w:val="0"/>
              <w:marRight w:val="0"/>
              <w:marTop w:val="0"/>
              <w:marBottom w:val="0"/>
              <w:divBdr>
                <w:top w:val="none" w:sz="0" w:space="0" w:color="auto"/>
                <w:left w:val="none" w:sz="0" w:space="0" w:color="auto"/>
                <w:bottom w:val="none" w:sz="0" w:space="0" w:color="auto"/>
                <w:right w:val="none" w:sz="0" w:space="0" w:color="auto"/>
              </w:divBdr>
              <w:divsChild>
                <w:div w:id="1017270326">
                  <w:marLeft w:val="0"/>
                  <w:marRight w:val="0"/>
                  <w:marTop w:val="0"/>
                  <w:marBottom w:val="0"/>
                  <w:divBdr>
                    <w:top w:val="none" w:sz="0" w:space="0" w:color="auto"/>
                    <w:left w:val="none" w:sz="0" w:space="0" w:color="auto"/>
                    <w:bottom w:val="none" w:sz="0" w:space="0" w:color="auto"/>
                    <w:right w:val="none" w:sz="0" w:space="0" w:color="auto"/>
                  </w:divBdr>
                </w:div>
              </w:divsChild>
            </w:div>
            <w:div w:id="1310088842">
              <w:marLeft w:val="0"/>
              <w:marRight w:val="0"/>
              <w:marTop w:val="0"/>
              <w:marBottom w:val="0"/>
              <w:divBdr>
                <w:top w:val="none" w:sz="0" w:space="0" w:color="auto"/>
                <w:left w:val="none" w:sz="0" w:space="0" w:color="auto"/>
                <w:bottom w:val="none" w:sz="0" w:space="0" w:color="auto"/>
                <w:right w:val="none" w:sz="0" w:space="0" w:color="auto"/>
              </w:divBdr>
              <w:divsChild>
                <w:div w:id="1103526662">
                  <w:marLeft w:val="0"/>
                  <w:marRight w:val="0"/>
                  <w:marTop w:val="0"/>
                  <w:marBottom w:val="0"/>
                  <w:divBdr>
                    <w:top w:val="none" w:sz="0" w:space="0" w:color="auto"/>
                    <w:left w:val="none" w:sz="0" w:space="0" w:color="auto"/>
                    <w:bottom w:val="none" w:sz="0" w:space="0" w:color="auto"/>
                    <w:right w:val="none" w:sz="0" w:space="0" w:color="auto"/>
                  </w:divBdr>
                </w:div>
              </w:divsChild>
            </w:div>
            <w:div w:id="1353994165">
              <w:marLeft w:val="0"/>
              <w:marRight w:val="0"/>
              <w:marTop w:val="0"/>
              <w:marBottom w:val="0"/>
              <w:divBdr>
                <w:top w:val="none" w:sz="0" w:space="0" w:color="auto"/>
                <w:left w:val="none" w:sz="0" w:space="0" w:color="auto"/>
                <w:bottom w:val="none" w:sz="0" w:space="0" w:color="auto"/>
                <w:right w:val="none" w:sz="0" w:space="0" w:color="auto"/>
              </w:divBdr>
              <w:divsChild>
                <w:div w:id="931621931">
                  <w:marLeft w:val="0"/>
                  <w:marRight w:val="0"/>
                  <w:marTop w:val="0"/>
                  <w:marBottom w:val="0"/>
                  <w:divBdr>
                    <w:top w:val="none" w:sz="0" w:space="0" w:color="auto"/>
                    <w:left w:val="none" w:sz="0" w:space="0" w:color="auto"/>
                    <w:bottom w:val="none" w:sz="0" w:space="0" w:color="auto"/>
                    <w:right w:val="none" w:sz="0" w:space="0" w:color="auto"/>
                  </w:divBdr>
                </w:div>
              </w:divsChild>
            </w:div>
            <w:div w:id="1406103891">
              <w:marLeft w:val="0"/>
              <w:marRight w:val="0"/>
              <w:marTop w:val="0"/>
              <w:marBottom w:val="0"/>
              <w:divBdr>
                <w:top w:val="none" w:sz="0" w:space="0" w:color="auto"/>
                <w:left w:val="none" w:sz="0" w:space="0" w:color="auto"/>
                <w:bottom w:val="none" w:sz="0" w:space="0" w:color="auto"/>
                <w:right w:val="none" w:sz="0" w:space="0" w:color="auto"/>
              </w:divBdr>
              <w:divsChild>
                <w:div w:id="1090585516">
                  <w:marLeft w:val="0"/>
                  <w:marRight w:val="0"/>
                  <w:marTop w:val="0"/>
                  <w:marBottom w:val="0"/>
                  <w:divBdr>
                    <w:top w:val="none" w:sz="0" w:space="0" w:color="auto"/>
                    <w:left w:val="none" w:sz="0" w:space="0" w:color="auto"/>
                    <w:bottom w:val="none" w:sz="0" w:space="0" w:color="auto"/>
                    <w:right w:val="none" w:sz="0" w:space="0" w:color="auto"/>
                  </w:divBdr>
                </w:div>
              </w:divsChild>
            </w:div>
            <w:div w:id="1444955269">
              <w:marLeft w:val="0"/>
              <w:marRight w:val="0"/>
              <w:marTop w:val="0"/>
              <w:marBottom w:val="0"/>
              <w:divBdr>
                <w:top w:val="none" w:sz="0" w:space="0" w:color="auto"/>
                <w:left w:val="none" w:sz="0" w:space="0" w:color="auto"/>
                <w:bottom w:val="none" w:sz="0" w:space="0" w:color="auto"/>
                <w:right w:val="none" w:sz="0" w:space="0" w:color="auto"/>
              </w:divBdr>
              <w:divsChild>
                <w:div w:id="423963970">
                  <w:marLeft w:val="0"/>
                  <w:marRight w:val="0"/>
                  <w:marTop w:val="0"/>
                  <w:marBottom w:val="0"/>
                  <w:divBdr>
                    <w:top w:val="none" w:sz="0" w:space="0" w:color="auto"/>
                    <w:left w:val="none" w:sz="0" w:space="0" w:color="auto"/>
                    <w:bottom w:val="none" w:sz="0" w:space="0" w:color="auto"/>
                    <w:right w:val="none" w:sz="0" w:space="0" w:color="auto"/>
                  </w:divBdr>
                </w:div>
              </w:divsChild>
            </w:div>
            <w:div w:id="1454592395">
              <w:marLeft w:val="0"/>
              <w:marRight w:val="0"/>
              <w:marTop w:val="0"/>
              <w:marBottom w:val="0"/>
              <w:divBdr>
                <w:top w:val="none" w:sz="0" w:space="0" w:color="auto"/>
                <w:left w:val="none" w:sz="0" w:space="0" w:color="auto"/>
                <w:bottom w:val="none" w:sz="0" w:space="0" w:color="auto"/>
                <w:right w:val="none" w:sz="0" w:space="0" w:color="auto"/>
              </w:divBdr>
              <w:divsChild>
                <w:div w:id="597060121">
                  <w:marLeft w:val="0"/>
                  <w:marRight w:val="0"/>
                  <w:marTop w:val="0"/>
                  <w:marBottom w:val="0"/>
                  <w:divBdr>
                    <w:top w:val="none" w:sz="0" w:space="0" w:color="auto"/>
                    <w:left w:val="none" w:sz="0" w:space="0" w:color="auto"/>
                    <w:bottom w:val="none" w:sz="0" w:space="0" w:color="auto"/>
                    <w:right w:val="none" w:sz="0" w:space="0" w:color="auto"/>
                  </w:divBdr>
                </w:div>
              </w:divsChild>
            </w:div>
            <w:div w:id="1532112534">
              <w:marLeft w:val="0"/>
              <w:marRight w:val="0"/>
              <w:marTop w:val="0"/>
              <w:marBottom w:val="0"/>
              <w:divBdr>
                <w:top w:val="none" w:sz="0" w:space="0" w:color="auto"/>
                <w:left w:val="none" w:sz="0" w:space="0" w:color="auto"/>
                <w:bottom w:val="none" w:sz="0" w:space="0" w:color="auto"/>
                <w:right w:val="none" w:sz="0" w:space="0" w:color="auto"/>
              </w:divBdr>
              <w:divsChild>
                <w:div w:id="37895972">
                  <w:marLeft w:val="0"/>
                  <w:marRight w:val="0"/>
                  <w:marTop w:val="0"/>
                  <w:marBottom w:val="0"/>
                  <w:divBdr>
                    <w:top w:val="none" w:sz="0" w:space="0" w:color="auto"/>
                    <w:left w:val="none" w:sz="0" w:space="0" w:color="auto"/>
                    <w:bottom w:val="none" w:sz="0" w:space="0" w:color="auto"/>
                    <w:right w:val="none" w:sz="0" w:space="0" w:color="auto"/>
                  </w:divBdr>
                </w:div>
              </w:divsChild>
            </w:div>
            <w:div w:id="1537039101">
              <w:marLeft w:val="0"/>
              <w:marRight w:val="0"/>
              <w:marTop w:val="0"/>
              <w:marBottom w:val="0"/>
              <w:divBdr>
                <w:top w:val="none" w:sz="0" w:space="0" w:color="auto"/>
                <w:left w:val="none" w:sz="0" w:space="0" w:color="auto"/>
                <w:bottom w:val="none" w:sz="0" w:space="0" w:color="auto"/>
                <w:right w:val="none" w:sz="0" w:space="0" w:color="auto"/>
              </w:divBdr>
              <w:divsChild>
                <w:div w:id="1980762712">
                  <w:marLeft w:val="0"/>
                  <w:marRight w:val="0"/>
                  <w:marTop w:val="0"/>
                  <w:marBottom w:val="0"/>
                  <w:divBdr>
                    <w:top w:val="none" w:sz="0" w:space="0" w:color="auto"/>
                    <w:left w:val="none" w:sz="0" w:space="0" w:color="auto"/>
                    <w:bottom w:val="none" w:sz="0" w:space="0" w:color="auto"/>
                    <w:right w:val="none" w:sz="0" w:space="0" w:color="auto"/>
                  </w:divBdr>
                </w:div>
              </w:divsChild>
            </w:div>
            <w:div w:id="1707484338">
              <w:marLeft w:val="0"/>
              <w:marRight w:val="0"/>
              <w:marTop w:val="0"/>
              <w:marBottom w:val="0"/>
              <w:divBdr>
                <w:top w:val="none" w:sz="0" w:space="0" w:color="auto"/>
                <w:left w:val="none" w:sz="0" w:space="0" w:color="auto"/>
                <w:bottom w:val="none" w:sz="0" w:space="0" w:color="auto"/>
                <w:right w:val="none" w:sz="0" w:space="0" w:color="auto"/>
              </w:divBdr>
              <w:divsChild>
                <w:div w:id="1077171742">
                  <w:marLeft w:val="0"/>
                  <w:marRight w:val="0"/>
                  <w:marTop w:val="0"/>
                  <w:marBottom w:val="0"/>
                  <w:divBdr>
                    <w:top w:val="none" w:sz="0" w:space="0" w:color="auto"/>
                    <w:left w:val="none" w:sz="0" w:space="0" w:color="auto"/>
                    <w:bottom w:val="none" w:sz="0" w:space="0" w:color="auto"/>
                    <w:right w:val="none" w:sz="0" w:space="0" w:color="auto"/>
                  </w:divBdr>
                </w:div>
              </w:divsChild>
            </w:div>
            <w:div w:id="1765609308">
              <w:marLeft w:val="0"/>
              <w:marRight w:val="0"/>
              <w:marTop w:val="0"/>
              <w:marBottom w:val="0"/>
              <w:divBdr>
                <w:top w:val="none" w:sz="0" w:space="0" w:color="auto"/>
                <w:left w:val="none" w:sz="0" w:space="0" w:color="auto"/>
                <w:bottom w:val="none" w:sz="0" w:space="0" w:color="auto"/>
                <w:right w:val="none" w:sz="0" w:space="0" w:color="auto"/>
              </w:divBdr>
              <w:divsChild>
                <w:div w:id="707729576">
                  <w:marLeft w:val="0"/>
                  <w:marRight w:val="0"/>
                  <w:marTop w:val="0"/>
                  <w:marBottom w:val="0"/>
                  <w:divBdr>
                    <w:top w:val="none" w:sz="0" w:space="0" w:color="auto"/>
                    <w:left w:val="none" w:sz="0" w:space="0" w:color="auto"/>
                    <w:bottom w:val="none" w:sz="0" w:space="0" w:color="auto"/>
                    <w:right w:val="none" w:sz="0" w:space="0" w:color="auto"/>
                  </w:divBdr>
                </w:div>
              </w:divsChild>
            </w:div>
            <w:div w:id="1884167590">
              <w:marLeft w:val="0"/>
              <w:marRight w:val="0"/>
              <w:marTop w:val="0"/>
              <w:marBottom w:val="0"/>
              <w:divBdr>
                <w:top w:val="none" w:sz="0" w:space="0" w:color="auto"/>
                <w:left w:val="none" w:sz="0" w:space="0" w:color="auto"/>
                <w:bottom w:val="none" w:sz="0" w:space="0" w:color="auto"/>
                <w:right w:val="none" w:sz="0" w:space="0" w:color="auto"/>
              </w:divBdr>
              <w:divsChild>
                <w:div w:id="678310812">
                  <w:marLeft w:val="0"/>
                  <w:marRight w:val="0"/>
                  <w:marTop w:val="0"/>
                  <w:marBottom w:val="0"/>
                  <w:divBdr>
                    <w:top w:val="none" w:sz="0" w:space="0" w:color="auto"/>
                    <w:left w:val="none" w:sz="0" w:space="0" w:color="auto"/>
                    <w:bottom w:val="none" w:sz="0" w:space="0" w:color="auto"/>
                    <w:right w:val="none" w:sz="0" w:space="0" w:color="auto"/>
                  </w:divBdr>
                </w:div>
              </w:divsChild>
            </w:div>
            <w:div w:id="2082360863">
              <w:marLeft w:val="0"/>
              <w:marRight w:val="0"/>
              <w:marTop w:val="0"/>
              <w:marBottom w:val="0"/>
              <w:divBdr>
                <w:top w:val="none" w:sz="0" w:space="0" w:color="auto"/>
                <w:left w:val="none" w:sz="0" w:space="0" w:color="auto"/>
                <w:bottom w:val="none" w:sz="0" w:space="0" w:color="auto"/>
                <w:right w:val="none" w:sz="0" w:space="0" w:color="auto"/>
              </w:divBdr>
              <w:divsChild>
                <w:div w:id="1993101958">
                  <w:marLeft w:val="0"/>
                  <w:marRight w:val="0"/>
                  <w:marTop w:val="0"/>
                  <w:marBottom w:val="0"/>
                  <w:divBdr>
                    <w:top w:val="none" w:sz="0" w:space="0" w:color="auto"/>
                    <w:left w:val="none" w:sz="0" w:space="0" w:color="auto"/>
                    <w:bottom w:val="none" w:sz="0" w:space="0" w:color="auto"/>
                    <w:right w:val="none" w:sz="0" w:space="0" w:color="auto"/>
                  </w:divBdr>
                </w:div>
              </w:divsChild>
            </w:div>
            <w:div w:id="2111194521">
              <w:marLeft w:val="0"/>
              <w:marRight w:val="0"/>
              <w:marTop w:val="0"/>
              <w:marBottom w:val="0"/>
              <w:divBdr>
                <w:top w:val="none" w:sz="0" w:space="0" w:color="auto"/>
                <w:left w:val="none" w:sz="0" w:space="0" w:color="auto"/>
                <w:bottom w:val="none" w:sz="0" w:space="0" w:color="auto"/>
                <w:right w:val="none" w:sz="0" w:space="0" w:color="auto"/>
              </w:divBdr>
              <w:divsChild>
                <w:div w:id="12638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3859">
      <w:bodyDiv w:val="1"/>
      <w:marLeft w:val="0"/>
      <w:marRight w:val="0"/>
      <w:marTop w:val="0"/>
      <w:marBottom w:val="0"/>
      <w:divBdr>
        <w:top w:val="none" w:sz="0" w:space="0" w:color="auto"/>
        <w:left w:val="none" w:sz="0" w:space="0" w:color="auto"/>
        <w:bottom w:val="none" w:sz="0" w:space="0" w:color="auto"/>
        <w:right w:val="none" w:sz="0" w:space="0" w:color="auto"/>
      </w:divBdr>
    </w:div>
    <w:div w:id="722606067">
      <w:bodyDiv w:val="1"/>
      <w:marLeft w:val="0"/>
      <w:marRight w:val="0"/>
      <w:marTop w:val="0"/>
      <w:marBottom w:val="0"/>
      <w:divBdr>
        <w:top w:val="none" w:sz="0" w:space="0" w:color="auto"/>
        <w:left w:val="none" w:sz="0" w:space="0" w:color="auto"/>
        <w:bottom w:val="none" w:sz="0" w:space="0" w:color="auto"/>
        <w:right w:val="none" w:sz="0" w:space="0" w:color="auto"/>
      </w:divBdr>
    </w:div>
    <w:div w:id="728311144">
      <w:bodyDiv w:val="1"/>
      <w:marLeft w:val="0"/>
      <w:marRight w:val="0"/>
      <w:marTop w:val="0"/>
      <w:marBottom w:val="0"/>
      <w:divBdr>
        <w:top w:val="none" w:sz="0" w:space="0" w:color="auto"/>
        <w:left w:val="none" w:sz="0" w:space="0" w:color="auto"/>
        <w:bottom w:val="none" w:sz="0" w:space="0" w:color="auto"/>
        <w:right w:val="none" w:sz="0" w:space="0" w:color="auto"/>
      </w:divBdr>
    </w:div>
    <w:div w:id="998311776">
      <w:bodyDiv w:val="1"/>
      <w:marLeft w:val="0"/>
      <w:marRight w:val="0"/>
      <w:marTop w:val="0"/>
      <w:marBottom w:val="0"/>
      <w:divBdr>
        <w:top w:val="none" w:sz="0" w:space="0" w:color="auto"/>
        <w:left w:val="none" w:sz="0" w:space="0" w:color="auto"/>
        <w:bottom w:val="none" w:sz="0" w:space="0" w:color="auto"/>
        <w:right w:val="none" w:sz="0" w:space="0" w:color="auto"/>
      </w:divBdr>
      <w:divsChild>
        <w:div w:id="1619680768">
          <w:marLeft w:val="1080"/>
          <w:marRight w:val="0"/>
          <w:marTop w:val="100"/>
          <w:marBottom w:val="0"/>
          <w:divBdr>
            <w:top w:val="none" w:sz="0" w:space="0" w:color="auto"/>
            <w:left w:val="none" w:sz="0" w:space="0" w:color="auto"/>
            <w:bottom w:val="none" w:sz="0" w:space="0" w:color="auto"/>
            <w:right w:val="none" w:sz="0" w:space="0" w:color="auto"/>
          </w:divBdr>
        </w:div>
      </w:divsChild>
    </w:div>
    <w:div w:id="1016271702">
      <w:bodyDiv w:val="1"/>
      <w:marLeft w:val="0"/>
      <w:marRight w:val="0"/>
      <w:marTop w:val="0"/>
      <w:marBottom w:val="0"/>
      <w:divBdr>
        <w:top w:val="none" w:sz="0" w:space="0" w:color="auto"/>
        <w:left w:val="none" w:sz="0" w:space="0" w:color="auto"/>
        <w:bottom w:val="none" w:sz="0" w:space="0" w:color="auto"/>
        <w:right w:val="none" w:sz="0" w:space="0" w:color="auto"/>
      </w:divBdr>
    </w:div>
    <w:div w:id="13654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cost-benefit-analysis-of-nurse-practitioner-models-of-c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78010B-DA39-7D4E-B68D-2F0FF5E398FC}">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5BB68D7196E647A4AEBA7AB6226350" ma:contentTypeVersion="6" ma:contentTypeDescription="Create a new document." ma:contentTypeScope="" ma:versionID="2637a61bb19091159a284da81f59fada">
  <xsd:schema xmlns:xsd="http://www.w3.org/2001/XMLSchema" xmlns:xs="http://www.w3.org/2001/XMLSchema" xmlns:p="http://schemas.microsoft.com/office/2006/metadata/properties" xmlns:ns2="b2db6d00-a5ee-4c7a-84c8-0f258acc4987" xmlns:ns3="3dd18265-326c-4663-9a51-69c1b30ad054" targetNamespace="http://schemas.microsoft.com/office/2006/metadata/properties" ma:root="true" ma:fieldsID="0bdccb9fd4664eee68336a3588db6a58" ns2:_="" ns3:_="">
    <xsd:import namespace="b2db6d00-a5ee-4c7a-84c8-0f258acc4987"/>
    <xsd:import namespace="3dd18265-326c-4663-9a51-69c1b30ad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b6d00-a5ee-4c7a-84c8-0f258acc4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d18265-326c-4663-9a51-69c1b30ad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0A107-96CC-4086-9B6D-C61C215F9EB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dd18265-326c-4663-9a51-69c1b30ad054"/>
    <ds:schemaRef ds:uri="http://purl.org/dc/terms/"/>
    <ds:schemaRef ds:uri="http://schemas.openxmlformats.org/package/2006/metadata/core-properties"/>
    <ds:schemaRef ds:uri="b2db6d00-a5ee-4c7a-84c8-0f258acc4987"/>
    <ds:schemaRef ds:uri="http://www.w3.org/XML/1998/namespace"/>
  </ds:schemaRefs>
</ds:datastoreItem>
</file>

<file path=customXml/itemProps2.xml><?xml version="1.0" encoding="utf-8"?>
<ds:datastoreItem xmlns:ds="http://schemas.openxmlformats.org/officeDocument/2006/customXml" ds:itemID="{EF43292D-72B3-0946-9AE3-701CA1F227F0}">
  <ds:schemaRefs>
    <ds:schemaRef ds:uri="http://schemas.openxmlformats.org/officeDocument/2006/bibliography"/>
  </ds:schemaRefs>
</ds:datastoreItem>
</file>

<file path=customXml/itemProps3.xml><?xml version="1.0" encoding="utf-8"?>
<ds:datastoreItem xmlns:ds="http://schemas.openxmlformats.org/officeDocument/2006/customXml" ds:itemID="{43986394-E703-48E1-B6E2-4C89BB49FD4D}">
  <ds:schemaRefs>
    <ds:schemaRef ds:uri="http://schemas.microsoft.com/sharepoint/v3/contenttype/forms"/>
  </ds:schemaRefs>
</ds:datastoreItem>
</file>

<file path=customXml/itemProps4.xml><?xml version="1.0" encoding="utf-8"?>
<ds:datastoreItem xmlns:ds="http://schemas.openxmlformats.org/officeDocument/2006/customXml" ds:itemID="{9BDD87BA-F5DF-45FB-BA1F-1410A1E9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b6d00-a5ee-4c7a-84c8-0f258acc4987"/>
    <ds:schemaRef ds:uri="3dd18265-326c-4663-9a51-69c1b30a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6256</Words>
  <Characters>35660</Characters>
  <Application>Microsoft Office Word</Application>
  <DocSecurity>0</DocSecurity>
  <Lines>297</Lines>
  <Paragraphs>83</Paragraphs>
  <ScaleCrop>false</ScaleCrop>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 Katherine</dc:creator>
  <cp:keywords/>
  <dc:description/>
  <cp:lastModifiedBy>CHINN, Katherine</cp:lastModifiedBy>
  <cp:revision>2</cp:revision>
  <dcterms:created xsi:type="dcterms:W3CDTF">2022-08-25T06:05:00Z</dcterms:created>
  <dcterms:modified xsi:type="dcterms:W3CDTF">2022-08-25T06:05:00Z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0x010100515BB68D7196E647A4AEBA7AB6226350</vt:lpwstr>
  </property>
</Properties>
</file>