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C8980" w14:textId="1CF8EFA0" w:rsidR="001463B5" w:rsidRPr="001463B5" w:rsidRDefault="001463B5" w:rsidP="001463B5">
      <w:pPr>
        <w:spacing w:after="0" w:line="240" w:lineRule="auto"/>
        <w:jc w:val="right"/>
      </w:pPr>
      <w:r w:rsidRPr="001463B5">
        <w:t>11 November 2022</w:t>
      </w:r>
    </w:p>
    <w:p w14:paraId="42CBBC05" w14:textId="77777777" w:rsidR="001463B5" w:rsidRDefault="001463B5" w:rsidP="001463B5">
      <w:pPr>
        <w:spacing w:after="0" w:line="240" w:lineRule="auto"/>
        <w:jc w:val="center"/>
        <w:rPr>
          <w:b/>
          <w:bCs/>
        </w:rPr>
      </w:pPr>
    </w:p>
    <w:p w14:paraId="3310F9DC" w14:textId="4503EDEF" w:rsidR="001463B5" w:rsidRPr="00C842A1" w:rsidRDefault="001463B5" w:rsidP="001463B5">
      <w:pPr>
        <w:spacing w:after="0" w:line="240" w:lineRule="auto"/>
        <w:jc w:val="center"/>
        <w:rPr>
          <w:b/>
          <w:bCs/>
          <w:sz w:val="28"/>
          <w:szCs w:val="28"/>
        </w:rPr>
      </w:pPr>
      <w:r w:rsidRPr="00C842A1">
        <w:rPr>
          <w:b/>
          <w:bCs/>
          <w:sz w:val="28"/>
          <w:szCs w:val="28"/>
        </w:rPr>
        <w:t>Risk Equalisation Consultation – Additional Information</w:t>
      </w:r>
    </w:p>
    <w:p w14:paraId="5F285745" w14:textId="77777777" w:rsidR="001B0198" w:rsidRDefault="001B0198" w:rsidP="001B0198">
      <w:pPr>
        <w:spacing w:after="0" w:line="240" w:lineRule="auto"/>
      </w:pPr>
    </w:p>
    <w:p w14:paraId="649D7FA6" w14:textId="3E29EE2E" w:rsidR="001B0198" w:rsidRDefault="001B0198" w:rsidP="001B0198">
      <w:pPr>
        <w:spacing w:after="0" w:line="240" w:lineRule="auto"/>
      </w:pPr>
      <w:r>
        <w:t>The Department recently received a request concerning the Actuarial Study into Risk Equalisation (RE), specifically a more detailed calculation of the financial impacts on insurers based on the membership size of the fund.</w:t>
      </w:r>
    </w:p>
    <w:p w14:paraId="5630D84F" w14:textId="02B69000" w:rsidR="001B0198" w:rsidRDefault="001B0198" w:rsidP="001B0198">
      <w:pPr>
        <w:spacing w:after="0" w:line="240" w:lineRule="auto"/>
      </w:pPr>
    </w:p>
    <w:p w14:paraId="30BF1097" w14:textId="72150D44" w:rsidR="001463B5" w:rsidRDefault="00941584" w:rsidP="001B0198">
      <w:pPr>
        <w:spacing w:after="0" w:line="240" w:lineRule="auto"/>
      </w:pPr>
      <w:r>
        <w:t>The i</w:t>
      </w:r>
      <w:r w:rsidR="001463B5">
        <w:t>nformation</w:t>
      </w:r>
      <w:r w:rsidR="005F2D0A">
        <w:t xml:space="preserve"> in response to this request</w:t>
      </w:r>
      <w:r w:rsidR="001463B5">
        <w:t xml:space="preserve"> is set out below</w:t>
      </w:r>
      <w:r w:rsidR="00883737">
        <w:t xml:space="preserve">. </w:t>
      </w:r>
    </w:p>
    <w:p w14:paraId="7D87D387" w14:textId="77777777" w:rsidR="001463B5" w:rsidRDefault="001463B5" w:rsidP="001B0198">
      <w:pPr>
        <w:spacing w:after="0" w:line="240" w:lineRule="auto"/>
      </w:pPr>
    </w:p>
    <w:p w14:paraId="2AE7211F" w14:textId="1CE74A72" w:rsidR="001B0198" w:rsidRDefault="001B0198" w:rsidP="001B0198">
      <w:pPr>
        <w:spacing w:after="0" w:line="240" w:lineRule="auto"/>
      </w:pPr>
      <w:r>
        <w:t>**********************************************************************************</w:t>
      </w:r>
    </w:p>
    <w:p w14:paraId="79FC500C" w14:textId="62ABAFD6" w:rsidR="001B0198" w:rsidRDefault="001B0198" w:rsidP="001B0198">
      <w:pPr>
        <w:spacing w:after="0" w:line="240" w:lineRule="auto"/>
      </w:pPr>
      <w:r>
        <w:rPr>
          <w:lang w:eastAsia="en-AU"/>
        </w:rPr>
        <w:br/>
      </w:r>
      <w:r>
        <w:t xml:space="preserve">Finity calculated the net RE amount paid or received by each fund under both the current RE system and the simple hybrid model. Further details on the methodology are set out in Attachment C of the RE study. </w:t>
      </w:r>
    </w:p>
    <w:p w14:paraId="5F97D25F" w14:textId="77777777" w:rsidR="001B0198" w:rsidRDefault="001B0198" w:rsidP="001B0198">
      <w:pPr>
        <w:spacing w:after="0" w:line="240" w:lineRule="auto"/>
      </w:pPr>
    </w:p>
    <w:p w14:paraId="5E6E63A5" w14:textId="56A047B4" w:rsidR="001B0198" w:rsidRDefault="001B0198" w:rsidP="001B0198">
      <w:pPr>
        <w:spacing w:after="0" w:line="240" w:lineRule="auto"/>
      </w:pPr>
      <w:r>
        <w:t>The table below can be read as follows. Suppose the average claim costs (after RE) for funds with less than 1% market share is currently $100, under the current RE model. Then under the simple hybrid model, the estimated average claim costs (after RE) reduces 0.7% to $99.30. There is a small (0.1%) average increase in costs for larger funds (&gt;5% market share).</w:t>
      </w:r>
      <w:r>
        <w:br/>
      </w:r>
    </w:p>
    <w:p w14:paraId="4BF1A8AD" w14:textId="77777777" w:rsidR="001B0198" w:rsidRDefault="001B0198" w:rsidP="001B0198">
      <w:pPr>
        <w:spacing w:after="0" w:line="240" w:lineRule="auto"/>
        <w:rPr>
          <w:rFonts w:ascii="Calibri Light" w:hAnsi="Calibri Light" w:cs="Calibri Light"/>
        </w:rPr>
      </w:pPr>
    </w:p>
    <w:tbl>
      <w:tblPr>
        <w:tblW w:w="6080" w:type="dxa"/>
        <w:tblCellMar>
          <w:left w:w="0" w:type="dxa"/>
          <w:right w:w="0" w:type="dxa"/>
        </w:tblCellMar>
        <w:tblLook w:val="04A0" w:firstRow="1" w:lastRow="0" w:firstColumn="1" w:lastColumn="0" w:noHBand="0" w:noVBand="1"/>
      </w:tblPr>
      <w:tblGrid>
        <w:gridCol w:w="2480"/>
        <w:gridCol w:w="3600"/>
      </w:tblGrid>
      <w:tr w:rsidR="001B0198" w14:paraId="6D1A3268" w14:textId="77777777" w:rsidTr="001B0198">
        <w:trPr>
          <w:trHeight w:val="290"/>
        </w:trPr>
        <w:tc>
          <w:tcPr>
            <w:tcW w:w="2480" w:type="dxa"/>
            <w:tcBorders>
              <w:top w:val="single" w:sz="8" w:space="0" w:color="00576B"/>
              <w:left w:val="nil"/>
              <w:bottom w:val="single" w:sz="8" w:space="0" w:color="00576B"/>
              <w:right w:val="nil"/>
            </w:tcBorders>
            <w:tcMar>
              <w:top w:w="0" w:type="dxa"/>
              <w:left w:w="108" w:type="dxa"/>
              <w:bottom w:w="0" w:type="dxa"/>
              <w:right w:w="108" w:type="dxa"/>
            </w:tcMar>
            <w:vAlign w:val="center"/>
            <w:hideMark/>
          </w:tcPr>
          <w:p w14:paraId="10E0D8BB" w14:textId="77777777" w:rsidR="001B0198" w:rsidRDefault="001B0198" w:rsidP="001B0198">
            <w:pPr>
              <w:spacing w:after="0" w:line="240" w:lineRule="auto"/>
              <w:rPr>
                <w:rFonts w:ascii="Calibri Light" w:hAnsi="Calibri Light" w:cs="Calibri Light"/>
                <w:color w:val="00576B"/>
              </w:rPr>
            </w:pPr>
            <w:r>
              <w:rPr>
                <w:rFonts w:ascii="Calibri Light" w:hAnsi="Calibri Light" w:cs="Calibri Light"/>
                <w:color w:val="00576B"/>
              </w:rPr>
              <w:t>Fund market share</w:t>
            </w:r>
          </w:p>
        </w:tc>
        <w:tc>
          <w:tcPr>
            <w:tcW w:w="3600" w:type="dxa"/>
            <w:tcBorders>
              <w:top w:val="single" w:sz="8" w:space="0" w:color="00576B"/>
              <w:left w:val="nil"/>
              <w:bottom w:val="single" w:sz="8" w:space="0" w:color="00576B"/>
              <w:right w:val="nil"/>
            </w:tcBorders>
            <w:tcMar>
              <w:top w:w="0" w:type="dxa"/>
              <w:left w:w="108" w:type="dxa"/>
              <w:bottom w:w="0" w:type="dxa"/>
              <w:right w:w="108" w:type="dxa"/>
            </w:tcMar>
            <w:vAlign w:val="center"/>
            <w:hideMark/>
          </w:tcPr>
          <w:p w14:paraId="1CE73648" w14:textId="77777777" w:rsidR="001B0198" w:rsidRDefault="001B0198" w:rsidP="001B0198">
            <w:pPr>
              <w:spacing w:after="0" w:line="240" w:lineRule="auto"/>
              <w:jc w:val="right"/>
              <w:rPr>
                <w:rFonts w:ascii="Calibri Light" w:hAnsi="Calibri Light" w:cs="Calibri Light"/>
                <w:color w:val="00576B"/>
              </w:rPr>
            </w:pPr>
            <w:r>
              <w:rPr>
                <w:rFonts w:ascii="Calibri Light" w:hAnsi="Calibri Light" w:cs="Calibri Light"/>
                <w:color w:val="00576B"/>
              </w:rPr>
              <w:t>Change in claims per SEU net of RE</w:t>
            </w:r>
          </w:p>
        </w:tc>
      </w:tr>
      <w:tr w:rsidR="001B0198" w14:paraId="26715326" w14:textId="77777777" w:rsidTr="001B0198">
        <w:trPr>
          <w:trHeight w:val="290"/>
        </w:trPr>
        <w:tc>
          <w:tcPr>
            <w:tcW w:w="2480" w:type="dxa"/>
            <w:tcMar>
              <w:top w:w="0" w:type="dxa"/>
              <w:left w:w="108" w:type="dxa"/>
              <w:bottom w:w="0" w:type="dxa"/>
              <w:right w:w="108" w:type="dxa"/>
            </w:tcMar>
            <w:vAlign w:val="center"/>
            <w:hideMark/>
          </w:tcPr>
          <w:p w14:paraId="210CC036" w14:textId="77777777" w:rsidR="001B0198" w:rsidRDefault="001B0198" w:rsidP="001B0198">
            <w:pPr>
              <w:spacing w:after="0" w:line="240" w:lineRule="auto"/>
              <w:rPr>
                <w:rFonts w:ascii="Calibri Light" w:hAnsi="Calibri Light" w:cs="Calibri Light"/>
                <w:color w:val="1E1E1E"/>
                <w:lang w:eastAsia="en-AU"/>
              </w:rPr>
            </w:pPr>
            <w:r>
              <w:rPr>
                <w:rFonts w:ascii="Calibri Light" w:hAnsi="Calibri Light" w:cs="Calibri Light"/>
                <w:color w:val="1E1E1E"/>
              </w:rPr>
              <w:t>&lt;1%</w:t>
            </w:r>
          </w:p>
        </w:tc>
        <w:tc>
          <w:tcPr>
            <w:tcW w:w="3600" w:type="dxa"/>
            <w:tcMar>
              <w:top w:w="0" w:type="dxa"/>
              <w:left w:w="108" w:type="dxa"/>
              <w:bottom w:w="0" w:type="dxa"/>
              <w:right w:w="108" w:type="dxa"/>
            </w:tcMar>
            <w:vAlign w:val="center"/>
            <w:hideMark/>
          </w:tcPr>
          <w:p w14:paraId="013697FC" w14:textId="77777777" w:rsidR="001B0198" w:rsidRDefault="001B0198" w:rsidP="001B0198">
            <w:pPr>
              <w:spacing w:after="0" w:line="240" w:lineRule="auto"/>
              <w:jc w:val="right"/>
              <w:rPr>
                <w:rFonts w:ascii="Calibri Light" w:hAnsi="Calibri Light" w:cs="Calibri Light"/>
                <w:color w:val="1E1E1E"/>
              </w:rPr>
            </w:pPr>
            <w:r>
              <w:rPr>
                <w:rFonts w:ascii="Calibri Light" w:hAnsi="Calibri Light" w:cs="Calibri Light"/>
                <w:color w:val="1E1E1E"/>
              </w:rPr>
              <w:t>-0.7%</w:t>
            </w:r>
          </w:p>
        </w:tc>
      </w:tr>
      <w:tr w:rsidR="001B0198" w14:paraId="349C74DF" w14:textId="77777777" w:rsidTr="001B0198">
        <w:trPr>
          <w:trHeight w:val="290"/>
        </w:trPr>
        <w:tc>
          <w:tcPr>
            <w:tcW w:w="2480" w:type="dxa"/>
            <w:tcMar>
              <w:top w:w="0" w:type="dxa"/>
              <w:left w:w="108" w:type="dxa"/>
              <w:bottom w:w="0" w:type="dxa"/>
              <w:right w:w="108" w:type="dxa"/>
            </w:tcMar>
            <w:vAlign w:val="center"/>
            <w:hideMark/>
          </w:tcPr>
          <w:p w14:paraId="648F9FE9" w14:textId="77777777" w:rsidR="001B0198" w:rsidRDefault="001B0198" w:rsidP="001B0198">
            <w:pPr>
              <w:spacing w:after="0" w:line="240" w:lineRule="auto"/>
              <w:rPr>
                <w:rFonts w:ascii="Calibri Light" w:hAnsi="Calibri Light" w:cs="Calibri Light"/>
                <w:color w:val="1E1E1E"/>
              </w:rPr>
            </w:pPr>
            <w:r>
              <w:rPr>
                <w:rFonts w:ascii="Calibri Light" w:hAnsi="Calibri Light" w:cs="Calibri Light"/>
                <w:color w:val="1E1E1E"/>
              </w:rPr>
              <w:t>1%-5%</w:t>
            </w:r>
          </w:p>
        </w:tc>
        <w:tc>
          <w:tcPr>
            <w:tcW w:w="3600" w:type="dxa"/>
            <w:tcMar>
              <w:top w:w="0" w:type="dxa"/>
              <w:left w:w="108" w:type="dxa"/>
              <w:bottom w:w="0" w:type="dxa"/>
              <w:right w:w="108" w:type="dxa"/>
            </w:tcMar>
            <w:vAlign w:val="center"/>
            <w:hideMark/>
          </w:tcPr>
          <w:p w14:paraId="74F6A171" w14:textId="77777777" w:rsidR="001B0198" w:rsidRDefault="001B0198" w:rsidP="001B0198">
            <w:pPr>
              <w:spacing w:after="0" w:line="240" w:lineRule="auto"/>
              <w:jc w:val="right"/>
              <w:rPr>
                <w:rFonts w:ascii="Calibri Light" w:hAnsi="Calibri Light" w:cs="Calibri Light"/>
                <w:color w:val="1E1E1E"/>
              </w:rPr>
            </w:pPr>
            <w:r>
              <w:rPr>
                <w:rFonts w:ascii="Calibri Light" w:hAnsi="Calibri Light" w:cs="Calibri Light"/>
                <w:color w:val="1E1E1E"/>
              </w:rPr>
              <w:t>-0.3%</w:t>
            </w:r>
          </w:p>
        </w:tc>
      </w:tr>
      <w:tr w:rsidR="001B0198" w14:paraId="2F35FC1F" w14:textId="77777777" w:rsidTr="001B0198">
        <w:trPr>
          <w:trHeight w:val="290"/>
        </w:trPr>
        <w:tc>
          <w:tcPr>
            <w:tcW w:w="2480" w:type="dxa"/>
            <w:tcBorders>
              <w:top w:val="nil"/>
              <w:left w:val="nil"/>
              <w:bottom w:val="single" w:sz="8" w:space="0" w:color="00576B"/>
              <w:right w:val="nil"/>
            </w:tcBorders>
            <w:tcMar>
              <w:top w:w="0" w:type="dxa"/>
              <w:left w:w="108" w:type="dxa"/>
              <w:bottom w:w="0" w:type="dxa"/>
              <w:right w:w="108" w:type="dxa"/>
            </w:tcMar>
            <w:vAlign w:val="center"/>
            <w:hideMark/>
          </w:tcPr>
          <w:p w14:paraId="713C5C8F" w14:textId="77777777" w:rsidR="001B0198" w:rsidRDefault="001B0198" w:rsidP="001B0198">
            <w:pPr>
              <w:spacing w:after="0" w:line="240" w:lineRule="auto"/>
              <w:rPr>
                <w:rFonts w:ascii="Calibri Light" w:hAnsi="Calibri Light" w:cs="Calibri Light"/>
                <w:color w:val="1E1E1E"/>
              </w:rPr>
            </w:pPr>
            <w:r>
              <w:rPr>
                <w:rFonts w:ascii="Calibri Light" w:hAnsi="Calibri Light" w:cs="Calibri Light"/>
                <w:color w:val="1E1E1E"/>
              </w:rPr>
              <w:t>&gt;5%</w:t>
            </w:r>
          </w:p>
        </w:tc>
        <w:tc>
          <w:tcPr>
            <w:tcW w:w="3600" w:type="dxa"/>
            <w:tcBorders>
              <w:top w:val="nil"/>
              <w:left w:val="nil"/>
              <w:bottom w:val="single" w:sz="8" w:space="0" w:color="00576B"/>
              <w:right w:val="nil"/>
            </w:tcBorders>
            <w:tcMar>
              <w:top w:w="0" w:type="dxa"/>
              <w:left w:w="108" w:type="dxa"/>
              <w:bottom w:w="0" w:type="dxa"/>
              <w:right w:w="108" w:type="dxa"/>
            </w:tcMar>
            <w:vAlign w:val="center"/>
            <w:hideMark/>
          </w:tcPr>
          <w:p w14:paraId="33B7DA14" w14:textId="77777777" w:rsidR="001B0198" w:rsidRDefault="001B0198" w:rsidP="001B0198">
            <w:pPr>
              <w:spacing w:after="0" w:line="240" w:lineRule="auto"/>
              <w:jc w:val="right"/>
              <w:rPr>
                <w:rFonts w:ascii="Calibri Light" w:hAnsi="Calibri Light" w:cs="Calibri Light"/>
                <w:color w:val="1E1E1E"/>
              </w:rPr>
            </w:pPr>
            <w:r>
              <w:rPr>
                <w:rFonts w:ascii="Calibri Light" w:hAnsi="Calibri Light" w:cs="Calibri Light"/>
                <w:color w:val="1E1E1E"/>
              </w:rPr>
              <w:t>0.1%</w:t>
            </w:r>
          </w:p>
        </w:tc>
      </w:tr>
      <w:tr w:rsidR="001B0198" w14:paraId="528AE293" w14:textId="77777777" w:rsidTr="001B0198">
        <w:trPr>
          <w:trHeight w:val="290"/>
        </w:trPr>
        <w:tc>
          <w:tcPr>
            <w:tcW w:w="2480" w:type="dxa"/>
            <w:tcBorders>
              <w:top w:val="nil"/>
              <w:left w:val="nil"/>
              <w:bottom w:val="single" w:sz="8" w:space="0" w:color="00576B"/>
              <w:right w:val="nil"/>
            </w:tcBorders>
            <w:tcMar>
              <w:top w:w="0" w:type="dxa"/>
              <w:left w:w="108" w:type="dxa"/>
              <w:bottom w:w="0" w:type="dxa"/>
              <w:right w:w="108" w:type="dxa"/>
            </w:tcMar>
            <w:vAlign w:val="center"/>
            <w:hideMark/>
          </w:tcPr>
          <w:p w14:paraId="4515F658" w14:textId="77777777" w:rsidR="001B0198" w:rsidRDefault="001B0198" w:rsidP="001B0198">
            <w:pPr>
              <w:spacing w:after="0" w:line="240" w:lineRule="auto"/>
              <w:rPr>
                <w:rFonts w:ascii="Calibri Light" w:hAnsi="Calibri Light" w:cs="Calibri Light"/>
                <w:color w:val="1E1E1E"/>
              </w:rPr>
            </w:pPr>
            <w:r>
              <w:rPr>
                <w:rFonts w:ascii="Calibri Light" w:hAnsi="Calibri Light" w:cs="Calibri Light"/>
                <w:color w:val="1E1E1E"/>
              </w:rPr>
              <w:t>Overall industry result</w:t>
            </w:r>
          </w:p>
        </w:tc>
        <w:tc>
          <w:tcPr>
            <w:tcW w:w="3600" w:type="dxa"/>
            <w:tcBorders>
              <w:top w:val="nil"/>
              <w:left w:val="nil"/>
              <w:bottom w:val="single" w:sz="8" w:space="0" w:color="00576B"/>
              <w:right w:val="nil"/>
            </w:tcBorders>
            <w:tcMar>
              <w:top w:w="0" w:type="dxa"/>
              <w:left w:w="108" w:type="dxa"/>
              <w:bottom w:w="0" w:type="dxa"/>
              <w:right w:w="108" w:type="dxa"/>
            </w:tcMar>
            <w:vAlign w:val="center"/>
            <w:hideMark/>
          </w:tcPr>
          <w:p w14:paraId="769879F0" w14:textId="77777777" w:rsidR="001B0198" w:rsidRDefault="001B0198" w:rsidP="001B0198">
            <w:pPr>
              <w:spacing w:after="0" w:line="240" w:lineRule="auto"/>
              <w:jc w:val="right"/>
              <w:rPr>
                <w:rFonts w:ascii="Calibri Light" w:hAnsi="Calibri Light" w:cs="Calibri Light"/>
                <w:color w:val="1E1E1E"/>
              </w:rPr>
            </w:pPr>
            <w:r>
              <w:rPr>
                <w:rFonts w:ascii="Calibri Light" w:hAnsi="Calibri Light" w:cs="Calibri Light"/>
                <w:color w:val="1E1E1E"/>
              </w:rPr>
              <w:t>0.0%</w:t>
            </w:r>
          </w:p>
        </w:tc>
      </w:tr>
    </w:tbl>
    <w:p w14:paraId="3522FAF1" w14:textId="77777777" w:rsidR="001B0198" w:rsidRDefault="001B0198" w:rsidP="001B0198">
      <w:pPr>
        <w:spacing w:after="0" w:line="240" w:lineRule="auto"/>
        <w:rPr>
          <w:rFonts w:ascii="Calibri" w:hAnsi="Calibri" w:cs="Calibri"/>
        </w:rPr>
      </w:pPr>
    </w:p>
    <w:p w14:paraId="1A01CBB7" w14:textId="5DEBB096" w:rsidR="001B0198" w:rsidRDefault="001B0198" w:rsidP="001B0198">
      <w:pPr>
        <w:spacing w:after="0" w:line="240" w:lineRule="auto"/>
      </w:pPr>
      <w:r>
        <w:br/>
        <w:t xml:space="preserve">Table 3.4 of the RE study may also be of interest, which shows the same statistic for other groupings of funds. </w:t>
      </w:r>
    </w:p>
    <w:p w14:paraId="51F0EEFD" w14:textId="77777777" w:rsidR="001B0198" w:rsidRDefault="001B0198" w:rsidP="001B0198">
      <w:pPr>
        <w:spacing w:after="0" w:line="240" w:lineRule="auto"/>
      </w:pPr>
    </w:p>
    <w:p w14:paraId="230D5301" w14:textId="5AA023B2" w:rsidR="001B0198" w:rsidRDefault="001B0198" w:rsidP="001B0198">
      <w:pPr>
        <w:spacing w:after="0" w:line="240" w:lineRule="auto"/>
      </w:pPr>
      <w:r>
        <w:rPr>
          <w:noProof/>
        </w:rPr>
        <w:drawing>
          <wp:inline distT="0" distB="0" distL="0" distR="0" wp14:anchorId="56D792E5" wp14:editId="1FB41541">
            <wp:extent cx="3181350" cy="2012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181350" cy="2012950"/>
                    </a:xfrm>
                    <a:prstGeom prst="rect">
                      <a:avLst/>
                    </a:prstGeom>
                    <a:noFill/>
                    <a:ln>
                      <a:noFill/>
                    </a:ln>
                  </pic:spPr>
                </pic:pic>
              </a:graphicData>
            </a:graphic>
          </wp:inline>
        </w:drawing>
      </w:r>
    </w:p>
    <w:p w14:paraId="4B42F0AF" w14:textId="516732D4" w:rsidR="001B0198" w:rsidRDefault="00C842A1" w:rsidP="001B0198">
      <w:pPr>
        <w:spacing w:after="0" w:line="240" w:lineRule="auto"/>
      </w:pPr>
      <w:r>
        <w:rPr>
          <w:b/>
          <w:bCs/>
        </w:rPr>
        <w:br/>
      </w:r>
      <w:r w:rsidR="001B0198">
        <w:t xml:space="preserve">It is important to note that as part of the RE study, Finity developed a simple hybrid RE model using Australian PHI data. The purpose of developing the model was to demonstrate whether alternative RE models test better than the current model, using a comprehensive set of criteria. </w:t>
      </w:r>
    </w:p>
    <w:p w14:paraId="24939642" w14:textId="77777777" w:rsidR="00C842A1" w:rsidRDefault="00C842A1" w:rsidP="001B0198">
      <w:pPr>
        <w:spacing w:after="0" w:line="240" w:lineRule="auto"/>
      </w:pPr>
    </w:p>
    <w:p w14:paraId="56217F39" w14:textId="0FCC1D7A" w:rsidR="001B0198" w:rsidRDefault="001B0198" w:rsidP="001B0198">
      <w:pPr>
        <w:spacing w:after="0" w:line="240" w:lineRule="auto"/>
      </w:pPr>
      <w:r>
        <w:lastRenderedPageBreak/>
        <w:t xml:space="preserve">The Department is consulting on the findings and recommendations of the Finity RE study, with a focus on outcomes for policyholders, and the performance of Australia’s private healthcare system. The Department is also consulting on the arrangements or mechanisms that should accompany a process to develop a detailed proposal for RE. While the Department is happy to provide the requested information, please note that the consultation is not about introducing the simple RE model from the Finity report. Any proposed RE model would only be available for consultation as part of the process for developing a detailed proposal. </w:t>
      </w:r>
    </w:p>
    <w:p w14:paraId="5E1AA00C" w14:textId="77777777" w:rsidR="001B0198" w:rsidRDefault="001B0198" w:rsidP="001B0198">
      <w:pPr>
        <w:spacing w:after="0" w:line="240" w:lineRule="auto"/>
      </w:pPr>
    </w:p>
    <w:p w14:paraId="0820980C" w14:textId="202C17F8" w:rsidR="001B0198" w:rsidRDefault="001B0198" w:rsidP="001B0198">
      <w:pPr>
        <w:spacing w:after="0" w:line="240" w:lineRule="auto"/>
      </w:pPr>
      <w:r>
        <w:t>**********************************************************************************</w:t>
      </w:r>
    </w:p>
    <w:p w14:paraId="04C72FBB" w14:textId="3657EC30" w:rsidR="00D32AB8" w:rsidRPr="006E1654" w:rsidRDefault="00D32AB8" w:rsidP="001B0198">
      <w:pPr>
        <w:pStyle w:val="NoSpacing"/>
        <w:spacing w:before="0" w:beforeAutospacing="0" w:after="0" w:afterAutospacing="0"/>
        <w:ind w:right="-472"/>
        <w:rPr>
          <w:rFonts w:asciiTheme="minorHAnsi" w:eastAsia="Times New Roman" w:hAnsiTheme="minorHAnsi" w:cstheme="minorHAnsi"/>
          <w:b/>
          <w:bCs/>
          <w:sz w:val="22"/>
          <w:szCs w:val="22"/>
        </w:rPr>
      </w:pPr>
    </w:p>
    <w:sectPr w:rsidR="00D32AB8" w:rsidRPr="006E1654" w:rsidSect="006E1654">
      <w:headerReference w:type="default" r:id="rId13"/>
      <w:footerReference w:type="default" r:id="rId14"/>
      <w:pgSz w:w="11906" w:h="16838"/>
      <w:pgMar w:top="1440" w:right="1440" w:bottom="567" w:left="1440" w:header="708"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098BF" w14:textId="77777777" w:rsidR="004D507B" w:rsidRDefault="004D507B" w:rsidP="004D507B">
      <w:pPr>
        <w:spacing w:after="0" w:line="240" w:lineRule="auto"/>
      </w:pPr>
      <w:r>
        <w:separator/>
      </w:r>
    </w:p>
  </w:endnote>
  <w:endnote w:type="continuationSeparator" w:id="0">
    <w:p w14:paraId="1387E971" w14:textId="77777777" w:rsidR="004D507B" w:rsidRDefault="004D507B" w:rsidP="004D5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252747"/>
      <w:docPartObj>
        <w:docPartGallery w:val="Page Numbers (Bottom of Page)"/>
        <w:docPartUnique/>
      </w:docPartObj>
    </w:sdtPr>
    <w:sdtEndPr>
      <w:rPr>
        <w:noProof/>
      </w:rPr>
    </w:sdtEndPr>
    <w:sdtContent>
      <w:p w14:paraId="59BF0AA2" w14:textId="5A947DA9" w:rsidR="004D507B" w:rsidRDefault="004D507B" w:rsidP="004D50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201D5" w14:textId="77777777" w:rsidR="004D507B" w:rsidRDefault="004D507B" w:rsidP="004D507B">
      <w:pPr>
        <w:spacing w:after="0" w:line="240" w:lineRule="auto"/>
      </w:pPr>
      <w:r>
        <w:separator/>
      </w:r>
    </w:p>
  </w:footnote>
  <w:footnote w:type="continuationSeparator" w:id="0">
    <w:p w14:paraId="488CEA29" w14:textId="77777777" w:rsidR="004D507B" w:rsidRDefault="004D507B" w:rsidP="004D5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AE1A" w14:textId="1B8A9E01" w:rsidR="00CE3EB6" w:rsidRDefault="00CE3EB6" w:rsidP="00CE3EB6">
    <w:pPr>
      <w:pStyle w:val="Header"/>
      <w:jc w:val="center"/>
    </w:pPr>
    <w:r>
      <w:rPr>
        <w:noProof/>
      </w:rPr>
      <w:drawing>
        <wp:inline distT="0" distB="0" distL="0" distR="0" wp14:anchorId="08D040CD" wp14:editId="55EA1302">
          <wp:extent cx="1280160" cy="93827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69" cy="970895"/>
                  </a:xfrm>
                  <a:prstGeom prst="rect">
                    <a:avLst/>
                  </a:prstGeom>
                  <a:noFill/>
                  <a:ln>
                    <a:noFill/>
                  </a:ln>
                </pic:spPr>
              </pic:pic>
            </a:graphicData>
          </a:graphic>
        </wp:inline>
      </w:drawing>
    </w:r>
  </w:p>
  <w:p w14:paraId="2FDC3C52" w14:textId="77777777" w:rsidR="00CE3EB6" w:rsidRDefault="00CE3EB6" w:rsidP="00CE3EB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0003"/>
    <w:multiLevelType w:val="hybridMultilevel"/>
    <w:tmpl w:val="3D3EE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2B3F0F"/>
    <w:multiLevelType w:val="hybridMultilevel"/>
    <w:tmpl w:val="BBB001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5F0978"/>
    <w:multiLevelType w:val="hybridMultilevel"/>
    <w:tmpl w:val="37701B4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DCD2929"/>
    <w:multiLevelType w:val="hybridMultilevel"/>
    <w:tmpl w:val="98C8DEEC"/>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E3079C3"/>
    <w:multiLevelType w:val="hybridMultilevel"/>
    <w:tmpl w:val="2060599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6B3919"/>
    <w:multiLevelType w:val="hybridMultilevel"/>
    <w:tmpl w:val="79BEF87E"/>
    <w:lvl w:ilvl="0" w:tplc="2FD66F66">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000D0C"/>
    <w:multiLevelType w:val="hybridMultilevel"/>
    <w:tmpl w:val="79BEF87E"/>
    <w:lvl w:ilvl="0" w:tplc="2FD66F66">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0B7E60"/>
    <w:multiLevelType w:val="hybridMultilevel"/>
    <w:tmpl w:val="11E4B28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66A7852"/>
    <w:multiLevelType w:val="hybridMultilevel"/>
    <w:tmpl w:val="8996A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2C099E"/>
    <w:multiLevelType w:val="multilevel"/>
    <w:tmpl w:val="0CBE324C"/>
    <w:lvl w:ilvl="0">
      <w:start w:val="4"/>
      <w:numFmt w:val="decimal"/>
      <w:lvlText w:val="%1"/>
      <w:lvlJc w:val="left"/>
      <w:pPr>
        <w:ind w:left="720" w:hanging="720"/>
      </w:pPr>
      <w:rPr>
        <w:rFonts w:hint="default"/>
        <w:color w:val="44546A" w:themeColor="text2"/>
      </w:rPr>
    </w:lvl>
    <w:lvl w:ilvl="1">
      <w:numFmt w:val="bullet"/>
      <w:lvlText w:val="•"/>
      <w:lvlJc w:val="left"/>
      <w:pPr>
        <w:ind w:left="1200" w:hanging="480"/>
      </w:pPr>
      <w:rPr>
        <w:rFonts w:ascii="Times New Roman" w:hAnsi="Times New Roman" w:hint="default"/>
        <w:color w:val="44546A" w:themeColor="text2"/>
      </w:rPr>
    </w:lvl>
    <w:lvl w:ilvl="2">
      <w:start w:val="1"/>
      <w:numFmt w:val="lowerRoman"/>
      <w:lvlText w:val="%3"/>
      <w:lvlJc w:val="left"/>
      <w:pPr>
        <w:ind w:left="1700" w:hanging="500"/>
      </w:pPr>
      <w:rPr>
        <w:rFonts w:hint="default"/>
        <w:color w:val="44546A" w:themeColor="text2"/>
      </w:rPr>
    </w:lvl>
    <w:lvl w:ilvl="3">
      <w:start w:val="1"/>
      <w:numFmt w:val="none"/>
      <w:lvlText w:val=""/>
      <w:lvlJc w:val="left"/>
      <w:pPr>
        <w:ind w:left="2835" w:hanging="709"/>
      </w:pPr>
      <w:rPr>
        <w:rFonts w:hint="default"/>
      </w:rPr>
    </w:lvl>
    <w:lvl w:ilvl="4">
      <w:start w:val="1"/>
      <w:numFmt w:val="none"/>
      <w:lvlText w:val=""/>
      <w:lvlJc w:val="left"/>
      <w:pPr>
        <w:ind w:left="5018" w:hanging="360"/>
      </w:pPr>
      <w:rPr>
        <w:rFonts w:hint="default"/>
      </w:rPr>
    </w:lvl>
    <w:lvl w:ilvl="5">
      <w:start w:val="1"/>
      <w:numFmt w:val="none"/>
      <w:lvlText w:val=""/>
      <w:lvlJc w:val="right"/>
      <w:pPr>
        <w:ind w:left="5738" w:hanging="180"/>
      </w:pPr>
      <w:rPr>
        <w:rFonts w:hint="default"/>
      </w:rPr>
    </w:lvl>
    <w:lvl w:ilvl="6">
      <w:start w:val="1"/>
      <w:numFmt w:val="none"/>
      <w:lvlText w:val="%7"/>
      <w:lvlJc w:val="left"/>
      <w:pPr>
        <w:ind w:left="6458" w:hanging="360"/>
      </w:pPr>
      <w:rPr>
        <w:rFonts w:hint="default"/>
      </w:rPr>
    </w:lvl>
    <w:lvl w:ilvl="7">
      <w:start w:val="1"/>
      <w:numFmt w:val="none"/>
      <w:lvlText w:val=""/>
      <w:lvlJc w:val="left"/>
      <w:pPr>
        <w:ind w:left="7178" w:hanging="360"/>
      </w:pPr>
      <w:rPr>
        <w:rFonts w:hint="default"/>
      </w:rPr>
    </w:lvl>
    <w:lvl w:ilvl="8">
      <w:start w:val="1"/>
      <w:numFmt w:val="none"/>
      <w:lvlText w:val=""/>
      <w:lvlJc w:val="right"/>
      <w:pPr>
        <w:ind w:left="7898" w:hanging="180"/>
      </w:pPr>
      <w:rPr>
        <w:rFonts w:hint="default"/>
      </w:rPr>
    </w:lvl>
  </w:abstractNum>
  <w:abstractNum w:abstractNumId="10" w15:restartNumberingAfterBreak="0">
    <w:nsid w:val="361C1B3B"/>
    <w:multiLevelType w:val="multilevel"/>
    <w:tmpl w:val="156C1DB0"/>
    <w:lvl w:ilvl="0">
      <w:start w:val="9"/>
      <w:numFmt w:val="decimal"/>
      <w:lvlText w:val="%1"/>
      <w:lvlJc w:val="left"/>
      <w:pPr>
        <w:ind w:left="720" w:hanging="720"/>
      </w:pPr>
      <w:rPr>
        <w:rFonts w:hint="default"/>
        <w:color w:val="44546A" w:themeColor="text2"/>
      </w:rPr>
    </w:lvl>
    <w:lvl w:ilvl="1">
      <w:numFmt w:val="bullet"/>
      <w:lvlText w:val="•"/>
      <w:lvlJc w:val="left"/>
      <w:pPr>
        <w:ind w:left="1200" w:hanging="480"/>
      </w:pPr>
      <w:rPr>
        <w:rFonts w:ascii="Times New Roman" w:hAnsi="Times New Roman" w:hint="default"/>
        <w:color w:val="44546A" w:themeColor="text2"/>
      </w:rPr>
    </w:lvl>
    <w:lvl w:ilvl="2">
      <w:start w:val="1"/>
      <w:numFmt w:val="lowerRoman"/>
      <w:lvlText w:val="%3"/>
      <w:lvlJc w:val="left"/>
      <w:pPr>
        <w:ind w:left="1700" w:hanging="500"/>
      </w:pPr>
      <w:rPr>
        <w:rFonts w:hint="default"/>
        <w:color w:val="44546A" w:themeColor="text2"/>
      </w:rPr>
    </w:lvl>
    <w:lvl w:ilvl="3">
      <w:start w:val="1"/>
      <w:numFmt w:val="none"/>
      <w:lvlText w:val=""/>
      <w:lvlJc w:val="left"/>
      <w:pPr>
        <w:ind w:left="2835" w:hanging="709"/>
      </w:pPr>
      <w:rPr>
        <w:rFonts w:hint="default"/>
      </w:rPr>
    </w:lvl>
    <w:lvl w:ilvl="4">
      <w:start w:val="1"/>
      <w:numFmt w:val="none"/>
      <w:lvlText w:val=""/>
      <w:lvlJc w:val="left"/>
      <w:pPr>
        <w:ind w:left="5018" w:hanging="360"/>
      </w:pPr>
      <w:rPr>
        <w:rFonts w:hint="default"/>
      </w:rPr>
    </w:lvl>
    <w:lvl w:ilvl="5">
      <w:start w:val="1"/>
      <w:numFmt w:val="none"/>
      <w:lvlText w:val=""/>
      <w:lvlJc w:val="right"/>
      <w:pPr>
        <w:ind w:left="5738" w:hanging="180"/>
      </w:pPr>
      <w:rPr>
        <w:rFonts w:hint="default"/>
      </w:rPr>
    </w:lvl>
    <w:lvl w:ilvl="6">
      <w:start w:val="1"/>
      <w:numFmt w:val="none"/>
      <w:lvlText w:val="%7"/>
      <w:lvlJc w:val="left"/>
      <w:pPr>
        <w:ind w:left="6458" w:hanging="360"/>
      </w:pPr>
      <w:rPr>
        <w:rFonts w:hint="default"/>
      </w:rPr>
    </w:lvl>
    <w:lvl w:ilvl="7">
      <w:start w:val="1"/>
      <w:numFmt w:val="none"/>
      <w:lvlText w:val=""/>
      <w:lvlJc w:val="left"/>
      <w:pPr>
        <w:ind w:left="7178" w:hanging="360"/>
      </w:pPr>
      <w:rPr>
        <w:rFonts w:hint="default"/>
      </w:rPr>
    </w:lvl>
    <w:lvl w:ilvl="8">
      <w:start w:val="1"/>
      <w:numFmt w:val="none"/>
      <w:lvlText w:val=""/>
      <w:lvlJc w:val="right"/>
      <w:pPr>
        <w:ind w:left="7898" w:hanging="180"/>
      </w:pPr>
      <w:rPr>
        <w:rFonts w:hint="default"/>
      </w:rPr>
    </w:lvl>
  </w:abstractNum>
  <w:abstractNum w:abstractNumId="11" w15:restartNumberingAfterBreak="0">
    <w:nsid w:val="36DD03CD"/>
    <w:multiLevelType w:val="multilevel"/>
    <w:tmpl w:val="CEF4E444"/>
    <w:lvl w:ilvl="0">
      <w:start w:val="2"/>
      <w:numFmt w:val="decimal"/>
      <w:lvlText w:val="%1"/>
      <w:lvlJc w:val="left"/>
      <w:pPr>
        <w:ind w:left="720" w:hanging="720"/>
      </w:pPr>
      <w:rPr>
        <w:rFonts w:hint="default"/>
        <w:b w:val="0"/>
        <w:color w:val="44546A" w:themeColor="text2"/>
      </w:rPr>
    </w:lvl>
    <w:lvl w:ilvl="1">
      <w:numFmt w:val="bullet"/>
      <w:lvlText w:val="•"/>
      <w:lvlJc w:val="left"/>
      <w:pPr>
        <w:ind w:left="1200" w:hanging="480"/>
      </w:pPr>
      <w:rPr>
        <w:rFonts w:ascii="Times New Roman" w:hAnsi="Times New Roman" w:hint="default"/>
        <w:color w:val="44546A" w:themeColor="text2"/>
      </w:rPr>
    </w:lvl>
    <w:lvl w:ilvl="2">
      <w:start w:val="1"/>
      <w:numFmt w:val="lowerRoman"/>
      <w:lvlText w:val="%3"/>
      <w:lvlJc w:val="left"/>
      <w:pPr>
        <w:ind w:left="1700" w:hanging="500"/>
      </w:pPr>
      <w:rPr>
        <w:rFonts w:hint="default"/>
        <w:color w:val="44546A" w:themeColor="text2"/>
      </w:rPr>
    </w:lvl>
    <w:lvl w:ilvl="3">
      <w:start w:val="1"/>
      <w:numFmt w:val="none"/>
      <w:lvlText w:val=""/>
      <w:lvlJc w:val="left"/>
      <w:pPr>
        <w:ind w:left="2835" w:hanging="709"/>
      </w:pPr>
      <w:rPr>
        <w:rFonts w:hint="default"/>
      </w:rPr>
    </w:lvl>
    <w:lvl w:ilvl="4">
      <w:start w:val="1"/>
      <w:numFmt w:val="none"/>
      <w:lvlText w:val=""/>
      <w:lvlJc w:val="left"/>
      <w:pPr>
        <w:ind w:left="5018" w:hanging="360"/>
      </w:pPr>
      <w:rPr>
        <w:rFonts w:hint="default"/>
      </w:rPr>
    </w:lvl>
    <w:lvl w:ilvl="5">
      <w:start w:val="1"/>
      <w:numFmt w:val="none"/>
      <w:lvlText w:val=""/>
      <w:lvlJc w:val="right"/>
      <w:pPr>
        <w:ind w:left="5738" w:hanging="180"/>
      </w:pPr>
      <w:rPr>
        <w:rFonts w:hint="default"/>
      </w:rPr>
    </w:lvl>
    <w:lvl w:ilvl="6">
      <w:start w:val="1"/>
      <w:numFmt w:val="none"/>
      <w:lvlText w:val="%7"/>
      <w:lvlJc w:val="left"/>
      <w:pPr>
        <w:ind w:left="6458" w:hanging="360"/>
      </w:pPr>
      <w:rPr>
        <w:rFonts w:hint="default"/>
      </w:rPr>
    </w:lvl>
    <w:lvl w:ilvl="7">
      <w:start w:val="1"/>
      <w:numFmt w:val="none"/>
      <w:lvlText w:val=""/>
      <w:lvlJc w:val="left"/>
      <w:pPr>
        <w:ind w:left="7178" w:hanging="360"/>
      </w:pPr>
      <w:rPr>
        <w:rFonts w:hint="default"/>
      </w:rPr>
    </w:lvl>
    <w:lvl w:ilvl="8">
      <w:start w:val="1"/>
      <w:numFmt w:val="none"/>
      <w:lvlText w:val=""/>
      <w:lvlJc w:val="right"/>
      <w:pPr>
        <w:ind w:left="7898" w:hanging="180"/>
      </w:pPr>
      <w:rPr>
        <w:rFonts w:hint="default"/>
      </w:rPr>
    </w:lvl>
  </w:abstractNum>
  <w:abstractNum w:abstractNumId="12" w15:restartNumberingAfterBreak="0">
    <w:nsid w:val="3E3C4058"/>
    <w:multiLevelType w:val="hybridMultilevel"/>
    <w:tmpl w:val="4130464E"/>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F4C19C5"/>
    <w:multiLevelType w:val="hybridMultilevel"/>
    <w:tmpl w:val="A3100F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F5F7181"/>
    <w:multiLevelType w:val="hybridMultilevel"/>
    <w:tmpl w:val="5B82E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D657F9"/>
    <w:multiLevelType w:val="hybridMultilevel"/>
    <w:tmpl w:val="79BEF87E"/>
    <w:lvl w:ilvl="0" w:tplc="2FD66F66">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6714CF"/>
    <w:multiLevelType w:val="hybridMultilevel"/>
    <w:tmpl w:val="B14A06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9284C13"/>
    <w:multiLevelType w:val="hybridMultilevel"/>
    <w:tmpl w:val="A38E0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6F5628"/>
    <w:multiLevelType w:val="hybridMultilevel"/>
    <w:tmpl w:val="79BEF87E"/>
    <w:lvl w:ilvl="0" w:tplc="2FD66F66">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E132DF"/>
    <w:multiLevelType w:val="hybridMultilevel"/>
    <w:tmpl w:val="9984FB5E"/>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25C62F5"/>
    <w:multiLevelType w:val="hybridMultilevel"/>
    <w:tmpl w:val="25C45DFA"/>
    <w:lvl w:ilvl="0" w:tplc="17F8D00C">
      <w:numFmt w:val="bullet"/>
      <w:lvlText w:val=""/>
      <w:lvlJc w:val="left"/>
      <w:pPr>
        <w:ind w:left="36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400EE8"/>
    <w:multiLevelType w:val="hybridMultilevel"/>
    <w:tmpl w:val="F5A21046"/>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2" w15:restartNumberingAfterBreak="0">
    <w:nsid w:val="57D84C03"/>
    <w:multiLevelType w:val="multilevel"/>
    <w:tmpl w:val="8C203D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400325"/>
    <w:multiLevelType w:val="hybridMultilevel"/>
    <w:tmpl w:val="87041DB8"/>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24" w15:restartNumberingAfterBreak="0">
    <w:nsid w:val="67306F60"/>
    <w:multiLevelType w:val="multilevel"/>
    <w:tmpl w:val="B3AC51D4"/>
    <w:lvl w:ilvl="0">
      <w:start w:val="1"/>
      <w:numFmt w:val="decimal"/>
      <w:pStyle w:val="ListNumber"/>
      <w:lvlText w:val="%1"/>
      <w:lvlJc w:val="left"/>
      <w:pPr>
        <w:ind w:left="720" w:hanging="720"/>
      </w:pPr>
      <w:rPr>
        <w:rFonts w:hint="default"/>
        <w:b w:val="0"/>
        <w:color w:val="44546A" w:themeColor="text2"/>
      </w:rPr>
    </w:lvl>
    <w:lvl w:ilvl="1">
      <w:numFmt w:val="bullet"/>
      <w:pStyle w:val="ListNumber2"/>
      <w:lvlText w:val="•"/>
      <w:lvlJc w:val="left"/>
      <w:pPr>
        <w:ind w:left="1200" w:hanging="480"/>
      </w:pPr>
      <w:rPr>
        <w:rFonts w:ascii="Times New Roman" w:hAnsi="Times New Roman" w:hint="default"/>
        <w:color w:val="44546A" w:themeColor="text2"/>
      </w:rPr>
    </w:lvl>
    <w:lvl w:ilvl="2">
      <w:start w:val="1"/>
      <w:numFmt w:val="lowerRoman"/>
      <w:pStyle w:val="ListNumber3"/>
      <w:lvlText w:val="%3"/>
      <w:lvlJc w:val="left"/>
      <w:pPr>
        <w:ind w:left="1700" w:hanging="500"/>
      </w:pPr>
      <w:rPr>
        <w:rFonts w:hint="default"/>
        <w:color w:val="44546A" w:themeColor="text2"/>
      </w:rPr>
    </w:lvl>
    <w:lvl w:ilvl="3">
      <w:start w:val="1"/>
      <w:numFmt w:val="none"/>
      <w:lvlText w:val=""/>
      <w:lvlJc w:val="left"/>
      <w:pPr>
        <w:ind w:left="2835" w:hanging="709"/>
      </w:pPr>
      <w:rPr>
        <w:rFonts w:hint="default"/>
      </w:rPr>
    </w:lvl>
    <w:lvl w:ilvl="4">
      <w:start w:val="1"/>
      <w:numFmt w:val="none"/>
      <w:lvlText w:val=""/>
      <w:lvlJc w:val="left"/>
      <w:pPr>
        <w:ind w:left="5018" w:hanging="360"/>
      </w:pPr>
      <w:rPr>
        <w:rFonts w:hint="default"/>
      </w:rPr>
    </w:lvl>
    <w:lvl w:ilvl="5">
      <w:start w:val="1"/>
      <w:numFmt w:val="none"/>
      <w:lvlText w:val=""/>
      <w:lvlJc w:val="right"/>
      <w:pPr>
        <w:ind w:left="5738" w:hanging="180"/>
      </w:pPr>
      <w:rPr>
        <w:rFonts w:hint="default"/>
      </w:rPr>
    </w:lvl>
    <w:lvl w:ilvl="6">
      <w:start w:val="1"/>
      <w:numFmt w:val="none"/>
      <w:lvlText w:val="%7"/>
      <w:lvlJc w:val="left"/>
      <w:pPr>
        <w:ind w:left="6458" w:hanging="360"/>
      </w:pPr>
      <w:rPr>
        <w:rFonts w:hint="default"/>
      </w:rPr>
    </w:lvl>
    <w:lvl w:ilvl="7">
      <w:start w:val="1"/>
      <w:numFmt w:val="none"/>
      <w:lvlText w:val=""/>
      <w:lvlJc w:val="left"/>
      <w:pPr>
        <w:ind w:left="7178" w:hanging="360"/>
      </w:pPr>
      <w:rPr>
        <w:rFonts w:hint="default"/>
      </w:rPr>
    </w:lvl>
    <w:lvl w:ilvl="8">
      <w:start w:val="1"/>
      <w:numFmt w:val="none"/>
      <w:lvlText w:val=""/>
      <w:lvlJc w:val="right"/>
      <w:pPr>
        <w:ind w:left="7898" w:hanging="180"/>
      </w:pPr>
      <w:rPr>
        <w:rFonts w:hint="default"/>
      </w:rPr>
    </w:lvl>
  </w:abstractNum>
  <w:abstractNum w:abstractNumId="25" w15:restartNumberingAfterBreak="0">
    <w:nsid w:val="7B5F337E"/>
    <w:multiLevelType w:val="multilevel"/>
    <w:tmpl w:val="0F406534"/>
    <w:lvl w:ilvl="0">
      <w:start w:val="6"/>
      <w:numFmt w:val="decimal"/>
      <w:lvlText w:val="%1"/>
      <w:lvlJc w:val="left"/>
      <w:pPr>
        <w:ind w:left="720" w:hanging="720"/>
      </w:pPr>
      <w:rPr>
        <w:rFonts w:hint="default"/>
        <w:color w:val="44546A" w:themeColor="text2"/>
      </w:rPr>
    </w:lvl>
    <w:lvl w:ilvl="1">
      <w:numFmt w:val="bullet"/>
      <w:lvlText w:val="•"/>
      <w:lvlJc w:val="left"/>
      <w:pPr>
        <w:ind w:left="1200" w:hanging="480"/>
      </w:pPr>
      <w:rPr>
        <w:rFonts w:ascii="Times New Roman" w:hAnsi="Times New Roman" w:hint="default"/>
        <w:color w:val="44546A" w:themeColor="text2"/>
      </w:rPr>
    </w:lvl>
    <w:lvl w:ilvl="2">
      <w:start w:val="1"/>
      <w:numFmt w:val="lowerRoman"/>
      <w:lvlText w:val="%3"/>
      <w:lvlJc w:val="left"/>
      <w:pPr>
        <w:ind w:left="1700" w:hanging="500"/>
      </w:pPr>
      <w:rPr>
        <w:rFonts w:hint="default"/>
        <w:color w:val="44546A" w:themeColor="text2"/>
      </w:rPr>
    </w:lvl>
    <w:lvl w:ilvl="3">
      <w:start w:val="1"/>
      <w:numFmt w:val="none"/>
      <w:lvlText w:val=""/>
      <w:lvlJc w:val="left"/>
      <w:pPr>
        <w:ind w:left="2835" w:hanging="709"/>
      </w:pPr>
      <w:rPr>
        <w:rFonts w:hint="default"/>
      </w:rPr>
    </w:lvl>
    <w:lvl w:ilvl="4">
      <w:start w:val="1"/>
      <w:numFmt w:val="none"/>
      <w:lvlText w:val=""/>
      <w:lvlJc w:val="left"/>
      <w:pPr>
        <w:ind w:left="5018" w:hanging="360"/>
      </w:pPr>
      <w:rPr>
        <w:rFonts w:hint="default"/>
      </w:rPr>
    </w:lvl>
    <w:lvl w:ilvl="5">
      <w:start w:val="1"/>
      <w:numFmt w:val="none"/>
      <w:lvlText w:val=""/>
      <w:lvlJc w:val="right"/>
      <w:pPr>
        <w:ind w:left="5738" w:hanging="180"/>
      </w:pPr>
      <w:rPr>
        <w:rFonts w:hint="default"/>
      </w:rPr>
    </w:lvl>
    <w:lvl w:ilvl="6">
      <w:start w:val="1"/>
      <w:numFmt w:val="none"/>
      <w:lvlText w:val="%7"/>
      <w:lvlJc w:val="left"/>
      <w:pPr>
        <w:ind w:left="6458" w:hanging="360"/>
      </w:pPr>
      <w:rPr>
        <w:rFonts w:hint="default"/>
      </w:rPr>
    </w:lvl>
    <w:lvl w:ilvl="7">
      <w:start w:val="1"/>
      <w:numFmt w:val="none"/>
      <w:lvlText w:val=""/>
      <w:lvlJc w:val="left"/>
      <w:pPr>
        <w:ind w:left="7178" w:hanging="360"/>
      </w:pPr>
      <w:rPr>
        <w:rFonts w:hint="default"/>
      </w:rPr>
    </w:lvl>
    <w:lvl w:ilvl="8">
      <w:start w:val="1"/>
      <w:numFmt w:val="none"/>
      <w:lvlText w:val=""/>
      <w:lvlJc w:val="right"/>
      <w:pPr>
        <w:ind w:left="7898" w:hanging="180"/>
      </w:pPr>
      <w:rPr>
        <w:rFonts w:hint="default"/>
      </w:rPr>
    </w:lvl>
  </w:abstractNum>
  <w:abstractNum w:abstractNumId="26" w15:restartNumberingAfterBreak="0">
    <w:nsid w:val="7BAF4C9E"/>
    <w:multiLevelType w:val="hybridMultilevel"/>
    <w:tmpl w:val="4A34069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FCB72B8"/>
    <w:multiLevelType w:val="hybridMultilevel"/>
    <w:tmpl w:val="A95A5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11"/>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1"/>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6"/>
  </w:num>
  <w:num w:numId="11">
    <w:abstractNumId w:val="20"/>
  </w:num>
  <w:num w:numId="12">
    <w:abstractNumId w:val="22"/>
  </w:num>
  <w:num w:numId="13">
    <w:abstractNumId w:val="21"/>
  </w:num>
  <w:num w:numId="14">
    <w:abstractNumId w:val="27"/>
  </w:num>
  <w:num w:numId="15">
    <w:abstractNumId w:val="2"/>
  </w:num>
  <w:num w:numId="16">
    <w:abstractNumId w:val="15"/>
  </w:num>
  <w:num w:numId="17">
    <w:abstractNumId w:val="4"/>
  </w:num>
  <w:num w:numId="18">
    <w:abstractNumId w:val="26"/>
  </w:num>
  <w:num w:numId="19">
    <w:abstractNumId w:val="5"/>
  </w:num>
  <w:num w:numId="20">
    <w:abstractNumId w:val="18"/>
  </w:num>
  <w:num w:numId="21">
    <w:abstractNumId w:val="17"/>
  </w:num>
  <w:num w:numId="22">
    <w:abstractNumId w:val="23"/>
  </w:num>
  <w:num w:numId="23">
    <w:abstractNumId w:val="0"/>
  </w:num>
  <w:num w:numId="24">
    <w:abstractNumId w:val="7"/>
  </w:num>
  <w:num w:numId="25">
    <w:abstractNumId w:val="3"/>
  </w:num>
  <w:num w:numId="26">
    <w:abstractNumId w:val="6"/>
  </w:num>
  <w:num w:numId="27">
    <w:abstractNumId w:val="14"/>
  </w:num>
  <w:num w:numId="28">
    <w:abstractNumId w:val="13"/>
  </w:num>
  <w:num w:numId="29">
    <w:abstractNumId w:val="12"/>
  </w:num>
  <w:num w:numId="30">
    <w:abstractNumId w:val="1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9A0"/>
    <w:rsid w:val="00093736"/>
    <w:rsid w:val="000D6357"/>
    <w:rsid w:val="001118D3"/>
    <w:rsid w:val="001463B5"/>
    <w:rsid w:val="001638E7"/>
    <w:rsid w:val="00193149"/>
    <w:rsid w:val="001B0198"/>
    <w:rsid w:val="001D38A1"/>
    <w:rsid w:val="001F5072"/>
    <w:rsid w:val="0022059B"/>
    <w:rsid w:val="00222554"/>
    <w:rsid w:val="00226D00"/>
    <w:rsid w:val="002563A2"/>
    <w:rsid w:val="00263A72"/>
    <w:rsid w:val="002C2093"/>
    <w:rsid w:val="0034591A"/>
    <w:rsid w:val="003C2F79"/>
    <w:rsid w:val="003C74CC"/>
    <w:rsid w:val="003F2C92"/>
    <w:rsid w:val="00430900"/>
    <w:rsid w:val="00432D5C"/>
    <w:rsid w:val="004C0A8E"/>
    <w:rsid w:val="004D507B"/>
    <w:rsid w:val="004D663F"/>
    <w:rsid w:val="005434B5"/>
    <w:rsid w:val="005D6F17"/>
    <w:rsid w:val="005F0ABC"/>
    <w:rsid w:val="005F2D0A"/>
    <w:rsid w:val="0062333B"/>
    <w:rsid w:val="00627823"/>
    <w:rsid w:val="006A7267"/>
    <w:rsid w:val="006E1654"/>
    <w:rsid w:val="00737FE2"/>
    <w:rsid w:val="007509EF"/>
    <w:rsid w:val="00772E30"/>
    <w:rsid w:val="007B3C99"/>
    <w:rsid w:val="007D5170"/>
    <w:rsid w:val="007D6D98"/>
    <w:rsid w:val="00806558"/>
    <w:rsid w:val="008167F7"/>
    <w:rsid w:val="008643E9"/>
    <w:rsid w:val="00875EC6"/>
    <w:rsid w:val="00883737"/>
    <w:rsid w:val="008E7769"/>
    <w:rsid w:val="008F486E"/>
    <w:rsid w:val="00940A6A"/>
    <w:rsid w:val="00941584"/>
    <w:rsid w:val="00961634"/>
    <w:rsid w:val="009636C3"/>
    <w:rsid w:val="009E6991"/>
    <w:rsid w:val="00A354A0"/>
    <w:rsid w:val="00A80F6A"/>
    <w:rsid w:val="00AC20A5"/>
    <w:rsid w:val="00AE5862"/>
    <w:rsid w:val="00AE6B57"/>
    <w:rsid w:val="00B76F2E"/>
    <w:rsid w:val="00B804C8"/>
    <w:rsid w:val="00B819B7"/>
    <w:rsid w:val="00BD0EDD"/>
    <w:rsid w:val="00C3497F"/>
    <w:rsid w:val="00C44F1E"/>
    <w:rsid w:val="00C502E2"/>
    <w:rsid w:val="00C526F1"/>
    <w:rsid w:val="00C842A1"/>
    <w:rsid w:val="00C84DDA"/>
    <w:rsid w:val="00CA318F"/>
    <w:rsid w:val="00CE3EB6"/>
    <w:rsid w:val="00D279A0"/>
    <w:rsid w:val="00D32AB8"/>
    <w:rsid w:val="00D34EDB"/>
    <w:rsid w:val="00D429C6"/>
    <w:rsid w:val="00DC1587"/>
    <w:rsid w:val="00E03A37"/>
    <w:rsid w:val="00E15486"/>
    <w:rsid w:val="00E46E36"/>
    <w:rsid w:val="00E549B1"/>
    <w:rsid w:val="00E64AEA"/>
    <w:rsid w:val="00ED11DD"/>
    <w:rsid w:val="00F165CE"/>
    <w:rsid w:val="00F67796"/>
    <w:rsid w:val="00F829B2"/>
    <w:rsid w:val="00FD1D81"/>
    <w:rsid w:val="00FF61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CC5B67"/>
  <w15:chartTrackingRefBased/>
  <w15:docId w15:val="{B4AF46AC-4680-4A87-BC20-B0BE9A5C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Text">
    <w:name w:val="Call Out Text"/>
    <w:basedOn w:val="BodyText"/>
    <w:uiPriority w:val="99"/>
    <w:qFormat/>
    <w:rsid w:val="00D279A0"/>
    <w:pPr>
      <w:pBdr>
        <w:top w:val="single" w:sz="4" w:space="8" w:color="44546A" w:themeColor="text2"/>
        <w:left w:val="single" w:sz="4" w:space="0" w:color="44546A" w:themeColor="text2"/>
        <w:bottom w:val="single" w:sz="4" w:space="8" w:color="44546A" w:themeColor="text2"/>
        <w:right w:val="single" w:sz="4" w:space="0" w:color="44546A" w:themeColor="text2"/>
      </w:pBdr>
      <w:shd w:val="clear" w:color="auto" w:fill="D9E6E9"/>
      <w:spacing w:after="240" w:line="240" w:lineRule="atLeast"/>
      <w:contextualSpacing/>
    </w:pPr>
    <w:rPr>
      <w:rFonts w:ascii="Calibri Light" w:hAnsi="Calibri Light" w:cs="Calibri Light"/>
      <w:color w:val="000000" w:themeColor="text1"/>
      <w:sz w:val="20"/>
      <w:lang w:eastAsia="zh-CN"/>
    </w:rPr>
  </w:style>
  <w:style w:type="paragraph" w:styleId="BodyText">
    <w:name w:val="Body Text"/>
    <w:basedOn w:val="Normal"/>
    <w:link w:val="BodyTextChar"/>
    <w:uiPriority w:val="99"/>
    <w:semiHidden/>
    <w:unhideWhenUsed/>
    <w:rsid w:val="00D279A0"/>
    <w:pPr>
      <w:spacing w:after="120"/>
    </w:pPr>
  </w:style>
  <w:style w:type="character" w:customStyle="1" w:styleId="BodyTextChar">
    <w:name w:val="Body Text Char"/>
    <w:basedOn w:val="DefaultParagraphFont"/>
    <w:link w:val="BodyText"/>
    <w:uiPriority w:val="99"/>
    <w:semiHidden/>
    <w:rsid w:val="00D279A0"/>
  </w:style>
  <w:style w:type="paragraph" w:styleId="ListParagraph">
    <w:name w:val="List Paragraph"/>
    <w:basedOn w:val="Normal"/>
    <w:uiPriority w:val="34"/>
    <w:qFormat/>
    <w:rsid w:val="00D279A0"/>
    <w:pPr>
      <w:ind w:left="720"/>
      <w:contextualSpacing/>
    </w:pPr>
  </w:style>
  <w:style w:type="paragraph" w:styleId="ListNumber">
    <w:name w:val="List Number"/>
    <w:basedOn w:val="Normal"/>
    <w:uiPriority w:val="16"/>
    <w:qFormat/>
    <w:rsid w:val="00D279A0"/>
    <w:pPr>
      <w:numPr>
        <w:numId w:val="2"/>
      </w:numPr>
      <w:spacing w:after="120" w:line="264" w:lineRule="atLeast"/>
    </w:pPr>
    <w:rPr>
      <w:rFonts w:ascii="Calibri Light" w:hAnsi="Calibri Light" w:cs="Calibri Light"/>
      <w:color w:val="000000" w:themeColor="text1"/>
      <w:szCs w:val="20"/>
      <w:lang w:eastAsia="zh-CN"/>
    </w:rPr>
  </w:style>
  <w:style w:type="paragraph" w:styleId="ListNumber2">
    <w:name w:val="List Number 2"/>
    <w:basedOn w:val="Normal"/>
    <w:uiPriority w:val="16"/>
    <w:qFormat/>
    <w:rsid w:val="00D279A0"/>
    <w:pPr>
      <w:numPr>
        <w:ilvl w:val="1"/>
        <w:numId w:val="2"/>
      </w:numPr>
      <w:spacing w:after="120" w:line="264" w:lineRule="atLeast"/>
    </w:pPr>
    <w:rPr>
      <w:rFonts w:ascii="Calibri Light" w:hAnsi="Calibri Light" w:cs="Calibri Light"/>
      <w:color w:val="000000" w:themeColor="text1"/>
      <w:lang w:eastAsia="zh-CN"/>
    </w:rPr>
  </w:style>
  <w:style w:type="paragraph" w:styleId="ListNumber3">
    <w:name w:val="List Number 3"/>
    <w:basedOn w:val="Normal"/>
    <w:uiPriority w:val="16"/>
    <w:qFormat/>
    <w:rsid w:val="00D279A0"/>
    <w:pPr>
      <w:numPr>
        <w:ilvl w:val="2"/>
        <w:numId w:val="2"/>
      </w:numPr>
      <w:spacing w:after="120" w:line="264" w:lineRule="atLeast"/>
    </w:pPr>
    <w:rPr>
      <w:rFonts w:ascii="Calibri Light" w:hAnsi="Calibri Light" w:cs="Calibri Light"/>
      <w:color w:val="000000" w:themeColor="text1"/>
      <w:lang w:eastAsia="zh-CN"/>
    </w:rPr>
  </w:style>
  <w:style w:type="paragraph" w:styleId="NoSpacing">
    <w:name w:val="No Spacing"/>
    <w:basedOn w:val="Normal"/>
    <w:uiPriority w:val="1"/>
    <w:qFormat/>
    <w:rsid w:val="00A80F6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null">
    <w:name w:val="null"/>
    <w:basedOn w:val="Normal"/>
    <w:rsid w:val="00A80F6A"/>
    <w:pPr>
      <w:spacing w:before="100" w:beforeAutospacing="1" w:after="100" w:afterAutospacing="1" w:line="240" w:lineRule="auto"/>
    </w:pPr>
    <w:rPr>
      <w:rFonts w:ascii="Calibri" w:hAnsi="Calibri" w:cs="Calibri"/>
      <w:lang w:eastAsia="en-AU"/>
    </w:rPr>
  </w:style>
  <w:style w:type="character" w:customStyle="1" w:styleId="null1">
    <w:name w:val="null1"/>
    <w:basedOn w:val="DefaultParagraphFont"/>
    <w:rsid w:val="00A80F6A"/>
  </w:style>
  <w:style w:type="paragraph" w:styleId="Header">
    <w:name w:val="header"/>
    <w:basedOn w:val="Normal"/>
    <w:link w:val="HeaderChar"/>
    <w:uiPriority w:val="99"/>
    <w:unhideWhenUsed/>
    <w:rsid w:val="004D5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07B"/>
  </w:style>
  <w:style w:type="paragraph" w:styleId="Footer">
    <w:name w:val="footer"/>
    <w:basedOn w:val="Normal"/>
    <w:link w:val="FooterChar"/>
    <w:uiPriority w:val="99"/>
    <w:unhideWhenUsed/>
    <w:rsid w:val="004D5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07B"/>
  </w:style>
  <w:style w:type="character" w:styleId="Hyperlink">
    <w:name w:val="Hyperlink"/>
    <w:basedOn w:val="DefaultParagraphFont"/>
    <w:uiPriority w:val="99"/>
    <w:unhideWhenUsed/>
    <w:rsid w:val="004D507B"/>
    <w:rPr>
      <w:color w:val="0563C1" w:themeColor="hyperlink"/>
      <w:u w:val="single"/>
    </w:rPr>
  </w:style>
  <w:style w:type="character" w:styleId="UnresolvedMention">
    <w:name w:val="Unresolved Mention"/>
    <w:basedOn w:val="DefaultParagraphFont"/>
    <w:uiPriority w:val="99"/>
    <w:semiHidden/>
    <w:unhideWhenUsed/>
    <w:rsid w:val="004D507B"/>
    <w:rPr>
      <w:color w:val="605E5C"/>
      <w:shd w:val="clear" w:color="auto" w:fill="E1DFDD"/>
    </w:rPr>
  </w:style>
  <w:style w:type="character" w:styleId="FollowedHyperlink">
    <w:name w:val="FollowedHyperlink"/>
    <w:basedOn w:val="DefaultParagraphFont"/>
    <w:uiPriority w:val="99"/>
    <w:semiHidden/>
    <w:unhideWhenUsed/>
    <w:rsid w:val="005F0ABC"/>
    <w:rPr>
      <w:color w:val="954F72" w:themeColor="followedHyperlink"/>
      <w:u w:val="single"/>
    </w:rPr>
  </w:style>
  <w:style w:type="table" w:styleId="TableGrid">
    <w:name w:val="Table Grid"/>
    <w:basedOn w:val="TableNormal"/>
    <w:uiPriority w:val="39"/>
    <w:rsid w:val="00B76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1D81"/>
    <w:rPr>
      <w:sz w:val="16"/>
      <w:szCs w:val="16"/>
    </w:rPr>
  </w:style>
  <w:style w:type="paragraph" w:styleId="CommentText">
    <w:name w:val="annotation text"/>
    <w:basedOn w:val="Normal"/>
    <w:link w:val="CommentTextChar"/>
    <w:uiPriority w:val="99"/>
    <w:semiHidden/>
    <w:unhideWhenUsed/>
    <w:rsid w:val="00FD1D81"/>
    <w:pPr>
      <w:spacing w:line="240" w:lineRule="auto"/>
    </w:pPr>
    <w:rPr>
      <w:sz w:val="20"/>
      <w:szCs w:val="20"/>
    </w:rPr>
  </w:style>
  <w:style w:type="character" w:customStyle="1" w:styleId="CommentTextChar">
    <w:name w:val="Comment Text Char"/>
    <w:basedOn w:val="DefaultParagraphFont"/>
    <w:link w:val="CommentText"/>
    <w:uiPriority w:val="99"/>
    <w:semiHidden/>
    <w:rsid w:val="00FD1D81"/>
    <w:rPr>
      <w:sz w:val="20"/>
      <w:szCs w:val="20"/>
    </w:rPr>
  </w:style>
  <w:style w:type="paragraph" w:styleId="CommentSubject">
    <w:name w:val="annotation subject"/>
    <w:basedOn w:val="CommentText"/>
    <w:next w:val="CommentText"/>
    <w:link w:val="CommentSubjectChar"/>
    <w:uiPriority w:val="99"/>
    <w:semiHidden/>
    <w:unhideWhenUsed/>
    <w:rsid w:val="00FD1D81"/>
    <w:rPr>
      <w:b/>
      <w:bCs/>
    </w:rPr>
  </w:style>
  <w:style w:type="character" w:customStyle="1" w:styleId="CommentSubjectChar">
    <w:name w:val="Comment Subject Char"/>
    <w:basedOn w:val="CommentTextChar"/>
    <w:link w:val="CommentSubject"/>
    <w:uiPriority w:val="99"/>
    <w:semiHidden/>
    <w:rsid w:val="00FD1D81"/>
    <w:rPr>
      <w:b/>
      <w:bCs/>
      <w:sz w:val="20"/>
      <w:szCs w:val="20"/>
    </w:rPr>
  </w:style>
  <w:style w:type="paragraph" w:styleId="NormalWeb">
    <w:name w:val="Normal (Web)"/>
    <w:basedOn w:val="Normal"/>
    <w:uiPriority w:val="99"/>
    <w:unhideWhenUsed/>
    <w:rsid w:val="0096163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41795">
      <w:bodyDiv w:val="1"/>
      <w:marLeft w:val="0"/>
      <w:marRight w:val="0"/>
      <w:marTop w:val="0"/>
      <w:marBottom w:val="0"/>
      <w:divBdr>
        <w:top w:val="none" w:sz="0" w:space="0" w:color="auto"/>
        <w:left w:val="none" w:sz="0" w:space="0" w:color="auto"/>
        <w:bottom w:val="none" w:sz="0" w:space="0" w:color="auto"/>
        <w:right w:val="none" w:sz="0" w:space="0" w:color="auto"/>
      </w:divBdr>
    </w:div>
    <w:div w:id="709576483">
      <w:bodyDiv w:val="1"/>
      <w:marLeft w:val="0"/>
      <w:marRight w:val="0"/>
      <w:marTop w:val="0"/>
      <w:marBottom w:val="0"/>
      <w:divBdr>
        <w:top w:val="none" w:sz="0" w:space="0" w:color="auto"/>
        <w:left w:val="none" w:sz="0" w:space="0" w:color="auto"/>
        <w:bottom w:val="none" w:sz="0" w:space="0" w:color="auto"/>
        <w:right w:val="none" w:sz="0" w:space="0" w:color="auto"/>
      </w:divBdr>
    </w:div>
    <w:div w:id="864054588">
      <w:bodyDiv w:val="1"/>
      <w:marLeft w:val="0"/>
      <w:marRight w:val="0"/>
      <w:marTop w:val="0"/>
      <w:marBottom w:val="0"/>
      <w:divBdr>
        <w:top w:val="none" w:sz="0" w:space="0" w:color="auto"/>
        <w:left w:val="none" w:sz="0" w:space="0" w:color="auto"/>
        <w:bottom w:val="none" w:sz="0" w:space="0" w:color="auto"/>
        <w:right w:val="none" w:sz="0" w:space="0" w:color="auto"/>
      </w:divBdr>
    </w:div>
    <w:div w:id="177932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png@01D8F28E.F7BCE8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F1B2A5F06DB74484E5D7C03C7AAE83" ma:contentTypeVersion="1" ma:contentTypeDescription="Create a new document." ma:contentTypeScope="" ma:versionID="46bae8f2358d5edc74aa37738d7732a2">
  <xsd:schema xmlns:xsd="http://www.w3.org/2001/XMLSchema" xmlns:xs="http://www.w3.org/2001/XMLSchema" xmlns:p="http://schemas.microsoft.com/office/2006/metadata/properties" targetNamespace="http://schemas.microsoft.com/office/2006/metadata/properties" ma:root="true" ma:fieldsID="d0421ac104f9c60eacca6eb81346dd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2D69C-F7C6-4DBF-B2D9-1770B285142A}">
  <ds:schemaRefs>
    <ds:schemaRef ds:uri="http://schemas.openxmlformats.org/officeDocument/2006/bibliography"/>
  </ds:schemaRefs>
</ds:datastoreItem>
</file>

<file path=customXml/itemProps2.xml><?xml version="1.0" encoding="utf-8"?>
<ds:datastoreItem xmlns:ds="http://schemas.openxmlformats.org/officeDocument/2006/customXml" ds:itemID="{FBF57E89-74EA-43AB-B308-4CFFCB14437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DF078ED-AE8D-4C7B-88DB-2E8836BDE0F7}">
  <ds:schemaRefs>
    <ds:schemaRef ds:uri="http://schemas.microsoft.com/sharepoint/v3/contenttype/forms"/>
  </ds:schemaRefs>
</ds:datastoreItem>
</file>

<file path=customXml/itemProps4.xml><?xml version="1.0" encoding="utf-8"?>
<ds:datastoreItem xmlns:ds="http://schemas.openxmlformats.org/officeDocument/2006/customXml" ds:itemID="{3EAE8DF0-3A55-4A07-852B-18D113DBD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DEVLIN, Tamara</dc:creator>
  <cp:keywords/>
  <dc:description/>
  <cp:lastModifiedBy>DEVLIN, Tamara</cp:lastModifiedBy>
  <cp:revision>41</cp:revision>
  <cp:lastPrinted>2022-09-14T01:59:00Z</cp:lastPrinted>
  <dcterms:created xsi:type="dcterms:W3CDTF">2022-08-02T23:20:00Z</dcterms:created>
  <dcterms:modified xsi:type="dcterms:W3CDTF">2022-11-09T23:47:00Z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0x010100D9F1B2A5F06DB74484E5D7C03C7AAE83</vt:lpwstr>
  </property>
</Properties>
</file>