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D96B7" w14:textId="77777777" w:rsidR="00D33167" w:rsidRPr="00BC1142" w:rsidRDefault="00D33167" w:rsidP="004A32C3">
      <w:pPr>
        <w:rPr>
          <w:lang w:val="en-GB" w:eastAsia="en-GB"/>
        </w:rPr>
      </w:pPr>
      <w:bookmarkStart w:id="0" w:name="_GoBack"/>
      <w:bookmarkEnd w:id="0"/>
      <w:r w:rsidRPr="00BC1142">
        <w:rPr>
          <w:noProof/>
        </w:rPr>
        <w:drawing>
          <wp:inline distT="0" distB="0" distL="0" distR="0" wp14:anchorId="11CFB9F3" wp14:editId="691D5320">
            <wp:extent cx="2457806" cy="591013"/>
            <wp:effectExtent l="0" t="0" r="0" b="0"/>
            <wp:docPr id="9" name="Picture 9"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_inline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806" cy="591013"/>
                    </a:xfrm>
                    <a:prstGeom prst="rect">
                      <a:avLst/>
                    </a:prstGeom>
                  </pic:spPr>
                </pic:pic>
              </a:graphicData>
            </a:graphic>
          </wp:inline>
        </w:drawing>
      </w:r>
    </w:p>
    <w:p w14:paraId="4BEEBD6C" w14:textId="266BFA65" w:rsidR="00A45359" w:rsidRPr="00A45359" w:rsidRDefault="00392D65" w:rsidP="00A45359">
      <w:pPr>
        <w:pStyle w:val="Title"/>
      </w:pPr>
      <w:r>
        <w:t xml:space="preserve">practice incentives program indigenous health incentive </w:t>
      </w:r>
      <w:r>
        <w:br/>
        <w:t>(PIP IHI)</w:t>
      </w:r>
    </w:p>
    <w:p w14:paraId="68F84E65" w14:textId="77777777" w:rsidR="00E34F05" w:rsidRDefault="00E34F05" w:rsidP="005F4768">
      <w:pPr>
        <w:pStyle w:val="SubtitleCover"/>
      </w:pPr>
    </w:p>
    <w:p w14:paraId="03DB9E52" w14:textId="3402C2CF" w:rsidR="00D33167" w:rsidRDefault="00392D65" w:rsidP="005F4768">
      <w:pPr>
        <w:pStyle w:val="SubtitleCover"/>
      </w:pPr>
      <w:r>
        <w:t>Consultation paper</w:t>
      </w:r>
    </w:p>
    <w:p w14:paraId="1B5569B6" w14:textId="04855D69" w:rsidR="006603E3" w:rsidRDefault="008825A1" w:rsidP="004A32C3">
      <w:r>
        <w:t>04</w:t>
      </w:r>
      <w:r w:rsidR="00217CCE">
        <w:t xml:space="preserve"> </w:t>
      </w:r>
      <w:r w:rsidR="008D57BA">
        <w:t xml:space="preserve">April </w:t>
      </w:r>
      <w:r w:rsidR="00E34F05">
        <w:t>201</w:t>
      </w:r>
      <w:r w:rsidR="00217CCE">
        <w:t>9</w:t>
      </w:r>
    </w:p>
    <w:p w14:paraId="36C52E41" w14:textId="77777777" w:rsidR="006603E3" w:rsidRPr="006603E3" w:rsidRDefault="006603E3" w:rsidP="006603E3"/>
    <w:p w14:paraId="458C43DD" w14:textId="77777777" w:rsidR="006603E3" w:rsidRPr="006603E3" w:rsidRDefault="006603E3" w:rsidP="006603E3"/>
    <w:p w14:paraId="31143D5E" w14:textId="77777777" w:rsidR="006603E3" w:rsidRPr="006603E3" w:rsidRDefault="006603E3" w:rsidP="006603E3"/>
    <w:p w14:paraId="70830EF2" w14:textId="77777777" w:rsidR="006603E3" w:rsidRDefault="006603E3" w:rsidP="006603E3"/>
    <w:p w14:paraId="6EE144E9" w14:textId="77777777" w:rsidR="006603E3" w:rsidRDefault="006603E3" w:rsidP="006603E3">
      <w:pPr>
        <w:jc w:val="center"/>
      </w:pPr>
    </w:p>
    <w:p w14:paraId="531D872B" w14:textId="77777777" w:rsidR="006603E3" w:rsidRDefault="006603E3" w:rsidP="006603E3"/>
    <w:p w14:paraId="2ED76572" w14:textId="77777777" w:rsidR="00A66C82" w:rsidRPr="006603E3" w:rsidRDefault="00A66C82" w:rsidP="006603E3">
      <w:pPr>
        <w:sectPr w:rsidR="00A66C82" w:rsidRPr="006603E3" w:rsidSect="004A32C3">
          <w:headerReference w:type="even" r:id="rId12"/>
          <w:headerReference w:type="default" r:id="rId13"/>
          <w:footerReference w:type="default" r:id="rId14"/>
          <w:headerReference w:type="first" r:id="rId15"/>
          <w:pgSz w:w="11906" w:h="16838"/>
          <w:pgMar w:top="1276" w:right="1701" w:bottom="1701" w:left="1701" w:header="0" w:footer="366" w:gutter="0"/>
          <w:cols w:space="708"/>
          <w:docGrid w:linePitch="360"/>
        </w:sectPr>
      </w:pPr>
    </w:p>
    <w:bookmarkStart w:id="1" w:name="_Toc529800906" w:displacedByCustomXml="next"/>
    <w:sdt>
      <w:sdtPr>
        <w:rPr>
          <w:bCs w:val="0"/>
          <w:caps w:val="0"/>
          <w:color w:val="auto"/>
          <w:sz w:val="21"/>
        </w:rPr>
        <w:id w:val="6722777"/>
        <w:docPartObj>
          <w:docPartGallery w:val="Table of Contents"/>
          <w:docPartUnique/>
        </w:docPartObj>
      </w:sdtPr>
      <w:sdtEndPr>
        <w:rPr>
          <w:b/>
          <w:noProof/>
        </w:rPr>
      </w:sdtEndPr>
      <w:sdtContent>
        <w:p w14:paraId="78DBD8BF" w14:textId="6BDA79A9" w:rsidR="00DF0F62" w:rsidRPr="00DF0F62" w:rsidRDefault="00561352" w:rsidP="00DF0F62">
          <w:pPr>
            <w:pStyle w:val="Heading1Black"/>
          </w:pPr>
          <w:r>
            <w:t>Table of Contents</w:t>
          </w:r>
          <w:bookmarkEnd w:id="1"/>
          <w:r>
            <w:rPr>
              <w:bCs w:val="0"/>
              <w:sz w:val="24"/>
            </w:rPr>
            <w:fldChar w:fldCharType="begin"/>
          </w:r>
          <w:r w:rsidRPr="00F65CEF">
            <w:instrText xml:space="preserve"> TOC \o "1-3" \h \z \u </w:instrText>
          </w:r>
          <w:r>
            <w:rPr>
              <w:bCs w:val="0"/>
              <w:sz w:val="24"/>
            </w:rPr>
            <w:fldChar w:fldCharType="separate"/>
          </w:r>
        </w:p>
        <w:p w14:paraId="6859F1AC" w14:textId="77777777" w:rsidR="00DF0F62" w:rsidRDefault="00DF0F62">
          <w:pPr>
            <w:pStyle w:val="TOC1"/>
            <w:tabs>
              <w:tab w:val="right" w:leader="dot" w:pos="8494"/>
            </w:tabs>
            <w:rPr>
              <w:rStyle w:val="Hyperlink"/>
              <w:noProof/>
            </w:rPr>
          </w:pPr>
        </w:p>
        <w:p w14:paraId="25170D40" w14:textId="53002887"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07" w:history="1">
            <w:r w:rsidR="00DF0F62">
              <w:rPr>
                <w:rStyle w:val="Hyperlink"/>
                <w:noProof/>
              </w:rPr>
              <w:t>I</w:t>
            </w:r>
            <w:r w:rsidR="00DF0F62" w:rsidRPr="00ED2F6E">
              <w:rPr>
                <w:rStyle w:val="Hyperlink"/>
                <w:noProof/>
              </w:rPr>
              <w:t>ntroduction</w:t>
            </w:r>
            <w:r w:rsidR="00DF0F62">
              <w:rPr>
                <w:noProof/>
                <w:webHidden/>
              </w:rPr>
              <w:tab/>
            </w:r>
            <w:r w:rsidR="00DF0F62">
              <w:rPr>
                <w:noProof/>
                <w:webHidden/>
              </w:rPr>
              <w:fldChar w:fldCharType="begin"/>
            </w:r>
            <w:r w:rsidR="00DF0F62">
              <w:rPr>
                <w:noProof/>
                <w:webHidden/>
              </w:rPr>
              <w:instrText xml:space="preserve"> PAGEREF _Toc529800907 \h </w:instrText>
            </w:r>
            <w:r w:rsidR="00DF0F62">
              <w:rPr>
                <w:noProof/>
                <w:webHidden/>
              </w:rPr>
            </w:r>
            <w:r w:rsidR="00DF0F62">
              <w:rPr>
                <w:noProof/>
                <w:webHidden/>
              </w:rPr>
              <w:fldChar w:fldCharType="separate"/>
            </w:r>
            <w:r>
              <w:rPr>
                <w:noProof/>
                <w:webHidden/>
              </w:rPr>
              <w:t>1</w:t>
            </w:r>
            <w:r w:rsidR="00DF0F62">
              <w:rPr>
                <w:noProof/>
                <w:webHidden/>
              </w:rPr>
              <w:fldChar w:fldCharType="end"/>
            </w:r>
          </w:hyperlink>
        </w:p>
        <w:p w14:paraId="00641F74" w14:textId="34D1845C"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08" w:history="1">
            <w:r w:rsidR="00DF0F62" w:rsidRPr="00ED2F6E">
              <w:rPr>
                <w:rStyle w:val="Hyperlink"/>
                <w:noProof/>
              </w:rPr>
              <w:t xml:space="preserve">The current </w:t>
            </w:r>
            <w:r w:rsidR="00DF0F62">
              <w:rPr>
                <w:rStyle w:val="Hyperlink"/>
                <w:noProof/>
              </w:rPr>
              <w:t>PIP IHI</w:t>
            </w:r>
            <w:r w:rsidR="00DF0F62" w:rsidRPr="00ED2F6E">
              <w:rPr>
                <w:rStyle w:val="Hyperlink"/>
                <w:noProof/>
              </w:rPr>
              <w:t xml:space="preserve"> payment structure</w:t>
            </w:r>
            <w:r w:rsidR="00DF0F62">
              <w:rPr>
                <w:noProof/>
                <w:webHidden/>
              </w:rPr>
              <w:tab/>
            </w:r>
            <w:r w:rsidR="00DF0F62">
              <w:rPr>
                <w:noProof/>
                <w:webHidden/>
              </w:rPr>
              <w:fldChar w:fldCharType="begin"/>
            </w:r>
            <w:r w:rsidR="00DF0F62">
              <w:rPr>
                <w:noProof/>
                <w:webHidden/>
              </w:rPr>
              <w:instrText xml:space="preserve"> PAGEREF _Toc529800908 \h </w:instrText>
            </w:r>
            <w:r w:rsidR="00DF0F62">
              <w:rPr>
                <w:noProof/>
                <w:webHidden/>
              </w:rPr>
            </w:r>
            <w:r w:rsidR="00DF0F62">
              <w:rPr>
                <w:noProof/>
                <w:webHidden/>
              </w:rPr>
              <w:fldChar w:fldCharType="separate"/>
            </w:r>
            <w:r>
              <w:rPr>
                <w:noProof/>
                <w:webHidden/>
              </w:rPr>
              <w:t>2</w:t>
            </w:r>
            <w:r w:rsidR="00DF0F62">
              <w:rPr>
                <w:noProof/>
                <w:webHidden/>
              </w:rPr>
              <w:fldChar w:fldCharType="end"/>
            </w:r>
          </w:hyperlink>
        </w:p>
        <w:p w14:paraId="1C175865" w14:textId="08CE4F54"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09" w:history="1">
            <w:r w:rsidR="00DF0F62">
              <w:rPr>
                <w:rStyle w:val="Hyperlink"/>
                <w:noProof/>
              </w:rPr>
              <w:t>I</w:t>
            </w:r>
            <w:r w:rsidR="00DF0F62" w:rsidRPr="00ED2F6E">
              <w:rPr>
                <w:rStyle w:val="Hyperlink"/>
                <w:noProof/>
              </w:rPr>
              <w:t>mproving management of chronic disease</w:t>
            </w:r>
            <w:r w:rsidR="00DF0F62">
              <w:rPr>
                <w:noProof/>
                <w:webHidden/>
              </w:rPr>
              <w:tab/>
            </w:r>
            <w:r w:rsidR="00DF0F62">
              <w:rPr>
                <w:noProof/>
                <w:webHidden/>
              </w:rPr>
              <w:fldChar w:fldCharType="begin"/>
            </w:r>
            <w:r w:rsidR="00DF0F62">
              <w:rPr>
                <w:noProof/>
                <w:webHidden/>
              </w:rPr>
              <w:instrText xml:space="preserve"> PAGEREF _Toc529800909 \h </w:instrText>
            </w:r>
            <w:r w:rsidR="00DF0F62">
              <w:rPr>
                <w:noProof/>
                <w:webHidden/>
              </w:rPr>
            </w:r>
            <w:r w:rsidR="00DF0F62">
              <w:rPr>
                <w:noProof/>
                <w:webHidden/>
              </w:rPr>
              <w:fldChar w:fldCharType="separate"/>
            </w:r>
            <w:r>
              <w:rPr>
                <w:noProof/>
                <w:webHidden/>
              </w:rPr>
              <w:t>3</w:t>
            </w:r>
            <w:r w:rsidR="00DF0F62">
              <w:rPr>
                <w:noProof/>
                <w:webHidden/>
              </w:rPr>
              <w:fldChar w:fldCharType="end"/>
            </w:r>
          </w:hyperlink>
        </w:p>
        <w:p w14:paraId="46A6D776" w14:textId="6095A1C9"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10" w:history="1">
            <w:r w:rsidR="00DF0F62" w:rsidRPr="00ED2F6E">
              <w:rPr>
                <w:rStyle w:val="Hyperlink"/>
                <w:noProof/>
              </w:rPr>
              <w:t xml:space="preserve">Building cultural </w:t>
            </w:r>
            <w:r w:rsidR="00DF0F62">
              <w:rPr>
                <w:rStyle w:val="Hyperlink"/>
                <w:noProof/>
              </w:rPr>
              <w:t>safety</w:t>
            </w:r>
            <w:r w:rsidR="00DF0F62">
              <w:rPr>
                <w:noProof/>
                <w:webHidden/>
              </w:rPr>
              <w:tab/>
            </w:r>
            <w:r w:rsidR="00DF0F62">
              <w:rPr>
                <w:noProof/>
                <w:webHidden/>
              </w:rPr>
              <w:fldChar w:fldCharType="begin"/>
            </w:r>
            <w:r w:rsidR="00DF0F62">
              <w:rPr>
                <w:noProof/>
                <w:webHidden/>
              </w:rPr>
              <w:instrText xml:space="preserve"> PAGEREF _Toc529800910 \h </w:instrText>
            </w:r>
            <w:r w:rsidR="00DF0F62">
              <w:rPr>
                <w:noProof/>
                <w:webHidden/>
              </w:rPr>
            </w:r>
            <w:r w:rsidR="00DF0F62">
              <w:rPr>
                <w:noProof/>
                <w:webHidden/>
              </w:rPr>
              <w:fldChar w:fldCharType="separate"/>
            </w:r>
            <w:r>
              <w:rPr>
                <w:noProof/>
                <w:webHidden/>
              </w:rPr>
              <w:t>4</w:t>
            </w:r>
            <w:r w:rsidR="00DF0F62">
              <w:rPr>
                <w:noProof/>
                <w:webHidden/>
              </w:rPr>
              <w:fldChar w:fldCharType="end"/>
            </w:r>
          </w:hyperlink>
        </w:p>
        <w:p w14:paraId="09A497A5" w14:textId="4C110F9F"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11" w:history="1">
            <w:r w:rsidR="00DF0F62" w:rsidRPr="00ED2F6E">
              <w:rPr>
                <w:rStyle w:val="Hyperlink"/>
                <w:noProof/>
              </w:rPr>
              <w:t>Streamlining administration</w:t>
            </w:r>
            <w:r w:rsidR="00DF0F62">
              <w:rPr>
                <w:noProof/>
                <w:webHidden/>
              </w:rPr>
              <w:tab/>
            </w:r>
            <w:r w:rsidR="00DF0F62">
              <w:rPr>
                <w:noProof/>
                <w:webHidden/>
              </w:rPr>
              <w:fldChar w:fldCharType="begin"/>
            </w:r>
            <w:r w:rsidR="00DF0F62">
              <w:rPr>
                <w:noProof/>
                <w:webHidden/>
              </w:rPr>
              <w:instrText xml:space="preserve"> PAGEREF _Toc529800911 \h </w:instrText>
            </w:r>
            <w:r w:rsidR="00DF0F62">
              <w:rPr>
                <w:noProof/>
                <w:webHidden/>
              </w:rPr>
            </w:r>
            <w:r w:rsidR="00DF0F62">
              <w:rPr>
                <w:noProof/>
                <w:webHidden/>
              </w:rPr>
              <w:fldChar w:fldCharType="separate"/>
            </w:r>
            <w:r>
              <w:rPr>
                <w:noProof/>
                <w:webHidden/>
              </w:rPr>
              <w:t>5</w:t>
            </w:r>
            <w:r w:rsidR="00DF0F62">
              <w:rPr>
                <w:noProof/>
                <w:webHidden/>
              </w:rPr>
              <w:fldChar w:fldCharType="end"/>
            </w:r>
          </w:hyperlink>
        </w:p>
        <w:p w14:paraId="0A5A5D40" w14:textId="6BA2455B"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12" w:history="1">
            <w:r w:rsidR="00DF0F62" w:rsidRPr="00ED2F6E">
              <w:rPr>
                <w:rStyle w:val="Hyperlink"/>
                <w:noProof/>
              </w:rPr>
              <w:t xml:space="preserve">Best practice management </w:t>
            </w:r>
            <w:r w:rsidR="00DF0F62">
              <w:rPr>
                <w:rStyle w:val="Hyperlink"/>
                <w:noProof/>
              </w:rPr>
              <w:t xml:space="preserve">of </w:t>
            </w:r>
            <w:r w:rsidR="00DF0F62" w:rsidRPr="00ED2F6E">
              <w:rPr>
                <w:rStyle w:val="Hyperlink"/>
                <w:noProof/>
              </w:rPr>
              <w:t>chronic disease</w:t>
            </w:r>
            <w:r w:rsidR="00DF0F62">
              <w:rPr>
                <w:noProof/>
                <w:webHidden/>
              </w:rPr>
              <w:tab/>
            </w:r>
            <w:r w:rsidR="00DF0F62">
              <w:rPr>
                <w:noProof/>
                <w:webHidden/>
              </w:rPr>
              <w:fldChar w:fldCharType="begin"/>
            </w:r>
            <w:r w:rsidR="00DF0F62">
              <w:rPr>
                <w:noProof/>
                <w:webHidden/>
              </w:rPr>
              <w:instrText xml:space="preserve"> PAGEREF _Toc529800912 \h </w:instrText>
            </w:r>
            <w:r w:rsidR="00DF0F62">
              <w:rPr>
                <w:noProof/>
                <w:webHidden/>
              </w:rPr>
            </w:r>
            <w:r w:rsidR="00DF0F62">
              <w:rPr>
                <w:noProof/>
                <w:webHidden/>
              </w:rPr>
              <w:fldChar w:fldCharType="separate"/>
            </w:r>
            <w:r>
              <w:rPr>
                <w:noProof/>
                <w:webHidden/>
              </w:rPr>
              <w:t>6</w:t>
            </w:r>
            <w:r w:rsidR="00DF0F62">
              <w:rPr>
                <w:noProof/>
                <w:webHidden/>
              </w:rPr>
              <w:fldChar w:fldCharType="end"/>
            </w:r>
          </w:hyperlink>
        </w:p>
        <w:p w14:paraId="47B81E97" w14:textId="3101CF17"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13" w:history="1">
            <w:r w:rsidR="00DF0F62" w:rsidRPr="00ED2F6E">
              <w:rPr>
                <w:rStyle w:val="Hyperlink"/>
                <w:noProof/>
              </w:rPr>
              <w:t>Better respondin</w:t>
            </w:r>
            <w:r w:rsidR="00DF0F62">
              <w:rPr>
                <w:rStyle w:val="Hyperlink"/>
                <w:noProof/>
              </w:rPr>
              <w:t xml:space="preserve">g to patient </w:t>
            </w:r>
            <w:r w:rsidR="00DF0F62" w:rsidRPr="00ED2F6E">
              <w:rPr>
                <w:rStyle w:val="Hyperlink"/>
                <w:noProof/>
              </w:rPr>
              <w:t>mobility</w:t>
            </w:r>
            <w:r w:rsidR="00DF0F62">
              <w:rPr>
                <w:noProof/>
                <w:webHidden/>
              </w:rPr>
              <w:tab/>
            </w:r>
            <w:r w:rsidR="00DF0F62">
              <w:rPr>
                <w:noProof/>
                <w:webHidden/>
              </w:rPr>
              <w:fldChar w:fldCharType="begin"/>
            </w:r>
            <w:r w:rsidR="00DF0F62">
              <w:rPr>
                <w:noProof/>
                <w:webHidden/>
              </w:rPr>
              <w:instrText xml:space="preserve"> PAGEREF _Toc529800913 \h </w:instrText>
            </w:r>
            <w:r w:rsidR="00DF0F62">
              <w:rPr>
                <w:noProof/>
                <w:webHidden/>
              </w:rPr>
            </w:r>
            <w:r w:rsidR="00DF0F62">
              <w:rPr>
                <w:noProof/>
                <w:webHidden/>
              </w:rPr>
              <w:fldChar w:fldCharType="separate"/>
            </w:r>
            <w:r>
              <w:rPr>
                <w:noProof/>
                <w:webHidden/>
              </w:rPr>
              <w:t>7</w:t>
            </w:r>
            <w:r w:rsidR="00DF0F62">
              <w:rPr>
                <w:noProof/>
                <w:webHidden/>
              </w:rPr>
              <w:fldChar w:fldCharType="end"/>
            </w:r>
          </w:hyperlink>
        </w:p>
        <w:p w14:paraId="7D7A657D" w14:textId="1A672B48"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14" w:history="1">
            <w:r w:rsidR="00DF0F62" w:rsidRPr="00ED2F6E">
              <w:rPr>
                <w:rStyle w:val="Hyperlink"/>
                <w:noProof/>
              </w:rPr>
              <w:t>Invitation to collaborate</w:t>
            </w:r>
            <w:r w:rsidR="00DF0F62">
              <w:rPr>
                <w:noProof/>
                <w:webHidden/>
              </w:rPr>
              <w:tab/>
            </w:r>
            <w:r w:rsidR="00DF0F62">
              <w:rPr>
                <w:noProof/>
                <w:webHidden/>
              </w:rPr>
              <w:fldChar w:fldCharType="begin"/>
            </w:r>
            <w:r w:rsidR="00DF0F62">
              <w:rPr>
                <w:noProof/>
                <w:webHidden/>
              </w:rPr>
              <w:instrText xml:space="preserve"> PAGEREF _Toc529800914 \h </w:instrText>
            </w:r>
            <w:r w:rsidR="00DF0F62">
              <w:rPr>
                <w:noProof/>
                <w:webHidden/>
              </w:rPr>
            </w:r>
            <w:r w:rsidR="00DF0F62">
              <w:rPr>
                <w:noProof/>
                <w:webHidden/>
              </w:rPr>
              <w:fldChar w:fldCharType="separate"/>
            </w:r>
            <w:r>
              <w:rPr>
                <w:noProof/>
                <w:webHidden/>
              </w:rPr>
              <w:t>8</w:t>
            </w:r>
            <w:r w:rsidR="00DF0F62">
              <w:rPr>
                <w:noProof/>
                <w:webHidden/>
              </w:rPr>
              <w:fldChar w:fldCharType="end"/>
            </w:r>
          </w:hyperlink>
        </w:p>
        <w:p w14:paraId="5B94560F" w14:textId="6BA79140" w:rsidR="00DF0F62" w:rsidRDefault="00E400C9">
          <w:pPr>
            <w:pStyle w:val="TOC1"/>
            <w:tabs>
              <w:tab w:val="right" w:leader="dot" w:pos="8494"/>
            </w:tabs>
            <w:rPr>
              <w:rFonts w:asciiTheme="minorHAnsi" w:eastAsiaTheme="minorEastAsia" w:hAnsiTheme="minorHAnsi" w:cstheme="minorBidi"/>
              <w:noProof/>
              <w:sz w:val="22"/>
              <w:szCs w:val="22"/>
            </w:rPr>
          </w:pPr>
          <w:hyperlink w:anchor="_Toc529800915" w:history="1">
            <w:r w:rsidR="00DF0F62">
              <w:rPr>
                <w:rStyle w:val="Hyperlink"/>
                <w:noProof/>
              </w:rPr>
              <w:t>Sources</w:t>
            </w:r>
            <w:r w:rsidR="00DF0F62">
              <w:rPr>
                <w:noProof/>
                <w:webHidden/>
              </w:rPr>
              <w:tab/>
            </w:r>
            <w:r w:rsidR="00DF0F62">
              <w:rPr>
                <w:noProof/>
                <w:webHidden/>
              </w:rPr>
              <w:fldChar w:fldCharType="begin"/>
            </w:r>
            <w:r w:rsidR="00DF0F62">
              <w:rPr>
                <w:noProof/>
                <w:webHidden/>
              </w:rPr>
              <w:instrText xml:space="preserve"> PAGEREF _Toc529800915 \h </w:instrText>
            </w:r>
            <w:r w:rsidR="00DF0F62">
              <w:rPr>
                <w:noProof/>
                <w:webHidden/>
              </w:rPr>
            </w:r>
            <w:r w:rsidR="00DF0F62">
              <w:rPr>
                <w:noProof/>
                <w:webHidden/>
              </w:rPr>
              <w:fldChar w:fldCharType="separate"/>
            </w:r>
            <w:r>
              <w:rPr>
                <w:noProof/>
                <w:webHidden/>
              </w:rPr>
              <w:t>10</w:t>
            </w:r>
            <w:r w:rsidR="00DF0F62">
              <w:rPr>
                <w:noProof/>
                <w:webHidden/>
              </w:rPr>
              <w:fldChar w:fldCharType="end"/>
            </w:r>
          </w:hyperlink>
        </w:p>
        <w:p w14:paraId="41E35B60" w14:textId="68AD1490" w:rsidR="00561352" w:rsidRDefault="00561352" w:rsidP="00561352">
          <w:r>
            <w:rPr>
              <w:b/>
              <w:bCs/>
              <w:noProof/>
            </w:rPr>
            <w:fldChar w:fldCharType="end"/>
          </w:r>
        </w:p>
      </w:sdtContent>
    </w:sdt>
    <w:p w14:paraId="4A354C9D" w14:textId="77777777" w:rsidR="00561352" w:rsidRPr="00DE28BE" w:rsidRDefault="00561352" w:rsidP="00DE28BE">
      <w:pPr>
        <w:pStyle w:val="TOC2"/>
        <w:ind w:left="0"/>
      </w:pPr>
      <w:r>
        <w:br w:type="page"/>
      </w:r>
    </w:p>
    <w:p w14:paraId="158EC911" w14:textId="305D4B37" w:rsidR="00CA3975" w:rsidRPr="00EA2CE1" w:rsidRDefault="00CA3975" w:rsidP="00392D65">
      <w:pPr>
        <w:spacing w:after="240"/>
        <w:rPr>
          <w:rFonts w:asciiTheme="majorHAnsi" w:hAnsiTheme="majorHAnsi" w:cstheme="majorHAnsi"/>
          <w:szCs w:val="21"/>
        </w:rPr>
        <w:sectPr w:rsidR="00CA3975" w:rsidRPr="00EA2CE1" w:rsidSect="00847C0F">
          <w:headerReference w:type="even" r:id="rId16"/>
          <w:headerReference w:type="default" r:id="rId17"/>
          <w:footerReference w:type="default" r:id="rId18"/>
          <w:headerReference w:type="first" r:id="rId19"/>
          <w:footnotePr>
            <w:numFmt w:val="lowerRoman"/>
          </w:footnotePr>
          <w:endnotePr>
            <w:numFmt w:val="decimal"/>
          </w:endnotePr>
          <w:pgSz w:w="11906" w:h="16838"/>
          <w:pgMar w:top="1440" w:right="1701" w:bottom="1559" w:left="1701" w:header="709" w:footer="181" w:gutter="0"/>
          <w:pgNumType w:fmt="lowerRoman" w:start="1"/>
          <w:cols w:space="708"/>
          <w:docGrid w:linePitch="360"/>
        </w:sectPr>
      </w:pPr>
      <w:r w:rsidRPr="00EA2CE1">
        <w:rPr>
          <w:rFonts w:asciiTheme="majorHAnsi" w:hAnsiTheme="majorHAnsi" w:cstheme="majorHAnsi"/>
          <w:szCs w:val="21"/>
        </w:rPr>
        <w:lastRenderedPageBreak/>
        <w:t>©</w:t>
      </w:r>
    </w:p>
    <w:p w14:paraId="5494C810" w14:textId="4A4D60FE" w:rsidR="00392D65" w:rsidRPr="00EA2CE1" w:rsidRDefault="00392D65" w:rsidP="00392D65">
      <w:pPr>
        <w:spacing w:after="240"/>
        <w:rPr>
          <w:rFonts w:asciiTheme="majorHAnsi" w:hAnsiTheme="majorHAnsi" w:cstheme="majorHAnsi"/>
          <w:szCs w:val="21"/>
        </w:rPr>
      </w:pPr>
      <w:r w:rsidRPr="00EA2CE1">
        <w:rPr>
          <w:rFonts w:asciiTheme="majorHAnsi" w:hAnsiTheme="majorHAnsi" w:cstheme="majorHAnsi"/>
          <w:szCs w:val="21"/>
        </w:rPr>
        <w:t>Commonwealth of Australia as represented by the Department of Health 2018</w:t>
      </w:r>
    </w:p>
    <w:p w14:paraId="6ACBFD01" w14:textId="77777777" w:rsidR="00392D65" w:rsidRPr="00EA2CE1" w:rsidRDefault="00392D65" w:rsidP="00392D65">
      <w:pPr>
        <w:spacing w:after="240"/>
        <w:rPr>
          <w:rFonts w:asciiTheme="majorHAnsi" w:hAnsiTheme="majorHAnsi" w:cstheme="majorHAnsi"/>
          <w:szCs w:val="21"/>
        </w:rPr>
      </w:pPr>
      <w:r w:rsidRPr="00EA2CE1">
        <w:rPr>
          <w:rFonts w:asciiTheme="majorHAnsi" w:hAnsiTheme="majorHAnsi" w:cstheme="majorHAnsi"/>
          <w:szCs w:val="21"/>
        </w:rPr>
        <w:t xml:space="preserve">Title: Practice Incentives Program Indigenous Health Incentive (PIP IHI) </w:t>
      </w:r>
    </w:p>
    <w:p w14:paraId="2EB5FE7C" w14:textId="77777777" w:rsidR="00392D65" w:rsidRPr="00EA2CE1" w:rsidRDefault="00392D65" w:rsidP="00392D65">
      <w:pPr>
        <w:spacing w:after="240"/>
        <w:rPr>
          <w:rFonts w:asciiTheme="majorHAnsi" w:hAnsiTheme="majorHAnsi" w:cstheme="majorHAnsi"/>
          <w:szCs w:val="21"/>
        </w:rPr>
      </w:pPr>
      <w:r w:rsidRPr="00EA2CE1">
        <w:rPr>
          <w:rFonts w:asciiTheme="majorHAnsi" w:hAnsiTheme="majorHAnsi" w:cstheme="majorHAnsi"/>
          <w:szCs w:val="21"/>
        </w:rPr>
        <w:t>Creative Commons Licence</w:t>
      </w:r>
    </w:p>
    <w:p w14:paraId="16F09CE9" w14:textId="77777777" w:rsidR="00392D65" w:rsidRPr="00EA2CE1" w:rsidRDefault="00392D65" w:rsidP="00392D65">
      <w:pPr>
        <w:rPr>
          <w:rFonts w:asciiTheme="majorHAnsi" w:hAnsiTheme="majorHAnsi" w:cstheme="majorHAnsi"/>
          <w:szCs w:val="21"/>
        </w:rPr>
      </w:pPr>
      <w:r w:rsidRPr="00EA2CE1">
        <w:rPr>
          <w:rFonts w:asciiTheme="majorHAnsi" w:hAnsiTheme="majorHAnsi" w:cstheme="majorHAnsi"/>
          <w:noProof/>
          <w:szCs w:val="21"/>
        </w:rPr>
        <w:drawing>
          <wp:inline distT="0" distB="0" distL="0" distR="0" wp14:anchorId="4F7D44A5" wp14:editId="13BF544C">
            <wp:extent cx="1028700" cy="352425"/>
            <wp:effectExtent l="0" t="0" r="0" b="9525"/>
            <wp:docPr id="1" name="Picture 1" descr="cid:image001.png@01D45713.B4462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713.B4462CC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p w14:paraId="1AB6CD18" w14:textId="7529A4A5" w:rsidR="00392D65" w:rsidRPr="00EA2CE1" w:rsidRDefault="00392D65" w:rsidP="00392D65">
      <w:pPr>
        <w:autoSpaceDE w:val="0"/>
        <w:autoSpaceDN w:val="0"/>
        <w:spacing w:after="120" w:line="181" w:lineRule="atLeast"/>
        <w:rPr>
          <w:rFonts w:asciiTheme="majorHAnsi" w:hAnsiTheme="majorHAnsi" w:cstheme="majorHAnsi"/>
          <w:szCs w:val="21"/>
        </w:rPr>
      </w:pPr>
      <w:r w:rsidRPr="00EA2CE1">
        <w:rPr>
          <w:rFonts w:asciiTheme="majorHAnsi" w:hAnsiTheme="majorHAnsi" w:cstheme="majorHAnsi"/>
          <w:szCs w:val="21"/>
        </w:rPr>
        <w:t xml:space="preserve">This publication is licensed under the Creative Commons Attribution 4.0 International Public License available from </w:t>
      </w:r>
      <w:hyperlink r:id="rId22" w:history="1">
        <w:r w:rsidRPr="00EA2CE1">
          <w:rPr>
            <w:rFonts w:asciiTheme="majorHAnsi" w:hAnsiTheme="majorHAnsi" w:cstheme="majorHAnsi"/>
            <w:szCs w:val="21"/>
          </w:rPr>
          <w:t>https://creativecommons.org/licenses/by/4.0/legalcode</w:t>
        </w:r>
      </w:hyperlink>
      <w:r w:rsidRPr="00EA2CE1">
        <w:rPr>
          <w:rFonts w:asciiTheme="majorHAnsi" w:hAnsiTheme="majorHAnsi" w:cstheme="majorHAnsi"/>
          <w:szCs w:val="21"/>
        </w:rPr>
        <w:t xml:space="preserve"> (“Licence”). You must read and understand the Licence before using any material from this publication. </w:t>
      </w:r>
    </w:p>
    <w:p w14:paraId="667DD122" w14:textId="77777777" w:rsidR="00392D65" w:rsidRPr="00EA2CE1" w:rsidRDefault="00392D65" w:rsidP="00392D65">
      <w:pPr>
        <w:autoSpaceDE w:val="0"/>
        <w:autoSpaceDN w:val="0"/>
        <w:spacing w:after="120" w:line="181" w:lineRule="atLeast"/>
        <w:rPr>
          <w:rFonts w:asciiTheme="majorHAnsi" w:hAnsiTheme="majorHAnsi" w:cstheme="majorHAnsi"/>
          <w:szCs w:val="21"/>
        </w:rPr>
      </w:pPr>
    </w:p>
    <w:p w14:paraId="71E6DB25" w14:textId="59A693B8" w:rsidR="00392D65" w:rsidRPr="00EA2CE1" w:rsidRDefault="00392D65" w:rsidP="00392D65">
      <w:pPr>
        <w:autoSpaceDE w:val="0"/>
        <w:autoSpaceDN w:val="0"/>
        <w:spacing w:after="120" w:line="181" w:lineRule="atLeast"/>
        <w:rPr>
          <w:rFonts w:asciiTheme="majorHAnsi" w:hAnsiTheme="majorHAnsi" w:cstheme="majorHAnsi"/>
          <w:szCs w:val="21"/>
        </w:rPr>
      </w:pPr>
      <w:r w:rsidRPr="00EA2CE1">
        <w:rPr>
          <w:rFonts w:asciiTheme="majorHAnsi" w:hAnsiTheme="majorHAnsi" w:cstheme="majorHAnsi"/>
          <w:szCs w:val="21"/>
        </w:rPr>
        <w:t>Restrictions</w:t>
      </w:r>
    </w:p>
    <w:p w14:paraId="40721AF2" w14:textId="77777777" w:rsidR="00392D65" w:rsidRPr="00EA2CE1" w:rsidRDefault="00392D65" w:rsidP="00392D65">
      <w:pPr>
        <w:autoSpaceDE w:val="0"/>
        <w:autoSpaceDN w:val="0"/>
        <w:spacing w:after="120" w:line="181" w:lineRule="atLeast"/>
        <w:rPr>
          <w:rFonts w:asciiTheme="majorHAnsi" w:hAnsiTheme="majorHAnsi" w:cstheme="majorHAnsi"/>
          <w:szCs w:val="21"/>
        </w:rPr>
      </w:pPr>
      <w:r w:rsidRPr="00EA2CE1">
        <w:rPr>
          <w:rFonts w:asciiTheme="majorHAnsi" w:hAnsiTheme="majorHAnsi" w:cstheme="majorHAnsi"/>
          <w:szCs w:val="21"/>
        </w:rPr>
        <w:t xml:space="preserve">The Licence may not give you all the permissions necessary for your intended use. For example, other rights (such as publicity, privacy and moral rights) may limit how you use the material found in this publication.  </w:t>
      </w:r>
    </w:p>
    <w:p w14:paraId="74807D2B" w14:textId="77777777" w:rsidR="00392D65" w:rsidRPr="00EA2CE1" w:rsidRDefault="00392D65" w:rsidP="00392D65">
      <w:pPr>
        <w:tabs>
          <w:tab w:val="left" w:pos="709"/>
        </w:tabs>
        <w:autoSpaceDE w:val="0"/>
        <w:autoSpaceDN w:val="0"/>
        <w:spacing w:after="120" w:line="181" w:lineRule="atLeast"/>
        <w:rPr>
          <w:rFonts w:asciiTheme="majorHAnsi" w:hAnsiTheme="majorHAnsi" w:cstheme="majorHAnsi"/>
          <w:szCs w:val="21"/>
        </w:rPr>
      </w:pPr>
      <w:r w:rsidRPr="00EA2CE1">
        <w:rPr>
          <w:rFonts w:asciiTheme="majorHAnsi" w:hAnsiTheme="majorHAnsi" w:cstheme="majorHAnsi"/>
          <w:szCs w:val="21"/>
        </w:rPr>
        <w:t xml:space="preserve">The Licence does not cover, and there is no permission given for, use of any of the following material found in this publication: </w:t>
      </w:r>
    </w:p>
    <w:p w14:paraId="004ED0DD"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 xml:space="preserve">the Commonwealth Coat of Arms. (by way of information, the terms under which the Coat of Arms may be used can be found on the Department of Prime Minister and Cabinet website </w:t>
      </w:r>
      <w:hyperlink r:id="rId23" w:history="1">
        <w:r w:rsidRPr="00EA2CE1">
          <w:rPr>
            <w:rFonts w:asciiTheme="majorHAnsi" w:eastAsiaTheme="majorEastAsia" w:hAnsiTheme="majorHAnsi" w:cstheme="majorHAnsi"/>
            <w:sz w:val="21"/>
            <w:szCs w:val="21"/>
            <w:lang w:eastAsia="en-AU"/>
          </w:rPr>
          <w:t>http://www.dpmc.gov.au/government/commonwealth-coat-arms</w:t>
        </w:r>
      </w:hyperlink>
      <w:r w:rsidRPr="00EA2CE1">
        <w:rPr>
          <w:rFonts w:asciiTheme="majorHAnsi" w:eastAsiaTheme="majorEastAsia" w:hAnsiTheme="majorHAnsi" w:cstheme="majorHAnsi"/>
          <w:sz w:val="21"/>
          <w:szCs w:val="21"/>
          <w:lang w:eastAsia="en-AU"/>
        </w:rPr>
        <w:t>);</w:t>
      </w:r>
    </w:p>
    <w:p w14:paraId="6AAF53AC"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any logos and trademarks;</w:t>
      </w:r>
    </w:p>
    <w:p w14:paraId="6329DFD3"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 xml:space="preserve">any photographs and images; </w:t>
      </w:r>
    </w:p>
    <w:p w14:paraId="587C90EB"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any signatures; and</w:t>
      </w:r>
    </w:p>
    <w:p w14:paraId="57424F8F" w14:textId="77777777" w:rsidR="008F1E77"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any material belonging to third parties</w:t>
      </w:r>
      <w:r w:rsidR="008F1E77" w:rsidRPr="00EA2CE1">
        <w:rPr>
          <w:rFonts w:asciiTheme="majorHAnsi" w:eastAsiaTheme="majorEastAsia" w:hAnsiTheme="majorHAnsi" w:cstheme="majorHAnsi"/>
          <w:sz w:val="21"/>
          <w:szCs w:val="21"/>
          <w:lang w:eastAsia="en-AU"/>
        </w:rPr>
        <w:t>. The third party elements must</w:t>
      </w:r>
    </w:p>
    <w:p w14:paraId="3DD07D75" w14:textId="76C3F95D"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be included here or have a footnote reference throughout the document showing where they are.</w:t>
      </w:r>
    </w:p>
    <w:p w14:paraId="691EE3FE" w14:textId="77777777" w:rsidR="00392D65" w:rsidRPr="00EA2CE1" w:rsidRDefault="00392D65" w:rsidP="00392D65">
      <w:pPr>
        <w:autoSpaceDE w:val="0"/>
        <w:autoSpaceDN w:val="0"/>
        <w:spacing w:after="120" w:line="181" w:lineRule="atLeast"/>
        <w:rPr>
          <w:rFonts w:asciiTheme="majorHAnsi" w:hAnsiTheme="majorHAnsi" w:cstheme="majorHAnsi"/>
          <w:szCs w:val="21"/>
        </w:rPr>
      </w:pPr>
    </w:p>
    <w:p w14:paraId="0269D58A" w14:textId="03CCF6A6" w:rsidR="00392D65" w:rsidRPr="00EA2CE1" w:rsidRDefault="00392D65" w:rsidP="00392D65">
      <w:pPr>
        <w:autoSpaceDE w:val="0"/>
        <w:autoSpaceDN w:val="0"/>
        <w:spacing w:after="120" w:line="181" w:lineRule="atLeast"/>
        <w:rPr>
          <w:rFonts w:asciiTheme="majorHAnsi" w:hAnsiTheme="majorHAnsi" w:cstheme="majorHAnsi"/>
          <w:szCs w:val="21"/>
        </w:rPr>
      </w:pPr>
      <w:r w:rsidRPr="00EA2CE1">
        <w:rPr>
          <w:rFonts w:asciiTheme="majorHAnsi" w:hAnsiTheme="majorHAnsi" w:cstheme="majorHAnsi"/>
          <w:szCs w:val="21"/>
        </w:rPr>
        <w:t>Attribution</w:t>
      </w:r>
    </w:p>
    <w:p w14:paraId="3131AF0E" w14:textId="77777777" w:rsidR="00392D65" w:rsidRPr="00EA2CE1" w:rsidRDefault="00392D65" w:rsidP="00392D65">
      <w:pPr>
        <w:autoSpaceDE w:val="0"/>
        <w:autoSpaceDN w:val="0"/>
        <w:spacing w:after="120" w:line="181" w:lineRule="atLeast"/>
        <w:rPr>
          <w:rFonts w:asciiTheme="majorHAnsi" w:hAnsiTheme="majorHAnsi" w:cstheme="majorHAnsi"/>
          <w:szCs w:val="21"/>
        </w:rPr>
      </w:pPr>
      <w:r w:rsidRPr="00EA2CE1">
        <w:rPr>
          <w:rFonts w:asciiTheme="majorHAnsi" w:hAnsiTheme="majorHAnsi" w:cstheme="majorHAnsi"/>
          <w:szCs w:val="21"/>
        </w:rPr>
        <w:t>Without limiting your obligations under the Licence, the Department of Health requests that you attribute this publication in your work. Any reasonable form of words may be used provided that you:</w:t>
      </w:r>
    </w:p>
    <w:p w14:paraId="5A156E19"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 xml:space="preserve">include a reference to this publication and where, practicable, the relevant page numbers; </w:t>
      </w:r>
    </w:p>
    <w:p w14:paraId="032DA6E7"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make it clear that you have permission to use the material under the Creative Commons Attribution 4.0 International Public License;</w:t>
      </w:r>
    </w:p>
    <w:p w14:paraId="09689C07"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 xml:space="preserve">make it clear whether or not you have changed the material used from this publication; </w:t>
      </w:r>
    </w:p>
    <w:p w14:paraId="0D365D30" w14:textId="77777777"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include 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p>
    <w:p w14:paraId="1BD25012" w14:textId="32DDD0F5" w:rsidR="00392D65" w:rsidRPr="00EA2CE1" w:rsidRDefault="00392D65" w:rsidP="006F75AC">
      <w:pPr>
        <w:pStyle w:val="ListParagraph"/>
        <w:numPr>
          <w:ilvl w:val="0"/>
          <w:numId w:val="12"/>
        </w:numPr>
        <w:spacing w:after="120"/>
        <w:ind w:left="284" w:hanging="284"/>
        <w:rPr>
          <w:rFonts w:asciiTheme="majorHAnsi" w:eastAsiaTheme="majorEastAsia" w:hAnsiTheme="majorHAnsi" w:cstheme="majorHAnsi"/>
          <w:sz w:val="21"/>
          <w:szCs w:val="21"/>
          <w:lang w:eastAsia="en-AU"/>
        </w:rPr>
      </w:pPr>
      <w:r w:rsidRPr="00EA2CE1">
        <w:rPr>
          <w:rFonts w:asciiTheme="majorHAnsi" w:eastAsiaTheme="majorEastAsia" w:hAnsiTheme="majorHAnsi" w:cstheme="majorHAnsi"/>
          <w:sz w:val="21"/>
          <w:szCs w:val="21"/>
          <w:lang w:eastAsia="en-AU"/>
        </w:rPr>
        <w:t>do not suggest that the Department of Health endorses you or your use of the material.</w:t>
      </w:r>
    </w:p>
    <w:p w14:paraId="413CEF06" w14:textId="77777777" w:rsidR="00392D65" w:rsidRPr="00EA2CE1" w:rsidRDefault="00392D65" w:rsidP="00392D65">
      <w:pPr>
        <w:autoSpaceDE w:val="0"/>
        <w:autoSpaceDN w:val="0"/>
        <w:spacing w:after="120"/>
        <w:rPr>
          <w:rFonts w:asciiTheme="majorHAnsi" w:hAnsiTheme="majorHAnsi" w:cstheme="majorHAnsi"/>
          <w:szCs w:val="21"/>
        </w:rPr>
      </w:pPr>
    </w:p>
    <w:p w14:paraId="046266D6" w14:textId="611D6F1F" w:rsidR="00392D65" w:rsidRPr="00EA2CE1" w:rsidRDefault="00392D65" w:rsidP="00392D65">
      <w:pPr>
        <w:autoSpaceDE w:val="0"/>
        <w:autoSpaceDN w:val="0"/>
        <w:spacing w:after="120"/>
        <w:rPr>
          <w:rFonts w:asciiTheme="majorHAnsi" w:hAnsiTheme="majorHAnsi" w:cstheme="majorHAnsi"/>
          <w:szCs w:val="21"/>
        </w:rPr>
      </w:pPr>
      <w:r w:rsidRPr="00EA2CE1">
        <w:rPr>
          <w:rFonts w:asciiTheme="majorHAnsi" w:hAnsiTheme="majorHAnsi" w:cstheme="majorHAnsi"/>
          <w:szCs w:val="21"/>
        </w:rPr>
        <w:t>Enquiries</w:t>
      </w:r>
    </w:p>
    <w:p w14:paraId="4E0FCECC" w14:textId="77777777" w:rsidR="00392D65" w:rsidRPr="00053A37" w:rsidRDefault="00392D65" w:rsidP="00CA3975">
      <w:pPr>
        <w:autoSpaceDE w:val="0"/>
        <w:autoSpaceDN w:val="0"/>
        <w:spacing w:after="120" w:line="181" w:lineRule="atLeast"/>
      </w:pPr>
      <w:r w:rsidRPr="00EA2CE1">
        <w:rPr>
          <w:rFonts w:asciiTheme="majorHAnsi" w:hAnsiTheme="majorHAnsi" w:cstheme="majorHAnsi"/>
          <w:szCs w:val="21"/>
        </w:rPr>
        <w:t xml:space="preserve">Enquiries regarding any other use of this publication should be addressed to the Branch Manager, Communication Branch, Department of Health, GPO Box 9848, Canberra ACT 2601, or via e-mail to </w:t>
      </w:r>
      <w:hyperlink r:id="rId24" w:history="1">
        <w:r w:rsidRPr="00EA2CE1">
          <w:rPr>
            <w:rFonts w:asciiTheme="majorHAnsi" w:hAnsiTheme="majorHAnsi" w:cstheme="majorHAnsi"/>
            <w:szCs w:val="21"/>
          </w:rPr>
          <w:t>copyright@health.gov.au</w:t>
        </w:r>
      </w:hyperlink>
      <w:r w:rsidRPr="00EA2CE1">
        <w:rPr>
          <w:rFonts w:asciiTheme="majorHAnsi" w:hAnsiTheme="majorHAnsi" w:cstheme="majorHAnsi"/>
          <w:szCs w:val="21"/>
        </w:rPr>
        <w:t>.</w:t>
      </w:r>
      <w:r>
        <w:br w:type="page"/>
      </w:r>
    </w:p>
    <w:p w14:paraId="02F1DC2E" w14:textId="77777777" w:rsidR="00CA3975" w:rsidRDefault="00CA3975" w:rsidP="00454650">
      <w:pPr>
        <w:pStyle w:val="Heading1Black"/>
        <w:sectPr w:rsidR="00CA3975" w:rsidSect="00847C0F">
          <w:footnotePr>
            <w:numFmt w:val="lowerRoman"/>
          </w:footnotePr>
          <w:endnotePr>
            <w:numFmt w:val="decimal"/>
          </w:endnotePr>
          <w:type w:val="continuous"/>
          <w:pgSz w:w="11906" w:h="16838"/>
          <w:pgMar w:top="1440" w:right="1701" w:bottom="1559" w:left="1701" w:header="709" w:footer="181" w:gutter="0"/>
          <w:cols w:num="2" w:space="708"/>
          <w:docGrid w:linePitch="360"/>
        </w:sectPr>
      </w:pPr>
    </w:p>
    <w:p w14:paraId="2023D87D" w14:textId="21C44E05" w:rsidR="00086703" w:rsidRPr="00F304B4" w:rsidRDefault="00025E92" w:rsidP="00454650">
      <w:pPr>
        <w:pStyle w:val="Heading1Black"/>
      </w:pPr>
      <w:bookmarkStart w:id="2" w:name="_Toc529800907"/>
      <w:r>
        <w:lastRenderedPageBreak/>
        <w:t>i</w:t>
      </w:r>
      <w:r w:rsidR="00392D65">
        <w:t>ntroduction</w:t>
      </w:r>
      <w:bookmarkEnd w:id="2"/>
      <w:r w:rsidR="00392D65">
        <w:t xml:space="preserve"> </w:t>
      </w:r>
    </w:p>
    <w:p w14:paraId="6F7AC0CD" w14:textId="77777777" w:rsidR="0028520A" w:rsidRDefault="0028520A" w:rsidP="008B6C6D">
      <w:pPr>
        <w:spacing w:after="0"/>
      </w:pPr>
    </w:p>
    <w:p w14:paraId="4F6BE966" w14:textId="77777777" w:rsidR="0028520A" w:rsidRDefault="0028520A" w:rsidP="008B6C6D">
      <w:pPr>
        <w:spacing w:after="0"/>
        <w:sectPr w:rsidR="0028520A" w:rsidSect="00847C0F">
          <w:footnotePr>
            <w:numFmt w:val="lowerRoman"/>
          </w:footnotePr>
          <w:endnotePr>
            <w:numFmt w:val="decimal"/>
          </w:endnotePr>
          <w:type w:val="continuous"/>
          <w:pgSz w:w="11906" w:h="16838"/>
          <w:pgMar w:top="1440" w:right="1701" w:bottom="1559" w:left="1701" w:header="709" w:footer="181" w:gutter="0"/>
          <w:pgNumType w:start="1"/>
          <w:cols w:space="708"/>
          <w:docGrid w:linePitch="360"/>
        </w:sectPr>
      </w:pPr>
    </w:p>
    <w:p w14:paraId="6D3EB2D7" w14:textId="58A7FE5E" w:rsidR="008B6C6D" w:rsidRDefault="008B6C6D" w:rsidP="008B6C6D">
      <w:pPr>
        <w:spacing w:after="0"/>
      </w:pPr>
      <w:r>
        <w:t xml:space="preserve">The Practice Incentives Program (PIP) commenced in 1998 and is a key driver of quality care in the primary care sector. There are approximately </w:t>
      </w:r>
      <w:r w:rsidR="000007AF">
        <w:t>5,700</w:t>
      </w:r>
      <w:r>
        <w:t xml:space="preserve"> PIP practices </w:t>
      </w:r>
      <w:r w:rsidR="000007AF">
        <w:t xml:space="preserve">currently </w:t>
      </w:r>
      <w:r>
        <w:t>receiving PIP incentives in Australia</w:t>
      </w:r>
      <w:r>
        <w:rPr>
          <w:rStyle w:val="EndnoteReference"/>
        </w:rPr>
        <w:endnoteReference w:id="1"/>
      </w:r>
      <w:r>
        <w:t>. The PIP aims to encourage general practice</w:t>
      </w:r>
      <w:r w:rsidR="00217CCE">
        <w:t>s</w:t>
      </w:r>
      <w:r>
        <w:t xml:space="preserve"> </w:t>
      </w:r>
      <w:r w:rsidR="000007AF">
        <w:t xml:space="preserve">through financial incentives that </w:t>
      </w:r>
      <w:r>
        <w:t xml:space="preserve">support quality care and improve access and health outcomes for patients. </w:t>
      </w:r>
      <w:r w:rsidR="003513EA">
        <w:t>The Indigenous Health Incentive (IHI) is one of 11 PIP incentives</w:t>
      </w:r>
      <w:r w:rsidR="00A56704">
        <w:rPr>
          <w:rStyle w:val="FootnoteReference"/>
        </w:rPr>
        <w:footnoteReference w:id="1"/>
      </w:r>
      <w:r w:rsidR="003513EA">
        <w:t xml:space="preserve">. </w:t>
      </w:r>
    </w:p>
    <w:p w14:paraId="6AAEFDCB" w14:textId="77777777" w:rsidR="008B6C6D" w:rsidRDefault="008B6C6D" w:rsidP="008B6C6D">
      <w:pPr>
        <w:spacing w:after="0"/>
      </w:pPr>
    </w:p>
    <w:p w14:paraId="28774DBA" w14:textId="77777777" w:rsidR="00217CCE" w:rsidRDefault="008B6C6D" w:rsidP="00217CCE">
      <w:pPr>
        <w:spacing w:after="0"/>
      </w:pPr>
      <w:r w:rsidRPr="00392D65">
        <w:t xml:space="preserve">The PIP </w:t>
      </w:r>
      <w:r w:rsidR="00C47273">
        <w:t>IHI</w:t>
      </w:r>
      <w:r w:rsidRPr="00392D65">
        <w:t xml:space="preserve"> was introduced in March 2010 as part of a $805.5 million Indigenous Chronic Disease Package</w:t>
      </w:r>
      <w:r w:rsidR="000007AF">
        <w:t xml:space="preserve"> (contributed </w:t>
      </w:r>
      <w:r w:rsidR="000007AF" w:rsidRPr="000007AF">
        <w:t>over four years from 2009 to 2013)</w:t>
      </w:r>
      <w:r w:rsidRPr="00392D65">
        <w:t xml:space="preserve">. The </w:t>
      </w:r>
      <w:r w:rsidR="000007AF">
        <w:t>PIP IHI</w:t>
      </w:r>
      <w:r w:rsidRPr="00392D65">
        <w:t xml:space="preserve"> encourage</w:t>
      </w:r>
      <w:r w:rsidR="000007AF">
        <w:t>s</w:t>
      </w:r>
      <w:r w:rsidRPr="00392D65">
        <w:t xml:space="preserve"> general practices and </w:t>
      </w:r>
      <w:r w:rsidR="00217CCE">
        <w:t>Aboriginal Community Controlled</w:t>
      </w:r>
      <w:r w:rsidRPr="00392D65">
        <w:t xml:space="preserve"> </w:t>
      </w:r>
      <w:r w:rsidR="00217CCE">
        <w:t>H</w:t>
      </w:r>
      <w:r w:rsidRPr="00392D65">
        <w:t xml:space="preserve">ealth </w:t>
      </w:r>
      <w:r w:rsidR="00217CCE">
        <w:t>S</w:t>
      </w:r>
      <w:r w:rsidRPr="00392D65">
        <w:t xml:space="preserve">ervices to appropriately and effectively meet the </w:t>
      </w:r>
      <w:r w:rsidR="00217CCE">
        <w:t xml:space="preserve">health </w:t>
      </w:r>
      <w:r w:rsidRPr="00392D65">
        <w:t>care needs of Aboriginal and Torres Strait Islander people</w:t>
      </w:r>
      <w:r>
        <w:rPr>
          <w:rStyle w:val="EndnoteReference"/>
        </w:rPr>
        <w:endnoteReference w:id="2"/>
      </w:r>
      <w:r w:rsidR="00217CCE">
        <w:t xml:space="preserve"> with </w:t>
      </w:r>
      <w:r w:rsidR="00217CCE" w:rsidRPr="00392D65">
        <w:t>chronic disease</w:t>
      </w:r>
      <w:r w:rsidR="00217CCE">
        <w:rPr>
          <w:rStyle w:val="FootnoteReference"/>
        </w:rPr>
        <w:footnoteReference w:id="2"/>
      </w:r>
      <w:r w:rsidRPr="00392D65">
        <w:t>.</w:t>
      </w:r>
      <w:r w:rsidR="00217CCE" w:rsidRPr="00217CCE">
        <w:t xml:space="preserve"> </w:t>
      </w:r>
    </w:p>
    <w:p w14:paraId="3153D666" w14:textId="0AEBF61E" w:rsidR="00217CCE" w:rsidRDefault="00217CCE" w:rsidP="00217CCE">
      <w:pPr>
        <w:spacing w:after="0"/>
      </w:pPr>
    </w:p>
    <w:p w14:paraId="07A8997B" w14:textId="557F13D4" w:rsidR="008B6C6D" w:rsidRDefault="00217CCE" w:rsidP="008B6C6D">
      <w:pPr>
        <w:spacing w:after="0"/>
      </w:pPr>
      <w:r>
        <w:t xml:space="preserve">Following a review of the PIP in 2016, the Australian Government confirmed that the PIP IHI will remain but will be reviewed. </w:t>
      </w:r>
    </w:p>
    <w:p w14:paraId="4823983F" w14:textId="77777777" w:rsidR="00FB7285" w:rsidRDefault="00FB7285" w:rsidP="00FB7285">
      <w:pPr>
        <w:pStyle w:val="Boxshadedcolourbackground"/>
      </w:pPr>
      <w:r>
        <w:t xml:space="preserve">The PIP IHI aims to support general practices and Aboriginal Community Controlled Health Services to provide better health care for Aboriginal and/or Torres Strait Islander patients, including best practice management of chronic disease. </w:t>
      </w:r>
    </w:p>
    <w:p w14:paraId="3D10FC78" w14:textId="1887B241" w:rsidR="0063309F" w:rsidRDefault="0063309F" w:rsidP="008B6C6D">
      <w:pPr>
        <w:spacing w:after="0"/>
      </w:pPr>
    </w:p>
    <w:p w14:paraId="1F56226F" w14:textId="0A52BAC3" w:rsidR="0063309F" w:rsidRDefault="0063309F" w:rsidP="008B6C6D">
      <w:pPr>
        <w:spacing w:after="0"/>
      </w:pPr>
    </w:p>
    <w:p w14:paraId="22D374CD" w14:textId="77777777" w:rsidR="003A6383" w:rsidRDefault="003A6383" w:rsidP="008B6C6D">
      <w:pPr>
        <w:spacing w:after="0"/>
      </w:pPr>
    </w:p>
    <w:p w14:paraId="57BF9AF7" w14:textId="64B7E583" w:rsidR="00392D65" w:rsidRDefault="008B6C6D" w:rsidP="008B6C6D">
      <w:r>
        <w:t>The leading cause of Indigenous mortality is chronic disease, with nearly three in four Indigenous deaths caused by circulatory disease, cancer diabetes and respiratory disease. There is evidence to show that management of chronic disease is contributing to reductions in circulatory disease</w:t>
      </w:r>
      <w:r>
        <w:rPr>
          <w:rStyle w:val="EndnoteReference"/>
        </w:rPr>
        <w:endnoteReference w:id="3"/>
      </w:r>
      <w:r>
        <w:t>.</w:t>
      </w:r>
    </w:p>
    <w:p w14:paraId="22978C91" w14:textId="6304D150" w:rsidR="00392D65" w:rsidRDefault="00BA5404" w:rsidP="00392D65">
      <w:pPr>
        <w:spacing w:after="240"/>
      </w:pPr>
      <w:r>
        <w:t>This Consultation Paper</w:t>
      </w:r>
      <w:r w:rsidR="00392D65">
        <w:t xml:space="preserve"> </w:t>
      </w:r>
      <w:r>
        <w:t>provides</w:t>
      </w:r>
      <w:r w:rsidR="00392D65">
        <w:t xml:space="preserve"> an overview of </w:t>
      </w:r>
      <w:r>
        <w:t>how</w:t>
      </w:r>
      <w:r w:rsidR="00392D65">
        <w:t xml:space="preserve"> the PIP IHI </w:t>
      </w:r>
      <w:r>
        <w:t xml:space="preserve">works and </w:t>
      </w:r>
      <w:r w:rsidR="00E04BA2">
        <w:t>invites</w:t>
      </w:r>
      <w:r w:rsidR="00392D65">
        <w:t xml:space="preserve"> </w:t>
      </w:r>
      <w:r w:rsidR="00E04BA2">
        <w:t>your views</w:t>
      </w:r>
      <w:r w:rsidR="00392D65">
        <w:t xml:space="preserve"> on the PIP IHI </w:t>
      </w:r>
      <w:r w:rsidR="00392D65" w:rsidRPr="00937BFF">
        <w:rPr>
          <w:i/>
        </w:rPr>
        <w:t>opportunities for improvement</w:t>
      </w:r>
      <w:r w:rsidR="00E04BA2">
        <w:t xml:space="preserve">. </w:t>
      </w:r>
      <w:r w:rsidR="000007AF">
        <w:t xml:space="preserve">Several questions are </w:t>
      </w:r>
      <w:r w:rsidR="00392D65">
        <w:t xml:space="preserve">posed throughout the paper </w:t>
      </w:r>
      <w:r w:rsidR="00217CCE">
        <w:t>to</w:t>
      </w:r>
      <w:r w:rsidR="00392D65">
        <w:t xml:space="preserve"> help generate ideas and stimulate discussion. </w:t>
      </w:r>
    </w:p>
    <w:p w14:paraId="0F82ECF9" w14:textId="77777777" w:rsidR="0063309F" w:rsidRDefault="00392D65" w:rsidP="00392D65">
      <w:r w:rsidRPr="002B7001">
        <w:t xml:space="preserve">Details on how stakeholders can participate can be found at Invitation to collaborate on page </w:t>
      </w:r>
      <w:r w:rsidR="00071E8B">
        <w:t>8</w:t>
      </w:r>
      <w:r w:rsidR="000007AF">
        <w:t>.</w:t>
      </w:r>
      <w:r w:rsidR="0063309F">
        <w:t xml:space="preserve"> </w:t>
      </w:r>
    </w:p>
    <w:p w14:paraId="47319A74" w14:textId="384F6A9B" w:rsidR="00F304B4" w:rsidRPr="00633912" w:rsidRDefault="0063309F" w:rsidP="00392D65">
      <w:r w:rsidRPr="00633912">
        <w:t xml:space="preserve">This consultation builds on </w:t>
      </w:r>
      <w:r w:rsidR="008D57BA" w:rsidRPr="00633912">
        <w:t>an</w:t>
      </w:r>
      <w:r w:rsidRPr="00633912">
        <w:t xml:space="preserve"> initial</w:t>
      </w:r>
      <w:r w:rsidR="008D57BA" w:rsidRPr="00633912">
        <w:t xml:space="preserve"> round of</w:t>
      </w:r>
      <w:r w:rsidRPr="00633912">
        <w:t xml:space="preserve"> targeted stakeholder consultation that the Department undertook with </w:t>
      </w:r>
      <w:r w:rsidR="008D57BA" w:rsidRPr="00633912">
        <w:t xml:space="preserve">the </w:t>
      </w:r>
      <w:r w:rsidRPr="00633912">
        <w:t>N</w:t>
      </w:r>
      <w:r w:rsidR="008D57BA" w:rsidRPr="00633912">
        <w:t xml:space="preserve">ational </w:t>
      </w:r>
      <w:r w:rsidRPr="00633912">
        <w:t>A</w:t>
      </w:r>
      <w:r w:rsidR="008D57BA" w:rsidRPr="00633912">
        <w:t xml:space="preserve">boriginal </w:t>
      </w:r>
      <w:r w:rsidRPr="00633912">
        <w:t>C</w:t>
      </w:r>
      <w:r w:rsidR="008D57BA" w:rsidRPr="00633912">
        <w:t xml:space="preserve">ommunity </w:t>
      </w:r>
      <w:r w:rsidRPr="00633912">
        <w:t>C</w:t>
      </w:r>
      <w:r w:rsidR="008D57BA" w:rsidRPr="00633912">
        <w:t xml:space="preserve">ontrolled </w:t>
      </w:r>
      <w:r w:rsidRPr="00633912">
        <w:t>H</w:t>
      </w:r>
      <w:r w:rsidR="008D57BA" w:rsidRPr="00633912">
        <w:t xml:space="preserve">ealth </w:t>
      </w:r>
      <w:r w:rsidRPr="00633912">
        <w:t>O</w:t>
      </w:r>
      <w:r w:rsidR="008D57BA" w:rsidRPr="00633912">
        <w:t>rganisation</w:t>
      </w:r>
      <w:r w:rsidRPr="00633912">
        <w:t>, specific A</w:t>
      </w:r>
      <w:r w:rsidR="008D57BA" w:rsidRPr="00633912">
        <w:t xml:space="preserve">boriginal </w:t>
      </w:r>
      <w:r w:rsidRPr="00633912">
        <w:t>C</w:t>
      </w:r>
      <w:r w:rsidR="008D57BA" w:rsidRPr="00633912">
        <w:t xml:space="preserve">ommunity </w:t>
      </w:r>
      <w:r w:rsidRPr="00633912">
        <w:t>C</w:t>
      </w:r>
      <w:r w:rsidR="008D57BA" w:rsidRPr="00633912">
        <w:t xml:space="preserve">ontrolled </w:t>
      </w:r>
      <w:r w:rsidRPr="00633912">
        <w:t>H</w:t>
      </w:r>
      <w:r w:rsidR="008D57BA" w:rsidRPr="00633912">
        <w:t xml:space="preserve">ealth </w:t>
      </w:r>
      <w:r w:rsidRPr="00633912">
        <w:t>S</w:t>
      </w:r>
      <w:r w:rsidR="008D57BA" w:rsidRPr="00633912">
        <w:t>ervices</w:t>
      </w:r>
      <w:r w:rsidRPr="00633912">
        <w:t xml:space="preserve"> and mainstream peak bodies. </w:t>
      </w:r>
    </w:p>
    <w:p w14:paraId="7D4F8396" w14:textId="15472B71" w:rsidR="000007AF" w:rsidRDefault="000007AF" w:rsidP="00454650">
      <w:pPr>
        <w:pStyle w:val="Heading1Black"/>
      </w:pPr>
      <w:r>
        <w:br w:type="page"/>
      </w:r>
    </w:p>
    <w:p w14:paraId="2704BC26" w14:textId="77777777" w:rsidR="0028520A" w:rsidRDefault="0028520A" w:rsidP="00454650">
      <w:pPr>
        <w:pStyle w:val="Heading1Black"/>
        <w:sectPr w:rsidR="0028520A" w:rsidSect="00847C0F">
          <w:footnotePr>
            <w:numFmt w:val="chicago"/>
          </w:footnotePr>
          <w:endnotePr>
            <w:numFmt w:val="decimal"/>
          </w:endnotePr>
          <w:type w:val="continuous"/>
          <w:pgSz w:w="11906" w:h="16838"/>
          <w:pgMar w:top="1440" w:right="1701" w:bottom="1559" w:left="1701" w:header="709" w:footer="181" w:gutter="0"/>
          <w:cols w:num="2" w:space="708"/>
          <w:docGrid w:linePitch="360"/>
        </w:sectPr>
      </w:pPr>
    </w:p>
    <w:p w14:paraId="7EBF0300" w14:textId="1F8CB687" w:rsidR="00086703" w:rsidRDefault="00217CCE" w:rsidP="00454650">
      <w:pPr>
        <w:pStyle w:val="Heading1Black"/>
      </w:pPr>
      <w:bookmarkStart w:id="3" w:name="_Toc529800908"/>
      <w:r>
        <w:lastRenderedPageBreak/>
        <w:t>The current pip ihi</w:t>
      </w:r>
      <w:r w:rsidR="000007AF">
        <w:t xml:space="preserve"> payment structure</w:t>
      </w:r>
      <w:bookmarkEnd w:id="3"/>
      <w:r w:rsidR="000007AF">
        <w:t xml:space="preserve"> </w:t>
      </w:r>
    </w:p>
    <w:p w14:paraId="0F8528D4" w14:textId="77777777" w:rsidR="0028520A" w:rsidRDefault="0028520A" w:rsidP="00086703"/>
    <w:p w14:paraId="6A4E31E4" w14:textId="77777777" w:rsidR="0028520A" w:rsidRDefault="0028520A" w:rsidP="00086703">
      <w:pPr>
        <w:sectPr w:rsidR="0028520A" w:rsidSect="00847C0F">
          <w:footnotePr>
            <w:numFmt w:val="lowerRoman"/>
          </w:footnotePr>
          <w:endnotePr>
            <w:numFmt w:val="decimal"/>
          </w:endnotePr>
          <w:type w:val="continuous"/>
          <w:pgSz w:w="11906" w:h="16838"/>
          <w:pgMar w:top="1440" w:right="1701" w:bottom="1559" w:left="1701" w:header="709" w:footer="181" w:gutter="0"/>
          <w:cols w:space="708"/>
          <w:docGrid w:linePitch="360"/>
        </w:sectPr>
      </w:pPr>
    </w:p>
    <w:p w14:paraId="2959F32E" w14:textId="2470894E" w:rsidR="00086703" w:rsidRDefault="00086703" w:rsidP="00086703">
      <w:r w:rsidRPr="00746B00">
        <w:t xml:space="preserve">The design of the PIP IHI is intended to provide </w:t>
      </w:r>
      <w:r w:rsidR="00217CCE">
        <w:t>an incentive to mainstream and Aboriginal Community Controlled</w:t>
      </w:r>
      <w:r w:rsidRPr="00746B00">
        <w:t xml:space="preserve"> </w:t>
      </w:r>
      <w:r w:rsidR="00217CCE">
        <w:t>H</w:t>
      </w:r>
      <w:r w:rsidRPr="00746B00">
        <w:t xml:space="preserve">ealth </w:t>
      </w:r>
      <w:r w:rsidR="00217CCE">
        <w:t>S</w:t>
      </w:r>
      <w:r w:rsidRPr="00746B00">
        <w:t xml:space="preserve">ervices to deliver quality </w:t>
      </w:r>
      <w:r w:rsidR="00217CCE">
        <w:t xml:space="preserve">primary health </w:t>
      </w:r>
      <w:r w:rsidRPr="00746B00">
        <w:t xml:space="preserve">care to </w:t>
      </w:r>
      <w:r w:rsidR="000007AF">
        <w:t xml:space="preserve">Aboriginal and Torres Strait Islander </w:t>
      </w:r>
      <w:r w:rsidRPr="00746B00">
        <w:t>p</w:t>
      </w:r>
      <w:r w:rsidR="00217CCE">
        <w:t>eople</w:t>
      </w:r>
      <w:r w:rsidRPr="00746B00">
        <w:t xml:space="preserve"> with chronic disease</w:t>
      </w:r>
      <w:r>
        <w:t>.</w:t>
      </w:r>
    </w:p>
    <w:p w14:paraId="06B539EB" w14:textId="40A7EDE2" w:rsidR="00D44E31" w:rsidRDefault="00AE1049" w:rsidP="00086703">
      <w:r>
        <w:rPr>
          <w:noProof/>
        </w:rPr>
        <w:drawing>
          <wp:anchor distT="0" distB="0" distL="114300" distR="114300" simplePos="0" relativeHeight="251658240" behindDoc="0" locked="0" layoutInCell="1" allowOverlap="1" wp14:anchorId="7B52B512" wp14:editId="0076B23F">
            <wp:simplePos x="0" y="0"/>
            <wp:positionH relativeFrom="margin">
              <wp:align>left</wp:align>
            </wp:positionH>
            <wp:positionV relativeFrom="paragraph">
              <wp:posOffset>2291462</wp:posOffset>
            </wp:positionV>
            <wp:extent cx="2282060" cy="3483979"/>
            <wp:effectExtent l="0" t="0" r="444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5610" cy="3489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7AF">
        <w:t>To be eligible for the PIP IHI,</w:t>
      </w:r>
      <w:r w:rsidR="00086703" w:rsidRPr="00746B00">
        <w:t xml:space="preserve"> a practice must </w:t>
      </w:r>
      <w:r w:rsidR="000007AF">
        <w:t xml:space="preserve">first </w:t>
      </w:r>
      <w:r w:rsidR="00086703" w:rsidRPr="00746B00">
        <w:t xml:space="preserve">be eligible for and participate in the PIP – i.e. it must meet the Royal Australian College of General Practitioners (RACGP) definition of a practice, meet the PIP definition of an open practice, be accredited under the National General Practice Accreditation Scheme (currently against the RACGP Standards for General Practice), maintain public liability insurance, and have professional indemnity cover. </w:t>
      </w:r>
    </w:p>
    <w:p w14:paraId="020BADC4" w14:textId="09E3C3E7" w:rsidR="000007AF" w:rsidRDefault="000007AF" w:rsidP="00086703"/>
    <w:p w14:paraId="6BB61781" w14:textId="7992014F" w:rsidR="000007AF" w:rsidRDefault="000007AF" w:rsidP="00086703"/>
    <w:p w14:paraId="6C456F29" w14:textId="510F656B" w:rsidR="000007AF" w:rsidRDefault="000007AF" w:rsidP="00086703"/>
    <w:p w14:paraId="6BC54118" w14:textId="3FEFE4A2" w:rsidR="005D030A" w:rsidRDefault="005D030A" w:rsidP="00086703"/>
    <w:p w14:paraId="2C914001" w14:textId="7F8BC763" w:rsidR="005D030A" w:rsidRDefault="005D030A" w:rsidP="00086703"/>
    <w:p w14:paraId="306D2643" w14:textId="6661B792" w:rsidR="00B96A81" w:rsidRDefault="00B96A81" w:rsidP="00086703"/>
    <w:p w14:paraId="4DCC5712" w14:textId="3335311F" w:rsidR="00B96A81" w:rsidRDefault="00B96A81" w:rsidP="00086703"/>
    <w:p w14:paraId="1AAA351A" w14:textId="0EC3DAD3" w:rsidR="00B96A81" w:rsidRDefault="00B96A81" w:rsidP="00086703"/>
    <w:p w14:paraId="0AAE82DC" w14:textId="0DABDBA2" w:rsidR="00B96A81" w:rsidRDefault="00B96A81" w:rsidP="00086703"/>
    <w:p w14:paraId="3E533670" w14:textId="1FC394A4" w:rsidR="000007AF" w:rsidRDefault="000007AF" w:rsidP="00086703"/>
    <w:p w14:paraId="3C3649FC" w14:textId="2209864B" w:rsidR="00B96A81" w:rsidRDefault="000007AF" w:rsidP="00086703">
      <w:r>
        <w:t>There are four specific components to the PIP IHI</w:t>
      </w:r>
      <w:r w:rsidR="00A56704">
        <w:rPr>
          <w:rStyle w:val="FootnoteReference"/>
        </w:rPr>
        <w:footnoteReference w:id="3"/>
      </w:r>
      <w:r>
        <w:t xml:space="preserve">. The four components are: </w:t>
      </w:r>
    </w:p>
    <w:p w14:paraId="6ECA8B69" w14:textId="0EBFC6FF" w:rsidR="005D030A" w:rsidRPr="00AE1049" w:rsidRDefault="000007AF" w:rsidP="005D030A">
      <w:pPr>
        <w:pStyle w:val="Boxshadedcolourbackground"/>
      </w:pPr>
      <w:r w:rsidRPr="00AE1049">
        <w:rPr>
          <w:b/>
        </w:rPr>
        <w:t>One-</w:t>
      </w:r>
      <w:r w:rsidR="005D030A" w:rsidRPr="00AE1049">
        <w:rPr>
          <w:b/>
        </w:rPr>
        <w:t>off practice sign-on of $1000</w:t>
      </w:r>
      <w:r w:rsidR="005D030A" w:rsidRPr="00AE1049">
        <w:t>: This sign-on payment is made when the practice registers for PIP IHI and agrees to undertake specified activities to improv</w:t>
      </w:r>
      <w:r w:rsidRPr="00AE1049">
        <w:t>e the provision of care to</w:t>
      </w:r>
      <w:r w:rsidR="005D030A" w:rsidRPr="00AE1049">
        <w:t xml:space="preserve"> Aboriginal and Torres Strait Islander p</w:t>
      </w:r>
      <w:r w:rsidR="00217CCE">
        <w:t>eople</w:t>
      </w:r>
      <w:r w:rsidR="005D030A" w:rsidRPr="00AE1049">
        <w:t xml:space="preserve"> with chronic disease.</w:t>
      </w:r>
    </w:p>
    <w:p w14:paraId="6B531AE7" w14:textId="1BE9A710" w:rsidR="005D030A" w:rsidRPr="00AE1049" w:rsidRDefault="005D030A" w:rsidP="005D030A">
      <w:pPr>
        <w:pStyle w:val="Boxshadedcolourbackground"/>
      </w:pPr>
      <w:r w:rsidRPr="00AE1049">
        <w:rPr>
          <w:b/>
        </w:rPr>
        <w:t>Annual patient registration of $250 p</w:t>
      </w:r>
      <w:r w:rsidR="00217CCE">
        <w:rPr>
          <w:b/>
        </w:rPr>
        <w:t>er year</w:t>
      </w:r>
      <w:r w:rsidRPr="00AE1049">
        <w:rPr>
          <w:b/>
        </w:rPr>
        <w:t xml:space="preserve"> per registered patient</w:t>
      </w:r>
      <w:r w:rsidRPr="00AE1049">
        <w:t>: An annual payment to practices for each eligible Aboriginal and Torres Strait Islander patient 15 years and over, registered with the practice for chronic disease management in a calendar year. During the registration, patients must be offered</w:t>
      </w:r>
      <w:r w:rsidR="000007AF" w:rsidRPr="00AE1049">
        <w:t>,</w:t>
      </w:r>
      <w:r w:rsidRPr="00AE1049">
        <w:t xml:space="preserve"> or be given</w:t>
      </w:r>
      <w:r w:rsidR="000007AF" w:rsidRPr="00AE1049">
        <w:t>,</w:t>
      </w:r>
      <w:r w:rsidRPr="00AE1049">
        <w:t xml:space="preserve"> a Health Check for Aboriginal</w:t>
      </w:r>
      <w:r w:rsidR="000007AF" w:rsidRPr="00AE1049">
        <w:t xml:space="preserve"> and/o</w:t>
      </w:r>
      <w:r w:rsidR="00217CCE">
        <w:t>r Torres Strait Islander people</w:t>
      </w:r>
      <w:r w:rsidR="000007AF" w:rsidRPr="00AE1049">
        <w:t xml:space="preserve"> </w:t>
      </w:r>
      <w:r w:rsidRPr="00AE1049">
        <w:t>(MBS</w:t>
      </w:r>
      <w:r w:rsidR="00217CCE">
        <w:t xml:space="preserve"> item</w:t>
      </w:r>
      <w:r w:rsidRPr="00AE1049">
        <w:t xml:space="preserve"> 715). </w:t>
      </w:r>
    </w:p>
    <w:p w14:paraId="6E3BEF26" w14:textId="367A7FC3" w:rsidR="005D030A" w:rsidRPr="00AE1049" w:rsidRDefault="005D030A" w:rsidP="005D030A">
      <w:pPr>
        <w:pStyle w:val="Boxshadedcolourbackground"/>
      </w:pPr>
      <w:r w:rsidRPr="00AE1049">
        <w:rPr>
          <w:b/>
        </w:rPr>
        <w:t>Ti</w:t>
      </w:r>
      <w:r w:rsidR="00217CCE">
        <w:rPr>
          <w:b/>
        </w:rPr>
        <w:t>er 1 outcomes payment of $100 per year</w:t>
      </w:r>
      <w:r w:rsidRPr="00AE1049">
        <w:rPr>
          <w:b/>
        </w:rPr>
        <w:t xml:space="preserve"> per registered patient</w:t>
      </w:r>
      <w:r w:rsidR="00AE1049">
        <w:t xml:space="preserve">: An </w:t>
      </w:r>
      <w:r w:rsidRPr="00AE1049">
        <w:t xml:space="preserve">outcomes payment is automatically triggered for each patient where the practice provides the target level of at least two services in a calendar year. </w:t>
      </w:r>
    </w:p>
    <w:p w14:paraId="14BB8B53" w14:textId="5B40A2AA" w:rsidR="00D44E31" w:rsidRPr="000007AF" w:rsidRDefault="005D030A" w:rsidP="00B96A81">
      <w:pPr>
        <w:pStyle w:val="Boxshadedcolourbackground"/>
        <w:rPr>
          <w:sz w:val="20"/>
          <w:szCs w:val="20"/>
        </w:rPr>
      </w:pPr>
      <w:r w:rsidRPr="00AE1049">
        <w:rPr>
          <w:b/>
        </w:rPr>
        <w:t>Tier 2 outcomes payment of $150 p</w:t>
      </w:r>
      <w:r w:rsidR="00217CCE">
        <w:rPr>
          <w:b/>
        </w:rPr>
        <w:t>er year</w:t>
      </w:r>
      <w:r w:rsidRPr="00AE1049">
        <w:rPr>
          <w:b/>
        </w:rPr>
        <w:t xml:space="preserve"> per registered patient</w:t>
      </w:r>
      <w:r w:rsidR="00AE1049">
        <w:t xml:space="preserve">: An </w:t>
      </w:r>
      <w:r w:rsidRPr="00AE1049">
        <w:t>outcomes payment is automatically triggered if a practice provides ‘the majority of eligible MBS services for the patient’ during the calendar year.</w:t>
      </w:r>
      <w:r w:rsidR="00D44E31" w:rsidRPr="000007AF">
        <w:rPr>
          <w:sz w:val="20"/>
          <w:szCs w:val="20"/>
        </w:rPr>
        <w:br w:type="page"/>
      </w:r>
    </w:p>
    <w:p w14:paraId="29D4F71C" w14:textId="77777777" w:rsidR="00D44E31" w:rsidRDefault="00D44E31" w:rsidP="00086703">
      <w:pPr>
        <w:sectPr w:rsidR="00D44E31" w:rsidSect="00847C0F">
          <w:footnotePr>
            <w:numFmt w:val="chicago"/>
          </w:footnotePr>
          <w:endnotePr>
            <w:numFmt w:val="decimal"/>
          </w:endnotePr>
          <w:type w:val="continuous"/>
          <w:pgSz w:w="11906" w:h="16838"/>
          <w:pgMar w:top="1440" w:right="1701" w:bottom="1559" w:left="1701" w:header="709" w:footer="181" w:gutter="0"/>
          <w:cols w:num="2" w:space="708"/>
          <w:docGrid w:linePitch="360"/>
        </w:sectPr>
      </w:pPr>
    </w:p>
    <w:p w14:paraId="338EDC1A" w14:textId="426B9B8B" w:rsidR="00086703" w:rsidRDefault="000007AF" w:rsidP="00454650">
      <w:pPr>
        <w:pStyle w:val="Heading1Black"/>
      </w:pPr>
      <w:bookmarkStart w:id="4" w:name="_Toc529800909"/>
      <w:r>
        <w:lastRenderedPageBreak/>
        <w:t>improving</w:t>
      </w:r>
      <w:r w:rsidR="00086703">
        <w:t xml:space="preserve"> management of chronic disease</w:t>
      </w:r>
      <w:bookmarkEnd w:id="4"/>
    </w:p>
    <w:p w14:paraId="316510F7" w14:textId="77777777" w:rsidR="0028520A" w:rsidRDefault="0028520A" w:rsidP="007C56D8"/>
    <w:p w14:paraId="36E45AF9" w14:textId="77777777" w:rsidR="0028520A" w:rsidRDefault="0028520A" w:rsidP="007C56D8">
      <w:pPr>
        <w:sectPr w:rsidR="0028520A" w:rsidSect="00847C0F">
          <w:footnotePr>
            <w:numFmt w:val="lowerRoman"/>
          </w:footnotePr>
          <w:endnotePr>
            <w:numFmt w:val="decimal"/>
          </w:endnotePr>
          <w:type w:val="continuous"/>
          <w:pgSz w:w="11906" w:h="16838"/>
          <w:pgMar w:top="1440" w:right="1701" w:bottom="1559" w:left="1701" w:header="709" w:footer="181" w:gutter="0"/>
          <w:cols w:space="708"/>
          <w:docGrid w:linePitch="360"/>
        </w:sectPr>
      </w:pPr>
    </w:p>
    <w:p w14:paraId="53F6DCB3" w14:textId="3246A472" w:rsidR="00086703" w:rsidRDefault="00217CCE" w:rsidP="00086703">
      <w:r>
        <w:t xml:space="preserve">Each component of the PIP IHI </w:t>
      </w:r>
      <w:r w:rsidR="007C56D8">
        <w:t>is intended to</w:t>
      </w:r>
      <w:r w:rsidR="00086703" w:rsidRPr="004B6ACA">
        <w:t xml:space="preserve"> contribute to best practice management of chronic disease</w:t>
      </w:r>
      <w:r w:rsidR="00702DC3">
        <w:t xml:space="preserve"> for </w:t>
      </w:r>
      <w:r w:rsidR="000007AF">
        <w:t>Aboriginal and Torres Strait Islander</w:t>
      </w:r>
      <w:r w:rsidR="00702DC3">
        <w:t xml:space="preserve"> p</w:t>
      </w:r>
      <w:r>
        <w:t>eople</w:t>
      </w:r>
      <w:r w:rsidR="00086703" w:rsidRPr="004B6ACA">
        <w:t>.</w:t>
      </w:r>
      <w:r w:rsidR="00086703">
        <w:t xml:space="preserve"> </w:t>
      </w:r>
      <w:r w:rsidR="007C56D8">
        <w:t xml:space="preserve">In the following pages we seek your views on the extent to which </w:t>
      </w:r>
      <w:r w:rsidR="00702DC3">
        <w:t>the components of the payment make a differe</w:t>
      </w:r>
      <w:r>
        <w:t>nce to the way health services support</w:t>
      </w:r>
      <w:r w:rsidR="00702DC3">
        <w:t xml:space="preserve"> </w:t>
      </w:r>
      <w:r w:rsidR="000007AF">
        <w:t>Aboriginal and Torres Strait Islander</w:t>
      </w:r>
      <w:r w:rsidR="00702DC3">
        <w:t xml:space="preserve"> p</w:t>
      </w:r>
      <w:r>
        <w:t>eople</w:t>
      </w:r>
      <w:r w:rsidR="00702DC3">
        <w:t xml:space="preserve"> with chronic disease. </w:t>
      </w:r>
    </w:p>
    <w:p w14:paraId="407D957F" w14:textId="6BCB3BD1" w:rsidR="00086703" w:rsidRDefault="00702DC3" w:rsidP="00086703">
      <w:r>
        <w:t>The</w:t>
      </w:r>
      <w:r w:rsidR="000007AF">
        <w:t xml:space="preserve"> four</w:t>
      </w:r>
      <w:r>
        <w:t xml:space="preserve"> </w:t>
      </w:r>
      <w:r w:rsidR="00086703" w:rsidRPr="00114C43">
        <w:rPr>
          <w:i/>
        </w:rPr>
        <w:t>opportunities for improvement</w:t>
      </w:r>
      <w:r w:rsidR="00086703">
        <w:t xml:space="preserve"> </w:t>
      </w:r>
      <w:r w:rsidR="000007AF">
        <w:t>shown</w:t>
      </w:r>
      <w:r>
        <w:t xml:space="preserve"> </w:t>
      </w:r>
      <w:r w:rsidR="000007AF">
        <w:t>to the right</w:t>
      </w:r>
      <w:r>
        <w:t xml:space="preserve"> </w:t>
      </w:r>
      <w:r w:rsidR="00086703">
        <w:t xml:space="preserve">have been informed by feedback to date from </w:t>
      </w:r>
      <w:r w:rsidR="000007AF">
        <w:t>stakeholders</w:t>
      </w:r>
      <w:r w:rsidR="00086703">
        <w:t xml:space="preserve">. </w:t>
      </w:r>
    </w:p>
    <w:p w14:paraId="79F1FCC5" w14:textId="41A44838" w:rsidR="00CA744B" w:rsidRDefault="00CA744B" w:rsidP="00086703"/>
    <w:p w14:paraId="399752E9" w14:textId="19380880" w:rsidR="00CA744B" w:rsidRDefault="00CA744B" w:rsidP="00086703"/>
    <w:p w14:paraId="32D7B965" w14:textId="4D7DA788" w:rsidR="00D404DD" w:rsidRPr="00D404DD" w:rsidRDefault="00CA744B" w:rsidP="00D404DD">
      <w:pPr>
        <w:pStyle w:val="Heading4"/>
        <w:jc w:val="right"/>
        <w:rPr>
          <w:color w:val="1F497D" w:themeColor="text2"/>
        </w:rPr>
      </w:pPr>
      <w:r>
        <w:rPr>
          <w:noProof/>
          <w:lang w:val="en-AU"/>
        </w:rPr>
        <w:drawing>
          <wp:inline distT="0" distB="0" distL="0" distR="0" wp14:anchorId="7DFA2E29" wp14:editId="38EB3E01">
            <wp:extent cx="2475230" cy="375348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5230" cy="3753485"/>
                    </a:xfrm>
                    <a:prstGeom prst="rect">
                      <a:avLst/>
                    </a:prstGeom>
                    <a:noFill/>
                  </pic:spPr>
                </pic:pic>
              </a:graphicData>
            </a:graphic>
          </wp:inline>
        </w:drawing>
      </w:r>
    </w:p>
    <w:p w14:paraId="2FA31FF4" w14:textId="663AEF46" w:rsidR="00CA744B" w:rsidRDefault="00CA744B" w:rsidP="00086703"/>
    <w:p w14:paraId="1D529B59" w14:textId="35C6730A" w:rsidR="00CA744B" w:rsidRDefault="00CA744B" w:rsidP="00086703"/>
    <w:p w14:paraId="425BB787" w14:textId="77777777" w:rsidR="0028520A" w:rsidRDefault="0028520A" w:rsidP="00086703">
      <w:pPr>
        <w:sectPr w:rsidR="0028520A" w:rsidSect="00847C0F">
          <w:footnotePr>
            <w:numFmt w:val="lowerRoman"/>
          </w:footnotePr>
          <w:endnotePr>
            <w:numFmt w:val="decimal"/>
          </w:endnotePr>
          <w:type w:val="continuous"/>
          <w:pgSz w:w="11906" w:h="16838"/>
          <w:pgMar w:top="1440" w:right="1701" w:bottom="1559" w:left="1701" w:header="709" w:footer="181" w:gutter="0"/>
          <w:cols w:num="2" w:space="708"/>
          <w:docGrid w:linePitch="360"/>
        </w:sectPr>
      </w:pPr>
    </w:p>
    <w:p w14:paraId="03FB427F" w14:textId="048C0CB6" w:rsidR="00CA744B" w:rsidRDefault="00CA744B" w:rsidP="00642440">
      <w:pPr>
        <w:pStyle w:val="Boxwithcolouredkeyline"/>
        <w:sectPr w:rsidR="00CA744B" w:rsidSect="00847C0F">
          <w:footnotePr>
            <w:numFmt w:val="lowerRoman"/>
          </w:footnotePr>
          <w:endnotePr>
            <w:numFmt w:val="decimal"/>
          </w:endnotePr>
          <w:type w:val="continuous"/>
          <w:pgSz w:w="11906" w:h="16838"/>
          <w:pgMar w:top="1440" w:right="1701" w:bottom="1559" w:left="1701" w:header="709" w:footer="181" w:gutter="0"/>
          <w:cols w:num="2" w:space="708"/>
          <w:docGrid w:linePitch="360"/>
        </w:sectPr>
      </w:pPr>
    </w:p>
    <w:p w14:paraId="11E5CB7B" w14:textId="41E580A8" w:rsidR="00392D65" w:rsidRDefault="00392D65" w:rsidP="00642440">
      <w:pPr>
        <w:pStyle w:val="Boxwithcolouredkeyline"/>
      </w:pPr>
      <w:r>
        <w:br w:type="page"/>
      </w:r>
    </w:p>
    <w:p w14:paraId="3311A95E" w14:textId="33488A03" w:rsidR="00086703" w:rsidRDefault="00B86AD9" w:rsidP="00454650">
      <w:pPr>
        <w:pStyle w:val="Heading1Black"/>
      </w:pPr>
      <w:bookmarkStart w:id="5" w:name="_Toc529800910"/>
      <w:r w:rsidRPr="00B86AD9">
        <w:rPr>
          <w:noProof/>
        </w:rPr>
        <w:lastRenderedPageBreak/>
        <w:drawing>
          <wp:anchor distT="0" distB="0" distL="114300" distR="114300" simplePos="0" relativeHeight="251663360" behindDoc="1" locked="0" layoutInCell="1" allowOverlap="1" wp14:anchorId="5DD9ADB4" wp14:editId="4C1DDF88">
            <wp:simplePos x="0" y="0"/>
            <wp:positionH relativeFrom="margin">
              <wp:align>right</wp:align>
            </wp:positionH>
            <wp:positionV relativeFrom="paragraph">
              <wp:posOffset>-180975</wp:posOffset>
            </wp:positionV>
            <wp:extent cx="771525" cy="571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5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703">
        <w:t xml:space="preserve">Building cultural </w:t>
      </w:r>
      <w:r w:rsidR="00074159">
        <w:t>SAFETY</w:t>
      </w:r>
      <w:bookmarkEnd w:id="5"/>
    </w:p>
    <w:p w14:paraId="353AC5F3" w14:textId="2CD5F88C" w:rsidR="0028520A" w:rsidRDefault="0028520A" w:rsidP="00086703"/>
    <w:p w14:paraId="76D563DC" w14:textId="0C729DE8" w:rsidR="0028520A" w:rsidRDefault="0028520A" w:rsidP="00086703">
      <w:pPr>
        <w:sectPr w:rsidR="0028520A" w:rsidSect="00847C0F">
          <w:footnotePr>
            <w:numFmt w:val="lowerRoman"/>
          </w:footnotePr>
          <w:endnotePr>
            <w:numFmt w:val="decimal"/>
          </w:endnotePr>
          <w:type w:val="continuous"/>
          <w:pgSz w:w="11906" w:h="16838"/>
          <w:pgMar w:top="1440" w:right="1701" w:bottom="1559" w:left="1701" w:header="709" w:footer="181" w:gutter="0"/>
          <w:cols w:space="708"/>
          <w:docGrid w:linePitch="360"/>
        </w:sectPr>
      </w:pPr>
    </w:p>
    <w:p w14:paraId="479B57E9" w14:textId="03333C39" w:rsidR="00086703" w:rsidRDefault="00086703" w:rsidP="00086703">
      <w:r>
        <w:t xml:space="preserve">The PIP IHI guidelines state that PIP IHI </w:t>
      </w:r>
      <w:r w:rsidR="000007AF">
        <w:t xml:space="preserve">registered </w:t>
      </w:r>
      <w:r>
        <w:t xml:space="preserve">practices are required to undertake cultural awareness training within 12 months of </w:t>
      </w:r>
      <w:r w:rsidR="004023B3">
        <w:t>sign-on to</w:t>
      </w:r>
      <w:r>
        <w:t xml:space="preserve"> the incentive</w:t>
      </w:r>
      <w:r w:rsidR="00A56704">
        <w:rPr>
          <w:rStyle w:val="FootnoteReference"/>
        </w:rPr>
        <w:footnoteReference w:id="4"/>
      </w:r>
      <w:r>
        <w:t>. To meet the requirement, a</w:t>
      </w:r>
      <w:r w:rsidR="004023B3">
        <w:t>t least two staff members from the</w:t>
      </w:r>
      <w:r>
        <w:t xml:space="preserve"> </w:t>
      </w:r>
      <w:r w:rsidR="002B76DD">
        <w:t xml:space="preserve">general </w:t>
      </w:r>
      <w:r>
        <w:t xml:space="preserve">practice (one must be a GP) must complete appropriate cultural awareness training within </w:t>
      </w:r>
      <w:r w:rsidR="004023B3">
        <w:t>that time</w:t>
      </w:r>
      <w:r>
        <w:t xml:space="preserve">. For the purpose of the PIP IHI appropriate training is any endorsed by a professional medical college, including: </w:t>
      </w:r>
    </w:p>
    <w:p w14:paraId="2D885A8A" w14:textId="03AF148A" w:rsidR="00086703" w:rsidRPr="00991C34" w:rsidRDefault="00086703" w:rsidP="00D44E31">
      <w:pPr>
        <w:pStyle w:val="BulletedList"/>
        <w:tabs>
          <w:tab w:val="clear" w:pos="720"/>
          <w:tab w:val="num" w:pos="284"/>
        </w:tabs>
        <w:ind w:left="284" w:hanging="284"/>
      </w:pPr>
      <w:r w:rsidRPr="00991C34">
        <w:t>those offering Continuing</w:t>
      </w:r>
      <w:r w:rsidR="00EB5A00">
        <w:t xml:space="preserve"> Professional Development </w:t>
      </w:r>
      <w:r w:rsidRPr="00991C34">
        <w:t xml:space="preserve">points, or </w:t>
      </w:r>
    </w:p>
    <w:p w14:paraId="63063241" w14:textId="42803A48" w:rsidR="00086703" w:rsidRPr="00F91617" w:rsidRDefault="00086703" w:rsidP="00D44E31">
      <w:pPr>
        <w:pStyle w:val="BulletedList"/>
        <w:tabs>
          <w:tab w:val="clear" w:pos="720"/>
          <w:tab w:val="num" w:pos="284"/>
        </w:tabs>
        <w:ind w:left="284" w:hanging="284"/>
      </w:pPr>
      <w:r w:rsidRPr="00991C34">
        <w:t xml:space="preserve">those endorsed by the National Aboriginal Community </w:t>
      </w:r>
      <w:r>
        <w:t xml:space="preserve">Controlled Health Organisation </w:t>
      </w:r>
      <w:r w:rsidRPr="00991C34">
        <w:t>or one of its state or territory</w:t>
      </w:r>
      <w:r w:rsidR="002B76DD">
        <w:t xml:space="preserve"> Sector Support Organisations</w:t>
      </w:r>
      <w:r w:rsidRPr="00991C34">
        <w:t xml:space="preserve">. </w:t>
      </w:r>
    </w:p>
    <w:p w14:paraId="040669BB" w14:textId="228E8FB5" w:rsidR="00D44E31" w:rsidRPr="00A8478E" w:rsidRDefault="00086703" w:rsidP="00086703">
      <w:pPr>
        <w:rPr>
          <w:rFonts w:cs="Segoe UI"/>
          <w:color w:val="000000"/>
          <w:szCs w:val="19"/>
        </w:rPr>
      </w:pPr>
      <w:r w:rsidRPr="00A8478E">
        <w:rPr>
          <w:rFonts w:cs="Segoe UI"/>
          <w:color w:val="000000"/>
          <w:szCs w:val="19"/>
        </w:rPr>
        <w:t xml:space="preserve">The </w:t>
      </w:r>
      <w:r w:rsidR="004023B3">
        <w:rPr>
          <w:rFonts w:cs="Segoe UI"/>
          <w:color w:val="000000"/>
          <w:szCs w:val="19"/>
        </w:rPr>
        <w:t xml:space="preserve">2017 </w:t>
      </w:r>
      <w:r w:rsidRPr="00A8478E">
        <w:rPr>
          <w:rFonts w:cs="Segoe UI"/>
          <w:color w:val="000000"/>
          <w:szCs w:val="19"/>
        </w:rPr>
        <w:t>Aboriginal and Torres Strait Islander Health Performance Framework states that while most Indigenous Australians had positive interactions with doctors, ‘Indigenous Australians in non-remote areas reported that their GP, rarely or never: showe</w:t>
      </w:r>
      <w:r w:rsidR="004023B3">
        <w:rPr>
          <w:rFonts w:cs="Segoe UI"/>
          <w:color w:val="000000"/>
          <w:szCs w:val="19"/>
        </w:rPr>
        <w:t>d respect for what was said (15 per cent), listened to them (20 per cent</w:t>
      </w:r>
      <w:r w:rsidRPr="00A8478E">
        <w:rPr>
          <w:rFonts w:cs="Segoe UI"/>
          <w:color w:val="000000"/>
          <w:szCs w:val="19"/>
        </w:rPr>
        <w:t>) or s</w:t>
      </w:r>
      <w:r w:rsidR="004023B3">
        <w:rPr>
          <w:rFonts w:cs="Segoe UI"/>
          <w:color w:val="000000"/>
          <w:szCs w:val="19"/>
        </w:rPr>
        <w:t>pent enough time with them (21 per cent</w:t>
      </w:r>
      <w:r>
        <w:rPr>
          <w:rFonts w:cs="Segoe UI"/>
          <w:color w:val="000000"/>
          <w:szCs w:val="19"/>
        </w:rPr>
        <w:t>)</w:t>
      </w:r>
      <w:r w:rsidR="00D925A7">
        <w:rPr>
          <w:rStyle w:val="EndnoteReference"/>
          <w:rFonts w:cs="Segoe UI"/>
          <w:color w:val="000000"/>
          <w:szCs w:val="19"/>
        </w:rPr>
        <w:endnoteReference w:id="4"/>
      </w:r>
      <w:r w:rsidRPr="00A8478E">
        <w:rPr>
          <w:rFonts w:cs="Segoe UI"/>
          <w:color w:val="000000"/>
          <w:szCs w:val="19"/>
        </w:rPr>
        <w:t xml:space="preserve">.’ </w:t>
      </w:r>
    </w:p>
    <w:p w14:paraId="6DF74BA3" w14:textId="431D80A0" w:rsidR="00086703" w:rsidRDefault="002B76DD" w:rsidP="00086703">
      <w:pPr>
        <w:rPr>
          <w:rFonts w:cs="Segoe UI"/>
          <w:color w:val="000000"/>
          <w:szCs w:val="19"/>
        </w:rPr>
      </w:pPr>
      <w:r>
        <w:rPr>
          <w:rFonts w:cs="Segoe UI"/>
          <w:color w:val="000000"/>
          <w:szCs w:val="19"/>
        </w:rPr>
        <w:t>H</w:t>
      </w:r>
      <w:r w:rsidR="00086703" w:rsidRPr="001B7ED7">
        <w:rPr>
          <w:rFonts w:cs="Segoe UI"/>
          <w:color w:val="000000"/>
          <w:szCs w:val="19"/>
        </w:rPr>
        <w:t>ealth service</w:t>
      </w:r>
      <w:r w:rsidR="004023B3">
        <w:rPr>
          <w:rFonts w:cs="Segoe UI"/>
          <w:color w:val="000000"/>
          <w:szCs w:val="19"/>
        </w:rPr>
        <w:t>s</w:t>
      </w:r>
      <w:r w:rsidR="00086703" w:rsidRPr="001B7ED7">
        <w:rPr>
          <w:rFonts w:cs="Segoe UI"/>
          <w:color w:val="000000"/>
          <w:szCs w:val="19"/>
        </w:rPr>
        <w:t xml:space="preserve"> </w:t>
      </w:r>
      <w:r w:rsidR="004023B3">
        <w:rPr>
          <w:rFonts w:cs="Segoe UI"/>
          <w:color w:val="000000"/>
          <w:szCs w:val="19"/>
        </w:rPr>
        <w:t>and the health system</w:t>
      </w:r>
      <w:r w:rsidR="00086703" w:rsidRPr="001B7ED7">
        <w:rPr>
          <w:rFonts w:cs="Segoe UI"/>
          <w:color w:val="000000"/>
          <w:szCs w:val="19"/>
        </w:rPr>
        <w:t xml:space="preserve"> </w:t>
      </w:r>
      <w:r>
        <w:rPr>
          <w:rFonts w:cs="Segoe UI"/>
          <w:color w:val="000000"/>
          <w:szCs w:val="19"/>
        </w:rPr>
        <w:t>should</w:t>
      </w:r>
      <w:r w:rsidR="00086703" w:rsidRPr="001B7ED7">
        <w:rPr>
          <w:rFonts w:cs="Segoe UI"/>
          <w:color w:val="000000"/>
          <w:szCs w:val="19"/>
        </w:rPr>
        <w:t xml:space="preserve"> be responsive to cultural differences. Aboriginal and Torres Strait Islander people are more likely to access services that are respe</w:t>
      </w:r>
      <w:r w:rsidR="00AB7CF7">
        <w:rPr>
          <w:rFonts w:cs="Segoe UI"/>
          <w:color w:val="000000"/>
          <w:szCs w:val="19"/>
        </w:rPr>
        <w:t>ctful and culturally safe places</w:t>
      </w:r>
      <w:r w:rsidR="00D925A7">
        <w:rPr>
          <w:rStyle w:val="EndnoteReference"/>
          <w:rFonts w:cs="Segoe UI"/>
          <w:color w:val="000000"/>
          <w:szCs w:val="19"/>
        </w:rPr>
        <w:endnoteReference w:id="5"/>
      </w:r>
      <w:r w:rsidR="00086703" w:rsidRPr="00A8478E">
        <w:rPr>
          <w:rFonts w:cs="Segoe UI"/>
          <w:color w:val="000000"/>
          <w:szCs w:val="19"/>
        </w:rPr>
        <w:t>.</w:t>
      </w:r>
    </w:p>
    <w:p w14:paraId="431DA0BA" w14:textId="186DDC89" w:rsidR="00086703" w:rsidRDefault="00086703" w:rsidP="00086703">
      <w:pPr>
        <w:rPr>
          <w:rFonts w:cs="Segoe UI"/>
          <w:color w:val="000000"/>
          <w:szCs w:val="19"/>
        </w:rPr>
      </w:pPr>
      <w:r w:rsidRPr="00991C34">
        <w:t xml:space="preserve">Feedback </w:t>
      </w:r>
      <w:r w:rsidR="004023B3">
        <w:t xml:space="preserve">from stakeholders </w:t>
      </w:r>
      <w:r w:rsidRPr="00991C34">
        <w:t xml:space="preserve">to date supports improving the level and quality of culturally appropriate care across the broader health system. </w:t>
      </w:r>
      <w:r w:rsidRPr="00991C34">
        <w:rPr>
          <w:rFonts w:cs="Segoe UI"/>
          <w:color w:val="000000"/>
          <w:szCs w:val="19"/>
        </w:rPr>
        <w:t xml:space="preserve">Cultural awareness training can be the first step, however developing mutually respectful relationships with Aboriginal and Torres Strait Islander patients and understanding the local Indigenous community </w:t>
      </w:r>
      <w:r w:rsidR="004023B3">
        <w:rPr>
          <w:rFonts w:cs="Segoe UI"/>
          <w:color w:val="000000"/>
          <w:szCs w:val="19"/>
        </w:rPr>
        <w:t xml:space="preserve">takes effort and </w:t>
      </w:r>
      <w:r w:rsidRPr="00991C34">
        <w:rPr>
          <w:rFonts w:cs="Segoe UI"/>
          <w:color w:val="000000"/>
          <w:szCs w:val="19"/>
        </w:rPr>
        <w:t xml:space="preserve">is essential for practices to deliver culturally appropriate care. </w:t>
      </w:r>
    </w:p>
    <w:p w14:paraId="45D71675" w14:textId="01594FE6" w:rsidR="00A45359" w:rsidRPr="00564A2E" w:rsidRDefault="00A45359" w:rsidP="004B3493">
      <w:pPr>
        <w:pStyle w:val="Boxshadedcolourbackground"/>
      </w:pPr>
      <w:r w:rsidRPr="00564A2E">
        <w:t xml:space="preserve">Do the current PIP IHI guidelines facilitate culturally appropriate care for </w:t>
      </w:r>
      <w:r w:rsidR="002B76DD">
        <w:t>Aboriginal and Torres Strait Islander</w:t>
      </w:r>
      <w:r w:rsidRPr="00564A2E">
        <w:t xml:space="preserve"> patients?</w:t>
      </w:r>
    </w:p>
    <w:p w14:paraId="67854DAF" w14:textId="3A246918" w:rsidR="00A45359" w:rsidRPr="00564A2E" w:rsidRDefault="00A45359" w:rsidP="004B3493">
      <w:pPr>
        <w:pStyle w:val="Boxshadedcolourbackground"/>
      </w:pPr>
      <w:r w:rsidRPr="00564A2E">
        <w:t xml:space="preserve">Is </w:t>
      </w:r>
      <w:r w:rsidR="001E033F">
        <w:t>a requirement that</w:t>
      </w:r>
      <w:r w:rsidRPr="00564A2E">
        <w:t xml:space="preserve"> cultural awareness training be undertaken appropriate for health practices?</w:t>
      </w:r>
    </w:p>
    <w:p w14:paraId="7FEC0AC0" w14:textId="7FF0A152" w:rsidR="0028520A" w:rsidRDefault="00A45359" w:rsidP="004B3493">
      <w:pPr>
        <w:pStyle w:val="Boxshadedcolourbackground"/>
        <w:sectPr w:rsidR="0028520A" w:rsidSect="00847C0F">
          <w:footnotePr>
            <w:numFmt w:val="chicago"/>
          </w:footnotePr>
          <w:endnotePr>
            <w:numFmt w:val="decimal"/>
          </w:endnotePr>
          <w:type w:val="continuous"/>
          <w:pgSz w:w="11906" w:h="16838"/>
          <w:pgMar w:top="1440" w:right="1701" w:bottom="1559" w:left="1701" w:header="709" w:footer="181" w:gutter="0"/>
          <w:cols w:num="2" w:space="708"/>
          <w:docGrid w:linePitch="360"/>
        </w:sectPr>
      </w:pPr>
      <w:r w:rsidRPr="00A45359">
        <w:t>How can we monitor the cultural competence of registered PIP IHI practices?</w:t>
      </w:r>
    </w:p>
    <w:p w14:paraId="514442A1" w14:textId="6E4829AC" w:rsidR="00392D65" w:rsidRDefault="00392D65" w:rsidP="00A45359">
      <w:pPr>
        <w:pStyle w:val="Boxwithcolouredkeyline"/>
      </w:pPr>
      <w:r>
        <w:br w:type="page"/>
      </w:r>
    </w:p>
    <w:p w14:paraId="07B91CC6" w14:textId="2239A839" w:rsidR="00A45359" w:rsidRDefault="00B86AD9" w:rsidP="00454650">
      <w:pPr>
        <w:pStyle w:val="Heading1Black"/>
      </w:pPr>
      <w:bookmarkStart w:id="6" w:name="_Toc529800911"/>
      <w:r w:rsidRPr="00B86AD9">
        <w:rPr>
          <w:noProof/>
        </w:rPr>
        <w:lastRenderedPageBreak/>
        <w:drawing>
          <wp:anchor distT="0" distB="0" distL="114300" distR="114300" simplePos="0" relativeHeight="251664384" behindDoc="1" locked="0" layoutInCell="1" allowOverlap="1" wp14:anchorId="111B7491" wp14:editId="18F768CD">
            <wp:simplePos x="0" y="0"/>
            <wp:positionH relativeFrom="margin">
              <wp:align>right</wp:align>
            </wp:positionH>
            <wp:positionV relativeFrom="paragraph">
              <wp:posOffset>-161925</wp:posOffset>
            </wp:positionV>
            <wp:extent cx="781050" cy="571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59">
        <w:t>Streamlining administration</w:t>
      </w:r>
      <w:bookmarkEnd w:id="6"/>
    </w:p>
    <w:p w14:paraId="7F878DA6" w14:textId="77777777" w:rsidR="00EB7789" w:rsidRDefault="00EB7789" w:rsidP="00A45359"/>
    <w:p w14:paraId="56D047B2" w14:textId="77777777" w:rsidR="0028520A" w:rsidRDefault="0028520A" w:rsidP="00A45359">
      <w:pPr>
        <w:sectPr w:rsidR="0028520A" w:rsidSect="00847C0F">
          <w:footnotePr>
            <w:numFmt w:val="lowerRoman"/>
          </w:footnotePr>
          <w:endnotePr>
            <w:numFmt w:val="decimal"/>
          </w:endnotePr>
          <w:type w:val="continuous"/>
          <w:pgSz w:w="11906" w:h="16838"/>
          <w:pgMar w:top="1440" w:right="1701" w:bottom="1559" w:left="1701" w:header="709" w:footer="181" w:gutter="0"/>
          <w:cols w:space="708"/>
          <w:docGrid w:linePitch="360"/>
        </w:sectPr>
      </w:pPr>
    </w:p>
    <w:p w14:paraId="1A1C1D91" w14:textId="1D656B40" w:rsidR="00A45359" w:rsidRDefault="00A470F8" w:rsidP="00A45359">
      <w:r>
        <w:t xml:space="preserve">Indigenous patients are required to sign a </w:t>
      </w:r>
      <w:r w:rsidRPr="004B3E17">
        <w:t xml:space="preserve">PIP IHI </w:t>
      </w:r>
      <w:r w:rsidR="00A45359" w:rsidRPr="004B3E17">
        <w:t>consent</w:t>
      </w:r>
      <w:r w:rsidR="00A45359">
        <w:t xml:space="preserve"> form </w:t>
      </w:r>
      <w:r>
        <w:t xml:space="preserve">which requires </w:t>
      </w:r>
      <w:r w:rsidR="004B3E17">
        <w:t>them</w:t>
      </w:r>
      <w:r w:rsidR="00A45359">
        <w:t xml:space="preserve"> to</w:t>
      </w:r>
      <w:r>
        <w:t>:</w:t>
      </w:r>
    </w:p>
    <w:p w14:paraId="734035A0" w14:textId="3D9C3894" w:rsidR="00A470F8" w:rsidRDefault="00A470F8" w:rsidP="00D44E31">
      <w:pPr>
        <w:pStyle w:val="BulletedList"/>
        <w:tabs>
          <w:tab w:val="clear" w:pos="720"/>
          <w:tab w:val="num" w:pos="284"/>
        </w:tabs>
        <w:ind w:left="284" w:hanging="284"/>
      </w:pPr>
      <w:r>
        <w:t xml:space="preserve">confirm they have a chronic disease </w:t>
      </w:r>
    </w:p>
    <w:p w14:paraId="43A7096F" w14:textId="337B183D" w:rsidR="00A45359" w:rsidRDefault="00A470F8" w:rsidP="00D44E31">
      <w:pPr>
        <w:pStyle w:val="BulletedList"/>
        <w:tabs>
          <w:tab w:val="clear" w:pos="720"/>
          <w:tab w:val="num" w:pos="284"/>
        </w:tabs>
        <w:ind w:left="284" w:hanging="284"/>
      </w:pPr>
      <w:r>
        <w:t xml:space="preserve">confirm </w:t>
      </w:r>
      <w:r w:rsidR="00A45359">
        <w:t xml:space="preserve">their </w:t>
      </w:r>
      <w:r>
        <w:t xml:space="preserve">understanding that their </w:t>
      </w:r>
      <w:r w:rsidR="00A45359">
        <w:t>personal details will be shared between the practice and the Australian Government, and</w:t>
      </w:r>
    </w:p>
    <w:p w14:paraId="7A21C548" w14:textId="0DC745A1" w:rsidR="00A45359" w:rsidRDefault="00A45359" w:rsidP="00D44E31">
      <w:pPr>
        <w:pStyle w:val="BulletedList"/>
        <w:tabs>
          <w:tab w:val="clear" w:pos="720"/>
          <w:tab w:val="num" w:pos="284"/>
        </w:tabs>
        <w:ind w:left="284" w:hanging="284"/>
      </w:pPr>
      <w:r>
        <w:t>self-identify as being of Aboriginal and/or Torres Strait Islander origin</w:t>
      </w:r>
      <w:r w:rsidR="00A56704">
        <w:rPr>
          <w:rStyle w:val="FootnoteReference"/>
        </w:rPr>
        <w:footnoteReference w:id="5"/>
      </w:r>
      <w:r>
        <w:t>.</w:t>
      </w:r>
    </w:p>
    <w:p w14:paraId="5ECB364C" w14:textId="270DE165" w:rsidR="00CA206A" w:rsidRPr="00CA206A" w:rsidRDefault="00CA206A" w:rsidP="00A45359">
      <w:r w:rsidRPr="00CA206A">
        <w:t>A patient’s initial PIP IHI registration is also the trigger for that patient’s record to be annotated (in the general practice’s system) as eligible to receive the C</w:t>
      </w:r>
      <w:r w:rsidR="002B76DD">
        <w:t xml:space="preserve">losing the </w:t>
      </w:r>
      <w:r w:rsidRPr="00CA206A">
        <w:t>G</w:t>
      </w:r>
      <w:r w:rsidR="002B76DD">
        <w:t>ap</w:t>
      </w:r>
      <w:r w:rsidRPr="00CA206A">
        <w:t xml:space="preserve"> </w:t>
      </w:r>
      <w:r w:rsidR="002B76DD">
        <w:t xml:space="preserve">(CTG) </w:t>
      </w:r>
      <w:r w:rsidR="002B76DD" w:rsidRPr="00CA206A">
        <w:t>P</w:t>
      </w:r>
      <w:r w:rsidR="002B76DD">
        <w:t xml:space="preserve">harmaceutical </w:t>
      </w:r>
      <w:r w:rsidRPr="00CA206A">
        <w:t>B</w:t>
      </w:r>
      <w:r w:rsidR="002B76DD">
        <w:t xml:space="preserve">enefits </w:t>
      </w:r>
      <w:r w:rsidRPr="00CA206A">
        <w:t>S</w:t>
      </w:r>
      <w:r w:rsidR="002B76DD">
        <w:t>cheme (PBS)</w:t>
      </w:r>
      <w:r w:rsidRPr="00CA206A">
        <w:t xml:space="preserve"> Co-payment Measure. The CTG PBS Co-payment Measure </w:t>
      </w:r>
      <w:r w:rsidR="002B76DD">
        <w:t>allows</w:t>
      </w:r>
      <w:r w:rsidRPr="00CA206A">
        <w:t xml:space="preserve"> PBS medicines </w:t>
      </w:r>
      <w:r w:rsidR="002B76DD">
        <w:t>to be purchased at</w:t>
      </w:r>
      <w:r w:rsidRPr="00CA206A">
        <w:t xml:space="preserve"> a cheaper price or free of charge.</w:t>
      </w:r>
    </w:p>
    <w:p w14:paraId="7C9A52D0" w14:textId="7937637C" w:rsidR="00A45359" w:rsidRDefault="004023B3" w:rsidP="00A45359">
      <w:r>
        <w:t>At the end of each calendar y</w:t>
      </w:r>
      <w:r w:rsidR="00A45359">
        <w:t>ear, practices need to re-register their patients for the following calendar year</w:t>
      </w:r>
      <w:r w:rsidR="00CA206A">
        <w:rPr>
          <w:rStyle w:val="FootnoteReference"/>
        </w:rPr>
        <w:footnoteReference w:id="6"/>
      </w:r>
      <w:r w:rsidR="00A45359">
        <w:t xml:space="preserve">. This requires the patient to </w:t>
      </w:r>
      <w:r>
        <w:t xml:space="preserve">provide </w:t>
      </w:r>
      <w:r w:rsidR="00A45359">
        <w:t xml:space="preserve">their consent each year.  </w:t>
      </w:r>
    </w:p>
    <w:p w14:paraId="3EAFCF62" w14:textId="3E9504E7" w:rsidR="00AA7E94" w:rsidRDefault="00A45359" w:rsidP="00A45359">
      <w:r>
        <w:t xml:space="preserve">The registration can be completed via a paper form (which must be posted or faxed to the Department of Human Services) or by using the </w:t>
      </w:r>
      <w:r w:rsidR="004023B3" w:rsidRPr="004023B3">
        <w:t>Health Professional Online Services (</w:t>
      </w:r>
      <w:r>
        <w:t>HPOS</w:t>
      </w:r>
      <w:r w:rsidR="004023B3">
        <w:t>)</w:t>
      </w:r>
      <w:r>
        <w:t xml:space="preserve"> system. </w:t>
      </w:r>
    </w:p>
    <w:p w14:paraId="655FACD0" w14:textId="04DB0A78" w:rsidR="00D404DD" w:rsidRPr="00762195" w:rsidRDefault="00A45359" w:rsidP="00A45359">
      <w:pPr>
        <w:rPr>
          <w:color w:val="FF0000"/>
        </w:rPr>
      </w:pPr>
      <w:r>
        <w:t xml:space="preserve">If practices use HPOS, they don’t need to provide a copy of the form to the Department of Human Services, but they must keep the </w:t>
      </w:r>
      <w:r w:rsidR="004023B3">
        <w:t>form on file for</w:t>
      </w:r>
      <w:r w:rsidR="00EF266F">
        <w:t xml:space="preserve"> six years</w:t>
      </w:r>
      <w:r w:rsidR="004023B3">
        <w:t xml:space="preserve"> </w:t>
      </w:r>
      <w:r w:rsidR="002B76DD">
        <w:t xml:space="preserve">for </w:t>
      </w:r>
      <w:r w:rsidR="004023B3">
        <w:t>audit purposes.</w:t>
      </w:r>
      <w:r w:rsidR="00762195">
        <w:t xml:space="preserve"> </w:t>
      </w:r>
    </w:p>
    <w:p w14:paraId="7BD59F18" w14:textId="62A6BF9B" w:rsidR="004B3493" w:rsidRDefault="00A45359" w:rsidP="00A45359">
      <w:r>
        <w:rPr>
          <w:lang w:eastAsia="en-US"/>
        </w:rPr>
        <w:t xml:space="preserve">Feedback to date </w:t>
      </w:r>
      <w:r w:rsidR="00727ED5">
        <w:rPr>
          <w:lang w:eastAsia="en-US"/>
        </w:rPr>
        <w:t>indicates</w:t>
      </w:r>
      <w:r>
        <w:rPr>
          <w:lang w:eastAsia="en-US"/>
        </w:rPr>
        <w:t xml:space="preserve"> </w:t>
      </w:r>
      <w:r w:rsidR="004023B3">
        <w:t xml:space="preserve">the annual </w:t>
      </w:r>
      <w:r>
        <w:t xml:space="preserve">registration process is administratively burdensome and onerous for health practices. </w:t>
      </w:r>
    </w:p>
    <w:p w14:paraId="3C4EEAE3" w14:textId="770E2261" w:rsidR="004B3E17" w:rsidRDefault="00E04BA2" w:rsidP="00A45359">
      <w:pPr>
        <w:rPr>
          <w:lang w:eastAsia="en-US"/>
        </w:rPr>
      </w:pPr>
      <w:r>
        <w:t>There is also evidence</w:t>
      </w:r>
      <w:r w:rsidR="004B3E17">
        <w:t xml:space="preserve"> that the patient registration process can be competitive among health services. </w:t>
      </w:r>
    </w:p>
    <w:p w14:paraId="3C414D35" w14:textId="71228542" w:rsidR="00D404DD" w:rsidRPr="00564A2E" w:rsidRDefault="00D404DD" w:rsidP="00D404DD">
      <w:pPr>
        <w:pStyle w:val="Boxshadedcolourbackground"/>
      </w:pPr>
      <w:r w:rsidRPr="00564A2E">
        <w:t xml:space="preserve">How does the patient registration </w:t>
      </w:r>
      <w:r w:rsidR="002B76DD">
        <w:t>process</w:t>
      </w:r>
      <w:r w:rsidRPr="00564A2E">
        <w:t xml:space="preserve"> improve or impede chronic disease management and care? </w:t>
      </w:r>
    </w:p>
    <w:p w14:paraId="303BC54B" w14:textId="10676D62" w:rsidR="00D404DD" w:rsidRPr="00564A2E" w:rsidRDefault="00D404DD" w:rsidP="00D404DD">
      <w:pPr>
        <w:pStyle w:val="Boxshadedcolourbackground"/>
      </w:pPr>
      <w:r w:rsidRPr="00564A2E">
        <w:t xml:space="preserve">Is the current financial incentive for </w:t>
      </w:r>
      <w:r w:rsidR="004023B3">
        <w:t xml:space="preserve">patient </w:t>
      </w:r>
      <w:r w:rsidRPr="00564A2E">
        <w:t xml:space="preserve">registration contributing to better management of chronic disease? </w:t>
      </w:r>
    </w:p>
    <w:p w14:paraId="000C9C53" w14:textId="2AD67AC2" w:rsidR="00D404DD" w:rsidRPr="00564A2E" w:rsidRDefault="00D404DD" w:rsidP="00D404DD">
      <w:pPr>
        <w:pStyle w:val="Boxshadedcolourbackground"/>
      </w:pPr>
      <w:r w:rsidRPr="00564A2E">
        <w:t xml:space="preserve">Is the current registration processes burdensome and </w:t>
      </w:r>
      <w:r w:rsidR="004023B3">
        <w:t xml:space="preserve">how </w:t>
      </w:r>
      <w:r w:rsidRPr="00564A2E">
        <w:t xml:space="preserve">can it be streamlined? </w:t>
      </w:r>
    </w:p>
    <w:p w14:paraId="7ED5D9F7" w14:textId="608C1AD2" w:rsidR="00D404DD" w:rsidRPr="00564A2E" w:rsidRDefault="00D404DD" w:rsidP="00D404DD">
      <w:pPr>
        <w:pStyle w:val="Boxshadedcolourbackground"/>
        <w:rPr>
          <w:lang w:val="en-US"/>
        </w:rPr>
      </w:pPr>
      <w:r w:rsidRPr="00564A2E">
        <w:t xml:space="preserve">Should the payment be linked to the provision of care rather than </w:t>
      </w:r>
      <w:r w:rsidR="002B76DD">
        <w:t xml:space="preserve">an </w:t>
      </w:r>
      <w:r w:rsidRPr="00564A2E">
        <w:t>administrative process?</w:t>
      </w:r>
    </w:p>
    <w:p w14:paraId="4B1F15D2" w14:textId="290F701B" w:rsidR="004B3493" w:rsidRDefault="004B3493" w:rsidP="00A45359">
      <w:pPr>
        <w:rPr>
          <w:lang w:eastAsia="en-US"/>
        </w:rPr>
      </w:pPr>
    </w:p>
    <w:p w14:paraId="504C91E7" w14:textId="77777777" w:rsidR="00D404DD" w:rsidRDefault="00D404DD" w:rsidP="00A45359">
      <w:pPr>
        <w:rPr>
          <w:lang w:eastAsia="en-US"/>
        </w:rPr>
      </w:pPr>
    </w:p>
    <w:p w14:paraId="3FDF162E" w14:textId="55A21991" w:rsidR="0028520A" w:rsidRDefault="0028520A" w:rsidP="00A45359">
      <w:pPr>
        <w:sectPr w:rsidR="0028520A" w:rsidSect="00847C0F">
          <w:footnotePr>
            <w:numFmt w:val="chicago"/>
          </w:footnotePr>
          <w:endnotePr>
            <w:numFmt w:val="decimal"/>
          </w:endnotePr>
          <w:type w:val="continuous"/>
          <w:pgSz w:w="11906" w:h="16838"/>
          <w:pgMar w:top="1440" w:right="1701" w:bottom="1559" w:left="1701" w:header="709" w:footer="181" w:gutter="0"/>
          <w:cols w:num="2" w:space="708"/>
          <w:docGrid w:linePitch="360"/>
        </w:sectPr>
      </w:pPr>
    </w:p>
    <w:p w14:paraId="041C8F97" w14:textId="3676E09F" w:rsidR="00A45359" w:rsidRDefault="00A45359" w:rsidP="00A45359">
      <w:r>
        <w:br w:type="page"/>
      </w:r>
    </w:p>
    <w:p w14:paraId="078E52D3" w14:textId="272E3121" w:rsidR="00F304B4" w:rsidRDefault="00B86AD9" w:rsidP="00454650">
      <w:pPr>
        <w:pStyle w:val="Heading1Black"/>
      </w:pPr>
      <w:bookmarkStart w:id="7" w:name="_Toc529800912"/>
      <w:r w:rsidRPr="00B86AD9">
        <w:rPr>
          <w:noProof/>
        </w:rPr>
        <w:lastRenderedPageBreak/>
        <w:drawing>
          <wp:anchor distT="0" distB="0" distL="114300" distR="114300" simplePos="0" relativeHeight="251665408" behindDoc="1" locked="0" layoutInCell="1" allowOverlap="1" wp14:anchorId="79FBB383" wp14:editId="1A11889D">
            <wp:simplePos x="0" y="0"/>
            <wp:positionH relativeFrom="margin">
              <wp:align>right</wp:align>
            </wp:positionH>
            <wp:positionV relativeFrom="paragraph">
              <wp:posOffset>-140335</wp:posOffset>
            </wp:positionV>
            <wp:extent cx="773430" cy="57658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343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59">
        <w:t xml:space="preserve">Best practice management of </w:t>
      </w:r>
      <w:r>
        <w:t xml:space="preserve">                        </w:t>
      </w:r>
      <w:r w:rsidR="00A45359">
        <w:t>chronic disease</w:t>
      </w:r>
      <w:bookmarkEnd w:id="7"/>
    </w:p>
    <w:p w14:paraId="20A0B926" w14:textId="69545D20" w:rsidR="0028520A" w:rsidRDefault="0028520A" w:rsidP="00F304B4"/>
    <w:p w14:paraId="7E1F590F" w14:textId="77777777" w:rsidR="0028520A" w:rsidRDefault="0028520A" w:rsidP="00F304B4">
      <w:pPr>
        <w:sectPr w:rsidR="0028520A" w:rsidSect="00847C0F">
          <w:footnotePr>
            <w:numFmt w:val="lowerRoman"/>
          </w:footnotePr>
          <w:endnotePr>
            <w:numFmt w:val="decimal"/>
          </w:endnotePr>
          <w:type w:val="continuous"/>
          <w:pgSz w:w="11906" w:h="16838"/>
          <w:pgMar w:top="1440" w:right="1701" w:bottom="1559" w:left="1701" w:header="709" w:footer="181" w:gutter="0"/>
          <w:cols w:space="708"/>
          <w:docGrid w:linePitch="360"/>
        </w:sectPr>
      </w:pPr>
    </w:p>
    <w:p w14:paraId="5B97FD7D" w14:textId="1A5BCFC9" w:rsidR="00F304B4" w:rsidRDefault="00F304B4" w:rsidP="00A56704">
      <w:r>
        <w:t xml:space="preserve">There are two tiers of outcomes payments available </w:t>
      </w:r>
      <w:r w:rsidR="00353201">
        <w:t xml:space="preserve">to the health service </w:t>
      </w:r>
      <w:r>
        <w:t xml:space="preserve">each calendar year for each registered patient: Tier 1 and Tier 2 outcomes payments. Outcomes payments are based on MBS services provided from </w:t>
      </w:r>
      <w:r w:rsidR="00A56704">
        <w:br/>
      </w:r>
      <w:r>
        <w:t>1 January to 31 December of each year the patient is registered.</w:t>
      </w:r>
    </w:p>
    <w:p w14:paraId="70E49CF8" w14:textId="77777777" w:rsidR="00F304B4" w:rsidRPr="0075310E" w:rsidRDefault="00F304B4" w:rsidP="00F304B4">
      <w:r w:rsidRPr="0075310E">
        <w:t xml:space="preserve">A </w:t>
      </w:r>
      <w:r w:rsidRPr="00E04BA2">
        <w:rPr>
          <w:b/>
        </w:rPr>
        <w:t>Tier 1 outcomes payment</w:t>
      </w:r>
      <w:r w:rsidRPr="0075310E">
        <w:t xml:space="preserve"> of $100 per patient is made to practices that:</w:t>
      </w:r>
    </w:p>
    <w:p w14:paraId="0D66B9E7" w14:textId="697BDFE5" w:rsidR="00F304B4" w:rsidRPr="0075310E" w:rsidRDefault="00F304B4" w:rsidP="00D44E31">
      <w:pPr>
        <w:pStyle w:val="BulletedList"/>
        <w:tabs>
          <w:tab w:val="clear" w:pos="720"/>
          <w:tab w:val="num" w:pos="284"/>
        </w:tabs>
        <w:ind w:left="284" w:hanging="284"/>
      </w:pPr>
      <w:r w:rsidRPr="0075310E">
        <w:t>prepare a General Practitioner Management Plan</w:t>
      </w:r>
      <w:r w:rsidR="004023B3">
        <w:t xml:space="preserve"> (GPMP)</w:t>
      </w:r>
      <w:r w:rsidRPr="0075310E">
        <w:t xml:space="preserve"> or coordinate the develo</w:t>
      </w:r>
      <w:r w:rsidR="003E7904">
        <w:t xml:space="preserve">pment of Team Care Arrangement </w:t>
      </w:r>
      <w:r w:rsidR="004023B3">
        <w:t xml:space="preserve">(TCA) </w:t>
      </w:r>
      <w:r w:rsidRPr="0075310E">
        <w:t xml:space="preserve">for the patient in a calendar year, and </w:t>
      </w:r>
    </w:p>
    <w:p w14:paraId="38F6844C" w14:textId="7E2E8112" w:rsidR="00F304B4" w:rsidRDefault="007A2FD8" w:rsidP="00D44E31">
      <w:pPr>
        <w:pStyle w:val="BulletedList"/>
        <w:tabs>
          <w:tab w:val="clear" w:pos="720"/>
          <w:tab w:val="num" w:pos="284"/>
        </w:tabs>
        <w:ind w:left="284" w:hanging="284"/>
      </w:pPr>
      <w:r>
        <w:t>do</w:t>
      </w:r>
      <w:r w:rsidR="00F304B4" w:rsidRPr="0075310E">
        <w:t xml:space="preserve"> at least one review of </w:t>
      </w:r>
      <w:r w:rsidR="00F304B4">
        <w:t xml:space="preserve">the GPMP or the TCA </w:t>
      </w:r>
      <w:r w:rsidR="00F304B4" w:rsidRPr="0075310E">
        <w:t>during the calendar year, or</w:t>
      </w:r>
    </w:p>
    <w:p w14:paraId="591A8A92" w14:textId="76E14A8D" w:rsidR="00425ADC" w:rsidRPr="0075310E" w:rsidRDefault="00425ADC" w:rsidP="00D44E31">
      <w:pPr>
        <w:pStyle w:val="BulletedList"/>
        <w:tabs>
          <w:tab w:val="clear" w:pos="720"/>
          <w:tab w:val="num" w:pos="284"/>
        </w:tabs>
        <w:ind w:left="284" w:hanging="284"/>
      </w:pPr>
      <w:r>
        <w:t>do 2 reviews of the patient’s GPMP or TCA during the calendar year, or</w:t>
      </w:r>
    </w:p>
    <w:p w14:paraId="643E25FC" w14:textId="7C4E3153" w:rsidR="00F304B4" w:rsidRDefault="00F304B4" w:rsidP="00D44E31">
      <w:pPr>
        <w:pStyle w:val="BulletedList"/>
        <w:tabs>
          <w:tab w:val="clear" w:pos="720"/>
          <w:tab w:val="num" w:pos="284"/>
        </w:tabs>
        <w:ind w:left="284" w:hanging="284"/>
      </w:pPr>
      <w:r w:rsidRPr="0075310E">
        <w:t>contribute to a review of a multidisciplinary care plan</w:t>
      </w:r>
      <w:r w:rsidR="00425ADC">
        <w:t xml:space="preserve"> for a patient in a Residential Aged Care Facility,</w:t>
      </w:r>
      <w:r w:rsidRPr="0075310E">
        <w:t xml:space="preserve"> twice </w:t>
      </w:r>
      <w:r w:rsidR="00425ADC">
        <w:t xml:space="preserve">during the </w:t>
      </w:r>
      <w:r w:rsidRPr="0075310E">
        <w:t>calendar year.</w:t>
      </w:r>
    </w:p>
    <w:p w14:paraId="3F440E3D" w14:textId="440286BD" w:rsidR="00F304B4" w:rsidRDefault="00F304B4" w:rsidP="00CE5CBD">
      <w:pPr>
        <w:spacing w:after="120"/>
      </w:pPr>
      <w:r>
        <w:t xml:space="preserve">A </w:t>
      </w:r>
      <w:r w:rsidRPr="00E04BA2">
        <w:rPr>
          <w:b/>
        </w:rPr>
        <w:t>Tier 2 outcomes payment</w:t>
      </w:r>
      <w:r>
        <w:t xml:space="preserve"> of $150 per patient is made to the practice that provides the majority of eligible MBS services for the patient (with a minimum of any five eligible MBS services) during the calendar year</w:t>
      </w:r>
      <w:r w:rsidR="00A56704">
        <w:rPr>
          <w:rStyle w:val="FootnoteReference"/>
        </w:rPr>
        <w:footnoteReference w:id="7"/>
      </w:r>
      <w:r>
        <w:t xml:space="preserve">. </w:t>
      </w:r>
    </w:p>
    <w:p w14:paraId="1FC82332" w14:textId="77777777" w:rsidR="004023B3" w:rsidRPr="004023B3" w:rsidRDefault="00F304B4" w:rsidP="00CE5CBD">
      <w:pPr>
        <w:spacing w:after="120"/>
        <w:rPr>
          <w:lang w:val="en"/>
        </w:rPr>
      </w:pPr>
      <w:r>
        <w:t>Feedback from health practices indicate</w:t>
      </w:r>
      <w:r w:rsidR="00353201">
        <w:t>s</w:t>
      </w:r>
      <w:r>
        <w:t xml:space="preserve"> </w:t>
      </w:r>
      <w:r w:rsidR="004023B3" w:rsidRPr="004023B3">
        <w:rPr>
          <w:lang w:val="en"/>
        </w:rPr>
        <w:t xml:space="preserve">that: </w:t>
      </w:r>
    </w:p>
    <w:p w14:paraId="58AABCF2" w14:textId="77777777" w:rsidR="004023B3" w:rsidRPr="004023B3" w:rsidRDefault="00F304B4" w:rsidP="00A56704">
      <w:pPr>
        <w:pStyle w:val="ListParagraph"/>
        <w:numPr>
          <w:ilvl w:val="0"/>
          <w:numId w:val="19"/>
        </w:numPr>
        <w:spacing w:after="200" w:line="300" w:lineRule="auto"/>
        <w:ind w:left="284" w:hanging="284"/>
        <w:rPr>
          <w:rFonts w:ascii="Arial" w:eastAsiaTheme="majorEastAsia" w:hAnsi="Arial" w:cs="Arial"/>
          <w:sz w:val="21"/>
          <w:szCs w:val="20"/>
          <w:lang w:val="en" w:eastAsia="en-AU"/>
        </w:rPr>
      </w:pPr>
      <w:r w:rsidRPr="004023B3">
        <w:rPr>
          <w:rFonts w:ascii="Arial" w:eastAsiaTheme="majorEastAsia" w:hAnsi="Arial" w:cs="Arial"/>
          <w:sz w:val="21"/>
          <w:szCs w:val="20"/>
          <w:lang w:eastAsia="en-AU"/>
        </w:rPr>
        <w:t>the calendar year timing for Tier 1 outcomes payments can be problematic. It can be challenging to</w:t>
      </w:r>
      <w:r w:rsidRPr="004023B3">
        <w:rPr>
          <w:rFonts w:ascii="Arial" w:eastAsiaTheme="majorEastAsia" w:hAnsi="Arial" w:cs="Arial"/>
          <w:sz w:val="21"/>
          <w:szCs w:val="20"/>
          <w:lang w:val="en" w:eastAsia="en-AU"/>
        </w:rPr>
        <w:t xml:space="preserve"> </w:t>
      </w:r>
      <w:r w:rsidRPr="004023B3">
        <w:rPr>
          <w:rFonts w:ascii="Arial" w:eastAsiaTheme="majorEastAsia" w:hAnsi="Arial" w:cs="Arial"/>
          <w:sz w:val="21"/>
          <w:szCs w:val="20"/>
          <w:lang w:val="en" w:eastAsia="en-AU"/>
        </w:rPr>
        <w:t xml:space="preserve">develop a care management plan and review it within a calendar year, particularly if patient registration and development of a care management plan occurs in November and December </w:t>
      </w:r>
      <w:r w:rsidR="004023B3" w:rsidRPr="004023B3">
        <w:rPr>
          <w:rFonts w:ascii="Arial" w:eastAsiaTheme="majorEastAsia" w:hAnsi="Arial" w:cs="Arial"/>
          <w:sz w:val="21"/>
          <w:szCs w:val="20"/>
          <w:lang w:val="en" w:eastAsia="en-AU"/>
        </w:rPr>
        <w:t>of each year; and,</w:t>
      </w:r>
    </w:p>
    <w:p w14:paraId="10BA946D" w14:textId="04664E48" w:rsidR="00622247" w:rsidRPr="004023B3" w:rsidRDefault="00F304B4" w:rsidP="00A56704">
      <w:pPr>
        <w:pStyle w:val="ListParagraph"/>
        <w:numPr>
          <w:ilvl w:val="0"/>
          <w:numId w:val="19"/>
        </w:numPr>
        <w:spacing w:after="200" w:line="300" w:lineRule="auto"/>
        <w:ind w:left="284" w:hanging="284"/>
      </w:pPr>
      <w:r w:rsidRPr="004023B3">
        <w:rPr>
          <w:rFonts w:ascii="Arial" w:eastAsiaTheme="majorEastAsia" w:hAnsi="Arial" w:cs="Arial"/>
          <w:sz w:val="21"/>
          <w:szCs w:val="20"/>
          <w:lang w:eastAsia="en-AU"/>
        </w:rPr>
        <w:t xml:space="preserve">continuity of care and a longitudinal relationship are important components of good chronic disease management. </w:t>
      </w:r>
      <w:r w:rsidR="00622247" w:rsidRPr="004023B3">
        <w:rPr>
          <w:rFonts w:ascii="Arial" w:eastAsiaTheme="majorEastAsia" w:hAnsi="Arial" w:cs="Arial"/>
          <w:sz w:val="21"/>
          <w:szCs w:val="20"/>
          <w:lang w:eastAsia="en-AU"/>
        </w:rPr>
        <w:t>F</w:t>
      </w:r>
      <w:r w:rsidRPr="004023B3">
        <w:rPr>
          <w:rFonts w:ascii="Arial" w:eastAsiaTheme="majorEastAsia" w:hAnsi="Arial" w:cs="Arial"/>
          <w:sz w:val="21"/>
          <w:szCs w:val="20"/>
          <w:lang w:eastAsia="en-AU"/>
        </w:rPr>
        <w:t xml:space="preserve">eedback </w:t>
      </w:r>
      <w:r w:rsidR="00622247" w:rsidRPr="004023B3">
        <w:rPr>
          <w:rFonts w:ascii="Arial" w:eastAsiaTheme="majorEastAsia" w:hAnsi="Arial" w:cs="Arial"/>
          <w:sz w:val="21"/>
          <w:szCs w:val="20"/>
          <w:lang w:eastAsia="en-AU"/>
        </w:rPr>
        <w:t>indicates</w:t>
      </w:r>
      <w:r w:rsidRPr="004023B3">
        <w:rPr>
          <w:rFonts w:ascii="Arial" w:eastAsiaTheme="majorEastAsia" w:hAnsi="Arial" w:cs="Arial"/>
          <w:sz w:val="21"/>
          <w:szCs w:val="20"/>
          <w:lang w:eastAsia="en-AU"/>
        </w:rPr>
        <w:t xml:space="preserve"> there may be potential for other MBS items to be considered part of best practice management of chronic disease for Aboriginal and Torres Strait Islander patients.</w:t>
      </w:r>
    </w:p>
    <w:p w14:paraId="0B8444BA" w14:textId="77777777" w:rsidR="00353201" w:rsidRDefault="00353201" w:rsidP="006F784C">
      <w:pPr>
        <w:pStyle w:val="Boxshadedcolourbackground"/>
        <w:spacing w:before="0"/>
      </w:pPr>
      <w:r w:rsidRPr="00DA4514">
        <w:t xml:space="preserve">What does good chronic disease management and care look like in a primary health care setting? </w:t>
      </w:r>
    </w:p>
    <w:p w14:paraId="39A5C6D7" w14:textId="345D5DDE" w:rsidR="003E7904" w:rsidRPr="005162ED" w:rsidRDefault="003E7904" w:rsidP="006F784C">
      <w:pPr>
        <w:pStyle w:val="Boxshadedcolourbackground"/>
        <w:spacing w:before="0"/>
      </w:pPr>
      <w:r w:rsidRPr="00DA4514">
        <w:t xml:space="preserve">Should all Indigenous patients with a chronic disease have a </w:t>
      </w:r>
      <w:r w:rsidR="006F5FE5">
        <w:t>GPMP</w:t>
      </w:r>
      <w:r w:rsidRPr="00DA4514">
        <w:t>?</w:t>
      </w:r>
    </w:p>
    <w:p w14:paraId="27C9E6D8" w14:textId="089F4F4B" w:rsidR="003E7904" w:rsidRDefault="003E7904" w:rsidP="006F784C">
      <w:pPr>
        <w:pStyle w:val="Boxshadedcolourbackground"/>
        <w:spacing w:before="0"/>
      </w:pPr>
      <w:r w:rsidRPr="00DA4514">
        <w:t xml:space="preserve">How important </w:t>
      </w:r>
      <w:r w:rsidRPr="00622247">
        <w:t>are</w:t>
      </w:r>
      <w:r w:rsidRPr="00DA4514">
        <w:t xml:space="preserve"> reviews </w:t>
      </w:r>
      <w:r w:rsidR="00C25049">
        <w:t xml:space="preserve">of </w:t>
      </w:r>
      <w:r w:rsidR="00480271">
        <w:t>GPMPs</w:t>
      </w:r>
      <w:r w:rsidRPr="00DA4514">
        <w:t xml:space="preserve"> in the management of chronic disease? </w:t>
      </w:r>
    </w:p>
    <w:p w14:paraId="72BF174A" w14:textId="25B79FC8" w:rsidR="00622247" w:rsidRPr="00622247" w:rsidRDefault="00622247" w:rsidP="006F784C">
      <w:pPr>
        <w:pStyle w:val="Boxshadedcolourbackground"/>
        <w:spacing w:before="0"/>
        <w:rPr>
          <w:lang w:val="en-AU"/>
        </w:rPr>
      </w:pPr>
      <w:r w:rsidRPr="00622247">
        <w:rPr>
          <w:lang w:val="en-US"/>
        </w:rPr>
        <w:t xml:space="preserve">Should all PIP IHI registered patients receive a Health </w:t>
      </w:r>
      <w:r>
        <w:rPr>
          <w:lang w:val="en-US"/>
        </w:rPr>
        <w:t>Check (MBS 715)</w:t>
      </w:r>
      <w:r w:rsidRPr="00622247">
        <w:rPr>
          <w:lang w:val="en-US"/>
        </w:rPr>
        <w:t>?</w:t>
      </w:r>
    </w:p>
    <w:p w14:paraId="16CD9A83" w14:textId="73C194B7" w:rsidR="003E7904" w:rsidRDefault="00353201" w:rsidP="006F784C">
      <w:pPr>
        <w:pStyle w:val="Boxshadedcolourbackground"/>
        <w:spacing w:before="0"/>
      </w:pPr>
      <w:r>
        <w:t xml:space="preserve">Are </w:t>
      </w:r>
      <w:r w:rsidRPr="00622247">
        <w:t>multiple</w:t>
      </w:r>
      <w:r>
        <w:t xml:space="preserve"> </w:t>
      </w:r>
      <w:r w:rsidRPr="00622247">
        <w:t>visits</w:t>
      </w:r>
      <w:r w:rsidR="00480271">
        <w:t xml:space="preserve"> to the GP an </w:t>
      </w:r>
      <w:r>
        <w:t>indication of good management of chronic disease?</w:t>
      </w:r>
    </w:p>
    <w:p w14:paraId="464751CF" w14:textId="7706A214" w:rsidR="0028520A" w:rsidRDefault="006F784C" w:rsidP="006F784C">
      <w:pPr>
        <w:pStyle w:val="Boxshadedcolourbackground"/>
        <w:spacing w:before="0"/>
        <w:sectPr w:rsidR="0028520A" w:rsidSect="00847C0F">
          <w:footnotePr>
            <w:numFmt w:val="chicago"/>
          </w:footnotePr>
          <w:endnotePr>
            <w:numFmt w:val="decimal"/>
          </w:endnotePr>
          <w:type w:val="continuous"/>
          <w:pgSz w:w="11906" w:h="16838"/>
          <w:pgMar w:top="1440" w:right="1701" w:bottom="1559" w:left="1701" w:header="709" w:footer="181" w:gutter="0"/>
          <w:cols w:num="2" w:space="708"/>
          <w:docGrid w:linePitch="360"/>
        </w:sectPr>
      </w:pPr>
      <w:r w:rsidRPr="00DA4514">
        <w:t xml:space="preserve">Are there other </w:t>
      </w:r>
      <w:r>
        <w:t xml:space="preserve">measurable approaches/health care </w:t>
      </w:r>
      <w:r w:rsidRPr="00DA4514">
        <w:t>activities that support chronic disease management for Indigenous patients</w:t>
      </w:r>
      <w:r>
        <w:t>?</w:t>
      </w:r>
    </w:p>
    <w:p w14:paraId="5F0EFB66" w14:textId="32C24C61" w:rsidR="00392D65" w:rsidRDefault="00B86AD9" w:rsidP="00454650">
      <w:pPr>
        <w:pStyle w:val="Heading1Black"/>
      </w:pPr>
      <w:bookmarkStart w:id="8" w:name="_Toc529800913"/>
      <w:r w:rsidRPr="00B86AD9">
        <w:rPr>
          <w:noProof/>
        </w:rPr>
        <w:lastRenderedPageBreak/>
        <w:drawing>
          <wp:anchor distT="0" distB="0" distL="114300" distR="114300" simplePos="0" relativeHeight="251666432" behindDoc="1" locked="0" layoutInCell="1" allowOverlap="1" wp14:anchorId="1EB6A381" wp14:editId="7D8FAA5C">
            <wp:simplePos x="0" y="0"/>
            <wp:positionH relativeFrom="margin">
              <wp:align>right</wp:align>
            </wp:positionH>
            <wp:positionV relativeFrom="paragraph">
              <wp:posOffset>-154745</wp:posOffset>
            </wp:positionV>
            <wp:extent cx="773430" cy="57658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343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201">
        <w:t xml:space="preserve">Better responding to </w:t>
      </w:r>
      <w:r w:rsidR="003E7904">
        <w:t xml:space="preserve">patient </w:t>
      </w:r>
      <w:r>
        <w:t xml:space="preserve">                   </w:t>
      </w:r>
      <w:r w:rsidR="003E7904">
        <w:t>mobility</w:t>
      </w:r>
      <w:bookmarkEnd w:id="8"/>
    </w:p>
    <w:p w14:paraId="057C7D50" w14:textId="77777777" w:rsidR="0028520A" w:rsidRDefault="0028520A" w:rsidP="001B7ED7">
      <w:pPr>
        <w:rPr>
          <w:lang w:eastAsia="en-US"/>
        </w:rPr>
      </w:pPr>
    </w:p>
    <w:p w14:paraId="153E0BF5" w14:textId="77777777" w:rsidR="0028520A" w:rsidRDefault="0028520A" w:rsidP="001B7ED7">
      <w:pPr>
        <w:rPr>
          <w:lang w:eastAsia="en-US"/>
        </w:rPr>
        <w:sectPr w:rsidR="0028520A" w:rsidSect="00847C0F">
          <w:footnotePr>
            <w:numFmt w:val="lowerRoman"/>
          </w:footnotePr>
          <w:endnotePr>
            <w:numFmt w:val="decimal"/>
          </w:endnotePr>
          <w:type w:val="continuous"/>
          <w:pgSz w:w="11906" w:h="16838"/>
          <w:pgMar w:top="1440" w:right="1701" w:bottom="1559" w:left="1701" w:header="709" w:footer="181" w:gutter="0"/>
          <w:cols w:space="708"/>
          <w:docGrid w:linePitch="360"/>
        </w:sectPr>
      </w:pPr>
    </w:p>
    <w:p w14:paraId="10ECB6E7" w14:textId="31B7450C" w:rsidR="001B7ED7" w:rsidRPr="001B7ED7" w:rsidRDefault="00D85D60" w:rsidP="001B7ED7">
      <w:pPr>
        <w:rPr>
          <w:lang w:eastAsia="en-US"/>
        </w:rPr>
      </w:pPr>
      <w:r>
        <w:rPr>
          <w:lang w:eastAsia="en-US"/>
        </w:rPr>
        <w:t>The</w:t>
      </w:r>
      <w:r w:rsidR="001B7ED7" w:rsidRPr="001B7ED7">
        <w:rPr>
          <w:lang w:eastAsia="en-US"/>
        </w:rPr>
        <w:t xml:space="preserve"> PIP IHI</w:t>
      </w:r>
      <w:r w:rsidR="00353201">
        <w:rPr>
          <w:lang w:eastAsia="en-US"/>
        </w:rPr>
        <w:t xml:space="preserve"> ackn</w:t>
      </w:r>
      <w:r w:rsidR="001B7ED7">
        <w:rPr>
          <w:lang w:eastAsia="en-US"/>
        </w:rPr>
        <w:t>owled</w:t>
      </w:r>
      <w:r>
        <w:rPr>
          <w:lang w:eastAsia="en-US"/>
        </w:rPr>
        <w:t>ges population mobility as a significant factor,</w:t>
      </w:r>
      <w:r w:rsidR="001B7ED7">
        <w:rPr>
          <w:lang w:eastAsia="en-US"/>
        </w:rPr>
        <w:t xml:space="preserve"> allowing</w:t>
      </w:r>
      <w:r w:rsidR="001B7ED7" w:rsidRPr="001B7ED7">
        <w:rPr>
          <w:lang w:eastAsia="en-US"/>
        </w:rPr>
        <w:t xml:space="preserve"> for a patient to be registered with more than one pr</w:t>
      </w:r>
      <w:r>
        <w:rPr>
          <w:lang w:eastAsia="en-US"/>
        </w:rPr>
        <w:t>actice during the calendar year. However,</w:t>
      </w:r>
      <w:r w:rsidR="001B7ED7" w:rsidRPr="001B7ED7">
        <w:rPr>
          <w:lang w:eastAsia="en-US"/>
        </w:rPr>
        <w:t xml:space="preserve"> only one practice can receive a $250 patient registration payment per calendar year</w:t>
      </w:r>
      <w:r w:rsidR="00A56704">
        <w:rPr>
          <w:rStyle w:val="FootnoteReference"/>
          <w:lang w:eastAsia="en-US"/>
        </w:rPr>
        <w:footnoteReference w:id="8"/>
      </w:r>
      <w:r w:rsidR="001B7ED7" w:rsidRPr="001B7ED7">
        <w:rPr>
          <w:lang w:eastAsia="en-US"/>
        </w:rPr>
        <w:t xml:space="preserve">. </w:t>
      </w:r>
      <w:r w:rsidR="004B3E17">
        <w:rPr>
          <w:lang w:eastAsia="en-US"/>
        </w:rPr>
        <w:t>As described on page 8, t</w:t>
      </w:r>
      <w:r w:rsidR="001B7ED7" w:rsidRPr="001B7ED7">
        <w:rPr>
          <w:lang w:eastAsia="en-US"/>
        </w:rPr>
        <w:t xml:space="preserve">here is some anecdotal evidence that population mobility may contribute to the patient registration being a competitive process, with practices vying to sign up their ‘usual’ patients before another practice signs them up and receives/claims the $250 per patient. </w:t>
      </w:r>
    </w:p>
    <w:p w14:paraId="301D36BD" w14:textId="2C9A7EDB" w:rsidR="00622247" w:rsidRDefault="001B7ED7" w:rsidP="001B7ED7">
      <w:pPr>
        <w:rPr>
          <w:lang w:eastAsia="en-US"/>
        </w:rPr>
      </w:pPr>
      <w:r>
        <w:rPr>
          <w:lang w:eastAsia="en-US"/>
        </w:rPr>
        <w:t xml:space="preserve">Patient mobility may also </w:t>
      </w:r>
      <w:r w:rsidR="00D85D60">
        <w:rPr>
          <w:lang w:eastAsia="en-US"/>
        </w:rPr>
        <w:t xml:space="preserve">affect the ability of health practices </w:t>
      </w:r>
      <w:r>
        <w:rPr>
          <w:lang w:eastAsia="en-US"/>
        </w:rPr>
        <w:t xml:space="preserve">to achieve a Tier 1 outcomes payment. The development and review of chronic disease care management plans in a calendar year </w:t>
      </w:r>
      <w:r>
        <w:rPr>
          <w:lang w:eastAsia="en-US"/>
        </w:rPr>
        <w:t xml:space="preserve">may still be </w:t>
      </w:r>
      <w:r w:rsidR="00D85D60">
        <w:rPr>
          <w:lang w:eastAsia="en-US"/>
        </w:rPr>
        <w:t>accomplished,</w:t>
      </w:r>
      <w:r>
        <w:rPr>
          <w:lang w:eastAsia="en-US"/>
        </w:rPr>
        <w:t xml:space="preserve"> but by se</w:t>
      </w:r>
      <w:r w:rsidR="00D85D60">
        <w:rPr>
          <w:lang w:eastAsia="en-US"/>
        </w:rPr>
        <w:t>veral different practices, so only one practice claims</w:t>
      </w:r>
      <w:r w:rsidR="00CE3CDB">
        <w:rPr>
          <w:lang w:eastAsia="en-US"/>
        </w:rPr>
        <w:t xml:space="preserve"> a</w:t>
      </w:r>
      <w:r>
        <w:rPr>
          <w:lang w:eastAsia="en-US"/>
        </w:rPr>
        <w:t xml:space="preserve"> Tier 1 </w:t>
      </w:r>
      <w:r w:rsidR="00CE3CDB">
        <w:rPr>
          <w:lang w:eastAsia="en-US"/>
        </w:rPr>
        <w:t xml:space="preserve">outcomes </w:t>
      </w:r>
      <w:r>
        <w:rPr>
          <w:lang w:eastAsia="en-US"/>
        </w:rPr>
        <w:t>paym</w:t>
      </w:r>
      <w:r w:rsidR="00D85D60">
        <w:rPr>
          <w:lang w:eastAsia="en-US"/>
        </w:rPr>
        <w:t>ent</w:t>
      </w:r>
      <w:r>
        <w:rPr>
          <w:lang w:eastAsia="en-US"/>
        </w:rPr>
        <w:t xml:space="preserve">. </w:t>
      </w:r>
    </w:p>
    <w:p w14:paraId="31DA2F0A" w14:textId="5ED10876" w:rsidR="00D404DD" w:rsidRPr="005162ED" w:rsidRDefault="00D85D60" w:rsidP="00D404DD">
      <w:pPr>
        <w:pStyle w:val="Boxshadedcolourbackground"/>
      </w:pPr>
      <w:r>
        <w:t>How can PIP IHI</w:t>
      </w:r>
      <w:r w:rsidR="00D404DD" w:rsidRPr="00B83310">
        <w:t xml:space="preserve"> best </w:t>
      </w:r>
      <w:r w:rsidR="00D404DD">
        <w:t xml:space="preserve">respond to </w:t>
      </w:r>
      <w:r w:rsidR="00D404DD" w:rsidRPr="00B83310">
        <w:t xml:space="preserve">Indigenous patients </w:t>
      </w:r>
      <w:r w:rsidR="00D404DD">
        <w:t>who need</w:t>
      </w:r>
      <w:r w:rsidR="00D404DD" w:rsidRPr="00B83310">
        <w:t xml:space="preserve"> </w:t>
      </w:r>
      <w:r w:rsidR="00D404DD">
        <w:t xml:space="preserve">to </w:t>
      </w:r>
      <w:r w:rsidR="00D404DD" w:rsidRPr="00B83310">
        <w:t>move around for personal/family reasons?</w:t>
      </w:r>
    </w:p>
    <w:p w14:paraId="1A4B5745" w14:textId="77777777" w:rsidR="00D404DD" w:rsidRPr="005162ED" w:rsidRDefault="00D404DD" w:rsidP="00D404DD">
      <w:pPr>
        <w:pStyle w:val="Boxshadedcolourbackground"/>
      </w:pPr>
      <w:r w:rsidRPr="00B83310">
        <w:t>Does the calendar year rule disadvantage practices and patients who are mobile?</w:t>
      </w:r>
    </w:p>
    <w:p w14:paraId="575FB43A" w14:textId="77777777" w:rsidR="00D404DD" w:rsidRDefault="00D404DD" w:rsidP="00D404DD">
      <w:pPr>
        <w:pStyle w:val="Boxshadedcolourbackground"/>
      </w:pPr>
      <w:r w:rsidRPr="00B83310">
        <w:t>How can practices maintain continuity and consistency of care in light of patient mobility?</w:t>
      </w:r>
    </w:p>
    <w:p w14:paraId="6A9CD1AE" w14:textId="5FAF3AD2" w:rsidR="00D404DD" w:rsidRDefault="00D404DD" w:rsidP="001B7ED7">
      <w:pPr>
        <w:rPr>
          <w:lang w:eastAsia="en-US"/>
        </w:rPr>
      </w:pPr>
    </w:p>
    <w:p w14:paraId="60707D27" w14:textId="77777777" w:rsidR="00E25A7E" w:rsidRDefault="00E25A7E" w:rsidP="001B7ED7">
      <w:pPr>
        <w:rPr>
          <w:lang w:eastAsia="en-US"/>
        </w:rPr>
      </w:pPr>
    </w:p>
    <w:p w14:paraId="03E37701" w14:textId="77777777" w:rsidR="0028520A" w:rsidRDefault="0028520A" w:rsidP="00D404DD">
      <w:pPr>
        <w:pStyle w:val="Boxwithcolouredkeyline"/>
        <w:ind w:left="0"/>
        <w:sectPr w:rsidR="0028520A" w:rsidSect="00847C0F">
          <w:footnotePr>
            <w:numFmt w:val="chicago"/>
          </w:footnotePr>
          <w:endnotePr>
            <w:numFmt w:val="decimal"/>
          </w:endnotePr>
          <w:type w:val="continuous"/>
          <w:pgSz w:w="11906" w:h="16838"/>
          <w:pgMar w:top="1560" w:right="1701" w:bottom="1559" w:left="1701" w:header="709" w:footer="181" w:gutter="0"/>
          <w:cols w:num="2" w:space="708"/>
          <w:docGrid w:linePitch="360"/>
        </w:sectPr>
      </w:pPr>
    </w:p>
    <w:p w14:paraId="1404552F" w14:textId="46159FEA" w:rsidR="00045EB5" w:rsidRDefault="00045EB5" w:rsidP="00045EB5"/>
    <w:p w14:paraId="46A4AAB3" w14:textId="201EB3DA" w:rsidR="00045EB5" w:rsidRDefault="00045EB5" w:rsidP="00045EB5">
      <w:r>
        <w:br w:type="page"/>
      </w:r>
    </w:p>
    <w:p w14:paraId="412FE4B8" w14:textId="77777777" w:rsidR="002A1E00" w:rsidRDefault="00045EB5" w:rsidP="00454650">
      <w:pPr>
        <w:pStyle w:val="Heading1Black"/>
      </w:pPr>
      <w:bookmarkStart w:id="9" w:name="_Toc529800914"/>
      <w:r>
        <w:lastRenderedPageBreak/>
        <w:t>Invitation to collaborate</w:t>
      </w:r>
      <w:bookmarkEnd w:id="9"/>
    </w:p>
    <w:p w14:paraId="28A3F123" w14:textId="77777777" w:rsidR="00045EB5" w:rsidRDefault="00045EB5" w:rsidP="00045EB5">
      <w:pPr>
        <w:rPr>
          <w:lang w:eastAsia="en-US"/>
        </w:rPr>
      </w:pPr>
    </w:p>
    <w:p w14:paraId="1CE02983" w14:textId="77777777" w:rsidR="0028520A" w:rsidRDefault="0028520A" w:rsidP="00045EB5">
      <w:pPr>
        <w:rPr>
          <w:lang w:eastAsia="en-US"/>
        </w:rPr>
        <w:sectPr w:rsidR="0028520A" w:rsidSect="00847C0F">
          <w:footnotePr>
            <w:numFmt w:val="lowerRoman"/>
          </w:footnotePr>
          <w:endnotePr>
            <w:numFmt w:val="decimal"/>
          </w:endnotePr>
          <w:type w:val="continuous"/>
          <w:pgSz w:w="11906" w:h="16838"/>
          <w:pgMar w:top="1440" w:right="1701" w:bottom="1559" w:left="1701" w:header="709" w:footer="181" w:gutter="0"/>
          <w:cols w:space="708"/>
          <w:docGrid w:linePitch="360"/>
        </w:sectPr>
      </w:pPr>
    </w:p>
    <w:p w14:paraId="6F218959" w14:textId="2E08F546" w:rsidR="00045EB5" w:rsidRPr="00CE3CDB" w:rsidRDefault="00045EB5" w:rsidP="00045EB5">
      <w:pPr>
        <w:rPr>
          <w:i/>
          <w:lang w:eastAsia="en-US"/>
        </w:rPr>
      </w:pPr>
      <w:r>
        <w:rPr>
          <w:lang w:eastAsia="en-US"/>
        </w:rPr>
        <w:t xml:space="preserve">Stakeholders are invited to provide input </w:t>
      </w:r>
      <w:r w:rsidR="00D85D60">
        <w:rPr>
          <w:lang w:eastAsia="en-US"/>
        </w:rPr>
        <w:t xml:space="preserve">to </w:t>
      </w:r>
      <w:r w:rsidR="00D3356A">
        <w:rPr>
          <w:lang w:eastAsia="en-US"/>
        </w:rPr>
        <w:t xml:space="preserve">the </w:t>
      </w:r>
      <w:r>
        <w:rPr>
          <w:lang w:eastAsia="en-US"/>
        </w:rPr>
        <w:t>PIP IHI re</w:t>
      </w:r>
      <w:r w:rsidR="00D3356A">
        <w:rPr>
          <w:lang w:eastAsia="en-US"/>
        </w:rPr>
        <w:t>view</w:t>
      </w:r>
      <w:r>
        <w:rPr>
          <w:lang w:eastAsia="en-US"/>
        </w:rPr>
        <w:t xml:space="preserve"> and consider the </w:t>
      </w:r>
      <w:r w:rsidRPr="00D925A7">
        <w:rPr>
          <w:i/>
          <w:lang w:eastAsia="en-US"/>
        </w:rPr>
        <w:t xml:space="preserve">opportunities for improvement. </w:t>
      </w:r>
      <w:r>
        <w:rPr>
          <w:lang w:eastAsia="en-US"/>
        </w:rPr>
        <w:t xml:space="preserve">There are two ways that stakeholders can provide input: </w:t>
      </w:r>
    </w:p>
    <w:p w14:paraId="749F0474" w14:textId="67A73368" w:rsidR="00045EB5" w:rsidRPr="00045EB5" w:rsidRDefault="00045EB5" w:rsidP="00520912">
      <w:pPr>
        <w:pStyle w:val="ListParagraph"/>
        <w:numPr>
          <w:ilvl w:val="0"/>
          <w:numId w:val="14"/>
        </w:numPr>
        <w:ind w:left="284" w:hanging="284"/>
        <w:rPr>
          <w:rFonts w:ascii="Arial" w:eastAsiaTheme="majorEastAsia" w:hAnsi="Arial" w:cs="Arial"/>
          <w:sz w:val="21"/>
          <w:szCs w:val="20"/>
        </w:rPr>
      </w:pPr>
      <w:r w:rsidRPr="00045EB5">
        <w:rPr>
          <w:rFonts w:ascii="Arial" w:eastAsiaTheme="majorEastAsia" w:hAnsi="Arial" w:cs="Arial"/>
          <w:sz w:val="21"/>
          <w:szCs w:val="20"/>
        </w:rPr>
        <w:t>Participate in the consultation process through a workshop</w:t>
      </w:r>
      <w:r w:rsidR="00D85D60">
        <w:rPr>
          <w:rFonts w:ascii="Arial" w:eastAsiaTheme="majorEastAsia" w:hAnsi="Arial" w:cs="Arial"/>
          <w:sz w:val="21"/>
          <w:szCs w:val="20"/>
        </w:rPr>
        <w:t xml:space="preserve"> or webinar</w:t>
      </w:r>
      <w:r w:rsidRPr="00045EB5">
        <w:rPr>
          <w:rFonts w:ascii="Arial" w:eastAsiaTheme="majorEastAsia" w:hAnsi="Arial" w:cs="Arial"/>
          <w:sz w:val="21"/>
          <w:szCs w:val="20"/>
        </w:rPr>
        <w:t xml:space="preserve">. Details </w:t>
      </w:r>
      <w:r w:rsidR="00227579">
        <w:rPr>
          <w:rFonts w:ascii="Arial" w:eastAsiaTheme="majorEastAsia" w:hAnsi="Arial" w:cs="Arial"/>
          <w:sz w:val="21"/>
          <w:szCs w:val="20"/>
        </w:rPr>
        <w:t>will be provided at later date</w:t>
      </w:r>
      <w:r w:rsidRPr="00045EB5">
        <w:rPr>
          <w:rFonts w:ascii="Arial" w:eastAsiaTheme="majorEastAsia" w:hAnsi="Arial" w:cs="Arial"/>
          <w:sz w:val="21"/>
          <w:szCs w:val="20"/>
        </w:rPr>
        <w:t>.</w:t>
      </w:r>
    </w:p>
    <w:p w14:paraId="137AD05A" w14:textId="77777777" w:rsidR="00045EB5" w:rsidRPr="00045EB5" w:rsidRDefault="00045EB5" w:rsidP="00520912">
      <w:pPr>
        <w:pStyle w:val="ListParagraph"/>
        <w:ind w:left="284" w:hanging="284"/>
        <w:rPr>
          <w:rFonts w:ascii="Arial" w:eastAsiaTheme="majorEastAsia" w:hAnsi="Arial" w:cs="Arial"/>
          <w:sz w:val="21"/>
          <w:szCs w:val="20"/>
        </w:rPr>
      </w:pPr>
    </w:p>
    <w:p w14:paraId="6997CA0F" w14:textId="052A0206" w:rsidR="00045EB5" w:rsidRPr="00045EB5" w:rsidRDefault="00045EB5" w:rsidP="00520912">
      <w:pPr>
        <w:pStyle w:val="ListParagraph"/>
        <w:numPr>
          <w:ilvl w:val="0"/>
          <w:numId w:val="14"/>
        </w:numPr>
        <w:ind w:left="284" w:hanging="284"/>
        <w:rPr>
          <w:rFonts w:ascii="Arial" w:eastAsiaTheme="majorEastAsia" w:hAnsi="Arial" w:cs="Arial"/>
          <w:sz w:val="21"/>
          <w:szCs w:val="20"/>
        </w:rPr>
      </w:pPr>
      <w:r w:rsidRPr="00045EB5">
        <w:rPr>
          <w:rFonts w:ascii="Arial" w:eastAsiaTheme="majorEastAsia" w:hAnsi="Arial" w:cs="Arial"/>
          <w:sz w:val="21"/>
          <w:szCs w:val="20"/>
        </w:rPr>
        <w:t xml:space="preserve">Provide a written submission that comments on the </w:t>
      </w:r>
      <w:r w:rsidRPr="00D925A7">
        <w:rPr>
          <w:rFonts w:ascii="Arial" w:eastAsiaTheme="majorEastAsia" w:hAnsi="Arial" w:cs="Arial"/>
          <w:i/>
          <w:sz w:val="21"/>
          <w:szCs w:val="20"/>
        </w:rPr>
        <w:t>opportunities for improvement</w:t>
      </w:r>
      <w:r w:rsidRPr="00045EB5">
        <w:rPr>
          <w:rFonts w:ascii="Arial" w:eastAsiaTheme="majorEastAsia" w:hAnsi="Arial" w:cs="Arial"/>
          <w:sz w:val="21"/>
          <w:szCs w:val="20"/>
        </w:rPr>
        <w:t xml:space="preserve"> detailed in this Consultation Paper.</w:t>
      </w:r>
      <w:r w:rsidR="00120AAC">
        <w:rPr>
          <w:rFonts w:ascii="Arial" w:eastAsiaTheme="majorEastAsia" w:hAnsi="Arial" w:cs="Arial"/>
          <w:sz w:val="21"/>
          <w:szCs w:val="20"/>
        </w:rPr>
        <w:br/>
      </w:r>
    </w:p>
    <w:p w14:paraId="6463FEFF" w14:textId="08AF395C" w:rsidR="00CE3CDB" w:rsidRDefault="00045EB5" w:rsidP="00CE3CDB">
      <w:pPr>
        <w:spacing w:after="0" w:line="240" w:lineRule="auto"/>
        <w:rPr>
          <w:lang w:eastAsia="en-US"/>
        </w:rPr>
      </w:pPr>
      <w:r>
        <w:rPr>
          <w:lang w:eastAsia="en-US"/>
        </w:rPr>
        <w:t xml:space="preserve">Submissions should be no more than 10 pages and be received by the Department of Health by </w:t>
      </w:r>
      <w:r w:rsidR="00D3356A">
        <w:rPr>
          <w:lang w:eastAsia="en-US"/>
        </w:rPr>
        <w:t>10 June 2019</w:t>
      </w:r>
      <w:r>
        <w:rPr>
          <w:lang w:eastAsia="en-US"/>
        </w:rPr>
        <w:t xml:space="preserve"> via email</w:t>
      </w:r>
      <w:r w:rsidR="00206B78">
        <w:rPr>
          <w:lang w:eastAsia="en-US"/>
        </w:rPr>
        <w:t>:</w:t>
      </w:r>
      <w:r>
        <w:rPr>
          <w:lang w:eastAsia="en-US"/>
        </w:rPr>
        <w:t xml:space="preserve">  </w:t>
      </w:r>
    </w:p>
    <w:p w14:paraId="3B72B132" w14:textId="77777777" w:rsidR="00CE3CDB" w:rsidRDefault="00B967BC" w:rsidP="00CE3CDB">
      <w:pPr>
        <w:spacing w:after="0" w:line="240" w:lineRule="auto"/>
        <w:rPr>
          <w:rStyle w:val="Hyperlink"/>
          <w:color w:val="1F497D" w:themeColor="text2"/>
        </w:rPr>
      </w:pPr>
      <w:r>
        <w:br/>
      </w:r>
      <w:hyperlink r:id="rId31" w:history="1">
        <w:r w:rsidR="00045EB5" w:rsidRPr="00E64660">
          <w:rPr>
            <w:rStyle w:val="Hyperlink"/>
            <w:color w:val="1F497D" w:themeColor="text2"/>
          </w:rPr>
          <w:t>indigenousphcpolicy@health.gov.au</w:t>
        </w:r>
      </w:hyperlink>
    </w:p>
    <w:p w14:paraId="4A83A215" w14:textId="77777777" w:rsidR="00206B78" w:rsidRDefault="00206B78" w:rsidP="00CE3CDB">
      <w:pPr>
        <w:spacing w:after="0" w:line="240" w:lineRule="auto"/>
        <w:rPr>
          <w:lang w:eastAsia="en-US"/>
        </w:rPr>
      </w:pPr>
    </w:p>
    <w:p w14:paraId="0953F264" w14:textId="274056AE" w:rsidR="00206B78" w:rsidRDefault="00206B78" w:rsidP="00CE3CDB">
      <w:pPr>
        <w:spacing w:after="0" w:line="240" w:lineRule="auto"/>
      </w:pPr>
      <w:r>
        <w:rPr>
          <w:lang w:eastAsia="en-US"/>
        </w:rPr>
        <w:t>or post:</w:t>
      </w:r>
      <w:r w:rsidR="00045EB5">
        <w:tab/>
      </w:r>
      <w:r w:rsidR="00520912">
        <w:br/>
      </w:r>
    </w:p>
    <w:p w14:paraId="7B42AB04" w14:textId="6684A251" w:rsidR="00045EB5" w:rsidRDefault="00045EB5" w:rsidP="00CE3CDB">
      <w:pPr>
        <w:spacing w:after="0" w:line="240" w:lineRule="auto"/>
        <w:rPr>
          <w:lang w:eastAsia="en-US"/>
        </w:rPr>
      </w:pPr>
      <w:r>
        <w:t>Primary Health, Data and Evidence Branch</w:t>
      </w:r>
      <w:r w:rsidR="00CE3CDB">
        <w:rPr>
          <w:lang w:eastAsia="en-US"/>
        </w:rPr>
        <w:t xml:space="preserve">, </w:t>
      </w:r>
      <w:r>
        <w:t>Indigenous Health Division</w:t>
      </w:r>
    </w:p>
    <w:p w14:paraId="47A7B9B4" w14:textId="77777777" w:rsidR="00045EB5" w:rsidRDefault="00045EB5" w:rsidP="00CE3CDB">
      <w:pPr>
        <w:spacing w:after="0" w:line="240" w:lineRule="auto"/>
      </w:pPr>
      <w:r>
        <w:t>Department of Health</w:t>
      </w:r>
    </w:p>
    <w:p w14:paraId="010D3B20" w14:textId="77777777" w:rsidR="00045EB5" w:rsidRDefault="00045EB5" w:rsidP="00CE3CDB">
      <w:pPr>
        <w:spacing w:after="0" w:line="240" w:lineRule="auto"/>
      </w:pPr>
      <w:r>
        <w:t xml:space="preserve">MDP 750, GPO Box 9848 </w:t>
      </w:r>
    </w:p>
    <w:p w14:paraId="73A1E39C" w14:textId="1705CF8A" w:rsidR="00045EB5" w:rsidRDefault="00045EB5" w:rsidP="00CE3CDB">
      <w:pPr>
        <w:spacing w:after="0" w:line="240" w:lineRule="auto"/>
      </w:pPr>
      <w:r>
        <w:t xml:space="preserve">Canberra ACT 2601 </w:t>
      </w:r>
    </w:p>
    <w:p w14:paraId="54F799DA" w14:textId="77777777" w:rsidR="006E6F88" w:rsidRDefault="006E6F88" w:rsidP="00CE3CDB">
      <w:pPr>
        <w:spacing w:after="0" w:line="240" w:lineRule="auto"/>
      </w:pPr>
    </w:p>
    <w:p w14:paraId="27F638C4" w14:textId="77777777" w:rsidR="005715DC" w:rsidRDefault="00B967BC" w:rsidP="005715DC">
      <w:pPr>
        <w:pStyle w:val="Boxshadedcolourbackground"/>
        <w:spacing w:before="0" w:after="120"/>
        <w:rPr>
          <w:b/>
        </w:rPr>
      </w:pPr>
      <w:r w:rsidRPr="00120AAC">
        <w:rPr>
          <w:b/>
        </w:rPr>
        <w:t>O</w:t>
      </w:r>
      <w:r w:rsidR="00622247" w:rsidRPr="00120AAC">
        <w:rPr>
          <w:b/>
        </w:rPr>
        <w:t xml:space="preserve">pportunities for improvement </w:t>
      </w:r>
    </w:p>
    <w:p w14:paraId="20AAB085" w14:textId="77777777" w:rsidR="005715DC" w:rsidRDefault="005715DC" w:rsidP="005715DC">
      <w:pPr>
        <w:pStyle w:val="Boxshadedcolourbackground"/>
        <w:spacing w:before="0" w:after="120"/>
      </w:pPr>
    </w:p>
    <w:p w14:paraId="0AADD70B" w14:textId="1DD8C92E" w:rsidR="00B967BC" w:rsidRPr="005715DC" w:rsidRDefault="00B967BC" w:rsidP="005715DC">
      <w:pPr>
        <w:pStyle w:val="Boxshadedcolourbackground"/>
        <w:spacing w:before="0"/>
        <w:rPr>
          <w:b/>
        </w:rPr>
      </w:pPr>
      <w:r w:rsidRPr="00CE3CDB">
        <w:t xml:space="preserve">Do the current PIP IHI guidelines facilitate culturally appropriate care for </w:t>
      </w:r>
      <w:r w:rsidR="00E25A7E">
        <w:t>Aboriginal and Torres Strait Islander</w:t>
      </w:r>
      <w:r w:rsidR="00E25A7E" w:rsidRPr="00564A2E">
        <w:t xml:space="preserve"> patients</w:t>
      </w:r>
      <w:r w:rsidRPr="00CE3CDB">
        <w:t>?</w:t>
      </w:r>
    </w:p>
    <w:p w14:paraId="4A1F6AA8" w14:textId="56AB963C" w:rsidR="00B967BC" w:rsidRPr="00CE3CDB" w:rsidRDefault="00B967BC" w:rsidP="005715DC">
      <w:pPr>
        <w:pStyle w:val="Boxshadedcolourbackground"/>
        <w:spacing w:before="0"/>
      </w:pPr>
      <w:r w:rsidRPr="00CE3CDB">
        <w:t>Is a requirement that cultural awareness training be undertaken appropriate for health practices?</w:t>
      </w:r>
    </w:p>
    <w:p w14:paraId="5005507E" w14:textId="49E87088" w:rsidR="00B967BC" w:rsidRDefault="00B967BC" w:rsidP="00071E8B">
      <w:pPr>
        <w:pStyle w:val="Boxshadedcolourbackground"/>
        <w:spacing w:before="0"/>
      </w:pPr>
      <w:r w:rsidRPr="00CE3CDB">
        <w:t>How can we monitor the cultural competence of registered PIP IHI practices?</w:t>
      </w:r>
    </w:p>
    <w:p w14:paraId="7531E89F" w14:textId="6C04E3B3" w:rsidR="005715DC" w:rsidRDefault="005715DC" w:rsidP="00071E8B">
      <w:pPr>
        <w:pStyle w:val="Boxshadedcolourbackground"/>
        <w:spacing w:before="0"/>
      </w:pPr>
    </w:p>
    <w:p w14:paraId="12A03208" w14:textId="77777777" w:rsidR="005715DC" w:rsidRPr="00CE3CDB" w:rsidRDefault="005715DC" w:rsidP="00071E8B">
      <w:pPr>
        <w:pStyle w:val="Boxshadedcolourbackground"/>
        <w:spacing w:before="0"/>
      </w:pPr>
    </w:p>
    <w:p w14:paraId="76EDDCEB" w14:textId="08C328F9" w:rsidR="00B967BC" w:rsidRPr="00CE3CDB" w:rsidRDefault="00B967BC" w:rsidP="00071E8B">
      <w:pPr>
        <w:pStyle w:val="Boxshadedcolourbackground"/>
        <w:spacing w:before="0"/>
      </w:pPr>
      <w:r w:rsidRPr="00CE3CDB">
        <w:t>How does the patient registration act</w:t>
      </w:r>
      <w:r w:rsidR="005715DC">
        <w:t xml:space="preserve">ivity improve or impede chronic </w:t>
      </w:r>
      <w:r w:rsidRPr="00CE3CDB">
        <w:t xml:space="preserve">disease management and care? </w:t>
      </w:r>
    </w:p>
    <w:p w14:paraId="1E4119D6" w14:textId="2B5B1A18" w:rsidR="00B967BC" w:rsidRPr="00CE3CDB" w:rsidRDefault="00B967BC" w:rsidP="00071E8B">
      <w:pPr>
        <w:pStyle w:val="Boxshadedcolourbackground"/>
        <w:spacing w:before="0"/>
      </w:pPr>
      <w:r w:rsidRPr="00CE3CDB">
        <w:t xml:space="preserve">Is the current financial incentive for </w:t>
      </w:r>
      <w:r w:rsidR="00E25A7E">
        <w:t xml:space="preserve">patient </w:t>
      </w:r>
      <w:r w:rsidRPr="00CE3CDB">
        <w:t xml:space="preserve">registration contributing to better </w:t>
      </w:r>
      <w:r w:rsidRPr="00071E8B">
        <w:t>management</w:t>
      </w:r>
      <w:r w:rsidRPr="00CE3CDB">
        <w:t xml:space="preserve"> of chronic disease? </w:t>
      </w:r>
    </w:p>
    <w:p w14:paraId="4288E0F6" w14:textId="77777777" w:rsidR="00B967BC" w:rsidRPr="00CE3CDB" w:rsidRDefault="00B967BC" w:rsidP="00071E8B">
      <w:pPr>
        <w:pStyle w:val="Boxshadedcolourbackground"/>
        <w:spacing w:before="0"/>
      </w:pPr>
      <w:r w:rsidRPr="00CE3CDB">
        <w:t xml:space="preserve">Is the current registration processes </w:t>
      </w:r>
      <w:r w:rsidRPr="00071E8B">
        <w:t>burdensome</w:t>
      </w:r>
      <w:r w:rsidRPr="00CE3CDB">
        <w:t xml:space="preserve"> and can it be streamlined? </w:t>
      </w:r>
    </w:p>
    <w:p w14:paraId="73F9BA00" w14:textId="017BBCE0" w:rsidR="00071E8B" w:rsidRPr="00564A2E" w:rsidRDefault="00071E8B" w:rsidP="00071E8B">
      <w:pPr>
        <w:pStyle w:val="Boxshadedcolourbackground"/>
        <w:spacing w:before="0"/>
        <w:rPr>
          <w:lang w:val="en-US"/>
        </w:rPr>
      </w:pPr>
      <w:r w:rsidRPr="00564A2E">
        <w:t xml:space="preserve">Should the payment be linked to the provision of care rather than </w:t>
      </w:r>
      <w:r>
        <w:t>a</w:t>
      </w:r>
      <w:r w:rsidR="00E25A7E">
        <w:t xml:space="preserve">n </w:t>
      </w:r>
      <w:r w:rsidRPr="00564A2E">
        <w:t>administrative process?</w:t>
      </w:r>
    </w:p>
    <w:p w14:paraId="0DC8A25F" w14:textId="77777777" w:rsidR="00071E8B" w:rsidRDefault="00B967BC" w:rsidP="00071E8B">
      <w:pPr>
        <w:pStyle w:val="Boxshadedcolourbackground"/>
        <w:spacing w:before="0"/>
      </w:pPr>
      <w:r w:rsidRPr="00CE3CDB">
        <w:t xml:space="preserve">What does good chronic disease </w:t>
      </w:r>
      <w:r w:rsidRPr="00071E8B">
        <w:t>management</w:t>
      </w:r>
      <w:r w:rsidRPr="00CE3CDB">
        <w:t xml:space="preserve"> and care look like in a primary health care setting? </w:t>
      </w:r>
    </w:p>
    <w:p w14:paraId="36D29898" w14:textId="77777777" w:rsidR="00071E8B" w:rsidRPr="005162ED" w:rsidRDefault="00071E8B" w:rsidP="00071E8B">
      <w:pPr>
        <w:pStyle w:val="Boxshadedcolourbackground"/>
        <w:spacing w:before="0"/>
      </w:pPr>
      <w:r w:rsidRPr="00DA4514">
        <w:t xml:space="preserve">Should all Indigenous patients with a chronic disease have a </w:t>
      </w:r>
      <w:r>
        <w:t>GPMP</w:t>
      </w:r>
      <w:r w:rsidRPr="00DA4514">
        <w:t>?</w:t>
      </w:r>
    </w:p>
    <w:p w14:paraId="4834DDDA" w14:textId="77777777" w:rsidR="00071E8B" w:rsidRDefault="00071E8B" w:rsidP="00071E8B">
      <w:pPr>
        <w:pStyle w:val="Boxshadedcolourbackground"/>
        <w:spacing w:before="0"/>
      </w:pPr>
      <w:r w:rsidRPr="00DA4514">
        <w:t xml:space="preserve">How important </w:t>
      </w:r>
      <w:r w:rsidRPr="00622247">
        <w:t>are</w:t>
      </w:r>
      <w:r w:rsidRPr="00DA4514">
        <w:t xml:space="preserve"> reviews </w:t>
      </w:r>
      <w:r>
        <w:t>of GPMPs</w:t>
      </w:r>
      <w:r w:rsidRPr="00DA4514">
        <w:t xml:space="preserve"> in the management of chronic disease? </w:t>
      </w:r>
    </w:p>
    <w:p w14:paraId="33C6F9A7" w14:textId="77777777" w:rsidR="00B967BC" w:rsidRPr="00CE3CDB" w:rsidRDefault="00B967BC" w:rsidP="00071E8B">
      <w:pPr>
        <w:pStyle w:val="Boxshadedcolourbackground"/>
        <w:spacing w:before="0"/>
        <w:rPr>
          <w:lang w:val="en-AU"/>
        </w:rPr>
      </w:pPr>
      <w:r w:rsidRPr="00CE3CDB">
        <w:rPr>
          <w:lang w:val="en-US"/>
        </w:rPr>
        <w:t>Should all PIP IHI registered patients receive a Health Check (MBS 715)?</w:t>
      </w:r>
    </w:p>
    <w:p w14:paraId="7364494A" w14:textId="773A3DDE" w:rsidR="00B967BC" w:rsidRPr="00CE3CDB" w:rsidRDefault="00B967BC" w:rsidP="00071E8B">
      <w:pPr>
        <w:pStyle w:val="Boxshadedcolourbackground"/>
        <w:spacing w:before="0"/>
      </w:pPr>
      <w:r w:rsidRPr="00CE3CDB">
        <w:t xml:space="preserve">Are multiple </w:t>
      </w:r>
      <w:r w:rsidRPr="00071E8B">
        <w:t>visits</w:t>
      </w:r>
      <w:r w:rsidR="00071E8B">
        <w:t xml:space="preserve"> to the GP an</w:t>
      </w:r>
      <w:r w:rsidRPr="00CE3CDB">
        <w:t xml:space="preserve"> indication of good management of chronic disease? </w:t>
      </w:r>
    </w:p>
    <w:p w14:paraId="695CA2FA" w14:textId="77777777" w:rsidR="00B967BC" w:rsidRPr="00CE3CDB" w:rsidRDefault="00B967BC" w:rsidP="00071E8B">
      <w:pPr>
        <w:pStyle w:val="Boxshadedcolourbackground"/>
        <w:spacing w:before="0"/>
      </w:pPr>
      <w:r w:rsidRPr="00CE3CDB">
        <w:t>Are there other measurable approaches/health care activities that support chronic disease management for Indigenous patients?</w:t>
      </w:r>
    </w:p>
    <w:p w14:paraId="3E8D61A1" w14:textId="1CF32F62" w:rsidR="005B4250" w:rsidRDefault="00071E8B" w:rsidP="005B4250">
      <w:pPr>
        <w:pStyle w:val="Boxshadedcolourbackground"/>
        <w:spacing w:before="0"/>
      </w:pPr>
      <w:r>
        <w:t>How can PIP IHI</w:t>
      </w:r>
      <w:r w:rsidRPr="00B83310">
        <w:t xml:space="preserve"> best </w:t>
      </w:r>
      <w:r>
        <w:t xml:space="preserve">respond to </w:t>
      </w:r>
      <w:r w:rsidRPr="00B83310">
        <w:t xml:space="preserve">Indigenous patients </w:t>
      </w:r>
      <w:r>
        <w:t>who need</w:t>
      </w:r>
      <w:r w:rsidRPr="00B83310">
        <w:t xml:space="preserve"> </w:t>
      </w:r>
      <w:r>
        <w:t xml:space="preserve">to </w:t>
      </w:r>
      <w:r w:rsidRPr="00B83310">
        <w:t>move around for personal/family reasons?</w:t>
      </w:r>
    </w:p>
    <w:p w14:paraId="7E6F8192" w14:textId="77777777" w:rsidR="005715DC" w:rsidRDefault="005715DC" w:rsidP="005B4250">
      <w:pPr>
        <w:pStyle w:val="Boxshadedcolourbackground"/>
        <w:spacing w:before="0"/>
      </w:pPr>
    </w:p>
    <w:p w14:paraId="728245F5" w14:textId="2C02D102" w:rsidR="00B967BC" w:rsidRPr="00CE3CDB" w:rsidRDefault="00B967BC" w:rsidP="005B4250">
      <w:pPr>
        <w:pStyle w:val="Boxshadedcolourbackground"/>
        <w:spacing w:before="0"/>
      </w:pPr>
      <w:r w:rsidRPr="00CE3CDB">
        <w:lastRenderedPageBreak/>
        <w:t>Does the calendar year rule disadvantage practices and patients who are mobile?</w:t>
      </w:r>
    </w:p>
    <w:p w14:paraId="4E671730" w14:textId="4BB82D00" w:rsidR="00B967BC" w:rsidRPr="00CE3CDB" w:rsidRDefault="00B967BC" w:rsidP="00071E8B">
      <w:pPr>
        <w:pStyle w:val="Boxshadedcolourbackground"/>
        <w:spacing w:before="0"/>
      </w:pPr>
      <w:r w:rsidRPr="00CE3CDB">
        <w:t>How can practices maintain continuity and consistency of care in light of patient mobility?</w:t>
      </w:r>
    </w:p>
    <w:p w14:paraId="33E91B28" w14:textId="64D4677B" w:rsidR="00B967BC" w:rsidRPr="00454650" w:rsidRDefault="00B967BC" w:rsidP="00454650">
      <w:pPr>
        <w:spacing w:line="276" w:lineRule="auto"/>
        <w:rPr>
          <w:rFonts w:eastAsia="Calibri" w:cs="Times New Roman"/>
          <w:bCs/>
          <w:szCs w:val="21"/>
          <w:lang w:val="en-GB" w:eastAsia="en-US"/>
        </w:rPr>
        <w:sectPr w:rsidR="00B967BC" w:rsidRPr="00454650" w:rsidSect="00B967BC">
          <w:footnotePr>
            <w:numFmt w:val="lowerRoman"/>
          </w:footnotePr>
          <w:endnotePr>
            <w:numFmt w:val="decimal"/>
          </w:endnotePr>
          <w:type w:val="continuous"/>
          <w:pgSz w:w="11906" w:h="16838"/>
          <w:pgMar w:top="1440" w:right="1701" w:bottom="1559" w:left="1701" w:header="709" w:footer="181" w:gutter="0"/>
          <w:cols w:num="2" w:space="708"/>
          <w:docGrid w:linePitch="360"/>
        </w:sectPr>
      </w:pPr>
    </w:p>
    <w:p w14:paraId="7F79F4DD" w14:textId="0AD0ACB7" w:rsidR="00841AE5" w:rsidRDefault="00D85D60" w:rsidP="00454650">
      <w:pPr>
        <w:pStyle w:val="Heading1Black"/>
      </w:pPr>
      <w:bookmarkStart w:id="10" w:name="_Toc529800915"/>
      <w:r>
        <w:lastRenderedPageBreak/>
        <w:t>SOURCES</w:t>
      </w:r>
      <w:bookmarkEnd w:id="10"/>
    </w:p>
    <w:sectPr w:rsidR="00841AE5" w:rsidSect="00454650">
      <w:headerReference w:type="even" r:id="rId32"/>
      <w:headerReference w:type="default" r:id="rId33"/>
      <w:footerReference w:type="default" r:id="rId34"/>
      <w:headerReference w:type="first" r:id="rId35"/>
      <w:pgSz w:w="11906" w:h="16838"/>
      <w:pgMar w:top="1560" w:right="1701" w:bottom="1701"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EDE1C" w14:textId="77777777" w:rsidR="00B04D77" w:rsidRDefault="00B04D77" w:rsidP="005F4768">
      <w:r>
        <w:separator/>
      </w:r>
    </w:p>
  </w:endnote>
  <w:endnote w:type="continuationSeparator" w:id="0">
    <w:p w14:paraId="6220E23B" w14:textId="77777777" w:rsidR="00B04D77" w:rsidRDefault="00B04D77" w:rsidP="005F4768">
      <w:r>
        <w:continuationSeparator/>
      </w:r>
    </w:p>
  </w:endnote>
  <w:endnote w:id="1">
    <w:p w14:paraId="195FD07A" w14:textId="77777777" w:rsidR="008B6C6D" w:rsidRPr="00CE3CDB" w:rsidRDefault="008B6C6D" w:rsidP="008B6C6D">
      <w:pPr>
        <w:pStyle w:val="EndnoteText"/>
        <w:spacing w:after="240"/>
        <w:rPr>
          <w:rFonts w:asciiTheme="minorHAnsi" w:hAnsiTheme="minorHAnsi" w:cstheme="minorHAnsi"/>
          <w:sz w:val="21"/>
          <w:szCs w:val="21"/>
          <w:lang w:val="en-AU"/>
        </w:rPr>
      </w:pPr>
      <w:r w:rsidRPr="00CE3CDB">
        <w:rPr>
          <w:rStyle w:val="EndnoteReference"/>
          <w:rFonts w:asciiTheme="minorHAnsi" w:hAnsiTheme="minorHAnsi" w:cstheme="minorHAnsi"/>
          <w:sz w:val="21"/>
          <w:szCs w:val="21"/>
        </w:rPr>
        <w:endnoteRef/>
      </w:r>
      <w:r w:rsidRPr="00CE3CDB">
        <w:rPr>
          <w:rFonts w:asciiTheme="minorHAnsi" w:hAnsiTheme="minorHAnsi" w:cstheme="minorHAnsi"/>
          <w:sz w:val="21"/>
          <w:szCs w:val="21"/>
        </w:rPr>
        <w:t xml:space="preserve"> </w:t>
      </w:r>
      <w:r w:rsidRPr="00CE3CDB">
        <w:rPr>
          <w:rFonts w:asciiTheme="minorHAnsi" w:hAnsiTheme="minorHAnsi" w:cstheme="minorHAnsi"/>
          <w:sz w:val="21"/>
          <w:szCs w:val="21"/>
          <w:lang w:val="en-AU"/>
        </w:rPr>
        <w:t>Department of Health, Practice Incentives Program Data, September 2018, http://www.health.gov.au/internet/main/publishing.nsf/Content/PHN-PIP_Data.</w:t>
      </w:r>
    </w:p>
  </w:endnote>
  <w:endnote w:id="2">
    <w:p w14:paraId="2B268E55" w14:textId="77777777" w:rsidR="008B6C6D" w:rsidRPr="00CE3CDB" w:rsidRDefault="008B6C6D" w:rsidP="008B6C6D">
      <w:pPr>
        <w:pStyle w:val="EndnoteText"/>
        <w:spacing w:after="240"/>
        <w:rPr>
          <w:rFonts w:asciiTheme="minorHAnsi" w:hAnsiTheme="minorHAnsi" w:cstheme="minorHAnsi"/>
          <w:sz w:val="21"/>
          <w:szCs w:val="21"/>
          <w:lang w:val="en-AU"/>
        </w:rPr>
      </w:pPr>
      <w:r w:rsidRPr="00CE3CDB">
        <w:rPr>
          <w:rStyle w:val="EndnoteReference"/>
          <w:rFonts w:asciiTheme="minorHAnsi" w:hAnsiTheme="minorHAnsi" w:cstheme="minorHAnsi"/>
          <w:sz w:val="21"/>
          <w:szCs w:val="21"/>
        </w:rPr>
        <w:endnoteRef/>
      </w:r>
      <w:r w:rsidRPr="00CE3CDB">
        <w:rPr>
          <w:rFonts w:asciiTheme="minorHAnsi" w:hAnsiTheme="minorHAnsi" w:cstheme="minorHAnsi"/>
          <w:sz w:val="21"/>
          <w:szCs w:val="21"/>
        </w:rPr>
        <w:t xml:space="preserve"> KPMG, National Monitoring and Evaluation of the Indigenous Chronic Disease Package, June 2014.</w:t>
      </w:r>
    </w:p>
  </w:endnote>
  <w:endnote w:id="3">
    <w:p w14:paraId="3EE51A91" w14:textId="77777777" w:rsidR="008B6C6D" w:rsidRPr="00CE3CDB" w:rsidRDefault="008B6C6D" w:rsidP="008B6C6D">
      <w:pPr>
        <w:pStyle w:val="EndnoteText"/>
        <w:spacing w:after="240"/>
        <w:rPr>
          <w:rFonts w:asciiTheme="minorHAnsi" w:hAnsiTheme="minorHAnsi" w:cstheme="minorHAnsi"/>
          <w:sz w:val="21"/>
          <w:szCs w:val="21"/>
          <w:lang w:val="en-AU"/>
        </w:rPr>
      </w:pPr>
      <w:r w:rsidRPr="00CE3CDB">
        <w:rPr>
          <w:rStyle w:val="EndnoteReference"/>
          <w:rFonts w:asciiTheme="minorHAnsi" w:hAnsiTheme="minorHAnsi" w:cstheme="minorHAnsi"/>
          <w:sz w:val="21"/>
          <w:szCs w:val="21"/>
        </w:rPr>
        <w:endnoteRef/>
      </w:r>
      <w:r w:rsidRPr="00CE3CDB">
        <w:rPr>
          <w:rFonts w:asciiTheme="minorHAnsi" w:hAnsiTheme="minorHAnsi" w:cstheme="minorHAnsi"/>
          <w:sz w:val="21"/>
          <w:szCs w:val="21"/>
        </w:rPr>
        <w:t xml:space="preserve"> </w:t>
      </w:r>
      <w:r w:rsidRPr="00CE3CDB">
        <w:rPr>
          <w:rFonts w:asciiTheme="minorHAnsi" w:hAnsiTheme="minorHAnsi" w:cstheme="minorHAnsi"/>
          <w:sz w:val="21"/>
          <w:szCs w:val="21"/>
          <w:lang w:val="en-AU"/>
        </w:rPr>
        <w:t>Australian Government, Closing the Gap Prime Minister’s Report 2018, 2018.</w:t>
      </w:r>
    </w:p>
  </w:endnote>
  <w:endnote w:id="4">
    <w:p w14:paraId="174C382F" w14:textId="083D8590" w:rsidR="00D925A7" w:rsidRPr="00CE3CDB" w:rsidRDefault="00D925A7" w:rsidP="00D925A7">
      <w:pPr>
        <w:pStyle w:val="EndnoteText"/>
        <w:spacing w:after="240"/>
        <w:rPr>
          <w:rFonts w:asciiTheme="minorHAnsi" w:hAnsiTheme="minorHAnsi" w:cstheme="minorHAnsi"/>
          <w:sz w:val="21"/>
          <w:szCs w:val="21"/>
          <w:lang w:val="en-AU"/>
        </w:rPr>
      </w:pPr>
      <w:r w:rsidRPr="00CE3CDB">
        <w:rPr>
          <w:rStyle w:val="EndnoteReference"/>
          <w:rFonts w:asciiTheme="minorHAnsi" w:hAnsiTheme="minorHAnsi" w:cstheme="minorHAnsi"/>
          <w:sz w:val="21"/>
          <w:szCs w:val="21"/>
        </w:rPr>
        <w:endnoteRef/>
      </w:r>
      <w:r w:rsidRPr="00CE3CDB">
        <w:rPr>
          <w:rFonts w:asciiTheme="minorHAnsi" w:hAnsiTheme="minorHAnsi" w:cstheme="minorHAnsi"/>
          <w:sz w:val="21"/>
          <w:szCs w:val="21"/>
        </w:rPr>
        <w:t xml:space="preserve"> Aboriginal and Torres Strait Islander Health Performance Framework, Australian Government, 2017.  </w:t>
      </w:r>
    </w:p>
  </w:endnote>
  <w:endnote w:id="5">
    <w:p w14:paraId="034079AB" w14:textId="4882B021" w:rsidR="00D925A7" w:rsidRDefault="00D925A7" w:rsidP="00D925A7">
      <w:pPr>
        <w:pStyle w:val="EndnoteText"/>
        <w:spacing w:after="240"/>
        <w:rPr>
          <w:rFonts w:asciiTheme="minorHAnsi" w:hAnsiTheme="minorHAnsi" w:cstheme="minorHAnsi"/>
          <w:sz w:val="21"/>
          <w:szCs w:val="21"/>
        </w:rPr>
      </w:pPr>
      <w:r w:rsidRPr="00CE3CDB">
        <w:rPr>
          <w:rStyle w:val="EndnoteReference"/>
          <w:rFonts w:asciiTheme="minorHAnsi" w:hAnsiTheme="minorHAnsi" w:cstheme="minorHAnsi"/>
          <w:sz w:val="21"/>
          <w:szCs w:val="21"/>
        </w:rPr>
        <w:endnoteRef/>
      </w:r>
      <w:r w:rsidRPr="00CE3CDB">
        <w:rPr>
          <w:rFonts w:asciiTheme="minorHAnsi" w:hAnsiTheme="minorHAnsi" w:cstheme="minorHAnsi"/>
          <w:sz w:val="21"/>
          <w:szCs w:val="21"/>
        </w:rPr>
        <w:t xml:space="preserve"> Australian Indigenous Doctors’ Association, Cultural Safety Factsheet.  </w:t>
      </w:r>
    </w:p>
    <w:p w14:paraId="58ABCA5D" w14:textId="6DDF3C31" w:rsidR="00E25A7E" w:rsidRDefault="00E25A7E" w:rsidP="00D925A7">
      <w:pPr>
        <w:pStyle w:val="EndnoteText"/>
        <w:spacing w:after="240"/>
        <w:rPr>
          <w:rFonts w:asciiTheme="minorHAnsi" w:hAnsiTheme="minorHAnsi" w:cstheme="minorHAnsi"/>
          <w:sz w:val="21"/>
          <w:szCs w:val="21"/>
        </w:rPr>
      </w:pPr>
    </w:p>
    <w:p w14:paraId="28151DC9" w14:textId="49CCB6CA" w:rsidR="00E25A7E" w:rsidRDefault="00E25A7E" w:rsidP="00D925A7">
      <w:pPr>
        <w:pStyle w:val="EndnoteText"/>
        <w:spacing w:after="240"/>
        <w:rPr>
          <w:rFonts w:asciiTheme="minorHAnsi" w:hAnsiTheme="minorHAnsi" w:cstheme="minorHAnsi"/>
          <w:sz w:val="21"/>
          <w:szCs w:val="21"/>
        </w:rPr>
      </w:pPr>
    </w:p>
    <w:p w14:paraId="4D8D46E3" w14:textId="77777777" w:rsidR="00E25A7E" w:rsidRPr="00CE3CDB" w:rsidRDefault="00E25A7E" w:rsidP="00D925A7">
      <w:pPr>
        <w:pStyle w:val="EndnoteText"/>
        <w:spacing w:after="240"/>
        <w:rPr>
          <w:rFonts w:asciiTheme="minorHAnsi" w:hAnsiTheme="minorHAnsi" w:cstheme="minorHAnsi"/>
          <w:sz w:val="21"/>
          <w:szCs w:val="21"/>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3309" w14:textId="7388C078" w:rsidR="005D2E42" w:rsidRDefault="00847C0F" w:rsidP="005D2E42">
    <w:pPr>
      <w:pStyle w:val="Footer"/>
      <w:tabs>
        <w:tab w:val="left" w:pos="1036"/>
      </w:tabs>
      <w:jc w:val="left"/>
    </w:pPr>
    <w:r>
      <w:rPr>
        <w:noProof/>
      </w:rPr>
      <w:drawing>
        <wp:anchor distT="0" distB="0" distL="114300" distR="114300" simplePos="0" relativeHeight="251675648" behindDoc="1" locked="0" layoutInCell="0" allowOverlap="1" wp14:anchorId="02E1E180" wp14:editId="171AA06A">
          <wp:simplePos x="0" y="0"/>
          <wp:positionH relativeFrom="margin">
            <wp:posOffset>4658995</wp:posOffset>
          </wp:positionH>
          <wp:positionV relativeFrom="margin">
            <wp:posOffset>4671695</wp:posOffset>
          </wp:positionV>
          <wp:extent cx="4170045" cy="4133215"/>
          <wp:effectExtent l="0" t="0" r="0" b="0"/>
          <wp:wrapNone/>
          <wp:docPr id="12" name="Picture 12" descr="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mark@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rot="1335420">
                    <a:off x="0" y="0"/>
                    <a:ext cx="4170045" cy="4133215"/>
                  </a:xfrm>
                  <a:prstGeom prst="rect">
                    <a:avLst/>
                  </a:prstGeom>
                  <a:noFill/>
                </pic:spPr>
              </pic:pic>
            </a:graphicData>
          </a:graphic>
          <wp14:sizeRelH relativeFrom="page">
            <wp14:pctWidth>0</wp14:pctWidth>
          </wp14:sizeRelH>
          <wp14:sizeRelV relativeFrom="page">
            <wp14:pctHeight>0</wp14:pctHeight>
          </wp14:sizeRelV>
        </wp:anchor>
      </w:drawing>
    </w:r>
    <w:r w:rsidR="005D2E42">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830730"/>
      <w:docPartObj>
        <w:docPartGallery w:val="Page Numbers (Bottom of Page)"/>
        <w:docPartUnique/>
      </w:docPartObj>
    </w:sdtPr>
    <w:sdtEndPr>
      <w:rPr>
        <w:noProof/>
      </w:rPr>
    </w:sdtEndPr>
    <w:sdtContent>
      <w:p w14:paraId="337C47D8" w14:textId="4546A43C" w:rsidR="00CB4C13" w:rsidRPr="00CB4C13" w:rsidRDefault="00E400C9" w:rsidP="00A30A78">
        <w:pPr>
          <w:pStyle w:val="Footerborderabove"/>
          <w:spacing w:after="120"/>
        </w:pPr>
        <w:r>
          <w:rPr>
            <w:noProof/>
          </w:rPr>
          <w:pict w14:anchorId="02E1E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44426" o:spid="_x0000_s2054" type="#_x0000_t75" style="position:absolute;left:0;text-align:left;margin-left:438.45pt;margin-top:367.65pt;width:328.35pt;height:325.45pt;rotation:1458635fd;z-index:-251649024;mso-position-horizontal-relative:margin;mso-position-vertical-relative:margin" o:allowincell="f">
              <v:imagedata r:id="rId1" o:title="Watermark@1" gain="19661f" blacklevel="22938f"/>
              <w10:wrap anchorx="margin" anchory="margin"/>
            </v:shape>
          </w:pict>
        </w:r>
        <w:r w:rsidR="00C1633A">
          <w:t>Practice Incentives Program Indigenous Health Incentive (PIP IHI) Consultation Paper</w:t>
        </w:r>
      </w:p>
      <w:p w14:paraId="41DCF8F8" w14:textId="6F9513D7" w:rsidR="00A66C82" w:rsidRDefault="00CB4C13" w:rsidP="00CB4C13">
        <w:pPr>
          <w:pStyle w:val="Footer"/>
        </w:pPr>
        <w:r w:rsidRPr="00CB4C13">
          <w:fldChar w:fldCharType="begin"/>
        </w:r>
        <w:r w:rsidRPr="00CB4C13">
          <w:instrText xml:space="preserve"> PAGE   \* MERGEFORMAT </w:instrText>
        </w:r>
        <w:r w:rsidRPr="00CB4C13">
          <w:fldChar w:fldCharType="separate"/>
        </w:r>
        <w:r w:rsidR="00E400C9">
          <w:rPr>
            <w:noProof/>
          </w:rPr>
          <w:t>9</w:t>
        </w:r>
        <w:r w:rsidRPr="00CB4C13">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424178"/>
      <w:docPartObj>
        <w:docPartGallery w:val="Page Numbers (Bottom of Page)"/>
        <w:docPartUnique/>
      </w:docPartObj>
    </w:sdtPr>
    <w:sdtEndPr>
      <w:rPr>
        <w:noProof/>
      </w:rPr>
    </w:sdtEndPr>
    <w:sdtContent>
      <w:p w14:paraId="0CAD7DEA" w14:textId="4DB34769" w:rsidR="00841AE5" w:rsidRPr="00CB4C13" w:rsidRDefault="00847C0F" w:rsidP="00A30A78">
        <w:pPr>
          <w:pStyle w:val="Footerborderabove"/>
          <w:spacing w:after="120"/>
        </w:pPr>
        <w:r>
          <w:rPr>
            <w:noProof/>
          </w:rPr>
          <w:drawing>
            <wp:anchor distT="0" distB="0" distL="114300" distR="114300" simplePos="0" relativeHeight="251677696" behindDoc="1" locked="0" layoutInCell="0" allowOverlap="1" wp14:anchorId="2A78B2C1" wp14:editId="1BFCD63B">
              <wp:simplePos x="0" y="0"/>
              <wp:positionH relativeFrom="margin">
                <wp:posOffset>5568315</wp:posOffset>
              </wp:positionH>
              <wp:positionV relativeFrom="margin">
                <wp:posOffset>4669155</wp:posOffset>
              </wp:positionV>
              <wp:extent cx="4170045" cy="4133215"/>
              <wp:effectExtent l="0" t="0" r="0" b="0"/>
              <wp:wrapNone/>
              <wp:docPr id="13" name="Picture 13" descr="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ark@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rot="1335420">
                        <a:off x="0" y="0"/>
                        <a:ext cx="4170045" cy="4133215"/>
                      </a:xfrm>
                      <a:prstGeom prst="rect">
                        <a:avLst/>
                      </a:prstGeom>
                      <a:noFill/>
                    </pic:spPr>
                  </pic:pic>
                </a:graphicData>
              </a:graphic>
              <wp14:sizeRelH relativeFrom="page">
                <wp14:pctWidth>0</wp14:pctWidth>
              </wp14:sizeRelH>
              <wp14:sizeRelV relativeFrom="page">
                <wp14:pctHeight>0</wp14:pctHeight>
              </wp14:sizeRelV>
            </wp:anchor>
          </w:drawing>
        </w:r>
        <w:r w:rsidR="00841AE5">
          <w:t>Practice Incentives Program Indigenous Health Incentive (PIP IHI) Consultation Paper</w:t>
        </w:r>
      </w:p>
      <w:p w14:paraId="76C43A5E" w14:textId="0205396A" w:rsidR="00841AE5" w:rsidRDefault="00841AE5" w:rsidP="00CB4C13">
        <w:pPr>
          <w:pStyle w:val="Footer"/>
        </w:pPr>
        <w:r w:rsidRPr="00CB4C13">
          <w:fldChar w:fldCharType="begin"/>
        </w:r>
        <w:r w:rsidRPr="00CB4C13">
          <w:instrText xml:space="preserve"> PAGE   \* MERGEFORMAT </w:instrText>
        </w:r>
        <w:r w:rsidRPr="00CB4C13">
          <w:fldChar w:fldCharType="separate"/>
        </w:r>
        <w:r w:rsidR="00E400C9">
          <w:rPr>
            <w:noProof/>
          </w:rPr>
          <w:t>10</w:t>
        </w:r>
        <w:r w:rsidRPr="00CB4C1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4CAD3" w14:textId="77777777" w:rsidR="00B04D77" w:rsidRDefault="00B04D77" w:rsidP="005F4768">
      <w:r>
        <w:separator/>
      </w:r>
    </w:p>
  </w:footnote>
  <w:footnote w:type="continuationSeparator" w:id="0">
    <w:p w14:paraId="0D0C6E21" w14:textId="77777777" w:rsidR="00B04D77" w:rsidRDefault="00B04D77" w:rsidP="005F4768">
      <w:r>
        <w:continuationSeparator/>
      </w:r>
    </w:p>
  </w:footnote>
  <w:footnote w:id="1">
    <w:p w14:paraId="05B7F82C" w14:textId="591B7DE6" w:rsidR="00A56704" w:rsidRPr="00CA3975" w:rsidRDefault="00A56704">
      <w:pPr>
        <w:pStyle w:val="FootnoteText"/>
        <w:rPr>
          <w:rFonts w:asciiTheme="majorHAnsi" w:hAnsiTheme="majorHAnsi" w:cstheme="majorHAnsi"/>
          <w:sz w:val="16"/>
          <w:szCs w:val="16"/>
          <w:lang w:val="en-AU"/>
        </w:rPr>
      </w:pPr>
      <w:r w:rsidRPr="00CA3975">
        <w:rPr>
          <w:rStyle w:val="FootnoteReference"/>
          <w:rFonts w:asciiTheme="majorHAnsi" w:hAnsiTheme="majorHAnsi" w:cstheme="majorHAnsi"/>
          <w:sz w:val="16"/>
          <w:szCs w:val="16"/>
        </w:rPr>
        <w:footnoteRef/>
      </w:r>
      <w:r w:rsidRPr="00CA3975">
        <w:rPr>
          <w:rFonts w:asciiTheme="majorHAnsi" w:hAnsiTheme="majorHAnsi" w:cstheme="majorHAnsi"/>
          <w:sz w:val="16"/>
          <w:szCs w:val="16"/>
        </w:rPr>
        <w:t xml:space="preserve"> </w:t>
      </w:r>
      <w:r w:rsidRPr="00CA3975">
        <w:rPr>
          <w:rFonts w:asciiTheme="majorHAnsi" w:hAnsiTheme="majorHAnsi" w:cstheme="majorHAnsi"/>
          <w:sz w:val="16"/>
          <w:szCs w:val="16"/>
          <w:lang w:val="en-AU"/>
        </w:rPr>
        <w:t>The are 11 PIP incentives including: Asthma, After Hours, Cervical Screening, Diabetes, eHealth, General Practitioner Aged Care Access, Indigenous Health, Procedural General Practitioner Payment, Quality Prescribing Incentive, Rural Loading, and Teaching Payment.</w:t>
      </w:r>
    </w:p>
  </w:footnote>
  <w:footnote w:id="2">
    <w:p w14:paraId="05DB18EB" w14:textId="77777777" w:rsidR="00217CCE" w:rsidRPr="00CA3975" w:rsidRDefault="00217CCE" w:rsidP="00217CCE">
      <w:pPr>
        <w:pStyle w:val="EndnoteText"/>
        <w:rPr>
          <w:rFonts w:asciiTheme="majorHAnsi" w:hAnsiTheme="majorHAnsi" w:cstheme="majorHAnsi"/>
          <w:sz w:val="16"/>
          <w:szCs w:val="16"/>
        </w:rPr>
      </w:pPr>
      <w:r w:rsidRPr="00CA3975">
        <w:rPr>
          <w:rStyle w:val="FootnoteReference"/>
          <w:rFonts w:asciiTheme="majorHAnsi" w:hAnsiTheme="majorHAnsi" w:cstheme="majorHAnsi"/>
          <w:sz w:val="16"/>
          <w:szCs w:val="16"/>
        </w:rPr>
        <w:footnoteRef/>
      </w:r>
      <w:r w:rsidRPr="00CA3975">
        <w:rPr>
          <w:rFonts w:asciiTheme="majorHAnsi" w:hAnsiTheme="majorHAnsi" w:cstheme="majorHAnsi"/>
          <w:sz w:val="16"/>
          <w:szCs w:val="16"/>
        </w:rPr>
        <w:t xml:space="preserve"> The PIP Indigenous Health Incentive uses the MBS definition of a chronic disease—a disease that has been, or is likely to be, present for at least six months. It includes but is not limited to asthma, cancer, cardiovascular illness, diabetes mellitus, musculoskeletal conditions and stroke.  </w:t>
      </w:r>
    </w:p>
  </w:footnote>
  <w:footnote w:id="3">
    <w:p w14:paraId="6271B5F3" w14:textId="0DCDB526" w:rsidR="00A56704" w:rsidRPr="00CA3975" w:rsidRDefault="00A56704" w:rsidP="00AE1049">
      <w:pPr>
        <w:pStyle w:val="Default"/>
        <w:rPr>
          <w:rFonts w:asciiTheme="majorHAnsi" w:hAnsiTheme="majorHAnsi" w:cstheme="majorHAnsi"/>
          <w:sz w:val="16"/>
          <w:szCs w:val="16"/>
        </w:rPr>
      </w:pPr>
      <w:r w:rsidRPr="00CA3975">
        <w:rPr>
          <w:rStyle w:val="FootnoteReference"/>
          <w:rFonts w:asciiTheme="majorHAnsi" w:hAnsiTheme="majorHAnsi" w:cstheme="majorHAnsi"/>
          <w:sz w:val="16"/>
          <w:szCs w:val="16"/>
        </w:rPr>
        <w:footnoteRef/>
      </w:r>
      <w:r w:rsidR="00CA3975" w:rsidRPr="00CA3975">
        <w:rPr>
          <w:rFonts w:asciiTheme="majorHAnsi" w:hAnsiTheme="majorHAnsi" w:cstheme="majorHAnsi"/>
          <w:sz w:val="16"/>
          <w:szCs w:val="16"/>
        </w:rPr>
        <w:t xml:space="preserve"> </w:t>
      </w:r>
      <w:r w:rsidRPr="00CA3975">
        <w:rPr>
          <w:rFonts w:asciiTheme="majorHAnsi" w:hAnsiTheme="majorHAnsi" w:cstheme="majorHAnsi"/>
          <w:sz w:val="16"/>
          <w:szCs w:val="16"/>
        </w:rPr>
        <w:t xml:space="preserve">A rural loading ranging from 15–50 per cent, depending on the remoteness of the practices, is applied to practices located in Rural Remote and Metropolitan Areas 3–7. </w:t>
      </w:r>
      <w:r w:rsidR="00AE1049" w:rsidRPr="00CA3975">
        <w:rPr>
          <w:rFonts w:asciiTheme="majorHAnsi" w:hAnsiTheme="majorHAnsi" w:cstheme="majorHAnsi"/>
          <w:sz w:val="16"/>
          <w:szCs w:val="16"/>
        </w:rPr>
        <w:t>The Department of Health currently uses the Rural, Remo</w:t>
      </w:r>
      <w:r w:rsidR="00CA3975" w:rsidRPr="00CA3975">
        <w:rPr>
          <w:rFonts w:asciiTheme="majorHAnsi" w:hAnsiTheme="majorHAnsi" w:cstheme="majorHAnsi"/>
          <w:sz w:val="16"/>
          <w:szCs w:val="16"/>
        </w:rPr>
        <w:t xml:space="preserve">te and Metropolitan Areas model, not </w:t>
      </w:r>
      <w:r w:rsidR="00AE1049" w:rsidRPr="00CA3975">
        <w:rPr>
          <w:rFonts w:asciiTheme="majorHAnsi" w:hAnsiTheme="majorHAnsi" w:cstheme="majorHAnsi"/>
          <w:sz w:val="16"/>
          <w:szCs w:val="16"/>
        </w:rPr>
        <w:t>the Modified Monash Model.</w:t>
      </w:r>
    </w:p>
  </w:footnote>
  <w:footnote w:id="4">
    <w:p w14:paraId="6493D173" w14:textId="3D01E6B7" w:rsidR="00A56704" w:rsidRPr="00CA3975" w:rsidRDefault="00A56704">
      <w:pPr>
        <w:pStyle w:val="FootnoteText"/>
        <w:rPr>
          <w:rFonts w:asciiTheme="majorHAnsi" w:hAnsiTheme="majorHAnsi" w:cstheme="majorHAnsi"/>
          <w:sz w:val="16"/>
          <w:szCs w:val="16"/>
          <w:lang w:val="en-AU"/>
        </w:rPr>
      </w:pPr>
      <w:r w:rsidRPr="00CA3975">
        <w:rPr>
          <w:rStyle w:val="FootnoteReference"/>
          <w:rFonts w:asciiTheme="majorHAnsi" w:hAnsiTheme="majorHAnsi" w:cstheme="majorHAnsi"/>
          <w:sz w:val="16"/>
          <w:szCs w:val="16"/>
        </w:rPr>
        <w:footnoteRef/>
      </w:r>
      <w:r w:rsidRPr="00CA3975">
        <w:rPr>
          <w:rFonts w:asciiTheme="majorHAnsi" w:hAnsiTheme="majorHAnsi" w:cstheme="majorHAnsi"/>
          <w:sz w:val="16"/>
          <w:szCs w:val="16"/>
        </w:rPr>
        <w:t xml:space="preserve"> Exemptions apply for practices who have undertaken appropriate training completed up to 12 months before the practice signs on for the incentive and/or for practices under the management of an Aboriginal Board of Directors or a committee made up mainly of Aboriginal community representatives. </w:t>
      </w:r>
    </w:p>
  </w:footnote>
  <w:footnote w:id="5">
    <w:p w14:paraId="30C6E5A4" w14:textId="2759704D" w:rsidR="00A56704" w:rsidRPr="00CA3975" w:rsidRDefault="00A56704">
      <w:pPr>
        <w:pStyle w:val="FootnoteText"/>
        <w:rPr>
          <w:rFonts w:asciiTheme="majorHAnsi" w:hAnsiTheme="majorHAnsi" w:cstheme="majorHAnsi"/>
          <w:sz w:val="16"/>
          <w:szCs w:val="16"/>
          <w:lang w:val="en-AU"/>
        </w:rPr>
      </w:pPr>
      <w:r w:rsidRPr="00CA3975">
        <w:rPr>
          <w:rStyle w:val="FootnoteReference"/>
          <w:rFonts w:asciiTheme="majorHAnsi" w:hAnsiTheme="majorHAnsi" w:cstheme="majorHAnsi"/>
          <w:sz w:val="16"/>
          <w:szCs w:val="16"/>
        </w:rPr>
        <w:footnoteRef/>
      </w:r>
      <w:r w:rsidR="00C25049">
        <w:rPr>
          <w:rFonts w:asciiTheme="majorHAnsi" w:hAnsiTheme="majorHAnsi" w:cstheme="majorHAnsi"/>
          <w:sz w:val="16"/>
          <w:szCs w:val="16"/>
        </w:rPr>
        <w:t xml:space="preserve"> Patients do not </w:t>
      </w:r>
      <w:r w:rsidRPr="00CA3975">
        <w:rPr>
          <w:rFonts w:asciiTheme="majorHAnsi" w:hAnsiTheme="majorHAnsi" w:cstheme="majorHAnsi"/>
          <w:sz w:val="16"/>
          <w:szCs w:val="16"/>
        </w:rPr>
        <w:t>need to provide evidence to support this.</w:t>
      </w:r>
    </w:p>
  </w:footnote>
  <w:footnote w:id="6">
    <w:p w14:paraId="5CF07B77" w14:textId="27B46C7F" w:rsidR="00CA206A" w:rsidRPr="00CA206A" w:rsidRDefault="00CA206A">
      <w:pPr>
        <w:pStyle w:val="FootnoteText"/>
        <w:rPr>
          <w:lang w:val="en-AU"/>
        </w:rPr>
      </w:pPr>
      <w:r w:rsidRPr="00CA3975">
        <w:rPr>
          <w:rStyle w:val="FootnoteReference"/>
          <w:rFonts w:asciiTheme="majorHAnsi" w:hAnsiTheme="majorHAnsi" w:cstheme="majorHAnsi"/>
          <w:sz w:val="16"/>
          <w:szCs w:val="16"/>
        </w:rPr>
        <w:footnoteRef/>
      </w:r>
      <w:r w:rsidRPr="00CA3975">
        <w:rPr>
          <w:rFonts w:asciiTheme="majorHAnsi" w:hAnsiTheme="majorHAnsi" w:cstheme="majorHAnsi"/>
          <w:sz w:val="16"/>
          <w:szCs w:val="16"/>
        </w:rPr>
        <w:t xml:space="preserve"> Annual re-registration for the CTG PBS Co-payment Measure is not required.</w:t>
      </w:r>
    </w:p>
  </w:footnote>
  <w:footnote w:id="7">
    <w:p w14:paraId="2FF7DD5A" w14:textId="3BFD643D" w:rsidR="00A56704" w:rsidRPr="00CA3975" w:rsidRDefault="00A56704">
      <w:pPr>
        <w:pStyle w:val="FootnoteText"/>
        <w:rPr>
          <w:rFonts w:asciiTheme="majorHAnsi" w:hAnsiTheme="majorHAnsi" w:cstheme="majorHAnsi"/>
          <w:sz w:val="16"/>
          <w:szCs w:val="16"/>
          <w:lang w:val="en-AU"/>
        </w:rPr>
      </w:pPr>
      <w:r w:rsidRPr="00CA3975">
        <w:rPr>
          <w:rStyle w:val="FootnoteReference"/>
          <w:rFonts w:asciiTheme="majorHAnsi" w:hAnsiTheme="majorHAnsi" w:cstheme="majorHAnsi"/>
          <w:sz w:val="16"/>
          <w:szCs w:val="16"/>
        </w:rPr>
        <w:footnoteRef/>
      </w:r>
      <w:r w:rsidRPr="00CA3975">
        <w:rPr>
          <w:rFonts w:asciiTheme="majorHAnsi" w:hAnsiTheme="majorHAnsi" w:cstheme="majorHAnsi"/>
          <w:sz w:val="16"/>
          <w:szCs w:val="16"/>
        </w:rPr>
        <w:t xml:space="preserve"> If two or more practices provide the same number of eligible MBS services for a patient (with a minimum of any five eligible MBS services) in the calendar year, a Tier 2 outcomes payment will be made to each practice.</w:t>
      </w:r>
    </w:p>
  </w:footnote>
  <w:footnote w:id="8">
    <w:p w14:paraId="5EE09DCC" w14:textId="44AB72DC" w:rsidR="00A56704" w:rsidRPr="00CA3975" w:rsidRDefault="00A56704">
      <w:pPr>
        <w:pStyle w:val="FootnoteText"/>
        <w:rPr>
          <w:rFonts w:asciiTheme="majorHAnsi" w:hAnsiTheme="majorHAnsi" w:cstheme="majorHAnsi"/>
          <w:sz w:val="16"/>
          <w:szCs w:val="16"/>
          <w:lang w:val="en-AU"/>
        </w:rPr>
      </w:pPr>
      <w:r w:rsidRPr="00CA3975">
        <w:rPr>
          <w:rStyle w:val="FootnoteReference"/>
          <w:rFonts w:asciiTheme="majorHAnsi" w:hAnsiTheme="majorHAnsi" w:cstheme="majorHAnsi"/>
          <w:sz w:val="16"/>
          <w:szCs w:val="16"/>
        </w:rPr>
        <w:footnoteRef/>
      </w:r>
      <w:r w:rsidRPr="00CA3975">
        <w:rPr>
          <w:rFonts w:asciiTheme="majorHAnsi" w:hAnsiTheme="majorHAnsi" w:cstheme="majorHAnsi"/>
          <w:sz w:val="16"/>
          <w:szCs w:val="16"/>
        </w:rPr>
        <w:t xml:space="preserve"> Practices may be eligible for either, or both, Tier 1 and Tier 2 outcomes payments even if the patient is currently registered for the PIP IHI at another PIP-registered 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866ED" w14:textId="6DC34C9B" w:rsidR="0018270D" w:rsidRDefault="00E400C9">
    <w:pPr>
      <w:pStyle w:val="Header"/>
    </w:pPr>
    <w:r>
      <w:rPr>
        <w:noProof/>
      </w:rPr>
      <w:pict w14:anchorId="785EC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44422" o:spid="_x0000_s2050" type="#_x0000_t75" style="position:absolute;margin-left:0;margin-top:0;width:225.7pt;height:223.7pt;z-index:-251653120;mso-position-horizontal:center;mso-position-horizontal-relative:margin;mso-position-vertical:center;mso-position-vertical-relative:margin" o:allowincell="f">
          <v:imagedata r:id="rId1" o:title="Watermark@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B332A" w14:textId="5D4169A9" w:rsidR="00A66C82" w:rsidRDefault="001E4E4C" w:rsidP="005F4768">
    <w:pPr>
      <w:pStyle w:val="Header"/>
    </w:pPr>
    <w:r>
      <w:rPr>
        <w:noProof/>
      </w:rPr>
      <w:drawing>
        <wp:anchor distT="0" distB="0" distL="114300" distR="114300" simplePos="0" relativeHeight="251674624" behindDoc="1" locked="0" layoutInCell="1" allowOverlap="1" wp14:anchorId="18F95D89" wp14:editId="7AFFD2DC">
          <wp:simplePos x="0" y="0"/>
          <wp:positionH relativeFrom="margin">
            <wp:align>center</wp:align>
          </wp:positionH>
          <wp:positionV relativeFrom="paragraph">
            <wp:posOffset>830827</wp:posOffset>
          </wp:positionV>
          <wp:extent cx="7199630" cy="967945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1780" cy="96823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54308" w14:textId="5415CF70" w:rsidR="0018270D" w:rsidRDefault="00E400C9">
    <w:pPr>
      <w:pStyle w:val="Header"/>
    </w:pPr>
    <w:r>
      <w:rPr>
        <w:noProof/>
      </w:rPr>
      <w:pict w14:anchorId="63C3E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44421" o:spid="_x0000_s2049" type="#_x0000_t75" style="position:absolute;margin-left:0;margin-top:0;width:225.7pt;height:223.7pt;z-index:-251654144;mso-position-horizontal:center;mso-position-horizontal-relative:margin;mso-position-vertical:center;mso-position-vertical-relative:margin" o:allowincell="f">
          <v:imagedata r:id="rId1" o:title="Watermark@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78A82" w14:textId="21B980E2" w:rsidR="0018270D" w:rsidRDefault="00E400C9">
    <w:pPr>
      <w:pStyle w:val="Header"/>
    </w:pPr>
    <w:r>
      <w:rPr>
        <w:noProof/>
      </w:rPr>
      <w:pict w14:anchorId="64922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44425" o:spid="_x0000_s2053" type="#_x0000_t75" style="position:absolute;margin-left:0;margin-top:0;width:225.7pt;height:223.7pt;z-index:-251650048;mso-position-horizontal:center;mso-position-horizontal-relative:margin;mso-position-vertical:center;mso-position-vertical-relative:margin" o:allowincell="f">
          <v:imagedata r:id="rId1" o:title="Watermark@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06412" w14:textId="25908CDD" w:rsidR="00A66C82" w:rsidRDefault="00A66C82" w:rsidP="005F47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9DCD9" w14:textId="2BDA3C70" w:rsidR="0018270D" w:rsidRDefault="00E400C9">
    <w:pPr>
      <w:pStyle w:val="Header"/>
    </w:pPr>
    <w:r>
      <w:rPr>
        <w:noProof/>
      </w:rPr>
      <w:pict w14:anchorId="6E4D5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44424" o:spid="_x0000_s2052" type="#_x0000_t75" style="position:absolute;margin-left:0;margin-top:0;width:225.7pt;height:223.7pt;z-index:-251651072;mso-position-horizontal:center;mso-position-horizontal-relative:margin;mso-position-vertical:center;mso-position-vertical-relative:margin" o:allowincell="f">
          <v:imagedata r:id="rId1" o:title="Watermark@1"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6081" w14:textId="18FB15E6" w:rsidR="0018270D" w:rsidRDefault="00E400C9">
    <w:pPr>
      <w:pStyle w:val="Header"/>
    </w:pPr>
    <w:r>
      <w:rPr>
        <w:noProof/>
      </w:rPr>
      <w:pict w14:anchorId="7383D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44428" o:spid="_x0000_s2056" type="#_x0000_t75" style="position:absolute;margin-left:0;margin-top:0;width:225.7pt;height:223.7pt;z-index:-251646976;mso-position-horizontal:center;mso-position-horizontal-relative:margin;mso-position-vertical:center;mso-position-vertical-relative:margin" o:allowincell="f">
          <v:imagedata r:id="rId1" o:title="Watermark@1"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963FD" w14:textId="35192289" w:rsidR="00A66C82" w:rsidRDefault="00A66C82" w:rsidP="005F47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E87E" w14:textId="0B20E425" w:rsidR="0018270D" w:rsidRDefault="00E400C9">
    <w:pPr>
      <w:pStyle w:val="Header"/>
    </w:pPr>
    <w:r>
      <w:rPr>
        <w:noProof/>
      </w:rPr>
      <w:pict w14:anchorId="07DD2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44427" o:spid="_x0000_s2055" type="#_x0000_t75" style="position:absolute;margin-left:0;margin-top:0;width:225.7pt;height:223.7pt;z-index:-251648000;mso-position-horizontal:center;mso-position-horizontal-relative:margin;mso-position-vertical:center;mso-position-vertical-relative:margin" o:allowincell="f">
          <v:imagedata r:id="rId1" o:title="Watermark@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DA4C29C"/>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29A024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D44C238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EB72A90"/>
    <w:multiLevelType w:val="hybridMultilevel"/>
    <w:tmpl w:val="989E6F56"/>
    <w:lvl w:ilvl="0" w:tplc="D668E5A4">
      <w:start w:val="1"/>
      <w:numFmt w:val="bullet"/>
      <w:pStyle w:val="Bullet"/>
      <w:lvlText w:val=""/>
      <w:lvlJc w:val="left"/>
      <w:pPr>
        <w:ind w:left="360" w:hanging="360"/>
      </w:pPr>
      <w:rPr>
        <w:rFonts w:ascii="Wingdings 3" w:hAnsi="Wingdings 3" w:hint="default"/>
        <w:sz w:val="15"/>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 w15:restartNumberingAfterBreak="0">
    <w:nsid w:val="172F1740"/>
    <w:multiLevelType w:val="multilevel"/>
    <w:tmpl w:val="4A1A5CB6"/>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120533"/>
    <w:multiLevelType w:val="hybridMultilevel"/>
    <w:tmpl w:val="1FBA9C56"/>
    <w:lvl w:ilvl="0" w:tplc="136C86B6">
      <w:start w:val="1"/>
      <w:numFmt w:val="bullet"/>
      <w:pStyle w:val="TableTextbullet"/>
      <w:lvlText w:val=""/>
      <w:lvlJc w:val="left"/>
      <w:pPr>
        <w:ind w:left="360" w:hanging="360"/>
      </w:pPr>
      <w:rPr>
        <w:rFonts w:ascii="Wingdings 3" w:hAnsi="Wingdings 3" w:hint="default"/>
        <w:sz w:val="1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15:restartNumberingAfterBreak="0">
    <w:nsid w:val="344A392F"/>
    <w:multiLevelType w:val="hybridMultilevel"/>
    <w:tmpl w:val="0A4EB5B6"/>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7" w15:restartNumberingAfterBreak="0">
    <w:nsid w:val="37A97DC3"/>
    <w:multiLevelType w:val="hybridMultilevel"/>
    <w:tmpl w:val="FD041924"/>
    <w:lvl w:ilvl="0" w:tplc="0C090001">
      <w:start w:val="1"/>
      <w:numFmt w:val="bullet"/>
      <w:lvlText w:val=""/>
      <w:lvlJc w:val="left"/>
      <w:pPr>
        <w:ind w:left="900" w:hanging="5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D155AE"/>
    <w:multiLevelType w:val="multilevel"/>
    <w:tmpl w:val="65143508"/>
    <w:lvl w:ilvl="0">
      <w:start w:val="1"/>
      <w:numFmt w:val="bullet"/>
      <w:pStyle w:val="BulletedLi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C41621"/>
    <w:multiLevelType w:val="hybridMultilevel"/>
    <w:tmpl w:val="58AE9E6A"/>
    <w:lvl w:ilvl="0" w:tplc="E36428BC">
      <w:start w:val="1"/>
      <w:numFmt w:val="bullet"/>
      <w:lvlText w:val="•"/>
      <w:lvlJc w:val="left"/>
      <w:pPr>
        <w:tabs>
          <w:tab w:val="num" w:pos="720"/>
        </w:tabs>
        <w:ind w:left="720" w:hanging="360"/>
      </w:pPr>
      <w:rPr>
        <w:rFonts w:ascii="Arial" w:hAnsi="Arial" w:hint="default"/>
      </w:rPr>
    </w:lvl>
    <w:lvl w:ilvl="1" w:tplc="3F9007F0">
      <w:start w:val="1"/>
      <w:numFmt w:val="bullet"/>
      <w:lvlText w:val="•"/>
      <w:lvlJc w:val="left"/>
      <w:pPr>
        <w:tabs>
          <w:tab w:val="num" w:pos="1440"/>
        </w:tabs>
        <w:ind w:left="1440" w:hanging="360"/>
      </w:pPr>
      <w:rPr>
        <w:rFonts w:ascii="Arial" w:hAnsi="Arial" w:hint="default"/>
      </w:rPr>
    </w:lvl>
    <w:lvl w:ilvl="2" w:tplc="E76CDBF0" w:tentative="1">
      <w:start w:val="1"/>
      <w:numFmt w:val="bullet"/>
      <w:lvlText w:val="•"/>
      <w:lvlJc w:val="left"/>
      <w:pPr>
        <w:tabs>
          <w:tab w:val="num" w:pos="2160"/>
        </w:tabs>
        <w:ind w:left="2160" w:hanging="360"/>
      </w:pPr>
      <w:rPr>
        <w:rFonts w:ascii="Arial" w:hAnsi="Arial" w:hint="default"/>
      </w:rPr>
    </w:lvl>
    <w:lvl w:ilvl="3" w:tplc="0C486614" w:tentative="1">
      <w:start w:val="1"/>
      <w:numFmt w:val="bullet"/>
      <w:lvlText w:val="•"/>
      <w:lvlJc w:val="left"/>
      <w:pPr>
        <w:tabs>
          <w:tab w:val="num" w:pos="2880"/>
        </w:tabs>
        <w:ind w:left="2880" w:hanging="360"/>
      </w:pPr>
      <w:rPr>
        <w:rFonts w:ascii="Arial" w:hAnsi="Arial" w:hint="default"/>
      </w:rPr>
    </w:lvl>
    <w:lvl w:ilvl="4" w:tplc="9D984064" w:tentative="1">
      <w:start w:val="1"/>
      <w:numFmt w:val="bullet"/>
      <w:lvlText w:val="•"/>
      <w:lvlJc w:val="left"/>
      <w:pPr>
        <w:tabs>
          <w:tab w:val="num" w:pos="3600"/>
        </w:tabs>
        <w:ind w:left="3600" w:hanging="360"/>
      </w:pPr>
      <w:rPr>
        <w:rFonts w:ascii="Arial" w:hAnsi="Arial" w:hint="default"/>
      </w:rPr>
    </w:lvl>
    <w:lvl w:ilvl="5" w:tplc="CB88DF74" w:tentative="1">
      <w:start w:val="1"/>
      <w:numFmt w:val="bullet"/>
      <w:lvlText w:val="•"/>
      <w:lvlJc w:val="left"/>
      <w:pPr>
        <w:tabs>
          <w:tab w:val="num" w:pos="4320"/>
        </w:tabs>
        <w:ind w:left="4320" w:hanging="360"/>
      </w:pPr>
      <w:rPr>
        <w:rFonts w:ascii="Arial" w:hAnsi="Arial" w:hint="default"/>
      </w:rPr>
    </w:lvl>
    <w:lvl w:ilvl="6" w:tplc="1C2AF95C" w:tentative="1">
      <w:start w:val="1"/>
      <w:numFmt w:val="bullet"/>
      <w:lvlText w:val="•"/>
      <w:lvlJc w:val="left"/>
      <w:pPr>
        <w:tabs>
          <w:tab w:val="num" w:pos="5040"/>
        </w:tabs>
        <w:ind w:left="5040" w:hanging="360"/>
      </w:pPr>
      <w:rPr>
        <w:rFonts w:ascii="Arial" w:hAnsi="Arial" w:hint="default"/>
      </w:rPr>
    </w:lvl>
    <w:lvl w:ilvl="7" w:tplc="E02EFDE2" w:tentative="1">
      <w:start w:val="1"/>
      <w:numFmt w:val="bullet"/>
      <w:lvlText w:val="•"/>
      <w:lvlJc w:val="left"/>
      <w:pPr>
        <w:tabs>
          <w:tab w:val="num" w:pos="5760"/>
        </w:tabs>
        <w:ind w:left="5760" w:hanging="360"/>
      </w:pPr>
      <w:rPr>
        <w:rFonts w:ascii="Arial" w:hAnsi="Arial" w:hint="default"/>
      </w:rPr>
    </w:lvl>
    <w:lvl w:ilvl="8" w:tplc="4F9688E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917260"/>
    <w:multiLevelType w:val="hybridMultilevel"/>
    <w:tmpl w:val="3D2AFB66"/>
    <w:lvl w:ilvl="0" w:tplc="2476253E">
      <w:start w:val="1"/>
      <w:numFmt w:val="decimal"/>
      <w:pStyle w:val="Heading4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B6533E7"/>
    <w:multiLevelType w:val="hybridMultilevel"/>
    <w:tmpl w:val="99AE19E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FA4772"/>
    <w:multiLevelType w:val="hybridMultilevel"/>
    <w:tmpl w:val="4DF8B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B268B7"/>
    <w:multiLevelType w:val="hybridMultilevel"/>
    <w:tmpl w:val="3CE4843A"/>
    <w:lvl w:ilvl="0" w:tplc="04186316">
      <w:start w:val="1"/>
      <w:numFmt w:val="decimal"/>
      <w:pStyle w:val="Heading3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11921B9"/>
    <w:multiLevelType w:val="hybridMultilevel"/>
    <w:tmpl w:val="5FFE09A8"/>
    <w:lvl w:ilvl="0" w:tplc="CB5C1172">
      <w:start w:val="1"/>
      <w:numFmt w:val="decimal"/>
      <w:pStyle w:val="Heading2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9B7218E"/>
    <w:multiLevelType w:val="hybridMultilevel"/>
    <w:tmpl w:val="FE8E525E"/>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5"/>
  </w:num>
  <w:num w:numId="4">
    <w:abstractNumId w:val="3"/>
  </w:num>
  <w:num w:numId="5">
    <w:abstractNumId w:val="9"/>
  </w:num>
  <w:num w:numId="6">
    <w:abstractNumId w:val="5"/>
  </w:num>
  <w:num w:numId="7">
    <w:abstractNumId w:val="4"/>
  </w:num>
  <w:num w:numId="8">
    <w:abstractNumId w:val="8"/>
  </w:num>
  <w:num w:numId="9">
    <w:abstractNumId w:val="14"/>
  </w:num>
  <w:num w:numId="10">
    <w:abstractNumId w:val="13"/>
  </w:num>
  <w:num w:numId="11">
    <w:abstractNumId w:val="10"/>
  </w:num>
  <w:num w:numId="12">
    <w:abstractNumId w:val="7"/>
  </w:num>
  <w:num w:numId="13">
    <w:abstractNumId w:val="15"/>
  </w:num>
  <w:num w:numId="14">
    <w:abstractNumId w:val="11"/>
  </w:num>
  <w:num w:numId="15">
    <w:abstractNumId w:val="6"/>
  </w:num>
  <w:num w:numId="16">
    <w:abstractNumId w:val="2"/>
  </w:num>
  <w:num w:numId="17">
    <w:abstractNumId w:val="1"/>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SortMethod w:val="00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167"/>
    <w:rsid w:val="000007AF"/>
    <w:rsid w:val="00003743"/>
    <w:rsid w:val="00025E92"/>
    <w:rsid w:val="00045EB5"/>
    <w:rsid w:val="00067456"/>
    <w:rsid w:val="00071E8B"/>
    <w:rsid w:val="00074159"/>
    <w:rsid w:val="0008370F"/>
    <w:rsid w:val="00086703"/>
    <w:rsid w:val="000B3791"/>
    <w:rsid w:val="00120AAC"/>
    <w:rsid w:val="001712EA"/>
    <w:rsid w:val="0018270D"/>
    <w:rsid w:val="001B3443"/>
    <w:rsid w:val="001B7ED7"/>
    <w:rsid w:val="001E033F"/>
    <w:rsid w:val="001E4E4C"/>
    <w:rsid w:val="00205C5A"/>
    <w:rsid w:val="00206B78"/>
    <w:rsid w:val="00206CC2"/>
    <w:rsid w:val="00210CAC"/>
    <w:rsid w:val="00217CCE"/>
    <w:rsid w:val="00227579"/>
    <w:rsid w:val="00230F4C"/>
    <w:rsid w:val="002526BD"/>
    <w:rsid w:val="002653E4"/>
    <w:rsid w:val="0028520A"/>
    <w:rsid w:val="002A1E00"/>
    <w:rsid w:val="002B7001"/>
    <w:rsid w:val="002B76DD"/>
    <w:rsid w:val="002F0378"/>
    <w:rsid w:val="002F3AE3"/>
    <w:rsid w:val="00304DAF"/>
    <w:rsid w:val="0030786C"/>
    <w:rsid w:val="003117A3"/>
    <w:rsid w:val="00313975"/>
    <w:rsid w:val="003513EA"/>
    <w:rsid w:val="00353201"/>
    <w:rsid w:val="00392D65"/>
    <w:rsid w:val="003A6383"/>
    <w:rsid w:val="003D17F9"/>
    <w:rsid w:val="003E7904"/>
    <w:rsid w:val="004023B3"/>
    <w:rsid w:val="00407957"/>
    <w:rsid w:val="00425ADC"/>
    <w:rsid w:val="004447E3"/>
    <w:rsid w:val="00454650"/>
    <w:rsid w:val="00480271"/>
    <w:rsid w:val="004867E2"/>
    <w:rsid w:val="004A32C3"/>
    <w:rsid w:val="004B3493"/>
    <w:rsid w:val="004B3E17"/>
    <w:rsid w:val="00520912"/>
    <w:rsid w:val="00523D5A"/>
    <w:rsid w:val="005535F5"/>
    <w:rsid w:val="00561352"/>
    <w:rsid w:val="00561406"/>
    <w:rsid w:val="005715DC"/>
    <w:rsid w:val="00573F10"/>
    <w:rsid w:val="005B4250"/>
    <w:rsid w:val="005D030A"/>
    <w:rsid w:val="005D2E42"/>
    <w:rsid w:val="005D766D"/>
    <w:rsid w:val="005F4768"/>
    <w:rsid w:val="00615AC8"/>
    <w:rsid w:val="006164C2"/>
    <w:rsid w:val="00622247"/>
    <w:rsid w:val="0063309F"/>
    <w:rsid w:val="00633912"/>
    <w:rsid w:val="00642440"/>
    <w:rsid w:val="006429D2"/>
    <w:rsid w:val="006603E3"/>
    <w:rsid w:val="0066197D"/>
    <w:rsid w:val="00672899"/>
    <w:rsid w:val="006A7EDA"/>
    <w:rsid w:val="006E6F88"/>
    <w:rsid w:val="006F5FE5"/>
    <w:rsid w:val="006F75AC"/>
    <w:rsid w:val="006F784C"/>
    <w:rsid w:val="00702DC3"/>
    <w:rsid w:val="0072236F"/>
    <w:rsid w:val="00727ED5"/>
    <w:rsid w:val="00762195"/>
    <w:rsid w:val="00767B1A"/>
    <w:rsid w:val="007A2FD8"/>
    <w:rsid w:val="007C3ACE"/>
    <w:rsid w:val="007C56D8"/>
    <w:rsid w:val="007E2B1A"/>
    <w:rsid w:val="007F1B40"/>
    <w:rsid w:val="007F6F36"/>
    <w:rsid w:val="0082004D"/>
    <w:rsid w:val="008264EB"/>
    <w:rsid w:val="00841AE5"/>
    <w:rsid w:val="00847C0F"/>
    <w:rsid w:val="008825A1"/>
    <w:rsid w:val="008B6C6D"/>
    <w:rsid w:val="008C1CA6"/>
    <w:rsid w:val="008D57BA"/>
    <w:rsid w:val="008F1E77"/>
    <w:rsid w:val="008F27BF"/>
    <w:rsid w:val="00917E71"/>
    <w:rsid w:val="00996D29"/>
    <w:rsid w:val="009A1B46"/>
    <w:rsid w:val="009E6D55"/>
    <w:rsid w:val="009F31DA"/>
    <w:rsid w:val="00A30A78"/>
    <w:rsid w:val="00A4512D"/>
    <w:rsid w:val="00A45359"/>
    <w:rsid w:val="00A470F8"/>
    <w:rsid w:val="00A56704"/>
    <w:rsid w:val="00A66C82"/>
    <w:rsid w:val="00A705AF"/>
    <w:rsid w:val="00AA7E94"/>
    <w:rsid w:val="00AB7CF7"/>
    <w:rsid w:val="00AE1049"/>
    <w:rsid w:val="00B04D77"/>
    <w:rsid w:val="00B065DE"/>
    <w:rsid w:val="00B42851"/>
    <w:rsid w:val="00B5602C"/>
    <w:rsid w:val="00B86AD9"/>
    <w:rsid w:val="00B8714E"/>
    <w:rsid w:val="00B967BC"/>
    <w:rsid w:val="00B96A81"/>
    <w:rsid w:val="00BA5404"/>
    <w:rsid w:val="00BD4696"/>
    <w:rsid w:val="00C1633A"/>
    <w:rsid w:val="00C25049"/>
    <w:rsid w:val="00C47273"/>
    <w:rsid w:val="00CA206A"/>
    <w:rsid w:val="00CA3975"/>
    <w:rsid w:val="00CA744B"/>
    <w:rsid w:val="00CB4C13"/>
    <w:rsid w:val="00CB5B1A"/>
    <w:rsid w:val="00CD0C70"/>
    <w:rsid w:val="00CE3CDB"/>
    <w:rsid w:val="00CE5CBD"/>
    <w:rsid w:val="00D04189"/>
    <w:rsid w:val="00D11A6B"/>
    <w:rsid w:val="00D22D32"/>
    <w:rsid w:val="00D33167"/>
    <w:rsid w:val="00D3356A"/>
    <w:rsid w:val="00D404DD"/>
    <w:rsid w:val="00D44E31"/>
    <w:rsid w:val="00D85D60"/>
    <w:rsid w:val="00D86794"/>
    <w:rsid w:val="00D925A7"/>
    <w:rsid w:val="00DE28BE"/>
    <w:rsid w:val="00DE5633"/>
    <w:rsid w:val="00DF0F62"/>
    <w:rsid w:val="00E04BA2"/>
    <w:rsid w:val="00E25A7E"/>
    <w:rsid w:val="00E34F05"/>
    <w:rsid w:val="00E400C9"/>
    <w:rsid w:val="00E64660"/>
    <w:rsid w:val="00E70C8C"/>
    <w:rsid w:val="00EA2CE1"/>
    <w:rsid w:val="00EB5A00"/>
    <w:rsid w:val="00EB7789"/>
    <w:rsid w:val="00EF266F"/>
    <w:rsid w:val="00F15390"/>
    <w:rsid w:val="00F234EC"/>
    <w:rsid w:val="00F304B4"/>
    <w:rsid w:val="00F47702"/>
    <w:rsid w:val="00F60DF4"/>
    <w:rsid w:val="00F9358E"/>
    <w:rsid w:val="00FB7285"/>
    <w:rsid w:val="00FD35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1FE4B578"/>
  <w15:docId w15:val="{A253F8BF-2BD5-46A1-B9E2-F9FEE450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C3"/>
    <w:pPr>
      <w:spacing w:line="300" w:lineRule="auto"/>
    </w:pPr>
    <w:rPr>
      <w:rFonts w:ascii="Arial" w:hAnsi="Arial" w:cs="Arial"/>
      <w:sz w:val="21"/>
      <w:szCs w:val="20"/>
    </w:rPr>
  </w:style>
  <w:style w:type="paragraph" w:styleId="Heading1">
    <w:name w:val="heading 1"/>
    <w:aliases w:val="Blue"/>
    <w:basedOn w:val="Normal"/>
    <w:next w:val="Normal"/>
    <w:link w:val="Heading1Char"/>
    <w:uiPriority w:val="9"/>
    <w:rsid w:val="004A32C3"/>
    <w:pPr>
      <w:outlineLvl w:val="0"/>
    </w:pPr>
  </w:style>
  <w:style w:type="paragraph" w:styleId="Heading2">
    <w:name w:val="heading 2"/>
    <w:basedOn w:val="Normal"/>
    <w:next w:val="Normal"/>
    <w:link w:val="Heading2Char"/>
    <w:uiPriority w:val="9"/>
    <w:unhideWhenUsed/>
    <w:qFormat/>
    <w:rsid w:val="009A1B46"/>
    <w:pPr>
      <w:spacing w:before="300" w:after="100" w:line="271" w:lineRule="auto"/>
      <w:outlineLvl w:val="1"/>
    </w:pPr>
    <w:rPr>
      <w:b/>
      <w:bCs/>
      <w:color w:val="2C5697"/>
      <w:sz w:val="25"/>
      <w:szCs w:val="25"/>
    </w:rPr>
  </w:style>
  <w:style w:type="paragraph" w:styleId="Heading3">
    <w:name w:val="heading 3"/>
    <w:basedOn w:val="Normal"/>
    <w:next w:val="Normal"/>
    <w:link w:val="Heading3Char"/>
    <w:uiPriority w:val="9"/>
    <w:unhideWhenUsed/>
    <w:qFormat/>
    <w:rsid w:val="009A1B46"/>
    <w:pPr>
      <w:spacing w:before="200" w:after="100" w:line="271" w:lineRule="auto"/>
      <w:outlineLvl w:val="2"/>
    </w:pPr>
    <w:rPr>
      <w:color w:val="2C5697"/>
      <w:spacing w:val="5"/>
      <w:sz w:val="24"/>
      <w:szCs w:val="24"/>
    </w:rPr>
  </w:style>
  <w:style w:type="paragraph" w:styleId="Heading4">
    <w:name w:val="heading 4"/>
    <w:basedOn w:val="Normal"/>
    <w:next w:val="Normal"/>
    <w:link w:val="Heading4Char"/>
    <w:uiPriority w:val="9"/>
    <w:unhideWhenUsed/>
    <w:qFormat/>
    <w:rsid w:val="009A1B46"/>
    <w:pPr>
      <w:spacing w:after="100" w:line="271" w:lineRule="auto"/>
      <w:outlineLvl w:val="3"/>
    </w:pPr>
    <w:rPr>
      <w:caps/>
      <w:color w:val="2C5697"/>
      <w:spacing w:val="5"/>
      <w:sz w:val="22"/>
      <w:szCs w:val="22"/>
      <w:lang w:val="en"/>
    </w:rPr>
  </w:style>
  <w:style w:type="paragraph" w:styleId="Heading5">
    <w:name w:val="heading 5"/>
    <w:basedOn w:val="Normal"/>
    <w:next w:val="Normal"/>
    <w:link w:val="Heading5Char"/>
    <w:uiPriority w:val="9"/>
    <w:semiHidden/>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72899"/>
    <w:rPr>
      <w:b/>
      <w:bCs/>
      <w:i/>
      <w:iCs/>
      <w:spacing w:val="10"/>
    </w:rPr>
  </w:style>
  <w:style w:type="character" w:styleId="Strong">
    <w:name w:val="Strong"/>
    <w:uiPriority w:val="22"/>
    <w:qFormat/>
    <w:rsid w:val="00672899"/>
    <w:rPr>
      <w:b/>
      <w:bCs/>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uiPriority w:val="10"/>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link w:val="BulletChar"/>
    <w:uiPriority w:val="2"/>
    <w:qFormat/>
    <w:rsid w:val="00672899"/>
    <w:pPr>
      <w:numPr>
        <w:numId w:val="4"/>
      </w:numPr>
      <w:spacing w:after="120"/>
    </w:pPr>
  </w:style>
  <w:style w:type="paragraph" w:customStyle="1" w:styleId="Heading1Black">
    <w:name w:val="Heading 1 Black"/>
    <w:basedOn w:val="Heading1"/>
    <w:next w:val="Normal1stParaafterHeading1"/>
    <w:autoRedefine/>
    <w:qFormat/>
    <w:rsid w:val="00454650"/>
    <w:pPr>
      <w:pBdr>
        <w:left w:val="single" w:sz="48" w:space="8" w:color="2C5697"/>
      </w:pBdr>
      <w:spacing w:after="120"/>
    </w:pPr>
    <w:rPr>
      <w:bCs/>
      <w:caps/>
      <w:color w:val="000000" w:themeColor="text1"/>
      <w:sz w:val="32"/>
    </w:rPr>
  </w:style>
  <w:style w:type="paragraph" w:customStyle="1" w:styleId="QuoteRef">
    <w:name w:val="Quote Ref"/>
    <w:basedOn w:val="Normal"/>
    <w:rsid w:val="00672899"/>
    <w:pPr>
      <w:spacing w:before="120"/>
    </w:pPr>
    <w:rPr>
      <w:color w:val="000000" w:themeColor="text1"/>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Heading2PriorityIntro">
    <w:name w:val="Heading 2 Priority Intro"/>
    <w:basedOn w:val="Heading2"/>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spacing w:before="240"/>
      <w:ind w:left="170" w:right="170"/>
    </w:p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uiPriority w:val="9"/>
    <w:rsid w:val="004A32C3"/>
    <w:rPr>
      <w:rFonts w:ascii="Arial" w:hAnsi="Arial" w:cs="Arial"/>
      <w:sz w:val="21"/>
      <w:szCs w:val="20"/>
    </w:rPr>
  </w:style>
  <w:style w:type="character" w:customStyle="1" w:styleId="Heading2Char">
    <w:name w:val="Heading 2 Char"/>
    <w:basedOn w:val="DefaultParagraphFont"/>
    <w:link w:val="Heading2"/>
    <w:uiPriority w:val="9"/>
    <w:rsid w:val="009A1B46"/>
    <w:rPr>
      <w:rFonts w:ascii="Arial" w:hAnsi="Arial" w:cs="Arial"/>
      <w:b/>
      <w:bCs/>
      <w:color w:val="2C5697"/>
      <w:sz w:val="25"/>
      <w:szCs w:val="25"/>
    </w:rPr>
  </w:style>
  <w:style w:type="character" w:customStyle="1" w:styleId="Heading3Char">
    <w:name w:val="Heading 3 Char"/>
    <w:basedOn w:val="DefaultParagraphFont"/>
    <w:link w:val="Heading3"/>
    <w:uiPriority w:val="9"/>
    <w:rsid w:val="009A1B46"/>
    <w:rPr>
      <w:rFonts w:ascii="Arial" w:hAnsi="Arial" w:cs="Arial"/>
      <w:color w:val="2C5697"/>
      <w:spacing w:val="5"/>
      <w:sz w:val="24"/>
      <w:szCs w:val="24"/>
    </w:rPr>
  </w:style>
  <w:style w:type="character" w:customStyle="1" w:styleId="Heading4Char">
    <w:name w:val="Heading 4 Char"/>
    <w:basedOn w:val="DefaultParagraphFont"/>
    <w:link w:val="Heading4"/>
    <w:uiPriority w:val="9"/>
    <w:rsid w:val="009A1B46"/>
    <w:rPr>
      <w:rFonts w:ascii="Arial" w:hAnsi="Arial" w:cs="Arial"/>
      <w:caps/>
      <w:color w:val="2C5697"/>
      <w:spacing w:val="5"/>
      <w:lang w:val="en"/>
    </w:rPr>
  </w:style>
  <w:style w:type="character" w:customStyle="1" w:styleId="Heading5Char">
    <w:name w:val="Heading 5 Char"/>
    <w:basedOn w:val="DefaultParagraphFont"/>
    <w:link w:val="Heading5"/>
    <w:uiPriority w:val="9"/>
    <w:semiHidden/>
    <w:rsid w:val="00672899"/>
    <w:rPr>
      <w:i/>
      <w:iCs/>
      <w:sz w:val="24"/>
      <w:szCs w:val="24"/>
    </w:rPr>
  </w:style>
  <w:style w:type="character" w:customStyle="1" w:styleId="Heading6Char">
    <w:name w:val="Heading 6 Char"/>
    <w:basedOn w:val="DefaultParagraphFont"/>
    <w:link w:val="Heading6"/>
    <w:uiPriority w:val="9"/>
    <w:semiHidden/>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Heading2Numbered">
    <w:name w:val="Heading 2 Numbered"/>
    <w:basedOn w:val="Heading2"/>
    <w:qFormat/>
    <w:rsid w:val="006164C2"/>
    <w:pPr>
      <w:numPr>
        <w:numId w:val="9"/>
      </w:numPr>
    </w:pPr>
    <w:rPr>
      <w:lang w:val="en"/>
    </w:rPr>
  </w:style>
  <w:style w:type="paragraph" w:customStyle="1" w:styleId="Heading3Numbered">
    <w:name w:val="Heading 3 Numbered"/>
    <w:basedOn w:val="Heading3"/>
    <w:qFormat/>
    <w:rsid w:val="006164C2"/>
    <w:pPr>
      <w:numPr>
        <w:numId w:val="10"/>
      </w:numPr>
    </w:pPr>
  </w:style>
  <w:style w:type="paragraph" w:customStyle="1" w:styleId="Heading4Numbered">
    <w:name w:val="Heading 4 Numbered"/>
    <w:basedOn w:val="Heading4"/>
    <w:qFormat/>
    <w:rsid w:val="006164C2"/>
    <w:pPr>
      <w:numPr>
        <w:numId w:val="11"/>
      </w:numPr>
    </w:pPr>
  </w:style>
  <w:style w:type="paragraph" w:customStyle="1" w:styleId="Boxshadedcolourbackground">
    <w:name w:val="Box shaded colour background"/>
    <w:basedOn w:val="Normal"/>
    <w:qFormat/>
    <w:rsid w:val="009A1B46"/>
    <w:pPr>
      <w:pBdr>
        <w:top w:val="single" w:sz="4" w:space="8" w:color="F2F2F2"/>
        <w:left w:val="single" w:sz="4" w:space="8" w:color="F2F2F2"/>
        <w:bottom w:val="single" w:sz="4" w:space="8" w:color="F2F2F2"/>
        <w:right w:val="single" w:sz="4" w:space="8" w:color="F2F2F2"/>
      </w:pBdr>
      <w:shd w:val="clear" w:color="auto" w:fill="E5EBF3"/>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9A1B46"/>
    <w:pPr>
      <w:pBdr>
        <w:top w:val="single" w:sz="4" w:space="8" w:color="2C5697"/>
        <w:bottom w:val="single" w:sz="4" w:space="8" w:color="2C5697"/>
      </w:pBdr>
      <w:shd w:val="pct5" w:color="auto" w:fill="auto"/>
      <w:spacing w:before="200" w:line="276" w:lineRule="auto"/>
    </w:pPr>
    <w:rPr>
      <w:rFonts w:eastAsia="Calibri" w:cs="Times New Roman"/>
      <w:szCs w:val="21"/>
      <w:lang w:val="en-GB" w:eastAsia="en-US"/>
    </w:rPr>
  </w:style>
  <w:style w:type="paragraph" w:customStyle="1" w:styleId="Boxwithcolouredkeyline">
    <w:name w:val="Box with coloured keyline"/>
    <w:basedOn w:val="Normal"/>
    <w:qFormat/>
    <w:rsid w:val="009A1B46"/>
    <w:pPr>
      <w:pBdr>
        <w:top w:val="single" w:sz="4" w:space="8" w:color="2C5697"/>
        <w:left w:val="single" w:sz="4" w:space="8" w:color="2C5697"/>
        <w:bottom w:val="single" w:sz="4" w:space="8" w:color="2C5697"/>
        <w:right w:val="single" w:sz="4" w:space="8" w:color="2C5697"/>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9A1B46"/>
    <w:pPr>
      <w:pBdr>
        <w:top w:val="single" w:sz="8" w:space="6" w:color="2C5697"/>
      </w:pBdr>
    </w:pPr>
  </w:style>
  <w:style w:type="paragraph" w:styleId="TOC1">
    <w:name w:val="toc 1"/>
    <w:basedOn w:val="Normal"/>
    <w:next w:val="Normal"/>
    <w:autoRedefine/>
    <w:uiPriority w:val="39"/>
    <w:rsid w:val="00561352"/>
    <w:pPr>
      <w:spacing w:after="100"/>
    </w:pPr>
    <w:rPr>
      <w:sz w:val="24"/>
    </w:rPr>
  </w:style>
  <w:style w:type="paragraph" w:styleId="TOC2">
    <w:name w:val="toc 2"/>
    <w:basedOn w:val="Normal"/>
    <w:next w:val="Normal"/>
    <w:autoRedefine/>
    <w:uiPriority w:val="39"/>
    <w:rsid w:val="00561352"/>
    <w:pPr>
      <w:spacing w:after="100"/>
      <w:ind w:left="210"/>
    </w:pPr>
  </w:style>
  <w:style w:type="paragraph" w:customStyle="1" w:styleId="Heading1option2">
    <w:name w:val="Heading 1 option 2"/>
    <w:basedOn w:val="Heading1Black"/>
    <w:qFormat/>
    <w:rsid w:val="00561352"/>
    <w:pPr>
      <w:pBdr>
        <w:left w:val="none" w:sz="0" w:space="0" w:color="auto"/>
      </w:pBdr>
    </w:pPr>
    <w:rPr>
      <w:caps w:val="0"/>
      <w:color w:val="57259F"/>
      <w:sz w:val="36"/>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ListParagraph">
    <w:name w:val="List Paragraph"/>
    <w:basedOn w:val="Normal"/>
    <w:uiPriority w:val="34"/>
    <w:qFormat/>
    <w:rsid w:val="00392D65"/>
    <w:pPr>
      <w:spacing w:after="0" w:line="240" w:lineRule="auto"/>
      <w:ind w:left="720"/>
      <w:contextualSpacing/>
    </w:pPr>
    <w:rPr>
      <w:rFonts w:ascii="Times New Roman" w:eastAsiaTheme="minorHAnsi" w:hAnsi="Times New Roman" w:cs="Times New Roman"/>
      <w:sz w:val="24"/>
      <w:szCs w:val="24"/>
      <w:lang w:eastAsia="en-US"/>
    </w:rPr>
  </w:style>
  <w:style w:type="paragraph" w:styleId="FootnoteText">
    <w:name w:val="footnote text"/>
    <w:basedOn w:val="Normal"/>
    <w:link w:val="FootnoteTextChar"/>
    <w:uiPriority w:val="99"/>
    <w:semiHidden/>
    <w:unhideWhenUsed/>
    <w:rsid w:val="00392D65"/>
    <w:pPr>
      <w:spacing w:after="0" w:line="240" w:lineRule="auto"/>
    </w:pPr>
    <w:rPr>
      <w:rFonts w:ascii="Segoe UI" w:eastAsiaTheme="minorHAnsi" w:hAnsi="Segoe UI" w:cstheme="minorBidi"/>
      <w:sz w:val="20"/>
      <w:lang w:val="en-US" w:eastAsia="en-US"/>
    </w:rPr>
  </w:style>
  <w:style w:type="character" w:customStyle="1" w:styleId="FootnoteTextChar">
    <w:name w:val="Footnote Text Char"/>
    <w:basedOn w:val="DefaultParagraphFont"/>
    <w:link w:val="FootnoteText"/>
    <w:uiPriority w:val="99"/>
    <w:semiHidden/>
    <w:rsid w:val="00392D65"/>
    <w:rPr>
      <w:rFonts w:ascii="Segoe UI" w:eastAsiaTheme="minorHAnsi" w:hAnsi="Segoe UI" w:cstheme="minorBidi"/>
      <w:sz w:val="20"/>
      <w:szCs w:val="20"/>
      <w:lang w:val="en-US" w:eastAsia="en-US"/>
    </w:rPr>
  </w:style>
  <w:style w:type="character" w:styleId="FootnoteReference">
    <w:name w:val="footnote reference"/>
    <w:basedOn w:val="DefaultParagraphFont"/>
    <w:uiPriority w:val="99"/>
    <w:semiHidden/>
    <w:unhideWhenUsed/>
    <w:rsid w:val="00392D65"/>
    <w:rPr>
      <w:vertAlign w:val="superscript"/>
    </w:rPr>
  </w:style>
  <w:style w:type="paragraph" w:styleId="EndnoteText">
    <w:name w:val="endnote text"/>
    <w:basedOn w:val="Normal"/>
    <w:link w:val="EndnoteTextChar"/>
    <w:uiPriority w:val="99"/>
    <w:unhideWhenUsed/>
    <w:rsid w:val="00392D65"/>
    <w:pPr>
      <w:spacing w:after="0" w:line="240" w:lineRule="auto"/>
    </w:pPr>
    <w:rPr>
      <w:rFonts w:ascii="Segoe UI" w:eastAsiaTheme="minorHAnsi" w:hAnsi="Segoe UI" w:cstheme="minorBidi"/>
      <w:sz w:val="20"/>
      <w:lang w:val="en-US" w:eastAsia="en-US"/>
    </w:rPr>
  </w:style>
  <w:style w:type="character" w:customStyle="1" w:styleId="EndnoteTextChar">
    <w:name w:val="Endnote Text Char"/>
    <w:basedOn w:val="DefaultParagraphFont"/>
    <w:link w:val="EndnoteText"/>
    <w:uiPriority w:val="99"/>
    <w:rsid w:val="00392D65"/>
    <w:rPr>
      <w:rFonts w:ascii="Segoe UI" w:eastAsiaTheme="minorHAnsi" w:hAnsi="Segoe UI" w:cstheme="minorBidi"/>
      <w:sz w:val="20"/>
      <w:szCs w:val="20"/>
      <w:lang w:val="en-US" w:eastAsia="en-US"/>
    </w:rPr>
  </w:style>
  <w:style w:type="character" w:styleId="EndnoteReference">
    <w:name w:val="endnote reference"/>
    <w:basedOn w:val="DefaultParagraphFont"/>
    <w:uiPriority w:val="99"/>
    <w:semiHidden/>
    <w:unhideWhenUsed/>
    <w:rsid w:val="00392D65"/>
    <w:rPr>
      <w:vertAlign w:val="superscript"/>
    </w:rPr>
  </w:style>
  <w:style w:type="character" w:customStyle="1" w:styleId="BulletChar">
    <w:name w:val="Bullet Char"/>
    <w:basedOn w:val="DefaultParagraphFont"/>
    <w:link w:val="Bullet"/>
    <w:uiPriority w:val="2"/>
    <w:rsid w:val="00086703"/>
    <w:rPr>
      <w:rFonts w:ascii="Arial" w:hAnsi="Arial" w:cs="Arial"/>
      <w:sz w:val="21"/>
      <w:szCs w:val="20"/>
    </w:rPr>
  </w:style>
  <w:style w:type="paragraph" w:customStyle="1" w:styleId="CoverPage-Date">
    <w:name w:val="Cover Page - Date"/>
    <w:basedOn w:val="Normal"/>
    <w:link w:val="CoverPage-DateChar"/>
    <w:uiPriority w:val="99"/>
    <w:semiHidden/>
    <w:rsid w:val="00A45359"/>
    <w:pPr>
      <w:suppressAutoHyphens/>
      <w:spacing w:before="320" w:after="0" w:line="280" w:lineRule="exact"/>
    </w:pPr>
    <w:rPr>
      <w:rFonts w:ascii="Segoe UI" w:eastAsia="Times New Roman" w:hAnsi="Segoe UI" w:cs="Times New Roman"/>
      <w:color w:val="EEECE1" w:themeColor="background2"/>
      <w:sz w:val="24"/>
      <w:szCs w:val="19"/>
    </w:rPr>
  </w:style>
  <w:style w:type="character" w:customStyle="1" w:styleId="CoverPage-DateChar">
    <w:name w:val="Cover Page - Date Char"/>
    <w:basedOn w:val="DefaultParagraphFont"/>
    <w:link w:val="CoverPage-Date"/>
    <w:uiPriority w:val="99"/>
    <w:semiHidden/>
    <w:rsid w:val="00A45359"/>
    <w:rPr>
      <w:rFonts w:ascii="Segoe UI" w:eastAsia="Times New Roman" w:hAnsi="Segoe UI" w:cs="Times New Roman"/>
      <w:color w:val="EEECE1" w:themeColor="background2"/>
      <w:sz w:val="24"/>
      <w:szCs w:val="19"/>
    </w:rPr>
  </w:style>
  <w:style w:type="paragraph" w:customStyle="1" w:styleId="Longformcallout">
    <w:name w:val="Long form callout"/>
    <w:basedOn w:val="Normal"/>
    <w:uiPriority w:val="20"/>
    <w:qFormat/>
    <w:rsid w:val="00A45359"/>
    <w:pPr>
      <w:spacing w:before="60" w:after="60" w:line="240" w:lineRule="auto"/>
    </w:pPr>
    <w:rPr>
      <w:rFonts w:ascii="Segoe UI" w:eastAsiaTheme="minorHAnsi" w:hAnsi="Segoe UI" w:cstheme="minorBidi"/>
      <w:color w:val="EEECE1" w:themeColor="background2"/>
      <w:sz w:val="19"/>
      <w:szCs w:val="19"/>
    </w:rPr>
  </w:style>
  <w:style w:type="paragraph" w:customStyle="1" w:styleId="Callout">
    <w:name w:val="Call out"/>
    <w:basedOn w:val="Normal"/>
    <w:uiPriority w:val="98"/>
    <w:qFormat/>
    <w:rsid w:val="00F304B4"/>
    <w:pPr>
      <w:pBdr>
        <w:top w:val="single" w:sz="18" w:space="4" w:color="4BACC6" w:themeColor="accent5"/>
      </w:pBdr>
      <w:spacing w:after="120" w:line="259" w:lineRule="auto"/>
    </w:pPr>
    <w:rPr>
      <w:rFonts w:ascii="Segoe UI Semilight" w:eastAsiaTheme="minorHAnsi" w:hAnsi="Segoe UI Semilight" w:cstheme="minorBidi"/>
      <w:color w:val="9BBB59" w:themeColor="accent3"/>
      <w:kern w:val="24"/>
      <w:sz w:val="22"/>
      <w:szCs w:val="22"/>
      <w:lang w:eastAsia="en-US"/>
    </w:rPr>
  </w:style>
  <w:style w:type="character" w:styleId="CommentReference">
    <w:name w:val="annotation reference"/>
    <w:basedOn w:val="DefaultParagraphFont"/>
    <w:semiHidden/>
    <w:unhideWhenUsed/>
    <w:rsid w:val="008B6C6D"/>
    <w:rPr>
      <w:sz w:val="16"/>
      <w:szCs w:val="16"/>
    </w:rPr>
  </w:style>
  <w:style w:type="paragraph" w:styleId="CommentText">
    <w:name w:val="annotation text"/>
    <w:basedOn w:val="Normal"/>
    <w:link w:val="CommentTextChar"/>
    <w:unhideWhenUsed/>
    <w:rsid w:val="008B6C6D"/>
    <w:pPr>
      <w:spacing w:line="240" w:lineRule="auto"/>
    </w:pPr>
    <w:rPr>
      <w:sz w:val="20"/>
    </w:rPr>
  </w:style>
  <w:style w:type="character" w:customStyle="1" w:styleId="CommentTextChar">
    <w:name w:val="Comment Text Char"/>
    <w:basedOn w:val="DefaultParagraphFont"/>
    <w:link w:val="CommentText"/>
    <w:rsid w:val="008B6C6D"/>
    <w:rPr>
      <w:rFonts w:ascii="Arial" w:hAnsi="Arial" w:cs="Arial"/>
      <w:sz w:val="20"/>
      <w:szCs w:val="20"/>
    </w:rPr>
  </w:style>
  <w:style w:type="paragraph" w:styleId="CommentSubject">
    <w:name w:val="annotation subject"/>
    <w:basedOn w:val="CommentText"/>
    <w:next w:val="CommentText"/>
    <w:link w:val="CommentSubjectChar"/>
    <w:semiHidden/>
    <w:unhideWhenUsed/>
    <w:rsid w:val="008B6C6D"/>
    <w:rPr>
      <w:b/>
      <w:bCs/>
    </w:rPr>
  </w:style>
  <w:style w:type="character" w:customStyle="1" w:styleId="CommentSubjectChar">
    <w:name w:val="Comment Subject Char"/>
    <w:basedOn w:val="CommentTextChar"/>
    <w:link w:val="CommentSubject"/>
    <w:semiHidden/>
    <w:rsid w:val="008B6C6D"/>
    <w:rPr>
      <w:rFonts w:ascii="Arial" w:hAnsi="Arial" w:cs="Arial"/>
      <w:b/>
      <w:bCs/>
      <w:sz w:val="20"/>
      <w:szCs w:val="20"/>
    </w:rPr>
  </w:style>
  <w:style w:type="character" w:customStyle="1" w:styleId="st1">
    <w:name w:val="st1"/>
    <w:basedOn w:val="DefaultParagraphFont"/>
    <w:rsid w:val="004023B3"/>
  </w:style>
  <w:style w:type="paragraph" w:customStyle="1" w:styleId="Default">
    <w:name w:val="Default"/>
    <w:rsid w:val="002F0378"/>
    <w:pPr>
      <w:autoSpaceDE w:val="0"/>
      <w:autoSpaceDN w:val="0"/>
      <w:adjustRightInd w:val="0"/>
      <w:spacing w:after="0" w:line="240" w:lineRule="auto"/>
    </w:pPr>
    <w:rPr>
      <w:rFonts w:ascii="Segoe UI" w:hAnsi="Segoe UI" w:cs="Segoe UI"/>
      <w:color w:val="000000"/>
      <w:sz w:val="24"/>
      <w:szCs w:val="24"/>
    </w:rPr>
  </w:style>
  <w:style w:type="character" w:customStyle="1" w:styleId="UnresolvedMention">
    <w:name w:val="Unresolved Mention"/>
    <w:basedOn w:val="DefaultParagraphFont"/>
    <w:uiPriority w:val="99"/>
    <w:semiHidden/>
    <w:unhideWhenUsed/>
    <w:rsid w:val="00CE3CD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80777">
      <w:bodyDiv w:val="1"/>
      <w:marLeft w:val="0"/>
      <w:marRight w:val="0"/>
      <w:marTop w:val="0"/>
      <w:marBottom w:val="0"/>
      <w:divBdr>
        <w:top w:val="none" w:sz="0" w:space="0" w:color="auto"/>
        <w:left w:val="none" w:sz="0" w:space="0" w:color="auto"/>
        <w:bottom w:val="none" w:sz="0" w:space="0" w:color="auto"/>
        <w:right w:val="none" w:sz="0" w:space="0" w:color="auto"/>
      </w:divBdr>
      <w:divsChild>
        <w:div w:id="747917985">
          <w:marLeft w:val="0"/>
          <w:marRight w:val="0"/>
          <w:marTop w:val="135"/>
          <w:marBottom w:val="135"/>
          <w:divBdr>
            <w:top w:val="single" w:sz="6" w:space="6" w:color="DDDAD1"/>
            <w:left w:val="single" w:sz="6" w:space="17" w:color="DDDAD1"/>
            <w:bottom w:val="single" w:sz="6" w:space="6" w:color="DDDAD1"/>
            <w:right w:val="single" w:sz="6" w:space="6" w:color="DDDAD1"/>
          </w:divBdr>
        </w:div>
      </w:divsChild>
    </w:div>
    <w:div w:id="212275280">
      <w:bodyDiv w:val="1"/>
      <w:marLeft w:val="0"/>
      <w:marRight w:val="0"/>
      <w:marTop w:val="0"/>
      <w:marBottom w:val="0"/>
      <w:divBdr>
        <w:top w:val="none" w:sz="0" w:space="0" w:color="auto"/>
        <w:left w:val="none" w:sz="0" w:space="0" w:color="auto"/>
        <w:bottom w:val="none" w:sz="0" w:space="0" w:color="auto"/>
        <w:right w:val="none" w:sz="0" w:space="0" w:color="auto"/>
      </w:divBdr>
      <w:divsChild>
        <w:div w:id="2017343589">
          <w:marLeft w:val="0"/>
          <w:marRight w:val="0"/>
          <w:marTop w:val="135"/>
          <w:marBottom w:val="135"/>
          <w:divBdr>
            <w:top w:val="single" w:sz="6" w:space="6" w:color="DDDAD1"/>
            <w:left w:val="single" w:sz="6" w:space="17" w:color="DDDAD1"/>
            <w:bottom w:val="single" w:sz="6" w:space="6" w:color="DDDAD1"/>
            <w:right w:val="single" w:sz="6" w:space="6" w:color="DDDAD1"/>
          </w:divBdr>
          <w:divsChild>
            <w:div w:id="1484547412">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 w:id="582879680">
      <w:bodyDiv w:val="1"/>
      <w:marLeft w:val="0"/>
      <w:marRight w:val="0"/>
      <w:marTop w:val="0"/>
      <w:marBottom w:val="0"/>
      <w:divBdr>
        <w:top w:val="none" w:sz="0" w:space="0" w:color="auto"/>
        <w:left w:val="none" w:sz="0" w:space="0" w:color="auto"/>
        <w:bottom w:val="none" w:sz="0" w:space="0" w:color="auto"/>
        <w:right w:val="none" w:sz="0" w:space="0" w:color="auto"/>
      </w:divBdr>
    </w:div>
    <w:div w:id="1508516380">
      <w:bodyDiv w:val="1"/>
      <w:marLeft w:val="0"/>
      <w:marRight w:val="0"/>
      <w:marTop w:val="0"/>
      <w:marBottom w:val="0"/>
      <w:divBdr>
        <w:top w:val="none" w:sz="0" w:space="0" w:color="auto"/>
        <w:left w:val="none" w:sz="0" w:space="0" w:color="auto"/>
        <w:bottom w:val="none" w:sz="0" w:space="0" w:color="auto"/>
        <w:right w:val="none" w:sz="0" w:space="0" w:color="auto"/>
      </w:divBdr>
      <w:divsChild>
        <w:div w:id="2072118681">
          <w:marLeft w:val="0"/>
          <w:marRight w:val="0"/>
          <w:marTop w:val="0"/>
          <w:marBottom w:val="0"/>
          <w:divBdr>
            <w:top w:val="none" w:sz="0" w:space="0" w:color="auto"/>
            <w:left w:val="none" w:sz="0" w:space="0" w:color="auto"/>
            <w:bottom w:val="none" w:sz="0" w:space="0" w:color="auto"/>
            <w:right w:val="none" w:sz="0" w:space="0" w:color="auto"/>
          </w:divBdr>
          <w:divsChild>
            <w:div w:id="1825469598">
              <w:marLeft w:val="-225"/>
              <w:marRight w:val="-225"/>
              <w:marTop w:val="0"/>
              <w:marBottom w:val="0"/>
              <w:divBdr>
                <w:top w:val="none" w:sz="0" w:space="0" w:color="auto"/>
                <w:left w:val="none" w:sz="0" w:space="0" w:color="auto"/>
                <w:bottom w:val="none" w:sz="0" w:space="0" w:color="auto"/>
                <w:right w:val="none" w:sz="0" w:space="0" w:color="auto"/>
              </w:divBdr>
              <w:divsChild>
                <w:div w:id="828860086">
                  <w:marLeft w:val="0"/>
                  <w:marRight w:val="0"/>
                  <w:marTop w:val="0"/>
                  <w:marBottom w:val="0"/>
                  <w:divBdr>
                    <w:top w:val="none" w:sz="0" w:space="0" w:color="auto"/>
                    <w:left w:val="none" w:sz="0" w:space="0" w:color="auto"/>
                    <w:bottom w:val="none" w:sz="0" w:space="0" w:color="auto"/>
                    <w:right w:val="none" w:sz="0" w:space="0" w:color="auto"/>
                  </w:divBdr>
                  <w:divsChild>
                    <w:div w:id="517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3156">
      <w:bodyDiv w:val="1"/>
      <w:marLeft w:val="0"/>
      <w:marRight w:val="0"/>
      <w:marTop w:val="0"/>
      <w:marBottom w:val="0"/>
      <w:divBdr>
        <w:top w:val="none" w:sz="0" w:space="0" w:color="auto"/>
        <w:left w:val="none" w:sz="0" w:space="0" w:color="auto"/>
        <w:bottom w:val="none" w:sz="0" w:space="0" w:color="auto"/>
        <w:right w:val="none" w:sz="0" w:space="0" w:color="auto"/>
      </w:divBdr>
      <w:divsChild>
        <w:div w:id="466629922">
          <w:marLeft w:val="0"/>
          <w:marRight w:val="0"/>
          <w:marTop w:val="135"/>
          <w:marBottom w:val="135"/>
          <w:divBdr>
            <w:top w:val="single" w:sz="6" w:space="6" w:color="DDDAD1"/>
            <w:left w:val="single" w:sz="6" w:space="17" w:color="DDDAD1"/>
            <w:bottom w:val="single" w:sz="6" w:space="6" w:color="DDDAD1"/>
            <w:right w:val="single" w:sz="6" w:space="6" w:color="DDDAD1"/>
          </w:divBdr>
          <w:divsChild>
            <w:div w:id="1551308265">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cid:image001.png@01D45713.B4462CC0"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copyright@health.gov.au"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protect-au.mimecast.com/s/c-V1CK1qWZf0ZOkHvFUlX?domain=dpmc.gov.au" TargetMode="Externa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mailto:indigenousphcpolicy@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rotect-au.mimecast.com/s/jtO8CJypVqFPgZosVsdyD?domain=creativecommons.org"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chive_x003f_ xmlns="B4193DB9-3B8C-4D98-90E6-0E7687A647E5">false</Archive_x003f_>
    <Key_x0020_doc_x003f_ xmlns="B4193DB9-3B8C-4D98-90E6-0E7687A647E5">false</Key_x0020_doc_x003f_>
    <n881213a598c43e19c46d2040c5fc651 xmlns="B4193DB9-3B8C-4D98-90E6-0E7687A647E5">
      <Terms xmlns="http://schemas.microsoft.com/office/infopath/2007/PartnerControls"/>
    </n881213a598c43e19c46d2040c5fc651>
    <pc8457cba08d42be841822dbe092508a xmlns="B4193DB9-3B8C-4D98-90E6-0E7687A647E5">
      <Terms xmlns="http://schemas.microsoft.com/office/infopath/2007/PartnerControls">
        <TermInfo xmlns="http://schemas.microsoft.com/office/infopath/2007/PartnerControls">
          <TermName xmlns="http://schemas.microsoft.com/office/infopath/2007/PartnerControls">Consultation materials</TermName>
          <TermId xmlns="http://schemas.microsoft.com/office/infopath/2007/PartnerControls">a12a5aa2-d627-4280-ab3a-85337b6f01bb</TermId>
        </TermInfo>
      </Terms>
    </pc8457cba08d42be841822dbe092508a>
    <TaxCatchAll xmlns="176e9d42-f00c-4951-a3f2-ca011614ad33">
      <Value>152</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C64FBB08C2604FA472389B35D9B247" ma:contentTypeVersion="" ma:contentTypeDescription="Create a new document." ma:contentTypeScope="" ma:versionID="c9d0c7b40b6ce53c7276d637465a9b30">
  <xsd:schema xmlns:xsd="http://www.w3.org/2001/XMLSchema" xmlns:xs="http://www.w3.org/2001/XMLSchema" xmlns:p="http://schemas.microsoft.com/office/2006/metadata/properties" xmlns:ns2="B4193DB9-3B8C-4D98-90E6-0E7687A647E5" xmlns:ns3="176e9d42-f00c-4951-a3f2-ca011614ad33" targetNamespace="http://schemas.microsoft.com/office/2006/metadata/properties" ma:root="true" ma:fieldsID="e5979556207c9d66872aae20b635a7d1" ns2:_="" ns3:_="">
    <xsd:import namespace="B4193DB9-3B8C-4D98-90E6-0E7687A647E5"/>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93DB9-3B8C-4D98-90E6-0E7687A647E5"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E55A9F2-6D63-4D76-8C95-B270ACB04950}" ma:internalName="TaxCatchAll" ma:showField="CatchAllData" ma:web="{1e38e079-2029-4933-8525-a41bc320e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Aus162</b:Tag>
    <b:SourceType>InternetSite</b:SourceType>
    <b:Guid>{EBAC5F51-2B39-A24B-BEC6-C2CC1D021785}</b:Guid>
    <b:Title>4364.0.55.001 - National Health Survey: First Results, 2014-15</b:Title>
    <b:Year>2016</b:Year>
    <b:Month>March</b:Month>
    <b:Day>23</b:Day>
    <b:Author>
      <b:Author>
        <b:Corporate>Australian Bureau of Statistics</b:Corporate>
      </b:Author>
    </b:Author>
    <b:URL>http://www.abs.gov.au/ausstats/abs@.nsf/mf/4364.0.55.001</b:URL>
    <b:YearAccessed>2016</b:YearAccessed>
    <b:MonthAccessed>October</b:MonthAccessed>
    <b:DayAccessed>10</b:DayAccessed>
    <b:InternetSiteTitle>Australian Bureau of Statistics</b:InternetSiteTitle>
    <b:RefOrder>14</b:RefOrder>
  </b:Source>
</b:Sources>
</file>

<file path=customXml/itemProps1.xml><?xml version="1.0" encoding="utf-8"?>
<ds:datastoreItem xmlns:ds="http://schemas.openxmlformats.org/officeDocument/2006/customXml" ds:itemID="{6FB0D5BC-AB92-48EF-AF3A-E04B222D57E1}">
  <ds:schemaRefs>
    <ds:schemaRef ds:uri="http://schemas.microsoft.com/office/2006/documentManagement/types"/>
    <ds:schemaRef ds:uri="http://purl.org/dc/elements/1.1/"/>
    <ds:schemaRef ds:uri="http://schemas.microsoft.com/office/2006/metadata/properties"/>
    <ds:schemaRef ds:uri="B4193DB9-3B8C-4D98-90E6-0E7687A647E5"/>
    <ds:schemaRef ds:uri="http://purl.org/dc/terms/"/>
    <ds:schemaRef ds:uri="http://schemas.microsoft.com/office/infopath/2007/PartnerControls"/>
    <ds:schemaRef ds:uri="http://schemas.openxmlformats.org/package/2006/metadata/core-properties"/>
    <ds:schemaRef ds:uri="176e9d42-f00c-4951-a3f2-ca011614ad33"/>
    <ds:schemaRef ds:uri="http://www.w3.org/XML/1998/namespace"/>
    <ds:schemaRef ds:uri="http://purl.org/dc/dcmitype/"/>
  </ds:schemaRefs>
</ds:datastoreItem>
</file>

<file path=customXml/itemProps2.xml><?xml version="1.0" encoding="utf-8"?>
<ds:datastoreItem xmlns:ds="http://schemas.openxmlformats.org/officeDocument/2006/customXml" ds:itemID="{89926693-0155-4B3C-8873-67ED565B5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93DB9-3B8C-4D98-90E6-0E7687A647E5"/>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F2F6B0-A008-4D7A-8BE8-D77A631AD8B1}">
  <ds:schemaRefs>
    <ds:schemaRef ds:uri="http://schemas.microsoft.com/sharepoint/v3/contenttype/forms"/>
  </ds:schemaRefs>
</ds:datastoreItem>
</file>

<file path=customXml/itemProps4.xml><?xml version="1.0" encoding="utf-8"?>
<ds:datastoreItem xmlns:ds="http://schemas.openxmlformats.org/officeDocument/2006/customXml" ds:itemID="{059E3761-4217-41EC-898F-654550C8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2576</Words>
  <Characters>15331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 Alicia</dc:creator>
  <cp:lastModifiedBy>Zeljko Jokic</cp:lastModifiedBy>
  <cp:revision>4</cp:revision>
  <cp:lastPrinted>2019-04-04T05:16:00Z</cp:lastPrinted>
  <dcterms:created xsi:type="dcterms:W3CDTF">2019-04-03T23:17:00Z</dcterms:created>
  <dcterms:modified xsi:type="dcterms:W3CDTF">2019-04-04T05:16:00Z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0x0101001DC64FBB08C2604FA472389B35D9B247</vt:lpwstr>
  </property>
  <property fmtid="{D5CDD505-2E9C-101B-9397-08002B2CF9AE}" pid="3" name="Project doc type">
    <vt:lpwstr>152;#Consultation materials|a12a5aa2-d627-4280-ab3a-85337b6f01bb</vt:lpwstr>
  </property>
  <property fmtid="{D5CDD505-2E9C-101B-9397-08002B2CF9AE}" pid="4" name="Doc type - level 2">
    <vt:lpwstr/>
  </property>
</Properties>
</file>