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595C" w14:textId="77777777" w:rsidR="00751A23" w:rsidRDefault="00077A30" w:rsidP="00B7222E">
      <w:pPr>
        <w:pStyle w:val="Title"/>
      </w:pPr>
      <w:r>
        <w:t xml:space="preserve">Prostheses List Reforms - </w:t>
      </w:r>
    </w:p>
    <w:p w14:paraId="16681DE1" w14:textId="228E447C" w:rsidR="00CA79CF" w:rsidRDefault="005F361D" w:rsidP="00CA79CF">
      <w:pPr>
        <w:pStyle w:val="Subtitle"/>
      </w:pPr>
      <w:r>
        <w:t xml:space="preserve">Reforms to </w:t>
      </w:r>
      <w:r w:rsidR="00C0415A">
        <w:t xml:space="preserve">Part B of </w:t>
      </w:r>
      <w:r>
        <w:t xml:space="preserve">the </w:t>
      </w:r>
      <w:r w:rsidR="001B46B1" w:rsidRPr="001B46B1">
        <w:t>Prescribed List of Benefits for Medical Devices and Human Tissue Products</w:t>
      </w:r>
      <w:r w:rsidR="001B46B1">
        <w:t>*</w:t>
      </w:r>
      <w:r w:rsidR="00C0415A">
        <w:t xml:space="preserve"> </w:t>
      </w:r>
      <w:r w:rsidR="001B46B1">
        <w:t xml:space="preserve">(PL) </w:t>
      </w:r>
    </w:p>
    <w:p w14:paraId="334EF32B" w14:textId="77777777" w:rsidR="00CA79CF" w:rsidRDefault="00CA79CF" w:rsidP="00CA79CF">
      <w:pPr>
        <w:pStyle w:val="Subtitle"/>
        <w:sectPr w:rsidR="00CA79CF" w:rsidSect="001B46B1">
          <w:headerReference w:type="default" r:id="rId11"/>
          <w:headerReference w:type="first" r:id="rId12"/>
          <w:type w:val="continuous"/>
          <w:pgSz w:w="11906" w:h="16838"/>
          <w:pgMar w:top="993" w:right="1418" w:bottom="1418" w:left="1418" w:header="709" w:footer="709" w:gutter="0"/>
          <w:cols w:space="708"/>
          <w:titlePg/>
          <w:docGrid w:linePitch="360"/>
        </w:sectPr>
      </w:pPr>
    </w:p>
    <w:p w14:paraId="76D37576" w14:textId="15B179C8" w:rsidR="00100F6D" w:rsidRPr="004D1339" w:rsidRDefault="00100F6D" w:rsidP="00100F6D">
      <w:pPr>
        <w:pStyle w:val="Heading1"/>
      </w:pPr>
      <w:bookmarkStart w:id="0" w:name="_Toc142320504"/>
      <w:r w:rsidRPr="004D1339">
        <w:lastRenderedPageBreak/>
        <w:t>Contents</w:t>
      </w:r>
      <w:bookmarkEnd w:id="0"/>
    </w:p>
    <w:sdt>
      <w:sdtPr>
        <w:rPr>
          <w:rFonts w:ascii="Arial" w:eastAsia="Times New Roman" w:hAnsi="Arial" w:cs="Times New Roman"/>
          <w:color w:val="000000" w:themeColor="text1"/>
          <w:sz w:val="22"/>
          <w:szCs w:val="24"/>
          <w:lang w:val="en-AU"/>
        </w:rPr>
        <w:id w:val="-2072567988"/>
        <w:docPartObj>
          <w:docPartGallery w:val="Table of Contents"/>
          <w:docPartUnique/>
        </w:docPartObj>
      </w:sdtPr>
      <w:sdtEndPr>
        <w:rPr>
          <w:b/>
          <w:bCs/>
          <w:noProof/>
        </w:rPr>
      </w:sdtEndPr>
      <w:sdtContent>
        <w:p w14:paraId="6CA5E1CF" w14:textId="12DF5DB6" w:rsidR="006A0EFF" w:rsidRDefault="006A0EFF">
          <w:pPr>
            <w:pStyle w:val="TOCHeading"/>
          </w:pPr>
        </w:p>
        <w:p w14:paraId="7A6FE9F8" w14:textId="3DE1F189" w:rsidR="00C23EB2" w:rsidRDefault="006A0EFF">
          <w:pPr>
            <w:pStyle w:val="TOC1"/>
            <w:tabs>
              <w:tab w:val="right" w:leader="dot" w:pos="9060"/>
            </w:tabs>
            <w:rPr>
              <w:rFonts w:asciiTheme="minorHAnsi" w:eastAsiaTheme="minorEastAsia" w:hAnsiTheme="minorHAnsi" w:cstheme="minorBidi"/>
              <w:noProof/>
              <w:color w:val="auto"/>
              <w:szCs w:val="22"/>
              <w:lang w:eastAsia="en-AU"/>
            </w:rPr>
          </w:pPr>
          <w:r>
            <w:fldChar w:fldCharType="begin"/>
          </w:r>
          <w:r>
            <w:instrText xml:space="preserve"> TOC \o "1-3" \h \z \u </w:instrText>
          </w:r>
          <w:r>
            <w:fldChar w:fldCharType="separate"/>
          </w:r>
          <w:hyperlink w:anchor="_Toc142320504" w:history="1">
            <w:r w:rsidR="00C23EB2" w:rsidRPr="0098402A">
              <w:rPr>
                <w:rStyle w:val="Hyperlink"/>
                <w:noProof/>
              </w:rPr>
              <w:t>Contents</w:t>
            </w:r>
            <w:r w:rsidR="00C23EB2">
              <w:rPr>
                <w:noProof/>
                <w:webHidden/>
              </w:rPr>
              <w:tab/>
            </w:r>
            <w:r w:rsidR="00C23EB2">
              <w:rPr>
                <w:noProof/>
                <w:webHidden/>
              </w:rPr>
              <w:fldChar w:fldCharType="begin"/>
            </w:r>
            <w:r w:rsidR="00C23EB2">
              <w:rPr>
                <w:noProof/>
                <w:webHidden/>
              </w:rPr>
              <w:instrText xml:space="preserve"> PAGEREF _Toc142320504 \h </w:instrText>
            </w:r>
            <w:r w:rsidR="00C23EB2">
              <w:rPr>
                <w:noProof/>
                <w:webHidden/>
              </w:rPr>
            </w:r>
            <w:r w:rsidR="00C23EB2">
              <w:rPr>
                <w:noProof/>
                <w:webHidden/>
              </w:rPr>
              <w:fldChar w:fldCharType="separate"/>
            </w:r>
            <w:r w:rsidR="00C23EB2">
              <w:rPr>
                <w:noProof/>
                <w:webHidden/>
              </w:rPr>
              <w:t>ii</w:t>
            </w:r>
            <w:r w:rsidR="00C23EB2">
              <w:rPr>
                <w:noProof/>
                <w:webHidden/>
              </w:rPr>
              <w:fldChar w:fldCharType="end"/>
            </w:r>
          </w:hyperlink>
        </w:p>
        <w:p w14:paraId="326FD5F7" w14:textId="5EE54640" w:rsidR="00C23EB2" w:rsidRDefault="00000000">
          <w:pPr>
            <w:pStyle w:val="TOC1"/>
            <w:tabs>
              <w:tab w:val="right" w:leader="dot" w:pos="9060"/>
            </w:tabs>
            <w:rPr>
              <w:rFonts w:asciiTheme="minorHAnsi" w:eastAsiaTheme="minorEastAsia" w:hAnsiTheme="minorHAnsi" w:cstheme="minorBidi"/>
              <w:noProof/>
              <w:color w:val="auto"/>
              <w:szCs w:val="22"/>
              <w:lang w:eastAsia="en-AU"/>
            </w:rPr>
          </w:pPr>
          <w:hyperlink w:anchor="_Toc142320505" w:history="1">
            <w:r w:rsidR="00C23EB2" w:rsidRPr="0098402A">
              <w:rPr>
                <w:rStyle w:val="Hyperlink"/>
                <w:noProof/>
              </w:rPr>
              <w:t>Summary</w:t>
            </w:r>
            <w:r w:rsidR="00C23EB2">
              <w:rPr>
                <w:noProof/>
                <w:webHidden/>
              </w:rPr>
              <w:tab/>
            </w:r>
            <w:r w:rsidR="00C23EB2">
              <w:rPr>
                <w:noProof/>
                <w:webHidden/>
              </w:rPr>
              <w:fldChar w:fldCharType="begin"/>
            </w:r>
            <w:r w:rsidR="00C23EB2">
              <w:rPr>
                <w:noProof/>
                <w:webHidden/>
              </w:rPr>
              <w:instrText xml:space="preserve"> PAGEREF _Toc142320505 \h </w:instrText>
            </w:r>
            <w:r w:rsidR="00C23EB2">
              <w:rPr>
                <w:noProof/>
                <w:webHidden/>
              </w:rPr>
            </w:r>
            <w:r w:rsidR="00C23EB2">
              <w:rPr>
                <w:noProof/>
                <w:webHidden/>
              </w:rPr>
              <w:fldChar w:fldCharType="separate"/>
            </w:r>
            <w:r w:rsidR="00C23EB2">
              <w:rPr>
                <w:noProof/>
                <w:webHidden/>
              </w:rPr>
              <w:t>1</w:t>
            </w:r>
            <w:r w:rsidR="00C23EB2">
              <w:rPr>
                <w:noProof/>
                <w:webHidden/>
              </w:rPr>
              <w:fldChar w:fldCharType="end"/>
            </w:r>
          </w:hyperlink>
        </w:p>
        <w:p w14:paraId="07703CC6" w14:textId="099744B1" w:rsidR="00C23EB2" w:rsidRDefault="00000000">
          <w:pPr>
            <w:pStyle w:val="TOC1"/>
            <w:tabs>
              <w:tab w:val="right" w:leader="dot" w:pos="9060"/>
            </w:tabs>
            <w:rPr>
              <w:rFonts w:asciiTheme="minorHAnsi" w:eastAsiaTheme="minorEastAsia" w:hAnsiTheme="minorHAnsi" w:cstheme="minorBidi"/>
              <w:noProof/>
              <w:color w:val="auto"/>
              <w:szCs w:val="22"/>
              <w:lang w:eastAsia="en-AU"/>
            </w:rPr>
          </w:pPr>
          <w:hyperlink w:anchor="_Toc142320506" w:history="1">
            <w:r w:rsidR="00C23EB2" w:rsidRPr="0098402A">
              <w:rPr>
                <w:rStyle w:val="Hyperlink"/>
                <w:noProof/>
              </w:rPr>
              <w:t>Departmental response to the PwC Report</w:t>
            </w:r>
            <w:r w:rsidR="00C23EB2">
              <w:rPr>
                <w:noProof/>
                <w:webHidden/>
              </w:rPr>
              <w:tab/>
            </w:r>
            <w:r w:rsidR="00C23EB2">
              <w:rPr>
                <w:noProof/>
                <w:webHidden/>
              </w:rPr>
              <w:fldChar w:fldCharType="begin"/>
            </w:r>
            <w:r w:rsidR="00C23EB2">
              <w:rPr>
                <w:noProof/>
                <w:webHidden/>
              </w:rPr>
              <w:instrText xml:space="preserve"> PAGEREF _Toc142320506 \h </w:instrText>
            </w:r>
            <w:r w:rsidR="00C23EB2">
              <w:rPr>
                <w:noProof/>
                <w:webHidden/>
              </w:rPr>
            </w:r>
            <w:r w:rsidR="00C23EB2">
              <w:rPr>
                <w:noProof/>
                <w:webHidden/>
              </w:rPr>
              <w:fldChar w:fldCharType="separate"/>
            </w:r>
            <w:r w:rsidR="00C23EB2">
              <w:rPr>
                <w:noProof/>
                <w:webHidden/>
              </w:rPr>
              <w:t>2</w:t>
            </w:r>
            <w:r w:rsidR="00C23EB2">
              <w:rPr>
                <w:noProof/>
                <w:webHidden/>
              </w:rPr>
              <w:fldChar w:fldCharType="end"/>
            </w:r>
          </w:hyperlink>
        </w:p>
        <w:p w14:paraId="45DD3120" w14:textId="77D83BD0" w:rsidR="00CF14A6" w:rsidRDefault="006A0EFF" w:rsidP="00346C4A">
          <w:r>
            <w:rPr>
              <w:b/>
              <w:bCs/>
              <w:noProof/>
            </w:rPr>
            <w:fldChar w:fldCharType="end"/>
          </w:r>
        </w:p>
      </w:sdtContent>
    </w:sdt>
    <w:p w14:paraId="51B25FA8" w14:textId="77777777" w:rsidR="00544E23" w:rsidRDefault="00544E23" w:rsidP="00346C4A"/>
    <w:p w14:paraId="430C915D" w14:textId="77777777" w:rsidR="00544E23" w:rsidRPr="004D1339" w:rsidRDefault="00544E23" w:rsidP="00346C4A">
      <w:pPr>
        <w:sectPr w:rsidR="00544E23" w:rsidRPr="004D1339" w:rsidSect="000B0C19">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418" w:left="1418" w:header="709" w:footer="709" w:gutter="0"/>
          <w:pgNumType w:fmt="lowerRoman"/>
          <w:cols w:space="708"/>
          <w:titlePg/>
          <w:docGrid w:linePitch="360"/>
        </w:sectPr>
      </w:pPr>
    </w:p>
    <w:p w14:paraId="5134168E" w14:textId="77777777" w:rsidR="004935E5" w:rsidRPr="004D1339" w:rsidRDefault="004935E5" w:rsidP="004935E5">
      <w:pPr>
        <w:pStyle w:val="Heading1"/>
      </w:pPr>
      <w:bookmarkStart w:id="1" w:name="_Toc109724593"/>
      <w:bookmarkStart w:id="2" w:name="_Toc142320505"/>
      <w:bookmarkStart w:id="3" w:name="_Toc107491905"/>
      <w:r>
        <w:lastRenderedPageBreak/>
        <w:t>Summary</w:t>
      </w:r>
      <w:bookmarkEnd w:id="1"/>
      <w:bookmarkEnd w:id="2"/>
    </w:p>
    <w:p w14:paraId="5DC6F80E" w14:textId="4F3147B2" w:rsidR="003B061A" w:rsidRPr="00174CCF" w:rsidRDefault="003B061A" w:rsidP="000B0C19">
      <w:pPr>
        <w:pStyle w:val="Paragraphtext"/>
        <w:spacing w:line="276" w:lineRule="auto"/>
        <w:rPr>
          <w:rFonts w:eastAsiaTheme="minorHAnsi" w:cstheme="minorBidi"/>
          <w:sz w:val="22"/>
          <w:szCs w:val="22"/>
        </w:rPr>
      </w:pPr>
      <w:r>
        <w:rPr>
          <w:rFonts w:eastAsiaTheme="minorHAnsi" w:cstheme="minorBidi"/>
          <w:sz w:val="22"/>
          <w:szCs w:val="22"/>
        </w:rPr>
        <w:t xml:space="preserve">In </w:t>
      </w:r>
      <w:r w:rsidRPr="00077A30">
        <w:rPr>
          <w:rFonts w:eastAsiaTheme="minorHAnsi" w:cstheme="minorBidi"/>
          <w:sz w:val="22"/>
          <w:szCs w:val="22"/>
        </w:rPr>
        <w:t xml:space="preserve">January 2022, the Department of </w:t>
      </w:r>
      <w:proofErr w:type="gramStart"/>
      <w:r w:rsidRPr="00077A30">
        <w:rPr>
          <w:rFonts w:eastAsiaTheme="minorHAnsi" w:cstheme="minorBidi"/>
          <w:sz w:val="22"/>
          <w:szCs w:val="22"/>
        </w:rPr>
        <w:t>Health</w:t>
      </w:r>
      <w:proofErr w:type="gramEnd"/>
      <w:r w:rsidRPr="00077A30">
        <w:rPr>
          <w:rFonts w:eastAsiaTheme="minorHAnsi" w:cstheme="minorBidi"/>
          <w:sz w:val="22"/>
          <w:szCs w:val="22"/>
        </w:rPr>
        <w:t xml:space="preserve"> and Aged Care</w:t>
      </w:r>
      <w:r>
        <w:rPr>
          <w:rFonts w:eastAsiaTheme="minorHAnsi" w:cstheme="minorBidi"/>
          <w:sz w:val="22"/>
          <w:szCs w:val="22"/>
        </w:rPr>
        <w:t xml:space="preserve"> (the Department)</w:t>
      </w:r>
      <w:r w:rsidRPr="00077A30">
        <w:rPr>
          <w:rFonts w:eastAsiaTheme="minorHAnsi" w:cstheme="minorBidi"/>
          <w:sz w:val="22"/>
          <w:szCs w:val="22"/>
        </w:rPr>
        <w:t xml:space="preserve"> released </w:t>
      </w:r>
      <w:r w:rsidRPr="006A7FCA">
        <w:rPr>
          <w:rFonts w:eastAsiaTheme="minorHAnsi" w:cstheme="minorBidi"/>
          <w:b/>
          <w:bCs/>
          <w:sz w:val="22"/>
          <w:szCs w:val="22"/>
        </w:rPr>
        <w:t>Consultation Paper 2(a) - Modernisation of Part B of the Prostheses List</w:t>
      </w:r>
      <w:r w:rsidR="006A7FCA">
        <w:rPr>
          <w:rFonts w:eastAsiaTheme="minorHAnsi" w:cstheme="minorBidi"/>
          <w:b/>
          <w:bCs/>
          <w:sz w:val="22"/>
          <w:szCs w:val="22"/>
        </w:rPr>
        <w:t>*</w:t>
      </w:r>
      <w:r w:rsidRPr="00174CCF">
        <w:rPr>
          <w:rFonts w:eastAsiaTheme="minorHAnsi" w:cstheme="minorBidi"/>
          <w:sz w:val="22"/>
          <w:szCs w:val="22"/>
        </w:rPr>
        <w:t xml:space="preserve"> (the paper)</w:t>
      </w:r>
      <w:r>
        <w:rPr>
          <w:rFonts w:eastAsiaTheme="minorHAnsi" w:cstheme="minorBidi"/>
          <w:sz w:val="22"/>
          <w:szCs w:val="22"/>
        </w:rPr>
        <w:t xml:space="preserve">.  </w:t>
      </w:r>
      <w:r w:rsidRPr="00174CCF">
        <w:rPr>
          <w:rFonts w:eastAsiaTheme="minorHAnsi" w:cstheme="minorBidi"/>
          <w:sz w:val="22"/>
          <w:szCs w:val="22"/>
        </w:rPr>
        <w:t>The paper put forward ideas to improve Part B in line with the changes that will apply to the rest of the P</w:t>
      </w:r>
      <w:r w:rsidR="00060C27">
        <w:rPr>
          <w:rFonts w:eastAsiaTheme="minorHAnsi" w:cstheme="minorBidi"/>
          <w:sz w:val="22"/>
          <w:szCs w:val="22"/>
        </w:rPr>
        <w:t xml:space="preserve">rescribed </w:t>
      </w:r>
      <w:r w:rsidRPr="00174CCF">
        <w:rPr>
          <w:rFonts w:eastAsiaTheme="minorHAnsi" w:cstheme="minorBidi"/>
          <w:sz w:val="22"/>
          <w:szCs w:val="22"/>
        </w:rPr>
        <w:t>L</w:t>
      </w:r>
      <w:r w:rsidR="00060C27">
        <w:rPr>
          <w:rFonts w:eastAsiaTheme="minorHAnsi" w:cstheme="minorBidi"/>
          <w:sz w:val="22"/>
          <w:szCs w:val="22"/>
        </w:rPr>
        <w:t>ist</w:t>
      </w:r>
      <w:r w:rsidR="00C0415A">
        <w:rPr>
          <w:rFonts w:eastAsiaTheme="minorHAnsi" w:cstheme="minorBidi"/>
          <w:sz w:val="22"/>
          <w:szCs w:val="22"/>
        </w:rPr>
        <w:t xml:space="preserve"> of </w:t>
      </w:r>
      <w:r w:rsidR="00C0415A" w:rsidRPr="00C0415A">
        <w:rPr>
          <w:rFonts w:eastAsiaTheme="minorHAnsi" w:cstheme="minorBidi"/>
          <w:sz w:val="22"/>
          <w:szCs w:val="22"/>
        </w:rPr>
        <w:t>Benefits for Medical Devices and Human Tissue Products (the PL)</w:t>
      </w:r>
      <w:r w:rsidR="00060C27">
        <w:rPr>
          <w:rFonts w:eastAsiaTheme="minorHAnsi" w:cstheme="minorBidi"/>
          <w:sz w:val="22"/>
          <w:szCs w:val="22"/>
        </w:rPr>
        <w:t xml:space="preserve">, </w:t>
      </w:r>
      <w:r w:rsidR="00060C27">
        <w:t>formerly known as the Prostheses List.</w:t>
      </w:r>
      <w:r w:rsidRPr="00174CCF">
        <w:rPr>
          <w:rFonts w:eastAsiaTheme="minorHAnsi" w:cstheme="minorBidi"/>
          <w:sz w:val="22"/>
          <w:szCs w:val="22"/>
        </w:rPr>
        <w:t xml:space="preserve">  Specifically, it proposed two initiatives to modernise Part B:</w:t>
      </w:r>
    </w:p>
    <w:p w14:paraId="35272168" w14:textId="40E4B967" w:rsidR="003B061A" w:rsidRPr="00174CCF" w:rsidRDefault="003B061A" w:rsidP="000B0C19">
      <w:pPr>
        <w:pStyle w:val="Paragraphtext"/>
        <w:numPr>
          <w:ilvl w:val="0"/>
          <w:numId w:val="24"/>
        </w:numPr>
        <w:spacing w:line="276" w:lineRule="auto"/>
        <w:rPr>
          <w:rFonts w:eastAsiaTheme="minorHAnsi" w:cstheme="minorBidi"/>
          <w:sz w:val="22"/>
          <w:szCs w:val="22"/>
        </w:rPr>
      </w:pPr>
      <w:r w:rsidRPr="00174CCF">
        <w:rPr>
          <w:rFonts w:eastAsiaTheme="minorHAnsi" w:cstheme="minorBidi"/>
          <w:sz w:val="22"/>
          <w:szCs w:val="22"/>
        </w:rPr>
        <w:t>A revised classification structure</w:t>
      </w:r>
      <w:r w:rsidR="00060C27">
        <w:rPr>
          <w:rFonts w:eastAsiaTheme="minorHAnsi" w:cstheme="minorBidi"/>
          <w:sz w:val="22"/>
          <w:szCs w:val="22"/>
        </w:rPr>
        <w:t>,</w:t>
      </w:r>
      <w:r w:rsidRPr="00174CCF">
        <w:rPr>
          <w:rFonts w:eastAsiaTheme="minorHAnsi" w:cstheme="minorBidi"/>
          <w:sz w:val="22"/>
          <w:szCs w:val="22"/>
        </w:rPr>
        <w:t xml:space="preserve"> and</w:t>
      </w:r>
    </w:p>
    <w:p w14:paraId="393950F9" w14:textId="7E325D96" w:rsidR="003B061A" w:rsidRPr="00174CCF" w:rsidRDefault="003B061A" w:rsidP="000B0C19">
      <w:pPr>
        <w:pStyle w:val="Paragraphtext"/>
        <w:numPr>
          <w:ilvl w:val="0"/>
          <w:numId w:val="24"/>
        </w:numPr>
        <w:spacing w:line="276" w:lineRule="auto"/>
        <w:rPr>
          <w:rFonts w:eastAsiaTheme="minorHAnsi" w:cstheme="minorBidi"/>
          <w:sz w:val="22"/>
          <w:szCs w:val="22"/>
        </w:rPr>
      </w:pPr>
      <w:r w:rsidRPr="00174CCF">
        <w:rPr>
          <w:rFonts w:eastAsiaTheme="minorHAnsi" w:cstheme="minorBidi"/>
          <w:sz w:val="22"/>
          <w:szCs w:val="22"/>
        </w:rPr>
        <w:t>Introduction of a health technology assessment for human tissue products</w:t>
      </w:r>
      <w:r w:rsidR="00060C27">
        <w:rPr>
          <w:rFonts w:eastAsiaTheme="minorHAnsi" w:cstheme="minorBidi"/>
          <w:sz w:val="22"/>
          <w:szCs w:val="22"/>
        </w:rPr>
        <w:t>.</w:t>
      </w:r>
    </w:p>
    <w:p w14:paraId="1E787567" w14:textId="5B3E970F" w:rsidR="00174CCF" w:rsidRPr="00174CCF" w:rsidRDefault="00174CCF" w:rsidP="000B0C19">
      <w:pPr>
        <w:pStyle w:val="Paragraphtext"/>
        <w:spacing w:line="276" w:lineRule="auto"/>
        <w:rPr>
          <w:rFonts w:eastAsiaTheme="minorHAnsi" w:cstheme="minorBidi"/>
          <w:sz w:val="22"/>
          <w:szCs w:val="22"/>
        </w:rPr>
      </w:pPr>
      <w:r w:rsidRPr="00174CCF">
        <w:rPr>
          <w:rFonts w:eastAsiaTheme="minorHAnsi" w:cstheme="minorBidi"/>
          <w:sz w:val="22"/>
          <w:szCs w:val="22"/>
        </w:rPr>
        <w:t xml:space="preserve">The department received 22 submissions from various eye and tissue banks, sponsors, </w:t>
      </w:r>
      <w:proofErr w:type="gramStart"/>
      <w:r w:rsidRPr="00174CCF">
        <w:rPr>
          <w:rFonts w:eastAsiaTheme="minorHAnsi" w:cstheme="minorBidi"/>
          <w:sz w:val="22"/>
          <w:szCs w:val="22"/>
        </w:rPr>
        <w:t>hospitals</w:t>
      </w:r>
      <w:proofErr w:type="gramEnd"/>
      <w:r w:rsidRPr="00174CCF">
        <w:rPr>
          <w:rFonts w:eastAsiaTheme="minorHAnsi" w:cstheme="minorBidi"/>
          <w:sz w:val="22"/>
          <w:szCs w:val="22"/>
        </w:rPr>
        <w:t xml:space="preserve"> and insurers.  A high-level analysis of the submissions was undertaken, with varying levels of support for the proposals outlined in the paper.  </w:t>
      </w:r>
    </w:p>
    <w:p w14:paraId="202E83AA" w14:textId="5A6BB97D" w:rsidR="00174CCF" w:rsidRPr="00174CCF" w:rsidRDefault="00174CCF" w:rsidP="000B0C19">
      <w:pPr>
        <w:pStyle w:val="Paragraphtext"/>
        <w:spacing w:line="276" w:lineRule="auto"/>
        <w:rPr>
          <w:rFonts w:eastAsiaTheme="minorHAnsi" w:cstheme="minorBidi"/>
          <w:sz w:val="22"/>
          <w:szCs w:val="22"/>
        </w:rPr>
      </w:pPr>
      <w:r w:rsidRPr="00174CCF">
        <w:rPr>
          <w:rFonts w:eastAsiaTheme="minorHAnsi" w:cstheme="minorBidi"/>
          <w:sz w:val="22"/>
          <w:szCs w:val="22"/>
        </w:rPr>
        <w:t>A common theme identified in the responses was that eye and tissue banks were unsure of how they could remain viable if the initiatives outlined in the paper were implemented.  This represent</w:t>
      </w:r>
      <w:r w:rsidR="00073B7B">
        <w:rPr>
          <w:rFonts w:eastAsiaTheme="minorHAnsi" w:cstheme="minorBidi"/>
          <w:sz w:val="22"/>
          <w:szCs w:val="22"/>
        </w:rPr>
        <w:t>ed a</w:t>
      </w:r>
      <w:r w:rsidRPr="00174CCF">
        <w:rPr>
          <w:rFonts w:eastAsiaTheme="minorHAnsi" w:cstheme="minorBidi"/>
          <w:sz w:val="22"/>
          <w:szCs w:val="22"/>
        </w:rPr>
        <w:t xml:space="preserve"> significant risk </w:t>
      </w:r>
      <w:r w:rsidR="006477DB" w:rsidRPr="00174CCF">
        <w:rPr>
          <w:rFonts w:eastAsiaTheme="minorHAnsi" w:cstheme="minorBidi"/>
          <w:sz w:val="22"/>
          <w:szCs w:val="22"/>
        </w:rPr>
        <w:t xml:space="preserve">both </w:t>
      </w:r>
      <w:r w:rsidRPr="00174CCF">
        <w:rPr>
          <w:rFonts w:eastAsiaTheme="minorHAnsi" w:cstheme="minorBidi"/>
          <w:sz w:val="22"/>
          <w:szCs w:val="22"/>
        </w:rPr>
        <w:t xml:space="preserve">for patients and the eye and tissue sector as whole.  The </w:t>
      </w:r>
      <w:r w:rsidR="003B061A">
        <w:rPr>
          <w:rFonts w:eastAsiaTheme="minorHAnsi" w:cstheme="minorBidi"/>
          <w:sz w:val="22"/>
          <w:szCs w:val="22"/>
        </w:rPr>
        <w:t>D</w:t>
      </w:r>
      <w:r w:rsidRPr="00174CCF">
        <w:rPr>
          <w:rFonts w:eastAsiaTheme="minorHAnsi" w:cstheme="minorBidi"/>
          <w:sz w:val="22"/>
          <w:szCs w:val="22"/>
        </w:rPr>
        <w:t>epartment need</w:t>
      </w:r>
      <w:r w:rsidR="00073B7B">
        <w:rPr>
          <w:rFonts w:eastAsiaTheme="minorHAnsi" w:cstheme="minorBidi"/>
          <w:sz w:val="22"/>
          <w:szCs w:val="22"/>
        </w:rPr>
        <w:t>ed</w:t>
      </w:r>
      <w:r w:rsidRPr="00174CCF">
        <w:rPr>
          <w:rFonts w:eastAsiaTheme="minorHAnsi" w:cstheme="minorBidi"/>
          <w:sz w:val="22"/>
          <w:szCs w:val="22"/>
        </w:rPr>
        <w:t xml:space="preserve"> to gain a better understanding of these issues to ensure the implementation of the reforms can progress as planned.  </w:t>
      </w:r>
    </w:p>
    <w:p w14:paraId="337DDEAF" w14:textId="1268C78E" w:rsidR="00174CCF" w:rsidRPr="00174CCF" w:rsidRDefault="003B061A" w:rsidP="000B0C19">
      <w:pPr>
        <w:pStyle w:val="Paragraphtext"/>
        <w:spacing w:line="276" w:lineRule="auto"/>
        <w:rPr>
          <w:rFonts w:eastAsiaTheme="minorHAnsi" w:cstheme="minorBidi"/>
          <w:sz w:val="22"/>
          <w:szCs w:val="22"/>
        </w:rPr>
      </w:pPr>
      <w:r>
        <w:rPr>
          <w:rFonts w:eastAsiaTheme="minorHAnsi" w:cstheme="minorBidi"/>
          <w:sz w:val="22"/>
          <w:szCs w:val="22"/>
        </w:rPr>
        <w:t>T</w:t>
      </w:r>
      <w:r w:rsidRPr="003B061A">
        <w:rPr>
          <w:rFonts w:eastAsiaTheme="minorHAnsi" w:cstheme="minorBidi"/>
          <w:sz w:val="22"/>
          <w:szCs w:val="22"/>
        </w:rPr>
        <w:t xml:space="preserve">he Department determined that further targeted consultation was required </w:t>
      </w:r>
      <w:r w:rsidR="002A5FB5">
        <w:rPr>
          <w:rFonts w:eastAsiaTheme="minorHAnsi" w:cstheme="minorBidi"/>
          <w:sz w:val="22"/>
          <w:szCs w:val="22"/>
        </w:rPr>
        <w:t>to</w:t>
      </w:r>
      <w:r w:rsidR="00174CCF" w:rsidRPr="00174CCF">
        <w:rPr>
          <w:rFonts w:eastAsiaTheme="minorHAnsi" w:cstheme="minorBidi"/>
          <w:sz w:val="22"/>
          <w:szCs w:val="22"/>
        </w:rPr>
        <w:t xml:space="preserve"> fully understand stakeholder concerns and trepidations regarding the regrouping and new </w:t>
      </w:r>
      <w:r w:rsidR="00A93A30">
        <w:rPr>
          <w:rFonts w:eastAsiaTheme="minorHAnsi" w:cstheme="minorBidi"/>
          <w:sz w:val="22"/>
          <w:szCs w:val="22"/>
        </w:rPr>
        <w:t xml:space="preserve">assessment </w:t>
      </w:r>
      <w:r w:rsidR="00174CCF" w:rsidRPr="00174CCF">
        <w:rPr>
          <w:rFonts w:eastAsiaTheme="minorHAnsi" w:cstheme="minorBidi"/>
          <w:sz w:val="22"/>
          <w:szCs w:val="22"/>
        </w:rPr>
        <w:t>pathways</w:t>
      </w:r>
      <w:r>
        <w:rPr>
          <w:rFonts w:eastAsiaTheme="minorHAnsi" w:cstheme="minorBidi"/>
          <w:sz w:val="22"/>
          <w:szCs w:val="22"/>
        </w:rPr>
        <w:t xml:space="preserve">.  </w:t>
      </w:r>
      <w:r w:rsidR="00073B7B">
        <w:rPr>
          <w:rFonts w:eastAsiaTheme="minorHAnsi" w:cstheme="minorBidi"/>
          <w:sz w:val="22"/>
          <w:szCs w:val="22"/>
        </w:rPr>
        <w:t xml:space="preserve">The consultation process would also </w:t>
      </w:r>
      <w:r w:rsidR="00174CCF" w:rsidRPr="00174CCF">
        <w:rPr>
          <w:rFonts w:eastAsiaTheme="minorHAnsi" w:cstheme="minorBidi"/>
          <w:sz w:val="22"/>
          <w:szCs w:val="22"/>
        </w:rPr>
        <w:t xml:space="preserve">allow the </w:t>
      </w:r>
      <w:r w:rsidR="00073B7B">
        <w:rPr>
          <w:rFonts w:eastAsiaTheme="minorHAnsi" w:cstheme="minorBidi"/>
          <w:sz w:val="22"/>
          <w:szCs w:val="22"/>
        </w:rPr>
        <w:t>D</w:t>
      </w:r>
      <w:r w:rsidR="00174CCF" w:rsidRPr="00174CCF">
        <w:rPr>
          <w:rFonts w:eastAsiaTheme="minorHAnsi" w:cstheme="minorBidi"/>
          <w:sz w:val="22"/>
          <w:szCs w:val="22"/>
        </w:rPr>
        <w:t>epartment to both better communicate the details of the proposals</w:t>
      </w:r>
      <w:r w:rsidR="0070480B">
        <w:rPr>
          <w:rFonts w:eastAsiaTheme="minorHAnsi" w:cstheme="minorBidi"/>
          <w:sz w:val="22"/>
          <w:szCs w:val="22"/>
        </w:rPr>
        <w:t>,</w:t>
      </w:r>
      <w:r w:rsidR="00174CCF" w:rsidRPr="00174CCF">
        <w:rPr>
          <w:rFonts w:eastAsiaTheme="minorHAnsi" w:cstheme="minorBidi"/>
          <w:sz w:val="22"/>
          <w:szCs w:val="22"/>
        </w:rPr>
        <w:t xml:space="preserve"> and address stakeholder concerns. </w:t>
      </w:r>
    </w:p>
    <w:p w14:paraId="4FC4B72A" w14:textId="07B944B0" w:rsidR="00073B7B" w:rsidRDefault="00073B7B" w:rsidP="000B0C19">
      <w:pPr>
        <w:pStyle w:val="Paragraphtext"/>
        <w:spacing w:line="276" w:lineRule="auto"/>
        <w:rPr>
          <w:rFonts w:eastAsiaTheme="minorHAnsi" w:cstheme="minorBidi"/>
          <w:sz w:val="22"/>
          <w:szCs w:val="22"/>
        </w:rPr>
      </w:pPr>
      <w:r>
        <w:rPr>
          <w:rFonts w:eastAsiaTheme="minorHAnsi" w:cstheme="minorBidi"/>
          <w:sz w:val="22"/>
          <w:szCs w:val="22"/>
        </w:rPr>
        <w:t>In December 2022</w:t>
      </w:r>
      <w:r w:rsidR="006A7FCA">
        <w:rPr>
          <w:rFonts w:eastAsiaTheme="minorHAnsi" w:cstheme="minorBidi"/>
          <w:sz w:val="22"/>
          <w:szCs w:val="22"/>
        </w:rPr>
        <w:t>,</w:t>
      </w:r>
      <w:r>
        <w:rPr>
          <w:rFonts w:eastAsiaTheme="minorHAnsi" w:cstheme="minorBidi"/>
          <w:sz w:val="22"/>
          <w:szCs w:val="22"/>
        </w:rPr>
        <w:t xml:space="preserve"> the Department engaged </w:t>
      </w:r>
      <w:r w:rsidR="006A7FCA">
        <w:rPr>
          <w:rFonts w:eastAsiaTheme="minorHAnsi" w:cstheme="minorBidi"/>
          <w:sz w:val="22"/>
          <w:szCs w:val="22"/>
        </w:rPr>
        <w:t>PricewaterhouseCoopers</w:t>
      </w:r>
      <w:r>
        <w:rPr>
          <w:rFonts w:eastAsiaTheme="minorHAnsi" w:cstheme="minorBidi"/>
          <w:sz w:val="22"/>
          <w:szCs w:val="22"/>
        </w:rPr>
        <w:t xml:space="preserve"> (PwC) to undertake a scope of work </w:t>
      </w:r>
      <w:r w:rsidR="00E345E6">
        <w:rPr>
          <w:rFonts w:eastAsiaTheme="minorHAnsi" w:cstheme="minorBidi"/>
          <w:sz w:val="22"/>
          <w:szCs w:val="22"/>
        </w:rPr>
        <w:t xml:space="preserve">including </w:t>
      </w:r>
      <w:r w:rsidRPr="00174CCF">
        <w:rPr>
          <w:rFonts w:eastAsiaTheme="minorHAnsi" w:cstheme="minorBidi"/>
          <w:sz w:val="22"/>
          <w:szCs w:val="22"/>
        </w:rPr>
        <w:t>the targeted consultation</w:t>
      </w:r>
      <w:r>
        <w:rPr>
          <w:rFonts w:eastAsiaTheme="minorHAnsi" w:cstheme="minorBidi"/>
          <w:sz w:val="22"/>
          <w:szCs w:val="22"/>
        </w:rPr>
        <w:t xml:space="preserve">.  </w:t>
      </w:r>
      <w:r w:rsidRPr="00174CCF">
        <w:rPr>
          <w:rFonts w:eastAsiaTheme="minorHAnsi" w:cstheme="minorBidi"/>
          <w:sz w:val="22"/>
          <w:szCs w:val="22"/>
        </w:rPr>
        <w:t>This scope of work include</w:t>
      </w:r>
      <w:r>
        <w:rPr>
          <w:rFonts w:eastAsiaTheme="minorHAnsi" w:cstheme="minorBidi"/>
          <w:sz w:val="22"/>
          <w:szCs w:val="22"/>
        </w:rPr>
        <w:t>d:</w:t>
      </w:r>
    </w:p>
    <w:p w14:paraId="40579CD1" w14:textId="0D40C4AC" w:rsidR="00073B7B" w:rsidRDefault="00073B7B" w:rsidP="000B0C19">
      <w:pPr>
        <w:pStyle w:val="Paragraphtext"/>
        <w:numPr>
          <w:ilvl w:val="0"/>
          <w:numId w:val="24"/>
        </w:numPr>
        <w:spacing w:line="276" w:lineRule="auto"/>
        <w:rPr>
          <w:rFonts w:eastAsiaTheme="minorHAnsi" w:cstheme="minorBidi"/>
          <w:sz w:val="22"/>
          <w:szCs w:val="22"/>
        </w:rPr>
      </w:pPr>
      <w:r w:rsidRPr="00073B7B">
        <w:rPr>
          <w:rFonts w:eastAsiaTheme="minorHAnsi" w:cstheme="minorBidi"/>
          <w:sz w:val="22"/>
          <w:szCs w:val="22"/>
        </w:rPr>
        <w:t xml:space="preserve">Reviewing </w:t>
      </w:r>
      <w:r w:rsidRPr="006A7FCA">
        <w:rPr>
          <w:rFonts w:eastAsiaTheme="minorHAnsi" w:cstheme="minorBidi"/>
          <w:b/>
          <w:bCs/>
          <w:sz w:val="22"/>
          <w:szCs w:val="22"/>
        </w:rPr>
        <w:t>Consultation Paper 2(a) - Modernisation of Part B of the Prostheses List</w:t>
      </w:r>
      <w:r w:rsidR="006A7FCA">
        <w:rPr>
          <w:rFonts w:eastAsiaTheme="minorHAnsi" w:cstheme="minorBidi"/>
          <w:b/>
          <w:bCs/>
          <w:sz w:val="22"/>
          <w:szCs w:val="22"/>
        </w:rPr>
        <w:t>*</w:t>
      </w:r>
      <w:r w:rsidRPr="00073B7B">
        <w:rPr>
          <w:rFonts w:eastAsiaTheme="minorHAnsi" w:cstheme="minorBidi"/>
          <w:sz w:val="22"/>
          <w:szCs w:val="22"/>
        </w:rPr>
        <w:t xml:space="preserve">, including the 22 submissions received </w:t>
      </w:r>
      <w:r w:rsidR="00BF0C9E">
        <w:rPr>
          <w:rFonts w:eastAsiaTheme="minorHAnsi" w:cstheme="minorBidi"/>
          <w:sz w:val="22"/>
          <w:szCs w:val="22"/>
        </w:rPr>
        <w:t xml:space="preserve">as </w:t>
      </w:r>
      <w:r w:rsidRPr="00073B7B">
        <w:rPr>
          <w:rFonts w:eastAsiaTheme="minorHAnsi" w:cstheme="minorBidi"/>
          <w:sz w:val="22"/>
          <w:szCs w:val="22"/>
        </w:rPr>
        <w:t>part of the PL review consultation process.</w:t>
      </w:r>
    </w:p>
    <w:p w14:paraId="2A8B5B3E" w14:textId="55596DDE" w:rsidR="00073B7B" w:rsidRDefault="00073B7B" w:rsidP="000B0C19">
      <w:pPr>
        <w:pStyle w:val="Paragraphtext"/>
        <w:numPr>
          <w:ilvl w:val="0"/>
          <w:numId w:val="24"/>
        </w:numPr>
        <w:spacing w:line="276" w:lineRule="auto"/>
        <w:rPr>
          <w:rFonts w:eastAsiaTheme="minorHAnsi" w:cstheme="minorBidi"/>
          <w:sz w:val="22"/>
          <w:szCs w:val="22"/>
        </w:rPr>
      </w:pPr>
      <w:r w:rsidRPr="00073B7B">
        <w:rPr>
          <w:rFonts w:eastAsiaTheme="minorHAnsi" w:cstheme="minorBidi"/>
          <w:sz w:val="22"/>
          <w:szCs w:val="22"/>
        </w:rPr>
        <w:t xml:space="preserve">Attending a scoping meeting with the </w:t>
      </w:r>
      <w:r w:rsidR="00BF0C9E">
        <w:rPr>
          <w:rFonts w:eastAsiaTheme="minorHAnsi" w:cstheme="minorBidi"/>
          <w:sz w:val="22"/>
          <w:szCs w:val="22"/>
        </w:rPr>
        <w:t>D</w:t>
      </w:r>
      <w:r w:rsidRPr="00073B7B">
        <w:rPr>
          <w:rFonts w:eastAsiaTheme="minorHAnsi" w:cstheme="minorBidi"/>
          <w:sz w:val="22"/>
          <w:szCs w:val="22"/>
        </w:rPr>
        <w:t>epartment to further define the scope, parameters, and objectives of the targeted consultation.</w:t>
      </w:r>
    </w:p>
    <w:p w14:paraId="64DFCA09" w14:textId="4154CA8F" w:rsidR="00073B7B" w:rsidRDefault="00073B7B" w:rsidP="000B0C19">
      <w:pPr>
        <w:pStyle w:val="Paragraphtext"/>
        <w:numPr>
          <w:ilvl w:val="0"/>
          <w:numId w:val="24"/>
        </w:numPr>
        <w:spacing w:line="276" w:lineRule="auto"/>
        <w:rPr>
          <w:rFonts w:eastAsiaTheme="minorHAnsi" w:cstheme="minorBidi"/>
          <w:sz w:val="22"/>
          <w:szCs w:val="22"/>
        </w:rPr>
      </w:pPr>
      <w:r w:rsidRPr="00073B7B">
        <w:rPr>
          <w:rFonts w:eastAsiaTheme="minorHAnsi" w:cstheme="minorBidi"/>
          <w:sz w:val="22"/>
          <w:szCs w:val="22"/>
        </w:rPr>
        <w:t>Conducting targeted consultation, including a minimum of two workshops, with key stakeholders to collect pertinent information and more detailed feedback regarding the feasibility of the new proposed new group structure and listing pathways as detailed in the consultation paper.</w:t>
      </w:r>
    </w:p>
    <w:p w14:paraId="6CEB96C1" w14:textId="769DDE73" w:rsidR="00BF0C9E" w:rsidRDefault="00BF0C9E" w:rsidP="000B0C19">
      <w:pPr>
        <w:pStyle w:val="Paragraphtext"/>
        <w:numPr>
          <w:ilvl w:val="0"/>
          <w:numId w:val="24"/>
        </w:numPr>
        <w:spacing w:line="276" w:lineRule="auto"/>
        <w:rPr>
          <w:rFonts w:eastAsiaTheme="minorHAnsi" w:cstheme="minorBidi"/>
          <w:sz w:val="22"/>
          <w:szCs w:val="22"/>
        </w:rPr>
      </w:pPr>
      <w:r w:rsidRPr="00BF0C9E">
        <w:rPr>
          <w:rFonts w:eastAsiaTheme="minorHAnsi" w:cstheme="minorBidi"/>
          <w:sz w:val="22"/>
          <w:szCs w:val="22"/>
        </w:rPr>
        <w:t>Developing summaries of each workshop, including objectives, issues discussed and outcomes (including any recommended amendments to the already proposed regrouping and listing pathways).</w:t>
      </w:r>
    </w:p>
    <w:p w14:paraId="216BC609" w14:textId="62D8CFC3" w:rsidR="00BF0C9E" w:rsidRDefault="00BF0C9E" w:rsidP="000B0C19">
      <w:pPr>
        <w:pStyle w:val="Paragraphtext"/>
        <w:numPr>
          <w:ilvl w:val="0"/>
          <w:numId w:val="24"/>
        </w:numPr>
        <w:spacing w:line="276" w:lineRule="auto"/>
        <w:rPr>
          <w:rFonts w:eastAsiaTheme="minorHAnsi" w:cstheme="minorBidi"/>
          <w:sz w:val="22"/>
          <w:szCs w:val="22"/>
        </w:rPr>
      </w:pPr>
      <w:r w:rsidRPr="00BF0C9E">
        <w:rPr>
          <w:rFonts w:eastAsiaTheme="minorHAnsi" w:cstheme="minorBidi"/>
          <w:sz w:val="22"/>
          <w:szCs w:val="22"/>
        </w:rPr>
        <w:t>Investigating the impact of cost-recovery on organisations that submit Part B applications – including not-for-profit organisations and commercial manufacturers.</w:t>
      </w:r>
    </w:p>
    <w:p w14:paraId="56F08006" w14:textId="27EA9B68" w:rsidR="000B0C19" w:rsidRDefault="00BF0C9E" w:rsidP="000B0C19">
      <w:pPr>
        <w:rPr>
          <w:rFonts w:eastAsiaTheme="minorHAnsi" w:cstheme="minorBidi"/>
          <w:szCs w:val="22"/>
        </w:rPr>
        <w:sectPr w:rsidR="000B0C19" w:rsidSect="00C23EB2">
          <w:pgSz w:w="11906" w:h="16838" w:code="9"/>
          <w:pgMar w:top="851" w:right="1276" w:bottom="1418" w:left="992" w:header="709" w:footer="444" w:gutter="0"/>
          <w:pgNumType w:start="1"/>
          <w:cols w:space="708"/>
          <w:docGrid w:linePitch="360"/>
        </w:sectPr>
      </w:pPr>
      <w:r>
        <w:rPr>
          <w:rFonts w:eastAsiaTheme="minorHAnsi" w:cstheme="minorBidi"/>
          <w:szCs w:val="22"/>
        </w:rPr>
        <w:t xml:space="preserve">In </w:t>
      </w:r>
      <w:r w:rsidR="004D4BBE">
        <w:rPr>
          <w:rFonts w:eastAsiaTheme="minorHAnsi" w:cstheme="minorBidi"/>
          <w:szCs w:val="22"/>
        </w:rPr>
        <w:t>May</w:t>
      </w:r>
      <w:r>
        <w:rPr>
          <w:rFonts w:eastAsiaTheme="minorHAnsi" w:cstheme="minorBidi"/>
          <w:szCs w:val="22"/>
        </w:rPr>
        <w:t xml:space="preserve"> 2023, the Department accepted delivery of </w:t>
      </w:r>
      <w:r w:rsidR="006A7FCA">
        <w:rPr>
          <w:rFonts w:eastAsiaTheme="minorHAnsi" w:cstheme="minorBidi"/>
          <w:szCs w:val="22"/>
        </w:rPr>
        <w:t xml:space="preserve">PwC’s </w:t>
      </w:r>
      <w:r w:rsidR="004D4BBE">
        <w:rPr>
          <w:rFonts w:eastAsiaTheme="minorHAnsi" w:cstheme="minorBidi"/>
          <w:szCs w:val="22"/>
        </w:rPr>
        <w:t>final report ‘</w:t>
      </w:r>
      <w:r w:rsidR="004D4BBE" w:rsidRPr="00060C27">
        <w:rPr>
          <w:rFonts w:eastAsiaTheme="minorHAnsi" w:cstheme="minorBidi"/>
          <w:i/>
          <w:iCs/>
          <w:szCs w:val="22"/>
        </w:rPr>
        <w:t>Reforms to the Prostheses List</w:t>
      </w:r>
      <w:r w:rsidR="00002166">
        <w:rPr>
          <w:rFonts w:eastAsiaTheme="minorHAnsi" w:cstheme="minorBidi"/>
          <w:i/>
          <w:iCs/>
          <w:szCs w:val="22"/>
        </w:rPr>
        <w:t>*</w:t>
      </w:r>
      <w:r w:rsidR="006A7FCA" w:rsidRPr="00060C27">
        <w:rPr>
          <w:rFonts w:eastAsiaTheme="minorHAnsi" w:cstheme="minorBidi"/>
          <w:i/>
          <w:iCs/>
          <w:szCs w:val="22"/>
        </w:rPr>
        <w:t xml:space="preserve"> Part B – May 2023</w:t>
      </w:r>
      <w:r w:rsidR="004D4BBE">
        <w:rPr>
          <w:rFonts w:eastAsiaTheme="minorHAnsi" w:cstheme="minorBidi"/>
          <w:szCs w:val="22"/>
        </w:rPr>
        <w:t>’</w:t>
      </w:r>
      <w:r w:rsidR="00F85370">
        <w:rPr>
          <w:rFonts w:eastAsiaTheme="minorHAnsi" w:cstheme="minorBidi"/>
          <w:szCs w:val="22"/>
        </w:rPr>
        <w:t xml:space="preserve"> (the report)</w:t>
      </w:r>
      <w:r w:rsidR="008D5188">
        <w:rPr>
          <w:rFonts w:eastAsiaTheme="minorHAnsi" w:cstheme="minorBidi"/>
          <w:szCs w:val="22"/>
        </w:rPr>
        <w:t xml:space="preserve"> which </w:t>
      </w:r>
      <w:r w:rsidR="00F85370">
        <w:rPr>
          <w:rFonts w:eastAsiaTheme="minorHAnsi" w:cstheme="minorBidi"/>
          <w:szCs w:val="22"/>
        </w:rPr>
        <w:t xml:space="preserve">makes 10 key recommendations </w:t>
      </w:r>
      <w:r w:rsidR="00060C27">
        <w:rPr>
          <w:rFonts w:eastAsiaTheme="minorHAnsi" w:cstheme="minorBidi"/>
          <w:szCs w:val="22"/>
        </w:rPr>
        <w:t>and</w:t>
      </w:r>
      <w:r w:rsidR="00F85370">
        <w:rPr>
          <w:rFonts w:eastAsiaTheme="minorHAnsi" w:cstheme="minorBidi"/>
          <w:szCs w:val="22"/>
        </w:rPr>
        <w:t xml:space="preserve"> outline</w:t>
      </w:r>
      <w:r w:rsidR="00060C27">
        <w:rPr>
          <w:rFonts w:eastAsiaTheme="minorHAnsi" w:cstheme="minorBidi"/>
          <w:szCs w:val="22"/>
        </w:rPr>
        <w:t>s</w:t>
      </w:r>
      <w:r w:rsidR="00F85370" w:rsidRPr="00F85370">
        <w:rPr>
          <w:rFonts w:eastAsiaTheme="minorHAnsi" w:cstheme="minorBidi"/>
          <w:szCs w:val="22"/>
        </w:rPr>
        <w:t xml:space="preserve"> practical and tangible steps forward to support the </w:t>
      </w:r>
      <w:r w:rsidR="00621CFD">
        <w:rPr>
          <w:rFonts w:eastAsiaTheme="minorHAnsi" w:cstheme="minorBidi"/>
          <w:szCs w:val="22"/>
        </w:rPr>
        <w:t xml:space="preserve">proposed </w:t>
      </w:r>
      <w:r w:rsidR="00F85370" w:rsidRPr="00F85370">
        <w:rPr>
          <w:rFonts w:eastAsiaTheme="minorHAnsi" w:cstheme="minorBidi"/>
          <w:szCs w:val="22"/>
        </w:rPr>
        <w:t xml:space="preserve">reforms to Part B of the </w:t>
      </w:r>
      <w:r w:rsidR="004C1D71" w:rsidRPr="004C1D71">
        <w:rPr>
          <w:rFonts w:eastAsiaTheme="minorHAnsi" w:cstheme="minorBidi"/>
          <w:szCs w:val="22"/>
        </w:rPr>
        <w:t>P</w:t>
      </w:r>
      <w:r w:rsidR="00060C27">
        <w:rPr>
          <w:rFonts w:eastAsiaTheme="minorHAnsi" w:cstheme="minorBidi"/>
          <w:szCs w:val="22"/>
        </w:rPr>
        <w:t>L</w:t>
      </w:r>
      <w:r w:rsidR="000B0C19">
        <w:rPr>
          <w:rFonts w:eastAsiaTheme="minorHAnsi" w:cstheme="minorBidi"/>
          <w:szCs w:val="22"/>
        </w:rPr>
        <w:t xml:space="preserve">.  The Department’s initial response to PwC’s report is outlined in </w:t>
      </w:r>
      <w:r w:rsidR="000B0C19" w:rsidRPr="000B0C19">
        <w:rPr>
          <w:rFonts w:eastAsiaTheme="minorHAnsi" w:cstheme="minorBidi"/>
          <w:b/>
          <w:bCs/>
          <w:szCs w:val="22"/>
        </w:rPr>
        <w:t>Table 1</w:t>
      </w:r>
      <w:r w:rsidR="000B0C19">
        <w:rPr>
          <w:rFonts w:eastAsiaTheme="minorHAnsi" w:cstheme="minorBidi"/>
          <w:szCs w:val="22"/>
        </w:rPr>
        <w:t xml:space="preserve"> below.  </w:t>
      </w:r>
    </w:p>
    <w:p w14:paraId="073D58F0" w14:textId="46AEBBCD" w:rsidR="004B50C0" w:rsidRPr="004D1339" w:rsidRDefault="004B50C0" w:rsidP="000B0C19">
      <w:pPr>
        <w:pStyle w:val="Heading1"/>
        <w:ind w:left="-567"/>
      </w:pPr>
      <w:bookmarkStart w:id="4" w:name="_Toc142320506"/>
      <w:r>
        <w:lastRenderedPageBreak/>
        <w:t xml:space="preserve">Departmental response to </w:t>
      </w:r>
      <w:r w:rsidR="008D5188">
        <w:t xml:space="preserve">the </w:t>
      </w:r>
      <w:r w:rsidR="005F361D">
        <w:t>PwC</w:t>
      </w:r>
      <w:r>
        <w:t xml:space="preserve"> Report</w:t>
      </w:r>
      <w:bookmarkEnd w:id="4"/>
    </w:p>
    <w:p w14:paraId="46D3CAD3" w14:textId="236101FF" w:rsidR="00835FF2" w:rsidRDefault="004B50C0" w:rsidP="000B0C19">
      <w:pPr>
        <w:ind w:left="-567"/>
        <w:rPr>
          <w:rFonts w:cs="Arial"/>
          <w:szCs w:val="22"/>
          <w:lang w:eastAsia="en-AU"/>
        </w:rPr>
      </w:pPr>
      <w:r>
        <w:rPr>
          <w:rFonts w:cs="Arial"/>
          <w:szCs w:val="22"/>
          <w:lang w:eastAsia="en-AU"/>
        </w:rPr>
        <w:t xml:space="preserve">The Department </w:t>
      </w:r>
      <w:r w:rsidR="00F85370">
        <w:rPr>
          <w:rFonts w:cs="Arial"/>
          <w:szCs w:val="22"/>
          <w:lang w:eastAsia="en-AU"/>
        </w:rPr>
        <w:t xml:space="preserve">is </w:t>
      </w:r>
      <w:r w:rsidR="00720F22">
        <w:rPr>
          <w:rFonts w:cs="Arial"/>
          <w:szCs w:val="22"/>
          <w:lang w:eastAsia="en-AU"/>
        </w:rPr>
        <w:t xml:space="preserve">currently </w:t>
      </w:r>
      <w:r w:rsidR="00F85370">
        <w:rPr>
          <w:rFonts w:cs="Arial"/>
          <w:szCs w:val="22"/>
          <w:lang w:eastAsia="en-AU"/>
        </w:rPr>
        <w:t xml:space="preserve">considering the recommendations made in the report </w:t>
      </w:r>
      <w:r w:rsidR="00720F22">
        <w:rPr>
          <w:rFonts w:cs="Arial"/>
          <w:szCs w:val="22"/>
          <w:lang w:eastAsia="en-AU"/>
        </w:rPr>
        <w:t>and invites stakeholders to review and make comment on both the report</w:t>
      </w:r>
      <w:r w:rsidR="002840BA">
        <w:rPr>
          <w:rFonts w:cs="Arial"/>
          <w:szCs w:val="22"/>
          <w:lang w:eastAsia="en-AU"/>
        </w:rPr>
        <w:t xml:space="preserve"> (</w:t>
      </w:r>
      <w:r w:rsidR="0012011B">
        <w:rPr>
          <w:rFonts w:cs="Arial"/>
          <w:szCs w:val="22"/>
          <w:lang w:eastAsia="en-AU"/>
        </w:rPr>
        <w:t xml:space="preserve">at </w:t>
      </w:r>
      <w:r w:rsidR="002840BA" w:rsidRPr="0012011B">
        <w:rPr>
          <w:rFonts w:cs="Arial"/>
          <w:szCs w:val="22"/>
          <w:u w:val="single"/>
          <w:lang w:eastAsia="en-AU"/>
        </w:rPr>
        <w:t>Attachment A</w:t>
      </w:r>
      <w:r w:rsidR="002840BA">
        <w:rPr>
          <w:rFonts w:cs="Arial"/>
          <w:szCs w:val="22"/>
          <w:lang w:eastAsia="en-AU"/>
        </w:rPr>
        <w:t>)</w:t>
      </w:r>
      <w:r w:rsidR="00720F22">
        <w:rPr>
          <w:rFonts w:cs="Arial"/>
          <w:szCs w:val="22"/>
          <w:lang w:eastAsia="en-AU"/>
        </w:rPr>
        <w:t xml:space="preserve"> and the Department’s </w:t>
      </w:r>
      <w:r w:rsidR="002840BA">
        <w:rPr>
          <w:rFonts w:cs="Arial"/>
          <w:szCs w:val="22"/>
          <w:lang w:eastAsia="en-AU"/>
        </w:rPr>
        <w:t>initial</w:t>
      </w:r>
      <w:r w:rsidR="00720F22">
        <w:rPr>
          <w:rFonts w:cs="Arial"/>
          <w:szCs w:val="22"/>
          <w:lang w:eastAsia="en-AU"/>
        </w:rPr>
        <w:t xml:space="preserve"> response</w:t>
      </w:r>
      <w:r w:rsidR="00835FF2">
        <w:rPr>
          <w:rFonts w:cs="Arial"/>
          <w:szCs w:val="22"/>
          <w:lang w:eastAsia="en-AU"/>
        </w:rPr>
        <w:t xml:space="preserve"> to the recommendations</w:t>
      </w:r>
      <w:r w:rsidR="006A7FCA">
        <w:rPr>
          <w:rFonts w:cs="Arial"/>
          <w:szCs w:val="22"/>
          <w:lang w:eastAsia="en-AU"/>
        </w:rPr>
        <w:t>,</w:t>
      </w:r>
      <w:r w:rsidR="002840BA">
        <w:rPr>
          <w:rFonts w:cs="Arial"/>
          <w:szCs w:val="22"/>
          <w:lang w:eastAsia="en-AU"/>
        </w:rPr>
        <w:t xml:space="preserve"> as </w:t>
      </w:r>
      <w:r w:rsidR="006A7FCA">
        <w:rPr>
          <w:rFonts w:cs="Arial"/>
          <w:szCs w:val="22"/>
          <w:lang w:eastAsia="en-AU"/>
        </w:rPr>
        <w:t xml:space="preserve">outlined </w:t>
      </w:r>
      <w:r w:rsidR="002840BA">
        <w:rPr>
          <w:rFonts w:cs="Arial"/>
          <w:szCs w:val="22"/>
          <w:lang w:eastAsia="en-AU"/>
        </w:rPr>
        <w:t xml:space="preserve">in </w:t>
      </w:r>
      <w:r w:rsidR="001055BA" w:rsidRPr="000B0C19">
        <w:rPr>
          <w:rFonts w:cs="Arial"/>
          <w:b/>
          <w:bCs/>
          <w:szCs w:val="22"/>
          <w:lang w:eastAsia="en-AU"/>
        </w:rPr>
        <w:t>Table</w:t>
      </w:r>
      <w:r w:rsidR="002840BA" w:rsidRPr="000B0C19">
        <w:rPr>
          <w:rFonts w:cs="Arial"/>
          <w:b/>
          <w:bCs/>
          <w:szCs w:val="22"/>
          <w:lang w:eastAsia="en-AU"/>
        </w:rPr>
        <w:t xml:space="preserve"> 1</w:t>
      </w:r>
      <w:r w:rsidR="006A7FCA">
        <w:rPr>
          <w:rFonts w:cs="Arial"/>
          <w:szCs w:val="22"/>
          <w:lang w:eastAsia="en-AU"/>
        </w:rPr>
        <w:t xml:space="preserve"> below</w:t>
      </w:r>
      <w:r w:rsidR="00835FF2">
        <w:rPr>
          <w:rFonts w:cs="Arial"/>
          <w:szCs w:val="22"/>
          <w:lang w:eastAsia="en-AU"/>
        </w:rPr>
        <w:t>.</w:t>
      </w:r>
      <w:r w:rsidR="001055BA">
        <w:rPr>
          <w:rFonts w:cs="Arial"/>
          <w:szCs w:val="22"/>
          <w:lang w:eastAsia="en-AU"/>
        </w:rPr>
        <w:t xml:space="preserve">  </w:t>
      </w:r>
    </w:p>
    <w:p w14:paraId="15400698" w14:textId="77777777" w:rsidR="000B0C19" w:rsidRDefault="009867B0" w:rsidP="000B0C19">
      <w:pPr>
        <w:pStyle w:val="Paragraphtext"/>
        <w:spacing w:line="276" w:lineRule="auto"/>
        <w:ind w:left="-567"/>
        <w:rPr>
          <w:rFonts w:eastAsiaTheme="minorHAnsi" w:cs="Arial"/>
          <w:b/>
          <w:bCs/>
          <w:sz w:val="22"/>
          <w:szCs w:val="22"/>
        </w:rPr>
      </w:pPr>
      <w:r>
        <w:rPr>
          <w:rFonts w:eastAsiaTheme="minorHAnsi" w:cs="Arial"/>
          <w:b/>
          <w:bCs/>
          <w:sz w:val="22"/>
          <w:szCs w:val="22"/>
        </w:rPr>
        <w:t xml:space="preserve">Table </w:t>
      </w:r>
      <w:r w:rsidR="004B50C0" w:rsidRPr="00832133">
        <w:rPr>
          <w:rFonts w:eastAsiaTheme="minorHAnsi" w:cs="Arial"/>
          <w:b/>
          <w:bCs/>
          <w:sz w:val="22"/>
          <w:szCs w:val="22"/>
        </w:rPr>
        <w:t xml:space="preserve">1:  </w:t>
      </w:r>
      <w:r w:rsidR="006A7FCA">
        <w:rPr>
          <w:rFonts w:eastAsiaTheme="minorHAnsi" w:cs="Arial"/>
          <w:b/>
          <w:bCs/>
          <w:sz w:val="22"/>
          <w:szCs w:val="22"/>
        </w:rPr>
        <w:t xml:space="preserve">Department’s initial response to </w:t>
      </w:r>
      <w:r w:rsidR="00C0415A">
        <w:rPr>
          <w:rFonts w:eastAsiaTheme="minorHAnsi" w:cs="Arial"/>
          <w:b/>
          <w:bCs/>
          <w:sz w:val="22"/>
          <w:szCs w:val="22"/>
        </w:rPr>
        <w:t>PwC’s</w:t>
      </w:r>
      <w:r w:rsidR="006A7FCA">
        <w:rPr>
          <w:rFonts w:eastAsiaTheme="minorHAnsi" w:cs="Arial"/>
          <w:b/>
          <w:bCs/>
          <w:sz w:val="22"/>
          <w:szCs w:val="22"/>
        </w:rPr>
        <w:t xml:space="preserve"> report</w:t>
      </w:r>
      <w:r w:rsidR="00C0415A">
        <w:rPr>
          <w:rFonts w:eastAsiaTheme="minorHAnsi" w:cs="Arial"/>
          <w:b/>
          <w:bCs/>
          <w:sz w:val="22"/>
          <w:szCs w:val="22"/>
        </w:rPr>
        <w:t xml:space="preserve"> r</w:t>
      </w:r>
      <w:r w:rsidR="00E345E6">
        <w:rPr>
          <w:rFonts w:eastAsiaTheme="minorHAnsi" w:cs="Arial"/>
          <w:b/>
          <w:bCs/>
          <w:sz w:val="22"/>
          <w:szCs w:val="22"/>
        </w:rPr>
        <w:t>ecommendations</w:t>
      </w:r>
      <w:r w:rsidR="004B50C0" w:rsidRPr="00832133">
        <w:rPr>
          <w:rFonts w:eastAsiaTheme="minorHAnsi" w:cs="Arial"/>
          <w:b/>
          <w:bCs/>
          <w:sz w:val="22"/>
          <w:szCs w:val="22"/>
        </w:rPr>
        <w:t xml:space="preserve"> </w:t>
      </w:r>
      <w:bookmarkEnd w:id="3"/>
    </w:p>
    <w:tbl>
      <w:tblPr>
        <w:tblStyle w:val="TableGrid"/>
        <w:tblW w:w="15027" w:type="dxa"/>
        <w:tblInd w:w="-572" w:type="dxa"/>
        <w:tblLayout w:type="fixed"/>
        <w:tblLook w:val="04A0" w:firstRow="1" w:lastRow="0" w:firstColumn="1" w:lastColumn="0" w:noHBand="0" w:noVBand="1"/>
      </w:tblPr>
      <w:tblGrid>
        <w:gridCol w:w="4678"/>
        <w:gridCol w:w="1985"/>
        <w:gridCol w:w="1135"/>
        <w:gridCol w:w="7229"/>
      </w:tblGrid>
      <w:tr w:rsidR="000B0C19" w:rsidRPr="000B0C19" w14:paraId="640C5353" w14:textId="77777777" w:rsidTr="000B0C19">
        <w:trPr>
          <w:trHeight w:val="1148"/>
        </w:trPr>
        <w:tc>
          <w:tcPr>
            <w:tcW w:w="4678" w:type="dxa"/>
            <w:shd w:val="clear" w:color="auto" w:fill="A9B1D0" w:themeFill="accent1" w:themeFillTint="66"/>
          </w:tcPr>
          <w:p w14:paraId="07E89AB2" w14:textId="77777777" w:rsidR="000B0C19" w:rsidRPr="000B0C19" w:rsidRDefault="000B0C19" w:rsidP="000B0C19">
            <w:pPr>
              <w:jc w:val="center"/>
              <w:rPr>
                <w:rFonts w:cstheme="minorHAnsi"/>
                <w:b/>
                <w:bCs/>
                <w:sz w:val="20"/>
                <w:szCs w:val="20"/>
              </w:rPr>
            </w:pPr>
            <w:r w:rsidRPr="000B0C19">
              <w:rPr>
                <w:rFonts w:cstheme="minorHAnsi"/>
                <w:b/>
                <w:bCs/>
                <w:sz w:val="20"/>
                <w:szCs w:val="20"/>
              </w:rPr>
              <w:t>Recommendation</w:t>
            </w:r>
          </w:p>
        </w:tc>
        <w:tc>
          <w:tcPr>
            <w:tcW w:w="1985" w:type="dxa"/>
            <w:shd w:val="clear" w:color="auto" w:fill="A9B1D0" w:themeFill="accent1" w:themeFillTint="66"/>
          </w:tcPr>
          <w:p w14:paraId="018344A8" w14:textId="77777777" w:rsidR="000B0C19" w:rsidRPr="000B0C19" w:rsidRDefault="000B0C19" w:rsidP="000B0C19">
            <w:pPr>
              <w:jc w:val="center"/>
              <w:rPr>
                <w:rFonts w:cstheme="minorHAnsi"/>
                <w:b/>
                <w:bCs/>
                <w:sz w:val="20"/>
                <w:szCs w:val="20"/>
              </w:rPr>
            </w:pPr>
            <w:r w:rsidRPr="000B0C19">
              <w:rPr>
                <w:rFonts w:cstheme="minorHAnsi"/>
                <w:b/>
                <w:bCs/>
                <w:sz w:val="20"/>
                <w:szCs w:val="20"/>
              </w:rPr>
              <w:t>Recommendation Accepted</w:t>
            </w:r>
          </w:p>
          <w:p w14:paraId="6CEE2AD2" w14:textId="31156973" w:rsidR="000B0C19" w:rsidRPr="000B0C19" w:rsidRDefault="000B0C19" w:rsidP="000B0C19">
            <w:pPr>
              <w:jc w:val="center"/>
              <w:rPr>
                <w:rFonts w:cstheme="minorHAnsi"/>
                <w:b/>
                <w:bCs/>
                <w:sz w:val="20"/>
                <w:szCs w:val="20"/>
              </w:rPr>
            </w:pPr>
            <w:r w:rsidRPr="000B0C19">
              <w:rPr>
                <w:rFonts w:cstheme="minorHAnsi"/>
                <w:b/>
                <w:bCs/>
                <w:sz w:val="20"/>
                <w:szCs w:val="20"/>
              </w:rPr>
              <w:t>Yes / No</w:t>
            </w:r>
          </w:p>
        </w:tc>
        <w:tc>
          <w:tcPr>
            <w:tcW w:w="1135" w:type="dxa"/>
            <w:shd w:val="clear" w:color="auto" w:fill="A9B1D0" w:themeFill="accent1" w:themeFillTint="66"/>
          </w:tcPr>
          <w:p w14:paraId="07ED9D50" w14:textId="468E3630" w:rsidR="000B0C19" w:rsidRPr="000B0C19" w:rsidRDefault="000B0C19" w:rsidP="000B0C19">
            <w:pPr>
              <w:jc w:val="center"/>
              <w:rPr>
                <w:rFonts w:cstheme="minorHAnsi"/>
                <w:b/>
                <w:bCs/>
                <w:sz w:val="20"/>
                <w:szCs w:val="20"/>
              </w:rPr>
            </w:pPr>
            <w:r w:rsidRPr="000B0C19">
              <w:rPr>
                <w:rFonts w:cstheme="minorHAnsi"/>
                <w:b/>
                <w:bCs/>
                <w:sz w:val="20"/>
                <w:szCs w:val="20"/>
              </w:rPr>
              <w:t>Dept Ownership area</w:t>
            </w:r>
          </w:p>
        </w:tc>
        <w:tc>
          <w:tcPr>
            <w:tcW w:w="7229" w:type="dxa"/>
            <w:shd w:val="clear" w:color="auto" w:fill="A9B1D0" w:themeFill="accent1" w:themeFillTint="66"/>
          </w:tcPr>
          <w:p w14:paraId="41B8A7DB" w14:textId="77777777" w:rsidR="000B0C19" w:rsidRPr="000B0C19" w:rsidRDefault="000B0C19" w:rsidP="000B0C19">
            <w:pPr>
              <w:jc w:val="center"/>
              <w:rPr>
                <w:rFonts w:cstheme="minorHAnsi"/>
                <w:b/>
                <w:bCs/>
                <w:sz w:val="20"/>
                <w:szCs w:val="20"/>
              </w:rPr>
            </w:pPr>
            <w:r w:rsidRPr="000B0C19">
              <w:rPr>
                <w:rFonts w:cstheme="minorHAnsi"/>
                <w:b/>
                <w:bCs/>
                <w:sz w:val="20"/>
                <w:szCs w:val="20"/>
              </w:rPr>
              <w:t>Next Steps</w:t>
            </w:r>
          </w:p>
        </w:tc>
      </w:tr>
      <w:tr w:rsidR="000B0C19" w:rsidRPr="000B0C19" w14:paraId="3F485CF0" w14:textId="77777777" w:rsidTr="000B0C19">
        <w:tc>
          <w:tcPr>
            <w:tcW w:w="4678" w:type="dxa"/>
          </w:tcPr>
          <w:p w14:paraId="4A20BB71" w14:textId="1CCB3E69" w:rsidR="000B0C19" w:rsidRPr="000B0C19" w:rsidRDefault="000B0C19" w:rsidP="000B0C19">
            <w:pPr>
              <w:spacing w:before="0"/>
              <w:ind w:left="323" w:hanging="323"/>
              <w:rPr>
                <w:rFonts w:cstheme="minorHAnsi"/>
                <w:sz w:val="20"/>
                <w:szCs w:val="20"/>
              </w:rPr>
            </w:pPr>
            <w:r w:rsidRPr="000B0C19">
              <w:rPr>
                <w:rFonts w:cstheme="minorHAnsi"/>
                <w:b/>
                <w:bCs/>
                <w:sz w:val="20"/>
                <w:szCs w:val="20"/>
              </w:rPr>
              <w:t>1.</w:t>
            </w:r>
            <w:r w:rsidRPr="000B0C19">
              <w:rPr>
                <w:rFonts w:cstheme="minorHAnsi"/>
                <w:b/>
                <w:bCs/>
                <w:sz w:val="20"/>
                <w:szCs w:val="20"/>
              </w:rPr>
              <w:tab/>
            </w:r>
            <w:r w:rsidRPr="000B0C19">
              <w:rPr>
                <w:rFonts w:cstheme="minorHAnsi"/>
                <w:sz w:val="20"/>
                <w:szCs w:val="20"/>
              </w:rPr>
              <w:t>that the Department offer stakeholders the opportunity to provide feedback on the proposed definition for Part B products</w:t>
            </w:r>
            <w:r>
              <w:rPr>
                <w:rFonts w:cstheme="minorHAnsi"/>
                <w:sz w:val="20"/>
                <w:szCs w:val="20"/>
              </w:rPr>
              <w:t>.</w:t>
            </w:r>
          </w:p>
        </w:tc>
        <w:tc>
          <w:tcPr>
            <w:tcW w:w="1985" w:type="dxa"/>
          </w:tcPr>
          <w:p w14:paraId="64C3C347" w14:textId="77777777" w:rsidR="000B0C19" w:rsidRPr="000B0C19" w:rsidRDefault="000B0C19" w:rsidP="000B0C19">
            <w:pPr>
              <w:jc w:val="center"/>
              <w:rPr>
                <w:rFonts w:cstheme="minorHAnsi"/>
                <w:sz w:val="20"/>
                <w:szCs w:val="20"/>
              </w:rPr>
            </w:pPr>
          </w:p>
          <w:p w14:paraId="452763D8" w14:textId="77777777" w:rsidR="000B0C19" w:rsidRPr="000B0C19" w:rsidRDefault="000B0C19" w:rsidP="000B0C19">
            <w:pPr>
              <w:jc w:val="center"/>
              <w:rPr>
                <w:rFonts w:cstheme="minorHAnsi"/>
                <w:sz w:val="20"/>
                <w:szCs w:val="20"/>
              </w:rPr>
            </w:pPr>
            <w:r w:rsidRPr="000B0C19">
              <w:rPr>
                <w:rFonts w:cstheme="minorHAnsi"/>
                <w:sz w:val="20"/>
                <w:szCs w:val="20"/>
              </w:rPr>
              <w:t>Yes</w:t>
            </w:r>
          </w:p>
        </w:tc>
        <w:tc>
          <w:tcPr>
            <w:tcW w:w="1135" w:type="dxa"/>
          </w:tcPr>
          <w:p w14:paraId="132E2246" w14:textId="77777777" w:rsidR="000B0C19" w:rsidRPr="000B0C19" w:rsidRDefault="000B0C19" w:rsidP="000B0C19">
            <w:pPr>
              <w:jc w:val="center"/>
              <w:rPr>
                <w:rFonts w:cstheme="minorHAnsi"/>
                <w:sz w:val="20"/>
                <w:szCs w:val="20"/>
              </w:rPr>
            </w:pPr>
          </w:p>
          <w:p w14:paraId="6BE591DF" w14:textId="77777777" w:rsidR="000B0C19" w:rsidRPr="000B0C19" w:rsidRDefault="000B0C19" w:rsidP="000B0C19">
            <w:pPr>
              <w:jc w:val="center"/>
              <w:rPr>
                <w:rFonts w:cstheme="minorHAnsi"/>
                <w:sz w:val="20"/>
                <w:szCs w:val="20"/>
              </w:rPr>
            </w:pPr>
            <w:r w:rsidRPr="000B0C19">
              <w:rPr>
                <w:rFonts w:cstheme="minorHAnsi"/>
                <w:sz w:val="20"/>
                <w:szCs w:val="20"/>
              </w:rPr>
              <w:t>PLRT</w:t>
            </w:r>
            <w:r w:rsidRPr="000B0C19">
              <w:rPr>
                <w:rFonts w:cstheme="minorHAnsi"/>
                <w:sz w:val="20"/>
                <w:szCs w:val="20"/>
                <w:vertAlign w:val="superscript"/>
              </w:rPr>
              <w:t>+</w:t>
            </w:r>
          </w:p>
        </w:tc>
        <w:tc>
          <w:tcPr>
            <w:tcW w:w="7229" w:type="dxa"/>
          </w:tcPr>
          <w:p w14:paraId="611A0BED" w14:textId="53C770BB"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is reviewing the proposed Part B definition and is seeking feedback from the sector, via a survey on the Department’s Consultation Hub</w:t>
            </w:r>
            <w:r>
              <w:rPr>
                <w:rFonts w:cstheme="minorHAnsi"/>
                <w:sz w:val="20"/>
                <w:szCs w:val="20"/>
              </w:rPr>
              <w:t>.</w:t>
            </w:r>
          </w:p>
        </w:tc>
      </w:tr>
      <w:tr w:rsidR="000B0C19" w:rsidRPr="000B0C19" w14:paraId="37DF5D70" w14:textId="77777777" w:rsidTr="000B0C19">
        <w:tc>
          <w:tcPr>
            <w:tcW w:w="4678" w:type="dxa"/>
          </w:tcPr>
          <w:p w14:paraId="7952B54F" w14:textId="3C260D39" w:rsidR="000B0C19" w:rsidRPr="000B0C19" w:rsidRDefault="000B0C19" w:rsidP="000B0C19">
            <w:pPr>
              <w:spacing w:before="0"/>
              <w:ind w:left="323" w:hanging="323"/>
              <w:rPr>
                <w:rFonts w:cstheme="minorHAnsi"/>
                <w:sz w:val="20"/>
                <w:szCs w:val="20"/>
              </w:rPr>
            </w:pPr>
            <w:r w:rsidRPr="000B0C19">
              <w:rPr>
                <w:rFonts w:cstheme="minorHAnsi"/>
                <w:b/>
                <w:bCs/>
                <w:sz w:val="20"/>
                <w:szCs w:val="20"/>
              </w:rPr>
              <w:t>2.</w:t>
            </w:r>
            <w:r w:rsidRPr="000B0C19">
              <w:rPr>
                <w:rFonts w:cstheme="minorHAnsi"/>
                <w:b/>
                <w:bCs/>
                <w:sz w:val="20"/>
                <w:szCs w:val="20"/>
              </w:rPr>
              <w:tab/>
            </w:r>
            <w:r w:rsidRPr="000B0C19">
              <w:rPr>
                <w:rFonts w:cstheme="minorHAnsi"/>
                <w:sz w:val="20"/>
                <w:szCs w:val="20"/>
              </w:rPr>
              <w:t>that the Department consider whether the exemption from fees associated with Part B of the PL be restricted to Sponsors of Class 2 biologicals or Sponsors who are registered as a not-for-profit entity with the Australian Taxation Office</w:t>
            </w:r>
            <w:r>
              <w:rPr>
                <w:rFonts w:cstheme="minorHAnsi"/>
                <w:sz w:val="20"/>
                <w:szCs w:val="20"/>
              </w:rPr>
              <w:t>.</w:t>
            </w:r>
          </w:p>
        </w:tc>
        <w:tc>
          <w:tcPr>
            <w:tcW w:w="1985" w:type="dxa"/>
          </w:tcPr>
          <w:p w14:paraId="75028C49" w14:textId="77777777" w:rsidR="000B0C19" w:rsidRPr="000B0C19" w:rsidRDefault="000B0C19" w:rsidP="000B0C19">
            <w:pPr>
              <w:jc w:val="center"/>
              <w:rPr>
                <w:rFonts w:cstheme="minorHAnsi"/>
                <w:sz w:val="20"/>
                <w:szCs w:val="20"/>
              </w:rPr>
            </w:pPr>
          </w:p>
          <w:p w14:paraId="7DCCBEA2" w14:textId="77777777" w:rsidR="000B0C19" w:rsidRPr="000B0C19" w:rsidRDefault="000B0C19" w:rsidP="000B0C19">
            <w:pPr>
              <w:jc w:val="center"/>
              <w:rPr>
                <w:rFonts w:cstheme="minorHAnsi"/>
                <w:sz w:val="20"/>
                <w:szCs w:val="20"/>
              </w:rPr>
            </w:pPr>
            <w:r w:rsidRPr="000B0C19">
              <w:rPr>
                <w:rFonts w:cstheme="minorHAnsi"/>
                <w:sz w:val="20"/>
                <w:szCs w:val="20"/>
              </w:rPr>
              <w:t>TBD</w:t>
            </w:r>
          </w:p>
        </w:tc>
        <w:tc>
          <w:tcPr>
            <w:tcW w:w="1135" w:type="dxa"/>
          </w:tcPr>
          <w:p w14:paraId="32BA3F45" w14:textId="77777777" w:rsidR="000B0C19" w:rsidRPr="000B0C19" w:rsidRDefault="000B0C19" w:rsidP="000B0C19">
            <w:pPr>
              <w:jc w:val="center"/>
              <w:rPr>
                <w:rFonts w:cstheme="minorHAnsi"/>
                <w:sz w:val="20"/>
                <w:szCs w:val="20"/>
              </w:rPr>
            </w:pPr>
          </w:p>
          <w:p w14:paraId="2E19FBA1" w14:textId="77777777" w:rsidR="000B0C19" w:rsidRPr="000B0C19" w:rsidRDefault="000B0C19" w:rsidP="000B0C19">
            <w:pPr>
              <w:jc w:val="center"/>
              <w:rPr>
                <w:rFonts w:cstheme="minorHAnsi"/>
                <w:sz w:val="20"/>
                <w:szCs w:val="20"/>
              </w:rPr>
            </w:pPr>
            <w:r w:rsidRPr="000B0C19">
              <w:rPr>
                <w:rFonts w:cstheme="minorHAnsi"/>
                <w:sz w:val="20"/>
                <w:szCs w:val="20"/>
              </w:rPr>
              <w:t>PLRT</w:t>
            </w:r>
          </w:p>
        </w:tc>
        <w:tc>
          <w:tcPr>
            <w:tcW w:w="7229" w:type="dxa"/>
          </w:tcPr>
          <w:p w14:paraId="35D726DB" w14:textId="22A32B3A"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will consult internally with relevant areas, including cost recovery and legal branch, to ascertain if/how this recommendation can be implemented, including any subsequent improvements identified as part of this consultation process</w:t>
            </w:r>
            <w:r>
              <w:rPr>
                <w:rFonts w:cstheme="minorHAnsi"/>
                <w:sz w:val="20"/>
                <w:szCs w:val="20"/>
              </w:rPr>
              <w:t>.</w:t>
            </w:r>
          </w:p>
          <w:p w14:paraId="19FA7175" w14:textId="253CA56E"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will identify a proposed way forward and undertake targeted consultation with key stakeholders prior to implementation</w:t>
            </w:r>
            <w:r>
              <w:rPr>
                <w:rFonts w:cstheme="minorHAnsi"/>
                <w:sz w:val="20"/>
                <w:szCs w:val="20"/>
              </w:rPr>
              <w:t>.</w:t>
            </w:r>
          </w:p>
        </w:tc>
      </w:tr>
      <w:tr w:rsidR="000B0C19" w:rsidRPr="000B0C19" w14:paraId="48F965E6" w14:textId="77777777" w:rsidTr="000B0C19">
        <w:tc>
          <w:tcPr>
            <w:tcW w:w="4678" w:type="dxa"/>
          </w:tcPr>
          <w:p w14:paraId="0F10538E" w14:textId="1AD61DB3" w:rsidR="000B0C19" w:rsidRPr="000B0C19" w:rsidRDefault="000B0C19" w:rsidP="000B0C19">
            <w:pPr>
              <w:spacing w:before="0"/>
              <w:ind w:left="323" w:hanging="323"/>
              <w:rPr>
                <w:rFonts w:cstheme="minorHAnsi"/>
                <w:sz w:val="20"/>
                <w:szCs w:val="20"/>
              </w:rPr>
            </w:pPr>
            <w:r w:rsidRPr="000B0C19">
              <w:rPr>
                <w:rFonts w:cstheme="minorHAnsi"/>
                <w:b/>
                <w:bCs/>
                <w:sz w:val="20"/>
                <w:szCs w:val="20"/>
              </w:rPr>
              <w:t>3.</w:t>
            </w:r>
            <w:r w:rsidRPr="000B0C19">
              <w:rPr>
                <w:rFonts w:cstheme="minorHAnsi"/>
                <w:sz w:val="20"/>
                <w:szCs w:val="20"/>
              </w:rPr>
              <w:t xml:space="preserve"> </w:t>
            </w:r>
            <w:r w:rsidRPr="000B0C19">
              <w:rPr>
                <w:rFonts w:cstheme="minorHAnsi"/>
                <w:sz w:val="20"/>
                <w:szCs w:val="20"/>
              </w:rPr>
              <w:tab/>
              <w:t>that the Department update and refine the groupings proposed by hereco, incorporating the stakeholder feedback contained in Table 1 and Table 2</w:t>
            </w:r>
            <w:r>
              <w:rPr>
                <w:rFonts w:cstheme="minorHAnsi"/>
                <w:sz w:val="20"/>
                <w:szCs w:val="20"/>
              </w:rPr>
              <w:t>.</w:t>
            </w:r>
          </w:p>
          <w:p w14:paraId="0062151A" w14:textId="77777777" w:rsidR="000B0C19" w:rsidRPr="000B0C19" w:rsidRDefault="000B0C19" w:rsidP="000B0C19">
            <w:pPr>
              <w:rPr>
                <w:rFonts w:cstheme="minorHAnsi"/>
                <w:sz w:val="20"/>
                <w:szCs w:val="20"/>
              </w:rPr>
            </w:pPr>
          </w:p>
        </w:tc>
        <w:tc>
          <w:tcPr>
            <w:tcW w:w="1985" w:type="dxa"/>
          </w:tcPr>
          <w:p w14:paraId="4DD047DB" w14:textId="77777777" w:rsidR="000B0C19" w:rsidRPr="000B0C19" w:rsidRDefault="000B0C19" w:rsidP="000B0C19">
            <w:pPr>
              <w:jc w:val="center"/>
              <w:rPr>
                <w:rFonts w:cstheme="minorHAnsi"/>
                <w:sz w:val="20"/>
                <w:szCs w:val="20"/>
              </w:rPr>
            </w:pPr>
          </w:p>
          <w:p w14:paraId="4A618C5A" w14:textId="77777777" w:rsidR="000B0C19" w:rsidRPr="000B0C19" w:rsidRDefault="000B0C19" w:rsidP="000B0C19">
            <w:pPr>
              <w:jc w:val="center"/>
              <w:rPr>
                <w:rFonts w:cstheme="minorHAnsi"/>
                <w:sz w:val="20"/>
                <w:szCs w:val="20"/>
              </w:rPr>
            </w:pPr>
            <w:r w:rsidRPr="000B0C19">
              <w:rPr>
                <w:rFonts w:cstheme="minorHAnsi"/>
                <w:sz w:val="20"/>
                <w:szCs w:val="20"/>
              </w:rPr>
              <w:t>Yes</w:t>
            </w:r>
          </w:p>
        </w:tc>
        <w:tc>
          <w:tcPr>
            <w:tcW w:w="1135" w:type="dxa"/>
          </w:tcPr>
          <w:p w14:paraId="1B524139" w14:textId="77777777" w:rsidR="000B0C19" w:rsidRPr="000B0C19" w:rsidRDefault="000B0C19" w:rsidP="000B0C19">
            <w:pPr>
              <w:jc w:val="center"/>
              <w:rPr>
                <w:rFonts w:cstheme="minorHAnsi"/>
                <w:sz w:val="20"/>
                <w:szCs w:val="20"/>
              </w:rPr>
            </w:pPr>
          </w:p>
          <w:p w14:paraId="3D9CEA18" w14:textId="77777777" w:rsidR="000B0C19" w:rsidRPr="000B0C19" w:rsidRDefault="000B0C19" w:rsidP="000B0C19">
            <w:pPr>
              <w:jc w:val="center"/>
              <w:rPr>
                <w:rFonts w:cstheme="minorHAnsi"/>
                <w:sz w:val="20"/>
                <w:szCs w:val="20"/>
              </w:rPr>
            </w:pPr>
            <w:r w:rsidRPr="000B0C19">
              <w:rPr>
                <w:rFonts w:cstheme="minorHAnsi"/>
                <w:sz w:val="20"/>
                <w:szCs w:val="20"/>
              </w:rPr>
              <w:t xml:space="preserve">PLRT </w:t>
            </w:r>
          </w:p>
        </w:tc>
        <w:tc>
          <w:tcPr>
            <w:tcW w:w="7229" w:type="dxa"/>
          </w:tcPr>
          <w:p w14:paraId="47CD7203" w14:textId="68BE27BC"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is updating the PL for the Part B structure as part of this consultation process and has incorporated stakeholder feedback as detailed in Tables 1 and 2 of the PwC report (pgs. 9&amp;10)</w:t>
            </w:r>
            <w:r>
              <w:rPr>
                <w:rFonts w:cstheme="minorHAnsi"/>
                <w:sz w:val="20"/>
                <w:szCs w:val="20"/>
              </w:rPr>
              <w:t>.</w:t>
            </w:r>
          </w:p>
          <w:p w14:paraId="2F9BA805" w14:textId="62074511"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is seeking feedback from the sector, via a survey on the Department’s Consultation Hub, prior to finalising the regrouping structure</w:t>
            </w:r>
            <w:r>
              <w:rPr>
                <w:rFonts w:cstheme="minorHAnsi"/>
                <w:sz w:val="20"/>
                <w:szCs w:val="20"/>
              </w:rPr>
              <w:t>.</w:t>
            </w:r>
          </w:p>
          <w:p w14:paraId="15FA9380" w14:textId="4BF17AFC"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Once stakeholder feedback has been reviewed, the PLRT will finalise the proposed Part B structure and distribute via a PHI Circular</w:t>
            </w:r>
            <w:r>
              <w:rPr>
                <w:rFonts w:cstheme="minorHAnsi"/>
                <w:sz w:val="20"/>
                <w:szCs w:val="20"/>
              </w:rPr>
              <w:t>.</w:t>
            </w:r>
          </w:p>
        </w:tc>
      </w:tr>
      <w:tr w:rsidR="000B0C19" w:rsidRPr="000B0C19" w14:paraId="39FF6E1F" w14:textId="77777777" w:rsidTr="000B0C19">
        <w:tc>
          <w:tcPr>
            <w:tcW w:w="4678" w:type="dxa"/>
          </w:tcPr>
          <w:p w14:paraId="22C70A13" w14:textId="77777777" w:rsidR="000B0C19" w:rsidRPr="000B0C19" w:rsidRDefault="000B0C19" w:rsidP="000B0C19">
            <w:pPr>
              <w:spacing w:before="0"/>
              <w:ind w:left="323" w:hanging="323"/>
              <w:rPr>
                <w:rFonts w:cstheme="minorHAnsi"/>
                <w:sz w:val="20"/>
                <w:szCs w:val="20"/>
              </w:rPr>
            </w:pPr>
            <w:r w:rsidRPr="000B0C19">
              <w:rPr>
                <w:rFonts w:cstheme="minorHAnsi"/>
                <w:b/>
                <w:bCs/>
                <w:sz w:val="20"/>
                <w:szCs w:val="20"/>
              </w:rPr>
              <w:t>4</w:t>
            </w:r>
            <w:r w:rsidRPr="000B0C19">
              <w:rPr>
                <w:rFonts w:cstheme="minorHAnsi"/>
                <w:sz w:val="20"/>
                <w:szCs w:val="20"/>
              </w:rPr>
              <w:t>.</w:t>
            </w:r>
            <w:r w:rsidRPr="000B0C19">
              <w:rPr>
                <w:rFonts w:cstheme="minorHAnsi"/>
                <w:sz w:val="20"/>
                <w:szCs w:val="20"/>
              </w:rPr>
              <w:tab/>
              <w:t>that the Department establish a regular review process of the Part B groupings</w:t>
            </w:r>
          </w:p>
          <w:p w14:paraId="48DA5112" w14:textId="77777777" w:rsidR="000B0C19" w:rsidRPr="000B0C19" w:rsidRDefault="000B0C19" w:rsidP="000B0C19">
            <w:pPr>
              <w:rPr>
                <w:rFonts w:cstheme="minorHAnsi"/>
                <w:sz w:val="20"/>
                <w:szCs w:val="20"/>
              </w:rPr>
            </w:pPr>
          </w:p>
        </w:tc>
        <w:tc>
          <w:tcPr>
            <w:tcW w:w="1985" w:type="dxa"/>
          </w:tcPr>
          <w:p w14:paraId="7A64F507" w14:textId="77777777" w:rsidR="000B0C19" w:rsidRPr="000B0C19" w:rsidRDefault="000B0C19" w:rsidP="000B0C19">
            <w:pPr>
              <w:jc w:val="center"/>
              <w:rPr>
                <w:rFonts w:cstheme="minorHAnsi"/>
                <w:sz w:val="20"/>
                <w:szCs w:val="20"/>
              </w:rPr>
            </w:pPr>
          </w:p>
          <w:p w14:paraId="0E19176A" w14:textId="77777777" w:rsidR="000B0C19" w:rsidRPr="000B0C19" w:rsidRDefault="000B0C19" w:rsidP="000B0C19">
            <w:pPr>
              <w:jc w:val="center"/>
              <w:rPr>
                <w:rFonts w:cstheme="minorHAnsi"/>
                <w:sz w:val="20"/>
                <w:szCs w:val="20"/>
              </w:rPr>
            </w:pPr>
            <w:r w:rsidRPr="000B0C19">
              <w:rPr>
                <w:rFonts w:cstheme="minorHAnsi"/>
                <w:sz w:val="20"/>
                <w:szCs w:val="20"/>
              </w:rPr>
              <w:t>Yes</w:t>
            </w:r>
          </w:p>
        </w:tc>
        <w:tc>
          <w:tcPr>
            <w:tcW w:w="1135" w:type="dxa"/>
          </w:tcPr>
          <w:p w14:paraId="73A3F95F" w14:textId="77777777" w:rsidR="000B0C19" w:rsidRPr="000B0C19" w:rsidRDefault="000B0C19" w:rsidP="000B0C19">
            <w:pPr>
              <w:jc w:val="center"/>
              <w:rPr>
                <w:rFonts w:cstheme="minorHAnsi"/>
                <w:sz w:val="20"/>
                <w:szCs w:val="20"/>
              </w:rPr>
            </w:pPr>
          </w:p>
          <w:p w14:paraId="74A2B6BB" w14:textId="77777777" w:rsidR="000B0C19" w:rsidRPr="000B0C19" w:rsidRDefault="000B0C19" w:rsidP="000B0C19">
            <w:pPr>
              <w:jc w:val="center"/>
              <w:rPr>
                <w:rFonts w:cstheme="minorHAnsi"/>
                <w:sz w:val="20"/>
                <w:szCs w:val="20"/>
              </w:rPr>
            </w:pPr>
            <w:r w:rsidRPr="000B0C19">
              <w:rPr>
                <w:rFonts w:cstheme="minorHAnsi"/>
                <w:sz w:val="20"/>
                <w:szCs w:val="20"/>
              </w:rPr>
              <w:t>PLRT</w:t>
            </w:r>
          </w:p>
        </w:tc>
        <w:tc>
          <w:tcPr>
            <w:tcW w:w="7229" w:type="dxa"/>
          </w:tcPr>
          <w:p w14:paraId="214922A4" w14:textId="0A07FF46"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will consult internally with relevant areas to determine next steps and implementation timeframes once a new grouping structure has been finalised</w:t>
            </w:r>
            <w:r>
              <w:rPr>
                <w:rFonts w:cstheme="minorHAnsi"/>
                <w:sz w:val="20"/>
                <w:szCs w:val="20"/>
              </w:rPr>
              <w:t>.</w:t>
            </w:r>
          </w:p>
          <w:p w14:paraId="7F8F5D68" w14:textId="6FD8DF38" w:rsidR="000B0C19" w:rsidRPr="000B0C19" w:rsidRDefault="000B0C19" w:rsidP="000B0C19">
            <w:pPr>
              <w:pStyle w:val="ListParagraph"/>
              <w:numPr>
                <w:ilvl w:val="0"/>
                <w:numId w:val="26"/>
              </w:numPr>
              <w:spacing w:before="0" w:after="0" w:line="240" w:lineRule="auto"/>
              <w:ind w:left="175" w:hanging="175"/>
              <w:rPr>
                <w:rFonts w:cstheme="minorHAnsi"/>
                <w:sz w:val="20"/>
                <w:szCs w:val="20"/>
              </w:rPr>
            </w:pPr>
            <w:r w:rsidRPr="000B0C19">
              <w:rPr>
                <w:rFonts w:cstheme="minorHAnsi"/>
                <w:sz w:val="20"/>
                <w:szCs w:val="20"/>
              </w:rPr>
              <w:t>PLRT will seek feedback from the sector prior to finalising the proposed review process for Part B products</w:t>
            </w:r>
            <w:r>
              <w:rPr>
                <w:rFonts w:cstheme="minorHAnsi"/>
                <w:sz w:val="20"/>
                <w:szCs w:val="20"/>
              </w:rPr>
              <w:t>.</w:t>
            </w:r>
          </w:p>
        </w:tc>
      </w:tr>
      <w:tr w:rsidR="000B0C19" w:rsidRPr="00423901" w14:paraId="776D31D0" w14:textId="77777777" w:rsidTr="000B0C19">
        <w:tc>
          <w:tcPr>
            <w:tcW w:w="4678" w:type="dxa"/>
          </w:tcPr>
          <w:p w14:paraId="360C9A85" w14:textId="6534CDB1" w:rsidR="000B0C19" w:rsidRPr="00423901" w:rsidRDefault="000B0C19" w:rsidP="000B0C19">
            <w:pPr>
              <w:spacing w:before="0" w:after="0"/>
              <w:ind w:left="323" w:hanging="323"/>
              <w:rPr>
                <w:rFonts w:cstheme="minorHAnsi"/>
                <w:sz w:val="20"/>
                <w:szCs w:val="20"/>
              </w:rPr>
            </w:pPr>
            <w:r w:rsidRPr="00423901">
              <w:rPr>
                <w:rFonts w:cstheme="minorHAnsi"/>
                <w:b/>
                <w:bCs/>
                <w:sz w:val="20"/>
                <w:szCs w:val="20"/>
              </w:rPr>
              <w:t>5.</w:t>
            </w:r>
            <w:r w:rsidRPr="00423901">
              <w:rPr>
                <w:rFonts w:cstheme="minorHAnsi"/>
                <w:b/>
                <w:bCs/>
                <w:sz w:val="20"/>
                <w:szCs w:val="20"/>
              </w:rPr>
              <w:tab/>
            </w:r>
            <w:r w:rsidRPr="00423901">
              <w:rPr>
                <w:rFonts w:cstheme="minorHAnsi"/>
                <w:sz w:val="20"/>
                <w:szCs w:val="20"/>
              </w:rPr>
              <w:t>that the Department proceed with implementing the three assessment pathways which mirror the pathways for Parts A and C of the PL</w:t>
            </w:r>
            <w:r>
              <w:rPr>
                <w:rFonts w:cstheme="minorHAnsi"/>
                <w:sz w:val="20"/>
                <w:szCs w:val="20"/>
              </w:rPr>
              <w:t>.</w:t>
            </w:r>
          </w:p>
        </w:tc>
        <w:tc>
          <w:tcPr>
            <w:tcW w:w="1985" w:type="dxa"/>
          </w:tcPr>
          <w:p w14:paraId="1C90A960" w14:textId="77777777" w:rsidR="000B0C19" w:rsidRDefault="000B0C19" w:rsidP="000B0C19">
            <w:pPr>
              <w:jc w:val="center"/>
              <w:rPr>
                <w:rFonts w:cstheme="minorHAnsi"/>
                <w:sz w:val="20"/>
                <w:szCs w:val="20"/>
              </w:rPr>
            </w:pPr>
          </w:p>
          <w:p w14:paraId="74BE7F2B" w14:textId="77777777" w:rsidR="000B0C19" w:rsidRPr="00823B88" w:rsidRDefault="000B0C19" w:rsidP="000B0C19">
            <w:pPr>
              <w:jc w:val="center"/>
              <w:rPr>
                <w:rFonts w:cstheme="minorHAnsi"/>
                <w:sz w:val="20"/>
                <w:szCs w:val="20"/>
              </w:rPr>
            </w:pPr>
            <w:r w:rsidRPr="00823B88">
              <w:rPr>
                <w:rFonts w:cstheme="minorHAnsi"/>
                <w:sz w:val="20"/>
                <w:szCs w:val="20"/>
              </w:rPr>
              <w:t>Yes</w:t>
            </w:r>
          </w:p>
        </w:tc>
        <w:tc>
          <w:tcPr>
            <w:tcW w:w="1135" w:type="dxa"/>
          </w:tcPr>
          <w:p w14:paraId="4B2196C5" w14:textId="77777777" w:rsidR="000B0C19" w:rsidRDefault="000B0C19" w:rsidP="000B0C19">
            <w:pPr>
              <w:jc w:val="center"/>
              <w:rPr>
                <w:rFonts w:cstheme="minorHAnsi"/>
                <w:sz w:val="20"/>
                <w:szCs w:val="20"/>
              </w:rPr>
            </w:pPr>
          </w:p>
          <w:p w14:paraId="62A1F109" w14:textId="77777777" w:rsidR="000B0C19" w:rsidRPr="00423901" w:rsidRDefault="000B0C19" w:rsidP="000B0C19">
            <w:pPr>
              <w:jc w:val="center"/>
              <w:rPr>
                <w:rFonts w:cstheme="minorHAnsi"/>
                <w:sz w:val="20"/>
                <w:szCs w:val="20"/>
              </w:rPr>
            </w:pPr>
            <w:r w:rsidRPr="00423901">
              <w:rPr>
                <w:rFonts w:cstheme="minorHAnsi"/>
                <w:sz w:val="20"/>
                <w:szCs w:val="20"/>
              </w:rPr>
              <w:t>PLRT</w:t>
            </w:r>
          </w:p>
        </w:tc>
        <w:tc>
          <w:tcPr>
            <w:tcW w:w="7229" w:type="dxa"/>
          </w:tcPr>
          <w:p w14:paraId="79A8CE91" w14:textId="35C3F996" w:rsidR="000B0C19" w:rsidRPr="00423901" w:rsidRDefault="000B0C19" w:rsidP="000B0C19">
            <w:pPr>
              <w:pStyle w:val="ListParagraph"/>
              <w:numPr>
                <w:ilvl w:val="0"/>
                <w:numId w:val="26"/>
              </w:numPr>
              <w:spacing w:before="0" w:after="0" w:line="240" w:lineRule="auto"/>
              <w:ind w:left="175" w:hanging="175"/>
              <w:rPr>
                <w:rFonts w:cstheme="minorHAnsi"/>
                <w:sz w:val="20"/>
                <w:szCs w:val="20"/>
              </w:rPr>
            </w:pPr>
            <w:r w:rsidRPr="00423901">
              <w:rPr>
                <w:rFonts w:cstheme="minorHAnsi"/>
                <w:sz w:val="20"/>
                <w:szCs w:val="20"/>
              </w:rPr>
              <w:t>PLRT will update the appropriate reform documents to reflect the three new pathways for Part B products</w:t>
            </w:r>
            <w:r>
              <w:rPr>
                <w:rFonts w:cstheme="minorHAnsi"/>
                <w:sz w:val="20"/>
                <w:szCs w:val="20"/>
              </w:rPr>
              <w:t>.</w:t>
            </w:r>
          </w:p>
          <w:p w14:paraId="5C098AE2" w14:textId="77777777" w:rsidR="000B0C19" w:rsidRPr="00423901" w:rsidRDefault="000B0C19" w:rsidP="000B0C19">
            <w:pPr>
              <w:pStyle w:val="ListParagraph"/>
              <w:numPr>
                <w:ilvl w:val="0"/>
                <w:numId w:val="26"/>
              </w:numPr>
              <w:spacing w:before="0" w:after="0" w:line="240" w:lineRule="auto"/>
              <w:ind w:left="175" w:hanging="175"/>
              <w:rPr>
                <w:rFonts w:cstheme="minorHAnsi"/>
                <w:sz w:val="20"/>
                <w:szCs w:val="20"/>
              </w:rPr>
            </w:pPr>
            <w:r w:rsidRPr="00423901">
              <w:rPr>
                <w:rFonts w:cstheme="minorHAnsi"/>
                <w:sz w:val="20"/>
                <w:szCs w:val="20"/>
              </w:rPr>
              <w:t>PLRT will continue to work with the Health Products Portal (HPP) transition team to reflect the new changes for Part B products</w:t>
            </w:r>
          </w:p>
          <w:p w14:paraId="302E3327" w14:textId="3A4AB3C1" w:rsidR="000B0C19" w:rsidRPr="00423901" w:rsidRDefault="000B0C19" w:rsidP="000B0C19">
            <w:pPr>
              <w:numPr>
                <w:ilvl w:val="0"/>
                <w:numId w:val="26"/>
              </w:numPr>
              <w:spacing w:before="0" w:after="0" w:line="240" w:lineRule="auto"/>
              <w:ind w:left="175" w:hanging="175"/>
              <w:rPr>
                <w:rFonts w:cstheme="minorHAnsi"/>
                <w:sz w:val="20"/>
                <w:szCs w:val="20"/>
              </w:rPr>
            </w:pPr>
            <w:r w:rsidRPr="00423901">
              <w:rPr>
                <w:rFonts w:cstheme="minorHAnsi"/>
                <w:sz w:val="20"/>
                <w:szCs w:val="20"/>
              </w:rPr>
              <w:t xml:space="preserve">PLRT will </w:t>
            </w:r>
            <w:r>
              <w:rPr>
                <w:rFonts w:cstheme="minorHAnsi"/>
                <w:sz w:val="20"/>
                <w:szCs w:val="20"/>
              </w:rPr>
              <w:t>continue to engage with</w:t>
            </w:r>
            <w:r w:rsidRPr="00423901">
              <w:rPr>
                <w:rFonts w:cstheme="minorHAnsi"/>
                <w:sz w:val="20"/>
                <w:szCs w:val="20"/>
              </w:rPr>
              <w:t xml:space="preserve"> the sector prior to implementing the three assessment pathways for Part B products</w:t>
            </w:r>
            <w:r>
              <w:rPr>
                <w:rFonts w:cstheme="minorHAnsi"/>
                <w:sz w:val="20"/>
                <w:szCs w:val="20"/>
              </w:rPr>
              <w:t>.</w:t>
            </w:r>
          </w:p>
        </w:tc>
      </w:tr>
      <w:tr w:rsidR="000B0C19" w:rsidRPr="00423901" w14:paraId="33618CAC" w14:textId="77777777" w:rsidTr="000B0C19">
        <w:tc>
          <w:tcPr>
            <w:tcW w:w="4678" w:type="dxa"/>
          </w:tcPr>
          <w:p w14:paraId="331CDFD1" w14:textId="1E2257DE" w:rsidR="000B0C19" w:rsidRPr="00423901" w:rsidRDefault="000B0C19" w:rsidP="000B0C19">
            <w:pPr>
              <w:spacing w:before="0"/>
              <w:ind w:left="323" w:hanging="323"/>
              <w:rPr>
                <w:rFonts w:cstheme="minorHAnsi"/>
                <w:sz w:val="20"/>
                <w:szCs w:val="20"/>
              </w:rPr>
            </w:pPr>
            <w:r w:rsidRPr="00423901">
              <w:rPr>
                <w:rFonts w:cstheme="minorHAnsi"/>
                <w:b/>
                <w:bCs/>
                <w:sz w:val="20"/>
                <w:szCs w:val="20"/>
              </w:rPr>
              <w:lastRenderedPageBreak/>
              <w:t>6.</w:t>
            </w:r>
            <w:r w:rsidRPr="00423901">
              <w:rPr>
                <w:rFonts w:cstheme="minorHAnsi"/>
                <w:b/>
                <w:bCs/>
                <w:sz w:val="20"/>
                <w:szCs w:val="20"/>
              </w:rPr>
              <w:tab/>
            </w:r>
            <w:r w:rsidRPr="00423901">
              <w:rPr>
                <w:rFonts w:cstheme="minorHAnsi"/>
                <w:sz w:val="20"/>
                <w:szCs w:val="20"/>
              </w:rPr>
              <w:t>that the Department provide additional support and guidance for Sponsors of Class 2 biologicals to navigate HTA pathways</w:t>
            </w:r>
            <w:r>
              <w:rPr>
                <w:rFonts w:cstheme="minorHAnsi"/>
                <w:sz w:val="20"/>
                <w:szCs w:val="20"/>
              </w:rPr>
              <w:t>.</w:t>
            </w:r>
          </w:p>
        </w:tc>
        <w:tc>
          <w:tcPr>
            <w:tcW w:w="1985" w:type="dxa"/>
          </w:tcPr>
          <w:p w14:paraId="75C31416" w14:textId="77777777" w:rsidR="000B0C19" w:rsidRDefault="000B0C19" w:rsidP="000B0C19">
            <w:pPr>
              <w:jc w:val="center"/>
              <w:rPr>
                <w:rFonts w:cstheme="minorHAnsi"/>
                <w:sz w:val="20"/>
                <w:szCs w:val="20"/>
              </w:rPr>
            </w:pPr>
          </w:p>
          <w:p w14:paraId="57E694EA" w14:textId="77777777" w:rsidR="000B0C19" w:rsidRPr="00823B88" w:rsidRDefault="000B0C19" w:rsidP="000B0C19">
            <w:pPr>
              <w:jc w:val="center"/>
              <w:rPr>
                <w:rFonts w:cstheme="minorHAnsi"/>
                <w:sz w:val="20"/>
                <w:szCs w:val="20"/>
              </w:rPr>
            </w:pPr>
            <w:r w:rsidRPr="00823B88">
              <w:rPr>
                <w:rFonts w:cstheme="minorHAnsi"/>
                <w:sz w:val="20"/>
                <w:szCs w:val="20"/>
              </w:rPr>
              <w:t>Yes</w:t>
            </w:r>
          </w:p>
        </w:tc>
        <w:tc>
          <w:tcPr>
            <w:tcW w:w="1135" w:type="dxa"/>
          </w:tcPr>
          <w:p w14:paraId="43EBB7D7" w14:textId="77777777" w:rsidR="000B0C19" w:rsidRDefault="000B0C19" w:rsidP="000B0C19">
            <w:pPr>
              <w:jc w:val="center"/>
              <w:rPr>
                <w:rFonts w:cstheme="minorHAnsi"/>
                <w:sz w:val="20"/>
                <w:szCs w:val="20"/>
              </w:rPr>
            </w:pPr>
          </w:p>
          <w:p w14:paraId="44F87CFC" w14:textId="77777777" w:rsidR="000B0C19" w:rsidRPr="00423901" w:rsidRDefault="000B0C19" w:rsidP="000B0C19">
            <w:pPr>
              <w:jc w:val="center"/>
              <w:rPr>
                <w:rFonts w:cstheme="minorHAnsi"/>
                <w:sz w:val="20"/>
                <w:szCs w:val="20"/>
              </w:rPr>
            </w:pPr>
            <w:r w:rsidRPr="00423901">
              <w:rPr>
                <w:rFonts w:cstheme="minorHAnsi"/>
                <w:sz w:val="20"/>
                <w:szCs w:val="20"/>
              </w:rPr>
              <w:t>PLRT</w:t>
            </w:r>
          </w:p>
        </w:tc>
        <w:tc>
          <w:tcPr>
            <w:tcW w:w="7229" w:type="dxa"/>
          </w:tcPr>
          <w:p w14:paraId="0BDFAD23" w14:textId="5EDEB8CC" w:rsidR="000B0C19" w:rsidRPr="00423901" w:rsidRDefault="000B0C19" w:rsidP="000B0C19">
            <w:pPr>
              <w:pStyle w:val="ListParagraph"/>
              <w:numPr>
                <w:ilvl w:val="0"/>
                <w:numId w:val="26"/>
              </w:numPr>
              <w:spacing w:before="0" w:after="0" w:line="240" w:lineRule="auto"/>
              <w:ind w:left="175" w:hanging="175"/>
              <w:rPr>
                <w:rFonts w:cstheme="minorHAnsi"/>
                <w:sz w:val="20"/>
                <w:szCs w:val="20"/>
              </w:rPr>
            </w:pPr>
            <w:r w:rsidRPr="00423901">
              <w:rPr>
                <w:rFonts w:cstheme="minorHAnsi"/>
                <w:sz w:val="20"/>
                <w:szCs w:val="20"/>
              </w:rPr>
              <w:t>PLRT will identify relevant guidance documentation to be drafted/updated</w:t>
            </w:r>
            <w:r>
              <w:rPr>
                <w:rFonts w:cstheme="minorHAnsi"/>
                <w:sz w:val="20"/>
                <w:szCs w:val="20"/>
              </w:rPr>
              <w:t>.</w:t>
            </w:r>
          </w:p>
          <w:p w14:paraId="221C5124" w14:textId="2164411A" w:rsidR="000B0C19" w:rsidRPr="001D18DB" w:rsidRDefault="000B0C19" w:rsidP="000B0C19">
            <w:pPr>
              <w:pStyle w:val="ListParagraph"/>
              <w:numPr>
                <w:ilvl w:val="0"/>
                <w:numId w:val="26"/>
              </w:numPr>
              <w:spacing w:before="0" w:after="0" w:line="240" w:lineRule="auto"/>
              <w:ind w:left="175" w:hanging="175"/>
              <w:rPr>
                <w:rFonts w:cstheme="minorHAnsi"/>
                <w:sz w:val="20"/>
                <w:szCs w:val="20"/>
              </w:rPr>
            </w:pPr>
            <w:r w:rsidRPr="00423901">
              <w:rPr>
                <w:rFonts w:cstheme="minorHAnsi"/>
                <w:sz w:val="20"/>
                <w:szCs w:val="20"/>
              </w:rPr>
              <w:t>PLRT will map out potential be-spoke pathways for stakeholders when preparing Part</w:t>
            </w:r>
            <w:r>
              <w:rPr>
                <w:rFonts w:cstheme="minorHAnsi"/>
                <w:sz w:val="20"/>
                <w:szCs w:val="20"/>
              </w:rPr>
              <w:t> </w:t>
            </w:r>
            <w:r w:rsidRPr="00423901">
              <w:rPr>
                <w:rFonts w:cstheme="minorHAnsi"/>
                <w:sz w:val="20"/>
                <w:szCs w:val="20"/>
              </w:rPr>
              <w:t>B Class 2 biological PL applications</w:t>
            </w:r>
            <w:r>
              <w:rPr>
                <w:rFonts w:cstheme="minorHAnsi"/>
                <w:sz w:val="20"/>
                <w:szCs w:val="20"/>
              </w:rPr>
              <w:t>.</w:t>
            </w:r>
          </w:p>
        </w:tc>
      </w:tr>
      <w:tr w:rsidR="000B0C19" w:rsidRPr="00423901" w14:paraId="3E1E16A1" w14:textId="77777777" w:rsidTr="000B0C19">
        <w:tc>
          <w:tcPr>
            <w:tcW w:w="4678" w:type="dxa"/>
          </w:tcPr>
          <w:p w14:paraId="0D756AEB" w14:textId="269195D3" w:rsidR="000B0C19" w:rsidRPr="00423901" w:rsidRDefault="000B0C19" w:rsidP="000B0C19">
            <w:pPr>
              <w:spacing w:before="0"/>
              <w:ind w:left="323" w:hanging="323"/>
              <w:rPr>
                <w:rFonts w:cstheme="minorHAnsi"/>
                <w:sz w:val="20"/>
                <w:szCs w:val="20"/>
              </w:rPr>
            </w:pPr>
            <w:r w:rsidRPr="00423901">
              <w:rPr>
                <w:rFonts w:cstheme="minorHAnsi"/>
                <w:b/>
                <w:bCs/>
                <w:sz w:val="20"/>
                <w:szCs w:val="20"/>
              </w:rPr>
              <w:t>7.</w:t>
            </w:r>
            <w:r w:rsidRPr="00423901">
              <w:rPr>
                <w:rFonts w:cstheme="minorHAnsi"/>
                <w:b/>
                <w:bCs/>
                <w:sz w:val="20"/>
                <w:szCs w:val="20"/>
              </w:rPr>
              <w:tab/>
            </w:r>
            <w:r w:rsidRPr="00423901">
              <w:rPr>
                <w:rFonts w:cstheme="minorHAnsi"/>
                <w:sz w:val="20"/>
                <w:szCs w:val="20"/>
              </w:rPr>
              <w:t>that the Department undertake further work on the methodology for pricing including the development of costing standards</w:t>
            </w:r>
            <w:r>
              <w:rPr>
                <w:rFonts w:cstheme="minorHAnsi"/>
                <w:sz w:val="20"/>
                <w:szCs w:val="20"/>
              </w:rPr>
              <w:t>.</w:t>
            </w:r>
          </w:p>
        </w:tc>
        <w:tc>
          <w:tcPr>
            <w:tcW w:w="1985" w:type="dxa"/>
          </w:tcPr>
          <w:p w14:paraId="6C936979" w14:textId="77777777" w:rsidR="000B0C19" w:rsidRDefault="000B0C19" w:rsidP="00A30703">
            <w:pPr>
              <w:jc w:val="center"/>
              <w:rPr>
                <w:rFonts w:cstheme="minorHAnsi"/>
                <w:sz w:val="20"/>
                <w:szCs w:val="20"/>
              </w:rPr>
            </w:pPr>
          </w:p>
          <w:p w14:paraId="6E423852" w14:textId="77777777" w:rsidR="000B0C19" w:rsidRPr="00823B88" w:rsidRDefault="000B0C19" w:rsidP="00A30703">
            <w:pPr>
              <w:jc w:val="center"/>
              <w:rPr>
                <w:rFonts w:cstheme="minorHAnsi"/>
                <w:sz w:val="20"/>
                <w:szCs w:val="20"/>
              </w:rPr>
            </w:pPr>
            <w:r w:rsidRPr="00823B88">
              <w:rPr>
                <w:rFonts w:cstheme="minorHAnsi"/>
                <w:sz w:val="20"/>
                <w:szCs w:val="20"/>
              </w:rPr>
              <w:t>Yes</w:t>
            </w:r>
          </w:p>
        </w:tc>
        <w:tc>
          <w:tcPr>
            <w:tcW w:w="1135" w:type="dxa"/>
          </w:tcPr>
          <w:p w14:paraId="7D779B3F" w14:textId="77777777" w:rsidR="000B0C19" w:rsidRDefault="000B0C19" w:rsidP="00A30703">
            <w:pPr>
              <w:jc w:val="center"/>
              <w:rPr>
                <w:rFonts w:cstheme="minorHAnsi"/>
                <w:sz w:val="20"/>
                <w:szCs w:val="20"/>
              </w:rPr>
            </w:pPr>
          </w:p>
          <w:p w14:paraId="708BAAA8" w14:textId="77777777" w:rsidR="000B0C19" w:rsidRPr="00423901" w:rsidRDefault="000B0C19" w:rsidP="00A30703">
            <w:pPr>
              <w:jc w:val="center"/>
              <w:rPr>
                <w:rFonts w:cstheme="minorHAnsi"/>
                <w:sz w:val="20"/>
                <w:szCs w:val="20"/>
              </w:rPr>
            </w:pPr>
            <w:r w:rsidRPr="00423901">
              <w:rPr>
                <w:rFonts w:cstheme="minorHAnsi"/>
                <w:sz w:val="20"/>
                <w:szCs w:val="20"/>
              </w:rPr>
              <w:t>OTPPS</w:t>
            </w:r>
            <w:r w:rsidRPr="00D80CE5">
              <w:rPr>
                <w:rFonts w:cstheme="minorHAnsi"/>
                <w:sz w:val="28"/>
                <w:szCs w:val="28"/>
                <w:vertAlign w:val="superscript"/>
              </w:rPr>
              <w:t>#</w:t>
            </w:r>
          </w:p>
        </w:tc>
        <w:tc>
          <w:tcPr>
            <w:tcW w:w="7229" w:type="dxa"/>
          </w:tcPr>
          <w:p w14:paraId="391EE917" w14:textId="0C116287" w:rsidR="000B0C19"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PS will manage and progress this work in consultation with PLRT and other relevant areas of the Department</w:t>
            </w:r>
            <w:r>
              <w:rPr>
                <w:rFonts w:cstheme="minorHAnsi"/>
                <w:sz w:val="20"/>
                <w:szCs w:val="20"/>
              </w:rPr>
              <w:t>.</w:t>
            </w:r>
          </w:p>
          <w:p w14:paraId="71E0ED25" w14:textId="7E86950F" w:rsidR="000B0C19" w:rsidRPr="00423901"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 xml:space="preserve">PS </w:t>
            </w:r>
            <w:r>
              <w:rPr>
                <w:rFonts w:cstheme="minorHAnsi"/>
                <w:sz w:val="20"/>
                <w:szCs w:val="20"/>
              </w:rPr>
              <w:t xml:space="preserve">is </w:t>
            </w:r>
            <w:r w:rsidRPr="00C40EEC">
              <w:rPr>
                <w:rFonts w:cstheme="minorHAnsi"/>
                <w:sz w:val="20"/>
                <w:szCs w:val="20"/>
              </w:rPr>
              <w:t>investigating the development of a costing methodology through the Jurisdictional Organ and Tissue Steering Committee (JOTSC). The NSW Tissue Bank have provided their costing methodology, which is currently with JOTSC members to consider whether the methodology is appropriate for their jurisdiction and what changes could be made to improve its suitability</w:t>
            </w:r>
            <w:r>
              <w:rPr>
                <w:rFonts w:cstheme="minorHAnsi"/>
                <w:sz w:val="20"/>
                <w:szCs w:val="20"/>
              </w:rPr>
              <w:t>.</w:t>
            </w:r>
          </w:p>
          <w:p w14:paraId="7CF78108" w14:textId="3A2D7FA4" w:rsidR="000B0C19" w:rsidRPr="001D18DB"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 xml:space="preserve">PS will undertake consultation with stakeholders to seek their feedback </w:t>
            </w:r>
            <w:r>
              <w:rPr>
                <w:rFonts w:cstheme="minorHAnsi"/>
                <w:sz w:val="20"/>
                <w:szCs w:val="20"/>
              </w:rPr>
              <w:t>on the outcome of the JOTSC discussions.</w:t>
            </w:r>
          </w:p>
        </w:tc>
      </w:tr>
      <w:tr w:rsidR="000B0C19" w:rsidRPr="00423901" w14:paraId="0F0D52CF" w14:textId="77777777" w:rsidTr="000B0C19">
        <w:tc>
          <w:tcPr>
            <w:tcW w:w="4678" w:type="dxa"/>
          </w:tcPr>
          <w:p w14:paraId="2356E8BF" w14:textId="4C26CD07" w:rsidR="000B0C19" w:rsidRPr="00423901" w:rsidRDefault="000B0C19" w:rsidP="000B0C19">
            <w:pPr>
              <w:spacing w:before="0"/>
              <w:ind w:left="306" w:hanging="306"/>
              <w:rPr>
                <w:rFonts w:cstheme="minorHAnsi"/>
                <w:sz w:val="20"/>
                <w:szCs w:val="20"/>
              </w:rPr>
            </w:pPr>
            <w:r w:rsidRPr="00423901">
              <w:rPr>
                <w:rFonts w:cstheme="minorHAnsi"/>
                <w:b/>
                <w:bCs/>
                <w:sz w:val="20"/>
                <w:szCs w:val="20"/>
              </w:rPr>
              <w:t>8.</w:t>
            </w:r>
            <w:r w:rsidRPr="00423901">
              <w:rPr>
                <w:rFonts w:cstheme="minorHAnsi"/>
                <w:b/>
                <w:bCs/>
                <w:sz w:val="20"/>
                <w:szCs w:val="20"/>
              </w:rPr>
              <w:tab/>
            </w:r>
            <w:r w:rsidRPr="00423901">
              <w:rPr>
                <w:rFonts w:cstheme="minorHAnsi"/>
                <w:sz w:val="20"/>
                <w:szCs w:val="20"/>
              </w:rPr>
              <w:t>that the Department undertake a review of state and federal legislative requirements which prohibit trading in human tissue and its application to determining benefits for Part B</w:t>
            </w:r>
            <w:r>
              <w:rPr>
                <w:rFonts w:cstheme="minorHAnsi"/>
                <w:sz w:val="20"/>
                <w:szCs w:val="20"/>
              </w:rPr>
              <w:t>.</w:t>
            </w:r>
          </w:p>
        </w:tc>
        <w:tc>
          <w:tcPr>
            <w:tcW w:w="1985" w:type="dxa"/>
          </w:tcPr>
          <w:p w14:paraId="582B9B16" w14:textId="77777777" w:rsidR="000B0C19" w:rsidRDefault="000B0C19" w:rsidP="00A30703">
            <w:pPr>
              <w:jc w:val="center"/>
              <w:rPr>
                <w:rFonts w:cstheme="minorHAnsi"/>
                <w:sz w:val="20"/>
                <w:szCs w:val="20"/>
              </w:rPr>
            </w:pPr>
          </w:p>
          <w:p w14:paraId="1BE98192" w14:textId="77777777" w:rsidR="000B0C19" w:rsidRPr="00823B88" w:rsidRDefault="000B0C19" w:rsidP="00A30703">
            <w:pPr>
              <w:jc w:val="center"/>
              <w:rPr>
                <w:rFonts w:cstheme="minorHAnsi"/>
                <w:sz w:val="20"/>
                <w:szCs w:val="20"/>
              </w:rPr>
            </w:pPr>
            <w:r w:rsidRPr="00823B88">
              <w:rPr>
                <w:rFonts w:cstheme="minorHAnsi"/>
                <w:sz w:val="20"/>
                <w:szCs w:val="20"/>
              </w:rPr>
              <w:t>Yes</w:t>
            </w:r>
          </w:p>
        </w:tc>
        <w:tc>
          <w:tcPr>
            <w:tcW w:w="1135" w:type="dxa"/>
          </w:tcPr>
          <w:p w14:paraId="681C8B10" w14:textId="77777777" w:rsidR="000B0C19" w:rsidRDefault="000B0C19" w:rsidP="00A30703">
            <w:pPr>
              <w:jc w:val="center"/>
              <w:rPr>
                <w:rFonts w:cstheme="minorHAnsi"/>
                <w:sz w:val="20"/>
                <w:szCs w:val="20"/>
              </w:rPr>
            </w:pPr>
          </w:p>
          <w:p w14:paraId="2A0FDA87" w14:textId="77777777" w:rsidR="000B0C19" w:rsidRPr="00423901" w:rsidRDefault="000B0C19" w:rsidP="00A30703">
            <w:pPr>
              <w:jc w:val="center"/>
              <w:rPr>
                <w:rFonts w:cstheme="minorHAnsi"/>
                <w:sz w:val="20"/>
                <w:szCs w:val="20"/>
              </w:rPr>
            </w:pPr>
            <w:r w:rsidRPr="00423901">
              <w:rPr>
                <w:rFonts w:cstheme="minorHAnsi"/>
                <w:sz w:val="20"/>
                <w:szCs w:val="20"/>
              </w:rPr>
              <w:t>OTPPS</w:t>
            </w:r>
          </w:p>
        </w:tc>
        <w:tc>
          <w:tcPr>
            <w:tcW w:w="7229" w:type="dxa"/>
          </w:tcPr>
          <w:p w14:paraId="3D3F2E3B" w14:textId="5FDA3E44" w:rsidR="000B0C19"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PS will manage and progress this work in consultation with PLRT and other relevant areas of the Department and in consultation with stakeholders</w:t>
            </w:r>
            <w:r>
              <w:rPr>
                <w:rFonts w:cstheme="minorHAnsi"/>
                <w:sz w:val="20"/>
                <w:szCs w:val="20"/>
              </w:rPr>
              <w:t>.</w:t>
            </w:r>
          </w:p>
          <w:p w14:paraId="3BDD6852" w14:textId="5293A6CC" w:rsidR="000B0C19" w:rsidRDefault="000B0C19" w:rsidP="000B0C19">
            <w:pPr>
              <w:pStyle w:val="ListParagraph"/>
              <w:numPr>
                <w:ilvl w:val="0"/>
                <w:numId w:val="26"/>
              </w:numPr>
              <w:spacing w:before="0" w:after="0" w:line="240" w:lineRule="auto"/>
              <w:ind w:left="319" w:hanging="223"/>
              <w:rPr>
                <w:rFonts w:cstheme="minorHAnsi"/>
                <w:sz w:val="20"/>
                <w:szCs w:val="20"/>
              </w:rPr>
            </w:pPr>
            <w:r w:rsidRPr="00380835">
              <w:rPr>
                <w:rFonts w:cstheme="minorHAnsi"/>
                <w:sz w:val="20"/>
                <w:szCs w:val="20"/>
              </w:rPr>
              <w:t xml:space="preserve">JOTSC </w:t>
            </w:r>
            <w:r>
              <w:rPr>
                <w:rFonts w:cstheme="minorHAnsi"/>
                <w:sz w:val="20"/>
                <w:szCs w:val="20"/>
              </w:rPr>
              <w:t xml:space="preserve">has asked </w:t>
            </w:r>
            <w:r w:rsidRPr="00380835">
              <w:rPr>
                <w:rFonts w:cstheme="minorHAnsi"/>
                <w:sz w:val="20"/>
                <w:szCs w:val="20"/>
              </w:rPr>
              <w:t xml:space="preserve">jurisdictions to review their existing legislation and identify activities that are cost-recoverable in accordance with it. This may assist in understanding the costs of the retrieval and manufacturing process, and where funding from government is already provided.  </w:t>
            </w:r>
            <w:r>
              <w:rPr>
                <w:rFonts w:cstheme="minorHAnsi"/>
                <w:sz w:val="20"/>
                <w:szCs w:val="20"/>
              </w:rPr>
              <w:t xml:space="preserve">JOTSC will provide their findings to the </w:t>
            </w:r>
            <w:r w:rsidRPr="00423901">
              <w:rPr>
                <w:rFonts w:cstheme="minorHAnsi"/>
                <w:sz w:val="20"/>
                <w:szCs w:val="20"/>
              </w:rPr>
              <w:t>OT</w:t>
            </w:r>
            <w:r>
              <w:rPr>
                <w:rFonts w:cstheme="minorHAnsi"/>
                <w:sz w:val="20"/>
                <w:szCs w:val="20"/>
              </w:rPr>
              <w:t>P</w:t>
            </w:r>
            <w:r w:rsidRPr="00423901">
              <w:rPr>
                <w:rFonts w:cstheme="minorHAnsi"/>
                <w:sz w:val="20"/>
                <w:szCs w:val="20"/>
              </w:rPr>
              <w:t>PS</w:t>
            </w:r>
            <w:r>
              <w:rPr>
                <w:rFonts w:cstheme="minorHAnsi"/>
                <w:sz w:val="20"/>
                <w:szCs w:val="20"/>
              </w:rPr>
              <w:t>.</w:t>
            </w:r>
          </w:p>
          <w:p w14:paraId="3EFD1B4E" w14:textId="0572AFC3" w:rsidR="000B0C19" w:rsidRPr="001D18DB"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 xml:space="preserve">PS will consult </w:t>
            </w:r>
            <w:r>
              <w:rPr>
                <w:rFonts w:cstheme="minorHAnsi"/>
                <w:sz w:val="20"/>
                <w:szCs w:val="20"/>
              </w:rPr>
              <w:t xml:space="preserve">with </w:t>
            </w:r>
            <w:r w:rsidRPr="00423901">
              <w:rPr>
                <w:rFonts w:cstheme="minorHAnsi"/>
                <w:sz w:val="20"/>
                <w:szCs w:val="20"/>
              </w:rPr>
              <w:t xml:space="preserve">stakeholders </w:t>
            </w:r>
            <w:r>
              <w:rPr>
                <w:rFonts w:cstheme="minorHAnsi"/>
                <w:sz w:val="20"/>
                <w:szCs w:val="20"/>
              </w:rPr>
              <w:t>once the outcomes of the JOTSC discussions are known.</w:t>
            </w:r>
          </w:p>
        </w:tc>
      </w:tr>
      <w:tr w:rsidR="000B0C19" w:rsidRPr="00423901" w14:paraId="4E6E07C5" w14:textId="77777777" w:rsidTr="000B0C19">
        <w:tc>
          <w:tcPr>
            <w:tcW w:w="4678" w:type="dxa"/>
          </w:tcPr>
          <w:p w14:paraId="0D2E9004" w14:textId="07945053" w:rsidR="000B0C19" w:rsidRPr="00423901" w:rsidRDefault="000B0C19" w:rsidP="000B0C19">
            <w:pPr>
              <w:spacing w:before="0"/>
              <w:ind w:left="306" w:hanging="306"/>
              <w:rPr>
                <w:rFonts w:cstheme="minorHAnsi"/>
                <w:sz w:val="20"/>
                <w:szCs w:val="20"/>
              </w:rPr>
            </w:pPr>
            <w:r w:rsidRPr="00423901">
              <w:rPr>
                <w:rFonts w:cstheme="minorHAnsi"/>
                <w:b/>
                <w:bCs/>
                <w:sz w:val="20"/>
                <w:szCs w:val="20"/>
              </w:rPr>
              <w:t>9.</w:t>
            </w:r>
            <w:r w:rsidRPr="00423901">
              <w:rPr>
                <w:rFonts w:cstheme="minorHAnsi"/>
                <w:b/>
                <w:bCs/>
                <w:sz w:val="20"/>
                <w:szCs w:val="20"/>
              </w:rPr>
              <w:tab/>
            </w:r>
            <w:r w:rsidRPr="00423901">
              <w:rPr>
                <w:rFonts w:cstheme="minorHAnsi"/>
                <w:sz w:val="20"/>
                <w:szCs w:val="20"/>
              </w:rPr>
              <w:t>that the Department retain the PL items for autologous skull flaps and femoral heads</w:t>
            </w:r>
            <w:r>
              <w:rPr>
                <w:rFonts w:cstheme="minorHAnsi"/>
                <w:sz w:val="20"/>
                <w:szCs w:val="20"/>
              </w:rPr>
              <w:t>.</w:t>
            </w:r>
          </w:p>
          <w:p w14:paraId="4E57A180" w14:textId="77777777" w:rsidR="000B0C19" w:rsidRPr="00423901" w:rsidRDefault="000B0C19" w:rsidP="00A30703">
            <w:pPr>
              <w:ind w:left="306" w:hanging="306"/>
              <w:rPr>
                <w:rFonts w:cstheme="minorHAnsi"/>
                <w:sz w:val="20"/>
                <w:szCs w:val="20"/>
              </w:rPr>
            </w:pPr>
          </w:p>
        </w:tc>
        <w:tc>
          <w:tcPr>
            <w:tcW w:w="1985" w:type="dxa"/>
          </w:tcPr>
          <w:p w14:paraId="12DB803F" w14:textId="77777777" w:rsidR="000B0C19" w:rsidRDefault="000B0C19" w:rsidP="00A30703">
            <w:pPr>
              <w:jc w:val="center"/>
              <w:rPr>
                <w:rFonts w:cstheme="minorHAnsi"/>
                <w:sz w:val="20"/>
                <w:szCs w:val="20"/>
              </w:rPr>
            </w:pPr>
          </w:p>
          <w:p w14:paraId="09D3B513" w14:textId="77777777" w:rsidR="000B0C19" w:rsidRPr="00823B88" w:rsidRDefault="000B0C19" w:rsidP="00A30703">
            <w:pPr>
              <w:jc w:val="center"/>
              <w:rPr>
                <w:rFonts w:cstheme="minorHAnsi"/>
                <w:sz w:val="20"/>
                <w:szCs w:val="20"/>
              </w:rPr>
            </w:pPr>
            <w:r w:rsidRPr="00823B88">
              <w:rPr>
                <w:rFonts w:cstheme="minorHAnsi"/>
                <w:sz w:val="20"/>
                <w:szCs w:val="20"/>
              </w:rPr>
              <w:t>Yes</w:t>
            </w:r>
          </w:p>
        </w:tc>
        <w:tc>
          <w:tcPr>
            <w:tcW w:w="1135" w:type="dxa"/>
          </w:tcPr>
          <w:p w14:paraId="19D6589F" w14:textId="77777777" w:rsidR="000B0C19" w:rsidRDefault="000B0C19" w:rsidP="00A30703">
            <w:pPr>
              <w:jc w:val="center"/>
              <w:rPr>
                <w:rFonts w:cstheme="minorHAnsi"/>
                <w:sz w:val="20"/>
                <w:szCs w:val="20"/>
              </w:rPr>
            </w:pPr>
          </w:p>
          <w:p w14:paraId="4F128083" w14:textId="77777777" w:rsidR="000B0C19" w:rsidRPr="00423901" w:rsidRDefault="000B0C19" w:rsidP="00A30703">
            <w:pPr>
              <w:jc w:val="center"/>
              <w:rPr>
                <w:rFonts w:cstheme="minorHAnsi"/>
                <w:sz w:val="20"/>
                <w:szCs w:val="20"/>
              </w:rPr>
            </w:pPr>
            <w:r w:rsidRPr="00423901">
              <w:rPr>
                <w:rFonts w:cstheme="minorHAnsi"/>
                <w:sz w:val="20"/>
                <w:szCs w:val="20"/>
              </w:rPr>
              <w:t>PLRT</w:t>
            </w:r>
          </w:p>
        </w:tc>
        <w:tc>
          <w:tcPr>
            <w:tcW w:w="7229" w:type="dxa"/>
          </w:tcPr>
          <w:p w14:paraId="13D8F6A3" w14:textId="1BCD828A" w:rsidR="000B0C19" w:rsidRPr="00423901"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PLRT will consult with the Department’s Executive to confirm</w:t>
            </w:r>
            <w:r>
              <w:rPr>
                <w:rFonts w:cstheme="minorHAnsi"/>
                <w:sz w:val="20"/>
                <w:szCs w:val="20"/>
              </w:rPr>
              <w:t xml:space="preserve"> whether</w:t>
            </w:r>
            <w:r w:rsidRPr="00423901">
              <w:rPr>
                <w:rFonts w:cstheme="minorHAnsi"/>
                <w:sz w:val="20"/>
                <w:szCs w:val="20"/>
              </w:rPr>
              <w:t xml:space="preserve"> PL items for autologous skull flaps and femoral heads be retained on the PL</w:t>
            </w:r>
            <w:r>
              <w:rPr>
                <w:rFonts w:cstheme="minorHAnsi"/>
                <w:sz w:val="20"/>
                <w:szCs w:val="20"/>
              </w:rPr>
              <w:t>.</w:t>
            </w:r>
          </w:p>
          <w:p w14:paraId="4849B33D" w14:textId="3615B28A" w:rsidR="000B0C19" w:rsidRPr="001D18DB"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PLRT will inform the sector of the outcome of these discussions</w:t>
            </w:r>
            <w:r>
              <w:rPr>
                <w:rFonts w:cstheme="minorHAnsi"/>
                <w:sz w:val="20"/>
                <w:szCs w:val="20"/>
              </w:rPr>
              <w:t>.</w:t>
            </w:r>
          </w:p>
        </w:tc>
      </w:tr>
      <w:tr w:rsidR="000B0C19" w:rsidRPr="00423901" w14:paraId="4C5A35A0" w14:textId="77777777" w:rsidTr="000B0C19">
        <w:tc>
          <w:tcPr>
            <w:tcW w:w="4678" w:type="dxa"/>
          </w:tcPr>
          <w:p w14:paraId="6E2CFDE2" w14:textId="0EE3970F" w:rsidR="000B0C19" w:rsidRPr="00423901" w:rsidRDefault="000B0C19" w:rsidP="000B0C19">
            <w:pPr>
              <w:spacing w:before="0"/>
              <w:ind w:left="317" w:hanging="317"/>
              <w:rPr>
                <w:rFonts w:cstheme="minorHAnsi"/>
                <w:sz w:val="20"/>
                <w:szCs w:val="20"/>
              </w:rPr>
            </w:pPr>
            <w:r w:rsidRPr="00423901">
              <w:rPr>
                <w:rFonts w:cstheme="minorHAnsi"/>
                <w:b/>
                <w:bCs/>
                <w:sz w:val="20"/>
                <w:szCs w:val="20"/>
              </w:rPr>
              <w:t>10.</w:t>
            </w:r>
            <w:r w:rsidRPr="00423901">
              <w:rPr>
                <w:rFonts w:cstheme="minorHAnsi"/>
                <w:b/>
                <w:bCs/>
                <w:sz w:val="20"/>
                <w:szCs w:val="20"/>
              </w:rPr>
              <w:tab/>
            </w:r>
            <w:r w:rsidRPr="00423901">
              <w:rPr>
                <w:rFonts w:cstheme="minorHAnsi"/>
                <w:sz w:val="20"/>
                <w:szCs w:val="20"/>
              </w:rPr>
              <w:t xml:space="preserve">that the Department does not pursue restricting the use of Part B items to specific MBS items </w:t>
            </w:r>
            <w:proofErr w:type="gramStart"/>
            <w:r w:rsidRPr="00423901">
              <w:rPr>
                <w:rFonts w:cstheme="minorHAnsi"/>
                <w:sz w:val="20"/>
                <w:szCs w:val="20"/>
              </w:rPr>
              <w:t>at this time</w:t>
            </w:r>
            <w:proofErr w:type="gramEnd"/>
            <w:r>
              <w:rPr>
                <w:rFonts w:cstheme="minorHAnsi"/>
                <w:sz w:val="20"/>
                <w:szCs w:val="20"/>
              </w:rPr>
              <w:t>.</w:t>
            </w:r>
          </w:p>
        </w:tc>
        <w:tc>
          <w:tcPr>
            <w:tcW w:w="1985" w:type="dxa"/>
          </w:tcPr>
          <w:p w14:paraId="4F14C7D4" w14:textId="77777777" w:rsidR="000B0C19" w:rsidRDefault="000B0C19" w:rsidP="00A30703">
            <w:pPr>
              <w:jc w:val="center"/>
              <w:rPr>
                <w:rFonts w:cstheme="minorHAnsi"/>
                <w:sz w:val="20"/>
                <w:szCs w:val="20"/>
              </w:rPr>
            </w:pPr>
          </w:p>
          <w:p w14:paraId="6B42EC40" w14:textId="77777777" w:rsidR="000B0C19" w:rsidRPr="00823B88" w:rsidRDefault="000B0C19" w:rsidP="00A30703">
            <w:pPr>
              <w:jc w:val="center"/>
              <w:rPr>
                <w:rFonts w:cstheme="minorHAnsi"/>
                <w:sz w:val="20"/>
                <w:szCs w:val="20"/>
              </w:rPr>
            </w:pPr>
            <w:r w:rsidRPr="00823B88">
              <w:rPr>
                <w:rFonts w:cstheme="minorHAnsi"/>
                <w:sz w:val="20"/>
                <w:szCs w:val="20"/>
              </w:rPr>
              <w:t>Yes</w:t>
            </w:r>
          </w:p>
        </w:tc>
        <w:tc>
          <w:tcPr>
            <w:tcW w:w="1135" w:type="dxa"/>
          </w:tcPr>
          <w:p w14:paraId="016E4419" w14:textId="77777777" w:rsidR="000B0C19" w:rsidRDefault="000B0C19" w:rsidP="00A30703">
            <w:pPr>
              <w:jc w:val="center"/>
              <w:rPr>
                <w:rFonts w:cstheme="minorHAnsi"/>
                <w:sz w:val="20"/>
                <w:szCs w:val="20"/>
              </w:rPr>
            </w:pPr>
          </w:p>
          <w:p w14:paraId="7E371578" w14:textId="77777777" w:rsidR="000B0C19" w:rsidRPr="00423901" w:rsidRDefault="000B0C19" w:rsidP="00A30703">
            <w:pPr>
              <w:jc w:val="center"/>
              <w:rPr>
                <w:rFonts w:cstheme="minorHAnsi"/>
                <w:sz w:val="20"/>
                <w:szCs w:val="20"/>
              </w:rPr>
            </w:pPr>
            <w:r w:rsidRPr="00423901">
              <w:rPr>
                <w:rFonts w:cstheme="minorHAnsi"/>
                <w:sz w:val="20"/>
                <w:szCs w:val="20"/>
              </w:rPr>
              <w:t>PLRT</w:t>
            </w:r>
          </w:p>
        </w:tc>
        <w:tc>
          <w:tcPr>
            <w:tcW w:w="7229" w:type="dxa"/>
          </w:tcPr>
          <w:p w14:paraId="223FAB1C" w14:textId="363C78E7" w:rsidR="000B0C19" w:rsidRPr="00423901"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PLRT will consult with the Department’s Executive to confirm it will not currently pursue restricting the use of Part B items to specific MBS items</w:t>
            </w:r>
            <w:r>
              <w:rPr>
                <w:rFonts w:cstheme="minorHAnsi"/>
                <w:sz w:val="20"/>
                <w:szCs w:val="20"/>
              </w:rPr>
              <w:t>.</w:t>
            </w:r>
          </w:p>
          <w:p w14:paraId="7100F23E" w14:textId="796F19C4" w:rsidR="000B0C19" w:rsidRPr="001D18DB" w:rsidRDefault="000B0C19" w:rsidP="000B0C19">
            <w:pPr>
              <w:pStyle w:val="ListParagraph"/>
              <w:numPr>
                <w:ilvl w:val="0"/>
                <w:numId w:val="26"/>
              </w:numPr>
              <w:spacing w:before="0" w:after="0" w:line="240" w:lineRule="auto"/>
              <w:ind w:left="319" w:hanging="223"/>
              <w:rPr>
                <w:rFonts w:cstheme="minorHAnsi"/>
                <w:sz w:val="20"/>
                <w:szCs w:val="20"/>
              </w:rPr>
            </w:pPr>
            <w:r w:rsidRPr="00423901">
              <w:rPr>
                <w:rFonts w:cstheme="minorHAnsi"/>
                <w:sz w:val="20"/>
                <w:szCs w:val="20"/>
              </w:rPr>
              <w:t>PLRT will inform the sector of the outcome of these discussions</w:t>
            </w:r>
            <w:r>
              <w:rPr>
                <w:rFonts w:cstheme="minorHAnsi"/>
                <w:sz w:val="20"/>
                <w:szCs w:val="20"/>
              </w:rPr>
              <w:t>.</w:t>
            </w:r>
          </w:p>
        </w:tc>
      </w:tr>
    </w:tbl>
    <w:p w14:paraId="4775F305" w14:textId="77777777" w:rsidR="000B0C19" w:rsidRDefault="000B0C19" w:rsidP="000B0C19">
      <w:pPr>
        <w:spacing w:before="0" w:after="0" w:line="240" w:lineRule="auto"/>
        <w:ind w:left="-567"/>
        <w:rPr>
          <w:rFonts w:cstheme="minorHAnsi"/>
          <w:b/>
          <w:bCs/>
          <w:sz w:val="16"/>
          <w:szCs w:val="16"/>
        </w:rPr>
      </w:pPr>
    </w:p>
    <w:p w14:paraId="3BC813C4" w14:textId="4C3ADCF8" w:rsidR="000B0C19" w:rsidRPr="00BD14AE" w:rsidRDefault="000B0C19" w:rsidP="000B0C19">
      <w:pPr>
        <w:spacing w:before="0" w:after="0" w:line="240" w:lineRule="auto"/>
        <w:ind w:left="-567"/>
        <w:rPr>
          <w:rFonts w:cstheme="minorHAnsi"/>
          <w:sz w:val="16"/>
          <w:szCs w:val="16"/>
        </w:rPr>
      </w:pPr>
      <w:r w:rsidRPr="00BD14AE">
        <w:rPr>
          <w:rFonts w:cstheme="minorHAnsi"/>
          <w:b/>
          <w:bCs/>
          <w:sz w:val="16"/>
          <w:szCs w:val="16"/>
        </w:rPr>
        <w:t xml:space="preserve">* </w:t>
      </w:r>
      <w:r w:rsidRPr="00BD14AE">
        <w:rPr>
          <w:sz w:val="16"/>
          <w:szCs w:val="16"/>
        </w:rPr>
        <w:t xml:space="preserve">On 1 July 2023, the Prostheses List was renamed to </w:t>
      </w:r>
      <w:r w:rsidR="00C23EB2" w:rsidRPr="00BD14AE">
        <w:rPr>
          <w:sz w:val="16"/>
          <w:szCs w:val="16"/>
        </w:rPr>
        <w:t xml:space="preserve">the </w:t>
      </w:r>
      <w:r w:rsidRPr="00BD14AE">
        <w:rPr>
          <w:sz w:val="16"/>
          <w:szCs w:val="16"/>
        </w:rPr>
        <w:t>Prescribed List of Benefits for Medical Devices and Human Tissue Products (the PL)</w:t>
      </w:r>
    </w:p>
    <w:p w14:paraId="05AB1B7A" w14:textId="77777777" w:rsidR="000B0C19" w:rsidRPr="000B0C19" w:rsidRDefault="000B0C19" w:rsidP="000B0C19">
      <w:pPr>
        <w:spacing w:before="0" w:after="0" w:line="240" w:lineRule="auto"/>
        <w:ind w:left="-567"/>
        <w:rPr>
          <w:rFonts w:cstheme="minorHAnsi"/>
          <w:sz w:val="16"/>
          <w:szCs w:val="16"/>
        </w:rPr>
      </w:pPr>
      <w:r w:rsidRPr="000B0C19">
        <w:rPr>
          <w:rFonts w:cstheme="minorHAnsi"/>
          <w:sz w:val="16"/>
          <w:szCs w:val="16"/>
          <w:vertAlign w:val="superscript"/>
        </w:rPr>
        <w:t>+</w:t>
      </w:r>
      <w:r w:rsidRPr="000B0C19">
        <w:rPr>
          <w:rFonts w:cstheme="minorHAnsi"/>
          <w:b/>
          <w:bCs/>
          <w:sz w:val="16"/>
          <w:szCs w:val="16"/>
        </w:rPr>
        <w:t xml:space="preserve"> PLRT</w:t>
      </w:r>
      <w:r w:rsidRPr="000B0C19">
        <w:rPr>
          <w:rFonts w:cstheme="minorHAnsi"/>
          <w:sz w:val="16"/>
          <w:szCs w:val="16"/>
        </w:rPr>
        <w:t xml:space="preserve"> - Prostheses List Reforms Taskforce</w:t>
      </w:r>
    </w:p>
    <w:p w14:paraId="1049BF8F" w14:textId="77777777" w:rsidR="000B0C19" w:rsidRPr="000B0C19" w:rsidRDefault="000B0C19" w:rsidP="000B0C19">
      <w:pPr>
        <w:spacing w:before="0" w:line="240" w:lineRule="auto"/>
        <w:ind w:left="-567"/>
        <w:rPr>
          <w:rFonts w:cstheme="minorHAnsi"/>
          <w:sz w:val="16"/>
          <w:szCs w:val="16"/>
        </w:rPr>
      </w:pPr>
      <w:r w:rsidRPr="000B0C19">
        <w:rPr>
          <w:rFonts w:cstheme="minorHAnsi"/>
          <w:sz w:val="16"/>
          <w:szCs w:val="16"/>
          <w:vertAlign w:val="superscript"/>
        </w:rPr>
        <w:t xml:space="preserve"># </w:t>
      </w:r>
      <w:r w:rsidRPr="000B0C19">
        <w:rPr>
          <w:rFonts w:cstheme="minorHAnsi"/>
          <w:b/>
          <w:bCs/>
          <w:sz w:val="16"/>
          <w:szCs w:val="16"/>
        </w:rPr>
        <w:t>OTPPS</w:t>
      </w:r>
      <w:r w:rsidRPr="000B0C19">
        <w:rPr>
          <w:rFonts w:cstheme="minorHAnsi"/>
          <w:sz w:val="16"/>
          <w:szCs w:val="16"/>
        </w:rPr>
        <w:t xml:space="preserve"> - Organ and Tissue Policy and Programs Section</w:t>
      </w:r>
    </w:p>
    <w:p w14:paraId="6A4CE30C" w14:textId="7846992D" w:rsidR="00077A30" w:rsidRPr="000B0C19" w:rsidRDefault="00077A30" w:rsidP="00346C4A">
      <w:pPr>
        <w:rPr>
          <w:sz w:val="16"/>
          <w:szCs w:val="16"/>
        </w:rPr>
        <w:sectPr w:rsidR="00077A30" w:rsidRPr="000B0C19" w:rsidSect="00C23EB2">
          <w:pgSz w:w="16840" w:h="11907" w:orient="landscape" w:code="9"/>
          <w:pgMar w:top="426" w:right="1701" w:bottom="851" w:left="1418" w:header="142" w:footer="709" w:gutter="0"/>
          <w:cols w:space="708"/>
          <w:docGrid w:linePitch="360"/>
        </w:sectPr>
      </w:pPr>
    </w:p>
    <w:p w14:paraId="22AF2C1C" w14:textId="77777777" w:rsidR="00205A93" w:rsidRPr="004D1339" w:rsidRDefault="00205A93" w:rsidP="00346C4A">
      <w:pPr>
        <w:pStyle w:val="URL"/>
      </w:pPr>
      <w:r w:rsidRPr="004D1339">
        <w:lastRenderedPageBreak/>
        <w:t>Health.gov.au</w:t>
      </w:r>
    </w:p>
    <w:p w14:paraId="353C0577" w14:textId="506B2020" w:rsidR="00205A93" w:rsidRPr="004D1339" w:rsidRDefault="00205A93" w:rsidP="004D1339">
      <w:pPr>
        <w:jc w:val="center"/>
      </w:pPr>
      <w:r w:rsidRPr="004D1339">
        <w:t xml:space="preserve">All information in this publication is correct as </w:t>
      </w:r>
      <w:proofErr w:type="gramStart"/>
      <w:r w:rsidRPr="004D1339">
        <w:t>at</w:t>
      </w:r>
      <w:proofErr w:type="gramEnd"/>
      <w:r w:rsidRPr="004D1339">
        <w:t xml:space="preserve"> </w:t>
      </w:r>
      <w:r w:rsidR="000B0C19">
        <w:t>August</w:t>
      </w:r>
      <w:r w:rsidR="009867B0">
        <w:t xml:space="preserve"> </w:t>
      </w:r>
      <w:r w:rsidR="008E5F69">
        <w:t>202</w:t>
      </w:r>
      <w:r w:rsidR="009867B0">
        <w:t>3</w:t>
      </w:r>
    </w:p>
    <w:sectPr w:rsidR="00205A93" w:rsidRPr="004D1339" w:rsidSect="000B0C19">
      <w:headerReference w:type="default" r:id="rId19"/>
      <w:footerReference w:type="default" r:id="rId20"/>
      <w:type w:val="oddPage"/>
      <w:pgSz w:w="11907" w:h="16840" w:orient="landscape" w:code="9"/>
      <w:pgMar w:top="1418" w:right="170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3856" w14:textId="77777777" w:rsidR="003B4E16" w:rsidRDefault="003B4E16" w:rsidP="00346C4A">
      <w:r>
        <w:separator/>
      </w:r>
    </w:p>
    <w:p w14:paraId="220E28CA" w14:textId="77777777" w:rsidR="003B4E16" w:rsidRDefault="003B4E16" w:rsidP="00346C4A"/>
  </w:endnote>
  <w:endnote w:type="continuationSeparator" w:id="0">
    <w:p w14:paraId="667B2459" w14:textId="77777777" w:rsidR="003B4E16" w:rsidRDefault="003B4E16" w:rsidP="00346C4A">
      <w:r>
        <w:continuationSeparator/>
      </w:r>
    </w:p>
    <w:p w14:paraId="1D2E461F" w14:textId="77777777" w:rsidR="003B4E16" w:rsidRDefault="003B4E16" w:rsidP="00346C4A"/>
  </w:endnote>
  <w:endnote w:type="continuationNotice" w:id="1">
    <w:p w14:paraId="53775094" w14:textId="77777777" w:rsidR="003B4E16" w:rsidRDefault="003B4E16" w:rsidP="0034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C936" w14:textId="77777777" w:rsidR="00C23EB2" w:rsidRDefault="00C23EB2" w:rsidP="00C23EB2">
    <w:pPr>
      <w:pStyle w:val="Footer"/>
      <w:pBdr>
        <w:bottom w:val="single" w:sz="4" w:space="1" w:color="auto"/>
      </w:pBdr>
      <w:tabs>
        <w:tab w:val="clear" w:pos="0"/>
        <w:tab w:val="clear" w:pos="9026"/>
        <w:tab w:val="right" w:pos="14459"/>
      </w:tabs>
      <w:ind w:right="-880" w:hanging="567"/>
      <w:jc w:val="left"/>
      <w:rPr>
        <w:b/>
        <w:bCs/>
        <w:color w:val="0070C0"/>
        <w:sz w:val="16"/>
        <w:szCs w:val="16"/>
      </w:rPr>
    </w:pPr>
  </w:p>
  <w:p w14:paraId="79B28F1B" w14:textId="77777777" w:rsidR="00C23EB2" w:rsidRDefault="00C23EB2" w:rsidP="00C23EB2">
    <w:pPr>
      <w:pStyle w:val="Footer"/>
      <w:tabs>
        <w:tab w:val="clear" w:pos="0"/>
        <w:tab w:val="clear" w:pos="9026"/>
        <w:tab w:val="right" w:pos="14459"/>
      </w:tabs>
      <w:ind w:right="-880" w:hanging="567"/>
      <w:jc w:val="left"/>
      <w:rPr>
        <w:b/>
        <w:bCs/>
        <w:color w:val="0070C0"/>
        <w:sz w:val="16"/>
        <w:szCs w:val="16"/>
      </w:rPr>
    </w:pPr>
  </w:p>
  <w:p w14:paraId="24C1C681" w14:textId="556E0B41" w:rsidR="00C23EB2" w:rsidRPr="00C23EB2" w:rsidRDefault="00C23EB2" w:rsidP="00C23EB2">
    <w:pPr>
      <w:pStyle w:val="Footer"/>
      <w:tabs>
        <w:tab w:val="clear" w:pos="0"/>
        <w:tab w:val="clear" w:pos="9026"/>
        <w:tab w:val="right" w:pos="14459"/>
      </w:tabs>
      <w:ind w:right="-880" w:hanging="567"/>
      <w:jc w:val="left"/>
      <w:rPr>
        <w:b/>
        <w:bCs/>
        <w:color w:val="0070C0"/>
        <w:sz w:val="16"/>
        <w:szCs w:val="16"/>
      </w:rPr>
    </w:pPr>
    <w:r w:rsidRPr="00C23EB2">
      <w:rPr>
        <w:b/>
        <w:bCs/>
        <w:color w:val="0070C0"/>
        <w:sz w:val="16"/>
        <w:szCs w:val="16"/>
      </w:rPr>
      <w:t>Reforms to the Prescribed List - Part B</w:t>
    </w:r>
    <w:r w:rsidRPr="00C23EB2">
      <w:rPr>
        <w:b/>
        <w:bCs/>
        <w:color w:val="0070C0"/>
        <w:sz w:val="16"/>
        <w:szCs w:val="16"/>
      </w:rPr>
      <w:tab/>
    </w:r>
    <w:r w:rsidRPr="00C23EB2">
      <w:rPr>
        <w:b/>
        <w:bCs/>
        <w:color w:val="0070C0"/>
        <w:sz w:val="16"/>
        <w:szCs w:val="16"/>
      </w:rPr>
      <w:fldChar w:fldCharType="begin"/>
    </w:r>
    <w:r w:rsidRPr="00C23EB2">
      <w:rPr>
        <w:b/>
        <w:bCs/>
        <w:color w:val="0070C0"/>
        <w:sz w:val="16"/>
        <w:szCs w:val="16"/>
      </w:rPr>
      <w:instrText xml:space="preserve"> PAGE   \* MERGEFORMAT </w:instrText>
    </w:r>
    <w:r w:rsidRPr="00C23EB2">
      <w:rPr>
        <w:b/>
        <w:bCs/>
        <w:color w:val="0070C0"/>
        <w:sz w:val="16"/>
        <w:szCs w:val="16"/>
      </w:rPr>
      <w:fldChar w:fldCharType="separate"/>
    </w:r>
    <w:r>
      <w:rPr>
        <w:b/>
        <w:bCs/>
        <w:color w:val="0070C0"/>
        <w:sz w:val="16"/>
        <w:szCs w:val="16"/>
      </w:rPr>
      <w:t>3</w:t>
    </w:r>
    <w:r w:rsidRPr="00C23EB2">
      <w:rPr>
        <w:b/>
        <w:bCs/>
        <w:color w:val="0070C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sz w:val="16"/>
        <w:szCs w:val="16"/>
      </w:rPr>
      <w:id w:val="141162288"/>
      <w:docPartObj>
        <w:docPartGallery w:val="Page Numbers (Bottom of Page)"/>
        <w:docPartUnique/>
      </w:docPartObj>
    </w:sdtPr>
    <w:sdtEndPr>
      <w:rPr>
        <w:b w:val="0"/>
        <w:bCs w:val="0"/>
        <w:i/>
        <w:iCs/>
        <w:noProof/>
        <w:color w:val="auto"/>
        <w:sz w:val="20"/>
        <w:szCs w:val="24"/>
      </w:rPr>
    </w:sdtEndPr>
    <w:sdtContent>
      <w:p w14:paraId="22212EAC" w14:textId="77777777" w:rsidR="00C23EB2" w:rsidRDefault="00C23EB2" w:rsidP="00C23EB2">
        <w:pPr>
          <w:pStyle w:val="Footer"/>
          <w:pBdr>
            <w:bottom w:val="single" w:sz="4" w:space="1" w:color="auto"/>
          </w:pBdr>
          <w:tabs>
            <w:tab w:val="clear" w:pos="0"/>
            <w:tab w:val="clear" w:pos="9026"/>
            <w:tab w:val="right" w:pos="14459"/>
          </w:tabs>
          <w:ind w:right="-880" w:hanging="567"/>
          <w:jc w:val="left"/>
          <w:rPr>
            <w:b/>
            <w:bCs/>
            <w:color w:val="0070C0"/>
            <w:sz w:val="16"/>
            <w:szCs w:val="16"/>
          </w:rPr>
        </w:pPr>
      </w:p>
      <w:p w14:paraId="4B43DC69" w14:textId="77777777" w:rsidR="00C23EB2" w:rsidRDefault="00C23EB2" w:rsidP="00C23EB2">
        <w:pPr>
          <w:pStyle w:val="Footer"/>
          <w:tabs>
            <w:tab w:val="clear" w:pos="0"/>
            <w:tab w:val="clear" w:pos="9026"/>
            <w:tab w:val="right" w:pos="14459"/>
          </w:tabs>
          <w:ind w:right="-880" w:hanging="567"/>
          <w:jc w:val="left"/>
          <w:rPr>
            <w:b/>
            <w:bCs/>
            <w:color w:val="0070C0"/>
            <w:sz w:val="16"/>
            <w:szCs w:val="16"/>
          </w:rPr>
        </w:pPr>
      </w:p>
      <w:p w14:paraId="3B54EF09" w14:textId="640913A7" w:rsidR="006A7FCA" w:rsidRPr="00C23EB2" w:rsidRDefault="005F361D" w:rsidP="00C23EB2">
        <w:pPr>
          <w:pStyle w:val="Footer"/>
          <w:tabs>
            <w:tab w:val="clear" w:pos="0"/>
            <w:tab w:val="clear" w:pos="9026"/>
            <w:tab w:val="right" w:pos="14459"/>
          </w:tabs>
          <w:ind w:right="-880" w:hanging="567"/>
          <w:jc w:val="left"/>
          <w:rPr>
            <w:b/>
            <w:bCs/>
            <w:color w:val="0070C0"/>
            <w:sz w:val="16"/>
            <w:szCs w:val="16"/>
          </w:rPr>
        </w:pPr>
        <w:r w:rsidRPr="00C23EB2">
          <w:rPr>
            <w:b/>
            <w:bCs/>
            <w:color w:val="0070C0"/>
            <w:sz w:val="16"/>
            <w:szCs w:val="16"/>
          </w:rPr>
          <w:t xml:space="preserve">Reforms to the </w:t>
        </w:r>
        <w:r w:rsidR="006A7FCA" w:rsidRPr="00C23EB2">
          <w:rPr>
            <w:b/>
            <w:bCs/>
            <w:color w:val="0070C0"/>
            <w:sz w:val="16"/>
            <w:szCs w:val="16"/>
          </w:rPr>
          <w:t xml:space="preserve">Prescribed </w:t>
        </w:r>
        <w:r w:rsidRPr="00C23EB2">
          <w:rPr>
            <w:b/>
            <w:bCs/>
            <w:color w:val="0070C0"/>
            <w:sz w:val="16"/>
            <w:szCs w:val="16"/>
          </w:rPr>
          <w:t xml:space="preserve">List </w:t>
        </w:r>
        <w:r w:rsidR="001B46B1" w:rsidRPr="00C23EB2">
          <w:rPr>
            <w:b/>
            <w:bCs/>
            <w:color w:val="0070C0"/>
            <w:sz w:val="16"/>
            <w:szCs w:val="16"/>
          </w:rPr>
          <w:t xml:space="preserve">- </w:t>
        </w:r>
        <w:r w:rsidRPr="00C23EB2">
          <w:rPr>
            <w:b/>
            <w:bCs/>
            <w:color w:val="0070C0"/>
            <w:sz w:val="16"/>
            <w:szCs w:val="16"/>
          </w:rPr>
          <w:t>Part B</w:t>
        </w:r>
        <w:r w:rsidR="000B0C19" w:rsidRPr="00C23EB2">
          <w:rPr>
            <w:b/>
            <w:bCs/>
            <w:color w:val="0070C0"/>
            <w:sz w:val="16"/>
            <w:szCs w:val="16"/>
          </w:rPr>
          <w:tab/>
        </w:r>
        <w:r w:rsidR="000B0C19" w:rsidRPr="00C23EB2">
          <w:rPr>
            <w:b/>
            <w:bCs/>
            <w:color w:val="0070C0"/>
            <w:sz w:val="16"/>
            <w:szCs w:val="16"/>
          </w:rPr>
          <w:fldChar w:fldCharType="begin"/>
        </w:r>
        <w:r w:rsidR="000B0C19" w:rsidRPr="00C23EB2">
          <w:rPr>
            <w:b/>
            <w:bCs/>
            <w:color w:val="0070C0"/>
            <w:sz w:val="16"/>
            <w:szCs w:val="16"/>
          </w:rPr>
          <w:instrText xml:space="preserve"> PAGE   \* MERGEFORMAT </w:instrText>
        </w:r>
        <w:r w:rsidR="000B0C19" w:rsidRPr="00C23EB2">
          <w:rPr>
            <w:b/>
            <w:bCs/>
            <w:color w:val="0070C0"/>
            <w:sz w:val="16"/>
            <w:szCs w:val="16"/>
          </w:rPr>
          <w:fldChar w:fldCharType="separate"/>
        </w:r>
        <w:r w:rsidR="000B0C19" w:rsidRPr="00C23EB2">
          <w:rPr>
            <w:b/>
            <w:bCs/>
            <w:color w:val="0070C0"/>
            <w:sz w:val="16"/>
            <w:szCs w:val="16"/>
          </w:rPr>
          <w:t>4</w:t>
        </w:r>
        <w:r w:rsidR="000B0C19" w:rsidRPr="00C23EB2">
          <w:rPr>
            <w:b/>
            <w:bCs/>
            <w:color w:val="0070C0"/>
            <w:sz w:val="16"/>
            <w:szCs w:val="16"/>
          </w:rPr>
          <w:fldChar w:fldCharType="end"/>
        </w:r>
      </w:p>
      <w:p w14:paraId="78E6A52C" w14:textId="77777777" w:rsidR="00C23EB2" w:rsidRPr="00C23EB2" w:rsidRDefault="00C23EB2" w:rsidP="00C23EB2">
        <w:pPr>
          <w:pStyle w:val="Footer"/>
          <w:tabs>
            <w:tab w:val="clear" w:pos="0"/>
            <w:tab w:val="clear" w:pos="9026"/>
            <w:tab w:val="right" w:pos="14459"/>
          </w:tabs>
          <w:ind w:right="-880" w:hanging="567"/>
          <w:jc w:val="left"/>
          <w:rPr>
            <w:b/>
            <w:bCs/>
            <w:color w:val="0070C0"/>
            <w:sz w:val="16"/>
            <w:szCs w:val="16"/>
          </w:rPr>
        </w:pPr>
      </w:p>
      <w:p w14:paraId="4F0E78E3" w14:textId="0EC9C747" w:rsidR="00236073" w:rsidRPr="00C23EB2" w:rsidRDefault="00236073" w:rsidP="00C23EB2">
        <w:pPr>
          <w:pStyle w:val="Footer"/>
          <w:tabs>
            <w:tab w:val="clear" w:pos="0"/>
            <w:tab w:val="clear" w:pos="9026"/>
            <w:tab w:val="right" w:pos="14317"/>
          </w:tabs>
          <w:ind w:right="-427" w:hanging="567"/>
          <w:jc w:val="left"/>
          <w:rPr>
            <w:i/>
            <w:iCs/>
          </w:rPr>
        </w:pPr>
        <w:r w:rsidRPr="00C23EB2">
          <w:rPr>
            <w:i/>
            <w:iCs/>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sz w:val="16"/>
        <w:szCs w:val="16"/>
      </w:rPr>
      <w:id w:val="463169317"/>
      <w:docPartObj>
        <w:docPartGallery w:val="Page Numbers (Bottom of Page)"/>
        <w:docPartUnique/>
      </w:docPartObj>
    </w:sdtPr>
    <w:sdtEndPr>
      <w:rPr>
        <w:noProof/>
      </w:rPr>
    </w:sdtEndPr>
    <w:sdtContent>
      <w:p w14:paraId="391D7A9C" w14:textId="3D3D1961" w:rsidR="00236073" w:rsidRPr="00C23EB2" w:rsidRDefault="000B0C19" w:rsidP="00C23EB2">
        <w:pPr>
          <w:pStyle w:val="Footer"/>
          <w:ind w:hanging="709"/>
          <w:rPr>
            <w:b/>
            <w:bCs/>
            <w:color w:val="0070C0"/>
            <w:sz w:val="16"/>
            <w:szCs w:val="16"/>
          </w:rPr>
        </w:pPr>
        <w:r w:rsidRPr="00C23EB2">
          <w:rPr>
            <w:b/>
            <w:bCs/>
            <w:color w:val="0070C0"/>
            <w:sz w:val="16"/>
            <w:szCs w:val="16"/>
          </w:rPr>
          <w:t>Reforms to the Prescribed List - Part B</w:t>
        </w:r>
        <w:r w:rsidR="00CF14A6" w:rsidRPr="00C23EB2">
          <w:rPr>
            <w:b/>
            <w:bCs/>
            <w:color w:val="0070C0"/>
            <w:sz w:val="16"/>
            <w:szCs w:val="16"/>
          </w:rPr>
          <w:tab/>
        </w:r>
        <w:r w:rsidR="00CF14A6" w:rsidRPr="00C23EB2">
          <w:rPr>
            <w:b/>
            <w:bCs/>
            <w:color w:val="0070C0"/>
            <w:sz w:val="16"/>
            <w:szCs w:val="16"/>
          </w:rPr>
          <w:fldChar w:fldCharType="begin"/>
        </w:r>
        <w:r w:rsidR="00CF14A6" w:rsidRPr="00C23EB2">
          <w:rPr>
            <w:b/>
            <w:bCs/>
            <w:color w:val="0070C0"/>
            <w:sz w:val="16"/>
            <w:szCs w:val="16"/>
          </w:rPr>
          <w:instrText xml:space="preserve"> PAGE   \* MERGEFORMAT </w:instrText>
        </w:r>
        <w:r w:rsidR="00CF14A6" w:rsidRPr="00C23EB2">
          <w:rPr>
            <w:b/>
            <w:bCs/>
            <w:color w:val="0070C0"/>
            <w:sz w:val="16"/>
            <w:szCs w:val="16"/>
          </w:rPr>
          <w:fldChar w:fldCharType="separate"/>
        </w:r>
        <w:r w:rsidR="00CF14A6" w:rsidRPr="00C23EB2">
          <w:rPr>
            <w:b/>
            <w:bCs/>
            <w:noProof/>
            <w:color w:val="0070C0"/>
            <w:sz w:val="16"/>
            <w:szCs w:val="16"/>
          </w:rPr>
          <w:t>1</w:t>
        </w:r>
        <w:r w:rsidR="00CF14A6" w:rsidRPr="00C23EB2">
          <w:rPr>
            <w:b/>
            <w:bCs/>
            <w:noProof/>
            <w:color w:val="0070C0"/>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39DE" w14:textId="77777777" w:rsidR="00205A93" w:rsidRDefault="00205A93" w:rsidP="000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781B" w14:textId="77777777" w:rsidR="003B4E16" w:rsidRDefault="003B4E16" w:rsidP="00346C4A">
      <w:r>
        <w:separator/>
      </w:r>
    </w:p>
    <w:p w14:paraId="252D9A0C" w14:textId="77777777" w:rsidR="003B4E16" w:rsidRDefault="003B4E16" w:rsidP="00346C4A"/>
  </w:footnote>
  <w:footnote w:type="continuationSeparator" w:id="0">
    <w:p w14:paraId="5B6E4683" w14:textId="77777777" w:rsidR="003B4E16" w:rsidRDefault="003B4E16" w:rsidP="00346C4A">
      <w:r>
        <w:continuationSeparator/>
      </w:r>
    </w:p>
    <w:p w14:paraId="3093F079" w14:textId="77777777" w:rsidR="003B4E16" w:rsidRDefault="003B4E16" w:rsidP="00346C4A"/>
  </w:footnote>
  <w:footnote w:type="continuationNotice" w:id="1">
    <w:p w14:paraId="7A39EBF6" w14:textId="77777777" w:rsidR="003B4E16" w:rsidRDefault="003B4E16" w:rsidP="00346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8DA" w14:textId="77777777" w:rsidR="008E0C77" w:rsidRDefault="00CA79CF" w:rsidP="008E0C77">
    <w:pPr>
      <w:pStyle w:val="Headertext"/>
      <w:spacing w:after="180"/>
      <w:jc w:val="left"/>
    </w:pPr>
    <w:r>
      <w:rPr>
        <w:noProof/>
        <w:lang w:eastAsia="en-AU"/>
      </w:rPr>
      <w:drawing>
        <wp:anchor distT="0" distB="0" distL="114300" distR="114300" simplePos="0" relativeHeight="251659264" behindDoc="1" locked="0" layoutInCell="1" allowOverlap="1" wp14:anchorId="2ECAD661" wp14:editId="368F0FC5">
          <wp:simplePos x="0" y="0"/>
          <wp:positionH relativeFrom="page">
            <wp:align>center</wp:align>
          </wp:positionH>
          <wp:positionV relativeFrom="page">
            <wp:align>center</wp:align>
          </wp:positionV>
          <wp:extent cx="7560000" cy="10692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D7BF" w14:textId="77777777" w:rsidR="00CA79CF" w:rsidRDefault="00CA79CF" w:rsidP="00205A93">
    <w:pPr>
      <w:pStyle w:val="Header"/>
      <w:tabs>
        <w:tab w:val="clear" w:pos="4513"/>
        <w:tab w:val="clear" w:pos="9026"/>
        <w:tab w:val="center" w:pos="4535"/>
      </w:tabs>
    </w:pPr>
    <w:r>
      <w:rPr>
        <w:noProof/>
        <w:lang w:eastAsia="en-AU"/>
      </w:rPr>
      <w:drawing>
        <wp:anchor distT="0" distB="0" distL="114300" distR="114300" simplePos="0" relativeHeight="251661312" behindDoc="1" locked="0" layoutInCell="1" allowOverlap="1" wp14:anchorId="295CCBD0" wp14:editId="6803BCD5">
          <wp:simplePos x="0" y="0"/>
          <wp:positionH relativeFrom="page">
            <wp:align>center</wp:align>
          </wp:positionH>
          <wp:positionV relativeFrom="page">
            <wp:align>center</wp:align>
          </wp:positionV>
          <wp:extent cx="7558768" cy="10692000"/>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r w:rsidR="00205A9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283" w14:textId="77777777" w:rsidR="000D56E4" w:rsidRDefault="000D5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930" w14:textId="77777777" w:rsidR="000D56E4" w:rsidRPr="00C23EB2" w:rsidRDefault="000D56E4" w:rsidP="00C23E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B60D" w14:textId="77777777" w:rsidR="000D56E4" w:rsidRDefault="000D56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336" w14:textId="77777777" w:rsidR="00205A93" w:rsidRDefault="00205A93" w:rsidP="008E0C77">
    <w:pPr>
      <w:pStyle w:val="Headertext"/>
      <w:spacing w:after="180"/>
      <w:jc w:val="left"/>
    </w:pPr>
    <w:r>
      <w:rPr>
        <w:noProof/>
        <w:lang w:eastAsia="en-AU"/>
      </w:rPr>
      <w:drawing>
        <wp:anchor distT="0" distB="0" distL="114300" distR="114300" simplePos="0" relativeHeight="251663360" behindDoc="1" locked="0" layoutInCell="1" allowOverlap="1" wp14:anchorId="72702226" wp14:editId="52DB05CA">
          <wp:simplePos x="0" y="0"/>
          <wp:positionH relativeFrom="page">
            <wp:posOffset>0</wp:posOffset>
          </wp:positionH>
          <wp:positionV relativeFrom="page">
            <wp:posOffset>3458210</wp:posOffset>
          </wp:positionV>
          <wp:extent cx="7559040" cy="7232650"/>
          <wp:effectExtent l="0" t="0" r="381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32351"/>
                  <a:stretch/>
                </pic:blipFill>
                <pic:spPr bwMode="auto">
                  <a:xfrm>
                    <a:off x="0" y="0"/>
                    <a:ext cx="7559040" cy="723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3F62E3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07A7F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574DD0"/>
    <w:multiLevelType w:val="hybridMultilevel"/>
    <w:tmpl w:val="50FC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A061E"/>
    <w:multiLevelType w:val="hybridMultilevel"/>
    <w:tmpl w:val="94CE18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DF07968"/>
    <w:multiLevelType w:val="hybridMultilevel"/>
    <w:tmpl w:val="8A7EAB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77431B"/>
    <w:multiLevelType w:val="hybridMultilevel"/>
    <w:tmpl w:val="3F9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E1A36"/>
    <w:multiLevelType w:val="hybridMultilevel"/>
    <w:tmpl w:val="97ECDB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DE711E"/>
    <w:multiLevelType w:val="hybridMultilevel"/>
    <w:tmpl w:val="B3FC6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261CCF"/>
    <w:multiLevelType w:val="hybridMultilevel"/>
    <w:tmpl w:val="DF0C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45059242">
    <w:abstractNumId w:val="7"/>
  </w:num>
  <w:num w:numId="2" w16cid:durableId="2052067413">
    <w:abstractNumId w:val="18"/>
  </w:num>
  <w:num w:numId="3" w16cid:durableId="1251113511">
    <w:abstractNumId w:val="22"/>
  </w:num>
  <w:num w:numId="4" w16cid:durableId="826826540">
    <w:abstractNumId w:val="8"/>
  </w:num>
  <w:num w:numId="5" w16cid:durableId="2079399088">
    <w:abstractNumId w:val="8"/>
    <w:lvlOverride w:ilvl="0">
      <w:startOverride w:val="1"/>
    </w:lvlOverride>
  </w:num>
  <w:num w:numId="6" w16cid:durableId="1882354885">
    <w:abstractNumId w:val="9"/>
  </w:num>
  <w:num w:numId="7" w16cid:durableId="1271469156">
    <w:abstractNumId w:val="16"/>
  </w:num>
  <w:num w:numId="8" w16cid:durableId="1982533873">
    <w:abstractNumId w:val="21"/>
  </w:num>
  <w:num w:numId="9" w16cid:durableId="325788013">
    <w:abstractNumId w:val="5"/>
  </w:num>
  <w:num w:numId="10" w16cid:durableId="1652976151">
    <w:abstractNumId w:val="4"/>
  </w:num>
  <w:num w:numId="11" w16cid:durableId="1709262574">
    <w:abstractNumId w:val="3"/>
  </w:num>
  <w:num w:numId="12" w16cid:durableId="270744394">
    <w:abstractNumId w:val="2"/>
  </w:num>
  <w:num w:numId="13" w16cid:durableId="185413951">
    <w:abstractNumId w:val="6"/>
  </w:num>
  <w:num w:numId="14" w16cid:durableId="862132702">
    <w:abstractNumId w:val="1"/>
  </w:num>
  <w:num w:numId="15" w16cid:durableId="667363145">
    <w:abstractNumId w:val="0"/>
  </w:num>
  <w:num w:numId="16" w16cid:durableId="1714304843">
    <w:abstractNumId w:val="25"/>
  </w:num>
  <w:num w:numId="17" w16cid:durableId="410196057">
    <w:abstractNumId w:val="10"/>
  </w:num>
  <w:num w:numId="18" w16cid:durableId="882521308">
    <w:abstractNumId w:val="12"/>
  </w:num>
  <w:num w:numId="19" w16cid:durableId="2094936535">
    <w:abstractNumId w:val="15"/>
  </w:num>
  <w:num w:numId="20" w16cid:durableId="542981036">
    <w:abstractNumId w:val="17"/>
  </w:num>
  <w:num w:numId="21" w16cid:durableId="719210866">
    <w:abstractNumId w:val="23"/>
  </w:num>
  <w:num w:numId="22" w16cid:durableId="45883579">
    <w:abstractNumId w:val="13"/>
  </w:num>
  <w:num w:numId="23" w16cid:durableId="592278827">
    <w:abstractNumId w:val="20"/>
  </w:num>
  <w:num w:numId="24" w16cid:durableId="2000501557">
    <w:abstractNumId w:val="24"/>
  </w:num>
  <w:num w:numId="25" w16cid:durableId="936983722">
    <w:abstractNumId w:val="14"/>
  </w:num>
  <w:num w:numId="26" w16cid:durableId="947351066">
    <w:abstractNumId w:val="11"/>
  </w:num>
  <w:num w:numId="27" w16cid:durableId="5356294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FF"/>
    <w:rsid w:val="00002166"/>
    <w:rsid w:val="00003743"/>
    <w:rsid w:val="000047B4"/>
    <w:rsid w:val="00005712"/>
    <w:rsid w:val="00007FD8"/>
    <w:rsid w:val="000117F8"/>
    <w:rsid w:val="00016E0D"/>
    <w:rsid w:val="00026139"/>
    <w:rsid w:val="00027071"/>
    <w:rsid w:val="00027601"/>
    <w:rsid w:val="00033321"/>
    <w:rsid w:val="000338E5"/>
    <w:rsid w:val="00033ECC"/>
    <w:rsid w:val="0003422F"/>
    <w:rsid w:val="00037C53"/>
    <w:rsid w:val="00046FF0"/>
    <w:rsid w:val="00050176"/>
    <w:rsid w:val="00050702"/>
    <w:rsid w:val="00060C27"/>
    <w:rsid w:val="00062B65"/>
    <w:rsid w:val="00066C71"/>
    <w:rsid w:val="00067456"/>
    <w:rsid w:val="00071506"/>
    <w:rsid w:val="0007154F"/>
    <w:rsid w:val="00073B7B"/>
    <w:rsid w:val="000750D6"/>
    <w:rsid w:val="00077A30"/>
    <w:rsid w:val="00081AB1"/>
    <w:rsid w:val="00090316"/>
    <w:rsid w:val="00093981"/>
    <w:rsid w:val="00093CD9"/>
    <w:rsid w:val="000B067A"/>
    <w:rsid w:val="000B0C19"/>
    <w:rsid w:val="000B1540"/>
    <w:rsid w:val="000B33FD"/>
    <w:rsid w:val="000B4ABA"/>
    <w:rsid w:val="000C4839"/>
    <w:rsid w:val="000C4B16"/>
    <w:rsid w:val="000C50C3"/>
    <w:rsid w:val="000D21F6"/>
    <w:rsid w:val="000D42C3"/>
    <w:rsid w:val="000D4500"/>
    <w:rsid w:val="000D56E4"/>
    <w:rsid w:val="000D7AEA"/>
    <w:rsid w:val="000E01A9"/>
    <w:rsid w:val="000E2C66"/>
    <w:rsid w:val="000E6E7D"/>
    <w:rsid w:val="000F123C"/>
    <w:rsid w:val="000F2FED"/>
    <w:rsid w:val="000F44B2"/>
    <w:rsid w:val="00100F6D"/>
    <w:rsid w:val="001055BA"/>
    <w:rsid w:val="0010616D"/>
    <w:rsid w:val="00110478"/>
    <w:rsid w:val="0011711B"/>
    <w:rsid w:val="00117F8A"/>
    <w:rsid w:val="0012011B"/>
    <w:rsid w:val="00121B9B"/>
    <w:rsid w:val="00122ADC"/>
    <w:rsid w:val="00130F59"/>
    <w:rsid w:val="00131DD2"/>
    <w:rsid w:val="00133EC0"/>
    <w:rsid w:val="00141CE5"/>
    <w:rsid w:val="00144908"/>
    <w:rsid w:val="001571C7"/>
    <w:rsid w:val="00161094"/>
    <w:rsid w:val="00161168"/>
    <w:rsid w:val="00165D31"/>
    <w:rsid w:val="00172A55"/>
    <w:rsid w:val="00174CCF"/>
    <w:rsid w:val="001758CD"/>
    <w:rsid w:val="0017665C"/>
    <w:rsid w:val="0017720F"/>
    <w:rsid w:val="00177AD2"/>
    <w:rsid w:val="001815A8"/>
    <w:rsid w:val="001840FA"/>
    <w:rsid w:val="00190079"/>
    <w:rsid w:val="0019622E"/>
    <w:rsid w:val="001966A7"/>
    <w:rsid w:val="001A0432"/>
    <w:rsid w:val="001A4627"/>
    <w:rsid w:val="001A4979"/>
    <w:rsid w:val="001B0F0A"/>
    <w:rsid w:val="001B15D3"/>
    <w:rsid w:val="001B3443"/>
    <w:rsid w:val="001B46B1"/>
    <w:rsid w:val="001C0326"/>
    <w:rsid w:val="001C192F"/>
    <w:rsid w:val="001C3C42"/>
    <w:rsid w:val="001D7869"/>
    <w:rsid w:val="001F2F78"/>
    <w:rsid w:val="002024F0"/>
    <w:rsid w:val="002026CD"/>
    <w:rsid w:val="002033FC"/>
    <w:rsid w:val="0020352E"/>
    <w:rsid w:val="002044BB"/>
    <w:rsid w:val="00205A93"/>
    <w:rsid w:val="00207793"/>
    <w:rsid w:val="00210B09"/>
    <w:rsid w:val="00210C9E"/>
    <w:rsid w:val="00211840"/>
    <w:rsid w:val="00220E5F"/>
    <w:rsid w:val="002212B5"/>
    <w:rsid w:val="00225ADA"/>
    <w:rsid w:val="00226668"/>
    <w:rsid w:val="00233809"/>
    <w:rsid w:val="00236073"/>
    <w:rsid w:val="00240046"/>
    <w:rsid w:val="0024797F"/>
    <w:rsid w:val="0025119E"/>
    <w:rsid w:val="00251269"/>
    <w:rsid w:val="002535C0"/>
    <w:rsid w:val="00254ABC"/>
    <w:rsid w:val="002579FE"/>
    <w:rsid w:val="0026311C"/>
    <w:rsid w:val="0026668C"/>
    <w:rsid w:val="00266AC1"/>
    <w:rsid w:val="00266AF3"/>
    <w:rsid w:val="0027178C"/>
    <w:rsid w:val="002719FA"/>
    <w:rsid w:val="00272668"/>
    <w:rsid w:val="0027330B"/>
    <w:rsid w:val="002803AD"/>
    <w:rsid w:val="00282052"/>
    <w:rsid w:val="002840BA"/>
    <w:rsid w:val="0028519E"/>
    <w:rsid w:val="00285494"/>
    <w:rsid w:val="002856A5"/>
    <w:rsid w:val="002872ED"/>
    <w:rsid w:val="002905C2"/>
    <w:rsid w:val="00290ACF"/>
    <w:rsid w:val="00295AF2"/>
    <w:rsid w:val="00295C91"/>
    <w:rsid w:val="00297151"/>
    <w:rsid w:val="002A4C65"/>
    <w:rsid w:val="002A5FB5"/>
    <w:rsid w:val="002B20E6"/>
    <w:rsid w:val="002B42A3"/>
    <w:rsid w:val="002C0CDD"/>
    <w:rsid w:val="002E1A1D"/>
    <w:rsid w:val="002E4081"/>
    <w:rsid w:val="002E5B78"/>
    <w:rsid w:val="002F15DF"/>
    <w:rsid w:val="002F3AE3"/>
    <w:rsid w:val="00303239"/>
    <w:rsid w:val="0030464B"/>
    <w:rsid w:val="0030786C"/>
    <w:rsid w:val="00320993"/>
    <w:rsid w:val="003233DE"/>
    <w:rsid w:val="0032466B"/>
    <w:rsid w:val="00327B44"/>
    <w:rsid w:val="00330FB0"/>
    <w:rsid w:val="003330EB"/>
    <w:rsid w:val="00336605"/>
    <w:rsid w:val="003415FD"/>
    <w:rsid w:val="003429F0"/>
    <w:rsid w:val="00346C4A"/>
    <w:rsid w:val="0035097A"/>
    <w:rsid w:val="003540A4"/>
    <w:rsid w:val="00360E4E"/>
    <w:rsid w:val="00370AAA"/>
    <w:rsid w:val="00371CBC"/>
    <w:rsid w:val="00375F77"/>
    <w:rsid w:val="00377A78"/>
    <w:rsid w:val="00381BBE"/>
    <w:rsid w:val="00381FDF"/>
    <w:rsid w:val="00382903"/>
    <w:rsid w:val="003846FF"/>
    <w:rsid w:val="00385AD4"/>
    <w:rsid w:val="00387924"/>
    <w:rsid w:val="0039384D"/>
    <w:rsid w:val="00395C23"/>
    <w:rsid w:val="003A2E4F"/>
    <w:rsid w:val="003A4438"/>
    <w:rsid w:val="003A5013"/>
    <w:rsid w:val="003A5078"/>
    <w:rsid w:val="003A62DD"/>
    <w:rsid w:val="003A775A"/>
    <w:rsid w:val="003B061A"/>
    <w:rsid w:val="003B0DAB"/>
    <w:rsid w:val="003B213A"/>
    <w:rsid w:val="003B43AD"/>
    <w:rsid w:val="003B4E16"/>
    <w:rsid w:val="003C0FEC"/>
    <w:rsid w:val="003C15B8"/>
    <w:rsid w:val="003C2AC8"/>
    <w:rsid w:val="003C40B6"/>
    <w:rsid w:val="003D17F9"/>
    <w:rsid w:val="003D2D88"/>
    <w:rsid w:val="003D41EA"/>
    <w:rsid w:val="003D4850"/>
    <w:rsid w:val="003D535A"/>
    <w:rsid w:val="003E10B8"/>
    <w:rsid w:val="003E5265"/>
    <w:rsid w:val="003F0955"/>
    <w:rsid w:val="003F36A2"/>
    <w:rsid w:val="003F6FE1"/>
    <w:rsid w:val="00400F00"/>
    <w:rsid w:val="00404F8B"/>
    <w:rsid w:val="00405256"/>
    <w:rsid w:val="00410031"/>
    <w:rsid w:val="004115A2"/>
    <w:rsid w:val="00415C81"/>
    <w:rsid w:val="00416731"/>
    <w:rsid w:val="00432378"/>
    <w:rsid w:val="00440D65"/>
    <w:rsid w:val="004435E6"/>
    <w:rsid w:val="00447E31"/>
    <w:rsid w:val="00453923"/>
    <w:rsid w:val="004540BA"/>
    <w:rsid w:val="00454B9B"/>
    <w:rsid w:val="00456BF6"/>
    <w:rsid w:val="00457858"/>
    <w:rsid w:val="004605BD"/>
    <w:rsid w:val="00460B0B"/>
    <w:rsid w:val="00461023"/>
    <w:rsid w:val="00462FAC"/>
    <w:rsid w:val="00464631"/>
    <w:rsid w:val="00464B79"/>
    <w:rsid w:val="00467BBF"/>
    <w:rsid w:val="004867E2"/>
    <w:rsid w:val="00491F98"/>
    <w:rsid w:val="004929A9"/>
    <w:rsid w:val="004935E5"/>
    <w:rsid w:val="00494E0C"/>
    <w:rsid w:val="004B50C0"/>
    <w:rsid w:val="004C1D71"/>
    <w:rsid w:val="004C2FEC"/>
    <w:rsid w:val="004C6BCF"/>
    <w:rsid w:val="004D1339"/>
    <w:rsid w:val="004D4BBE"/>
    <w:rsid w:val="004D58BF"/>
    <w:rsid w:val="004D5F58"/>
    <w:rsid w:val="004E1D94"/>
    <w:rsid w:val="004E4335"/>
    <w:rsid w:val="004E5ACF"/>
    <w:rsid w:val="004F13EE"/>
    <w:rsid w:val="004F2022"/>
    <w:rsid w:val="004F7C05"/>
    <w:rsid w:val="00501C94"/>
    <w:rsid w:val="005040E4"/>
    <w:rsid w:val="00506432"/>
    <w:rsid w:val="0051242B"/>
    <w:rsid w:val="0052051D"/>
    <w:rsid w:val="00544E23"/>
    <w:rsid w:val="00545EE6"/>
    <w:rsid w:val="00546470"/>
    <w:rsid w:val="005550E7"/>
    <w:rsid w:val="005564FB"/>
    <w:rsid w:val="005572C7"/>
    <w:rsid w:val="00557D5A"/>
    <w:rsid w:val="0056486D"/>
    <w:rsid w:val="005650ED"/>
    <w:rsid w:val="00571C6E"/>
    <w:rsid w:val="00575754"/>
    <w:rsid w:val="005868E0"/>
    <w:rsid w:val="00587643"/>
    <w:rsid w:val="00591E20"/>
    <w:rsid w:val="00595408"/>
    <w:rsid w:val="00595E84"/>
    <w:rsid w:val="005A0C59"/>
    <w:rsid w:val="005A48EB"/>
    <w:rsid w:val="005A6CFB"/>
    <w:rsid w:val="005C5AEB"/>
    <w:rsid w:val="005E0A3F"/>
    <w:rsid w:val="005E6883"/>
    <w:rsid w:val="005E772F"/>
    <w:rsid w:val="005F361D"/>
    <w:rsid w:val="005F4ECA"/>
    <w:rsid w:val="00602A2D"/>
    <w:rsid w:val="006041BE"/>
    <w:rsid w:val="006043C7"/>
    <w:rsid w:val="00621016"/>
    <w:rsid w:val="0062170A"/>
    <w:rsid w:val="00621CFD"/>
    <w:rsid w:val="00624472"/>
    <w:rsid w:val="00624B52"/>
    <w:rsid w:val="00631DF4"/>
    <w:rsid w:val="00634175"/>
    <w:rsid w:val="0063572F"/>
    <w:rsid w:val="006408AC"/>
    <w:rsid w:val="006477DB"/>
    <w:rsid w:val="006511B6"/>
    <w:rsid w:val="00652742"/>
    <w:rsid w:val="00657FF8"/>
    <w:rsid w:val="00663A66"/>
    <w:rsid w:val="0066677A"/>
    <w:rsid w:val="00670D99"/>
    <w:rsid w:val="00670E2B"/>
    <w:rsid w:val="006734BB"/>
    <w:rsid w:val="006779FB"/>
    <w:rsid w:val="00677C86"/>
    <w:rsid w:val="00681A34"/>
    <w:rsid w:val="006821EB"/>
    <w:rsid w:val="006A0EFF"/>
    <w:rsid w:val="006A7FCA"/>
    <w:rsid w:val="006B2286"/>
    <w:rsid w:val="006B56BB"/>
    <w:rsid w:val="006C027C"/>
    <w:rsid w:val="006C1EBF"/>
    <w:rsid w:val="006C77A8"/>
    <w:rsid w:val="006D4098"/>
    <w:rsid w:val="006D4224"/>
    <w:rsid w:val="006D7681"/>
    <w:rsid w:val="006D7B2E"/>
    <w:rsid w:val="006E02EA"/>
    <w:rsid w:val="006E0968"/>
    <w:rsid w:val="006E1BFF"/>
    <w:rsid w:val="006E2AF6"/>
    <w:rsid w:val="006E5334"/>
    <w:rsid w:val="007010B9"/>
    <w:rsid w:val="00701275"/>
    <w:rsid w:val="0070480B"/>
    <w:rsid w:val="00705803"/>
    <w:rsid w:val="00707F56"/>
    <w:rsid w:val="00713558"/>
    <w:rsid w:val="00713FBE"/>
    <w:rsid w:val="00720D08"/>
    <w:rsid w:val="00720F22"/>
    <w:rsid w:val="007263B9"/>
    <w:rsid w:val="00726DE5"/>
    <w:rsid w:val="007334F8"/>
    <w:rsid w:val="007339CD"/>
    <w:rsid w:val="007359D8"/>
    <w:rsid w:val="007362D4"/>
    <w:rsid w:val="00751A23"/>
    <w:rsid w:val="0076672A"/>
    <w:rsid w:val="00766C25"/>
    <w:rsid w:val="00775E45"/>
    <w:rsid w:val="00776E74"/>
    <w:rsid w:val="00785169"/>
    <w:rsid w:val="007954AB"/>
    <w:rsid w:val="007A14C5"/>
    <w:rsid w:val="007A3E38"/>
    <w:rsid w:val="007A4A10"/>
    <w:rsid w:val="007B1760"/>
    <w:rsid w:val="007C6D9C"/>
    <w:rsid w:val="007C7AF4"/>
    <w:rsid w:val="007C7DDB"/>
    <w:rsid w:val="007D0AB0"/>
    <w:rsid w:val="007D2CC7"/>
    <w:rsid w:val="007D673D"/>
    <w:rsid w:val="007F2220"/>
    <w:rsid w:val="007F4B3E"/>
    <w:rsid w:val="007F588A"/>
    <w:rsid w:val="00810E96"/>
    <w:rsid w:val="008127AF"/>
    <w:rsid w:val="00812B46"/>
    <w:rsid w:val="00815700"/>
    <w:rsid w:val="00817B70"/>
    <w:rsid w:val="008264EB"/>
    <w:rsid w:val="00826B8F"/>
    <w:rsid w:val="0082751A"/>
    <w:rsid w:val="00831E8A"/>
    <w:rsid w:val="00832133"/>
    <w:rsid w:val="00835C76"/>
    <w:rsid w:val="00835FF2"/>
    <w:rsid w:val="00836B12"/>
    <w:rsid w:val="00841111"/>
    <w:rsid w:val="00843049"/>
    <w:rsid w:val="0085209B"/>
    <w:rsid w:val="00856B66"/>
    <w:rsid w:val="0085712B"/>
    <w:rsid w:val="00861A5F"/>
    <w:rsid w:val="008644AD"/>
    <w:rsid w:val="00865735"/>
    <w:rsid w:val="00865DDB"/>
    <w:rsid w:val="00867538"/>
    <w:rsid w:val="00873D90"/>
    <w:rsid w:val="00873FC8"/>
    <w:rsid w:val="00884C63"/>
    <w:rsid w:val="00885908"/>
    <w:rsid w:val="008864B7"/>
    <w:rsid w:val="0089677E"/>
    <w:rsid w:val="00896E8C"/>
    <w:rsid w:val="008A7438"/>
    <w:rsid w:val="008B1334"/>
    <w:rsid w:val="008B7B1B"/>
    <w:rsid w:val="008C0278"/>
    <w:rsid w:val="008C24E9"/>
    <w:rsid w:val="008C5FD5"/>
    <w:rsid w:val="008D0533"/>
    <w:rsid w:val="008D42CB"/>
    <w:rsid w:val="008D48C9"/>
    <w:rsid w:val="008D5188"/>
    <w:rsid w:val="008D5B79"/>
    <w:rsid w:val="008D6381"/>
    <w:rsid w:val="008E0C77"/>
    <w:rsid w:val="008E5F69"/>
    <w:rsid w:val="008E625F"/>
    <w:rsid w:val="008F264D"/>
    <w:rsid w:val="00902F06"/>
    <w:rsid w:val="009074E1"/>
    <w:rsid w:val="009112F7"/>
    <w:rsid w:val="009122AF"/>
    <w:rsid w:val="009127BC"/>
    <w:rsid w:val="00912D54"/>
    <w:rsid w:val="0091389F"/>
    <w:rsid w:val="009208F7"/>
    <w:rsid w:val="00922517"/>
    <w:rsid w:val="00922722"/>
    <w:rsid w:val="009261E6"/>
    <w:rsid w:val="009268E1"/>
    <w:rsid w:val="00931DE6"/>
    <w:rsid w:val="00945E7F"/>
    <w:rsid w:val="009557C1"/>
    <w:rsid w:val="00960D6E"/>
    <w:rsid w:val="009713EE"/>
    <w:rsid w:val="00972BC1"/>
    <w:rsid w:val="00974B59"/>
    <w:rsid w:val="0098340B"/>
    <w:rsid w:val="009867B0"/>
    <w:rsid w:val="00986830"/>
    <w:rsid w:val="009924C3"/>
    <w:rsid w:val="00993102"/>
    <w:rsid w:val="009B1266"/>
    <w:rsid w:val="009B53B1"/>
    <w:rsid w:val="009C4A39"/>
    <w:rsid w:val="009C6F10"/>
    <w:rsid w:val="009D148F"/>
    <w:rsid w:val="009D3D70"/>
    <w:rsid w:val="009D4328"/>
    <w:rsid w:val="009E6F7E"/>
    <w:rsid w:val="009E7A57"/>
    <w:rsid w:val="009F3510"/>
    <w:rsid w:val="009F4F6A"/>
    <w:rsid w:val="00A04084"/>
    <w:rsid w:val="00A16E36"/>
    <w:rsid w:val="00A20231"/>
    <w:rsid w:val="00A24961"/>
    <w:rsid w:val="00A24B10"/>
    <w:rsid w:val="00A30E9B"/>
    <w:rsid w:val="00A42FE3"/>
    <w:rsid w:val="00A4512D"/>
    <w:rsid w:val="00A471F6"/>
    <w:rsid w:val="00A50244"/>
    <w:rsid w:val="00A5590A"/>
    <w:rsid w:val="00A56F17"/>
    <w:rsid w:val="00A627D7"/>
    <w:rsid w:val="00A656C7"/>
    <w:rsid w:val="00A705AF"/>
    <w:rsid w:val="00A72454"/>
    <w:rsid w:val="00A77696"/>
    <w:rsid w:val="00A80557"/>
    <w:rsid w:val="00A81D33"/>
    <w:rsid w:val="00A930AE"/>
    <w:rsid w:val="00A93A30"/>
    <w:rsid w:val="00A96B2F"/>
    <w:rsid w:val="00AA048A"/>
    <w:rsid w:val="00AA1A95"/>
    <w:rsid w:val="00AA260F"/>
    <w:rsid w:val="00AA763F"/>
    <w:rsid w:val="00AB0067"/>
    <w:rsid w:val="00AB1EE7"/>
    <w:rsid w:val="00AB4739"/>
    <w:rsid w:val="00AB4B37"/>
    <w:rsid w:val="00AB5762"/>
    <w:rsid w:val="00AC0C70"/>
    <w:rsid w:val="00AC168C"/>
    <w:rsid w:val="00AC2679"/>
    <w:rsid w:val="00AC4BE4"/>
    <w:rsid w:val="00AC6BF9"/>
    <w:rsid w:val="00AD05E6"/>
    <w:rsid w:val="00AD0D3F"/>
    <w:rsid w:val="00AE1942"/>
    <w:rsid w:val="00AE1D7D"/>
    <w:rsid w:val="00AE2A8B"/>
    <w:rsid w:val="00AE3F64"/>
    <w:rsid w:val="00AF7386"/>
    <w:rsid w:val="00AF7934"/>
    <w:rsid w:val="00B00B81"/>
    <w:rsid w:val="00B04580"/>
    <w:rsid w:val="00B04B09"/>
    <w:rsid w:val="00B06EAB"/>
    <w:rsid w:val="00B16A51"/>
    <w:rsid w:val="00B25440"/>
    <w:rsid w:val="00B27C81"/>
    <w:rsid w:val="00B32222"/>
    <w:rsid w:val="00B3618D"/>
    <w:rsid w:val="00B36233"/>
    <w:rsid w:val="00B42851"/>
    <w:rsid w:val="00B45AC7"/>
    <w:rsid w:val="00B5372F"/>
    <w:rsid w:val="00B61129"/>
    <w:rsid w:val="00B66740"/>
    <w:rsid w:val="00B66C49"/>
    <w:rsid w:val="00B67E7F"/>
    <w:rsid w:val="00B7222E"/>
    <w:rsid w:val="00B75A04"/>
    <w:rsid w:val="00B839B2"/>
    <w:rsid w:val="00B94252"/>
    <w:rsid w:val="00B94828"/>
    <w:rsid w:val="00B95BE6"/>
    <w:rsid w:val="00B9686B"/>
    <w:rsid w:val="00B9715A"/>
    <w:rsid w:val="00BA14BE"/>
    <w:rsid w:val="00BA2732"/>
    <w:rsid w:val="00BA293D"/>
    <w:rsid w:val="00BA49BC"/>
    <w:rsid w:val="00BA56B7"/>
    <w:rsid w:val="00BA70AB"/>
    <w:rsid w:val="00BA7A1E"/>
    <w:rsid w:val="00BA7CA9"/>
    <w:rsid w:val="00BB2F6C"/>
    <w:rsid w:val="00BB3875"/>
    <w:rsid w:val="00BB5860"/>
    <w:rsid w:val="00BB6AAD"/>
    <w:rsid w:val="00BC16F7"/>
    <w:rsid w:val="00BC4A19"/>
    <w:rsid w:val="00BC4E6D"/>
    <w:rsid w:val="00BD0617"/>
    <w:rsid w:val="00BD14AE"/>
    <w:rsid w:val="00BD2E9B"/>
    <w:rsid w:val="00BD5CB3"/>
    <w:rsid w:val="00BE6DEE"/>
    <w:rsid w:val="00BE7C87"/>
    <w:rsid w:val="00BF0C9E"/>
    <w:rsid w:val="00BF5A1E"/>
    <w:rsid w:val="00BF6DC9"/>
    <w:rsid w:val="00C00930"/>
    <w:rsid w:val="00C0415A"/>
    <w:rsid w:val="00C060AD"/>
    <w:rsid w:val="00C0670D"/>
    <w:rsid w:val="00C111F1"/>
    <w:rsid w:val="00C113BF"/>
    <w:rsid w:val="00C2176E"/>
    <w:rsid w:val="00C23430"/>
    <w:rsid w:val="00C23EB2"/>
    <w:rsid w:val="00C27D67"/>
    <w:rsid w:val="00C34DD0"/>
    <w:rsid w:val="00C4631F"/>
    <w:rsid w:val="00C50E16"/>
    <w:rsid w:val="00C55258"/>
    <w:rsid w:val="00C5723E"/>
    <w:rsid w:val="00C71393"/>
    <w:rsid w:val="00C82EEB"/>
    <w:rsid w:val="00C971DC"/>
    <w:rsid w:val="00CA1231"/>
    <w:rsid w:val="00CA16B7"/>
    <w:rsid w:val="00CA4BE3"/>
    <w:rsid w:val="00CA58B6"/>
    <w:rsid w:val="00CA62AE"/>
    <w:rsid w:val="00CA6E74"/>
    <w:rsid w:val="00CA79CF"/>
    <w:rsid w:val="00CB5B1A"/>
    <w:rsid w:val="00CC220B"/>
    <w:rsid w:val="00CC4523"/>
    <w:rsid w:val="00CC5C43"/>
    <w:rsid w:val="00CD02AE"/>
    <w:rsid w:val="00CD2A4F"/>
    <w:rsid w:val="00CE02D8"/>
    <w:rsid w:val="00CE03CA"/>
    <w:rsid w:val="00CE22F1"/>
    <w:rsid w:val="00CE50F2"/>
    <w:rsid w:val="00CE6502"/>
    <w:rsid w:val="00CF14A6"/>
    <w:rsid w:val="00CF7D3C"/>
    <w:rsid w:val="00D147EB"/>
    <w:rsid w:val="00D153BE"/>
    <w:rsid w:val="00D22F52"/>
    <w:rsid w:val="00D34667"/>
    <w:rsid w:val="00D401E1"/>
    <w:rsid w:val="00D408B4"/>
    <w:rsid w:val="00D45D94"/>
    <w:rsid w:val="00D50F45"/>
    <w:rsid w:val="00D524C8"/>
    <w:rsid w:val="00D53030"/>
    <w:rsid w:val="00D60E25"/>
    <w:rsid w:val="00D70E24"/>
    <w:rsid w:val="00D716B3"/>
    <w:rsid w:val="00D72633"/>
    <w:rsid w:val="00D72B61"/>
    <w:rsid w:val="00DA3D1D"/>
    <w:rsid w:val="00DB0138"/>
    <w:rsid w:val="00DB6286"/>
    <w:rsid w:val="00DB645F"/>
    <w:rsid w:val="00DB6B9F"/>
    <w:rsid w:val="00DB76E9"/>
    <w:rsid w:val="00DC0A67"/>
    <w:rsid w:val="00DC1D5E"/>
    <w:rsid w:val="00DC2313"/>
    <w:rsid w:val="00DC5220"/>
    <w:rsid w:val="00DC7910"/>
    <w:rsid w:val="00DD0D13"/>
    <w:rsid w:val="00DD2061"/>
    <w:rsid w:val="00DD7DAB"/>
    <w:rsid w:val="00DE3355"/>
    <w:rsid w:val="00DF3B2D"/>
    <w:rsid w:val="00DF486F"/>
    <w:rsid w:val="00DF5B5B"/>
    <w:rsid w:val="00DF6950"/>
    <w:rsid w:val="00DF7619"/>
    <w:rsid w:val="00E042D8"/>
    <w:rsid w:val="00E07439"/>
    <w:rsid w:val="00E07EE7"/>
    <w:rsid w:val="00E1103B"/>
    <w:rsid w:val="00E15211"/>
    <w:rsid w:val="00E17B44"/>
    <w:rsid w:val="00E27FEA"/>
    <w:rsid w:val="00E3283D"/>
    <w:rsid w:val="00E345E6"/>
    <w:rsid w:val="00E4086F"/>
    <w:rsid w:val="00E4293C"/>
    <w:rsid w:val="00E43B3C"/>
    <w:rsid w:val="00E50188"/>
    <w:rsid w:val="00E515CB"/>
    <w:rsid w:val="00E51901"/>
    <w:rsid w:val="00E52260"/>
    <w:rsid w:val="00E555B5"/>
    <w:rsid w:val="00E639B6"/>
    <w:rsid w:val="00E6434B"/>
    <w:rsid w:val="00E6463D"/>
    <w:rsid w:val="00E72E9B"/>
    <w:rsid w:val="00E849DA"/>
    <w:rsid w:val="00E911F2"/>
    <w:rsid w:val="00E9462E"/>
    <w:rsid w:val="00E970E8"/>
    <w:rsid w:val="00E97F84"/>
    <w:rsid w:val="00EA470E"/>
    <w:rsid w:val="00EA47A7"/>
    <w:rsid w:val="00EA57EB"/>
    <w:rsid w:val="00EB3226"/>
    <w:rsid w:val="00EC213A"/>
    <w:rsid w:val="00EC6603"/>
    <w:rsid w:val="00EC7744"/>
    <w:rsid w:val="00ED0DAD"/>
    <w:rsid w:val="00ED0F46"/>
    <w:rsid w:val="00ED2373"/>
    <w:rsid w:val="00ED260D"/>
    <w:rsid w:val="00ED794D"/>
    <w:rsid w:val="00EE3E8A"/>
    <w:rsid w:val="00EF3199"/>
    <w:rsid w:val="00EF6ECA"/>
    <w:rsid w:val="00F024E1"/>
    <w:rsid w:val="00F06C10"/>
    <w:rsid w:val="00F1096F"/>
    <w:rsid w:val="00F12589"/>
    <w:rsid w:val="00F12595"/>
    <w:rsid w:val="00F134D9"/>
    <w:rsid w:val="00F1403D"/>
    <w:rsid w:val="00F1463F"/>
    <w:rsid w:val="00F21302"/>
    <w:rsid w:val="00F21360"/>
    <w:rsid w:val="00F24B5F"/>
    <w:rsid w:val="00F321DE"/>
    <w:rsid w:val="00F33777"/>
    <w:rsid w:val="00F40648"/>
    <w:rsid w:val="00F451BE"/>
    <w:rsid w:val="00F47DA2"/>
    <w:rsid w:val="00F519FC"/>
    <w:rsid w:val="00F6239D"/>
    <w:rsid w:val="00F715D2"/>
    <w:rsid w:val="00F7274F"/>
    <w:rsid w:val="00F72F30"/>
    <w:rsid w:val="00F76FA8"/>
    <w:rsid w:val="00F82917"/>
    <w:rsid w:val="00F85370"/>
    <w:rsid w:val="00F86F85"/>
    <w:rsid w:val="00F93F08"/>
    <w:rsid w:val="00F94CED"/>
    <w:rsid w:val="00FA1409"/>
    <w:rsid w:val="00FA2CEE"/>
    <w:rsid w:val="00FA318C"/>
    <w:rsid w:val="00FB6F92"/>
    <w:rsid w:val="00FC026E"/>
    <w:rsid w:val="00FC4ADA"/>
    <w:rsid w:val="00FC5124"/>
    <w:rsid w:val="00FD4731"/>
    <w:rsid w:val="00FF0AB0"/>
    <w:rsid w:val="00FF256E"/>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235D3"/>
  <w15:docId w15:val="{9873432B-45C9-4226-A5A1-97E00AA9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A70AB"/>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F86F85"/>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F86F85"/>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F86F8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F86F85"/>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F86F85"/>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207793"/>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207793"/>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B7222E"/>
    <w:pPr>
      <w:spacing w:before="21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B7222E"/>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346C4A"/>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346C4A"/>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BA70AB"/>
    <w:pPr>
      <w:numPr>
        <w:numId w:val="19"/>
      </w:numPr>
      <w:ind w:left="680" w:hanging="340"/>
    </w:pPr>
  </w:style>
  <w:style w:type="paragraph" w:styleId="ListBullet">
    <w:name w:val="List Bullet"/>
    <w:basedOn w:val="Normal"/>
    <w:qFormat/>
    <w:rsid w:val="00BA70AB"/>
    <w:pPr>
      <w:numPr>
        <w:numId w:val="17"/>
      </w:numPr>
      <w:tabs>
        <w:tab w:val="left" w:pos="340"/>
        <w:tab w:val="left" w:pos="680"/>
      </w:tabs>
      <w:spacing w:before="60" w:after="60"/>
      <w:ind w:left="340" w:hanging="340"/>
    </w:p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uiPriority w:val="39"/>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F24B5F"/>
    <w:pPr>
      <w:spacing w:before="60" w:after="6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link w:val="HeaderChar"/>
    <w:qFormat/>
    <w:rsid w:val="00B7222E"/>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B7222E"/>
    <w:rPr>
      <w:rFonts w:ascii="Arial" w:hAnsi="Arial"/>
      <w:sz w:val="22"/>
      <w:szCs w:val="24"/>
      <w:lang w:eastAsia="en-US"/>
    </w:rPr>
  </w:style>
  <w:style w:type="paragraph" w:styleId="Footer">
    <w:name w:val="footer"/>
    <w:link w:val="FooterChar"/>
    <w:uiPriority w:val="99"/>
    <w:qFormat/>
    <w:rsid w:val="00B7222E"/>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B7222E"/>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pPr>
    <w:rPr>
      <w:rFonts w:cs="Arial"/>
      <w:b/>
      <w:sz w:val="20"/>
    </w:rPr>
  </w:style>
  <w:style w:type="paragraph" w:customStyle="1" w:styleId="FigureTitle">
    <w:name w:val="Figure Title"/>
    <w:next w:val="Normal"/>
    <w:qFormat/>
    <w:rsid w:val="00B7222E"/>
    <w:pPr>
      <w:spacing w:before="120" w:after="120"/>
    </w:pPr>
    <w:rPr>
      <w:rFonts w:ascii="Arial" w:hAnsi="Arial" w:cs="Arial"/>
      <w:b/>
      <w:bCs/>
      <w:iCs/>
      <w:color w:val="000000" w:themeColor="text1"/>
      <w:sz w:val="22"/>
      <w:szCs w:val="22"/>
      <w:lang w:eastAsia="en-US"/>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rsid w:val="00B7222E"/>
    <w:pPr>
      <w:jc w:val="right"/>
    </w:pPr>
    <w:rPr>
      <w:rFonts w:ascii="Arial" w:hAnsi="Arial"/>
      <w:szCs w:val="24"/>
      <w:lang w:eastAsia="en-US"/>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110478"/>
    <w:pPr>
      <w:numPr>
        <w:numId w:val="3"/>
      </w:numPr>
      <w:ind w:left="284" w:hanging="284"/>
    </w:pPr>
    <w:rPr>
      <w:szCs w:val="20"/>
    </w:rPr>
  </w:style>
  <w:style w:type="paragraph" w:customStyle="1" w:styleId="Tablelistnumber">
    <w:name w:val="Table list number"/>
    <w:basedOn w:val="Tabletextleft"/>
    <w:qFormat/>
    <w:rsid w:val="00DD2061"/>
    <w:pPr>
      <w:numPr>
        <w:numId w:val="4"/>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CE6502"/>
    <w:rPr>
      <w:szCs w:val="32"/>
    </w:rPr>
  </w:style>
  <w:style w:type="paragraph" w:styleId="FootnoteText">
    <w:name w:val="footnote text"/>
    <w:link w:val="FootnoteTextChar"/>
    <w:rsid w:val="00B7222E"/>
    <w:rPr>
      <w:rFonts w:ascii="Arial" w:hAnsi="Arial"/>
      <w:lang w:eastAsia="en-US"/>
    </w:rPr>
  </w:style>
  <w:style w:type="character" w:customStyle="1" w:styleId="FootnoteTextChar">
    <w:name w:val="Footnote Text Char"/>
    <w:basedOn w:val="DefaultParagraphFont"/>
    <w:link w:val="FootnoteText"/>
    <w:rsid w:val="00B7222E"/>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Normal"/>
    <w:next w:val="Normal"/>
    <w:qFormat/>
    <w:rsid w:val="00BA70AB"/>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qFormat/>
    <w:rsid w:val="00CA4BE3"/>
    <w:pPr>
      <w:spacing w:before="240"/>
    </w:pPr>
    <w:rPr>
      <w:rFonts w:cs="Times New Roman"/>
      <w:b/>
      <w:bCs/>
      <w:caps/>
      <w:color w:val="358189"/>
      <w:szCs w:val="20"/>
    </w:rPr>
  </w:style>
  <w:style w:type="paragraph" w:customStyle="1" w:styleId="Boxtype">
    <w:name w:val="Box type"/>
    <w:next w:val="Normal"/>
    <w:qFormat/>
    <w:rsid w:val="00BA70AB"/>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paragraph" w:customStyle="1" w:styleId="Footerrightpage">
    <w:name w:val="Footer right page"/>
    <w:basedOn w:val="Footer"/>
    <w:rsid w:val="00841111"/>
  </w:style>
  <w:style w:type="paragraph" w:customStyle="1" w:styleId="URL">
    <w:name w:val="URL"/>
    <w:basedOn w:val="Normal"/>
    <w:rsid w:val="00BA70AB"/>
    <w:pPr>
      <w:spacing w:before="3120"/>
      <w:jc w:val="center"/>
    </w:pPr>
    <w:rPr>
      <w:b/>
      <w:bCs/>
      <w:sz w:val="24"/>
      <w:szCs w:val="20"/>
    </w:rPr>
  </w:style>
  <w:style w:type="paragraph" w:styleId="BodyText">
    <w:name w:val="Body Text"/>
    <w:basedOn w:val="Normal"/>
    <w:link w:val="BodyTextChar"/>
    <w:semiHidden/>
    <w:unhideWhenUsed/>
    <w:rsid w:val="00B94828"/>
  </w:style>
  <w:style w:type="character" w:customStyle="1" w:styleId="BodyTextChar">
    <w:name w:val="Body Text Char"/>
    <w:basedOn w:val="DefaultParagraphFont"/>
    <w:link w:val="BodyText"/>
    <w:semiHidden/>
    <w:rsid w:val="00B94828"/>
    <w:rPr>
      <w:rFonts w:ascii="Arial" w:hAnsi="Arial"/>
      <w:sz w:val="22"/>
      <w:szCs w:val="24"/>
      <w:lang w:eastAsia="en-US"/>
    </w:rPr>
  </w:style>
  <w:style w:type="character" w:customStyle="1" w:styleId="Heading7Char">
    <w:name w:val="Heading 7 Char"/>
    <w:basedOn w:val="DefaultParagraphFont"/>
    <w:link w:val="Heading7"/>
    <w:semiHidden/>
    <w:rsid w:val="00207793"/>
    <w:rPr>
      <w:rFonts w:ascii="Arial" w:eastAsiaTheme="majorEastAsia" w:hAnsi="Arial" w:cstheme="majorBidi"/>
      <w:b/>
      <w:i/>
      <w:iCs/>
      <w:color w:val="1F243A" w:themeColor="accent1" w:themeShade="7F"/>
      <w:sz w:val="22"/>
      <w:szCs w:val="24"/>
      <w:lang w:eastAsia="en-US"/>
    </w:rPr>
  </w:style>
  <w:style w:type="paragraph" w:customStyle="1" w:styleId="Paragraphtext">
    <w:name w:val="Paragraph text"/>
    <w:basedOn w:val="Normal"/>
    <w:qFormat/>
    <w:rsid w:val="00077A30"/>
    <w:pPr>
      <w:spacing w:after="60" w:line="240" w:lineRule="auto"/>
    </w:pPr>
    <w:rPr>
      <w:sz w:val="21"/>
    </w:rPr>
  </w:style>
  <w:style w:type="paragraph" w:styleId="TOCHeading">
    <w:name w:val="TOC Heading"/>
    <w:basedOn w:val="Heading1"/>
    <w:next w:val="Normal"/>
    <w:uiPriority w:val="39"/>
    <w:unhideWhenUsed/>
    <w:qFormat/>
    <w:rsid w:val="006A0EFF"/>
    <w:pPr>
      <w:keepLines/>
      <w:spacing w:after="0" w:line="259" w:lineRule="auto"/>
      <w:outlineLvl w:val="9"/>
    </w:pPr>
    <w:rPr>
      <w:rFonts w:asciiTheme="majorHAnsi" w:eastAsiaTheme="majorEastAsia" w:hAnsiTheme="majorHAnsi" w:cstheme="majorBidi"/>
      <w:b w:val="0"/>
      <w:bCs w:val="0"/>
      <w:color w:val="2F3757" w:themeColor="accent1" w:themeShade="BF"/>
      <w:kern w:val="0"/>
      <w:sz w:val="32"/>
      <w:szCs w:val="32"/>
      <w:lang w:val="en-US"/>
    </w:rPr>
  </w:style>
  <w:style w:type="paragraph" w:styleId="TOC1">
    <w:name w:val="toc 1"/>
    <w:basedOn w:val="Normal"/>
    <w:next w:val="Normal"/>
    <w:autoRedefine/>
    <w:uiPriority w:val="39"/>
    <w:unhideWhenUsed/>
    <w:rsid w:val="006A0EFF"/>
    <w:pPr>
      <w:spacing w:after="100"/>
    </w:pPr>
  </w:style>
  <w:style w:type="character" w:styleId="CommentReference">
    <w:name w:val="annotation reference"/>
    <w:basedOn w:val="DefaultParagraphFont"/>
    <w:semiHidden/>
    <w:unhideWhenUsed/>
    <w:rsid w:val="00066C71"/>
    <w:rPr>
      <w:sz w:val="16"/>
      <w:szCs w:val="16"/>
    </w:rPr>
  </w:style>
  <w:style w:type="paragraph" w:styleId="CommentText">
    <w:name w:val="annotation text"/>
    <w:basedOn w:val="Normal"/>
    <w:link w:val="CommentTextChar"/>
    <w:semiHidden/>
    <w:unhideWhenUsed/>
    <w:rsid w:val="00066C71"/>
    <w:pPr>
      <w:spacing w:line="240" w:lineRule="auto"/>
    </w:pPr>
    <w:rPr>
      <w:sz w:val="20"/>
      <w:szCs w:val="20"/>
    </w:rPr>
  </w:style>
  <w:style w:type="character" w:customStyle="1" w:styleId="CommentTextChar">
    <w:name w:val="Comment Text Char"/>
    <w:basedOn w:val="DefaultParagraphFont"/>
    <w:link w:val="CommentText"/>
    <w:semiHidden/>
    <w:rsid w:val="00066C71"/>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066C71"/>
    <w:rPr>
      <w:b/>
      <w:bCs/>
    </w:rPr>
  </w:style>
  <w:style w:type="character" w:customStyle="1" w:styleId="CommentSubjectChar">
    <w:name w:val="Comment Subject Char"/>
    <w:basedOn w:val="CommentTextChar"/>
    <w:link w:val="CommentSubject"/>
    <w:semiHidden/>
    <w:rsid w:val="00066C71"/>
    <w:rPr>
      <w:rFonts w:ascii="Arial" w:hAnsi="Arial"/>
      <w:b/>
      <w:bCs/>
      <w:color w:val="000000" w:themeColor="text1"/>
      <w:lang w:eastAsia="en-US"/>
    </w:rPr>
  </w:style>
  <w:style w:type="paragraph" w:styleId="TOC2">
    <w:name w:val="toc 2"/>
    <w:basedOn w:val="Normal"/>
    <w:next w:val="Normal"/>
    <w:autoRedefine/>
    <w:uiPriority w:val="39"/>
    <w:unhideWhenUsed/>
    <w:rsid w:val="007D0A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8896069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5F3C-AFCE-43A9-8440-1B819C7AE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2932D3B2-7998-40A1-8F03-789AD560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Rebuttal - PL Pre-Listing Assessment Framework - FINAL 22 December 2022</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 PL Pre-Listing Assessment Framework - FINAL 22 December 2022</dc:title>
  <dc:subject>Prostheses List Assessment Framework</dc:subject>
  <dc:creator>Australian Government Department of Health and Aged Care</dc:creator>
  <cp:lastModifiedBy>PLRT</cp:lastModifiedBy>
  <cp:revision>25</cp:revision>
  <dcterms:created xsi:type="dcterms:W3CDTF">2023-06-16T00:25:00Z</dcterms:created>
  <dcterms:modified xsi:type="dcterms:W3CDTF">2023-08-20T23:35:00Z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