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43" w:rsidRPr="001C1A43" w:rsidRDefault="001C1A43" w:rsidP="001C1A43">
      <w:pPr>
        <w:pStyle w:val="Caption"/>
        <w:jc w:val="center"/>
        <w:rPr>
          <w:rFonts w:eastAsiaTheme="minorHAnsi" w:cstheme="minorBidi"/>
          <w:b/>
          <w:i w:val="0"/>
          <w:iCs w:val="0"/>
        </w:rPr>
      </w:pPr>
      <w:bookmarkStart w:id="0" w:name="_Toc71836820"/>
      <w:bookmarkStart w:id="1" w:name="_GoBack"/>
      <w:bookmarkEnd w:id="1"/>
      <w:r w:rsidRPr="001C1A43">
        <w:rPr>
          <w:rFonts w:eastAsiaTheme="minorHAnsi" w:cstheme="minorBidi"/>
          <w:b/>
          <w:i w:val="0"/>
          <w:iCs w:val="0"/>
        </w:rPr>
        <w:t xml:space="preserve">DRAFT REPORT ON THE HEARING SERVICES PROGRAM REVIEW – </w:t>
      </w:r>
    </w:p>
    <w:p w:rsidR="001C1A43" w:rsidRPr="001C1A43" w:rsidRDefault="001C1A43" w:rsidP="001C1A43">
      <w:pPr>
        <w:pStyle w:val="Caption"/>
        <w:jc w:val="center"/>
        <w:rPr>
          <w:rFonts w:eastAsiaTheme="minorHAnsi" w:cstheme="minorBidi"/>
          <w:b/>
          <w:i w:val="0"/>
          <w:iCs w:val="0"/>
        </w:rPr>
      </w:pPr>
      <w:r w:rsidRPr="001C1A43">
        <w:rPr>
          <w:rFonts w:eastAsiaTheme="minorHAnsi" w:cstheme="minorBidi"/>
          <w:b/>
          <w:i w:val="0"/>
          <w:iCs w:val="0"/>
        </w:rPr>
        <w:t>ADDENDUM TO DRAFT RELEASED ON 21 MAY 2021</w:t>
      </w:r>
    </w:p>
    <w:p w:rsidR="0043697D" w:rsidRPr="001C1A43" w:rsidRDefault="0043697D" w:rsidP="001C1A43">
      <w:pPr>
        <w:pStyle w:val="Caption"/>
        <w:rPr>
          <w:rFonts w:eastAsiaTheme="minorHAnsi" w:cstheme="minorBidi"/>
          <w:i w:val="0"/>
          <w:iCs w:val="0"/>
        </w:rPr>
      </w:pPr>
      <w:r w:rsidRPr="001C1A43">
        <w:rPr>
          <w:rFonts w:eastAsiaTheme="minorHAnsi" w:cstheme="minorBidi"/>
          <w:i w:val="0"/>
          <w:iCs w:val="0"/>
        </w:rPr>
        <w:t xml:space="preserve">Since the </w:t>
      </w:r>
      <w:r w:rsidR="007647C9">
        <w:rPr>
          <w:rFonts w:eastAsiaTheme="minorHAnsi" w:cstheme="minorBidi"/>
          <w:i w:val="0"/>
          <w:iCs w:val="0"/>
        </w:rPr>
        <w:t xml:space="preserve">release </w:t>
      </w:r>
      <w:r w:rsidR="00A83404">
        <w:rPr>
          <w:rFonts w:eastAsiaTheme="minorHAnsi" w:cstheme="minorBidi"/>
          <w:i w:val="0"/>
          <w:iCs w:val="0"/>
        </w:rPr>
        <w:t xml:space="preserve">of the </w:t>
      </w:r>
      <w:r w:rsidRPr="001C1A43">
        <w:rPr>
          <w:rFonts w:eastAsiaTheme="minorHAnsi" w:cstheme="minorBidi"/>
          <w:i w:val="0"/>
          <w:iCs w:val="0"/>
        </w:rPr>
        <w:t xml:space="preserve">draft Report of the Hearing Services Review </w:t>
      </w:r>
      <w:r w:rsidR="00A83404">
        <w:rPr>
          <w:rFonts w:eastAsiaTheme="minorHAnsi" w:cstheme="minorBidi"/>
          <w:i w:val="0"/>
          <w:iCs w:val="0"/>
        </w:rPr>
        <w:t xml:space="preserve">on 21 May2021 for public consultation there </w:t>
      </w:r>
      <w:r w:rsidRPr="001C1A43">
        <w:rPr>
          <w:rFonts w:eastAsiaTheme="minorHAnsi" w:cstheme="minorBidi"/>
          <w:i w:val="0"/>
          <w:iCs w:val="0"/>
        </w:rPr>
        <w:t>ha</w:t>
      </w:r>
      <w:r w:rsidR="0099117F">
        <w:rPr>
          <w:rFonts w:eastAsiaTheme="minorHAnsi" w:cstheme="minorBidi"/>
          <w:i w:val="0"/>
          <w:iCs w:val="0"/>
        </w:rPr>
        <w:t>ve</w:t>
      </w:r>
      <w:r w:rsidRPr="001C1A43">
        <w:rPr>
          <w:rFonts w:eastAsiaTheme="minorHAnsi" w:cstheme="minorBidi"/>
          <w:i w:val="0"/>
          <w:iCs w:val="0"/>
        </w:rPr>
        <w:t xml:space="preserve"> been some minor </w:t>
      </w:r>
      <w:r w:rsidR="007647C9">
        <w:rPr>
          <w:rFonts w:eastAsiaTheme="minorHAnsi" w:cstheme="minorBidi"/>
          <w:i w:val="0"/>
          <w:iCs w:val="0"/>
        </w:rPr>
        <w:t xml:space="preserve">amendments required </w:t>
      </w:r>
      <w:r w:rsidRPr="001C1A43">
        <w:rPr>
          <w:rFonts w:eastAsiaTheme="minorHAnsi" w:cstheme="minorBidi"/>
          <w:i w:val="0"/>
          <w:iCs w:val="0"/>
        </w:rPr>
        <w:t>in the draft report.  The updated d</w:t>
      </w:r>
      <w:r w:rsidR="0099117F">
        <w:rPr>
          <w:rFonts w:eastAsiaTheme="minorHAnsi" w:cstheme="minorBidi"/>
          <w:i w:val="0"/>
          <w:iCs w:val="0"/>
        </w:rPr>
        <w:t>raft report has been uploaded in</w:t>
      </w:r>
      <w:r w:rsidRPr="001C1A43">
        <w:rPr>
          <w:rFonts w:eastAsiaTheme="minorHAnsi" w:cstheme="minorBidi"/>
          <w:i w:val="0"/>
          <w:iCs w:val="0"/>
        </w:rPr>
        <w:t xml:space="preserve"> the </w:t>
      </w:r>
      <w:hyperlink r:id="rId6" w:history="1">
        <w:r w:rsidR="009E42C1">
          <w:rPr>
            <w:rStyle w:val="Hyperlink"/>
            <w:rFonts w:eastAsiaTheme="minorHAnsi" w:cstheme="minorBidi"/>
            <w:i w:val="0"/>
            <w:iCs w:val="0"/>
          </w:rPr>
          <w:t>Consultation H</w:t>
        </w:r>
        <w:r w:rsidRPr="009E42C1">
          <w:rPr>
            <w:rStyle w:val="Hyperlink"/>
            <w:rFonts w:eastAsiaTheme="minorHAnsi" w:cstheme="minorBidi"/>
            <w:i w:val="0"/>
            <w:iCs w:val="0"/>
          </w:rPr>
          <w:t>ub</w:t>
        </w:r>
      </w:hyperlink>
      <w:r w:rsidRPr="001C1A43">
        <w:rPr>
          <w:rFonts w:eastAsiaTheme="minorHAnsi" w:cstheme="minorBidi"/>
          <w:i w:val="0"/>
          <w:iCs w:val="0"/>
        </w:rPr>
        <w:t xml:space="preserve"> and this document </w:t>
      </w:r>
      <w:r w:rsidR="00A83404">
        <w:rPr>
          <w:rFonts w:eastAsiaTheme="minorHAnsi" w:cstheme="minorBidi"/>
          <w:i w:val="0"/>
          <w:iCs w:val="0"/>
        </w:rPr>
        <w:t xml:space="preserve">for simplicity </w:t>
      </w:r>
      <w:r w:rsidRPr="001C1A43">
        <w:rPr>
          <w:rFonts w:eastAsiaTheme="minorHAnsi" w:cstheme="minorBidi"/>
          <w:i w:val="0"/>
          <w:iCs w:val="0"/>
        </w:rPr>
        <w:t>clearly identifies the changes</w:t>
      </w:r>
      <w:r w:rsidR="001C1A43">
        <w:rPr>
          <w:rFonts w:eastAsiaTheme="minorHAnsi" w:cstheme="minorBidi"/>
          <w:i w:val="0"/>
          <w:iCs w:val="0"/>
        </w:rPr>
        <w:t xml:space="preserve"> (in red text)</w:t>
      </w:r>
      <w:r w:rsidRPr="001C1A43">
        <w:rPr>
          <w:rFonts w:eastAsiaTheme="minorHAnsi" w:cstheme="minorBidi"/>
          <w:i w:val="0"/>
          <w:iCs w:val="0"/>
        </w:rPr>
        <w:t>.</w:t>
      </w:r>
    </w:p>
    <w:p w:rsidR="0043697D" w:rsidRPr="0043697D" w:rsidRDefault="00A83404" w:rsidP="001C1A43">
      <w:pPr>
        <w:spacing w:line="240" w:lineRule="auto"/>
      </w:pPr>
      <w:r>
        <w:t xml:space="preserve">The </w:t>
      </w:r>
      <w:r w:rsidR="0043697D">
        <w:t>changes do not reflect comments that have been raised in current consultations.</w:t>
      </w:r>
      <w:r w:rsidR="0043697D" w:rsidRPr="0043697D">
        <w:rPr>
          <w:rFonts w:ascii="Segoe UI" w:hAnsi="Segoe UI" w:cs="Segoe UI"/>
          <w:color w:val="000000"/>
          <w:sz w:val="21"/>
          <w:szCs w:val="21"/>
          <w:shd w:val="clear" w:color="auto" w:fill="FFFFFF"/>
        </w:rPr>
        <w:t xml:space="preserve"> </w:t>
      </w:r>
      <w:r w:rsidR="0043697D" w:rsidRPr="0043697D">
        <w:t xml:space="preserve"> </w:t>
      </w:r>
      <w:r w:rsidR="0043697D">
        <w:t>C</w:t>
      </w:r>
      <w:r w:rsidR="0043697D" w:rsidRPr="0043697D">
        <w:t>hanges to the draft report based on consultations</w:t>
      </w:r>
      <w:r w:rsidR="0043697D">
        <w:t xml:space="preserve"> with</w:t>
      </w:r>
      <w:r w:rsidR="0043697D" w:rsidRPr="0043697D">
        <w:t xml:space="preserve"> and submission</w:t>
      </w:r>
      <w:r w:rsidR="0043697D">
        <w:t>s from stakeholders will be considered and appropriately reflected in the final report.</w:t>
      </w:r>
    </w:p>
    <w:p w:rsidR="001C1A43" w:rsidRPr="001C1A43" w:rsidRDefault="001C1A43" w:rsidP="001C1A43">
      <w:pPr>
        <w:pStyle w:val="Caption"/>
        <w:rPr>
          <w:b/>
          <w:bCs/>
        </w:rPr>
      </w:pPr>
      <w:r>
        <w:rPr>
          <w:b/>
          <w:bCs/>
        </w:rPr>
        <w:t>First paragraph on page 9</w:t>
      </w:r>
      <w:r w:rsidR="00CF7062">
        <w:rPr>
          <w:b/>
          <w:bCs/>
        </w:rPr>
        <w:t>3</w:t>
      </w:r>
      <w:r>
        <w:rPr>
          <w:b/>
          <w:bCs/>
        </w:rPr>
        <w:t xml:space="preserve"> should read as follows</w:t>
      </w:r>
    </w:p>
    <w:p w:rsidR="001C1A43" w:rsidRPr="001C1A43" w:rsidRDefault="001C1A43" w:rsidP="001C1A43">
      <w:pPr>
        <w:spacing w:line="240" w:lineRule="auto"/>
        <w:ind w:left="720"/>
      </w:pPr>
      <w:r>
        <w:t>T</w:t>
      </w:r>
      <w:r w:rsidRPr="00462E45">
        <w:t xml:space="preserve">he Expert Panel’s analysis of device brand choice by providers shows that of the </w:t>
      </w:r>
      <w:r w:rsidR="0099117F" w:rsidRPr="0099117F">
        <w:rPr>
          <w:b/>
          <w:color w:val="FF0000"/>
        </w:rPr>
        <w:t>ten</w:t>
      </w:r>
      <w:r w:rsidRPr="00462E45">
        <w:t xml:space="preserve"> largest hearing service providers (who provide hearing services to 80% of clients </w:t>
      </w:r>
      <w:r w:rsidR="00355567">
        <w:t xml:space="preserve">in the Voucher stream), only </w:t>
      </w:r>
      <w:r w:rsidR="00355567" w:rsidRPr="00355567">
        <w:rPr>
          <w:b/>
          <w:color w:val="FF0000"/>
        </w:rPr>
        <w:t>three</w:t>
      </w:r>
      <w:r w:rsidRPr="00462E45">
        <w:t xml:space="preserve"> delivered high volume device supply arrangements across a number of hearing aid device manufacturers.  Seven of the </w:t>
      </w:r>
      <w:r w:rsidRPr="001C1A43">
        <w:rPr>
          <w:b/>
          <w:color w:val="FF0000"/>
        </w:rPr>
        <w:t xml:space="preserve">ten </w:t>
      </w:r>
      <w:r w:rsidRPr="00462E45">
        <w:t xml:space="preserve">supplied over 90 percent of devices to their clients from only one manufacturer. </w:t>
      </w:r>
      <w:r>
        <w:t xml:space="preserve"> </w:t>
      </w:r>
      <w:r w:rsidRPr="00462E45">
        <w:t xml:space="preserve">This evidence </w:t>
      </w:r>
      <w:r>
        <w:t>supports</w:t>
      </w:r>
      <w:r w:rsidRPr="00462E45">
        <w:t xml:space="preserve"> concerns that consumer choice is being constrained.</w:t>
      </w:r>
    </w:p>
    <w:p w:rsidR="0043697D" w:rsidRPr="0043697D" w:rsidRDefault="0043697D" w:rsidP="001C1A43">
      <w:pPr>
        <w:pStyle w:val="Caption"/>
        <w:rPr>
          <w:b/>
          <w:bCs/>
        </w:rPr>
      </w:pPr>
      <w:r>
        <w:rPr>
          <w:b/>
          <w:bCs/>
        </w:rPr>
        <w:t>Final paragraph on page 96 should read as follows</w:t>
      </w:r>
    </w:p>
    <w:p w:rsidR="0043697D" w:rsidRPr="0043697D" w:rsidRDefault="0043697D" w:rsidP="001C1A43">
      <w:pPr>
        <w:pStyle w:val="Caption"/>
        <w:ind w:left="720"/>
        <w:rPr>
          <w:rFonts w:eastAsiaTheme="minorHAnsi" w:cstheme="minorBidi"/>
          <w:i w:val="0"/>
          <w:iCs w:val="0"/>
        </w:rPr>
      </w:pPr>
      <w:r w:rsidRPr="0043697D">
        <w:rPr>
          <w:rFonts w:eastAsiaTheme="minorHAnsi" w:cstheme="minorBidi"/>
          <w:i w:val="0"/>
          <w:iCs w:val="0"/>
        </w:rPr>
        <w:t xml:space="preserve">Both options would enable Hearing Services Program clients to be able to access information on the price and features of hearing aid devices before they are fitted.  On balance, the Expert Panel considers that </w:t>
      </w:r>
      <w:r w:rsidRPr="001C1A43">
        <w:rPr>
          <w:rFonts w:eastAsiaTheme="minorHAnsi" w:cstheme="minorBidi"/>
          <w:b/>
          <w:i w:val="0"/>
          <w:iCs w:val="0"/>
          <w:color w:val="FF0000"/>
        </w:rPr>
        <w:t>Option 2</w:t>
      </w:r>
      <w:r w:rsidRPr="001C1A43">
        <w:rPr>
          <w:rFonts w:eastAsiaTheme="minorHAnsi" w:cstheme="minorBidi"/>
          <w:i w:val="0"/>
          <w:iCs w:val="0"/>
          <w:color w:val="FF0000"/>
        </w:rPr>
        <w:t xml:space="preserve"> </w:t>
      </w:r>
      <w:r w:rsidRPr="0043697D">
        <w:rPr>
          <w:rFonts w:eastAsiaTheme="minorHAnsi" w:cstheme="minorBidi"/>
          <w:i w:val="0"/>
          <w:iCs w:val="0"/>
        </w:rPr>
        <w:t xml:space="preserve">should be adopted and the outcomes of this change monitored for two years, particularly in respect of increased pricing transparency for clients.  </w:t>
      </w:r>
    </w:p>
    <w:p w:rsidR="0043697D" w:rsidRDefault="0043697D" w:rsidP="001C1A43">
      <w:pPr>
        <w:pStyle w:val="Caption"/>
        <w:rPr>
          <w:b/>
          <w:bCs/>
        </w:rPr>
      </w:pPr>
      <w:r>
        <w:rPr>
          <w:b/>
          <w:bCs/>
        </w:rPr>
        <w:t>Final paragraph on page 148 should read as follows</w:t>
      </w:r>
    </w:p>
    <w:p w:rsidR="0043697D" w:rsidRPr="0043697D" w:rsidRDefault="0043697D" w:rsidP="001C1A43">
      <w:pPr>
        <w:spacing w:before="120" w:line="240" w:lineRule="auto"/>
        <w:ind w:left="720"/>
        <w:rPr>
          <w:rFonts w:ascii="Calibri" w:eastAsia="Calibri" w:hAnsi="Calibri" w:cs="Times New Roman"/>
        </w:rPr>
      </w:pPr>
      <w:r w:rsidRPr="00462E45">
        <w:t>As of 1 March 2021, there were 298 contracted service providers accredited to deliver hearing services under the Hearing Services Program.  The number can fluctuate month by month</w:t>
      </w:r>
      <w:r w:rsidR="0099117F">
        <w:t>,</w:t>
      </w:r>
      <w:r w:rsidRPr="00462E45">
        <w:t xml:space="preserve"> however is usually around 300.  Providers are currently operating at over 3,000 sites across Australia, with a mix of permanent and visiting site locations</w:t>
      </w:r>
      <w:r w:rsidR="00A83404">
        <w:t xml:space="preserve">, yet, </w:t>
      </w:r>
      <w:r w:rsidRPr="00462E45">
        <w:t xml:space="preserve">.  </w:t>
      </w:r>
      <w:r w:rsidR="00000F13">
        <w:t>There</w:t>
      </w:r>
      <w:r w:rsidRPr="00462E45">
        <w:t xml:space="preserve"> is no clear definition of what is deemed to be permanent or visiting sites.  Providers are classified as </w:t>
      </w:r>
      <w:r w:rsidRPr="001C1A43">
        <w:rPr>
          <w:b/>
          <w:color w:val="FF0000"/>
        </w:rPr>
        <w:t xml:space="preserve">large, medium, </w:t>
      </w:r>
      <w:proofErr w:type="gramStart"/>
      <w:r w:rsidRPr="001C1A43">
        <w:rPr>
          <w:b/>
          <w:color w:val="FF0000"/>
        </w:rPr>
        <w:t>small</w:t>
      </w:r>
      <w:proofErr w:type="gramEnd"/>
      <w:r w:rsidRPr="001C1A43">
        <w:rPr>
          <w:b/>
          <w:color w:val="FF0000"/>
        </w:rPr>
        <w:t xml:space="preserve"> and micro</w:t>
      </w:r>
      <w:r w:rsidRPr="00462E45">
        <w:t xml:space="preserve">, depending on the revenue received from the Hearing Services Program each year.  A breakdown on how many </w:t>
      </w:r>
      <w:r w:rsidRPr="001C1A43">
        <w:rPr>
          <w:b/>
          <w:color w:val="FF0000"/>
        </w:rPr>
        <w:t>vouchers were issued for new clients</w:t>
      </w:r>
      <w:r w:rsidRPr="001C1A43">
        <w:rPr>
          <w:color w:val="FF0000"/>
        </w:rPr>
        <w:t xml:space="preserve"> </w:t>
      </w:r>
      <w:r w:rsidRPr="00462E45">
        <w:t xml:space="preserve">over the last three years by provider is outlined in </w:t>
      </w:r>
      <w:r w:rsidRPr="00462E45">
        <w:rPr>
          <w:b/>
        </w:rPr>
        <w:t xml:space="preserve">Table </w:t>
      </w:r>
      <w:r w:rsidRPr="006E6F36">
        <w:rPr>
          <w:b/>
        </w:rPr>
        <w:t>14</w:t>
      </w:r>
      <w:r w:rsidRPr="00462E45">
        <w:t xml:space="preserve"> below</w:t>
      </w:r>
      <w:r w:rsidRPr="00462E45">
        <w:rPr>
          <w:rFonts w:ascii="Calibri" w:eastAsia="Calibri" w:hAnsi="Calibri" w:cs="Times New Roman"/>
        </w:rPr>
        <w:t>.</w:t>
      </w:r>
      <w:r>
        <w:rPr>
          <w:rFonts w:ascii="Calibri" w:eastAsia="Calibri" w:hAnsi="Calibri" w:cs="Times New Roman"/>
        </w:rPr>
        <w:fldChar w:fldCharType="begin"/>
      </w:r>
      <w:r>
        <w:rPr>
          <w:rFonts w:ascii="Calibri" w:eastAsia="Calibri" w:hAnsi="Calibri" w:cs="Times New Roman"/>
        </w:rPr>
        <w:instrText xml:space="preserve"> ADDIN ZOTERO_ITEM CSL_CITATION {"citationID":"4X2ETIir","properties":{"formattedCitation":"(31)","plainCitation":"(31)","noteIndex":0},"citationItems":[{"id":5403,"uris":["http://zotero.org/users/3789640/items/Q4UJFDSQ"],"uri":["http://zotero.org/users/3789640/items/Q4UJFDSQ"],"itemData":{"id":5403,"type":"report","publisher":"Hearing Services Program Data and Statistics (Internal).","title":"Hearing Services Online administrative database.","author":[{"family":"Australian Government Department of Health","given":""}],"issued":{"date-parts":[["2021"]]}}}],"schema":"https://github.com/citation-style-language/schema/raw/master/csl-citation.json"} </w:instrText>
      </w:r>
      <w:r>
        <w:rPr>
          <w:rFonts w:ascii="Calibri" w:eastAsia="Calibri" w:hAnsi="Calibri" w:cs="Times New Roman"/>
        </w:rPr>
        <w:fldChar w:fldCharType="separate"/>
      </w:r>
      <w:r w:rsidRPr="003D536F">
        <w:rPr>
          <w:rFonts w:ascii="Calibri" w:hAnsi="Calibri" w:cs="Calibri"/>
        </w:rPr>
        <w:t>(31)</w:t>
      </w:r>
      <w:r>
        <w:rPr>
          <w:rFonts w:ascii="Calibri" w:eastAsia="Calibri" w:hAnsi="Calibri" w:cs="Times New Roman"/>
        </w:rPr>
        <w:fldChar w:fldCharType="end"/>
      </w:r>
    </w:p>
    <w:p w:rsidR="0043697D" w:rsidRDefault="0043697D" w:rsidP="001C1A43">
      <w:pPr>
        <w:pStyle w:val="Caption"/>
        <w:rPr>
          <w:b/>
          <w:bCs/>
        </w:rPr>
      </w:pPr>
      <w:r>
        <w:rPr>
          <w:b/>
          <w:bCs/>
        </w:rPr>
        <w:t>Table 14 on page 149 should read as follows:</w:t>
      </w:r>
    </w:p>
    <w:p w:rsidR="0043697D" w:rsidRDefault="0043697D" w:rsidP="001C1A43">
      <w:pPr>
        <w:pStyle w:val="Caption"/>
        <w:ind w:firstLine="720"/>
      </w:pPr>
      <w:r w:rsidRPr="00983197">
        <w:rPr>
          <w:b/>
          <w:bCs/>
        </w:rPr>
        <w:t xml:space="preserve">Table </w:t>
      </w:r>
      <w:r w:rsidRPr="00983197">
        <w:rPr>
          <w:b/>
          <w:bCs/>
        </w:rPr>
        <w:fldChar w:fldCharType="begin"/>
      </w:r>
      <w:r w:rsidRPr="00983197">
        <w:rPr>
          <w:b/>
          <w:bCs/>
        </w:rPr>
        <w:instrText xml:space="preserve"> SEQ Table \* ARABIC </w:instrText>
      </w:r>
      <w:r w:rsidRPr="00983197">
        <w:rPr>
          <w:b/>
          <w:bCs/>
        </w:rPr>
        <w:fldChar w:fldCharType="separate"/>
      </w:r>
      <w:r>
        <w:rPr>
          <w:b/>
          <w:bCs/>
          <w:noProof/>
        </w:rPr>
        <w:t>14</w:t>
      </w:r>
      <w:r w:rsidRPr="00983197">
        <w:rPr>
          <w:b/>
          <w:bCs/>
          <w:noProof/>
        </w:rPr>
        <w:fldChar w:fldCharType="end"/>
      </w:r>
      <w:r w:rsidRPr="00983197">
        <w:rPr>
          <w:b/>
          <w:bCs/>
        </w:rPr>
        <w:t>:</w:t>
      </w:r>
      <w:r w:rsidRPr="006E6F36">
        <w:rPr>
          <w:rFonts w:eastAsiaTheme="minorHAnsi" w:cstheme="minorBidi"/>
          <w:i w:val="0"/>
          <w:iCs w:val="0"/>
        </w:rPr>
        <w:t xml:space="preserve"> </w:t>
      </w:r>
      <w:r w:rsidRPr="00462E45">
        <w:t xml:space="preserve">Number of </w:t>
      </w:r>
      <w:r w:rsidRPr="001C1A43">
        <w:rPr>
          <w:b/>
          <w:color w:val="FF0000"/>
        </w:rPr>
        <w:t>new client Vouchers issued</w:t>
      </w:r>
      <w:r w:rsidRPr="001C1A43">
        <w:rPr>
          <w:color w:val="FF0000"/>
        </w:rPr>
        <w:t xml:space="preserve"> </w:t>
      </w:r>
      <w:r w:rsidRPr="00462E45">
        <w:t xml:space="preserve">by provider type 2017 </w:t>
      </w:r>
      <w:r>
        <w:t>-</w:t>
      </w:r>
      <w:r w:rsidRPr="00462E45">
        <w:t xml:space="preserve"> 2020</w:t>
      </w:r>
      <w:bookmarkEnd w:id="0"/>
    </w:p>
    <w:tbl>
      <w:tblPr>
        <w:tblStyle w:val="TableGrid1"/>
        <w:tblW w:w="0" w:type="auto"/>
        <w:tblLook w:val="04A0" w:firstRow="1" w:lastRow="0" w:firstColumn="1" w:lastColumn="0" w:noHBand="0" w:noVBand="1"/>
      </w:tblPr>
      <w:tblGrid>
        <w:gridCol w:w="5807"/>
        <w:gridCol w:w="3209"/>
      </w:tblGrid>
      <w:tr w:rsidR="0043697D" w:rsidRPr="00462E45" w:rsidTr="002E6AFC">
        <w:tc>
          <w:tcPr>
            <w:tcW w:w="5807" w:type="dxa"/>
            <w:shd w:val="clear" w:color="auto" w:fill="DEEAF6" w:themeFill="accent1" w:themeFillTint="33"/>
          </w:tcPr>
          <w:p w:rsidR="0043697D" w:rsidRPr="00462E45" w:rsidRDefault="0043697D" w:rsidP="001C1A43">
            <w:pPr>
              <w:spacing w:before="60" w:line="240" w:lineRule="auto"/>
              <w:rPr>
                <w:rFonts w:ascii="Calibri" w:eastAsia="Calibri" w:hAnsi="Calibri" w:cs="Times New Roman"/>
              </w:rPr>
            </w:pPr>
            <w:r w:rsidRPr="00462E45">
              <w:rPr>
                <w:rFonts w:eastAsia="Times New Roman"/>
                <w:b/>
                <w:bCs/>
                <w:lang w:eastAsia="en-AU"/>
              </w:rPr>
              <w:t>Provider size</w:t>
            </w:r>
            <w:r w:rsidR="0099117F">
              <w:rPr>
                <w:rFonts w:eastAsia="Times New Roman"/>
                <w:b/>
                <w:bCs/>
                <w:lang w:eastAsia="en-AU"/>
              </w:rPr>
              <w:t xml:space="preserve"> </w:t>
            </w:r>
            <w:r w:rsidR="0099117F" w:rsidRPr="0099117F">
              <w:rPr>
                <w:rFonts w:eastAsia="Times New Roman"/>
                <w:b/>
                <w:bCs/>
                <w:color w:val="FF0000"/>
                <w:lang w:eastAsia="en-AU"/>
              </w:rPr>
              <w:t>by HSP revenue</w:t>
            </w:r>
          </w:p>
        </w:tc>
        <w:tc>
          <w:tcPr>
            <w:tcW w:w="3209" w:type="dxa"/>
            <w:shd w:val="clear" w:color="auto" w:fill="DEEAF6" w:themeFill="accent1" w:themeFillTint="33"/>
          </w:tcPr>
          <w:p w:rsidR="0043697D" w:rsidRPr="00462E45" w:rsidRDefault="0043697D" w:rsidP="001C1A43">
            <w:pPr>
              <w:spacing w:before="60" w:line="240" w:lineRule="auto"/>
              <w:jc w:val="right"/>
              <w:rPr>
                <w:rFonts w:ascii="Calibri" w:eastAsia="Calibri" w:hAnsi="Calibri" w:cs="Times New Roman"/>
              </w:rPr>
            </w:pPr>
            <w:r w:rsidRPr="00462E45">
              <w:rPr>
                <w:rFonts w:eastAsia="Times New Roman"/>
                <w:b/>
                <w:bCs/>
                <w:lang w:eastAsia="en-AU"/>
              </w:rPr>
              <w:t>Number of</w:t>
            </w:r>
            <w:r w:rsidR="0099117F">
              <w:rPr>
                <w:rFonts w:eastAsia="Times New Roman"/>
                <w:b/>
                <w:bCs/>
                <w:lang w:eastAsia="en-AU"/>
              </w:rPr>
              <w:t xml:space="preserve"> </w:t>
            </w:r>
            <w:r w:rsidR="0099117F" w:rsidRPr="0099117F">
              <w:rPr>
                <w:rFonts w:eastAsia="Times New Roman"/>
                <w:b/>
                <w:bCs/>
                <w:color w:val="FF0000"/>
                <w:lang w:eastAsia="en-AU"/>
              </w:rPr>
              <w:t>new client</w:t>
            </w:r>
            <w:r w:rsidRPr="0099117F">
              <w:rPr>
                <w:rFonts w:eastAsia="Times New Roman"/>
                <w:b/>
                <w:bCs/>
                <w:color w:val="FF0000"/>
                <w:lang w:eastAsia="en-AU"/>
              </w:rPr>
              <w:t xml:space="preserve"> </w:t>
            </w:r>
            <w:r w:rsidRPr="001C1A43">
              <w:rPr>
                <w:rFonts w:eastAsia="Times New Roman"/>
                <w:b/>
                <w:bCs/>
                <w:color w:val="FF0000"/>
                <w:lang w:eastAsia="en-AU"/>
              </w:rPr>
              <w:t>Vouchers</w:t>
            </w:r>
          </w:p>
        </w:tc>
      </w:tr>
      <w:tr w:rsidR="0043697D" w:rsidRPr="00462E45" w:rsidTr="002E6AFC">
        <w:tc>
          <w:tcPr>
            <w:tcW w:w="5807" w:type="dxa"/>
          </w:tcPr>
          <w:p w:rsidR="0043697D" w:rsidRPr="001C1A43" w:rsidRDefault="0043697D" w:rsidP="001C1A43">
            <w:pPr>
              <w:spacing w:before="60" w:line="240" w:lineRule="auto"/>
              <w:rPr>
                <w:rFonts w:ascii="Calibri" w:eastAsia="Calibri" w:hAnsi="Calibri" w:cs="Times New Roman"/>
                <w:b/>
                <w:color w:val="FF0000"/>
              </w:rPr>
            </w:pPr>
            <w:r w:rsidRPr="001C1A43">
              <w:rPr>
                <w:rFonts w:eastAsia="Times New Roman"/>
                <w:b/>
                <w:color w:val="FF0000"/>
                <w:lang w:eastAsia="en-AU"/>
              </w:rPr>
              <w:t>Large providers (&gt;$2M per year)</w:t>
            </w:r>
          </w:p>
        </w:tc>
        <w:tc>
          <w:tcPr>
            <w:tcW w:w="3209" w:type="dxa"/>
          </w:tcPr>
          <w:p w:rsidR="0043697D" w:rsidRPr="001C1A43" w:rsidRDefault="0043697D" w:rsidP="001C1A43">
            <w:pPr>
              <w:spacing w:before="60" w:line="240" w:lineRule="auto"/>
              <w:jc w:val="right"/>
              <w:rPr>
                <w:rFonts w:ascii="Calibri" w:eastAsia="Calibri" w:hAnsi="Calibri" w:cs="Times New Roman"/>
                <w:b/>
                <w:color w:val="FF0000"/>
              </w:rPr>
            </w:pPr>
            <w:r w:rsidRPr="001C1A43">
              <w:rPr>
                <w:rFonts w:eastAsia="Times New Roman"/>
                <w:b/>
                <w:color w:val="FF0000"/>
                <w:lang w:eastAsia="en-AU"/>
              </w:rPr>
              <w:t>282,980</w:t>
            </w:r>
          </w:p>
        </w:tc>
      </w:tr>
      <w:tr w:rsidR="0043697D" w:rsidRPr="00462E45" w:rsidTr="002E6AFC">
        <w:tc>
          <w:tcPr>
            <w:tcW w:w="5807" w:type="dxa"/>
          </w:tcPr>
          <w:p w:rsidR="0043697D" w:rsidRPr="001C1A43" w:rsidRDefault="0043697D" w:rsidP="001C1A43">
            <w:pPr>
              <w:spacing w:before="60" w:line="240" w:lineRule="auto"/>
              <w:rPr>
                <w:rFonts w:ascii="Calibri" w:eastAsia="Calibri" w:hAnsi="Calibri" w:cs="Times New Roman"/>
                <w:b/>
                <w:color w:val="FF0000"/>
              </w:rPr>
            </w:pPr>
            <w:r w:rsidRPr="001C1A43">
              <w:rPr>
                <w:rFonts w:eastAsia="Times New Roman"/>
                <w:b/>
                <w:color w:val="FF0000"/>
                <w:lang w:eastAsia="en-AU"/>
              </w:rPr>
              <w:t>Medium providers ($200k to $2M per year)</w:t>
            </w:r>
          </w:p>
        </w:tc>
        <w:tc>
          <w:tcPr>
            <w:tcW w:w="3209" w:type="dxa"/>
          </w:tcPr>
          <w:p w:rsidR="0043697D" w:rsidRPr="001C1A43" w:rsidRDefault="0043697D" w:rsidP="001C1A43">
            <w:pPr>
              <w:spacing w:before="60" w:line="240" w:lineRule="auto"/>
              <w:jc w:val="right"/>
              <w:rPr>
                <w:rFonts w:ascii="Calibri" w:eastAsia="Calibri" w:hAnsi="Calibri" w:cs="Times New Roman"/>
                <w:b/>
                <w:color w:val="FF0000"/>
              </w:rPr>
            </w:pPr>
            <w:r w:rsidRPr="001C1A43">
              <w:rPr>
                <w:rFonts w:eastAsia="Times New Roman"/>
                <w:b/>
                <w:color w:val="FF0000"/>
                <w:lang w:eastAsia="en-AU"/>
              </w:rPr>
              <w:t>47,763</w:t>
            </w:r>
          </w:p>
        </w:tc>
      </w:tr>
      <w:tr w:rsidR="0043697D" w:rsidRPr="00462E45" w:rsidTr="002E6AFC">
        <w:tc>
          <w:tcPr>
            <w:tcW w:w="5807" w:type="dxa"/>
          </w:tcPr>
          <w:p w:rsidR="0043697D" w:rsidRPr="001C1A43" w:rsidRDefault="0043697D" w:rsidP="001C1A43">
            <w:pPr>
              <w:spacing w:before="60" w:line="240" w:lineRule="auto"/>
              <w:rPr>
                <w:rFonts w:ascii="Calibri" w:eastAsia="Calibri" w:hAnsi="Calibri" w:cs="Times New Roman"/>
                <w:b/>
                <w:color w:val="FF0000"/>
              </w:rPr>
            </w:pPr>
            <w:r w:rsidRPr="001C1A43">
              <w:rPr>
                <w:rFonts w:eastAsia="Times New Roman"/>
                <w:b/>
                <w:color w:val="FF0000"/>
                <w:lang w:eastAsia="en-AU"/>
              </w:rPr>
              <w:t>Small providers ($50K to $200k per year)</w:t>
            </w:r>
          </w:p>
        </w:tc>
        <w:tc>
          <w:tcPr>
            <w:tcW w:w="3209" w:type="dxa"/>
          </w:tcPr>
          <w:p w:rsidR="0043697D" w:rsidRPr="001C1A43" w:rsidRDefault="0043697D" w:rsidP="001C1A43">
            <w:pPr>
              <w:spacing w:before="60" w:line="240" w:lineRule="auto"/>
              <w:jc w:val="right"/>
              <w:rPr>
                <w:rFonts w:ascii="Calibri" w:eastAsia="Calibri" w:hAnsi="Calibri" w:cs="Times New Roman"/>
                <w:b/>
                <w:color w:val="FF0000"/>
              </w:rPr>
            </w:pPr>
            <w:r w:rsidRPr="001C1A43">
              <w:rPr>
                <w:rFonts w:eastAsia="Times New Roman"/>
                <w:b/>
                <w:color w:val="FF0000"/>
                <w:lang w:eastAsia="en-AU"/>
              </w:rPr>
              <w:t>7,113</w:t>
            </w:r>
          </w:p>
        </w:tc>
      </w:tr>
      <w:tr w:rsidR="0043697D" w:rsidRPr="00462E45" w:rsidTr="002E6AFC">
        <w:tc>
          <w:tcPr>
            <w:tcW w:w="5807" w:type="dxa"/>
          </w:tcPr>
          <w:p w:rsidR="0043697D" w:rsidRPr="001C1A43" w:rsidRDefault="0043697D" w:rsidP="001C1A43">
            <w:pPr>
              <w:spacing w:before="60" w:line="240" w:lineRule="auto"/>
              <w:rPr>
                <w:rFonts w:eastAsia="Times New Roman"/>
                <w:b/>
                <w:color w:val="FF0000"/>
                <w:lang w:eastAsia="en-AU"/>
              </w:rPr>
            </w:pPr>
            <w:r w:rsidRPr="001C1A43">
              <w:rPr>
                <w:rFonts w:eastAsia="Times New Roman"/>
                <w:b/>
                <w:color w:val="FF0000"/>
                <w:lang w:eastAsia="en-AU"/>
              </w:rPr>
              <w:t>Micro providers (&lt;$50k per year)</w:t>
            </w:r>
          </w:p>
        </w:tc>
        <w:tc>
          <w:tcPr>
            <w:tcW w:w="3209" w:type="dxa"/>
          </w:tcPr>
          <w:p w:rsidR="0043697D" w:rsidRPr="001C1A43" w:rsidRDefault="0043697D" w:rsidP="001C1A43">
            <w:pPr>
              <w:spacing w:before="60" w:line="240" w:lineRule="auto"/>
              <w:jc w:val="right"/>
              <w:rPr>
                <w:rFonts w:ascii="Calibri" w:eastAsia="Calibri" w:hAnsi="Calibri" w:cs="Times New Roman"/>
                <w:b/>
                <w:color w:val="FF0000"/>
              </w:rPr>
            </w:pPr>
            <w:r w:rsidRPr="001C1A43">
              <w:rPr>
                <w:rFonts w:eastAsia="Times New Roman"/>
                <w:b/>
                <w:color w:val="FF0000"/>
                <w:lang w:eastAsia="en-AU"/>
              </w:rPr>
              <w:t>943</w:t>
            </w:r>
          </w:p>
        </w:tc>
      </w:tr>
    </w:tbl>
    <w:p w:rsidR="00280050" w:rsidRPr="001C1A43" w:rsidRDefault="0043697D" w:rsidP="001C1A43">
      <w:pPr>
        <w:spacing w:line="240" w:lineRule="auto"/>
        <w:rPr>
          <w:i/>
          <w:sz w:val="16"/>
          <w:szCs w:val="18"/>
        </w:rPr>
      </w:pPr>
      <w:r w:rsidRPr="00462E45">
        <w:rPr>
          <w:i/>
          <w:sz w:val="16"/>
          <w:szCs w:val="18"/>
        </w:rPr>
        <w:t>Source: Department of Health – Hearing Services Program Data and Statistics (Internal).</w:t>
      </w:r>
    </w:p>
    <w:sectPr w:rsidR="00280050" w:rsidRPr="001C1A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096" w:rsidRDefault="001C3096" w:rsidP="006F2504">
      <w:pPr>
        <w:spacing w:after="0" w:line="240" w:lineRule="auto"/>
      </w:pPr>
      <w:r>
        <w:separator/>
      </w:r>
    </w:p>
  </w:endnote>
  <w:endnote w:type="continuationSeparator" w:id="0">
    <w:p w:rsidR="001C3096" w:rsidRDefault="001C3096" w:rsidP="006F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096" w:rsidRDefault="001C3096" w:rsidP="006F2504">
      <w:pPr>
        <w:spacing w:after="0" w:line="240" w:lineRule="auto"/>
      </w:pPr>
      <w:r>
        <w:separator/>
      </w:r>
    </w:p>
  </w:footnote>
  <w:footnote w:type="continuationSeparator" w:id="0">
    <w:p w:rsidR="001C3096" w:rsidRDefault="001C3096" w:rsidP="006F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04" w:rsidRDefault="006F2504" w:rsidP="006F2504">
    <w:pPr>
      <w:pStyle w:val="Header"/>
      <w:jc w:val="right"/>
    </w:pPr>
    <w:r>
      <w:t>8 JUNE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7D"/>
    <w:rsid w:val="00000F13"/>
    <w:rsid w:val="001C1A43"/>
    <w:rsid w:val="001C3096"/>
    <w:rsid w:val="00280050"/>
    <w:rsid w:val="00355567"/>
    <w:rsid w:val="0043697D"/>
    <w:rsid w:val="006C6656"/>
    <w:rsid w:val="006F2504"/>
    <w:rsid w:val="007647C9"/>
    <w:rsid w:val="0099117F"/>
    <w:rsid w:val="009E42C1"/>
    <w:rsid w:val="00A83404"/>
    <w:rsid w:val="00CF7062"/>
    <w:rsid w:val="00EE6B3B"/>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8AF0C-FD92-430C-9ED6-9E88FD31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7D"/>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697D"/>
    <w:rPr>
      <w:sz w:val="16"/>
      <w:szCs w:val="16"/>
    </w:rPr>
  </w:style>
  <w:style w:type="paragraph" w:styleId="CommentText">
    <w:name w:val="annotation text"/>
    <w:basedOn w:val="Normal"/>
    <w:link w:val="CommentTextChar"/>
    <w:uiPriority w:val="99"/>
    <w:unhideWhenUsed/>
    <w:rsid w:val="0043697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43697D"/>
    <w:rPr>
      <w:rFonts w:ascii="Calibri" w:hAnsi="Calibri" w:cs="Calibri"/>
      <w:sz w:val="20"/>
      <w:szCs w:val="20"/>
    </w:rPr>
  </w:style>
  <w:style w:type="table" w:customStyle="1" w:styleId="TableGrid1">
    <w:name w:val="Table Grid1"/>
    <w:basedOn w:val="TableNormal"/>
    <w:next w:val="TableGrid"/>
    <w:uiPriority w:val="59"/>
    <w:rsid w:val="0043697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3697D"/>
    <w:pPr>
      <w:keepNext/>
      <w:spacing w:line="240" w:lineRule="auto"/>
    </w:pPr>
    <w:rPr>
      <w:rFonts w:eastAsia="Times New Roman" w:cstheme="minorHAnsi"/>
      <w:i/>
      <w:iCs/>
    </w:rPr>
  </w:style>
  <w:style w:type="table" w:styleId="TableGrid">
    <w:name w:val="Table Grid"/>
    <w:basedOn w:val="TableNormal"/>
    <w:uiPriority w:val="39"/>
    <w:rsid w:val="0043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97D"/>
    <w:rPr>
      <w:rFonts w:ascii="Segoe UI" w:hAnsi="Segoe UI" w:cs="Segoe UI"/>
      <w:sz w:val="18"/>
      <w:szCs w:val="18"/>
    </w:rPr>
  </w:style>
  <w:style w:type="paragraph" w:styleId="Header">
    <w:name w:val="header"/>
    <w:basedOn w:val="Normal"/>
    <w:link w:val="HeaderChar"/>
    <w:uiPriority w:val="99"/>
    <w:unhideWhenUsed/>
    <w:rsid w:val="006F2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504"/>
    <w:rPr>
      <w:rFonts w:asciiTheme="minorHAnsi" w:hAnsiTheme="minorHAnsi" w:cstheme="minorBidi"/>
      <w:sz w:val="22"/>
      <w:szCs w:val="22"/>
    </w:rPr>
  </w:style>
  <w:style w:type="paragraph" w:styleId="Footer">
    <w:name w:val="footer"/>
    <w:basedOn w:val="Normal"/>
    <w:link w:val="FooterChar"/>
    <w:uiPriority w:val="99"/>
    <w:unhideWhenUsed/>
    <w:rsid w:val="006F2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504"/>
    <w:rPr>
      <w:rFonts w:asciiTheme="minorHAnsi" w:hAnsiTheme="minorHAnsi" w:cstheme="minorBidi"/>
      <w:sz w:val="22"/>
      <w:szCs w:val="22"/>
    </w:rPr>
  </w:style>
  <w:style w:type="character" w:styleId="Hyperlink">
    <w:name w:val="Hyperlink"/>
    <w:basedOn w:val="DefaultParagraphFont"/>
    <w:uiPriority w:val="99"/>
    <w:unhideWhenUsed/>
    <w:rsid w:val="009E4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ations.health.gov.au/hearing-and-program-support-division/hsp-review-draft-report/consultation/subpage.2020-10-23.49216118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Nicola</dc:creator>
  <cp:keywords/>
  <dc:description/>
  <cp:lastModifiedBy>TAYLOR, Nicole</cp:lastModifiedBy>
  <cp:revision>2</cp:revision>
  <dcterms:created xsi:type="dcterms:W3CDTF">2021-06-10T04:29:00Z</dcterms:created>
  <dcterms:modified xsi:type="dcterms:W3CDTF">2021-06-10T04:29:00Z</dcterms:modified>
</cp:coreProperties>
</file>