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17BB" w14:textId="06962600" w:rsidR="00B017E3" w:rsidRDefault="00E6382D" w:rsidP="00E6382D">
      <w:pPr>
        <w:pStyle w:val="Heading1"/>
        <w:pBdr>
          <w:bottom w:val="single" w:sz="6" w:space="1" w:color="auto"/>
        </w:pBdr>
      </w:pPr>
      <w:r w:rsidRPr="00E6382D">
        <w:t>Australian Medical Research Advisory Board (AMRAB)</w:t>
      </w:r>
    </w:p>
    <w:p w14:paraId="423EDA61" w14:textId="75B6D5EC" w:rsidR="00D85693" w:rsidRDefault="002D5137" w:rsidP="002D5137">
      <w:pPr>
        <w:pStyle w:val="Heading3"/>
      </w:pPr>
      <w:r w:rsidRPr="002D5137">
        <w:t>Expressions of Interest for membership of the Australian Medical Research Advisory Board (AMRAB)</w:t>
      </w:r>
    </w:p>
    <w:p w14:paraId="314D2E2B" w14:textId="77777777" w:rsidR="002D5137" w:rsidRPr="00D85693" w:rsidRDefault="002D5137" w:rsidP="00D85693"/>
    <w:p w14:paraId="025BE07B" w14:textId="637CC464" w:rsidR="00233F23" w:rsidRDefault="00233F23" w:rsidP="00233F23">
      <w:pPr>
        <w:pStyle w:val="Heading2"/>
      </w:pPr>
      <w:r w:rsidRPr="00F1201F">
        <w:t xml:space="preserve">Selection Criteria </w:t>
      </w:r>
    </w:p>
    <w:p w14:paraId="06B10F37" w14:textId="79102F36" w:rsidR="00910C06" w:rsidRPr="00910C06" w:rsidRDefault="00910C06" w:rsidP="00910C06">
      <w:r>
        <w:t xml:space="preserve">Highly desirable skills include: </w:t>
      </w:r>
    </w:p>
    <w:p w14:paraId="19BF90B3" w14:textId="77777777" w:rsidR="00233F23" w:rsidRPr="00F1201F" w:rsidRDefault="00233F23" w:rsidP="00233F23">
      <w:pPr>
        <w:pStyle w:val="ListParagraph"/>
        <w:numPr>
          <w:ilvl w:val="0"/>
          <w:numId w:val="1"/>
        </w:numPr>
      </w:pPr>
      <w:r w:rsidRPr="00F1201F">
        <w:t>Prior committee or board experience: Proven experience on expert committee, statutory or</w:t>
      </w:r>
      <w:r>
        <w:t xml:space="preserve"> </w:t>
      </w:r>
      <w:r w:rsidRPr="00F1201F">
        <w:t xml:space="preserve">advisory board, or senior executive roles within research, health sector or government. </w:t>
      </w:r>
    </w:p>
    <w:p w14:paraId="651ED77A" w14:textId="77777777" w:rsidR="00233F23" w:rsidRPr="00F1201F" w:rsidRDefault="00233F23" w:rsidP="00233F23">
      <w:pPr>
        <w:pStyle w:val="ListParagraph"/>
        <w:numPr>
          <w:ilvl w:val="0"/>
          <w:numId w:val="1"/>
        </w:numPr>
      </w:pPr>
      <w:r w:rsidRPr="00F1201F">
        <w:t>Expertise in health and medical research: Expert in a field relating to health and medical</w:t>
      </w:r>
      <w:r>
        <w:t xml:space="preserve"> </w:t>
      </w:r>
      <w:r w:rsidRPr="00F1201F">
        <w:t>research with a deep understanding of major health challenges, translating research into</w:t>
      </w:r>
      <w:r>
        <w:t xml:space="preserve"> </w:t>
      </w:r>
      <w:r w:rsidRPr="00F1201F">
        <w:t>clinical practice, driving innovations in healthcare delivery, and supporting early to middle</w:t>
      </w:r>
      <w:r>
        <w:t xml:space="preserve"> </w:t>
      </w:r>
      <w:r w:rsidRPr="00F1201F">
        <w:t xml:space="preserve">career researchers. </w:t>
      </w:r>
    </w:p>
    <w:p w14:paraId="6B3D59DB" w14:textId="1D9C29E2" w:rsidR="00233F23" w:rsidRPr="00F1201F" w:rsidRDefault="00233F23" w:rsidP="00233F23">
      <w:pPr>
        <w:pStyle w:val="ListParagraph"/>
        <w:numPr>
          <w:ilvl w:val="0"/>
          <w:numId w:val="1"/>
        </w:numPr>
      </w:pPr>
      <w:r w:rsidRPr="00F1201F">
        <w:t xml:space="preserve">Political acumen: Knowledge of the Australian health system and its </w:t>
      </w:r>
      <w:r w:rsidR="00910C06">
        <w:t xml:space="preserve">intersection </w:t>
      </w:r>
      <w:r w:rsidRPr="00F1201F">
        <w:t>with medical</w:t>
      </w:r>
      <w:r>
        <w:t xml:space="preserve"> </w:t>
      </w:r>
      <w:r w:rsidRPr="00F1201F">
        <w:t>research</w:t>
      </w:r>
      <w:r w:rsidR="00910C06">
        <w:t xml:space="preserve"> and innovation</w:t>
      </w:r>
      <w:r w:rsidRPr="00F1201F">
        <w:t xml:space="preserve"> as demonstrated by experience in advising </w:t>
      </w:r>
      <w:r w:rsidR="00910C06">
        <w:t xml:space="preserve">on </w:t>
      </w:r>
      <w:r w:rsidRPr="00F1201F">
        <w:t>health policy. Ability to navigate the</w:t>
      </w:r>
      <w:r>
        <w:t xml:space="preserve"> </w:t>
      </w:r>
      <w:r w:rsidRPr="00F1201F">
        <w:t>complexities of</w:t>
      </w:r>
      <w:r w:rsidR="00910C06">
        <w:t xml:space="preserve"> Australia’s</w:t>
      </w:r>
      <w:r w:rsidRPr="00F1201F">
        <w:t xml:space="preserve"> health and medical research landscape, including the roles of</w:t>
      </w:r>
      <w:r>
        <w:t xml:space="preserve"> </w:t>
      </w:r>
      <w:r w:rsidRPr="00F1201F">
        <w:t xml:space="preserve">AMRAB, the </w:t>
      </w:r>
      <w:r>
        <w:t>D</w:t>
      </w:r>
      <w:r w:rsidRPr="00F1201F">
        <w:t>epartment, and the N</w:t>
      </w:r>
      <w:r w:rsidR="00910C06">
        <w:t xml:space="preserve">ational </w:t>
      </w:r>
      <w:r w:rsidRPr="00F1201F">
        <w:t>H</w:t>
      </w:r>
      <w:r w:rsidR="00910C06">
        <w:t xml:space="preserve">ealth and </w:t>
      </w:r>
      <w:r w:rsidRPr="00F1201F">
        <w:t>M</w:t>
      </w:r>
      <w:r w:rsidR="00910C06">
        <w:t xml:space="preserve">edical </w:t>
      </w:r>
      <w:r w:rsidRPr="00F1201F">
        <w:t>R</w:t>
      </w:r>
      <w:r w:rsidR="00910C06">
        <w:t xml:space="preserve">esearch </w:t>
      </w:r>
      <w:r w:rsidRPr="00F1201F">
        <w:t>C</w:t>
      </w:r>
      <w:r w:rsidR="00910C06">
        <w:t>ouncil</w:t>
      </w:r>
      <w:r w:rsidRPr="00F1201F">
        <w:t>, and provide advice on health and research policy</w:t>
      </w:r>
      <w:r>
        <w:t xml:space="preserve"> </w:t>
      </w:r>
      <w:r w:rsidR="00910C06">
        <w:t>matters</w:t>
      </w:r>
      <w:r w:rsidRPr="00F1201F">
        <w:t xml:space="preserve">. </w:t>
      </w:r>
    </w:p>
    <w:p w14:paraId="2BAD0E09" w14:textId="77777777" w:rsidR="00233F23" w:rsidRDefault="00233F23" w:rsidP="00233F23">
      <w:pPr>
        <w:pStyle w:val="ListParagraph"/>
        <w:numPr>
          <w:ilvl w:val="0"/>
          <w:numId w:val="1"/>
        </w:numPr>
      </w:pPr>
      <w:r w:rsidRPr="00F1201F">
        <w:t>Stakeholder engagement: Ability to engage and represent the board in interactions with a</w:t>
      </w:r>
      <w:r>
        <w:t xml:space="preserve"> </w:t>
      </w:r>
      <w:r w:rsidRPr="00F1201F">
        <w:t xml:space="preserve">wide range of stakeholders, including the </w:t>
      </w:r>
      <w:r>
        <w:t>D</w:t>
      </w:r>
      <w:r w:rsidRPr="00F1201F">
        <w:t>epartment, NHMRC, committee members,</w:t>
      </w:r>
      <w:r>
        <w:t xml:space="preserve"> </w:t>
      </w:r>
      <w:r w:rsidRPr="00F1201F">
        <w:t xml:space="preserve">academia/research institutions, and the public. </w:t>
      </w:r>
    </w:p>
    <w:p w14:paraId="29004344" w14:textId="77777777" w:rsidR="00233F23" w:rsidRPr="00F1201F" w:rsidRDefault="00233F23" w:rsidP="00233F23">
      <w:pPr>
        <w:pStyle w:val="ListParagraph"/>
        <w:numPr>
          <w:ilvl w:val="0"/>
          <w:numId w:val="2"/>
        </w:numPr>
        <w:ind w:left="720"/>
      </w:pPr>
      <w:r>
        <w:t xml:space="preserve">Consumer engagement: </w:t>
      </w:r>
      <w:r w:rsidRPr="00A522AD">
        <w:t xml:space="preserve">Demonstrated dedication to enhancing consumer engagement within the medical grants process </w:t>
      </w:r>
      <w:r>
        <w:t xml:space="preserve">throughout </w:t>
      </w:r>
      <w:r w:rsidRPr="00A522AD">
        <w:t>the grant lifecycle</w:t>
      </w:r>
      <w:r>
        <w:t>.</w:t>
      </w:r>
    </w:p>
    <w:p w14:paraId="0A2152EF" w14:textId="6D7CB7B7" w:rsidR="00233F23" w:rsidRDefault="00233F23" w:rsidP="00233F23">
      <w:pPr>
        <w:pStyle w:val="ListParagraph"/>
        <w:numPr>
          <w:ilvl w:val="0"/>
          <w:numId w:val="1"/>
        </w:numPr>
      </w:pPr>
      <w:r w:rsidRPr="00F1201F">
        <w:t xml:space="preserve">Impartial, integrity and ethical: Records of being impartial, </w:t>
      </w:r>
      <w:r w:rsidR="00961825">
        <w:t>having integrity</w:t>
      </w:r>
      <w:r w:rsidRPr="00F1201F">
        <w:t xml:space="preserve"> and </w:t>
      </w:r>
      <w:r w:rsidR="00961825">
        <w:t xml:space="preserve">acting </w:t>
      </w:r>
      <w:r w:rsidRPr="00F1201F">
        <w:t>ethical</w:t>
      </w:r>
      <w:r w:rsidR="00961825">
        <w:t>ly</w:t>
      </w:r>
      <w:r w:rsidRPr="00F1201F">
        <w:t xml:space="preserve">. </w:t>
      </w:r>
    </w:p>
    <w:p w14:paraId="3B775C63" w14:textId="77777777" w:rsidR="00233F23" w:rsidRPr="00E0205B" w:rsidRDefault="00233F23" w:rsidP="00233F23">
      <w:pPr>
        <w:ind w:left="360"/>
        <w:rPr>
          <w:b/>
          <w:bCs/>
        </w:rPr>
      </w:pPr>
      <w:r w:rsidRPr="00E0205B">
        <w:rPr>
          <w:b/>
          <w:bCs/>
        </w:rPr>
        <w:t xml:space="preserve">Additional criterion for Deputy Chair role: </w:t>
      </w:r>
    </w:p>
    <w:p w14:paraId="6D201954" w14:textId="77777777" w:rsidR="00233F23" w:rsidRPr="00F1201F" w:rsidRDefault="00233F23" w:rsidP="00233F23">
      <w:pPr>
        <w:pStyle w:val="ListParagraph"/>
        <w:numPr>
          <w:ilvl w:val="0"/>
          <w:numId w:val="1"/>
        </w:numPr>
      </w:pPr>
      <w:r w:rsidRPr="00F1201F">
        <w:t>Leadership experience in high-level or complex settings: Proven capability to promote</w:t>
      </w:r>
      <w:r>
        <w:t xml:space="preserve"> </w:t>
      </w:r>
      <w:r w:rsidRPr="00F1201F">
        <w:t>effective team engagement and collaboration within a multidisciplinary team</w:t>
      </w:r>
      <w:r>
        <w:t>.</w:t>
      </w:r>
    </w:p>
    <w:p w14:paraId="5CB3EE91" w14:textId="37BB4BE4" w:rsidR="00233F23" w:rsidRDefault="00233F23" w:rsidP="00233F23">
      <w:pPr>
        <w:pStyle w:val="Heading2"/>
      </w:pPr>
      <w:r>
        <w:t>Appointment Details</w:t>
      </w:r>
      <w:r w:rsidR="002D5137">
        <w:t xml:space="preserve"> and FAQ</w:t>
      </w:r>
    </w:p>
    <w:p w14:paraId="7DD41633" w14:textId="77777777" w:rsidR="00233F23" w:rsidRDefault="00233F23" w:rsidP="00233F23">
      <w:r w:rsidRPr="00642243">
        <w:t>Appointments will be for a term of up to 5 years, commencing in early 2026 following the conclusion of the current AMRAB term on 28 February 2026.</w:t>
      </w:r>
    </w:p>
    <w:p w14:paraId="4C64A773" w14:textId="77777777" w:rsidR="00233F23" w:rsidRPr="00473F72" w:rsidRDefault="00233F23" w:rsidP="00233F23">
      <w:pPr>
        <w:rPr>
          <w:b/>
          <w:bCs/>
        </w:rPr>
      </w:pPr>
      <w:r w:rsidRPr="00473F72">
        <w:rPr>
          <w:b/>
          <w:bCs/>
        </w:rPr>
        <w:t xml:space="preserve">What positions are being recruited? When do the appointments take effect? </w:t>
      </w:r>
    </w:p>
    <w:p w14:paraId="4C78C99B" w14:textId="77777777" w:rsidR="00233F23" w:rsidRDefault="00233F23" w:rsidP="00233F23">
      <w:r>
        <w:t>The Department is now accepting nominations for the Deputy Chair position of AMRAB, as well as for five member positions on AMRAB. Please specify the position(s) you are interested in on the application form.</w:t>
      </w:r>
    </w:p>
    <w:p w14:paraId="50DB2F8D" w14:textId="77777777" w:rsidR="00233F23" w:rsidRPr="0056039C" w:rsidRDefault="00233F23" w:rsidP="00233F23">
      <w:r w:rsidRPr="00473F72">
        <w:lastRenderedPageBreak/>
        <w:t>Appointments will commence on or after 1 March 2026, following the conclusion of the current AMRAB term on 28 February 2026.</w:t>
      </w:r>
    </w:p>
    <w:p w14:paraId="03BC11D0" w14:textId="77777777" w:rsidR="00233F23" w:rsidRPr="0056039C" w:rsidRDefault="00233F23" w:rsidP="00233F23">
      <w:pPr>
        <w:rPr>
          <w:b/>
          <w:bCs/>
        </w:rPr>
      </w:pPr>
      <w:r w:rsidRPr="0056039C">
        <w:rPr>
          <w:b/>
          <w:bCs/>
        </w:rPr>
        <w:t>What is the time commitment?</w:t>
      </w:r>
    </w:p>
    <w:p w14:paraId="61040704" w14:textId="0C1BAADF" w:rsidR="00233F23" w:rsidRDefault="00233F23" w:rsidP="00233F23">
      <w:r w:rsidRPr="0056039C">
        <w:t xml:space="preserve">AMRAB </w:t>
      </w:r>
      <w:r>
        <w:t>typically conduct</w:t>
      </w:r>
      <w:r w:rsidRPr="0056039C">
        <w:t xml:space="preserve"> joint meetings with the NHMRC Council</w:t>
      </w:r>
      <w:r>
        <w:t xml:space="preserve"> </w:t>
      </w:r>
      <w:r w:rsidRPr="0056039C">
        <w:t xml:space="preserve">3 or 4 times per year </w:t>
      </w:r>
      <w:r w:rsidRPr="00473F72">
        <w:t>each lasting either one day or two full days</w:t>
      </w:r>
      <w:r>
        <w:t xml:space="preserve"> which can be attended in-person or virtually.</w:t>
      </w:r>
      <w:r w:rsidRPr="0056039C">
        <w:t xml:space="preserve"> Meeting preparation involves reading and considering agenda papers in advance of the meeting and may includ</w:t>
      </w:r>
      <w:r>
        <w:t>e</w:t>
      </w:r>
      <w:r w:rsidRPr="0056039C">
        <w:t xml:space="preserve"> preparing materials or presentations. The AMRAB Secretariat can provide support in the preparation of materials and</w:t>
      </w:r>
      <w:r w:rsidR="00961825">
        <w:t>/</w:t>
      </w:r>
      <w:r w:rsidRPr="0056039C">
        <w:t>or presentations. Additional</w:t>
      </w:r>
      <w:r>
        <w:t xml:space="preserve"> meetings, consultation activities and</w:t>
      </w:r>
      <w:r w:rsidRPr="0056039C">
        <w:t xml:space="preserve"> </w:t>
      </w:r>
      <w:r>
        <w:t>request for</w:t>
      </w:r>
      <w:r w:rsidRPr="0056039C">
        <w:t xml:space="preserve"> </w:t>
      </w:r>
      <w:r>
        <w:t>advice</w:t>
      </w:r>
      <w:r w:rsidRPr="0056039C">
        <w:t xml:space="preserve"> </w:t>
      </w:r>
      <w:r>
        <w:t xml:space="preserve">out of session </w:t>
      </w:r>
      <w:r w:rsidRPr="0056039C">
        <w:t xml:space="preserve">may be required </w:t>
      </w:r>
      <w:r>
        <w:t>at the discretion of</w:t>
      </w:r>
      <w:r w:rsidRPr="0056039C">
        <w:t xml:space="preserve"> the Chair and Deputy Chair.</w:t>
      </w:r>
    </w:p>
    <w:p w14:paraId="728E15F7" w14:textId="77777777" w:rsidR="00233F23" w:rsidRPr="0056039C" w:rsidRDefault="00233F23" w:rsidP="00233F23">
      <w:r w:rsidRPr="0056039C">
        <w:t>The Chair and Deputy Chair are also expected to hold monthly online meetings for up to one hour with the Chief Executive Officer, Health and Medical Research Office, Department of Health</w:t>
      </w:r>
      <w:r>
        <w:t>, Disability and Ageing</w:t>
      </w:r>
      <w:r w:rsidRPr="0056039C">
        <w:t>.</w:t>
      </w:r>
    </w:p>
    <w:p w14:paraId="4FEDAC0D" w14:textId="77777777" w:rsidR="00233F23" w:rsidRPr="0056039C" w:rsidRDefault="00233F23" w:rsidP="00233F23">
      <w:pPr>
        <w:rPr>
          <w:b/>
          <w:bCs/>
        </w:rPr>
      </w:pPr>
      <w:r w:rsidRPr="0056039C">
        <w:rPr>
          <w:b/>
          <w:bCs/>
        </w:rPr>
        <w:t>Where are meetings held?</w:t>
      </w:r>
    </w:p>
    <w:p w14:paraId="6BEE4A5C" w14:textId="484334DF" w:rsidR="00233F23" w:rsidRPr="0056039C" w:rsidRDefault="00233F23" w:rsidP="00233F23">
      <w:r w:rsidRPr="0056039C">
        <w:t>Meetings may be held via videoconference or in</w:t>
      </w:r>
      <w:r w:rsidR="00961825">
        <w:t>-</w:t>
      </w:r>
      <w:r w:rsidRPr="0056039C">
        <w:t>person. All travel and accommodation expenses associated with in</w:t>
      </w:r>
      <w:r w:rsidR="00961825">
        <w:t>-</w:t>
      </w:r>
      <w:r w:rsidRPr="0056039C">
        <w:t xml:space="preserve">person meetings will be booked by the Department and the provision of meals or meal allowance will be in accordance with the Commonwealth </w:t>
      </w:r>
      <w:r>
        <w:t>Remuneration</w:t>
      </w:r>
      <w:r w:rsidRPr="0056039C">
        <w:t xml:space="preserve"> Tribunal. You may also seek reimbursement for incidental expenses such as taxi fares and parking associated with in</w:t>
      </w:r>
      <w:r w:rsidR="00961825">
        <w:t>-</w:t>
      </w:r>
      <w:r w:rsidRPr="0056039C">
        <w:t>person meeting attendance.</w:t>
      </w:r>
    </w:p>
    <w:p w14:paraId="2FA78AE2" w14:textId="77777777" w:rsidR="00233F23" w:rsidRPr="0056039C" w:rsidRDefault="00233F23" w:rsidP="00233F23">
      <w:pPr>
        <w:rPr>
          <w:b/>
          <w:bCs/>
        </w:rPr>
      </w:pPr>
      <w:r w:rsidRPr="0056039C">
        <w:rPr>
          <w:b/>
          <w:bCs/>
        </w:rPr>
        <w:t>Will I be remunerated?</w:t>
      </w:r>
    </w:p>
    <w:p w14:paraId="4987C376" w14:textId="18511299" w:rsidR="00233F23" w:rsidRDefault="00233F23" w:rsidP="00233F23">
      <w:r w:rsidRPr="0056039C">
        <w:t>Yes.</w:t>
      </w:r>
      <w:r>
        <w:t xml:space="preserve"> AMRAB </w:t>
      </w:r>
      <w:r w:rsidR="00961825">
        <w:t xml:space="preserve">members </w:t>
      </w:r>
      <w:r>
        <w:t>will receive remuneration for their contribution.</w:t>
      </w:r>
      <w:r w:rsidRPr="0056039C">
        <w:t xml:space="preserve"> The successful nominee will be</w:t>
      </w:r>
      <w:r w:rsidR="00961825">
        <w:t xml:space="preserve"> remunerated</w:t>
      </w:r>
      <w:r w:rsidRPr="0056039C">
        <w:t xml:space="preserve"> in accordance with the</w:t>
      </w:r>
      <w:r>
        <w:t xml:space="preserve"> </w:t>
      </w:r>
      <w:hyperlink r:id="rId8" w:history="1">
        <w:r w:rsidRPr="0056039C">
          <w:rPr>
            <w:rStyle w:val="Hyperlink"/>
          </w:rPr>
          <w:t>Remuneration Tribunal (Remuneration and Allowances for Holders of Part time Public Office) Determination 2025</w:t>
        </w:r>
      </w:hyperlink>
      <w:r>
        <w:t>, as amended from time to time</w:t>
      </w:r>
      <w:r w:rsidRPr="0056039C">
        <w:t>. </w:t>
      </w:r>
    </w:p>
    <w:p w14:paraId="78626B04" w14:textId="77777777" w:rsidR="00233F23" w:rsidRPr="00124651" w:rsidRDefault="00233F23" w:rsidP="00233F23">
      <w:pPr>
        <w:keepNext/>
        <w:rPr>
          <w:b/>
          <w:bCs/>
        </w:rPr>
      </w:pPr>
      <w:r w:rsidRPr="00124651">
        <w:rPr>
          <w:b/>
          <w:bCs/>
        </w:rPr>
        <w:t>Can current or former Members of AMRAB nominate again?</w:t>
      </w:r>
    </w:p>
    <w:p w14:paraId="72B080E5" w14:textId="77777777" w:rsidR="00233F23" w:rsidRPr="00124651" w:rsidRDefault="00233F23" w:rsidP="00233F23">
      <w:r w:rsidRPr="00124651">
        <w:t xml:space="preserve">Yes. Existing AMRAB members may nominate for consideration of re-appointment. To ensure continuity, the Minister may choose to re-appoint some members for an additional term.  </w:t>
      </w:r>
    </w:p>
    <w:p w14:paraId="784DC88D" w14:textId="77777777" w:rsidR="00233F23" w:rsidRPr="00124651" w:rsidRDefault="00233F23" w:rsidP="00233F23">
      <w:pPr>
        <w:rPr>
          <w:b/>
          <w:bCs/>
        </w:rPr>
      </w:pPr>
      <w:r w:rsidRPr="00124651">
        <w:rPr>
          <w:b/>
          <w:bCs/>
        </w:rPr>
        <w:t xml:space="preserve">I may have a conflict of interest – can I still be considered?  </w:t>
      </w:r>
    </w:p>
    <w:p w14:paraId="5B13B0B3" w14:textId="2438E932" w:rsidR="00233F23" w:rsidRPr="00124651" w:rsidRDefault="00910C06" w:rsidP="00233F23">
      <w:r>
        <w:t>Yes. M</w:t>
      </w:r>
      <w:r w:rsidR="00233F23" w:rsidRPr="00124651">
        <w:t xml:space="preserve">embers are appointed for their expertise and experience, this can on occasion give rise to an actual, or perceived, conflict of interest. Disclosure of interests by members, prior to, and throughout the life of an appointment, is a requirement under the MRFF Act (section 32K). The process commences with completion of the </w:t>
      </w:r>
      <w:r w:rsidR="00233F23" w:rsidRPr="00124651">
        <w:rPr>
          <w:u w:val="single"/>
        </w:rPr>
        <w:t>Private Interests Declaration form</w:t>
      </w:r>
      <w:r w:rsidR="00233F23" w:rsidRPr="00124651">
        <w:t xml:space="preserve"> as part of this nomination process. The Department has developed </w:t>
      </w:r>
      <w:hyperlink r:id="rId9" w:history="1">
        <w:r w:rsidR="00233F23" w:rsidRPr="00124651">
          <w:rPr>
            <w:rStyle w:val="Hyperlink"/>
          </w:rPr>
          <w:t>MRFF Declarations of Interest Policy Statement</w:t>
        </w:r>
      </w:hyperlink>
      <w:r w:rsidR="00233F23" w:rsidRPr="00124651">
        <w:t xml:space="preserve"> to assist and inform members in the exercise and management of their Disclosure of Interests responsibilities. Appointed members must adhere to these requirements throughout their appointment.  </w:t>
      </w:r>
    </w:p>
    <w:p w14:paraId="7CB287CE" w14:textId="77777777" w:rsidR="00280050" w:rsidRPr="00F746C0" w:rsidRDefault="00280050"/>
    <w:sectPr w:rsidR="00280050" w:rsidRPr="00F746C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3FC3" w14:textId="77777777" w:rsidR="000F5E02" w:rsidRDefault="000F5E02" w:rsidP="00233F23">
      <w:pPr>
        <w:spacing w:after="0" w:line="240" w:lineRule="auto"/>
      </w:pPr>
      <w:r>
        <w:separator/>
      </w:r>
    </w:p>
  </w:endnote>
  <w:endnote w:type="continuationSeparator" w:id="0">
    <w:p w14:paraId="325134A1" w14:textId="77777777" w:rsidR="000F5E02" w:rsidRDefault="000F5E02" w:rsidP="0023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1770" w14:textId="3FBF0666" w:rsidR="00233F23" w:rsidRDefault="00233F23">
    <w:pPr>
      <w:pStyle w:val="Footer"/>
    </w:pPr>
    <w:r>
      <w:rPr>
        <w:noProof/>
      </w:rPr>
      <mc:AlternateContent>
        <mc:Choice Requires="wps">
          <w:drawing>
            <wp:anchor distT="0" distB="0" distL="0" distR="0" simplePos="0" relativeHeight="251662336" behindDoc="0" locked="0" layoutInCell="1" allowOverlap="1" wp14:anchorId="1E653BD7" wp14:editId="3A36FC68">
              <wp:simplePos x="635" y="635"/>
              <wp:positionH relativeFrom="page">
                <wp:align>center</wp:align>
              </wp:positionH>
              <wp:positionV relativeFrom="page">
                <wp:align>bottom</wp:align>
              </wp:positionV>
              <wp:extent cx="551815" cy="391160"/>
              <wp:effectExtent l="0" t="0" r="635" b="0"/>
              <wp:wrapNone/>
              <wp:docPr id="1111289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55AF18" w14:textId="752B15F7" w:rsidR="00233F23" w:rsidRPr="00233F23" w:rsidRDefault="00233F23" w:rsidP="00233F23">
                          <w:pPr>
                            <w:spacing w:after="0"/>
                            <w:rPr>
                              <w:rFonts w:ascii="Calibri" w:eastAsia="Calibri" w:hAnsi="Calibri" w:cs="Calibri"/>
                              <w:noProof/>
                              <w:color w:val="FF0000"/>
                            </w:rPr>
                          </w:pPr>
                          <w:r w:rsidRPr="00233F23">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53BD7"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5F55AF18" w14:textId="752B15F7" w:rsidR="00233F23" w:rsidRPr="00233F23" w:rsidRDefault="00233F23" w:rsidP="00233F23">
                    <w:pPr>
                      <w:spacing w:after="0"/>
                      <w:rPr>
                        <w:rFonts w:ascii="Calibri" w:eastAsia="Calibri" w:hAnsi="Calibri" w:cs="Calibri"/>
                        <w:noProof/>
                        <w:color w:val="FF0000"/>
                      </w:rPr>
                    </w:pPr>
                    <w:r w:rsidRPr="00233F23">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DDDD" w14:textId="7D11211B" w:rsidR="00233F23" w:rsidRDefault="00233F23">
    <w:pPr>
      <w:pStyle w:val="Footer"/>
    </w:pPr>
    <w:r>
      <w:rPr>
        <w:noProof/>
      </w:rPr>
      <mc:AlternateContent>
        <mc:Choice Requires="wps">
          <w:drawing>
            <wp:anchor distT="0" distB="0" distL="0" distR="0" simplePos="0" relativeHeight="251663360" behindDoc="0" locked="0" layoutInCell="1" allowOverlap="1" wp14:anchorId="152FF66E" wp14:editId="64E9C2DD">
              <wp:simplePos x="914400" y="10071100"/>
              <wp:positionH relativeFrom="page">
                <wp:align>center</wp:align>
              </wp:positionH>
              <wp:positionV relativeFrom="page">
                <wp:align>bottom</wp:align>
              </wp:positionV>
              <wp:extent cx="551815" cy="391160"/>
              <wp:effectExtent l="0" t="0" r="635" b="0"/>
              <wp:wrapNone/>
              <wp:docPr id="14641543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4F9786B" w14:textId="418D4B95" w:rsidR="00233F23" w:rsidRPr="00233F23" w:rsidRDefault="00233F23" w:rsidP="00233F23">
                          <w:pPr>
                            <w:spacing w:after="0"/>
                            <w:rPr>
                              <w:rFonts w:ascii="Calibri" w:eastAsia="Calibri" w:hAnsi="Calibri" w:cs="Calibri"/>
                              <w:noProof/>
                              <w:color w:val="FF0000"/>
                            </w:rPr>
                          </w:pPr>
                          <w:r w:rsidRPr="00233F23">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FF66E"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14F9786B" w14:textId="418D4B95" w:rsidR="00233F23" w:rsidRPr="00233F23" w:rsidRDefault="00233F23" w:rsidP="00233F23">
                    <w:pPr>
                      <w:spacing w:after="0"/>
                      <w:rPr>
                        <w:rFonts w:ascii="Calibri" w:eastAsia="Calibri" w:hAnsi="Calibri" w:cs="Calibri"/>
                        <w:noProof/>
                        <w:color w:val="FF0000"/>
                      </w:rPr>
                    </w:pPr>
                    <w:r w:rsidRPr="00233F23">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148E" w14:textId="3EB3EA77" w:rsidR="00233F23" w:rsidRDefault="00233F23">
    <w:pPr>
      <w:pStyle w:val="Footer"/>
    </w:pPr>
    <w:r>
      <w:rPr>
        <w:noProof/>
      </w:rPr>
      <mc:AlternateContent>
        <mc:Choice Requires="wps">
          <w:drawing>
            <wp:anchor distT="0" distB="0" distL="0" distR="0" simplePos="0" relativeHeight="251661312" behindDoc="0" locked="0" layoutInCell="1" allowOverlap="1" wp14:anchorId="17369AAB" wp14:editId="72237645">
              <wp:simplePos x="635" y="635"/>
              <wp:positionH relativeFrom="page">
                <wp:align>center</wp:align>
              </wp:positionH>
              <wp:positionV relativeFrom="page">
                <wp:align>bottom</wp:align>
              </wp:positionV>
              <wp:extent cx="551815" cy="391160"/>
              <wp:effectExtent l="0" t="0" r="635" b="0"/>
              <wp:wrapNone/>
              <wp:docPr id="12290360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4491452" w14:textId="329D9111" w:rsidR="00233F23" w:rsidRPr="00233F23" w:rsidRDefault="00233F23" w:rsidP="00233F23">
                          <w:pPr>
                            <w:spacing w:after="0"/>
                            <w:rPr>
                              <w:rFonts w:ascii="Calibri" w:eastAsia="Calibri" w:hAnsi="Calibri" w:cs="Calibri"/>
                              <w:noProof/>
                              <w:color w:val="FF0000"/>
                            </w:rPr>
                          </w:pPr>
                          <w:r w:rsidRPr="00233F23">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69AAB"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74491452" w14:textId="329D9111" w:rsidR="00233F23" w:rsidRPr="00233F23" w:rsidRDefault="00233F23" w:rsidP="00233F23">
                    <w:pPr>
                      <w:spacing w:after="0"/>
                      <w:rPr>
                        <w:rFonts w:ascii="Calibri" w:eastAsia="Calibri" w:hAnsi="Calibri" w:cs="Calibri"/>
                        <w:noProof/>
                        <w:color w:val="FF0000"/>
                      </w:rPr>
                    </w:pPr>
                    <w:r w:rsidRPr="00233F23">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29D2" w14:textId="77777777" w:rsidR="000F5E02" w:rsidRDefault="000F5E02" w:rsidP="00233F23">
      <w:pPr>
        <w:spacing w:after="0" w:line="240" w:lineRule="auto"/>
      </w:pPr>
      <w:r>
        <w:separator/>
      </w:r>
    </w:p>
  </w:footnote>
  <w:footnote w:type="continuationSeparator" w:id="0">
    <w:p w14:paraId="5A09793A" w14:textId="77777777" w:rsidR="000F5E02" w:rsidRDefault="000F5E02" w:rsidP="00233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B05F" w14:textId="1F49C719" w:rsidR="00233F23" w:rsidRDefault="00233F23">
    <w:pPr>
      <w:pStyle w:val="Header"/>
    </w:pPr>
    <w:r>
      <w:rPr>
        <w:noProof/>
      </w:rPr>
      <mc:AlternateContent>
        <mc:Choice Requires="wps">
          <w:drawing>
            <wp:anchor distT="0" distB="0" distL="0" distR="0" simplePos="0" relativeHeight="251659264" behindDoc="0" locked="0" layoutInCell="1" allowOverlap="1" wp14:anchorId="6C67D41C" wp14:editId="452E8EA5">
              <wp:simplePos x="635" y="635"/>
              <wp:positionH relativeFrom="page">
                <wp:align>center</wp:align>
              </wp:positionH>
              <wp:positionV relativeFrom="page">
                <wp:align>top</wp:align>
              </wp:positionV>
              <wp:extent cx="551815" cy="391160"/>
              <wp:effectExtent l="0" t="0" r="635" b="8890"/>
              <wp:wrapNone/>
              <wp:docPr id="14125953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1E5D44C" w14:textId="790E3D8D" w:rsidR="00233F23" w:rsidRPr="00233F23" w:rsidRDefault="00233F23" w:rsidP="00233F23">
                          <w:pPr>
                            <w:spacing w:after="0"/>
                            <w:rPr>
                              <w:rFonts w:ascii="Calibri" w:eastAsia="Calibri" w:hAnsi="Calibri" w:cs="Calibri"/>
                              <w:noProof/>
                              <w:color w:val="FF0000"/>
                            </w:rPr>
                          </w:pPr>
                          <w:r w:rsidRPr="00233F23">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7D41C"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1E5D44C" w14:textId="790E3D8D" w:rsidR="00233F23" w:rsidRPr="00233F23" w:rsidRDefault="00233F23" w:rsidP="00233F23">
                    <w:pPr>
                      <w:spacing w:after="0"/>
                      <w:rPr>
                        <w:rFonts w:ascii="Calibri" w:eastAsia="Calibri" w:hAnsi="Calibri" w:cs="Calibri"/>
                        <w:noProof/>
                        <w:color w:val="FF0000"/>
                      </w:rPr>
                    </w:pPr>
                    <w:r w:rsidRPr="00233F23">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A545" w14:textId="1B8A52AB" w:rsidR="00B017E3" w:rsidRDefault="00FB068A">
    <w:pPr>
      <w:pStyle w:val="Header"/>
    </w:pPr>
    <w:r>
      <w:rPr>
        <w:noProof/>
      </w:rPr>
      <w:drawing>
        <wp:inline distT="0" distB="0" distL="0" distR="0" wp14:anchorId="24923799" wp14:editId="06081BAE">
          <wp:extent cx="2188468" cy="664465"/>
          <wp:effectExtent l="0" t="0" r="2540" b="2540"/>
          <wp:docPr id="596943610"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43610" name="Picture 4"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88468" cy="664465"/>
                  </a:xfrm>
                  <a:prstGeom prst="rect">
                    <a:avLst/>
                  </a:prstGeom>
                </pic:spPr>
              </pic:pic>
            </a:graphicData>
          </a:graphic>
        </wp:inline>
      </w:drawing>
    </w:r>
  </w:p>
  <w:p w14:paraId="4A85A078" w14:textId="2E705D28" w:rsidR="00233F23" w:rsidRDefault="00233F23">
    <w:pPr>
      <w:pStyle w:val="Header"/>
    </w:pPr>
    <w:r>
      <w:rPr>
        <w:noProof/>
      </w:rPr>
      <mc:AlternateContent>
        <mc:Choice Requires="wps">
          <w:drawing>
            <wp:anchor distT="0" distB="0" distL="0" distR="0" simplePos="0" relativeHeight="251660288" behindDoc="0" locked="0" layoutInCell="1" allowOverlap="1" wp14:anchorId="083751FB" wp14:editId="6EAE21A7">
              <wp:simplePos x="914400" y="450850"/>
              <wp:positionH relativeFrom="page">
                <wp:align>center</wp:align>
              </wp:positionH>
              <wp:positionV relativeFrom="page">
                <wp:align>top</wp:align>
              </wp:positionV>
              <wp:extent cx="551815" cy="391160"/>
              <wp:effectExtent l="0" t="0" r="635" b="8890"/>
              <wp:wrapNone/>
              <wp:docPr id="7216157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79C19D5" w14:textId="2A97BFFF" w:rsidR="00233F23" w:rsidRPr="00233F23" w:rsidRDefault="00233F23" w:rsidP="00233F23">
                          <w:pPr>
                            <w:spacing w:after="0"/>
                            <w:rPr>
                              <w:rFonts w:ascii="Calibri" w:eastAsia="Calibri" w:hAnsi="Calibri" w:cs="Calibri"/>
                              <w:noProof/>
                              <w:color w:val="FF0000"/>
                            </w:rPr>
                          </w:pPr>
                          <w:r w:rsidRPr="00233F23">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3751FB"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279C19D5" w14:textId="2A97BFFF" w:rsidR="00233F23" w:rsidRPr="00233F23" w:rsidRDefault="00233F23" w:rsidP="00233F23">
                    <w:pPr>
                      <w:spacing w:after="0"/>
                      <w:rPr>
                        <w:rFonts w:ascii="Calibri" w:eastAsia="Calibri" w:hAnsi="Calibri" w:cs="Calibri"/>
                        <w:noProof/>
                        <w:color w:val="FF0000"/>
                      </w:rPr>
                    </w:pPr>
                    <w:r w:rsidRPr="00233F23">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CE23" w14:textId="71A1F2E5" w:rsidR="00233F23" w:rsidRDefault="00233F23">
    <w:pPr>
      <w:pStyle w:val="Header"/>
    </w:pPr>
    <w:r>
      <w:rPr>
        <w:noProof/>
      </w:rPr>
      <mc:AlternateContent>
        <mc:Choice Requires="wps">
          <w:drawing>
            <wp:anchor distT="0" distB="0" distL="0" distR="0" simplePos="0" relativeHeight="251658240" behindDoc="0" locked="0" layoutInCell="1" allowOverlap="1" wp14:anchorId="6CF02331" wp14:editId="2D181F14">
              <wp:simplePos x="635" y="635"/>
              <wp:positionH relativeFrom="page">
                <wp:align>center</wp:align>
              </wp:positionH>
              <wp:positionV relativeFrom="page">
                <wp:align>top</wp:align>
              </wp:positionV>
              <wp:extent cx="551815" cy="391160"/>
              <wp:effectExtent l="0" t="0" r="635" b="8890"/>
              <wp:wrapNone/>
              <wp:docPr id="1180721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C3DFAF4" w14:textId="60D11CDC" w:rsidR="00233F23" w:rsidRPr="00233F23" w:rsidRDefault="00233F23" w:rsidP="00233F23">
                          <w:pPr>
                            <w:spacing w:after="0"/>
                            <w:rPr>
                              <w:rFonts w:ascii="Calibri" w:eastAsia="Calibri" w:hAnsi="Calibri" w:cs="Calibri"/>
                              <w:noProof/>
                              <w:color w:val="FF0000"/>
                            </w:rPr>
                          </w:pPr>
                          <w:r w:rsidRPr="00233F23">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F02331"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2C3DFAF4" w14:textId="60D11CDC" w:rsidR="00233F23" w:rsidRPr="00233F23" w:rsidRDefault="00233F23" w:rsidP="00233F23">
                    <w:pPr>
                      <w:spacing w:after="0"/>
                      <w:rPr>
                        <w:rFonts w:ascii="Calibri" w:eastAsia="Calibri" w:hAnsi="Calibri" w:cs="Calibri"/>
                        <w:noProof/>
                        <w:color w:val="FF0000"/>
                      </w:rPr>
                    </w:pPr>
                    <w:r w:rsidRPr="00233F23">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537"/>
    <w:multiLevelType w:val="hybridMultilevel"/>
    <w:tmpl w:val="35209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3FC68D8"/>
    <w:multiLevelType w:val="hybridMultilevel"/>
    <w:tmpl w:val="E9DAF6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430689">
    <w:abstractNumId w:val="0"/>
  </w:num>
  <w:num w:numId="2" w16cid:durableId="201947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23"/>
    <w:rsid w:val="0004021E"/>
    <w:rsid w:val="000F5E02"/>
    <w:rsid w:val="00136030"/>
    <w:rsid w:val="00224DA0"/>
    <w:rsid w:val="00233F23"/>
    <w:rsid w:val="00280050"/>
    <w:rsid w:val="002D5137"/>
    <w:rsid w:val="003A22E4"/>
    <w:rsid w:val="004B28A2"/>
    <w:rsid w:val="006A7465"/>
    <w:rsid w:val="006C43C6"/>
    <w:rsid w:val="00910C06"/>
    <w:rsid w:val="00961825"/>
    <w:rsid w:val="009A1F03"/>
    <w:rsid w:val="00B017E3"/>
    <w:rsid w:val="00BA1B79"/>
    <w:rsid w:val="00C8412C"/>
    <w:rsid w:val="00D85693"/>
    <w:rsid w:val="00E6382D"/>
    <w:rsid w:val="00F14D6C"/>
    <w:rsid w:val="00F746C0"/>
    <w:rsid w:val="00FB0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AF469"/>
  <w15:chartTrackingRefBased/>
  <w15:docId w15:val="{ACE0F2AC-033C-48B8-A6E3-B368D5A3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23"/>
    <w:rPr>
      <w:rFonts w:ascii="Times New Roman" w:hAnsi="Times New Roman"/>
      <w:sz w:val="24"/>
    </w:rPr>
  </w:style>
  <w:style w:type="paragraph" w:styleId="Heading1">
    <w:name w:val="heading 1"/>
    <w:basedOn w:val="Normal"/>
    <w:next w:val="Normal"/>
    <w:link w:val="Heading1Char"/>
    <w:uiPriority w:val="9"/>
    <w:qFormat/>
    <w:rsid w:val="00233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3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3F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F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3F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3F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3F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3F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3F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3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3F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F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3F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3F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3F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3F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3F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3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F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F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3F23"/>
    <w:pPr>
      <w:spacing w:before="160"/>
      <w:jc w:val="center"/>
    </w:pPr>
    <w:rPr>
      <w:i/>
      <w:iCs/>
      <w:color w:val="404040" w:themeColor="text1" w:themeTint="BF"/>
    </w:rPr>
  </w:style>
  <w:style w:type="character" w:customStyle="1" w:styleId="QuoteChar">
    <w:name w:val="Quote Char"/>
    <w:basedOn w:val="DefaultParagraphFont"/>
    <w:link w:val="Quote"/>
    <w:uiPriority w:val="29"/>
    <w:rsid w:val="00233F23"/>
    <w:rPr>
      <w:i/>
      <w:iCs/>
      <w:color w:val="404040" w:themeColor="text1" w:themeTint="BF"/>
    </w:rPr>
  </w:style>
  <w:style w:type="paragraph" w:styleId="ListParagraph">
    <w:name w:val="List Paragraph"/>
    <w:basedOn w:val="Normal"/>
    <w:uiPriority w:val="34"/>
    <w:qFormat/>
    <w:rsid w:val="00233F23"/>
    <w:pPr>
      <w:ind w:left="720"/>
      <w:contextualSpacing/>
    </w:pPr>
  </w:style>
  <w:style w:type="character" w:styleId="IntenseEmphasis">
    <w:name w:val="Intense Emphasis"/>
    <w:basedOn w:val="DefaultParagraphFont"/>
    <w:uiPriority w:val="21"/>
    <w:qFormat/>
    <w:rsid w:val="00233F23"/>
    <w:rPr>
      <w:i/>
      <w:iCs/>
      <w:color w:val="0F4761" w:themeColor="accent1" w:themeShade="BF"/>
    </w:rPr>
  </w:style>
  <w:style w:type="paragraph" w:styleId="IntenseQuote">
    <w:name w:val="Intense Quote"/>
    <w:basedOn w:val="Normal"/>
    <w:next w:val="Normal"/>
    <w:link w:val="IntenseQuoteChar"/>
    <w:uiPriority w:val="30"/>
    <w:qFormat/>
    <w:rsid w:val="00233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F23"/>
    <w:rPr>
      <w:i/>
      <w:iCs/>
      <w:color w:val="0F4761" w:themeColor="accent1" w:themeShade="BF"/>
    </w:rPr>
  </w:style>
  <w:style w:type="character" w:styleId="IntenseReference">
    <w:name w:val="Intense Reference"/>
    <w:basedOn w:val="DefaultParagraphFont"/>
    <w:uiPriority w:val="32"/>
    <w:qFormat/>
    <w:rsid w:val="00233F23"/>
    <w:rPr>
      <w:b/>
      <w:bCs/>
      <w:smallCaps/>
      <w:color w:val="0F4761" w:themeColor="accent1" w:themeShade="BF"/>
      <w:spacing w:val="5"/>
    </w:rPr>
  </w:style>
  <w:style w:type="character" w:styleId="Hyperlink">
    <w:name w:val="Hyperlink"/>
    <w:basedOn w:val="DefaultParagraphFont"/>
    <w:uiPriority w:val="99"/>
    <w:unhideWhenUsed/>
    <w:rsid w:val="00233F23"/>
    <w:rPr>
      <w:color w:val="467886" w:themeColor="hyperlink"/>
      <w:u w:val="single"/>
    </w:rPr>
  </w:style>
  <w:style w:type="paragraph" w:styleId="Header">
    <w:name w:val="header"/>
    <w:basedOn w:val="Normal"/>
    <w:link w:val="HeaderChar"/>
    <w:uiPriority w:val="99"/>
    <w:unhideWhenUsed/>
    <w:rsid w:val="00233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F23"/>
    <w:rPr>
      <w:rFonts w:ascii="Times New Roman" w:hAnsi="Times New Roman"/>
      <w:sz w:val="24"/>
    </w:rPr>
  </w:style>
  <w:style w:type="paragraph" w:styleId="Footer">
    <w:name w:val="footer"/>
    <w:basedOn w:val="Normal"/>
    <w:link w:val="FooterChar"/>
    <w:uiPriority w:val="99"/>
    <w:unhideWhenUsed/>
    <w:rsid w:val="00233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F23"/>
    <w:rPr>
      <w:rFonts w:ascii="Times New Roman" w:hAnsi="Times New Roman"/>
      <w:sz w:val="24"/>
    </w:rPr>
  </w:style>
  <w:style w:type="character" w:styleId="UnresolvedMention">
    <w:name w:val="Unresolved Mention"/>
    <w:basedOn w:val="DefaultParagraphFont"/>
    <w:uiPriority w:val="99"/>
    <w:semiHidden/>
    <w:unhideWhenUsed/>
    <w:rsid w:val="00E6382D"/>
    <w:rPr>
      <w:color w:val="605E5C"/>
      <w:shd w:val="clear" w:color="auto" w:fill="E1DFDD"/>
    </w:rPr>
  </w:style>
  <w:style w:type="character" w:styleId="FollowedHyperlink">
    <w:name w:val="FollowedHyperlink"/>
    <w:basedOn w:val="DefaultParagraphFont"/>
    <w:uiPriority w:val="99"/>
    <w:semiHidden/>
    <w:unhideWhenUsed/>
    <w:rsid w:val="009618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6826">
      <w:bodyDiv w:val="1"/>
      <w:marLeft w:val="0"/>
      <w:marRight w:val="0"/>
      <w:marTop w:val="0"/>
      <w:marBottom w:val="0"/>
      <w:divBdr>
        <w:top w:val="none" w:sz="0" w:space="0" w:color="auto"/>
        <w:left w:val="none" w:sz="0" w:space="0" w:color="auto"/>
        <w:bottom w:val="none" w:sz="0" w:space="0" w:color="auto"/>
        <w:right w:val="none" w:sz="0" w:space="0" w:color="auto"/>
      </w:divBdr>
    </w:div>
    <w:div w:id="831408006">
      <w:bodyDiv w:val="1"/>
      <w:marLeft w:val="0"/>
      <w:marRight w:val="0"/>
      <w:marTop w:val="0"/>
      <w:marBottom w:val="0"/>
      <w:divBdr>
        <w:top w:val="none" w:sz="0" w:space="0" w:color="auto"/>
        <w:left w:val="none" w:sz="0" w:space="0" w:color="auto"/>
        <w:bottom w:val="none" w:sz="0" w:space="0" w:color="auto"/>
        <w:right w:val="none" w:sz="0" w:space="0" w:color="auto"/>
      </w:divBdr>
    </w:div>
    <w:div w:id="1530988280">
      <w:bodyDiv w:val="1"/>
      <w:marLeft w:val="0"/>
      <w:marRight w:val="0"/>
      <w:marTop w:val="0"/>
      <w:marBottom w:val="0"/>
      <w:divBdr>
        <w:top w:val="none" w:sz="0" w:space="0" w:color="auto"/>
        <w:left w:val="none" w:sz="0" w:space="0" w:color="auto"/>
        <w:bottom w:val="none" w:sz="0" w:space="0" w:color="auto"/>
        <w:right w:val="none" w:sz="0" w:space="0" w:color="auto"/>
      </w:divBdr>
    </w:div>
    <w:div w:id="206864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mtribunal.gov.au/document-library-search/remuneration-tribunal-remuneration-and-allowances-holders-part-time-public-office-determination-20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gov.au/sites/default/files/documents/2021/12/medical-research-future-fund-declaration-of-interest-policy-statement_0.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3569-A2B7-4F68-BEFA-10352E19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4145</Characters>
  <Application>Microsoft Office Word</Application>
  <DocSecurity>0</DocSecurity>
  <Lines>73</Lines>
  <Paragraphs>28</Paragraphs>
  <ScaleCrop>false</ScaleCrop>
  <Company>Department of Health, Disability and Ageing</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 Shasha</dc:creator>
  <cp:keywords/>
  <dc:description/>
  <cp:lastModifiedBy>RAO, Shasha</cp:lastModifiedBy>
  <cp:revision>3</cp:revision>
  <dcterms:created xsi:type="dcterms:W3CDTF">2025-10-13T01:10:00Z</dcterms:created>
  <dcterms:modified xsi:type="dcterms:W3CDTF">2025-10-13T01:10:00Z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709a342,54327eb3,2b02fb81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494199e8,69fb17b,574538e4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2025-10-01T02:16:35Z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ae982bd7-0c24-438a-abc0-838f83cbaa62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