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B0538" w14:textId="5FB212B7" w:rsidR="00751A23" w:rsidRDefault="00986FE1" w:rsidP="00D1404D">
      <w:pPr>
        <w:pStyle w:val="Title"/>
        <w:spacing w:before="2000"/>
        <w:contextualSpacing w:val="0"/>
      </w:pPr>
      <w:r>
        <w:t>National Health Genomics Policy Framework and Implementation Plan</w:t>
      </w:r>
    </w:p>
    <w:p w14:paraId="61FF59C3" w14:textId="05F719AC" w:rsidR="00751A23" w:rsidRDefault="00986FE1" w:rsidP="00D1404D">
      <w:pPr>
        <w:pStyle w:val="Subtitle"/>
        <w:spacing w:after="400"/>
      </w:pPr>
      <w:r>
        <w:t>202</w:t>
      </w:r>
      <w:r w:rsidR="00214A52">
        <w:t>6</w:t>
      </w:r>
      <w:r>
        <w:t>-20</w:t>
      </w:r>
      <w:r w:rsidR="00F10D2F">
        <w:t>30</w:t>
      </w:r>
    </w:p>
    <w:p w14:paraId="3A36795C" w14:textId="77777777" w:rsidR="00E804B0" w:rsidRPr="00364C3F" w:rsidRDefault="00E804B0" w:rsidP="00364C3F">
      <w:pPr>
        <w:pStyle w:val="Heading1"/>
        <w:spacing w:before="680"/>
        <w:rPr>
          <w:color w:val="000000" w:themeColor="text1"/>
        </w:rPr>
      </w:pPr>
      <w:bookmarkStart w:id="0" w:name="_Toc198025672"/>
      <w:r w:rsidRPr="00364C3F">
        <w:rPr>
          <w:color w:val="000000" w:themeColor="text1"/>
        </w:rPr>
        <w:t>About this draft</w:t>
      </w:r>
      <w:bookmarkEnd w:id="0"/>
    </w:p>
    <w:p w14:paraId="56DA951D" w14:textId="77777777" w:rsidR="00E804B0" w:rsidRPr="002D2A39" w:rsidRDefault="00E804B0" w:rsidP="00E804B0">
      <w:pPr>
        <w:pStyle w:val="Boxtype"/>
        <w:shd w:val="clear" w:color="auto" w:fill="92D050"/>
        <w:rPr>
          <w:i/>
          <w:iCs/>
        </w:rPr>
      </w:pPr>
      <w:r w:rsidRPr="002D2A39">
        <w:rPr>
          <w:i/>
          <w:iCs/>
        </w:rPr>
        <w:t xml:space="preserve">This version of the National Health Genomics Policy Framework and Implementation Plan 2026-2030 is a working draft intended to support public consultation and feedback. Additional text boxes like this appear throughout to provide relevant context to readers. </w:t>
      </w:r>
    </w:p>
    <w:p w14:paraId="33643B77" w14:textId="4812700B" w:rsidR="000F308C" w:rsidRPr="000F308C" w:rsidRDefault="000F308C" w:rsidP="000F308C">
      <w:pPr>
        <w:sectPr w:rsidR="000F308C" w:rsidRPr="000F308C" w:rsidSect="005A36FC">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418" w:bottom="1418" w:left="1418" w:header="850" w:footer="142" w:gutter="0"/>
          <w:cols w:space="708"/>
          <w:titlePg/>
          <w:docGrid w:linePitch="360"/>
        </w:sectPr>
      </w:pPr>
    </w:p>
    <w:p w14:paraId="475BA7A5" w14:textId="77777777" w:rsidR="00D1404D" w:rsidRDefault="00D1404D">
      <w:pPr>
        <w:rPr>
          <w:rFonts w:ascii="Aptos" w:hAnsi="Aptos" w:cs="Arial"/>
          <w:bCs/>
          <w:color w:val="3F4A75"/>
          <w:kern w:val="28"/>
          <w:sz w:val="36"/>
          <w:szCs w:val="36"/>
        </w:rPr>
      </w:pPr>
      <w:bookmarkStart w:id="1" w:name="_Toc198025673"/>
      <w:r>
        <w:br w:type="page"/>
      </w:r>
    </w:p>
    <w:p w14:paraId="0DBC5A0E" w14:textId="65D9EC8C" w:rsidR="00366294" w:rsidRDefault="00151E3D" w:rsidP="00D1404D">
      <w:pPr>
        <w:pStyle w:val="Heading1"/>
      </w:pPr>
      <w:r w:rsidRPr="00151E3D">
        <w:lastRenderedPageBreak/>
        <w:t>Foreword</w:t>
      </w:r>
      <w:bookmarkEnd w:id="1"/>
    </w:p>
    <w:p w14:paraId="1DC87F0F" w14:textId="6966AC6C" w:rsidR="00366294" w:rsidRDefault="00366294" w:rsidP="00CB4EB3">
      <w:pPr>
        <w:pStyle w:val="Boxtype"/>
        <w:shd w:val="clear" w:color="auto" w:fill="92D050"/>
        <w:rPr>
          <w:i/>
          <w:iCs/>
        </w:rPr>
      </w:pPr>
      <w:r>
        <w:rPr>
          <w:i/>
          <w:iCs/>
        </w:rPr>
        <w:t xml:space="preserve">A brief introductory statement </w:t>
      </w:r>
      <w:r w:rsidR="00E804B0">
        <w:rPr>
          <w:i/>
          <w:iCs/>
        </w:rPr>
        <w:t>will</w:t>
      </w:r>
      <w:r>
        <w:rPr>
          <w:i/>
          <w:iCs/>
        </w:rPr>
        <w:t xml:space="preserve"> be included to introduce the document</w:t>
      </w:r>
      <w:r w:rsidR="00CB4EB3">
        <w:rPr>
          <w:i/>
          <w:iCs/>
        </w:rPr>
        <w:t xml:space="preserve"> and</w:t>
      </w:r>
      <w:r>
        <w:rPr>
          <w:i/>
          <w:iCs/>
        </w:rPr>
        <w:t xml:space="preserve"> highlight its importance. </w:t>
      </w:r>
      <w:r w:rsidR="00CB4EB3">
        <w:rPr>
          <w:i/>
          <w:iCs/>
        </w:rPr>
        <w:t xml:space="preserve">It is anticipated this foreword will be written by Health Ministers and/or the </w:t>
      </w:r>
      <w:r w:rsidR="00CB4EB3" w:rsidRPr="00CB4EB3">
        <w:rPr>
          <w:i/>
          <w:iCs/>
          <w:lang w:val="en-AU"/>
        </w:rPr>
        <w:t>Australian Health Genomics Commissioner.</w:t>
      </w:r>
      <w:r w:rsidR="00E804B0">
        <w:rPr>
          <w:i/>
          <w:iCs/>
          <w:lang w:val="en-AU"/>
        </w:rPr>
        <w:t xml:space="preserve"> This will be developed </w:t>
      </w:r>
      <w:r w:rsidR="00E804B0">
        <w:rPr>
          <w:i/>
          <w:iCs/>
        </w:rPr>
        <w:t>following public consultation.</w:t>
      </w:r>
    </w:p>
    <w:p w14:paraId="30407E6E" w14:textId="77777777" w:rsidR="00E804B0" w:rsidRDefault="00E804B0">
      <w:pPr>
        <w:rPr>
          <w:rFonts w:ascii="Aptos" w:hAnsi="Aptos" w:cs="Arial"/>
          <w:bCs/>
          <w:color w:val="3F4A75"/>
          <w:kern w:val="28"/>
          <w:sz w:val="36"/>
          <w:szCs w:val="36"/>
        </w:rPr>
      </w:pPr>
      <w:r>
        <w:br w:type="page"/>
      </w:r>
    </w:p>
    <w:p w14:paraId="3E4315A1" w14:textId="08B559BE" w:rsidR="00E804B0" w:rsidRDefault="00E804B0" w:rsidP="00E804B0">
      <w:pPr>
        <w:pStyle w:val="Heading1"/>
      </w:pPr>
      <w:bookmarkStart w:id="2" w:name="_Toc198025674"/>
      <w:r w:rsidDel="00954C4D">
        <w:lastRenderedPageBreak/>
        <w:t>Overview</w:t>
      </w:r>
      <w:bookmarkEnd w:id="2"/>
    </w:p>
    <w:p w14:paraId="2EA18A52" w14:textId="3B0F529E" w:rsidR="00E804B0" w:rsidRPr="002D2A39" w:rsidRDefault="00E804B0" w:rsidP="00E804B0">
      <w:pPr>
        <w:pStyle w:val="Boxtype"/>
        <w:shd w:val="clear" w:color="auto" w:fill="92D050"/>
        <w:rPr>
          <w:i/>
          <w:iCs/>
          <w:lang w:val="en-AU"/>
        </w:rPr>
      </w:pPr>
      <w:r>
        <w:rPr>
          <w:i/>
          <w:iCs/>
        </w:rPr>
        <w:t xml:space="preserve">A </w:t>
      </w:r>
      <w:r w:rsidR="00F6600C">
        <w:rPr>
          <w:i/>
          <w:iCs/>
        </w:rPr>
        <w:t xml:space="preserve">one-page </w:t>
      </w:r>
      <w:r>
        <w:rPr>
          <w:i/>
          <w:iCs/>
        </w:rPr>
        <w:t>graphical representation of the key elements of this document and a one-page written summary will be developed following public consultation.</w:t>
      </w:r>
      <w:r>
        <w:rPr>
          <w:rFonts w:cs="Times New Roman"/>
          <w:bCs/>
          <w:color w:val="auto"/>
        </w:rPr>
        <w:br w:type="page"/>
      </w:r>
    </w:p>
    <w:bookmarkStart w:id="3" w:name="_Toc198025675" w:displacedByCustomXml="next"/>
    <w:sdt>
      <w:sdtPr>
        <w:rPr>
          <w:rFonts w:ascii="Arial" w:hAnsi="Arial" w:cs="Times New Roman"/>
          <w:bCs w:val="0"/>
          <w:color w:val="auto"/>
          <w:kern w:val="0"/>
          <w:sz w:val="24"/>
          <w:szCs w:val="24"/>
        </w:rPr>
        <w:id w:val="-1469810330"/>
        <w:docPartObj>
          <w:docPartGallery w:val="Table of Contents"/>
          <w:docPartUnique/>
        </w:docPartObj>
      </w:sdtPr>
      <w:sdtEndPr>
        <w:rPr>
          <w:rFonts w:ascii="Aptos" w:hAnsi="Aptos" w:cs="Arial"/>
          <w:bCs/>
          <w:noProof/>
          <w:color w:val="3F4A75"/>
          <w:kern w:val="28"/>
          <w:sz w:val="36"/>
          <w:szCs w:val="36"/>
        </w:rPr>
      </w:sdtEndPr>
      <w:sdtContent>
        <w:bookmarkEnd w:id="3" w:displacedByCustomXml="next"/>
        <w:sdt>
          <w:sdtPr>
            <w:rPr>
              <w:sz w:val="24"/>
            </w:rPr>
            <w:id w:val="-1470037008"/>
            <w:docPartObj>
              <w:docPartGallery w:val="Table of Contents"/>
              <w:docPartUnique/>
            </w:docPartObj>
          </w:sdtPr>
          <w:sdtEndPr>
            <w:rPr>
              <w:b/>
              <w:noProof/>
              <w:sz w:val="36"/>
            </w:rPr>
          </w:sdtEndPr>
          <w:sdtContent>
            <w:p w14:paraId="201C6400" w14:textId="4CEEE8DC" w:rsidR="004023BF" w:rsidRPr="00B00939" w:rsidRDefault="004023BF" w:rsidP="00364C3F">
              <w:pPr>
                <w:pStyle w:val="Heading1"/>
                <w:rPr>
                  <w:sz w:val="24"/>
                </w:rPr>
              </w:pPr>
              <w:r w:rsidRPr="005A36FC">
                <w:rPr>
                  <w:rStyle w:val="Heading1Char"/>
                </w:rPr>
                <w:t>Contents</w:t>
              </w:r>
            </w:p>
          </w:sdtContent>
        </w:sdt>
      </w:sdtContent>
    </w:sdt>
    <w:p w14:paraId="4A3D3A69" w14:textId="63D16619" w:rsidR="00F36D13" w:rsidRDefault="004023BF" w:rsidP="00D1404D">
      <w:pPr>
        <w:pStyle w:val="TOC1"/>
        <w:tabs>
          <w:tab w:val="right" w:leader="dot" w:pos="9060"/>
        </w:tabs>
        <w:rPr>
          <w:rFonts w:asciiTheme="minorHAnsi" w:eastAsiaTheme="minorEastAsia" w:hAnsiTheme="minorHAnsi" w:cstheme="minorBidi"/>
          <w:noProof/>
          <w:kern w:val="2"/>
          <w:sz w:val="24"/>
          <w:lang w:eastAsia="en-AU"/>
          <w14:ligatures w14:val="standardContextual"/>
        </w:rPr>
      </w:pPr>
      <w:r w:rsidRPr="00B00939">
        <w:rPr>
          <w:rFonts w:ascii="Aptos" w:hAnsi="Aptos"/>
          <w:sz w:val="24"/>
        </w:rPr>
        <w:fldChar w:fldCharType="begin"/>
      </w:r>
      <w:r w:rsidRPr="00B00939">
        <w:rPr>
          <w:rFonts w:ascii="Aptos" w:hAnsi="Aptos"/>
          <w:sz w:val="24"/>
        </w:rPr>
        <w:instrText xml:space="preserve"> TOC \o "1-3" \h \z \u </w:instrText>
      </w:r>
      <w:r w:rsidRPr="00B00939">
        <w:rPr>
          <w:rFonts w:ascii="Aptos" w:hAnsi="Aptos"/>
          <w:sz w:val="24"/>
        </w:rPr>
        <w:fldChar w:fldCharType="separate"/>
      </w:r>
      <w:hyperlink w:anchor="_Toc198025674" w:history="1">
        <w:r w:rsidR="00F36D13" w:rsidRPr="00327E33">
          <w:rPr>
            <w:rStyle w:val="Hyperlink"/>
            <w:noProof/>
          </w:rPr>
          <w:t>Overview</w:t>
        </w:r>
        <w:r w:rsidR="00F36D13">
          <w:rPr>
            <w:noProof/>
            <w:webHidden/>
          </w:rPr>
          <w:tab/>
        </w:r>
        <w:r w:rsidR="00F36D13">
          <w:rPr>
            <w:noProof/>
            <w:webHidden/>
          </w:rPr>
          <w:fldChar w:fldCharType="begin"/>
        </w:r>
        <w:r w:rsidR="00F36D13">
          <w:rPr>
            <w:noProof/>
            <w:webHidden/>
          </w:rPr>
          <w:instrText xml:space="preserve"> PAGEREF _Toc198025674 \h </w:instrText>
        </w:r>
        <w:r w:rsidR="00F36D13">
          <w:rPr>
            <w:noProof/>
            <w:webHidden/>
          </w:rPr>
        </w:r>
        <w:r w:rsidR="00F36D13">
          <w:rPr>
            <w:noProof/>
            <w:webHidden/>
          </w:rPr>
          <w:fldChar w:fldCharType="separate"/>
        </w:r>
        <w:r w:rsidR="00A7297B">
          <w:rPr>
            <w:noProof/>
            <w:webHidden/>
          </w:rPr>
          <w:t>3</w:t>
        </w:r>
        <w:r w:rsidR="00F36D13">
          <w:rPr>
            <w:noProof/>
            <w:webHidden/>
          </w:rPr>
          <w:fldChar w:fldCharType="end"/>
        </w:r>
      </w:hyperlink>
    </w:p>
    <w:p w14:paraId="29F6B70C" w14:textId="713C2DBB" w:rsidR="00F36D13" w:rsidRDefault="00F36D13" w:rsidP="00D1404D">
      <w:pPr>
        <w:pStyle w:val="TOC1"/>
        <w:tabs>
          <w:tab w:val="right" w:leader="dot" w:pos="9060"/>
        </w:tabs>
        <w:rPr>
          <w:rFonts w:asciiTheme="minorHAnsi" w:eastAsiaTheme="minorEastAsia" w:hAnsiTheme="minorHAnsi" w:cstheme="minorBidi"/>
          <w:noProof/>
          <w:kern w:val="2"/>
          <w:sz w:val="24"/>
          <w:lang w:eastAsia="en-AU"/>
          <w14:ligatures w14:val="standardContextual"/>
        </w:rPr>
      </w:pPr>
      <w:hyperlink w:anchor="_Toc198025675" w:history="1">
        <w:r w:rsidRPr="00327E33">
          <w:rPr>
            <w:rStyle w:val="Hyperlink"/>
            <w:noProof/>
          </w:rPr>
          <w:t>Contents</w:t>
        </w:r>
        <w:r>
          <w:rPr>
            <w:noProof/>
            <w:webHidden/>
          </w:rPr>
          <w:tab/>
        </w:r>
        <w:r>
          <w:rPr>
            <w:noProof/>
            <w:webHidden/>
          </w:rPr>
          <w:fldChar w:fldCharType="begin"/>
        </w:r>
        <w:r>
          <w:rPr>
            <w:noProof/>
            <w:webHidden/>
          </w:rPr>
          <w:instrText xml:space="preserve"> PAGEREF _Toc198025675 \h </w:instrText>
        </w:r>
        <w:r>
          <w:rPr>
            <w:noProof/>
            <w:webHidden/>
          </w:rPr>
        </w:r>
        <w:r>
          <w:rPr>
            <w:noProof/>
            <w:webHidden/>
          </w:rPr>
          <w:fldChar w:fldCharType="separate"/>
        </w:r>
        <w:r w:rsidR="00A7297B">
          <w:rPr>
            <w:noProof/>
            <w:webHidden/>
          </w:rPr>
          <w:t>4</w:t>
        </w:r>
        <w:r>
          <w:rPr>
            <w:noProof/>
            <w:webHidden/>
          </w:rPr>
          <w:fldChar w:fldCharType="end"/>
        </w:r>
      </w:hyperlink>
    </w:p>
    <w:p w14:paraId="78D90639" w14:textId="72C65462" w:rsidR="00F36D13" w:rsidRDefault="00F36D13" w:rsidP="00D1404D">
      <w:pPr>
        <w:pStyle w:val="TOC1"/>
        <w:tabs>
          <w:tab w:val="right" w:leader="dot" w:pos="9060"/>
        </w:tabs>
        <w:rPr>
          <w:rFonts w:asciiTheme="minorHAnsi" w:eastAsiaTheme="minorEastAsia" w:hAnsiTheme="minorHAnsi" w:cstheme="minorBidi"/>
          <w:noProof/>
          <w:kern w:val="2"/>
          <w:sz w:val="24"/>
          <w:lang w:eastAsia="en-AU"/>
          <w14:ligatures w14:val="standardContextual"/>
        </w:rPr>
      </w:pPr>
      <w:hyperlink w:anchor="_Toc198025676" w:history="1">
        <w:r w:rsidRPr="00327E33">
          <w:rPr>
            <w:rStyle w:val="Hyperlink"/>
            <w:noProof/>
          </w:rPr>
          <w:t>Purpose</w:t>
        </w:r>
        <w:r>
          <w:rPr>
            <w:noProof/>
            <w:webHidden/>
          </w:rPr>
          <w:tab/>
        </w:r>
        <w:r>
          <w:rPr>
            <w:noProof/>
            <w:webHidden/>
          </w:rPr>
          <w:fldChar w:fldCharType="begin"/>
        </w:r>
        <w:r>
          <w:rPr>
            <w:noProof/>
            <w:webHidden/>
          </w:rPr>
          <w:instrText xml:space="preserve"> PAGEREF _Toc198025676 \h </w:instrText>
        </w:r>
        <w:r>
          <w:rPr>
            <w:noProof/>
            <w:webHidden/>
          </w:rPr>
        </w:r>
        <w:r>
          <w:rPr>
            <w:noProof/>
            <w:webHidden/>
          </w:rPr>
          <w:fldChar w:fldCharType="separate"/>
        </w:r>
        <w:r w:rsidR="00A7297B">
          <w:rPr>
            <w:noProof/>
            <w:webHidden/>
          </w:rPr>
          <w:t>5</w:t>
        </w:r>
        <w:r>
          <w:rPr>
            <w:noProof/>
            <w:webHidden/>
          </w:rPr>
          <w:fldChar w:fldCharType="end"/>
        </w:r>
      </w:hyperlink>
    </w:p>
    <w:p w14:paraId="38D0A1C2" w14:textId="3F946119" w:rsidR="00F36D13" w:rsidRDefault="00F36D13" w:rsidP="00D1404D">
      <w:pPr>
        <w:pStyle w:val="TOC2"/>
        <w:tabs>
          <w:tab w:val="right" w:leader="dot" w:pos="9060"/>
        </w:tabs>
        <w:rPr>
          <w:rFonts w:asciiTheme="minorHAnsi" w:eastAsiaTheme="minorEastAsia" w:hAnsiTheme="minorHAnsi" w:cstheme="minorBidi"/>
          <w:noProof/>
          <w:kern w:val="2"/>
          <w:sz w:val="24"/>
          <w:lang w:eastAsia="en-AU"/>
          <w14:ligatures w14:val="standardContextual"/>
        </w:rPr>
      </w:pPr>
      <w:hyperlink w:anchor="_Toc198025677" w:history="1">
        <w:r w:rsidRPr="00327E33">
          <w:rPr>
            <w:rStyle w:val="Hyperlink"/>
            <w:noProof/>
          </w:rPr>
          <w:t>Vision</w:t>
        </w:r>
        <w:r>
          <w:rPr>
            <w:noProof/>
            <w:webHidden/>
          </w:rPr>
          <w:tab/>
        </w:r>
        <w:r>
          <w:rPr>
            <w:noProof/>
            <w:webHidden/>
          </w:rPr>
          <w:fldChar w:fldCharType="begin"/>
        </w:r>
        <w:r>
          <w:rPr>
            <w:noProof/>
            <w:webHidden/>
          </w:rPr>
          <w:instrText xml:space="preserve"> PAGEREF _Toc198025677 \h </w:instrText>
        </w:r>
        <w:r>
          <w:rPr>
            <w:noProof/>
            <w:webHidden/>
          </w:rPr>
        </w:r>
        <w:r>
          <w:rPr>
            <w:noProof/>
            <w:webHidden/>
          </w:rPr>
          <w:fldChar w:fldCharType="separate"/>
        </w:r>
        <w:r w:rsidR="00A7297B">
          <w:rPr>
            <w:noProof/>
            <w:webHidden/>
          </w:rPr>
          <w:t>5</w:t>
        </w:r>
        <w:r>
          <w:rPr>
            <w:noProof/>
            <w:webHidden/>
          </w:rPr>
          <w:fldChar w:fldCharType="end"/>
        </w:r>
      </w:hyperlink>
    </w:p>
    <w:p w14:paraId="36DA5C6E" w14:textId="22F8F1A7" w:rsidR="00F36D13" w:rsidRDefault="00F36D13" w:rsidP="00D1404D">
      <w:pPr>
        <w:pStyle w:val="TOC2"/>
        <w:tabs>
          <w:tab w:val="right" w:leader="dot" w:pos="9060"/>
        </w:tabs>
        <w:rPr>
          <w:rFonts w:asciiTheme="minorHAnsi" w:eastAsiaTheme="minorEastAsia" w:hAnsiTheme="minorHAnsi" w:cstheme="minorBidi"/>
          <w:noProof/>
          <w:kern w:val="2"/>
          <w:sz w:val="24"/>
          <w:lang w:eastAsia="en-AU"/>
          <w14:ligatures w14:val="standardContextual"/>
        </w:rPr>
      </w:pPr>
      <w:hyperlink w:anchor="_Toc198025678" w:history="1">
        <w:r w:rsidRPr="00327E33">
          <w:rPr>
            <w:rStyle w:val="Hyperlink"/>
            <w:noProof/>
          </w:rPr>
          <w:t>Mission</w:t>
        </w:r>
        <w:r>
          <w:rPr>
            <w:noProof/>
            <w:webHidden/>
          </w:rPr>
          <w:tab/>
        </w:r>
        <w:r>
          <w:rPr>
            <w:noProof/>
            <w:webHidden/>
          </w:rPr>
          <w:fldChar w:fldCharType="begin"/>
        </w:r>
        <w:r>
          <w:rPr>
            <w:noProof/>
            <w:webHidden/>
          </w:rPr>
          <w:instrText xml:space="preserve"> PAGEREF _Toc198025678 \h </w:instrText>
        </w:r>
        <w:r>
          <w:rPr>
            <w:noProof/>
            <w:webHidden/>
          </w:rPr>
        </w:r>
        <w:r>
          <w:rPr>
            <w:noProof/>
            <w:webHidden/>
          </w:rPr>
          <w:fldChar w:fldCharType="separate"/>
        </w:r>
        <w:r w:rsidR="00A7297B">
          <w:rPr>
            <w:noProof/>
            <w:webHidden/>
          </w:rPr>
          <w:t>5</w:t>
        </w:r>
        <w:r>
          <w:rPr>
            <w:noProof/>
            <w:webHidden/>
          </w:rPr>
          <w:fldChar w:fldCharType="end"/>
        </w:r>
      </w:hyperlink>
    </w:p>
    <w:p w14:paraId="7218B057" w14:textId="03DF78D7" w:rsidR="00F36D13" w:rsidRDefault="00F36D13" w:rsidP="00D1404D">
      <w:pPr>
        <w:pStyle w:val="TOC2"/>
        <w:tabs>
          <w:tab w:val="right" w:leader="dot" w:pos="9060"/>
        </w:tabs>
        <w:rPr>
          <w:rFonts w:asciiTheme="minorHAnsi" w:eastAsiaTheme="minorEastAsia" w:hAnsiTheme="minorHAnsi" w:cstheme="minorBidi"/>
          <w:noProof/>
          <w:kern w:val="2"/>
          <w:sz w:val="24"/>
          <w:lang w:eastAsia="en-AU"/>
          <w14:ligatures w14:val="standardContextual"/>
        </w:rPr>
      </w:pPr>
      <w:hyperlink w:anchor="_Toc198025679" w:history="1">
        <w:r w:rsidRPr="00327E33">
          <w:rPr>
            <w:rStyle w:val="Hyperlink"/>
            <w:noProof/>
          </w:rPr>
          <w:t>Audience</w:t>
        </w:r>
        <w:r>
          <w:rPr>
            <w:noProof/>
            <w:webHidden/>
          </w:rPr>
          <w:tab/>
        </w:r>
        <w:r>
          <w:rPr>
            <w:noProof/>
            <w:webHidden/>
          </w:rPr>
          <w:fldChar w:fldCharType="begin"/>
        </w:r>
        <w:r>
          <w:rPr>
            <w:noProof/>
            <w:webHidden/>
          </w:rPr>
          <w:instrText xml:space="preserve"> PAGEREF _Toc198025679 \h </w:instrText>
        </w:r>
        <w:r>
          <w:rPr>
            <w:noProof/>
            <w:webHidden/>
          </w:rPr>
        </w:r>
        <w:r>
          <w:rPr>
            <w:noProof/>
            <w:webHidden/>
          </w:rPr>
          <w:fldChar w:fldCharType="separate"/>
        </w:r>
        <w:r w:rsidR="00A7297B">
          <w:rPr>
            <w:noProof/>
            <w:webHidden/>
          </w:rPr>
          <w:t>5</w:t>
        </w:r>
        <w:r>
          <w:rPr>
            <w:noProof/>
            <w:webHidden/>
          </w:rPr>
          <w:fldChar w:fldCharType="end"/>
        </w:r>
      </w:hyperlink>
    </w:p>
    <w:p w14:paraId="3831E547" w14:textId="697EF987" w:rsidR="00F36D13" w:rsidRDefault="00F36D13" w:rsidP="00D1404D">
      <w:pPr>
        <w:pStyle w:val="TOC1"/>
        <w:tabs>
          <w:tab w:val="right" w:leader="dot" w:pos="9060"/>
        </w:tabs>
        <w:rPr>
          <w:rFonts w:asciiTheme="minorHAnsi" w:eastAsiaTheme="minorEastAsia" w:hAnsiTheme="minorHAnsi" w:cstheme="minorBidi"/>
          <w:noProof/>
          <w:kern w:val="2"/>
          <w:sz w:val="24"/>
          <w:lang w:eastAsia="en-AU"/>
          <w14:ligatures w14:val="standardContextual"/>
        </w:rPr>
      </w:pPr>
      <w:hyperlink w:anchor="_Toc198025680" w:history="1">
        <w:r w:rsidRPr="00327E33">
          <w:rPr>
            <w:rStyle w:val="Hyperlink"/>
            <w:noProof/>
          </w:rPr>
          <w:t>Scope</w:t>
        </w:r>
        <w:r>
          <w:rPr>
            <w:noProof/>
            <w:webHidden/>
          </w:rPr>
          <w:tab/>
        </w:r>
        <w:r>
          <w:rPr>
            <w:noProof/>
            <w:webHidden/>
          </w:rPr>
          <w:fldChar w:fldCharType="begin"/>
        </w:r>
        <w:r>
          <w:rPr>
            <w:noProof/>
            <w:webHidden/>
          </w:rPr>
          <w:instrText xml:space="preserve"> PAGEREF _Toc198025680 \h </w:instrText>
        </w:r>
        <w:r>
          <w:rPr>
            <w:noProof/>
            <w:webHidden/>
          </w:rPr>
        </w:r>
        <w:r>
          <w:rPr>
            <w:noProof/>
            <w:webHidden/>
          </w:rPr>
          <w:fldChar w:fldCharType="separate"/>
        </w:r>
        <w:r w:rsidR="00A7297B">
          <w:rPr>
            <w:noProof/>
            <w:webHidden/>
          </w:rPr>
          <w:t>6</w:t>
        </w:r>
        <w:r>
          <w:rPr>
            <w:noProof/>
            <w:webHidden/>
          </w:rPr>
          <w:fldChar w:fldCharType="end"/>
        </w:r>
      </w:hyperlink>
    </w:p>
    <w:p w14:paraId="6D35AF61" w14:textId="5729BC3D" w:rsidR="00F36D13" w:rsidRDefault="00F36D13" w:rsidP="00D1404D">
      <w:pPr>
        <w:pStyle w:val="TOC1"/>
        <w:tabs>
          <w:tab w:val="right" w:leader="dot" w:pos="9060"/>
        </w:tabs>
        <w:rPr>
          <w:rFonts w:asciiTheme="minorHAnsi" w:eastAsiaTheme="minorEastAsia" w:hAnsiTheme="minorHAnsi" w:cstheme="minorBidi"/>
          <w:noProof/>
          <w:kern w:val="2"/>
          <w:sz w:val="24"/>
          <w:lang w:eastAsia="en-AU"/>
          <w14:ligatures w14:val="standardContextual"/>
        </w:rPr>
      </w:pPr>
      <w:hyperlink w:anchor="_Toc198025681" w:history="1">
        <w:r w:rsidRPr="00327E33">
          <w:rPr>
            <w:rStyle w:val="Hyperlink"/>
            <w:noProof/>
          </w:rPr>
          <w:t>Strategic Context</w:t>
        </w:r>
        <w:r>
          <w:rPr>
            <w:noProof/>
            <w:webHidden/>
          </w:rPr>
          <w:tab/>
        </w:r>
        <w:r>
          <w:rPr>
            <w:noProof/>
            <w:webHidden/>
          </w:rPr>
          <w:fldChar w:fldCharType="begin"/>
        </w:r>
        <w:r>
          <w:rPr>
            <w:noProof/>
            <w:webHidden/>
          </w:rPr>
          <w:instrText xml:space="preserve"> PAGEREF _Toc198025681 \h </w:instrText>
        </w:r>
        <w:r>
          <w:rPr>
            <w:noProof/>
            <w:webHidden/>
          </w:rPr>
        </w:r>
        <w:r>
          <w:rPr>
            <w:noProof/>
            <w:webHidden/>
          </w:rPr>
          <w:fldChar w:fldCharType="separate"/>
        </w:r>
        <w:r w:rsidR="00A7297B">
          <w:rPr>
            <w:noProof/>
            <w:webHidden/>
          </w:rPr>
          <w:t>7</w:t>
        </w:r>
        <w:r>
          <w:rPr>
            <w:noProof/>
            <w:webHidden/>
          </w:rPr>
          <w:fldChar w:fldCharType="end"/>
        </w:r>
      </w:hyperlink>
    </w:p>
    <w:p w14:paraId="3F960D3B" w14:textId="1F79411B" w:rsidR="00F36D13" w:rsidRDefault="00F36D13" w:rsidP="00D1404D">
      <w:pPr>
        <w:pStyle w:val="TOC1"/>
        <w:tabs>
          <w:tab w:val="right" w:leader="dot" w:pos="9060"/>
        </w:tabs>
        <w:rPr>
          <w:rFonts w:asciiTheme="minorHAnsi" w:eastAsiaTheme="minorEastAsia" w:hAnsiTheme="minorHAnsi" w:cstheme="minorBidi"/>
          <w:noProof/>
          <w:kern w:val="2"/>
          <w:sz w:val="24"/>
          <w:lang w:eastAsia="en-AU"/>
          <w14:ligatures w14:val="standardContextual"/>
        </w:rPr>
      </w:pPr>
      <w:hyperlink w:anchor="_Toc198025683" w:history="1">
        <w:r w:rsidRPr="00327E33">
          <w:rPr>
            <w:rStyle w:val="Hyperlink"/>
            <w:noProof/>
          </w:rPr>
          <w:t>Implementation</w:t>
        </w:r>
        <w:r>
          <w:rPr>
            <w:noProof/>
            <w:webHidden/>
          </w:rPr>
          <w:tab/>
        </w:r>
        <w:r>
          <w:rPr>
            <w:noProof/>
            <w:webHidden/>
          </w:rPr>
          <w:fldChar w:fldCharType="begin"/>
        </w:r>
        <w:r>
          <w:rPr>
            <w:noProof/>
            <w:webHidden/>
          </w:rPr>
          <w:instrText xml:space="preserve"> PAGEREF _Toc198025683 \h </w:instrText>
        </w:r>
        <w:r>
          <w:rPr>
            <w:noProof/>
            <w:webHidden/>
          </w:rPr>
        </w:r>
        <w:r>
          <w:rPr>
            <w:noProof/>
            <w:webHidden/>
          </w:rPr>
          <w:fldChar w:fldCharType="separate"/>
        </w:r>
        <w:r w:rsidR="00A7297B">
          <w:rPr>
            <w:noProof/>
            <w:webHidden/>
          </w:rPr>
          <w:t>8</w:t>
        </w:r>
        <w:r>
          <w:rPr>
            <w:noProof/>
            <w:webHidden/>
          </w:rPr>
          <w:fldChar w:fldCharType="end"/>
        </w:r>
      </w:hyperlink>
    </w:p>
    <w:p w14:paraId="7A8666F9" w14:textId="398CD1E0" w:rsidR="00F36D13" w:rsidRDefault="00F36D13" w:rsidP="00D1404D">
      <w:pPr>
        <w:pStyle w:val="TOC2"/>
        <w:tabs>
          <w:tab w:val="right" w:leader="dot" w:pos="9060"/>
        </w:tabs>
        <w:rPr>
          <w:rFonts w:asciiTheme="minorHAnsi" w:eastAsiaTheme="minorEastAsia" w:hAnsiTheme="minorHAnsi" w:cstheme="minorBidi"/>
          <w:noProof/>
          <w:kern w:val="2"/>
          <w:sz w:val="24"/>
          <w:lang w:eastAsia="en-AU"/>
          <w14:ligatures w14:val="standardContextual"/>
        </w:rPr>
      </w:pPr>
      <w:hyperlink w:anchor="_Toc198025684" w:history="1">
        <w:r w:rsidRPr="00327E33">
          <w:rPr>
            <w:rStyle w:val="Hyperlink"/>
            <w:noProof/>
          </w:rPr>
          <w:t>Guiding Principles</w:t>
        </w:r>
        <w:r>
          <w:rPr>
            <w:noProof/>
            <w:webHidden/>
          </w:rPr>
          <w:tab/>
        </w:r>
        <w:r>
          <w:rPr>
            <w:noProof/>
            <w:webHidden/>
          </w:rPr>
          <w:fldChar w:fldCharType="begin"/>
        </w:r>
        <w:r>
          <w:rPr>
            <w:noProof/>
            <w:webHidden/>
          </w:rPr>
          <w:instrText xml:space="preserve"> PAGEREF _Toc198025684 \h </w:instrText>
        </w:r>
        <w:r>
          <w:rPr>
            <w:noProof/>
            <w:webHidden/>
          </w:rPr>
        </w:r>
        <w:r>
          <w:rPr>
            <w:noProof/>
            <w:webHidden/>
          </w:rPr>
          <w:fldChar w:fldCharType="separate"/>
        </w:r>
        <w:r w:rsidR="00A7297B">
          <w:rPr>
            <w:noProof/>
            <w:webHidden/>
          </w:rPr>
          <w:t>9</w:t>
        </w:r>
        <w:r>
          <w:rPr>
            <w:noProof/>
            <w:webHidden/>
          </w:rPr>
          <w:fldChar w:fldCharType="end"/>
        </w:r>
      </w:hyperlink>
    </w:p>
    <w:p w14:paraId="112956CC" w14:textId="45DCB403" w:rsidR="00F36D13" w:rsidRDefault="00F36D13" w:rsidP="00D1404D">
      <w:pPr>
        <w:pStyle w:val="TOC2"/>
        <w:tabs>
          <w:tab w:val="right" w:leader="dot" w:pos="9060"/>
        </w:tabs>
        <w:rPr>
          <w:rFonts w:asciiTheme="minorHAnsi" w:eastAsiaTheme="minorEastAsia" w:hAnsiTheme="minorHAnsi" w:cstheme="minorBidi"/>
          <w:noProof/>
          <w:kern w:val="2"/>
          <w:sz w:val="24"/>
          <w:lang w:eastAsia="en-AU"/>
          <w14:ligatures w14:val="standardContextual"/>
        </w:rPr>
      </w:pPr>
      <w:hyperlink w:anchor="_Toc198025685" w:history="1">
        <w:r w:rsidRPr="00327E33">
          <w:rPr>
            <w:rStyle w:val="Hyperlink"/>
            <w:noProof/>
          </w:rPr>
          <w:t>Enablers of Success</w:t>
        </w:r>
        <w:r>
          <w:rPr>
            <w:noProof/>
            <w:webHidden/>
          </w:rPr>
          <w:tab/>
        </w:r>
        <w:r>
          <w:rPr>
            <w:noProof/>
            <w:webHidden/>
          </w:rPr>
          <w:fldChar w:fldCharType="begin"/>
        </w:r>
        <w:r>
          <w:rPr>
            <w:noProof/>
            <w:webHidden/>
          </w:rPr>
          <w:instrText xml:space="preserve"> PAGEREF _Toc198025685 \h </w:instrText>
        </w:r>
        <w:r>
          <w:rPr>
            <w:noProof/>
            <w:webHidden/>
          </w:rPr>
        </w:r>
        <w:r>
          <w:rPr>
            <w:noProof/>
            <w:webHidden/>
          </w:rPr>
          <w:fldChar w:fldCharType="separate"/>
        </w:r>
        <w:r w:rsidR="00A7297B">
          <w:rPr>
            <w:noProof/>
            <w:webHidden/>
          </w:rPr>
          <w:t>11</w:t>
        </w:r>
        <w:r>
          <w:rPr>
            <w:noProof/>
            <w:webHidden/>
          </w:rPr>
          <w:fldChar w:fldCharType="end"/>
        </w:r>
      </w:hyperlink>
    </w:p>
    <w:p w14:paraId="79F378CB" w14:textId="3E64D1AB" w:rsidR="00F36D13" w:rsidRDefault="00F36D13" w:rsidP="00D1404D">
      <w:pPr>
        <w:pStyle w:val="TOC2"/>
        <w:tabs>
          <w:tab w:val="right" w:leader="dot" w:pos="9060"/>
        </w:tabs>
        <w:rPr>
          <w:rFonts w:asciiTheme="minorHAnsi" w:eastAsiaTheme="minorEastAsia" w:hAnsiTheme="minorHAnsi" w:cstheme="minorBidi"/>
          <w:noProof/>
          <w:kern w:val="2"/>
          <w:sz w:val="24"/>
          <w:lang w:eastAsia="en-AU"/>
          <w14:ligatures w14:val="standardContextual"/>
        </w:rPr>
      </w:pPr>
      <w:hyperlink w:anchor="_Toc198025686" w:history="1">
        <w:r w:rsidRPr="00327E33">
          <w:rPr>
            <w:rStyle w:val="Hyperlink"/>
            <w:noProof/>
          </w:rPr>
          <w:t>Governance, Accountability, Monitoring and Evaluation</w:t>
        </w:r>
        <w:r>
          <w:rPr>
            <w:noProof/>
            <w:webHidden/>
          </w:rPr>
          <w:tab/>
        </w:r>
        <w:r>
          <w:rPr>
            <w:noProof/>
            <w:webHidden/>
          </w:rPr>
          <w:fldChar w:fldCharType="begin"/>
        </w:r>
        <w:r>
          <w:rPr>
            <w:noProof/>
            <w:webHidden/>
          </w:rPr>
          <w:instrText xml:space="preserve"> PAGEREF _Toc198025686 \h </w:instrText>
        </w:r>
        <w:r>
          <w:rPr>
            <w:noProof/>
            <w:webHidden/>
          </w:rPr>
        </w:r>
        <w:r>
          <w:rPr>
            <w:noProof/>
            <w:webHidden/>
          </w:rPr>
          <w:fldChar w:fldCharType="separate"/>
        </w:r>
        <w:r w:rsidR="00A7297B">
          <w:rPr>
            <w:noProof/>
            <w:webHidden/>
          </w:rPr>
          <w:t>12</w:t>
        </w:r>
        <w:r>
          <w:rPr>
            <w:noProof/>
            <w:webHidden/>
          </w:rPr>
          <w:fldChar w:fldCharType="end"/>
        </w:r>
      </w:hyperlink>
    </w:p>
    <w:p w14:paraId="0C6DF5CA" w14:textId="0ADFDD65" w:rsidR="00F36D13" w:rsidRDefault="00F36D13" w:rsidP="00D1404D">
      <w:pPr>
        <w:pStyle w:val="TOC1"/>
        <w:tabs>
          <w:tab w:val="right" w:leader="dot" w:pos="9060"/>
        </w:tabs>
        <w:rPr>
          <w:rFonts w:asciiTheme="minorHAnsi" w:eastAsiaTheme="minorEastAsia" w:hAnsiTheme="minorHAnsi" w:cstheme="minorBidi"/>
          <w:noProof/>
          <w:kern w:val="2"/>
          <w:sz w:val="24"/>
          <w:lang w:eastAsia="en-AU"/>
          <w14:ligatures w14:val="standardContextual"/>
        </w:rPr>
      </w:pPr>
      <w:hyperlink w:anchor="_Toc198025687" w:history="1">
        <w:r w:rsidRPr="00327E33">
          <w:rPr>
            <w:rStyle w:val="Hyperlink"/>
            <w:noProof/>
          </w:rPr>
          <w:t>Strategic Priorities</w:t>
        </w:r>
        <w:r>
          <w:rPr>
            <w:noProof/>
            <w:webHidden/>
          </w:rPr>
          <w:tab/>
        </w:r>
        <w:r>
          <w:rPr>
            <w:noProof/>
            <w:webHidden/>
          </w:rPr>
          <w:fldChar w:fldCharType="begin"/>
        </w:r>
        <w:r>
          <w:rPr>
            <w:noProof/>
            <w:webHidden/>
          </w:rPr>
          <w:instrText xml:space="preserve"> PAGEREF _Toc198025687 \h </w:instrText>
        </w:r>
        <w:r>
          <w:rPr>
            <w:noProof/>
            <w:webHidden/>
          </w:rPr>
        </w:r>
        <w:r>
          <w:rPr>
            <w:noProof/>
            <w:webHidden/>
          </w:rPr>
          <w:fldChar w:fldCharType="separate"/>
        </w:r>
        <w:r w:rsidR="00A7297B">
          <w:rPr>
            <w:noProof/>
            <w:webHidden/>
          </w:rPr>
          <w:t>13</w:t>
        </w:r>
        <w:r>
          <w:rPr>
            <w:noProof/>
            <w:webHidden/>
          </w:rPr>
          <w:fldChar w:fldCharType="end"/>
        </w:r>
      </w:hyperlink>
    </w:p>
    <w:p w14:paraId="717B0B8A" w14:textId="5778792C" w:rsidR="00F36D13" w:rsidRDefault="00F36D13" w:rsidP="00D1404D">
      <w:pPr>
        <w:pStyle w:val="TOC2"/>
        <w:tabs>
          <w:tab w:val="right" w:leader="dot" w:pos="9060"/>
        </w:tabs>
        <w:rPr>
          <w:rFonts w:asciiTheme="minorHAnsi" w:eastAsiaTheme="minorEastAsia" w:hAnsiTheme="minorHAnsi" w:cstheme="minorBidi"/>
          <w:noProof/>
          <w:kern w:val="2"/>
          <w:sz w:val="24"/>
          <w:lang w:eastAsia="en-AU"/>
          <w14:ligatures w14:val="standardContextual"/>
        </w:rPr>
      </w:pPr>
      <w:hyperlink w:anchor="_Toc198025688" w:history="1">
        <w:r w:rsidRPr="00327E33">
          <w:rPr>
            <w:rStyle w:val="Hyperlink"/>
            <w:rFonts w:eastAsia="MS PGothic"/>
            <w:noProof/>
          </w:rPr>
          <w:t>Strategic Priority 1 – Person-, Family- and Community-Centred Approach</w:t>
        </w:r>
        <w:r>
          <w:rPr>
            <w:noProof/>
            <w:webHidden/>
          </w:rPr>
          <w:tab/>
        </w:r>
        <w:r>
          <w:rPr>
            <w:noProof/>
            <w:webHidden/>
          </w:rPr>
          <w:fldChar w:fldCharType="begin"/>
        </w:r>
        <w:r>
          <w:rPr>
            <w:noProof/>
            <w:webHidden/>
          </w:rPr>
          <w:instrText xml:space="preserve"> PAGEREF _Toc198025688 \h </w:instrText>
        </w:r>
        <w:r>
          <w:rPr>
            <w:noProof/>
            <w:webHidden/>
          </w:rPr>
        </w:r>
        <w:r>
          <w:rPr>
            <w:noProof/>
            <w:webHidden/>
          </w:rPr>
          <w:fldChar w:fldCharType="separate"/>
        </w:r>
        <w:r w:rsidR="00A7297B">
          <w:rPr>
            <w:noProof/>
            <w:webHidden/>
          </w:rPr>
          <w:t>14</w:t>
        </w:r>
        <w:r>
          <w:rPr>
            <w:noProof/>
            <w:webHidden/>
          </w:rPr>
          <w:fldChar w:fldCharType="end"/>
        </w:r>
      </w:hyperlink>
    </w:p>
    <w:p w14:paraId="6B7BAC7D" w14:textId="44026D3E" w:rsidR="00F36D13" w:rsidRDefault="00F36D13" w:rsidP="00D1404D">
      <w:pPr>
        <w:pStyle w:val="TOC2"/>
        <w:tabs>
          <w:tab w:val="right" w:leader="dot" w:pos="9060"/>
        </w:tabs>
        <w:rPr>
          <w:rFonts w:asciiTheme="minorHAnsi" w:eastAsiaTheme="minorEastAsia" w:hAnsiTheme="minorHAnsi" w:cstheme="minorBidi"/>
          <w:noProof/>
          <w:kern w:val="2"/>
          <w:sz w:val="24"/>
          <w:lang w:eastAsia="en-AU"/>
          <w14:ligatures w14:val="standardContextual"/>
        </w:rPr>
      </w:pPr>
      <w:hyperlink w:anchor="_Toc198025691" w:history="1">
        <w:r w:rsidRPr="00327E33">
          <w:rPr>
            <w:rStyle w:val="Hyperlink"/>
            <w:rFonts w:eastAsia="MS PGothic"/>
            <w:noProof/>
          </w:rPr>
          <w:t>Strategic Priority 2 – Dynamic and Sustainable Genomics Ecosystem</w:t>
        </w:r>
        <w:r>
          <w:rPr>
            <w:noProof/>
            <w:webHidden/>
          </w:rPr>
          <w:tab/>
        </w:r>
        <w:r>
          <w:rPr>
            <w:noProof/>
            <w:webHidden/>
          </w:rPr>
          <w:fldChar w:fldCharType="begin"/>
        </w:r>
        <w:r>
          <w:rPr>
            <w:noProof/>
            <w:webHidden/>
          </w:rPr>
          <w:instrText xml:space="preserve"> PAGEREF _Toc198025691 \h </w:instrText>
        </w:r>
        <w:r>
          <w:rPr>
            <w:noProof/>
            <w:webHidden/>
          </w:rPr>
        </w:r>
        <w:r>
          <w:rPr>
            <w:noProof/>
            <w:webHidden/>
          </w:rPr>
          <w:fldChar w:fldCharType="separate"/>
        </w:r>
        <w:r w:rsidR="00A7297B">
          <w:rPr>
            <w:noProof/>
            <w:webHidden/>
          </w:rPr>
          <w:t>18</w:t>
        </w:r>
        <w:r>
          <w:rPr>
            <w:noProof/>
            <w:webHidden/>
          </w:rPr>
          <w:fldChar w:fldCharType="end"/>
        </w:r>
      </w:hyperlink>
    </w:p>
    <w:p w14:paraId="033BA8E2" w14:textId="041F14CC" w:rsidR="00F36D13" w:rsidRDefault="00F36D13" w:rsidP="00D1404D">
      <w:pPr>
        <w:pStyle w:val="TOC2"/>
        <w:tabs>
          <w:tab w:val="right" w:leader="dot" w:pos="9060"/>
        </w:tabs>
        <w:rPr>
          <w:rFonts w:asciiTheme="minorHAnsi" w:eastAsiaTheme="minorEastAsia" w:hAnsiTheme="minorHAnsi" w:cstheme="minorBidi"/>
          <w:noProof/>
          <w:kern w:val="2"/>
          <w:sz w:val="24"/>
          <w:lang w:eastAsia="en-AU"/>
          <w14:ligatures w14:val="standardContextual"/>
        </w:rPr>
      </w:pPr>
      <w:hyperlink w:anchor="_Toc198025696" w:history="1">
        <w:r w:rsidRPr="00327E33">
          <w:rPr>
            <w:rStyle w:val="Hyperlink"/>
            <w:rFonts w:eastAsia="MS PGothic"/>
            <w:noProof/>
          </w:rPr>
          <w:t>Strategic Priority 3 – Genomic Samples, Data and Information Management</w:t>
        </w:r>
        <w:r>
          <w:rPr>
            <w:noProof/>
            <w:webHidden/>
          </w:rPr>
          <w:tab/>
        </w:r>
        <w:r>
          <w:rPr>
            <w:noProof/>
            <w:webHidden/>
          </w:rPr>
          <w:fldChar w:fldCharType="begin"/>
        </w:r>
        <w:r>
          <w:rPr>
            <w:noProof/>
            <w:webHidden/>
          </w:rPr>
          <w:instrText xml:space="preserve"> PAGEREF _Toc198025696 \h </w:instrText>
        </w:r>
        <w:r>
          <w:rPr>
            <w:noProof/>
            <w:webHidden/>
          </w:rPr>
        </w:r>
        <w:r>
          <w:rPr>
            <w:noProof/>
            <w:webHidden/>
          </w:rPr>
          <w:fldChar w:fldCharType="separate"/>
        </w:r>
        <w:r w:rsidR="00A7297B">
          <w:rPr>
            <w:noProof/>
            <w:webHidden/>
          </w:rPr>
          <w:t>26</w:t>
        </w:r>
        <w:r>
          <w:rPr>
            <w:noProof/>
            <w:webHidden/>
          </w:rPr>
          <w:fldChar w:fldCharType="end"/>
        </w:r>
      </w:hyperlink>
    </w:p>
    <w:p w14:paraId="52DCC425" w14:textId="597B01A7" w:rsidR="00F36D13" w:rsidRDefault="00F36D13" w:rsidP="00D1404D">
      <w:pPr>
        <w:pStyle w:val="TOC2"/>
        <w:tabs>
          <w:tab w:val="right" w:leader="dot" w:pos="9060"/>
        </w:tabs>
        <w:rPr>
          <w:rFonts w:asciiTheme="minorHAnsi" w:eastAsiaTheme="minorEastAsia" w:hAnsiTheme="minorHAnsi" w:cstheme="minorBidi"/>
          <w:noProof/>
          <w:kern w:val="2"/>
          <w:sz w:val="24"/>
          <w:lang w:eastAsia="en-AU"/>
          <w14:ligatures w14:val="standardContextual"/>
        </w:rPr>
      </w:pPr>
      <w:hyperlink w:anchor="_Toc198025698" w:history="1">
        <w:r w:rsidRPr="00327E33">
          <w:rPr>
            <w:rStyle w:val="Hyperlink"/>
            <w:rFonts w:eastAsia="MS PGothic"/>
            <w:noProof/>
          </w:rPr>
          <w:t>Strategic Priority 4 – Aboriginal and Torres Strait Islander-led Genomics</w:t>
        </w:r>
        <w:r>
          <w:rPr>
            <w:noProof/>
            <w:webHidden/>
          </w:rPr>
          <w:tab/>
        </w:r>
        <w:r>
          <w:rPr>
            <w:noProof/>
            <w:webHidden/>
          </w:rPr>
          <w:fldChar w:fldCharType="begin"/>
        </w:r>
        <w:r>
          <w:rPr>
            <w:noProof/>
            <w:webHidden/>
          </w:rPr>
          <w:instrText xml:space="preserve"> PAGEREF _Toc198025698 \h </w:instrText>
        </w:r>
        <w:r>
          <w:rPr>
            <w:noProof/>
            <w:webHidden/>
          </w:rPr>
        </w:r>
        <w:r>
          <w:rPr>
            <w:noProof/>
            <w:webHidden/>
          </w:rPr>
          <w:fldChar w:fldCharType="separate"/>
        </w:r>
        <w:r w:rsidR="00A7297B">
          <w:rPr>
            <w:noProof/>
            <w:webHidden/>
          </w:rPr>
          <w:t>29</w:t>
        </w:r>
        <w:r>
          <w:rPr>
            <w:noProof/>
            <w:webHidden/>
          </w:rPr>
          <w:fldChar w:fldCharType="end"/>
        </w:r>
      </w:hyperlink>
    </w:p>
    <w:p w14:paraId="69A13987" w14:textId="1868EC82" w:rsidR="00F36D13" w:rsidRDefault="00F36D13" w:rsidP="00D1404D">
      <w:pPr>
        <w:pStyle w:val="TOC1"/>
        <w:tabs>
          <w:tab w:val="right" w:leader="dot" w:pos="9060"/>
        </w:tabs>
        <w:rPr>
          <w:rFonts w:asciiTheme="minorHAnsi" w:eastAsiaTheme="minorEastAsia" w:hAnsiTheme="minorHAnsi" w:cstheme="minorBidi"/>
          <w:noProof/>
          <w:kern w:val="2"/>
          <w:sz w:val="24"/>
          <w:lang w:eastAsia="en-AU"/>
          <w14:ligatures w14:val="standardContextual"/>
        </w:rPr>
      </w:pPr>
      <w:hyperlink w:anchor="_Toc198025701" w:history="1">
        <w:r w:rsidRPr="00327E33">
          <w:rPr>
            <w:rStyle w:val="Hyperlink"/>
            <w:noProof/>
          </w:rPr>
          <w:t>Appendix 1: Abbreviations and glossary</w:t>
        </w:r>
        <w:r>
          <w:rPr>
            <w:noProof/>
            <w:webHidden/>
          </w:rPr>
          <w:tab/>
        </w:r>
        <w:r>
          <w:rPr>
            <w:noProof/>
            <w:webHidden/>
          </w:rPr>
          <w:fldChar w:fldCharType="begin"/>
        </w:r>
        <w:r>
          <w:rPr>
            <w:noProof/>
            <w:webHidden/>
          </w:rPr>
          <w:instrText xml:space="preserve"> PAGEREF _Toc198025701 \h </w:instrText>
        </w:r>
        <w:r>
          <w:rPr>
            <w:noProof/>
            <w:webHidden/>
          </w:rPr>
        </w:r>
        <w:r>
          <w:rPr>
            <w:noProof/>
            <w:webHidden/>
          </w:rPr>
          <w:fldChar w:fldCharType="separate"/>
        </w:r>
        <w:r w:rsidR="00A7297B">
          <w:rPr>
            <w:noProof/>
            <w:webHidden/>
          </w:rPr>
          <w:t>34</w:t>
        </w:r>
        <w:r>
          <w:rPr>
            <w:noProof/>
            <w:webHidden/>
          </w:rPr>
          <w:fldChar w:fldCharType="end"/>
        </w:r>
      </w:hyperlink>
    </w:p>
    <w:p w14:paraId="6DDF853A" w14:textId="6FBB8F11" w:rsidR="00F36D13" w:rsidRDefault="00F36D13" w:rsidP="00D1404D">
      <w:pPr>
        <w:pStyle w:val="TOC1"/>
        <w:tabs>
          <w:tab w:val="right" w:leader="dot" w:pos="9060"/>
        </w:tabs>
        <w:rPr>
          <w:rFonts w:asciiTheme="minorHAnsi" w:eastAsiaTheme="minorEastAsia" w:hAnsiTheme="minorHAnsi" w:cstheme="minorBidi"/>
          <w:noProof/>
          <w:kern w:val="2"/>
          <w:sz w:val="24"/>
          <w:lang w:eastAsia="en-AU"/>
          <w14:ligatures w14:val="standardContextual"/>
        </w:rPr>
      </w:pPr>
      <w:hyperlink w:anchor="_Toc198025704" w:history="1">
        <w:r w:rsidRPr="00327E33">
          <w:rPr>
            <w:rStyle w:val="Hyperlink"/>
            <w:noProof/>
          </w:rPr>
          <w:t>Appendix 2. Background</w:t>
        </w:r>
        <w:r>
          <w:rPr>
            <w:noProof/>
            <w:webHidden/>
          </w:rPr>
          <w:tab/>
        </w:r>
        <w:r>
          <w:rPr>
            <w:noProof/>
            <w:webHidden/>
          </w:rPr>
          <w:fldChar w:fldCharType="begin"/>
        </w:r>
        <w:r>
          <w:rPr>
            <w:noProof/>
            <w:webHidden/>
          </w:rPr>
          <w:instrText xml:space="preserve"> PAGEREF _Toc198025704 \h </w:instrText>
        </w:r>
        <w:r>
          <w:rPr>
            <w:noProof/>
            <w:webHidden/>
          </w:rPr>
        </w:r>
        <w:r>
          <w:rPr>
            <w:noProof/>
            <w:webHidden/>
          </w:rPr>
          <w:fldChar w:fldCharType="separate"/>
        </w:r>
        <w:r w:rsidR="00A7297B">
          <w:rPr>
            <w:noProof/>
            <w:webHidden/>
          </w:rPr>
          <w:t>38</w:t>
        </w:r>
        <w:r>
          <w:rPr>
            <w:noProof/>
            <w:webHidden/>
          </w:rPr>
          <w:fldChar w:fldCharType="end"/>
        </w:r>
      </w:hyperlink>
    </w:p>
    <w:p w14:paraId="3306EC05" w14:textId="6133AFCB" w:rsidR="00F36D13" w:rsidRDefault="00F36D13" w:rsidP="00D1404D">
      <w:pPr>
        <w:pStyle w:val="TOC1"/>
        <w:tabs>
          <w:tab w:val="right" w:leader="dot" w:pos="9060"/>
        </w:tabs>
        <w:rPr>
          <w:rFonts w:asciiTheme="minorHAnsi" w:eastAsiaTheme="minorEastAsia" w:hAnsiTheme="minorHAnsi" w:cstheme="minorBidi"/>
          <w:noProof/>
          <w:kern w:val="2"/>
          <w:sz w:val="24"/>
          <w:lang w:eastAsia="en-AU"/>
          <w14:ligatures w14:val="standardContextual"/>
        </w:rPr>
      </w:pPr>
      <w:hyperlink w:anchor="_Toc198025705" w:history="1">
        <w:r w:rsidRPr="00327E33">
          <w:rPr>
            <w:rStyle w:val="Hyperlink"/>
            <w:noProof/>
          </w:rPr>
          <w:t>Appendix 3: Australian health system overview</w:t>
        </w:r>
        <w:r>
          <w:rPr>
            <w:noProof/>
            <w:webHidden/>
          </w:rPr>
          <w:tab/>
        </w:r>
        <w:r>
          <w:rPr>
            <w:noProof/>
            <w:webHidden/>
          </w:rPr>
          <w:fldChar w:fldCharType="begin"/>
        </w:r>
        <w:r>
          <w:rPr>
            <w:noProof/>
            <w:webHidden/>
          </w:rPr>
          <w:instrText xml:space="preserve"> PAGEREF _Toc198025705 \h </w:instrText>
        </w:r>
        <w:r>
          <w:rPr>
            <w:noProof/>
            <w:webHidden/>
          </w:rPr>
        </w:r>
        <w:r>
          <w:rPr>
            <w:noProof/>
            <w:webHidden/>
          </w:rPr>
          <w:fldChar w:fldCharType="separate"/>
        </w:r>
        <w:r w:rsidR="00A7297B">
          <w:rPr>
            <w:noProof/>
            <w:webHidden/>
          </w:rPr>
          <w:t>39</w:t>
        </w:r>
        <w:r>
          <w:rPr>
            <w:noProof/>
            <w:webHidden/>
          </w:rPr>
          <w:fldChar w:fldCharType="end"/>
        </w:r>
      </w:hyperlink>
    </w:p>
    <w:p w14:paraId="539CB9C0" w14:textId="2D9FD697" w:rsidR="004023BF" w:rsidRDefault="00F36D13" w:rsidP="00D1404D">
      <w:pPr>
        <w:pStyle w:val="TOC1"/>
        <w:tabs>
          <w:tab w:val="right" w:leader="dot" w:pos="9060"/>
        </w:tabs>
        <w:spacing w:after="240"/>
        <w:rPr>
          <w:rFonts w:ascii="Aptos" w:hAnsi="Aptos"/>
          <w:b/>
          <w:bCs/>
          <w:noProof/>
          <w:sz w:val="24"/>
        </w:rPr>
      </w:pPr>
      <w:hyperlink w:anchor="_Toc198025706" w:history="1">
        <w:r w:rsidRPr="00327E33">
          <w:rPr>
            <w:rStyle w:val="Hyperlink"/>
            <w:noProof/>
          </w:rPr>
          <w:t xml:space="preserve">Appendix 4: </w:t>
        </w:r>
        <w:r>
          <w:rPr>
            <w:rStyle w:val="Hyperlink"/>
            <w:noProof/>
          </w:rPr>
          <w:t>Relevant p</w:t>
        </w:r>
        <w:r w:rsidRPr="00327E33">
          <w:rPr>
            <w:rStyle w:val="Hyperlink"/>
            <w:noProof/>
          </w:rPr>
          <w:t xml:space="preserve">olicies, strategies and plans </w:t>
        </w:r>
        <w:r>
          <w:rPr>
            <w:noProof/>
            <w:webHidden/>
          </w:rPr>
          <w:tab/>
        </w:r>
        <w:r>
          <w:rPr>
            <w:noProof/>
            <w:webHidden/>
          </w:rPr>
          <w:fldChar w:fldCharType="begin"/>
        </w:r>
        <w:r>
          <w:rPr>
            <w:noProof/>
            <w:webHidden/>
          </w:rPr>
          <w:instrText xml:space="preserve"> PAGEREF _Toc198025706 \h </w:instrText>
        </w:r>
        <w:r>
          <w:rPr>
            <w:noProof/>
            <w:webHidden/>
          </w:rPr>
        </w:r>
        <w:r>
          <w:rPr>
            <w:noProof/>
            <w:webHidden/>
          </w:rPr>
          <w:fldChar w:fldCharType="separate"/>
        </w:r>
        <w:r w:rsidR="00A7297B">
          <w:rPr>
            <w:noProof/>
            <w:webHidden/>
          </w:rPr>
          <w:t>41</w:t>
        </w:r>
        <w:r>
          <w:rPr>
            <w:noProof/>
            <w:webHidden/>
          </w:rPr>
          <w:fldChar w:fldCharType="end"/>
        </w:r>
      </w:hyperlink>
      <w:r w:rsidR="004023BF" w:rsidRPr="00B00939">
        <w:rPr>
          <w:rFonts w:ascii="Aptos" w:hAnsi="Aptos"/>
          <w:b/>
          <w:bCs/>
          <w:noProof/>
          <w:sz w:val="24"/>
        </w:rPr>
        <w:fldChar w:fldCharType="end"/>
      </w:r>
    </w:p>
    <w:p w14:paraId="45E269B2" w14:textId="77777777" w:rsidR="00D1404D" w:rsidRPr="00D1404D" w:rsidRDefault="00D1404D" w:rsidP="00364C3F"/>
    <w:p w14:paraId="12B7A69A" w14:textId="77777777" w:rsidR="004F75D7" w:rsidRDefault="004F75D7" w:rsidP="004F75D7">
      <w:pPr>
        <w:pStyle w:val="BoxTypeHeader"/>
        <w:pBdr>
          <w:bottom w:val="single" w:sz="6" w:space="1" w:color="358189"/>
        </w:pBdr>
      </w:pPr>
      <w:r>
        <w:t>Terminology</w:t>
      </w:r>
    </w:p>
    <w:p w14:paraId="2A7F2DED" w14:textId="23441009" w:rsidR="004F75D7" w:rsidRDefault="004F75D7" w:rsidP="004F75D7">
      <w:pPr>
        <w:pStyle w:val="Boxtype"/>
        <w:pBdr>
          <w:bottom w:val="single" w:sz="6" w:space="1" w:color="358189"/>
        </w:pBdr>
        <w:rPr>
          <w:bCs/>
          <w:color w:val="3F4A75"/>
          <w:kern w:val="28"/>
          <w:sz w:val="36"/>
          <w:szCs w:val="36"/>
        </w:rPr>
      </w:pPr>
      <w:r w:rsidRPr="002D2A39">
        <w:rPr>
          <w:lang w:val="en-US"/>
        </w:rPr>
        <w:t xml:space="preserve">The term genomics in this </w:t>
      </w:r>
      <w:r>
        <w:rPr>
          <w:lang w:val="en-US"/>
        </w:rPr>
        <w:t xml:space="preserve">document </w:t>
      </w:r>
      <w:r w:rsidRPr="002D2A39">
        <w:rPr>
          <w:lang w:val="en-US"/>
        </w:rPr>
        <w:t>refer</w:t>
      </w:r>
      <w:r w:rsidR="005C7612">
        <w:rPr>
          <w:lang w:val="en-US"/>
        </w:rPr>
        <w:t>s</w:t>
      </w:r>
      <w:r w:rsidRPr="002D2A39">
        <w:rPr>
          <w:lang w:val="en-US"/>
        </w:rPr>
        <w:t xml:space="preserve"> to both </w:t>
      </w:r>
      <w:hyperlink w:anchor="_Genetics" w:history="1">
        <w:r w:rsidRPr="00785645">
          <w:rPr>
            <w:rStyle w:val="Hyperlink"/>
            <w:lang w:val="en-US"/>
          </w:rPr>
          <w:t>genetics</w:t>
        </w:r>
      </w:hyperlink>
      <w:r w:rsidRPr="002D2A39">
        <w:rPr>
          <w:lang w:val="en-US"/>
        </w:rPr>
        <w:t xml:space="preserve"> and </w:t>
      </w:r>
      <w:hyperlink w:anchor="_Genomics" w:history="1">
        <w:r w:rsidRPr="00785645">
          <w:rPr>
            <w:rStyle w:val="Hyperlink"/>
            <w:lang w:val="en-US"/>
          </w:rPr>
          <w:t>genomics</w:t>
        </w:r>
      </w:hyperlink>
      <w:r w:rsidRPr="002D2A39">
        <w:rPr>
          <w:lang w:val="en-US"/>
        </w:rPr>
        <w:t>, other than where it is necessary to distinguish between the two terms.</w:t>
      </w:r>
      <w:r w:rsidR="00857D65" w:rsidRPr="00857D65">
        <w:rPr>
          <w:lang w:val="en-US"/>
        </w:rPr>
        <w:t xml:space="preserve"> </w:t>
      </w:r>
      <w:r w:rsidR="00857D65" w:rsidRPr="002D2A39">
        <w:rPr>
          <w:lang w:val="en-US"/>
        </w:rPr>
        <w:t xml:space="preserve">This </w:t>
      </w:r>
      <w:r w:rsidR="00857D65">
        <w:rPr>
          <w:lang w:val="en-US"/>
        </w:rPr>
        <w:t>document</w:t>
      </w:r>
      <w:r w:rsidR="00857D65" w:rsidRPr="002D2A39">
        <w:rPr>
          <w:lang w:val="en-US"/>
        </w:rPr>
        <w:t xml:space="preserve"> considers genomics to be an extension of genetics, rather than a distinct field.</w:t>
      </w:r>
    </w:p>
    <w:p w14:paraId="29D1E33E" w14:textId="440823B9" w:rsidR="00671A0B" w:rsidRDefault="00671A0B">
      <w:pPr>
        <w:rPr>
          <w:rFonts w:ascii="Aptos" w:hAnsi="Aptos" w:cs="Arial"/>
          <w:bCs/>
          <w:color w:val="3F4A75"/>
          <w:kern w:val="28"/>
          <w:sz w:val="36"/>
          <w:szCs w:val="36"/>
        </w:rPr>
      </w:pPr>
      <w:r>
        <w:br w:type="page"/>
      </w:r>
    </w:p>
    <w:p w14:paraId="29854254" w14:textId="44D094F6" w:rsidR="00B1656D" w:rsidRDefault="00B1656D" w:rsidP="00B1656D">
      <w:pPr>
        <w:pStyle w:val="Heading1"/>
      </w:pPr>
      <w:bookmarkStart w:id="4" w:name="_Toc198025676"/>
      <w:r>
        <w:lastRenderedPageBreak/>
        <w:t>Purpose</w:t>
      </w:r>
      <w:bookmarkEnd w:id="4"/>
    </w:p>
    <w:p w14:paraId="6E708EFC" w14:textId="00320D1E" w:rsidR="00B1656D" w:rsidRDefault="00B1656D" w:rsidP="00B1656D">
      <w:pPr>
        <w:pStyle w:val="Paragraphtext"/>
      </w:pPr>
      <w:r>
        <w:t xml:space="preserve">The purpose of </w:t>
      </w:r>
      <w:r w:rsidR="00AB407B">
        <w:t xml:space="preserve">the </w:t>
      </w:r>
      <w:r w:rsidR="00AB407B" w:rsidRPr="006824B9">
        <w:rPr>
          <w:i/>
          <w:iCs/>
        </w:rPr>
        <w:t>National Health Genomics Policy Framework and Implementation Plan 2026-2030</w:t>
      </w:r>
      <w:r w:rsidR="00AB407B" w:rsidRPr="009860CF">
        <w:t xml:space="preserve"> </w:t>
      </w:r>
      <w:r w:rsidR="00AB407B">
        <w:t>(</w:t>
      </w:r>
      <w:r>
        <w:t>this framework and implementation plan</w:t>
      </w:r>
      <w:r w:rsidR="00AB407B">
        <w:t>)</w:t>
      </w:r>
      <w:r w:rsidRPr="00D61384">
        <w:t xml:space="preserve"> </w:t>
      </w:r>
      <w:r>
        <w:t xml:space="preserve">is to provide a </w:t>
      </w:r>
      <w:r w:rsidRPr="00552213">
        <w:t>national</w:t>
      </w:r>
      <w:r>
        <w:t>, intergovernmental approach to embed genomics into the Australian health system</w:t>
      </w:r>
      <w:r w:rsidR="00857D65">
        <w:t>. It seeks</w:t>
      </w:r>
      <w:r>
        <w:t xml:space="preserve"> to maximise health and wellbeing outcomes and minimise</w:t>
      </w:r>
      <w:r w:rsidRPr="004D7EB1">
        <w:t xml:space="preserve"> fragmentation </w:t>
      </w:r>
      <w:r>
        <w:t xml:space="preserve">and </w:t>
      </w:r>
      <w:r w:rsidRPr="004D7EB1">
        <w:t>duplication of effort.</w:t>
      </w:r>
      <w:r w:rsidR="00857D65">
        <w:t xml:space="preserve"> </w:t>
      </w:r>
      <w:r>
        <w:t>It sets out how Australian governments will collaborate and coordinate to embed genomics into the health system.</w:t>
      </w:r>
    </w:p>
    <w:p w14:paraId="6F2A4EF5" w14:textId="77777777" w:rsidR="00B1656D" w:rsidDel="00954C4D" w:rsidRDefault="00B1656D" w:rsidP="00B1656D">
      <w:pPr>
        <w:pStyle w:val="Heading2"/>
      </w:pPr>
      <w:bookmarkStart w:id="5" w:name="_Toc198025677"/>
      <w:r w:rsidDel="00954C4D">
        <w:t>Vision</w:t>
      </w:r>
      <w:bookmarkEnd w:id="5"/>
    </w:p>
    <w:p w14:paraId="4523FF1F" w14:textId="32E867CD" w:rsidR="00B1656D" w:rsidDel="00954C4D" w:rsidRDefault="00B1656D" w:rsidP="00B1656D">
      <w:pPr>
        <w:pStyle w:val="Paragraphtext"/>
      </w:pPr>
      <w:r w:rsidRPr="00C61E57">
        <w:t>All</w:t>
      </w:r>
      <w:r>
        <w:t xml:space="preserve"> people who access health care in</w:t>
      </w:r>
      <w:r w:rsidRPr="00C61E57">
        <w:t xml:space="preserve"> Australia benefit </w:t>
      </w:r>
      <w:r>
        <w:t>from</w:t>
      </w:r>
      <w:r w:rsidRPr="00C61E57">
        <w:t xml:space="preserve"> </w:t>
      </w:r>
      <w:r>
        <w:t xml:space="preserve">appropriately embedded </w:t>
      </w:r>
      <w:r w:rsidRPr="00C61E57">
        <w:t xml:space="preserve">genomics </w:t>
      </w:r>
      <w:r>
        <w:t>within the health system</w:t>
      </w:r>
      <w:r w:rsidRPr="00C61E57">
        <w:t>.</w:t>
      </w:r>
    </w:p>
    <w:p w14:paraId="10FF1451" w14:textId="77777777" w:rsidR="00B1656D" w:rsidDel="00954C4D" w:rsidRDefault="00B1656D" w:rsidP="00B1656D">
      <w:pPr>
        <w:pStyle w:val="Heading2"/>
      </w:pPr>
      <w:bookmarkStart w:id="6" w:name="_Toc198025678"/>
      <w:r w:rsidDel="00954C4D">
        <w:t>Mission</w:t>
      </w:r>
      <w:bookmarkEnd w:id="6"/>
    </w:p>
    <w:p w14:paraId="24BB28EA" w14:textId="02B9DA6A" w:rsidR="00B1656D" w:rsidDel="00954C4D" w:rsidRDefault="00B1656D" w:rsidP="00B1656D">
      <w:pPr>
        <w:pStyle w:val="Paragraphtext"/>
      </w:pPr>
      <w:r>
        <w:t xml:space="preserve">To </w:t>
      </w:r>
      <w:r w:rsidRPr="00C61E57">
        <w:t>establish and</w:t>
      </w:r>
      <w:r>
        <w:t>/or</w:t>
      </w:r>
      <w:r w:rsidRPr="00C61E57">
        <w:t xml:space="preserve"> maintain processes that support </w:t>
      </w:r>
      <w:hyperlink w:anchor="_Person-_and_family-" w:history="1">
        <w:r w:rsidRPr="00DA42EC">
          <w:rPr>
            <w:rStyle w:val="Hyperlink"/>
          </w:rPr>
          <w:t>person- and family-centred</w:t>
        </w:r>
      </w:hyperlink>
      <w:r w:rsidRPr="00C61E57">
        <w:t>, culturally safe, efficient, effective, ethical,</w:t>
      </w:r>
      <w:r>
        <w:t xml:space="preserve"> </w:t>
      </w:r>
      <w:r w:rsidRPr="00C61E57">
        <w:t xml:space="preserve">and equitable implementation of </w:t>
      </w:r>
      <w:hyperlink w:anchor="_Genomics-informed_health_care" w:history="1">
        <w:r w:rsidRPr="00785645">
          <w:rPr>
            <w:rStyle w:val="Hyperlink"/>
          </w:rPr>
          <w:t>genomics-informed health care</w:t>
        </w:r>
      </w:hyperlink>
      <w:r>
        <w:t xml:space="preserve"> and research </w:t>
      </w:r>
      <w:r w:rsidRPr="00C61E57">
        <w:t>in Australia.</w:t>
      </w:r>
    </w:p>
    <w:p w14:paraId="3B1D6968" w14:textId="77777777" w:rsidR="00B1656D" w:rsidRPr="00355345" w:rsidRDefault="00B1656D" w:rsidP="00B1656D">
      <w:pPr>
        <w:pStyle w:val="Heading2"/>
      </w:pPr>
      <w:bookmarkStart w:id="7" w:name="_Toc198025679"/>
      <w:r w:rsidRPr="00355345">
        <w:t>Audience</w:t>
      </w:r>
      <w:bookmarkEnd w:id="7"/>
    </w:p>
    <w:p w14:paraId="726190CC" w14:textId="59879B7F" w:rsidR="00B1656D" w:rsidRDefault="00B1656D" w:rsidP="00B1656D">
      <w:pPr>
        <w:pStyle w:val="Paragraphtext"/>
      </w:pPr>
      <w:r w:rsidRPr="00355345">
        <w:t>This framework and implementation plan</w:t>
      </w:r>
      <w:r w:rsidRPr="003C1C6D">
        <w:t xml:space="preserve"> </w:t>
      </w:r>
      <w:r w:rsidRPr="00355345">
        <w:t>is</w:t>
      </w:r>
      <w:r>
        <w:t xml:space="preserve"> primarily</w:t>
      </w:r>
      <w:r w:rsidRPr="00355345">
        <w:t xml:space="preserve"> directed at decision and policy makers at the national, state and territory, and health service levels.</w:t>
      </w:r>
    </w:p>
    <w:p w14:paraId="78AF2670" w14:textId="041B46C0" w:rsidR="00BC39A8" w:rsidRDefault="00B1656D" w:rsidP="00B1656D">
      <w:pPr>
        <w:pStyle w:val="Paragraphtext"/>
      </w:pPr>
      <w:r>
        <w:t>I</w:t>
      </w:r>
      <w:r w:rsidRPr="00355345">
        <w:t xml:space="preserve">t is also intended </w:t>
      </w:r>
      <w:r>
        <w:t>to be</w:t>
      </w:r>
      <w:r w:rsidRPr="00355345">
        <w:t xml:space="preserve"> </w:t>
      </w:r>
      <w:r>
        <w:t xml:space="preserve">a </w:t>
      </w:r>
      <w:r w:rsidRPr="00355345">
        <w:t xml:space="preserve">useful resource for members of the public, </w:t>
      </w:r>
      <w:r>
        <w:t xml:space="preserve">communities, </w:t>
      </w:r>
      <w:r w:rsidRPr="00355345">
        <w:t xml:space="preserve">advocacy organisations, industry, </w:t>
      </w:r>
      <w:r>
        <w:t xml:space="preserve">academics, </w:t>
      </w:r>
      <w:r w:rsidRPr="00355345">
        <w:t>researchers</w:t>
      </w:r>
      <w:r>
        <w:t>,</w:t>
      </w:r>
      <w:r w:rsidRPr="00355345">
        <w:t xml:space="preserve"> clinicians</w:t>
      </w:r>
      <w:r>
        <w:t xml:space="preserve"> and others. It </w:t>
      </w:r>
      <w:r w:rsidRPr="00355345">
        <w:t xml:space="preserve">provides </w:t>
      </w:r>
      <w:r>
        <w:t xml:space="preserve">visibility of the </w:t>
      </w:r>
      <w:r w:rsidRPr="00355345">
        <w:t xml:space="preserve">shared </w:t>
      </w:r>
      <w:r>
        <w:t xml:space="preserve">strategic </w:t>
      </w:r>
      <w:r w:rsidRPr="00355345">
        <w:t>priorities, desired outcomes, and activities of Australian governments</w:t>
      </w:r>
      <w:r>
        <w:t xml:space="preserve">. This may support the non-government-led development of </w:t>
      </w:r>
      <w:r w:rsidRPr="00355345">
        <w:t>policies, strategies, actions and health services</w:t>
      </w:r>
      <w:r>
        <w:t xml:space="preserve"> that, where relevant, </w:t>
      </w:r>
      <w:r w:rsidRPr="00355345">
        <w:t>consider</w:t>
      </w:r>
      <w:r>
        <w:t xml:space="preserve"> and ideally align with</w:t>
      </w:r>
      <w:r w:rsidRPr="00355345">
        <w:t xml:space="preserve"> th</w:t>
      </w:r>
      <w:r>
        <w:t xml:space="preserve">is framework and implementation </w:t>
      </w:r>
      <w:r w:rsidR="004F75D7">
        <w:t>plan</w:t>
      </w:r>
      <w:r>
        <w:t>.</w:t>
      </w:r>
    </w:p>
    <w:p w14:paraId="0A9C031A" w14:textId="77777777" w:rsidR="00B80404" w:rsidRDefault="00B80404">
      <w:pPr>
        <w:rPr>
          <w:rFonts w:ascii="Aptos" w:hAnsi="Aptos" w:cs="Arial"/>
          <w:bCs/>
          <w:color w:val="3F4A75"/>
          <w:kern w:val="28"/>
          <w:sz w:val="36"/>
          <w:szCs w:val="36"/>
        </w:rPr>
      </w:pPr>
      <w:r>
        <w:br w:type="page"/>
      </w:r>
    </w:p>
    <w:p w14:paraId="35C891CC" w14:textId="618E5A6A" w:rsidR="006E47A3" w:rsidRPr="00B632C6" w:rsidRDefault="006E47A3" w:rsidP="006824B9">
      <w:pPr>
        <w:pStyle w:val="Heading1"/>
      </w:pPr>
      <w:bookmarkStart w:id="8" w:name="_Toc198025680"/>
      <w:r>
        <w:lastRenderedPageBreak/>
        <w:t>Scope</w:t>
      </w:r>
      <w:bookmarkEnd w:id="8"/>
    </w:p>
    <w:p w14:paraId="22551FF1" w14:textId="3006429A" w:rsidR="005E16C2" w:rsidRDefault="006E47A3" w:rsidP="005E16C2">
      <w:pPr>
        <w:pStyle w:val="Paragraphtext"/>
      </w:pPr>
      <w:r>
        <w:t>T</w:t>
      </w:r>
      <w:r w:rsidRPr="009860CF">
        <w:t xml:space="preserve">he </w:t>
      </w:r>
      <w:r>
        <w:t xml:space="preserve">immediate </w:t>
      </w:r>
      <w:r w:rsidR="003465C6">
        <w:t>focuses</w:t>
      </w:r>
      <w:r w:rsidRPr="009860CF">
        <w:t xml:space="preserve"> of </w:t>
      </w:r>
      <w:r>
        <w:t xml:space="preserve">this framework and implementation plan </w:t>
      </w:r>
      <w:r w:rsidR="2333D156">
        <w:t xml:space="preserve">are </w:t>
      </w:r>
      <w:r>
        <w:t>health care and research involv</w:t>
      </w:r>
      <w:r w:rsidR="005863AA">
        <w:t>ing</w:t>
      </w:r>
      <w:r>
        <w:t xml:space="preserve"> the use of </w:t>
      </w:r>
      <w:r w:rsidR="00B0248B">
        <w:t>human</w:t>
      </w:r>
      <w:r>
        <w:t xml:space="preserve"> </w:t>
      </w:r>
      <w:hyperlink w:anchor="_Genomic_information" w:history="1">
        <w:r w:rsidRPr="00785645">
          <w:rPr>
            <w:rStyle w:val="Hyperlink"/>
          </w:rPr>
          <w:t>genomic information</w:t>
        </w:r>
      </w:hyperlink>
      <w:r>
        <w:t xml:space="preserve"> to support the health and wellbeing of individuals and populations. This </w:t>
      </w:r>
      <w:r w:rsidR="001E346E">
        <w:t>covers</w:t>
      </w:r>
      <w:r w:rsidR="0041074C">
        <w:t xml:space="preserve"> applications </w:t>
      </w:r>
      <w:r w:rsidR="005863AA">
        <w:t>involving</w:t>
      </w:r>
      <w:r w:rsidR="0041074C">
        <w:t xml:space="preserve"> or informed by human </w:t>
      </w:r>
      <w:hyperlink w:anchor="_Genomic_testing" w:history="1">
        <w:r w:rsidR="0041074C" w:rsidRPr="00785645">
          <w:rPr>
            <w:rStyle w:val="Hyperlink"/>
          </w:rPr>
          <w:t>genomic testing</w:t>
        </w:r>
      </w:hyperlink>
      <w:r w:rsidR="0041074C">
        <w:t xml:space="preserve"> to p</w:t>
      </w:r>
      <w:r>
        <w:t>revent, diagnos</w:t>
      </w:r>
      <w:r w:rsidR="0041074C">
        <w:t>e</w:t>
      </w:r>
      <w:r>
        <w:t>, and trea</w:t>
      </w:r>
      <w:r w:rsidR="0041074C">
        <w:t>t</w:t>
      </w:r>
      <w:r>
        <w:t xml:space="preserve"> genomic conditions</w:t>
      </w:r>
      <w:r w:rsidR="001E346E">
        <w:t xml:space="preserve">, including </w:t>
      </w:r>
      <w:hyperlink w:anchor="_Precision_medicine" w:history="1">
        <w:r w:rsidR="001E346E" w:rsidRPr="00DA42EC">
          <w:rPr>
            <w:rStyle w:val="Hyperlink"/>
          </w:rPr>
          <w:t>precision medicine</w:t>
        </w:r>
      </w:hyperlink>
      <w:r w:rsidR="001E346E">
        <w:t>.</w:t>
      </w:r>
      <w:r w:rsidR="0041074C">
        <w:t xml:space="preserve"> </w:t>
      </w:r>
      <w:r w:rsidR="005E16C2">
        <w:t>It</w:t>
      </w:r>
      <w:r w:rsidR="0041074C">
        <w:t xml:space="preserve"> </w:t>
      </w:r>
      <w:r w:rsidR="001E346E">
        <w:t xml:space="preserve">is </w:t>
      </w:r>
      <w:r w:rsidR="005863AA">
        <w:t xml:space="preserve">also </w:t>
      </w:r>
      <w:r w:rsidR="0041074C">
        <w:t>inclu</w:t>
      </w:r>
      <w:r w:rsidR="001E346E">
        <w:t xml:space="preserve">sive of </w:t>
      </w:r>
      <w:r w:rsidR="001E346E" w:rsidRPr="001E346E">
        <w:t>genomics in cancer care</w:t>
      </w:r>
      <w:r w:rsidR="005863AA">
        <w:t xml:space="preserve"> involving both </w:t>
      </w:r>
      <w:hyperlink w:anchor="_Germline_variants" w:history="1">
        <w:r w:rsidR="005863AA" w:rsidRPr="00785645">
          <w:rPr>
            <w:rStyle w:val="Hyperlink"/>
          </w:rPr>
          <w:t>germline</w:t>
        </w:r>
      </w:hyperlink>
      <w:r w:rsidR="0041074C">
        <w:t xml:space="preserve"> </w:t>
      </w:r>
      <w:r w:rsidR="001E346E">
        <w:t xml:space="preserve">and </w:t>
      </w:r>
      <w:hyperlink w:anchor="_Somatic_variant" w:history="1">
        <w:r w:rsidR="001E346E" w:rsidRPr="00DA42EC">
          <w:rPr>
            <w:rStyle w:val="Hyperlink"/>
          </w:rPr>
          <w:t>somatic variants</w:t>
        </w:r>
      </w:hyperlink>
      <w:r w:rsidR="005863AA">
        <w:t xml:space="preserve"> (</w:t>
      </w:r>
      <w:r w:rsidR="00671A0B">
        <w:t>which is given heightened focus under the</w:t>
      </w:r>
      <w:r w:rsidR="005863AA">
        <w:t xml:space="preserve"> </w:t>
      </w:r>
      <w:hyperlink r:id="rId14" w:history="1">
        <w:r w:rsidR="005863AA" w:rsidRPr="001A136F">
          <w:rPr>
            <w:rStyle w:val="Hyperlink"/>
            <w:i/>
            <w:iCs/>
          </w:rPr>
          <w:t>National Framework for Genomics in Cancer Control</w:t>
        </w:r>
      </w:hyperlink>
      <w:r w:rsidR="005E16C2">
        <w:t>).</w:t>
      </w:r>
    </w:p>
    <w:p w14:paraId="2CB1D248" w14:textId="0A77B41C" w:rsidR="00194B65" w:rsidRDefault="005E16C2" w:rsidP="005863AA">
      <w:pPr>
        <w:pStyle w:val="Paragraphtext"/>
      </w:pPr>
      <w:r>
        <w:t xml:space="preserve">The scope of this framework and implementation plan is intended to be flexible to accommodate the rapid advancements in genomics and related fields, as was the case with the </w:t>
      </w:r>
      <w:hyperlink r:id="rId15" w:history="1">
        <w:r w:rsidRPr="001A136F">
          <w:rPr>
            <w:rStyle w:val="Hyperlink"/>
            <w:i/>
            <w:iCs/>
          </w:rPr>
          <w:t>National Health Genomics Policy Framework 2018–2021</w:t>
        </w:r>
      </w:hyperlink>
      <w:r>
        <w:t xml:space="preserve"> (the lapsed framework).</w:t>
      </w:r>
    </w:p>
    <w:p w14:paraId="4FB0ED2B" w14:textId="52CDDA80" w:rsidR="005E16C2" w:rsidRDefault="005E16C2" w:rsidP="005863AA">
      <w:pPr>
        <w:pStyle w:val="Paragraphtext"/>
      </w:pPr>
      <w:r>
        <w:t xml:space="preserve">Integrating genomic information with other emerging ‘omics’ technologies and information (including </w:t>
      </w:r>
      <w:hyperlink w:anchor="_Proteomics" w:history="1">
        <w:r w:rsidRPr="00DA42EC">
          <w:rPr>
            <w:rStyle w:val="Hyperlink"/>
          </w:rPr>
          <w:t>proteomics</w:t>
        </w:r>
      </w:hyperlink>
      <w:r w:rsidRPr="00164558">
        <w:t xml:space="preserve">, </w:t>
      </w:r>
      <w:hyperlink w:anchor="_Transcriptomics" w:history="1">
        <w:r w:rsidRPr="00A127F5">
          <w:rPr>
            <w:rStyle w:val="Hyperlink"/>
          </w:rPr>
          <w:t>transcriptomics</w:t>
        </w:r>
      </w:hyperlink>
      <w:r w:rsidRPr="00164558">
        <w:t xml:space="preserve">, </w:t>
      </w:r>
      <w:hyperlink w:anchor="_Metabolomics" w:history="1">
        <w:r w:rsidRPr="00DA42EC">
          <w:rPr>
            <w:rStyle w:val="Hyperlink"/>
          </w:rPr>
          <w:t>metabolomics</w:t>
        </w:r>
      </w:hyperlink>
      <w:r w:rsidRPr="00164558">
        <w:t xml:space="preserve">, </w:t>
      </w:r>
      <w:hyperlink w:anchor="_Lipidomics" w:history="1">
        <w:proofErr w:type="spellStart"/>
        <w:r w:rsidRPr="00790790">
          <w:rPr>
            <w:rStyle w:val="Hyperlink"/>
          </w:rPr>
          <w:t>lipidomics</w:t>
        </w:r>
        <w:proofErr w:type="spellEnd"/>
      </w:hyperlink>
      <w:r w:rsidRPr="00164558">
        <w:t>,</w:t>
      </w:r>
      <w:r>
        <w:t xml:space="preserve"> </w:t>
      </w:r>
      <w:r w:rsidRPr="00164558">
        <w:t xml:space="preserve">and </w:t>
      </w:r>
      <w:hyperlink w:anchor="_Epigenomics" w:history="1">
        <w:r w:rsidRPr="00785645">
          <w:rPr>
            <w:rStyle w:val="Hyperlink"/>
          </w:rPr>
          <w:t>epigenomics</w:t>
        </w:r>
      </w:hyperlink>
      <w:r>
        <w:t>) is recognised as important to maximise health and wellbeing outcomes.</w:t>
      </w:r>
      <w:r w:rsidR="00B1656D">
        <w:t xml:space="preserve"> </w:t>
      </w:r>
      <w:r>
        <w:t xml:space="preserve">Where relevant, </w:t>
      </w:r>
      <w:r w:rsidR="0057745F">
        <w:t xml:space="preserve">strategic </w:t>
      </w:r>
      <w:r>
        <w:t>priorities, outcomes and activities of this framework and implementation plan will be progressed with consideration of omics and other emerging related technologies.</w:t>
      </w:r>
    </w:p>
    <w:p w14:paraId="7ABB6451" w14:textId="2575EDF9" w:rsidR="004F75D7" w:rsidRDefault="005863AA" w:rsidP="002143B2">
      <w:pPr>
        <w:pStyle w:val="Paragraphtext"/>
      </w:pPr>
      <w:r>
        <w:t>O</w:t>
      </w:r>
      <w:r w:rsidRPr="00B268DE">
        <w:t xml:space="preserve">ther applications of genomic knowledge that contribute </w:t>
      </w:r>
      <w:r w:rsidR="004F75D7">
        <w:t>t</w:t>
      </w:r>
      <w:r w:rsidRPr="00B268DE">
        <w:t xml:space="preserve">o improved </w:t>
      </w:r>
      <w:r>
        <w:t xml:space="preserve">individual and population </w:t>
      </w:r>
      <w:r w:rsidRPr="00B268DE">
        <w:t xml:space="preserve">health </w:t>
      </w:r>
      <w:r>
        <w:t xml:space="preserve">and wellbeing </w:t>
      </w:r>
      <w:r w:rsidRPr="00B268DE">
        <w:t xml:space="preserve">outcomes, </w:t>
      </w:r>
      <w:r>
        <w:t>such as</w:t>
      </w:r>
      <w:r w:rsidRPr="00B268DE">
        <w:t xml:space="preserve"> </w:t>
      </w:r>
      <w:r>
        <w:t xml:space="preserve">the </w:t>
      </w:r>
      <w:r w:rsidR="00FC54E0">
        <w:t>genomic testing</w:t>
      </w:r>
      <w:r w:rsidRPr="00B268DE">
        <w:t xml:space="preserve"> of infectious </w:t>
      </w:r>
      <w:hyperlink w:anchor="_Microbes" w:history="1">
        <w:r w:rsidRPr="00DA42EC">
          <w:rPr>
            <w:rStyle w:val="Hyperlink"/>
          </w:rPr>
          <w:t>microbes</w:t>
        </w:r>
      </w:hyperlink>
      <w:r>
        <w:t xml:space="preserve"> (</w:t>
      </w:r>
      <w:r w:rsidR="00671A0B">
        <w:t>which is the focus of the</w:t>
      </w:r>
      <w:r w:rsidR="005E16C2">
        <w:t xml:space="preserve"> </w:t>
      </w:r>
      <w:hyperlink r:id="rId16" w:history="1">
        <w:r w:rsidR="005E16C2" w:rsidRPr="0089128B">
          <w:rPr>
            <w:rStyle w:val="Hyperlink"/>
            <w:i/>
            <w:iCs/>
          </w:rPr>
          <w:t>National Microbial Genomics Framework for Public Health 2025–2027</w:t>
        </w:r>
      </w:hyperlink>
      <w:r w:rsidR="005E16C2">
        <w:t xml:space="preserve">) </w:t>
      </w:r>
      <w:r>
        <w:t>and other non-human genomics</w:t>
      </w:r>
      <w:r w:rsidR="009565C7">
        <w:t xml:space="preserve"> (such as h</w:t>
      </w:r>
      <w:r w:rsidR="009565C7" w:rsidRPr="009565C7">
        <w:t xml:space="preserve">uman </w:t>
      </w:r>
      <w:hyperlink w:anchor="_Microbiomics" w:history="1">
        <w:r w:rsidR="009565C7" w:rsidRPr="00DA42EC">
          <w:rPr>
            <w:rStyle w:val="Hyperlink"/>
          </w:rPr>
          <w:t>microbiomics</w:t>
        </w:r>
      </w:hyperlink>
      <w:r w:rsidR="009565C7">
        <w:t xml:space="preserve">, </w:t>
      </w:r>
      <w:r w:rsidR="009565C7" w:rsidRPr="009565C7">
        <w:t>the</w:t>
      </w:r>
      <w:r w:rsidR="009565C7">
        <w:t xml:space="preserve"> study of</w:t>
      </w:r>
      <w:r w:rsidR="009565C7" w:rsidRPr="009565C7">
        <w:t xml:space="preserve"> bacteria, viruses and fungi that live in and on the human body)</w:t>
      </w:r>
      <w:r>
        <w:t xml:space="preserve"> are out</w:t>
      </w:r>
      <w:r w:rsidR="003C70DD">
        <w:t xml:space="preserve"> </w:t>
      </w:r>
      <w:r>
        <w:t>of</w:t>
      </w:r>
      <w:r w:rsidR="003C70DD">
        <w:t xml:space="preserve"> </w:t>
      </w:r>
      <w:r>
        <w:t>scope.</w:t>
      </w:r>
    </w:p>
    <w:p w14:paraId="59DAFC8D" w14:textId="7A767812" w:rsidR="00B1656D" w:rsidRPr="00AB1B96" w:rsidRDefault="00671A0B" w:rsidP="00F87136">
      <w:pPr>
        <w:pStyle w:val="Paragraphtext"/>
      </w:pPr>
      <w:r>
        <w:t xml:space="preserve">However, it is acknowledged </w:t>
      </w:r>
      <w:r w:rsidR="00CA1157">
        <w:t>there are close links and interdependencies between human, animal, plant and wider environmental health.</w:t>
      </w:r>
      <w:r>
        <w:t xml:space="preserve"> </w:t>
      </w:r>
      <w:hyperlink w:anchor="_One_Health" w:history="1">
        <w:r w:rsidRPr="00DA42EC">
          <w:rPr>
            <w:rStyle w:val="Hyperlink"/>
          </w:rPr>
          <w:t>One Health</w:t>
        </w:r>
      </w:hyperlink>
      <w:r>
        <w:t xml:space="preserve"> approach</w:t>
      </w:r>
      <w:r w:rsidR="00CA1157">
        <w:t>es</w:t>
      </w:r>
      <w:r>
        <w:t xml:space="preserve"> to embedding genomics will likely have greater benefits for health and wellbeing than if</w:t>
      </w:r>
      <w:r w:rsidR="00CA1157">
        <w:t xml:space="preserve"> the sectors </w:t>
      </w:r>
      <w:r w:rsidR="00B1656D">
        <w:t xml:space="preserve">independently </w:t>
      </w:r>
      <w:r>
        <w:t>consider</w:t>
      </w:r>
      <w:r w:rsidR="00CA1157">
        <w:t xml:space="preserve"> genomics</w:t>
      </w:r>
      <w:r>
        <w:t xml:space="preserve">. Australian governments remain committed to pursuing a more unified, </w:t>
      </w:r>
      <w:r w:rsidRPr="00671A0B">
        <w:t>multi-sectoral approach</w:t>
      </w:r>
      <w:r>
        <w:t xml:space="preserve"> over the longer</w:t>
      </w:r>
      <w:r w:rsidR="00A32ADE">
        <w:t xml:space="preserve"> </w:t>
      </w:r>
      <w:r>
        <w:t>term. It is anticipated that work will occur in parallel to this framework</w:t>
      </w:r>
      <w:r w:rsidR="00B1656D">
        <w:t xml:space="preserve"> and implementation plan</w:t>
      </w:r>
      <w:r>
        <w:t xml:space="preserve"> to support this commitment.</w:t>
      </w:r>
    </w:p>
    <w:p w14:paraId="7F1D737A" w14:textId="77777777" w:rsidR="00560309" w:rsidRDefault="00560309">
      <w:pPr>
        <w:rPr>
          <w:rFonts w:ascii="Aptos" w:hAnsi="Aptos" w:cs="Arial"/>
          <w:bCs/>
          <w:color w:val="3F4A75"/>
          <w:kern w:val="28"/>
          <w:sz w:val="36"/>
          <w:szCs w:val="36"/>
        </w:rPr>
      </w:pPr>
      <w:r>
        <w:br w:type="page"/>
      </w:r>
    </w:p>
    <w:p w14:paraId="51B46A70" w14:textId="574A64CE" w:rsidR="00F10D2F" w:rsidRDefault="00F10D2F" w:rsidP="00151E3D">
      <w:pPr>
        <w:pStyle w:val="Heading1"/>
      </w:pPr>
      <w:bookmarkStart w:id="9" w:name="_Toc198025681"/>
      <w:r>
        <w:lastRenderedPageBreak/>
        <w:t>Strategic Context</w:t>
      </w:r>
      <w:bookmarkEnd w:id="9"/>
    </w:p>
    <w:p w14:paraId="429FC524" w14:textId="1F2CE149" w:rsidR="00C70921" w:rsidRDefault="00734713" w:rsidP="00086FFD">
      <w:pPr>
        <w:pStyle w:val="Paragraphtext"/>
      </w:pPr>
      <w:r>
        <w:t>G</w:t>
      </w:r>
      <w:r w:rsidR="00EC3E06">
        <w:t xml:space="preserve">enomics </w:t>
      </w:r>
      <w:r>
        <w:t xml:space="preserve">is </w:t>
      </w:r>
      <w:r w:rsidR="00EC3E06" w:rsidRPr="00B05A28">
        <w:t xml:space="preserve">already improving health outcomes </w:t>
      </w:r>
      <w:r w:rsidR="00EC3E06">
        <w:t>for</w:t>
      </w:r>
      <w:r w:rsidR="00EC3E06" w:rsidRPr="00B05A28">
        <w:t xml:space="preserve"> </w:t>
      </w:r>
      <w:r w:rsidR="00EC3E06">
        <w:t>individuals, families</w:t>
      </w:r>
      <w:r w:rsidR="00EC3E06" w:rsidRPr="00B05A28">
        <w:t xml:space="preserve"> </w:t>
      </w:r>
      <w:r w:rsidR="00EC3E06">
        <w:t xml:space="preserve">and communities across Australia. </w:t>
      </w:r>
      <w:r w:rsidR="00D35E46">
        <w:t>R</w:t>
      </w:r>
      <w:r w:rsidR="00C70921">
        <w:t>apid advancement</w:t>
      </w:r>
      <w:r w:rsidR="00EC3E06">
        <w:t>s in technology and evidence are</w:t>
      </w:r>
      <w:r w:rsidR="00C70921">
        <w:t xml:space="preserve"> supporting ongoing shift</w:t>
      </w:r>
      <w:r w:rsidR="00B558D0">
        <w:t>s</w:t>
      </w:r>
      <w:r w:rsidR="00C70921">
        <w:t xml:space="preserve"> in health care and research from genetics to genomics</w:t>
      </w:r>
      <w:r w:rsidR="00B558D0">
        <w:t xml:space="preserve">. </w:t>
      </w:r>
      <w:r w:rsidR="00086FFD">
        <w:t xml:space="preserve">This is accompanied by and necessitating </w:t>
      </w:r>
      <w:r w:rsidR="00B558D0">
        <w:t>s</w:t>
      </w:r>
      <w:r w:rsidR="00C70921">
        <w:t>hift</w:t>
      </w:r>
      <w:r w:rsidR="00B558D0">
        <w:t>s</w:t>
      </w:r>
      <w:r w:rsidR="00C70921">
        <w:t xml:space="preserve"> </w:t>
      </w:r>
      <w:r w:rsidR="00B558D0">
        <w:t xml:space="preserve">from care models that </w:t>
      </w:r>
      <w:r w:rsidR="00EC3E06">
        <w:t xml:space="preserve">involve </w:t>
      </w:r>
      <w:r w:rsidR="00B558D0" w:rsidRPr="00B558D0">
        <w:t xml:space="preserve">specialised </w:t>
      </w:r>
      <w:hyperlink w:anchor="_Clinical_genetics" w:history="1">
        <w:r w:rsidR="00B558D0" w:rsidRPr="00785645">
          <w:rPr>
            <w:rStyle w:val="Hyperlink"/>
          </w:rPr>
          <w:t>clinical genetic</w:t>
        </w:r>
        <w:r w:rsidR="0089128B" w:rsidRPr="00785645">
          <w:rPr>
            <w:rStyle w:val="Hyperlink"/>
          </w:rPr>
          <w:t>s</w:t>
        </w:r>
      </w:hyperlink>
      <w:r w:rsidR="00B558D0" w:rsidRPr="00B558D0">
        <w:t xml:space="preserve"> services</w:t>
      </w:r>
      <w:r w:rsidR="00B558D0">
        <w:t xml:space="preserve"> to those that </w:t>
      </w:r>
      <w:r w:rsidR="00C70921">
        <w:t xml:space="preserve">integrate genomics into the </w:t>
      </w:r>
      <w:r w:rsidR="00B558D0">
        <w:t xml:space="preserve">routine </w:t>
      </w:r>
      <w:r w:rsidR="00C70921">
        <w:t xml:space="preserve">practice of </w:t>
      </w:r>
      <w:r w:rsidR="00634376">
        <w:t xml:space="preserve">the </w:t>
      </w:r>
      <w:hyperlink w:anchor="_Mainstream_health_workforce" w:history="1">
        <w:r w:rsidR="00634376" w:rsidRPr="00790790">
          <w:rPr>
            <w:rStyle w:val="Hyperlink"/>
          </w:rPr>
          <w:t>mainstream health workforce</w:t>
        </w:r>
      </w:hyperlink>
      <w:r w:rsidR="00086FFD">
        <w:t xml:space="preserve"> including general practitioners</w:t>
      </w:r>
      <w:r w:rsidR="00B558D0">
        <w:t xml:space="preserve"> (</w:t>
      </w:r>
      <w:r w:rsidR="00634376">
        <w:t xml:space="preserve">with this shift </w:t>
      </w:r>
      <w:r w:rsidR="00B558D0">
        <w:t xml:space="preserve">commonly referred to as </w:t>
      </w:r>
      <w:hyperlink w:anchor="_Mainstreaming" w:history="1">
        <w:r w:rsidR="00B558D0" w:rsidRPr="00790790">
          <w:rPr>
            <w:rStyle w:val="Hyperlink"/>
          </w:rPr>
          <w:t>mainstreaming</w:t>
        </w:r>
      </w:hyperlink>
      <w:r w:rsidR="00B558D0">
        <w:t>)</w:t>
      </w:r>
      <w:r w:rsidR="00CB2C0A">
        <w:t>. This supports s</w:t>
      </w:r>
      <w:r w:rsidR="00B558D0" w:rsidRPr="00B558D0">
        <w:t xml:space="preserve">pecialised </w:t>
      </w:r>
      <w:r w:rsidR="00B558D0">
        <w:t xml:space="preserve">clinical </w:t>
      </w:r>
      <w:r w:rsidR="00B558D0" w:rsidRPr="00B558D0">
        <w:t>genetic</w:t>
      </w:r>
      <w:r w:rsidR="0089128B">
        <w:t>s</w:t>
      </w:r>
      <w:r w:rsidR="00B558D0" w:rsidRPr="00B558D0">
        <w:t xml:space="preserve"> </w:t>
      </w:r>
      <w:r w:rsidR="00EC3E06">
        <w:t xml:space="preserve">services </w:t>
      </w:r>
      <w:r w:rsidR="00CB2C0A">
        <w:t xml:space="preserve">to </w:t>
      </w:r>
      <w:r w:rsidR="00EC3E06">
        <w:t xml:space="preserve">focus on </w:t>
      </w:r>
      <w:r w:rsidR="00B558D0">
        <w:t>complex patients</w:t>
      </w:r>
      <w:r w:rsidR="00EC3E06">
        <w:t>.</w:t>
      </w:r>
    </w:p>
    <w:p w14:paraId="49AC656A" w14:textId="534A99B8" w:rsidR="00303508" w:rsidRPr="004D7EB1" w:rsidRDefault="00CB2903" w:rsidP="00355345">
      <w:pPr>
        <w:pStyle w:val="Paragraphtext"/>
      </w:pPr>
      <w:r>
        <w:t>Current applications of genomics in health care include</w:t>
      </w:r>
      <w:r w:rsidR="00303508" w:rsidRPr="004D7EB1">
        <w:t>:</w:t>
      </w:r>
    </w:p>
    <w:p w14:paraId="02ED7610" w14:textId="3A9DCB6A" w:rsidR="00F5307A" w:rsidRPr="00851BAB" w:rsidRDefault="00F5307A" w:rsidP="006824B9">
      <w:pPr>
        <w:pStyle w:val="ListNumber2"/>
      </w:pPr>
      <w:r w:rsidRPr="00851BAB">
        <w:t xml:space="preserve">characterising, diagnosing and managing </w:t>
      </w:r>
      <w:r w:rsidR="00056035" w:rsidRPr="00851BAB">
        <w:t>conditions</w:t>
      </w:r>
      <w:r w:rsidR="00C56045" w:rsidRPr="00851BAB">
        <w:t xml:space="preserve"> (</w:t>
      </w:r>
      <w:r w:rsidR="00347D2C" w:rsidRPr="00851BAB">
        <w:t xml:space="preserve">particularly rare inherited conditions and </w:t>
      </w:r>
      <w:r w:rsidR="00C56045" w:rsidRPr="00851BAB">
        <w:t xml:space="preserve">cancers, though </w:t>
      </w:r>
      <w:r w:rsidR="00B7296A" w:rsidRPr="00851BAB">
        <w:t>increasingly relatively</w:t>
      </w:r>
      <w:r w:rsidR="00C56045" w:rsidRPr="00851BAB">
        <w:t xml:space="preserve"> common conditions across a broad range of specialties) </w:t>
      </w:r>
      <w:r w:rsidRPr="00851BAB">
        <w:t xml:space="preserve">including reducing the time it takes to diagnose </w:t>
      </w:r>
      <w:r w:rsidR="00056035" w:rsidRPr="00851BAB">
        <w:t xml:space="preserve">these </w:t>
      </w:r>
      <w:r w:rsidRPr="00851BAB">
        <w:t>conditions</w:t>
      </w:r>
    </w:p>
    <w:p w14:paraId="1EDCF0BE" w14:textId="586F7703" w:rsidR="00CB2903" w:rsidRPr="00851BAB" w:rsidRDefault="00CB2903" w:rsidP="006824B9">
      <w:pPr>
        <w:pStyle w:val="ListNumber2"/>
      </w:pPr>
      <w:r w:rsidRPr="00851BAB">
        <w:t xml:space="preserve">providing individuals </w:t>
      </w:r>
      <w:r w:rsidR="00056035" w:rsidRPr="00851BAB">
        <w:t xml:space="preserve">and families </w:t>
      </w:r>
      <w:r w:rsidRPr="00851BAB">
        <w:t xml:space="preserve">with information on risk of developing </w:t>
      </w:r>
      <w:r w:rsidR="00056035" w:rsidRPr="00851BAB">
        <w:t>conditions</w:t>
      </w:r>
      <w:r w:rsidR="00B7296A" w:rsidRPr="00851BAB">
        <w:t xml:space="preserve">, and determining the need for ongoing surveillance, lifestyle changes and early </w:t>
      </w:r>
      <w:r w:rsidR="00863A9F">
        <w:t xml:space="preserve">interventions and </w:t>
      </w:r>
      <w:r w:rsidR="00B7296A" w:rsidRPr="00851BAB">
        <w:t>treatment</w:t>
      </w:r>
    </w:p>
    <w:p w14:paraId="5EFB8BFD" w14:textId="066BD986" w:rsidR="00CB2903" w:rsidRPr="00851BAB" w:rsidRDefault="00CB2903" w:rsidP="006824B9">
      <w:pPr>
        <w:pStyle w:val="ListNumber2"/>
      </w:pPr>
      <w:r w:rsidRPr="00851BAB">
        <w:t>providing couples</w:t>
      </w:r>
      <w:r w:rsidR="00C56045" w:rsidRPr="00851BAB">
        <w:t xml:space="preserve"> who are planning or actively trying to </w:t>
      </w:r>
      <w:r w:rsidR="00734713">
        <w:t>have a baby</w:t>
      </w:r>
      <w:r w:rsidR="00734713" w:rsidRPr="00851BAB">
        <w:t xml:space="preserve"> </w:t>
      </w:r>
      <w:r w:rsidRPr="00851BAB">
        <w:t xml:space="preserve">with information on their </w:t>
      </w:r>
      <w:hyperlink w:anchor="_Carrier" w:history="1">
        <w:r w:rsidRPr="00785645">
          <w:rPr>
            <w:rStyle w:val="Hyperlink"/>
          </w:rPr>
          <w:t>carrier</w:t>
        </w:r>
      </w:hyperlink>
      <w:r w:rsidRPr="00851BAB">
        <w:t xml:space="preserve"> status for inheritable </w:t>
      </w:r>
      <w:r w:rsidR="00C56045" w:rsidRPr="00851BAB">
        <w:t>conditions</w:t>
      </w:r>
      <w:r w:rsidR="003726C4">
        <w:t xml:space="preserve"> to inform their risk of having a child with one or more of these conditions</w:t>
      </w:r>
    </w:p>
    <w:p w14:paraId="44F0F6DE" w14:textId="60639414" w:rsidR="00303508" w:rsidRPr="00851BAB" w:rsidRDefault="00056035" w:rsidP="006824B9">
      <w:pPr>
        <w:pStyle w:val="ListNumber2"/>
      </w:pPr>
      <w:r w:rsidRPr="00851BAB">
        <w:t xml:space="preserve">supporting access to </w:t>
      </w:r>
      <w:r w:rsidR="00C56045" w:rsidRPr="00851BAB">
        <w:t xml:space="preserve">targeted treatments, such as </w:t>
      </w:r>
      <w:hyperlink w:anchor="_Immunotherapies" w:history="1">
        <w:r w:rsidR="00C56045" w:rsidRPr="00790790">
          <w:rPr>
            <w:rStyle w:val="Hyperlink"/>
          </w:rPr>
          <w:t>immunotherapies</w:t>
        </w:r>
      </w:hyperlink>
      <w:r w:rsidR="00C56045" w:rsidRPr="00851BAB">
        <w:t xml:space="preserve"> and </w:t>
      </w:r>
      <w:hyperlink w:anchor="_Cell_and_gene" w:history="1">
        <w:r w:rsidRPr="00785645">
          <w:rPr>
            <w:rStyle w:val="Hyperlink"/>
          </w:rPr>
          <w:t>cell and</w:t>
        </w:r>
        <w:r w:rsidR="00303508" w:rsidRPr="00785645">
          <w:rPr>
            <w:rStyle w:val="Hyperlink"/>
          </w:rPr>
          <w:t xml:space="preserve"> gene therapies</w:t>
        </w:r>
      </w:hyperlink>
      <w:r w:rsidR="00C56045" w:rsidRPr="00851BAB">
        <w:t>, including those in clinical trials</w:t>
      </w:r>
      <w:r w:rsidR="00E075D4">
        <w:t>.</w:t>
      </w:r>
    </w:p>
    <w:p w14:paraId="2C7E9988" w14:textId="39999888" w:rsidR="008562F1" w:rsidRDefault="00303508" w:rsidP="00355345">
      <w:pPr>
        <w:pStyle w:val="Paragraphtext"/>
      </w:pPr>
      <w:r w:rsidRPr="004D7EB1">
        <w:t xml:space="preserve">Other applications </w:t>
      </w:r>
      <w:r w:rsidR="008562F1">
        <w:t xml:space="preserve">that are in the process of being embedded in health care or are a focus </w:t>
      </w:r>
      <w:r w:rsidR="00FE740F">
        <w:t>of current</w:t>
      </w:r>
      <w:r w:rsidR="008562F1">
        <w:t xml:space="preserve"> </w:t>
      </w:r>
      <w:r w:rsidRPr="004D7EB1">
        <w:t>research include</w:t>
      </w:r>
      <w:r w:rsidR="008562F1">
        <w:t>:</w:t>
      </w:r>
    </w:p>
    <w:p w14:paraId="06892E43" w14:textId="3E3CFDAB" w:rsidR="008562F1" w:rsidRPr="00851BAB" w:rsidRDefault="00303508" w:rsidP="006824B9">
      <w:pPr>
        <w:pStyle w:val="ListNumber2"/>
      </w:pPr>
      <w:hyperlink w:anchor="_Pharmacogenomics" w:history="1">
        <w:r w:rsidRPr="00DA42EC">
          <w:rPr>
            <w:rStyle w:val="Hyperlink"/>
          </w:rPr>
          <w:t>pharmacogenomics</w:t>
        </w:r>
      </w:hyperlink>
      <w:r w:rsidR="008562F1" w:rsidRPr="00851BAB">
        <w:t xml:space="preserve">, </w:t>
      </w:r>
      <w:r w:rsidR="000D3098" w:rsidRPr="00851BAB">
        <w:t xml:space="preserve">the study of the role of the genome in </w:t>
      </w:r>
      <w:r w:rsidR="008562F1" w:rsidRPr="00851BAB">
        <w:t>the effective</w:t>
      </w:r>
      <w:r w:rsidR="00B7296A" w:rsidRPr="00851BAB">
        <w:t>ne</w:t>
      </w:r>
      <w:r w:rsidR="008562F1" w:rsidRPr="00851BAB">
        <w:t>ss and safety of medications</w:t>
      </w:r>
    </w:p>
    <w:p w14:paraId="2A6BCBDA" w14:textId="2130F790" w:rsidR="008562F1" w:rsidRDefault="008562F1" w:rsidP="006824B9">
      <w:pPr>
        <w:pStyle w:val="ListNumber2"/>
      </w:pPr>
      <w:r w:rsidRPr="00851BAB">
        <w:t>the use of genomics for</w:t>
      </w:r>
      <w:r w:rsidR="00303508" w:rsidRPr="00851BAB">
        <w:t xml:space="preserve"> </w:t>
      </w:r>
      <w:hyperlink w:anchor="_Population_screening" w:history="1">
        <w:r w:rsidR="00303508" w:rsidRPr="00DA42EC">
          <w:rPr>
            <w:rStyle w:val="Hyperlink"/>
          </w:rPr>
          <w:t>population screening</w:t>
        </w:r>
      </w:hyperlink>
      <w:r w:rsidR="00303508" w:rsidRPr="00851BAB">
        <w:t xml:space="preserve">, </w:t>
      </w:r>
      <w:r w:rsidRPr="00851BAB">
        <w:t xml:space="preserve">health screening programs that look </w:t>
      </w:r>
      <w:r w:rsidR="005D21F1">
        <w:t>to identify genetic risk</w:t>
      </w:r>
      <w:r w:rsidRPr="00851BAB">
        <w:t xml:space="preserve"> of certain </w:t>
      </w:r>
      <w:r w:rsidR="008531E5">
        <w:t>conditions</w:t>
      </w:r>
      <w:r w:rsidR="008531E5" w:rsidRPr="00851BAB">
        <w:t xml:space="preserve"> </w:t>
      </w:r>
      <w:r w:rsidRPr="00851BAB">
        <w:t>in target groups to facilitate prevention and early diagnosis and treatment</w:t>
      </w:r>
    </w:p>
    <w:p w14:paraId="3E701342" w14:textId="6E58C3A2" w:rsidR="00194B65" w:rsidRDefault="00194B65" w:rsidP="00194B65">
      <w:pPr>
        <w:pStyle w:val="ListNumber2"/>
      </w:pPr>
      <w:r>
        <w:t>integrating genomic information into electronic medical records and supporting lin</w:t>
      </w:r>
      <w:r w:rsidR="00857D65">
        <w:t>k</w:t>
      </w:r>
      <w:r>
        <w:t>ages with familial and longitudinal information</w:t>
      </w:r>
    </w:p>
    <w:p w14:paraId="5A18DCBF" w14:textId="639BB331" w:rsidR="00194B65" w:rsidRDefault="00194B65" w:rsidP="00194B65">
      <w:pPr>
        <w:pStyle w:val="ListNumber2"/>
      </w:pPr>
      <w:r>
        <w:t xml:space="preserve">adopting </w:t>
      </w:r>
      <w:hyperlink w:anchor="_Multi-omics" w:history="1">
        <w:r w:rsidRPr="00DA42EC">
          <w:rPr>
            <w:rStyle w:val="Hyperlink"/>
          </w:rPr>
          <w:t>multi-omics</w:t>
        </w:r>
      </w:hyperlink>
      <w:r>
        <w:t xml:space="preserve"> approaches that</w:t>
      </w:r>
      <w:r w:rsidRPr="00214A52">
        <w:t xml:space="preserve"> </w:t>
      </w:r>
      <w:r>
        <w:t>i</w:t>
      </w:r>
      <w:r w:rsidRPr="00194B65">
        <w:t>ntegrat</w:t>
      </w:r>
      <w:r>
        <w:t>e</w:t>
      </w:r>
      <w:r w:rsidRPr="00194B65">
        <w:t xml:space="preserve"> genomic information with other emerging ‘omics’ technologies and information</w:t>
      </w:r>
    </w:p>
    <w:p w14:paraId="5AF49E97" w14:textId="47C9F933" w:rsidR="00E075D4" w:rsidRDefault="00E075D4" w:rsidP="00E075D4">
      <w:pPr>
        <w:pStyle w:val="ListNumber2"/>
      </w:pPr>
      <w:r>
        <w:t>ensuring equity for populations that have historically and continue to face barriers to accessing and benefitting from advancements in genomics, such as Aboriginal and Torres Strait Islander people</w:t>
      </w:r>
      <w:r w:rsidR="00D1404D">
        <w:t>.</w:t>
      </w:r>
    </w:p>
    <w:p w14:paraId="518D077C" w14:textId="4A3AA941" w:rsidR="002000AC" w:rsidRPr="00F87136" w:rsidRDefault="00857D65" w:rsidP="00785645">
      <w:pPr>
        <w:pStyle w:val="Paragraphtext"/>
      </w:pPr>
      <w:r w:rsidRPr="00857D65">
        <w:t xml:space="preserve">Background information on the development of this framework and implementation plan and the Australian health system are included in </w:t>
      </w:r>
      <w:hyperlink w:anchor="_Appendix_2:_Background" w:history="1">
        <w:r w:rsidRPr="00754B25">
          <w:rPr>
            <w:rStyle w:val="Hyperlink"/>
          </w:rPr>
          <w:t>Appendi</w:t>
        </w:r>
        <w:r w:rsidR="00754B25">
          <w:rPr>
            <w:rStyle w:val="Hyperlink"/>
          </w:rPr>
          <w:t>x</w:t>
        </w:r>
        <w:r w:rsidRPr="00754B25">
          <w:rPr>
            <w:rStyle w:val="Hyperlink"/>
          </w:rPr>
          <w:t xml:space="preserve"> 2</w:t>
        </w:r>
      </w:hyperlink>
      <w:r w:rsidRPr="00857D65">
        <w:t xml:space="preserve"> and </w:t>
      </w:r>
      <w:hyperlink w:anchor="_Appendix_3:_Australian" w:history="1">
        <w:r w:rsidR="00754B25" w:rsidRPr="00754B25">
          <w:rPr>
            <w:rStyle w:val="Hyperlink"/>
          </w:rPr>
          <w:t xml:space="preserve">Appendix </w:t>
        </w:r>
        <w:r w:rsidRPr="00754B25">
          <w:rPr>
            <w:rStyle w:val="Hyperlink"/>
          </w:rPr>
          <w:t>3</w:t>
        </w:r>
      </w:hyperlink>
      <w:r w:rsidRPr="00857D65">
        <w:t xml:space="preserve"> respectively.</w:t>
      </w:r>
      <w:r w:rsidR="002000AC">
        <w:br w:type="page"/>
      </w:r>
    </w:p>
    <w:p w14:paraId="0442FB0A" w14:textId="7B683BC6" w:rsidR="000C449C" w:rsidRDefault="000C449C" w:rsidP="00151E3D">
      <w:pPr>
        <w:pStyle w:val="Heading1"/>
      </w:pPr>
      <w:bookmarkStart w:id="10" w:name="_Toc198025683"/>
      <w:r>
        <w:lastRenderedPageBreak/>
        <w:t>Implementation</w:t>
      </w:r>
      <w:bookmarkEnd w:id="10"/>
    </w:p>
    <w:p w14:paraId="736D9A95" w14:textId="36242593" w:rsidR="00162B32" w:rsidRDefault="0055725D" w:rsidP="000C449C">
      <w:pPr>
        <w:pStyle w:val="Paragraphtext"/>
      </w:pPr>
      <w:r>
        <w:t>T</w:t>
      </w:r>
      <w:r w:rsidR="00BC2B36">
        <w:t xml:space="preserve">his framework and implementation plan </w:t>
      </w:r>
      <w:r w:rsidR="005C26A5">
        <w:t>sets out</w:t>
      </w:r>
      <w:r w:rsidR="00BC2B36">
        <w:t xml:space="preserve"> high-level </w:t>
      </w:r>
      <w:r w:rsidR="005C26A5">
        <w:t xml:space="preserve">national </w:t>
      </w:r>
      <w:r w:rsidR="00BC2B36">
        <w:t>activities</w:t>
      </w:r>
      <w:r>
        <w:t>.</w:t>
      </w:r>
      <w:r w:rsidR="00162B32">
        <w:t xml:space="preserve"> The activities reflect foundational work that will need to be undertaken to appropriately embed </w:t>
      </w:r>
      <w:r w:rsidR="00162B32" w:rsidRPr="00C61E57">
        <w:t xml:space="preserve">genomics </w:t>
      </w:r>
      <w:r w:rsidR="00162B32">
        <w:t>within the health system in ways that are sustainable over a longer</w:t>
      </w:r>
      <w:r w:rsidR="001802AB">
        <w:t xml:space="preserve"> </w:t>
      </w:r>
      <w:r w:rsidR="00162B32">
        <w:t>term than the life of this framework and implementation</w:t>
      </w:r>
      <w:r w:rsidR="00754B25">
        <w:t xml:space="preserve"> plan</w:t>
      </w:r>
      <w:r w:rsidR="00162B32">
        <w:t xml:space="preserve">. Many of the outcomes are </w:t>
      </w:r>
      <w:r w:rsidR="004F0224">
        <w:t xml:space="preserve">ambitious and go beyond what may be achievable </w:t>
      </w:r>
      <w:r w:rsidR="00754B25">
        <w:t>over</w:t>
      </w:r>
      <w:r w:rsidR="004F0224">
        <w:t xml:space="preserve"> five years.</w:t>
      </w:r>
    </w:p>
    <w:p w14:paraId="6E401EE8" w14:textId="79091DBA" w:rsidR="001536A2" w:rsidRDefault="006D2E3E" w:rsidP="000C449C">
      <w:pPr>
        <w:pStyle w:val="Paragraphtext"/>
      </w:pPr>
      <w:bookmarkStart w:id="11" w:name="_Hlk198901321"/>
      <w:r>
        <w:t xml:space="preserve">The Australian Government and state and territory governments </w:t>
      </w:r>
      <w:r w:rsidR="007C3A27">
        <w:t xml:space="preserve">have been identified to oversee and coordinate </w:t>
      </w:r>
      <w:r>
        <w:t xml:space="preserve">implementation of specific </w:t>
      </w:r>
      <w:r w:rsidR="007C3A27">
        <w:t>activities</w:t>
      </w:r>
      <w:r>
        <w:t xml:space="preserve">. </w:t>
      </w:r>
      <w:r w:rsidR="00E875F2">
        <w:t>I</w:t>
      </w:r>
      <w:r>
        <w:t>dentified government</w:t>
      </w:r>
      <w:r w:rsidR="005959E5">
        <w:t>s</w:t>
      </w:r>
      <w:r>
        <w:t xml:space="preserve"> will be responsible for developing more detailed </w:t>
      </w:r>
      <w:r w:rsidRPr="00300C94">
        <w:t>plan</w:t>
      </w:r>
      <w:r w:rsidR="005959E5">
        <w:t xml:space="preserve">s for activities </w:t>
      </w:r>
      <w:r>
        <w:t>in consultation with relevant stakeholders.</w:t>
      </w:r>
      <w:r w:rsidR="007C3A27">
        <w:t xml:space="preserve"> </w:t>
      </w:r>
      <w:r w:rsidR="005959E5">
        <w:t xml:space="preserve">However, </w:t>
      </w:r>
      <w:r w:rsidR="007C3A27">
        <w:t xml:space="preserve">all national activities will require Australian governments to work together. </w:t>
      </w:r>
      <w:r w:rsidR="00BA5EB9">
        <w:t>A</w:t>
      </w:r>
      <w:r w:rsidR="00671E4F">
        <w:t>daptation</w:t>
      </w:r>
      <w:r w:rsidR="001D3D82">
        <w:t xml:space="preserve"> will</w:t>
      </w:r>
      <w:r w:rsidR="00671E4F">
        <w:t xml:space="preserve"> be needed across states and territories to account for </w:t>
      </w:r>
      <w:r w:rsidR="001E4782">
        <w:t>differing</w:t>
      </w:r>
      <w:r w:rsidR="00671E4F">
        <w:t xml:space="preserve"> government and </w:t>
      </w:r>
      <w:r w:rsidR="00BC53B2">
        <w:t xml:space="preserve">local </w:t>
      </w:r>
      <w:r w:rsidR="00671E4F">
        <w:t xml:space="preserve">health system designs, legislation, priorities, and </w:t>
      </w:r>
      <w:r w:rsidR="001E4782">
        <w:t>population needs</w:t>
      </w:r>
      <w:r w:rsidR="00671E4F">
        <w:t>.</w:t>
      </w:r>
    </w:p>
    <w:p w14:paraId="6761A7A2" w14:textId="112E369D" w:rsidR="001536A2" w:rsidRPr="002D2A39" w:rsidRDefault="001536A2" w:rsidP="001536A2">
      <w:pPr>
        <w:pStyle w:val="Boxtype"/>
        <w:shd w:val="clear" w:color="auto" w:fill="92D050"/>
        <w:rPr>
          <w:i/>
          <w:iCs/>
          <w:lang w:val="en-AU"/>
        </w:rPr>
      </w:pPr>
      <w:r>
        <w:rPr>
          <w:i/>
          <w:iCs/>
        </w:rPr>
        <w:t xml:space="preserve">The timeframes, identification of the government responsible for coordination, and </w:t>
      </w:r>
      <w:proofErr w:type="spellStart"/>
      <w:r>
        <w:rPr>
          <w:i/>
          <w:iCs/>
        </w:rPr>
        <w:t>prioritisation</w:t>
      </w:r>
      <w:proofErr w:type="spellEnd"/>
      <w:r>
        <w:rPr>
          <w:i/>
          <w:iCs/>
        </w:rPr>
        <w:t xml:space="preserve"> of activities will be developed following public consultation.</w:t>
      </w:r>
    </w:p>
    <w:bookmarkEnd w:id="11"/>
    <w:p w14:paraId="32FB0647" w14:textId="6E74F3D8" w:rsidR="00560309" w:rsidRDefault="00C02294" w:rsidP="000C449C">
      <w:pPr>
        <w:pStyle w:val="Paragraphtext"/>
      </w:pPr>
      <w:r w:rsidRPr="00857D65">
        <w:t xml:space="preserve">Background information on the Australian health system </w:t>
      </w:r>
      <w:r>
        <w:t xml:space="preserve">is </w:t>
      </w:r>
      <w:r w:rsidRPr="00857D65">
        <w:t xml:space="preserve">included </w:t>
      </w:r>
      <w:r>
        <w:t xml:space="preserve">in </w:t>
      </w:r>
      <w:hyperlink w:anchor="_Appendix_3:_Australian" w:history="1">
        <w:r w:rsidRPr="00754B25">
          <w:rPr>
            <w:rStyle w:val="Hyperlink"/>
          </w:rPr>
          <w:t>Appendix 3</w:t>
        </w:r>
      </w:hyperlink>
      <w:r>
        <w:t>.</w:t>
      </w:r>
    </w:p>
    <w:p w14:paraId="53F1E81E" w14:textId="77777777" w:rsidR="00B702AD" w:rsidRDefault="00B702AD" w:rsidP="000C449C">
      <w:pPr>
        <w:pStyle w:val="Paragraphtext"/>
      </w:pPr>
    </w:p>
    <w:p w14:paraId="26F0193D" w14:textId="77777777" w:rsidR="00560309" w:rsidRPr="00C565F7" w:rsidRDefault="00560309" w:rsidP="00560309">
      <w:pPr>
        <w:pStyle w:val="BoxTypeHeader"/>
      </w:pPr>
      <w:r>
        <w:t xml:space="preserve">Priority Populations </w:t>
      </w:r>
    </w:p>
    <w:p w14:paraId="640509EE" w14:textId="77777777" w:rsidR="00560309" w:rsidRDefault="00560309" w:rsidP="00560309">
      <w:pPr>
        <w:pStyle w:val="Boxtype"/>
      </w:pPr>
      <w:r w:rsidRPr="00CF4DF7">
        <w:rPr>
          <w:lang w:val="en-US"/>
        </w:rPr>
        <w:t xml:space="preserve">In Australia, </w:t>
      </w:r>
      <w:proofErr w:type="gramStart"/>
      <w:r w:rsidRPr="00CF4DF7">
        <w:rPr>
          <w:lang w:val="en-US"/>
        </w:rPr>
        <w:t>a number of</w:t>
      </w:r>
      <w:proofErr w:type="gramEnd"/>
      <w:r w:rsidRPr="00CF4DF7">
        <w:rPr>
          <w:lang w:val="en-US"/>
        </w:rPr>
        <w:t xml:space="preserve"> groups disproportionately face challenges in accessing health care, taking part in research, and achieving good health and wellbeing outcomes. This includes access to and outcomes of genomics-informed health care and research.</w:t>
      </w:r>
    </w:p>
    <w:p w14:paraId="305AE852" w14:textId="47A84CFE" w:rsidR="00560309" w:rsidRDefault="00560309" w:rsidP="00560309">
      <w:pPr>
        <w:pStyle w:val="Boxtype"/>
      </w:pPr>
      <w:r>
        <w:t xml:space="preserve">In addition to Aboriginal and Torres Strait Islander people and communities, which are explicitly referenced throughout and are the focus of </w:t>
      </w:r>
      <w:hyperlink w:anchor="_Strategic_Priority_4" w:history="1">
        <w:r w:rsidRPr="00754B25">
          <w:rPr>
            <w:rStyle w:val="Hyperlink"/>
          </w:rPr>
          <w:t>Strategic Priority 4</w:t>
        </w:r>
      </w:hyperlink>
      <w:r>
        <w:t>, other priority populations will need to be considered under this framework and implementation plan in accordance with government priorities.</w:t>
      </w:r>
    </w:p>
    <w:p w14:paraId="2A8F6B1B" w14:textId="4A493399" w:rsidR="00560309" w:rsidRPr="00846161" w:rsidRDefault="00560309" w:rsidP="00560309">
      <w:pPr>
        <w:pStyle w:val="Boxtype"/>
        <w:rPr>
          <w:color w:val="358189"/>
          <w:sz w:val="32"/>
        </w:rPr>
      </w:pPr>
      <w:r>
        <w:t xml:space="preserve">All activities progressed under this framework and implementation plan will apply an equity lens. While the </w:t>
      </w:r>
      <w:bookmarkStart w:id="12" w:name="_Hlk198025953"/>
      <w:r w:rsidR="00DA42EC">
        <w:fldChar w:fldCharType="begin"/>
      </w:r>
      <w:r w:rsidR="00DA42EC">
        <w:instrText>HYPERLINK  \l "_Social_determinants_of"</w:instrText>
      </w:r>
      <w:r w:rsidR="00DA42EC">
        <w:fldChar w:fldCharType="separate"/>
      </w:r>
      <w:r w:rsidRPr="00DA42EC">
        <w:rPr>
          <w:rStyle w:val="Hyperlink"/>
        </w:rPr>
        <w:t>social determinants of health</w:t>
      </w:r>
      <w:bookmarkEnd w:id="12"/>
      <w:r w:rsidR="00DA42EC">
        <w:fldChar w:fldCharType="end"/>
      </w:r>
      <w:r>
        <w:t xml:space="preserve"> and avoidable inequities fall beyond the scope of this framework and implementation plan, it is important that consideration is given to how the planning and </w:t>
      </w:r>
      <w:r w:rsidR="00A35AEC">
        <w:t>implementation</w:t>
      </w:r>
      <w:r>
        <w:t xml:space="preserve"> of activities will affect priority populations to ensure equity is promoted. </w:t>
      </w:r>
      <w:r w:rsidRPr="00846161">
        <w:rPr>
          <w:lang w:val="en-US"/>
        </w:rPr>
        <w:t>Individuals within priority population groups will have unique experiences and needs. In most instances, one-size-fits</w:t>
      </w:r>
      <w:r>
        <w:rPr>
          <w:lang w:val="en-US"/>
        </w:rPr>
        <w:t>-</w:t>
      </w:r>
      <w:r w:rsidRPr="00846161">
        <w:rPr>
          <w:lang w:val="en-US"/>
        </w:rPr>
        <w:t xml:space="preserve">all approaches are unlikely to be sufficient. </w:t>
      </w:r>
      <w:r w:rsidR="005C7612">
        <w:rPr>
          <w:lang w:val="en-US"/>
        </w:rPr>
        <w:t>Well c</w:t>
      </w:r>
      <w:r w:rsidRPr="00846161">
        <w:rPr>
          <w:lang w:val="en-US"/>
        </w:rPr>
        <w:t>onsidered engagement and partnerships will be required.</w:t>
      </w:r>
    </w:p>
    <w:p w14:paraId="7BBE7CD3" w14:textId="5DD0A698" w:rsidR="00F10D2F" w:rsidRDefault="000E0415" w:rsidP="001536A2">
      <w:pPr>
        <w:pStyle w:val="Heading2"/>
      </w:pPr>
      <w:bookmarkStart w:id="13" w:name="_Toc197953797"/>
      <w:bookmarkStart w:id="14" w:name="_Toc198025684"/>
      <w:r>
        <w:lastRenderedPageBreak/>
        <w:t xml:space="preserve">Guiding </w:t>
      </w:r>
      <w:r w:rsidR="00F10D2F">
        <w:t>Principles</w:t>
      </w:r>
      <w:bookmarkEnd w:id="13"/>
      <w:bookmarkEnd w:id="14"/>
    </w:p>
    <w:p w14:paraId="61810DF0" w14:textId="3F94B021" w:rsidR="00147003" w:rsidRDefault="003D6CEF" w:rsidP="00147003">
      <w:pPr>
        <w:pStyle w:val="Paragraphtext"/>
      </w:pPr>
      <w:r>
        <w:t>Five guiding</w:t>
      </w:r>
      <w:r w:rsidR="005B1121">
        <w:t xml:space="preserve"> principles</w:t>
      </w:r>
      <w:r w:rsidR="0024288A">
        <w:t xml:space="preserve"> </w:t>
      </w:r>
      <w:r w:rsidR="00147003">
        <w:t>have been identified to guide</w:t>
      </w:r>
      <w:r w:rsidR="00CA5231">
        <w:t xml:space="preserve"> planning and </w:t>
      </w:r>
      <w:r w:rsidR="005C7612">
        <w:t xml:space="preserve">implementation </w:t>
      </w:r>
      <w:r w:rsidR="00CA5231">
        <w:t>of</w:t>
      </w:r>
      <w:r w:rsidR="00147003">
        <w:t xml:space="preserve"> all </w:t>
      </w:r>
      <w:r w:rsidR="0057745F">
        <w:t xml:space="preserve">strategic </w:t>
      </w:r>
      <w:r w:rsidR="00147003">
        <w:t xml:space="preserve">priorities, outcomes and activities of </w:t>
      </w:r>
      <w:r w:rsidR="00CA5231">
        <w:t xml:space="preserve">this </w:t>
      </w:r>
      <w:r w:rsidR="0024288A">
        <w:t>framework and implementation plan</w:t>
      </w:r>
      <w:r w:rsidR="00147003">
        <w:t>, and underpin the embedding of genomics into the Australian health system.</w:t>
      </w:r>
    </w:p>
    <w:p w14:paraId="375F43B5" w14:textId="41B624A1" w:rsidR="000E0415" w:rsidRDefault="000E0415" w:rsidP="0069120C">
      <w:pPr>
        <w:pStyle w:val="Paragraphtext"/>
        <w:numPr>
          <w:ilvl w:val="0"/>
          <w:numId w:val="9"/>
        </w:numPr>
        <w:ind w:left="357" w:hanging="357"/>
        <w:rPr>
          <w:b/>
          <w:bCs/>
        </w:rPr>
      </w:pPr>
      <w:r>
        <w:rPr>
          <w:b/>
          <w:bCs/>
        </w:rPr>
        <w:t>Equity</w:t>
      </w:r>
    </w:p>
    <w:p w14:paraId="6A76CC7E" w14:textId="34359FED" w:rsidR="000437CC" w:rsidRPr="004D7EB1" w:rsidRDefault="003D6CEF" w:rsidP="00F87136">
      <w:pPr>
        <w:pStyle w:val="Paragraphtext"/>
        <w:ind w:left="357"/>
      </w:pPr>
      <w:r w:rsidRPr="004D7EB1">
        <w:t>Equitable access to and outcomes of genomics-</w:t>
      </w:r>
      <w:r>
        <w:t>inform</w:t>
      </w:r>
      <w:r w:rsidRPr="004D7EB1">
        <w:t>ed health care and research are effectively promoted, enabled and monitored</w:t>
      </w:r>
      <w:r w:rsidR="005E17FD">
        <w:t>.</w:t>
      </w:r>
      <w:r w:rsidR="000437CC">
        <w:t xml:space="preserve"> This includes addressing the needs of identified priority populations.</w:t>
      </w:r>
    </w:p>
    <w:p w14:paraId="668F1583" w14:textId="05B7600D" w:rsidR="003D6CEF" w:rsidRDefault="003D6CEF" w:rsidP="0069120C">
      <w:pPr>
        <w:pStyle w:val="Paragraphtext"/>
        <w:numPr>
          <w:ilvl w:val="0"/>
          <w:numId w:val="9"/>
        </w:numPr>
        <w:ind w:left="357" w:hanging="357"/>
        <w:rPr>
          <w:b/>
          <w:bCs/>
        </w:rPr>
      </w:pPr>
      <w:r>
        <w:rPr>
          <w:b/>
          <w:bCs/>
        </w:rPr>
        <w:t>Empower individuals and communities</w:t>
      </w:r>
    </w:p>
    <w:p w14:paraId="0895F6BE" w14:textId="4635A653" w:rsidR="005E17FD" w:rsidRPr="0085152A" w:rsidRDefault="005E17FD" w:rsidP="00F87136">
      <w:pPr>
        <w:pStyle w:val="Paragraphtext"/>
        <w:ind w:left="357"/>
      </w:pPr>
      <w:r>
        <w:t xml:space="preserve">Individuals, their families and communities are central to their health care and are empowered to be </w:t>
      </w:r>
      <w:r w:rsidR="00262EF8">
        <w:t>aware</w:t>
      </w:r>
      <w:r w:rsidR="009B0D40">
        <w:t xml:space="preserve"> of</w:t>
      </w:r>
      <w:r>
        <w:t>, involved</w:t>
      </w:r>
      <w:r w:rsidR="009B0D40">
        <w:t xml:space="preserve"> in</w:t>
      </w:r>
      <w:r>
        <w:t xml:space="preserve"> and benefit from genomics-informed health care</w:t>
      </w:r>
      <w:r w:rsidR="00BC53B2">
        <w:t xml:space="preserve"> and research</w:t>
      </w:r>
      <w:r>
        <w:t>.</w:t>
      </w:r>
    </w:p>
    <w:p w14:paraId="0145E15E" w14:textId="3D259C8C" w:rsidR="003D6CEF" w:rsidRDefault="003D6CEF" w:rsidP="00F87136">
      <w:pPr>
        <w:pStyle w:val="Paragraphtext"/>
        <w:ind w:left="357"/>
      </w:pPr>
      <w:r>
        <w:t>A</w:t>
      </w:r>
      <w:r w:rsidRPr="004D7EB1">
        <w:t>boriginal and Torres Strait Islander people are empowered to determine</w:t>
      </w:r>
      <w:r w:rsidR="00262EF8">
        <w:t xml:space="preserve"> </w:t>
      </w:r>
      <w:r w:rsidRPr="004D7EB1">
        <w:t>efforts to embed genomics in ways that deliver benefits to their communities according to their own priorities and at their own pace and are supported by Australian governments.</w:t>
      </w:r>
    </w:p>
    <w:p w14:paraId="1181E331" w14:textId="77777777" w:rsidR="003D6CEF" w:rsidRPr="00147003" w:rsidRDefault="000E0415" w:rsidP="0069120C">
      <w:pPr>
        <w:pStyle w:val="Paragraphtext"/>
        <w:numPr>
          <w:ilvl w:val="0"/>
          <w:numId w:val="9"/>
        </w:numPr>
        <w:ind w:left="357" w:hanging="357"/>
      </w:pPr>
      <w:r>
        <w:rPr>
          <w:b/>
          <w:bCs/>
        </w:rPr>
        <w:t>Evidence-based</w:t>
      </w:r>
      <w:r w:rsidR="00DD2142">
        <w:rPr>
          <w:b/>
          <w:bCs/>
        </w:rPr>
        <w:t xml:space="preserve"> and socially accepted</w:t>
      </w:r>
    </w:p>
    <w:p w14:paraId="411DCEBA" w14:textId="68BC24DD" w:rsidR="00DD2142" w:rsidRDefault="000E0415" w:rsidP="00F87136">
      <w:pPr>
        <w:pStyle w:val="Paragraphtext"/>
        <w:ind w:left="76" w:firstLine="281"/>
      </w:pPr>
      <w:r>
        <w:t>All c</w:t>
      </w:r>
      <w:r w:rsidRPr="004D7EB1">
        <w:t>linical applications of genomics</w:t>
      </w:r>
      <w:r w:rsidR="007C3A27">
        <w:t xml:space="preserve"> and </w:t>
      </w:r>
      <w:bookmarkStart w:id="15" w:name="_Hlk198025994"/>
      <w:r w:rsidR="007C3A27">
        <w:t xml:space="preserve">genomics-informed health care </w:t>
      </w:r>
      <w:bookmarkEnd w:id="15"/>
      <w:r w:rsidRPr="004D7EB1">
        <w:t>are</w:t>
      </w:r>
      <w:r w:rsidR="00DD2142">
        <w:t>:</w:t>
      </w:r>
    </w:p>
    <w:p w14:paraId="48695349" w14:textId="77777777" w:rsidR="006D2E3E" w:rsidRDefault="006D2E3E" w:rsidP="006D2E3E">
      <w:pPr>
        <w:pStyle w:val="Paragraphtext"/>
        <w:numPr>
          <w:ilvl w:val="0"/>
          <w:numId w:val="8"/>
        </w:numPr>
        <w:ind w:left="1077" w:hanging="357"/>
      </w:pPr>
      <w:r>
        <w:t>e</w:t>
      </w:r>
      <w:r w:rsidRPr="004D7EB1">
        <w:t>thically, legally and socially responsible</w:t>
      </w:r>
      <w:r>
        <w:t xml:space="preserve"> and culturally appropriate</w:t>
      </w:r>
    </w:p>
    <w:p w14:paraId="64AB3F5A" w14:textId="77777777" w:rsidR="006D2E3E" w:rsidRDefault="006D2E3E" w:rsidP="006D2E3E">
      <w:pPr>
        <w:pStyle w:val="Paragraphtext"/>
        <w:numPr>
          <w:ilvl w:val="0"/>
          <w:numId w:val="8"/>
        </w:numPr>
        <w:ind w:left="1077" w:hanging="357"/>
      </w:pPr>
      <w:r>
        <w:t>support</w:t>
      </w:r>
      <w:r w:rsidRPr="004D7EB1">
        <w:t>ed by community trust and acceptance</w:t>
      </w:r>
      <w:r>
        <w:t xml:space="preserve"> </w:t>
      </w:r>
    </w:p>
    <w:p w14:paraId="231E245C" w14:textId="390DE231" w:rsidR="00DD2142" w:rsidRDefault="00DD2142" w:rsidP="006D2E3E">
      <w:pPr>
        <w:pStyle w:val="Paragraphtext"/>
        <w:numPr>
          <w:ilvl w:val="0"/>
          <w:numId w:val="8"/>
        </w:numPr>
        <w:ind w:left="1077" w:hanging="357"/>
      </w:pPr>
      <w:r>
        <w:t>i</w:t>
      </w:r>
      <w:r w:rsidR="000E0415" w:rsidRPr="004D7EB1">
        <w:t>nformed by research and evidence</w:t>
      </w:r>
    </w:p>
    <w:p w14:paraId="66E159D5" w14:textId="08877AF9" w:rsidR="00BC2B36" w:rsidRDefault="00BC2B36" w:rsidP="0069120C">
      <w:pPr>
        <w:pStyle w:val="Paragraphtext"/>
        <w:numPr>
          <w:ilvl w:val="0"/>
          <w:numId w:val="8"/>
        </w:numPr>
        <w:ind w:left="1077" w:hanging="357"/>
      </w:pPr>
      <w:r>
        <w:t>sustainably funded and embedded</w:t>
      </w:r>
    </w:p>
    <w:p w14:paraId="6EDD35AC" w14:textId="1B0E34FF" w:rsidR="003D6CEF" w:rsidRPr="004D7EB1" w:rsidRDefault="00DD2142" w:rsidP="001173BF">
      <w:pPr>
        <w:pStyle w:val="Paragraphtext"/>
        <w:numPr>
          <w:ilvl w:val="0"/>
          <w:numId w:val="8"/>
        </w:numPr>
        <w:ind w:left="1077" w:hanging="357"/>
      </w:pPr>
      <w:r>
        <w:t>t</w:t>
      </w:r>
      <w:r w:rsidR="000E0415" w:rsidRPr="004D7EB1">
        <w:t xml:space="preserve">argeted to advance </w:t>
      </w:r>
      <w:r w:rsidRPr="004D7EB1">
        <w:t>individual and population health and wellbeing</w:t>
      </w:r>
      <w:r w:rsidR="006D2E3E">
        <w:t>.</w:t>
      </w:r>
    </w:p>
    <w:p w14:paraId="2EE3AFC1" w14:textId="7F1FA88C" w:rsidR="000E0415" w:rsidRDefault="00DD2142" w:rsidP="0069120C">
      <w:pPr>
        <w:pStyle w:val="Paragraphtext"/>
        <w:numPr>
          <w:ilvl w:val="0"/>
          <w:numId w:val="9"/>
        </w:numPr>
        <w:ind w:left="436"/>
        <w:rPr>
          <w:b/>
          <w:bCs/>
        </w:rPr>
      </w:pPr>
      <w:r>
        <w:rPr>
          <w:b/>
          <w:bCs/>
        </w:rPr>
        <w:t>Prevention-focused</w:t>
      </w:r>
    </w:p>
    <w:p w14:paraId="7454DB28" w14:textId="4946C807" w:rsidR="00DD2142" w:rsidRDefault="000E0415" w:rsidP="00F87136">
      <w:pPr>
        <w:pStyle w:val="Paragraphtext"/>
        <w:ind w:left="436"/>
      </w:pPr>
      <w:r w:rsidRPr="004D7EB1">
        <w:t xml:space="preserve">Embedding clinical applications of genomics knowledge across Australia </w:t>
      </w:r>
      <w:r w:rsidR="00DD2142">
        <w:t xml:space="preserve">advance </w:t>
      </w:r>
      <w:r w:rsidR="00DD2142" w:rsidRPr="004D7EB1">
        <w:t>health and wellbeing outcomes</w:t>
      </w:r>
      <w:r w:rsidR="00DD2142">
        <w:t xml:space="preserve"> and long-term sustainability by supporting a shift in the </w:t>
      </w:r>
      <w:r w:rsidRPr="004D7EB1">
        <w:t>focus of health systems to</w:t>
      </w:r>
      <w:r w:rsidR="00DD2142">
        <w:t>:</w:t>
      </w:r>
    </w:p>
    <w:p w14:paraId="50E2F42E" w14:textId="168E49E5" w:rsidR="00DD2142" w:rsidRDefault="00B702AD" w:rsidP="0069120C">
      <w:pPr>
        <w:pStyle w:val="Paragraphtext"/>
        <w:numPr>
          <w:ilvl w:val="0"/>
          <w:numId w:val="8"/>
        </w:numPr>
        <w:ind w:left="1077" w:hanging="357"/>
      </w:pPr>
      <w:r>
        <w:t>prevention</w:t>
      </w:r>
    </w:p>
    <w:p w14:paraId="7C1A3F0F" w14:textId="70AC1C55" w:rsidR="00DD2142" w:rsidRDefault="000E0415" w:rsidP="0069120C">
      <w:pPr>
        <w:pStyle w:val="Paragraphtext"/>
        <w:numPr>
          <w:ilvl w:val="0"/>
          <w:numId w:val="8"/>
        </w:numPr>
        <w:ind w:left="1077" w:hanging="357"/>
      </w:pPr>
      <w:r w:rsidRPr="004D7EB1">
        <w:t>early intervention</w:t>
      </w:r>
    </w:p>
    <w:p w14:paraId="3BC2C3D6" w14:textId="0102DD3A" w:rsidR="009B600B" w:rsidRPr="006824B9" w:rsidRDefault="000E0415" w:rsidP="0069120C">
      <w:pPr>
        <w:pStyle w:val="Paragraphtext"/>
        <w:numPr>
          <w:ilvl w:val="0"/>
          <w:numId w:val="8"/>
        </w:numPr>
        <w:ind w:left="1077" w:hanging="357"/>
      </w:pPr>
      <w:r w:rsidRPr="004D7EB1">
        <w:t>effective and efficient precision medicine</w:t>
      </w:r>
      <w:r w:rsidR="00D1404D">
        <w:t>.</w:t>
      </w:r>
    </w:p>
    <w:p w14:paraId="67D6C896" w14:textId="77777777" w:rsidR="0028169C" w:rsidRDefault="0028169C">
      <w:pPr>
        <w:rPr>
          <w:rFonts w:ascii="Aptos" w:hAnsi="Aptos"/>
          <w:b/>
          <w:bCs/>
          <w:color w:val="000000" w:themeColor="text1"/>
          <w:sz w:val="24"/>
        </w:rPr>
      </w:pPr>
      <w:r>
        <w:rPr>
          <w:b/>
          <w:bCs/>
        </w:rPr>
        <w:br w:type="page"/>
      </w:r>
    </w:p>
    <w:p w14:paraId="5A4FED5A" w14:textId="457D0287" w:rsidR="009B600B" w:rsidRDefault="009B600B" w:rsidP="0069120C">
      <w:pPr>
        <w:pStyle w:val="Paragraphtext"/>
        <w:numPr>
          <w:ilvl w:val="0"/>
          <w:numId w:val="9"/>
        </w:numPr>
        <w:ind w:left="357" w:hanging="357"/>
        <w:rPr>
          <w:b/>
          <w:bCs/>
        </w:rPr>
      </w:pPr>
      <w:r>
        <w:rPr>
          <w:b/>
          <w:bCs/>
        </w:rPr>
        <w:lastRenderedPageBreak/>
        <w:t>Whole-of-system focused</w:t>
      </w:r>
    </w:p>
    <w:p w14:paraId="0A278685" w14:textId="0B4DE58F" w:rsidR="00560309" w:rsidRDefault="009B600B" w:rsidP="00F87136">
      <w:pPr>
        <w:pStyle w:val="Paragraphtext"/>
        <w:ind w:left="357"/>
      </w:pPr>
      <w:r>
        <w:t xml:space="preserve">Efforts to embed genomics consider and account for the ways </w:t>
      </w:r>
      <w:r w:rsidR="00560309">
        <w:t xml:space="preserve">in which individuals interact with </w:t>
      </w:r>
      <w:r>
        <w:t xml:space="preserve">different parts of the Australian health system. This includes </w:t>
      </w:r>
      <w:r w:rsidR="007C3A27">
        <w:t xml:space="preserve">coordination </w:t>
      </w:r>
      <w:r w:rsidR="00736348">
        <w:t>across</w:t>
      </w:r>
      <w:r>
        <w:t xml:space="preserve"> </w:t>
      </w:r>
      <w:bookmarkStart w:id="16" w:name="_Hlk198026016"/>
      <w:r>
        <w:t xml:space="preserve">public </w:t>
      </w:r>
      <w:bookmarkEnd w:id="16"/>
      <w:r>
        <w:t>and private health sectors</w:t>
      </w:r>
      <w:r w:rsidR="00736348">
        <w:t xml:space="preserve">, </w:t>
      </w:r>
      <w:r>
        <w:t>the research sector</w:t>
      </w:r>
      <w:r w:rsidR="007E54D7">
        <w:t>,</w:t>
      </w:r>
      <w:r w:rsidR="00736348">
        <w:t xml:space="preserve"> and state</w:t>
      </w:r>
      <w:r w:rsidR="007C3A27">
        <w:t xml:space="preserve"> and </w:t>
      </w:r>
      <w:r w:rsidR="00736348">
        <w:t>territory borders</w:t>
      </w:r>
      <w:r>
        <w:t xml:space="preserve"> with consideration of services, workforce, and infrastructure. Efforts should support development of </w:t>
      </w:r>
      <w:r w:rsidRPr="009B600B">
        <w:t>a</w:t>
      </w:r>
      <w:r w:rsidR="00DA7580">
        <w:t xml:space="preserve"> nationally</w:t>
      </w:r>
      <w:r w:rsidRPr="009B600B">
        <w:t xml:space="preserve"> unified</w:t>
      </w:r>
      <w:r w:rsidR="00DA7580">
        <w:t>, locally controlled</w:t>
      </w:r>
      <w:r w:rsidRPr="009B600B">
        <w:t xml:space="preserve"> health</w:t>
      </w:r>
      <w:r w:rsidR="004F0224">
        <w:t xml:space="preserve"> </w:t>
      </w:r>
      <w:r w:rsidRPr="009B600B">
        <w:t xml:space="preserve">system </w:t>
      </w:r>
      <w:r w:rsidR="00DA7580">
        <w:t xml:space="preserve">that </w:t>
      </w:r>
      <w:r w:rsidR="00DA7580" w:rsidRPr="00DA7580">
        <w:t>support</w:t>
      </w:r>
      <w:r w:rsidR="00DA7580">
        <w:t>s</w:t>
      </w:r>
      <w:r w:rsidR="00DA7580" w:rsidRPr="00DA7580">
        <w:t xml:space="preserve"> and encourage</w:t>
      </w:r>
      <w:r w:rsidR="00DA7580">
        <w:t>s</w:t>
      </w:r>
      <w:r w:rsidR="00DA7580" w:rsidRPr="00DA7580">
        <w:t xml:space="preserve"> integrated </w:t>
      </w:r>
      <w:bookmarkStart w:id="17" w:name="_Hlk198026026"/>
      <w:r w:rsidR="00DA7580" w:rsidRPr="00DA7580">
        <w:t>person-</w:t>
      </w:r>
      <w:r w:rsidR="00041116">
        <w:t xml:space="preserve"> and family-</w:t>
      </w:r>
      <w:r w:rsidR="00DA7580" w:rsidRPr="00DA7580">
        <w:t>centred care</w:t>
      </w:r>
      <w:bookmarkEnd w:id="17"/>
      <w:r>
        <w:t>.</w:t>
      </w:r>
    </w:p>
    <w:p w14:paraId="7A675EF0" w14:textId="08541101" w:rsidR="00F10D2F" w:rsidRPr="00560309" w:rsidRDefault="00D35E46" w:rsidP="00560309">
      <w:pPr>
        <w:pStyle w:val="Heading2"/>
      </w:pPr>
      <w:r>
        <w:br w:type="page"/>
      </w:r>
      <w:bookmarkStart w:id="18" w:name="_Toc197953798"/>
      <w:bookmarkStart w:id="19" w:name="_Toc198025685"/>
      <w:r w:rsidR="00F10D2F">
        <w:lastRenderedPageBreak/>
        <w:t>Enablers</w:t>
      </w:r>
      <w:r w:rsidR="00CA335A">
        <w:t xml:space="preserve"> of </w:t>
      </w:r>
      <w:r w:rsidR="00976B4B">
        <w:t>Success</w:t>
      </w:r>
      <w:bookmarkEnd w:id="18"/>
      <w:bookmarkEnd w:id="19"/>
    </w:p>
    <w:p w14:paraId="4F6275B4" w14:textId="11C9786E" w:rsidR="00CA335A" w:rsidRPr="00CA335A" w:rsidRDefault="00560309" w:rsidP="00CA335A">
      <w:pPr>
        <w:pStyle w:val="Paragraphtext"/>
      </w:pPr>
      <w:r>
        <w:t xml:space="preserve">Four </w:t>
      </w:r>
      <w:r w:rsidR="00CA335A">
        <w:t>key enablers have been identified</w:t>
      </w:r>
      <w:r w:rsidR="00EA7C4E">
        <w:t xml:space="preserve"> to support successful </w:t>
      </w:r>
      <w:r w:rsidR="00976B4B">
        <w:t xml:space="preserve">planning and </w:t>
      </w:r>
      <w:r w:rsidR="005C7612">
        <w:t xml:space="preserve">implementation </w:t>
      </w:r>
      <w:r w:rsidR="00976B4B">
        <w:t xml:space="preserve">of all </w:t>
      </w:r>
      <w:r w:rsidR="0057745F">
        <w:t xml:space="preserve">strategic </w:t>
      </w:r>
      <w:r w:rsidR="00976B4B">
        <w:t xml:space="preserve">priorities, outcomes and activities </w:t>
      </w:r>
      <w:r w:rsidR="00F52436">
        <w:t>of th</w:t>
      </w:r>
      <w:r w:rsidR="00976B4B">
        <w:t>is</w:t>
      </w:r>
      <w:r w:rsidR="00F52436">
        <w:t xml:space="preserve"> framework</w:t>
      </w:r>
      <w:r w:rsidR="00976B4B">
        <w:t xml:space="preserve"> and implementation plan</w:t>
      </w:r>
      <w:r w:rsidR="00EA7C4E">
        <w:t xml:space="preserve">, and the realisation of </w:t>
      </w:r>
      <w:r w:rsidR="00F52436">
        <w:t>its</w:t>
      </w:r>
      <w:r w:rsidR="00EA7C4E">
        <w:t xml:space="preserve"> vision and </w:t>
      </w:r>
      <w:r w:rsidR="00976B4B">
        <w:t>mission.</w:t>
      </w:r>
    </w:p>
    <w:p w14:paraId="6AB21D9D" w14:textId="4F76F704" w:rsidR="00F10D2F" w:rsidRPr="00DE1C75" w:rsidRDefault="00DE1C75" w:rsidP="0069120C">
      <w:pPr>
        <w:pStyle w:val="Paragraphtext"/>
        <w:numPr>
          <w:ilvl w:val="0"/>
          <w:numId w:val="12"/>
        </w:numPr>
        <w:rPr>
          <w:b/>
          <w:bCs/>
        </w:rPr>
      </w:pPr>
      <w:r>
        <w:rPr>
          <w:b/>
          <w:bCs/>
        </w:rPr>
        <w:t>C</w:t>
      </w:r>
      <w:r w:rsidR="00F10D2F" w:rsidRPr="00DE1C75">
        <w:rPr>
          <w:b/>
          <w:bCs/>
        </w:rPr>
        <w:t>ollaborative</w:t>
      </w:r>
      <w:r w:rsidR="00B5268A" w:rsidRPr="00DE1C75">
        <w:rPr>
          <w:b/>
          <w:bCs/>
        </w:rPr>
        <w:t xml:space="preserve"> and culturally appropriate</w:t>
      </w:r>
      <w:r w:rsidR="00F10D2F" w:rsidRPr="00DE1C75">
        <w:rPr>
          <w:b/>
          <w:bCs/>
        </w:rPr>
        <w:t xml:space="preserve"> governance, leadership, information-sharing and, where necessary, coordination across Australian governments</w:t>
      </w:r>
    </w:p>
    <w:p w14:paraId="2BA7EB09" w14:textId="791DC9AE" w:rsidR="00976B4B" w:rsidRDefault="00EA7C4E" w:rsidP="00AB1B96">
      <w:pPr>
        <w:pStyle w:val="Paragraphtext"/>
        <w:ind w:left="360"/>
      </w:pPr>
      <w:r>
        <w:t>Federal, state and territory</w:t>
      </w:r>
      <w:r w:rsidR="00DE1C75">
        <w:t xml:space="preserve"> </w:t>
      </w:r>
      <w:r>
        <w:t xml:space="preserve">government </w:t>
      </w:r>
      <w:r w:rsidR="00DE1C75">
        <w:t>leaders</w:t>
      </w:r>
      <w:r w:rsidR="00F52436">
        <w:t xml:space="preserve"> working</w:t>
      </w:r>
      <w:r>
        <w:t xml:space="preserve"> </w:t>
      </w:r>
      <w:r w:rsidR="00976B4B">
        <w:t xml:space="preserve">together and </w:t>
      </w:r>
      <w:r>
        <w:t>in</w:t>
      </w:r>
      <w:r w:rsidR="003A7202">
        <w:t xml:space="preserve"> partnership</w:t>
      </w:r>
      <w:r w:rsidR="00DE1C75">
        <w:t xml:space="preserve"> with Aboriginal and Torres Strait Islander leaders</w:t>
      </w:r>
      <w:r>
        <w:t xml:space="preserve"> is essential </w:t>
      </w:r>
      <w:r w:rsidR="00F52436">
        <w:t>to a</w:t>
      </w:r>
      <w:r>
        <w:t xml:space="preserve"> whole-of-governments and whole-of-system approach to equitably embedding genomics into the Australian health system.</w:t>
      </w:r>
    </w:p>
    <w:p w14:paraId="68CC2688" w14:textId="730A56BD" w:rsidR="00EA7C4E" w:rsidRDefault="00CC3486" w:rsidP="00AB1B96">
      <w:pPr>
        <w:pStyle w:val="Paragraphtext"/>
        <w:ind w:left="360"/>
      </w:pPr>
      <w:r>
        <w:t xml:space="preserve">This will involve fostering knowledge exchange, consideration of how the different parts of the Australian health system </w:t>
      </w:r>
      <w:r w:rsidR="00976B4B">
        <w:t>interact and</w:t>
      </w:r>
      <w:r>
        <w:t xml:space="preserve"> working together to support health and wellbeing outcomes for all Australians.</w:t>
      </w:r>
    </w:p>
    <w:p w14:paraId="2DCC78E5" w14:textId="3A739AC7" w:rsidR="000E0415" w:rsidRDefault="000E0415" w:rsidP="0069120C">
      <w:pPr>
        <w:pStyle w:val="Paragraphtext"/>
        <w:numPr>
          <w:ilvl w:val="0"/>
          <w:numId w:val="12"/>
        </w:numPr>
        <w:rPr>
          <w:b/>
          <w:bCs/>
        </w:rPr>
      </w:pPr>
      <w:r w:rsidRPr="005E17FD">
        <w:rPr>
          <w:b/>
          <w:bCs/>
        </w:rPr>
        <w:t>Flexibility</w:t>
      </w:r>
    </w:p>
    <w:p w14:paraId="77BE0E9A" w14:textId="1158138A" w:rsidR="00D36C9C" w:rsidRDefault="005E17FD" w:rsidP="00AB1B96">
      <w:pPr>
        <w:pStyle w:val="Paragraphtext"/>
        <w:ind w:left="360"/>
      </w:pPr>
      <w:r>
        <w:t>Effective implementation will require flexibility over time</w:t>
      </w:r>
      <w:r w:rsidR="00D36C9C">
        <w:t>.</w:t>
      </w:r>
      <w:r>
        <w:t xml:space="preserve"> </w:t>
      </w:r>
      <w:r w:rsidR="00976B4B">
        <w:t xml:space="preserve">This </w:t>
      </w:r>
      <w:r w:rsidR="0057745F">
        <w:t>is</w:t>
      </w:r>
      <w:r w:rsidR="00976B4B">
        <w:t xml:space="preserve"> </w:t>
      </w:r>
      <w:r w:rsidR="0057745F">
        <w:t>supported</w:t>
      </w:r>
      <w:r w:rsidR="00976B4B">
        <w:t xml:space="preserve"> through </w:t>
      </w:r>
      <w:r>
        <w:t xml:space="preserve">the </w:t>
      </w:r>
      <w:r w:rsidR="0057745F">
        <w:t xml:space="preserve">relative </w:t>
      </w:r>
      <w:r w:rsidR="00D36C9C">
        <w:t>prioritisation</w:t>
      </w:r>
      <w:r>
        <w:t xml:space="preserve"> of activities</w:t>
      </w:r>
      <w:r w:rsidR="00D36C9C">
        <w:t xml:space="preserve">, </w:t>
      </w:r>
      <w:r w:rsidR="0057745F">
        <w:t>and the establishment of appropriate governance structures and</w:t>
      </w:r>
      <w:r w:rsidR="00D36C9C">
        <w:t xml:space="preserve"> processes to</w:t>
      </w:r>
      <w:r w:rsidR="0057745F">
        <w:t xml:space="preserve"> allow</w:t>
      </w:r>
      <w:r w:rsidR="00D36C9C">
        <w:t xml:space="preserve"> adjust</w:t>
      </w:r>
      <w:r w:rsidR="0057745F">
        <w:t>ments</w:t>
      </w:r>
      <w:r w:rsidR="00D36C9C">
        <w:t xml:space="preserve"> during </w:t>
      </w:r>
      <w:r w:rsidR="0057745F">
        <w:t>the</w:t>
      </w:r>
      <w:r w:rsidR="00D36C9C">
        <w:t xml:space="preserve"> timespan in response to external developments.</w:t>
      </w:r>
    </w:p>
    <w:p w14:paraId="59D1ED73" w14:textId="77777777" w:rsidR="001536A2" w:rsidRPr="002D2A39" w:rsidRDefault="001536A2" w:rsidP="001536A2">
      <w:pPr>
        <w:pStyle w:val="Boxtype"/>
        <w:shd w:val="clear" w:color="auto" w:fill="92D050"/>
        <w:rPr>
          <w:i/>
          <w:iCs/>
          <w:lang w:val="en-AU"/>
        </w:rPr>
      </w:pPr>
      <w:r>
        <w:rPr>
          <w:i/>
          <w:iCs/>
        </w:rPr>
        <w:t xml:space="preserve">The timeframes, identification of the government responsible for coordination, and </w:t>
      </w:r>
      <w:proofErr w:type="spellStart"/>
      <w:r>
        <w:rPr>
          <w:i/>
          <w:iCs/>
        </w:rPr>
        <w:t>prioritisation</w:t>
      </w:r>
      <w:proofErr w:type="spellEnd"/>
      <w:r>
        <w:rPr>
          <w:i/>
          <w:iCs/>
        </w:rPr>
        <w:t xml:space="preserve"> of activities will be developed following public consultation.</w:t>
      </w:r>
    </w:p>
    <w:p w14:paraId="4E26F6C3" w14:textId="1E73DDA5" w:rsidR="00F10D2F" w:rsidRPr="00DE1C75" w:rsidRDefault="00734713" w:rsidP="0069120C">
      <w:pPr>
        <w:pStyle w:val="Paragraphtext"/>
        <w:numPr>
          <w:ilvl w:val="0"/>
          <w:numId w:val="12"/>
        </w:numPr>
        <w:rPr>
          <w:b/>
          <w:bCs/>
        </w:rPr>
      </w:pPr>
      <w:r>
        <w:rPr>
          <w:b/>
          <w:bCs/>
        </w:rPr>
        <w:t>Individual, community and s</w:t>
      </w:r>
      <w:r w:rsidR="00F10D2F" w:rsidRPr="00DE1C75">
        <w:rPr>
          <w:b/>
          <w:bCs/>
        </w:rPr>
        <w:t>takeholder engagement</w:t>
      </w:r>
      <w:r w:rsidR="00B5268A" w:rsidRPr="00DE1C75">
        <w:rPr>
          <w:b/>
          <w:bCs/>
        </w:rPr>
        <w:t xml:space="preserve"> and partnerships</w:t>
      </w:r>
    </w:p>
    <w:p w14:paraId="6597EF7B" w14:textId="3A125745" w:rsidR="00DF796B" w:rsidRDefault="00F52436" w:rsidP="00AB1B96">
      <w:pPr>
        <w:pStyle w:val="Paragraphtext"/>
        <w:ind w:left="360"/>
      </w:pPr>
      <w:r>
        <w:t xml:space="preserve">All efforts under the framework and implementation plan must involve active engagement of </w:t>
      </w:r>
      <w:r w:rsidR="003A7202">
        <w:t>individual</w:t>
      </w:r>
      <w:r>
        <w:t>s</w:t>
      </w:r>
      <w:r w:rsidR="003A7202">
        <w:t>, families, communities,</w:t>
      </w:r>
      <w:r w:rsidR="002E281A">
        <w:t xml:space="preserve"> and</w:t>
      </w:r>
      <w:r w:rsidR="003A7202">
        <w:t xml:space="preserve"> public and private health sectors</w:t>
      </w:r>
      <w:r w:rsidR="00150147">
        <w:t>.</w:t>
      </w:r>
      <w:r w:rsidR="00DF796B">
        <w:t xml:space="preserve"> </w:t>
      </w:r>
      <w:r w:rsidR="00150147">
        <w:t>This</w:t>
      </w:r>
      <w:r w:rsidR="002E281A">
        <w:t xml:space="preserve"> </w:t>
      </w:r>
      <w:r w:rsidR="00DF796B">
        <w:t>includ</w:t>
      </w:r>
      <w:r w:rsidR="00150147">
        <w:t>es</w:t>
      </w:r>
      <w:r w:rsidR="00DF796B">
        <w:t xml:space="preserve"> system managers, </w:t>
      </w:r>
      <w:hyperlink w:anchor="_Specialised_health_genomics" w:history="1">
        <w:r w:rsidR="00DF796B" w:rsidRPr="00A127F5">
          <w:rPr>
            <w:rStyle w:val="Hyperlink"/>
          </w:rPr>
          <w:t>clinicians and support staff working in specialised genomic</w:t>
        </w:r>
      </w:hyperlink>
      <w:r w:rsidR="00DF796B">
        <w:t xml:space="preserve"> and mainstream health care</w:t>
      </w:r>
      <w:r w:rsidR="003A7202">
        <w:t>,</w:t>
      </w:r>
      <w:r w:rsidR="00DF796B">
        <w:t xml:space="preserve"> advocacy groups,</w:t>
      </w:r>
      <w:r w:rsidR="003A7202">
        <w:t xml:space="preserve"> </w:t>
      </w:r>
      <w:r w:rsidR="008A3875">
        <w:t xml:space="preserve">and </w:t>
      </w:r>
      <w:r w:rsidR="005B1121">
        <w:t>industry</w:t>
      </w:r>
      <w:r w:rsidR="00150147">
        <w:t>. It also includes</w:t>
      </w:r>
      <w:r w:rsidR="005B1121">
        <w:t xml:space="preserve"> research</w:t>
      </w:r>
      <w:r w:rsidR="003A7202">
        <w:t>ers</w:t>
      </w:r>
      <w:r w:rsidR="005B1121">
        <w:t xml:space="preserve">, </w:t>
      </w:r>
      <w:r w:rsidR="00DE1C75">
        <w:t>universities</w:t>
      </w:r>
      <w:r w:rsidR="003A7202">
        <w:t xml:space="preserve"> and academics</w:t>
      </w:r>
      <w:r w:rsidR="00DE1C75">
        <w:t>, regulator</w:t>
      </w:r>
      <w:r>
        <w:t>s</w:t>
      </w:r>
      <w:r w:rsidR="00DE1C75">
        <w:t xml:space="preserve">, relevant networks, and </w:t>
      </w:r>
      <w:r>
        <w:t>other stakeholders</w:t>
      </w:r>
      <w:r w:rsidR="00DE1C75">
        <w:t>.</w:t>
      </w:r>
      <w:r>
        <w:t xml:space="preserve"> This will build trust, and ensure </w:t>
      </w:r>
      <w:r w:rsidR="00734713">
        <w:t xml:space="preserve">all </w:t>
      </w:r>
      <w:r>
        <w:t xml:space="preserve">activities are progressed in ways that </w:t>
      </w:r>
      <w:r w:rsidR="00734713">
        <w:t xml:space="preserve">are consistent with values and </w:t>
      </w:r>
      <w:r>
        <w:t>meet expectations and needs.</w:t>
      </w:r>
    </w:p>
    <w:p w14:paraId="47D571CD" w14:textId="21AC78FB" w:rsidR="00F10D2F" w:rsidRPr="00DE1C75" w:rsidRDefault="00DE1C75" w:rsidP="0069120C">
      <w:pPr>
        <w:pStyle w:val="Paragraphtext"/>
        <w:numPr>
          <w:ilvl w:val="0"/>
          <w:numId w:val="12"/>
        </w:numPr>
        <w:rPr>
          <w:b/>
          <w:bCs/>
        </w:rPr>
      </w:pPr>
      <w:r>
        <w:rPr>
          <w:b/>
          <w:bCs/>
        </w:rPr>
        <w:t>I</w:t>
      </w:r>
      <w:r w:rsidR="00F10D2F" w:rsidRPr="00DE1C75">
        <w:rPr>
          <w:b/>
          <w:bCs/>
        </w:rPr>
        <w:t xml:space="preserve">nternational </w:t>
      </w:r>
      <w:r w:rsidR="00CC3486">
        <w:rPr>
          <w:b/>
          <w:bCs/>
        </w:rPr>
        <w:t xml:space="preserve">engagement and </w:t>
      </w:r>
      <w:r w:rsidR="00F10D2F" w:rsidRPr="00DE1C75">
        <w:rPr>
          <w:b/>
          <w:bCs/>
        </w:rPr>
        <w:t>partnerships</w:t>
      </w:r>
    </w:p>
    <w:p w14:paraId="225F6771" w14:textId="561343C9" w:rsidR="00CC3486" w:rsidRDefault="000A714E" w:rsidP="00AB1B96">
      <w:pPr>
        <w:pStyle w:val="Paragraphtext"/>
        <w:ind w:left="360"/>
      </w:pPr>
      <w:r>
        <w:t>E</w:t>
      </w:r>
      <w:r w:rsidR="00EB4AE1">
        <w:t>ngagement and</w:t>
      </w:r>
      <w:r w:rsidR="00CC3486">
        <w:t xml:space="preserve"> partnerships</w:t>
      </w:r>
      <w:r w:rsidR="00EB4AE1">
        <w:t xml:space="preserve"> with overseas entities and genomics initiatives</w:t>
      </w:r>
      <w:r w:rsidR="00CC3486">
        <w:t xml:space="preserve"> </w:t>
      </w:r>
      <w:r>
        <w:t>may</w:t>
      </w:r>
      <w:r w:rsidR="001D1C70">
        <w:t xml:space="preserve"> </w:t>
      </w:r>
      <w:r w:rsidR="008A3875">
        <w:t>complement</w:t>
      </w:r>
      <w:r>
        <w:t xml:space="preserve"> </w:t>
      </w:r>
      <w:r w:rsidR="0057763C">
        <w:t xml:space="preserve">the integration of genomics into health care and </w:t>
      </w:r>
      <w:r w:rsidR="001D1C70">
        <w:t xml:space="preserve">accelerate the </w:t>
      </w:r>
      <w:r w:rsidR="0057763C">
        <w:t>pace of research</w:t>
      </w:r>
      <w:r w:rsidR="008A3875">
        <w:t xml:space="preserve"> in Australia</w:t>
      </w:r>
      <w:r w:rsidR="001D1C70">
        <w:t>.</w:t>
      </w:r>
    </w:p>
    <w:p w14:paraId="77FC6BAF" w14:textId="77777777" w:rsidR="006C6092" w:rsidRDefault="006C6092">
      <w:pPr>
        <w:rPr>
          <w:rFonts w:ascii="Aptos" w:hAnsi="Aptos" w:cs="Arial"/>
          <w:bCs/>
          <w:iCs/>
          <w:color w:val="358189"/>
          <w:sz w:val="32"/>
          <w:szCs w:val="28"/>
        </w:rPr>
      </w:pPr>
      <w:r>
        <w:br w:type="page"/>
      </w:r>
    </w:p>
    <w:p w14:paraId="302DAB17" w14:textId="4F4CB2C7" w:rsidR="00742EA3" w:rsidRDefault="00150270" w:rsidP="003B0E44">
      <w:pPr>
        <w:pStyle w:val="Heading2"/>
      </w:pPr>
      <w:bookmarkStart w:id="20" w:name="_Toc197953799"/>
      <w:bookmarkStart w:id="21" w:name="_Toc198025686"/>
      <w:r>
        <w:lastRenderedPageBreak/>
        <w:t>Governance</w:t>
      </w:r>
      <w:r w:rsidR="00962FDC">
        <w:t xml:space="preserve">, </w:t>
      </w:r>
      <w:r>
        <w:t>Accountability</w:t>
      </w:r>
      <w:r w:rsidR="00962FDC">
        <w:t>, Monitoring and Evaluation</w:t>
      </w:r>
      <w:bookmarkEnd w:id="20"/>
      <w:bookmarkEnd w:id="21"/>
    </w:p>
    <w:p w14:paraId="27128A71" w14:textId="1A495854" w:rsidR="00BA66DB" w:rsidRDefault="00BA66DB" w:rsidP="00BA66DB">
      <w:pPr>
        <w:pStyle w:val="Paragraphtext"/>
      </w:pPr>
      <w:r w:rsidRPr="00BA66DB">
        <w:t xml:space="preserve">Effective governance </w:t>
      </w:r>
      <w:r w:rsidR="00603B84">
        <w:t>and accountability arrangements are</w:t>
      </w:r>
      <w:r w:rsidRPr="00BA66DB">
        <w:t xml:space="preserve"> essential for driving coordinat</w:t>
      </w:r>
      <w:r w:rsidR="00603B84">
        <w:t>ed</w:t>
      </w:r>
      <w:r w:rsidRPr="00BA66DB">
        <w:t xml:space="preserve"> implementation of </w:t>
      </w:r>
      <w:r w:rsidR="00541AB7">
        <w:t>this</w:t>
      </w:r>
      <w:r w:rsidRPr="00BA66DB">
        <w:t xml:space="preserve"> </w:t>
      </w:r>
      <w:r>
        <w:t>framework</w:t>
      </w:r>
      <w:r w:rsidR="00734713">
        <w:t xml:space="preserve"> and implementation plan</w:t>
      </w:r>
      <w:r>
        <w:t xml:space="preserve"> and supporting flexibility over time.</w:t>
      </w:r>
    </w:p>
    <w:p w14:paraId="73655735" w14:textId="3C1C6032" w:rsidR="0073291C" w:rsidRDefault="0073291C" w:rsidP="0073291C">
      <w:pPr>
        <w:pStyle w:val="Paragraphtext"/>
      </w:pPr>
      <w:r>
        <w:t>The</w:t>
      </w:r>
      <w:r w:rsidRPr="00BA66DB">
        <w:t xml:space="preserve"> </w:t>
      </w:r>
      <w:r w:rsidRPr="008B706A">
        <w:t>Health Chief Executive</w:t>
      </w:r>
      <w:r>
        <w:t>s</w:t>
      </w:r>
      <w:r w:rsidRPr="008B706A">
        <w:t xml:space="preserve"> Forum (HCEF) </w:t>
      </w:r>
      <w:r>
        <w:t xml:space="preserve">is responsible for governance of </w:t>
      </w:r>
      <w:r w:rsidR="00541AB7">
        <w:t>this</w:t>
      </w:r>
      <w:r>
        <w:t xml:space="preserve"> framework</w:t>
      </w:r>
      <w:r w:rsidR="00734713">
        <w:t xml:space="preserve"> and implementation plan</w:t>
      </w:r>
      <w:r w:rsidR="00EA2C32">
        <w:t xml:space="preserve"> and will have overall </w:t>
      </w:r>
      <w:r w:rsidR="000F456F">
        <w:t>accountability</w:t>
      </w:r>
      <w:r w:rsidR="00EA2C32">
        <w:t xml:space="preserve"> for the success of its implementation</w:t>
      </w:r>
      <w:r>
        <w:t>. It will be assisted by supporting committees and subgroups it determines as necessary.</w:t>
      </w:r>
    </w:p>
    <w:p w14:paraId="3E46A941" w14:textId="27A32067" w:rsidR="00603B84" w:rsidRPr="00BB68BA" w:rsidRDefault="00EA2C32" w:rsidP="003C44E8">
      <w:pPr>
        <w:pStyle w:val="Paragraphtext"/>
        <w:rPr>
          <w:color w:val="auto"/>
        </w:rPr>
      </w:pPr>
      <w:bookmarkStart w:id="22" w:name="_Hlk195541517"/>
      <w:r w:rsidRPr="00BB68BA">
        <w:rPr>
          <w:color w:val="auto"/>
        </w:rPr>
        <w:t xml:space="preserve">It will </w:t>
      </w:r>
      <w:r w:rsidR="00541AB7" w:rsidRPr="00BB68BA">
        <w:rPr>
          <w:color w:val="auto"/>
        </w:rPr>
        <w:t>collaborate</w:t>
      </w:r>
      <w:r w:rsidR="003C44E8" w:rsidRPr="00BB68BA">
        <w:rPr>
          <w:color w:val="auto"/>
        </w:rPr>
        <w:t xml:space="preserve"> with the Australian Alliance for Indigenous Genomics (ALIGN) network and </w:t>
      </w:r>
      <w:r w:rsidR="002617BC">
        <w:rPr>
          <w:color w:val="auto"/>
        </w:rPr>
        <w:t>other peak bodies that represent Aboriginal and Torres Strait Islander people</w:t>
      </w:r>
      <w:r w:rsidR="003C44E8" w:rsidRPr="00BB68BA">
        <w:rPr>
          <w:color w:val="auto"/>
        </w:rPr>
        <w:t>.</w:t>
      </w:r>
      <w:bookmarkEnd w:id="22"/>
    </w:p>
    <w:p w14:paraId="44AB8D69" w14:textId="5380331A" w:rsidR="00962FDC" w:rsidRDefault="00603B84" w:rsidP="00962FDC">
      <w:pPr>
        <w:pStyle w:val="Paragraphtext"/>
      </w:pPr>
      <w:bookmarkStart w:id="23" w:name="_Hlk195263642"/>
      <w:r>
        <w:t xml:space="preserve">It </w:t>
      </w:r>
      <w:r w:rsidR="00962FDC">
        <w:t xml:space="preserve">is intended </w:t>
      </w:r>
      <w:r w:rsidR="00EA2C32">
        <w:t>HCEF will prepare and publish an annual report</w:t>
      </w:r>
      <w:r>
        <w:t xml:space="preserve"> on progress and </w:t>
      </w:r>
      <w:r w:rsidR="00962FDC">
        <w:t xml:space="preserve">challenges. The annual report will </w:t>
      </w:r>
      <w:r>
        <w:t xml:space="preserve">recommend </w:t>
      </w:r>
      <w:r w:rsidR="00962FDC">
        <w:t xml:space="preserve">amendments and updates to </w:t>
      </w:r>
      <w:r w:rsidR="004F193C">
        <w:t>this</w:t>
      </w:r>
      <w:r w:rsidR="00962FDC">
        <w:t xml:space="preserve"> framework and implementation plan during its </w:t>
      </w:r>
      <w:r w:rsidR="00EA2C32">
        <w:t>five-year</w:t>
      </w:r>
      <w:r w:rsidR="0057745F">
        <w:t xml:space="preserve"> timeframe</w:t>
      </w:r>
      <w:r w:rsidR="00962FDC">
        <w:t>, as required.</w:t>
      </w:r>
    </w:p>
    <w:p w14:paraId="74DD51CB" w14:textId="70ACDA78" w:rsidR="00930899" w:rsidRPr="00F87136" w:rsidRDefault="00962FDC" w:rsidP="00962FDC">
      <w:pPr>
        <w:pStyle w:val="Paragraphtext"/>
      </w:pPr>
      <w:r w:rsidRPr="00F87136">
        <w:t xml:space="preserve">A monitoring and evaluation plan </w:t>
      </w:r>
      <w:r w:rsidRPr="008A3875">
        <w:t>has</w:t>
      </w:r>
      <w:r w:rsidRPr="00F87136">
        <w:t xml:space="preserve"> be</w:t>
      </w:r>
      <w:r w:rsidRPr="008A3875">
        <w:t>en</w:t>
      </w:r>
      <w:r w:rsidRPr="00F87136">
        <w:t xml:space="preserve"> developed </w:t>
      </w:r>
      <w:r w:rsidRPr="008A3875">
        <w:t>to support this process</w:t>
      </w:r>
      <w:r w:rsidRPr="00F87136">
        <w:t xml:space="preserve">. It </w:t>
      </w:r>
      <w:r w:rsidRPr="008A3875">
        <w:t>commits Australian governments to</w:t>
      </w:r>
      <w:r w:rsidRPr="00F87136">
        <w:t xml:space="preserve"> </w:t>
      </w:r>
      <w:r w:rsidRPr="008A3875">
        <w:t xml:space="preserve">share information to formally monitor </w:t>
      </w:r>
      <w:r w:rsidRPr="00F87136">
        <w:t>progress and achievement of identified outcomes</w:t>
      </w:r>
      <w:r w:rsidRPr="008A3875">
        <w:t xml:space="preserve">. It is intended to support independent evaluation throughout </w:t>
      </w:r>
      <w:r w:rsidR="004F193C" w:rsidRPr="008A3875">
        <w:t>this</w:t>
      </w:r>
      <w:r w:rsidRPr="008A3875">
        <w:t xml:space="preserve"> framework and implementation plan’s </w:t>
      </w:r>
      <w:r w:rsidR="00930899" w:rsidRPr="008A3875">
        <w:t>five-year</w:t>
      </w:r>
      <w:r w:rsidR="0057745F" w:rsidRPr="008A3875">
        <w:t xml:space="preserve"> timeframe</w:t>
      </w:r>
      <w:r w:rsidRPr="008A3875">
        <w:t>. This independent evaluation will commence as soon as practicable</w:t>
      </w:r>
      <w:r w:rsidR="00F9422F" w:rsidRPr="008A3875">
        <w:t xml:space="preserve"> following publication of this framework and implementation plan</w:t>
      </w:r>
      <w:r w:rsidR="00930899" w:rsidRPr="008A3875">
        <w:t xml:space="preserve"> </w:t>
      </w:r>
      <w:r w:rsidR="004F193C" w:rsidRPr="008A3875">
        <w:t xml:space="preserve">and </w:t>
      </w:r>
      <w:r w:rsidR="00CB1F57">
        <w:t xml:space="preserve">will </w:t>
      </w:r>
      <w:r w:rsidR="00930899" w:rsidRPr="008A3875">
        <w:t>be managed by Genomics Australia.</w:t>
      </w:r>
    </w:p>
    <w:p w14:paraId="0F320B12" w14:textId="62BA1950" w:rsidR="00603B84" w:rsidRDefault="006821FB" w:rsidP="00BA66DB">
      <w:pPr>
        <w:pStyle w:val="Paragraphtext"/>
      </w:pPr>
      <w:r>
        <w:t>All</w:t>
      </w:r>
      <w:r w:rsidR="00603B84" w:rsidRPr="00F87136">
        <w:t xml:space="preserve"> activit</w:t>
      </w:r>
      <w:r w:rsidR="00603B84" w:rsidRPr="005C26A5">
        <w:t>ies will require coordination across Australian governments and in consultation and partnership with relevant non-government stakeholders.</w:t>
      </w:r>
    </w:p>
    <w:p w14:paraId="304120EF" w14:textId="3386D96B" w:rsidR="00F9422F" w:rsidRDefault="00BA66DB" w:rsidP="008531E5">
      <w:pPr>
        <w:pStyle w:val="Paragraphtext"/>
      </w:pPr>
      <w:r>
        <w:t>These governance</w:t>
      </w:r>
      <w:r w:rsidR="00603B84">
        <w:t xml:space="preserve"> and accountability</w:t>
      </w:r>
      <w:r>
        <w:t xml:space="preserve"> arrangements </w:t>
      </w:r>
      <w:r w:rsidRPr="008B706A">
        <w:t>will ensure implementation</w:t>
      </w:r>
      <w:r>
        <w:t xml:space="preserve"> is monitored and</w:t>
      </w:r>
      <w:r w:rsidRPr="008B706A">
        <w:t xml:space="preserve"> stays on track by providing clear pathways for reporting, approval, and escalation and resolution of identified issues.</w:t>
      </w:r>
      <w:r w:rsidR="00F9422F">
        <w:br w:type="page"/>
      </w:r>
    </w:p>
    <w:p w14:paraId="4833A896" w14:textId="05CDA22D" w:rsidR="00973797" w:rsidRDefault="002C7597" w:rsidP="00151E3D">
      <w:pPr>
        <w:pStyle w:val="Heading1"/>
      </w:pPr>
      <w:bookmarkStart w:id="24" w:name="_Toc198025687"/>
      <w:bookmarkEnd w:id="23"/>
      <w:r w:rsidRPr="00257FF7">
        <w:lastRenderedPageBreak/>
        <w:t xml:space="preserve">Strategic </w:t>
      </w:r>
      <w:r w:rsidR="00947D84">
        <w:t>P</w:t>
      </w:r>
      <w:r w:rsidRPr="00257FF7">
        <w:t>riorities</w:t>
      </w:r>
      <w:bookmarkEnd w:id="24"/>
    </w:p>
    <w:p w14:paraId="2A9FC9BC" w14:textId="0749A9E1" w:rsidR="009D7E66" w:rsidRDefault="008A3875" w:rsidP="004B7492">
      <w:pPr>
        <w:spacing w:after="240"/>
        <w:rPr>
          <w:rFonts w:ascii="Aptos" w:hAnsi="Aptos"/>
          <w:sz w:val="24"/>
        </w:rPr>
      </w:pPr>
      <w:r>
        <w:rPr>
          <w:rFonts w:ascii="Aptos" w:hAnsi="Aptos"/>
          <w:sz w:val="24"/>
        </w:rPr>
        <w:t xml:space="preserve">This </w:t>
      </w:r>
      <w:r w:rsidR="004B7492">
        <w:rPr>
          <w:rFonts w:ascii="Aptos" w:hAnsi="Aptos"/>
          <w:sz w:val="24"/>
        </w:rPr>
        <w:t>f</w:t>
      </w:r>
      <w:r w:rsidR="00351E16">
        <w:rPr>
          <w:rFonts w:ascii="Aptos" w:hAnsi="Aptos"/>
          <w:sz w:val="24"/>
        </w:rPr>
        <w:t>ramework</w:t>
      </w:r>
      <w:r>
        <w:rPr>
          <w:rFonts w:ascii="Aptos" w:hAnsi="Aptos"/>
          <w:sz w:val="24"/>
        </w:rPr>
        <w:t xml:space="preserve"> and implementation plan</w:t>
      </w:r>
      <w:r w:rsidR="00351E16">
        <w:rPr>
          <w:rFonts w:ascii="Aptos" w:hAnsi="Aptos"/>
          <w:sz w:val="24"/>
        </w:rPr>
        <w:t xml:space="preserve"> outlines </w:t>
      </w:r>
      <w:r w:rsidR="00AE1ADA">
        <w:rPr>
          <w:rFonts w:ascii="Aptos" w:hAnsi="Aptos"/>
          <w:sz w:val="24"/>
        </w:rPr>
        <w:t xml:space="preserve">four </w:t>
      </w:r>
      <w:r w:rsidR="00351E16">
        <w:rPr>
          <w:rFonts w:ascii="Aptos" w:hAnsi="Aptos"/>
          <w:sz w:val="24"/>
        </w:rPr>
        <w:t>strategic priorit</w:t>
      </w:r>
      <w:r w:rsidR="009D7E66">
        <w:rPr>
          <w:rFonts w:ascii="Aptos" w:hAnsi="Aptos"/>
          <w:sz w:val="24"/>
        </w:rPr>
        <w:t xml:space="preserve">ies. The strategic priorities </w:t>
      </w:r>
      <w:r w:rsidR="009D7E66">
        <w:rPr>
          <w:rFonts w:ascii="Aptos" w:eastAsia="Arial" w:hAnsi="Aptos"/>
          <w:kern w:val="2"/>
          <w:sz w:val="24"/>
        </w:rPr>
        <w:t>h</w:t>
      </w:r>
      <w:r w:rsidR="004B7492" w:rsidRPr="004B7492">
        <w:rPr>
          <w:rFonts w:ascii="Aptos" w:eastAsia="Arial" w:hAnsi="Aptos"/>
          <w:kern w:val="2"/>
          <w:sz w:val="24"/>
        </w:rPr>
        <w:t xml:space="preserve">ighlight key areas </w:t>
      </w:r>
      <w:r w:rsidR="009D7E66">
        <w:rPr>
          <w:rFonts w:ascii="Aptos" w:eastAsia="Arial" w:hAnsi="Aptos"/>
          <w:kern w:val="2"/>
          <w:sz w:val="24"/>
        </w:rPr>
        <w:t xml:space="preserve">of focus for Australian </w:t>
      </w:r>
      <w:r w:rsidR="00FE740F">
        <w:rPr>
          <w:rFonts w:ascii="Aptos" w:eastAsia="Arial" w:hAnsi="Aptos"/>
          <w:kern w:val="2"/>
          <w:sz w:val="24"/>
        </w:rPr>
        <w:t>governments and</w:t>
      </w:r>
      <w:r w:rsidR="009D7E66">
        <w:rPr>
          <w:rFonts w:ascii="Aptos" w:eastAsia="Arial" w:hAnsi="Aptos"/>
          <w:kern w:val="2"/>
          <w:sz w:val="24"/>
        </w:rPr>
        <w:t xml:space="preserve"> were developed to address</w:t>
      </w:r>
      <w:r w:rsidR="004B7492" w:rsidRPr="004B7492">
        <w:rPr>
          <w:rFonts w:ascii="Aptos" w:eastAsia="Arial" w:hAnsi="Aptos"/>
          <w:kern w:val="2"/>
          <w:sz w:val="24"/>
        </w:rPr>
        <w:t xml:space="preserve"> </w:t>
      </w:r>
      <w:r w:rsidR="009D7E66">
        <w:rPr>
          <w:rFonts w:ascii="Aptos" w:eastAsia="Arial" w:hAnsi="Aptos"/>
          <w:kern w:val="2"/>
          <w:sz w:val="24"/>
        </w:rPr>
        <w:t xml:space="preserve">identified </w:t>
      </w:r>
      <w:r w:rsidR="004B7492" w:rsidRPr="004B7492">
        <w:rPr>
          <w:rFonts w:ascii="Aptos" w:eastAsia="Arial" w:hAnsi="Aptos"/>
          <w:kern w:val="2"/>
          <w:sz w:val="24"/>
        </w:rPr>
        <w:t>opportunities and challenges</w:t>
      </w:r>
      <w:r w:rsidR="004B7492">
        <w:rPr>
          <w:rFonts w:ascii="Aptos" w:eastAsia="Arial" w:hAnsi="Aptos"/>
          <w:kern w:val="2"/>
          <w:sz w:val="24"/>
        </w:rPr>
        <w:t>.</w:t>
      </w:r>
    </w:p>
    <w:p w14:paraId="349A8564" w14:textId="1000F088" w:rsidR="00351E16" w:rsidRDefault="00351E16" w:rsidP="00351E16">
      <w:pPr>
        <w:spacing w:after="240"/>
        <w:rPr>
          <w:rFonts w:ascii="Aptos" w:hAnsi="Aptos"/>
          <w:b/>
          <w:bCs/>
          <w:sz w:val="24"/>
        </w:rPr>
      </w:pPr>
      <w:hyperlink w:anchor="_Strategic_Priority_1" w:history="1">
        <w:r w:rsidRPr="001536A2">
          <w:rPr>
            <w:rStyle w:val="Hyperlink"/>
            <w:b/>
            <w:bCs/>
            <w:sz w:val="24"/>
          </w:rPr>
          <w:t xml:space="preserve">Strategic Priority 1 </w:t>
        </w:r>
        <w:r w:rsidR="007340B3" w:rsidRPr="001536A2">
          <w:rPr>
            <w:rStyle w:val="Hyperlink"/>
            <w:b/>
            <w:bCs/>
            <w:sz w:val="24"/>
          </w:rPr>
          <w:t>—</w:t>
        </w:r>
        <w:r w:rsidRPr="001536A2">
          <w:rPr>
            <w:rStyle w:val="Hyperlink"/>
            <w:b/>
            <w:bCs/>
            <w:sz w:val="24"/>
          </w:rPr>
          <w:t xml:space="preserve"> Person</w:t>
        </w:r>
        <w:r w:rsidR="00A74DA2" w:rsidRPr="001536A2">
          <w:rPr>
            <w:rStyle w:val="Hyperlink"/>
            <w:b/>
            <w:bCs/>
            <w:sz w:val="24"/>
          </w:rPr>
          <w:t>-</w:t>
        </w:r>
        <w:r w:rsidRPr="001536A2">
          <w:rPr>
            <w:rStyle w:val="Hyperlink"/>
            <w:b/>
            <w:bCs/>
            <w:sz w:val="24"/>
          </w:rPr>
          <w:t>, Family</w:t>
        </w:r>
        <w:r w:rsidR="00A74DA2" w:rsidRPr="001536A2">
          <w:rPr>
            <w:rStyle w:val="Hyperlink"/>
            <w:b/>
            <w:bCs/>
            <w:sz w:val="24"/>
          </w:rPr>
          <w:t>-</w:t>
        </w:r>
        <w:r w:rsidRPr="001536A2">
          <w:rPr>
            <w:rStyle w:val="Hyperlink"/>
            <w:b/>
            <w:bCs/>
            <w:sz w:val="24"/>
          </w:rPr>
          <w:t xml:space="preserve"> and Community-Centred Approach</w:t>
        </w:r>
      </w:hyperlink>
    </w:p>
    <w:p w14:paraId="1E24B94E" w14:textId="668AD68E" w:rsidR="00C73F2B" w:rsidRDefault="00C73F2B" w:rsidP="00F328DF">
      <w:pPr>
        <w:pStyle w:val="ListNumber2"/>
      </w:pPr>
      <w:r>
        <w:t>Ensure people, their families and communities are central</w:t>
      </w:r>
      <w:r w:rsidR="00576E1E">
        <w:t xml:space="preserve"> to,</w:t>
      </w:r>
      <w:r>
        <w:t xml:space="preserve"> involved in </w:t>
      </w:r>
      <w:r w:rsidR="00576E1E">
        <w:t>and benefit from</w:t>
      </w:r>
      <w:r w:rsidR="000E4DB6">
        <w:t xml:space="preserve"> </w:t>
      </w:r>
      <w:r>
        <w:t>genomics-informed health care</w:t>
      </w:r>
      <w:r w:rsidR="009D7E66">
        <w:t xml:space="preserve"> and research</w:t>
      </w:r>
    </w:p>
    <w:p w14:paraId="1B0EC464" w14:textId="7755F9F2" w:rsidR="00C73F2B" w:rsidRDefault="00C73F2B" w:rsidP="00F328DF">
      <w:pPr>
        <w:pStyle w:val="ListNumber2"/>
      </w:pPr>
      <w:r>
        <w:t>Increase equity of access to genomics-informed health care</w:t>
      </w:r>
      <w:r w:rsidR="009D7E66">
        <w:t xml:space="preserve"> and research</w:t>
      </w:r>
      <w:r>
        <w:t>, particularly for priority populations and those who are currently underserved</w:t>
      </w:r>
    </w:p>
    <w:p w14:paraId="7E5934D1" w14:textId="2827AD27" w:rsidR="006C5FB3" w:rsidRDefault="00D61209" w:rsidP="00F87136">
      <w:pPr>
        <w:pStyle w:val="ListNumber2"/>
        <w:spacing w:after="240"/>
        <w:ind w:left="357" w:hanging="357"/>
      </w:pPr>
      <w:r>
        <w:t>S</w:t>
      </w:r>
      <w:r w:rsidR="00C73F2B">
        <w:t xml:space="preserve">trengthen </w:t>
      </w:r>
      <w:r w:rsidR="009D7E66">
        <w:t xml:space="preserve">the </w:t>
      </w:r>
      <w:r w:rsidR="00C73F2B">
        <w:t xml:space="preserve">genomics knowledge </w:t>
      </w:r>
      <w:r w:rsidR="009D7E66">
        <w:t xml:space="preserve">of the public, </w:t>
      </w:r>
      <w:r w:rsidR="00C73F2B">
        <w:t>to</w:t>
      </w:r>
      <w:r w:rsidR="000E4DB6">
        <w:t xml:space="preserve"> support </w:t>
      </w:r>
      <w:r w:rsidR="00C73F2B">
        <w:t>informed decision</w:t>
      </w:r>
      <w:r w:rsidR="009D7E66">
        <w:t>-making</w:t>
      </w:r>
      <w:r w:rsidR="00C73F2B">
        <w:t xml:space="preserve"> about genomics-informed health care</w:t>
      </w:r>
      <w:r w:rsidR="009D7E66">
        <w:t xml:space="preserve"> and research</w:t>
      </w:r>
      <w:r w:rsidR="00C73F2B">
        <w:t>.</w:t>
      </w:r>
    </w:p>
    <w:p w14:paraId="0346BE98" w14:textId="05731810" w:rsidR="000E4DB6" w:rsidRDefault="000E4DB6" w:rsidP="000E4DB6">
      <w:pPr>
        <w:spacing w:after="240"/>
        <w:rPr>
          <w:rFonts w:ascii="Aptos" w:hAnsi="Aptos"/>
          <w:b/>
          <w:bCs/>
          <w:sz w:val="24"/>
        </w:rPr>
      </w:pPr>
      <w:hyperlink w:anchor="_Strategic_Priority_2" w:history="1">
        <w:r w:rsidRPr="001536A2">
          <w:rPr>
            <w:rStyle w:val="Hyperlink"/>
            <w:b/>
            <w:bCs/>
            <w:sz w:val="24"/>
          </w:rPr>
          <w:t xml:space="preserve">Strategic Priority 2 </w:t>
        </w:r>
        <w:r w:rsidR="007340B3" w:rsidRPr="001536A2">
          <w:rPr>
            <w:rStyle w:val="Hyperlink"/>
            <w:b/>
            <w:bCs/>
            <w:sz w:val="24"/>
          </w:rPr>
          <w:t>—</w:t>
        </w:r>
        <w:r w:rsidRPr="001536A2">
          <w:rPr>
            <w:rStyle w:val="Hyperlink"/>
            <w:b/>
            <w:bCs/>
            <w:sz w:val="24"/>
          </w:rPr>
          <w:t xml:space="preserve"> </w:t>
        </w:r>
        <w:r w:rsidR="00C947A9" w:rsidRPr="001536A2">
          <w:rPr>
            <w:rStyle w:val="Hyperlink"/>
            <w:b/>
            <w:bCs/>
            <w:sz w:val="24"/>
          </w:rPr>
          <w:t>Dynamic and Sustainable Genomics Ecosystem</w:t>
        </w:r>
      </w:hyperlink>
    </w:p>
    <w:p w14:paraId="663A3839" w14:textId="3862BC7D" w:rsidR="00C947A9" w:rsidRDefault="008B4E43" w:rsidP="00F328DF">
      <w:pPr>
        <w:pStyle w:val="ListNumber2"/>
      </w:pPr>
      <w:r>
        <w:t>Improve</w:t>
      </w:r>
      <w:r w:rsidR="009D7E66">
        <w:t xml:space="preserve"> </w:t>
      </w:r>
      <w:r>
        <w:t>u</w:t>
      </w:r>
      <w:r w:rsidR="00576E1E">
        <w:t>nderstand</w:t>
      </w:r>
      <w:r>
        <w:t xml:space="preserve">ing of </w:t>
      </w:r>
      <w:r w:rsidR="00576E1E">
        <w:t>the genomics</w:t>
      </w:r>
      <w:r w:rsidR="00C947A9">
        <w:t xml:space="preserve"> landscape and patient journey</w:t>
      </w:r>
      <w:r>
        <w:t>s across health care and research nationally, to support development</w:t>
      </w:r>
      <w:r w:rsidR="00576E1E">
        <w:t xml:space="preserve"> </w:t>
      </w:r>
      <w:r>
        <w:t>of the genomics ecosystem</w:t>
      </w:r>
    </w:p>
    <w:p w14:paraId="665DC66D" w14:textId="3EE5DFC0" w:rsidR="00C947A9" w:rsidRDefault="00576E1E" w:rsidP="00F328DF">
      <w:pPr>
        <w:pStyle w:val="ListNumber2"/>
      </w:pPr>
      <w:r>
        <w:t xml:space="preserve">Support the </w:t>
      </w:r>
      <w:r w:rsidR="008B4E43">
        <w:t xml:space="preserve">specialised </w:t>
      </w:r>
      <w:r>
        <w:t>genomic and m</w:t>
      </w:r>
      <w:r w:rsidR="00C947A9">
        <w:t>ainstream</w:t>
      </w:r>
      <w:r>
        <w:t xml:space="preserve"> health</w:t>
      </w:r>
      <w:r w:rsidR="00C947A9">
        <w:t xml:space="preserve"> workforce</w:t>
      </w:r>
      <w:r>
        <w:t xml:space="preserve"> to deliver </w:t>
      </w:r>
      <w:r w:rsidR="008B4E43">
        <w:t xml:space="preserve">high-quality, </w:t>
      </w:r>
      <w:r>
        <w:t>appropriate genomics-informed health care</w:t>
      </w:r>
    </w:p>
    <w:p w14:paraId="62C6C525" w14:textId="152A8BC2" w:rsidR="006C5FB3" w:rsidRDefault="0009308E" w:rsidP="00F87136">
      <w:pPr>
        <w:pStyle w:val="ListNumber2"/>
        <w:spacing w:after="240"/>
        <w:ind w:left="357" w:hanging="357"/>
      </w:pPr>
      <w:r>
        <w:t>Support efficient and effective genomics r</w:t>
      </w:r>
      <w:r w:rsidR="00C947A9">
        <w:t>esearch innovation and translation</w:t>
      </w:r>
      <w:r>
        <w:t>.</w:t>
      </w:r>
    </w:p>
    <w:p w14:paraId="19F6F652" w14:textId="24363C1B" w:rsidR="00C947A9" w:rsidRDefault="00C947A9" w:rsidP="00C947A9">
      <w:pPr>
        <w:spacing w:after="240"/>
        <w:rPr>
          <w:rFonts w:ascii="Aptos" w:hAnsi="Aptos"/>
          <w:b/>
          <w:bCs/>
          <w:sz w:val="24"/>
        </w:rPr>
      </w:pPr>
      <w:hyperlink w:anchor="_Strategic_Priority_3" w:history="1">
        <w:r w:rsidRPr="001536A2">
          <w:rPr>
            <w:rStyle w:val="Hyperlink"/>
            <w:b/>
            <w:bCs/>
            <w:sz w:val="24"/>
          </w:rPr>
          <w:t xml:space="preserve">Strategic Priority 3 </w:t>
        </w:r>
        <w:r w:rsidR="007340B3" w:rsidRPr="001536A2">
          <w:rPr>
            <w:rStyle w:val="Hyperlink"/>
            <w:b/>
            <w:bCs/>
            <w:sz w:val="24"/>
          </w:rPr>
          <w:t>—</w:t>
        </w:r>
        <w:r w:rsidRPr="001536A2">
          <w:rPr>
            <w:rStyle w:val="Hyperlink"/>
            <w:b/>
            <w:bCs/>
            <w:sz w:val="24"/>
          </w:rPr>
          <w:t xml:space="preserve"> Genomic</w:t>
        </w:r>
        <w:r w:rsidR="004E3657" w:rsidRPr="001536A2">
          <w:rPr>
            <w:rStyle w:val="Hyperlink"/>
            <w:b/>
            <w:bCs/>
            <w:sz w:val="24"/>
          </w:rPr>
          <w:t xml:space="preserve"> Samples,</w:t>
        </w:r>
        <w:r w:rsidRPr="001536A2">
          <w:rPr>
            <w:rStyle w:val="Hyperlink"/>
            <w:b/>
            <w:bCs/>
            <w:sz w:val="24"/>
          </w:rPr>
          <w:t xml:space="preserve"> Data and Information Management</w:t>
        </w:r>
      </w:hyperlink>
    </w:p>
    <w:p w14:paraId="65E9F47E" w14:textId="13C5A883" w:rsidR="00C947A9" w:rsidRDefault="00C947A9" w:rsidP="00F328DF">
      <w:pPr>
        <w:pStyle w:val="ListNumber2"/>
      </w:pPr>
      <w:r>
        <w:t xml:space="preserve">Establish and enhance </w:t>
      </w:r>
      <w:r w:rsidR="0009308E">
        <w:t xml:space="preserve">infrastructure, cyber security frameworks, workforce, standards and processes to support genomic information </w:t>
      </w:r>
      <w:r w:rsidR="007340B3">
        <w:t xml:space="preserve">collection, </w:t>
      </w:r>
      <w:r w:rsidR="0009308E">
        <w:t>sharing, use and management</w:t>
      </w:r>
    </w:p>
    <w:p w14:paraId="4B1B2E02" w14:textId="1C405C1C" w:rsidR="006C5FB3" w:rsidRDefault="00C947A9" w:rsidP="00F87136">
      <w:pPr>
        <w:pStyle w:val="ListNumber2"/>
        <w:spacing w:after="240"/>
        <w:ind w:left="357" w:hanging="357"/>
      </w:pPr>
      <w:r>
        <w:t>Promote ethical</w:t>
      </w:r>
      <w:r w:rsidR="008B4E43">
        <w:t>, safe, secure, trusted</w:t>
      </w:r>
      <w:r>
        <w:t xml:space="preserve"> and equitable </w:t>
      </w:r>
      <w:r w:rsidR="008B4E43">
        <w:t xml:space="preserve">genomic information </w:t>
      </w:r>
      <w:r w:rsidR="007340B3">
        <w:t xml:space="preserve">collection, </w:t>
      </w:r>
      <w:r>
        <w:t>sharing</w:t>
      </w:r>
      <w:r w:rsidR="008B4E43">
        <w:t>, use and management.</w:t>
      </w:r>
    </w:p>
    <w:p w14:paraId="480C8715" w14:textId="46D75315" w:rsidR="00C947A9" w:rsidRDefault="00C947A9" w:rsidP="00C947A9">
      <w:pPr>
        <w:spacing w:after="240"/>
        <w:rPr>
          <w:rFonts w:ascii="Aptos" w:hAnsi="Aptos"/>
          <w:b/>
          <w:bCs/>
          <w:sz w:val="24"/>
        </w:rPr>
      </w:pPr>
      <w:hyperlink w:anchor="_Strategic_Priority_4" w:history="1">
        <w:r w:rsidRPr="001536A2">
          <w:rPr>
            <w:rStyle w:val="Hyperlink"/>
            <w:b/>
            <w:bCs/>
            <w:sz w:val="24"/>
          </w:rPr>
          <w:t xml:space="preserve">Strategic Priority 4 </w:t>
        </w:r>
        <w:r w:rsidR="007340B3" w:rsidRPr="001536A2">
          <w:rPr>
            <w:rStyle w:val="Hyperlink"/>
            <w:b/>
            <w:bCs/>
            <w:sz w:val="24"/>
          </w:rPr>
          <w:t>—</w:t>
        </w:r>
        <w:r w:rsidRPr="001536A2">
          <w:rPr>
            <w:rStyle w:val="Hyperlink"/>
            <w:b/>
            <w:bCs/>
            <w:sz w:val="24"/>
          </w:rPr>
          <w:t xml:space="preserve"> Aboriginal and Torres Strait Islander-led Genomics</w:t>
        </w:r>
      </w:hyperlink>
    </w:p>
    <w:p w14:paraId="4E23BEFC" w14:textId="20DE6250" w:rsidR="00C947A9" w:rsidRDefault="00C947A9" w:rsidP="00F328DF">
      <w:pPr>
        <w:pStyle w:val="ListNumber2"/>
      </w:pPr>
      <w:r>
        <w:t xml:space="preserve">Establish and strengthen partnerships between Australian governments and Aboriginal and Torres Strait Islander </w:t>
      </w:r>
      <w:r w:rsidR="007340B3">
        <w:t xml:space="preserve">people, </w:t>
      </w:r>
      <w:r>
        <w:t>communities</w:t>
      </w:r>
      <w:r w:rsidR="007340B3">
        <w:t xml:space="preserve"> and stakeholders</w:t>
      </w:r>
      <w:r>
        <w:t xml:space="preserve"> to </w:t>
      </w:r>
      <w:r w:rsidR="00A637A3">
        <w:t>improve</w:t>
      </w:r>
      <w:r w:rsidR="0084602F">
        <w:t xml:space="preserve"> equity of access and</w:t>
      </w:r>
      <w:r w:rsidR="00A637A3">
        <w:t xml:space="preserve"> ensure</w:t>
      </w:r>
      <w:r w:rsidR="0084602F">
        <w:t xml:space="preserve"> </w:t>
      </w:r>
      <w:r w:rsidR="00831773">
        <w:t xml:space="preserve">that the </w:t>
      </w:r>
      <w:r w:rsidR="0084602F">
        <w:t>benefits of genomics-informed health care are realised</w:t>
      </w:r>
    </w:p>
    <w:p w14:paraId="4830CE65" w14:textId="0E6E5DCC" w:rsidR="0084602F" w:rsidRDefault="007340B3" w:rsidP="00F328DF">
      <w:pPr>
        <w:pStyle w:val="ListNumber2"/>
      </w:pPr>
      <w:r>
        <w:t>E</w:t>
      </w:r>
      <w:r w:rsidR="0084602F">
        <w:t>mpower Aboriginal and Torres Strait Islander people to lead efforts related to embedding genomics</w:t>
      </w:r>
      <w:r>
        <w:t xml:space="preserve"> in accordance</w:t>
      </w:r>
      <w:r w:rsidR="0084602F">
        <w:t xml:space="preserve"> with their priorities and protocols</w:t>
      </w:r>
      <w:r>
        <w:t>,</w:t>
      </w:r>
      <w:r w:rsidR="0084602F">
        <w:t xml:space="preserve"> and at their own pace</w:t>
      </w:r>
    </w:p>
    <w:p w14:paraId="45EBD449" w14:textId="5700C731" w:rsidR="00B21387" w:rsidRPr="00B21387" w:rsidRDefault="007340B3" w:rsidP="0069120C">
      <w:pPr>
        <w:pStyle w:val="ListNumber2"/>
      </w:pPr>
      <w:r>
        <w:t>S</w:t>
      </w:r>
      <w:r w:rsidR="0009308E">
        <w:t xml:space="preserve">upport </w:t>
      </w:r>
      <w:hyperlink w:anchor="_Indigenous_Data_Sovereignty" w:history="1">
        <w:r w:rsidR="0009308E" w:rsidRPr="00790790">
          <w:rPr>
            <w:rStyle w:val="Hyperlink"/>
          </w:rPr>
          <w:t>Indigenous Data Sovereignty</w:t>
        </w:r>
      </w:hyperlink>
      <w:r>
        <w:t xml:space="preserve">, </w:t>
      </w:r>
      <w:r w:rsidR="004217A3">
        <w:t xml:space="preserve">the right of </w:t>
      </w:r>
      <w:r>
        <w:t>First Nations people to govern the collection, sharing, use and management of their own data, in Australia.</w:t>
      </w:r>
    </w:p>
    <w:p w14:paraId="7B4A775C" w14:textId="1B1B4321" w:rsidR="00057939" w:rsidRPr="002D2A39" w:rsidRDefault="00057939" w:rsidP="00057939">
      <w:pPr>
        <w:pStyle w:val="Boxtype"/>
        <w:shd w:val="clear" w:color="auto" w:fill="92D050"/>
        <w:rPr>
          <w:i/>
          <w:iCs/>
          <w:lang w:val="en-AU"/>
        </w:rPr>
      </w:pPr>
      <w:bookmarkStart w:id="25" w:name="_Toc135494169"/>
      <w:bookmarkStart w:id="26" w:name="_Toc1934588711"/>
      <w:bookmarkStart w:id="27" w:name="_Toc607097926"/>
      <w:bookmarkStart w:id="28" w:name="_Toc184122948"/>
      <w:r>
        <w:rPr>
          <w:i/>
          <w:iCs/>
        </w:rPr>
        <w:t>The timeframe</w:t>
      </w:r>
      <w:r w:rsidR="00F76A0A">
        <w:rPr>
          <w:i/>
          <w:iCs/>
        </w:rPr>
        <w:t>s</w:t>
      </w:r>
      <w:r>
        <w:rPr>
          <w:i/>
          <w:iCs/>
        </w:rPr>
        <w:t xml:space="preserve">, </w:t>
      </w:r>
      <w:r w:rsidR="00F76A0A">
        <w:rPr>
          <w:i/>
          <w:iCs/>
        </w:rPr>
        <w:t>identification of the government responsible for coordination</w:t>
      </w:r>
      <w:r>
        <w:rPr>
          <w:i/>
          <w:iCs/>
        </w:rPr>
        <w:t xml:space="preserve">, and </w:t>
      </w:r>
      <w:proofErr w:type="spellStart"/>
      <w:r>
        <w:rPr>
          <w:i/>
          <w:iCs/>
        </w:rPr>
        <w:t>prioritisation</w:t>
      </w:r>
      <w:proofErr w:type="spellEnd"/>
      <w:r>
        <w:rPr>
          <w:i/>
          <w:iCs/>
        </w:rPr>
        <w:t xml:space="preserve"> of activities will be developed following public consultation.</w:t>
      </w:r>
    </w:p>
    <w:p w14:paraId="61DACDD9" w14:textId="02890039" w:rsidR="00F10A68" w:rsidRPr="00A565F4" w:rsidRDefault="00F10A68" w:rsidP="00057939">
      <w:pPr>
        <w:pStyle w:val="ListNumber2"/>
        <w:numPr>
          <w:ilvl w:val="0"/>
          <w:numId w:val="0"/>
        </w:numPr>
        <w:spacing w:after="240"/>
        <w:ind w:left="360" w:hanging="360"/>
        <w:rPr>
          <w:rFonts w:eastAsia="MS PGothic" w:cs="Arial"/>
          <w:bCs/>
          <w:iCs/>
          <w:color w:val="358189"/>
          <w:sz w:val="36"/>
          <w:szCs w:val="36"/>
        </w:rPr>
      </w:pPr>
      <w:r w:rsidRPr="00A565F4">
        <w:rPr>
          <w:rFonts w:eastAsia="MS PGothic"/>
          <w:sz w:val="36"/>
          <w:szCs w:val="36"/>
        </w:rPr>
        <w:br w:type="page"/>
      </w:r>
    </w:p>
    <w:p w14:paraId="29ABAF08" w14:textId="74E7209B" w:rsidR="00257FF7" w:rsidRPr="000E4DB6" w:rsidRDefault="00257FF7" w:rsidP="000E4DB6">
      <w:pPr>
        <w:pStyle w:val="Heading2"/>
        <w:rPr>
          <w:rFonts w:eastAsia="MS PGothic"/>
          <w:sz w:val="36"/>
          <w:szCs w:val="36"/>
        </w:rPr>
      </w:pPr>
      <w:bookmarkStart w:id="29" w:name="_Strategic_Priority_1"/>
      <w:bookmarkStart w:id="30" w:name="_Toc198025688"/>
      <w:bookmarkEnd w:id="29"/>
      <w:r w:rsidRPr="000E4DB6">
        <w:rPr>
          <w:rFonts w:eastAsia="MS PGothic"/>
          <w:sz w:val="36"/>
          <w:szCs w:val="36"/>
        </w:rPr>
        <w:lastRenderedPageBreak/>
        <w:t>Strategic Priority 1 – Person-, Family- and Community-Centred Approach</w:t>
      </w:r>
      <w:bookmarkEnd w:id="30"/>
    </w:p>
    <w:p w14:paraId="23A8259B" w14:textId="7FEB0467" w:rsidR="008D5270" w:rsidRPr="00F76A0A" w:rsidRDefault="00EB404A" w:rsidP="000E4DB6">
      <w:pPr>
        <w:pStyle w:val="Paragraphtext"/>
      </w:pPr>
      <w:r w:rsidRPr="00F76A0A">
        <w:t xml:space="preserve">Person- and family-centred care involves a collaborative approach to health care which allows patients and their families to be actively involved in shared decision-making and healthcare planning and delivery. It is a partnership between healthcare providers, patients and their families. It emphasises understanding and respecting the unique needs, values, and preferences of individuals and families. </w:t>
      </w:r>
      <w:r w:rsidR="00B5268A" w:rsidRPr="00F76A0A">
        <w:t>Making sure people are involved with and</w:t>
      </w:r>
      <w:r w:rsidR="008003D6" w:rsidRPr="00F76A0A">
        <w:t xml:space="preserve"> central to their health care and</w:t>
      </w:r>
      <w:r w:rsidR="00B5268A" w:rsidRPr="00F76A0A">
        <w:t xml:space="preserve"> have trust in health </w:t>
      </w:r>
      <w:r w:rsidR="008003D6" w:rsidRPr="00F76A0A">
        <w:t xml:space="preserve">services, </w:t>
      </w:r>
      <w:r w:rsidR="00B5268A" w:rsidRPr="00F76A0A">
        <w:t>systems and research, including those incorporating genomics, is critical to improving outcomes. Key components of building trust include</w:t>
      </w:r>
      <w:r w:rsidR="008D5270" w:rsidRPr="00F76A0A">
        <w:t>:</w:t>
      </w:r>
    </w:p>
    <w:p w14:paraId="03679D70" w14:textId="7614E531" w:rsidR="008D5270" w:rsidRDefault="00B5268A" w:rsidP="00BB68BA">
      <w:pPr>
        <w:pStyle w:val="ListNumber2"/>
      </w:pPr>
      <w:r w:rsidRPr="00B5268A">
        <w:t xml:space="preserve">ensuring </w:t>
      </w:r>
      <w:r w:rsidR="008D5270">
        <w:t>public</w:t>
      </w:r>
      <w:r w:rsidR="008D5270" w:rsidRPr="00B5268A">
        <w:t xml:space="preserve"> </w:t>
      </w:r>
      <w:r w:rsidRPr="00B5268A">
        <w:t>knowledge and understanding of genomics is enhanced</w:t>
      </w:r>
    </w:p>
    <w:p w14:paraId="19075B8C" w14:textId="47E3B264" w:rsidR="008D5270" w:rsidRDefault="008D5270" w:rsidP="00BB68BA">
      <w:pPr>
        <w:pStyle w:val="ListNumber2"/>
      </w:pPr>
      <w:r>
        <w:t xml:space="preserve">considering and addressing </w:t>
      </w:r>
      <w:bookmarkStart w:id="31" w:name="_Hlk198026244"/>
      <w:r w:rsidR="00B5268A" w:rsidRPr="00B5268A">
        <w:t>cultural, ethical, legal and social implications</w:t>
      </w:r>
      <w:bookmarkEnd w:id="31"/>
    </w:p>
    <w:p w14:paraId="175B6C44" w14:textId="492375D6" w:rsidR="008D5270" w:rsidRDefault="008D5270" w:rsidP="00BB68BA">
      <w:pPr>
        <w:pStyle w:val="ListNumber2"/>
      </w:pPr>
      <w:r w:rsidRPr="00B5268A">
        <w:t>consider</w:t>
      </w:r>
      <w:r>
        <w:t>ing</w:t>
      </w:r>
      <w:r w:rsidRPr="00B5268A">
        <w:t xml:space="preserve"> and address</w:t>
      </w:r>
      <w:r>
        <w:t xml:space="preserve">ing </w:t>
      </w:r>
      <w:r w:rsidR="00B5268A" w:rsidRPr="00B5268A">
        <w:t>individual, family and community priorities and needs</w:t>
      </w:r>
    </w:p>
    <w:p w14:paraId="66ACDDC2" w14:textId="26D5D65D" w:rsidR="00321436" w:rsidRPr="00F76A0A" w:rsidRDefault="008D5270" w:rsidP="00AB1B96">
      <w:pPr>
        <w:pStyle w:val="Paragraphtext"/>
        <w:rPr>
          <w:rFonts w:cs="Arial"/>
          <w:color w:val="358189"/>
        </w:rPr>
      </w:pPr>
      <w:r w:rsidRPr="00F76A0A">
        <w:t xml:space="preserve">In addition to building trust, </w:t>
      </w:r>
      <w:r w:rsidR="00B607FC" w:rsidRPr="00F76A0A">
        <w:t>ensuring</w:t>
      </w:r>
      <w:r w:rsidR="00B5268A" w:rsidRPr="00F76A0A">
        <w:t xml:space="preserve"> all Australians</w:t>
      </w:r>
      <w:r w:rsidRPr="00F76A0A">
        <w:t xml:space="preserve"> have access to and</w:t>
      </w:r>
      <w:r w:rsidR="008003D6" w:rsidRPr="00F76A0A">
        <w:t xml:space="preserve"> benefit from </w:t>
      </w:r>
      <w:r w:rsidR="00B5268A" w:rsidRPr="00F76A0A">
        <w:t>genomics-</w:t>
      </w:r>
      <w:r w:rsidR="008B4E43" w:rsidRPr="00F76A0A">
        <w:t xml:space="preserve">informed </w:t>
      </w:r>
      <w:r w:rsidR="00B5268A" w:rsidRPr="00F76A0A">
        <w:t>health care and research</w:t>
      </w:r>
      <w:r w:rsidRPr="00F76A0A">
        <w:t xml:space="preserve"> is essential</w:t>
      </w:r>
      <w:r w:rsidR="00B5268A" w:rsidRPr="00F76A0A">
        <w:t>. This requires understanding and addressing barriers faced by different populations</w:t>
      </w:r>
      <w:r w:rsidRPr="00F76A0A">
        <w:t>.</w:t>
      </w:r>
      <w:r w:rsidR="00B5268A" w:rsidRPr="00F76A0A">
        <w:t xml:space="preserve"> </w:t>
      </w:r>
      <w:r w:rsidRPr="00F76A0A">
        <w:t xml:space="preserve">It is dependent on </w:t>
      </w:r>
      <w:r w:rsidR="00B5268A" w:rsidRPr="00F76A0A">
        <w:t>enhancing the capacity and addressing the limitations of Australia’s health system and research sector through partnership, targeted efforts and appropriate resourcing</w:t>
      </w:r>
      <w:r w:rsidR="00257FF7" w:rsidRPr="00F76A0A">
        <w:t>.</w:t>
      </w:r>
      <w:bookmarkEnd w:id="25"/>
      <w:bookmarkEnd w:id="26"/>
      <w:bookmarkEnd w:id="27"/>
      <w:bookmarkEnd w:id="28"/>
    </w:p>
    <w:p w14:paraId="1D437B58" w14:textId="5A743643" w:rsidR="00257FF7" w:rsidRPr="00E96F5C" w:rsidRDefault="00257FF7" w:rsidP="00257FF7">
      <w:pPr>
        <w:pStyle w:val="Heading3"/>
        <w:rPr>
          <w:rFonts w:eastAsia="MS PGothic"/>
        </w:rPr>
      </w:pPr>
      <w:bookmarkStart w:id="32" w:name="_Toc197953802"/>
      <w:bookmarkStart w:id="33" w:name="_Toc198025651"/>
      <w:bookmarkStart w:id="34" w:name="_Toc198025689"/>
      <w:r w:rsidRPr="00E96F5C">
        <w:rPr>
          <w:rFonts w:eastAsia="MS PGothic"/>
        </w:rPr>
        <w:t>Outcome 1.</w:t>
      </w:r>
      <w:r w:rsidR="00734BB2">
        <w:rPr>
          <w:rFonts w:eastAsia="MS PGothic"/>
        </w:rPr>
        <w:t>1</w:t>
      </w:r>
      <w:r w:rsidR="00ED4203" w:rsidRPr="00E96F5C">
        <w:rPr>
          <w:rFonts w:eastAsia="MS PGothic"/>
        </w:rPr>
        <w:t xml:space="preserve"> </w:t>
      </w:r>
      <w:r w:rsidRPr="00E96F5C">
        <w:rPr>
          <w:rFonts w:eastAsia="MS PGothic"/>
        </w:rPr>
        <w:t xml:space="preserve">— </w:t>
      </w:r>
      <w:r w:rsidR="00B82EF5">
        <w:rPr>
          <w:rFonts w:eastAsia="MS PGothic"/>
        </w:rPr>
        <w:t>Empower informed decision-making</w:t>
      </w:r>
      <w:r w:rsidR="00B837A7">
        <w:rPr>
          <w:rFonts w:eastAsia="MS PGothic"/>
        </w:rPr>
        <w:t xml:space="preserve"> and community engagement</w:t>
      </w:r>
      <w:bookmarkEnd w:id="32"/>
      <w:bookmarkEnd w:id="33"/>
      <w:bookmarkEnd w:id="34"/>
    </w:p>
    <w:p w14:paraId="40DF9ECF" w14:textId="13407B92" w:rsidR="00257FF7" w:rsidRPr="00F328DF" w:rsidRDefault="00586AD5" w:rsidP="0069120C">
      <w:pPr>
        <w:numPr>
          <w:ilvl w:val="0"/>
          <w:numId w:val="7"/>
        </w:numPr>
        <w:spacing w:before="240" w:after="240"/>
        <w:ind w:left="641" w:hanging="357"/>
        <w:rPr>
          <w:rFonts w:ascii="Aptos" w:eastAsia="Arial" w:hAnsi="Aptos"/>
          <w:kern w:val="2"/>
          <w:szCs w:val="22"/>
        </w:rPr>
      </w:pPr>
      <w:r>
        <w:rPr>
          <w:rFonts w:ascii="Aptos" w:eastAsia="Arial" w:hAnsi="Aptos"/>
          <w:kern w:val="2"/>
          <w:szCs w:val="22"/>
        </w:rPr>
        <w:t>i</w:t>
      </w:r>
      <w:r w:rsidRPr="00F328DF">
        <w:rPr>
          <w:rFonts w:ascii="Aptos" w:eastAsia="Arial" w:hAnsi="Aptos"/>
          <w:kern w:val="2"/>
          <w:szCs w:val="22"/>
        </w:rPr>
        <w:t>ndividuals</w:t>
      </w:r>
      <w:r w:rsidR="00257FF7" w:rsidRPr="00F328DF">
        <w:rPr>
          <w:rFonts w:ascii="Aptos" w:eastAsia="Arial" w:hAnsi="Aptos"/>
          <w:kern w:val="2"/>
          <w:szCs w:val="22"/>
        </w:rPr>
        <w:t>, families and communities are supported</w:t>
      </w:r>
      <w:r w:rsidR="00036B75" w:rsidRPr="00F328DF">
        <w:rPr>
          <w:rFonts w:ascii="Aptos" w:eastAsia="Arial" w:hAnsi="Aptos"/>
          <w:kern w:val="2"/>
          <w:szCs w:val="22"/>
        </w:rPr>
        <w:t xml:space="preserve"> to understand </w:t>
      </w:r>
      <w:r w:rsidR="00257FF7" w:rsidRPr="00F328DF">
        <w:rPr>
          <w:rFonts w:ascii="Aptos" w:eastAsia="Arial" w:hAnsi="Aptos"/>
          <w:kern w:val="2"/>
          <w:szCs w:val="22"/>
        </w:rPr>
        <w:t xml:space="preserve">voluntary and informed consent </w:t>
      </w:r>
      <w:r w:rsidR="00036B75" w:rsidRPr="00F328DF">
        <w:rPr>
          <w:rFonts w:ascii="Aptos" w:eastAsia="Arial" w:hAnsi="Aptos"/>
          <w:kern w:val="2"/>
          <w:szCs w:val="22"/>
        </w:rPr>
        <w:t>processes</w:t>
      </w:r>
      <w:r w:rsidR="00EA3784">
        <w:rPr>
          <w:rFonts w:ascii="Aptos" w:eastAsia="Arial" w:hAnsi="Aptos"/>
          <w:kern w:val="2"/>
          <w:szCs w:val="22"/>
        </w:rPr>
        <w:t xml:space="preserve"> for health care and, for Aboriginal and Torres Strait Islander people,</w:t>
      </w:r>
      <w:r w:rsidR="00036B75" w:rsidRPr="00F328DF">
        <w:rPr>
          <w:rFonts w:ascii="Aptos" w:eastAsia="Arial" w:hAnsi="Aptos"/>
          <w:kern w:val="2"/>
          <w:szCs w:val="22"/>
        </w:rPr>
        <w:t xml:space="preserve"> in keeping with the </w:t>
      </w:r>
      <w:r w:rsidR="00EA3784">
        <w:rPr>
          <w:rFonts w:ascii="Aptos" w:eastAsia="Arial" w:hAnsi="Aptos"/>
        </w:rPr>
        <w:t>notion</w:t>
      </w:r>
      <w:r w:rsidR="76AF83AB" w:rsidRPr="5D279E6D">
        <w:rPr>
          <w:rFonts w:ascii="Aptos" w:eastAsia="Arial" w:hAnsi="Aptos"/>
          <w:kern w:val="2"/>
        </w:rPr>
        <w:t xml:space="preserve"> </w:t>
      </w:r>
      <w:r w:rsidR="00036B75" w:rsidRPr="00F328DF">
        <w:rPr>
          <w:rFonts w:ascii="Aptos" w:eastAsia="Arial" w:hAnsi="Aptos"/>
          <w:kern w:val="2"/>
          <w:szCs w:val="22"/>
        </w:rPr>
        <w:t>of free and prior informed consent</w:t>
      </w:r>
    </w:p>
    <w:p w14:paraId="7ADC22E0" w14:textId="13CF314D" w:rsidR="00036B75" w:rsidRPr="00F328DF" w:rsidRDefault="00586AD5" w:rsidP="0069120C">
      <w:pPr>
        <w:numPr>
          <w:ilvl w:val="0"/>
          <w:numId w:val="7"/>
        </w:numPr>
        <w:spacing w:before="240" w:after="240"/>
        <w:ind w:left="641" w:hanging="357"/>
        <w:rPr>
          <w:rFonts w:ascii="Aptos" w:eastAsia="Arial" w:hAnsi="Aptos"/>
          <w:kern w:val="2"/>
          <w:szCs w:val="22"/>
        </w:rPr>
      </w:pPr>
      <w:r>
        <w:rPr>
          <w:rFonts w:ascii="Aptos" w:eastAsia="Arial" w:hAnsi="Aptos"/>
          <w:kern w:val="2"/>
          <w:szCs w:val="22"/>
        </w:rPr>
        <w:t>i</w:t>
      </w:r>
      <w:r w:rsidR="00036B75" w:rsidRPr="00F328DF">
        <w:rPr>
          <w:rFonts w:ascii="Aptos" w:eastAsia="Arial" w:hAnsi="Aptos"/>
          <w:kern w:val="2"/>
          <w:szCs w:val="22"/>
        </w:rPr>
        <w:t>ndividuals, families and communities have visibility and access to their genomics</w:t>
      </w:r>
      <w:r w:rsidR="00A74DA2">
        <w:rPr>
          <w:rFonts w:ascii="Aptos" w:eastAsia="Arial" w:hAnsi="Aptos"/>
          <w:kern w:val="2"/>
          <w:szCs w:val="22"/>
        </w:rPr>
        <w:t>-</w:t>
      </w:r>
      <w:r w:rsidR="00036B75" w:rsidRPr="00F328DF">
        <w:rPr>
          <w:rFonts w:ascii="Aptos" w:eastAsia="Arial" w:hAnsi="Aptos"/>
          <w:kern w:val="2"/>
          <w:szCs w:val="22"/>
        </w:rPr>
        <w:t xml:space="preserve">related health information to ensure they </w:t>
      </w:r>
      <w:r w:rsidR="0B0B59A3" w:rsidRPr="07287FCC">
        <w:rPr>
          <w:rFonts w:ascii="Aptos" w:eastAsia="Arial" w:hAnsi="Aptos"/>
          <w:kern w:val="2"/>
        </w:rPr>
        <w:t>can</w:t>
      </w:r>
      <w:r w:rsidR="00036B75" w:rsidRPr="00F328DF">
        <w:rPr>
          <w:rFonts w:ascii="Aptos" w:eastAsia="Arial" w:hAnsi="Aptos"/>
          <w:kern w:val="2"/>
          <w:szCs w:val="22"/>
        </w:rPr>
        <w:t xml:space="preserve"> make informed choices about their health care</w:t>
      </w:r>
    </w:p>
    <w:p w14:paraId="629ECBD5" w14:textId="0EA30030" w:rsidR="00AA57FC" w:rsidRPr="00F328DF" w:rsidRDefault="00586AD5" w:rsidP="0069120C">
      <w:pPr>
        <w:numPr>
          <w:ilvl w:val="0"/>
          <w:numId w:val="7"/>
        </w:numPr>
        <w:spacing w:before="240" w:after="240"/>
        <w:ind w:left="641" w:hanging="357"/>
        <w:rPr>
          <w:rFonts w:ascii="Aptos" w:eastAsia="Arial" w:hAnsi="Aptos"/>
          <w:kern w:val="2"/>
          <w:szCs w:val="22"/>
        </w:rPr>
      </w:pPr>
      <w:r>
        <w:rPr>
          <w:rFonts w:ascii="Aptos" w:eastAsia="Arial" w:hAnsi="Aptos"/>
          <w:kern w:val="2"/>
          <w:szCs w:val="22"/>
        </w:rPr>
        <w:t>i</w:t>
      </w:r>
      <w:r w:rsidR="00AA57FC" w:rsidRPr="00F328DF">
        <w:rPr>
          <w:rFonts w:ascii="Aptos" w:eastAsia="Arial" w:hAnsi="Aptos"/>
          <w:kern w:val="2"/>
          <w:szCs w:val="22"/>
        </w:rPr>
        <w:t>ndividuals, families, and communities are supported and empowered to participate and lead in public discourse on matters related to genomics</w:t>
      </w:r>
      <w:r w:rsidR="00450BF5">
        <w:rPr>
          <w:rFonts w:ascii="Aptos" w:eastAsia="Arial" w:hAnsi="Aptos"/>
          <w:kern w:val="2"/>
          <w:szCs w:val="22"/>
        </w:rPr>
        <w:t>-informed</w:t>
      </w:r>
      <w:r w:rsidR="00AA57FC" w:rsidRPr="00F328DF">
        <w:rPr>
          <w:rFonts w:ascii="Aptos" w:eastAsia="Arial" w:hAnsi="Aptos"/>
          <w:kern w:val="2"/>
          <w:szCs w:val="22"/>
        </w:rPr>
        <w:t xml:space="preserve"> health care and research</w:t>
      </w:r>
    </w:p>
    <w:p w14:paraId="76681B83" w14:textId="4DDE76CE" w:rsidR="00B837A7" w:rsidRPr="00F328DF" w:rsidRDefault="00586AD5" w:rsidP="0069120C">
      <w:pPr>
        <w:numPr>
          <w:ilvl w:val="0"/>
          <w:numId w:val="7"/>
        </w:numPr>
        <w:spacing w:before="240" w:after="240"/>
        <w:ind w:left="641" w:hanging="357"/>
        <w:rPr>
          <w:rFonts w:ascii="Aptos" w:eastAsia="Arial" w:hAnsi="Aptos"/>
          <w:kern w:val="2"/>
          <w:szCs w:val="22"/>
        </w:rPr>
      </w:pPr>
      <w:r>
        <w:rPr>
          <w:rFonts w:ascii="Aptos" w:eastAsia="Arial" w:hAnsi="Aptos"/>
          <w:kern w:val="2"/>
          <w:szCs w:val="22"/>
        </w:rPr>
        <w:t>c</w:t>
      </w:r>
      <w:r w:rsidR="00B837A7" w:rsidRPr="00F328DF">
        <w:rPr>
          <w:rFonts w:ascii="Aptos" w:eastAsia="Arial" w:hAnsi="Aptos"/>
          <w:kern w:val="2"/>
          <w:szCs w:val="22"/>
        </w:rPr>
        <w:t>ommunity engagement, understanding and trust in genomics-informed health care, health systems and research is built and maintained</w:t>
      </w:r>
    </w:p>
    <w:p w14:paraId="126914A2" w14:textId="644923B0" w:rsidR="00734BB2" w:rsidRPr="00F328DF" w:rsidRDefault="00586AD5" w:rsidP="0069120C">
      <w:pPr>
        <w:numPr>
          <w:ilvl w:val="0"/>
          <w:numId w:val="7"/>
        </w:numPr>
        <w:spacing w:before="240" w:after="240"/>
        <w:ind w:left="641" w:hanging="357"/>
        <w:rPr>
          <w:rFonts w:ascii="Aptos" w:eastAsia="Arial" w:hAnsi="Aptos"/>
          <w:kern w:val="2"/>
          <w:szCs w:val="22"/>
        </w:rPr>
      </w:pPr>
      <w:r>
        <w:rPr>
          <w:rFonts w:ascii="Aptos" w:eastAsia="Arial" w:hAnsi="Aptos"/>
          <w:kern w:val="2"/>
          <w:szCs w:val="22"/>
        </w:rPr>
        <w:t>a</w:t>
      </w:r>
      <w:r w:rsidR="00734BB2" w:rsidRPr="00F328DF">
        <w:rPr>
          <w:rFonts w:ascii="Aptos" w:eastAsia="Arial" w:hAnsi="Aptos"/>
          <w:kern w:val="2"/>
          <w:szCs w:val="22"/>
        </w:rPr>
        <w:t>ll genomics-informed health care and research are undertaken with a view to achieving benefit for the individual, their families and/or the broader public, in alignment with individual and community values and expectations</w:t>
      </w:r>
    </w:p>
    <w:p w14:paraId="39158987" w14:textId="64EAFEB6" w:rsidR="005C26A5" w:rsidRDefault="00586AD5" w:rsidP="0069120C">
      <w:pPr>
        <w:numPr>
          <w:ilvl w:val="0"/>
          <w:numId w:val="7"/>
        </w:numPr>
        <w:spacing w:before="240" w:after="240"/>
        <w:ind w:left="641" w:hanging="357"/>
        <w:rPr>
          <w:rFonts w:ascii="Aptos" w:eastAsia="Arial" w:hAnsi="Aptos"/>
          <w:kern w:val="2"/>
          <w:szCs w:val="22"/>
        </w:rPr>
      </w:pPr>
      <w:r w:rsidDel="00346966">
        <w:rPr>
          <w:rFonts w:ascii="Aptos" w:eastAsia="Arial" w:hAnsi="Aptos"/>
          <w:kern w:val="2"/>
          <w:szCs w:val="22"/>
        </w:rPr>
        <w:t>a</w:t>
      </w:r>
      <w:r w:rsidR="003D05B1" w:rsidRPr="00F328DF" w:rsidDel="00346966">
        <w:rPr>
          <w:rFonts w:ascii="Aptos" w:eastAsia="Arial" w:hAnsi="Aptos"/>
          <w:kern w:val="2"/>
          <w:szCs w:val="22"/>
        </w:rPr>
        <w:t>ccess to and benefits of genomics-informed health care and research are known, understood and available to all Australians, particularly for priority population groups</w:t>
      </w:r>
    </w:p>
    <w:p w14:paraId="138C6554" w14:textId="77777777" w:rsidR="005C26A5" w:rsidRDefault="005C26A5">
      <w:pPr>
        <w:rPr>
          <w:rFonts w:ascii="Aptos" w:eastAsia="Arial" w:hAnsi="Aptos"/>
          <w:kern w:val="2"/>
          <w:szCs w:val="22"/>
        </w:rPr>
      </w:pPr>
      <w:r>
        <w:rPr>
          <w:rFonts w:ascii="Aptos" w:eastAsia="Arial" w:hAnsi="Aptos"/>
          <w:kern w:val="2"/>
          <w:szCs w:val="22"/>
        </w:rPr>
        <w:br w:type="page"/>
      </w:r>
    </w:p>
    <w:tbl>
      <w:tblPr>
        <w:tblStyle w:val="ListTable3-Accent1"/>
        <w:tblW w:w="5184" w:type="pct"/>
        <w:tblLook w:val="04A0" w:firstRow="1" w:lastRow="0" w:firstColumn="1" w:lastColumn="0" w:noHBand="0" w:noVBand="1"/>
      </w:tblPr>
      <w:tblGrid>
        <w:gridCol w:w="4382"/>
        <w:gridCol w:w="1398"/>
        <w:gridCol w:w="2106"/>
        <w:gridCol w:w="1507"/>
      </w:tblGrid>
      <w:tr w:rsidR="00DD1A52" w:rsidRPr="000E4DB6" w14:paraId="69BDB49B" w14:textId="77777777" w:rsidTr="00DD1A52">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100" w:firstRow="0" w:lastRow="0" w:firstColumn="1" w:lastColumn="0" w:oddVBand="0" w:evenVBand="0" w:oddHBand="0" w:evenHBand="0" w:firstRowFirstColumn="1" w:firstRowLastColumn="0" w:lastRowFirstColumn="0" w:lastRowLastColumn="0"/>
            <w:tcW w:w="2333" w:type="pct"/>
            <w:shd w:val="clear" w:color="auto" w:fill="3F4A75" w:themeFill="text2"/>
          </w:tcPr>
          <w:p w14:paraId="6C3B1753" w14:textId="263A7BE9" w:rsidR="00DD1A52" w:rsidRDefault="00DD1A52" w:rsidP="00DD1A52">
            <w:pPr>
              <w:spacing w:before="240" w:after="240"/>
              <w:rPr>
                <w:rFonts w:ascii="Aptos" w:hAnsi="Aptos"/>
                <w:sz w:val="24"/>
                <w:lang w:eastAsia="en-AU"/>
              </w:rPr>
            </w:pPr>
            <w:r w:rsidRPr="000E4DB6">
              <w:rPr>
                <w:rFonts w:ascii="Aptos" w:eastAsia="Times New Roman" w:hAnsi="Aptos"/>
                <w:spacing w:val="0"/>
                <w:kern w:val="0"/>
                <w:sz w:val="24"/>
                <w:lang w:eastAsia="en-AU"/>
                <w14:ligatures w14:val="none"/>
              </w:rPr>
              <w:lastRenderedPageBreak/>
              <w:t>National Activit</w:t>
            </w:r>
            <w:r>
              <w:rPr>
                <w:rFonts w:ascii="Aptos" w:eastAsia="Times New Roman" w:hAnsi="Aptos"/>
                <w:spacing w:val="0"/>
                <w:kern w:val="0"/>
                <w:sz w:val="24"/>
                <w:lang w:eastAsia="en-AU"/>
                <w14:ligatures w14:val="none"/>
              </w:rPr>
              <w:t>y</w:t>
            </w:r>
          </w:p>
        </w:tc>
        <w:tc>
          <w:tcPr>
            <w:tcW w:w="744" w:type="pct"/>
            <w:shd w:val="clear" w:color="auto" w:fill="3F4A75" w:themeFill="text2"/>
          </w:tcPr>
          <w:p w14:paraId="31FABEEB" w14:textId="2CEB9754" w:rsidR="00DD1A52" w:rsidRPr="000E4DB6" w:rsidRDefault="00DD1A52" w:rsidP="00DD1A52">
            <w:pPr>
              <w:spacing w:before="240" w:after="240"/>
              <w:jc w:val="center"/>
              <w:cnfStyle w:val="100000000000" w:firstRow="1" w:lastRow="0" w:firstColumn="0" w:lastColumn="0" w:oddVBand="0" w:evenVBand="0" w:oddHBand="0" w:evenHBand="0" w:firstRowFirstColumn="0" w:firstRowLastColumn="0" w:lastRowFirstColumn="0" w:lastRowLastColumn="0"/>
              <w:rPr>
                <w:rFonts w:ascii="Aptos" w:hAnsi="Aptos"/>
                <w:sz w:val="24"/>
                <w:lang w:eastAsia="en-AU"/>
              </w:rPr>
            </w:pPr>
            <w:r w:rsidRPr="000E4DB6">
              <w:rPr>
                <w:rFonts w:ascii="Aptos" w:eastAsia="Times New Roman" w:hAnsi="Aptos"/>
                <w:spacing w:val="0"/>
                <w:kern w:val="0"/>
                <w:sz w:val="24"/>
                <w:lang w:eastAsia="en-AU"/>
                <w14:ligatures w14:val="none"/>
              </w:rPr>
              <w:t>Timeframe</w:t>
            </w:r>
          </w:p>
        </w:tc>
        <w:tc>
          <w:tcPr>
            <w:tcW w:w="1121" w:type="pct"/>
            <w:shd w:val="clear" w:color="auto" w:fill="3F4A75" w:themeFill="text2"/>
          </w:tcPr>
          <w:p w14:paraId="7B7B0945" w14:textId="2CB073C9" w:rsidR="00DD1A52" w:rsidRPr="000E4DB6" w:rsidRDefault="00DD1A52" w:rsidP="00DD1A52">
            <w:pPr>
              <w:spacing w:before="240" w:after="240"/>
              <w:jc w:val="center"/>
              <w:cnfStyle w:val="100000000000" w:firstRow="1" w:lastRow="0" w:firstColumn="0" w:lastColumn="0" w:oddVBand="0" w:evenVBand="0" w:oddHBand="0" w:evenHBand="0" w:firstRowFirstColumn="0" w:firstRowLastColumn="0" w:lastRowFirstColumn="0" w:lastRowLastColumn="0"/>
              <w:rPr>
                <w:rFonts w:ascii="Aptos" w:hAnsi="Aptos"/>
                <w:sz w:val="24"/>
                <w:lang w:eastAsia="en-AU"/>
              </w:rPr>
            </w:pPr>
            <w:r>
              <w:rPr>
                <w:rFonts w:ascii="Aptos" w:eastAsia="Times New Roman" w:hAnsi="Aptos"/>
                <w:spacing w:val="0"/>
                <w:kern w:val="0"/>
                <w:sz w:val="24"/>
                <w:lang w:eastAsia="en-AU"/>
                <w14:ligatures w14:val="none"/>
              </w:rPr>
              <w:t>Responsible for Coordination</w:t>
            </w:r>
          </w:p>
        </w:tc>
        <w:tc>
          <w:tcPr>
            <w:tcW w:w="803" w:type="pct"/>
            <w:shd w:val="clear" w:color="auto" w:fill="3F4A75" w:themeFill="text2"/>
          </w:tcPr>
          <w:p w14:paraId="3A1F9C58" w14:textId="14A0C86D" w:rsidR="00DD1A52" w:rsidRPr="000E4DB6" w:rsidRDefault="00DD1A52" w:rsidP="00DD1A52">
            <w:pPr>
              <w:spacing w:before="240" w:after="240"/>
              <w:jc w:val="center"/>
              <w:cnfStyle w:val="100000000000" w:firstRow="1" w:lastRow="0" w:firstColumn="0" w:lastColumn="0" w:oddVBand="0" w:evenVBand="0" w:oddHBand="0" w:evenHBand="0" w:firstRowFirstColumn="0" w:firstRowLastColumn="0" w:lastRowFirstColumn="0" w:lastRowLastColumn="0"/>
              <w:rPr>
                <w:rFonts w:ascii="Aptos" w:hAnsi="Aptos"/>
                <w:sz w:val="24"/>
                <w:lang w:eastAsia="en-AU"/>
              </w:rPr>
            </w:pPr>
            <w:r w:rsidRPr="000E4DB6">
              <w:rPr>
                <w:rFonts w:ascii="Aptos" w:eastAsia="Times New Roman" w:hAnsi="Aptos"/>
                <w:spacing w:val="0"/>
                <w:kern w:val="0"/>
                <w:sz w:val="24"/>
                <w:lang w:eastAsia="en-AU"/>
                <w14:ligatures w14:val="none"/>
              </w:rPr>
              <w:t>Priority</w:t>
            </w:r>
          </w:p>
        </w:tc>
      </w:tr>
      <w:tr w:rsidR="00DD1A52" w:rsidRPr="000E4DB6" w14:paraId="244DEE2B" w14:textId="77777777" w:rsidTr="00DD1A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33" w:type="pct"/>
            <w:shd w:val="clear" w:color="auto" w:fill="auto"/>
          </w:tcPr>
          <w:p w14:paraId="7F2DE1EC" w14:textId="64F36F54" w:rsidR="005A7080" w:rsidRDefault="003C66C0" w:rsidP="003C66C0">
            <w:pPr>
              <w:spacing w:before="240" w:after="240"/>
              <w:rPr>
                <w:rFonts w:ascii="Aptos" w:hAnsi="Aptos"/>
                <w:sz w:val="24"/>
                <w:lang w:eastAsia="en-AU"/>
              </w:rPr>
            </w:pPr>
            <w:bookmarkStart w:id="35" w:name="Activity_1_1_1"/>
            <w:r>
              <w:rPr>
                <w:rFonts w:ascii="Aptos" w:hAnsi="Aptos"/>
                <w:b w:val="0"/>
                <w:bCs w:val="0"/>
                <w:sz w:val="24"/>
                <w:lang w:eastAsia="en-AU"/>
              </w:rPr>
              <w:t>1.1.</w:t>
            </w:r>
            <w:r w:rsidR="005A7080">
              <w:rPr>
                <w:rFonts w:ascii="Aptos" w:hAnsi="Aptos"/>
                <w:b w:val="0"/>
                <w:bCs w:val="0"/>
                <w:sz w:val="24"/>
                <w:lang w:eastAsia="en-AU"/>
              </w:rPr>
              <w:t>1</w:t>
            </w:r>
            <w:r>
              <w:rPr>
                <w:rFonts w:ascii="Aptos" w:hAnsi="Aptos"/>
                <w:b w:val="0"/>
                <w:bCs w:val="0"/>
                <w:sz w:val="24"/>
                <w:lang w:eastAsia="en-AU"/>
              </w:rPr>
              <w:t xml:space="preserve"> </w:t>
            </w:r>
            <w:bookmarkEnd w:id="35"/>
            <w:r w:rsidRPr="00B837A7">
              <w:rPr>
                <w:rFonts w:ascii="Aptos" w:hAnsi="Aptos"/>
                <w:b w:val="0"/>
                <w:bCs w:val="0"/>
                <w:sz w:val="24"/>
              </w:rPr>
              <w:t>—</w:t>
            </w:r>
            <w:r>
              <w:rPr>
                <w:rFonts w:ascii="Aptos" w:hAnsi="Aptos"/>
                <w:b w:val="0"/>
                <w:bCs w:val="0"/>
                <w:sz w:val="24"/>
                <w:lang w:eastAsia="en-AU"/>
              </w:rPr>
              <w:t xml:space="preserve"> E</w:t>
            </w:r>
            <w:r w:rsidRPr="0099724D">
              <w:rPr>
                <w:rFonts w:ascii="Aptos" w:hAnsi="Aptos"/>
                <w:b w:val="0"/>
                <w:bCs w:val="0"/>
                <w:sz w:val="24"/>
                <w:lang w:eastAsia="en-AU"/>
              </w:rPr>
              <w:t xml:space="preserve">stablish and </w:t>
            </w:r>
            <w:r>
              <w:rPr>
                <w:rFonts w:ascii="Aptos" w:hAnsi="Aptos"/>
                <w:b w:val="0"/>
                <w:bCs w:val="0"/>
                <w:sz w:val="24"/>
                <w:lang w:eastAsia="en-AU"/>
              </w:rPr>
              <w:t>maintain</w:t>
            </w:r>
            <w:r w:rsidRPr="210CA4FC">
              <w:rPr>
                <w:rFonts w:ascii="Aptos" w:hAnsi="Aptos"/>
                <w:b w:val="0"/>
                <w:bCs w:val="0"/>
                <w:sz w:val="24"/>
                <w:lang w:eastAsia="en-AU"/>
              </w:rPr>
              <w:t xml:space="preserve"> </w:t>
            </w:r>
            <w:r w:rsidR="005A7080">
              <w:rPr>
                <w:rFonts w:ascii="Aptos" w:hAnsi="Aptos"/>
                <w:b w:val="0"/>
                <w:bCs w:val="0"/>
                <w:sz w:val="24"/>
                <w:lang w:eastAsia="en-AU"/>
              </w:rPr>
              <w:t>processes to</w:t>
            </w:r>
            <w:r>
              <w:rPr>
                <w:rFonts w:ascii="Aptos" w:hAnsi="Aptos"/>
                <w:b w:val="0"/>
                <w:bCs w:val="0"/>
                <w:sz w:val="24"/>
                <w:lang w:eastAsia="en-AU"/>
              </w:rPr>
              <w:t xml:space="preserve"> </w:t>
            </w:r>
            <w:r w:rsidR="005A7080">
              <w:rPr>
                <w:rFonts w:ascii="Aptos" w:hAnsi="Aptos"/>
                <w:b w:val="0"/>
                <w:bCs w:val="0"/>
                <w:sz w:val="24"/>
                <w:lang w:eastAsia="en-AU"/>
              </w:rPr>
              <w:t>engage Australian governments with</w:t>
            </w:r>
            <w:r>
              <w:rPr>
                <w:rFonts w:ascii="Aptos" w:hAnsi="Aptos"/>
                <w:b w:val="0"/>
                <w:bCs w:val="0"/>
                <w:sz w:val="24"/>
                <w:lang w:eastAsia="en-AU"/>
              </w:rPr>
              <w:t xml:space="preserve"> individuals</w:t>
            </w:r>
            <w:r w:rsidR="005A7080">
              <w:rPr>
                <w:rFonts w:ascii="Aptos" w:hAnsi="Aptos"/>
                <w:b w:val="0"/>
                <w:bCs w:val="0"/>
                <w:sz w:val="24"/>
                <w:lang w:eastAsia="en-AU"/>
              </w:rPr>
              <w:t xml:space="preserve"> </w:t>
            </w:r>
            <w:r w:rsidR="005A7080" w:rsidRPr="005A7080">
              <w:rPr>
                <w:rFonts w:ascii="Aptos" w:hAnsi="Aptos"/>
                <w:b w:val="0"/>
                <w:bCs w:val="0"/>
                <w:sz w:val="24"/>
                <w:lang w:eastAsia="en-AU"/>
              </w:rPr>
              <w:t xml:space="preserve">who have already benefitted from or are likely to benefit from </w:t>
            </w:r>
            <w:r w:rsidR="004F4F0A">
              <w:rPr>
                <w:rFonts w:ascii="Aptos" w:hAnsi="Aptos"/>
                <w:b w:val="0"/>
                <w:bCs w:val="0"/>
                <w:sz w:val="24"/>
                <w:lang w:eastAsia="en-AU"/>
              </w:rPr>
              <w:t>embedding</w:t>
            </w:r>
            <w:r w:rsidR="005A7080" w:rsidRPr="005A7080">
              <w:rPr>
                <w:rFonts w:ascii="Aptos" w:hAnsi="Aptos"/>
                <w:b w:val="0"/>
                <w:bCs w:val="0"/>
                <w:sz w:val="24"/>
                <w:lang w:eastAsia="en-AU"/>
              </w:rPr>
              <w:t xml:space="preserve"> genomic</w:t>
            </w:r>
            <w:r w:rsidR="004F4F0A">
              <w:rPr>
                <w:rFonts w:ascii="Aptos" w:hAnsi="Aptos"/>
                <w:b w:val="0"/>
                <w:bCs w:val="0"/>
                <w:sz w:val="24"/>
                <w:lang w:eastAsia="en-AU"/>
              </w:rPr>
              <w:t>s in the Australian health system</w:t>
            </w:r>
            <w:r w:rsidR="005A7080">
              <w:rPr>
                <w:rFonts w:ascii="Aptos" w:hAnsi="Aptos"/>
                <w:b w:val="0"/>
                <w:bCs w:val="0"/>
                <w:sz w:val="24"/>
                <w:lang w:eastAsia="en-AU"/>
              </w:rPr>
              <w:t>, as well as patient, consumer advocacy and other stakeholder groups that represent the views of those individuals, to</w:t>
            </w:r>
            <w:r w:rsidR="004F4F0A">
              <w:rPr>
                <w:rFonts w:ascii="Aptos" w:hAnsi="Aptos"/>
                <w:b w:val="0"/>
                <w:bCs w:val="0"/>
                <w:sz w:val="24"/>
                <w:lang w:eastAsia="en-AU"/>
              </w:rPr>
              <w:t xml:space="preserve"> inform other activities of this framework and implementation plan by</w:t>
            </w:r>
            <w:r w:rsidR="005A7080">
              <w:rPr>
                <w:rFonts w:ascii="Aptos" w:hAnsi="Aptos"/>
                <w:b w:val="0"/>
                <w:bCs w:val="0"/>
                <w:sz w:val="24"/>
                <w:lang w:eastAsia="en-AU"/>
              </w:rPr>
              <w:t>:</w:t>
            </w:r>
          </w:p>
          <w:p w14:paraId="36AF3D6B" w14:textId="166E3C5D" w:rsidR="005A7080" w:rsidRPr="00A565F4" w:rsidRDefault="005A7080" w:rsidP="0069120C">
            <w:pPr>
              <w:pStyle w:val="ListParagraph"/>
              <w:numPr>
                <w:ilvl w:val="0"/>
                <w:numId w:val="10"/>
              </w:numPr>
              <w:spacing w:before="240" w:after="240"/>
              <w:rPr>
                <w:rFonts w:ascii="Aptos" w:hAnsi="Aptos"/>
                <w:b w:val="0"/>
                <w:bCs w:val="0"/>
                <w:sz w:val="24"/>
                <w:lang w:eastAsia="en-AU"/>
              </w:rPr>
            </w:pPr>
            <w:r w:rsidRPr="0069120C">
              <w:rPr>
                <w:rFonts w:ascii="Aptos" w:hAnsi="Aptos"/>
                <w:b w:val="0"/>
                <w:bCs w:val="0"/>
                <w:sz w:val="24"/>
                <w:lang w:eastAsia="en-AU"/>
              </w:rPr>
              <w:t>understand</w:t>
            </w:r>
            <w:r w:rsidR="004F4F0A" w:rsidRPr="0069120C">
              <w:rPr>
                <w:rFonts w:ascii="Aptos" w:hAnsi="Aptos"/>
                <w:b w:val="0"/>
                <w:bCs w:val="0"/>
                <w:sz w:val="24"/>
                <w:lang w:eastAsia="en-AU"/>
              </w:rPr>
              <w:t>ing</w:t>
            </w:r>
            <w:r w:rsidRPr="005A7080">
              <w:rPr>
                <w:rFonts w:ascii="Aptos" w:hAnsi="Aptos"/>
                <w:sz w:val="24"/>
                <w:lang w:eastAsia="en-AU"/>
              </w:rPr>
              <w:t xml:space="preserve"> </w:t>
            </w:r>
            <w:r>
              <w:rPr>
                <w:rFonts w:ascii="Aptos" w:hAnsi="Aptos"/>
                <w:b w:val="0"/>
                <w:bCs w:val="0"/>
                <w:sz w:val="24"/>
                <w:lang w:eastAsia="en-AU"/>
              </w:rPr>
              <w:t>their priorities, values and expectations relevant to genomics</w:t>
            </w:r>
          </w:p>
          <w:p w14:paraId="08B8C051" w14:textId="2174C5C8" w:rsidR="003C66C0" w:rsidRPr="003C66C0" w:rsidRDefault="005A7080" w:rsidP="0069120C">
            <w:pPr>
              <w:pStyle w:val="ListParagraph"/>
              <w:numPr>
                <w:ilvl w:val="0"/>
                <w:numId w:val="10"/>
              </w:numPr>
              <w:spacing w:before="240" w:after="240"/>
              <w:rPr>
                <w:rFonts w:ascii="Aptos" w:hAnsi="Aptos"/>
                <w:sz w:val="24"/>
                <w:lang w:eastAsia="en-AU"/>
              </w:rPr>
            </w:pPr>
            <w:r>
              <w:rPr>
                <w:rFonts w:ascii="Aptos" w:hAnsi="Aptos"/>
                <w:b w:val="0"/>
                <w:bCs w:val="0"/>
                <w:sz w:val="24"/>
                <w:lang w:eastAsia="en-AU"/>
              </w:rPr>
              <w:t>discuss</w:t>
            </w:r>
            <w:r w:rsidR="004F4F0A">
              <w:rPr>
                <w:rFonts w:ascii="Aptos" w:hAnsi="Aptos"/>
                <w:b w:val="0"/>
                <w:bCs w:val="0"/>
                <w:sz w:val="24"/>
                <w:lang w:eastAsia="en-AU"/>
              </w:rPr>
              <w:t>ing</w:t>
            </w:r>
            <w:r>
              <w:rPr>
                <w:rFonts w:ascii="Aptos" w:hAnsi="Aptos"/>
                <w:b w:val="0"/>
                <w:bCs w:val="0"/>
                <w:sz w:val="24"/>
                <w:lang w:eastAsia="en-AU"/>
              </w:rPr>
              <w:t xml:space="preserve"> identified </w:t>
            </w:r>
            <w:r w:rsidR="003C66C0" w:rsidRPr="0099724D">
              <w:rPr>
                <w:rFonts w:ascii="Aptos" w:hAnsi="Aptos"/>
                <w:b w:val="0"/>
                <w:bCs w:val="0"/>
                <w:sz w:val="24"/>
                <w:lang w:eastAsia="en-AU"/>
              </w:rPr>
              <w:t>policy</w:t>
            </w:r>
            <w:r w:rsidR="003C66C0">
              <w:rPr>
                <w:rFonts w:ascii="Aptos" w:hAnsi="Aptos"/>
                <w:b w:val="0"/>
                <w:bCs w:val="0"/>
                <w:sz w:val="24"/>
                <w:lang w:eastAsia="en-AU"/>
              </w:rPr>
              <w:t xml:space="preserve"> concerns of national significance (including those that consider</w:t>
            </w:r>
            <w:r w:rsidR="003C66C0" w:rsidRPr="210CA4FC">
              <w:rPr>
                <w:rFonts w:ascii="Aptos" w:hAnsi="Aptos"/>
                <w:b w:val="0"/>
                <w:bCs w:val="0"/>
                <w:sz w:val="24"/>
                <w:lang w:eastAsia="en-AU"/>
              </w:rPr>
              <w:t xml:space="preserve"> </w:t>
            </w:r>
            <w:r w:rsidR="003C66C0" w:rsidRPr="0099724D">
              <w:rPr>
                <w:rFonts w:ascii="Aptos" w:hAnsi="Aptos"/>
                <w:b w:val="0"/>
                <w:bCs w:val="0"/>
                <w:sz w:val="24"/>
                <w:lang w:eastAsia="en-AU"/>
              </w:rPr>
              <w:t>cultural, ethical, legal</w:t>
            </w:r>
            <w:r w:rsidR="003C66C0">
              <w:rPr>
                <w:rFonts w:ascii="Aptos" w:hAnsi="Aptos"/>
                <w:b w:val="0"/>
                <w:bCs w:val="0"/>
                <w:sz w:val="24"/>
                <w:lang w:eastAsia="en-AU"/>
              </w:rPr>
              <w:t>,</w:t>
            </w:r>
            <w:r w:rsidR="003C66C0" w:rsidRPr="0099724D">
              <w:rPr>
                <w:rFonts w:ascii="Aptos" w:hAnsi="Aptos"/>
                <w:b w:val="0"/>
                <w:bCs w:val="0"/>
                <w:sz w:val="24"/>
                <w:lang w:eastAsia="en-AU"/>
              </w:rPr>
              <w:t xml:space="preserve"> social</w:t>
            </w:r>
            <w:r w:rsidR="003C66C0">
              <w:rPr>
                <w:rFonts w:ascii="Aptos" w:hAnsi="Aptos"/>
                <w:b w:val="0"/>
                <w:bCs w:val="0"/>
                <w:sz w:val="24"/>
                <w:lang w:eastAsia="en-AU"/>
              </w:rPr>
              <w:t xml:space="preserve"> and funding</w:t>
            </w:r>
            <w:r w:rsidR="003C66C0" w:rsidRPr="0099724D">
              <w:rPr>
                <w:rFonts w:ascii="Aptos" w:hAnsi="Aptos"/>
                <w:b w:val="0"/>
                <w:bCs w:val="0"/>
                <w:sz w:val="24"/>
                <w:lang w:eastAsia="en-AU"/>
              </w:rPr>
              <w:t xml:space="preserve"> implications</w:t>
            </w:r>
            <w:r w:rsidR="003C66C0">
              <w:rPr>
                <w:rFonts w:ascii="Aptos" w:hAnsi="Aptos"/>
                <w:b w:val="0"/>
                <w:bCs w:val="0"/>
                <w:sz w:val="24"/>
                <w:lang w:eastAsia="en-AU"/>
              </w:rPr>
              <w:t>)</w:t>
            </w:r>
            <w:r w:rsidR="003C66C0" w:rsidRPr="0099724D">
              <w:rPr>
                <w:rFonts w:ascii="Aptos" w:hAnsi="Aptos"/>
                <w:b w:val="0"/>
                <w:bCs w:val="0"/>
                <w:sz w:val="24"/>
                <w:lang w:eastAsia="en-AU"/>
              </w:rPr>
              <w:t xml:space="preserve"> </w:t>
            </w:r>
          </w:p>
        </w:tc>
        <w:tc>
          <w:tcPr>
            <w:tcW w:w="744" w:type="pct"/>
            <w:shd w:val="clear" w:color="auto" w:fill="auto"/>
          </w:tcPr>
          <w:p w14:paraId="32B68824" w14:textId="77777777" w:rsidR="003C66C0" w:rsidRPr="000E4DB6" w:rsidRDefault="003C66C0" w:rsidP="003C66C0">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lang w:eastAsia="en-AU"/>
              </w:rPr>
            </w:pPr>
          </w:p>
        </w:tc>
        <w:tc>
          <w:tcPr>
            <w:tcW w:w="1121" w:type="pct"/>
            <w:shd w:val="clear" w:color="auto" w:fill="auto"/>
          </w:tcPr>
          <w:p w14:paraId="1F91A712" w14:textId="77777777" w:rsidR="003C66C0" w:rsidRPr="000E4DB6" w:rsidRDefault="003C66C0" w:rsidP="003C66C0">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lang w:eastAsia="en-AU"/>
              </w:rPr>
            </w:pPr>
          </w:p>
        </w:tc>
        <w:tc>
          <w:tcPr>
            <w:tcW w:w="803" w:type="pct"/>
            <w:shd w:val="clear" w:color="auto" w:fill="auto"/>
          </w:tcPr>
          <w:p w14:paraId="31C316C9" w14:textId="77777777" w:rsidR="003C66C0" w:rsidRPr="000E4DB6" w:rsidRDefault="003C66C0" w:rsidP="003C66C0">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lang w:eastAsia="en-AU"/>
              </w:rPr>
            </w:pPr>
          </w:p>
        </w:tc>
      </w:tr>
      <w:tr w:rsidR="00DD1A52" w:rsidRPr="000E4DB6" w14:paraId="1053DB43" w14:textId="77777777" w:rsidTr="00DD1A52">
        <w:trPr>
          <w:cantSplit/>
          <w:trHeight w:val="300"/>
        </w:trPr>
        <w:tc>
          <w:tcPr>
            <w:cnfStyle w:val="001000000000" w:firstRow="0" w:lastRow="0" w:firstColumn="1" w:lastColumn="0" w:oddVBand="0" w:evenVBand="0" w:oddHBand="0" w:evenHBand="0" w:firstRowFirstColumn="0" w:firstRowLastColumn="0" w:lastRowFirstColumn="0" w:lastRowLastColumn="0"/>
            <w:tcW w:w="2333" w:type="pct"/>
            <w:shd w:val="clear" w:color="auto" w:fill="auto"/>
          </w:tcPr>
          <w:p w14:paraId="5EE439C4" w14:textId="48915BE5" w:rsidR="005A7080" w:rsidRDefault="003C66C0" w:rsidP="005A7080">
            <w:pPr>
              <w:spacing w:before="240" w:after="240"/>
              <w:rPr>
                <w:rFonts w:ascii="Aptos" w:hAnsi="Aptos"/>
                <w:sz w:val="24"/>
                <w:lang w:eastAsia="en-AU"/>
              </w:rPr>
            </w:pPr>
            <w:r>
              <w:rPr>
                <w:rFonts w:ascii="Aptos" w:hAnsi="Aptos"/>
                <w:b w:val="0"/>
                <w:bCs w:val="0"/>
                <w:sz w:val="24"/>
                <w:lang w:eastAsia="en-AU"/>
              </w:rPr>
              <w:t>1.1.</w:t>
            </w:r>
            <w:r w:rsidR="005A7080">
              <w:rPr>
                <w:rFonts w:ascii="Aptos" w:hAnsi="Aptos"/>
                <w:b w:val="0"/>
                <w:bCs w:val="0"/>
                <w:sz w:val="24"/>
                <w:lang w:eastAsia="en-AU"/>
              </w:rPr>
              <w:t>2</w:t>
            </w:r>
            <w:r>
              <w:rPr>
                <w:rFonts w:ascii="Aptos" w:hAnsi="Aptos"/>
                <w:b w:val="0"/>
                <w:bCs w:val="0"/>
                <w:sz w:val="24"/>
                <w:lang w:eastAsia="en-AU"/>
              </w:rPr>
              <w:t xml:space="preserve"> </w:t>
            </w:r>
            <w:r w:rsidR="005A7080" w:rsidRPr="00B837A7">
              <w:rPr>
                <w:rFonts w:ascii="Aptos" w:hAnsi="Aptos"/>
                <w:b w:val="0"/>
                <w:bCs w:val="0"/>
                <w:sz w:val="24"/>
              </w:rPr>
              <w:t>—</w:t>
            </w:r>
            <w:r w:rsidR="005A7080">
              <w:rPr>
                <w:rFonts w:ascii="Aptos" w:hAnsi="Aptos"/>
                <w:b w:val="0"/>
                <w:bCs w:val="0"/>
                <w:sz w:val="24"/>
              </w:rPr>
              <w:t xml:space="preserve"> </w:t>
            </w:r>
            <w:r w:rsidR="005A7080">
              <w:rPr>
                <w:rFonts w:ascii="Aptos" w:hAnsi="Aptos"/>
                <w:b w:val="0"/>
                <w:bCs w:val="0"/>
                <w:sz w:val="24"/>
                <w:lang w:eastAsia="en-AU"/>
              </w:rPr>
              <w:t>E</w:t>
            </w:r>
            <w:r w:rsidR="005A7080" w:rsidRPr="0099724D">
              <w:rPr>
                <w:rFonts w:ascii="Aptos" w:hAnsi="Aptos"/>
                <w:b w:val="0"/>
                <w:bCs w:val="0"/>
                <w:sz w:val="24"/>
                <w:lang w:eastAsia="en-AU"/>
              </w:rPr>
              <w:t xml:space="preserve">stablish and </w:t>
            </w:r>
            <w:r w:rsidR="005A7080">
              <w:rPr>
                <w:rFonts w:ascii="Aptos" w:hAnsi="Aptos"/>
                <w:b w:val="0"/>
                <w:bCs w:val="0"/>
                <w:sz w:val="24"/>
                <w:lang w:eastAsia="en-AU"/>
              </w:rPr>
              <w:t>maintain</w:t>
            </w:r>
            <w:r w:rsidR="005A7080" w:rsidRPr="210CA4FC">
              <w:rPr>
                <w:rFonts w:ascii="Aptos" w:hAnsi="Aptos"/>
                <w:b w:val="0"/>
                <w:bCs w:val="0"/>
                <w:sz w:val="24"/>
                <w:lang w:eastAsia="en-AU"/>
              </w:rPr>
              <w:t xml:space="preserve"> </w:t>
            </w:r>
            <w:r w:rsidR="005A7080">
              <w:rPr>
                <w:rFonts w:ascii="Aptos" w:hAnsi="Aptos"/>
                <w:b w:val="0"/>
                <w:bCs w:val="0"/>
                <w:sz w:val="24"/>
                <w:lang w:eastAsia="en-AU"/>
              </w:rPr>
              <w:t xml:space="preserve">processes to engage Australian governments with </w:t>
            </w:r>
            <w:r w:rsidR="0079469B" w:rsidRPr="0079469B">
              <w:rPr>
                <w:rFonts w:ascii="Aptos" w:hAnsi="Aptos"/>
                <w:b w:val="0"/>
                <w:bCs w:val="0"/>
                <w:sz w:val="24"/>
                <w:lang w:eastAsia="en-AU"/>
              </w:rPr>
              <w:t>representative sample</w:t>
            </w:r>
            <w:r w:rsidR="0079469B">
              <w:rPr>
                <w:rFonts w:ascii="Aptos" w:hAnsi="Aptos"/>
                <w:b w:val="0"/>
                <w:bCs w:val="0"/>
                <w:sz w:val="24"/>
                <w:lang w:eastAsia="en-AU"/>
              </w:rPr>
              <w:t xml:space="preserve">s of the Australian population (i.e., inclusive of those individuals who would not be engaged under </w:t>
            </w:r>
            <w:hyperlink w:anchor="Activity_1_1_1" w:history="1">
              <w:r w:rsidR="002E1F34" w:rsidRPr="002E1F34">
                <w:rPr>
                  <w:rStyle w:val="Hyperlink"/>
                  <w:b w:val="0"/>
                  <w:bCs w:val="0"/>
                  <w:sz w:val="24"/>
                  <w:lang w:eastAsia="en-AU"/>
                </w:rPr>
                <w:t xml:space="preserve">Activity </w:t>
              </w:r>
              <w:r w:rsidR="0079469B" w:rsidRPr="002E1F34">
                <w:rPr>
                  <w:rStyle w:val="Hyperlink"/>
                  <w:b w:val="0"/>
                  <w:bCs w:val="0"/>
                  <w:sz w:val="24"/>
                  <w:lang w:eastAsia="en-AU"/>
                </w:rPr>
                <w:t>1.1.1</w:t>
              </w:r>
            </w:hyperlink>
            <w:r w:rsidR="0079469B">
              <w:rPr>
                <w:rFonts w:ascii="Aptos" w:hAnsi="Aptos"/>
                <w:b w:val="0"/>
                <w:bCs w:val="0"/>
                <w:sz w:val="24"/>
                <w:lang w:eastAsia="en-AU"/>
              </w:rPr>
              <w:t xml:space="preserve">) </w:t>
            </w:r>
            <w:r w:rsidR="004F4F0A">
              <w:rPr>
                <w:rFonts w:ascii="Aptos" w:hAnsi="Aptos"/>
                <w:b w:val="0"/>
                <w:bCs w:val="0"/>
                <w:sz w:val="24"/>
                <w:lang w:eastAsia="en-AU"/>
              </w:rPr>
              <w:t>to inform other activities of this framework and implementation plan by</w:t>
            </w:r>
            <w:r w:rsidR="0079469B">
              <w:rPr>
                <w:rFonts w:ascii="Aptos" w:hAnsi="Aptos"/>
                <w:b w:val="0"/>
                <w:bCs w:val="0"/>
                <w:sz w:val="24"/>
                <w:lang w:eastAsia="en-AU"/>
              </w:rPr>
              <w:t>:</w:t>
            </w:r>
          </w:p>
          <w:p w14:paraId="6F8F1A13" w14:textId="741FFCCA" w:rsidR="0079469B" w:rsidRPr="002D2A39" w:rsidRDefault="0079469B" w:rsidP="0069120C">
            <w:pPr>
              <w:pStyle w:val="ListParagraph"/>
              <w:numPr>
                <w:ilvl w:val="0"/>
                <w:numId w:val="10"/>
              </w:numPr>
              <w:spacing w:before="240" w:after="240"/>
              <w:rPr>
                <w:rFonts w:ascii="Aptos" w:hAnsi="Aptos"/>
                <w:b w:val="0"/>
                <w:bCs w:val="0"/>
                <w:sz w:val="24"/>
                <w:lang w:eastAsia="en-AU"/>
              </w:rPr>
            </w:pPr>
            <w:r w:rsidRPr="002D2A39">
              <w:rPr>
                <w:rFonts w:ascii="Aptos" w:hAnsi="Aptos"/>
                <w:b w:val="0"/>
                <w:bCs w:val="0"/>
                <w:sz w:val="24"/>
                <w:lang w:eastAsia="en-AU"/>
              </w:rPr>
              <w:t>understand</w:t>
            </w:r>
            <w:r w:rsidR="004F4F0A">
              <w:rPr>
                <w:rFonts w:ascii="Aptos" w:hAnsi="Aptos"/>
                <w:b w:val="0"/>
                <w:bCs w:val="0"/>
                <w:sz w:val="24"/>
                <w:lang w:eastAsia="en-AU"/>
              </w:rPr>
              <w:t>ing</w:t>
            </w:r>
            <w:r w:rsidRPr="002D2A39">
              <w:rPr>
                <w:rFonts w:ascii="Aptos" w:hAnsi="Aptos"/>
                <w:b w:val="0"/>
                <w:bCs w:val="0"/>
                <w:sz w:val="24"/>
                <w:lang w:eastAsia="en-AU"/>
              </w:rPr>
              <w:t xml:space="preserve"> </w:t>
            </w:r>
            <w:r>
              <w:rPr>
                <w:rFonts w:ascii="Aptos" w:hAnsi="Aptos"/>
                <w:b w:val="0"/>
                <w:bCs w:val="0"/>
                <w:sz w:val="24"/>
                <w:lang w:eastAsia="en-AU"/>
              </w:rPr>
              <w:t>their priorities, values and expectations relevant to genomics</w:t>
            </w:r>
          </w:p>
          <w:p w14:paraId="7C9F9479" w14:textId="37D19954" w:rsidR="003C66C0" w:rsidRPr="00A565F4" w:rsidRDefault="0079469B" w:rsidP="0069120C">
            <w:pPr>
              <w:pStyle w:val="ListParagraph"/>
              <w:numPr>
                <w:ilvl w:val="0"/>
                <w:numId w:val="10"/>
              </w:numPr>
              <w:spacing w:before="240" w:after="240"/>
              <w:rPr>
                <w:rFonts w:ascii="Aptos" w:hAnsi="Aptos"/>
                <w:b w:val="0"/>
                <w:bCs w:val="0"/>
                <w:sz w:val="24"/>
                <w:lang w:eastAsia="en-AU"/>
              </w:rPr>
            </w:pPr>
            <w:r>
              <w:rPr>
                <w:rFonts w:ascii="Aptos" w:hAnsi="Aptos"/>
                <w:b w:val="0"/>
                <w:bCs w:val="0"/>
                <w:sz w:val="24"/>
                <w:lang w:eastAsia="en-AU"/>
              </w:rPr>
              <w:t>discuss</w:t>
            </w:r>
            <w:r w:rsidR="004F4F0A">
              <w:rPr>
                <w:rFonts w:ascii="Aptos" w:hAnsi="Aptos"/>
                <w:b w:val="0"/>
                <w:bCs w:val="0"/>
                <w:sz w:val="24"/>
                <w:lang w:eastAsia="en-AU"/>
              </w:rPr>
              <w:t>ing</w:t>
            </w:r>
            <w:r>
              <w:rPr>
                <w:rFonts w:ascii="Aptos" w:hAnsi="Aptos"/>
                <w:b w:val="0"/>
                <w:bCs w:val="0"/>
                <w:sz w:val="24"/>
                <w:lang w:eastAsia="en-AU"/>
              </w:rPr>
              <w:t xml:space="preserve"> identified </w:t>
            </w:r>
            <w:r w:rsidRPr="0099724D">
              <w:rPr>
                <w:rFonts w:ascii="Aptos" w:hAnsi="Aptos"/>
                <w:b w:val="0"/>
                <w:bCs w:val="0"/>
                <w:sz w:val="24"/>
                <w:lang w:eastAsia="en-AU"/>
              </w:rPr>
              <w:t>policy</w:t>
            </w:r>
            <w:r>
              <w:rPr>
                <w:rFonts w:ascii="Aptos" w:hAnsi="Aptos"/>
                <w:b w:val="0"/>
                <w:bCs w:val="0"/>
                <w:sz w:val="24"/>
                <w:lang w:eastAsia="en-AU"/>
              </w:rPr>
              <w:t xml:space="preserve"> concerns of national significance (including those that consider</w:t>
            </w:r>
            <w:r w:rsidRPr="210CA4FC">
              <w:rPr>
                <w:rFonts w:ascii="Aptos" w:hAnsi="Aptos"/>
                <w:b w:val="0"/>
                <w:bCs w:val="0"/>
                <w:sz w:val="24"/>
                <w:lang w:eastAsia="en-AU"/>
              </w:rPr>
              <w:t xml:space="preserve"> </w:t>
            </w:r>
            <w:r w:rsidRPr="0099724D">
              <w:rPr>
                <w:rFonts w:ascii="Aptos" w:hAnsi="Aptos"/>
                <w:b w:val="0"/>
                <w:bCs w:val="0"/>
                <w:sz w:val="24"/>
                <w:lang w:eastAsia="en-AU"/>
              </w:rPr>
              <w:t>cultural, ethical, legal</w:t>
            </w:r>
            <w:r>
              <w:rPr>
                <w:rFonts w:ascii="Aptos" w:hAnsi="Aptos"/>
                <w:b w:val="0"/>
                <w:bCs w:val="0"/>
                <w:sz w:val="24"/>
                <w:lang w:eastAsia="en-AU"/>
              </w:rPr>
              <w:t>,</w:t>
            </w:r>
            <w:r w:rsidRPr="0099724D">
              <w:rPr>
                <w:rFonts w:ascii="Aptos" w:hAnsi="Aptos"/>
                <w:b w:val="0"/>
                <w:bCs w:val="0"/>
                <w:sz w:val="24"/>
                <w:lang w:eastAsia="en-AU"/>
              </w:rPr>
              <w:t xml:space="preserve"> social</w:t>
            </w:r>
            <w:r>
              <w:rPr>
                <w:rFonts w:ascii="Aptos" w:hAnsi="Aptos"/>
                <w:b w:val="0"/>
                <w:bCs w:val="0"/>
                <w:sz w:val="24"/>
                <w:lang w:eastAsia="en-AU"/>
              </w:rPr>
              <w:t xml:space="preserve"> and funding</w:t>
            </w:r>
            <w:r w:rsidRPr="0099724D">
              <w:rPr>
                <w:rFonts w:ascii="Aptos" w:hAnsi="Aptos"/>
                <w:b w:val="0"/>
                <w:bCs w:val="0"/>
                <w:sz w:val="24"/>
                <w:lang w:eastAsia="en-AU"/>
              </w:rPr>
              <w:t xml:space="preserve"> implications</w:t>
            </w:r>
            <w:r>
              <w:rPr>
                <w:rFonts w:ascii="Aptos" w:hAnsi="Aptos"/>
                <w:b w:val="0"/>
                <w:bCs w:val="0"/>
                <w:sz w:val="24"/>
                <w:lang w:eastAsia="en-AU"/>
              </w:rPr>
              <w:t>)</w:t>
            </w:r>
          </w:p>
        </w:tc>
        <w:tc>
          <w:tcPr>
            <w:tcW w:w="744" w:type="pct"/>
            <w:shd w:val="clear" w:color="auto" w:fill="auto"/>
          </w:tcPr>
          <w:p w14:paraId="110FDFDE" w14:textId="77777777" w:rsidR="003C66C0" w:rsidRPr="000E4DB6" w:rsidRDefault="003C66C0" w:rsidP="003C66C0">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lang w:eastAsia="en-AU"/>
              </w:rPr>
            </w:pPr>
          </w:p>
        </w:tc>
        <w:tc>
          <w:tcPr>
            <w:tcW w:w="1121" w:type="pct"/>
            <w:shd w:val="clear" w:color="auto" w:fill="auto"/>
          </w:tcPr>
          <w:p w14:paraId="290C0F82" w14:textId="77777777" w:rsidR="003C66C0" w:rsidRPr="000E4DB6" w:rsidRDefault="003C66C0" w:rsidP="003C66C0">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lang w:eastAsia="en-AU"/>
              </w:rPr>
            </w:pPr>
          </w:p>
        </w:tc>
        <w:tc>
          <w:tcPr>
            <w:tcW w:w="803" w:type="pct"/>
            <w:shd w:val="clear" w:color="auto" w:fill="auto"/>
          </w:tcPr>
          <w:p w14:paraId="4EBBA91F" w14:textId="77777777" w:rsidR="003C66C0" w:rsidRPr="000E4DB6" w:rsidRDefault="003C66C0" w:rsidP="003C66C0">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lang w:eastAsia="en-AU"/>
              </w:rPr>
            </w:pPr>
          </w:p>
        </w:tc>
      </w:tr>
      <w:tr w:rsidR="00DD1A52" w:rsidRPr="000E4DB6" w14:paraId="0954AD64" w14:textId="77777777" w:rsidTr="00DD1A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33" w:type="pct"/>
            <w:shd w:val="clear" w:color="auto" w:fill="auto"/>
          </w:tcPr>
          <w:p w14:paraId="308E53CC" w14:textId="020F0FF5" w:rsidR="00F328DF" w:rsidRPr="003C66C0" w:rsidRDefault="00F328DF" w:rsidP="0079469B">
            <w:pPr>
              <w:spacing w:before="240" w:after="240"/>
              <w:rPr>
                <w:rFonts w:ascii="Aptos" w:hAnsi="Aptos"/>
                <w:sz w:val="24"/>
                <w:lang w:eastAsia="en-AU"/>
              </w:rPr>
            </w:pPr>
            <w:r w:rsidRPr="003C66C0">
              <w:rPr>
                <w:rFonts w:ascii="Aptos" w:eastAsia="Times New Roman" w:hAnsi="Aptos"/>
                <w:b w:val="0"/>
                <w:bCs w:val="0"/>
                <w:spacing w:val="0"/>
                <w:kern w:val="0"/>
                <w:sz w:val="24"/>
                <w:lang w:eastAsia="en-AU"/>
                <w14:ligatures w14:val="none"/>
              </w:rPr>
              <w:lastRenderedPageBreak/>
              <w:t>1.</w:t>
            </w:r>
            <w:r w:rsidRPr="003C66C0">
              <w:rPr>
                <w:rFonts w:ascii="Aptos" w:hAnsi="Aptos"/>
                <w:b w:val="0"/>
                <w:bCs w:val="0"/>
                <w:sz w:val="24"/>
              </w:rPr>
              <w:t>1</w:t>
            </w:r>
            <w:r w:rsidRPr="003C66C0">
              <w:rPr>
                <w:rFonts w:ascii="Aptos" w:eastAsia="Times New Roman" w:hAnsi="Aptos"/>
                <w:b w:val="0"/>
                <w:bCs w:val="0"/>
                <w:spacing w:val="0"/>
                <w:kern w:val="0"/>
                <w:sz w:val="24"/>
                <w:lang w:eastAsia="en-AU"/>
                <w14:ligatures w14:val="none"/>
              </w:rPr>
              <w:t>.</w:t>
            </w:r>
            <w:r w:rsidR="0079469B">
              <w:rPr>
                <w:rFonts w:ascii="Aptos" w:eastAsia="Times New Roman" w:hAnsi="Aptos"/>
                <w:b w:val="0"/>
                <w:bCs w:val="0"/>
                <w:spacing w:val="0"/>
                <w:kern w:val="0"/>
                <w:sz w:val="24"/>
                <w:lang w:eastAsia="en-AU"/>
                <w14:ligatures w14:val="none"/>
              </w:rPr>
              <w:t>3</w:t>
            </w:r>
            <w:r w:rsidR="0079469B" w:rsidRPr="003C66C0">
              <w:rPr>
                <w:rFonts w:ascii="Aptos" w:eastAsia="Times New Roman" w:hAnsi="Aptos"/>
                <w:b w:val="0"/>
                <w:bCs w:val="0"/>
                <w:spacing w:val="0"/>
                <w:kern w:val="0"/>
                <w:sz w:val="24"/>
                <w:lang w:eastAsia="en-AU"/>
                <w14:ligatures w14:val="none"/>
              </w:rPr>
              <w:t xml:space="preserve"> </w:t>
            </w:r>
            <w:r w:rsidRPr="004F4F0A">
              <w:rPr>
                <w:rFonts w:ascii="Aptos" w:hAnsi="Aptos"/>
                <w:b w:val="0"/>
                <w:bCs w:val="0"/>
                <w:sz w:val="24"/>
              </w:rPr>
              <w:t xml:space="preserve">— </w:t>
            </w:r>
            <w:r w:rsidRPr="0069120C">
              <w:rPr>
                <w:rFonts w:ascii="Aptos" w:hAnsi="Aptos"/>
                <w:b w:val="0"/>
                <w:bCs w:val="0"/>
                <w:sz w:val="24"/>
              </w:rPr>
              <w:t>Evaluate</w:t>
            </w:r>
            <w:r w:rsidR="008732CD" w:rsidRPr="0069120C">
              <w:rPr>
                <w:rFonts w:ascii="Aptos" w:hAnsi="Aptos"/>
                <w:b w:val="0"/>
                <w:bCs w:val="0"/>
                <w:sz w:val="24"/>
              </w:rPr>
              <w:t xml:space="preserve"> and, if necessary, refine the</w:t>
            </w:r>
            <w:r w:rsidRPr="0069120C">
              <w:rPr>
                <w:rFonts w:ascii="Aptos" w:hAnsi="Aptos"/>
                <w:b w:val="0"/>
                <w:bCs w:val="0"/>
                <w:sz w:val="24"/>
              </w:rPr>
              <w:t xml:space="preserve">  existing </w:t>
            </w:r>
            <w:bookmarkStart w:id="36" w:name="_Hlk198026314"/>
            <w:r w:rsidR="002E1F34">
              <w:rPr>
                <w:rFonts w:ascii="Aptos" w:hAnsi="Aptos"/>
                <w:sz w:val="24"/>
              </w:rPr>
              <w:fldChar w:fldCharType="begin"/>
            </w:r>
            <w:r w:rsidR="002E1F34">
              <w:rPr>
                <w:rFonts w:ascii="Aptos" w:hAnsi="Aptos"/>
                <w:b w:val="0"/>
                <w:bCs w:val="0"/>
                <w:sz w:val="24"/>
              </w:rPr>
              <w:instrText>HYPERLINK "https://www.health.nsw.gov.au/services/Pages/genomic-testing-national-model.aspx"</w:instrText>
            </w:r>
            <w:r w:rsidR="002E1F34">
              <w:rPr>
                <w:rFonts w:ascii="Aptos" w:hAnsi="Aptos"/>
                <w:sz w:val="24"/>
              </w:rPr>
            </w:r>
            <w:r w:rsidR="002E1F34">
              <w:rPr>
                <w:rFonts w:ascii="Aptos" w:hAnsi="Aptos"/>
                <w:sz w:val="24"/>
              </w:rPr>
              <w:fldChar w:fldCharType="separate"/>
            </w:r>
            <w:r w:rsidRPr="002E1F34">
              <w:rPr>
                <w:rStyle w:val="Hyperlink"/>
                <w:b w:val="0"/>
                <w:bCs w:val="0"/>
                <w:sz w:val="24"/>
              </w:rPr>
              <w:t>National Model of Consent for Clinical Genomic Testing</w:t>
            </w:r>
            <w:r w:rsidR="002E1F34">
              <w:rPr>
                <w:rFonts w:ascii="Aptos" w:hAnsi="Aptos"/>
                <w:sz w:val="24"/>
              </w:rPr>
              <w:fldChar w:fldCharType="end"/>
            </w:r>
            <w:r w:rsidR="0079469B" w:rsidRPr="0007118A">
              <w:rPr>
                <w:rFonts w:ascii="Aptos" w:hAnsi="Aptos"/>
                <w:b w:val="0"/>
                <w:bCs w:val="0"/>
                <w:sz w:val="24"/>
              </w:rPr>
              <w:t xml:space="preserve"> </w:t>
            </w:r>
            <w:bookmarkEnd w:id="36"/>
            <w:r w:rsidR="0079469B" w:rsidRPr="0007118A">
              <w:rPr>
                <w:rFonts w:ascii="Aptos" w:hAnsi="Aptos"/>
                <w:b w:val="0"/>
                <w:bCs w:val="0"/>
                <w:sz w:val="24"/>
              </w:rPr>
              <w:t>in</w:t>
            </w:r>
            <w:r w:rsidR="0079469B" w:rsidRPr="004F4F0A">
              <w:rPr>
                <w:rFonts w:ascii="Aptos" w:hAnsi="Aptos"/>
                <w:b w:val="0"/>
                <w:bCs w:val="0"/>
                <w:sz w:val="24"/>
              </w:rPr>
              <w:t xml:space="preserve"> line</w:t>
            </w:r>
            <w:r w:rsidR="0079469B">
              <w:rPr>
                <w:rFonts w:ascii="Aptos" w:hAnsi="Aptos"/>
                <w:b w:val="0"/>
                <w:bCs w:val="0"/>
                <w:sz w:val="24"/>
              </w:rPr>
              <w:t xml:space="preserve"> with community values and expectations and the needs of clinicians and health services,</w:t>
            </w:r>
            <w:r w:rsidR="006F3C82" w:rsidRPr="003C66C0">
              <w:rPr>
                <w:rFonts w:ascii="Aptos" w:hAnsi="Aptos"/>
                <w:b w:val="0"/>
                <w:bCs w:val="0"/>
                <w:sz w:val="24"/>
              </w:rPr>
              <w:t xml:space="preserve"> including </w:t>
            </w:r>
            <w:r w:rsidR="0079469B">
              <w:rPr>
                <w:rFonts w:ascii="Aptos" w:hAnsi="Aptos"/>
                <w:b w:val="0"/>
                <w:bCs w:val="0"/>
                <w:sz w:val="24"/>
              </w:rPr>
              <w:t xml:space="preserve">consideration of </w:t>
            </w:r>
            <w:r w:rsidR="006F3C82" w:rsidRPr="003C66C0">
              <w:rPr>
                <w:rFonts w:ascii="Aptos" w:hAnsi="Aptos"/>
                <w:b w:val="0"/>
                <w:bCs w:val="0"/>
                <w:sz w:val="24"/>
              </w:rPr>
              <w:t xml:space="preserve">how </w:t>
            </w:r>
            <w:r w:rsidR="0079469B">
              <w:rPr>
                <w:rFonts w:ascii="Aptos" w:hAnsi="Aptos"/>
                <w:b w:val="0"/>
                <w:bCs w:val="0"/>
                <w:sz w:val="24"/>
              </w:rPr>
              <w:t>the model</w:t>
            </w:r>
            <w:r w:rsidR="006F3C82" w:rsidRPr="003C66C0">
              <w:rPr>
                <w:rFonts w:ascii="Aptos" w:hAnsi="Aptos"/>
                <w:b w:val="0"/>
                <w:bCs w:val="0"/>
                <w:sz w:val="24"/>
              </w:rPr>
              <w:t xml:space="preserve"> does or does not intersect with consent for secondary purposes and research</w:t>
            </w:r>
            <w:r w:rsidRPr="003C66C0">
              <w:rPr>
                <w:rFonts w:ascii="Aptos" w:hAnsi="Aptos"/>
                <w:b w:val="0"/>
                <w:bCs w:val="0"/>
                <w:sz w:val="24"/>
              </w:rPr>
              <w:t>.</w:t>
            </w:r>
          </w:p>
        </w:tc>
        <w:tc>
          <w:tcPr>
            <w:tcW w:w="744" w:type="pct"/>
            <w:shd w:val="clear" w:color="auto" w:fill="auto"/>
          </w:tcPr>
          <w:p w14:paraId="5F31738D" w14:textId="77777777" w:rsidR="00F328DF" w:rsidRPr="000E4DB6" w:rsidRDefault="00F328DF" w:rsidP="00054647">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lang w:eastAsia="en-AU"/>
              </w:rPr>
            </w:pPr>
          </w:p>
        </w:tc>
        <w:tc>
          <w:tcPr>
            <w:tcW w:w="1121" w:type="pct"/>
            <w:shd w:val="clear" w:color="auto" w:fill="auto"/>
          </w:tcPr>
          <w:p w14:paraId="072ADC24" w14:textId="77777777" w:rsidR="00F328DF" w:rsidRPr="000E4DB6" w:rsidRDefault="00F328DF" w:rsidP="00054647">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lang w:eastAsia="en-AU"/>
              </w:rPr>
            </w:pPr>
          </w:p>
        </w:tc>
        <w:tc>
          <w:tcPr>
            <w:tcW w:w="803" w:type="pct"/>
            <w:shd w:val="clear" w:color="auto" w:fill="auto"/>
          </w:tcPr>
          <w:p w14:paraId="124C047B" w14:textId="77777777" w:rsidR="00F328DF" w:rsidRPr="000E4DB6" w:rsidRDefault="00F328DF" w:rsidP="00054647">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lang w:eastAsia="en-AU"/>
              </w:rPr>
            </w:pPr>
          </w:p>
        </w:tc>
      </w:tr>
      <w:tr w:rsidR="00DD1A52" w:rsidRPr="000E4DB6" w14:paraId="7DD1DDE0" w14:textId="77777777" w:rsidTr="00DD1A52">
        <w:trPr>
          <w:cantSplit/>
          <w:trHeight w:val="300"/>
        </w:trPr>
        <w:tc>
          <w:tcPr>
            <w:cnfStyle w:val="001000000000" w:firstRow="0" w:lastRow="0" w:firstColumn="1" w:lastColumn="0" w:oddVBand="0" w:evenVBand="0" w:oddHBand="0" w:evenHBand="0" w:firstRowFirstColumn="0" w:firstRowLastColumn="0" w:lastRowFirstColumn="0" w:lastRowLastColumn="0"/>
            <w:tcW w:w="2333" w:type="pct"/>
            <w:shd w:val="clear" w:color="auto" w:fill="auto"/>
          </w:tcPr>
          <w:p w14:paraId="3BA687AA" w14:textId="15F1B35D" w:rsidR="00F328DF" w:rsidRPr="000E4DB6" w:rsidRDefault="00F328DF" w:rsidP="00054647">
            <w:pPr>
              <w:spacing w:before="240" w:after="240"/>
              <w:rPr>
                <w:rFonts w:ascii="Aptos" w:hAnsi="Aptos"/>
                <w:sz w:val="24"/>
                <w:lang w:eastAsia="en-AU"/>
              </w:rPr>
            </w:pPr>
            <w:r w:rsidRPr="000E4DB6">
              <w:rPr>
                <w:rFonts w:ascii="Aptos" w:eastAsia="Times New Roman" w:hAnsi="Aptos"/>
                <w:b w:val="0"/>
                <w:bCs w:val="0"/>
                <w:spacing w:val="0"/>
                <w:kern w:val="0"/>
                <w:sz w:val="24"/>
                <w:lang w:eastAsia="en-AU"/>
                <w14:ligatures w14:val="none"/>
              </w:rPr>
              <w:t>1.</w:t>
            </w:r>
            <w:r>
              <w:rPr>
                <w:rFonts w:ascii="Aptos" w:hAnsi="Aptos"/>
                <w:b w:val="0"/>
                <w:bCs w:val="0"/>
                <w:sz w:val="24"/>
              </w:rPr>
              <w:t>1</w:t>
            </w:r>
            <w:r w:rsidRPr="000E4DB6">
              <w:rPr>
                <w:rFonts w:ascii="Aptos" w:eastAsia="Times New Roman" w:hAnsi="Aptos"/>
                <w:b w:val="0"/>
                <w:bCs w:val="0"/>
                <w:spacing w:val="0"/>
                <w:kern w:val="0"/>
                <w:sz w:val="24"/>
                <w:lang w:eastAsia="en-AU"/>
                <w14:ligatures w14:val="none"/>
              </w:rPr>
              <w:t>.</w:t>
            </w:r>
            <w:r w:rsidR="0079469B">
              <w:rPr>
                <w:rFonts w:ascii="Aptos" w:hAnsi="Aptos"/>
                <w:b w:val="0"/>
                <w:bCs w:val="0"/>
                <w:sz w:val="24"/>
              </w:rPr>
              <w:t>4</w:t>
            </w:r>
            <w:r w:rsidRPr="000E4DB6">
              <w:rPr>
                <w:rFonts w:ascii="Aptos" w:eastAsia="Times New Roman" w:hAnsi="Aptos"/>
                <w:b w:val="0"/>
                <w:bCs w:val="0"/>
                <w:spacing w:val="0"/>
                <w:kern w:val="0"/>
                <w:sz w:val="24"/>
                <w:lang w:eastAsia="en-AU"/>
                <w14:ligatures w14:val="none"/>
              </w:rPr>
              <w:t xml:space="preserve"> </w:t>
            </w:r>
            <w:r w:rsidRPr="00466D9E">
              <w:rPr>
                <w:rFonts w:ascii="Aptos" w:hAnsi="Aptos"/>
                <w:b w:val="0"/>
                <w:bCs w:val="0"/>
                <w:sz w:val="24"/>
              </w:rPr>
              <w:t>—</w:t>
            </w:r>
            <w:r>
              <w:rPr>
                <w:rFonts w:ascii="Aptos" w:hAnsi="Aptos"/>
                <w:b w:val="0"/>
                <w:bCs w:val="0"/>
                <w:sz w:val="24"/>
              </w:rPr>
              <w:t xml:space="preserve"> </w:t>
            </w:r>
            <w:r w:rsidRPr="00F328DF">
              <w:rPr>
                <w:rFonts w:ascii="Aptos" w:hAnsi="Aptos"/>
                <w:b w:val="0"/>
                <w:bCs w:val="0"/>
                <w:sz w:val="24"/>
              </w:rPr>
              <w:t>Develop a national</w:t>
            </w:r>
            <w:r w:rsidR="0079469B">
              <w:rPr>
                <w:rFonts w:ascii="Aptos" w:hAnsi="Aptos"/>
                <w:b w:val="0"/>
                <w:bCs w:val="0"/>
                <w:sz w:val="24"/>
              </w:rPr>
              <w:t>ly cohesive</w:t>
            </w:r>
            <w:r w:rsidRPr="00F328DF">
              <w:rPr>
                <w:rFonts w:ascii="Aptos" w:hAnsi="Aptos"/>
                <w:b w:val="0"/>
                <w:bCs w:val="0"/>
                <w:sz w:val="24"/>
              </w:rPr>
              <w:t xml:space="preserve"> strategy to promote adoption</w:t>
            </w:r>
            <w:r w:rsidR="5364B951" w:rsidRPr="210CA4FC">
              <w:rPr>
                <w:rFonts w:ascii="Aptos" w:hAnsi="Aptos"/>
                <w:b w:val="0"/>
                <w:bCs w:val="0"/>
                <w:sz w:val="24"/>
              </w:rPr>
              <w:t>, adaptation</w:t>
            </w:r>
            <w:r w:rsidRPr="00F328DF">
              <w:rPr>
                <w:rFonts w:ascii="Aptos" w:hAnsi="Aptos"/>
                <w:b w:val="0"/>
                <w:bCs w:val="0"/>
                <w:sz w:val="24"/>
              </w:rPr>
              <w:t xml:space="preserve"> and implementation of the </w:t>
            </w:r>
            <w:hyperlink r:id="rId17" w:history="1">
              <w:r w:rsidRPr="002E1F34">
                <w:rPr>
                  <w:rStyle w:val="Hyperlink"/>
                  <w:b w:val="0"/>
                  <w:bCs w:val="0"/>
                  <w:sz w:val="24"/>
                </w:rPr>
                <w:t>National Model of Consent for Clinical Genomic Testing</w:t>
              </w:r>
            </w:hyperlink>
            <w:r w:rsidRPr="00F328DF">
              <w:rPr>
                <w:rFonts w:ascii="Aptos" w:hAnsi="Aptos"/>
                <w:b w:val="0"/>
                <w:bCs w:val="0"/>
                <w:sz w:val="24"/>
              </w:rPr>
              <w:t xml:space="preserve"> across </w:t>
            </w:r>
            <w:r w:rsidR="0079469B">
              <w:rPr>
                <w:rFonts w:ascii="Aptos" w:hAnsi="Aptos"/>
                <w:b w:val="0"/>
                <w:bCs w:val="0"/>
                <w:sz w:val="24"/>
              </w:rPr>
              <w:t xml:space="preserve">the </w:t>
            </w:r>
            <w:r w:rsidR="00C87098" w:rsidRPr="00F328DF">
              <w:rPr>
                <w:rFonts w:ascii="Aptos" w:hAnsi="Aptos"/>
                <w:b w:val="0"/>
                <w:bCs w:val="0"/>
                <w:sz w:val="24"/>
              </w:rPr>
              <w:t xml:space="preserve"> </w:t>
            </w:r>
            <w:r w:rsidR="00C87098">
              <w:rPr>
                <w:rFonts w:ascii="Aptos" w:hAnsi="Aptos"/>
                <w:b w:val="0"/>
                <w:bCs w:val="0"/>
                <w:sz w:val="24"/>
              </w:rPr>
              <w:t xml:space="preserve">Australian </w:t>
            </w:r>
            <w:r w:rsidRPr="00F328DF">
              <w:rPr>
                <w:rFonts w:ascii="Aptos" w:hAnsi="Aptos"/>
                <w:b w:val="0"/>
                <w:bCs w:val="0"/>
                <w:sz w:val="24"/>
              </w:rPr>
              <w:t xml:space="preserve">health </w:t>
            </w:r>
            <w:r w:rsidR="0DC15CC2" w:rsidRPr="07287FCC">
              <w:rPr>
                <w:rFonts w:ascii="Aptos" w:hAnsi="Aptos"/>
                <w:b w:val="0"/>
                <w:bCs w:val="0"/>
                <w:sz w:val="24"/>
              </w:rPr>
              <w:t>system</w:t>
            </w:r>
            <w:r w:rsidR="004505F4">
              <w:rPr>
                <w:rFonts w:ascii="Aptos" w:hAnsi="Aptos"/>
                <w:b w:val="0"/>
                <w:bCs w:val="0"/>
                <w:sz w:val="24"/>
              </w:rPr>
              <w:t>.</w:t>
            </w:r>
          </w:p>
        </w:tc>
        <w:tc>
          <w:tcPr>
            <w:tcW w:w="744" w:type="pct"/>
            <w:shd w:val="clear" w:color="auto" w:fill="auto"/>
          </w:tcPr>
          <w:p w14:paraId="7EAF4784" w14:textId="77777777" w:rsidR="00F328DF" w:rsidRPr="000E4DB6" w:rsidRDefault="00F328DF" w:rsidP="00054647">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lang w:eastAsia="en-AU"/>
              </w:rPr>
            </w:pPr>
          </w:p>
        </w:tc>
        <w:tc>
          <w:tcPr>
            <w:tcW w:w="1121" w:type="pct"/>
            <w:shd w:val="clear" w:color="auto" w:fill="auto"/>
          </w:tcPr>
          <w:p w14:paraId="25578D17" w14:textId="77777777" w:rsidR="00F328DF" w:rsidRPr="000E4DB6" w:rsidRDefault="00F328DF" w:rsidP="00054647">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lang w:eastAsia="en-AU"/>
              </w:rPr>
            </w:pPr>
          </w:p>
        </w:tc>
        <w:tc>
          <w:tcPr>
            <w:tcW w:w="803" w:type="pct"/>
            <w:shd w:val="clear" w:color="auto" w:fill="auto"/>
          </w:tcPr>
          <w:p w14:paraId="2ACC61D4" w14:textId="77777777" w:rsidR="00F328DF" w:rsidRPr="000E4DB6" w:rsidRDefault="00F328DF" w:rsidP="00054647">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lang w:eastAsia="en-AU"/>
              </w:rPr>
            </w:pPr>
          </w:p>
        </w:tc>
      </w:tr>
      <w:tr w:rsidR="00057939" w:rsidRPr="000E4DB6" w14:paraId="11DDBB13" w14:textId="77777777" w:rsidTr="00DD1A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33" w:type="pct"/>
            <w:shd w:val="clear" w:color="auto" w:fill="auto"/>
          </w:tcPr>
          <w:p w14:paraId="0FEE0822" w14:textId="1925CF6B" w:rsidR="009F02B3" w:rsidRPr="00A565F4" w:rsidRDefault="00A565F4" w:rsidP="00054647">
            <w:pPr>
              <w:spacing w:before="240" w:after="240"/>
              <w:rPr>
                <w:rFonts w:ascii="Aptos" w:hAnsi="Aptos"/>
                <w:b w:val="0"/>
                <w:bCs w:val="0"/>
                <w:sz w:val="24"/>
                <w:lang w:eastAsia="en-AU"/>
              </w:rPr>
            </w:pPr>
            <w:bookmarkStart w:id="37" w:name="_Hlk198111034"/>
            <w:r>
              <w:rPr>
                <w:rFonts w:ascii="Aptos" w:hAnsi="Aptos"/>
                <w:b w:val="0"/>
                <w:bCs w:val="0"/>
                <w:sz w:val="24"/>
                <w:lang w:eastAsia="en-AU"/>
              </w:rPr>
              <w:t xml:space="preserve">1.1.5. </w:t>
            </w:r>
            <w:r w:rsidRPr="00466D9E">
              <w:rPr>
                <w:rFonts w:ascii="Aptos" w:hAnsi="Aptos"/>
                <w:b w:val="0"/>
                <w:bCs w:val="0"/>
                <w:sz w:val="24"/>
              </w:rPr>
              <w:t>—</w:t>
            </w:r>
            <w:r>
              <w:rPr>
                <w:rFonts w:ascii="Aptos" w:hAnsi="Aptos"/>
                <w:b w:val="0"/>
                <w:bCs w:val="0"/>
                <w:sz w:val="24"/>
              </w:rPr>
              <w:t xml:space="preserve">  </w:t>
            </w:r>
            <w:r w:rsidRPr="00A565F4">
              <w:rPr>
                <w:rFonts w:ascii="Aptos" w:hAnsi="Aptos"/>
                <w:b w:val="0"/>
                <w:bCs w:val="0"/>
                <w:sz w:val="24"/>
                <w:lang w:eastAsia="en-AU"/>
              </w:rPr>
              <w:t>Consult with public and private pathology laboratories, health services, peak bodies and industry to determine how Australian governments can best support efforts to achieve nationally consistent genomic test result reporting.</w:t>
            </w:r>
            <w:bookmarkEnd w:id="37"/>
          </w:p>
        </w:tc>
        <w:tc>
          <w:tcPr>
            <w:tcW w:w="744" w:type="pct"/>
            <w:shd w:val="clear" w:color="auto" w:fill="auto"/>
          </w:tcPr>
          <w:p w14:paraId="39BABF84" w14:textId="77777777" w:rsidR="009F02B3" w:rsidRPr="000E4DB6" w:rsidRDefault="009F02B3" w:rsidP="00054647">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lang w:eastAsia="en-AU"/>
              </w:rPr>
            </w:pPr>
          </w:p>
        </w:tc>
        <w:tc>
          <w:tcPr>
            <w:tcW w:w="1121" w:type="pct"/>
            <w:shd w:val="clear" w:color="auto" w:fill="auto"/>
          </w:tcPr>
          <w:p w14:paraId="4C520983" w14:textId="77777777" w:rsidR="009F02B3" w:rsidRPr="000E4DB6" w:rsidRDefault="009F02B3" w:rsidP="00054647">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lang w:eastAsia="en-AU"/>
              </w:rPr>
            </w:pPr>
          </w:p>
        </w:tc>
        <w:tc>
          <w:tcPr>
            <w:tcW w:w="803" w:type="pct"/>
            <w:shd w:val="clear" w:color="auto" w:fill="auto"/>
          </w:tcPr>
          <w:p w14:paraId="0243C946" w14:textId="77777777" w:rsidR="009F02B3" w:rsidRPr="000E4DB6" w:rsidRDefault="009F02B3" w:rsidP="00054647">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lang w:eastAsia="en-AU"/>
              </w:rPr>
            </w:pPr>
          </w:p>
        </w:tc>
      </w:tr>
      <w:tr w:rsidR="00DD1A52" w:rsidRPr="000E4DB6" w14:paraId="5078A7FE" w14:textId="77777777" w:rsidTr="00DD1A52">
        <w:trPr>
          <w:cantSplit/>
          <w:trHeight w:val="300"/>
        </w:trPr>
        <w:tc>
          <w:tcPr>
            <w:cnfStyle w:val="001000000000" w:firstRow="0" w:lastRow="0" w:firstColumn="1" w:lastColumn="0" w:oddVBand="0" w:evenVBand="0" w:oddHBand="0" w:evenHBand="0" w:firstRowFirstColumn="0" w:firstRowLastColumn="0" w:lastRowFirstColumn="0" w:lastRowLastColumn="0"/>
            <w:tcW w:w="2333" w:type="pct"/>
            <w:shd w:val="clear" w:color="auto" w:fill="auto"/>
          </w:tcPr>
          <w:p w14:paraId="33928AAB" w14:textId="644C3BA9" w:rsidR="0099724D" w:rsidRPr="000E4DB6" w:rsidRDefault="0099724D" w:rsidP="00054647">
            <w:pPr>
              <w:spacing w:before="240" w:after="240"/>
              <w:rPr>
                <w:rFonts w:ascii="Aptos" w:hAnsi="Aptos"/>
                <w:sz w:val="24"/>
                <w:lang w:eastAsia="en-AU"/>
              </w:rPr>
            </w:pPr>
            <w:bookmarkStart w:id="38" w:name="_Hlk198111079"/>
            <w:r w:rsidRPr="000E4DB6">
              <w:rPr>
                <w:rFonts w:ascii="Aptos" w:eastAsia="Times New Roman" w:hAnsi="Aptos"/>
                <w:b w:val="0"/>
                <w:bCs w:val="0"/>
                <w:spacing w:val="0"/>
                <w:kern w:val="0"/>
                <w:sz w:val="24"/>
                <w:lang w:eastAsia="en-AU"/>
                <w14:ligatures w14:val="none"/>
              </w:rPr>
              <w:t>1.</w:t>
            </w:r>
            <w:r>
              <w:rPr>
                <w:rFonts w:ascii="Aptos" w:hAnsi="Aptos"/>
                <w:b w:val="0"/>
                <w:bCs w:val="0"/>
                <w:sz w:val="24"/>
              </w:rPr>
              <w:t>1</w:t>
            </w:r>
            <w:r w:rsidRPr="000E4DB6">
              <w:rPr>
                <w:rFonts w:ascii="Aptos" w:eastAsia="Times New Roman" w:hAnsi="Aptos"/>
                <w:b w:val="0"/>
                <w:bCs w:val="0"/>
                <w:spacing w:val="0"/>
                <w:kern w:val="0"/>
                <w:sz w:val="24"/>
                <w:lang w:eastAsia="en-AU"/>
                <w14:ligatures w14:val="none"/>
              </w:rPr>
              <w:t>.</w:t>
            </w:r>
            <w:r w:rsidR="00A565F4">
              <w:rPr>
                <w:rFonts w:ascii="Aptos" w:eastAsia="Times New Roman" w:hAnsi="Aptos"/>
                <w:b w:val="0"/>
                <w:bCs w:val="0"/>
                <w:spacing w:val="0"/>
                <w:kern w:val="0"/>
                <w:sz w:val="24"/>
                <w:lang w:eastAsia="en-AU"/>
                <w14:ligatures w14:val="none"/>
              </w:rPr>
              <w:t>6</w:t>
            </w:r>
            <w:r w:rsidRPr="000E4DB6">
              <w:rPr>
                <w:rFonts w:ascii="Aptos" w:eastAsia="Times New Roman" w:hAnsi="Aptos"/>
                <w:b w:val="0"/>
                <w:bCs w:val="0"/>
                <w:spacing w:val="0"/>
                <w:kern w:val="0"/>
                <w:sz w:val="24"/>
                <w:lang w:eastAsia="en-AU"/>
                <w14:ligatures w14:val="none"/>
              </w:rPr>
              <w:t xml:space="preserve"> </w:t>
            </w:r>
            <w:r w:rsidR="00FE740F" w:rsidRPr="00466D9E">
              <w:rPr>
                <w:rFonts w:ascii="Aptos" w:hAnsi="Aptos"/>
                <w:b w:val="0"/>
                <w:bCs w:val="0"/>
                <w:sz w:val="24"/>
              </w:rPr>
              <w:t>—</w:t>
            </w:r>
            <w:r w:rsidR="00FE740F">
              <w:rPr>
                <w:rFonts w:ascii="Aptos" w:hAnsi="Aptos"/>
                <w:b w:val="0"/>
                <w:bCs w:val="0"/>
                <w:sz w:val="24"/>
              </w:rPr>
              <w:t xml:space="preserve"> </w:t>
            </w:r>
            <w:r w:rsidR="00A565F4" w:rsidRPr="00A565F4">
              <w:rPr>
                <w:rFonts w:ascii="Aptos" w:hAnsi="Aptos"/>
                <w:b w:val="0"/>
                <w:bCs w:val="0"/>
                <w:sz w:val="24"/>
              </w:rPr>
              <w:t>Consult with public and private pathology laboratories, health services, peak bodies and industry to determine how Australian governments can best support the consented uploading of accessible genomics test result</w:t>
            </w:r>
            <w:r w:rsidR="00FB381E">
              <w:rPr>
                <w:rFonts w:ascii="Aptos" w:hAnsi="Aptos"/>
                <w:b w:val="0"/>
                <w:bCs w:val="0"/>
                <w:sz w:val="24"/>
              </w:rPr>
              <w:t xml:space="preserve"> reports</w:t>
            </w:r>
            <w:r w:rsidR="00A565F4" w:rsidRPr="00A565F4">
              <w:rPr>
                <w:rFonts w:ascii="Aptos" w:hAnsi="Aptos"/>
                <w:b w:val="0"/>
                <w:bCs w:val="0"/>
                <w:sz w:val="24"/>
              </w:rPr>
              <w:t xml:space="preserve"> to national </w:t>
            </w:r>
            <w:r w:rsidR="00A565F4">
              <w:rPr>
                <w:rFonts w:ascii="Aptos" w:hAnsi="Aptos"/>
                <w:b w:val="0"/>
                <w:bCs w:val="0"/>
                <w:sz w:val="24"/>
              </w:rPr>
              <w:t xml:space="preserve">and state and territory </w:t>
            </w:r>
            <w:r w:rsidR="00A565F4" w:rsidRPr="00A565F4">
              <w:rPr>
                <w:rFonts w:ascii="Aptos" w:hAnsi="Aptos"/>
                <w:b w:val="0"/>
                <w:bCs w:val="0"/>
                <w:sz w:val="24"/>
              </w:rPr>
              <w:t>patient digital health records.</w:t>
            </w:r>
            <w:r w:rsidR="00A565F4">
              <w:rPr>
                <w:rFonts w:ascii="Aptos" w:hAnsi="Aptos"/>
                <w:b w:val="0"/>
                <w:bCs w:val="0"/>
                <w:sz w:val="24"/>
              </w:rPr>
              <w:t xml:space="preserve"> </w:t>
            </w:r>
            <w:bookmarkEnd w:id="38"/>
          </w:p>
        </w:tc>
        <w:tc>
          <w:tcPr>
            <w:tcW w:w="744" w:type="pct"/>
            <w:shd w:val="clear" w:color="auto" w:fill="auto"/>
          </w:tcPr>
          <w:p w14:paraId="17DE9645" w14:textId="77777777" w:rsidR="0099724D" w:rsidRPr="000E4DB6" w:rsidRDefault="0099724D" w:rsidP="00054647">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lang w:eastAsia="en-AU"/>
              </w:rPr>
            </w:pPr>
          </w:p>
        </w:tc>
        <w:tc>
          <w:tcPr>
            <w:tcW w:w="1121" w:type="pct"/>
            <w:shd w:val="clear" w:color="auto" w:fill="auto"/>
          </w:tcPr>
          <w:p w14:paraId="513787DE" w14:textId="77777777" w:rsidR="0099724D" w:rsidRPr="000E4DB6" w:rsidRDefault="0099724D" w:rsidP="00054647">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lang w:eastAsia="en-AU"/>
              </w:rPr>
            </w:pPr>
          </w:p>
        </w:tc>
        <w:tc>
          <w:tcPr>
            <w:tcW w:w="803" w:type="pct"/>
            <w:shd w:val="clear" w:color="auto" w:fill="auto"/>
          </w:tcPr>
          <w:p w14:paraId="5A642F55" w14:textId="77777777" w:rsidR="0099724D" w:rsidRPr="000E4DB6" w:rsidRDefault="0099724D" w:rsidP="00054647">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lang w:eastAsia="en-AU"/>
              </w:rPr>
            </w:pPr>
          </w:p>
        </w:tc>
      </w:tr>
    </w:tbl>
    <w:p w14:paraId="05E03DB9" w14:textId="2FF730DE" w:rsidR="00321436" w:rsidRDefault="00321436" w:rsidP="00785645">
      <w:pPr>
        <w:pStyle w:val="Paragraphtext"/>
        <w:rPr>
          <w:rFonts w:eastAsia="MS PGothic"/>
        </w:rPr>
      </w:pPr>
    </w:p>
    <w:p w14:paraId="2C1B514D" w14:textId="77777777" w:rsidR="00FD38D6" w:rsidRDefault="00FD38D6">
      <w:pPr>
        <w:rPr>
          <w:rFonts w:eastAsia="MS PGothic" w:cs="Arial"/>
          <w:bCs/>
          <w:color w:val="358189"/>
          <w:sz w:val="28"/>
          <w:szCs w:val="26"/>
        </w:rPr>
      </w:pPr>
      <w:bookmarkStart w:id="39" w:name="_Toc197953803"/>
      <w:r>
        <w:rPr>
          <w:rFonts w:eastAsia="MS PGothic"/>
        </w:rPr>
        <w:br w:type="page"/>
      </w:r>
    </w:p>
    <w:p w14:paraId="36A7633B" w14:textId="734EABA2" w:rsidR="00257FF7" w:rsidRPr="00E96F5C" w:rsidRDefault="00257FF7" w:rsidP="00EB2456">
      <w:pPr>
        <w:pStyle w:val="Heading3"/>
        <w:rPr>
          <w:rFonts w:eastAsia="MS PGothic"/>
        </w:rPr>
      </w:pPr>
      <w:bookmarkStart w:id="40" w:name="_Toc198025652"/>
      <w:bookmarkStart w:id="41" w:name="_Toc198025690"/>
      <w:r w:rsidRPr="00E96F5C">
        <w:rPr>
          <w:rFonts w:eastAsia="MS PGothic"/>
        </w:rPr>
        <w:lastRenderedPageBreak/>
        <w:t>Outcome 1.</w:t>
      </w:r>
      <w:r w:rsidR="00EB2456">
        <w:rPr>
          <w:rFonts w:eastAsia="MS PGothic"/>
        </w:rPr>
        <w:t>2</w:t>
      </w:r>
      <w:r w:rsidR="00DE3D33" w:rsidRPr="00E96F5C">
        <w:rPr>
          <w:rFonts w:eastAsia="MS PGothic"/>
        </w:rPr>
        <w:t xml:space="preserve"> </w:t>
      </w:r>
      <w:r w:rsidRPr="00E96F5C">
        <w:rPr>
          <w:rFonts w:eastAsia="MS PGothic"/>
        </w:rPr>
        <w:t>—</w:t>
      </w:r>
      <w:r>
        <w:rPr>
          <w:rFonts w:eastAsia="MS PGothic"/>
        </w:rPr>
        <w:t xml:space="preserve"> Improve </w:t>
      </w:r>
      <w:r w:rsidR="00096A78">
        <w:rPr>
          <w:rFonts w:eastAsia="MS PGothic"/>
        </w:rPr>
        <w:t xml:space="preserve">public </w:t>
      </w:r>
      <w:r>
        <w:rPr>
          <w:rFonts w:eastAsia="MS PGothic"/>
        </w:rPr>
        <w:t>genomic</w:t>
      </w:r>
      <w:r w:rsidR="00036B75">
        <w:rPr>
          <w:rFonts w:eastAsia="MS PGothic"/>
        </w:rPr>
        <w:t>s</w:t>
      </w:r>
      <w:r>
        <w:rPr>
          <w:rFonts w:eastAsia="MS PGothic"/>
        </w:rPr>
        <w:t xml:space="preserve"> </w:t>
      </w:r>
      <w:r w:rsidR="00036B75">
        <w:rPr>
          <w:rFonts w:eastAsia="MS PGothic"/>
        </w:rPr>
        <w:t>knowledge</w:t>
      </w:r>
      <w:bookmarkEnd w:id="39"/>
      <w:bookmarkEnd w:id="40"/>
      <w:bookmarkEnd w:id="41"/>
    </w:p>
    <w:p w14:paraId="4E96911F" w14:textId="4486610C" w:rsidR="00257FF7" w:rsidRPr="00F53094" w:rsidRDefault="00586AD5" w:rsidP="0069120C">
      <w:pPr>
        <w:numPr>
          <w:ilvl w:val="0"/>
          <w:numId w:val="7"/>
        </w:numPr>
        <w:spacing w:before="240" w:after="240"/>
        <w:ind w:left="641" w:hanging="357"/>
        <w:rPr>
          <w:rFonts w:ascii="Aptos" w:eastAsia="Arial" w:hAnsi="Aptos"/>
          <w:kern w:val="2"/>
          <w:szCs w:val="22"/>
        </w:rPr>
      </w:pPr>
      <w:r w:rsidRPr="00F53094">
        <w:rPr>
          <w:rFonts w:ascii="Aptos" w:eastAsia="Arial" w:hAnsi="Aptos"/>
          <w:kern w:val="2"/>
          <w:szCs w:val="22"/>
        </w:rPr>
        <w:t>individuals</w:t>
      </w:r>
      <w:r w:rsidR="00257FF7" w:rsidRPr="00F53094">
        <w:rPr>
          <w:rFonts w:ascii="Aptos" w:eastAsia="Arial" w:hAnsi="Aptos"/>
          <w:kern w:val="2"/>
          <w:szCs w:val="22"/>
        </w:rPr>
        <w:t>, families and communities have equitable access to evidence-based, culturally and linguistically appropriate educational resources to support improvement of genomic</w:t>
      </w:r>
      <w:r w:rsidR="00036B75" w:rsidRPr="00F53094">
        <w:rPr>
          <w:rFonts w:ascii="Aptos" w:eastAsia="Arial" w:hAnsi="Aptos"/>
          <w:kern w:val="2"/>
          <w:szCs w:val="22"/>
        </w:rPr>
        <w:t>s knowledge</w:t>
      </w:r>
      <w:r w:rsidR="00DE3D33" w:rsidRPr="00F53094">
        <w:rPr>
          <w:rFonts w:ascii="Aptos" w:eastAsia="Arial" w:hAnsi="Aptos"/>
          <w:kern w:val="2"/>
          <w:szCs w:val="22"/>
        </w:rPr>
        <w:t xml:space="preserve"> and trust</w:t>
      </w:r>
      <w:r w:rsidR="00036B75" w:rsidRPr="00F53094">
        <w:rPr>
          <w:rFonts w:ascii="Aptos" w:eastAsia="Arial" w:hAnsi="Aptos"/>
          <w:kern w:val="2"/>
          <w:szCs w:val="22"/>
        </w:rPr>
        <w:t>, and decision-making about the use of genomics in health care</w:t>
      </w:r>
    </w:p>
    <w:tbl>
      <w:tblPr>
        <w:tblStyle w:val="ListTable3-Accent1"/>
        <w:tblpPr w:leftFromText="181" w:rightFromText="181" w:vertAnchor="text" w:tblpY="1"/>
        <w:tblOverlap w:val="never"/>
        <w:tblW w:w="4998" w:type="pct"/>
        <w:tblLook w:val="04A0" w:firstRow="1" w:lastRow="0" w:firstColumn="1" w:lastColumn="0" w:noHBand="0" w:noVBand="1"/>
      </w:tblPr>
      <w:tblGrid>
        <w:gridCol w:w="3970"/>
        <w:gridCol w:w="1397"/>
        <w:gridCol w:w="2182"/>
        <w:gridCol w:w="1507"/>
      </w:tblGrid>
      <w:tr w:rsidR="00FD38D6" w:rsidRPr="000E4DB6" w14:paraId="06479FDF" w14:textId="77777777" w:rsidTr="0028169C">
        <w:trPr>
          <w:cnfStyle w:val="100000000000" w:firstRow="1" w:lastRow="0" w:firstColumn="0" w:lastColumn="0" w:oddVBand="0" w:evenVBand="0" w:oddHBand="0" w:evenHBand="0" w:firstRowFirstColumn="0" w:firstRowLastColumn="0" w:lastRowFirstColumn="0" w:lastRowLastColumn="0"/>
          <w:cantSplit/>
          <w:trHeight w:val="283"/>
        </w:trPr>
        <w:tc>
          <w:tcPr>
            <w:cnfStyle w:val="001000000100" w:firstRow="0" w:lastRow="0" w:firstColumn="1" w:lastColumn="0" w:oddVBand="0" w:evenVBand="0" w:oddHBand="0" w:evenHBand="0" w:firstRowFirstColumn="1" w:firstRowLastColumn="0" w:lastRowFirstColumn="0" w:lastRowLastColumn="0"/>
            <w:tcW w:w="2192" w:type="pct"/>
          </w:tcPr>
          <w:p w14:paraId="014A1F11" w14:textId="16D716E2" w:rsidR="00FD38D6" w:rsidRPr="000E4DB6" w:rsidRDefault="00FD38D6" w:rsidP="00FD38D6">
            <w:pPr>
              <w:spacing w:before="240" w:after="240"/>
              <w:rPr>
                <w:rFonts w:ascii="Aptos" w:eastAsia="Times New Roman" w:hAnsi="Aptos"/>
                <w:spacing w:val="0"/>
                <w:kern w:val="0"/>
                <w:sz w:val="24"/>
                <w:lang w:eastAsia="en-AU"/>
                <w14:ligatures w14:val="none"/>
              </w:rPr>
            </w:pPr>
            <w:r w:rsidRPr="000E4DB6">
              <w:rPr>
                <w:rFonts w:ascii="Aptos" w:eastAsia="Times New Roman" w:hAnsi="Aptos"/>
                <w:spacing w:val="0"/>
                <w:kern w:val="0"/>
                <w:sz w:val="24"/>
                <w:lang w:eastAsia="en-AU"/>
                <w14:ligatures w14:val="none"/>
              </w:rPr>
              <w:t xml:space="preserve">National </w:t>
            </w:r>
            <w:r w:rsidR="00AB1B96" w:rsidRPr="000E4DB6">
              <w:rPr>
                <w:rFonts w:ascii="Aptos" w:eastAsia="Times New Roman" w:hAnsi="Aptos"/>
                <w:spacing w:val="0"/>
                <w:kern w:val="0"/>
                <w:sz w:val="24"/>
                <w:lang w:eastAsia="en-AU"/>
                <w14:ligatures w14:val="none"/>
              </w:rPr>
              <w:t>Activit</w:t>
            </w:r>
            <w:r w:rsidR="00AB1B96">
              <w:rPr>
                <w:rFonts w:ascii="Aptos" w:eastAsia="Times New Roman" w:hAnsi="Aptos"/>
                <w:spacing w:val="0"/>
                <w:kern w:val="0"/>
                <w:sz w:val="24"/>
                <w:lang w:eastAsia="en-AU"/>
                <w14:ligatures w14:val="none"/>
              </w:rPr>
              <w:t>y</w:t>
            </w:r>
          </w:p>
        </w:tc>
        <w:tc>
          <w:tcPr>
            <w:tcW w:w="771" w:type="pct"/>
          </w:tcPr>
          <w:p w14:paraId="1396899F" w14:textId="77777777" w:rsidR="00FD38D6" w:rsidRPr="000E4DB6" w:rsidRDefault="00FD38D6" w:rsidP="00FD38D6">
            <w:pPr>
              <w:spacing w:before="240" w:after="240"/>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spacing w:val="0"/>
                <w:kern w:val="0"/>
                <w:sz w:val="24"/>
                <w:lang w:eastAsia="en-AU"/>
                <w14:ligatures w14:val="none"/>
              </w:rPr>
            </w:pPr>
            <w:r w:rsidRPr="000E4DB6">
              <w:rPr>
                <w:rFonts w:ascii="Aptos" w:eastAsia="Times New Roman" w:hAnsi="Aptos"/>
                <w:spacing w:val="0"/>
                <w:kern w:val="0"/>
                <w:sz w:val="24"/>
                <w:lang w:eastAsia="en-AU"/>
                <w14:ligatures w14:val="none"/>
              </w:rPr>
              <w:t>Timeframe</w:t>
            </w:r>
          </w:p>
        </w:tc>
        <w:tc>
          <w:tcPr>
            <w:tcW w:w="1205" w:type="pct"/>
          </w:tcPr>
          <w:p w14:paraId="112A6651" w14:textId="549596C5" w:rsidR="00FD38D6" w:rsidRPr="000E4DB6" w:rsidRDefault="00FD38D6" w:rsidP="00FD38D6">
            <w:pPr>
              <w:spacing w:before="240" w:after="240"/>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spacing w:val="0"/>
                <w:kern w:val="0"/>
                <w:sz w:val="24"/>
                <w:lang w:eastAsia="en-AU"/>
                <w14:ligatures w14:val="none"/>
              </w:rPr>
            </w:pPr>
            <w:r>
              <w:rPr>
                <w:rFonts w:ascii="Aptos" w:eastAsia="Times New Roman" w:hAnsi="Aptos"/>
                <w:spacing w:val="0"/>
                <w:kern w:val="0"/>
                <w:sz w:val="24"/>
                <w:lang w:eastAsia="en-AU"/>
                <w14:ligatures w14:val="none"/>
              </w:rPr>
              <w:t>Responsible for Coordination</w:t>
            </w:r>
          </w:p>
        </w:tc>
        <w:tc>
          <w:tcPr>
            <w:tcW w:w="832" w:type="pct"/>
          </w:tcPr>
          <w:p w14:paraId="22A3F055" w14:textId="77777777" w:rsidR="00FD38D6" w:rsidRPr="000E4DB6" w:rsidRDefault="00FD38D6" w:rsidP="00FD38D6">
            <w:pPr>
              <w:spacing w:before="240" w:after="240"/>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spacing w:val="0"/>
                <w:kern w:val="0"/>
                <w:sz w:val="24"/>
                <w:lang w:eastAsia="en-AU"/>
                <w14:ligatures w14:val="none"/>
              </w:rPr>
            </w:pPr>
            <w:r w:rsidRPr="000E4DB6">
              <w:rPr>
                <w:rFonts w:ascii="Aptos" w:eastAsia="Times New Roman" w:hAnsi="Aptos"/>
                <w:spacing w:val="0"/>
                <w:kern w:val="0"/>
                <w:sz w:val="24"/>
                <w:lang w:eastAsia="en-AU"/>
                <w14:ligatures w14:val="none"/>
              </w:rPr>
              <w:t>Priority</w:t>
            </w:r>
          </w:p>
        </w:tc>
      </w:tr>
      <w:tr w:rsidR="00FD38D6" w:rsidRPr="000E4DB6" w14:paraId="11DB768D" w14:textId="77777777" w:rsidTr="0028169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92" w:type="pct"/>
            <w:shd w:val="clear" w:color="auto" w:fill="auto"/>
          </w:tcPr>
          <w:p w14:paraId="54B2CFB4" w14:textId="4EB3624B" w:rsidR="00FD38D6" w:rsidRPr="00927E8F" w:rsidRDefault="00FD38D6" w:rsidP="00FD38D6">
            <w:pPr>
              <w:spacing w:before="240" w:after="240"/>
              <w:rPr>
                <w:rFonts w:ascii="Aptos" w:hAnsi="Aptos"/>
                <w:sz w:val="24"/>
              </w:rPr>
            </w:pPr>
            <w:r w:rsidRPr="0069120C">
              <w:rPr>
                <w:rFonts w:ascii="Aptos" w:hAnsi="Aptos"/>
                <w:b w:val="0"/>
                <w:bCs w:val="0"/>
                <w:sz w:val="24"/>
                <w:lang w:eastAsia="en-AU"/>
              </w:rPr>
              <w:t>1.2.1</w:t>
            </w:r>
            <w:r w:rsidRPr="0007118A">
              <w:rPr>
                <w:rFonts w:ascii="Aptos" w:hAnsi="Aptos"/>
                <w:sz w:val="24"/>
                <w:lang w:eastAsia="en-AU"/>
              </w:rPr>
              <w:t xml:space="preserve"> </w:t>
            </w:r>
            <w:r w:rsidRPr="0007118A">
              <w:rPr>
                <w:rFonts w:ascii="Aptos" w:hAnsi="Aptos"/>
                <w:b w:val="0"/>
                <w:bCs w:val="0"/>
                <w:sz w:val="24"/>
              </w:rPr>
              <w:t>—</w:t>
            </w:r>
            <w:r>
              <w:rPr>
                <w:rFonts w:ascii="Aptos" w:hAnsi="Aptos"/>
                <w:b w:val="0"/>
                <w:bCs w:val="0"/>
                <w:sz w:val="24"/>
              </w:rPr>
              <w:t xml:space="preserve"> Engage with communities to understand what educational resources for the public are expected, valued and needed to improve knowledge and trust and support informed decision-making related to genomics, and identify currently available resources and what additional resources are desired or needed nationally and in states and territories.</w:t>
            </w:r>
          </w:p>
        </w:tc>
        <w:tc>
          <w:tcPr>
            <w:tcW w:w="771" w:type="pct"/>
            <w:shd w:val="clear" w:color="auto" w:fill="auto"/>
          </w:tcPr>
          <w:p w14:paraId="6AD707BA" w14:textId="77777777" w:rsidR="00FD38D6" w:rsidRPr="000E4DB6" w:rsidRDefault="00FD38D6" w:rsidP="00FD38D6">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lang w:eastAsia="en-AU"/>
              </w:rPr>
            </w:pPr>
          </w:p>
        </w:tc>
        <w:tc>
          <w:tcPr>
            <w:tcW w:w="1205" w:type="pct"/>
            <w:shd w:val="clear" w:color="auto" w:fill="auto"/>
          </w:tcPr>
          <w:p w14:paraId="56505485" w14:textId="77777777" w:rsidR="00FD38D6" w:rsidRPr="000E4DB6" w:rsidRDefault="00FD38D6" w:rsidP="00FD38D6">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lang w:eastAsia="en-AU"/>
              </w:rPr>
            </w:pPr>
          </w:p>
        </w:tc>
        <w:tc>
          <w:tcPr>
            <w:tcW w:w="832" w:type="pct"/>
            <w:shd w:val="clear" w:color="auto" w:fill="auto"/>
          </w:tcPr>
          <w:p w14:paraId="62C74629" w14:textId="77777777" w:rsidR="00FD38D6" w:rsidRPr="000E4DB6" w:rsidRDefault="00FD38D6" w:rsidP="00FD38D6">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lang w:eastAsia="en-AU"/>
              </w:rPr>
            </w:pPr>
          </w:p>
        </w:tc>
      </w:tr>
      <w:tr w:rsidR="00FD38D6" w:rsidRPr="000E4DB6" w14:paraId="09AE1A6D" w14:textId="77777777" w:rsidTr="0028169C">
        <w:trPr>
          <w:cantSplit/>
          <w:trHeight w:val="300"/>
        </w:trPr>
        <w:tc>
          <w:tcPr>
            <w:cnfStyle w:val="001000000000" w:firstRow="0" w:lastRow="0" w:firstColumn="1" w:lastColumn="0" w:oddVBand="0" w:evenVBand="0" w:oddHBand="0" w:evenHBand="0" w:firstRowFirstColumn="0" w:firstRowLastColumn="0" w:lastRowFirstColumn="0" w:lastRowLastColumn="0"/>
            <w:tcW w:w="2192" w:type="pct"/>
            <w:shd w:val="clear" w:color="auto" w:fill="auto"/>
          </w:tcPr>
          <w:p w14:paraId="7E731596" w14:textId="09C5E607" w:rsidR="00FD38D6" w:rsidRDefault="00FD38D6" w:rsidP="00FD38D6">
            <w:pPr>
              <w:spacing w:before="240" w:after="240"/>
              <w:rPr>
                <w:rFonts w:ascii="Aptos" w:hAnsi="Aptos"/>
                <w:sz w:val="24"/>
              </w:rPr>
            </w:pPr>
            <w:r w:rsidRPr="000E4DB6">
              <w:rPr>
                <w:rFonts w:ascii="Aptos" w:eastAsia="Times New Roman" w:hAnsi="Aptos"/>
                <w:b w:val="0"/>
                <w:bCs w:val="0"/>
                <w:spacing w:val="0"/>
                <w:kern w:val="0"/>
                <w:sz w:val="24"/>
                <w:lang w:eastAsia="en-AU"/>
                <w14:ligatures w14:val="none"/>
              </w:rPr>
              <w:t>1.</w:t>
            </w:r>
            <w:r>
              <w:rPr>
                <w:rFonts w:ascii="Aptos" w:hAnsi="Aptos"/>
                <w:b w:val="0"/>
                <w:bCs w:val="0"/>
                <w:sz w:val="24"/>
              </w:rPr>
              <w:t>2</w:t>
            </w:r>
            <w:r w:rsidRPr="000E4DB6">
              <w:rPr>
                <w:rFonts w:ascii="Aptos" w:eastAsia="Times New Roman" w:hAnsi="Aptos"/>
                <w:b w:val="0"/>
                <w:bCs w:val="0"/>
                <w:spacing w:val="0"/>
                <w:kern w:val="0"/>
                <w:sz w:val="24"/>
                <w:lang w:eastAsia="en-AU"/>
                <w14:ligatures w14:val="none"/>
              </w:rPr>
              <w:t>.</w:t>
            </w:r>
            <w:r>
              <w:rPr>
                <w:rFonts w:ascii="Aptos" w:eastAsia="Times New Roman" w:hAnsi="Aptos"/>
                <w:b w:val="0"/>
                <w:bCs w:val="0"/>
                <w:spacing w:val="0"/>
                <w:kern w:val="0"/>
                <w:sz w:val="24"/>
                <w:lang w:eastAsia="en-AU"/>
                <w14:ligatures w14:val="none"/>
              </w:rPr>
              <w:t>2</w:t>
            </w:r>
            <w:r w:rsidRPr="000E4DB6">
              <w:rPr>
                <w:rFonts w:ascii="Aptos" w:hAnsi="Aptos"/>
                <w:sz w:val="24"/>
              </w:rPr>
              <w:t xml:space="preserve"> </w:t>
            </w:r>
            <w:r w:rsidRPr="00466D9E">
              <w:rPr>
                <w:rFonts w:ascii="Aptos" w:hAnsi="Aptos"/>
                <w:b w:val="0"/>
                <w:bCs w:val="0"/>
                <w:sz w:val="24"/>
              </w:rPr>
              <w:t>—</w:t>
            </w:r>
            <w:r>
              <w:rPr>
                <w:rFonts w:ascii="Aptos" w:hAnsi="Aptos"/>
                <w:b w:val="0"/>
                <w:bCs w:val="0"/>
                <w:sz w:val="24"/>
              </w:rPr>
              <w:t xml:space="preserve"> Establish a process to: </w:t>
            </w:r>
          </w:p>
          <w:p w14:paraId="1E2F1874" w14:textId="0FC69DFD" w:rsidR="00FD38D6" w:rsidRPr="0069120C" w:rsidRDefault="00FD38D6" w:rsidP="0069120C">
            <w:pPr>
              <w:pStyle w:val="ListParagraph"/>
              <w:numPr>
                <w:ilvl w:val="0"/>
                <w:numId w:val="7"/>
              </w:numPr>
              <w:spacing w:before="240" w:after="240"/>
              <w:ind w:left="357" w:hanging="357"/>
              <w:rPr>
                <w:rFonts w:ascii="Aptos" w:hAnsi="Aptos"/>
                <w:b w:val="0"/>
                <w:bCs w:val="0"/>
                <w:sz w:val="24"/>
              </w:rPr>
            </w:pPr>
            <w:r w:rsidRPr="0069120C">
              <w:rPr>
                <w:rFonts w:ascii="Aptos" w:hAnsi="Aptos"/>
                <w:b w:val="0"/>
                <w:bCs w:val="0"/>
                <w:sz w:val="24"/>
              </w:rPr>
              <w:t>endorse existing or develop new accessible national educational resources for the public that improve knowledge and trust and support informed decision-making related to genomics</w:t>
            </w:r>
          </w:p>
          <w:p w14:paraId="04CCE593" w14:textId="3F5FB676" w:rsidR="00FD38D6" w:rsidRPr="00927E8F" w:rsidRDefault="00FD38D6" w:rsidP="0069120C">
            <w:pPr>
              <w:pStyle w:val="ListParagraph"/>
              <w:numPr>
                <w:ilvl w:val="0"/>
                <w:numId w:val="7"/>
              </w:numPr>
              <w:spacing w:before="240" w:after="240"/>
              <w:ind w:left="357" w:hanging="357"/>
              <w:rPr>
                <w:rFonts w:ascii="Aptos" w:eastAsia="Times New Roman" w:hAnsi="Aptos"/>
                <w:b w:val="0"/>
                <w:bCs w:val="0"/>
                <w:spacing w:val="0"/>
                <w:kern w:val="0"/>
                <w:sz w:val="24"/>
                <w:lang w:eastAsia="en-AU"/>
                <w14:ligatures w14:val="none"/>
              </w:rPr>
            </w:pPr>
            <w:r w:rsidRPr="0069120C">
              <w:rPr>
                <w:rFonts w:ascii="Aptos" w:hAnsi="Aptos"/>
                <w:b w:val="0"/>
                <w:bCs w:val="0"/>
                <w:sz w:val="24"/>
              </w:rPr>
              <w:t>leverage existing or develop new state and territory specific genomics resources</w:t>
            </w:r>
            <w:r w:rsidRPr="00927E8F">
              <w:rPr>
                <w:rFonts w:ascii="Aptos" w:hAnsi="Aptos"/>
                <w:sz w:val="24"/>
              </w:rPr>
              <w:t xml:space="preserve"> </w:t>
            </w:r>
            <w:r w:rsidRPr="004217A3">
              <w:rPr>
                <w:rFonts w:ascii="Aptos" w:hAnsi="Aptos"/>
                <w:b w:val="0"/>
                <w:bCs w:val="0"/>
                <w:sz w:val="24"/>
              </w:rPr>
              <w:t>that support patient access to public hospital services in alignment with local population needs and health system design</w:t>
            </w:r>
          </w:p>
        </w:tc>
        <w:tc>
          <w:tcPr>
            <w:tcW w:w="771" w:type="pct"/>
            <w:shd w:val="clear" w:color="auto" w:fill="auto"/>
          </w:tcPr>
          <w:p w14:paraId="438FF309" w14:textId="77777777" w:rsidR="00FD38D6" w:rsidRPr="000E4DB6" w:rsidRDefault="00FD38D6" w:rsidP="00FD38D6">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spacing w:val="0"/>
                <w:kern w:val="0"/>
                <w:sz w:val="24"/>
                <w:lang w:eastAsia="en-AU"/>
                <w14:ligatures w14:val="none"/>
              </w:rPr>
            </w:pPr>
          </w:p>
        </w:tc>
        <w:tc>
          <w:tcPr>
            <w:tcW w:w="1205" w:type="pct"/>
            <w:shd w:val="clear" w:color="auto" w:fill="auto"/>
          </w:tcPr>
          <w:p w14:paraId="046B6C10" w14:textId="77777777" w:rsidR="00FD38D6" w:rsidRPr="000E4DB6" w:rsidRDefault="00FD38D6" w:rsidP="00FD38D6">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spacing w:val="0"/>
                <w:kern w:val="0"/>
                <w:sz w:val="24"/>
                <w:lang w:eastAsia="en-AU"/>
                <w14:ligatures w14:val="none"/>
              </w:rPr>
            </w:pPr>
          </w:p>
        </w:tc>
        <w:tc>
          <w:tcPr>
            <w:tcW w:w="832" w:type="pct"/>
            <w:shd w:val="clear" w:color="auto" w:fill="auto"/>
          </w:tcPr>
          <w:p w14:paraId="281D5E0E" w14:textId="77777777" w:rsidR="00FD38D6" w:rsidRPr="000E4DB6" w:rsidRDefault="00FD38D6" w:rsidP="00FD38D6">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spacing w:val="0"/>
                <w:kern w:val="0"/>
                <w:sz w:val="24"/>
                <w:lang w:eastAsia="en-AU"/>
                <w14:ligatures w14:val="none"/>
              </w:rPr>
            </w:pPr>
          </w:p>
        </w:tc>
      </w:tr>
    </w:tbl>
    <w:p w14:paraId="675B2F80" w14:textId="77777777" w:rsidR="0028169C" w:rsidRDefault="0028169C">
      <w:r>
        <w:rPr>
          <w:b/>
          <w:bCs/>
        </w:rPr>
        <w:br w:type="page"/>
      </w:r>
    </w:p>
    <w:tbl>
      <w:tblPr>
        <w:tblStyle w:val="ListTable3-Accent1"/>
        <w:tblpPr w:leftFromText="181" w:rightFromText="181" w:vertAnchor="text" w:tblpY="1"/>
        <w:tblOverlap w:val="never"/>
        <w:tblW w:w="4998" w:type="pct"/>
        <w:tblLook w:val="0480" w:firstRow="0" w:lastRow="0" w:firstColumn="1" w:lastColumn="0" w:noHBand="0" w:noVBand="1"/>
      </w:tblPr>
      <w:tblGrid>
        <w:gridCol w:w="3971"/>
        <w:gridCol w:w="1396"/>
        <w:gridCol w:w="2182"/>
        <w:gridCol w:w="1507"/>
      </w:tblGrid>
      <w:tr w:rsidR="00FD38D6" w:rsidRPr="000E4DB6" w14:paraId="2CF1948A" w14:textId="77777777" w:rsidTr="0028169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92" w:type="pct"/>
            <w:shd w:val="clear" w:color="auto" w:fill="auto"/>
          </w:tcPr>
          <w:p w14:paraId="02205AB0" w14:textId="7FC944A3" w:rsidR="00FD38D6" w:rsidRPr="0028169C" w:rsidRDefault="00FD38D6" w:rsidP="00FD38D6">
            <w:pPr>
              <w:spacing w:before="240" w:after="240"/>
              <w:rPr>
                <w:rFonts w:ascii="Aptos" w:hAnsi="Aptos"/>
                <w:sz w:val="24"/>
              </w:rPr>
            </w:pPr>
            <w:r w:rsidRPr="0028169C">
              <w:rPr>
                <w:rFonts w:ascii="Aptos" w:eastAsia="Times New Roman" w:hAnsi="Aptos"/>
                <w:b w:val="0"/>
                <w:bCs w:val="0"/>
                <w:spacing w:val="0"/>
                <w:kern w:val="0"/>
                <w:sz w:val="24"/>
                <w:lang w:eastAsia="en-AU"/>
                <w14:ligatures w14:val="none"/>
              </w:rPr>
              <w:lastRenderedPageBreak/>
              <w:t>1.</w:t>
            </w:r>
            <w:r w:rsidRPr="0028169C">
              <w:rPr>
                <w:rFonts w:ascii="Aptos" w:hAnsi="Aptos"/>
                <w:b w:val="0"/>
                <w:bCs w:val="0"/>
                <w:sz w:val="24"/>
              </w:rPr>
              <w:t>2</w:t>
            </w:r>
            <w:r w:rsidRPr="0028169C">
              <w:rPr>
                <w:rFonts w:ascii="Aptos" w:eastAsia="Times New Roman" w:hAnsi="Aptos"/>
                <w:b w:val="0"/>
                <w:bCs w:val="0"/>
                <w:spacing w:val="0"/>
                <w:kern w:val="0"/>
                <w:sz w:val="24"/>
                <w:lang w:eastAsia="en-AU"/>
                <w14:ligatures w14:val="none"/>
              </w:rPr>
              <w:t>.</w:t>
            </w:r>
            <w:r w:rsidR="00555154" w:rsidRPr="0028169C">
              <w:rPr>
                <w:rFonts w:ascii="Aptos" w:eastAsia="Times New Roman" w:hAnsi="Aptos"/>
                <w:b w:val="0"/>
                <w:bCs w:val="0"/>
                <w:spacing w:val="0"/>
                <w:kern w:val="0"/>
                <w:sz w:val="24"/>
                <w:lang w:eastAsia="en-AU"/>
                <w14:ligatures w14:val="none"/>
              </w:rPr>
              <w:t>3</w:t>
            </w:r>
            <w:r w:rsidRPr="0028169C">
              <w:rPr>
                <w:rFonts w:ascii="Aptos" w:hAnsi="Aptos"/>
                <w:b w:val="0"/>
                <w:bCs w:val="0"/>
                <w:sz w:val="24"/>
              </w:rPr>
              <w:t>— Establish a process or mechanism to make nationally endorsed educational resources available, and to direct the public to patient and community advocacy groups, information about clinical trials, and state and territory specific genomics resources, in line with public expectations and preferences.</w:t>
            </w:r>
          </w:p>
        </w:tc>
        <w:tc>
          <w:tcPr>
            <w:tcW w:w="771" w:type="pct"/>
            <w:shd w:val="clear" w:color="auto" w:fill="auto"/>
          </w:tcPr>
          <w:p w14:paraId="2E43B5AE" w14:textId="77777777" w:rsidR="00FD38D6" w:rsidRPr="000E4DB6" w:rsidRDefault="00FD38D6" w:rsidP="00FD38D6">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spacing w:val="0"/>
                <w:kern w:val="0"/>
                <w:sz w:val="24"/>
                <w:lang w:eastAsia="en-AU"/>
                <w14:ligatures w14:val="none"/>
              </w:rPr>
            </w:pPr>
          </w:p>
        </w:tc>
        <w:tc>
          <w:tcPr>
            <w:tcW w:w="1205" w:type="pct"/>
            <w:shd w:val="clear" w:color="auto" w:fill="auto"/>
          </w:tcPr>
          <w:p w14:paraId="769DA056" w14:textId="77777777" w:rsidR="00FD38D6" w:rsidRPr="000E4DB6" w:rsidRDefault="00FD38D6" w:rsidP="00FD38D6">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spacing w:val="0"/>
                <w:kern w:val="0"/>
                <w:sz w:val="24"/>
                <w:lang w:eastAsia="en-AU"/>
                <w14:ligatures w14:val="none"/>
              </w:rPr>
            </w:pPr>
          </w:p>
        </w:tc>
        <w:tc>
          <w:tcPr>
            <w:tcW w:w="832" w:type="pct"/>
            <w:shd w:val="clear" w:color="auto" w:fill="auto"/>
          </w:tcPr>
          <w:p w14:paraId="181D0911" w14:textId="77777777" w:rsidR="00FD38D6" w:rsidRPr="000E4DB6" w:rsidRDefault="00FD38D6" w:rsidP="00FD38D6">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spacing w:val="0"/>
                <w:kern w:val="0"/>
                <w:sz w:val="24"/>
                <w:lang w:eastAsia="en-AU"/>
                <w14:ligatures w14:val="none"/>
              </w:rPr>
            </w:pPr>
          </w:p>
        </w:tc>
      </w:tr>
    </w:tbl>
    <w:p w14:paraId="0E1A1BC3" w14:textId="77777777" w:rsidR="0028169C" w:rsidRDefault="0028169C" w:rsidP="00355345">
      <w:pPr>
        <w:pStyle w:val="Heading2"/>
        <w:rPr>
          <w:rFonts w:eastAsia="MS PGothic"/>
          <w:sz w:val="36"/>
          <w:szCs w:val="36"/>
        </w:rPr>
      </w:pPr>
      <w:bookmarkStart w:id="42" w:name="_Strategic_Priority_2"/>
      <w:bookmarkStart w:id="43" w:name="_Toc198025691"/>
      <w:bookmarkEnd w:id="42"/>
    </w:p>
    <w:p w14:paraId="323F67C7" w14:textId="77777777" w:rsidR="0028169C" w:rsidRDefault="0028169C">
      <w:pPr>
        <w:rPr>
          <w:rFonts w:ascii="Aptos" w:eastAsia="MS PGothic" w:hAnsi="Aptos" w:cs="Arial"/>
          <w:bCs/>
          <w:iCs/>
          <w:color w:val="358189"/>
          <w:sz w:val="36"/>
          <w:szCs w:val="36"/>
        </w:rPr>
      </w:pPr>
      <w:r>
        <w:rPr>
          <w:rFonts w:eastAsia="MS PGothic"/>
          <w:sz w:val="36"/>
          <w:szCs w:val="36"/>
        </w:rPr>
        <w:br w:type="page"/>
      </w:r>
    </w:p>
    <w:p w14:paraId="2C878810" w14:textId="1AA7CBBA" w:rsidR="00E628C8" w:rsidRPr="00C947A9" w:rsidRDefault="00E628C8" w:rsidP="00355345">
      <w:pPr>
        <w:pStyle w:val="Heading2"/>
        <w:rPr>
          <w:rFonts w:eastAsia="MS PGothic"/>
          <w:sz w:val="36"/>
          <w:szCs w:val="36"/>
        </w:rPr>
      </w:pPr>
      <w:r w:rsidRPr="00C947A9">
        <w:rPr>
          <w:rFonts w:eastAsia="MS PGothic"/>
          <w:sz w:val="36"/>
          <w:szCs w:val="36"/>
        </w:rPr>
        <w:lastRenderedPageBreak/>
        <w:t>Strategic Priority 2 – Dynamic and Sustainable Genomics Ecosystem</w:t>
      </w:r>
      <w:bookmarkEnd w:id="43"/>
    </w:p>
    <w:p w14:paraId="66F9C432" w14:textId="56AB6C09" w:rsidR="008C53EB" w:rsidRDefault="00973E7B" w:rsidP="00E628C8">
      <w:pPr>
        <w:rPr>
          <w:rFonts w:ascii="Aptos" w:hAnsi="Aptos"/>
          <w:sz w:val="24"/>
        </w:rPr>
      </w:pPr>
      <w:r w:rsidRPr="00C947A9">
        <w:rPr>
          <w:rFonts w:ascii="Aptos" w:hAnsi="Aptos"/>
          <w:sz w:val="24"/>
        </w:rPr>
        <w:t>Realising the full potential of genomics-</w:t>
      </w:r>
      <w:r w:rsidR="008003D6">
        <w:rPr>
          <w:rFonts w:ascii="Aptos" w:hAnsi="Aptos"/>
          <w:sz w:val="24"/>
        </w:rPr>
        <w:t>inform</w:t>
      </w:r>
      <w:r w:rsidRPr="00C947A9">
        <w:rPr>
          <w:rFonts w:ascii="Aptos" w:hAnsi="Aptos"/>
          <w:sz w:val="24"/>
        </w:rPr>
        <w:t>ed health care</w:t>
      </w:r>
      <w:r w:rsidR="00096339" w:rsidRPr="00C947A9">
        <w:rPr>
          <w:rFonts w:ascii="Aptos" w:hAnsi="Aptos"/>
          <w:sz w:val="24"/>
        </w:rPr>
        <w:t xml:space="preserve"> </w:t>
      </w:r>
      <w:r w:rsidR="00693EE1">
        <w:rPr>
          <w:rFonts w:ascii="Aptos" w:hAnsi="Aptos"/>
          <w:sz w:val="24"/>
        </w:rPr>
        <w:t>is dependent on</w:t>
      </w:r>
      <w:r w:rsidR="00693EE1" w:rsidRPr="00C947A9">
        <w:rPr>
          <w:rFonts w:ascii="Aptos" w:hAnsi="Aptos"/>
          <w:sz w:val="24"/>
        </w:rPr>
        <w:t xml:space="preserve"> </w:t>
      </w:r>
      <w:r w:rsidRPr="00C947A9">
        <w:rPr>
          <w:rFonts w:ascii="Aptos" w:hAnsi="Aptos"/>
          <w:sz w:val="24"/>
        </w:rPr>
        <w:t>a dynamic and fit-for-purpose genomics ecosystem that fosters and embraces research and innovation</w:t>
      </w:r>
      <w:r w:rsidR="00EE758E">
        <w:rPr>
          <w:rFonts w:ascii="Aptos" w:hAnsi="Aptos"/>
          <w:sz w:val="24"/>
        </w:rPr>
        <w:t xml:space="preserve">. This will </w:t>
      </w:r>
      <w:r w:rsidR="00693EE1">
        <w:rPr>
          <w:rFonts w:ascii="Aptos" w:hAnsi="Aptos"/>
          <w:sz w:val="24"/>
        </w:rPr>
        <w:t>require</w:t>
      </w:r>
      <w:r w:rsidRPr="00C947A9">
        <w:rPr>
          <w:rFonts w:ascii="Aptos" w:hAnsi="Aptos"/>
          <w:sz w:val="24"/>
        </w:rPr>
        <w:t xml:space="preserve"> an informed and capable multidisciplinary workforce and the necessary infrastructure to ensure that the health benefits of genomic knowledge and technology are harnessed and incorporated within the health system in an equitable, scalable and sustainable manner to benefit all Australians. This involves</w:t>
      </w:r>
      <w:r w:rsidR="004505F4">
        <w:rPr>
          <w:rFonts w:ascii="Aptos" w:hAnsi="Aptos"/>
          <w:sz w:val="24"/>
        </w:rPr>
        <w:t xml:space="preserve"> </w:t>
      </w:r>
      <w:r w:rsidRPr="00C947A9">
        <w:rPr>
          <w:rFonts w:ascii="Aptos" w:hAnsi="Aptos"/>
          <w:sz w:val="24"/>
        </w:rPr>
        <w:t xml:space="preserve">bolstering the </w:t>
      </w:r>
      <w:r w:rsidR="001341EF">
        <w:rPr>
          <w:rFonts w:ascii="Aptos" w:hAnsi="Aptos"/>
          <w:sz w:val="24"/>
        </w:rPr>
        <w:t xml:space="preserve">specialised </w:t>
      </w:r>
      <w:r w:rsidRPr="00C947A9">
        <w:rPr>
          <w:rFonts w:ascii="Aptos" w:hAnsi="Aptos"/>
          <w:sz w:val="24"/>
        </w:rPr>
        <w:t>health genomics workforce</w:t>
      </w:r>
      <w:r w:rsidR="001341EF">
        <w:rPr>
          <w:rFonts w:ascii="Aptos" w:hAnsi="Aptos"/>
          <w:sz w:val="24"/>
        </w:rPr>
        <w:t>, m</w:t>
      </w:r>
      <w:r w:rsidR="001341EF" w:rsidRPr="001341EF">
        <w:rPr>
          <w:rFonts w:ascii="Aptos" w:hAnsi="Aptos"/>
          <w:sz w:val="24"/>
        </w:rPr>
        <w:t>ainstream health workforce</w:t>
      </w:r>
      <w:r w:rsidRPr="00C947A9">
        <w:rPr>
          <w:rFonts w:ascii="Aptos" w:hAnsi="Aptos"/>
          <w:sz w:val="24"/>
        </w:rPr>
        <w:t xml:space="preserve"> and infrastructure</w:t>
      </w:r>
      <w:r w:rsidR="001341EF">
        <w:rPr>
          <w:rFonts w:ascii="Aptos" w:hAnsi="Aptos"/>
          <w:sz w:val="24"/>
        </w:rPr>
        <w:t>,</w:t>
      </w:r>
      <w:r w:rsidR="008C53EB">
        <w:rPr>
          <w:rFonts w:ascii="Aptos" w:hAnsi="Aptos"/>
          <w:sz w:val="24"/>
        </w:rPr>
        <w:t xml:space="preserve"> and</w:t>
      </w:r>
      <w:r w:rsidRPr="00C947A9">
        <w:rPr>
          <w:rFonts w:ascii="Aptos" w:hAnsi="Aptos"/>
          <w:sz w:val="24"/>
        </w:rPr>
        <w:t xml:space="preserve"> </w:t>
      </w:r>
      <w:r w:rsidR="008C53EB" w:rsidRPr="00C947A9">
        <w:rPr>
          <w:rFonts w:ascii="Aptos" w:hAnsi="Aptos"/>
          <w:sz w:val="24"/>
        </w:rPr>
        <w:t xml:space="preserve">supporting service availability and provision </w:t>
      </w:r>
      <w:r w:rsidRPr="00C947A9">
        <w:rPr>
          <w:rFonts w:ascii="Aptos" w:hAnsi="Aptos"/>
          <w:sz w:val="24"/>
        </w:rPr>
        <w:t>across Australia.</w:t>
      </w:r>
      <w:r w:rsidR="00B932B0">
        <w:rPr>
          <w:rFonts w:ascii="Aptos" w:hAnsi="Aptos"/>
          <w:sz w:val="24"/>
        </w:rPr>
        <w:t xml:space="preserve"> </w:t>
      </w:r>
      <w:r w:rsidR="00B932B0" w:rsidRPr="002D2A39">
        <w:rPr>
          <w:rFonts w:ascii="Aptos" w:hAnsi="Aptos"/>
          <w:sz w:val="24"/>
        </w:rPr>
        <w:t>The outcomes and activi</w:t>
      </w:r>
      <w:r w:rsidR="00B932B0">
        <w:rPr>
          <w:rFonts w:ascii="Aptos" w:hAnsi="Aptos"/>
          <w:sz w:val="24"/>
        </w:rPr>
        <w:t>ties detailed under this Strategic Priority may support advice to Australian governments concerning the need for investments and alternative funding models.</w:t>
      </w:r>
    </w:p>
    <w:p w14:paraId="116A9323" w14:textId="77777777" w:rsidR="008C53EB" w:rsidRDefault="008C53EB" w:rsidP="00E628C8">
      <w:pPr>
        <w:rPr>
          <w:rFonts w:ascii="Aptos" w:hAnsi="Aptos"/>
          <w:sz w:val="24"/>
        </w:rPr>
      </w:pPr>
    </w:p>
    <w:p w14:paraId="6EDD1FAB" w14:textId="797759BD" w:rsidR="00321436" w:rsidRPr="00927E8F" w:rsidRDefault="00EE42BE">
      <w:pPr>
        <w:rPr>
          <w:rFonts w:ascii="Aptos" w:hAnsi="Aptos"/>
          <w:sz w:val="24"/>
        </w:rPr>
      </w:pPr>
      <w:r>
        <w:rPr>
          <w:rFonts w:ascii="Aptos" w:hAnsi="Aptos"/>
          <w:sz w:val="24"/>
        </w:rPr>
        <w:t xml:space="preserve">Efforts should be backed by a strong research </w:t>
      </w:r>
      <w:r w:rsidR="00737D6D">
        <w:rPr>
          <w:rFonts w:ascii="Aptos" w:hAnsi="Aptos"/>
          <w:sz w:val="24"/>
        </w:rPr>
        <w:t>and innovation</w:t>
      </w:r>
      <w:r w:rsidR="00973E7B" w:rsidRPr="00C947A9">
        <w:rPr>
          <w:rFonts w:ascii="Aptos" w:hAnsi="Aptos"/>
          <w:sz w:val="24"/>
        </w:rPr>
        <w:t xml:space="preserve"> </w:t>
      </w:r>
      <w:r>
        <w:rPr>
          <w:rFonts w:ascii="Aptos" w:hAnsi="Aptos"/>
          <w:sz w:val="24"/>
        </w:rPr>
        <w:t>sector with the capacity and infrastructure to generate new knowledge, and the readiness of health systems to adopt</w:t>
      </w:r>
      <w:r w:rsidR="00843815">
        <w:rPr>
          <w:rFonts w:ascii="Aptos" w:hAnsi="Aptos"/>
          <w:sz w:val="24"/>
        </w:rPr>
        <w:t xml:space="preserve"> </w:t>
      </w:r>
      <w:r w:rsidR="00B019EE">
        <w:rPr>
          <w:rFonts w:ascii="Aptos" w:hAnsi="Aptos"/>
          <w:sz w:val="24"/>
        </w:rPr>
        <w:t xml:space="preserve">evidence-based </w:t>
      </w:r>
      <w:r>
        <w:rPr>
          <w:rFonts w:ascii="Aptos" w:hAnsi="Aptos"/>
          <w:sz w:val="24"/>
        </w:rPr>
        <w:t>genomics research outcomes.</w:t>
      </w:r>
    </w:p>
    <w:p w14:paraId="2E26AC4D" w14:textId="34E32B14" w:rsidR="00E628C8" w:rsidRPr="00E96F5C" w:rsidRDefault="00E628C8" w:rsidP="00E628C8">
      <w:pPr>
        <w:pStyle w:val="Heading3"/>
        <w:rPr>
          <w:rFonts w:eastAsia="MS PGothic"/>
        </w:rPr>
      </w:pPr>
      <w:bookmarkStart w:id="44" w:name="_Toc197953805"/>
      <w:bookmarkStart w:id="45" w:name="_Toc198025692"/>
      <w:r w:rsidRPr="00E96F5C">
        <w:rPr>
          <w:rFonts w:eastAsia="MS PGothic"/>
        </w:rPr>
        <w:t xml:space="preserve">Outcome </w:t>
      </w:r>
      <w:r>
        <w:rPr>
          <w:rFonts w:eastAsia="MS PGothic"/>
        </w:rPr>
        <w:t>2.1</w:t>
      </w:r>
      <w:r w:rsidRPr="00E96F5C">
        <w:rPr>
          <w:rFonts w:eastAsia="MS PGothic"/>
        </w:rPr>
        <w:t xml:space="preserve"> — </w:t>
      </w:r>
      <w:r w:rsidR="005D3EC3">
        <w:rPr>
          <w:rFonts w:eastAsia="MS PGothic"/>
        </w:rPr>
        <w:t>Understand and develop</w:t>
      </w:r>
      <w:r w:rsidR="007D092E">
        <w:rPr>
          <w:rFonts w:eastAsia="MS PGothic"/>
        </w:rPr>
        <w:t xml:space="preserve"> specialised</w:t>
      </w:r>
      <w:r w:rsidR="004505F4">
        <w:rPr>
          <w:rFonts w:eastAsia="MS PGothic"/>
        </w:rPr>
        <w:t xml:space="preserve"> </w:t>
      </w:r>
      <w:r w:rsidR="005D3EC3">
        <w:rPr>
          <w:rFonts w:eastAsia="MS PGothic"/>
        </w:rPr>
        <w:t>w</w:t>
      </w:r>
      <w:r w:rsidR="00274EFD">
        <w:rPr>
          <w:rFonts w:eastAsia="MS PGothic"/>
        </w:rPr>
        <w:t xml:space="preserve">orkforce </w:t>
      </w:r>
      <w:r w:rsidR="005D3EC3">
        <w:rPr>
          <w:rFonts w:eastAsia="MS PGothic"/>
        </w:rPr>
        <w:t>c</w:t>
      </w:r>
      <w:r w:rsidR="00274EFD">
        <w:rPr>
          <w:rFonts w:eastAsia="MS PGothic"/>
        </w:rPr>
        <w:t xml:space="preserve">apacity, </w:t>
      </w:r>
      <w:r w:rsidR="005D3EC3">
        <w:rPr>
          <w:rFonts w:eastAsia="MS PGothic"/>
        </w:rPr>
        <w:t>i</w:t>
      </w:r>
      <w:r w:rsidR="00274EFD">
        <w:rPr>
          <w:rFonts w:eastAsia="MS PGothic"/>
        </w:rPr>
        <w:t xml:space="preserve">nfrastructure, </w:t>
      </w:r>
      <w:r w:rsidR="005D3EC3">
        <w:rPr>
          <w:rFonts w:eastAsia="MS PGothic"/>
        </w:rPr>
        <w:t>and health s</w:t>
      </w:r>
      <w:r w:rsidR="00274EFD">
        <w:rPr>
          <w:rFonts w:eastAsia="MS PGothic"/>
        </w:rPr>
        <w:t xml:space="preserve">ervice </w:t>
      </w:r>
      <w:r w:rsidR="005D3EC3">
        <w:rPr>
          <w:rFonts w:eastAsia="MS PGothic"/>
        </w:rPr>
        <w:t>d</w:t>
      </w:r>
      <w:r w:rsidR="00274EFD">
        <w:rPr>
          <w:rFonts w:eastAsia="MS PGothic"/>
        </w:rPr>
        <w:t>esign</w:t>
      </w:r>
      <w:bookmarkEnd w:id="44"/>
      <w:bookmarkEnd w:id="45"/>
    </w:p>
    <w:p w14:paraId="2A503712" w14:textId="2FBCAD43" w:rsidR="00E628C8" w:rsidRPr="00333E6E" w:rsidRDefault="00EB2456" w:rsidP="0069120C">
      <w:pPr>
        <w:numPr>
          <w:ilvl w:val="0"/>
          <w:numId w:val="7"/>
        </w:numPr>
        <w:spacing w:before="240" w:after="240"/>
        <w:ind w:left="641" w:hanging="357"/>
        <w:rPr>
          <w:rFonts w:ascii="Aptos" w:eastAsia="Arial" w:hAnsi="Aptos"/>
          <w:kern w:val="2"/>
          <w:szCs w:val="22"/>
        </w:rPr>
      </w:pPr>
      <w:r w:rsidRPr="00333E6E">
        <w:rPr>
          <w:rFonts w:ascii="Aptos" w:eastAsia="Arial" w:hAnsi="Aptos"/>
          <w:kern w:val="2"/>
          <w:szCs w:val="22"/>
        </w:rPr>
        <w:t xml:space="preserve">a </w:t>
      </w:r>
      <w:r w:rsidR="001D2EF2" w:rsidRPr="00333E6E">
        <w:rPr>
          <w:rFonts w:ascii="Aptos" w:eastAsia="Arial" w:hAnsi="Aptos"/>
          <w:kern w:val="2"/>
          <w:szCs w:val="22"/>
        </w:rPr>
        <w:t>capable, sufficiently sized, sustainable and culturally competent specialised health genomics workforce (including</w:t>
      </w:r>
      <w:r w:rsidR="004E6547">
        <w:rPr>
          <w:rFonts w:ascii="Aptos" w:eastAsia="Arial" w:hAnsi="Aptos"/>
          <w:kern w:val="2"/>
          <w:szCs w:val="22"/>
        </w:rPr>
        <w:t xml:space="preserve"> clinicians interacting directly with patients and</w:t>
      </w:r>
      <w:r w:rsidR="001D2EF2" w:rsidRPr="00333E6E">
        <w:rPr>
          <w:rFonts w:ascii="Aptos" w:eastAsia="Arial" w:hAnsi="Aptos"/>
          <w:kern w:val="2"/>
          <w:szCs w:val="22"/>
        </w:rPr>
        <w:t xml:space="preserve"> </w:t>
      </w:r>
      <w:r w:rsidR="004E6547">
        <w:rPr>
          <w:rFonts w:ascii="Aptos" w:eastAsia="Arial" w:hAnsi="Aptos"/>
          <w:kern w:val="2"/>
          <w:szCs w:val="22"/>
        </w:rPr>
        <w:t xml:space="preserve">those in </w:t>
      </w:r>
      <w:r w:rsidR="001D2EF2" w:rsidRPr="00333E6E">
        <w:rPr>
          <w:rFonts w:ascii="Aptos" w:eastAsia="Arial" w:hAnsi="Aptos"/>
          <w:kern w:val="2"/>
          <w:szCs w:val="22"/>
        </w:rPr>
        <w:t>laboratory</w:t>
      </w:r>
      <w:r w:rsidR="004E6547">
        <w:rPr>
          <w:rFonts w:ascii="Aptos" w:eastAsia="Arial" w:hAnsi="Aptos"/>
          <w:kern w:val="2"/>
          <w:szCs w:val="22"/>
        </w:rPr>
        <w:t xml:space="preserve"> settings</w:t>
      </w:r>
      <w:r w:rsidR="001D2EF2" w:rsidRPr="00333E6E">
        <w:rPr>
          <w:rFonts w:ascii="Aptos" w:eastAsia="Arial" w:hAnsi="Aptos"/>
          <w:kern w:val="2"/>
          <w:szCs w:val="22"/>
        </w:rPr>
        <w:t>) with clear roles and responsibilities built around core competencies to effectively and efficiently deliver a person- and family-centred approach and improve</w:t>
      </w:r>
      <w:r w:rsidR="008003D6" w:rsidRPr="00333E6E">
        <w:rPr>
          <w:rFonts w:ascii="Aptos" w:eastAsia="Arial" w:hAnsi="Aptos"/>
          <w:kern w:val="2"/>
          <w:szCs w:val="22"/>
        </w:rPr>
        <w:t xml:space="preserve"> </w:t>
      </w:r>
      <w:r w:rsidR="001D2EF2" w:rsidRPr="00333E6E">
        <w:rPr>
          <w:rFonts w:ascii="Aptos" w:eastAsia="Arial" w:hAnsi="Aptos"/>
          <w:kern w:val="2"/>
          <w:szCs w:val="22"/>
        </w:rPr>
        <w:t>outcomes</w:t>
      </w:r>
    </w:p>
    <w:p w14:paraId="1E408191" w14:textId="5C6B8901" w:rsidR="002736F0" w:rsidRPr="00333E6E" w:rsidRDefault="005D3EC3" w:rsidP="0069120C">
      <w:pPr>
        <w:numPr>
          <w:ilvl w:val="0"/>
          <w:numId w:val="7"/>
        </w:numPr>
        <w:spacing w:before="240" w:after="240"/>
        <w:ind w:left="641" w:hanging="357"/>
        <w:rPr>
          <w:rFonts w:ascii="Aptos" w:eastAsia="Arial" w:hAnsi="Aptos"/>
          <w:kern w:val="2"/>
          <w:szCs w:val="22"/>
        </w:rPr>
      </w:pPr>
      <w:r w:rsidRPr="00333E6E">
        <w:rPr>
          <w:rFonts w:ascii="Aptos" w:eastAsia="Arial" w:hAnsi="Aptos"/>
          <w:kern w:val="2"/>
          <w:szCs w:val="22"/>
        </w:rPr>
        <w:t xml:space="preserve">utilisation </w:t>
      </w:r>
      <w:r w:rsidR="001D2EF2" w:rsidRPr="00333E6E">
        <w:rPr>
          <w:rFonts w:ascii="Aptos" w:eastAsia="Arial" w:hAnsi="Aptos"/>
          <w:kern w:val="2"/>
          <w:szCs w:val="22"/>
        </w:rPr>
        <w:t xml:space="preserve">of existing and future investments in </w:t>
      </w:r>
      <w:r w:rsidR="004E6547">
        <w:rPr>
          <w:rFonts w:ascii="Aptos" w:eastAsia="Arial" w:hAnsi="Aptos"/>
          <w:kern w:val="2"/>
          <w:szCs w:val="22"/>
        </w:rPr>
        <w:t xml:space="preserve">the specialised </w:t>
      </w:r>
      <w:r w:rsidR="001D2EF2" w:rsidRPr="00333E6E">
        <w:rPr>
          <w:rFonts w:ascii="Aptos" w:eastAsia="Arial" w:hAnsi="Aptos"/>
          <w:kern w:val="2"/>
          <w:szCs w:val="22"/>
        </w:rPr>
        <w:t>health genomics workforce and infrastructure that maximises effectiveness and efficiency</w:t>
      </w:r>
    </w:p>
    <w:p w14:paraId="2CC729AC" w14:textId="52F82315" w:rsidR="002736F0" w:rsidRPr="00333E6E" w:rsidRDefault="005D3EC3" w:rsidP="0069120C">
      <w:pPr>
        <w:numPr>
          <w:ilvl w:val="0"/>
          <w:numId w:val="7"/>
        </w:numPr>
        <w:spacing w:before="240" w:after="240"/>
        <w:ind w:left="641" w:hanging="357"/>
        <w:rPr>
          <w:rFonts w:ascii="Aptos" w:eastAsia="Arial" w:hAnsi="Aptos"/>
          <w:kern w:val="2"/>
          <w:szCs w:val="22"/>
        </w:rPr>
      </w:pPr>
      <w:r>
        <w:rPr>
          <w:rFonts w:ascii="Aptos" w:eastAsia="Arial" w:hAnsi="Aptos"/>
          <w:kern w:val="2"/>
          <w:szCs w:val="22"/>
        </w:rPr>
        <w:t>a</w:t>
      </w:r>
      <w:r w:rsidR="001D2EF2" w:rsidRPr="00333E6E">
        <w:rPr>
          <w:rFonts w:ascii="Aptos" w:eastAsia="Arial" w:hAnsi="Aptos"/>
          <w:kern w:val="2"/>
          <w:szCs w:val="22"/>
        </w:rPr>
        <w:t>ll Australians have equitable, affordable and timely access to genomics-</w:t>
      </w:r>
      <w:r w:rsidR="008003D6" w:rsidRPr="00333E6E">
        <w:rPr>
          <w:rFonts w:ascii="Aptos" w:eastAsia="Arial" w:hAnsi="Aptos"/>
          <w:kern w:val="2"/>
          <w:szCs w:val="22"/>
        </w:rPr>
        <w:t>inform</w:t>
      </w:r>
      <w:r w:rsidR="001D2EF2" w:rsidRPr="00333E6E">
        <w:rPr>
          <w:rFonts w:ascii="Aptos" w:eastAsia="Arial" w:hAnsi="Aptos"/>
          <w:kern w:val="2"/>
          <w:szCs w:val="22"/>
        </w:rPr>
        <w:t>ed health care where there is evidence of benefit</w:t>
      </w:r>
    </w:p>
    <w:p w14:paraId="716271C0" w14:textId="5B5D19B6" w:rsidR="002736F0" w:rsidRPr="00333E6E" w:rsidRDefault="005D3EC3" w:rsidP="0069120C">
      <w:pPr>
        <w:numPr>
          <w:ilvl w:val="0"/>
          <w:numId w:val="7"/>
        </w:numPr>
        <w:spacing w:before="240" w:after="240"/>
        <w:ind w:left="641" w:hanging="357"/>
        <w:rPr>
          <w:rFonts w:eastAsia="Arial"/>
          <w:kern w:val="2"/>
        </w:rPr>
      </w:pPr>
      <w:r>
        <w:rPr>
          <w:rFonts w:ascii="Aptos" w:eastAsia="Arial" w:hAnsi="Aptos"/>
          <w:kern w:val="2"/>
          <w:szCs w:val="22"/>
        </w:rPr>
        <w:t>c</w:t>
      </w:r>
      <w:r w:rsidR="001D2EF2" w:rsidRPr="00333E6E">
        <w:rPr>
          <w:rFonts w:ascii="Aptos" w:eastAsia="Arial" w:hAnsi="Aptos"/>
          <w:kern w:val="2"/>
          <w:szCs w:val="22"/>
        </w:rPr>
        <w:t>ontinuity of care is improved with clarity about the patient journey and navigation of the health system, to avoid unnecessary genomics-</w:t>
      </w:r>
      <w:r w:rsidR="008003D6" w:rsidRPr="00333E6E">
        <w:rPr>
          <w:rFonts w:ascii="Aptos" w:eastAsia="Arial" w:hAnsi="Aptos"/>
          <w:kern w:val="2"/>
          <w:szCs w:val="22"/>
        </w:rPr>
        <w:t>inform</w:t>
      </w:r>
      <w:r w:rsidR="001D2EF2" w:rsidRPr="00333E6E">
        <w:rPr>
          <w:rFonts w:ascii="Aptos" w:eastAsia="Arial" w:hAnsi="Aptos"/>
          <w:kern w:val="2"/>
          <w:szCs w:val="22"/>
        </w:rPr>
        <w:t>ed health care</w:t>
      </w:r>
    </w:p>
    <w:p w14:paraId="7CC913CB" w14:textId="564A9C83" w:rsidR="00346966" w:rsidRPr="00B63674" w:rsidRDefault="005D3EC3" w:rsidP="0069120C">
      <w:pPr>
        <w:numPr>
          <w:ilvl w:val="0"/>
          <w:numId w:val="7"/>
        </w:numPr>
        <w:spacing w:before="240" w:after="240"/>
        <w:ind w:left="641" w:hanging="357"/>
        <w:rPr>
          <w:rFonts w:ascii="Aptos" w:eastAsia="Arial" w:hAnsi="Aptos"/>
          <w:kern w:val="2"/>
          <w:szCs w:val="22"/>
        </w:rPr>
      </w:pPr>
      <w:r w:rsidRPr="002C00D1">
        <w:rPr>
          <w:rFonts w:ascii="Aptos" w:eastAsia="Arial" w:hAnsi="Aptos"/>
          <w:kern w:val="2"/>
          <w:szCs w:val="22"/>
        </w:rPr>
        <w:t>s</w:t>
      </w:r>
      <w:r w:rsidR="00274EFD" w:rsidRPr="002C00D1">
        <w:rPr>
          <w:rFonts w:ascii="Aptos" w:eastAsia="Arial" w:hAnsi="Aptos"/>
          <w:kern w:val="2"/>
          <w:szCs w:val="22"/>
        </w:rPr>
        <w:t>trategies that increase equity of access to genomics-informed health care and research, including clinical trials, are developed, implemented and evaluated, particularly for priority populations</w:t>
      </w:r>
    </w:p>
    <w:p w14:paraId="27B0B2C6" w14:textId="77777777" w:rsidR="00FD38D6" w:rsidRDefault="00FD38D6">
      <w:r>
        <w:rPr>
          <w:b/>
          <w:bCs/>
        </w:rPr>
        <w:br w:type="page"/>
      </w:r>
    </w:p>
    <w:tbl>
      <w:tblPr>
        <w:tblStyle w:val="ListTable3-Accent1"/>
        <w:tblW w:w="4998" w:type="pct"/>
        <w:tblLook w:val="04A0" w:firstRow="1" w:lastRow="0" w:firstColumn="1" w:lastColumn="0" w:noHBand="0" w:noVBand="1"/>
      </w:tblPr>
      <w:tblGrid>
        <w:gridCol w:w="3970"/>
        <w:gridCol w:w="1397"/>
        <w:gridCol w:w="2182"/>
        <w:gridCol w:w="1507"/>
      </w:tblGrid>
      <w:tr w:rsidR="00FD38D6" w:rsidRPr="008003D6" w14:paraId="1B3FA238" w14:textId="77777777" w:rsidTr="00DD1A52">
        <w:trPr>
          <w:cnfStyle w:val="100000000000" w:firstRow="1" w:lastRow="0" w:firstColumn="0" w:lastColumn="0" w:oddVBand="0" w:evenVBand="0" w:oddHBand="0" w:evenHBand="0" w:firstRowFirstColumn="0" w:firstRowLastColumn="0" w:lastRowFirstColumn="0" w:lastRowLastColumn="0"/>
          <w:cantSplit/>
          <w:trHeight w:val="283"/>
        </w:trPr>
        <w:tc>
          <w:tcPr>
            <w:cnfStyle w:val="001000000100" w:firstRow="0" w:lastRow="0" w:firstColumn="1" w:lastColumn="0" w:oddVBand="0" w:evenVBand="0" w:oddHBand="0" w:evenHBand="0" w:firstRowFirstColumn="1" w:firstRowLastColumn="0" w:lastRowFirstColumn="0" w:lastRowLastColumn="0"/>
            <w:tcW w:w="2192" w:type="pct"/>
          </w:tcPr>
          <w:p w14:paraId="625D758B" w14:textId="10EB403B" w:rsidR="00FD38D6" w:rsidRPr="008003D6" w:rsidRDefault="00FD38D6" w:rsidP="00FD38D6">
            <w:pPr>
              <w:spacing w:before="240" w:after="240"/>
              <w:rPr>
                <w:rFonts w:ascii="Aptos" w:eastAsia="Times New Roman" w:hAnsi="Aptos"/>
                <w:spacing w:val="0"/>
                <w:kern w:val="0"/>
                <w:sz w:val="24"/>
                <w:lang w:eastAsia="en-AU"/>
                <w14:ligatures w14:val="none"/>
              </w:rPr>
            </w:pPr>
            <w:r w:rsidRPr="008003D6">
              <w:rPr>
                <w:rFonts w:ascii="Aptos" w:eastAsia="Times New Roman" w:hAnsi="Aptos"/>
                <w:spacing w:val="0"/>
                <w:kern w:val="0"/>
                <w:sz w:val="24"/>
                <w:lang w:eastAsia="en-AU"/>
                <w14:ligatures w14:val="none"/>
              </w:rPr>
              <w:lastRenderedPageBreak/>
              <w:t>National Activit</w:t>
            </w:r>
            <w:r w:rsidR="00AB1B96">
              <w:rPr>
                <w:rFonts w:ascii="Aptos" w:eastAsia="Times New Roman" w:hAnsi="Aptos"/>
                <w:spacing w:val="0"/>
                <w:kern w:val="0"/>
                <w:sz w:val="24"/>
                <w:lang w:eastAsia="en-AU"/>
                <w14:ligatures w14:val="none"/>
              </w:rPr>
              <w:t>y</w:t>
            </w:r>
          </w:p>
        </w:tc>
        <w:tc>
          <w:tcPr>
            <w:tcW w:w="771" w:type="pct"/>
          </w:tcPr>
          <w:p w14:paraId="367344B1" w14:textId="77777777" w:rsidR="00FD38D6" w:rsidRPr="008003D6" w:rsidRDefault="00FD38D6" w:rsidP="00FD38D6">
            <w:pPr>
              <w:spacing w:before="240" w:after="240"/>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spacing w:val="0"/>
                <w:kern w:val="0"/>
                <w:sz w:val="24"/>
                <w:lang w:eastAsia="en-AU"/>
                <w14:ligatures w14:val="none"/>
              </w:rPr>
            </w:pPr>
            <w:r w:rsidRPr="008003D6">
              <w:rPr>
                <w:rFonts w:ascii="Aptos" w:eastAsia="Times New Roman" w:hAnsi="Aptos"/>
                <w:spacing w:val="0"/>
                <w:kern w:val="0"/>
                <w:sz w:val="24"/>
                <w:lang w:eastAsia="en-AU"/>
                <w14:ligatures w14:val="none"/>
              </w:rPr>
              <w:t>Timeframe</w:t>
            </w:r>
          </w:p>
        </w:tc>
        <w:tc>
          <w:tcPr>
            <w:tcW w:w="1205" w:type="pct"/>
          </w:tcPr>
          <w:p w14:paraId="7F1F030D" w14:textId="2C0BD33A" w:rsidR="00FD38D6" w:rsidRPr="008003D6" w:rsidRDefault="00FD38D6" w:rsidP="00FD38D6">
            <w:pPr>
              <w:spacing w:before="240" w:after="240"/>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spacing w:val="0"/>
                <w:kern w:val="0"/>
                <w:sz w:val="24"/>
                <w:lang w:eastAsia="en-AU"/>
                <w14:ligatures w14:val="none"/>
              </w:rPr>
            </w:pPr>
            <w:r>
              <w:rPr>
                <w:rFonts w:ascii="Aptos" w:eastAsia="Times New Roman" w:hAnsi="Aptos"/>
                <w:spacing w:val="0"/>
                <w:kern w:val="0"/>
                <w:sz w:val="24"/>
                <w:lang w:eastAsia="en-AU"/>
                <w14:ligatures w14:val="none"/>
              </w:rPr>
              <w:t>Responsible for Coordination</w:t>
            </w:r>
          </w:p>
        </w:tc>
        <w:tc>
          <w:tcPr>
            <w:tcW w:w="833" w:type="pct"/>
          </w:tcPr>
          <w:p w14:paraId="63C5183C" w14:textId="77777777" w:rsidR="00FD38D6" w:rsidRPr="008003D6" w:rsidRDefault="00FD38D6" w:rsidP="00FD38D6">
            <w:pPr>
              <w:spacing w:before="240" w:after="240"/>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spacing w:val="0"/>
                <w:kern w:val="0"/>
                <w:sz w:val="24"/>
                <w:lang w:eastAsia="en-AU"/>
                <w14:ligatures w14:val="none"/>
              </w:rPr>
            </w:pPr>
            <w:r w:rsidRPr="008003D6">
              <w:rPr>
                <w:rFonts w:ascii="Aptos" w:eastAsia="Times New Roman" w:hAnsi="Aptos"/>
                <w:spacing w:val="0"/>
                <w:kern w:val="0"/>
                <w:sz w:val="24"/>
                <w:lang w:eastAsia="en-AU"/>
                <w14:ligatures w14:val="none"/>
              </w:rPr>
              <w:t>Priority</w:t>
            </w:r>
          </w:p>
        </w:tc>
      </w:tr>
      <w:tr w:rsidR="00FD38D6" w:rsidRPr="008003D6" w14:paraId="59D0DD98" w14:textId="77777777" w:rsidTr="00DD1A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92" w:type="pct"/>
            <w:shd w:val="clear" w:color="auto" w:fill="auto"/>
          </w:tcPr>
          <w:p w14:paraId="35CB0658" w14:textId="6143CCAD" w:rsidR="00FD38D6" w:rsidRDefault="00FD38D6" w:rsidP="00FD38D6">
            <w:pPr>
              <w:spacing w:before="240" w:after="240"/>
              <w:rPr>
                <w:rFonts w:ascii="Aptos" w:hAnsi="Aptos"/>
                <w:sz w:val="24"/>
              </w:rPr>
            </w:pPr>
            <w:bookmarkStart w:id="46" w:name="Activity_2_1_1"/>
            <w:r w:rsidRPr="008003D6">
              <w:rPr>
                <w:rFonts w:ascii="Aptos" w:eastAsia="Times New Roman" w:hAnsi="Aptos"/>
                <w:b w:val="0"/>
                <w:bCs w:val="0"/>
                <w:spacing w:val="0"/>
                <w:kern w:val="0"/>
                <w:sz w:val="24"/>
                <w:lang w:eastAsia="en-AU"/>
                <w14:ligatures w14:val="none"/>
              </w:rPr>
              <w:t>2.1.1</w:t>
            </w:r>
            <w:bookmarkEnd w:id="46"/>
            <w:r w:rsidRPr="008003D6">
              <w:rPr>
                <w:rFonts w:ascii="Aptos" w:eastAsia="Times New Roman" w:hAnsi="Aptos"/>
                <w:b w:val="0"/>
                <w:bCs w:val="0"/>
                <w:spacing w:val="0"/>
                <w:kern w:val="0"/>
                <w:sz w:val="24"/>
                <w:lang w:eastAsia="en-AU"/>
                <w14:ligatures w14:val="none"/>
              </w:rPr>
              <w:t xml:space="preserve"> </w:t>
            </w:r>
            <w:r w:rsidRPr="00466D9E">
              <w:rPr>
                <w:rFonts w:ascii="Aptos" w:hAnsi="Aptos"/>
                <w:b w:val="0"/>
                <w:bCs w:val="0"/>
                <w:sz w:val="24"/>
              </w:rPr>
              <w:t>—</w:t>
            </w:r>
            <w:r>
              <w:rPr>
                <w:rFonts w:ascii="Aptos" w:hAnsi="Aptos"/>
                <w:b w:val="0"/>
                <w:bCs w:val="0"/>
                <w:sz w:val="24"/>
              </w:rPr>
              <w:t xml:space="preserve"> Develop a process for and c</w:t>
            </w:r>
            <w:r w:rsidRPr="008003D6">
              <w:rPr>
                <w:rFonts w:ascii="Aptos" w:hAnsi="Aptos"/>
                <w:b w:val="0"/>
                <w:bCs w:val="0"/>
                <w:sz w:val="24"/>
              </w:rPr>
              <w:t>onduct regular national analyses</w:t>
            </w:r>
            <w:r>
              <w:rPr>
                <w:rFonts w:ascii="Aptos" w:hAnsi="Aptos"/>
                <w:b w:val="0"/>
                <w:bCs w:val="0"/>
                <w:sz w:val="24"/>
              </w:rPr>
              <w:t xml:space="preserve"> of:</w:t>
            </w:r>
          </w:p>
          <w:p w14:paraId="3F44CF98" w14:textId="4FF63801" w:rsidR="00FD38D6" w:rsidRPr="005C7612" w:rsidRDefault="00FD38D6" w:rsidP="0069120C">
            <w:pPr>
              <w:pStyle w:val="ListParagraph"/>
              <w:numPr>
                <w:ilvl w:val="0"/>
                <w:numId w:val="7"/>
              </w:numPr>
              <w:spacing w:before="240" w:after="240"/>
              <w:ind w:left="357" w:hanging="357"/>
              <w:rPr>
                <w:rFonts w:ascii="Aptos" w:hAnsi="Aptos"/>
                <w:b w:val="0"/>
                <w:bCs w:val="0"/>
                <w:sz w:val="24"/>
              </w:rPr>
            </w:pPr>
            <w:r w:rsidRPr="005C7612">
              <w:rPr>
                <w:rFonts w:ascii="Aptos" w:hAnsi="Aptos"/>
                <w:b w:val="0"/>
                <w:bCs w:val="0"/>
                <w:sz w:val="24"/>
              </w:rPr>
              <w:t>availability and provision of genomic testing and genomic</w:t>
            </w:r>
            <w:r w:rsidR="005C7612">
              <w:rPr>
                <w:rFonts w:ascii="Aptos" w:hAnsi="Aptos"/>
                <w:b w:val="0"/>
                <w:bCs w:val="0"/>
                <w:sz w:val="24"/>
              </w:rPr>
              <w:t>s-informed</w:t>
            </w:r>
            <w:r w:rsidRPr="005C7612">
              <w:rPr>
                <w:rFonts w:ascii="Aptos" w:hAnsi="Aptos"/>
                <w:b w:val="0"/>
                <w:bCs w:val="0"/>
                <w:sz w:val="24"/>
              </w:rPr>
              <w:t xml:space="preserve"> health care</w:t>
            </w:r>
          </w:p>
          <w:p w14:paraId="64DC6979" w14:textId="09951B25" w:rsidR="00FD38D6" w:rsidRPr="005C7612" w:rsidRDefault="00FD38D6" w:rsidP="0069120C">
            <w:pPr>
              <w:pStyle w:val="ListParagraph"/>
              <w:numPr>
                <w:ilvl w:val="0"/>
                <w:numId w:val="7"/>
              </w:numPr>
              <w:spacing w:before="240" w:after="240"/>
              <w:ind w:left="357" w:hanging="357"/>
              <w:rPr>
                <w:rFonts w:ascii="Aptos" w:hAnsi="Aptos"/>
                <w:b w:val="0"/>
                <w:bCs w:val="0"/>
                <w:sz w:val="24"/>
              </w:rPr>
            </w:pPr>
            <w:r w:rsidRPr="005C7612">
              <w:rPr>
                <w:rFonts w:ascii="Aptos" w:hAnsi="Aptos"/>
                <w:b w:val="0"/>
                <w:bCs w:val="0"/>
                <w:sz w:val="24"/>
              </w:rPr>
              <w:t>workforce and infrastructure capacity, capability and optimisation</w:t>
            </w:r>
          </w:p>
          <w:p w14:paraId="733F11D0" w14:textId="44FEED54" w:rsidR="00FD38D6" w:rsidRPr="00927E8F" w:rsidRDefault="00FD38D6" w:rsidP="0069120C">
            <w:pPr>
              <w:pStyle w:val="ListParagraph"/>
              <w:numPr>
                <w:ilvl w:val="0"/>
                <w:numId w:val="7"/>
              </w:numPr>
              <w:spacing w:before="240" w:after="240"/>
              <w:ind w:left="357" w:hanging="357"/>
              <w:rPr>
                <w:rFonts w:ascii="Aptos" w:hAnsi="Aptos"/>
                <w:b w:val="0"/>
                <w:bCs w:val="0"/>
                <w:sz w:val="24"/>
              </w:rPr>
            </w:pPr>
            <w:r w:rsidRPr="005C7612">
              <w:rPr>
                <w:rFonts w:ascii="Aptos" w:hAnsi="Aptos"/>
                <w:b w:val="0"/>
                <w:bCs w:val="0"/>
                <w:sz w:val="24"/>
              </w:rPr>
              <w:t>research being undertaken</w:t>
            </w:r>
          </w:p>
        </w:tc>
        <w:tc>
          <w:tcPr>
            <w:tcW w:w="771" w:type="pct"/>
            <w:shd w:val="clear" w:color="auto" w:fill="auto"/>
          </w:tcPr>
          <w:p w14:paraId="559B3FBD" w14:textId="1FCBAF4C" w:rsidR="00FD38D6" w:rsidRPr="008003D6" w:rsidRDefault="00FD38D6" w:rsidP="00FD38D6">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spacing w:val="0"/>
                <w:kern w:val="0"/>
                <w:sz w:val="24"/>
                <w:lang w:eastAsia="en-AU"/>
                <w14:ligatures w14:val="none"/>
              </w:rPr>
            </w:pPr>
          </w:p>
        </w:tc>
        <w:tc>
          <w:tcPr>
            <w:tcW w:w="1205" w:type="pct"/>
            <w:shd w:val="clear" w:color="auto" w:fill="auto"/>
          </w:tcPr>
          <w:p w14:paraId="3FE91425" w14:textId="7BA6E146" w:rsidR="00FD38D6" w:rsidRPr="008003D6" w:rsidRDefault="00FD38D6" w:rsidP="00FD38D6">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spacing w:val="0"/>
                <w:kern w:val="0"/>
                <w:sz w:val="24"/>
                <w:lang w:eastAsia="en-AU"/>
                <w14:ligatures w14:val="none"/>
              </w:rPr>
            </w:pPr>
          </w:p>
        </w:tc>
        <w:tc>
          <w:tcPr>
            <w:tcW w:w="833" w:type="pct"/>
            <w:shd w:val="clear" w:color="auto" w:fill="auto"/>
          </w:tcPr>
          <w:p w14:paraId="6BB6AB27" w14:textId="75E1591C" w:rsidR="00FD38D6" w:rsidRPr="008003D6" w:rsidRDefault="00FD38D6" w:rsidP="00FD38D6">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spacing w:val="0"/>
                <w:kern w:val="0"/>
                <w:sz w:val="24"/>
                <w:lang w:eastAsia="en-AU"/>
                <w14:ligatures w14:val="none"/>
              </w:rPr>
            </w:pPr>
          </w:p>
        </w:tc>
      </w:tr>
      <w:tr w:rsidR="00FD38D6" w:rsidRPr="008003D6" w14:paraId="655D5734" w14:textId="77777777" w:rsidTr="00DD1A52">
        <w:trPr>
          <w:cantSplit/>
          <w:trHeight w:val="300"/>
        </w:trPr>
        <w:tc>
          <w:tcPr>
            <w:cnfStyle w:val="001000000000" w:firstRow="0" w:lastRow="0" w:firstColumn="1" w:lastColumn="0" w:oddVBand="0" w:evenVBand="0" w:oddHBand="0" w:evenHBand="0" w:firstRowFirstColumn="0" w:firstRowLastColumn="0" w:lastRowFirstColumn="0" w:lastRowLastColumn="0"/>
            <w:tcW w:w="2192" w:type="pct"/>
            <w:shd w:val="clear" w:color="auto" w:fill="auto"/>
          </w:tcPr>
          <w:p w14:paraId="2068235F" w14:textId="4F07E5CB" w:rsidR="00FD38D6" w:rsidRPr="008003D6" w:rsidRDefault="00FD38D6" w:rsidP="00FD38D6">
            <w:pPr>
              <w:spacing w:before="240" w:after="240"/>
              <w:rPr>
                <w:rFonts w:ascii="Aptos" w:hAnsi="Aptos"/>
                <w:b w:val="0"/>
                <w:bCs w:val="0"/>
                <w:sz w:val="24"/>
              </w:rPr>
            </w:pPr>
            <w:bookmarkStart w:id="47" w:name="Activity_2_1_2"/>
            <w:r w:rsidRPr="008003D6">
              <w:rPr>
                <w:rFonts w:ascii="Aptos" w:eastAsia="Times New Roman" w:hAnsi="Aptos"/>
                <w:b w:val="0"/>
                <w:bCs w:val="0"/>
                <w:spacing w:val="0"/>
                <w:kern w:val="0"/>
                <w:sz w:val="24"/>
                <w:lang w:eastAsia="en-AU"/>
                <w14:ligatures w14:val="none"/>
              </w:rPr>
              <w:t>2.1.2</w:t>
            </w:r>
            <w:bookmarkEnd w:id="47"/>
            <w:r w:rsidRPr="008003D6">
              <w:rPr>
                <w:rFonts w:ascii="Aptos" w:eastAsia="Times New Roman" w:hAnsi="Aptos"/>
                <w:b w:val="0"/>
                <w:bCs w:val="0"/>
                <w:spacing w:val="0"/>
                <w:kern w:val="0"/>
                <w:sz w:val="24"/>
                <w:lang w:eastAsia="en-AU"/>
                <w14:ligatures w14:val="none"/>
              </w:rPr>
              <w:t xml:space="preserve"> </w:t>
            </w:r>
            <w:r w:rsidRPr="00466D9E">
              <w:rPr>
                <w:rFonts w:ascii="Aptos" w:hAnsi="Aptos"/>
                <w:b w:val="0"/>
                <w:bCs w:val="0"/>
                <w:sz w:val="24"/>
              </w:rPr>
              <w:t>—</w:t>
            </w:r>
            <w:r>
              <w:rPr>
                <w:rFonts w:ascii="Aptos" w:hAnsi="Aptos"/>
                <w:b w:val="0"/>
                <w:bCs w:val="0"/>
                <w:sz w:val="24"/>
              </w:rPr>
              <w:t xml:space="preserve"> </w:t>
            </w:r>
            <w:r w:rsidRPr="008003D6">
              <w:rPr>
                <w:rFonts w:ascii="Aptos" w:hAnsi="Aptos"/>
                <w:b w:val="0"/>
                <w:bCs w:val="0"/>
                <w:sz w:val="24"/>
              </w:rPr>
              <w:t>Develop a process for and undertake the mapping of patient journeys through genomic</w:t>
            </w:r>
            <w:r w:rsidR="005C7612">
              <w:rPr>
                <w:rFonts w:ascii="Aptos" w:hAnsi="Aptos"/>
                <w:b w:val="0"/>
                <w:bCs w:val="0"/>
                <w:sz w:val="24"/>
              </w:rPr>
              <w:t>s-informed</w:t>
            </w:r>
            <w:r w:rsidRPr="008003D6">
              <w:rPr>
                <w:rFonts w:ascii="Aptos" w:hAnsi="Aptos"/>
                <w:b w:val="0"/>
                <w:bCs w:val="0"/>
                <w:sz w:val="24"/>
              </w:rPr>
              <w:t xml:space="preserve"> health care and research to inform </w:t>
            </w:r>
            <w:r>
              <w:rPr>
                <w:rFonts w:ascii="Aptos" w:hAnsi="Aptos"/>
                <w:b w:val="0"/>
                <w:bCs w:val="0"/>
                <w:sz w:val="24"/>
              </w:rPr>
              <w:t>appropriate referrals,</w:t>
            </w:r>
            <w:r w:rsidRPr="008003D6">
              <w:rPr>
                <w:rFonts w:ascii="Aptos" w:hAnsi="Aptos"/>
                <w:b w:val="0"/>
                <w:bCs w:val="0"/>
                <w:sz w:val="24"/>
              </w:rPr>
              <w:t xml:space="preserve"> and co-design of services and models of care</w:t>
            </w:r>
            <w:r>
              <w:rPr>
                <w:rFonts w:ascii="Aptos" w:hAnsi="Aptos"/>
                <w:b w:val="0"/>
                <w:bCs w:val="0"/>
                <w:sz w:val="24"/>
              </w:rPr>
              <w:t>, noting considerable variation between types of patients and across states and territories is expected</w:t>
            </w:r>
          </w:p>
        </w:tc>
        <w:tc>
          <w:tcPr>
            <w:tcW w:w="771" w:type="pct"/>
            <w:shd w:val="clear" w:color="auto" w:fill="auto"/>
          </w:tcPr>
          <w:p w14:paraId="5621B8F8" w14:textId="77777777" w:rsidR="00FD38D6" w:rsidRPr="008003D6" w:rsidRDefault="00FD38D6" w:rsidP="00FD38D6">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rPr>
            </w:pPr>
          </w:p>
        </w:tc>
        <w:tc>
          <w:tcPr>
            <w:tcW w:w="1205" w:type="pct"/>
            <w:shd w:val="clear" w:color="auto" w:fill="auto"/>
          </w:tcPr>
          <w:p w14:paraId="66C1EA8B" w14:textId="77777777" w:rsidR="00FD38D6" w:rsidRPr="008003D6" w:rsidRDefault="00FD38D6" w:rsidP="00FD38D6">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lang w:eastAsia="en-AU"/>
              </w:rPr>
            </w:pPr>
          </w:p>
        </w:tc>
        <w:tc>
          <w:tcPr>
            <w:tcW w:w="833" w:type="pct"/>
            <w:shd w:val="clear" w:color="auto" w:fill="auto"/>
          </w:tcPr>
          <w:p w14:paraId="384FB847" w14:textId="77777777" w:rsidR="00FD38D6" w:rsidRPr="008003D6" w:rsidRDefault="00FD38D6" w:rsidP="00FD38D6">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rPr>
            </w:pPr>
          </w:p>
        </w:tc>
      </w:tr>
      <w:tr w:rsidR="00FD38D6" w:rsidRPr="008003D6" w14:paraId="3D544287" w14:textId="77777777" w:rsidTr="00DD1A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92" w:type="pct"/>
            <w:shd w:val="clear" w:color="auto" w:fill="auto"/>
          </w:tcPr>
          <w:p w14:paraId="520AB332" w14:textId="20D8C9EB" w:rsidR="00FD38D6" w:rsidRPr="008003D6" w:rsidRDefault="00FD38D6" w:rsidP="00927E8F">
            <w:pPr>
              <w:spacing w:before="240" w:after="240"/>
              <w:rPr>
                <w:rFonts w:ascii="Aptos" w:hAnsi="Aptos"/>
                <w:sz w:val="24"/>
                <w:lang w:eastAsia="en-AU"/>
              </w:rPr>
            </w:pPr>
            <w:r w:rsidRPr="008003D6">
              <w:rPr>
                <w:rFonts w:ascii="Aptos" w:eastAsia="Times New Roman" w:hAnsi="Aptos"/>
                <w:b w:val="0"/>
                <w:bCs w:val="0"/>
                <w:spacing w:val="0"/>
                <w:kern w:val="0"/>
                <w:sz w:val="24"/>
                <w:lang w:eastAsia="en-AU"/>
                <w14:ligatures w14:val="none"/>
              </w:rPr>
              <w:t xml:space="preserve">2.1.3 </w:t>
            </w:r>
            <w:r w:rsidRPr="00466D9E">
              <w:rPr>
                <w:rFonts w:ascii="Aptos" w:hAnsi="Aptos"/>
                <w:b w:val="0"/>
                <w:bCs w:val="0"/>
                <w:sz w:val="24"/>
              </w:rPr>
              <w:t>—</w:t>
            </w:r>
            <w:r>
              <w:rPr>
                <w:rFonts w:ascii="Aptos" w:hAnsi="Aptos"/>
                <w:b w:val="0"/>
                <w:bCs w:val="0"/>
                <w:sz w:val="24"/>
              </w:rPr>
              <w:t xml:space="preserve"> Informed</w:t>
            </w:r>
            <w:r w:rsidRPr="008003D6">
              <w:rPr>
                <w:rFonts w:ascii="Aptos" w:hAnsi="Aptos"/>
                <w:b w:val="0"/>
                <w:bCs w:val="0"/>
                <w:sz w:val="24"/>
              </w:rPr>
              <w:t xml:space="preserve"> by the national current landscape analysis</w:t>
            </w:r>
            <w:r w:rsidR="002E1F34">
              <w:rPr>
                <w:rFonts w:ascii="Aptos" w:hAnsi="Aptos"/>
                <w:b w:val="0"/>
                <w:bCs w:val="0"/>
                <w:sz w:val="24"/>
              </w:rPr>
              <w:t xml:space="preserve"> (</w:t>
            </w:r>
            <w:hyperlink w:anchor="Activity_2_1_1" w:history="1">
              <w:r w:rsidR="002E1F34" w:rsidRPr="002E1F34">
                <w:rPr>
                  <w:rStyle w:val="Hyperlink"/>
                  <w:b w:val="0"/>
                  <w:bCs w:val="0"/>
                  <w:sz w:val="24"/>
                </w:rPr>
                <w:t>Activity 2.1.1</w:t>
              </w:r>
            </w:hyperlink>
            <w:r w:rsidR="002E1F34">
              <w:rPr>
                <w:rFonts w:ascii="Aptos" w:hAnsi="Aptos"/>
                <w:b w:val="0"/>
                <w:bCs w:val="0"/>
                <w:sz w:val="24"/>
              </w:rPr>
              <w:t>)</w:t>
            </w:r>
            <w:r w:rsidRPr="008003D6">
              <w:rPr>
                <w:rFonts w:ascii="Aptos" w:hAnsi="Aptos"/>
                <w:b w:val="0"/>
                <w:bCs w:val="0"/>
                <w:sz w:val="24"/>
              </w:rPr>
              <w:t xml:space="preserve"> and patient journey mapping</w:t>
            </w:r>
            <w:r w:rsidR="002E1F34">
              <w:rPr>
                <w:rFonts w:ascii="Aptos" w:hAnsi="Aptos"/>
                <w:b w:val="0"/>
                <w:bCs w:val="0"/>
                <w:sz w:val="24"/>
              </w:rPr>
              <w:t xml:space="preserve"> (</w:t>
            </w:r>
            <w:hyperlink w:anchor="Activity_2_1_2" w:history="1">
              <w:r w:rsidR="002E1F34" w:rsidRPr="002E1F34">
                <w:rPr>
                  <w:rStyle w:val="Hyperlink"/>
                  <w:b w:val="0"/>
                  <w:bCs w:val="0"/>
                  <w:sz w:val="24"/>
                </w:rPr>
                <w:t>Activity 2.1.2</w:t>
              </w:r>
            </w:hyperlink>
            <w:r w:rsidR="002E1F34">
              <w:rPr>
                <w:rFonts w:ascii="Aptos" w:hAnsi="Aptos"/>
                <w:b w:val="0"/>
                <w:bCs w:val="0"/>
                <w:sz w:val="24"/>
              </w:rPr>
              <w:t>)</w:t>
            </w:r>
            <w:r w:rsidRPr="008003D6">
              <w:rPr>
                <w:rFonts w:ascii="Aptos" w:hAnsi="Aptos"/>
                <w:b w:val="0"/>
                <w:bCs w:val="0"/>
                <w:sz w:val="24"/>
              </w:rPr>
              <w:t>, identify relevant gaps and opportunities that would benefit from national</w:t>
            </w:r>
            <w:r>
              <w:rPr>
                <w:rFonts w:ascii="Aptos" w:hAnsi="Aptos"/>
                <w:b w:val="0"/>
                <w:bCs w:val="0"/>
                <w:sz w:val="24"/>
              </w:rPr>
              <w:t>ly</w:t>
            </w:r>
            <w:r w:rsidRPr="008003D6">
              <w:rPr>
                <w:rFonts w:ascii="Aptos" w:hAnsi="Aptos"/>
                <w:b w:val="0"/>
                <w:bCs w:val="0"/>
                <w:sz w:val="24"/>
              </w:rPr>
              <w:t xml:space="preserve"> coordinated approaches</w:t>
            </w:r>
            <w:r>
              <w:rPr>
                <w:rFonts w:ascii="Aptos" w:hAnsi="Aptos"/>
                <w:b w:val="0"/>
                <w:bCs w:val="0"/>
                <w:sz w:val="24"/>
              </w:rPr>
              <w:t>,</w:t>
            </w:r>
            <w:r w:rsidRPr="008003D6">
              <w:rPr>
                <w:rFonts w:ascii="Aptos" w:hAnsi="Aptos"/>
                <w:b w:val="0"/>
                <w:bCs w:val="0"/>
                <w:sz w:val="24"/>
              </w:rPr>
              <w:t xml:space="preserve"> and could be reflected in </w:t>
            </w:r>
            <w:r>
              <w:rPr>
                <w:rFonts w:ascii="Aptos" w:hAnsi="Aptos"/>
                <w:b w:val="0"/>
                <w:bCs w:val="0"/>
                <w:sz w:val="24"/>
              </w:rPr>
              <w:t xml:space="preserve">future </w:t>
            </w:r>
            <w:r w:rsidRPr="008003D6">
              <w:rPr>
                <w:rFonts w:ascii="Aptos" w:hAnsi="Aptos"/>
                <w:b w:val="0"/>
                <w:bCs w:val="0"/>
                <w:sz w:val="24"/>
              </w:rPr>
              <w:t xml:space="preserve">additional activities under this </w:t>
            </w:r>
            <w:r w:rsidRPr="00735393">
              <w:rPr>
                <w:rFonts w:ascii="Aptos" w:hAnsi="Aptos"/>
                <w:b w:val="0"/>
                <w:bCs w:val="0"/>
                <w:sz w:val="24"/>
              </w:rPr>
              <w:t>framework.</w:t>
            </w:r>
          </w:p>
        </w:tc>
        <w:tc>
          <w:tcPr>
            <w:tcW w:w="771" w:type="pct"/>
            <w:shd w:val="clear" w:color="auto" w:fill="auto"/>
          </w:tcPr>
          <w:p w14:paraId="7F895A94" w14:textId="77777777" w:rsidR="00FD38D6" w:rsidRPr="008003D6" w:rsidRDefault="00FD38D6" w:rsidP="00FD38D6">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rPr>
            </w:pPr>
          </w:p>
        </w:tc>
        <w:tc>
          <w:tcPr>
            <w:tcW w:w="1205" w:type="pct"/>
            <w:shd w:val="clear" w:color="auto" w:fill="auto"/>
          </w:tcPr>
          <w:p w14:paraId="5364E2AA" w14:textId="77777777" w:rsidR="00FD38D6" w:rsidRPr="008003D6" w:rsidRDefault="00FD38D6" w:rsidP="00FD38D6">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lang w:eastAsia="en-AU"/>
              </w:rPr>
            </w:pPr>
          </w:p>
        </w:tc>
        <w:tc>
          <w:tcPr>
            <w:tcW w:w="833" w:type="pct"/>
            <w:shd w:val="clear" w:color="auto" w:fill="auto"/>
          </w:tcPr>
          <w:p w14:paraId="60587A2F" w14:textId="77777777" w:rsidR="00FD38D6" w:rsidRPr="008003D6" w:rsidRDefault="00FD38D6" w:rsidP="00FD38D6">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rPr>
            </w:pPr>
          </w:p>
        </w:tc>
      </w:tr>
      <w:tr w:rsidR="00FD38D6" w:rsidRPr="008003D6" w14:paraId="2E20C6D9" w14:textId="77777777" w:rsidTr="00DD1A52">
        <w:trPr>
          <w:cantSplit/>
          <w:trHeight w:val="300"/>
        </w:trPr>
        <w:tc>
          <w:tcPr>
            <w:cnfStyle w:val="001000000000" w:firstRow="0" w:lastRow="0" w:firstColumn="1" w:lastColumn="0" w:oddVBand="0" w:evenVBand="0" w:oddHBand="0" w:evenHBand="0" w:firstRowFirstColumn="0" w:firstRowLastColumn="0" w:lastRowFirstColumn="0" w:lastRowLastColumn="0"/>
            <w:tcW w:w="2192" w:type="pct"/>
            <w:shd w:val="clear" w:color="auto" w:fill="auto"/>
          </w:tcPr>
          <w:p w14:paraId="14C9A480" w14:textId="3C65E119" w:rsidR="00FD38D6" w:rsidRPr="008003D6" w:rsidRDefault="00FD38D6" w:rsidP="00FD38D6">
            <w:pPr>
              <w:spacing w:before="240" w:after="240"/>
              <w:rPr>
                <w:rFonts w:ascii="Aptos" w:hAnsi="Aptos"/>
                <w:sz w:val="24"/>
                <w:lang w:eastAsia="en-AU"/>
              </w:rPr>
            </w:pPr>
            <w:r>
              <w:rPr>
                <w:rFonts w:ascii="Aptos" w:eastAsia="Times New Roman" w:hAnsi="Aptos"/>
                <w:b w:val="0"/>
                <w:bCs w:val="0"/>
                <w:spacing w:val="0"/>
                <w:kern w:val="0"/>
                <w:sz w:val="24"/>
                <w:lang w:eastAsia="en-AU"/>
                <w14:ligatures w14:val="none"/>
              </w:rPr>
              <w:lastRenderedPageBreak/>
              <w:t>2</w:t>
            </w:r>
            <w:r w:rsidRPr="000E4DB6">
              <w:rPr>
                <w:rFonts w:ascii="Aptos" w:eastAsia="Times New Roman" w:hAnsi="Aptos"/>
                <w:b w:val="0"/>
                <w:bCs w:val="0"/>
                <w:spacing w:val="0"/>
                <w:kern w:val="0"/>
                <w:sz w:val="24"/>
                <w:lang w:eastAsia="en-AU"/>
                <w14:ligatures w14:val="none"/>
              </w:rPr>
              <w:t>.1.</w:t>
            </w:r>
            <w:r>
              <w:rPr>
                <w:rFonts w:ascii="Aptos" w:eastAsia="Times New Roman" w:hAnsi="Aptos"/>
                <w:b w:val="0"/>
                <w:bCs w:val="0"/>
                <w:spacing w:val="0"/>
                <w:kern w:val="0"/>
                <w:sz w:val="24"/>
                <w:lang w:eastAsia="en-AU"/>
                <w14:ligatures w14:val="none"/>
              </w:rPr>
              <w:t>4</w:t>
            </w:r>
            <w:r w:rsidRPr="000E4DB6">
              <w:rPr>
                <w:rFonts w:ascii="Aptos" w:eastAsia="Times New Roman" w:hAnsi="Aptos"/>
                <w:b w:val="0"/>
                <w:bCs w:val="0"/>
                <w:spacing w:val="0"/>
                <w:kern w:val="0"/>
                <w:sz w:val="24"/>
                <w:lang w:eastAsia="en-AU"/>
                <w14:ligatures w14:val="none"/>
              </w:rPr>
              <w:t xml:space="preserve"> </w:t>
            </w:r>
            <w:r w:rsidRPr="00466D9E">
              <w:rPr>
                <w:rFonts w:ascii="Aptos" w:hAnsi="Aptos"/>
                <w:b w:val="0"/>
                <w:bCs w:val="0"/>
                <w:sz w:val="24"/>
              </w:rPr>
              <w:t>—</w:t>
            </w:r>
            <w:r>
              <w:rPr>
                <w:rFonts w:ascii="Aptos" w:hAnsi="Aptos"/>
                <w:b w:val="0"/>
                <w:bCs w:val="0"/>
                <w:sz w:val="24"/>
              </w:rPr>
              <w:t xml:space="preserve"> Determine</w:t>
            </w:r>
            <w:r w:rsidRPr="00333E6E">
              <w:rPr>
                <w:rFonts w:ascii="Aptos" w:hAnsi="Aptos"/>
                <w:b w:val="0"/>
                <w:bCs w:val="0"/>
                <w:sz w:val="24"/>
              </w:rPr>
              <w:t xml:space="preserve"> the need for and, where required, </w:t>
            </w:r>
            <w:r>
              <w:rPr>
                <w:rFonts w:ascii="Aptos" w:hAnsi="Aptos"/>
                <w:b w:val="0"/>
                <w:bCs w:val="0"/>
                <w:sz w:val="24"/>
              </w:rPr>
              <w:t xml:space="preserve">update existing or </w:t>
            </w:r>
            <w:r w:rsidRPr="00333E6E">
              <w:rPr>
                <w:rFonts w:ascii="Aptos" w:hAnsi="Aptos"/>
                <w:b w:val="0"/>
                <w:bCs w:val="0"/>
                <w:sz w:val="24"/>
              </w:rPr>
              <w:t xml:space="preserve">develop </w:t>
            </w:r>
            <w:r>
              <w:rPr>
                <w:rFonts w:ascii="Aptos" w:hAnsi="Aptos"/>
                <w:b w:val="0"/>
                <w:bCs w:val="0"/>
                <w:sz w:val="24"/>
              </w:rPr>
              <w:t xml:space="preserve">new </w:t>
            </w:r>
            <w:r w:rsidRPr="00333E6E">
              <w:rPr>
                <w:rFonts w:ascii="Aptos" w:hAnsi="Aptos"/>
                <w:b w:val="0"/>
                <w:bCs w:val="0"/>
                <w:sz w:val="24"/>
              </w:rPr>
              <w:t>national best practice guidelines</w:t>
            </w:r>
            <w:r>
              <w:rPr>
                <w:rFonts w:ascii="Aptos" w:hAnsi="Aptos"/>
                <w:b w:val="0"/>
                <w:bCs w:val="0"/>
                <w:sz w:val="24"/>
              </w:rPr>
              <w:t xml:space="preserve"> and standards</w:t>
            </w:r>
            <w:r w:rsidRPr="00333E6E">
              <w:rPr>
                <w:rFonts w:ascii="Aptos" w:hAnsi="Aptos"/>
                <w:b w:val="0"/>
                <w:bCs w:val="0"/>
                <w:sz w:val="24"/>
              </w:rPr>
              <w:t xml:space="preserve"> to support the quality, evidenced-based and safe use of genomics-</w:t>
            </w:r>
            <w:r>
              <w:rPr>
                <w:rFonts w:ascii="Aptos" w:hAnsi="Aptos"/>
                <w:b w:val="0"/>
                <w:bCs w:val="0"/>
                <w:sz w:val="24"/>
              </w:rPr>
              <w:t>informed</w:t>
            </w:r>
            <w:r w:rsidRPr="00333E6E">
              <w:rPr>
                <w:rFonts w:ascii="Aptos" w:hAnsi="Aptos"/>
                <w:b w:val="0"/>
                <w:bCs w:val="0"/>
                <w:sz w:val="24"/>
              </w:rPr>
              <w:t xml:space="preserve"> health care</w:t>
            </w:r>
            <w:r>
              <w:rPr>
                <w:rFonts w:ascii="Aptos" w:hAnsi="Aptos"/>
                <w:b w:val="0"/>
                <w:bCs w:val="0"/>
                <w:sz w:val="24"/>
              </w:rPr>
              <w:t xml:space="preserve">. </w:t>
            </w:r>
            <w:r w:rsidRPr="00333E6E">
              <w:rPr>
                <w:rFonts w:ascii="Aptos" w:hAnsi="Aptos"/>
                <w:b w:val="0"/>
                <w:bCs w:val="0"/>
                <w:sz w:val="24"/>
              </w:rPr>
              <w:t>For example, consideration of the need for national guidelines for managing secondary and additional findings.</w:t>
            </w:r>
            <w:r w:rsidRPr="00333E6E">
              <w:rPr>
                <w:rFonts w:ascii="Aptos" w:hAnsi="Aptos"/>
                <w:sz w:val="24"/>
                <w:lang w:eastAsia="en-AU"/>
              </w:rPr>
              <w:t xml:space="preserve">  </w:t>
            </w:r>
          </w:p>
        </w:tc>
        <w:tc>
          <w:tcPr>
            <w:tcW w:w="771" w:type="pct"/>
            <w:shd w:val="clear" w:color="auto" w:fill="auto"/>
          </w:tcPr>
          <w:p w14:paraId="16B87501" w14:textId="77777777" w:rsidR="00FD38D6" w:rsidRPr="008003D6" w:rsidRDefault="00FD38D6" w:rsidP="00FD38D6">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rPr>
            </w:pPr>
          </w:p>
        </w:tc>
        <w:tc>
          <w:tcPr>
            <w:tcW w:w="1205" w:type="pct"/>
            <w:shd w:val="clear" w:color="auto" w:fill="auto"/>
          </w:tcPr>
          <w:p w14:paraId="3D6D6B2D" w14:textId="77777777" w:rsidR="00FD38D6" w:rsidRPr="008003D6" w:rsidRDefault="00FD38D6" w:rsidP="00FD38D6">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lang w:eastAsia="en-AU"/>
              </w:rPr>
            </w:pPr>
          </w:p>
        </w:tc>
        <w:tc>
          <w:tcPr>
            <w:tcW w:w="833" w:type="pct"/>
            <w:shd w:val="clear" w:color="auto" w:fill="auto"/>
          </w:tcPr>
          <w:p w14:paraId="29B55F96" w14:textId="77777777" w:rsidR="00FD38D6" w:rsidRPr="008003D6" w:rsidRDefault="00FD38D6" w:rsidP="00FD38D6">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rPr>
            </w:pPr>
          </w:p>
        </w:tc>
      </w:tr>
      <w:tr w:rsidR="00FD38D6" w:rsidRPr="008003D6" w14:paraId="6057C184" w14:textId="77777777" w:rsidTr="00DD1A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92" w:type="pct"/>
            <w:shd w:val="clear" w:color="auto" w:fill="auto"/>
          </w:tcPr>
          <w:p w14:paraId="77203D63" w14:textId="4CD711AA" w:rsidR="00FD38D6" w:rsidRPr="008003D6" w:rsidRDefault="00FD38D6" w:rsidP="00FD38D6">
            <w:pPr>
              <w:spacing w:before="240" w:after="240"/>
              <w:rPr>
                <w:rFonts w:ascii="Aptos" w:hAnsi="Aptos"/>
                <w:sz w:val="24"/>
                <w:lang w:eastAsia="en-AU"/>
              </w:rPr>
            </w:pPr>
            <w:r>
              <w:rPr>
                <w:rFonts w:ascii="Aptos" w:eastAsia="Times New Roman" w:hAnsi="Aptos"/>
                <w:b w:val="0"/>
                <w:bCs w:val="0"/>
                <w:spacing w:val="0"/>
                <w:kern w:val="0"/>
                <w:sz w:val="24"/>
                <w:lang w:eastAsia="en-AU"/>
                <w14:ligatures w14:val="none"/>
              </w:rPr>
              <w:t>2</w:t>
            </w:r>
            <w:r w:rsidRPr="000E4DB6">
              <w:rPr>
                <w:rFonts w:ascii="Aptos" w:eastAsia="Times New Roman" w:hAnsi="Aptos"/>
                <w:b w:val="0"/>
                <w:bCs w:val="0"/>
                <w:spacing w:val="0"/>
                <w:kern w:val="0"/>
                <w:sz w:val="24"/>
                <w:lang w:eastAsia="en-AU"/>
                <w14:ligatures w14:val="none"/>
              </w:rPr>
              <w:t>.1.</w:t>
            </w:r>
            <w:r>
              <w:rPr>
                <w:rFonts w:ascii="Aptos" w:eastAsia="Times New Roman" w:hAnsi="Aptos"/>
                <w:b w:val="0"/>
                <w:bCs w:val="0"/>
                <w:spacing w:val="0"/>
                <w:kern w:val="0"/>
                <w:sz w:val="24"/>
                <w:lang w:eastAsia="en-AU"/>
                <w14:ligatures w14:val="none"/>
              </w:rPr>
              <w:t>5</w:t>
            </w:r>
            <w:r w:rsidRPr="000E4DB6">
              <w:rPr>
                <w:rFonts w:ascii="Aptos" w:eastAsia="Times New Roman" w:hAnsi="Aptos"/>
                <w:b w:val="0"/>
                <w:bCs w:val="0"/>
                <w:spacing w:val="0"/>
                <w:kern w:val="0"/>
                <w:sz w:val="24"/>
                <w:lang w:eastAsia="en-AU"/>
                <w14:ligatures w14:val="none"/>
              </w:rPr>
              <w:t xml:space="preserve"> </w:t>
            </w:r>
            <w:r w:rsidRPr="00466D9E">
              <w:rPr>
                <w:rFonts w:ascii="Aptos" w:hAnsi="Aptos"/>
                <w:b w:val="0"/>
                <w:bCs w:val="0"/>
                <w:sz w:val="24"/>
              </w:rPr>
              <w:t>—</w:t>
            </w:r>
            <w:r>
              <w:rPr>
                <w:rFonts w:ascii="Aptos" w:hAnsi="Aptos"/>
                <w:b w:val="0"/>
                <w:bCs w:val="0"/>
                <w:sz w:val="24"/>
              </w:rPr>
              <w:t xml:space="preserve"> </w:t>
            </w:r>
            <w:r w:rsidRPr="00333E6E">
              <w:rPr>
                <w:rFonts w:ascii="Aptos" w:hAnsi="Aptos"/>
                <w:b w:val="0"/>
                <w:bCs w:val="0"/>
                <w:sz w:val="24"/>
                <w:lang w:eastAsia="en-AU"/>
              </w:rPr>
              <w:t>Establish a process for the regular review and updating of</w:t>
            </w:r>
            <w:r>
              <w:rPr>
                <w:rFonts w:ascii="Aptos" w:hAnsi="Aptos"/>
                <w:b w:val="0"/>
                <w:bCs w:val="0"/>
                <w:sz w:val="24"/>
                <w:lang w:eastAsia="en-AU"/>
              </w:rPr>
              <w:t xml:space="preserve"> best practice </w:t>
            </w:r>
            <w:r w:rsidRPr="00333E6E">
              <w:rPr>
                <w:rFonts w:ascii="Aptos" w:hAnsi="Aptos"/>
                <w:b w:val="0"/>
                <w:bCs w:val="0"/>
                <w:sz w:val="24"/>
                <w:lang w:eastAsia="en-AU"/>
              </w:rPr>
              <w:t>guidelines and standards that incorporate</w:t>
            </w:r>
            <w:r>
              <w:rPr>
                <w:rFonts w:ascii="Aptos" w:hAnsi="Aptos"/>
                <w:b w:val="0"/>
                <w:bCs w:val="0"/>
                <w:sz w:val="24"/>
                <w:lang w:eastAsia="en-AU"/>
              </w:rPr>
              <w:t xml:space="preserve"> or focus on</w:t>
            </w:r>
            <w:r w:rsidRPr="00333E6E">
              <w:rPr>
                <w:rFonts w:ascii="Aptos" w:hAnsi="Aptos"/>
                <w:b w:val="0"/>
                <w:bCs w:val="0"/>
                <w:sz w:val="24"/>
                <w:lang w:eastAsia="en-AU"/>
              </w:rPr>
              <w:t xml:space="preserve"> genomics</w:t>
            </w:r>
            <w:r w:rsidRPr="00333E6E">
              <w:rPr>
                <w:rFonts w:ascii="Aptos" w:hAnsi="Aptos"/>
                <w:sz w:val="24"/>
                <w:lang w:eastAsia="en-AU"/>
              </w:rPr>
              <w:t>.</w:t>
            </w:r>
          </w:p>
        </w:tc>
        <w:tc>
          <w:tcPr>
            <w:tcW w:w="771" w:type="pct"/>
            <w:shd w:val="clear" w:color="auto" w:fill="auto"/>
          </w:tcPr>
          <w:p w14:paraId="2ADFEA7D" w14:textId="77777777" w:rsidR="00FD38D6" w:rsidRPr="008003D6" w:rsidRDefault="00FD38D6" w:rsidP="00FD38D6">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rPr>
            </w:pPr>
          </w:p>
        </w:tc>
        <w:tc>
          <w:tcPr>
            <w:tcW w:w="1205" w:type="pct"/>
            <w:shd w:val="clear" w:color="auto" w:fill="auto"/>
          </w:tcPr>
          <w:p w14:paraId="6B338A0F" w14:textId="77777777" w:rsidR="00FD38D6" w:rsidRPr="008003D6" w:rsidRDefault="00FD38D6" w:rsidP="00FD38D6">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lang w:eastAsia="en-AU"/>
              </w:rPr>
            </w:pPr>
          </w:p>
        </w:tc>
        <w:tc>
          <w:tcPr>
            <w:tcW w:w="833" w:type="pct"/>
            <w:shd w:val="clear" w:color="auto" w:fill="auto"/>
          </w:tcPr>
          <w:p w14:paraId="33445AAF" w14:textId="77777777" w:rsidR="00FD38D6" w:rsidRPr="008003D6" w:rsidRDefault="00FD38D6" w:rsidP="00FD38D6">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rPr>
            </w:pPr>
          </w:p>
        </w:tc>
      </w:tr>
      <w:tr w:rsidR="00FD38D6" w:rsidRPr="008003D6" w14:paraId="22EC71B3" w14:textId="77777777" w:rsidTr="00DD1A52">
        <w:trPr>
          <w:cantSplit/>
          <w:trHeight w:val="300"/>
        </w:trPr>
        <w:tc>
          <w:tcPr>
            <w:cnfStyle w:val="001000000000" w:firstRow="0" w:lastRow="0" w:firstColumn="1" w:lastColumn="0" w:oddVBand="0" w:evenVBand="0" w:oddHBand="0" w:evenHBand="0" w:firstRowFirstColumn="0" w:firstRowLastColumn="0" w:lastRowFirstColumn="0" w:lastRowLastColumn="0"/>
            <w:tcW w:w="2192" w:type="pct"/>
            <w:shd w:val="clear" w:color="auto" w:fill="auto"/>
          </w:tcPr>
          <w:p w14:paraId="27E2D3E2" w14:textId="7D18F8DF" w:rsidR="00FD38D6" w:rsidRPr="000E4DB6" w:rsidRDefault="00FD38D6" w:rsidP="00FD38D6">
            <w:pPr>
              <w:spacing w:before="240" w:after="240"/>
              <w:rPr>
                <w:rFonts w:ascii="Aptos" w:hAnsi="Aptos"/>
                <w:sz w:val="24"/>
                <w:lang w:eastAsia="en-AU"/>
              </w:rPr>
            </w:pPr>
            <w:r w:rsidRPr="00161DC0">
              <w:rPr>
                <w:rFonts w:ascii="Aptos" w:eastAsia="Times New Roman" w:hAnsi="Aptos"/>
                <w:b w:val="0"/>
                <w:bCs w:val="0"/>
                <w:spacing w:val="0"/>
                <w:kern w:val="0"/>
                <w:sz w:val="24"/>
                <w:lang w:eastAsia="en-AU"/>
                <w14:ligatures w14:val="none"/>
              </w:rPr>
              <w:t>2.</w:t>
            </w:r>
            <w:r>
              <w:rPr>
                <w:rFonts w:ascii="Aptos" w:eastAsia="Times New Roman" w:hAnsi="Aptos"/>
                <w:b w:val="0"/>
                <w:bCs w:val="0"/>
                <w:spacing w:val="0"/>
                <w:kern w:val="0"/>
                <w:sz w:val="24"/>
                <w:lang w:eastAsia="en-AU"/>
                <w14:ligatures w14:val="none"/>
              </w:rPr>
              <w:t>1</w:t>
            </w:r>
            <w:r w:rsidRPr="00161DC0">
              <w:rPr>
                <w:rFonts w:ascii="Aptos" w:eastAsia="Times New Roman" w:hAnsi="Aptos"/>
                <w:b w:val="0"/>
                <w:bCs w:val="0"/>
                <w:spacing w:val="0"/>
                <w:kern w:val="0"/>
                <w:sz w:val="24"/>
                <w:lang w:eastAsia="en-AU"/>
                <w14:ligatures w14:val="none"/>
              </w:rPr>
              <w:t>.</w:t>
            </w:r>
            <w:r>
              <w:rPr>
                <w:rFonts w:ascii="Aptos" w:eastAsia="Times New Roman" w:hAnsi="Aptos"/>
                <w:b w:val="0"/>
                <w:bCs w:val="0"/>
                <w:spacing w:val="0"/>
                <w:kern w:val="0"/>
                <w:sz w:val="24"/>
                <w:lang w:eastAsia="en-AU"/>
                <w14:ligatures w14:val="none"/>
              </w:rPr>
              <w:t>6</w:t>
            </w:r>
            <w:r w:rsidRPr="00161DC0">
              <w:rPr>
                <w:rFonts w:ascii="Aptos" w:eastAsia="Times New Roman" w:hAnsi="Aptos"/>
                <w:b w:val="0"/>
                <w:bCs w:val="0"/>
                <w:spacing w:val="0"/>
                <w:kern w:val="0"/>
                <w:sz w:val="24"/>
                <w:lang w:eastAsia="en-AU"/>
                <w14:ligatures w14:val="none"/>
              </w:rPr>
              <w:t xml:space="preserve"> </w:t>
            </w:r>
            <w:r w:rsidRPr="00466D9E">
              <w:rPr>
                <w:rFonts w:ascii="Aptos" w:hAnsi="Aptos"/>
                <w:b w:val="0"/>
                <w:bCs w:val="0"/>
                <w:sz w:val="24"/>
              </w:rPr>
              <w:t>—</w:t>
            </w:r>
            <w:r>
              <w:rPr>
                <w:rFonts w:ascii="Aptos" w:hAnsi="Aptos"/>
                <w:b w:val="0"/>
                <w:bCs w:val="0"/>
                <w:sz w:val="24"/>
              </w:rPr>
              <w:t xml:space="preserve"> </w:t>
            </w:r>
            <w:r w:rsidRPr="00161DC0">
              <w:rPr>
                <w:rFonts w:ascii="Aptos" w:hAnsi="Aptos"/>
                <w:b w:val="0"/>
                <w:bCs w:val="0"/>
                <w:sz w:val="24"/>
              </w:rPr>
              <w:t>Engage with and support the maintenance of national and international undiagnosed disease networks</w:t>
            </w:r>
            <w:r>
              <w:rPr>
                <w:rFonts w:ascii="Aptos" w:hAnsi="Aptos"/>
                <w:b w:val="0"/>
                <w:bCs w:val="0"/>
                <w:sz w:val="24"/>
              </w:rPr>
              <w:t xml:space="preserve"> and</w:t>
            </w:r>
            <w:r w:rsidRPr="00161DC0">
              <w:rPr>
                <w:rFonts w:ascii="Aptos" w:hAnsi="Aptos"/>
                <w:b w:val="0"/>
                <w:bCs w:val="0"/>
                <w:sz w:val="24"/>
              </w:rPr>
              <w:t xml:space="preserve"> improve links between these networks and </w:t>
            </w:r>
            <w:r>
              <w:rPr>
                <w:rFonts w:ascii="Aptos" w:hAnsi="Aptos"/>
                <w:b w:val="0"/>
                <w:bCs w:val="0"/>
                <w:sz w:val="24"/>
              </w:rPr>
              <w:t xml:space="preserve">the </w:t>
            </w:r>
            <w:r w:rsidRPr="00161DC0">
              <w:rPr>
                <w:rFonts w:ascii="Aptos" w:hAnsi="Aptos"/>
                <w:b w:val="0"/>
                <w:bCs w:val="0"/>
                <w:sz w:val="24"/>
              </w:rPr>
              <w:t>Australian health system.</w:t>
            </w:r>
          </w:p>
        </w:tc>
        <w:tc>
          <w:tcPr>
            <w:tcW w:w="771" w:type="pct"/>
            <w:shd w:val="clear" w:color="auto" w:fill="auto"/>
          </w:tcPr>
          <w:p w14:paraId="43E74E75" w14:textId="77777777" w:rsidR="00FD38D6" w:rsidRPr="008003D6" w:rsidRDefault="00FD38D6" w:rsidP="00FD38D6">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rPr>
            </w:pPr>
          </w:p>
        </w:tc>
        <w:tc>
          <w:tcPr>
            <w:tcW w:w="1205" w:type="pct"/>
            <w:shd w:val="clear" w:color="auto" w:fill="auto"/>
          </w:tcPr>
          <w:p w14:paraId="1BB9B1AD" w14:textId="77777777" w:rsidR="00FD38D6" w:rsidRPr="008003D6" w:rsidRDefault="00FD38D6" w:rsidP="00FD38D6">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lang w:eastAsia="en-AU"/>
              </w:rPr>
            </w:pPr>
          </w:p>
        </w:tc>
        <w:tc>
          <w:tcPr>
            <w:tcW w:w="833" w:type="pct"/>
            <w:shd w:val="clear" w:color="auto" w:fill="auto"/>
          </w:tcPr>
          <w:p w14:paraId="3DE20527" w14:textId="77777777" w:rsidR="00FD38D6" w:rsidRPr="008003D6" w:rsidRDefault="00FD38D6" w:rsidP="00FD38D6">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rPr>
            </w:pPr>
          </w:p>
        </w:tc>
      </w:tr>
    </w:tbl>
    <w:p w14:paraId="7159AF3D" w14:textId="546388FD" w:rsidR="00321436" w:rsidRDefault="00321436"/>
    <w:p w14:paraId="6ADFD253" w14:textId="484F021B" w:rsidR="00384A7F" w:rsidRDefault="00384A7F">
      <w:pPr>
        <w:rPr>
          <w:rFonts w:eastAsia="MS PGothic"/>
        </w:rPr>
      </w:pPr>
      <w:r>
        <w:rPr>
          <w:rFonts w:eastAsia="MS PGothic"/>
        </w:rPr>
        <w:br w:type="page"/>
      </w:r>
    </w:p>
    <w:p w14:paraId="17B1B37A" w14:textId="4AC87891" w:rsidR="00274EFD" w:rsidRDefault="00274EFD" w:rsidP="00F36D13">
      <w:pPr>
        <w:pStyle w:val="Heading3"/>
        <w:rPr>
          <w:rFonts w:eastAsia="MS PGothic"/>
        </w:rPr>
      </w:pPr>
      <w:bookmarkStart w:id="48" w:name="_Toc197953806"/>
      <w:bookmarkStart w:id="49" w:name="_Toc198025693"/>
      <w:r w:rsidRPr="00E96F5C">
        <w:rPr>
          <w:rFonts w:eastAsia="MS PGothic"/>
        </w:rPr>
        <w:lastRenderedPageBreak/>
        <w:t xml:space="preserve">Outcome </w:t>
      </w:r>
      <w:r>
        <w:rPr>
          <w:rFonts w:eastAsia="MS PGothic"/>
        </w:rPr>
        <w:t>2.2</w:t>
      </w:r>
      <w:r w:rsidRPr="00E96F5C">
        <w:rPr>
          <w:rFonts w:eastAsia="MS PGothic"/>
        </w:rPr>
        <w:t xml:space="preserve"> — </w:t>
      </w:r>
      <w:r w:rsidR="00321436">
        <w:rPr>
          <w:rFonts w:eastAsia="MS PGothic"/>
        </w:rPr>
        <w:t>Support the m</w:t>
      </w:r>
      <w:r>
        <w:rPr>
          <w:rFonts w:eastAsia="MS PGothic"/>
        </w:rPr>
        <w:t>ainstream workforce</w:t>
      </w:r>
      <w:bookmarkEnd w:id="48"/>
      <w:bookmarkEnd w:id="49"/>
    </w:p>
    <w:p w14:paraId="78954C26" w14:textId="3469474A" w:rsidR="00953736" w:rsidRPr="00274EFD" w:rsidRDefault="00321436" w:rsidP="00333E6E">
      <w:pPr>
        <w:pStyle w:val="ListNumber2"/>
        <w:rPr>
          <w:rFonts w:eastAsia="MS PGothic"/>
        </w:rPr>
      </w:pPr>
      <w:r>
        <w:rPr>
          <w:rFonts w:eastAsia="Arial"/>
        </w:rPr>
        <w:t>a</w:t>
      </w:r>
      <w:r w:rsidR="00734BB2" w:rsidRPr="008003D6">
        <w:rPr>
          <w:rFonts w:eastAsia="Arial"/>
        </w:rPr>
        <w:t xml:space="preserve"> mainstream health workforce that is knowledgeable, skilled and culturally competent in genomics leading to an increase in appropriate referrals and support for individuals and families who</w:t>
      </w:r>
      <w:r w:rsidR="00FC4BB7">
        <w:rPr>
          <w:rFonts w:eastAsia="Arial"/>
        </w:rPr>
        <w:t xml:space="preserve"> should be offered,</w:t>
      </w:r>
      <w:r w:rsidR="00734BB2" w:rsidRPr="008003D6">
        <w:rPr>
          <w:rFonts w:eastAsia="Arial"/>
        </w:rPr>
        <w:t xml:space="preserve"> are considering</w:t>
      </w:r>
      <w:r w:rsidR="00FC4BB7">
        <w:rPr>
          <w:rFonts w:eastAsia="Arial"/>
        </w:rPr>
        <w:t>,</w:t>
      </w:r>
      <w:r w:rsidR="00734BB2" w:rsidRPr="008003D6">
        <w:rPr>
          <w:rFonts w:eastAsia="Arial"/>
        </w:rPr>
        <w:t xml:space="preserve"> or</w:t>
      </w:r>
      <w:r w:rsidR="00FC4BB7">
        <w:rPr>
          <w:rFonts w:eastAsia="Arial"/>
        </w:rPr>
        <w:t xml:space="preserve"> have</w:t>
      </w:r>
      <w:r w:rsidR="00734BB2" w:rsidRPr="008003D6">
        <w:rPr>
          <w:rFonts w:eastAsia="Arial"/>
        </w:rPr>
        <w:t xml:space="preserve"> received genomics-</w:t>
      </w:r>
      <w:r w:rsidR="00734BB2">
        <w:rPr>
          <w:rFonts w:eastAsia="Arial"/>
        </w:rPr>
        <w:t>inform</w:t>
      </w:r>
      <w:r w:rsidR="00734BB2" w:rsidRPr="008003D6">
        <w:rPr>
          <w:rFonts w:eastAsia="Arial"/>
        </w:rPr>
        <w:t>ed health care</w:t>
      </w:r>
    </w:p>
    <w:p w14:paraId="61E9B0BD" w14:textId="77777777" w:rsidR="00734BB2" w:rsidRDefault="00734BB2" w:rsidP="00953736">
      <w:pPr>
        <w:rPr>
          <w:rFonts w:eastAsia="MS PGothic"/>
        </w:rPr>
      </w:pPr>
    </w:p>
    <w:tbl>
      <w:tblPr>
        <w:tblStyle w:val="ListTable3-Accent1"/>
        <w:tblW w:w="5216" w:type="pct"/>
        <w:tblLook w:val="04A0" w:firstRow="1" w:lastRow="0" w:firstColumn="1" w:lastColumn="0" w:noHBand="0" w:noVBand="1"/>
      </w:tblPr>
      <w:tblGrid>
        <w:gridCol w:w="4365"/>
        <w:gridCol w:w="1397"/>
        <w:gridCol w:w="2181"/>
        <w:gridCol w:w="1508"/>
      </w:tblGrid>
      <w:tr w:rsidR="00DD1A52" w:rsidRPr="008003D6" w14:paraId="0F07A00E" w14:textId="77777777" w:rsidTr="00DD1A52">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100" w:firstRow="0" w:lastRow="0" w:firstColumn="1" w:lastColumn="0" w:oddVBand="0" w:evenVBand="0" w:oddHBand="0" w:evenHBand="0" w:firstRowFirstColumn="1" w:firstRowLastColumn="0" w:lastRowFirstColumn="0" w:lastRowLastColumn="0"/>
            <w:tcW w:w="2309" w:type="pct"/>
          </w:tcPr>
          <w:p w14:paraId="1A5D2470" w14:textId="4ABAF4A5" w:rsidR="0007280C" w:rsidRPr="00274EFD" w:rsidRDefault="0007280C" w:rsidP="0007280C">
            <w:pPr>
              <w:spacing w:before="240" w:after="240"/>
              <w:rPr>
                <w:rFonts w:ascii="Aptos" w:hAnsi="Aptos"/>
                <w:color w:val="000000" w:themeColor="text1"/>
                <w:sz w:val="24"/>
                <w:lang w:eastAsia="en-AU"/>
              </w:rPr>
            </w:pPr>
            <w:r w:rsidRPr="008003D6">
              <w:rPr>
                <w:rFonts w:ascii="Aptos" w:eastAsia="Times New Roman" w:hAnsi="Aptos"/>
                <w:spacing w:val="0"/>
                <w:kern w:val="0"/>
                <w:sz w:val="24"/>
                <w:lang w:eastAsia="en-AU"/>
                <w14:ligatures w14:val="none"/>
              </w:rPr>
              <w:t xml:space="preserve">National </w:t>
            </w:r>
            <w:r w:rsidR="00AB1B96" w:rsidRPr="008003D6">
              <w:rPr>
                <w:rFonts w:ascii="Aptos" w:eastAsia="Times New Roman" w:hAnsi="Aptos"/>
                <w:spacing w:val="0"/>
                <w:kern w:val="0"/>
                <w:sz w:val="24"/>
                <w:lang w:eastAsia="en-AU"/>
                <w14:ligatures w14:val="none"/>
              </w:rPr>
              <w:t>Activit</w:t>
            </w:r>
            <w:r w:rsidR="00AB1B96">
              <w:rPr>
                <w:rFonts w:ascii="Aptos" w:eastAsia="Times New Roman" w:hAnsi="Aptos"/>
                <w:spacing w:val="0"/>
                <w:kern w:val="0"/>
                <w:sz w:val="24"/>
                <w:lang w:eastAsia="en-AU"/>
                <w14:ligatures w14:val="none"/>
              </w:rPr>
              <w:t>y</w:t>
            </w:r>
          </w:p>
        </w:tc>
        <w:tc>
          <w:tcPr>
            <w:tcW w:w="739" w:type="pct"/>
          </w:tcPr>
          <w:p w14:paraId="024BA692" w14:textId="0F3A068E" w:rsidR="0007280C" w:rsidRPr="00274EFD" w:rsidRDefault="0007280C" w:rsidP="0007280C">
            <w:pPr>
              <w:spacing w:before="240" w:after="240"/>
              <w:jc w:val="center"/>
              <w:cnfStyle w:val="100000000000" w:firstRow="1" w:lastRow="0" w:firstColumn="0" w:lastColumn="0" w:oddVBand="0" w:evenVBand="0" w:oddHBand="0" w:evenHBand="0" w:firstRowFirstColumn="0" w:firstRowLastColumn="0" w:lastRowFirstColumn="0" w:lastRowLastColumn="0"/>
              <w:rPr>
                <w:rFonts w:ascii="Aptos" w:hAnsi="Aptos"/>
                <w:color w:val="000000" w:themeColor="text1"/>
                <w:sz w:val="24"/>
              </w:rPr>
            </w:pPr>
            <w:r w:rsidRPr="008003D6">
              <w:rPr>
                <w:rFonts w:ascii="Aptos" w:eastAsia="Times New Roman" w:hAnsi="Aptos"/>
                <w:spacing w:val="0"/>
                <w:kern w:val="0"/>
                <w:sz w:val="24"/>
                <w:lang w:eastAsia="en-AU"/>
                <w14:ligatures w14:val="none"/>
              </w:rPr>
              <w:t>Timeframe</w:t>
            </w:r>
          </w:p>
        </w:tc>
        <w:tc>
          <w:tcPr>
            <w:tcW w:w="1154" w:type="pct"/>
          </w:tcPr>
          <w:p w14:paraId="2B41E643" w14:textId="01483769" w:rsidR="0007280C" w:rsidRPr="00274EFD" w:rsidRDefault="0007280C" w:rsidP="0007280C">
            <w:pPr>
              <w:spacing w:before="240" w:after="240"/>
              <w:jc w:val="center"/>
              <w:cnfStyle w:val="100000000000" w:firstRow="1" w:lastRow="0" w:firstColumn="0" w:lastColumn="0" w:oddVBand="0" w:evenVBand="0" w:oddHBand="0" w:evenHBand="0" w:firstRowFirstColumn="0" w:firstRowLastColumn="0" w:lastRowFirstColumn="0" w:lastRowLastColumn="0"/>
              <w:rPr>
                <w:rFonts w:ascii="Aptos" w:hAnsi="Aptos"/>
                <w:color w:val="000000" w:themeColor="text1"/>
                <w:sz w:val="24"/>
                <w:lang w:eastAsia="en-AU"/>
              </w:rPr>
            </w:pPr>
            <w:r>
              <w:rPr>
                <w:rFonts w:ascii="Aptos" w:eastAsia="Times New Roman" w:hAnsi="Aptos"/>
                <w:spacing w:val="0"/>
                <w:kern w:val="0"/>
                <w:sz w:val="24"/>
                <w:lang w:eastAsia="en-AU"/>
                <w14:ligatures w14:val="none"/>
              </w:rPr>
              <w:t>Responsible for Coordination</w:t>
            </w:r>
          </w:p>
        </w:tc>
        <w:tc>
          <w:tcPr>
            <w:tcW w:w="798" w:type="pct"/>
          </w:tcPr>
          <w:p w14:paraId="1A2B6D2A" w14:textId="49271FA5" w:rsidR="0007280C" w:rsidRPr="00274EFD" w:rsidRDefault="0007280C" w:rsidP="0007280C">
            <w:pPr>
              <w:spacing w:before="240" w:after="240"/>
              <w:jc w:val="center"/>
              <w:cnfStyle w:val="100000000000" w:firstRow="1" w:lastRow="0" w:firstColumn="0" w:lastColumn="0" w:oddVBand="0" w:evenVBand="0" w:oddHBand="0" w:evenHBand="0" w:firstRowFirstColumn="0" w:firstRowLastColumn="0" w:lastRowFirstColumn="0" w:lastRowLastColumn="0"/>
              <w:rPr>
                <w:rFonts w:ascii="Aptos" w:hAnsi="Aptos"/>
                <w:color w:val="000000" w:themeColor="text1"/>
                <w:sz w:val="24"/>
              </w:rPr>
            </w:pPr>
            <w:r w:rsidRPr="008003D6">
              <w:rPr>
                <w:rFonts w:ascii="Aptos" w:eastAsia="Times New Roman" w:hAnsi="Aptos"/>
                <w:spacing w:val="0"/>
                <w:kern w:val="0"/>
                <w:sz w:val="24"/>
                <w:lang w:eastAsia="en-AU"/>
                <w14:ligatures w14:val="none"/>
              </w:rPr>
              <w:t>Priority</w:t>
            </w:r>
          </w:p>
        </w:tc>
      </w:tr>
      <w:tr w:rsidR="00364C3F" w:rsidRPr="008003D6" w14:paraId="14249026" w14:textId="77777777" w:rsidTr="00DD1A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09" w:type="pct"/>
            <w:shd w:val="clear" w:color="auto" w:fill="auto"/>
          </w:tcPr>
          <w:p w14:paraId="087B7D21" w14:textId="4A8265F9" w:rsidR="0007280C" w:rsidRPr="00333E6E" w:rsidRDefault="0007280C" w:rsidP="0007280C">
            <w:pPr>
              <w:spacing w:before="240" w:after="240"/>
              <w:rPr>
                <w:rFonts w:ascii="Aptos" w:hAnsi="Aptos"/>
                <w:color w:val="000000" w:themeColor="text1"/>
                <w:sz w:val="24"/>
                <w:lang w:eastAsia="en-AU"/>
              </w:rPr>
            </w:pPr>
            <w:bookmarkStart w:id="50" w:name="Activity_2_2_1"/>
            <w:r w:rsidRPr="008003D6">
              <w:rPr>
                <w:rFonts w:ascii="Aptos" w:eastAsia="Times New Roman" w:hAnsi="Aptos"/>
                <w:b w:val="0"/>
                <w:bCs w:val="0"/>
                <w:spacing w:val="0"/>
                <w:kern w:val="0"/>
                <w:sz w:val="24"/>
                <w:lang w:eastAsia="en-AU"/>
                <w14:ligatures w14:val="none"/>
              </w:rPr>
              <w:t>2.</w:t>
            </w:r>
            <w:r>
              <w:rPr>
                <w:rFonts w:ascii="Aptos" w:eastAsia="Times New Roman" w:hAnsi="Aptos"/>
                <w:b w:val="0"/>
                <w:bCs w:val="0"/>
                <w:spacing w:val="0"/>
                <w:kern w:val="0"/>
                <w:sz w:val="24"/>
                <w:lang w:eastAsia="en-AU"/>
                <w14:ligatures w14:val="none"/>
              </w:rPr>
              <w:t>2</w:t>
            </w:r>
            <w:r w:rsidRPr="008003D6">
              <w:rPr>
                <w:rFonts w:ascii="Aptos" w:eastAsia="Times New Roman" w:hAnsi="Aptos"/>
                <w:b w:val="0"/>
                <w:bCs w:val="0"/>
                <w:spacing w:val="0"/>
                <w:kern w:val="0"/>
                <w:sz w:val="24"/>
                <w:lang w:eastAsia="en-AU"/>
                <w14:ligatures w14:val="none"/>
              </w:rPr>
              <w:t>.</w:t>
            </w:r>
            <w:r>
              <w:rPr>
                <w:rFonts w:ascii="Aptos" w:eastAsia="Times New Roman" w:hAnsi="Aptos"/>
                <w:b w:val="0"/>
                <w:bCs w:val="0"/>
                <w:spacing w:val="0"/>
                <w:kern w:val="0"/>
                <w:sz w:val="24"/>
                <w:lang w:eastAsia="en-AU"/>
                <w14:ligatures w14:val="none"/>
              </w:rPr>
              <w:t>1</w:t>
            </w:r>
            <w:bookmarkEnd w:id="50"/>
            <w:r w:rsidRPr="008003D6">
              <w:rPr>
                <w:rFonts w:ascii="Aptos" w:eastAsia="Times New Roman" w:hAnsi="Aptos"/>
                <w:b w:val="0"/>
                <w:bCs w:val="0"/>
                <w:spacing w:val="0"/>
                <w:kern w:val="0"/>
                <w:sz w:val="24"/>
                <w:lang w:eastAsia="en-AU"/>
                <w14:ligatures w14:val="none"/>
              </w:rPr>
              <w:t xml:space="preserve"> </w:t>
            </w:r>
            <w:r w:rsidRPr="00321436">
              <w:rPr>
                <w:rFonts w:ascii="Aptos" w:hAnsi="Aptos"/>
                <w:b w:val="0"/>
                <w:bCs w:val="0"/>
                <w:sz w:val="24"/>
              </w:rPr>
              <w:t>—</w:t>
            </w:r>
            <w:r>
              <w:rPr>
                <w:rFonts w:ascii="Aptos" w:hAnsi="Aptos"/>
                <w:b w:val="0"/>
                <w:bCs w:val="0"/>
                <w:sz w:val="24"/>
              </w:rPr>
              <w:t xml:space="preserve"> </w:t>
            </w:r>
            <w:r>
              <w:rPr>
                <w:rFonts w:ascii="Aptos" w:hAnsi="Aptos"/>
                <w:b w:val="0"/>
                <w:bCs w:val="0"/>
                <w:sz w:val="24"/>
                <w:lang w:eastAsia="en-AU"/>
              </w:rPr>
              <w:t xml:space="preserve">Evaluate the education and training needs of the existing and future mainstream workforce, determine </w:t>
            </w:r>
            <w:r w:rsidRPr="00333E6E">
              <w:rPr>
                <w:rFonts w:ascii="Aptos" w:hAnsi="Aptos"/>
                <w:b w:val="0"/>
                <w:bCs w:val="0"/>
                <w:sz w:val="24"/>
                <w:lang w:eastAsia="en-AU"/>
              </w:rPr>
              <w:t xml:space="preserve">the need </w:t>
            </w:r>
            <w:r>
              <w:rPr>
                <w:rFonts w:ascii="Aptos" w:hAnsi="Aptos"/>
                <w:b w:val="0"/>
                <w:bCs w:val="0"/>
                <w:sz w:val="24"/>
                <w:lang w:eastAsia="en-AU"/>
              </w:rPr>
              <w:t>to</w:t>
            </w:r>
            <w:r w:rsidRPr="00333E6E">
              <w:rPr>
                <w:rFonts w:ascii="Aptos" w:hAnsi="Aptos"/>
                <w:b w:val="0"/>
                <w:bCs w:val="0"/>
                <w:sz w:val="24"/>
                <w:lang w:eastAsia="en-AU"/>
              </w:rPr>
              <w:t xml:space="preserve"> </w:t>
            </w:r>
            <w:r>
              <w:rPr>
                <w:rFonts w:ascii="Aptos" w:hAnsi="Aptos"/>
                <w:b w:val="0"/>
                <w:bCs w:val="0"/>
                <w:sz w:val="24"/>
                <w:lang w:eastAsia="en-AU"/>
              </w:rPr>
              <w:t xml:space="preserve">support </w:t>
            </w:r>
            <w:r w:rsidRPr="00333E6E">
              <w:rPr>
                <w:rFonts w:ascii="Aptos" w:hAnsi="Aptos"/>
                <w:b w:val="0"/>
                <w:bCs w:val="0"/>
                <w:sz w:val="24"/>
                <w:lang w:eastAsia="en-AU"/>
              </w:rPr>
              <w:t>integrati</w:t>
            </w:r>
            <w:r>
              <w:rPr>
                <w:rFonts w:ascii="Aptos" w:hAnsi="Aptos"/>
                <w:b w:val="0"/>
                <w:bCs w:val="0"/>
                <w:sz w:val="24"/>
                <w:lang w:eastAsia="en-AU"/>
              </w:rPr>
              <w:t>on of</w:t>
            </w:r>
            <w:r w:rsidRPr="00333E6E">
              <w:rPr>
                <w:rFonts w:ascii="Aptos" w:hAnsi="Aptos"/>
                <w:b w:val="0"/>
                <w:bCs w:val="0"/>
                <w:sz w:val="24"/>
                <w:lang w:eastAsia="en-AU"/>
              </w:rPr>
              <w:t xml:space="preserve"> genomics into undergraduate and postgraduate curricula, clinical practice guidelines, capability frameworks and standards, and continuing professional development (CPD) training modules</w:t>
            </w:r>
            <w:r>
              <w:rPr>
                <w:rFonts w:ascii="Aptos" w:hAnsi="Aptos"/>
                <w:b w:val="0"/>
                <w:bCs w:val="0"/>
                <w:sz w:val="24"/>
                <w:lang w:eastAsia="en-AU"/>
              </w:rPr>
              <w:t>, and consider how to effectively support this integration.</w:t>
            </w:r>
          </w:p>
        </w:tc>
        <w:tc>
          <w:tcPr>
            <w:tcW w:w="739" w:type="pct"/>
            <w:shd w:val="clear" w:color="auto" w:fill="auto"/>
          </w:tcPr>
          <w:p w14:paraId="047C0434" w14:textId="3454C53A" w:rsidR="0007280C" w:rsidRPr="00333E6E"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color w:val="000000" w:themeColor="text1"/>
                <w:sz w:val="24"/>
              </w:rPr>
            </w:pPr>
          </w:p>
        </w:tc>
        <w:tc>
          <w:tcPr>
            <w:tcW w:w="1154" w:type="pct"/>
            <w:shd w:val="clear" w:color="auto" w:fill="auto"/>
          </w:tcPr>
          <w:p w14:paraId="24B9EE9F" w14:textId="77777777" w:rsidR="0007280C" w:rsidRPr="00333E6E"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color w:val="000000" w:themeColor="text1"/>
                <w:sz w:val="24"/>
                <w:lang w:eastAsia="en-AU"/>
              </w:rPr>
            </w:pPr>
          </w:p>
        </w:tc>
        <w:tc>
          <w:tcPr>
            <w:tcW w:w="798" w:type="pct"/>
            <w:shd w:val="clear" w:color="auto" w:fill="auto"/>
          </w:tcPr>
          <w:p w14:paraId="0C04184A" w14:textId="77777777" w:rsidR="0007280C" w:rsidRPr="00333E6E"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color w:val="000000" w:themeColor="text1"/>
                <w:sz w:val="24"/>
              </w:rPr>
            </w:pPr>
          </w:p>
        </w:tc>
      </w:tr>
      <w:tr w:rsidR="00DD1A52" w:rsidRPr="008003D6" w14:paraId="28AB7276" w14:textId="77777777" w:rsidTr="00DD1A52">
        <w:trPr>
          <w:cantSplit/>
          <w:trHeight w:val="300"/>
        </w:trPr>
        <w:tc>
          <w:tcPr>
            <w:cnfStyle w:val="001000000000" w:firstRow="0" w:lastRow="0" w:firstColumn="1" w:lastColumn="0" w:oddVBand="0" w:evenVBand="0" w:oddHBand="0" w:evenHBand="0" w:firstRowFirstColumn="0" w:firstRowLastColumn="0" w:lastRowFirstColumn="0" w:lastRowLastColumn="0"/>
            <w:tcW w:w="2309" w:type="pct"/>
            <w:shd w:val="clear" w:color="auto" w:fill="auto"/>
          </w:tcPr>
          <w:p w14:paraId="71B84EAC" w14:textId="56A8DB3E" w:rsidR="0007280C" w:rsidRPr="00333E6E" w:rsidRDefault="0007280C" w:rsidP="0007280C">
            <w:pPr>
              <w:spacing w:before="240" w:after="240"/>
              <w:rPr>
                <w:rFonts w:ascii="Aptos" w:hAnsi="Aptos"/>
                <w:b w:val="0"/>
                <w:bCs w:val="0"/>
                <w:color w:val="000000" w:themeColor="text1"/>
                <w:sz w:val="24"/>
                <w:lang w:eastAsia="en-AU"/>
              </w:rPr>
            </w:pPr>
            <w:bookmarkStart w:id="51" w:name="Activity_2_2_2"/>
            <w:r w:rsidRPr="00333E6E">
              <w:rPr>
                <w:rFonts w:ascii="Aptos" w:hAnsi="Aptos"/>
                <w:b w:val="0"/>
                <w:bCs w:val="0"/>
                <w:color w:val="000000" w:themeColor="text1"/>
                <w:sz w:val="24"/>
                <w:lang w:eastAsia="en-AU"/>
              </w:rPr>
              <w:t>2.2.</w:t>
            </w:r>
            <w:r>
              <w:rPr>
                <w:rFonts w:ascii="Aptos" w:hAnsi="Aptos"/>
                <w:b w:val="0"/>
                <w:bCs w:val="0"/>
                <w:color w:val="000000" w:themeColor="text1"/>
                <w:sz w:val="24"/>
                <w:lang w:eastAsia="en-AU"/>
              </w:rPr>
              <w:t>2</w:t>
            </w:r>
            <w:r w:rsidRPr="00333E6E">
              <w:rPr>
                <w:rFonts w:ascii="Aptos" w:hAnsi="Aptos"/>
                <w:color w:val="000000" w:themeColor="text1"/>
                <w:sz w:val="24"/>
                <w:lang w:eastAsia="en-AU"/>
              </w:rPr>
              <w:t xml:space="preserve"> </w:t>
            </w:r>
            <w:bookmarkEnd w:id="51"/>
            <w:r w:rsidRPr="00936E81">
              <w:rPr>
                <w:rFonts w:ascii="Aptos" w:hAnsi="Aptos"/>
                <w:b w:val="0"/>
                <w:bCs w:val="0"/>
                <w:sz w:val="24"/>
              </w:rPr>
              <w:t xml:space="preserve">— </w:t>
            </w:r>
            <w:r w:rsidRPr="00840A32">
              <w:rPr>
                <w:rFonts w:ascii="Aptos" w:hAnsi="Aptos"/>
                <w:b w:val="0"/>
                <w:bCs w:val="0"/>
                <w:sz w:val="24"/>
                <w:lang w:eastAsia="en-AU"/>
              </w:rPr>
              <w:t xml:space="preserve">Use the results of the </w:t>
            </w:r>
            <w:r>
              <w:rPr>
                <w:rFonts w:ascii="Aptos" w:hAnsi="Aptos"/>
                <w:b w:val="0"/>
                <w:bCs w:val="0"/>
                <w:sz w:val="24"/>
              </w:rPr>
              <w:t xml:space="preserve">evaluation (outlined in </w:t>
            </w:r>
            <w:hyperlink w:anchor="Activity_2_2_1" w:history="1">
              <w:r w:rsidRPr="002E1F34">
                <w:rPr>
                  <w:rStyle w:val="Hyperlink"/>
                  <w:b w:val="0"/>
                  <w:bCs w:val="0"/>
                  <w:sz w:val="24"/>
                </w:rPr>
                <w:t>Activity 2.2.1</w:t>
              </w:r>
            </w:hyperlink>
            <w:r>
              <w:rPr>
                <w:rFonts w:ascii="Aptos" w:hAnsi="Aptos"/>
                <w:b w:val="0"/>
                <w:bCs w:val="0"/>
                <w:sz w:val="24"/>
              </w:rPr>
              <w:t>) to inform the identification of</w:t>
            </w:r>
            <w:r w:rsidRPr="00936E81">
              <w:rPr>
                <w:rFonts w:ascii="Aptos" w:hAnsi="Aptos"/>
                <w:b w:val="0"/>
                <w:bCs w:val="0"/>
                <w:sz w:val="24"/>
              </w:rPr>
              <w:t xml:space="preserve"> </w:t>
            </w:r>
            <w:r w:rsidRPr="00333E6E">
              <w:rPr>
                <w:rFonts w:ascii="Aptos" w:hAnsi="Aptos"/>
                <w:b w:val="0"/>
                <w:bCs w:val="0"/>
                <w:color w:val="000000" w:themeColor="text1"/>
                <w:sz w:val="24"/>
                <w:lang w:eastAsia="en-AU"/>
              </w:rPr>
              <w:t>existing or develop new educational materials and on-demand resources for the mainstream health workforce to improve genomic knowledge and establish a process to endorse and maintain these materials at a national level.</w:t>
            </w:r>
          </w:p>
        </w:tc>
        <w:tc>
          <w:tcPr>
            <w:tcW w:w="739" w:type="pct"/>
            <w:shd w:val="clear" w:color="auto" w:fill="auto"/>
          </w:tcPr>
          <w:p w14:paraId="46AF0FF3" w14:textId="77777777" w:rsidR="0007280C" w:rsidRPr="00333E6E"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color w:val="000000" w:themeColor="text1"/>
                <w:sz w:val="24"/>
              </w:rPr>
            </w:pPr>
          </w:p>
        </w:tc>
        <w:tc>
          <w:tcPr>
            <w:tcW w:w="1154" w:type="pct"/>
            <w:shd w:val="clear" w:color="auto" w:fill="auto"/>
          </w:tcPr>
          <w:p w14:paraId="4503B3AB" w14:textId="77777777" w:rsidR="0007280C" w:rsidRPr="00333E6E"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color w:val="000000" w:themeColor="text1"/>
                <w:sz w:val="24"/>
                <w:lang w:eastAsia="en-AU"/>
              </w:rPr>
            </w:pPr>
          </w:p>
        </w:tc>
        <w:tc>
          <w:tcPr>
            <w:tcW w:w="798" w:type="pct"/>
            <w:shd w:val="clear" w:color="auto" w:fill="auto"/>
          </w:tcPr>
          <w:p w14:paraId="3A109185" w14:textId="77777777" w:rsidR="0007280C" w:rsidRPr="00333E6E"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color w:val="000000" w:themeColor="text1"/>
                <w:sz w:val="24"/>
              </w:rPr>
            </w:pPr>
          </w:p>
        </w:tc>
      </w:tr>
      <w:tr w:rsidR="00DD1A52" w:rsidRPr="008003D6" w14:paraId="08EF6268" w14:textId="77777777" w:rsidTr="00DD1A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09" w:type="pct"/>
            <w:shd w:val="clear" w:color="auto" w:fill="auto"/>
          </w:tcPr>
          <w:p w14:paraId="5452D5DC" w14:textId="0A8040A8" w:rsidR="0007280C" w:rsidRPr="008003D6" w:rsidRDefault="0007280C" w:rsidP="0007280C">
            <w:pPr>
              <w:tabs>
                <w:tab w:val="left" w:pos="720"/>
                <w:tab w:val="left" w:pos="1440"/>
                <w:tab w:val="left" w:pos="2253"/>
              </w:tabs>
              <w:spacing w:before="240" w:after="240"/>
              <w:rPr>
                <w:rFonts w:ascii="Aptos" w:hAnsi="Aptos"/>
                <w:b w:val="0"/>
                <w:bCs w:val="0"/>
                <w:sz w:val="24"/>
                <w:lang w:eastAsia="en-AU"/>
              </w:rPr>
            </w:pPr>
            <w:r w:rsidRPr="008003D6">
              <w:rPr>
                <w:rFonts w:ascii="Aptos" w:eastAsia="Times New Roman" w:hAnsi="Aptos"/>
                <w:b w:val="0"/>
                <w:bCs w:val="0"/>
                <w:spacing w:val="0"/>
                <w:kern w:val="0"/>
                <w:sz w:val="24"/>
                <w:lang w:eastAsia="en-AU"/>
                <w14:ligatures w14:val="none"/>
              </w:rPr>
              <w:t>2.</w:t>
            </w:r>
            <w:r>
              <w:rPr>
                <w:rFonts w:ascii="Aptos" w:eastAsia="Times New Roman" w:hAnsi="Aptos"/>
                <w:b w:val="0"/>
                <w:bCs w:val="0"/>
                <w:spacing w:val="0"/>
                <w:kern w:val="0"/>
                <w:sz w:val="24"/>
                <w:lang w:eastAsia="en-AU"/>
                <w14:ligatures w14:val="none"/>
              </w:rPr>
              <w:t>2</w:t>
            </w:r>
            <w:r w:rsidRPr="008003D6">
              <w:rPr>
                <w:rFonts w:ascii="Aptos" w:eastAsia="Times New Roman" w:hAnsi="Aptos"/>
                <w:b w:val="0"/>
                <w:bCs w:val="0"/>
                <w:spacing w:val="0"/>
                <w:kern w:val="0"/>
                <w:sz w:val="24"/>
                <w:lang w:eastAsia="en-AU"/>
                <w14:ligatures w14:val="none"/>
              </w:rPr>
              <w:t>.</w:t>
            </w:r>
            <w:r>
              <w:rPr>
                <w:rFonts w:ascii="Aptos" w:eastAsia="Times New Roman" w:hAnsi="Aptos"/>
                <w:b w:val="0"/>
                <w:bCs w:val="0"/>
                <w:spacing w:val="0"/>
                <w:kern w:val="0"/>
                <w:sz w:val="24"/>
                <w:lang w:eastAsia="en-AU"/>
                <w14:ligatures w14:val="none"/>
              </w:rPr>
              <w:t>3</w:t>
            </w:r>
            <w:r w:rsidRPr="008003D6">
              <w:rPr>
                <w:rFonts w:ascii="Aptos" w:eastAsia="Times New Roman" w:hAnsi="Aptos"/>
                <w:b w:val="0"/>
                <w:bCs w:val="0"/>
                <w:spacing w:val="0"/>
                <w:kern w:val="0"/>
                <w:sz w:val="24"/>
                <w:lang w:eastAsia="en-AU"/>
                <w14:ligatures w14:val="none"/>
              </w:rPr>
              <w:t xml:space="preserve"> </w:t>
            </w:r>
            <w:r w:rsidRPr="00321436">
              <w:rPr>
                <w:rFonts w:ascii="Aptos" w:hAnsi="Aptos"/>
                <w:b w:val="0"/>
                <w:bCs w:val="0"/>
                <w:sz w:val="24"/>
              </w:rPr>
              <w:t>—</w:t>
            </w:r>
            <w:r>
              <w:rPr>
                <w:rFonts w:ascii="Aptos" w:hAnsi="Aptos"/>
                <w:b w:val="0"/>
                <w:bCs w:val="0"/>
                <w:sz w:val="24"/>
              </w:rPr>
              <w:t xml:space="preserve"> Engage with clinicians and health services to inform how the existing or newly developed educational materials and on-demand resources (outlined in </w:t>
            </w:r>
            <w:hyperlink w:anchor="Activity_2_2_2" w:history="1">
              <w:r w:rsidRPr="002E1F34">
                <w:rPr>
                  <w:rStyle w:val="Hyperlink"/>
                  <w:b w:val="0"/>
                  <w:bCs w:val="0"/>
                  <w:sz w:val="24"/>
                </w:rPr>
                <w:t>Activity 2.2.2</w:t>
              </w:r>
            </w:hyperlink>
            <w:r>
              <w:rPr>
                <w:rFonts w:ascii="Aptos" w:hAnsi="Aptos"/>
                <w:b w:val="0"/>
                <w:bCs w:val="0"/>
                <w:sz w:val="24"/>
              </w:rPr>
              <w:t xml:space="preserve">) </w:t>
            </w:r>
            <w:r>
              <w:rPr>
                <w:rFonts w:ascii="Aptos" w:hAnsi="Aptos"/>
                <w:b w:val="0"/>
                <w:bCs w:val="0"/>
                <w:sz w:val="24"/>
                <w:lang w:eastAsia="en-AU"/>
              </w:rPr>
              <w:t>should be distributed to support the mainstream workforce.</w:t>
            </w:r>
          </w:p>
        </w:tc>
        <w:tc>
          <w:tcPr>
            <w:tcW w:w="739" w:type="pct"/>
            <w:shd w:val="clear" w:color="auto" w:fill="auto"/>
          </w:tcPr>
          <w:p w14:paraId="08E32D38" w14:textId="77777777" w:rsidR="0007280C" w:rsidRPr="008003D6"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rPr>
            </w:pPr>
          </w:p>
        </w:tc>
        <w:tc>
          <w:tcPr>
            <w:tcW w:w="1154" w:type="pct"/>
            <w:shd w:val="clear" w:color="auto" w:fill="auto"/>
          </w:tcPr>
          <w:p w14:paraId="0E4A7E16" w14:textId="77777777" w:rsidR="0007280C" w:rsidRPr="008003D6"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lang w:eastAsia="en-AU"/>
              </w:rPr>
            </w:pPr>
          </w:p>
        </w:tc>
        <w:tc>
          <w:tcPr>
            <w:tcW w:w="798" w:type="pct"/>
            <w:shd w:val="clear" w:color="auto" w:fill="auto"/>
          </w:tcPr>
          <w:p w14:paraId="5AD3C312" w14:textId="77777777" w:rsidR="0007280C" w:rsidRPr="008003D6"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rPr>
            </w:pPr>
          </w:p>
        </w:tc>
      </w:tr>
      <w:tr w:rsidR="00DD1A52" w:rsidRPr="008003D6" w14:paraId="1D249B8B" w14:textId="77777777" w:rsidTr="00DD1A52">
        <w:trPr>
          <w:cantSplit/>
          <w:trHeight w:val="300"/>
        </w:trPr>
        <w:tc>
          <w:tcPr>
            <w:cnfStyle w:val="001000000000" w:firstRow="0" w:lastRow="0" w:firstColumn="1" w:lastColumn="0" w:oddVBand="0" w:evenVBand="0" w:oddHBand="0" w:evenHBand="0" w:firstRowFirstColumn="0" w:firstRowLastColumn="0" w:lastRowFirstColumn="0" w:lastRowLastColumn="0"/>
            <w:tcW w:w="2309" w:type="pct"/>
            <w:shd w:val="clear" w:color="auto" w:fill="auto"/>
          </w:tcPr>
          <w:p w14:paraId="3949CAB6" w14:textId="7810D020" w:rsidR="0007280C" w:rsidRPr="008003D6" w:rsidRDefault="0007280C" w:rsidP="0007280C">
            <w:pPr>
              <w:spacing w:before="240" w:after="240"/>
              <w:rPr>
                <w:rFonts w:ascii="Aptos" w:hAnsi="Aptos"/>
                <w:b w:val="0"/>
                <w:bCs w:val="0"/>
                <w:sz w:val="24"/>
                <w:lang w:eastAsia="en-AU"/>
              </w:rPr>
            </w:pPr>
            <w:r w:rsidRPr="008003D6">
              <w:rPr>
                <w:rFonts w:ascii="Aptos" w:eastAsia="Times New Roman" w:hAnsi="Aptos"/>
                <w:b w:val="0"/>
                <w:bCs w:val="0"/>
                <w:spacing w:val="0"/>
                <w:kern w:val="0"/>
                <w:sz w:val="24"/>
                <w:lang w:eastAsia="en-AU"/>
                <w14:ligatures w14:val="none"/>
              </w:rPr>
              <w:lastRenderedPageBreak/>
              <w:t>2.</w:t>
            </w:r>
            <w:r>
              <w:rPr>
                <w:rFonts w:ascii="Aptos" w:eastAsia="Times New Roman" w:hAnsi="Aptos"/>
                <w:b w:val="0"/>
                <w:bCs w:val="0"/>
                <w:spacing w:val="0"/>
                <w:kern w:val="0"/>
                <w:sz w:val="24"/>
                <w:lang w:eastAsia="en-AU"/>
                <w14:ligatures w14:val="none"/>
              </w:rPr>
              <w:t>2</w:t>
            </w:r>
            <w:r w:rsidRPr="008003D6">
              <w:rPr>
                <w:rFonts w:ascii="Aptos" w:eastAsia="Times New Roman" w:hAnsi="Aptos"/>
                <w:b w:val="0"/>
                <w:bCs w:val="0"/>
                <w:spacing w:val="0"/>
                <w:kern w:val="0"/>
                <w:sz w:val="24"/>
                <w:lang w:eastAsia="en-AU"/>
                <w14:ligatures w14:val="none"/>
              </w:rPr>
              <w:t>.</w:t>
            </w:r>
            <w:r>
              <w:rPr>
                <w:rFonts w:ascii="Aptos" w:eastAsia="Times New Roman" w:hAnsi="Aptos"/>
                <w:b w:val="0"/>
                <w:bCs w:val="0"/>
                <w:spacing w:val="0"/>
                <w:kern w:val="0"/>
                <w:sz w:val="24"/>
                <w:lang w:eastAsia="en-AU"/>
                <w14:ligatures w14:val="none"/>
              </w:rPr>
              <w:t>4</w:t>
            </w:r>
            <w:r w:rsidRPr="008003D6">
              <w:rPr>
                <w:rFonts w:ascii="Aptos" w:eastAsia="Times New Roman" w:hAnsi="Aptos"/>
                <w:b w:val="0"/>
                <w:bCs w:val="0"/>
                <w:spacing w:val="0"/>
                <w:kern w:val="0"/>
                <w:sz w:val="24"/>
                <w:lang w:eastAsia="en-AU"/>
                <w14:ligatures w14:val="none"/>
              </w:rPr>
              <w:t xml:space="preserve"> </w:t>
            </w:r>
            <w:r w:rsidRPr="00321436">
              <w:rPr>
                <w:rFonts w:ascii="Aptos" w:hAnsi="Aptos"/>
                <w:b w:val="0"/>
                <w:bCs w:val="0"/>
                <w:sz w:val="24"/>
              </w:rPr>
              <w:t>—</w:t>
            </w:r>
            <w:r>
              <w:rPr>
                <w:rFonts w:ascii="Aptos" w:hAnsi="Aptos"/>
                <w:b w:val="0"/>
                <w:bCs w:val="0"/>
                <w:sz w:val="24"/>
              </w:rPr>
              <w:t xml:space="preserve"> </w:t>
            </w:r>
            <w:r w:rsidRPr="00840A32">
              <w:rPr>
                <w:rFonts w:ascii="Aptos" w:hAnsi="Aptos"/>
                <w:b w:val="0"/>
                <w:bCs w:val="0"/>
                <w:sz w:val="24"/>
                <w:lang w:eastAsia="en-AU"/>
              </w:rPr>
              <w:t xml:space="preserve">Use the results of the </w:t>
            </w:r>
            <w:r>
              <w:rPr>
                <w:rFonts w:ascii="Aptos" w:hAnsi="Aptos"/>
                <w:b w:val="0"/>
                <w:bCs w:val="0"/>
                <w:sz w:val="24"/>
              </w:rPr>
              <w:t xml:space="preserve">evaluation (outlined in </w:t>
            </w:r>
            <w:hyperlink w:anchor="Activity_2_2_1" w:history="1">
              <w:r w:rsidRPr="002E1F34">
                <w:rPr>
                  <w:rStyle w:val="Hyperlink"/>
                  <w:b w:val="0"/>
                  <w:bCs w:val="0"/>
                  <w:sz w:val="24"/>
                </w:rPr>
                <w:t>Activity 2.2.1</w:t>
              </w:r>
            </w:hyperlink>
            <w:r>
              <w:rPr>
                <w:rFonts w:ascii="Aptos" w:hAnsi="Aptos"/>
                <w:b w:val="0"/>
                <w:bCs w:val="0"/>
                <w:sz w:val="24"/>
              </w:rPr>
              <w:t xml:space="preserve">) </w:t>
            </w:r>
            <w:r w:rsidRPr="00840A32">
              <w:rPr>
                <w:rFonts w:ascii="Aptos" w:hAnsi="Aptos"/>
                <w:b w:val="0"/>
                <w:bCs w:val="0"/>
                <w:sz w:val="24"/>
                <w:lang w:eastAsia="en-AU"/>
              </w:rPr>
              <w:t>to develop targeted activities and a long-term strategy to address gaps and support the existing and future mainstream health workforce to ensure it is operating at full scope within fit for purpose care models.</w:t>
            </w:r>
          </w:p>
        </w:tc>
        <w:tc>
          <w:tcPr>
            <w:tcW w:w="739" w:type="pct"/>
            <w:shd w:val="clear" w:color="auto" w:fill="auto"/>
          </w:tcPr>
          <w:p w14:paraId="5EF27B5C" w14:textId="77777777" w:rsidR="0007280C" w:rsidRPr="008003D6"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rPr>
            </w:pPr>
          </w:p>
        </w:tc>
        <w:tc>
          <w:tcPr>
            <w:tcW w:w="1154" w:type="pct"/>
            <w:shd w:val="clear" w:color="auto" w:fill="auto"/>
          </w:tcPr>
          <w:p w14:paraId="1773710F" w14:textId="77777777" w:rsidR="0007280C" w:rsidRPr="008003D6"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lang w:eastAsia="en-AU"/>
              </w:rPr>
            </w:pPr>
          </w:p>
        </w:tc>
        <w:tc>
          <w:tcPr>
            <w:tcW w:w="798" w:type="pct"/>
            <w:shd w:val="clear" w:color="auto" w:fill="auto"/>
          </w:tcPr>
          <w:p w14:paraId="42C510DC" w14:textId="77777777" w:rsidR="0007280C" w:rsidRPr="008003D6"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rPr>
            </w:pPr>
          </w:p>
        </w:tc>
      </w:tr>
    </w:tbl>
    <w:p w14:paraId="2FD7B5CC" w14:textId="77777777" w:rsidR="00734BB2" w:rsidRPr="00953736" w:rsidRDefault="00734BB2" w:rsidP="00953736">
      <w:pPr>
        <w:rPr>
          <w:rFonts w:eastAsia="MS PGothic"/>
        </w:rPr>
      </w:pPr>
    </w:p>
    <w:p w14:paraId="504B7480" w14:textId="77777777" w:rsidR="00A5749E" w:rsidRDefault="00A5749E">
      <w:pPr>
        <w:rPr>
          <w:rFonts w:eastAsia="MS PGothic" w:cs="Arial"/>
          <w:bCs/>
          <w:color w:val="358189"/>
          <w:sz w:val="28"/>
          <w:szCs w:val="26"/>
        </w:rPr>
      </w:pPr>
      <w:r>
        <w:rPr>
          <w:rFonts w:eastAsia="MS PGothic"/>
        </w:rPr>
        <w:br w:type="page"/>
      </w:r>
    </w:p>
    <w:p w14:paraId="7BD8D7C3" w14:textId="605D4775" w:rsidR="002736F0" w:rsidRPr="00E96F5C" w:rsidRDefault="002736F0" w:rsidP="002736F0">
      <w:pPr>
        <w:pStyle w:val="Heading3"/>
        <w:rPr>
          <w:rFonts w:eastAsia="MS PGothic"/>
        </w:rPr>
      </w:pPr>
      <w:bookmarkStart w:id="52" w:name="_Toc197953807"/>
      <w:bookmarkStart w:id="53" w:name="_Toc198025694"/>
      <w:r w:rsidRPr="00E96F5C">
        <w:rPr>
          <w:rFonts w:eastAsia="MS PGothic"/>
        </w:rPr>
        <w:lastRenderedPageBreak/>
        <w:t xml:space="preserve">Outcome </w:t>
      </w:r>
      <w:r>
        <w:rPr>
          <w:rFonts w:eastAsia="MS PGothic"/>
        </w:rPr>
        <w:t>2.</w:t>
      </w:r>
      <w:r w:rsidR="002C376F">
        <w:rPr>
          <w:rFonts w:eastAsia="MS PGothic"/>
        </w:rPr>
        <w:t xml:space="preserve">3 </w:t>
      </w:r>
      <w:r w:rsidRPr="00E96F5C">
        <w:rPr>
          <w:rFonts w:eastAsia="MS PGothic"/>
        </w:rPr>
        <w:t>—</w:t>
      </w:r>
      <w:r>
        <w:rPr>
          <w:rFonts w:eastAsia="MS PGothic"/>
        </w:rPr>
        <w:t xml:space="preserve"> </w:t>
      </w:r>
      <w:r w:rsidR="00FC4BB7" w:rsidRPr="00FC4BB7">
        <w:rPr>
          <w:rFonts w:eastAsia="MS PGothic"/>
        </w:rPr>
        <w:t>Decision making processes, funding pathways and sustainable investment to enhance clinical translation</w:t>
      </w:r>
      <w:bookmarkEnd w:id="52"/>
      <w:bookmarkEnd w:id="53"/>
    </w:p>
    <w:p w14:paraId="6E57E591" w14:textId="41FCF29A" w:rsidR="00096A78" w:rsidRPr="00451C2C" w:rsidRDefault="00A5749E" w:rsidP="00451C2C">
      <w:pPr>
        <w:pStyle w:val="ListNumber2"/>
        <w:ind w:left="641" w:hanging="357"/>
        <w:rPr>
          <w:rFonts w:eastAsia="Arial"/>
        </w:rPr>
      </w:pPr>
      <w:r w:rsidRPr="00451C2C">
        <w:rPr>
          <w:rFonts w:eastAsia="Arial"/>
        </w:rPr>
        <w:t>genomics</w:t>
      </w:r>
      <w:r w:rsidR="00953736" w:rsidRPr="00451C2C">
        <w:rPr>
          <w:rFonts w:eastAsia="Arial"/>
        </w:rPr>
        <w:t>-</w:t>
      </w:r>
      <w:r w:rsidR="00161DC0" w:rsidRPr="00451C2C">
        <w:rPr>
          <w:rFonts w:eastAsia="Arial"/>
        </w:rPr>
        <w:t>inform</w:t>
      </w:r>
      <w:r w:rsidR="00953736" w:rsidRPr="00451C2C">
        <w:rPr>
          <w:rFonts w:eastAsia="Arial"/>
        </w:rPr>
        <w:t>ed health care is evidence based and underpinned by agreed national approaches to ethical considerations</w:t>
      </w:r>
    </w:p>
    <w:p w14:paraId="77368570" w14:textId="5DE86403" w:rsidR="002736F0" w:rsidRPr="00451C2C" w:rsidRDefault="00A5749E" w:rsidP="00451C2C">
      <w:pPr>
        <w:pStyle w:val="ListNumber2"/>
        <w:ind w:left="641" w:hanging="357"/>
        <w:rPr>
          <w:rFonts w:eastAsia="Arial"/>
        </w:rPr>
      </w:pPr>
      <w:r w:rsidRPr="00451C2C">
        <w:rPr>
          <w:rFonts w:eastAsia="Arial"/>
        </w:rPr>
        <w:t>e</w:t>
      </w:r>
      <w:r w:rsidR="00161DC0" w:rsidRPr="00451C2C">
        <w:rPr>
          <w:rFonts w:eastAsia="Arial"/>
        </w:rPr>
        <w:t>nsure h</w:t>
      </w:r>
      <w:r w:rsidR="002A5C95" w:rsidRPr="00451C2C">
        <w:rPr>
          <w:rFonts w:eastAsia="Arial"/>
        </w:rPr>
        <w:t>igh-value and appropriate genomics-</w:t>
      </w:r>
      <w:r w:rsidR="00161DC0" w:rsidRPr="00451C2C">
        <w:rPr>
          <w:rFonts w:eastAsia="Arial"/>
        </w:rPr>
        <w:t>inform</w:t>
      </w:r>
      <w:r w:rsidR="002A5C95" w:rsidRPr="00451C2C">
        <w:rPr>
          <w:rFonts w:eastAsia="Arial"/>
        </w:rPr>
        <w:t xml:space="preserve">ed health care, research and innovation </w:t>
      </w:r>
      <w:r w:rsidR="00161DC0" w:rsidRPr="00451C2C">
        <w:rPr>
          <w:rFonts w:eastAsia="Arial"/>
        </w:rPr>
        <w:t>receive</w:t>
      </w:r>
      <w:r w:rsidR="002A5C95" w:rsidRPr="00451C2C">
        <w:rPr>
          <w:rFonts w:eastAsia="Arial"/>
        </w:rPr>
        <w:t xml:space="preserve"> targeted, cohesive, and sustainable investment, including funding pathways that support preventative, and early intervention models of health care</w:t>
      </w:r>
    </w:p>
    <w:p w14:paraId="4391478B" w14:textId="26EFCE57" w:rsidR="00677907" w:rsidRPr="00451C2C" w:rsidRDefault="00A5749E" w:rsidP="00451C2C">
      <w:pPr>
        <w:pStyle w:val="ListNumber2"/>
        <w:ind w:left="641" w:hanging="357"/>
        <w:rPr>
          <w:rFonts w:eastAsia="Arial"/>
        </w:rPr>
      </w:pPr>
      <w:r w:rsidRPr="00451C2C">
        <w:rPr>
          <w:rFonts w:eastAsia="Arial"/>
        </w:rPr>
        <w:t xml:space="preserve">active </w:t>
      </w:r>
      <w:r w:rsidR="002A5C95" w:rsidRPr="00451C2C">
        <w:rPr>
          <w:rFonts w:eastAsia="Arial"/>
        </w:rPr>
        <w:t xml:space="preserve">engagement, cooperation </w:t>
      </w:r>
      <w:r w:rsidR="00C90F33">
        <w:rPr>
          <w:rFonts w:eastAsia="Arial"/>
        </w:rPr>
        <w:t>and</w:t>
      </w:r>
      <w:r w:rsidR="002A5C95" w:rsidRPr="00451C2C">
        <w:rPr>
          <w:rFonts w:eastAsia="Arial"/>
        </w:rPr>
        <w:t xml:space="preserve"> collaboration with domestic and international stakeholders across the genomics ecosystem, in alignment with public values and expectations</w:t>
      </w:r>
      <w:r w:rsidR="00C32899">
        <w:rPr>
          <w:rFonts w:eastAsia="Arial"/>
        </w:rPr>
        <w:t xml:space="preserve"> </w:t>
      </w:r>
      <w:r w:rsidR="00677907">
        <w:rPr>
          <w:rFonts w:eastAsia="Arial"/>
        </w:rPr>
        <w:t>to</w:t>
      </w:r>
      <w:r w:rsidR="00C32899">
        <w:rPr>
          <w:rFonts w:eastAsia="Arial"/>
        </w:rPr>
        <w:t xml:space="preserve"> ensur</w:t>
      </w:r>
      <w:r w:rsidR="00677907">
        <w:rPr>
          <w:rFonts w:eastAsia="Arial"/>
        </w:rPr>
        <w:t>e</w:t>
      </w:r>
      <w:r w:rsidR="00C32899">
        <w:rPr>
          <w:rFonts w:eastAsia="Arial"/>
        </w:rPr>
        <w:t xml:space="preserve"> the Australian</w:t>
      </w:r>
      <w:r w:rsidR="00677907">
        <w:rPr>
          <w:rFonts w:eastAsia="Arial"/>
        </w:rPr>
        <w:t xml:space="preserve"> health</w:t>
      </w:r>
      <w:r w:rsidR="00C32899">
        <w:rPr>
          <w:rFonts w:eastAsia="Arial"/>
        </w:rPr>
        <w:t xml:space="preserve"> system</w:t>
      </w:r>
      <w:r w:rsidR="00677907">
        <w:rPr>
          <w:rFonts w:eastAsia="Arial"/>
        </w:rPr>
        <w:t xml:space="preserve"> is well informed, facilitating the integration of genomics and accelerating the pace of research</w:t>
      </w:r>
    </w:p>
    <w:tbl>
      <w:tblPr>
        <w:tblStyle w:val="ListTable3-Accent1"/>
        <w:tblW w:w="4998" w:type="pct"/>
        <w:tblLook w:val="04A0" w:firstRow="1" w:lastRow="0" w:firstColumn="1" w:lastColumn="0" w:noHBand="0" w:noVBand="1"/>
      </w:tblPr>
      <w:tblGrid>
        <w:gridCol w:w="3970"/>
        <w:gridCol w:w="1397"/>
        <w:gridCol w:w="2182"/>
        <w:gridCol w:w="1507"/>
      </w:tblGrid>
      <w:tr w:rsidR="0007280C" w:rsidRPr="00161DC0" w14:paraId="50268815" w14:textId="77777777" w:rsidTr="00DD1A52">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192" w:type="pct"/>
          </w:tcPr>
          <w:p w14:paraId="4D8C24B2" w14:textId="37CFF161" w:rsidR="0007280C" w:rsidRPr="00274EFD" w:rsidRDefault="0007280C" w:rsidP="0007280C">
            <w:pPr>
              <w:spacing w:before="240" w:after="240"/>
              <w:rPr>
                <w:rFonts w:ascii="Aptos" w:hAnsi="Aptos"/>
                <w:color w:val="000000" w:themeColor="text1"/>
                <w:sz w:val="24"/>
                <w:lang w:eastAsia="en-AU"/>
              </w:rPr>
            </w:pPr>
            <w:r w:rsidRPr="008003D6">
              <w:rPr>
                <w:rFonts w:ascii="Aptos" w:eastAsia="Times New Roman" w:hAnsi="Aptos"/>
                <w:spacing w:val="0"/>
                <w:kern w:val="0"/>
                <w:sz w:val="24"/>
                <w:lang w:eastAsia="en-AU"/>
                <w14:ligatures w14:val="none"/>
              </w:rPr>
              <w:t xml:space="preserve">National </w:t>
            </w:r>
            <w:r w:rsidR="00AB1B96" w:rsidRPr="008003D6">
              <w:rPr>
                <w:rFonts w:ascii="Aptos" w:eastAsia="Times New Roman" w:hAnsi="Aptos"/>
                <w:spacing w:val="0"/>
                <w:kern w:val="0"/>
                <w:sz w:val="24"/>
                <w:lang w:eastAsia="en-AU"/>
                <w14:ligatures w14:val="none"/>
              </w:rPr>
              <w:t>Activit</w:t>
            </w:r>
            <w:r w:rsidR="00AB1B96">
              <w:rPr>
                <w:rFonts w:ascii="Aptos" w:eastAsia="Times New Roman" w:hAnsi="Aptos"/>
                <w:spacing w:val="0"/>
                <w:kern w:val="0"/>
                <w:sz w:val="24"/>
                <w:lang w:eastAsia="en-AU"/>
                <w14:ligatures w14:val="none"/>
              </w:rPr>
              <w:t>y</w:t>
            </w:r>
          </w:p>
        </w:tc>
        <w:tc>
          <w:tcPr>
            <w:tcW w:w="771" w:type="pct"/>
          </w:tcPr>
          <w:p w14:paraId="14688EAB" w14:textId="4BDB096F" w:rsidR="0007280C" w:rsidRPr="00274EFD" w:rsidRDefault="0007280C" w:rsidP="0007280C">
            <w:pPr>
              <w:spacing w:before="240" w:after="240"/>
              <w:jc w:val="center"/>
              <w:cnfStyle w:val="100000000000" w:firstRow="1" w:lastRow="0" w:firstColumn="0" w:lastColumn="0" w:oddVBand="0" w:evenVBand="0" w:oddHBand="0" w:evenHBand="0" w:firstRowFirstColumn="0" w:firstRowLastColumn="0" w:lastRowFirstColumn="0" w:lastRowLastColumn="0"/>
              <w:rPr>
                <w:rFonts w:ascii="Aptos" w:hAnsi="Aptos"/>
                <w:color w:val="000000" w:themeColor="text1"/>
                <w:sz w:val="24"/>
              </w:rPr>
            </w:pPr>
            <w:r w:rsidRPr="008003D6">
              <w:rPr>
                <w:rFonts w:ascii="Aptos" w:eastAsia="Times New Roman" w:hAnsi="Aptos"/>
                <w:spacing w:val="0"/>
                <w:kern w:val="0"/>
                <w:sz w:val="24"/>
                <w:lang w:eastAsia="en-AU"/>
                <w14:ligatures w14:val="none"/>
              </w:rPr>
              <w:t>Timeframe</w:t>
            </w:r>
          </w:p>
        </w:tc>
        <w:tc>
          <w:tcPr>
            <w:tcW w:w="1205" w:type="pct"/>
          </w:tcPr>
          <w:p w14:paraId="0A35ECF9" w14:textId="3F6BE79C" w:rsidR="0007280C" w:rsidRPr="00274EFD" w:rsidRDefault="0007280C" w:rsidP="0007280C">
            <w:pPr>
              <w:spacing w:before="240" w:after="240"/>
              <w:jc w:val="center"/>
              <w:cnfStyle w:val="100000000000" w:firstRow="1" w:lastRow="0" w:firstColumn="0" w:lastColumn="0" w:oddVBand="0" w:evenVBand="0" w:oddHBand="0" w:evenHBand="0" w:firstRowFirstColumn="0" w:firstRowLastColumn="0" w:lastRowFirstColumn="0" w:lastRowLastColumn="0"/>
              <w:rPr>
                <w:rFonts w:ascii="Aptos" w:hAnsi="Aptos"/>
                <w:color w:val="000000" w:themeColor="text1"/>
                <w:sz w:val="24"/>
                <w:lang w:eastAsia="en-AU"/>
              </w:rPr>
            </w:pPr>
            <w:r>
              <w:rPr>
                <w:rFonts w:ascii="Aptos" w:eastAsia="Times New Roman" w:hAnsi="Aptos"/>
                <w:spacing w:val="0"/>
                <w:kern w:val="0"/>
                <w:sz w:val="24"/>
                <w:lang w:eastAsia="en-AU"/>
                <w14:ligatures w14:val="none"/>
              </w:rPr>
              <w:t>Responsible for Coordination</w:t>
            </w:r>
          </w:p>
        </w:tc>
        <w:tc>
          <w:tcPr>
            <w:tcW w:w="833" w:type="pct"/>
          </w:tcPr>
          <w:p w14:paraId="51D0BE6F" w14:textId="53EC761B" w:rsidR="0007280C" w:rsidRPr="00274EFD" w:rsidRDefault="0007280C" w:rsidP="0007280C">
            <w:pPr>
              <w:spacing w:before="240" w:after="240"/>
              <w:jc w:val="center"/>
              <w:cnfStyle w:val="100000000000" w:firstRow="1" w:lastRow="0" w:firstColumn="0" w:lastColumn="0" w:oddVBand="0" w:evenVBand="0" w:oddHBand="0" w:evenHBand="0" w:firstRowFirstColumn="0" w:firstRowLastColumn="0" w:lastRowFirstColumn="0" w:lastRowLastColumn="0"/>
              <w:rPr>
                <w:rFonts w:ascii="Aptos" w:hAnsi="Aptos"/>
                <w:color w:val="000000" w:themeColor="text1"/>
                <w:sz w:val="24"/>
              </w:rPr>
            </w:pPr>
            <w:r w:rsidRPr="008003D6">
              <w:rPr>
                <w:rFonts w:ascii="Aptos" w:eastAsia="Times New Roman" w:hAnsi="Aptos"/>
                <w:spacing w:val="0"/>
                <w:kern w:val="0"/>
                <w:sz w:val="24"/>
                <w:lang w:eastAsia="en-AU"/>
                <w14:ligatures w14:val="none"/>
              </w:rPr>
              <w:t>Priority</w:t>
            </w:r>
          </w:p>
        </w:tc>
      </w:tr>
      <w:tr w:rsidR="0007280C" w:rsidRPr="00161DC0" w14:paraId="1D9BF38B" w14:textId="77777777" w:rsidTr="00DD1A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2" w:type="pct"/>
            <w:shd w:val="clear" w:color="auto" w:fill="auto"/>
          </w:tcPr>
          <w:p w14:paraId="2492505D" w14:textId="31F42D6A" w:rsidR="0007280C" w:rsidRPr="00161DC0" w:rsidRDefault="0007280C" w:rsidP="0007280C">
            <w:pPr>
              <w:spacing w:before="240" w:after="240"/>
              <w:rPr>
                <w:rFonts w:ascii="Aptos" w:hAnsi="Aptos"/>
                <w:b w:val="0"/>
                <w:bCs w:val="0"/>
                <w:sz w:val="24"/>
                <w:lang w:eastAsia="en-AU"/>
              </w:rPr>
            </w:pPr>
            <w:bookmarkStart w:id="54" w:name="_Hlk199345065"/>
            <w:r w:rsidRPr="00161DC0">
              <w:rPr>
                <w:rFonts w:ascii="Aptos" w:eastAsia="Times New Roman" w:hAnsi="Aptos"/>
                <w:b w:val="0"/>
                <w:bCs w:val="0"/>
                <w:spacing w:val="0"/>
                <w:kern w:val="0"/>
                <w:sz w:val="24"/>
                <w:lang w:eastAsia="en-AU"/>
                <w14:ligatures w14:val="none"/>
              </w:rPr>
              <w:t>2.</w:t>
            </w:r>
            <w:r>
              <w:rPr>
                <w:rFonts w:ascii="Aptos" w:eastAsia="Times New Roman" w:hAnsi="Aptos"/>
                <w:b w:val="0"/>
                <w:bCs w:val="0"/>
                <w:spacing w:val="0"/>
                <w:kern w:val="0"/>
                <w:sz w:val="24"/>
                <w:lang w:eastAsia="en-AU"/>
                <w14:ligatures w14:val="none"/>
              </w:rPr>
              <w:t>3</w:t>
            </w:r>
            <w:r w:rsidRPr="00161DC0">
              <w:rPr>
                <w:rFonts w:ascii="Aptos" w:eastAsia="Times New Roman" w:hAnsi="Aptos"/>
                <w:b w:val="0"/>
                <w:bCs w:val="0"/>
                <w:spacing w:val="0"/>
                <w:kern w:val="0"/>
                <w:sz w:val="24"/>
                <w:lang w:eastAsia="en-AU"/>
                <w14:ligatures w14:val="none"/>
              </w:rPr>
              <w:t>.</w:t>
            </w:r>
            <w:r>
              <w:rPr>
                <w:rFonts w:ascii="Aptos" w:eastAsia="Times New Roman" w:hAnsi="Aptos"/>
                <w:b w:val="0"/>
                <w:bCs w:val="0"/>
                <w:spacing w:val="0"/>
                <w:kern w:val="0"/>
                <w:sz w:val="24"/>
                <w:lang w:eastAsia="en-AU"/>
                <w14:ligatures w14:val="none"/>
              </w:rPr>
              <w:t>1</w:t>
            </w:r>
            <w:r w:rsidRPr="00161DC0">
              <w:rPr>
                <w:rFonts w:ascii="Aptos" w:eastAsia="Times New Roman" w:hAnsi="Aptos"/>
                <w:b w:val="0"/>
                <w:bCs w:val="0"/>
                <w:spacing w:val="0"/>
                <w:kern w:val="0"/>
                <w:sz w:val="24"/>
                <w:lang w:eastAsia="en-AU"/>
                <w14:ligatures w14:val="none"/>
              </w:rPr>
              <w:t xml:space="preserve"> </w:t>
            </w:r>
            <w:r w:rsidRPr="00321436">
              <w:rPr>
                <w:rFonts w:ascii="Aptos" w:hAnsi="Aptos"/>
                <w:b w:val="0"/>
                <w:bCs w:val="0"/>
                <w:sz w:val="24"/>
              </w:rPr>
              <w:t>—</w:t>
            </w:r>
            <w:r>
              <w:rPr>
                <w:rFonts w:ascii="Aptos" w:hAnsi="Aptos"/>
                <w:b w:val="0"/>
                <w:bCs w:val="0"/>
                <w:sz w:val="24"/>
              </w:rPr>
              <w:t xml:space="preserve"> </w:t>
            </w:r>
            <w:r w:rsidRPr="00451C2C">
              <w:rPr>
                <w:rFonts w:ascii="Aptos" w:hAnsi="Aptos"/>
                <w:b w:val="0"/>
                <w:bCs w:val="0"/>
                <w:sz w:val="24"/>
                <w:lang w:eastAsia="en-AU"/>
              </w:rPr>
              <w:t xml:space="preserve">Promote consideration of genomics as part of broader </w:t>
            </w:r>
            <w:hyperlink w:anchor="_Health_technology_assessment" w:history="1">
              <w:r w:rsidR="00790790" w:rsidRPr="00790790">
                <w:rPr>
                  <w:rStyle w:val="Hyperlink"/>
                  <w:b w:val="0"/>
                  <w:bCs w:val="0"/>
                  <w:sz w:val="24"/>
                  <w:lang w:eastAsia="en-AU"/>
                </w:rPr>
                <w:t>health technology assessment (</w:t>
              </w:r>
              <w:r w:rsidRPr="00790790">
                <w:rPr>
                  <w:rStyle w:val="Hyperlink"/>
                  <w:b w:val="0"/>
                  <w:bCs w:val="0"/>
                  <w:sz w:val="24"/>
                  <w:lang w:eastAsia="en-AU"/>
                </w:rPr>
                <w:t>HTA</w:t>
              </w:r>
              <w:r w:rsidR="00790790" w:rsidRPr="00790790">
                <w:rPr>
                  <w:rStyle w:val="Hyperlink"/>
                  <w:b w:val="0"/>
                  <w:bCs w:val="0"/>
                  <w:sz w:val="24"/>
                  <w:lang w:eastAsia="en-AU"/>
                </w:rPr>
                <w:t>)</w:t>
              </w:r>
            </w:hyperlink>
            <w:r w:rsidRPr="00451C2C">
              <w:rPr>
                <w:rFonts w:ascii="Aptos" w:hAnsi="Aptos"/>
                <w:b w:val="0"/>
                <w:bCs w:val="0"/>
                <w:sz w:val="24"/>
                <w:lang w:eastAsia="en-AU"/>
              </w:rPr>
              <w:t xml:space="preserve"> improvement and reform processes, including the </w:t>
            </w:r>
            <w:r>
              <w:rPr>
                <w:rFonts w:ascii="Aptos" w:hAnsi="Aptos"/>
                <w:b w:val="0"/>
                <w:bCs w:val="0"/>
                <w:sz w:val="24"/>
                <w:lang w:eastAsia="en-AU"/>
              </w:rPr>
              <w:t xml:space="preserve">responses of the </w:t>
            </w:r>
            <w:r w:rsidRPr="00451C2C">
              <w:rPr>
                <w:rFonts w:ascii="Aptos" w:hAnsi="Aptos"/>
                <w:b w:val="0"/>
                <w:bCs w:val="0"/>
                <w:sz w:val="24"/>
                <w:lang w:eastAsia="en-AU"/>
              </w:rPr>
              <w:t xml:space="preserve">Australian Government and state and territory </w:t>
            </w:r>
            <w:r>
              <w:rPr>
                <w:rFonts w:ascii="Aptos" w:hAnsi="Aptos"/>
                <w:b w:val="0"/>
                <w:bCs w:val="0"/>
                <w:sz w:val="24"/>
                <w:lang w:eastAsia="en-AU"/>
              </w:rPr>
              <w:t xml:space="preserve">governments </w:t>
            </w:r>
            <w:r w:rsidRPr="00451C2C">
              <w:rPr>
                <w:rFonts w:ascii="Aptos" w:hAnsi="Aptos"/>
                <w:b w:val="0"/>
                <w:bCs w:val="0"/>
                <w:sz w:val="24"/>
                <w:lang w:eastAsia="en-AU"/>
              </w:rPr>
              <w:t xml:space="preserve">to the findings and recommendations of the </w:t>
            </w:r>
            <w:bookmarkStart w:id="55" w:name="_Hlk198026421"/>
            <w:r w:rsidRPr="00451C2C">
              <w:rPr>
                <w:rFonts w:ascii="Aptos" w:hAnsi="Aptos"/>
                <w:b w:val="0"/>
                <w:bCs w:val="0"/>
                <w:sz w:val="24"/>
                <w:lang w:eastAsia="en-AU"/>
              </w:rPr>
              <w:t xml:space="preserve">Health Technology Assessment Policy and Methods Review </w:t>
            </w:r>
            <w:bookmarkEnd w:id="55"/>
            <w:r w:rsidRPr="00451C2C">
              <w:rPr>
                <w:rFonts w:ascii="Aptos" w:hAnsi="Aptos"/>
                <w:b w:val="0"/>
                <w:bCs w:val="0"/>
                <w:sz w:val="24"/>
                <w:lang w:eastAsia="en-AU"/>
              </w:rPr>
              <w:t xml:space="preserve">report </w:t>
            </w:r>
            <w:bookmarkEnd w:id="54"/>
          </w:p>
        </w:tc>
        <w:tc>
          <w:tcPr>
            <w:tcW w:w="771" w:type="pct"/>
          </w:tcPr>
          <w:p w14:paraId="1C21BEF4" w14:textId="77777777" w:rsidR="0007280C" w:rsidRPr="00161DC0"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rPr>
            </w:pPr>
          </w:p>
        </w:tc>
        <w:tc>
          <w:tcPr>
            <w:tcW w:w="1205" w:type="pct"/>
          </w:tcPr>
          <w:p w14:paraId="55A74ED6" w14:textId="77777777" w:rsidR="0007280C" w:rsidRPr="00161DC0"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lang w:eastAsia="en-AU"/>
              </w:rPr>
            </w:pPr>
          </w:p>
        </w:tc>
        <w:tc>
          <w:tcPr>
            <w:tcW w:w="833" w:type="pct"/>
          </w:tcPr>
          <w:p w14:paraId="0E884A6D" w14:textId="77777777" w:rsidR="0007280C" w:rsidRPr="00161DC0"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rPr>
            </w:pPr>
          </w:p>
        </w:tc>
      </w:tr>
      <w:tr w:rsidR="0007280C" w:rsidRPr="00161DC0" w14:paraId="756DAD8A" w14:textId="77777777" w:rsidTr="00DD1A52">
        <w:trPr>
          <w:trHeight w:val="300"/>
        </w:trPr>
        <w:tc>
          <w:tcPr>
            <w:cnfStyle w:val="001000000000" w:firstRow="0" w:lastRow="0" w:firstColumn="1" w:lastColumn="0" w:oddVBand="0" w:evenVBand="0" w:oddHBand="0" w:evenHBand="0" w:firstRowFirstColumn="0" w:firstRowLastColumn="0" w:lastRowFirstColumn="0" w:lastRowLastColumn="0"/>
            <w:tcW w:w="2192" w:type="pct"/>
            <w:shd w:val="clear" w:color="auto" w:fill="auto"/>
          </w:tcPr>
          <w:p w14:paraId="439417EF" w14:textId="2C5A8671" w:rsidR="0007280C" w:rsidRPr="00161DC0" w:rsidRDefault="0007280C" w:rsidP="0007280C">
            <w:pPr>
              <w:spacing w:before="240" w:after="240"/>
              <w:rPr>
                <w:rFonts w:ascii="Aptos" w:hAnsi="Aptos"/>
                <w:b w:val="0"/>
                <w:bCs w:val="0"/>
                <w:sz w:val="24"/>
                <w:lang w:eastAsia="en-AU"/>
              </w:rPr>
            </w:pPr>
            <w:r w:rsidRPr="00161DC0">
              <w:rPr>
                <w:rFonts w:ascii="Aptos" w:eastAsia="Times New Roman" w:hAnsi="Aptos"/>
                <w:b w:val="0"/>
                <w:bCs w:val="0"/>
                <w:spacing w:val="0"/>
                <w:kern w:val="0"/>
                <w:sz w:val="24"/>
                <w:lang w:eastAsia="en-AU"/>
                <w14:ligatures w14:val="none"/>
              </w:rPr>
              <w:t>2.</w:t>
            </w:r>
            <w:r>
              <w:rPr>
                <w:rFonts w:ascii="Aptos" w:eastAsia="Times New Roman" w:hAnsi="Aptos"/>
                <w:b w:val="0"/>
                <w:bCs w:val="0"/>
                <w:spacing w:val="0"/>
                <w:kern w:val="0"/>
                <w:sz w:val="24"/>
                <w:lang w:eastAsia="en-AU"/>
                <w14:ligatures w14:val="none"/>
              </w:rPr>
              <w:t>3</w:t>
            </w:r>
            <w:r w:rsidRPr="00161DC0">
              <w:rPr>
                <w:rFonts w:ascii="Aptos" w:eastAsia="Times New Roman" w:hAnsi="Aptos"/>
                <w:b w:val="0"/>
                <w:bCs w:val="0"/>
                <w:spacing w:val="0"/>
                <w:kern w:val="0"/>
                <w:sz w:val="24"/>
                <w:lang w:eastAsia="en-AU"/>
                <w14:ligatures w14:val="none"/>
              </w:rPr>
              <w:t>.</w:t>
            </w:r>
            <w:r>
              <w:rPr>
                <w:rFonts w:ascii="Aptos" w:eastAsia="Times New Roman" w:hAnsi="Aptos"/>
                <w:b w:val="0"/>
                <w:bCs w:val="0"/>
                <w:spacing w:val="0"/>
                <w:kern w:val="0"/>
                <w:sz w:val="24"/>
                <w:lang w:eastAsia="en-AU"/>
                <w14:ligatures w14:val="none"/>
              </w:rPr>
              <w:t>2</w:t>
            </w:r>
            <w:r w:rsidRPr="00161DC0">
              <w:rPr>
                <w:rFonts w:ascii="Aptos" w:eastAsia="Times New Roman" w:hAnsi="Aptos"/>
                <w:b w:val="0"/>
                <w:bCs w:val="0"/>
                <w:spacing w:val="0"/>
                <w:kern w:val="0"/>
                <w:sz w:val="24"/>
                <w:lang w:eastAsia="en-AU"/>
                <w14:ligatures w14:val="none"/>
              </w:rPr>
              <w:t xml:space="preserve"> </w:t>
            </w:r>
            <w:r w:rsidRPr="00321436">
              <w:rPr>
                <w:rFonts w:ascii="Aptos" w:hAnsi="Aptos"/>
                <w:b w:val="0"/>
                <w:bCs w:val="0"/>
                <w:sz w:val="24"/>
              </w:rPr>
              <w:t>—</w:t>
            </w:r>
            <w:r>
              <w:rPr>
                <w:rFonts w:ascii="Aptos" w:hAnsi="Aptos"/>
                <w:b w:val="0"/>
                <w:bCs w:val="0"/>
                <w:sz w:val="24"/>
              </w:rPr>
              <w:t xml:space="preserve"> </w:t>
            </w:r>
            <w:r w:rsidRPr="00451C2C">
              <w:rPr>
                <w:rFonts w:ascii="Aptos" w:hAnsi="Aptos"/>
                <w:b w:val="0"/>
                <w:bCs w:val="0"/>
                <w:sz w:val="24"/>
                <w:lang w:eastAsia="en-AU"/>
              </w:rPr>
              <w:t xml:space="preserve">Develop ethical models for partnerships, engagement, and co-investment with non-government stakeholders, including industry and academia, </w:t>
            </w:r>
            <w:r>
              <w:rPr>
                <w:rFonts w:ascii="Aptos" w:hAnsi="Aptos"/>
                <w:b w:val="0"/>
                <w:bCs w:val="0"/>
                <w:sz w:val="24"/>
                <w:lang w:eastAsia="en-AU"/>
              </w:rPr>
              <w:t>to</w:t>
            </w:r>
            <w:r w:rsidRPr="00451C2C">
              <w:rPr>
                <w:rFonts w:ascii="Aptos" w:hAnsi="Aptos"/>
                <w:b w:val="0"/>
                <w:bCs w:val="0"/>
                <w:sz w:val="24"/>
                <w:lang w:eastAsia="en-AU"/>
              </w:rPr>
              <w:t xml:space="preserve"> enhance </w:t>
            </w:r>
            <w:bookmarkStart w:id="56" w:name="_Hlk198026429"/>
            <w:r w:rsidR="00A127F5">
              <w:rPr>
                <w:rFonts w:ascii="Aptos" w:hAnsi="Aptos"/>
                <w:sz w:val="24"/>
                <w:lang w:eastAsia="en-AU"/>
              </w:rPr>
              <w:fldChar w:fldCharType="begin"/>
            </w:r>
            <w:r w:rsidR="00A127F5">
              <w:rPr>
                <w:rFonts w:ascii="Aptos" w:hAnsi="Aptos"/>
                <w:b w:val="0"/>
                <w:bCs w:val="0"/>
                <w:sz w:val="24"/>
                <w:lang w:eastAsia="en-AU"/>
              </w:rPr>
              <w:instrText>HYPERLINK  \l "_Translational_research"</w:instrText>
            </w:r>
            <w:r w:rsidR="00A127F5">
              <w:rPr>
                <w:rFonts w:ascii="Aptos" w:hAnsi="Aptos"/>
                <w:sz w:val="24"/>
                <w:lang w:eastAsia="en-AU"/>
              </w:rPr>
            </w:r>
            <w:r w:rsidR="00A127F5">
              <w:rPr>
                <w:rFonts w:ascii="Aptos" w:hAnsi="Aptos"/>
                <w:sz w:val="24"/>
                <w:lang w:eastAsia="en-AU"/>
              </w:rPr>
              <w:fldChar w:fldCharType="separate"/>
            </w:r>
            <w:r w:rsidRPr="00A127F5">
              <w:rPr>
                <w:rStyle w:val="Hyperlink"/>
                <w:b w:val="0"/>
                <w:bCs w:val="0"/>
                <w:sz w:val="24"/>
                <w:lang w:eastAsia="en-AU"/>
              </w:rPr>
              <w:t>translational research</w:t>
            </w:r>
            <w:r w:rsidR="00A127F5">
              <w:rPr>
                <w:rFonts w:ascii="Aptos" w:hAnsi="Aptos"/>
                <w:sz w:val="24"/>
                <w:lang w:eastAsia="en-AU"/>
              </w:rPr>
              <w:fldChar w:fldCharType="end"/>
            </w:r>
            <w:r w:rsidRPr="00451C2C">
              <w:rPr>
                <w:rFonts w:ascii="Aptos" w:hAnsi="Aptos"/>
                <w:b w:val="0"/>
                <w:bCs w:val="0"/>
                <w:sz w:val="24"/>
                <w:lang w:eastAsia="en-AU"/>
              </w:rPr>
              <w:t xml:space="preserve"> </w:t>
            </w:r>
            <w:bookmarkEnd w:id="56"/>
            <w:r w:rsidRPr="00451C2C">
              <w:rPr>
                <w:rFonts w:ascii="Aptos" w:hAnsi="Aptos"/>
                <w:b w:val="0"/>
                <w:bCs w:val="0"/>
                <w:sz w:val="24"/>
                <w:lang w:eastAsia="en-AU"/>
              </w:rPr>
              <w:t>and clinical adoption</w:t>
            </w:r>
            <w:r>
              <w:rPr>
                <w:rFonts w:ascii="Aptos" w:hAnsi="Aptos"/>
                <w:b w:val="0"/>
                <w:bCs w:val="0"/>
                <w:sz w:val="24"/>
                <w:lang w:eastAsia="en-AU"/>
              </w:rPr>
              <w:t xml:space="preserve"> of innovations that </w:t>
            </w:r>
            <w:r w:rsidRPr="00451C2C">
              <w:rPr>
                <w:rFonts w:ascii="Aptos" w:hAnsi="Aptos"/>
                <w:b w:val="0"/>
                <w:bCs w:val="0"/>
                <w:sz w:val="24"/>
                <w:lang w:eastAsia="en-AU"/>
              </w:rPr>
              <w:t xml:space="preserve">prioritise </w:t>
            </w:r>
            <w:r>
              <w:rPr>
                <w:rFonts w:ascii="Aptos" w:hAnsi="Aptos"/>
                <w:b w:val="0"/>
                <w:bCs w:val="0"/>
                <w:sz w:val="24"/>
                <w:lang w:eastAsia="en-AU"/>
              </w:rPr>
              <w:t xml:space="preserve">broad </w:t>
            </w:r>
            <w:r w:rsidRPr="00451C2C">
              <w:rPr>
                <w:rFonts w:ascii="Aptos" w:hAnsi="Aptos"/>
                <w:b w:val="0"/>
                <w:bCs w:val="0"/>
                <w:sz w:val="24"/>
                <w:lang w:eastAsia="en-AU"/>
              </w:rPr>
              <w:t>public benefit</w:t>
            </w:r>
            <w:r>
              <w:rPr>
                <w:rFonts w:ascii="Aptos" w:hAnsi="Aptos"/>
                <w:b w:val="0"/>
                <w:bCs w:val="0"/>
                <w:sz w:val="24"/>
                <w:lang w:eastAsia="en-AU"/>
              </w:rPr>
              <w:t xml:space="preserve"> and/or address the needs of </w:t>
            </w:r>
            <w:r w:rsidRPr="00451C2C">
              <w:rPr>
                <w:rFonts w:ascii="Aptos" w:hAnsi="Aptos"/>
                <w:b w:val="0"/>
                <w:bCs w:val="0"/>
                <w:sz w:val="24"/>
                <w:lang w:eastAsia="en-AU"/>
              </w:rPr>
              <w:t>under-serviced populations</w:t>
            </w:r>
            <w:r>
              <w:rPr>
                <w:rFonts w:ascii="Aptos" w:hAnsi="Aptos"/>
                <w:b w:val="0"/>
                <w:bCs w:val="0"/>
                <w:sz w:val="24"/>
                <w:lang w:eastAsia="en-AU"/>
              </w:rPr>
              <w:t>.</w:t>
            </w:r>
          </w:p>
        </w:tc>
        <w:tc>
          <w:tcPr>
            <w:tcW w:w="771" w:type="pct"/>
          </w:tcPr>
          <w:p w14:paraId="2366F601" w14:textId="77777777" w:rsidR="0007280C" w:rsidRPr="00161DC0"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rPr>
            </w:pPr>
          </w:p>
        </w:tc>
        <w:tc>
          <w:tcPr>
            <w:tcW w:w="1205" w:type="pct"/>
          </w:tcPr>
          <w:p w14:paraId="3FF85776" w14:textId="77777777" w:rsidR="0007280C" w:rsidRPr="00161DC0"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lang w:eastAsia="en-AU"/>
              </w:rPr>
            </w:pPr>
          </w:p>
        </w:tc>
        <w:tc>
          <w:tcPr>
            <w:tcW w:w="833" w:type="pct"/>
          </w:tcPr>
          <w:p w14:paraId="35400E34" w14:textId="77777777" w:rsidR="0007280C" w:rsidRPr="00161DC0"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rPr>
            </w:pPr>
          </w:p>
        </w:tc>
      </w:tr>
      <w:tr w:rsidR="0007280C" w:rsidRPr="00161DC0" w14:paraId="4F77C8FF" w14:textId="77777777" w:rsidTr="00DD1A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2" w:type="pct"/>
            <w:shd w:val="clear" w:color="auto" w:fill="auto"/>
          </w:tcPr>
          <w:p w14:paraId="0BA7805F" w14:textId="27CCD744" w:rsidR="0007280C" w:rsidRPr="00161DC0" w:rsidRDefault="0007280C" w:rsidP="0007280C">
            <w:pPr>
              <w:spacing w:before="240" w:after="240"/>
              <w:rPr>
                <w:rFonts w:ascii="Aptos" w:hAnsi="Aptos"/>
                <w:sz w:val="24"/>
                <w:lang w:eastAsia="en-AU"/>
              </w:rPr>
            </w:pPr>
            <w:r w:rsidRPr="00161DC0">
              <w:rPr>
                <w:rFonts w:ascii="Aptos" w:eastAsia="Times New Roman" w:hAnsi="Aptos"/>
                <w:b w:val="0"/>
                <w:bCs w:val="0"/>
                <w:spacing w:val="0"/>
                <w:kern w:val="0"/>
                <w:sz w:val="24"/>
                <w:lang w:eastAsia="en-AU"/>
                <w14:ligatures w14:val="none"/>
              </w:rPr>
              <w:t>2.</w:t>
            </w:r>
            <w:r>
              <w:rPr>
                <w:rFonts w:ascii="Aptos" w:eastAsia="Times New Roman" w:hAnsi="Aptos"/>
                <w:b w:val="0"/>
                <w:bCs w:val="0"/>
                <w:spacing w:val="0"/>
                <w:kern w:val="0"/>
                <w:sz w:val="24"/>
                <w:lang w:eastAsia="en-AU"/>
                <w14:ligatures w14:val="none"/>
              </w:rPr>
              <w:t>3</w:t>
            </w:r>
            <w:r w:rsidRPr="00161DC0">
              <w:rPr>
                <w:rFonts w:ascii="Aptos" w:eastAsia="Times New Roman" w:hAnsi="Aptos"/>
                <w:b w:val="0"/>
                <w:bCs w:val="0"/>
                <w:spacing w:val="0"/>
                <w:kern w:val="0"/>
                <w:sz w:val="24"/>
                <w:lang w:eastAsia="en-AU"/>
                <w14:ligatures w14:val="none"/>
              </w:rPr>
              <w:t>.</w:t>
            </w:r>
            <w:r>
              <w:rPr>
                <w:rFonts w:ascii="Aptos" w:eastAsia="Times New Roman" w:hAnsi="Aptos"/>
                <w:b w:val="0"/>
                <w:bCs w:val="0"/>
                <w:spacing w:val="0"/>
                <w:kern w:val="0"/>
                <w:sz w:val="24"/>
                <w:lang w:eastAsia="en-AU"/>
                <w14:ligatures w14:val="none"/>
              </w:rPr>
              <w:t>3</w:t>
            </w:r>
            <w:r w:rsidRPr="00161DC0">
              <w:rPr>
                <w:rFonts w:ascii="Aptos" w:eastAsia="Times New Roman" w:hAnsi="Aptos"/>
                <w:b w:val="0"/>
                <w:bCs w:val="0"/>
                <w:spacing w:val="0"/>
                <w:kern w:val="0"/>
                <w:sz w:val="24"/>
                <w:lang w:eastAsia="en-AU"/>
                <w14:ligatures w14:val="none"/>
              </w:rPr>
              <w:t xml:space="preserve"> </w:t>
            </w:r>
            <w:r w:rsidRPr="00321436">
              <w:rPr>
                <w:rFonts w:ascii="Aptos" w:hAnsi="Aptos"/>
                <w:b w:val="0"/>
                <w:bCs w:val="0"/>
                <w:sz w:val="24"/>
              </w:rPr>
              <w:t>—</w:t>
            </w:r>
            <w:r>
              <w:rPr>
                <w:rFonts w:ascii="Aptos" w:hAnsi="Aptos"/>
                <w:b w:val="0"/>
                <w:bCs w:val="0"/>
                <w:sz w:val="24"/>
              </w:rPr>
              <w:t xml:space="preserve"> </w:t>
            </w:r>
            <w:r w:rsidRPr="00161DC0">
              <w:rPr>
                <w:rFonts w:ascii="Aptos" w:hAnsi="Aptos"/>
                <w:b w:val="0"/>
                <w:bCs w:val="0"/>
                <w:sz w:val="24"/>
              </w:rPr>
              <w:t>Establish and implement strategic partnerships consistent with the developed ethical models to enhance investment and clinical adoption of genomics.</w:t>
            </w:r>
          </w:p>
        </w:tc>
        <w:tc>
          <w:tcPr>
            <w:tcW w:w="771" w:type="pct"/>
          </w:tcPr>
          <w:p w14:paraId="33F46C18" w14:textId="77777777" w:rsidR="0007280C" w:rsidRPr="00161DC0"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rPr>
            </w:pPr>
          </w:p>
        </w:tc>
        <w:tc>
          <w:tcPr>
            <w:tcW w:w="1205" w:type="pct"/>
          </w:tcPr>
          <w:p w14:paraId="42E3954F" w14:textId="77777777" w:rsidR="0007280C" w:rsidRPr="00161DC0"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lang w:eastAsia="en-AU"/>
              </w:rPr>
            </w:pPr>
          </w:p>
        </w:tc>
        <w:tc>
          <w:tcPr>
            <w:tcW w:w="833" w:type="pct"/>
          </w:tcPr>
          <w:p w14:paraId="2FE3C135" w14:textId="77777777" w:rsidR="0007280C" w:rsidRPr="00161DC0"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rPr>
            </w:pPr>
          </w:p>
        </w:tc>
      </w:tr>
    </w:tbl>
    <w:p w14:paraId="687FC5E6" w14:textId="4F78F4C3" w:rsidR="00B60417" w:rsidRDefault="00B60417">
      <w:pPr>
        <w:rPr>
          <w:rFonts w:eastAsia="MS PGothic" w:cs="Arial"/>
          <w:bCs/>
          <w:color w:val="358189"/>
          <w:sz w:val="28"/>
          <w:szCs w:val="26"/>
        </w:rPr>
      </w:pPr>
    </w:p>
    <w:p w14:paraId="0B612CEC" w14:textId="12B94459" w:rsidR="002C376F" w:rsidRPr="00E96F5C" w:rsidRDefault="002C376F" w:rsidP="002C376F">
      <w:pPr>
        <w:pStyle w:val="Heading3"/>
        <w:rPr>
          <w:rFonts w:eastAsia="MS PGothic"/>
        </w:rPr>
      </w:pPr>
      <w:bookmarkStart w:id="57" w:name="_Toc197953808"/>
      <w:bookmarkStart w:id="58" w:name="_Toc198025695"/>
      <w:r w:rsidRPr="00E96F5C">
        <w:rPr>
          <w:rFonts w:eastAsia="MS PGothic"/>
        </w:rPr>
        <w:lastRenderedPageBreak/>
        <w:t xml:space="preserve">Outcome </w:t>
      </w:r>
      <w:r>
        <w:rPr>
          <w:rFonts w:eastAsia="MS PGothic"/>
        </w:rPr>
        <w:t xml:space="preserve">2.4 </w:t>
      </w:r>
      <w:r w:rsidRPr="00E96F5C">
        <w:rPr>
          <w:rFonts w:eastAsia="MS PGothic"/>
        </w:rPr>
        <w:t>—</w:t>
      </w:r>
      <w:r>
        <w:rPr>
          <w:rFonts w:eastAsia="MS PGothic"/>
        </w:rPr>
        <w:t xml:space="preserve"> </w:t>
      </w:r>
      <w:r w:rsidR="00B60417">
        <w:rPr>
          <w:rFonts w:eastAsia="MS PGothic"/>
        </w:rPr>
        <w:t>Support r</w:t>
      </w:r>
      <w:r>
        <w:rPr>
          <w:rFonts w:eastAsia="MS PGothic"/>
        </w:rPr>
        <w:t>esearch</w:t>
      </w:r>
      <w:r w:rsidR="00B60417">
        <w:rPr>
          <w:rFonts w:eastAsia="MS PGothic"/>
        </w:rPr>
        <w:t xml:space="preserve"> and innovation</w:t>
      </w:r>
      <w:bookmarkEnd w:id="57"/>
      <w:bookmarkEnd w:id="58"/>
    </w:p>
    <w:p w14:paraId="51920316" w14:textId="03E3FBEF" w:rsidR="003C00F4" w:rsidRPr="0096284D" w:rsidRDefault="00D70B4B" w:rsidP="0096284D">
      <w:pPr>
        <w:pStyle w:val="ListNumber2"/>
        <w:ind w:left="641" w:hanging="357"/>
        <w:rPr>
          <w:rFonts w:eastAsia="Arial"/>
        </w:rPr>
      </w:pPr>
      <w:r>
        <w:rPr>
          <w:rFonts w:eastAsia="Arial"/>
        </w:rPr>
        <w:t>s</w:t>
      </w:r>
      <w:r w:rsidR="003C00F4" w:rsidRPr="0096284D">
        <w:rPr>
          <w:rFonts w:eastAsia="Arial"/>
        </w:rPr>
        <w:t xml:space="preserve">upport research and innovation programs targeted at improving access </w:t>
      </w:r>
      <w:r w:rsidR="003C07E4">
        <w:rPr>
          <w:rFonts w:eastAsia="Arial"/>
        </w:rPr>
        <w:t xml:space="preserve">to </w:t>
      </w:r>
      <w:r w:rsidR="003C00F4" w:rsidRPr="0096284D">
        <w:rPr>
          <w:rFonts w:eastAsia="Arial"/>
        </w:rPr>
        <w:t>and the evidence-base of genomics for priority populations underrepresented in genomics research</w:t>
      </w:r>
    </w:p>
    <w:p w14:paraId="698D3AA8" w14:textId="26CD2FE5" w:rsidR="003C00F4" w:rsidRPr="0096284D" w:rsidRDefault="00D70B4B" w:rsidP="0096284D">
      <w:pPr>
        <w:pStyle w:val="ListNumber2"/>
        <w:ind w:left="641" w:hanging="357"/>
        <w:rPr>
          <w:rFonts w:eastAsia="Arial"/>
        </w:rPr>
      </w:pPr>
      <w:r>
        <w:rPr>
          <w:rFonts w:eastAsia="Arial"/>
        </w:rPr>
        <w:t>s</w:t>
      </w:r>
      <w:r w:rsidR="003C00F4" w:rsidRPr="0096284D">
        <w:rPr>
          <w:rFonts w:eastAsia="Arial"/>
        </w:rPr>
        <w:t xml:space="preserve">upport research and innovation programs to transition to longer-term healthcare </w:t>
      </w:r>
      <w:r w:rsidR="00DC782B" w:rsidRPr="0096284D">
        <w:rPr>
          <w:rFonts w:eastAsia="Arial"/>
        </w:rPr>
        <w:t>models and</w:t>
      </w:r>
      <w:r w:rsidR="003C00F4" w:rsidRPr="0096284D">
        <w:rPr>
          <w:rFonts w:eastAsia="Arial"/>
        </w:rPr>
        <w:t xml:space="preserve"> avoid research substituting for health care</w:t>
      </w:r>
    </w:p>
    <w:p w14:paraId="6A102CCD" w14:textId="5C44B6D2" w:rsidR="003C00F4" w:rsidRPr="0096284D" w:rsidRDefault="00D70B4B" w:rsidP="0096284D">
      <w:pPr>
        <w:pStyle w:val="ListNumber2"/>
        <w:ind w:left="641" w:hanging="357"/>
        <w:rPr>
          <w:rFonts w:eastAsia="Arial"/>
        </w:rPr>
      </w:pPr>
      <w:r>
        <w:rPr>
          <w:rFonts w:eastAsia="Arial"/>
        </w:rPr>
        <w:t>e</w:t>
      </w:r>
      <w:r w:rsidR="003C00F4" w:rsidRPr="0096284D">
        <w:rPr>
          <w:rFonts w:eastAsia="Arial"/>
        </w:rPr>
        <w:t>nsure genomic and phenotypic databases are co-designed and appropriately built to reflect the ethnic diversity within Australia</w:t>
      </w:r>
    </w:p>
    <w:p w14:paraId="47B33566" w14:textId="3E127FE7" w:rsidR="003C00F4" w:rsidRPr="0096284D" w:rsidRDefault="00D70B4B" w:rsidP="0096284D">
      <w:pPr>
        <w:pStyle w:val="ListNumber2"/>
        <w:ind w:left="641" w:hanging="357"/>
        <w:rPr>
          <w:rFonts w:eastAsia="Arial"/>
        </w:rPr>
      </w:pPr>
      <w:r>
        <w:rPr>
          <w:rFonts w:eastAsia="Arial"/>
        </w:rPr>
        <w:t>e</w:t>
      </w:r>
      <w:r w:rsidR="003C00F4" w:rsidRPr="0096284D">
        <w:rPr>
          <w:rFonts w:eastAsia="Arial"/>
        </w:rPr>
        <w:t>nsure appropriate investments are made in genomics</w:t>
      </w:r>
      <w:r w:rsidR="00161DC0" w:rsidRPr="0096284D">
        <w:rPr>
          <w:rFonts w:eastAsia="Arial"/>
        </w:rPr>
        <w:t>-informed</w:t>
      </w:r>
      <w:r w:rsidR="003C00F4" w:rsidRPr="0096284D">
        <w:rPr>
          <w:rFonts w:eastAsia="Arial"/>
        </w:rPr>
        <w:t xml:space="preserve"> health care and research that service and support under-represented populations</w:t>
      </w:r>
    </w:p>
    <w:tbl>
      <w:tblPr>
        <w:tblStyle w:val="ListTable3-Accent1"/>
        <w:tblW w:w="4999" w:type="pct"/>
        <w:tblLook w:val="04A0" w:firstRow="1" w:lastRow="0" w:firstColumn="1" w:lastColumn="0" w:noHBand="0" w:noVBand="1"/>
      </w:tblPr>
      <w:tblGrid>
        <w:gridCol w:w="3972"/>
        <w:gridCol w:w="1398"/>
        <w:gridCol w:w="2181"/>
        <w:gridCol w:w="1507"/>
      </w:tblGrid>
      <w:tr w:rsidR="0007280C" w:rsidRPr="00161DC0" w14:paraId="584A07EB" w14:textId="77777777" w:rsidTr="00DD1A52">
        <w:trPr>
          <w:cnfStyle w:val="100000000000" w:firstRow="1" w:lastRow="0" w:firstColumn="0" w:lastColumn="0" w:oddVBand="0" w:evenVBand="0" w:oddHBand="0" w:evenHBand="0" w:firstRowFirstColumn="0" w:firstRowLastColumn="0" w:lastRowFirstColumn="0" w:lastRowLastColumn="0"/>
          <w:cantSplit/>
          <w:trHeight w:val="283"/>
        </w:trPr>
        <w:tc>
          <w:tcPr>
            <w:cnfStyle w:val="001000000100" w:firstRow="0" w:lastRow="0" w:firstColumn="1" w:lastColumn="0" w:oddVBand="0" w:evenVBand="0" w:oddHBand="0" w:evenHBand="0" w:firstRowFirstColumn="1" w:firstRowLastColumn="0" w:lastRowFirstColumn="0" w:lastRowLastColumn="0"/>
            <w:tcW w:w="2192" w:type="pct"/>
          </w:tcPr>
          <w:p w14:paraId="01AA0DD5" w14:textId="27AA12EF" w:rsidR="0007280C" w:rsidRPr="00161DC0" w:rsidRDefault="0007280C" w:rsidP="0007280C">
            <w:pPr>
              <w:spacing w:before="240" w:after="240"/>
              <w:rPr>
                <w:rFonts w:ascii="Aptos" w:eastAsia="Times New Roman" w:hAnsi="Aptos"/>
                <w:spacing w:val="0"/>
                <w:kern w:val="0"/>
                <w:sz w:val="24"/>
                <w:lang w:eastAsia="en-AU"/>
                <w14:ligatures w14:val="none"/>
              </w:rPr>
            </w:pPr>
            <w:r w:rsidRPr="00161DC0">
              <w:rPr>
                <w:rFonts w:ascii="Aptos" w:eastAsia="Times New Roman" w:hAnsi="Aptos"/>
                <w:spacing w:val="0"/>
                <w:kern w:val="0"/>
                <w:sz w:val="24"/>
                <w:lang w:eastAsia="en-AU"/>
                <w14:ligatures w14:val="none"/>
              </w:rPr>
              <w:t xml:space="preserve">National </w:t>
            </w:r>
            <w:r w:rsidR="00AB1B96" w:rsidRPr="00161DC0">
              <w:rPr>
                <w:rFonts w:ascii="Aptos" w:eastAsia="Times New Roman" w:hAnsi="Aptos"/>
                <w:spacing w:val="0"/>
                <w:kern w:val="0"/>
                <w:sz w:val="24"/>
                <w:lang w:eastAsia="en-AU"/>
                <w14:ligatures w14:val="none"/>
              </w:rPr>
              <w:t>Activit</w:t>
            </w:r>
            <w:r w:rsidR="00AB1B96">
              <w:rPr>
                <w:rFonts w:ascii="Aptos" w:eastAsia="Times New Roman" w:hAnsi="Aptos"/>
                <w:spacing w:val="0"/>
                <w:kern w:val="0"/>
                <w:sz w:val="24"/>
                <w:lang w:eastAsia="en-AU"/>
                <w14:ligatures w14:val="none"/>
              </w:rPr>
              <w:t>y</w:t>
            </w:r>
          </w:p>
        </w:tc>
        <w:tc>
          <w:tcPr>
            <w:tcW w:w="771" w:type="pct"/>
          </w:tcPr>
          <w:p w14:paraId="73E14678" w14:textId="77777777" w:rsidR="0007280C" w:rsidRPr="00161DC0" w:rsidRDefault="0007280C" w:rsidP="0007280C">
            <w:pPr>
              <w:spacing w:before="240" w:after="240"/>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spacing w:val="0"/>
                <w:kern w:val="0"/>
                <w:sz w:val="24"/>
                <w:lang w:eastAsia="en-AU"/>
                <w14:ligatures w14:val="none"/>
              </w:rPr>
            </w:pPr>
            <w:r w:rsidRPr="00161DC0">
              <w:rPr>
                <w:rFonts w:ascii="Aptos" w:eastAsia="Times New Roman" w:hAnsi="Aptos"/>
                <w:spacing w:val="0"/>
                <w:kern w:val="0"/>
                <w:sz w:val="24"/>
                <w:lang w:eastAsia="en-AU"/>
                <w14:ligatures w14:val="none"/>
              </w:rPr>
              <w:t>Timeframe</w:t>
            </w:r>
          </w:p>
        </w:tc>
        <w:tc>
          <w:tcPr>
            <w:tcW w:w="1204" w:type="pct"/>
          </w:tcPr>
          <w:p w14:paraId="24595C3D" w14:textId="42A52514" w:rsidR="0007280C" w:rsidRPr="00161DC0" w:rsidRDefault="0007280C" w:rsidP="0007280C">
            <w:pPr>
              <w:spacing w:before="240" w:after="240"/>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spacing w:val="0"/>
                <w:kern w:val="0"/>
                <w:sz w:val="24"/>
                <w:lang w:eastAsia="en-AU"/>
                <w14:ligatures w14:val="none"/>
              </w:rPr>
            </w:pPr>
            <w:r>
              <w:rPr>
                <w:rFonts w:ascii="Aptos" w:eastAsia="Times New Roman" w:hAnsi="Aptos"/>
                <w:spacing w:val="0"/>
                <w:kern w:val="0"/>
                <w:sz w:val="24"/>
                <w:lang w:eastAsia="en-AU"/>
                <w14:ligatures w14:val="none"/>
              </w:rPr>
              <w:t>Responsible for Coordination</w:t>
            </w:r>
          </w:p>
        </w:tc>
        <w:tc>
          <w:tcPr>
            <w:tcW w:w="832" w:type="pct"/>
          </w:tcPr>
          <w:p w14:paraId="13344BBB" w14:textId="77777777" w:rsidR="0007280C" w:rsidRPr="00161DC0" w:rsidRDefault="0007280C" w:rsidP="0007280C">
            <w:pPr>
              <w:spacing w:before="240" w:after="240"/>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spacing w:val="0"/>
                <w:kern w:val="0"/>
                <w:sz w:val="24"/>
                <w:lang w:eastAsia="en-AU"/>
                <w14:ligatures w14:val="none"/>
              </w:rPr>
            </w:pPr>
            <w:r w:rsidRPr="00161DC0">
              <w:rPr>
                <w:rFonts w:ascii="Aptos" w:eastAsia="Times New Roman" w:hAnsi="Aptos"/>
                <w:spacing w:val="0"/>
                <w:kern w:val="0"/>
                <w:sz w:val="24"/>
                <w:lang w:eastAsia="en-AU"/>
                <w14:ligatures w14:val="none"/>
              </w:rPr>
              <w:t>Priority</w:t>
            </w:r>
          </w:p>
        </w:tc>
      </w:tr>
      <w:tr w:rsidR="0007280C" w:rsidRPr="00161DC0" w14:paraId="5F174334" w14:textId="77777777" w:rsidTr="00DD1A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92" w:type="pct"/>
            <w:shd w:val="clear" w:color="auto" w:fill="auto"/>
          </w:tcPr>
          <w:p w14:paraId="530F53D8" w14:textId="53267C91" w:rsidR="0007280C" w:rsidRPr="00161DC0" w:rsidRDefault="0007280C" w:rsidP="0007280C">
            <w:pPr>
              <w:spacing w:before="240" w:after="240"/>
              <w:rPr>
                <w:rFonts w:ascii="Aptos" w:hAnsi="Aptos"/>
                <w:sz w:val="24"/>
              </w:rPr>
            </w:pPr>
            <w:r w:rsidRPr="00161DC0">
              <w:rPr>
                <w:rFonts w:ascii="Aptos" w:eastAsia="Times New Roman" w:hAnsi="Aptos"/>
                <w:b w:val="0"/>
                <w:bCs w:val="0"/>
                <w:spacing w:val="0"/>
                <w:kern w:val="0"/>
                <w:sz w:val="24"/>
                <w:lang w:eastAsia="en-AU"/>
                <w14:ligatures w14:val="none"/>
              </w:rPr>
              <w:t>2.</w:t>
            </w:r>
            <w:r>
              <w:rPr>
                <w:rFonts w:ascii="Aptos" w:eastAsia="Times New Roman" w:hAnsi="Aptos"/>
                <w:b w:val="0"/>
                <w:bCs w:val="0"/>
                <w:spacing w:val="0"/>
                <w:kern w:val="0"/>
                <w:sz w:val="24"/>
                <w:lang w:eastAsia="en-AU"/>
                <w14:ligatures w14:val="none"/>
              </w:rPr>
              <w:t>4</w:t>
            </w:r>
            <w:r w:rsidRPr="00161DC0">
              <w:rPr>
                <w:rFonts w:ascii="Aptos" w:eastAsia="Times New Roman" w:hAnsi="Aptos"/>
                <w:b w:val="0"/>
                <w:bCs w:val="0"/>
                <w:spacing w:val="0"/>
                <w:kern w:val="0"/>
                <w:sz w:val="24"/>
                <w:lang w:eastAsia="en-AU"/>
                <w14:ligatures w14:val="none"/>
              </w:rPr>
              <w:t>.</w:t>
            </w:r>
            <w:r>
              <w:rPr>
                <w:rFonts w:ascii="Aptos" w:eastAsia="Times New Roman" w:hAnsi="Aptos"/>
                <w:b w:val="0"/>
                <w:bCs w:val="0"/>
                <w:spacing w:val="0"/>
                <w:kern w:val="0"/>
                <w:sz w:val="24"/>
                <w:lang w:eastAsia="en-AU"/>
                <w14:ligatures w14:val="none"/>
              </w:rPr>
              <w:t>1</w:t>
            </w:r>
            <w:r w:rsidRPr="00161DC0">
              <w:rPr>
                <w:rFonts w:ascii="Aptos" w:eastAsia="Times New Roman" w:hAnsi="Aptos"/>
                <w:b w:val="0"/>
                <w:bCs w:val="0"/>
                <w:spacing w:val="0"/>
                <w:kern w:val="0"/>
                <w:sz w:val="24"/>
                <w:lang w:eastAsia="en-AU"/>
                <w14:ligatures w14:val="none"/>
              </w:rPr>
              <w:t xml:space="preserve"> </w:t>
            </w:r>
            <w:r w:rsidRPr="00321436">
              <w:rPr>
                <w:rFonts w:ascii="Aptos" w:hAnsi="Aptos"/>
                <w:b w:val="0"/>
                <w:bCs w:val="0"/>
                <w:sz w:val="24"/>
              </w:rPr>
              <w:t>—</w:t>
            </w:r>
            <w:r>
              <w:rPr>
                <w:rFonts w:ascii="Aptos" w:hAnsi="Aptos"/>
                <w:b w:val="0"/>
                <w:bCs w:val="0"/>
                <w:sz w:val="24"/>
              </w:rPr>
              <w:t xml:space="preserve"> Support the prioritisation</w:t>
            </w:r>
            <w:r w:rsidR="003044A4">
              <w:rPr>
                <w:rFonts w:ascii="Aptos" w:hAnsi="Aptos"/>
                <w:b w:val="0"/>
                <w:bCs w:val="0"/>
                <w:sz w:val="24"/>
              </w:rPr>
              <w:t xml:space="preserve"> of</w:t>
            </w:r>
            <w:r>
              <w:rPr>
                <w:rFonts w:ascii="Aptos" w:hAnsi="Aptos"/>
                <w:b w:val="0"/>
                <w:bCs w:val="0"/>
                <w:sz w:val="24"/>
              </w:rPr>
              <w:t xml:space="preserve"> </w:t>
            </w:r>
            <w:r w:rsidRPr="00161DC0">
              <w:rPr>
                <w:rFonts w:ascii="Aptos" w:hAnsi="Aptos"/>
                <w:b w:val="0"/>
                <w:bCs w:val="0"/>
                <w:sz w:val="24"/>
              </w:rPr>
              <w:t xml:space="preserve">genomic </w:t>
            </w:r>
            <w:r>
              <w:rPr>
                <w:rFonts w:ascii="Aptos" w:hAnsi="Aptos"/>
                <w:b w:val="0"/>
                <w:bCs w:val="0"/>
                <w:sz w:val="24"/>
              </w:rPr>
              <w:t xml:space="preserve">and related </w:t>
            </w:r>
            <w:r w:rsidRPr="00161DC0">
              <w:rPr>
                <w:rFonts w:ascii="Aptos" w:hAnsi="Aptos"/>
                <w:b w:val="0"/>
                <w:bCs w:val="0"/>
                <w:sz w:val="24"/>
              </w:rPr>
              <w:t>research.</w:t>
            </w:r>
          </w:p>
        </w:tc>
        <w:tc>
          <w:tcPr>
            <w:tcW w:w="771" w:type="pct"/>
            <w:shd w:val="clear" w:color="auto" w:fill="auto"/>
          </w:tcPr>
          <w:p w14:paraId="0E10665B" w14:textId="77777777" w:rsidR="0007280C" w:rsidRPr="00161DC0"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rPr>
            </w:pPr>
          </w:p>
        </w:tc>
        <w:tc>
          <w:tcPr>
            <w:tcW w:w="1204" w:type="pct"/>
            <w:shd w:val="clear" w:color="auto" w:fill="auto"/>
          </w:tcPr>
          <w:p w14:paraId="26335F37" w14:textId="77777777" w:rsidR="0007280C" w:rsidRPr="00161DC0"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lang w:eastAsia="en-AU"/>
              </w:rPr>
            </w:pPr>
          </w:p>
        </w:tc>
        <w:tc>
          <w:tcPr>
            <w:tcW w:w="832" w:type="pct"/>
            <w:shd w:val="clear" w:color="auto" w:fill="auto"/>
          </w:tcPr>
          <w:p w14:paraId="1BD896A0" w14:textId="77777777" w:rsidR="0007280C" w:rsidRPr="00161DC0"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rPr>
            </w:pPr>
          </w:p>
        </w:tc>
      </w:tr>
      <w:tr w:rsidR="0007280C" w:rsidRPr="00161DC0" w14:paraId="0107957F" w14:textId="77777777" w:rsidTr="00DD1A52">
        <w:trPr>
          <w:cantSplit/>
          <w:trHeight w:val="300"/>
        </w:trPr>
        <w:tc>
          <w:tcPr>
            <w:cnfStyle w:val="001000000000" w:firstRow="0" w:lastRow="0" w:firstColumn="1" w:lastColumn="0" w:oddVBand="0" w:evenVBand="0" w:oddHBand="0" w:evenHBand="0" w:firstRowFirstColumn="0" w:firstRowLastColumn="0" w:lastRowFirstColumn="0" w:lastRowLastColumn="0"/>
            <w:tcW w:w="2192" w:type="pct"/>
            <w:shd w:val="clear" w:color="auto" w:fill="auto"/>
          </w:tcPr>
          <w:p w14:paraId="5C4E9E99" w14:textId="5F073516" w:rsidR="0007280C" w:rsidRPr="00161DC0" w:rsidRDefault="0007280C" w:rsidP="0007280C">
            <w:pPr>
              <w:spacing w:before="240" w:after="240"/>
              <w:rPr>
                <w:rFonts w:ascii="Aptos" w:hAnsi="Aptos"/>
                <w:sz w:val="24"/>
                <w:lang w:eastAsia="en-AU"/>
              </w:rPr>
            </w:pPr>
            <w:r w:rsidRPr="00161DC0">
              <w:rPr>
                <w:rFonts w:ascii="Aptos" w:eastAsia="Times New Roman" w:hAnsi="Aptos"/>
                <w:b w:val="0"/>
                <w:bCs w:val="0"/>
                <w:spacing w:val="0"/>
                <w:kern w:val="0"/>
                <w:sz w:val="24"/>
                <w:lang w:eastAsia="en-AU"/>
                <w14:ligatures w14:val="none"/>
              </w:rPr>
              <w:t>2.</w:t>
            </w:r>
            <w:r>
              <w:rPr>
                <w:rFonts w:ascii="Aptos" w:eastAsia="Times New Roman" w:hAnsi="Aptos"/>
                <w:b w:val="0"/>
                <w:bCs w:val="0"/>
                <w:spacing w:val="0"/>
                <w:kern w:val="0"/>
                <w:sz w:val="24"/>
                <w:lang w:eastAsia="en-AU"/>
                <w14:ligatures w14:val="none"/>
              </w:rPr>
              <w:t>4</w:t>
            </w:r>
            <w:r w:rsidRPr="00161DC0">
              <w:rPr>
                <w:rFonts w:ascii="Aptos" w:eastAsia="Times New Roman" w:hAnsi="Aptos"/>
                <w:b w:val="0"/>
                <w:bCs w:val="0"/>
                <w:spacing w:val="0"/>
                <w:kern w:val="0"/>
                <w:sz w:val="24"/>
                <w:lang w:eastAsia="en-AU"/>
                <w14:ligatures w14:val="none"/>
              </w:rPr>
              <w:t>.</w:t>
            </w:r>
            <w:r>
              <w:rPr>
                <w:rFonts w:ascii="Aptos" w:eastAsia="Times New Roman" w:hAnsi="Aptos"/>
                <w:b w:val="0"/>
                <w:bCs w:val="0"/>
                <w:spacing w:val="0"/>
                <w:kern w:val="0"/>
                <w:sz w:val="24"/>
                <w:lang w:eastAsia="en-AU"/>
                <w14:ligatures w14:val="none"/>
              </w:rPr>
              <w:t>2</w:t>
            </w:r>
            <w:r w:rsidRPr="00161DC0">
              <w:rPr>
                <w:rFonts w:ascii="Aptos" w:eastAsia="Times New Roman" w:hAnsi="Aptos"/>
                <w:b w:val="0"/>
                <w:bCs w:val="0"/>
                <w:spacing w:val="0"/>
                <w:kern w:val="0"/>
                <w:sz w:val="24"/>
                <w:lang w:eastAsia="en-AU"/>
                <w14:ligatures w14:val="none"/>
              </w:rPr>
              <w:t xml:space="preserve"> </w:t>
            </w:r>
            <w:r w:rsidRPr="00321436">
              <w:rPr>
                <w:rFonts w:ascii="Aptos" w:hAnsi="Aptos"/>
                <w:b w:val="0"/>
                <w:bCs w:val="0"/>
                <w:sz w:val="24"/>
              </w:rPr>
              <w:t>—</w:t>
            </w:r>
            <w:r>
              <w:rPr>
                <w:rFonts w:ascii="Aptos" w:hAnsi="Aptos"/>
                <w:b w:val="0"/>
                <w:bCs w:val="0"/>
                <w:sz w:val="24"/>
              </w:rPr>
              <w:t xml:space="preserve"> S</w:t>
            </w:r>
            <w:r w:rsidRPr="00161DC0">
              <w:rPr>
                <w:rFonts w:ascii="Aptos" w:hAnsi="Aptos"/>
                <w:b w:val="0"/>
                <w:bCs w:val="0"/>
                <w:sz w:val="24"/>
              </w:rPr>
              <w:t>upport investments in research infrastructure to improve research outcomes and increase the likelihood of translation of research into standard of care.</w:t>
            </w:r>
          </w:p>
        </w:tc>
        <w:tc>
          <w:tcPr>
            <w:tcW w:w="771" w:type="pct"/>
            <w:shd w:val="clear" w:color="auto" w:fill="auto"/>
          </w:tcPr>
          <w:p w14:paraId="4F274D7D" w14:textId="77777777" w:rsidR="0007280C" w:rsidRPr="00161DC0"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rPr>
            </w:pPr>
          </w:p>
        </w:tc>
        <w:tc>
          <w:tcPr>
            <w:tcW w:w="1204" w:type="pct"/>
            <w:shd w:val="clear" w:color="auto" w:fill="auto"/>
          </w:tcPr>
          <w:p w14:paraId="31D4A28E" w14:textId="77777777" w:rsidR="0007280C" w:rsidRPr="00161DC0"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lang w:eastAsia="en-AU"/>
              </w:rPr>
            </w:pPr>
          </w:p>
        </w:tc>
        <w:tc>
          <w:tcPr>
            <w:tcW w:w="832" w:type="pct"/>
            <w:shd w:val="clear" w:color="auto" w:fill="auto"/>
          </w:tcPr>
          <w:p w14:paraId="456CFBE0" w14:textId="77777777" w:rsidR="0007280C" w:rsidRPr="00161DC0"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rPr>
            </w:pPr>
          </w:p>
        </w:tc>
      </w:tr>
      <w:tr w:rsidR="0007280C" w:rsidRPr="00161DC0" w14:paraId="4047B006" w14:textId="77777777" w:rsidTr="00DD1A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92" w:type="pct"/>
            <w:shd w:val="clear" w:color="auto" w:fill="auto"/>
          </w:tcPr>
          <w:p w14:paraId="67C72684" w14:textId="32280E84" w:rsidR="0007280C" w:rsidRPr="00161DC0" w:rsidRDefault="0007280C" w:rsidP="0007280C">
            <w:pPr>
              <w:spacing w:before="240" w:after="240"/>
              <w:rPr>
                <w:rFonts w:ascii="Aptos" w:hAnsi="Aptos"/>
                <w:sz w:val="24"/>
                <w:lang w:eastAsia="en-AU"/>
              </w:rPr>
            </w:pPr>
            <w:r w:rsidRPr="003D3D63">
              <w:rPr>
                <w:rFonts w:ascii="Aptos" w:eastAsia="Times New Roman" w:hAnsi="Aptos"/>
                <w:b w:val="0"/>
                <w:bCs w:val="0"/>
                <w:color w:val="000000" w:themeColor="text1"/>
                <w:spacing w:val="0"/>
                <w:kern w:val="0"/>
                <w:sz w:val="24"/>
                <w:lang w:eastAsia="en-AU"/>
                <w14:ligatures w14:val="none"/>
              </w:rPr>
              <w:t>2.</w:t>
            </w:r>
            <w:r>
              <w:rPr>
                <w:rFonts w:ascii="Aptos" w:eastAsia="Times New Roman" w:hAnsi="Aptos"/>
                <w:b w:val="0"/>
                <w:bCs w:val="0"/>
                <w:color w:val="000000" w:themeColor="text1"/>
                <w:spacing w:val="0"/>
                <w:kern w:val="0"/>
                <w:sz w:val="24"/>
                <w:lang w:eastAsia="en-AU"/>
                <w14:ligatures w14:val="none"/>
              </w:rPr>
              <w:t>4</w:t>
            </w:r>
            <w:r w:rsidRPr="003D3D63">
              <w:rPr>
                <w:rFonts w:ascii="Aptos" w:eastAsia="Times New Roman" w:hAnsi="Aptos"/>
                <w:b w:val="0"/>
                <w:bCs w:val="0"/>
                <w:color w:val="000000" w:themeColor="text1"/>
                <w:spacing w:val="0"/>
                <w:kern w:val="0"/>
                <w:sz w:val="24"/>
                <w:lang w:eastAsia="en-AU"/>
                <w14:ligatures w14:val="none"/>
              </w:rPr>
              <w:t>.</w:t>
            </w:r>
            <w:r>
              <w:rPr>
                <w:rFonts w:ascii="Aptos" w:eastAsia="Times New Roman" w:hAnsi="Aptos"/>
                <w:b w:val="0"/>
                <w:bCs w:val="0"/>
                <w:color w:val="000000" w:themeColor="text1"/>
                <w:spacing w:val="0"/>
                <w:kern w:val="0"/>
                <w:sz w:val="24"/>
                <w:lang w:eastAsia="en-AU"/>
                <w14:ligatures w14:val="none"/>
              </w:rPr>
              <w:t>3</w:t>
            </w:r>
            <w:r w:rsidRPr="003D3D63">
              <w:rPr>
                <w:rFonts w:ascii="Aptos" w:eastAsia="Times New Roman" w:hAnsi="Aptos"/>
                <w:b w:val="0"/>
                <w:bCs w:val="0"/>
                <w:color w:val="000000" w:themeColor="text1"/>
                <w:spacing w:val="0"/>
                <w:kern w:val="0"/>
                <w:sz w:val="24"/>
                <w:lang w:eastAsia="en-AU"/>
                <w14:ligatures w14:val="none"/>
              </w:rPr>
              <w:t xml:space="preserve"> </w:t>
            </w:r>
            <w:r w:rsidRPr="00321436">
              <w:rPr>
                <w:rFonts w:ascii="Aptos" w:hAnsi="Aptos"/>
                <w:b w:val="0"/>
                <w:bCs w:val="0"/>
                <w:sz w:val="24"/>
              </w:rPr>
              <w:t>—</w:t>
            </w:r>
            <w:r>
              <w:rPr>
                <w:rFonts w:ascii="Aptos" w:hAnsi="Aptos"/>
                <w:b w:val="0"/>
                <w:bCs w:val="0"/>
                <w:sz w:val="24"/>
              </w:rPr>
              <w:t xml:space="preserve"> </w:t>
            </w:r>
            <w:r w:rsidRPr="00BC7352">
              <w:rPr>
                <w:rFonts w:ascii="Aptos" w:hAnsi="Aptos"/>
                <w:b w:val="0"/>
                <w:bCs w:val="0"/>
                <w:color w:val="000000" w:themeColor="text1"/>
                <w:sz w:val="24"/>
              </w:rPr>
              <w:t xml:space="preserve">Establish and maintain a </w:t>
            </w:r>
            <w:proofErr w:type="gramStart"/>
            <w:r>
              <w:rPr>
                <w:rFonts w:ascii="Aptos" w:hAnsi="Aptos"/>
                <w:b w:val="0"/>
                <w:bCs w:val="0"/>
                <w:color w:val="000000" w:themeColor="text1"/>
                <w:sz w:val="24"/>
              </w:rPr>
              <w:t xml:space="preserve">clear, </w:t>
            </w:r>
            <w:r w:rsidRPr="00BC7352">
              <w:rPr>
                <w:rFonts w:ascii="Aptos" w:hAnsi="Aptos"/>
                <w:b w:val="0"/>
                <w:bCs w:val="0"/>
                <w:color w:val="000000" w:themeColor="text1"/>
                <w:sz w:val="24"/>
              </w:rPr>
              <w:t xml:space="preserve"> </w:t>
            </w:r>
            <w:r>
              <w:rPr>
                <w:rFonts w:ascii="Aptos" w:hAnsi="Aptos"/>
                <w:b w:val="0"/>
                <w:bCs w:val="0"/>
                <w:color w:val="000000" w:themeColor="text1"/>
                <w:sz w:val="24"/>
              </w:rPr>
              <w:t>structured</w:t>
            </w:r>
            <w:proofErr w:type="gramEnd"/>
            <w:r>
              <w:rPr>
                <w:rFonts w:ascii="Aptos" w:hAnsi="Aptos"/>
                <w:b w:val="0"/>
                <w:bCs w:val="0"/>
                <w:color w:val="000000" w:themeColor="text1"/>
                <w:sz w:val="24"/>
              </w:rPr>
              <w:t xml:space="preserve"> </w:t>
            </w:r>
            <w:r w:rsidRPr="00BC7352">
              <w:rPr>
                <w:rFonts w:ascii="Aptos" w:hAnsi="Aptos"/>
                <w:b w:val="0"/>
                <w:bCs w:val="0"/>
                <w:color w:val="000000" w:themeColor="text1"/>
                <w:sz w:val="24"/>
              </w:rPr>
              <w:t>process to</w:t>
            </w:r>
            <w:r>
              <w:rPr>
                <w:rFonts w:ascii="Aptos" w:hAnsi="Aptos"/>
                <w:b w:val="0"/>
                <w:bCs w:val="0"/>
                <w:color w:val="000000" w:themeColor="text1"/>
                <w:sz w:val="24"/>
              </w:rPr>
              <w:t xml:space="preserve"> facilitate meaningful engagement between Australian Government and state and territory governments representatives </w:t>
            </w:r>
            <w:proofErr w:type="gramStart"/>
            <w:r>
              <w:rPr>
                <w:rFonts w:ascii="Aptos" w:hAnsi="Aptos"/>
                <w:b w:val="0"/>
                <w:bCs w:val="0"/>
                <w:color w:val="000000" w:themeColor="text1"/>
                <w:sz w:val="24"/>
              </w:rPr>
              <w:t xml:space="preserve">and </w:t>
            </w:r>
            <w:r w:rsidRPr="00BC7352">
              <w:rPr>
                <w:rFonts w:ascii="Aptos" w:hAnsi="Aptos"/>
                <w:b w:val="0"/>
                <w:bCs w:val="0"/>
                <w:color w:val="000000" w:themeColor="text1"/>
                <w:sz w:val="24"/>
              </w:rPr>
              <w:t xml:space="preserve"> those</w:t>
            </w:r>
            <w:proofErr w:type="gramEnd"/>
            <w:r w:rsidRPr="00BC7352">
              <w:rPr>
                <w:rFonts w:ascii="Aptos" w:hAnsi="Aptos"/>
                <w:b w:val="0"/>
                <w:bCs w:val="0"/>
                <w:color w:val="000000" w:themeColor="text1"/>
                <w:sz w:val="24"/>
              </w:rPr>
              <w:t xml:space="preserve"> undertaking genomics </w:t>
            </w:r>
            <w:proofErr w:type="gramStart"/>
            <w:r w:rsidRPr="00BC7352">
              <w:rPr>
                <w:rFonts w:ascii="Aptos" w:hAnsi="Aptos"/>
                <w:b w:val="0"/>
                <w:bCs w:val="0"/>
                <w:color w:val="000000" w:themeColor="text1"/>
                <w:sz w:val="24"/>
              </w:rPr>
              <w:t xml:space="preserve">research </w:t>
            </w:r>
            <w:r>
              <w:rPr>
                <w:rFonts w:ascii="Aptos" w:hAnsi="Aptos"/>
                <w:b w:val="0"/>
                <w:bCs w:val="0"/>
                <w:color w:val="000000" w:themeColor="text1"/>
                <w:sz w:val="24"/>
              </w:rPr>
              <w:t>,</w:t>
            </w:r>
            <w:proofErr w:type="gramEnd"/>
            <w:r>
              <w:rPr>
                <w:rFonts w:ascii="Aptos" w:hAnsi="Aptos"/>
                <w:b w:val="0"/>
                <w:bCs w:val="0"/>
                <w:color w:val="000000" w:themeColor="text1"/>
                <w:sz w:val="24"/>
              </w:rPr>
              <w:t xml:space="preserve"> to </w:t>
            </w:r>
            <w:proofErr w:type="gramStart"/>
            <w:r>
              <w:rPr>
                <w:rFonts w:ascii="Aptos" w:hAnsi="Aptos"/>
                <w:b w:val="0"/>
                <w:bCs w:val="0"/>
                <w:color w:val="000000" w:themeColor="text1"/>
                <w:sz w:val="24"/>
              </w:rPr>
              <w:t xml:space="preserve">ensure </w:t>
            </w:r>
            <w:r w:rsidRPr="00BC7352">
              <w:rPr>
                <w:rFonts w:ascii="Aptos" w:hAnsi="Aptos"/>
                <w:b w:val="0"/>
                <w:bCs w:val="0"/>
                <w:color w:val="000000" w:themeColor="text1"/>
                <w:sz w:val="24"/>
              </w:rPr>
              <w:t xml:space="preserve"> regulatory</w:t>
            </w:r>
            <w:proofErr w:type="gramEnd"/>
            <w:r w:rsidRPr="00BC7352">
              <w:rPr>
                <w:rFonts w:ascii="Aptos" w:hAnsi="Aptos"/>
                <w:b w:val="0"/>
                <w:bCs w:val="0"/>
                <w:color w:val="000000" w:themeColor="text1"/>
                <w:sz w:val="24"/>
              </w:rPr>
              <w:t>, HTA and health system requirements are integrated into project design, data collection and analysis.</w:t>
            </w:r>
            <w:r w:rsidRPr="00BC7352">
              <w:rPr>
                <w:rFonts w:ascii="Aptos" w:hAnsi="Aptos"/>
                <w:sz w:val="24"/>
                <w:lang w:eastAsia="en-AU"/>
              </w:rPr>
              <w:t xml:space="preserve"> </w:t>
            </w:r>
          </w:p>
        </w:tc>
        <w:tc>
          <w:tcPr>
            <w:tcW w:w="771" w:type="pct"/>
            <w:shd w:val="clear" w:color="auto" w:fill="auto"/>
          </w:tcPr>
          <w:p w14:paraId="5E1D8C6A" w14:textId="0947B82E" w:rsidR="0007280C" w:rsidRPr="00161DC0"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rPr>
            </w:pPr>
          </w:p>
        </w:tc>
        <w:tc>
          <w:tcPr>
            <w:tcW w:w="1204" w:type="pct"/>
            <w:shd w:val="clear" w:color="auto" w:fill="auto"/>
          </w:tcPr>
          <w:p w14:paraId="2EA09F04" w14:textId="77777777" w:rsidR="0007280C" w:rsidRPr="00161DC0"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lang w:eastAsia="en-AU"/>
              </w:rPr>
            </w:pPr>
          </w:p>
        </w:tc>
        <w:tc>
          <w:tcPr>
            <w:tcW w:w="832" w:type="pct"/>
            <w:shd w:val="clear" w:color="auto" w:fill="auto"/>
          </w:tcPr>
          <w:p w14:paraId="6301347E" w14:textId="15E4E591" w:rsidR="0007280C" w:rsidRPr="00161DC0"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rPr>
            </w:pPr>
          </w:p>
        </w:tc>
      </w:tr>
      <w:tr w:rsidR="0007280C" w:rsidRPr="00161DC0" w14:paraId="2D7C1D38" w14:textId="77777777" w:rsidTr="00DD1A52">
        <w:trPr>
          <w:cantSplit/>
          <w:trHeight w:val="300"/>
        </w:trPr>
        <w:tc>
          <w:tcPr>
            <w:cnfStyle w:val="001000000000" w:firstRow="0" w:lastRow="0" w:firstColumn="1" w:lastColumn="0" w:oddVBand="0" w:evenVBand="0" w:oddHBand="0" w:evenHBand="0" w:firstRowFirstColumn="0" w:firstRowLastColumn="0" w:lastRowFirstColumn="0" w:lastRowLastColumn="0"/>
            <w:tcW w:w="2192" w:type="pct"/>
            <w:shd w:val="clear" w:color="auto" w:fill="auto"/>
          </w:tcPr>
          <w:p w14:paraId="6DFDC128" w14:textId="1C076207" w:rsidR="0007280C" w:rsidRPr="00161DC0" w:rsidRDefault="0007280C" w:rsidP="0007280C">
            <w:pPr>
              <w:spacing w:before="240" w:after="240"/>
              <w:rPr>
                <w:rFonts w:ascii="Aptos" w:hAnsi="Aptos"/>
                <w:b w:val="0"/>
                <w:bCs w:val="0"/>
                <w:sz w:val="24"/>
                <w:lang w:eastAsia="en-AU"/>
              </w:rPr>
            </w:pPr>
            <w:r w:rsidRPr="00161DC0">
              <w:rPr>
                <w:rFonts w:ascii="Aptos" w:eastAsia="Times New Roman" w:hAnsi="Aptos"/>
                <w:b w:val="0"/>
                <w:bCs w:val="0"/>
                <w:spacing w:val="0"/>
                <w:kern w:val="0"/>
                <w:sz w:val="24"/>
                <w:lang w:eastAsia="en-AU"/>
                <w14:ligatures w14:val="none"/>
              </w:rPr>
              <w:t>2.</w:t>
            </w:r>
            <w:r>
              <w:rPr>
                <w:rFonts w:ascii="Aptos" w:eastAsia="Times New Roman" w:hAnsi="Aptos"/>
                <w:b w:val="0"/>
                <w:bCs w:val="0"/>
                <w:spacing w:val="0"/>
                <w:kern w:val="0"/>
                <w:sz w:val="24"/>
                <w:lang w:eastAsia="en-AU"/>
                <w14:ligatures w14:val="none"/>
              </w:rPr>
              <w:t>4</w:t>
            </w:r>
            <w:r w:rsidRPr="00161DC0">
              <w:rPr>
                <w:rFonts w:ascii="Aptos" w:eastAsia="Times New Roman" w:hAnsi="Aptos"/>
                <w:b w:val="0"/>
                <w:bCs w:val="0"/>
                <w:spacing w:val="0"/>
                <w:kern w:val="0"/>
                <w:sz w:val="24"/>
                <w:lang w:eastAsia="en-AU"/>
                <w14:ligatures w14:val="none"/>
              </w:rPr>
              <w:t>.</w:t>
            </w:r>
            <w:r>
              <w:rPr>
                <w:rFonts w:ascii="Aptos" w:eastAsia="Times New Roman" w:hAnsi="Aptos"/>
                <w:b w:val="0"/>
                <w:bCs w:val="0"/>
                <w:spacing w:val="0"/>
                <w:kern w:val="0"/>
                <w:sz w:val="24"/>
                <w:lang w:eastAsia="en-AU"/>
                <w14:ligatures w14:val="none"/>
              </w:rPr>
              <w:t>4</w:t>
            </w:r>
            <w:r w:rsidRPr="00161DC0">
              <w:rPr>
                <w:rFonts w:ascii="Aptos" w:eastAsia="Times New Roman" w:hAnsi="Aptos"/>
                <w:b w:val="0"/>
                <w:bCs w:val="0"/>
                <w:spacing w:val="0"/>
                <w:kern w:val="0"/>
                <w:sz w:val="24"/>
                <w:lang w:eastAsia="en-AU"/>
                <w14:ligatures w14:val="none"/>
              </w:rPr>
              <w:t xml:space="preserve"> </w:t>
            </w:r>
            <w:r w:rsidRPr="00321436">
              <w:rPr>
                <w:rFonts w:ascii="Aptos" w:hAnsi="Aptos"/>
                <w:b w:val="0"/>
                <w:bCs w:val="0"/>
                <w:sz w:val="24"/>
              </w:rPr>
              <w:t>—</w:t>
            </w:r>
            <w:r>
              <w:rPr>
                <w:rFonts w:ascii="Aptos" w:hAnsi="Aptos"/>
                <w:b w:val="0"/>
                <w:bCs w:val="0"/>
                <w:sz w:val="24"/>
              </w:rPr>
              <w:t xml:space="preserve"> </w:t>
            </w:r>
            <w:r w:rsidRPr="00161DC0">
              <w:rPr>
                <w:rFonts w:ascii="Aptos" w:hAnsi="Aptos"/>
                <w:b w:val="0"/>
                <w:bCs w:val="0"/>
                <w:sz w:val="24"/>
              </w:rPr>
              <w:t xml:space="preserve">Establish and maintain targeted </w:t>
            </w:r>
            <w:bookmarkStart w:id="59" w:name="_Hlk198026448"/>
            <w:r w:rsidR="00790790">
              <w:rPr>
                <w:rFonts w:ascii="Aptos" w:hAnsi="Aptos"/>
                <w:sz w:val="24"/>
              </w:rPr>
              <w:fldChar w:fldCharType="begin"/>
            </w:r>
            <w:r w:rsidR="00790790">
              <w:rPr>
                <w:rFonts w:ascii="Aptos" w:hAnsi="Aptos"/>
                <w:b w:val="0"/>
                <w:bCs w:val="0"/>
                <w:sz w:val="24"/>
              </w:rPr>
              <w:instrText>HYPERLINK  \l "_Horizon_scanning"</w:instrText>
            </w:r>
            <w:r w:rsidR="00790790">
              <w:rPr>
                <w:rFonts w:ascii="Aptos" w:hAnsi="Aptos"/>
                <w:sz w:val="24"/>
              </w:rPr>
            </w:r>
            <w:r w:rsidR="00790790">
              <w:rPr>
                <w:rFonts w:ascii="Aptos" w:hAnsi="Aptos"/>
                <w:sz w:val="24"/>
              </w:rPr>
              <w:fldChar w:fldCharType="separate"/>
            </w:r>
            <w:r w:rsidRPr="00790790">
              <w:rPr>
                <w:rStyle w:val="Hyperlink"/>
                <w:b w:val="0"/>
                <w:bCs w:val="0"/>
                <w:sz w:val="24"/>
              </w:rPr>
              <w:t>horizon</w:t>
            </w:r>
            <w:r w:rsidR="00790790" w:rsidRPr="00790790">
              <w:rPr>
                <w:rStyle w:val="Hyperlink"/>
                <w:b w:val="0"/>
                <w:bCs w:val="0"/>
                <w:sz w:val="24"/>
              </w:rPr>
              <w:t xml:space="preserve"> </w:t>
            </w:r>
            <w:r w:rsidRPr="00790790">
              <w:rPr>
                <w:rStyle w:val="Hyperlink"/>
                <w:b w:val="0"/>
                <w:bCs w:val="0"/>
                <w:sz w:val="24"/>
              </w:rPr>
              <w:t>scanning</w:t>
            </w:r>
            <w:r w:rsidR="00790790">
              <w:rPr>
                <w:rFonts w:ascii="Aptos" w:hAnsi="Aptos"/>
                <w:sz w:val="24"/>
              </w:rPr>
              <w:fldChar w:fldCharType="end"/>
            </w:r>
            <w:r w:rsidRPr="00161DC0">
              <w:rPr>
                <w:rFonts w:ascii="Aptos" w:hAnsi="Aptos"/>
                <w:b w:val="0"/>
                <w:bCs w:val="0"/>
                <w:sz w:val="24"/>
              </w:rPr>
              <w:t xml:space="preserve"> </w:t>
            </w:r>
            <w:bookmarkEnd w:id="59"/>
            <w:r w:rsidRPr="00161DC0">
              <w:rPr>
                <w:rFonts w:ascii="Aptos" w:hAnsi="Aptos"/>
                <w:b w:val="0"/>
                <w:bCs w:val="0"/>
                <w:sz w:val="24"/>
              </w:rPr>
              <w:t>for emerging genomics trends, research and technologies to inform prioritisation of research and investments, which are complementary to broader national and state</w:t>
            </w:r>
            <w:r>
              <w:rPr>
                <w:rFonts w:ascii="Aptos" w:hAnsi="Aptos"/>
                <w:b w:val="0"/>
                <w:bCs w:val="0"/>
                <w:sz w:val="24"/>
              </w:rPr>
              <w:t>-</w:t>
            </w:r>
            <w:r w:rsidRPr="00161DC0">
              <w:rPr>
                <w:rFonts w:ascii="Aptos" w:hAnsi="Aptos"/>
                <w:b w:val="0"/>
                <w:bCs w:val="0"/>
                <w:sz w:val="24"/>
              </w:rPr>
              <w:t xml:space="preserve"> and territory-based horizon</w:t>
            </w:r>
            <w:r w:rsidR="00790790">
              <w:rPr>
                <w:rFonts w:ascii="Aptos" w:hAnsi="Aptos"/>
                <w:b w:val="0"/>
                <w:bCs w:val="0"/>
                <w:sz w:val="24"/>
              </w:rPr>
              <w:t xml:space="preserve"> </w:t>
            </w:r>
            <w:r w:rsidRPr="00161DC0">
              <w:rPr>
                <w:rFonts w:ascii="Aptos" w:hAnsi="Aptos"/>
                <w:b w:val="0"/>
                <w:bCs w:val="0"/>
                <w:sz w:val="24"/>
              </w:rPr>
              <w:t>scanning activities.</w:t>
            </w:r>
          </w:p>
        </w:tc>
        <w:tc>
          <w:tcPr>
            <w:tcW w:w="771" w:type="pct"/>
            <w:shd w:val="clear" w:color="auto" w:fill="auto"/>
          </w:tcPr>
          <w:p w14:paraId="3AE808DA" w14:textId="77777777" w:rsidR="0007280C" w:rsidRPr="00161DC0"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rPr>
            </w:pPr>
          </w:p>
        </w:tc>
        <w:tc>
          <w:tcPr>
            <w:tcW w:w="1204" w:type="pct"/>
            <w:shd w:val="clear" w:color="auto" w:fill="auto"/>
          </w:tcPr>
          <w:p w14:paraId="72A86DA2" w14:textId="77777777" w:rsidR="0007280C" w:rsidRPr="00161DC0"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lang w:eastAsia="en-AU"/>
              </w:rPr>
            </w:pPr>
          </w:p>
        </w:tc>
        <w:tc>
          <w:tcPr>
            <w:tcW w:w="832" w:type="pct"/>
            <w:shd w:val="clear" w:color="auto" w:fill="auto"/>
          </w:tcPr>
          <w:p w14:paraId="4282C2E8" w14:textId="77777777" w:rsidR="0007280C" w:rsidRPr="00161DC0"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rPr>
            </w:pPr>
          </w:p>
        </w:tc>
      </w:tr>
      <w:tr w:rsidR="00720F68" w:rsidRPr="00161DC0" w14:paraId="509A1D2A" w14:textId="77777777" w:rsidTr="00DD1A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92" w:type="pct"/>
            <w:shd w:val="clear" w:color="auto" w:fill="auto"/>
          </w:tcPr>
          <w:p w14:paraId="3C18151B" w14:textId="166F4AFC" w:rsidR="0007280C" w:rsidRPr="00161DC0" w:rsidRDefault="0007280C" w:rsidP="0007280C">
            <w:pPr>
              <w:spacing w:before="240" w:after="240"/>
              <w:rPr>
                <w:rFonts w:ascii="Aptos" w:hAnsi="Aptos"/>
                <w:sz w:val="24"/>
                <w:lang w:eastAsia="en-AU"/>
              </w:rPr>
            </w:pPr>
            <w:r w:rsidRPr="00E552B4">
              <w:rPr>
                <w:rFonts w:ascii="Aptos" w:eastAsia="Times New Roman" w:hAnsi="Aptos"/>
                <w:b w:val="0"/>
                <w:bCs w:val="0"/>
                <w:spacing w:val="0"/>
                <w:kern w:val="0"/>
                <w:sz w:val="24"/>
                <w:lang w:eastAsia="en-AU"/>
                <w14:ligatures w14:val="none"/>
              </w:rPr>
              <w:lastRenderedPageBreak/>
              <w:t>2.</w:t>
            </w:r>
            <w:r>
              <w:rPr>
                <w:rFonts w:ascii="Aptos" w:eastAsia="Times New Roman" w:hAnsi="Aptos"/>
                <w:b w:val="0"/>
                <w:bCs w:val="0"/>
                <w:spacing w:val="0"/>
                <w:kern w:val="0"/>
                <w:sz w:val="24"/>
                <w:lang w:eastAsia="en-AU"/>
                <w14:ligatures w14:val="none"/>
              </w:rPr>
              <w:t>4</w:t>
            </w:r>
            <w:r w:rsidRPr="00E552B4">
              <w:rPr>
                <w:rFonts w:ascii="Aptos" w:eastAsia="Times New Roman" w:hAnsi="Aptos"/>
                <w:b w:val="0"/>
                <w:bCs w:val="0"/>
                <w:spacing w:val="0"/>
                <w:kern w:val="0"/>
                <w:sz w:val="24"/>
                <w:lang w:eastAsia="en-AU"/>
                <w14:ligatures w14:val="none"/>
              </w:rPr>
              <w:t>.</w:t>
            </w:r>
            <w:r>
              <w:rPr>
                <w:rFonts w:ascii="Aptos" w:eastAsia="Times New Roman" w:hAnsi="Aptos"/>
                <w:b w:val="0"/>
                <w:bCs w:val="0"/>
                <w:spacing w:val="0"/>
                <w:kern w:val="0"/>
                <w:sz w:val="24"/>
                <w:lang w:eastAsia="en-AU"/>
                <w14:ligatures w14:val="none"/>
              </w:rPr>
              <w:t>5</w:t>
            </w:r>
            <w:r w:rsidRPr="00E552B4">
              <w:rPr>
                <w:rFonts w:ascii="Aptos" w:eastAsia="Times New Roman" w:hAnsi="Aptos"/>
                <w:b w:val="0"/>
                <w:bCs w:val="0"/>
                <w:spacing w:val="0"/>
                <w:kern w:val="0"/>
                <w:sz w:val="24"/>
                <w:lang w:eastAsia="en-AU"/>
                <w14:ligatures w14:val="none"/>
              </w:rPr>
              <w:t xml:space="preserve"> </w:t>
            </w:r>
            <w:r w:rsidRPr="00321436">
              <w:rPr>
                <w:rFonts w:ascii="Aptos" w:hAnsi="Aptos"/>
                <w:b w:val="0"/>
                <w:bCs w:val="0"/>
                <w:sz w:val="24"/>
              </w:rPr>
              <w:t>—</w:t>
            </w:r>
            <w:r>
              <w:rPr>
                <w:rFonts w:ascii="Aptos" w:hAnsi="Aptos"/>
                <w:b w:val="0"/>
                <w:bCs w:val="0"/>
                <w:sz w:val="24"/>
              </w:rPr>
              <w:t xml:space="preserve"> Establish processes to formally share real-world </w:t>
            </w:r>
            <w:r w:rsidRPr="00E552B4">
              <w:rPr>
                <w:rFonts w:ascii="Aptos" w:hAnsi="Aptos"/>
                <w:b w:val="0"/>
                <w:bCs w:val="0"/>
                <w:sz w:val="24"/>
              </w:rPr>
              <w:t xml:space="preserve">evidence for new models of genomics-informed health care, enabling </w:t>
            </w:r>
            <w:r>
              <w:rPr>
                <w:rFonts w:ascii="Aptos" w:hAnsi="Aptos"/>
                <w:b w:val="0"/>
                <w:bCs w:val="0"/>
                <w:sz w:val="24"/>
              </w:rPr>
              <w:t>consideration of adoption in other state and territory health systems</w:t>
            </w:r>
            <w:r w:rsidRPr="00E552B4">
              <w:rPr>
                <w:rFonts w:ascii="Aptos" w:hAnsi="Aptos"/>
                <w:b w:val="0"/>
                <w:bCs w:val="0"/>
                <w:sz w:val="24"/>
              </w:rPr>
              <w:t>.</w:t>
            </w:r>
          </w:p>
        </w:tc>
        <w:tc>
          <w:tcPr>
            <w:tcW w:w="771" w:type="pct"/>
            <w:shd w:val="clear" w:color="auto" w:fill="auto"/>
          </w:tcPr>
          <w:p w14:paraId="02EE93D7" w14:textId="77777777" w:rsidR="0007280C"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Style w:val="CommentReference"/>
              </w:rPr>
            </w:pPr>
          </w:p>
        </w:tc>
        <w:tc>
          <w:tcPr>
            <w:tcW w:w="1204" w:type="pct"/>
            <w:shd w:val="clear" w:color="auto" w:fill="auto"/>
          </w:tcPr>
          <w:p w14:paraId="15AA4938" w14:textId="77777777" w:rsidR="0007280C" w:rsidRPr="00161DC0"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lang w:eastAsia="en-AU"/>
              </w:rPr>
            </w:pPr>
          </w:p>
        </w:tc>
        <w:tc>
          <w:tcPr>
            <w:tcW w:w="832" w:type="pct"/>
            <w:shd w:val="clear" w:color="auto" w:fill="auto"/>
          </w:tcPr>
          <w:p w14:paraId="40C79FF8" w14:textId="77777777" w:rsidR="0007280C" w:rsidRPr="00161DC0"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rPr>
            </w:pPr>
          </w:p>
        </w:tc>
      </w:tr>
      <w:tr w:rsidR="0007280C" w:rsidRPr="00161DC0" w14:paraId="2698748C" w14:textId="77777777" w:rsidTr="00DD1A52">
        <w:trPr>
          <w:cantSplit/>
          <w:trHeight w:val="300"/>
        </w:trPr>
        <w:tc>
          <w:tcPr>
            <w:cnfStyle w:val="001000000000" w:firstRow="0" w:lastRow="0" w:firstColumn="1" w:lastColumn="0" w:oddVBand="0" w:evenVBand="0" w:oddHBand="0" w:evenHBand="0" w:firstRowFirstColumn="0" w:firstRowLastColumn="0" w:lastRowFirstColumn="0" w:lastRowLastColumn="0"/>
            <w:tcW w:w="2192" w:type="pct"/>
            <w:shd w:val="clear" w:color="auto" w:fill="auto"/>
          </w:tcPr>
          <w:p w14:paraId="1A30D358" w14:textId="45C1BC47" w:rsidR="0007280C" w:rsidRPr="00161DC0" w:rsidRDefault="0007280C" w:rsidP="0007280C">
            <w:pPr>
              <w:spacing w:before="240" w:after="240"/>
              <w:rPr>
                <w:rFonts w:ascii="Aptos" w:hAnsi="Aptos"/>
                <w:b w:val="0"/>
                <w:bCs w:val="0"/>
                <w:sz w:val="24"/>
                <w:lang w:eastAsia="en-AU"/>
              </w:rPr>
            </w:pPr>
            <w:r w:rsidRPr="00161DC0">
              <w:rPr>
                <w:rFonts w:ascii="Aptos" w:eastAsia="Times New Roman" w:hAnsi="Aptos"/>
                <w:b w:val="0"/>
                <w:bCs w:val="0"/>
                <w:spacing w:val="0"/>
                <w:kern w:val="0"/>
                <w:sz w:val="24"/>
                <w:lang w:eastAsia="en-AU"/>
                <w14:ligatures w14:val="none"/>
              </w:rPr>
              <w:t>2.</w:t>
            </w:r>
            <w:r>
              <w:rPr>
                <w:rFonts w:ascii="Aptos" w:eastAsia="Times New Roman" w:hAnsi="Aptos"/>
                <w:b w:val="0"/>
                <w:bCs w:val="0"/>
                <w:spacing w:val="0"/>
                <w:kern w:val="0"/>
                <w:sz w:val="24"/>
                <w:lang w:eastAsia="en-AU"/>
                <w14:ligatures w14:val="none"/>
              </w:rPr>
              <w:t>4</w:t>
            </w:r>
            <w:r w:rsidRPr="00161DC0">
              <w:rPr>
                <w:rFonts w:ascii="Aptos" w:eastAsia="Times New Roman" w:hAnsi="Aptos"/>
                <w:b w:val="0"/>
                <w:bCs w:val="0"/>
                <w:spacing w:val="0"/>
                <w:kern w:val="0"/>
                <w:sz w:val="24"/>
                <w:lang w:eastAsia="en-AU"/>
                <w14:ligatures w14:val="none"/>
              </w:rPr>
              <w:t>.</w:t>
            </w:r>
            <w:r>
              <w:rPr>
                <w:rFonts w:ascii="Aptos" w:eastAsia="Times New Roman" w:hAnsi="Aptos"/>
                <w:b w:val="0"/>
                <w:bCs w:val="0"/>
                <w:spacing w:val="0"/>
                <w:kern w:val="0"/>
                <w:sz w:val="24"/>
                <w:lang w:eastAsia="en-AU"/>
                <w14:ligatures w14:val="none"/>
              </w:rPr>
              <w:t>6</w:t>
            </w:r>
            <w:r w:rsidRPr="00161DC0">
              <w:rPr>
                <w:rFonts w:ascii="Aptos" w:eastAsia="Times New Roman" w:hAnsi="Aptos"/>
                <w:b w:val="0"/>
                <w:bCs w:val="0"/>
                <w:spacing w:val="0"/>
                <w:kern w:val="0"/>
                <w:sz w:val="24"/>
                <w:lang w:eastAsia="en-AU"/>
                <w14:ligatures w14:val="none"/>
              </w:rPr>
              <w:t xml:space="preserve"> </w:t>
            </w:r>
            <w:r w:rsidRPr="00321436">
              <w:rPr>
                <w:rFonts w:ascii="Aptos" w:hAnsi="Aptos"/>
                <w:b w:val="0"/>
                <w:bCs w:val="0"/>
                <w:sz w:val="24"/>
              </w:rPr>
              <w:t>—</w:t>
            </w:r>
            <w:r>
              <w:rPr>
                <w:rFonts w:ascii="Aptos" w:hAnsi="Aptos"/>
                <w:b w:val="0"/>
                <w:bCs w:val="0"/>
                <w:sz w:val="24"/>
              </w:rPr>
              <w:t xml:space="preserve"> </w:t>
            </w:r>
            <w:r w:rsidRPr="00161DC0">
              <w:rPr>
                <w:rFonts w:ascii="Aptos" w:hAnsi="Aptos"/>
                <w:b w:val="0"/>
                <w:bCs w:val="0"/>
                <w:sz w:val="24"/>
              </w:rPr>
              <w:t>Develop options for long-term, sustainable, and scalable integration of genomics-</w:t>
            </w:r>
            <w:r>
              <w:rPr>
                <w:rFonts w:ascii="Aptos" w:hAnsi="Aptos"/>
                <w:b w:val="0"/>
                <w:bCs w:val="0"/>
                <w:sz w:val="24"/>
              </w:rPr>
              <w:t>inform</w:t>
            </w:r>
            <w:r w:rsidRPr="00161DC0">
              <w:rPr>
                <w:rFonts w:ascii="Aptos" w:hAnsi="Aptos"/>
                <w:b w:val="0"/>
                <w:bCs w:val="0"/>
                <w:sz w:val="24"/>
              </w:rPr>
              <w:t>ed national pilot initiatives and research-funded programs into clinical practice where they are demonstrated to be clinically beneficial and cost-effective, and with consideration of alignment across federal and state and territory health systems.</w:t>
            </w:r>
          </w:p>
        </w:tc>
        <w:tc>
          <w:tcPr>
            <w:tcW w:w="771" w:type="pct"/>
            <w:shd w:val="clear" w:color="auto" w:fill="auto"/>
          </w:tcPr>
          <w:p w14:paraId="5E289DED" w14:textId="77777777" w:rsidR="0007280C" w:rsidRPr="00161DC0"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rPr>
            </w:pPr>
          </w:p>
        </w:tc>
        <w:tc>
          <w:tcPr>
            <w:tcW w:w="1204" w:type="pct"/>
            <w:shd w:val="clear" w:color="auto" w:fill="auto"/>
          </w:tcPr>
          <w:p w14:paraId="573F6776" w14:textId="77777777" w:rsidR="0007280C" w:rsidRPr="00161DC0"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lang w:eastAsia="en-AU"/>
              </w:rPr>
            </w:pPr>
          </w:p>
        </w:tc>
        <w:tc>
          <w:tcPr>
            <w:tcW w:w="832" w:type="pct"/>
            <w:shd w:val="clear" w:color="auto" w:fill="auto"/>
          </w:tcPr>
          <w:p w14:paraId="3670F5F4" w14:textId="77777777" w:rsidR="0007280C" w:rsidRPr="00161DC0"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rPr>
            </w:pPr>
          </w:p>
        </w:tc>
      </w:tr>
      <w:tr w:rsidR="0007280C" w:rsidRPr="00161DC0" w14:paraId="75DED645" w14:textId="77777777" w:rsidTr="00DD1A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92" w:type="pct"/>
            <w:shd w:val="clear" w:color="auto" w:fill="auto"/>
          </w:tcPr>
          <w:p w14:paraId="7F5D17BA" w14:textId="3460D4AF" w:rsidR="0007280C" w:rsidRPr="00161DC0" w:rsidRDefault="0007280C" w:rsidP="0007280C">
            <w:pPr>
              <w:spacing w:before="240" w:after="240"/>
              <w:rPr>
                <w:rFonts w:ascii="Aptos" w:hAnsi="Aptos"/>
                <w:sz w:val="24"/>
                <w:lang w:eastAsia="en-AU"/>
              </w:rPr>
            </w:pPr>
            <w:r w:rsidRPr="00161DC0">
              <w:rPr>
                <w:rFonts w:ascii="Aptos" w:eastAsia="Times New Roman" w:hAnsi="Aptos"/>
                <w:b w:val="0"/>
                <w:bCs w:val="0"/>
                <w:spacing w:val="0"/>
                <w:kern w:val="0"/>
                <w:sz w:val="24"/>
                <w:lang w:eastAsia="en-AU"/>
                <w14:ligatures w14:val="none"/>
              </w:rPr>
              <w:t>2.</w:t>
            </w:r>
            <w:r>
              <w:rPr>
                <w:rFonts w:ascii="Aptos" w:eastAsia="Times New Roman" w:hAnsi="Aptos"/>
                <w:b w:val="0"/>
                <w:bCs w:val="0"/>
                <w:spacing w:val="0"/>
                <w:kern w:val="0"/>
                <w:sz w:val="24"/>
                <w:lang w:eastAsia="en-AU"/>
                <w14:ligatures w14:val="none"/>
              </w:rPr>
              <w:t>4</w:t>
            </w:r>
            <w:r w:rsidRPr="00161DC0">
              <w:rPr>
                <w:rFonts w:ascii="Aptos" w:eastAsia="Times New Roman" w:hAnsi="Aptos"/>
                <w:b w:val="0"/>
                <w:bCs w:val="0"/>
                <w:spacing w:val="0"/>
                <w:kern w:val="0"/>
                <w:sz w:val="24"/>
                <w:lang w:eastAsia="en-AU"/>
                <w14:ligatures w14:val="none"/>
              </w:rPr>
              <w:t>.</w:t>
            </w:r>
            <w:r>
              <w:rPr>
                <w:rFonts w:ascii="Aptos" w:eastAsia="Times New Roman" w:hAnsi="Aptos"/>
                <w:b w:val="0"/>
                <w:bCs w:val="0"/>
                <w:spacing w:val="0"/>
                <w:kern w:val="0"/>
                <w:sz w:val="24"/>
                <w:lang w:eastAsia="en-AU"/>
                <w14:ligatures w14:val="none"/>
              </w:rPr>
              <w:t>7</w:t>
            </w:r>
            <w:r w:rsidRPr="00161DC0">
              <w:rPr>
                <w:rFonts w:ascii="Aptos" w:eastAsia="Times New Roman" w:hAnsi="Aptos"/>
                <w:b w:val="0"/>
                <w:bCs w:val="0"/>
                <w:spacing w:val="0"/>
                <w:kern w:val="0"/>
                <w:sz w:val="24"/>
                <w:lang w:eastAsia="en-AU"/>
                <w14:ligatures w14:val="none"/>
              </w:rPr>
              <w:t xml:space="preserve"> </w:t>
            </w:r>
            <w:r w:rsidRPr="00321436">
              <w:rPr>
                <w:rFonts w:ascii="Aptos" w:hAnsi="Aptos"/>
                <w:b w:val="0"/>
                <w:bCs w:val="0"/>
                <w:sz w:val="24"/>
              </w:rPr>
              <w:t>—</w:t>
            </w:r>
            <w:r>
              <w:rPr>
                <w:rFonts w:ascii="Aptos" w:hAnsi="Aptos"/>
                <w:b w:val="0"/>
                <w:bCs w:val="0"/>
                <w:sz w:val="24"/>
              </w:rPr>
              <w:t xml:space="preserve"> Develop</w:t>
            </w:r>
            <w:r w:rsidRPr="00161DC0">
              <w:rPr>
                <w:rFonts w:ascii="Aptos" w:hAnsi="Aptos"/>
                <w:b w:val="0"/>
                <w:bCs w:val="0"/>
                <w:sz w:val="24"/>
              </w:rPr>
              <w:t xml:space="preserve"> culturally appropriate strategies, building on existing efforts of Australian governments and non-government entities, to ensure genomic and phenotypic databases reflect the ethnic diversity of the Australian population.</w:t>
            </w:r>
          </w:p>
        </w:tc>
        <w:tc>
          <w:tcPr>
            <w:tcW w:w="771" w:type="pct"/>
            <w:shd w:val="clear" w:color="auto" w:fill="auto"/>
          </w:tcPr>
          <w:p w14:paraId="316444AA" w14:textId="77777777" w:rsidR="0007280C" w:rsidRPr="00161DC0"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rPr>
            </w:pPr>
          </w:p>
        </w:tc>
        <w:tc>
          <w:tcPr>
            <w:tcW w:w="1204" w:type="pct"/>
            <w:shd w:val="clear" w:color="auto" w:fill="auto"/>
          </w:tcPr>
          <w:p w14:paraId="6EAAFE9A" w14:textId="77777777" w:rsidR="0007280C" w:rsidRPr="00161DC0"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lang w:eastAsia="en-AU"/>
              </w:rPr>
            </w:pPr>
          </w:p>
        </w:tc>
        <w:tc>
          <w:tcPr>
            <w:tcW w:w="832" w:type="pct"/>
            <w:shd w:val="clear" w:color="auto" w:fill="auto"/>
          </w:tcPr>
          <w:p w14:paraId="30F659C6" w14:textId="77777777" w:rsidR="0007280C" w:rsidRPr="00161DC0"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rPr>
            </w:pPr>
          </w:p>
        </w:tc>
      </w:tr>
    </w:tbl>
    <w:p w14:paraId="25ABEC0D" w14:textId="77777777" w:rsidR="00E628C8" w:rsidRDefault="00E628C8" w:rsidP="00355345">
      <w:pPr>
        <w:pStyle w:val="Paragraphtext"/>
      </w:pPr>
    </w:p>
    <w:p w14:paraId="1665A01C" w14:textId="77777777" w:rsidR="002C376F" w:rsidRDefault="002C376F">
      <w:pPr>
        <w:rPr>
          <w:rFonts w:ascii="Aptos" w:eastAsia="MS PGothic" w:hAnsi="Aptos" w:cs="Arial"/>
          <w:bCs/>
          <w:iCs/>
          <w:color w:val="358189"/>
          <w:sz w:val="36"/>
          <w:szCs w:val="36"/>
        </w:rPr>
      </w:pPr>
      <w:r>
        <w:rPr>
          <w:rFonts w:eastAsia="MS PGothic"/>
          <w:sz w:val="36"/>
          <w:szCs w:val="36"/>
        </w:rPr>
        <w:br w:type="page"/>
      </w:r>
    </w:p>
    <w:p w14:paraId="184D937A" w14:textId="070F9611" w:rsidR="00E628C8" w:rsidRPr="00E552B4" w:rsidRDefault="00E628C8" w:rsidP="00355345">
      <w:pPr>
        <w:pStyle w:val="Heading2"/>
        <w:rPr>
          <w:rFonts w:eastAsia="MS PGothic"/>
          <w:sz w:val="36"/>
          <w:szCs w:val="36"/>
        </w:rPr>
      </w:pPr>
      <w:bookmarkStart w:id="60" w:name="_Strategic_Priority_3"/>
      <w:bookmarkStart w:id="61" w:name="_Toc198025696"/>
      <w:bookmarkEnd w:id="60"/>
      <w:r w:rsidRPr="00E552B4">
        <w:rPr>
          <w:rFonts w:eastAsia="MS PGothic"/>
          <w:sz w:val="36"/>
          <w:szCs w:val="36"/>
        </w:rPr>
        <w:lastRenderedPageBreak/>
        <w:t>Strategic Priority 3 – Genomic</w:t>
      </w:r>
      <w:r w:rsidR="00640E79" w:rsidRPr="00E552B4">
        <w:rPr>
          <w:rFonts w:eastAsia="MS PGothic"/>
          <w:sz w:val="36"/>
          <w:szCs w:val="36"/>
        </w:rPr>
        <w:t xml:space="preserve"> </w:t>
      </w:r>
      <w:r w:rsidR="00936E81">
        <w:rPr>
          <w:rFonts w:eastAsia="MS PGothic"/>
          <w:sz w:val="36"/>
          <w:szCs w:val="36"/>
        </w:rPr>
        <w:t xml:space="preserve">Samples, </w:t>
      </w:r>
      <w:r w:rsidR="00640E79" w:rsidRPr="00E552B4">
        <w:rPr>
          <w:rFonts w:eastAsia="MS PGothic"/>
          <w:sz w:val="36"/>
          <w:szCs w:val="36"/>
        </w:rPr>
        <w:t>Data and</w:t>
      </w:r>
      <w:r w:rsidRPr="00E552B4">
        <w:rPr>
          <w:rFonts w:eastAsia="MS PGothic"/>
          <w:sz w:val="36"/>
          <w:szCs w:val="36"/>
        </w:rPr>
        <w:t xml:space="preserve"> Information Management</w:t>
      </w:r>
      <w:bookmarkEnd w:id="61"/>
    </w:p>
    <w:p w14:paraId="3EFB63C5" w14:textId="20B4A9FF" w:rsidR="00640E79" w:rsidRPr="00E552B4" w:rsidRDefault="00640E79" w:rsidP="002B20E8">
      <w:pPr>
        <w:spacing w:after="240"/>
        <w:rPr>
          <w:rFonts w:ascii="Aptos" w:hAnsi="Aptos"/>
          <w:sz w:val="24"/>
        </w:rPr>
      </w:pPr>
      <w:r w:rsidRPr="00E552B4">
        <w:rPr>
          <w:rFonts w:ascii="Aptos" w:hAnsi="Aptos"/>
          <w:sz w:val="24"/>
        </w:rPr>
        <w:t xml:space="preserve">Responsible, secure and appropriately governed collection, storage, analysis, use, sharing, and management of </w:t>
      </w:r>
      <w:hyperlink w:anchor="_Biological_specimen" w:history="1">
        <w:r w:rsidR="00735393" w:rsidRPr="00785645">
          <w:rPr>
            <w:rStyle w:val="Hyperlink"/>
            <w:sz w:val="24"/>
          </w:rPr>
          <w:t>biological specimens</w:t>
        </w:r>
      </w:hyperlink>
      <w:r w:rsidR="00735393">
        <w:rPr>
          <w:rFonts w:ascii="Aptos" w:hAnsi="Aptos"/>
          <w:sz w:val="24"/>
        </w:rPr>
        <w:t xml:space="preserve"> and </w:t>
      </w:r>
      <w:hyperlink w:anchor="_Genomic_data" w:history="1">
        <w:r w:rsidRPr="00785645">
          <w:rPr>
            <w:rStyle w:val="Hyperlink"/>
            <w:sz w:val="24"/>
          </w:rPr>
          <w:t>genomic</w:t>
        </w:r>
        <w:r w:rsidR="00E552B4" w:rsidRPr="00785645">
          <w:rPr>
            <w:rStyle w:val="Hyperlink"/>
            <w:sz w:val="24"/>
          </w:rPr>
          <w:t xml:space="preserve"> data</w:t>
        </w:r>
      </w:hyperlink>
      <w:r w:rsidR="00E552B4">
        <w:rPr>
          <w:rFonts w:ascii="Aptos" w:hAnsi="Aptos"/>
          <w:sz w:val="24"/>
        </w:rPr>
        <w:t xml:space="preserve"> and</w:t>
      </w:r>
      <w:r w:rsidR="00785645">
        <w:rPr>
          <w:rFonts w:ascii="Aptos" w:hAnsi="Aptos"/>
          <w:sz w:val="24"/>
        </w:rPr>
        <w:t xml:space="preserve"> genomic</w:t>
      </w:r>
      <w:r w:rsidRPr="00E552B4">
        <w:rPr>
          <w:rFonts w:ascii="Aptos" w:hAnsi="Aptos"/>
          <w:sz w:val="24"/>
        </w:rPr>
        <w:t xml:space="preserve"> information generated in clinical</w:t>
      </w:r>
      <w:r w:rsidR="00A37E5F">
        <w:rPr>
          <w:rFonts w:ascii="Aptos" w:hAnsi="Aptos"/>
          <w:sz w:val="24"/>
        </w:rPr>
        <w:t xml:space="preserve"> and research</w:t>
      </w:r>
      <w:r w:rsidRPr="00E552B4">
        <w:rPr>
          <w:rFonts w:ascii="Aptos" w:hAnsi="Aptos"/>
          <w:sz w:val="24"/>
        </w:rPr>
        <w:t xml:space="preserve"> settings is essential to driving improvements in health outcomes for Australians and </w:t>
      </w:r>
      <w:r w:rsidR="00A37E5F">
        <w:rPr>
          <w:rFonts w:ascii="Aptos" w:hAnsi="Aptos"/>
          <w:sz w:val="24"/>
        </w:rPr>
        <w:t>supporting precision medicine.</w:t>
      </w:r>
      <w:r w:rsidR="00C90F33">
        <w:rPr>
          <w:rFonts w:ascii="Aptos" w:hAnsi="Aptos"/>
          <w:sz w:val="24"/>
        </w:rPr>
        <w:t xml:space="preserve"> </w:t>
      </w:r>
      <w:r w:rsidRPr="00E552B4">
        <w:rPr>
          <w:rFonts w:ascii="Aptos" w:hAnsi="Aptos"/>
          <w:sz w:val="24"/>
        </w:rPr>
        <w:t xml:space="preserve">Wider sharing, greater accessibility, and greater integration of genomic information across health systems and the research sector will support further research and improved outcomes for patients. </w:t>
      </w:r>
    </w:p>
    <w:p w14:paraId="4D2F4206" w14:textId="77777777" w:rsidR="00640E79" w:rsidRPr="00E552B4" w:rsidRDefault="00640E79" w:rsidP="002B20E8">
      <w:pPr>
        <w:spacing w:after="240"/>
        <w:rPr>
          <w:rFonts w:ascii="Aptos" w:hAnsi="Aptos"/>
          <w:sz w:val="24"/>
        </w:rPr>
      </w:pPr>
      <w:r w:rsidRPr="00E552B4">
        <w:rPr>
          <w:rFonts w:ascii="Aptos" w:hAnsi="Aptos"/>
          <w:sz w:val="24"/>
        </w:rPr>
        <w:t>At the same time, genomic information is often considered more complex, unique, and sensitive than other types of health information. Misuse of genomic information may have consequences for individuals, families</w:t>
      </w:r>
      <w:r w:rsidR="00B82E85">
        <w:rPr>
          <w:rFonts w:ascii="Aptos" w:hAnsi="Aptos"/>
          <w:sz w:val="24"/>
        </w:rPr>
        <w:t>, future generations,</w:t>
      </w:r>
      <w:r w:rsidRPr="00E552B4">
        <w:rPr>
          <w:rFonts w:ascii="Aptos" w:hAnsi="Aptos"/>
          <w:sz w:val="24"/>
        </w:rPr>
        <w:t xml:space="preserve"> and entire populations that are impossible to make right again.</w:t>
      </w:r>
    </w:p>
    <w:p w14:paraId="6EB4F627" w14:textId="3B50D4F1" w:rsidR="00804496" w:rsidRDefault="00640E79" w:rsidP="00804496">
      <w:pPr>
        <w:spacing w:after="240"/>
        <w:rPr>
          <w:rFonts w:ascii="Aptos" w:hAnsi="Aptos"/>
          <w:sz w:val="24"/>
        </w:rPr>
      </w:pPr>
      <w:r w:rsidRPr="00E552B4">
        <w:rPr>
          <w:rFonts w:ascii="Aptos" w:hAnsi="Aptos"/>
          <w:sz w:val="24"/>
        </w:rPr>
        <w:t xml:space="preserve">Effectively balancing the potential benefits and risks associated with genomic information will be contingent on the existence of appropriate infrastructure, cyber security frameworks, workforce, standards and processes that consider and address capacity, capability, interoperability, quality, cultural context, data sovereignty and governance. It will also require heightened consideration of consent, privacy and security. </w:t>
      </w:r>
    </w:p>
    <w:p w14:paraId="4B3A1CD9" w14:textId="5AD408A9" w:rsidR="00A34CE8" w:rsidRDefault="00E552B4" w:rsidP="00ED1BD0">
      <w:pPr>
        <w:spacing w:after="240"/>
        <w:rPr>
          <w:rFonts w:eastAsia="MS PGothic" w:cs="Arial"/>
          <w:bCs/>
          <w:color w:val="358189"/>
          <w:sz w:val="28"/>
          <w:szCs w:val="26"/>
        </w:rPr>
      </w:pPr>
      <w:r>
        <w:rPr>
          <w:rFonts w:ascii="Aptos" w:hAnsi="Aptos"/>
          <w:sz w:val="24"/>
        </w:rPr>
        <w:t>T</w:t>
      </w:r>
      <w:r w:rsidR="00640E79" w:rsidRPr="00E552B4">
        <w:rPr>
          <w:rFonts w:ascii="Aptos" w:hAnsi="Aptos"/>
          <w:sz w:val="24"/>
        </w:rPr>
        <w:t xml:space="preserve">o be truly responsible, approaches must reflect the priorities and concerns of the public, including those in priority populations, and be </w:t>
      </w:r>
      <w:r w:rsidR="0013393E">
        <w:rPr>
          <w:rFonts w:ascii="Aptos" w:hAnsi="Aptos"/>
          <w:sz w:val="24"/>
        </w:rPr>
        <w:t xml:space="preserve">underpinned by consideration of </w:t>
      </w:r>
      <w:r w:rsidR="00640E79" w:rsidRPr="00E552B4">
        <w:rPr>
          <w:rFonts w:ascii="Aptos" w:hAnsi="Aptos"/>
          <w:sz w:val="24"/>
        </w:rPr>
        <w:t>cultural, ethical, legal and social implications</w:t>
      </w:r>
      <w:r w:rsidR="00E628C8" w:rsidRPr="00E552B4">
        <w:rPr>
          <w:rFonts w:ascii="Aptos" w:eastAsia="Neue Haas Grotesk Text Pro" w:hAnsi="Aptos"/>
          <w:sz w:val="24"/>
        </w:rPr>
        <w:t>.</w:t>
      </w:r>
      <w:r w:rsidR="00804496">
        <w:rPr>
          <w:rFonts w:ascii="Aptos" w:hAnsi="Aptos"/>
          <w:sz w:val="24"/>
        </w:rPr>
        <w:t xml:space="preserve"> </w:t>
      </w:r>
      <w:r w:rsidR="00804496" w:rsidRPr="00ED1BD0">
        <w:rPr>
          <w:rFonts w:ascii="Aptos" w:hAnsi="Aptos"/>
          <w:sz w:val="24"/>
        </w:rPr>
        <w:t>The outcomes and activi</w:t>
      </w:r>
      <w:r w:rsidR="00804496">
        <w:rPr>
          <w:rFonts w:ascii="Aptos" w:hAnsi="Aptos"/>
          <w:sz w:val="24"/>
        </w:rPr>
        <w:t xml:space="preserve">ties detailed under this Strategic Priority may support advice to Australian governments concerning the need for investments to support </w:t>
      </w:r>
      <w:r w:rsidR="00804496" w:rsidRPr="00944ACA">
        <w:rPr>
          <w:rFonts w:ascii="Aptos" w:hAnsi="Aptos"/>
          <w:sz w:val="24"/>
        </w:rPr>
        <w:t xml:space="preserve">long-term, sustainable, and future-ready </w:t>
      </w:r>
      <w:r w:rsidR="00804496">
        <w:rPr>
          <w:rFonts w:ascii="Aptos" w:hAnsi="Aptos"/>
          <w:sz w:val="24"/>
        </w:rPr>
        <w:t xml:space="preserve">national approach to </w:t>
      </w:r>
      <w:r w:rsidR="00804496" w:rsidRPr="00944ACA">
        <w:rPr>
          <w:rFonts w:ascii="Aptos" w:hAnsi="Aptos"/>
          <w:sz w:val="24"/>
        </w:rPr>
        <w:t>genomic</w:t>
      </w:r>
      <w:r w:rsidR="00804496">
        <w:rPr>
          <w:rFonts w:ascii="Aptos" w:hAnsi="Aptos"/>
          <w:sz w:val="24"/>
        </w:rPr>
        <w:t xml:space="preserve"> </w:t>
      </w:r>
      <w:r w:rsidR="00ED1BD0">
        <w:rPr>
          <w:rFonts w:ascii="Aptos" w:hAnsi="Aptos"/>
          <w:sz w:val="24"/>
        </w:rPr>
        <w:t xml:space="preserve">information </w:t>
      </w:r>
      <w:r w:rsidR="00804496" w:rsidRPr="00944ACA">
        <w:rPr>
          <w:rFonts w:ascii="Aptos" w:hAnsi="Aptos"/>
          <w:sz w:val="24"/>
        </w:rPr>
        <w:t>sharing between clinical and research settings</w:t>
      </w:r>
      <w:r w:rsidR="00804496">
        <w:rPr>
          <w:rFonts w:ascii="Aptos" w:hAnsi="Aptos"/>
          <w:sz w:val="24"/>
        </w:rPr>
        <w:t>, if such an approach aligns with community expectations.</w:t>
      </w:r>
      <w:r w:rsidR="00A34CE8">
        <w:rPr>
          <w:rFonts w:eastAsia="MS PGothic"/>
        </w:rPr>
        <w:br w:type="page"/>
      </w:r>
    </w:p>
    <w:p w14:paraId="2201BFA8" w14:textId="188F4440" w:rsidR="00E628C8" w:rsidRPr="00E96F5C" w:rsidRDefault="00E628C8" w:rsidP="00E628C8">
      <w:pPr>
        <w:pStyle w:val="Heading3"/>
        <w:rPr>
          <w:rFonts w:eastAsia="MS PGothic"/>
        </w:rPr>
      </w:pPr>
      <w:bookmarkStart w:id="62" w:name="_Toc197953810"/>
      <w:bookmarkStart w:id="63" w:name="_Toc198025697"/>
      <w:r w:rsidRPr="00E96F5C">
        <w:rPr>
          <w:rFonts w:eastAsia="MS PGothic"/>
        </w:rPr>
        <w:lastRenderedPageBreak/>
        <w:t>Outcome</w:t>
      </w:r>
      <w:r w:rsidR="00E552B4">
        <w:rPr>
          <w:rFonts w:eastAsia="MS PGothic"/>
        </w:rPr>
        <w:t xml:space="preserve"> 3.1 – </w:t>
      </w:r>
      <w:r w:rsidR="00576E1E">
        <w:rPr>
          <w:rFonts w:eastAsia="MS PGothic"/>
        </w:rPr>
        <w:t>Safe, secure and trusted d</w:t>
      </w:r>
      <w:r w:rsidR="00E552B4">
        <w:rPr>
          <w:rFonts w:eastAsia="MS PGothic"/>
        </w:rPr>
        <w:t>ata sharing, storage and management</w:t>
      </w:r>
      <w:bookmarkEnd w:id="62"/>
      <w:bookmarkEnd w:id="63"/>
    </w:p>
    <w:p w14:paraId="1FF7ED10" w14:textId="7683F813" w:rsidR="00640E79" w:rsidRPr="00BC7352" w:rsidRDefault="00A34CE8" w:rsidP="00BC7352">
      <w:pPr>
        <w:pStyle w:val="ListNumber2"/>
        <w:ind w:left="641" w:hanging="357"/>
        <w:rPr>
          <w:rFonts w:eastAsia="Arial"/>
        </w:rPr>
      </w:pPr>
      <w:r>
        <w:rPr>
          <w:rFonts w:eastAsia="Arial"/>
        </w:rPr>
        <w:t>i</w:t>
      </w:r>
      <w:r w:rsidR="00640E79" w:rsidRPr="00BC7352">
        <w:rPr>
          <w:rFonts w:eastAsia="Arial"/>
        </w:rPr>
        <w:t>ndividuals, families and communities are confident that genomic and other</w:t>
      </w:r>
      <w:r w:rsidR="00A37E5F">
        <w:rPr>
          <w:rFonts w:eastAsia="Arial"/>
        </w:rPr>
        <w:t xml:space="preserve"> related</w:t>
      </w:r>
      <w:r w:rsidR="00640E79" w:rsidRPr="00BC7352">
        <w:rPr>
          <w:rFonts w:eastAsia="Arial"/>
        </w:rPr>
        <w:t xml:space="preserve"> clinical and personal information is protected, securely stored</w:t>
      </w:r>
      <w:r w:rsidR="00AF04C5">
        <w:rPr>
          <w:rFonts w:eastAsia="Arial"/>
        </w:rPr>
        <w:t xml:space="preserve">, </w:t>
      </w:r>
      <w:r w:rsidR="00640E79" w:rsidRPr="00BC7352">
        <w:rPr>
          <w:rFonts w:eastAsia="Arial"/>
        </w:rPr>
        <w:t>shared (where consented) and culturally safe</w:t>
      </w:r>
    </w:p>
    <w:p w14:paraId="054E5356" w14:textId="25E18CE9" w:rsidR="00640E79" w:rsidRPr="00BC7352" w:rsidRDefault="00A34CE8" w:rsidP="00BC7352">
      <w:pPr>
        <w:pStyle w:val="ListNumber2"/>
        <w:ind w:left="641" w:hanging="357"/>
        <w:rPr>
          <w:rFonts w:eastAsia="Arial"/>
        </w:rPr>
      </w:pPr>
      <w:r>
        <w:rPr>
          <w:rFonts w:eastAsia="Arial"/>
        </w:rPr>
        <w:t>p</w:t>
      </w:r>
      <w:r w:rsidR="00640E79" w:rsidRPr="00BC7352">
        <w:rPr>
          <w:rFonts w:eastAsia="Arial"/>
        </w:rPr>
        <w:t>references of individuals, families and communities regarding sharing or not sharing genomic information and the impacts of these preferences on genomics research</w:t>
      </w:r>
      <w:r w:rsidR="00C90F33">
        <w:rPr>
          <w:rFonts w:eastAsia="Arial"/>
        </w:rPr>
        <w:t xml:space="preserve"> </w:t>
      </w:r>
      <w:r w:rsidR="00640E79" w:rsidRPr="00BC7352">
        <w:rPr>
          <w:rFonts w:eastAsia="Arial"/>
        </w:rPr>
        <w:t>are understood and embedded into approaches</w:t>
      </w:r>
    </w:p>
    <w:p w14:paraId="28DFB986" w14:textId="2A6D918F" w:rsidR="00640E79" w:rsidRPr="00BC7352" w:rsidRDefault="00A34CE8" w:rsidP="00BC7352">
      <w:pPr>
        <w:pStyle w:val="ListNumber2"/>
        <w:ind w:left="641" w:hanging="357"/>
        <w:rPr>
          <w:rFonts w:eastAsia="Arial"/>
        </w:rPr>
      </w:pPr>
      <w:r>
        <w:rPr>
          <w:rFonts w:eastAsia="Arial"/>
        </w:rPr>
        <w:t>d</w:t>
      </w:r>
      <w:r w:rsidR="00640E79" w:rsidRPr="00BC7352">
        <w:rPr>
          <w:rFonts w:eastAsia="Arial"/>
        </w:rPr>
        <w:t>omestic and international genomic information sharing is facilitated in line with relevant legislation, policies and evolving community preferences, to increase knowledge and application of</w:t>
      </w:r>
      <w:r w:rsidR="00C90F33">
        <w:rPr>
          <w:rFonts w:eastAsia="Arial"/>
        </w:rPr>
        <w:t xml:space="preserve"> </w:t>
      </w:r>
      <w:r w:rsidR="00640E79" w:rsidRPr="00BC7352">
        <w:rPr>
          <w:rFonts w:eastAsia="Arial"/>
        </w:rPr>
        <w:t>genomics in Australia</w:t>
      </w:r>
    </w:p>
    <w:p w14:paraId="29DD14C2" w14:textId="70CF87BE" w:rsidR="00640E79" w:rsidRPr="00BC7352" w:rsidRDefault="00A34CE8" w:rsidP="00BC7352">
      <w:pPr>
        <w:pStyle w:val="ListNumber2"/>
        <w:ind w:left="641" w:hanging="357"/>
        <w:rPr>
          <w:rFonts w:eastAsia="Arial"/>
        </w:rPr>
      </w:pPr>
      <w:r>
        <w:rPr>
          <w:rFonts w:eastAsia="Arial"/>
        </w:rPr>
        <w:t>n</w:t>
      </w:r>
      <w:r w:rsidR="00640E79" w:rsidRPr="00BC7352">
        <w:rPr>
          <w:rFonts w:eastAsia="Arial"/>
        </w:rPr>
        <w:t>ational approaches and culturally appropriate stewardship models are co-developed that facilitate interoperable sharing of genomic information generated by health systems and research (such as utilisation of consistent identifiers) in line with relevant legislation, policies and evolving community preferences</w:t>
      </w:r>
    </w:p>
    <w:p w14:paraId="4F1AF2CE" w14:textId="7A5C3764" w:rsidR="00A34CE8" w:rsidRPr="00BC7352" w:rsidRDefault="00640E79" w:rsidP="00BC7352">
      <w:pPr>
        <w:pStyle w:val="ListNumber2"/>
        <w:ind w:left="641" w:hanging="357"/>
        <w:rPr>
          <w:rFonts w:eastAsia="Arial"/>
        </w:rPr>
      </w:pPr>
      <w:r w:rsidRPr="00BC7352">
        <w:rPr>
          <w:rFonts w:eastAsia="Arial"/>
        </w:rPr>
        <w:t>genomic information is used in an effective, efficient, ethical and timely manner</w:t>
      </w:r>
    </w:p>
    <w:tbl>
      <w:tblPr>
        <w:tblStyle w:val="ListTable3-Accent1"/>
        <w:tblW w:w="5107" w:type="pct"/>
        <w:tblLook w:val="04A0" w:firstRow="1" w:lastRow="0" w:firstColumn="1" w:lastColumn="0" w:noHBand="0" w:noVBand="1"/>
      </w:tblPr>
      <w:tblGrid>
        <w:gridCol w:w="4167"/>
        <w:gridCol w:w="1397"/>
        <w:gridCol w:w="2182"/>
        <w:gridCol w:w="1508"/>
      </w:tblGrid>
      <w:tr w:rsidR="00DD1A52" w:rsidRPr="00944ACA" w14:paraId="342E6377" w14:textId="77777777" w:rsidTr="00DD1A52">
        <w:trPr>
          <w:cnfStyle w:val="100000000000" w:firstRow="1" w:lastRow="0" w:firstColumn="0" w:lastColumn="0" w:oddVBand="0" w:evenVBand="0" w:oddHBand="0" w:evenHBand="0" w:firstRowFirstColumn="0" w:firstRowLastColumn="0" w:lastRowFirstColumn="0" w:lastRowLastColumn="0"/>
          <w:cantSplit/>
          <w:trHeight w:val="283"/>
        </w:trPr>
        <w:tc>
          <w:tcPr>
            <w:cnfStyle w:val="001000000100" w:firstRow="0" w:lastRow="0" w:firstColumn="1" w:lastColumn="0" w:oddVBand="0" w:evenVBand="0" w:oddHBand="0" w:evenHBand="0" w:firstRowFirstColumn="1" w:firstRowLastColumn="0" w:lastRowFirstColumn="0" w:lastRowLastColumn="0"/>
            <w:tcW w:w="2251" w:type="pct"/>
          </w:tcPr>
          <w:p w14:paraId="1639BBC1" w14:textId="3FD0E258" w:rsidR="0007280C" w:rsidRPr="00944ACA" w:rsidRDefault="0007280C" w:rsidP="0007280C">
            <w:pPr>
              <w:spacing w:before="240" w:after="240"/>
              <w:rPr>
                <w:rFonts w:ascii="Aptos" w:eastAsia="Times New Roman" w:hAnsi="Aptos"/>
                <w:spacing w:val="0"/>
                <w:kern w:val="0"/>
                <w:sz w:val="24"/>
                <w:lang w:eastAsia="en-AU"/>
                <w14:ligatures w14:val="none"/>
              </w:rPr>
            </w:pPr>
            <w:r w:rsidRPr="00944ACA">
              <w:rPr>
                <w:rFonts w:ascii="Aptos" w:eastAsia="Times New Roman" w:hAnsi="Aptos"/>
                <w:spacing w:val="0"/>
                <w:kern w:val="0"/>
                <w:sz w:val="24"/>
                <w:lang w:eastAsia="en-AU"/>
                <w14:ligatures w14:val="none"/>
              </w:rPr>
              <w:t xml:space="preserve">National </w:t>
            </w:r>
            <w:r w:rsidR="00AB1B96" w:rsidRPr="00944ACA">
              <w:rPr>
                <w:rFonts w:ascii="Aptos" w:eastAsia="Times New Roman" w:hAnsi="Aptos"/>
                <w:spacing w:val="0"/>
                <w:kern w:val="0"/>
                <w:sz w:val="24"/>
                <w:lang w:eastAsia="en-AU"/>
                <w14:ligatures w14:val="none"/>
              </w:rPr>
              <w:t>Activit</w:t>
            </w:r>
            <w:r w:rsidR="00AB1B96">
              <w:rPr>
                <w:rFonts w:ascii="Aptos" w:eastAsia="Times New Roman" w:hAnsi="Aptos"/>
                <w:spacing w:val="0"/>
                <w:kern w:val="0"/>
                <w:sz w:val="24"/>
                <w:lang w:eastAsia="en-AU"/>
                <w14:ligatures w14:val="none"/>
              </w:rPr>
              <w:t>y</w:t>
            </w:r>
          </w:p>
        </w:tc>
        <w:tc>
          <w:tcPr>
            <w:tcW w:w="755" w:type="pct"/>
          </w:tcPr>
          <w:p w14:paraId="3FE4970E" w14:textId="77777777" w:rsidR="0007280C" w:rsidRPr="00944ACA" w:rsidRDefault="0007280C" w:rsidP="0007280C">
            <w:pPr>
              <w:spacing w:before="240" w:after="240"/>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spacing w:val="0"/>
                <w:kern w:val="0"/>
                <w:sz w:val="24"/>
                <w:lang w:eastAsia="en-AU"/>
                <w14:ligatures w14:val="none"/>
              </w:rPr>
            </w:pPr>
            <w:r w:rsidRPr="00944ACA">
              <w:rPr>
                <w:rFonts w:ascii="Aptos" w:eastAsia="Times New Roman" w:hAnsi="Aptos"/>
                <w:spacing w:val="0"/>
                <w:kern w:val="0"/>
                <w:sz w:val="24"/>
                <w:lang w:eastAsia="en-AU"/>
                <w14:ligatures w14:val="none"/>
              </w:rPr>
              <w:t>Timeframe</w:t>
            </w:r>
          </w:p>
        </w:tc>
        <w:tc>
          <w:tcPr>
            <w:tcW w:w="1179" w:type="pct"/>
          </w:tcPr>
          <w:p w14:paraId="3F83D9EA" w14:textId="4B88241B" w:rsidR="0007280C" w:rsidRPr="00944ACA" w:rsidRDefault="0007280C" w:rsidP="0007280C">
            <w:pPr>
              <w:spacing w:before="240" w:after="240"/>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spacing w:val="0"/>
                <w:kern w:val="0"/>
                <w:sz w:val="24"/>
                <w:lang w:eastAsia="en-AU"/>
                <w14:ligatures w14:val="none"/>
              </w:rPr>
            </w:pPr>
            <w:r>
              <w:rPr>
                <w:rFonts w:ascii="Aptos" w:eastAsia="Times New Roman" w:hAnsi="Aptos"/>
                <w:spacing w:val="0"/>
                <w:kern w:val="0"/>
                <w:sz w:val="24"/>
                <w:lang w:eastAsia="en-AU"/>
                <w14:ligatures w14:val="none"/>
              </w:rPr>
              <w:t>Responsible for Coordination</w:t>
            </w:r>
          </w:p>
        </w:tc>
        <w:tc>
          <w:tcPr>
            <w:tcW w:w="815" w:type="pct"/>
          </w:tcPr>
          <w:p w14:paraId="404BBA14" w14:textId="77777777" w:rsidR="0007280C" w:rsidRPr="00944ACA" w:rsidRDefault="0007280C" w:rsidP="0007280C">
            <w:pPr>
              <w:spacing w:before="240" w:after="240"/>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spacing w:val="0"/>
                <w:kern w:val="0"/>
                <w:sz w:val="24"/>
                <w:lang w:eastAsia="en-AU"/>
                <w14:ligatures w14:val="none"/>
              </w:rPr>
            </w:pPr>
            <w:r w:rsidRPr="00944ACA">
              <w:rPr>
                <w:rFonts w:ascii="Aptos" w:eastAsia="Times New Roman" w:hAnsi="Aptos"/>
                <w:spacing w:val="0"/>
                <w:kern w:val="0"/>
                <w:sz w:val="24"/>
                <w:lang w:eastAsia="en-AU"/>
                <w14:ligatures w14:val="none"/>
              </w:rPr>
              <w:t>Priority</w:t>
            </w:r>
          </w:p>
        </w:tc>
      </w:tr>
      <w:tr w:rsidR="00DD1A52" w:rsidRPr="00944ACA" w14:paraId="7FDEB26E" w14:textId="77777777" w:rsidTr="00DD1A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251" w:type="pct"/>
            <w:shd w:val="clear" w:color="auto" w:fill="auto"/>
          </w:tcPr>
          <w:p w14:paraId="6A613098" w14:textId="0A589AC5" w:rsidR="0007280C" w:rsidRDefault="0007280C" w:rsidP="0007280C">
            <w:pPr>
              <w:spacing w:before="240" w:after="240"/>
              <w:rPr>
                <w:rFonts w:ascii="Aptos" w:hAnsi="Aptos"/>
                <w:sz w:val="24"/>
              </w:rPr>
            </w:pPr>
            <w:bookmarkStart w:id="64" w:name="Activity_3_1_1"/>
            <w:r w:rsidRPr="00944ACA">
              <w:rPr>
                <w:rFonts w:ascii="Aptos" w:eastAsia="Times New Roman" w:hAnsi="Aptos"/>
                <w:b w:val="0"/>
                <w:bCs w:val="0"/>
                <w:spacing w:val="0"/>
                <w:kern w:val="0"/>
                <w:sz w:val="24"/>
                <w:lang w:eastAsia="en-AU"/>
                <w14:ligatures w14:val="none"/>
              </w:rPr>
              <w:t xml:space="preserve">3.1.1 </w:t>
            </w:r>
            <w:bookmarkEnd w:id="64"/>
            <w:r w:rsidRPr="00321436">
              <w:rPr>
                <w:rFonts w:ascii="Aptos" w:hAnsi="Aptos"/>
                <w:b w:val="0"/>
                <w:bCs w:val="0"/>
                <w:sz w:val="24"/>
              </w:rPr>
              <w:t>—</w:t>
            </w:r>
            <w:r>
              <w:rPr>
                <w:rFonts w:ascii="Aptos" w:hAnsi="Aptos"/>
                <w:b w:val="0"/>
                <w:bCs w:val="0"/>
                <w:sz w:val="24"/>
              </w:rPr>
              <w:t xml:space="preserve"> U</w:t>
            </w:r>
            <w:r w:rsidRPr="00944ACA">
              <w:rPr>
                <w:rFonts w:ascii="Aptos" w:hAnsi="Aptos"/>
                <w:b w:val="0"/>
                <w:bCs w:val="0"/>
                <w:sz w:val="24"/>
              </w:rPr>
              <w:t>nderta</w:t>
            </w:r>
            <w:r>
              <w:rPr>
                <w:rFonts w:ascii="Aptos" w:hAnsi="Aptos"/>
                <w:b w:val="0"/>
                <w:bCs w:val="0"/>
                <w:sz w:val="24"/>
              </w:rPr>
              <w:t>ke</w:t>
            </w:r>
            <w:r w:rsidRPr="00944ACA">
              <w:rPr>
                <w:rFonts w:ascii="Aptos" w:hAnsi="Aptos"/>
                <w:b w:val="0"/>
                <w:bCs w:val="0"/>
                <w:sz w:val="24"/>
              </w:rPr>
              <w:t xml:space="preserve"> a current state analysis</w:t>
            </w:r>
            <w:r>
              <w:rPr>
                <w:rFonts w:ascii="Aptos" w:hAnsi="Aptos"/>
                <w:b w:val="0"/>
                <w:bCs w:val="0"/>
                <w:sz w:val="24"/>
              </w:rPr>
              <w:t xml:space="preserve"> and evaluation</w:t>
            </w:r>
            <w:r w:rsidRPr="00944ACA">
              <w:rPr>
                <w:rFonts w:ascii="Aptos" w:hAnsi="Aptos"/>
                <w:b w:val="0"/>
                <w:bCs w:val="0"/>
                <w:sz w:val="24"/>
              </w:rPr>
              <w:t xml:space="preserve"> of </w:t>
            </w:r>
            <w:hyperlink w:anchor="_Genomic_information_management" w:history="1">
              <w:r w:rsidRPr="00785645">
                <w:rPr>
                  <w:rStyle w:val="Hyperlink"/>
                  <w:b w:val="0"/>
                  <w:bCs w:val="0"/>
                  <w:sz w:val="24"/>
                </w:rPr>
                <w:t>genomic information management</w:t>
              </w:r>
            </w:hyperlink>
            <w:r w:rsidRPr="00944ACA">
              <w:rPr>
                <w:rFonts w:ascii="Aptos" w:hAnsi="Aptos"/>
                <w:b w:val="0"/>
                <w:bCs w:val="0"/>
                <w:sz w:val="24"/>
              </w:rPr>
              <w:t xml:space="preserve"> practices and infrastructure in Australia</w:t>
            </w:r>
            <w:r>
              <w:rPr>
                <w:rFonts w:ascii="Aptos" w:hAnsi="Aptos"/>
                <w:b w:val="0"/>
                <w:bCs w:val="0"/>
                <w:sz w:val="24"/>
              </w:rPr>
              <w:t xml:space="preserve">, </w:t>
            </w:r>
            <w:r w:rsidRPr="336391F5">
              <w:rPr>
                <w:rFonts w:ascii="Aptos" w:hAnsi="Aptos"/>
                <w:b w:val="0"/>
                <w:bCs w:val="0"/>
                <w:sz w:val="24"/>
              </w:rPr>
              <w:t>considering</w:t>
            </w:r>
            <w:r>
              <w:rPr>
                <w:rFonts w:ascii="Aptos" w:hAnsi="Aptos"/>
                <w:b w:val="0"/>
                <w:bCs w:val="0"/>
                <w:sz w:val="24"/>
              </w:rPr>
              <w:t xml:space="preserve"> the</w:t>
            </w:r>
            <w:r w:rsidRPr="00944ACA">
              <w:rPr>
                <w:rFonts w:ascii="Aptos" w:hAnsi="Aptos"/>
                <w:b w:val="0"/>
                <w:bCs w:val="0"/>
                <w:sz w:val="24"/>
              </w:rPr>
              <w:t xml:space="preserve"> capability and capacity of Australian clinical</w:t>
            </w:r>
            <w:r>
              <w:rPr>
                <w:rFonts w:ascii="Aptos" w:hAnsi="Aptos"/>
                <w:b w:val="0"/>
                <w:bCs w:val="0"/>
                <w:sz w:val="24"/>
              </w:rPr>
              <w:t xml:space="preserve"> and research</w:t>
            </w:r>
            <w:r w:rsidRPr="00944ACA">
              <w:rPr>
                <w:rFonts w:ascii="Aptos" w:hAnsi="Aptos"/>
                <w:b w:val="0"/>
                <w:bCs w:val="0"/>
                <w:sz w:val="24"/>
              </w:rPr>
              <w:t xml:space="preserve"> laboratories and linked health systems</w:t>
            </w:r>
            <w:r>
              <w:rPr>
                <w:rFonts w:ascii="Aptos" w:hAnsi="Aptos"/>
                <w:b w:val="0"/>
                <w:bCs w:val="0"/>
                <w:sz w:val="24"/>
              </w:rPr>
              <w:t xml:space="preserve"> to:</w:t>
            </w:r>
          </w:p>
          <w:p w14:paraId="1CEC45D7" w14:textId="1C785057" w:rsidR="0007280C" w:rsidRPr="0069120C" w:rsidRDefault="0007280C" w:rsidP="0069120C">
            <w:pPr>
              <w:pStyle w:val="ListParagraph"/>
              <w:numPr>
                <w:ilvl w:val="0"/>
                <w:numId w:val="11"/>
              </w:numPr>
              <w:spacing w:before="240" w:after="240"/>
              <w:rPr>
                <w:rFonts w:ascii="Aptos" w:hAnsi="Aptos"/>
                <w:b w:val="0"/>
                <w:bCs w:val="0"/>
                <w:sz w:val="24"/>
              </w:rPr>
            </w:pPr>
            <w:r w:rsidRPr="0069120C">
              <w:rPr>
                <w:rFonts w:ascii="Aptos" w:hAnsi="Aptos"/>
                <w:b w:val="0"/>
                <w:bCs w:val="0"/>
                <w:sz w:val="24"/>
              </w:rPr>
              <w:t xml:space="preserve">obtain, record and support patient withdrawal of consent </w:t>
            </w:r>
          </w:p>
          <w:p w14:paraId="3A88C327" w14:textId="74C5312B" w:rsidR="0007280C" w:rsidRPr="0069120C" w:rsidRDefault="0007280C" w:rsidP="0069120C">
            <w:pPr>
              <w:pStyle w:val="ListParagraph"/>
              <w:numPr>
                <w:ilvl w:val="0"/>
                <w:numId w:val="11"/>
              </w:numPr>
              <w:spacing w:before="240" w:after="240"/>
              <w:rPr>
                <w:rFonts w:ascii="Aptos" w:hAnsi="Aptos"/>
                <w:b w:val="0"/>
                <w:bCs w:val="0"/>
                <w:sz w:val="24"/>
              </w:rPr>
            </w:pPr>
            <w:r w:rsidRPr="0069120C">
              <w:rPr>
                <w:rFonts w:ascii="Aptos" w:hAnsi="Aptos"/>
                <w:b w:val="0"/>
                <w:bCs w:val="0"/>
                <w:sz w:val="24"/>
              </w:rPr>
              <w:t xml:space="preserve">collect, manage, govern, store, use and share biological specimens, genomic information, and other related data. </w:t>
            </w:r>
          </w:p>
          <w:p w14:paraId="72AA89AB" w14:textId="5CBF861C" w:rsidR="0007280C" w:rsidRPr="00944ACA" w:rsidRDefault="0007280C" w:rsidP="0007280C">
            <w:pPr>
              <w:spacing w:before="240" w:after="240"/>
              <w:rPr>
                <w:rFonts w:ascii="Aptos" w:eastAsia="Times New Roman" w:hAnsi="Aptos"/>
                <w:b w:val="0"/>
                <w:bCs w:val="0"/>
                <w:spacing w:val="0"/>
                <w:kern w:val="0"/>
                <w:sz w:val="24"/>
                <w:lang w:eastAsia="en-AU"/>
                <w14:ligatures w14:val="none"/>
              </w:rPr>
            </w:pPr>
            <w:r w:rsidRPr="00944ACA">
              <w:rPr>
                <w:rFonts w:ascii="Aptos" w:hAnsi="Aptos"/>
                <w:b w:val="0"/>
                <w:bCs w:val="0"/>
                <w:sz w:val="24"/>
              </w:rPr>
              <w:t xml:space="preserve">This will consider </w:t>
            </w:r>
            <w:r>
              <w:rPr>
                <w:rFonts w:ascii="Aptos" w:hAnsi="Aptos"/>
                <w:b w:val="0"/>
                <w:bCs w:val="0"/>
                <w:sz w:val="24"/>
              </w:rPr>
              <w:t>l</w:t>
            </w:r>
            <w:r w:rsidRPr="00944ACA">
              <w:rPr>
                <w:rFonts w:ascii="Aptos" w:hAnsi="Aptos"/>
                <w:b w:val="0"/>
                <w:bCs w:val="0"/>
                <w:sz w:val="24"/>
              </w:rPr>
              <w:t>egal, regulatory and accreditation aspects that underpin practices in</w:t>
            </w:r>
            <w:r>
              <w:rPr>
                <w:rFonts w:ascii="Aptos" w:hAnsi="Aptos"/>
                <w:b w:val="0"/>
                <w:bCs w:val="0"/>
                <w:sz w:val="24"/>
              </w:rPr>
              <w:t xml:space="preserve"> health care and</w:t>
            </w:r>
            <w:r w:rsidRPr="00944ACA">
              <w:rPr>
                <w:rFonts w:ascii="Aptos" w:hAnsi="Aptos"/>
                <w:b w:val="0"/>
                <w:bCs w:val="0"/>
                <w:sz w:val="24"/>
              </w:rPr>
              <w:t xml:space="preserve"> research</w:t>
            </w:r>
            <w:r>
              <w:rPr>
                <w:rFonts w:ascii="Aptos" w:hAnsi="Aptos"/>
                <w:b w:val="0"/>
                <w:bCs w:val="0"/>
                <w:sz w:val="24"/>
              </w:rPr>
              <w:t>.</w:t>
            </w:r>
          </w:p>
        </w:tc>
        <w:tc>
          <w:tcPr>
            <w:tcW w:w="755" w:type="pct"/>
            <w:shd w:val="clear" w:color="auto" w:fill="auto"/>
          </w:tcPr>
          <w:p w14:paraId="1370633A" w14:textId="409B59B2" w:rsidR="0007280C" w:rsidRPr="00944ACA"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spacing w:val="0"/>
                <w:kern w:val="0"/>
                <w:sz w:val="24"/>
                <w:lang w:eastAsia="en-AU"/>
                <w14:ligatures w14:val="none"/>
              </w:rPr>
            </w:pPr>
          </w:p>
        </w:tc>
        <w:tc>
          <w:tcPr>
            <w:tcW w:w="1179" w:type="pct"/>
            <w:shd w:val="clear" w:color="auto" w:fill="auto"/>
          </w:tcPr>
          <w:p w14:paraId="599B7685" w14:textId="16D27C73" w:rsidR="0007280C" w:rsidRPr="00944ACA"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spacing w:val="0"/>
                <w:kern w:val="0"/>
                <w:sz w:val="24"/>
                <w:lang w:eastAsia="en-AU"/>
                <w14:ligatures w14:val="none"/>
              </w:rPr>
            </w:pPr>
          </w:p>
        </w:tc>
        <w:tc>
          <w:tcPr>
            <w:tcW w:w="815" w:type="pct"/>
            <w:shd w:val="clear" w:color="auto" w:fill="auto"/>
          </w:tcPr>
          <w:p w14:paraId="3C1EACF9" w14:textId="3CEBE41F" w:rsidR="0007280C" w:rsidRPr="00944ACA"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spacing w:val="0"/>
                <w:kern w:val="0"/>
                <w:sz w:val="24"/>
                <w:lang w:eastAsia="en-AU"/>
                <w14:ligatures w14:val="none"/>
              </w:rPr>
            </w:pPr>
          </w:p>
        </w:tc>
      </w:tr>
      <w:tr w:rsidR="00DD1A52" w:rsidRPr="00944ACA" w14:paraId="30A7649A" w14:textId="77777777" w:rsidTr="00DD1A52">
        <w:trPr>
          <w:cantSplit/>
          <w:trHeight w:val="300"/>
        </w:trPr>
        <w:tc>
          <w:tcPr>
            <w:cnfStyle w:val="001000000000" w:firstRow="0" w:lastRow="0" w:firstColumn="1" w:lastColumn="0" w:oddVBand="0" w:evenVBand="0" w:oddHBand="0" w:evenHBand="0" w:firstRowFirstColumn="0" w:firstRowLastColumn="0" w:lastRowFirstColumn="0" w:lastRowLastColumn="0"/>
            <w:tcW w:w="2251" w:type="pct"/>
            <w:shd w:val="clear" w:color="auto" w:fill="auto"/>
          </w:tcPr>
          <w:p w14:paraId="7131BEB0" w14:textId="52FBE76C" w:rsidR="0007280C" w:rsidRPr="00944ACA" w:rsidRDefault="0007280C" w:rsidP="0007280C">
            <w:pPr>
              <w:spacing w:before="240" w:after="240"/>
              <w:rPr>
                <w:rFonts w:ascii="Aptos" w:hAnsi="Aptos"/>
                <w:sz w:val="24"/>
                <w:lang w:eastAsia="en-AU"/>
              </w:rPr>
            </w:pPr>
            <w:r w:rsidRPr="00944ACA">
              <w:rPr>
                <w:rFonts w:ascii="Aptos" w:eastAsia="Times New Roman" w:hAnsi="Aptos"/>
                <w:b w:val="0"/>
                <w:bCs w:val="0"/>
                <w:spacing w:val="0"/>
                <w:kern w:val="0"/>
                <w:sz w:val="24"/>
                <w:lang w:eastAsia="en-AU"/>
                <w14:ligatures w14:val="none"/>
              </w:rPr>
              <w:lastRenderedPageBreak/>
              <w:t xml:space="preserve">3.1.2 </w:t>
            </w:r>
            <w:r w:rsidRPr="00321436">
              <w:rPr>
                <w:rFonts w:ascii="Aptos" w:hAnsi="Aptos"/>
                <w:b w:val="0"/>
                <w:bCs w:val="0"/>
                <w:sz w:val="24"/>
              </w:rPr>
              <w:t>—</w:t>
            </w:r>
            <w:r>
              <w:rPr>
                <w:rFonts w:ascii="Aptos" w:hAnsi="Aptos"/>
                <w:b w:val="0"/>
                <w:bCs w:val="0"/>
                <w:sz w:val="24"/>
              </w:rPr>
              <w:t xml:space="preserve"> </w:t>
            </w:r>
            <w:r w:rsidRPr="00944ACA">
              <w:rPr>
                <w:rFonts w:ascii="Aptos" w:hAnsi="Aptos"/>
                <w:b w:val="0"/>
                <w:bCs w:val="0"/>
                <w:sz w:val="24"/>
              </w:rPr>
              <w:t>Use the current state analysis of genomic information management practices and infrastructure in Australia</w:t>
            </w:r>
            <w:r w:rsidR="002E1F34">
              <w:rPr>
                <w:rFonts w:ascii="Aptos" w:hAnsi="Aptos"/>
                <w:b w:val="0"/>
                <w:bCs w:val="0"/>
                <w:sz w:val="24"/>
              </w:rPr>
              <w:t xml:space="preserve"> (</w:t>
            </w:r>
            <w:hyperlink w:anchor="Activity_3_1_1" w:history="1">
              <w:r w:rsidR="002E1F34" w:rsidRPr="002E1F34">
                <w:rPr>
                  <w:rStyle w:val="Hyperlink"/>
                  <w:b w:val="0"/>
                  <w:bCs w:val="0"/>
                  <w:sz w:val="24"/>
                </w:rPr>
                <w:t>Activity 3.1.1</w:t>
              </w:r>
            </w:hyperlink>
            <w:r w:rsidR="002E1F34">
              <w:rPr>
                <w:rFonts w:ascii="Aptos" w:hAnsi="Aptos"/>
                <w:b w:val="0"/>
                <w:bCs w:val="0"/>
                <w:sz w:val="24"/>
              </w:rPr>
              <w:t>)</w:t>
            </w:r>
            <w:r w:rsidRPr="00944ACA">
              <w:rPr>
                <w:rFonts w:ascii="Aptos" w:hAnsi="Aptos"/>
                <w:b w:val="0"/>
                <w:bCs w:val="0"/>
                <w:sz w:val="24"/>
              </w:rPr>
              <w:t xml:space="preserve"> to develop </w:t>
            </w:r>
            <w:r>
              <w:rPr>
                <w:rFonts w:ascii="Aptos" w:hAnsi="Aptos"/>
                <w:b w:val="0"/>
                <w:bCs w:val="0"/>
                <w:sz w:val="24"/>
              </w:rPr>
              <w:t xml:space="preserve"> culturally informed,</w:t>
            </w:r>
            <w:r w:rsidRPr="00944ACA">
              <w:rPr>
                <w:rFonts w:ascii="Aptos" w:hAnsi="Aptos"/>
                <w:b w:val="0"/>
                <w:bCs w:val="0"/>
                <w:sz w:val="24"/>
              </w:rPr>
              <w:t xml:space="preserve"> future-proof and sustainable principles- and standards-based national approach</w:t>
            </w:r>
            <w:r>
              <w:rPr>
                <w:rFonts w:ascii="Aptos" w:hAnsi="Aptos"/>
                <w:b w:val="0"/>
                <w:bCs w:val="0"/>
                <w:sz w:val="24"/>
              </w:rPr>
              <w:t>es</w:t>
            </w:r>
            <w:r w:rsidRPr="00944ACA">
              <w:rPr>
                <w:rFonts w:ascii="Aptos" w:hAnsi="Aptos"/>
                <w:b w:val="0"/>
                <w:bCs w:val="0"/>
                <w:sz w:val="24"/>
              </w:rPr>
              <w:t xml:space="preserve"> to genomic biological specimen and information management </w:t>
            </w:r>
            <w:r>
              <w:rPr>
                <w:rFonts w:ascii="Aptos" w:hAnsi="Aptos"/>
                <w:b w:val="0"/>
                <w:bCs w:val="0"/>
                <w:sz w:val="24"/>
              </w:rPr>
              <w:t xml:space="preserve"> in clinical settings and for research funded by Australian governments</w:t>
            </w:r>
            <w:r w:rsidRPr="00944ACA">
              <w:rPr>
                <w:rFonts w:ascii="Aptos" w:hAnsi="Aptos"/>
                <w:b w:val="0"/>
                <w:bCs w:val="0"/>
                <w:sz w:val="24"/>
              </w:rPr>
              <w:t>, that include interoperability, security and privacy standards.</w:t>
            </w:r>
          </w:p>
        </w:tc>
        <w:tc>
          <w:tcPr>
            <w:tcW w:w="755" w:type="pct"/>
            <w:shd w:val="clear" w:color="auto" w:fill="auto"/>
          </w:tcPr>
          <w:p w14:paraId="1C6D664B" w14:textId="77777777" w:rsidR="0007280C" w:rsidRPr="00944ACA"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rPr>
            </w:pPr>
          </w:p>
        </w:tc>
        <w:tc>
          <w:tcPr>
            <w:tcW w:w="1179" w:type="pct"/>
            <w:shd w:val="clear" w:color="auto" w:fill="auto"/>
          </w:tcPr>
          <w:p w14:paraId="2BFA0491" w14:textId="77777777" w:rsidR="0007280C" w:rsidRPr="00944ACA"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lang w:eastAsia="en-AU"/>
              </w:rPr>
            </w:pPr>
          </w:p>
        </w:tc>
        <w:tc>
          <w:tcPr>
            <w:tcW w:w="815" w:type="pct"/>
            <w:shd w:val="clear" w:color="auto" w:fill="auto"/>
          </w:tcPr>
          <w:p w14:paraId="318E06CB" w14:textId="77777777" w:rsidR="0007280C" w:rsidRPr="00944ACA"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rPr>
            </w:pPr>
          </w:p>
        </w:tc>
      </w:tr>
      <w:tr w:rsidR="00DD1A52" w:rsidRPr="00944ACA" w14:paraId="7B86733A" w14:textId="77777777" w:rsidTr="00DD1A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251" w:type="pct"/>
            <w:shd w:val="clear" w:color="auto" w:fill="auto"/>
          </w:tcPr>
          <w:p w14:paraId="35293B65" w14:textId="60B071BB" w:rsidR="0007280C" w:rsidRPr="00944ACA" w:rsidRDefault="0007280C" w:rsidP="0007280C">
            <w:pPr>
              <w:spacing w:before="240" w:after="240"/>
              <w:rPr>
                <w:rFonts w:ascii="Aptos" w:hAnsi="Aptos"/>
                <w:sz w:val="24"/>
                <w:lang w:eastAsia="en-AU"/>
              </w:rPr>
            </w:pPr>
            <w:r w:rsidRPr="00944ACA">
              <w:rPr>
                <w:rFonts w:ascii="Aptos" w:hAnsi="Aptos"/>
                <w:b w:val="0"/>
                <w:bCs w:val="0"/>
                <w:sz w:val="24"/>
              </w:rPr>
              <w:t>3.1.</w:t>
            </w:r>
            <w:r>
              <w:rPr>
                <w:rFonts w:ascii="Aptos" w:hAnsi="Aptos"/>
                <w:b w:val="0"/>
                <w:bCs w:val="0"/>
                <w:sz w:val="24"/>
              </w:rPr>
              <w:t>3</w:t>
            </w:r>
            <w:r w:rsidRPr="00944ACA">
              <w:rPr>
                <w:rFonts w:ascii="Aptos" w:hAnsi="Aptos"/>
                <w:b w:val="0"/>
                <w:bCs w:val="0"/>
                <w:sz w:val="24"/>
              </w:rPr>
              <w:t xml:space="preserve"> </w:t>
            </w:r>
            <w:r w:rsidRPr="00321436">
              <w:rPr>
                <w:rFonts w:ascii="Aptos" w:hAnsi="Aptos"/>
                <w:b w:val="0"/>
                <w:bCs w:val="0"/>
                <w:sz w:val="24"/>
              </w:rPr>
              <w:t>—</w:t>
            </w:r>
            <w:r>
              <w:rPr>
                <w:rFonts w:ascii="Aptos" w:hAnsi="Aptos"/>
                <w:b w:val="0"/>
                <w:bCs w:val="0"/>
                <w:sz w:val="24"/>
              </w:rPr>
              <w:t xml:space="preserve"> Identify community preferences on genomic information sharing between clinical and research settings, considering the ethical, legal, and policy barriers which would need to be overcome to support the development of a national approach to genomic information sharing. </w:t>
            </w:r>
          </w:p>
        </w:tc>
        <w:tc>
          <w:tcPr>
            <w:tcW w:w="755" w:type="pct"/>
            <w:shd w:val="clear" w:color="auto" w:fill="auto"/>
          </w:tcPr>
          <w:p w14:paraId="09D86AC9" w14:textId="77777777" w:rsidR="0007280C" w:rsidRPr="00944ACA"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rPr>
            </w:pPr>
          </w:p>
        </w:tc>
        <w:tc>
          <w:tcPr>
            <w:tcW w:w="1179" w:type="pct"/>
            <w:shd w:val="clear" w:color="auto" w:fill="auto"/>
          </w:tcPr>
          <w:p w14:paraId="4E85535F" w14:textId="77777777" w:rsidR="0007280C" w:rsidRPr="00944ACA"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lang w:eastAsia="en-AU"/>
              </w:rPr>
            </w:pPr>
          </w:p>
        </w:tc>
        <w:tc>
          <w:tcPr>
            <w:tcW w:w="815" w:type="pct"/>
            <w:shd w:val="clear" w:color="auto" w:fill="auto"/>
          </w:tcPr>
          <w:p w14:paraId="6BDC3FBF" w14:textId="77777777" w:rsidR="0007280C" w:rsidRPr="00944ACA"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rPr>
            </w:pPr>
          </w:p>
        </w:tc>
      </w:tr>
      <w:tr w:rsidR="00DD1A52" w:rsidRPr="00944ACA" w14:paraId="165CAE28" w14:textId="77777777" w:rsidTr="00DD1A52">
        <w:trPr>
          <w:cantSplit/>
          <w:trHeight w:val="300"/>
        </w:trPr>
        <w:tc>
          <w:tcPr>
            <w:cnfStyle w:val="001000000000" w:firstRow="0" w:lastRow="0" w:firstColumn="1" w:lastColumn="0" w:oddVBand="0" w:evenVBand="0" w:oddHBand="0" w:evenHBand="0" w:firstRowFirstColumn="0" w:firstRowLastColumn="0" w:lastRowFirstColumn="0" w:lastRowLastColumn="0"/>
            <w:tcW w:w="2251" w:type="pct"/>
            <w:shd w:val="clear" w:color="auto" w:fill="auto"/>
          </w:tcPr>
          <w:p w14:paraId="5BAEABC0" w14:textId="500237D4" w:rsidR="0007280C" w:rsidRPr="004F0224" w:rsidRDefault="0007280C" w:rsidP="004F0224">
            <w:pPr>
              <w:spacing w:before="240" w:after="240"/>
              <w:rPr>
                <w:rFonts w:ascii="Aptos" w:hAnsi="Aptos"/>
                <w:sz w:val="24"/>
                <w:lang w:eastAsia="en-AU"/>
              </w:rPr>
            </w:pPr>
            <w:r w:rsidRPr="00057939">
              <w:rPr>
                <w:rFonts w:ascii="Aptos" w:hAnsi="Aptos"/>
                <w:b w:val="0"/>
                <w:bCs w:val="0"/>
                <w:sz w:val="24"/>
              </w:rPr>
              <w:t>3.1.</w:t>
            </w:r>
            <w:r w:rsidR="003E666C" w:rsidRPr="00057939">
              <w:rPr>
                <w:rFonts w:ascii="Aptos" w:hAnsi="Aptos"/>
                <w:b w:val="0"/>
                <w:bCs w:val="0"/>
                <w:sz w:val="24"/>
              </w:rPr>
              <w:t>4</w:t>
            </w:r>
            <w:r w:rsidRPr="00057939">
              <w:rPr>
                <w:rFonts w:ascii="Aptos" w:hAnsi="Aptos"/>
                <w:b w:val="0"/>
                <w:bCs w:val="0"/>
                <w:sz w:val="24"/>
              </w:rPr>
              <w:t xml:space="preserve"> — </w:t>
            </w:r>
            <w:r w:rsidR="00D445DE" w:rsidRPr="00057939">
              <w:rPr>
                <w:rFonts w:ascii="Aptos" w:hAnsi="Aptos"/>
                <w:b w:val="0"/>
                <w:bCs w:val="0"/>
                <w:sz w:val="24"/>
              </w:rPr>
              <w:t xml:space="preserve">Encourage consideration of </w:t>
            </w:r>
            <w:r w:rsidR="004F0224" w:rsidRPr="00057939">
              <w:rPr>
                <w:rFonts w:ascii="Aptos" w:hAnsi="Aptos"/>
                <w:b w:val="0"/>
                <w:bCs w:val="0"/>
                <w:sz w:val="24"/>
              </w:rPr>
              <w:t>genomics as part of broader sector and Australian governments considerations of best practices and regulations related to cyber security frameworks and safeguards.</w:t>
            </w:r>
          </w:p>
        </w:tc>
        <w:tc>
          <w:tcPr>
            <w:tcW w:w="755" w:type="pct"/>
            <w:shd w:val="clear" w:color="auto" w:fill="auto"/>
          </w:tcPr>
          <w:p w14:paraId="56FFB945" w14:textId="77777777" w:rsidR="0007280C" w:rsidRPr="00944ACA"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rPr>
            </w:pPr>
          </w:p>
        </w:tc>
        <w:tc>
          <w:tcPr>
            <w:tcW w:w="1179" w:type="pct"/>
            <w:shd w:val="clear" w:color="auto" w:fill="auto"/>
          </w:tcPr>
          <w:p w14:paraId="2B7361B6" w14:textId="77777777" w:rsidR="0007280C" w:rsidRPr="00944ACA"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lang w:eastAsia="en-AU"/>
              </w:rPr>
            </w:pPr>
          </w:p>
        </w:tc>
        <w:tc>
          <w:tcPr>
            <w:tcW w:w="815" w:type="pct"/>
            <w:shd w:val="clear" w:color="auto" w:fill="auto"/>
          </w:tcPr>
          <w:p w14:paraId="04784E33" w14:textId="77777777" w:rsidR="0007280C" w:rsidRPr="00944ACA"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rPr>
            </w:pPr>
          </w:p>
        </w:tc>
      </w:tr>
      <w:tr w:rsidR="00DD1A52" w:rsidRPr="00944ACA" w14:paraId="17473C46" w14:textId="77777777" w:rsidTr="00DD1A5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251" w:type="pct"/>
            <w:shd w:val="clear" w:color="auto" w:fill="auto"/>
          </w:tcPr>
          <w:p w14:paraId="25B2B7A3" w14:textId="17A512EE" w:rsidR="0007280C" w:rsidRPr="00944ACA" w:rsidRDefault="0007280C" w:rsidP="0007280C">
            <w:pPr>
              <w:spacing w:before="240" w:after="240"/>
              <w:rPr>
                <w:rFonts w:ascii="Aptos" w:hAnsi="Aptos"/>
                <w:sz w:val="24"/>
                <w:lang w:eastAsia="en-AU"/>
              </w:rPr>
            </w:pPr>
            <w:r w:rsidRPr="00944ACA">
              <w:rPr>
                <w:rFonts w:ascii="Aptos" w:hAnsi="Aptos"/>
                <w:b w:val="0"/>
                <w:bCs w:val="0"/>
                <w:sz w:val="24"/>
              </w:rPr>
              <w:t>3.1.</w:t>
            </w:r>
            <w:r w:rsidR="003E666C">
              <w:rPr>
                <w:rFonts w:ascii="Aptos" w:hAnsi="Aptos"/>
                <w:b w:val="0"/>
                <w:bCs w:val="0"/>
                <w:sz w:val="24"/>
              </w:rPr>
              <w:t>5</w:t>
            </w:r>
            <w:r w:rsidRPr="00944ACA">
              <w:rPr>
                <w:rFonts w:ascii="Aptos" w:hAnsi="Aptos"/>
                <w:b w:val="0"/>
                <w:bCs w:val="0"/>
                <w:sz w:val="24"/>
              </w:rPr>
              <w:t xml:space="preserve"> </w:t>
            </w:r>
            <w:r w:rsidRPr="00321436">
              <w:rPr>
                <w:rFonts w:ascii="Aptos" w:hAnsi="Aptos"/>
                <w:b w:val="0"/>
                <w:bCs w:val="0"/>
                <w:sz w:val="24"/>
              </w:rPr>
              <w:t>—</w:t>
            </w:r>
            <w:r>
              <w:rPr>
                <w:rFonts w:ascii="Aptos" w:hAnsi="Aptos"/>
                <w:b w:val="0"/>
                <w:bCs w:val="0"/>
                <w:sz w:val="24"/>
              </w:rPr>
              <w:t xml:space="preserve"> Encourage</w:t>
            </w:r>
            <w:r w:rsidRPr="00944ACA">
              <w:rPr>
                <w:rFonts w:ascii="Aptos" w:hAnsi="Aptos"/>
                <w:b w:val="0"/>
                <w:bCs w:val="0"/>
                <w:sz w:val="24"/>
              </w:rPr>
              <w:t xml:space="preserve"> consideration of genomics as part of broader sector and Australian governments considerations of best practices and regulations related to artificial intelligence.</w:t>
            </w:r>
          </w:p>
        </w:tc>
        <w:tc>
          <w:tcPr>
            <w:tcW w:w="755" w:type="pct"/>
            <w:shd w:val="clear" w:color="auto" w:fill="auto"/>
          </w:tcPr>
          <w:p w14:paraId="543BA6DB" w14:textId="77777777" w:rsidR="0007280C" w:rsidRPr="00944ACA"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rPr>
            </w:pPr>
          </w:p>
        </w:tc>
        <w:tc>
          <w:tcPr>
            <w:tcW w:w="1179" w:type="pct"/>
            <w:shd w:val="clear" w:color="auto" w:fill="auto"/>
          </w:tcPr>
          <w:p w14:paraId="0F7CF3B5" w14:textId="77777777" w:rsidR="0007280C" w:rsidRPr="00944ACA"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lang w:eastAsia="en-AU"/>
              </w:rPr>
            </w:pPr>
          </w:p>
        </w:tc>
        <w:tc>
          <w:tcPr>
            <w:tcW w:w="815" w:type="pct"/>
            <w:shd w:val="clear" w:color="auto" w:fill="auto"/>
          </w:tcPr>
          <w:p w14:paraId="479E198E" w14:textId="77777777" w:rsidR="0007280C" w:rsidRPr="00944ACA"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rPr>
            </w:pPr>
          </w:p>
        </w:tc>
      </w:tr>
      <w:tr w:rsidR="00DD1A52" w:rsidRPr="00944ACA" w14:paraId="1CE536BF" w14:textId="77777777" w:rsidTr="00DD1A52">
        <w:trPr>
          <w:cantSplit/>
          <w:trHeight w:val="300"/>
        </w:trPr>
        <w:tc>
          <w:tcPr>
            <w:cnfStyle w:val="001000000000" w:firstRow="0" w:lastRow="0" w:firstColumn="1" w:lastColumn="0" w:oddVBand="0" w:evenVBand="0" w:oddHBand="0" w:evenHBand="0" w:firstRowFirstColumn="0" w:firstRowLastColumn="0" w:lastRowFirstColumn="0" w:lastRowLastColumn="0"/>
            <w:tcW w:w="2251" w:type="pct"/>
            <w:shd w:val="clear" w:color="auto" w:fill="auto"/>
          </w:tcPr>
          <w:p w14:paraId="707FC69D" w14:textId="3AE6B4D7" w:rsidR="0007280C" w:rsidRPr="00944ACA" w:rsidRDefault="0007280C" w:rsidP="0007280C">
            <w:pPr>
              <w:spacing w:before="240" w:after="240"/>
              <w:rPr>
                <w:rFonts w:ascii="Aptos" w:hAnsi="Aptos"/>
                <w:sz w:val="24"/>
                <w:lang w:eastAsia="en-AU"/>
              </w:rPr>
            </w:pPr>
            <w:r w:rsidRPr="00944ACA">
              <w:rPr>
                <w:rFonts w:ascii="Aptos" w:hAnsi="Aptos"/>
                <w:b w:val="0"/>
                <w:bCs w:val="0"/>
                <w:sz w:val="24"/>
              </w:rPr>
              <w:t>3.1.</w:t>
            </w:r>
            <w:r w:rsidR="003E666C">
              <w:rPr>
                <w:rFonts w:ascii="Aptos" w:hAnsi="Aptos"/>
                <w:b w:val="0"/>
                <w:bCs w:val="0"/>
                <w:sz w:val="24"/>
              </w:rPr>
              <w:t>6</w:t>
            </w:r>
            <w:r w:rsidRPr="00944ACA">
              <w:rPr>
                <w:rFonts w:ascii="Aptos" w:hAnsi="Aptos"/>
                <w:b w:val="0"/>
                <w:bCs w:val="0"/>
                <w:sz w:val="24"/>
              </w:rPr>
              <w:t xml:space="preserve"> </w:t>
            </w:r>
            <w:r w:rsidRPr="00321436">
              <w:rPr>
                <w:rFonts w:ascii="Aptos" w:hAnsi="Aptos"/>
                <w:b w:val="0"/>
                <w:bCs w:val="0"/>
                <w:sz w:val="24"/>
              </w:rPr>
              <w:t>—</w:t>
            </w:r>
            <w:r w:rsidRPr="336391F5">
              <w:rPr>
                <w:rFonts w:ascii="Aptos" w:hAnsi="Aptos"/>
                <w:b w:val="0"/>
                <w:bCs w:val="0"/>
                <w:sz w:val="24"/>
              </w:rPr>
              <w:t>Evaluate</w:t>
            </w:r>
            <w:r w:rsidRPr="00944ACA">
              <w:rPr>
                <w:rFonts w:ascii="Aptos" w:hAnsi="Aptos"/>
                <w:b w:val="0"/>
                <w:bCs w:val="0"/>
                <w:sz w:val="24"/>
              </w:rPr>
              <w:t xml:space="preserve"> existing approaches and digital platforms used within Australia and internationally that support the identification and resolution of variant interpretation discrepancies.</w:t>
            </w:r>
            <w:r w:rsidRPr="336391F5">
              <w:rPr>
                <w:rFonts w:ascii="Aptos" w:hAnsi="Aptos"/>
                <w:b w:val="0"/>
                <w:bCs w:val="0"/>
                <w:sz w:val="24"/>
              </w:rPr>
              <w:t xml:space="preserve"> and use of virtual gene panels and reference genomes in research and clinical settings</w:t>
            </w:r>
          </w:p>
        </w:tc>
        <w:tc>
          <w:tcPr>
            <w:tcW w:w="755" w:type="pct"/>
            <w:shd w:val="clear" w:color="auto" w:fill="auto"/>
          </w:tcPr>
          <w:p w14:paraId="70F374EF" w14:textId="77777777" w:rsidR="0007280C" w:rsidRPr="00944ACA"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rPr>
            </w:pPr>
          </w:p>
        </w:tc>
        <w:tc>
          <w:tcPr>
            <w:tcW w:w="1179" w:type="pct"/>
            <w:shd w:val="clear" w:color="auto" w:fill="auto"/>
          </w:tcPr>
          <w:p w14:paraId="46D9F76D" w14:textId="77777777" w:rsidR="0007280C" w:rsidRPr="00944ACA"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lang w:eastAsia="en-AU"/>
              </w:rPr>
            </w:pPr>
          </w:p>
        </w:tc>
        <w:tc>
          <w:tcPr>
            <w:tcW w:w="815" w:type="pct"/>
            <w:shd w:val="clear" w:color="auto" w:fill="auto"/>
          </w:tcPr>
          <w:p w14:paraId="32F5DB27" w14:textId="77777777" w:rsidR="0007280C" w:rsidRPr="00944ACA"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rPr>
            </w:pPr>
          </w:p>
        </w:tc>
      </w:tr>
    </w:tbl>
    <w:p w14:paraId="3FA29A17" w14:textId="40572297" w:rsidR="00E628C8" w:rsidRPr="00944ACA" w:rsidRDefault="00E628C8" w:rsidP="00355345">
      <w:pPr>
        <w:pStyle w:val="Heading2"/>
        <w:rPr>
          <w:rFonts w:eastAsia="MS PGothic"/>
          <w:sz w:val="36"/>
          <w:szCs w:val="36"/>
        </w:rPr>
      </w:pPr>
      <w:bookmarkStart w:id="65" w:name="_Strategic_Priority_4"/>
      <w:bookmarkStart w:id="66" w:name="_Toc198025698"/>
      <w:bookmarkStart w:id="67" w:name="_Hlk195541612"/>
      <w:bookmarkEnd w:id="65"/>
      <w:r w:rsidRPr="00944ACA">
        <w:rPr>
          <w:rFonts w:eastAsia="MS PGothic"/>
          <w:sz w:val="36"/>
          <w:szCs w:val="36"/>
        </w:rPr>
        <w:lastRenderedPageBreak/>
        <w:t>Strategic Priority 4 – Aboriginal and Torres Strait Islander-led Genomics</w:t>
      </w:r>
      <w:bookmarkEnd w:id="66"/>
    </w:p>
    <w:bookmarkEnd w:id="67"/>
    <w:p w14:paraId="425B0797" w14:textId="6248651B" w:rsidR="008018D9" w:rsidRPr="00944ACA" w:rsidRDefault="008018D9" w:rsidP="002B20E8">
      <w:pPr>
        <w:spacing w:after="240"/>
        <w:rPr>
          <w:rFonts w:ascii="Aptos" w:hAnsi="Aptos"/>
          <w:sz w:val="24"/>
        </w:rPr>
      </w:pPr>
      <w:r w:rsidRPr="00944ACA">
        <w:rPr>
          <w:rFonts w:ascii="Aptos" w:hAnsi="Aptos"/>
          <w:sz w:val="24"/>
        </w:rPr>
        <w:t>Australian governments, researchers and clinicians must work in partnerships with Aboriginal and Torres Strait Islander people to ensure trust, cultural safety and to improve equity of access to, and outcomes of, genomics-</w:t>
      </w:r>
      <w:r w:rsidR="00944ACA">
        <w:rPr>
          <w:rFonts w:ascii="Aptos" w:hAnsi="Aptos"/>
          <w:sz w:val="24"/>
        </w:rPr>
        <w:t>inform</w:t>
      </w:r>
      <w:r w:rsidRPr="00944ACA">
        <w:rPr>
          <w:rFonts w:ascii="Aptos" w:hAnsi="Aptos"/>
          <w:sz w:val="24"/>
        </w:rPr>
        <w:t>ed health care, health systems and research.</w:t>
      </w:r>
    </w:p>
    <w:p w14:paraId="3A057991" w14:textId="0E5BB05A" w:rsidR="00BC7352" w:rsidRDefault="008018D9" w:rsidP="002B20E8">
      <w:pPr>
        <w:spacing w:after="240"/>
        <w:rPr>
          <w:rFonts w:ascii="Aptos" w:hAnsi="Aptos"/>
          <w:sz w:val="24"/>
        </w:rPr>
      </w:pPr>
      <w:r w:rsidRPr="00944ACA">
        <w:rPr>
          <w:rFonts w:ascii="Aptos" w:hAnsi="Aptos"/>
          <w:sz w:val="24"/>
        </w:rPr>
        <w:t xml:space="preserve">In the spirit of self-determination and to drive better outcomes, it is essential that Aboriginal and Torres Strait Islander people have agency and are empowered to lead efforts related to </w:t>
      </w:r>
      <w:r w:rsidR="008815E4">
        <w:rPr>
          <w:rFonts w:ascii="Aptos" w:hAnsi="Aptos"/>
          <w:sz w:val="24"/>
        </w:rPr>
        <w:t>integrating</w:t>
      </w:r>
      <w:r w:rsidRPr="00944ACA">
        <w:rPr>
          <w:rFonts w:ascii="Aptos" w:hAnsi="Aptos"/>
          <w:sz w:val="24"/>
        </w:rPr>
        <w:t xml:space="preserve"> genomics</w:t>
      </w:r>
      <w:r w:rsidR="008815E4">
        <w:rPr>
          <w:rFonts w:ascii="Aptos" w:hAnsi="Aptos"/>
          <w:sz w:val="24"/>
        </w:rPr>
        <w:t xml:space="preserve"> into the health system</w:t>
      </w:r>
      <w:r w:rsidRPr="00944ACA">
        <w:rPr>
          <w:rFonts w:ascii="Aptos" w:hAnsi="Aptos"/>
          <w:sz w:val="24"/>
        </w:rPr>
        <w:t>, to deliver benefits to First Nations communities according to their own priorities</w:t>
      </w:r>
      <w:r w:rsidR="00B363E6">
        <w:rPr>
          <w:rFonts w:ascii="Aptos" w:hAnsi="Aptos"/>
          <w:sz w:val="24"/>
        </w:rPr>
        <w:t xml:space="preserve"> and</w:t>
      </w:r>
      <w:r w:rsidRPr="00944ACA">
        <w:rPr>
          <w:rFonts w:ascii="Aptos" w:hAnsi="Aptos"/>
          <w:sz w:val="24"/>
        </w:rPr>
        <w:t xml:space="preserve"> protocols</w:t>
      </w:r>
      <w:r w:rsidR="00AC6DE7">
        <w:rPr>
          <w:rFonts w:ascii="Aptos" w:hAnsi="Aptos"/>
          <w:sz w:val="24"/>
        </w:rPr>
        <w:t>,</w:t>
      </w:r>
      <w:r w:rsidRPr="00944ACA">
        <w:rPr>
          <w:rFonts w:ascii="Aptos" w:hAnsi="Aptos"/>
          <w:sz w:val="24"/>
        </w:rPr>
        <w:t xml:space="preserve"> and at their own pace.</w:t>
      </w:r>
    </w:p>
    <w:p w14:paraId="393EFF07" w14:textId="6E89239E" w:rsidR="008018D9" w:rsidRPr="00944ACA" w:rsidRDefault="008018D9" w:rsidP="002B20E8">
      <w:pPr>
        <w:spacing w:after="240"/>
        <w:rPr>
          <w:rFonts w:ascii="Aptos" w:hAnsi="Aptos"/>
          <w:sz w:val="24"/>
        </w:rPr>
      </w:pPr>
      <w:r w:rsidRPr="00944ACA">
        <w:rPr>
          <w:rFonts w:ascii="Aptos" w:hAnsi="Aptos"/>
          <w:sz w:val="24"/>
        </w:rPr>
        <w:t xml:space="preserve">Responsible use of data is central to advancing the use of genomics in health systems and research in Australia and, accordingly, ensuring Indigenous Data Sovereignty </w:t>
      </w:r>
      <w:r w:rsidR="00BC7352" w:rsidRPr="00BC7352">
        <w:rPr>
          <w:rFonts w:ascii="Aptos" w:hAnsi="Aptos"/>
          <w:sz w:val="24"/>
        </w:rPr>
        <w:t>—</w:t>
      </w:r>
      <w:r w:rsidRPr="00944ACA">
        <w:rPr>
          <w:rFonts w:ascii="Aptos" w:hAnsi="Aptos"/>
          <w:sz w:val="24"/>
        </w:rPr>
        <w:t xml:space="preserve"> that Aboriginal and Torres Strait Islander people have the right to exercise ownership and control over their biological specimens and data at all stages is critical.</w:t>
      </w:r>
    </w:p>
    <w:p w14:paraId="08C3D676" w14:textId="00ADF1FB" w:rsidR="00E628C8" w:rsidRPr="00944ACA" w:rsidRDefault="008018D9" w:rsidP="00096339">
      <w:pPr>
        <w:spacing w:after="240"/>
        <w:rPr>
          <w:rFonts w:ascii="Aptos" w:hAnsi="Aptos"/>
          <w:sz w:val="24"/>
        </w:rPr>
      </w:pPr>
      <w:bookmarkStart w:id="68" w:name="_Hlk195541595"/>
      <w:r w:rsidRPr="00944ACA">
        <w:rPr>
          <w:rFonts w:ascii="Aptos" w:hAnsi="Aptos"/>
          <w:sz w:val="24"/>
        </w:rPr>
        <w:t xml:space="preserve">It is intended that all </w:t>
      </w:r>
      <w:r w:rsidR="00B82E85">
        <w:rPr>
          <w:rFonts w:ascii="Aptos" w:hAnsi="Aptos"/>
          <w:sz w:val="24"/>
        </w:rPr>
        <w:t>a</w:t>
      </w:r>
      <w:r w:rsidRPr="00944ACA">
        <w:rPr>
          <w:rFonts w:ascii="Aptos" w:hAnsi="Aptos"/>
          <w:sz w:val="24"/>
        </w:rPr>
        <w:t>ctivities under this</w:t>
      </w:r>
      <w:r w:rsidR="002C00D1">
        <w:rPr>
          <w:rFonts w:ascii="Aptos" w:hAnsi="Aptos"/>
          <w:sz w:val="24"/>
        </w:rPr>
        <w:t xml:space="preserve"> </w:t>
      </w:r>
      <w:r w:rsidR="00BC7352">
        <w:rPr>
          <w:rFonts w:ascii="Aptos" w:hAnsi="Aptos"/>
          <w:sz w:val="24"/>
        </w:rPr>
        <w:t>Strategic Priority</w:t>
      </w:r>
      <w:r w:rsidR="00BC7352" w:rsidRPr="00944ACA">
        <w:rPr>
          <w:rFonts w:ascii="Aptos" w:hAnsi="Aptos"/>
          <w:sz w:val="24"/>
        </w:rPr>
        <w:t xml:space="preserve"> </w:t>
      </w:r>
      <w:r w:rsidRPr="00944ACA">
        <w:rPr>
          <w:rFonts w:ascii="Aptos" w:hAnsi="Aptos"/>
          <w:sz w:val="24"/>
        </w:rPr>
        <w:t xml:space="preserve">will be progressed in co-design with relevant Aboriginal and Torres Strait Islander stakeholder groups and established entities and networks, which may result in changes to outcomes to ensure they reflect those </w:t>
      </w:r>
      <w:r w:rsidR="002C00D1">
        <w:rPr>
          <w:rFonts w:ascii="Aptos" w:hAnsi="Aptos"/>
          <w:sz w:val="24"/>
        </w:rPr>
        <w:t>of</w:t>
      </w:r>
      <w:r w:rsidRPr="00944ACA">
        <w:rPr>
          <w:rFonts w:ascii="Aptos" w:hAnsi="Aptos"/>
          <w:sz w:val="24"/>
        </w:rPr>
        <w:t xml:space="preserve"> communities</w:t>
      </w:r>
      <w:r w:rsidR="00E628C8" w:rsidRPr="00944ACA">
        <w:rPr>
          <w:rFonts w:ascii="Aptos" w:eastAsia="Neue Haas Grotesk Text Pro" w:hAnsi="Aptos"/>
          <w:sz w:val="24"/>
        </w:rPr>
        <w:t>.</w:t>
      </w:r>
    </w:p>
    <w:bookmarkEnd w:id="68"/>
    <w:p w14:paraId="13D396BC" w14:textId="77777777" w:rsidR="0070379F" w:rsidRDefault="0070379F">
      <w:pPr>
        <w:rPr>
          <w:rFonts w:eastAsia="MS PGothic" w:cs="Arial"/>
          <w:bCs/>
          <w:color w:val="358189"/>
          <w:sz w:val="28"/>
          <w:szCs w:val="26"/>
        </w:rPr>
      </w:pPr>
      <w:r>
        <w:rPr>
          <w:rFonts w:eastAsia="MS PGothic"/>
        </w:rPr>
        <w:br w:type="page"/>
      </w:r>
    </w:p>
    <w:p w14:paraId="5C071FF8" w14:textId="5D4F9640" w:rsidR="00E628C8" w:rsidRPr="00E96F5C" w:rsidRDefault="00E628C8" w:rsidP="00E628C8">
      <w:pPr>
        <w:pStyle w:val="Heading3"/>
        <w:rPr>
          <w:rFonts w:eastAsia="MS PGothic"/>
        </w:rPr>
      </w:pPr>
      <w:bookmarkStart w:id="69" w:name="_Toc197953812"/>
      <w:bookmarkStart w:id="70" w:name="_Toc198025699"/>
      <w:r w:rsidRPr="00E96F5C">
        <w:rPr>
          <w:rFonts w:eastAsia="MS PGothic"/>
        </w:rPr>
        <w:lastRenderedPageBreak/>
        <w:t>Outcome</w:t>
      </w:r>
      <w:r w:rsidR="002B20E8">
        <w:rPr>
          <w:rFonts w:eastAsia="MS PGothic"/>
        </w:rPr>
        <w:t xml:space="preserve"> 4.1 – </w:t>
      </w:r>
      <w:r w:rsidR="00D76497">
        <w:rPr>
          <w:rFonts w:eastAsia="MS PGothic"/>
        </w:rPr>
        <w:t>Building Partnerships, Engagement and Trust</w:t>
      </w:r>
      <w:bookmarkEnd w:id="69"/>
      <w:bookmarkEnd w:id="70"/>
    </w:p>
    <w:p w14:paraId="14095DBC" w14:textId="01F80620" w:rsidR="00D76497" w:rsidRPr="008834D3" w:rsidRDefault="00D76497" w:rsidP="00D76497">
      <w:pPr>
        <w:pStyle w:val="ListNumber2"/>
        <w:ind w:left="641" w:hanging="357"/>
        <w:rPr>
          <w:rFonts w:eastAsia="Arial"/>
        </w:rPr>
      </w:pPr>
      <w:r>
        <w:rPr>
          <w:rFonts w:eastAsia="Arial"/>
        </w:rPr>
        <w:t>h</w:t>
      </w:r>
      <w:r w:rsidRPr="00D76497">
        <w:rPr>
          <w:rFonts w:eastAsia="Arial"/>
        </w:rPr>
        <w:t>ealth outcomes are improved for Aboriginal and Torres Strait Islander people</w:t>
      </w:r>
    </w:p>
    <w:p w14:paraId="565047AE" w14:textId="55588D59" w:rsidR="00C17D9C" w:rsidRPr="008834D3" w:rsidRDefault="00461E0C" w:rsidP="008834D3">
      <w:pPr>
        <w:pStyle w:val="ListNumber2"/>
        <w:ind w:left="641" w:hanging="357"/>
        <w:rPr>
          <w:rFonts w:eastAsia="Arial"/>
        </w:rPr>
      </w:pPr>
      <w:r>
        <w:rPr>
          <w:rFonts w:eastAsia="Arial"/>
        </w:rPr>
        <w:t>l</w:t>
      </w:r>
      <w:r w:rsidR="00C17D9C" w:rsidRPr="008834D3">
        <w:rPr>
          <w:rFonts w:eastAsia="Arial"/>
        </w:rPr>
        <w:t>eadership and engagement of Aboriginal and Torres Strait Islander communities in genomics</w:t>
      </w:r>
      <w:r w:rsidR="00944ACA" w:rsidRPr="008834D3">
        <w:rPr>
          <w:rFonts w:eastAsia="Arial"/>
        </w:rPr>
        <w:t>-informed health</w:t>
      </w:r>
      <w:r w:rsidR="00C17D9C" w:rsidRPr="008834D3">
        <w:rPr>
          <w:rFonts w:eastAsia="Arial"/>
        </w:rPr>
        <w:t xml:space="preserve"> services,</w:t>
      </w:r>
      <w:r w:rsidR="00944ACA" w:rsidRPr="008834D3">
        <w:rPr>
          <w:rFonts w:eastAsia="Arial"/>
        </w:rPr>
        <w:t xml:space="preserve"> research</w:t>
      </w:r>
      <w:r w:rsidR="00C17D9C" w:rsidRPr="008834D3">
        <w:rPr>
          <w:rFonts w:eastAsia="Arial"/>
        </w:rPr>
        <w:t xml:space="preserve"> and public health initiatives is increased</w:t>
      </w:r>
    </w:p>
    <w:p w14:paraId="60DABB58" w14:textId="0B6CF58B" w:rsidR="00C17D9C" w:rsidRPr="008834D3" w:rsidRDefault="00461E0C" w:rsidP="008834D3">
      <w:pPr>
        <w:pStyle w:val="ListNumber2"/>
        <w:ind w:left="641" w:hanging="357"/>
        <w:rPr>
          <w:rFonts w:eastAsia="Arial"/>
        </w:rPr>
      </w:pPr>
      <w:r>
        <w:rPr>
          <w:rFonts w:eastAsia="Arial"/>
        </w:rPr>
        <w:t>t</w:t>
      </w:r>
      <w:r w:rsidR="00C17D9C" w:rsidRPr="008834D3">
        <w:rPr>
          <w:rFonts w:eastAsia="Arial"/>
        </w:rPr>
        <w:t>rust in genomics-</w:t>
      </w:r>
      <w:r w:rsidR="00944ACA" w:rsidRPr="008834D3">
        <w:rPr>
          <w:rFonts w:eastAsia="Arial"/>
        </w:rPr>
        <w:t>inform</w:t>
      </w:r>
      <w:r w:rsidR="00C17D9C" w:rsidRPr="008834D3">
        <w:rPr>
          <w:rFonts w:eastAsia="Arial"/>
        </w:rPr>
        <w:t>ed health care and research is improved among Aboriginal and Torres Strait Islander people</w:t>
      </w:r>
    </w:p>
    <w:p w14:paraId="5ECF7005" w14:textId="0BC8150C" w:rsidR="002B20E8" w:rsidRPr="008834D3" w:rsidRDefault="00461E0C" w:rsidP="008834D3">
      <w:pPr>
        <w:pStyle w:val="ListNumber2"/>
        <w:ind w:left="641" w:hanging="357"/>
        <w:rPr>
          <w:rFonts w:eastAsia="Arial"/>
        </w:rPr>
      </w:pPr>
      <w:r>
        <w:rPr>
          <w:rFonts w:eastAsia="Arial"/>
        </w:rPr>
        <w:t>a</w:t>
      </w:r>
      <w:r w:rsidR="002B20E8" w:rsidRPr="008834D3">
        <w:rPr>
          <w:rFonts w:eastAsia="Arial"/>
        </w:rPr>
        <w:t xml:space="preserve">pplications of genomic knowledge to health care and research </w:t>
      </w:r>
      <w:r w:rsidR="00FE740F" w:rsidRPr="008834D3">
        <w:rPr>
          <w:rFonts w:eastAsia="Arial"/>
        </w:rPr>
        <w:t>are</w:t>
      </w:r>
      <w:r w:rsidR="002B20E8" w:rsidRPr="008834D3">
        <w:rPr>
          <w:rFonts w:eastAsia="Arial"/>
        </w:rPr>
        <w:t xml:space="preserve"> informed by Aboriginal and Torres Strait Islander people</w:t>
      </w:r>
    </w:p>
    <w:p w14:paraId="0A545F23" w14:textId="1A11E048" w:rsidR="002B20E8" w:rsidRDefault="00461E0C" w:rsidP="008834D3">
      <w:pPr>
        <w:pStyle w:val="ListNumber2"/>
        <w:ind w:left="641" w:hanging="357"/>
        <w:rPr>
          <w:rFonts w:eastAsia="Arial"/>
        </w:rPr>
      </w:pPr>
      <w:r>
        <w:rPr>
          <w:rFonts w:eastAsia="Arial"/>
        </w:rPr>
        <w:t>r</w:t>
      </w:r>
      <w:r w:rsidR="002B20E8" w:rsidRPr="008834D3">
        <w:rPr>
          <w:rFonts w:eastAsia="Arial"/>
        </w:rPr>
        <w:t>esearch that addresses health and wellbeing priorities for Aboriginal and Torres Strait Islander people provide outcomes that benefit Aboriginal and Torres Strait Islander people</w:t>
      </w:r>
    </w:p>
    <w:p w14:paraId="06D6DF56" w14:textId="6EC2A624" w:rsidR="00D76497" w:rsidRPr="00D76497" w:rsidRDefault="00D76497" w:rsidP="00D76497">
      <w:pPr>
        <w:pStyle w:val="ListNumber2"/>
        <w:ind w:left="641" w:hanging="357"/>
        <w:rPr>
          <w:rFonts w:eastAsia="Arial"/>
        </w:rPr>
      </w:pPr>
      <w:r>
        <w:rPr>
          <w:rFonts w:eastAsia="Arial"/>
        </w:rPr>
        <w:t>a</w:t>
      </w:r>
      <w:r w:rsidRPr="00D76497">
        <w:rPr>
          <w:rFonts w:eastAsia="Arial"/>
        </w:rPr>
        <w:t>ccess to genomics-informed health care and research is improved among Aboriginal and Torres Strait Islander people</w:t>
      </w:r>
    </w:p>
    <w:p w14:paraId="33E2BD24" w14:textId="23E87A76" w:rsidR="002B20E8" w:rsidRPr="00D76497" w:rsidRDefault="00D76497" w:rsidP="00D76497">
      <w:pPr>
        <w:pStyle w:val="ListNumber2"/>
        <w:ind w:left="641" w:hanging="357"/>
        <w:rPr>
          <w:rFonts w:eastAsia="Arial"/>
        </w:rPr>
      </w:pPr>
      <w:r>
        <w:rPr>
          <w:rFonts w:eastAsia="Arial"/>
        </w:rPr>
        <w:t>a</w:t>
      </w:r>
      <w:r w:rsidRPr="00D76497">
        <w:rPr>
          <w:rFonts w:eastAsia="Arial"/>
        </w:rPr>
        <w:t>ll Aboriginal and Torres Strait Islander people who require genomic-informed health care and/or are eligible to participate in research can successfully access and engage with these services</w:t>
      </w:r>
    </w:p>
    <w:tbl>
      <w:tblPr>
        <w:tblStyle w:val="ListTable3-Accent1"/>
        <w:tblW w:w="4999" w:type="pct"/>
        <w:tblLook w:val="04A0" w:firstRow="1" w:lastRow="0" w:firstColumn="1" w:lastColumn="0" w:noHBand="0" w:noVBand="1"/>
      </w:tblPr>
      <w:tblGrid>
        <w:gridCol w:w="3972"/>
        <w:gridCol w:w="1398"/>
        <w:gridCol w:w="2181"/>
        <w:gridCol w:w="1507"/>
      </w:tblGrid>
      <w:tr w:rsidR="0007280C" w:rsidRPr="00944ACA" w14:paraId="7B774A5A" w14:textId="77777777" w:rsidTr="00DD1A52">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2192" w:type="pct"/>
          </w:tcPr>
          <w:p w14:paraId="48988C24" w14:textId="36E51B63" w:rsidR="0007280C" w:rsidRPr="00944ACA" w:rsidRDefault="0007280C" w:rsidP="0007280C">
            <w:pPr>
              <w:spacing w:before="240" w:after="240"/>
              <w:rPr>
                <w:rFonts w:ascii="Aptos" w:eastAsia="Times New Roman" w:hAnsi="Aptos"/>
                <w:spacing w:val="0"/>
                <w:kern w:val="0"/>
                <w:sz w:val="24"/>
                <w:lang w:eastAsia="en-AU"/>
                <w14:ligatures w14:val="none"/>
              </w:rPr>
            </w:pPr>
            <w:r w:rsidRPr="00944ACA">
              <w:rPr>
                <w:rFonts w:ascii="Aptos" w:eastAsia="Times New Roman" w:hAnsi="Aptos"/>
                <w:spacing w:val="0"/>
                <w:kern w:val="0"/>
                <w:sz w:val="24"/>
                <w:lang w:eastAsia="en-AU"/>
                <w14:ligatures w14:val="none"/>
              </w:rPr>
              <w:t>National Activit</w:t>
            </w:r>
            <w:r w:rsidR="001F0D0F">
              <w:rPr>
                <w:rFonts w:ascii="Aptos" w:eastAsia="Times New Roman" w:hAnsi="Aptos"/>
                <w:spacing w:val="0"/>
                <w:kern w:val="0"/>
                <w:sz w:val="24"/>
                <w:lang w:eastAsia="en-AU"/>
                <w14:ligatures w14:val="none"/>
              </w:rPr>
              <w:t>y</w:t>
            </w:r>
          </w:p>
        </w:tc>
        <w:tc>
          <w:tcPr>
            <w:tcW w:w="771" w:type="pct"/>
          </w:tcPr>
          <w:p w14:paraId="1F451D78" w14:textId="77777777" w:rsidR="0007280C" w:rsidRPr="00944ACA" w:rsidRDefault="0007280C" w:rsidP="0007280C">
            <w:pPr>
              <w:spacing w:before="240" w:after="240"/>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spacing w:val="0"/>
                <w:kern w:val="0"/>
                <w:sz w:val="24"/>
                <w:lang w:eastAsia="en-AU"/>
                <w14:ligatures w14:val="none"/>
              </w:rPr>
            </w:pPr>
            <w:r w:rsidRPr="00944ACA">
              <w:rPr>
                <w:rFonts w:ascii="Aptos" w:eastAsia="Times New Roman" w:hAnsi="Aptos"/>
                <w:spacing w:val="0"/>
                <w:kern w:val="0"/>
                <w:sz w:val="24"/>
                <w:lang w:eastAsia="en-AU"/>
                <w14:ligatures w14:val="none"/>
              </w:rPr>
              <w:t>Timeframe</w:t>
            </w:r>
          </w:p>
        </w:tc>
        <w:tc>
          <w:tcPr>
            <w:tcW w:w="1204" w:type="pct"/>
          </w:tcPr>
          <w:p w14:paraId="3988421C" w14:textId="0E587C1C" w:rsidR="0007280C" w:rsidRPr="00944ACA" w:rsidRDefault="0007280C" w:rsidP="0007280C">
            <w:pPr>
              <w:spacing w:before="240" w:after="240"/>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spacing w:val="0"/>
                <w:kern w:val="0"/>
                <w:sz w:val="24"/>
                <w:lang w:eastAsia="en-AU"/>
                <w14:ligatures w14:val="none"/>
              </w:rPr>
            </w:pPr>
            <w:r>
              <w:rPr>
                <w:rFonts w:ascii="Aptos" w:eastAsia="Times New Roman" w:hAnsi="Aptos"/>
                <w:spacing w:val="0"/>
                <w:kern w:val="0"/>
                <w:sz w:val="24"/>
                <w:lang w:eastAsia="en-AU"/>
                <w14:ligatures w14:val="none"/>
              </w:rPr>
              <w:t>Responsible for Coordination</w:t>
            </w:r>
          </w:p>
        </w:tc>
        <w:tc>
          <w:tcPr>
            <w:tcW w:w="832" w:type="pct"/>
          </w:tcPr>
          <w:p w14:paraId="3B5D0AE2" w14:textId="77777777" w:rsidR="0007280C" w:rsidRPr="00944ACA" w:rsidRDefault="0007280C" w:rsidP="0007280C">
            <w:pPr>
              <w:spacing w:before="240" w:after="240"/>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spacing w:val="0"/>
                <w:kern w:val="0"/>
                <w:sz w:val="24"/>
                <w:lang w:eastAsia="en-AU"/>
                <w14:ligatures w14:val="none"/>
              </w:rPr>
            </w:pPr>
            <w:r w:rsidRPr="00944ACA">
              <w:rPr>
                <w:rFonts w:ascii="Aptos" w:eastAsia="Times New Roman" w:hAnsi="Aptos"/>
                <w:spacing w:val="0"/>
                <w:kern w:val="0"/>
                <w:sz w:val="24"/>
                <w:lang w:eastAsia="en-AU"/>
                <w14:ligatures w14:val="none"/>
              </w:rPr>
              <w:t>Priority</w:t>
            </w:r>
          </w:p>
        </w:tc>
      </w:tr>
      <w:tr w:rsidR="0007280C" w:rsidRPr="00944ACA" w14:paraId="573778FC" w14:textId="77777777" w:rsidTr="00DD1A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2" w:type="pct"/>
            <w:shd w:val="clear" w:color="auto" w:fill="auto"/>
          </w:tcPr>
          <w:p w14:paraId="2A6C5F20" w14:textId="41D66F07" w:rsidR="0007280C" w:rsidRPr="00944ACA" w:rsidRDefault="0007280C" w:rsidP="0007280C">
            <w:pPr>
              <w:spacing w:before="240" w:after="240"/>
              <w:rPr>
                <w:rFonts w:ascii="Aptos" w:eastAsia="Times New Roman" w:hAnsi="Aptos"/>
                <w:b w:val="0"/>
                <w:bCs w:val="0"/>
                <w:spacing w:val="0"/>
                <w:kern w:val="0"/>
                <w:sz w:val="24"/>
                <w:lang w:eastAsia="en-AU"/>
                <w14:ligatures w14:val="none"/>
              </w:rPr>
            </w:pPr>
            <w:r w:rsidRPr="00944ACA">
              <w:rPr>
                <w:rFonts w:ascii="Aptos" w:eastAsia="Times New Roman" w:hAnsi="Aptos"/>
                <w:b w:val="0"/>
                <w:bCs w:val="0"/>
                <w:spacing w:val="0"/>
                <w:kern w:val="0"/>
                <w:sz w:val="24"/>
                <w:lang w:eastAsia="en-AU"/>
                <w14:ligatures w14:val="none"/>
              </w:rPr>
              <w:t xml:space="preserve">4.1.1 </w:t>
            </w:r>
            <w:r w:rsidRPr="00321436">
              <w:rPr>
                <w:rFonts w:ascii="Aptos" w:hAnsi="Aptos"/>
                <w:b w:val="0"/>
                <w:bCs w:val="0"/>
                <w:sz w:val="24"/>
              </w:rPr>
              <w:t>—</w:t>
            </w:r>
            <w:r>
              <w:rPr>
                <w:rFonts w:ascii="Aptos" w:hAnsi="Aptos"/>
                <w:b w:val="0"/>
                <w:bCs w:val="0"/>
                <w:sz w:val="24"/>
              </w:rPr>
              <w:t xml:space="preserve"> </w:t>
            </w:r>
            <w:r w:rsidRPr="00944ACA">
              <w:rPr>
                <w:rFonts w:ascii="Aptos" w:hAnsi="Aptos"/>
                <w:b w:val="0"/>
                <w:bCs w:val="0"/>
                <w:sz w:val="24"/>
              </w:rPr>
              <w:t>Establish new or leverage existing culturally appropriate governance arrangements with Aboriginal and Torres Strait Islander people that support co-design and leadership of activities identified under this priority, and across other priorities.</w:t>
            </w:r>
          </w:p>
        </w:tc>
        <w:tc>
          <w:tcPr>
            <w:tcW w:w="771" w:type="pct"/>
            <w:shd w:val="clear" w:color="auto" w:fill="auto"/>
          </w:tcPr>
          <w:p w14:paraId="1A8A0EFE" w14:textId="73CC359D" w:rsidR="0007280C" w:rsidRPr="00944ACA"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spacing w:val="0"/>
                <w:kern w:val="0"/>
                <w:sz w:val="24"/>
                <w:lang w:eastAsia="en-AU"/>
                <w14:ligatures w14:val="none"/>
              </w:rPr>
            </w:pPr>
          </w:p>
        </w:tc>
        <w:tc>
          <w:tcPr>
            <w:tcW w:w="1204" w:type="pct"/>
            <w:shd w:val="clear" w:color="auto" w:fill="auto"/>
          </w:tcPr>
          <w:p w14:paraId="3D6DDAE0" w14:textId="23FCFB08" w:rsidR="0007280C" w:rsidRPr="00944ACA"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spacing w:val="0"/>
                <w:kern w:val="0"/>
                <w:sz w:val="24"/>
                <w:lang w:eastAsia="en-AU"/>
                <w14:ligatures w14:val="none"/>
              </w:rPr>
            </w:pPr>
          </w:p>
        </w:tc>
        <w:tc>
          <w:tcPr>
            <w:tcW w:w="832" w:type="pct"/>
            <w:shd w:val="clear" w:color="auto" w:fill="auto"/>
          </w:tcPr>
          <w:p w14:paraId="3A728A7C" w14:textId="2D1AAF84" w:rsidR="0007280C" w:rsidRPr="00944ACA"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spacing w:val="0"/>
                <w:kern w:val="0"/>
                <w:sz w:val="24"/>
                <w:lang w:eastAsia="en-AU"/>
                <w14:ligatures w14:val="none"/>
              </w:rPr>
            </w:pPr>
          </w:p>
        </w:tc>
      </w:tr>
      <w:tr w:rsidR="0007280C" w:rsidRPr="00944ACA" w14:paraId="50134BDF" w14:textId="77777777" w:rsidTr="00DD1A52">
        <w:trPr>
          <w:trHeight w:val="300"/>
        </w:trPr>
        <w:tc>
          <w:tcPr>
            <w:cnfStyle w:val="001000000000" w:firstRow="0" w:lastRow="0" w:firstColumn="1" w:lastColumn="0" w:oddVBand="0" w:evenVBand="0" w:oddHBand="0" w:evenHBand="0" w:firstRowFirstColumn="0" w:firstRowLastColumn="0" w:lastRowFirstColumn="0" w:lastRowLastColumn="0"/>
            <w:tcW w:w="2192" w:type="pct"/>
            <w:shd w:val="clear" w:color="auto" w:fill="auto"/>
          </w:tcPr>
          <w:p w14:paraId="06292F65" w14:textId="08EA3500" w:rsidR="0007280C" w:rsidRPr="00944ACA" w:rsidRDefault="0007280C" w:rsidP="0007280C">
            <w:pPr>
              <w:spacing w:before="240" w:after="240"/>
              <w:rPr>
                <w:rFonts w:ascii="Aptos" w:hAnsi="Aptos"/>
                <w:sz w:val="24"/>
                <w:lang w:eastAsia="en-AU"/>
              </w:rPr>
            </w:pPr>
            <w:r w:rsidRPr="00944ACA">
              <w:rPr>
                <w:rFonts w:ascii="Aptos" w:eastAsia="Times New Roman" w:hAnsi="Aptos"/>
                <w:b w:val="0"/>
                <w:bCs w:val="0"/>
                <w:spacing w:val="0"/>
                <w:kern w:val="0"/>
                <w:sz w:val="24"/>
                <w:lang w:eastAsia="en-AU"/>
                <w14:ligatures w14:val="none"/>
              </w:rPr>
              <w:t xml:space="preserve">4.1.2 </w:t>
            </w:r>
            <w:r w:rsidRPr="00321436">
              <w:rPr>
                <w:rFonts w:ascii="Aptos" w:hAnsi="Aptos"/>
                <w:b w:val="0"/>
                <w:bCs w:val="0"/>
                <w:sz w:val="24"/>
              </w:rPr>
              <w:t>—</w:t>
            </w:r>
            <w:r>
              <w:rPr>
                <w:rFonts w:ascii="Aptos" w:hAnsi="Aptos"/>
                <w:b w:val="0"/>
                <w:bCs w:val="0"/>
                <w:sz w:val="24"/>
              </w:rPr>
              <w:t xml:space="preserve"> </w:t>
            </w:r>
            <w:r w:rsidRPr="00944ACA">
              <w:rPr>
                <w:rFonts w:ascii="Aptos" w:hAnsi="Aptos"/>
                <w:b w:val="0"/>
                <w:bCs w:val="0"/>
                <w:sz w:val="24"/>
              </w:rPr>
              <w:t xml:space="preserve">Develop an implementation plan to support the implementation of the </w:t>
            </w:r>
            <w:r w:rsidRPr="00944ACA">
              <w:rPr>
                <w:rFonts w:ascii="Aptos" w:hAnsi="Aptos"/>
                <w:b w:val="0"/>
                <w:bCs w:val="0"/>
                <w:i/>
                <w:iCs/>
                <w:sz w:val="24"/>
              </w:rPr>
              <w:t>Ensuring Culturally Safe Health Genomics with Aboriginal and Torres Strait Islander Peoples Guiding Principles</w:t>
            </w:r>
            <w:r w:rsidRPr="00944ACA">
              <w:rPr>
                <w:rFonts w:ascii="Aptos" w:hAnsi="Aptos"/>
                <w:b w:val="0"/>
                <w:bCs w:val="0"/>
                <w:sz w:val="24"/>
              </w:rPr>
              <w:t xml:space="preserve"> (the Guiding Principles) into health systems</w:t>
            </w:r>
            <w:r>
              <w:rPr>
                <w:rFonts w:ascii="Aptos" w:hAnsi="Aptos"/>
                <w:b w:val="0"/>
                <w:bCs w:val="0"/>
                <w:sz w:val="24"/>
              </w:rPr>
              <w:t xml:space="preserve">, </w:t>
            </w:r>
            <w:r w:rsidRPr="00944ACA">
              <w:rPr>
                <w:rFonts w:ascii="Aptos" w:hAnsi="Aptos"/>
                <w:b w:val="0"/>
                <w:bCs w:val="0"/>
                <w:sz w:val="24"/>
              </w:rPr>
              <w:t>service delivery</w:t>
            </w:r>
            <w:r>
              <w:rPr>
                <w:rFonts w:ascii="Aptos" w:hAnsi="Aptos"/>
                <w:b w:val="0"/>
                <w:bCs w:val="0"/>
                <w:sz w:val="24"/>
              </w:rPr>
              <w:t xml:space="preserve"> and research</w:t>
            </w:r>
            <w:r w:rsidRPr="00944ACA">
              <w:rPr>
                <w:rFonts w:ascii="Aptos" w:hAnsi="Aptos"/>
                <w:b w:val="0"/>
                <w:bCs w:val="0"/>
                <w:sz w:val="24"/>
              </w:rPr>
              <w:t>, including supporting consideration of their integration into existing and new National Safety and Quality Health Service (NSQHS) Standards.</w:t>
            </w:r>
          </w:p>
        </w:tc>
        <w:tc>
          <w:tcPr>
            <w:tcW w:w="771" w:type="pct"/>
            <w:shd w:val="clear" w:color="auto" w:fill="auto"/>
          </w:tcPr>
          <w:p w14:paraId="750BF2FB" w14:textId="77777777" w:rsidR="0007280C" w:rsidRPr="00944ACA"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rPr>
            </w:pPr>
          </w:p>
        </w:tc>
        <w:tc>
          <w:tcPr>
            <w:tcW w:w="1204" w:type="pct"/>
            <w:shd w:val="clear" w:color="auto" w:fill="auto"/>
          </w:tcPr>
          <w:p w14:paraId="66757759" w14:textId="77777777" w:rsidR="0007280C" w:rsidRPr="00944ACA"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lang w:eastAsia="en-AU"/>
              </w:rPr>
            </w:pPr>
          </w:p>
        </w:tc>
        <w:tc>
          <w:tcPr>
            <w:tcW w:w="832" w:type="pct"/>
            <w:shd w:val="clear" w:color="auto" w:fill="auto"/>
          </w:tcPr>
          <w:p w14:paraId="43708E63" w14:textId="77777777" w:rsidR="0007280C" w:rsidRPr="00944ACA"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rPr>
            </w:pPr>
          </w:p>
        </w:tc>
      </w:tr>
      <w:tr w:rsidR="0007280C" w:rsidRPr="00944ACA" w14:paraId="4ED8E802" w14:textId="77777777" w:rsidTr="00DD1A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2" w:type="pct"/>
            <w:shd w:val="clear" w:color="auto" w:fill="auto"/>
          </w:tcPr>
          <w:p w14:paraId="0F529709" w14:textId="5B4B412B" w:rsidR="0007280C" w:rsidRPr="00944ACA" w:rsidRDefault="0007280C" w:rsidP="0007280C">
            <w:pPr>
              <w:spacing w:before="240" w:after="240"/>
              <w:rPr>
                <w:rFonts w:ascii="Aptos" w:hAnsi="Aptos"/>
                <w:sz w:val="24"/>
                <w:lang w:eastAsia="en-AU"/>
              </w:rPr>
            </w:pPr>
            <w:r w:rsidRPr="00944ACA">
              <w:rPr>
                <w:rFonts w:ascii="Aptos" w:eastAsia="Times New Roman" w:hAnsi="Aptos"/>
                <w:b w:val="0"/>
                <w:bCs w:val="0"/>
                <w:spacing w:val="0"/>
                <w:kern w:val="0"/>
                <w:sz w:val="24"/>
                <w:lang w:eastAsia="en-AU"/>
                <w14:ligatures w14:val="none"/>
              </w:rPr>
              <w:lastRenderedPageBreak/>
              <w:t xml:space="preserve">4.1.3 </w:t>
            </w:r>
            <w:r w:rsidRPr="00321436">
              <w:rPr>
                <w:rFonts w:ascii="Aptos" w:hAnsi="Aptos"/>
                <w:b w:val="0"/>
                <w:bCs w:val="0"/>
                <w:sz w:val="24"/>
              </w:rPr>
              <w:t>—</w:t>
            </w:r>
            <w:r>
              <w:rPr>
                <w:rFonts w:ascii="Aptos" w:hAnsi="Aptos"/>
                <w:b w:val="0"/>
                <w:bCs w:val="0"/>
                <w:sz w:val="24"/>
              </w:rPr>
              <w:t xml:space="preserve"> </w:t>
            </w:r>
            <w:r w:rsidRPr="00944ACA">
              <w:rPr>
                <w:rFonts w:ascii="Aptos" w:hAnsi="Aptos"/>
                <w:b w:val="0"/>
                <w:bCs w:val="0"/>
                <w:sz w:val="24"/>
              </w:rPr>
              <w:t xml:space="preserve">Develop opportunities and partner with Aboriginal and Torres Strait Islander people to ensure Indigenous </w:t>
            </w:r>
            <w:r>
              <w:rPr>
                <w:rFonts w:ascii="Aptos" w:hAnsi="Aptos"/>
                <w:b w:val="0"/>
                <w:bCs w:val="0"/>
                <w:sz w:val="24"/>
              </w:rPr>
              <w:t>Data S</w:t>
            </w:r>
            <w:r w:rsidRPr="00944ACA">
              <w:rPr>
                <w:rFonts w:ascii="Aptos" w:hAnsi="Aptos"/>
                <w:b w:val="0"/>
                <w:bCs w:val="0"/>
                <w:sz w:val="24"/>
              </w:rPr>
              <w:t>overeignty is supported, and individuals and communities regain and maintain sovereignty over genetic material.</w:t>
            </w:r>
          </w:p>
        </w:tc>
        <w:tc>
          <w:tcPr>
            <w:tcW w:w="771" w:type="pct"/>
            <w:shd w:val="clear" w:color="auto" w:fill="auto"/>
          </w:tcPr>
          <w:p w14:paraId="6E78F2C2" w14:textId="77777777" w:rsidR="0007280C" w:rsidRPr="00944ACA"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rPr>
            </w:pPr>
          </w:p>
        </w:tc>
        <w:tc>
          <w:tcPr>
            <w:tcW w:w="1204" w:type="pct"/>
            <w:shd w:val="clear" w:color="auto" w:fill="auto"/>
          </w:tcPr>
          <w:p w14:paraId="3105E90D" w14:textId="77777777" w:rsidR="0007280C" w:rsidRPr="00944ACA"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lang w:eastAsia="en-AU"/>
              </w:rPr>
            </w:pPr>
          </w:p>
        </w:tc>
        <w:tc>
          <w:tcPr>
            <w:tcW w:w="832" w:type="pct"/>
            <w:shd w:val="clear" w:color="auto" w:fill="auto"/>
          </w:tcPr>
          <w:p w14:paraId="4ACA52D7" w14:textId="77777777" w:rsidR="0007280C" w:rsidRPr="00944ACA"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rPr>
            </w:pPr>
          </w:p>
        </w:tc>
      </w:tr>
      <w:tr w:rsidR="0007280C" w:rsidRPr="00944ACA" w14:paraId="5CD213B2" w14:textId="77777777" w:rsidTr="00DD1A52">
        <w:trPr>
          <w:trHeight w:val="300"/>
        </w:trPr>
        <w:tc>
          <w:tcPr>
            <w:cnfStyle w:val="001000000000" w:firstRow="0" w:lastRow="0" w:firstColumn="1" w:lastColumn="0" w:oddVBand="0" w:evenVBand="0" w:oddHBand="0" w:evenHBand="0" w:firstRowFirstColumn="0" w:firstRowLastColumn="0" w:lastRowFirstColumn="0" w:lastRowLastColumn="0"/>
            <w:tcW w:w="2192" w:type="pct"/>
            <w:shd w:val="clear" w:color="auto" w:fill="auto"/>
          </w:tcPr>
          <w:p w14:paraId="6B1D59EA" w14:textId="7BD73411" w:rsidR="0007280C" w:rsidRPr="00944ACA" w:rsidRDefault="0007280C" w:rsidP="0007280C">
            <w:pPr>
              <w:spacing w:before="240" w:after="240"/>
              <w:rPr>
                <w:rFonts w:ascii="Aptos" w:hAnsi="Aptos"/>
                <w:sz w:val="24"/>
                <w:lang w:eastAsia="en-AU"/>
              </w:rPr>
            </w:pPr>
            <w:r w:rsidRPr="00576E1E">
              <w:rPr>
                <w:rFonts w:ascii="Aptos" w:eastAsia="Times New Roman" w:hAnsi="Aptos"/>
                <w:b w:val="0"/>
                <w:bCs w:val="0"/>
                <w:spacing w:val="0"/>
                <w:kern w:val="0"/>
                <w:sz w:val="24"/>
                <w:lang w:eastAsia="en-AU"/>
                <w14:ligatures w14:val="none"/>
              </w:rPr>
              <w:t>4.</w:t>
            </w:r>
            <w:r>
              <w:rPr>
                <w:rFonts w:ascii="Aptos" w:eastAsia="Times New Roman" w:hAnsi="Aptos"/>
                <w:b w:val="0"/>
                <w:bCs w:val="0"/>
                <w:spacing w:val="0"/>
                <w:kern w:val="0"/>
                <w:sz w:val="24"/>
                <w:lang w:eastAsia="en-AU"/>
                <w14:ligatures w14:val="none"/>
              </w:rPr>
              <w:t>1</w:t>
            </w:r>
            <w:r w:rsidRPr="00576E1E">
              <w:rPr>
                <w:rFonts w:ascii="Aptos" w:eastAsia="Times New Roman" w:hAnsi="Aptos"/>
                <w:b w:val="0"/>
                <w:bCs w:val="0"/>
                <w:spacing w:val="0"/>
                <w:kern w:val="0"/>
                <w:sz w:val="24"/>
                <w:lang w:eastAsia="en-AU"/>
                <w14:ligatures w14:val="none"/>
              </w:rPr>
              <w:t>.</w:t>
            </w:r>
            <w:r>
              <w:rPr>
                <w:rFonts w:ascii="Aptos" w:eastAsia="Times New Roman" w:hAnsi="Aptos"/>
                <w:b w:val="0"/>
                <w:bCs w:val="0"/>
                <w:spacing w:val="0"/>
                <w:kern w:val="0"/>
                <w:sz w:val="24"/>
                <w:lang w:eastAsia="en-AU"/>
                <w14:ligatures w14:val="none"/>
              </w:rPr>
              <w:t>4</w:t>
            </w:r>
            <w:r w:rsidRPr="00576E1E">
              <w:rPr>
                <w:rFonts w:ascii="Aptos" w:hAnsi="Aptos"/>
                <w:sz w:val="24"/>
              </w:rPr>
              <w:t xml:space="preserve"> </w:t>
            </w:r>
            <w:r w:rsidRPr="00321436">
              <w:rPr>
                <w:rFonts w:ascii="Aptos" w:hAnsi="Aptos"/>
                <w:b w:val="0"/>
                <w:bCs w:val="0"/>
                <w:sz w:val="24"/>
              </w:rPr>
              <w:t>—</w:t>
            </w:r>
            <w:r>
              <w:rPr>
                <w:rFonts w:ascii="Aptos" w:hAnsi="Aptos"/>
                <w:b w:val="0"/>
                <w:bCs w:val="0"/>
                <w:sz w:val="24"/>
              </w:rPr>
              <w:t xml:space="preserve"> E</w:t>
            </w:r>
            <w:r w:rsidRPr="00576E1E">
              <w:rPr>
                <w:rFonts w:ascii="Aptos" w:hAnsi="Aptos"/>
                <w:b w:val="0"/>
                <w:bCs w:val="0"/>
                <w:sz w:val="24"/>
              </w:rPr>
              <w:t>nsure</w:t>
            </w:r>
            <w:r>
              <w:rPr>
                <w:rFonts w:ascii="Aptos" w:hAnsi="Aptos"/>
                <w:b w:val="0"/>
                <w:bCs w:val="0"/>
                <w:sz w:val="24"/>
              </w:rPr>
              <w:t xml:space="preserve"> </w:t>
            </w:r>
            <w:r w:rsidRPr="00576E1E">
              <w:rPr>
                <w:rFonts w:ascii="Aptos" w:hAnsi="Aptos"/>
                <w:b w:val="0"/>
                <w:bCs w:val="0"/>
                <w:sz w:val="24"/>
              </w:rPr>
              <w:t xml:space="preserve">Aboriginal and Torres Strait Islander governance and culturally aligned processes and mechanisms are developed with respect to biological specimens and </w:t>
            </w:r>
            <w:r>
              <w:rPr>
                <w:rFonts w:ascii="Aptos" w:hAnsi="Aptos"/>
                <w:b w:val="0"/>
                <w:bCs w:val="0"/>
                <w:sz w:val="24"/>
              </w:rPr>
              <w:t xml:space="preserve">genomic </w:t>
            </w:r>
            <w:r w:rsidRPr="00576E1E">
              <w:rPr>
                <w:rFonts w:ascii="Aptos" w:hAnsi="Aptos"/>
                <w:b w:val="0"/>
                <w:bCs w:val="0"/>
                <w:sz w:val="24"/>
              </w:rPr>
              <w:t xml:space="preserve">information including position statements on best practice in relation to biobanking, data sharing, data systems and infrastructure and Indigenous </w:t>
            </w:r>
            <w:r>
              <w:rPr>
                <w:rFonts w:ascii="Aptos" w:hAnsi="Aptos"/>
                <w:b w:val="0"/>
                <w:bCs w:val="0"/>
                <w:sz w:val="24"/>
              </w:rPr>
              <w:t>Data S</w:t>
            </w:r>
            <w:r w:rsidRPr="00576E1E">
              <w:rPr>
                <w:rFonts w:ascii="Aptos" w:hAnsi="Aptos"/>
                <w:b w:val="0"/>
                <w:bCs w:val="0"/>
                <w:sz w:val="24"/>
              </w:rPr>
              <w:t>overeignty compliance.</w:t>
            </w:r>
          </w:p>
        </w:tc>
        <w:tc>
          <w:tcPr>
            <w:tcW w:w="771" w:type="pct"/>
            <w:shd w:val="clear" w:color="auto" w:fill="auto"/>
          </w:tcPr>
          <w:p w14:paraId="600F5A12" w14:textId="77777777" w:rsidR="0007280C" w:rsidRPr="00944ACA"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rPr>
            </w:pPr>
          </w:p>
        </w:tc>
        <w:tc>
          <w:tcPr>
            <w:tcW w:w="1204" w:type="pct"/>
            <w:shd w:val="clear" w:color="auto" w:fill="auto"/>
          </w:tcPr>
          <w:p w14:paraId="47FF4C51" w14:textId="77777777" w:rsidR="0007280C" w:rsidRPr="00944ACA"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lang w:eastAsia="en-AU"/>
              </w:rPr>
            </w:pPr>
          </w:p>
        </w:tc>
        <w:tc>
          <w:tcPr>
            <w:tcW w:w="832" w:type="pct"/>
            <w:shd w:val="clear" w:color="auto" w:fill="auto"/>
          </w:tcPr>
          <w:p w14:paraId="281F88DB" w14:textId="77777777" w:rsidR="0007280C" w:rsidRPr="00944ACA"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rPr>
            </w:pPr>
          </w:p>
        </w:tc>
      </w:tr>
      <w:tr w:rsidR="0007280C" w:rsidRPr="00944ACA" w14:paraId="5A934C87" w14:textId="77777777" w:rsidTr="00DD1A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2" w:type="pct"/>
            <w:shd w:val="clear" w:color="auto" w:fill="auto"/>
          </w:tcPr>
          <w:p w14:paraId="5A136356" w14:textId="42D1F0DC" w:rsidR="0007280C" w:rsidRPr="00944ACA" w:rsidRDefault="0007280C" w:rsidP="0007280C">
            <w:pPr>
              <w:spacing w:before="240" w:after="240"/>
              <w:rPr>
                <w:rFonts w:ascii="Aptos" w:hAnsi="Aptos"/>
                <w:sz w:val="24"/>
                <w:lang w:eastAsia="en-AU"/>
              </w:rPr>
            </w:pPr>
            <w:r w:rsidRPr="00944ACA">
              <w:rPr>
                <w:rFonts w:ascii="Aptos" w:eastAsia="Times New Roman" w:hAnsi="Aptos"/>
                <w:b w:val="0"/>
                <w:bCs w:val="0"/>
                <w:spacing w:val="0"/>
                <w:kern w:val="0"/>
                <w:sz w:val="24"/>
                <w:lang w:eastAsia="en-AU"/>
                <w14:ligatures w14:val="none"/>
              </w:rPr>
              <w:t xml:space="preserve">4.1.5 </w:t>
            </w:r>
            <w:r w:rsidRPr="00321436">
              <w:rPr>
                <w:rFonts w:ascii="Aptos" w:hAnsi="Aptos"/>
                <w:b w:val="0"/>
                <w:bCs w:val="0"/>
                <w:sz w:val="24"/>
              </w:rPr>
              <w:t>—</w:t>
            </w:r>
            <w:r>
              <w:rPr>
                <w:rFonts w:ascii="Aptos" w:hAnsi="Aptos"/>
                <w:b w:val="0"/>
                <w:bCs w:val="0"/>
                <w:sz w:val="24"/>
              </w:rPr>
              <w:t xml:space="preserve"> D</w:t>
            </w:r>
            <w:r w:rsidRPr="00944ACA">
              <w:rPr>
                <w:rFonts w:ascii="Aptos" w:hAnsi="Aptos"/>
                <w:b w:val="0"/>
                <w:bCs w:val="0"/>
                <w:sz w:val="24"/>
              </w:rPr>
              <w:t>evelop strategies to understand and address the cultural, ethical, legal and social implications related to genomics</w:t>
            </w:r>
            <w:r>
              <w:rPr>
                <w:rFonts w:ascii="Aptos" w:hAnsi="Aptos"/>
                <w:b w:val="0"/>
                <w:bCs w:val="0"/>
                <w:sz w:val="24"/>
              </w:rPr>
              <w:t>-informed health care and</w:t>
            </w:r>
            <w:r w:rsidRPr="00944ACA">
              <w:rPr>
                <w:rFonts w:ascii="Aptos" w:hAnsi="Aptos"/>
                <w:b w:val="0"/>
                <w:bCs w:val="0"/>
                <w:sz w:val="24"/>
              </w:rPr>
              <w:t xml:space="preserve"> research (consistent with the principles of the </w:t>
            </w:r>
            <w:r w:rsidRPr="00944ACA">
              <w:rPr>
                <w:rFonts w:ascii="Aptos" w:hAnsi="Aptos"/>
                <w:b w:val="0"/>
                <w:bCs w:val="0"/>
                <w:i/>
                <w:iCs/>
                <w:sz w:val="24"/>
              </w:rPr>
              <w:t>National Cultural Respect Framework for Aboriginal and Torres Strait Islander Health 2016–2026</w:t>
            </w:r>
            <w:r w:rsidRPr="00944ACA">
              <w:rPr>
                <w:rFonts w:ascii="Aptos" w:hAnsi="Aptos"/>
                <w:b w:val="0"/>
                <w:bCs w:val="0"/>
                <w:sz w:val="24"/>
              </w:rPr>
              <w:t>).</w:t>
            </w:r>
          </w:p>
        </w:tc>
        <w:tc>
          <w:tcPr>
            <w:tcW w:w="771" w:type="pct"/>
            <w:shd w:val="clear" w:color="auto" w:fill="auto"/>
          </w:tcPr>
          <w:p w14:paraId="34D6C77D" w14:textId="77777777" w:rsidR="0007280C" w:rsidRPr="00944ACA"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rPr>
            </w:pPr>
          </w:p>
        </w:tc>
        <w:tc>
          <w:tcPr>
            <w:tcW w:w="1204" w:type="pct"/>
            <w:shd w:val="clear" w:color="auto" w:fill="auto"/>
          </w:tcPr>
          <w:p w14:paraId="2EAFD9CF" w14:textId="77777777" w:rsidR="0007280C" w:rsidRPr="00944ACA"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lang w:eastAsia="en-AU"/>
              </w:rPr>
            </w:pPr>
          </w:p>
        </w:tc>
        <w:tc>
          <w:tcPr>
            <w:tcW w:w="832" w:type="pct"/>
            <w:shd w:val="clear" w:color="auto" w:fill="auto"/>
          </w:tcPr>
          <w:p w14:paraId="2B43940C" w14:textId="77777777" w:rsidR="0007280C" w:rsidRPr="00944ACA"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rPr>
            </w:pPr>
          </w:p>
        </w:tc>
      </w:tr>
    </w:tbl>
    <w:p w14:paraId="27C23FA8" w14:textId="77777777" w:rsidR="00DF0D7F" w:rsidRPr="00C17D9C" w:rsidRDefault="00DF0D7F" w:rsidP="00944ACA">
      <w:pPr>
        <w:spacing w:after="240"/>
        <w:rPr>
          <w:rFonts w:eastAsia="Arial"/>
          <w:kern w:val="2"/>
        </w:rPr>
      </w:pPr>
    </w:p>
    <w:p w14:paraId="0B2DA753" w14:textId="77777777" w:rsidR="00F10C55" w:rsidRDefault="00F10C55">
      <w:pPr>
        <w:rPr>
          <w:rFonts w:eastAsia="MS PGothic" w:cs="Arial"/>
          <w:bCs/>
          <w:color w:val="358189"/>
          <w:sz w:val="28"/>
          <w:szCs w:val="26"/>
        </w:rPr>
      </w:pPr>
      <w:r>
        <w:rPr>
          <w:rFonts w:eastAsia="MS PGothic"/>
        </w:rPr>
        <w:br w:type="page"/>
      </w:r>
    </w:p>
    <w:p w14:paraId="272024BC" w14:textId="2A11E291" w:rsidR="002B20E8" w:rsidRPr="002B20E8" w:rsidRDefault="002B20E8" w:rsidP="002B20E8">
      <w:pPr>
        <w:pStyle w:val="Heading3"/>
        <w:rPr>
          <w:rFonts w:eastAsia="MS PGothic"/>
        </w:rPr>
      </w:pPr>
      <w:bookmarkStart w:id="71" w:name="_Toc197953813"/>
      <w:bookmarkStart w:id="72" w:name="_Toc198025700"/>
      <w:r w:rsidRPr="00E96F5C">
        <w:rPr>
          <w:rFonts w:eastAsia="MS PGothic"/>
        </w:rPr>
        <w:lastRenderedPageBreak/>
        <w:t>Outcome</w:t>
      </w:r>
      <w:r>
        <w:rPr>
          <w:rFonts w:eastAsia="MS PGothic"/>
        </w:rPr>
        <w:t xml:space="preserve"> 4.2 – Improve</w:t>
      </w:r>
      <w:r w:rsidR="00F10C55">
        <w:rPr>
          <w:rFonts w:eastAsia="MS PGothic"/>
        </w:rPr>
        <w:t xml:space="preserve"> access, outcomes and cultural safety</w:t>
      </w:r>
      <w:bookmarkEnd w:id="71"/>
      <w:bookmarkEnd w:id="72"/>
    </w:p>
    <w:p w14:paraId="37758917" w14:textId="2327DE34" w:rsidR="00F10C55" w:rsidRPr="00F10C55" w:rsidRDefault="00F10C55" w:rsidP="00F10C55">
      <w:pPr>
        <w:pStyle w:val="ListNumber2"/>
        <w:ind w:left="641" w:hanging="357"/>
        <w:rPr>
          <w:rFonts w:eastAsia="Arial"/>
        </w:rPr>
      </w:pPr>
      <w:r>
        <w:rPr>
          <w:rFonts w:eastAsia="Arial"/>
        </w:rPr>
        <w:t>a</w:t>
      </w:r>
      <w:r w:rsidRPr="00F10C55">
        <w:rPr>
          <w:rFonts w:eastAsia="Arial"/>
        </w:rPr>
        <w:t>ccurate, sufficient and culturally appropriate information about genomics-informed health care, health systems and research support equity of access and outcomes for Aboriginal and Torres Strait Islander people</w:t>
      </w:r>
    </w:p>
    <w:p w14:paraId="3318FBD7" w14:textId="20C95840" w:rsidR="00F10C55" w:rsidRPr="00F10C55" w:rsidRDefault="00F10C55" w:rsidP="00F10C55">
      <w:pPr>
        <w:pStyle w:val="ListNumber2"/>
        <w:ind w:left="641" w:hanging="357"/>
        <w:rPr>
          <w:rFonts w:eastAsia="Arial"/>
        </w:rPr>
      </w:pPr>
      <w:r>
        <w:rPr>
          <w:rFonts w:eastAsia="Arial"/>
        </w:rPr>
        <w:t>c</w:t>
      </w:r>
      <w:r w:rsidRPr="00F10C55">
        <w:rPr>
          <w:rFonts w:eastAsia="Arial"/>
        </w:rPr>
        <w:t>hanges in health systems and research that eliminate systemic discrimination of Aboriginal and Torres Strait Islander people are enabled</w:t>
      </w:r>
    </w:p>
    <w:p w14:paraId="608241B1" w14:textId="26725955" w:rsidR="00F10C55" w:rsidRPr="00F10C55" w:rsidRDefault="00F10C55" w:rsidP="00F10C55">
      <w:pPr>
        <w:pStyle w:val="ListNumber2"/>
        <w:ind w:left="641" w:hanging="357"/>
        <w:rPr>
          <w:rFonts w:eastAsia="Arial"/>
        </w:rPr>
      </w:pPr>
      <w:r>
        <w:rPr>
          <w:rFonts w:eastAsia="Arial"/>
        </w:rPr>
        <w:t>c</w:t>
      </w:r>
      <w:r w:rsidRPr="00F10C55">
        <w:rPr>
          <w:rFonts w:eastAsia="Arial"/>
        </w:rPr>
        <w:t>ultural safety standards and training are embedded within health systems and research, and access and participation of Aboriginal and Torres Strait Islander people are improved</w:t>
      </w:r>
    </w:p>
    <w:p w14:paraId="001F144C" w14:textId="67406570" w:rsidR="00F10C55" w:rsidRPr="00F10C55" w:rsidRDefault="00F10C55" w:rsidP="00F10C55">
      <w:pPr>
        <w:pStyle w:val="ListNumber2"/>
        <w:ind w:left="641" w:hanging="357"/>
        <w:rPr>
          <w:rFonts w:eastAsia="Arial"/>
        </w:rPr>
      </w:pPr>
      <w:r>
        <w:rPr>
          <w:rFonts w:eastAsia="Arial"/>
        </w:rPr>
        <w:t>t</w:t>
      </w:r>
      <w:r w:rsidRPr="00F10C55">
        <w:rPr>
          <w:rFonts w:eastAsia="Arial"/>
        </w:rPr>
        <w:t>he design of research studies that address the health and wellbeing priorities of Aboriginal and Torres Strait Islander people are culturally safe and empower the participants through co-design</w:t>
      </w:r>
    </w:p>
    <w:p w14:paraId="623DDB45" w14:textId="435A57CA" w:rsidR="00C17D9C" w:rsidRPr="00F10C55" w:rsidRDefault="00F10C55" w:rsidP="00F10C55">
      <w:pPr>
        <w:pStyle w:val="ListNumber2"/>
        <w:ind w:left="641" w:hanging="357"/>
        <w:rPr>
          <w:rFonts w:eastAsia="Arial"/>
        </w:rPr>
      </w:pPr>
      <w:r>
        <w:rPr>
          <w:rFonts w:eastAsia="Arial"/>
        </w:rPr>
        <w:t>A</w:t>
      </w:r>
      <w:r w:rsidRPr="008834D3">
        <w:rPr>
          <w:rFonts w:eastAsia="Arial"/>
        </w:rPr>
        <w:t>boriginal and Torres Strait Islander communities are supported to grow a workforce that supports their communities through health care and research</w:t>
      </w:r>
    </w:p>
    <w:tbl>
      <w:tblPr>
        <w:tblStyle w:val="ListTable3-Accent1"/>
        <w:tblW w:w="5000" w:type="pct"/>
        <w:tblLook w:val="04A0" w:firstRow="1" w:lastRow="0" w:firstColumn="1" w:lastColumn="0" w:noHBand="0" w:noVBand="1"/>
      </w:tblPr>
      <w:tblGrid>
        <w:gridCol w:w="4138"/>
        <w:gridCol w:w="1397"/>
        <w:gridCol w:w="2088"/>
        <w:gridCol w:w="1437"/>
      </w:tblGrid>
      <w:tr w:rsidR="0007280C" w:rsidRPr="00944ACA" w14:paraId="08408302" w14:textId="77777777" w:rsidTr="0069120C">
        <w:trPr>
          <w:cnfStyle w:val="100000000000" w:firstRow="1" w:lastRow="0" w:firstColumn="0" w:lastColumn="0" w:oddVBand="0" w:evenVBand="0" w:oddHBand="0" w:evenHBand="0" w:firstRowFirstColumn="0" w:firstRowLastColumn="0" w:lastRowFirstColumn="0" w:lastRowLastColumn="0"/>
          <w:cantSplit/>
          <w:trHeight w:val="283"/>
        </w:trPr>
        <w:tc>
          <w:tcPr>
            <w:cnfStyle w:val="001000000100" w:firstRow="0" w:lastRow="0" w:firstColumn="1" w:lastColumn="0" w:oddVBand="0" w:evenVBand="0" w:oddHBand="0" w:evenHBand="0" w:firstRowFirstColumn="1" w:firstRowLastColumn="0" w:lastRowFirstColumn="0" w:lastRowLastColumn="0"/>
            <w:tcW w:w="2293" w:type="pct"/>
          </w:tcPr>
          <w:p w14:paraId="11F0B2CD" w14:textId="739DFB29" w:rsidR="0007280C" w:rsidRPr="00944ACA" w:rsidRDefault="0007280C" w:rsidP="0007280C">
            <w:pPr>
              <w:spacing w:before="240" w:after="240"/>
              <w:rPr>
                <w:rFonts w:ascii="Aptos" w:eastAsia="Times New Roman" w:hAnsi="Aptos"/>
                <w:spacing w:val="0"/>
                <w:kern w:val="0"/>
                <w:sz w:val="24"/>
                <w:lang w:eastAsia="en-AU"/>
                <w14:ligatures w14:val="none"/>
              </w:rPr>
            </w:pPr>
            <w:r w:rsidRPr="00944ACA">
              <w:rPr>
                <w:rFonts w:ascii="Aptos" w:eastAsia="Times New Roman" w:hAnsi="Aptos"/>
                <w:spacing w:val="0"/>
                <w:kern w:val="0"/>
                <w:sz w:val="24"/>
                <w:lang w:eastAsia="en-AU"/>
                <w14:ligatures w14:val="none"/>
              </w:rPr>
              <w:t>National Activit</w:t>
            </w:r>
            <w:r w:rsidR="000358D5">
              <w:rPr>
                <w:rFonts w:ascii="Aptos" w:eastAsia="Times New Roman" w:hAnsi="Aptos"/>
                <w:spacing w:val="0"/>
                <w:kern w:val="0"/>
                <w:sz w:val="24"/>
                <w:lang w:eastAsia="en-AU"/>
                <w14:ligatures w14:val="none"/>
              </w:rPr>
              <w:t>y</w:t>
            </w:r>
          </w:p>
        </w:tc>
        <w:tc>
          <w:tcPr>
            <w:tcW w:w="743" w:type="pct"/>
          </w:tcPr>
          <w:p w14:paraId="5A082263" w14:textId="77777777" w:rsidR="0007280C" w:rsidRPr="00944ACA" w:rsidRDefault="0007280C" w:rsidP="0007280C">
            <w:pPr>
              <w:spacing w:before="240" w:after="240"/>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spacing w:val="0"/>
                <w:kern w:val="0"/>
                <w:sz w:val="24"/>
                <w:lang w:eastAsia="en-AU"/>
                <w14:ligatures w14:val="none"/>
              </w:rPr>
            </w:pPr>
            <w:r w:rsidRPr="00944ACA">
              <w:rPr>
                <w:rFonts w:ascii="Aptos" w:eastAsia="Times New Roman" w:hAnsi="Aptos"/>
                <w:spacing w:val="0"/>
                <w:kern w:val="0"/>
                <w:sz w:val="24"/>
                <w:lang w:eastAsia="en-AU"/>
                <w14:ligatures w14:val="none"/>
              </w:rPr>
              <w:t>Timeframe</w:t>
            </w:r>
          </w:p>
        </w:tc>
        <w:tc>
          <w:tcPr>
            <w:tcW w:w="1161" w:type="pct"/>
          </w:tcPr>
          <w:p w14:paraId="051C077C" w14:textId="0EB94E8E" w:rsidR="0007280C" w:rsidRPr="00944ACA" w:rsidRDefault="0007280C" w:rsidP="0007280C">
            <w:pPr>
              <w:spacing w:before="240" w:after="240"/>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spacing w:val="0"/>
                <w:kern w:val="0"/>
                <w:sz w:val="24"/>
                <w:lang w:eastAsia="en-AU"/>
                <w14:ligatures w14:val="none"/>
              </w:rPr>
            </w:pPr>
            <w:r>
              <w:rPr>
                <w:rFonts w:ascii="Aptos" w:eastAsia="Times New Roman" w:hAnsi="Aptos"/>
                <w:spacing w:val="0"/>
                <w:kern w:val="0"/>
                <w:sz w:val="24"/>
                <w:lang w:eastAsia="en-AU"/>
                <w14:ligatures w14:val="none"/>
              </w:rPr>
              <w:t>Responsible for Coordination</w:t>
            </w:r>
          </w:p>
        </w:tc>
        <w:tc>
          <w:tcPr>
            <w:tcW w:w="802" w:type="pct"/>
          </w:tcPr>
          <w:p w14:paraId="1F57D985" w14:textId="77777777" w:rsidR="0007280C" w:rsidRPr="00944ACA" w:rsidRDefault="0007280C" w:rsidP="0007280C">
            <w:pPr>
              <w:spacing w:before="240" w:after="240"/>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spacing w:val="0"/>
                <w:kern w:val="0"/>
                <w:sz w:val="24"/>
                <w:lang w:eastAsia="en-AU"/>
                <w14:ligatures w14:val="none"/>
              </w:rPr>
            </w:pPr>
            <w:r w:rsidRPr="00944ACA">
              <w:rPr>
                <w:rFonts w:ascii="Aptos" w:eastAsia="Times New Roman" w:hAnsi="Aptos"/>
                <w:spacing w:val="0"/>
                <w:kern w:val="0"/>
                <w:sz w:val="24"/>
                <w:lang w:eastAsia="en-AU"/>
                <w14:ligatures w14:val="none"/>
              </w:rPr>
              <w:t>Priority</w:t>
            </w:r>
          </w:p>
        </w:tc>
      </w:tr>
      <w:tr w:rsidR="0007280C" w:rsidRPr="00944ACA" w14:paraId="060D4F5F" w14:textId="77777777" w:rsidTr="0069120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293" w:type="pct"/>
            <w:shd w:val="clear" w:color="auto" w:fill="auto"/>
          </w:tcPr>
          <w:p w14:paraId="34EF48AB" w14:textId="133B85A5" w:rsidR="0007280C" w:rsidRPr="00944ACA" w:rsidRDefault="0007280C" w:rsidP="0007280C">
            <w:pPr>
              <w:spacing w:before="240" w:after="240"/>
              <w:rPr>
                <w:rFonts w:ascii="Aptos" w:hAnsi="Aptos"/>
                <w:sz w:val="24"/>
                <w:lang w:eastAsia="en-AU"/>
              </w:rPr>
            </w:pPr>
            <w:r w:rsidRPr="00944ACA">
              <w:rPr>
                <w:rFonts w:ascii="Aptos" w:eastAsia="Times New Roman" w:hAnsi="Aptos"/>
                <w:b w:val="0"/>
                <w:bCs w:val="0"/>
                <w:spacing w:val="0"/>
                <w:kern w:val="0"/>
                <w:sz w:val="24"/>
                <w:lang w:eastAsia="en-AU"/>
                <w14:ligatures w14:val="none"/>
              </w:rPr>
              <w:t xml:space="preserve">4.2.1 </w:t>
            </w:r>
            <w:r w:rsidRPr="00321436">
              <w:rPr>
                <w:rFonts w:ascii="Aptos" w:hAnsi="Aptos"/>
                <w:b w:val="0"/>
                <w:bCs w:val="0"/>
                <w:sz w:val="24"/>
              </w:rPr>
              <w:t>—</w:t>
            </w:r>
            <w:r>
              <w:rPr>
                <w:rFonts w:ascii="Aptos" w:hAnsi="Aptos"/>
                <w:b w:val="0"/>
                <w:bCs w:val="0"/>
                <w:sz w:val="24"/>
              </w:rPr>
              <w:t xml:space="preserve"> </w:t>
            </w:r>
            <w:r w:rsidRPr="00944ACA">
              <w:rPr>
                <w:rFonts w:ascii="Aptos" w:hAnsi="Aptos"/>
                <w:b w:val="0"/>
                <w:bCs w:val="0"/>
                <w:sz w:val="24"/>
              </w:rPr>
              <w:t>Develop pathways and activities for Aboriginal and Torres Strait Islander people to safely access and participate in genomics research through leading, identifying priorities, partnership, co-design of study methodology and defining outcomes and the benefits for Aboriginal and Torres Strait Islander people and communities.</w:t>
            </w:r>
          </w:p>
        </w:tc>
        <w:tc>
          <w:tcPr>
            <w:tcW w:w="743" w:type="pct"/>
            <w:shd w:val="clear" w:color="auto" w:fill="auto"/>
          </w:tcPr>
          <w:p w14:paraId="5AC39539" w14:textId="77777777" w:rsidR="0007280C" w:rsidRPr="00944ACA"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rPr>
            </w:pPr>
          </w:p>
        </w:tc>
        <w:tc>
          <w:tcPr>
            <w:tcW w:w="1161" w:type="pct"/>
            <w:shd w:val="clear" w:color="auto" w:fill="auto"/>
          </w:tcPr>
          <w:p w14:paraId="1C409908" w14:textId="77777777" w:rsidR="0007280C" w:rsidRPr="00944ACA"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lang w:eastAsia="en-AU"/>
              </w:rPr>
            </w:pPr>
          </w:p>
        </w:tc>
        <w:tc>
          <w:tcPr>
            <w:tcW w:w="802" w:type="pct"/>
            <w:shd w:val="clear" w:color="auto" w:fill="auto"/>
          </w:tcPr>
          <w:p w14:paraId="753B7BE7" w14:textId="77777777" w:rsidR="0007280C" w:rsidRPr="00944ACA"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rPr>
            </w:pPr>
          </w:p>
        </w:tc>
      </w:tr>
      <w:tr w:rsidR="0007280C" w:rsidRPr="00944ACA" w14:paraId="76E16A8A" w14:textId="77777777" w:rsidTr="0069120C">
        <w:trPr>
          <w:cantSplit/>
          <w:trHeight w:val="300"/>
        </w:trPr>
        <w:tc>
          <w:tcPr>
            <w:cnfStyle w:val="001000000000" w:firstRow="0" w:lastRow="0" w:firstColumn="1" w:lastColumn="0" w:oddVBand="0" w:evenVBand="0" w:oddHBand="0" w:evenHBand="0" w:firstRowFirstColumn="0" w:firstRowLastColumn="0" w:lastRowFirstColumn="0" w:lastRowLastColumn="0"/>
            <w:tcW w:w="2293" w:type="pct"/>
            <w:shd w:val="clear" w:color="auto" w:fill="auto"/>
          </w:tcPr>
          <w:p w14:paraId="69383EE0" w14:textId="1E2843B6" w:rsidR="0007280C" w:rsidRPr="00944ACA" w:rsidRDefault="0007280C" w:rsidP="0007280C">
            <w:pPr>
              <w:spacing w:before="240" w:after="240"/>
              <w:rPr>
                <w:rFonts w:ascii="Aptos" w:hAnsi="Aptos"/>
                <w:sz w:val="24"/>
                <w:lang w:eastAsia="en-AU"/>
              </w:rPr>
            </w:pPr>
            <w:r w:rsidRPr="00576E1E">
              <w:rPr>
                <w:rFonts w:ascii="Aptos" w:eastAsia="Times New Roman" w:hAnsi="Aptos"/>
                <w:b w:val="0"/>
                <w:bCs w:val="0"/>
                <w:spacing w:val="0"/>
                <w:kern w:val="0"/>
                <w:sz w:val="24"/>
                <w:lang w:eastAsia="en-AU"/>
                <w14:ligatures w14:val="none"/>
              </w:rPr>
              <w:t>4.</w:t>
            </w:r>
            <w:r>
              <w:rPr>
                <w:rFonts w:ascii="Aptos" w:eastAsia="Times New Roman" w:hAnsi="Aptos"/>
                <w:b w:val="0"/>
                <w:bCs w:val="0"/>
                <w:spacing w:val="0"/>
                <w:kern w:val="0"/>
                <w:sz w:val="24"/>
                <w:lang w:eastAsia="en-AU"/>
                <w14:ligatures w14:val="none"/>
              </w:rPr>
              <w:t>2</w:t>
            </w:r>
            <w:r w:rsidRPr="00576E1E">
              <w:rPr>
                <w:rFonts w:ascii="Aptos" w:eastAsia="Times New Roman" w:hAnsi="Aptos"/>
                <w:b w:val="0"/>
                <w:bCs w:val="0"/>
                <w:spacing w:val="0"/>
                <w:kern w:val="0"/>
                <w:sz w:val="24"/>
                <w:lang w:eastAsia="en-AU"/>
                <w14:ligatures w14:val="none"/>
              </w:rPr>
              <w:t>.</w:t>
            </w:r>
            <w:r>
              <w:rPr>
                <w:rFonts w:ascii="Aptos" w:eastAsia="Times New Roman" w:hAnsi="Aptos"/>
                <w:b w:val="0"/>
                <w:bCs w:val="0"/>
                <w:spacing w:val="0"/>
                <w:kern w:val="0"/>
                <w:sz w:val="24"/>
                <w:lang w:eastAsia="en-AU"/>
                <w14:ligatures w14:val="none"/>
              </w:rPr>
              <w:t>2</w:t>
            </w:r>
            <w:r w:rsidRPr="00576E1E">
              <w:rPr>
                <w:rFonts w:ascii="Aptos" w:eastAsia="Times New Roman" w:hAnsi="Aptos"/>
                <w:b w:val="0"/>
                <w:bCs w:val="0"/>
                <w:spacing w:val="0"/>
                <w:kern w:val="0"/>
                <w:sz w:val="24"/>
                <w:lang w:eastAsia="en-AU"/>
                <w14:ligatures w14:val="none"/>
              </w:rPr>
              <w:t xml:space="preserve"> </w:t>
            </w:r>
            <w:r w:rsidRPr="00321436">
              <w:rPr>
                <w:rFonts w:ascii="Aptos" w:hAnsi="Aptos"/>
                <w:b w:val="0"/>
                <w:bCs w:val="0"/>
                <w:sz w:val="24"/>
              </w:rPr>
              <w:t>—</w:t>
            </w:r>
            <w:r>
              <w:rPr>
                <w:rFonts w:ascii="Aptos" w:hAnsi="Aptos"/>
                <w:b w:val="0"/>
                <w:bCs w:val="0"/>
                <w:sz w:val="24"/>
              </w:rPr>
              <w:t xml:space="preserve"> </w:t>
            </w:r>
            <w:r w:rsidRPr="00576E1E">
              <w:rPr>
                <w:rFonts w:ascii="Aptos" w:hAnsi="Aptos"/>
                <w:b w:val="0"/>
                <w:bCs w:val="0"/>
                <w:sz w:val="24"/>
              </w:rPr>
              <w:t xml:space="preserve">Evaluate existing or emerging cultural competency resources for non-Aboriginal and Torres Strait Islander health professionals engaged in genomics and ensure these resources are considered as part of broader activities to improve the genomics knowledge and competency of the workforce (see </w:t>
            </w:r>
            <w:hyperlink w:anchor="_Strategic_Priority_2" w:history="1">
              <w:r w:rsidR="007E7E90" w:rsidRPr="007E7E90">
                <w:rPr>
                  <w:rStyle w:val="Hyperlink"/>
                  <w:b w:val="0"/>
                  <w:bCs w:val="0"/>
                  <w:sz w:val="24"/>
                </w:rPr>
                <w:t xml:space="preserve">Strategic </w:t>
              </w:r>
              <w:r w:rsidRPr="007E7E90">
                <w:rPr>
                  <w:rStyle w:val="Hyperlink"/>
                  <w:b w:val="0"/>
                  <w:bCs w:val="0"/>
                  <w:sz w:val="24"/>
                </w:rPr>
                <w:t>Priority 2</w:t>
              </w:r>
            </w:hyperlink>
            <w:r w:rsidRPr="00576E1E">
              <w:rPr>
                <w:rFonts w:ascii="Aptos" w:hAnsi="Aptos"/>
                <w:b w:val="0"/>
                <w:bCs w:val="0"/>
                <w:sz w:val="24"/>
              </w:rPr>
              <w:t>).</w:t>
            </w:r>
          </w:p>
        </w:tc>
        <w:tc>
          <w:tcPr>
            <w:tcW w:w="743" w:type="pct"/>
            <w:shd w:val="clear" w:color="auto" w:fill="auto"/>
          </w:tcPr>
          <w:p w14:paraId="2DD10346" w14:textId="77777777" w:rsidR="0007280C" w:rsidRPr="00944ACA"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rPr>
            </w:pPr>
          </w:p>
        </w:tc>
        <w:tc>
          <w:tcPr>
            <w:tcW w:w="1161" w:type="pct"/>
            <w:shd w:val="clear" w:color="auto" w:fill="auto"/>
          </w:tcPr>
          <w:p w14:paraId="46775D7C" w14:textId="77777777" w:rsidR="0007280C" w:rsidRPr="00944ACA"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lang w:eastAsia="en-AU"/>
              </w:rPr>
            </w:pPr>
          </w:p>
        </w:tc>
        <w:tc>
          <w:tcPr>
            <w:tcW w:w="802" w:type="pct"/>
            <w:shd w:val="clear" w:color="auto" w:fill="auto"/>
          </w:tcPr>
          <w:p w14:paraId="6C4A3BB4" w14:textId="77777777" w:rsidR="0007280C" w:rsidRPr="00944ACA"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rPr>
            </w:pPr>
          </w:p>
        </w:tc>
      </w:tr>
      <w:tr w:rsidR="0007280C" w:rsidRPr="00944ACA" w14:paraId="2E9E8F9D" w14:textId="77777777" w:rsidTr="0069120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293" w:type="pct"/>
            <w:shd w:val="clear" w:color="auto" w:fill="auto"/>
          </w:tcPr>
          <w:p w14:paraId="62B981BA" w14:textId="12129411" w:rsidR="0007280C" w:rsidRPr="00944ACA" w:rsidRDefault="0007280C" w:rsidP="0007280C">
            <w:pPr>
              <w:spacing w:before="240" w:after="240"/>
              <w:rPr>
                <w:rFonts w:ascii="Aptos" w:hAnsi="Aptos"/>
                <w:sz w:val="24"/>
                <w:lang w:eastAsia="en-AU"/>
              </w:rPr>
            </w:pPr>
            <w:r w:rsidRPr="00576E1E">
              <w:rPr>
                <w:rFonts w:ascii="Aptos" w:eastAsia="Times New Roman" w:hAnsi="Aptos"/>
                <w:b w:val="0"/>
                <w:bCs w:val="0"/>
                <w:spacing w:val="0"/>
                <w:kern w:val="0"/>
                <w:sz w:val="24"/>
                <w:lang w:eastAsia="en-AU"/>
                <w14:ligatures w14:val="none"/>
              </w:rPr>
              <w:lastRenderedPageBreak/>
              <w:t>4.</w:t>
            </w:r>
            <w:r>
              <w:rPr>
                <w:rFonts w:ascii="Aptos" w:eastAsia="Times New Roman" w:hAnsi="Aptos"/>
                <w:b w:val="0"/>
                <w:bCs w:val="0"/>
                <w:spacing w:val="0"/>
                <w:kern w:val="0"/>
                <w:sz w:val="24"/>
                <w:lang w:eastAsia="en-AU"/>
                <w14:ligatures w14:val="none"/>
              </w:rPr>
              <w:t>2</w:t>
            </w:r>
            <w:r w:rsidRPr="00576E1E">
              <w:rPr>
                <w:rFonts w:ascii="Aptos" w:eastAsia="Times New Roman" w:hAnsi="Aptos"/>
                <w:b w:val="0"/>
                <w:bCs w:val="0"/>
                <w:spacing w:val="0"/>
                <w:kern w:val="0"/>
                <w:sz w:val="24"/>
                <w:lang w:eastAsia="en-AU"/>
                <w14:ligatures w14:val="none"/>
              </w:rPr>
              <w:t>.</w:t>
            </w:r>
            <w:r>
              <w:rPr>
                <w:rFonts w:ascii="Aptos" w:eastAsia="Times New Roman" w:hAnsi="Aptos"/>
                <w:b w:val="0"/>
                <w:bCs w:val="0"/>
                <w:spacing w:val="0"/>
                <w:kern w:val="0"/>
                <w:sz w:val="24"/>
                <w:lang w:eastAsia="en-AU"/>
                <w14:ligatures w14:val="none"/>
              </w:rPr>
              <w:t>3</w:t>
            </w:r>
            <w:r w:rsidRPr="00576E1E">
              <w:rPr>
                <w:rFonts w:ascii="Aptos" w:eastAsia="Times New Roman" w:hAnsi="Aptos"/>
                <w:b w:val="0"/>
                <w:bCs w:val="0"/>
                <w:spacing w:val="0"/>
                <w:kern w:val="0"/>
                <w:sz w:val="24"/>
                <w:lang w:eastAsia="en-AU"/>
                <w14:ligatures w14:val="none"/>
              </w:rPr>
              <w:t xml:space="preserve"> </w:t>
            </w:r>
            <w:r w:rsidRPr="00321436">
              <w:rPr>
                <w:rFonts w:ascii="Aptos" w:hAnsi="Aptos"/>
                <w:b w:val="0"/>
                <w:bCs w:val="0"/>
                <w:sz w:val="24"/>
              </w:rPr>
              <w:t>—</w:t>
            </w:r>
            <w:r>
              <w:rPr>
                <w:rFonts w:ascii="Aptos" w:hAnsi="Aptos"/>
                <w:b w:val="0"/>
                <w:bCs w:val="0"/>
                <w:sz w:val="24"/>
              </w:rPr>
              <w:t xml:space="preserve"> </w:t>
            </w:r>
            <w:r w:rsidRPr="00576E1E">
              <w:rPr>
                <w:rFonts w:ascii="Aptos" w:hAnsi="Aptos"/>
                <w:b w:val="0"/>
                <w:bCs w:val="0"/>
                <w:sz w:val="24"/>
              </w:rPr>
              <w:t>Conduct regular scoping activities to identify the current and ongoing need for the inclusion of cultural competency as it relates to genomics (and related disciplines) in undergraduate and postgraduate curricula in relevant courses and programs, clinical practice guidelines, capability frameworks and standards, and CPD training modules.</w:t>
            </w:r>
          </w:p>
        </w:tc>
        <w:tc>
          <w:tcPr>
            <w:tcW w:w="743" w:type="pct"/>
            <w:shd w:val="clear" w:color="auto" w:fill="auto"/>
          </w:tcPr>
          <w:p w14:paraId="01B2B5CF" w14:textId="77777777" w:rsidR="0007280C" w:rsidRPr="00944ACA"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rPr>
            </w:pPr>
          </w:p>
        </w:tc>
        <w:tc>
          <w:tcPr>
            <w:tcW w:w="1161" w:type="pct"/>
            <w:shd w:val="clear" w:color="auto" w:fill="auto"/>
          </w:tcPr>
          <w:p w14:paraId="3FF575A1" w14:textId="77777777" w:rsidR="0007280C" w:rsidRPr="00944ACA"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lang w:eastAsia="en-AU"/>
              </w:rPr>
            </w:pPr>
          </w:p>
        </w:tc>
        <w:tc>
          <w:tcPr>
            <w:tcW w:w="802" w:type="pct"/>
            <w:shd w:val="clear" w:color="auto" w:fill="auto"/>
          </w:tcPr>
          <w:p w14:paraId="46AE7A81" w14:textId="77777777" w:rsidR="0007280C" w:rsidRPr="00944ACA"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rPr>
            </w:pPr>
          </w:p>
        </w:tc>
      </w:tr>
      <w:tr w:rsidR="0007280C" w:rsidRPr="00944ACA" w14:paraId="019C86C0" w14:textId="77777777" w:rsidTr="0069120C">
        <w:trPr>
          <w:cantSplit/>
          <w:trHeight w:val="300"/>
        </w:trPr>
        <w:tc>
          <w:tcPr>
            <w:cnfStyle w:val="001000000000" w:firstRow="0" w:lastRow="0" w:firstColumn="1" w:lastColumn="0" w:oddVBand="0" w:evenVBand="0" w:oddHBand="0" w:evenHBand="0" w:firstRowFirstColumn="0" w:firstRowLastColumn="0" w:lastRowFirstColumn="0" w:lastRowLastColumn="0"/>
            <w:tcW w:w="2293" w:type="pct"/>
            <w:shd w:val="clear" w:color="auto" w:fill="auto"/>
          </w:tcPr>
          <w:p w14:paraId="3617AE64" w14:textId="75FC1328" w:rsidR="0007280C" w:rsidRPr="00944ACA" w:rsidRDefault="0007280C" w:rsidP="0007280C">
            <w:pPr>
              <w:spacing w:before="240" w:after="240"/>
              <w:rPr>
                <w:rFonts w:ascii="Aptos" w:hAnsi="Aptos"/>
                <w:sz w:val="24"/>
                <w:lang w:eastAsia="en-AU"/>
              </w:rPr>
            </w:pPr>
            <w:r w:rsidRPr="00944ACA">
              <w:rPr>
                <w:rFonts w:ascii="Aptos" w:eastAsia="Times New Roman" w:hAnsi="Aptos"/>
                <w:b w:val="0"/>
                <w:bCs w:val="0"/>
                <w:spacing w:val="0"/>
                <w:kern w:val="0"/>
                <w:sz w:val="24"/>
                <w:lang w:eastAsia="en-AU"/>
                <w14:ligatures w14:val="none"/>
              </w:rPr>
              <w:t>4.</w:t>
            </w:r>
            <w:r>
              <w:rPr>
                <w:rFonts w:ascii="Aptos" w:eastAsia="Times New Roman" w:hAnsi="Aptos"/>
                <w:b w:val="0"/>
                <w:bCs w:val="0"/>
                <w:spacing w:val="0"/>
                <w:kern w:val="0"/>
                <w:sz w:val="24"/>
                <w:lang w:eastAsia="en-AU"/>
                <w14:ligatures w14:val="none"/>
              </w:rPr>
              <w:t>2</w:t>
            </w:r>
            <w:r w:rsidRPr="00944ACA">
              <w:rPr>
                <w:rFonts w:ascii="Aptos" w:eastAsia="Times New Roman" w:hAnsi="Aptos"/>
                <w:b w:val="0"/>
                <w:bCs w:val="0"/>
                <w:spacing w:val="0"/>
                <w:kern w:val="0"/>
                <w:sz w:val="24"/>
                <w:lang w:eastAsia="en-AU"/>
                <w14:ligatures w14:val="none"/>
              </w:rPr>
              <w:t xml:space="preserve">.4 </w:t>
            </w:r>
            <w:r w:rsidRPr="00321436">
              <w:rPr>
                <w:rFonts w:ascii="Aptos" w:hAnsi="Aptos"/>
                <w:b w:val="0"/>
                <w:bCs w:val="0"/>
                <w:sz w:val="24"/>
              </w:rPr>
              <w:t>—</w:t>
            </w:r>
            <w:r>
              <w:rPr>
                <w:rFonts w:ascii="Aptos" w:hAnsi="Aptos"/>
                <w:b w:val="0"/>
                <w:bCs w:val="0"/>
                <w:sz w:val="24"/>
              </w:rPr>
              <w:t xml:space="preserve"> </w:t>
            </w:r>
            <w:r w:rsidRPr="00944ACA">
              <w:rPr>
                <w:rFonts w:ascii="Aptos" w:hAnsi="Aptos"/>
                <w:b w:val="0"/>
                <w:bCs w:val="0"/>
                <w:sz w:val="24"/>
              </w:rPr>
              <w:t>Evaluate existing and develop new culturally informed and language appropriate educational resources on genomics-</w:t>
            </w:r>
            <w:r>
              <w:rPr>
                <w:rFonts w:ascii="Aptos" w:hAnsi="Aptos"/>
                <w:b w:val="0"/>
                <w:bCs w:val="0"/>
                <w:sz w:val="24"/>
              </w:rPr>
              <w:t>inform</w:t>
            </w:r>
            <w:r w:rsidRPr="00944ACA">
              <w:rPr>
                <w:rFonts w:ascii="Aptos" w:hAnsi="Aptos"/>
                <w:b w:val="0"/>
                <w:bCs w:val="0"/>
                <w:sz w:val="24"/>
              </w:rPr>
              <w:t>ed health care and research for Aboriginal and Torres Strait Islander people, and support individuals and communities to access these resources.</w:t>
            </w:r>
          </w:p>
        </w:tc>
        <w:tc>
          <w:tcPr>
            <w:tcW w:w="743" w:type="pct"/>
            <w:shd w:val="clear" w:color="auto" w:fill="auto"/>
          </w:tcPr>
          <w:p w14:paraId="458A1469" w14:textId="77777777" w:rsidR="0007280C" w:rsidRPr="00944ACA"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rPr>
            </w:pPr>
          </w:p>
        </w:tc>
        <w:tc>
          <w:tcPr>
            <w:tcW w:w="1161" w:type="pct"/>
            <w:shd w:val="clear" w:color="auto" w:fill="auto"/>
          </w:tcPr>
          <w:p w14:paraId="5D3DD111" w14:textId="77777777" w:rsidR="0007280C" w:rsidRPr="00944ACA"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lang w:eastAsia="en-AU"/>
              </w:rPr>
            </w:pPr>
          </w:p>
        </w:tc>
        <w:tc>
          <w:tcPr>
            <w:tcW w:w="802" w:type="pct"/>
            <w:shd w:val="clear" w:color="auto" w:fill="auto"/>
          </w:tcPr>
          <w:p w14:paraId="278A599C" w14:textId="77777777" w:rsidR="0007280C" w:rsidRPr="00944ACA"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rPr>
            </w:pPr>
          </w:p>
        </w:tc>
      </w:tr>
      <w:tr w:rsidR="0007280C" w:rsidRPr="00944ACA" w14:paraId="1D957ABB" w14:textId="77777777" w:rsidTr="0069120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293" w:type="pct"/>
            <w:shd w:val="clear" w:color="auto" w:fill="auto"/>
          </w:tcPr>
          <w:p w14:paraId="44D3E53C" w14:textId="085C37FF" w:rsidR="0007280C" w:rsidRPr="00944ACA" w:rsidRDefault="0007280C" w:rsidP="0007280C">
            <w:pPr>
              <w:spacing w:before="240" w:after="240"/>
              <w:rPr>
                <w:rFonts w:ascii="Aptos" w:hAnsi="Aptos"/>
                <w:sz w:val="24"/>
                <w:lang w:eastAsia="en-AU"/>
              </w:rPr>
            </w:pPr>
            <w:r w:rsidRPr="00944ACA">
              <w:rPr>
                <w:rFonts w:ascii="Aptos" w:eastAsia="Times New Roman" w:hAnsi="Aptos"/>
                <w:b w:val="0"/>
                <w:bCs w:val="0"/>
                <w:spacing w:val="0"/>
                <w:kern w:val="0"/>
                <w:sz w:val="24"/>
                <w:lang w:eastAsia="en-AU"/>
                <w14:ligatures w14:val="none"/>
              </w:rPr>
              <w:t>4.</w:t>
            </w:r>
            <w:r>
              <w:rPr>
                <w:rFonts w:ascii="Aptos" w:eastAsia="Times New Roman" w:hAnsi="Aptos"/>
                <w:b w:val="0"/>
                <w:bCs w:val="0"/>
                <w:spacing w:val="0"/>
                <w:kern w:val="0"/>
                <w:sz w:val="24"/>
                <w:lang w:eastAsia="en-AU"/>
                <w14:ligatures w14:val="none"/>
              </w:rPr>
              <w:t>2</w:t>
            </w:r>
            <w:r w:rsidRPr="00944ACA">
              <w:rPr>
                <w:rFonts w:ascii="Aptos" w:eastAsia="Times New Roman" w:hAnsi="Aptos"/>
                <w:b w:val="0"/>
                <w:bCs w:val="0"/>
                <w:spacing w:val="0"/>
                <w:kern w:val="0"/>
                <w:sz w:val="24"/>
                <w:lang w:eastAsia="en-AU"/>
                <w14:ligatures w14:val="none"/>
              </w:rPr>
              <w:t>.</w:t>
            </w:r>
            <w:r>
              <w:rPr>
                <w:rFonts w:ascii="Aptos" w:eastAsia="Times New Roman" w:hAnsi="Aptos"/>
                <w:b w:val="0"/>
                <w:bCs w:val="0"/>
                <w:spacing w:val="0"/>
                <w:kern w:val="0"/>
                <w:sz w:val="24"/>
                <w:lang w:eastAsia="en-AU"/>
                <w14:ligatures w14:val="none"/>
              </w:rPr>
              <w:t>5</w:t>
            </w:r>
            <w:r w:rsidRPr="00944ACA">
              <w:rPr>
                <w:rFonts w:ascii="Aptos" w:eastAsia="Times New Roman" w:hAnsi="Aptos"/>
                <w:b w:val="0"/>
                <w:bCs w:val="0"/>
                <w:spacing w:val="0"/>
                <w:kern w:val="0"/>
                <w:sz w:val="24"/>
                <w:lang w:eastAsia="en-AU"/>
                <w14:ligatures w14:val="none"/>
              </w:rPr>
              <w:t xml:space="preserve"> </w:t>
            </w:r>
            <w:r w:rsidRPr="00321436">
              <w:rPr>
                <w:rFonts w:ascii="Aptos" w:hAnsi="Aptos"/>
                <w:b w:val="0"/>
                <w:bCs w:val="0"/>
                <w:sz w:val="24"/>
              </w:rPr>
              <w:t>—</w:t>
            </w:r>
            <w:r>
              <w:rPr>
                <w:rFonts w:ascii="Aptos" w:hAnsi="Aptos"/>
                <w:b w:val="0"/>
                <w:bCs w:val="0"/>
                <w:sz w:val="24"/>
              </w:rPr>
              <w:t xml:space="preserve"> </w:t>
            </w:r>
            <w:r w:rsidRPr="00944ACA">
              <w:rPr>
                <w:rFonts w:ascii="Aptos" w:hAnsi="Aptos"/>
                <w:b w:val="0"/>
                <w:bCs w:val="0"/>
                <w:sz w:val="24"/>
              </w:rPr>
              <w:t xml:space="preserve">Develop and implement strategies to build representation of Aboriginal and Torres Strait Islander people across the genomic health workforce (consistent with the </w:t>
            </w:r>
            <w:hyperlink r:id="rId18" w:history="1">
              <w:r w:rsidRPr="007E7E90">
                <w:rPr>
                  <w:rStyle w:val="Hyperlink"/>
                  <w:b w:val="0"/>
                  <w:bCs w:val="0"/>
                  <w:i/>
                  <w:iCs/>
                  <w:sz w:val="24"/>
                </w:rPr>
                <w:t>National Aboriginal and Torres Strait Islander Health Workforce Strategic Framework and Implementation Plan 2021–2031</w:t>
              </w:r>
            </w:hyperlink>
            <w:r w:rsidRPr="00944ACA">
              <w:rPr>
                <w:rFonts w:ascii="Aptos" w:hAnsi="Aptos"/>
                <w:b w:val="0"/>
                <w:bCs w:val="0"/>
                <w:sz w:val="24"/>
              </w:rPr>
              <w:t>), including defining the current and future needs of the workforce.</w:t>
            </w:r>
          </w:p>
        </w:tc>
        <w:tc>
          <w:tcPr>
            <w:tcW w:w="743" w:type="pct"/>
            <w:shd w:val="clear" w:color="auto" w:fill="auto"/>
          </w:tcPr>
          <w:p w14:paraId="100E0724" w14:textId="77777777" w:rsidR="0007280C" w:rsidRPr="00944ACA"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rPr>
            </w:pPr>
          </w:p>
        </w:tc>
        <w:tc>
          <w:tcPr>
            <w:tcW w:w="1161" w:type="pct"/>
            <w:shd w:val="clear" w:color="auto" w:fill="auto"/>
          </w:tcPr>
          <w:p w14:paraId="0534A97A" w14:textId="77777777" w:rsidR="0007280C" w:rsidRPr="00944ACA"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lang w:eastAsia="en-AU"/>
              </w:rPr>
            </w:pPr>
          </w:p>
        </w:tc>
        <w:tc>
          <w:tcPr>
            <w:tcW w:w="802" w:type="pct"/>
            <w:shd w:val="clear" w:color="auto" w:fill="auto"/>
          </w:tcPr>
          <w:p w14:paraId="5056660A" w14:textId="77777777" w:rsidR="0007280C" w:rsidRPr="00944ACA" w:rsidRDefault="0007280C" w:rsidP="0007280C">
            <w:pPr>
              <w:spacing w:before="240" w:after="240"/>
              <w:jc w:val="center"/>
              <w:cnfStyle w:val="000000100000" w:firstRow="0" w:lastRow="0" w:firstColumn="0" w:lastColumn="0" w:oddVBand="0" w:evenVBand="0" w:oddHBand="1" w:evenHBand="0" w:firstRowFirstColumn="0" w:firstRowLastColumn="0" w:lastRowFirstColumn="0" w:lastRowLastColumn="0"/>
              <w:rPr>
                <w:rFonts w:ascii="Aptos" w:hAnsi="Aptos"/>
                <w:sz w:val="24"/>
              </w:rPr>
            </w:pPr>
          </w:p>
        </w:tc>
      </w:tr>
      <w:tr w:rsidR="0007280C" w:rsidRPr="00944ACA" w14:paraId="7A2A9E42" w14:textId="77777777" w:rsidTr="0069120C">
        <w:trPr>
          <w:cantSplit/>
          <w:trHeight w:val="300"/>
        </w:trPr>
        <w:tc>
          <w:tcPr>
            <w:cnfStyle w:val="001000000000" w:firstRow="0" w:lastRow="0" w:firstColumn="1" w:lastColumn="0" w:oddVBand="0" w:evenVBand="0" w:oddHBand="0" w:evenHBand="0" w:firstRowFirstColumn="0" w:firstRowLastColumn="0" w:lastRowFirstColumn="0" w:lastRowLastColumn="0"/>
            <w:tcW w:w="2293" w:type="pct"/>
            <w:shd w:val="clear" w:color="auto" w:fill="auto"/>
          </w:tcPr>
          <w:p w14:paraId="5997FC07" w14:textId="50606F40" w:rsidR="0007280C" w:rsidRPr="00944ACA" w:rsidRDefault="0007280C" w:rsidP="0007280C">
            <w:pPr>
              <w:spacing w:before="240" w:after="240"/>
              <w:rPr>
                <w:rFonts w:ascii="Aptos" w:hAnsi="Aptos"/>
                <w:sz w:val="24"/>
                <w:lang w:eastAsia="en-AU"/>
              </w:rPr>
            </w:pPr>
            <w:r w:rsidRPr="00944ACA">
              <w:rPr>
                <w:rFonts w:ascii="Aptos" w:eastAsia="Times New Roman" w:hAnsi="Aptos"/>
                <w:b w:val="0"/>
                <w:bCs w:val="0"/>
                <w:spacing w:val="0"/>
                <w:kern w:val="0"/>
                <w:sz w:val="24"/>
                <w:lang w:eastAsia="en-AU"/>
                <w14:ligatures w14:val="none"/>
              </w:rPr>
              <w:t>4.2.</w:t>
            </w:r>
            <w:r>
              <w:rPr>
                <w:rFonts w:ascii="Aptos" w:eastAsia="Times New Roman" w:hAnsi="Aptos"/>
                <w:b w:val="0"/>
                <w:bCs w:val="0"/>
                <w:spacing w:val="0"/>
                <w:kern w:val="0"/>
                <w:sz w:val="24"/>
                <w:lang w:eastAsia="en-AU"/>
                <w14:ligatures w14:val="none"/>
              </w:rPr>
              <w:t>6</w:t>
            </w:r>
            <w:r w:rsidRPr="00944ACA">
              <w:rPr>
                <w:rFonts w:ascii="Aptos" w:eastAsia="Times New Roman" w:hAnsi="Aptos"/>
                <w:b w:val="0"/>
                <w:bCs w:val="0"/>
                <w:spacing w:val="0"/>
                <w:kern w:val="0"/>
                <w:sz w:val="24"/>
                <w:lang w:eastAsia="en-AU"/>
                <w14:ligatures w14:val="none"/>
              </w:rPr>
              <w:t xml:space="preserve"> </w:t>
            </w:r>
            <w:r w:rsidRPr="00321436">
              <w:rPr>
                <w:rFonts w:ascii="Aptos" w:hAnsi="Aptos"/>
                <w:b w:val="0"/>
                <w:bCs w:val="0"/>
                <w:sz w:val="24"/>
              </w:rPr>
              <w:t>—</w:t>
            </w:r>
            <w:r>
              <w:rPr>
                <w:rFonts w:ascii="Aptos" w:hAnsi="Aptos"/>
                <w:b w:val="0"/>
                <w:bCs w:val="0"/>
                <w:sz w:val="24"/>
              </w:rPr>
              <w:t xml:space="preserve"> </w:t>
            </w:r>
            <w:r w:rsidRPr="00944ACA">
              <w:rPr>
                <w:rFonts w:ascii="Aptos" w:hAnsi="Aptos"/>
                <w:b w:val="0"/>
                <w:bCs w:val="0"/>
                <w:sz w:val="24"/>
              </w:rPr>
              <w:t>Develop culturally informed strategies, building on existing ongoing research and efforts, to ensure genomic and phenotypic databases reflect the diversity of the Aboriginal and Torres Strait Islander population.</w:t>
            </w:r>
          </w:p>
        </w:tc>
        <w:tc>
          <w:tcPr>
            <w:tcW w:w="743" w:type="pct"/>
            <w:shd w:val="clear" w:color="auto" w:fill="auto"/>
          </w:tcPr>
          <w:p w14:paraId="36AC869D" w14:textId="77777777" w:rsidR="0007280C" w:rsidRPr="00944ACA"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rPr>
            </w:pPr>
          </w:p>
        </w:tc>
        <w:tc>
          <w:tcPr>
            <w:tcW w:w="1161" w:type="pct"/>
            <w:shd w:val="clear" w:color="auto" w:fill="auto"/>
          </w:tcPr>
          <w:p w14:paraId="13B5085C" w14:textId="77777777" w:rsidR="0007280C" w:rsidRPr="00944ACA"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lang w:eastAsia="en-AU"/>
              </w:rPr>
            </w:pPr>
          </w:p>
        </w:tc>
        <w:tc>
          <w:tcPr>
            <w:tcW w:w="802" w:type="pct"/>
            <w:shd w:val="clear" w:color="auto" w:fill="auto"/>
          </w:tcPr>
          <w:p w14:paraId="230E644D" w14:textId="77777777" w:rsidR="0007280C" w:rsidRPr="00944ACA" w:rsidRDefault="0007280C" w:rsidP="0007280C">
            <w:pPr>
              <w:spacing w:before="240" w:after="240"/>
              <w:jc w:val="center"/>
              <w:cnfStyle w:val="000000000000" w:firstRow="0" w:lastRow="0" w:firstColumn="0" w:lastColumn="0" w:oddVBand="0" w:evenVBand="0" w:oddHBand="0" w:evenHBand="0" w:firstRowFirstColumn="0" w:firstRowLastColumn="0" w:lastRowFirstColumn="0" w:lastRowLastColumn="0"/>
              <w:rPr>
                <w:rFonts w:ascii="Aptos" w:hAnsi="Aptos"/>
                <w:sz w:val="24"/>
              </w:rPr>
            </w:pPr>
          </w:p>
        </w:tc>
      </w:tr>
    </w:tbl>
    <w:p w14:paraId="42BA7FFB" w14:textId="76075E65" w:rsidR="00F063B3" w:rsidRDefault="00F063B3">
      <w:pPr>
        <w:rPr>
          <w:rFonts w:ascii="Aptos" w:hAnsi="Aptos" w:cs="Arial"/>
          <w:bCs/>
          <w:color w:val="3F4A75"/>
          <w:kern w:val="28"/>
          <w:sz w:val="36"/>
          <w:szCs w:val="36"/>
        </w:rPr>
      </w:pPr>
    </w:p>
    <w:p w14:paraId="33883C12" w14:textId="77777777" w:rsidR="0069120C" w:rsidRDefault="0069120C">
      <w:pPr>
        <w:rPr>
          <w:rFonts w:ascii="Aptos" w:hAnsi="Aptos" w:cs="Arial"/>
          <w:bCs/>
          <w:color w:val="3F4A75"/>
          <w:kern w:val="28"/>
          <w:sz w:val="36"/>
          <w:szCs w:val="36"/>
        </w:rPr>
      </w:pPr>
      <w:bookmarkStart w:id="73" w:name="_Toc198025701"/>
      <w:r>
        <w:br w:type="page"/>
      </w:r>
    </w:p>
    <w:p w14:paraId="152DF365" w14:textId="23F2C54F" w:rsidR="00C0351C" w:rsidRDefault="00C0351C" w:rsidP="00C0351C">
      <w:pPr>
        <w:pStyle w:val="Heading1"/>
      </w:pPr>
      <w:r>
        <w:lastRenderedPageBreak/>
        <w:t>Appendix 1: Abbreviations and g</w:t>
      </w:r>
      <w:r w:rsidRPr="00F7729C">
        <w:t>lossary</w:t>
      </w:r>
      <w:bookmarkEnd w:id="73"/>
    </w:p>
    <w:p w14:paraId="1EDF220A" w14:textId="77777777" w:rsidR="00C0351C" w:rsidRDefault="00C0351C" w:rsidP="00C0351C">
      <w:pPr>
        <w:pStyle w:val="Heading2"/>
      </w:pPr>
      <w:bookmarkStart w:id="74" w:name="_Toc198025702"/>
      <w:r>
        <w:t>Abbreviations and Acronyms</w:t>
      </w:r>
      <w:bookmarkEnd w:id="74"/>
      <w:r>
        <w:t xml:space="preserve"> </w:t>
      </w:r>
    </w:p>
    <w:tbl>
      <w:tblPr>
        <w:tblStyle w:val="PlainTable1"/>
        <w:tblW w:w="9071" w:type="dxa"/>
        <w:tblLook w:val="0480" w:firstRow="0" w:lastRow="0" w:firstColumn="1" w:lastColumn="0" w:noHBand="0" w:noVBand="1"/>
      </w:tblPr>
      <w:tblGrid>
        <w:gridCol w:w="2268"/>
        <w:gridCol w:w="6803"/>
      </w:tblGrid>
      <w:tr w:rsidR="00364C3F" w:rsidRPr="00364C3F" w14:paraId="5FD027F7" w14:textId="77777777" w:rsidTr="007C0B4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4EE52D0E" w14:textId="77777777" w:rsidR="00364C3F" w:rsidRPr="007E7E90" w:rsidRDefault="00364C3F" w:rsidP="007E7E90">
            <w:pPr>
              <w:pStyle w:val="Heading4"/>
              <w:rPr>
                <w:b/>
                <w:bCs/>
              </w:rPr>
            </w:pPr>
            <w:r w:rsidRPr="007E7E90">
              <w:rPr>
                <w:b/>
                <w:bCs/>
              </w:rPr>
              <w:t>ACSQHC</w:t>
            </w:r>
          </w:p>
        </w:tc>
        <w:tc>
          <w:tcPr>
            <w:tcW w:w="6803" w:type="dxa"/>
            <w:noWrap/>
            <w:vAlign w:val="center"/>
            <w:hideMark/>
          </w:tcPr>
          <w:p w14:paraId="48FE5358" w14:textId="77777777" w:rsidR="00364C3F" w:rsidRPr="00364C3F" w:rsidRDefault="00364C3F" w:rsidP="007C0B45">
            <w:pPr>
              <w:spacing w:afterLines="20" w:after="48"/>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sidRPr="00364C3F">
              <w:rPr>
                <w:rFonts w:ascii="Aptos" w:hAnsi="Aptos"/>
                <w:color w:val="000000"/>
                <w:szCs w:val="22"/>
                <w:lang w:eastAsia="en-AU"/>
              </w:rPr>
              <w:t>Australian Commission on Safety and Quality in Health Care</w:t>
            </w:r>
          </w:p>
        </w:tc>
      </w:tr>
      <w:tr w:rsidR="00364C3F" w:rsidRPr="00364C3F" w14:paraId="44CFEFB7" w14:textId="77777777" w:rsidTr="007C0B45">
        <w:trPr>
          <w:cantSplit/>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4F9A1622" w14:textId="77777777" w:rsidR="00364C3F" w:rsidRPr="007E7E90" w:rsidRDefault="00364C3F" w:rsidP="007E7E90">
            <w:pPr>
              <w:pStyle w:val="Heading4"/>
              <w:rPr>
                <w:b/>
                <w:bCs/>
              </w:rPr>
            </w:pPr>
            <w:r w:rsidRPr="007E7E90">
              <w:rPr>
                <w:b/>
                <w:bCs/>
              </w:rPr>
              <w:t>AHMAC</w:t>
            </w:r>
          </w:p>
        </w:tc>
        <w:tc>
          <w:tcPr>
            <w:tcW w:w="6803" w:type="dxa"/>
            <w:noWrap/>
            <w:vAlign w:val="center"/>
            <w:hideMark/>
          </w:tcPr>
          <w:p w14:paraId="654FE34D" w14:textId="77777777" w:rsidR="00364C3F" w:rsidRPr="00364C3F" w:rsidRDefault="00364C3F" w:rsidP="007C0B45">
            <w:pPr>
              <w:spacing w:afterLines="20" w:after="48"/>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sidRPr="00364C3F">
              <w:rPr>
                <w:rFonts w:ascii="Aptos" w:hAnsi="Aptos"/>
                <w:color w:val="000000"/>
                <w:szCs w:val="22"/>
                <w:lang w:eastAsia="en-AU"/>
              </w:rPr>
              <w:t>Australian Health Ministers' Advisory Council</w:t>
            </w:r>
          </w:p>
        </w:tc>
      </w:tr>
      <w:tr w:rsidR="00364C3F" w:rsidRPr="00364C3F" w14:paraId="42CA6A3C" w14:textId="77777777" w:rsidTr="007C0B4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782C2B26" w14:textId="77777777" w:rsidR="00364C3F" w:rsidRPr="007E7E90" w:rsidRDefault="00364C3F" w:rsidP="007E7E90">
            <w:pPr>
              <w:pStyle w:val="Heading4"/>
              <w:rPr>
                <w:b/>
                <w:bCs/>
              </w:rPr>
            </w:pPr>
            <w:r w:rsidRPr="007E7E90">
              <w:rPr>
                <w:b/>
                <w:bCs/>
              </w:rPr>
              <w:t>ALIGN</w:t>
            </w:r>
          </w:p>
        </w:tc>
        <w:tc>
          <w:tcPr>
            <w:tcW w:w="6803" w:type="dxa"/>
            <w:noWrap/>
            <w:vAlign w:val="center"/>
            <w:hideMark/>
          </w:tcPr>
          <w:p w14:paraId="518051AE" w14:textId="77777777" w:rsidR="00364C3F" w:rsidRPr="00364C3F" w:rsidRDefault="00364C3F" w:rsidP="007C0B45">
            <w:pPr>
              <w:spacing w:afterLines="20" w:after="48"/>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sidRPr="00364C3F">
              <w:rPr>
                <w:rFonts w:ascii="Aptos" w:hAnsi="Aptos"/>
                <w:color w:val="000000"/>
                <w:szCs w:val="22"/>
                <w:lang w:eastAsia="en-AU"/>
              </w:rPr>
              <w:t>Australian Alliance for Indigenous Genomics</w:t>
            </w:r>
          </w:p>
        </w:tc>
      </w:tr>
      <w:tr w:rsidR="00364C3F" w:rsidRPr="00364C3F" w14:paraId="5795D1A7" w14:textId="77777777" w:rsidTr="007C0B45">
        <w:trPr>
          <w:cantSplit/>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6A5A5A75" w14:textId="77777777" w:rsidR="00364C3F" w:rsidRPr="007E7E90" w:rsidRDefault="00364C3F" w:rsidP="007E7E90">
            <w:pPr>
              <w:pStyle w:val="Heading4"/>
              <w:rPr>
                <w:b/>
                <w:bCs/>
              </w:rPr>
            </w:pPr>
            <w:r w:rsidRPr="007E7E90">
              <w:rPr>
                <w:b/>
                <w:bCs/>
              </w:rPr>
              <w:t>APS</w:t>
            </w:r>
          </w:p>
        </w:tc>
        <w:tc>
          <w:tcPr>
            <w:tcW w:w="6803" w:type="dxa"/>
            <w:noWrap/>
            <w:vAlign w:val="center"/>
            <w:hideMark/>
          </w:tcPr>
          <w:p w14:paraId="274D3277" w14:textId="77777777" w:rsidR="00364C3F" w:rsidRPr="00364C3F" w:rsidRDefault="00364C3F" w:rsidP="007C0B45">
            <w:pPr>
              <w:spacing w:afterLines="20" w:after="48"/>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sidRPr="00364C3F">
              <w:rPr>
                <w:rFonts w:ascii="Aptos" w:hAnsi="Aptos"/>
                <w:color w:val="000000"/>
                <w:szCs w:val="22"/>
                <w:lang w:eastAsia="en-AU"/>
              </w:rPr>
              <w:t>Australian Public Service</w:t>
            </w:r>
          </w:p>
        </w:tc>
      </w:tr>
      <w:tr w:rsidR="00364C3F" w:rsidRPr="00364C3F" w14:paraId="190384E1" w14:textId="77777777" w:rsidTr="007C0B4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2998C604" w14:textId="77777777" w:rsidR="00364C3F" w:rsidRPr="007E7E90" w:rsidRDefault="00364C3F" w:rsidP="007E7E90">
            <w:pPr>
              <w:pStyle w:val="Heading4"/>
              <w:rPr>
                <w:b/>
                <w:bCs/>
              </w:rPr>
            </w:pPr>
            <w:r w:rsidRPr="007E7E90">
              <w:rPr>
                <w:b/>
                <w:bCs/>
              </w:rPr>
              <w:t>Cancer Control Framework</w:t>
            </w:r>
          </w:p>
        </w:tc>
        <w:tc>
          <w:tcPr>
            <w:tcW w:w="6803" w:type="dxa"/>
            <w:vAlign w:val="center"/>
            <w:hideMark/>
          </w:tcPr>
          <w:p w14:paraId="64F152D4" w14:textId="77777777" w:rsidR="00364C3F" w:rsidRPr="00364C3F" w:rsidRDefault="00364C3F" w:rsidP="007C0B45">
            <w:pPr>
              <w:spacing w:afterLines="20" w:after="48"/>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sidRPr="00364C3F">
              <w:rPr>
                <w:rFonts w:ascii="Aptos" w:hAnsi="Aptos"/>
                <w:color w:val="000000"/>
                <w:szCs w:val="22"/>
                <w:lang w:eastAsia="en-AU"/>
              </w:rPr>
              <w:t>National Framework for Genomics in Cancer Control</w:t>
            </w:r>
          </w:p>
        </w:tc>
      </w:tr>
      <w:tr w:rsidR="00364C3F" w:rsidRPr="00364C3F" w14:paraId="7F278BB5" w14:textId="77777777" w:rsidTr="007C0B45">
        <w:trPr>
          <w:cantSplit/>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370D7ADD" w14:textId="77777777" w:rsidR="00364C3F" w:rsidRPr="007E7E90" w:rsidRDefault="00364C3F" w:rsidP="007E7E90">
            <w:pPr>
              <w:pStyle w:val="Heading4"/>
              <w:rPr>
                <w:b/>
                <w:bCs/>
              </w:rPr>
            </w:pPr>
            <w:r w:rsidRPr="007E7E90">
              <w:rPr>
                <w:b/>
                <w:bCs/>
              </w:rPr>
              <w:t>CAPS Committee</w:t>
            </w:r>
          </w:p>
        </w:tc>
        <w:tc>
          <w:tcPr>
            <w:tcW w:w="6803" w:type="dxa"/>
            <w:vAlign w:val="center"/>
            <w:hideMark/>
          </w:tcPr>
          <w:p w14:paraId="1B2F42EF" w14:textId="77777777" w:rsidR="00364C3F" w:rsidRPr="00364C3F" w:rsidRDefault="00364C3F" w:rsidP="007C0B45">
            <w:pPr>
              <w:spacing w:afterLines="20" w:after="48"/>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sidRPr="00364C3F">
              <w:rPr>
                <w:rFonts w:ascii="Aptos" w:hAnsi="Aptos"/>
                <w:color w:val="000000"/>
                <w:szCs w:val="22"/>
                <w:lang w:eastAsia="en-AU"/>
              </w:rPr>
              <w:t>Cancer and Population Screening Committee</w:t>
            </w:r>
          </w:p>
        </w:tc>
      </w:tr>
      <w:tr w:rsidR="00364C3F" w:rsidRPr="00364C3F" w14:paraId="3074CF45" w14:textId="77777777" w:rsidTr="007C0B4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2B27AA7F" w14:textId="77777777" w:rsidR="00364C3F" w:rsidRPr="007E7E90" w:rsidRDefault="00364C3F" w:rsidP="007E7E90">
            <w:pPr>
              <w:pStyle w:val="Heading4"/>
              <w:rPr>
                <w:b/>
                <w:bCs/>
              </w:rPr>
            </w:pPr>
            <w:r w:rsidRPr="007E7E90">
              <w:rPr>
                <w:b/>
                <w:bCs/>
              </w:rPr>
              <w:t>COVID-19</w:t>
            </w:r>
          </w:p>
        </w:tc>
        <w:tc>
          <w:tcPr>
            <w:tcW w:w="6803" w:type="dxa"/>
            <w:noWrap/>
            <w:vAlign w:val="center"/>
            <w:hideMark/>
          </w:tcPr>
          <w:p w14:paraId="2BC49AD6" w14:textId="77777777" w:rsidR="00364C3F" w:rsidRPr="00364C3F" w:rsidRDefault="00364C3F" w:rsidP="007C0B45">
            <w:pPr>
              <w:spacing w:afterLines="20" w:after="48"/>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sidRPr="00364C3F">
              <w:rPr>
                <w:rFonts w:ascii="Aptos" w:hAnsi="Aptos"/>
                <w:color w:val="000000"/>
                <w:szCs w:val="22"/>
                <w:lang w:eastAsia="en-AU"/>
              </w:rPr>
              <w:t>Coronavirus disease 2019</w:t>
            </w:r>
          </w:p>
        </w:tc>
      </w:tr>
      <w:tr w:rsidR="00364C3F" w:rsidRPr="00364C3F" w14:paraId="3D7120C8" w14:textId="77777777" w:rsidTr="007C0B45">
        <w:trPr>
          <w:cantSplit/>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0C406781" w14:textId="77777777" w:rsidR="00364C3F" w:rsidRPr="007E7E90" w:rsidRDefault="00364C3F" w:rsidP="007E7E90">
            <w:pPr>
              <w:pStyle w:val="Heading4"/>
              <w:rPr>
                <w:b/>
                <w:bCs/>
              </w:rPr>
            </w:pPr>
            <w:r w:rsidRPr="007E7E90">
              <w:rPr>
                <w:b/>
                <w:bCs/>
              </w:rPr>
              <w:t>CPD</w:t>
            </w:r>
          </w:p>
        </w:tc>
        <w:tc>
          <w:tcPr>
            <w:tcW w:w="6803" w:type="dxa"/>
            <w:noWrap/>
            <w:vAlign w:val="center"/>
            <w:hideMark/>
          </w:tcPr>
          <w:p w14:paraId="1DCF86BF" w14:textId="77777777" w:rsidR="00364C3F" w:rsidRPr="00364C3F" w:rsidRDefault="00364C3F" w:rsidP="007C0B45">
            <w:pPr>
              <w:spacing w:afterLines="20" w:after="48"/>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sidRPr="00364C3F">
              <w:rPr>
                <w:rFonts w:ascii="Aptos" w:hAnsi="Aptos"/>
                <w:color w:val="000000"/>
                <w:szCs w:val="22"/>
                <w:lang w:eastAsia="en-AU"/>
              </w:rPr>
              <w:t>Continuing professional development</w:t>
            </w:r>
          </w:p>
        </w:tc>
      </w:tr>
      <w:tr w:rsidR="00364C3F" w:rsidRPr="00364C3F" w14:paraId="61335E4B" w14:textId="77777777" w:rsidTr="007C0B4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380378DD" w14:textId="77777777" w:rsidR="00364C3F" w:rsidRPr="007E7E90" w:rsidRDefault="00364C3F" w:rsidP="007E7E90">
            <w:pPr>
              <w:pStyle w:val="Heading4"/>
              <w:rPr>
                <w:b/>
                <w:bCs/>
              </w:rPr>
            </w:pPr>
            <w:r w:rsidRPr="007E7E90">
              <w:rPr>
                <w:b/>
                <w:bCs/>
              </w:rPr>
              <w:t>Framework and Implementation Plan</w:t>
            </w:r>
          </w:p>
        </w:tc>
        <w:tc>
          <w:tcPr>
            <w:tcW w:w="6803" w:type="dxa"/>
            <w:vAlign w:val="center"/>
            <w:hideMark/>
          </w:tcPr>
          <w:p w14:paraId="784098D0" w14:textId="77777777" w:rsidR="00364C3F" w:rsidRPr="00364C3F" w:rsidRDefault="00364C3F" w:rsidP="007C0B45">
            <w:pPr>
              <w:spacing w:afterLines="20" w:after="48"/>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sidRPr="00364C3F">
              <w:rPr>
                <w:rFonts w:ascii="Aptos" w:hAnsi="Aptos"/>
                <w:color w:val="000000"/>
                <w:szCs w:val="22"/>
                <w:lang w:eastAsia="en-AU"/>
              </w:rPr>
              <w:t>National Health Genomics Policy Framework and Implementation Plan 2026–2030</w:t>
            </w:r>
          </w:p>
        </w:tc>
      </w:tr>
      <w:tr w:rsidR="00364C3F" w:rsidRPr="00364C3F" w14:paraId="38754369" w14:textId="77777777" w:rsidTr="007C0B45">
        <w:trPr>
          <w:cantSplit/>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0AB55178" w14:textId="77777777" w:rsidR="00364C3F" w:rsidRPr="007E7E90" w:rsidRDefault="00364C3F" w:rsidP="007E7E90">
            <w:pPr>
              <w:pStyle w:val="Heading4"/>
              <w:rPr>
                <w:b/>
                <w:bCs/>
              </w:rPr>
            </w:pPr>
            <w:r w:rsidRPr="007E7E90">
              <w:rPr>
                <w:b/>
                <w:bCs/>
              </w:rPr>
              <w:t>GHFM</w:t>
            </w:r>
          </w:p>
        </w:tc>
        <w:tc>
          <w:tcPr>
            <w:tcW w:w="6803" w:type="dxa"/>
            <w:noWrap/>
            <w:vAlign w:val="center"/>
            <w:hideMark/>
          </w:tcPr>
          <w:p w14:paraId="6903237C" w14:textId="77777777" w:rsidR="00364C3F" w:rsidRPr="00364C3F" w:rsidRDefault="00364C3F" w:rsidP="007C0B45">
            <w:pPr>
              <w:spacing w:afterLines="20" w:after="48"/>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sidRPr="00364C3F">
              <w:rPr>
                <w:rFonts w:ascii="Aptos" w:hAnsi="Aptos"/>
                <w:color w:val="000000"/>
                <w:szCs w:val="22"/>
                <w:lang w:eastAsia="en-AU"/>
              </w:rPr>
              <w:t>Genomic Health Futures Mission</w:t>
            </w:r>
          </w:p>
        </w:tc>
      </w:tr>
      <w:tr w:rsidR="00364C3F" w:rsidRPr="00364C3F" w14:paraId="679CC0EC" w14:textId="77777777" w:rsidTr="007C0B4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05A7D430" w14:textId="77777777" w:rsidR="00364C3F" w:rsidRPr="007E7E90" w:rsidRDefault="00364C3F" w:rsidP="007E7E90">
            <w:pPr>
              <w:pStyle w:val="Heading4"/>
              <w:rPr>
                <w:b/>
                <w:bCs/>
              </w:rPr>
            </w:pPr>
            <w:r w:rsidRPr="007E7E90">
              <w:rPr>
                <w:b/>
                <w:bCs/>
              </w:rPr>
              <w:t>GMO</w:t>
            </w:r>
          </w:p>
        </w:tc>
        <w:tc>
          <w:tcPr>
            <w:tcW w:w="6803" w:type="dxa"/>
            <w:noWrap/>
            <w:vAlign w:val="center"/>
            <w:hideMark/>
          </w:tcPr>
          <w:p w14:paraId="1283DC07" w14:textId="77777777" w:rsidR="00364C3F" w:rsidRPr="00364C3F" w:rsidRDefault="00364C3F" w:rsidP="007C0B45">
            <w:pPr>
              <w:spacing w:afterLines="20" w:after="48"/>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sidRPr="00364C3F">
              <w:rPr>
                <w:rFonts w:ascii="Aptos" w:hAnsi="Aptos"/>
                <w:color w:val="000000"/>
                <w:szCs w:val="22"/>
                <w:lang w:eastAsia="en-AU"/>
              </w:rPr>
              <w:t>Genetically modified organism</w:t>
            </w:r>
          </w:p>
        </w:tc>
      </w:tr>
      <w:tr w:rsidR="00364C3F" w:rsidRPr="00364C3F" w14:paraId="5EEAE845" w14:textId="77777777" w:rsidTr="007C0B45">
        <w:trPr>
          <w:cantSplit/>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03A20969" w14:textId="77777777" w:rsidR="00364C3F" w:rsidRPr="007E7E90" w:rsidRDefault="00364C3F" w:rsidP="007E7E90">
            <w:pPr>
              <w:pStyle w:val="Heading4"/>
              <w:rPr>
                <w:b/>
                <w:bCs/>
              </w:rPr>
            </w:pPr>
            <w:r w:rsidRPr="007E7E90">
              <w:rPr>
                <w:b/>
                <w:bCs/>
              </w:rPr>
              <w:t>Guiding Principles</w:t>
            </w:r>
          </w:p>
        </w:tc>
        <w:tc>
          <w:tcPr>
            <w:tcW w:w="6803" w:type="dxa"/>
            <w:vAlign w:val="center"/>
            <w:hideMark/>
          </w:tcPr>
          <w:p w14:paraId="7A4FB54B" w14:textId="77777777" w:rsidR="00364C3F" w:rsidRPr="00364C3F" w:rsidRDefault="00364C3F" w:rsidP="007C0B45">
            <w:pPr>
              <w:spacing w:afterLines="20" w:after="48"/>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sidRPr="00364C3F">
              <w:rPr>
                <w:rFonts w:ascii="Aptos" w:hAnsi="Aptos"/>
                <w:color w:val="000000"/>
                <w:szCs w:val="22"/>
                <w:lang w:eastAsia="en-AU"/>
              </w:rPr>
              <w:t>Ensuring Culturally Safe Health Genomics with Aboriginal and Torres Strait Islander Peoples Guiding Principles</w:t>
            </w:r>
          </w:p>
        </w:tc>
      </w:tr>
      <w:tr w:rsidR="00364C3F" w:rsidRPr="00364C3F" w14:paraId="0260B9DF" w14:textId="77777777" w:rsidTr="007C0B4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74DD79CD" w14:textId="77777777" w:rsidR="00364C3F" w:rsidRPr="007E7E90" w:rsidRDefault="00364C3F" w:rsidP="007E7E90">
            <w:pPr>
              <w:pStyle w:val="Heading4"/>
              <w:rPr>
                <w:b/>
                <w:bCs/>
              </w:rPr>
            </w:pPr>
            <w:r w:rsidRPr="007E7E90">
              <w:rPr>
                <w:b/>
                <w:bCs/>
              </w:rPr>
              <w:t>HCEF</w:t>
            </w:r>
          </w:p>
        </w:tc>
        <w:tc>
          <w:tcPr>
            <w:tcW w:w="6803" w:type="dxa"/>
            <w:noWrap/>
            <w:vAlign w:val="center"/>
            <w:hideMark/>
          </w:tcPr>
          <w:p w14:paraId="6F96AC66" w14:textId="77777777" w:rsidR="00364C3F" w:rsidRPr="00364C3F" w:rsidRDefault="00364C3F" w:rsidP="007C0B45">
            <w:pPr>
              <w:spacing w:afterLines="20" w:after="48"/>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sidRPr="00364C3F">
              <w:rPr>
                <w:rFonts w:ascii="Aptos" w:hAnsi="Aptos"/>
                <w:color w:val="000000"/>
                <w:szCs w:val="22"/>
                <w:lang w:eastAsia="en-AU"/>
              </w:rPr>
              <w:t>Health Chief Executives Forum</w:t>
            </w:r>
          </w:p>
        </w:tc>
      </w:tr>
      <w:tr w:rsidR="00364C3F" w:rsidRPr="00364C3F" w14:paraId="228987F7" w14:textId="77777777" w:rsidTr="007C0B45">
        <w:trPr>
          <w:cantSplit/>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53C75A61" w14:textId="77777777" w:rsidR="00364C3F" w:rsidRPr="007E7E90" w:rsidRDefault="00364C3F" w:rsidP="007E7E90">
            <w:pPr>
              <w:pStyle w:val="Heading4"/>
              <w:rPr>
                <w:b/>
                <w:bCs/>
              </w:rPr>
            </w:pPr>
            <w:r w:rsidRPr="007E7E90">
              <w:rPr>
                <w:b/>
                <w:bCs/>
              </w:rPr>
              <w:t>HMRO</w:t>
            </w:r>
          </w:p>
        </w:tc>
        <w:tc>
          <w:tcPr>
            <w:tcW w:w="6803" w:type="dxa"/>
            <w:noWrap/>
            <w:vAlign w:val="center"/>
            <w:hideMark/>
          </w:tcPr>
          <w:p w14:paraId="21E32830" w14:textId="77777777" w:rsidR="00364C3F" w:rsidRPr="00364C3F" w:rsidRDefault="00364C3F" w:rsidP="007C0B45">
            <w:pPr>
              <w:spacing w:afterLines="20" w:after="48"/>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sidRPr="00364C3F">
              <w:rPr>
                <w:rFonts w:ascii="Aptos" w:hAnsi="Aptos"/>
                <w:color w:val="000000"/>
                <w:szCs w:val="22"/>
                <w:lang w:eastAsia="en-AU"/>
              </w:rPr>
              <w:t>Health and Medical Research Office</w:t>
            </w:r>
          </w:p>
        </w:tc>
      </w:tr>
      <w:tr w:rsidR="00364C3F" w:rsidRPr="00364C3F" w14:paraId="436E455F" w14:textId="77777777" w:rsidTr="007C0B4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1131CFFF" w14:textId="77777777" w:rsidR="00364C3F" w:rsidRPr="007E7E90" w:rsidRDefault="00364C3F" w:rsidP="007E7E90">
            <w:pPr>
              <w:pStyle w:val="Heading4"/>
              <w:rPr>
                <w:b/>
                <w:bCs/>
              </w:rPr>
            </w:pPr>
            <w:r w:rsidRPr="007E7E90">
              <w:rPr>
                <w:b/>
                <w:bCs/>
              </w:rPr>
              <w:t>HST</w:t>
            </w:r>
          </w:p>
        </w:tc>
        <w:tc>
          <w:tcPr>
            <w:tcW w:w="6803" w:type="dxa"/>
            <w:noWrap/>
            <w:vAlign w:val="center"/>
            <w:hideMark/>
          </w:tcPr>
          <w:p w14:paraId="3F052521" w14:textId="77777777" w:rsidR="00364C3F" w:rsidRPr="00364C3F" w:rsidRDefault="00364C3F" w:rsidP="007C0B45">
            <w:pPr>
              <w:spacing w:afterLines="20" w:after="48"/>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sidRPr="00364C3F">
              <w:rPr>
                <w:rFonts w:ascii="Aptos" w:hAnsi="Aptos"/>
                <w:color w:val="000000"/>
                <w:szCs w:val="22"/>
                <w:lang w:eastAsia="en-AU"/>
              </w:rPr>
              <w:t>High cost, highly specialised therapy</w:t>
            </w:r>
          </w:p>
        </w:tc>
      </w:tr>
      <w:tr w:rsidR="00364C3F" w:rsidRPr="00364C3F" w14:paraId="5191C2EE" w14:textId="77777777" w:rsidTr="007C0B45">
        <w:trPr>
          <w:cantSplit/>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786813F1" w14:textId="77777777" w:rsidR="00364C3F" w:rsidRPr="007E7E90" w:rsidRDefault="00364C3F" w:rsidP="007E7E90">
            <w:pPr>
              <w:pStyle w:val="Heading4"/>
              <w:rPr>
                <w:b/>
                <w:bCs/>
              </w:rPr>
            </w:pPr>
            <w:r w:rsidRPr="007E7E90">
              <w:rPr>
                <w:b/>
                <w:bCs/>
              </w:rPr>
              <w:t>HTA</w:t>
            </w:r>
          </w:p>
        </w:tc>
        <w:tc>
          <w:tcPr>
            <w:tcW w:w="6803" w:type="dxa"/>
            <w:noWrap/>
            <w:vAlign w:val="center"/>
            <w:hideMark/>
          </w:tcPr>
          <w:p w14:paraId="4BD1FADD" w14:textId="77777777" w:rsidR="00364C3F" w:rsidRPr="00364C3F" w:rsidRDefault="00364C3F" w:rsidP="007C0B45">
            <w:pPr>
              <w:spacing w:afterLines="20" w:after="48"/>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sidRPr="00364C3F">
              <w:rPr>
                <w:rFonts w:ascii="Aptos" w:hAnsi="Aptos"/>
                <w:color w:val="000000"/>
                <w:szCs w:val="22"/>
                <w:lang w:eastAsia="en-AU"/>
              </w:rPr>
              <w:t>Health Technology Assessment</w:t>
            </w:r>
          </w:p>
        </w:tc>
      </w:tr>
      <w:tr w:rsidR="00364C3F" w:rsidRPr="00364C3F" w14:paraId="2FB11AC3" w14:textId="77777777" w:rsidTr="007C0B4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5FF00BB6" w14:textId="77777777" w:rsidR="00364C3F" w:rsidRPr="007E7E90" w:rsidRDefault="00364C3F" w:rsidP="007E7E90">
            <w:pPr>
              <w:pStyle w:val="Heading4"/>
              <w:rPr>
                <w:b/>
                <w:bCs/>
              </w:rPr>
            </w:pPr>
            <w:r w:rsidRPr="007E7E90">
              <w:rPr>
                <w:b/>
                <w:bCs/>
              </w:rPr>
              <w:t>HTGC</w:t>
            </w:r>
          </w:p>
        </w:tc>
        <w:tc>
          <w:tcPr>
            <w:tcW w:w="6803" w:type="dxa"/>
            <w:noWrap/>
            <w:vAlign w:val="center"/>
            <w:hideMark/>
          </w:tcPr>
          <w:p w14:paraId="16FE2A7F" w14:textId="77777777" w:rsidR="00364C3F" w:rsidRPr="00364C3F" w:rsidRDefault="00364C3F" w:rsidP="007C0B45">
            <w:pPr>
              <w:spacing w:afterLines="20" w:after="48"/>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sidRPr="00364C3F">
              <w:rPr>
                <w:rFonts w:ascii="Aptos" w:hAnsi="Aptos"/>
                <w:color w:val="000000"/>
                <w:szCs w:val="22"/>
                <w:lang w:eastAsia="en-AU"/>
              </w:rPr>
              <w:t>Health Technology and Genomics Collaboration</w:t>
            </w:r>
          </w:p>
        </w:tc>
      </w:tr>
      <w:tr w:rsidR="00364C3F" w:rsidRPr="00364C3F" w14:paraId="7221B68A" w14:textId="77777777" w:rsidTr="007C0B45">
        <w:trPr>
          <w:cantSplit/>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385C6F66" w14:textId="77777777" w:rsidR="00364C3F" w:rsidRPr="007E7E90" w:rsidRDefault="00364C3F" w:rsidP="007E7E90">
            <w:pPr>
              <w:pStyle w:val="Heading4"/>
              <w:rPr>
                <w:b/>
                <w:bCs/>
              </w:rPr>
            </w:pPr>
            <w:r w:rsidRPr="007E7E90">
              <w:rPr>
                <w:b/>
                <w:bCs/>
              </w:rPr>
              <w:t>Lapsed Framework</w:t>
            </w:r>
          </w:p>
        </w:tc>
        <w:tc>
          <w:tcPr>
            <w:tcW w:w="6803" w:type="dxa"/>
            <w:vAlign w:val="center"/>
            <w:hideMark/>
          </w:tcPr>
          <w:p w14:paraId="4D2A7D9C" w14:textId="77777777" w:rsidR="00364C3F" w:rsidRPr="00364C3F" w:rsidRDefault="00364C3F" w:rsidP="007C0B45">
            <w:pPr>
              <w:spacing w:afterLines="20" w:after="48"/>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sidRPr="00364C3F">
              <w:rPr>
                <w:rFonts w:ascii="Aptos" w:hAnsi="Aptos"/>
                <w:color w:val="000000"/>
                <w:szCs w:val="22"/>
                <w:lang w:eastAsia="en-AU"/>
              </w:rPr>
              <w:t>National Health Genomics Policy Framework 2018–2021</w:t>
            </w:r>
          </w:p>
        </w:tc>
      </w:tr>
      <w:tr w:rsidR="00364C3F" w:rsidRPr="00364C3F" w14:paraId="074458AA" w14:textId="77777777" w:rsidTr="007C0B4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1264C96B" w14:textId="77777777" w:rsidR="00364C3F" w:rsidRPr="007E7E90" w:rsidRDefault="00364C3F" w:rsidP="007E7E90">
            <w:pPr>
              <w:pStyle w:val="Heading4"/>
              <w:rPr>
                <w:b/>
                <w:bCs/>
              </w:rPr>
            </w:pPr>
            <w:r w:rsidRPr="007E7E90">
              <w:rPr>
                <w:b/>
                <w:bCs/>
              </w:rPr>
              <w:t>MBS</w:t>
            </w:r>
          </w:p>
        </w:tc>
        <w:tc>
          <w:tcPr>
            <w:tcW w:w="6803" w:type="dxa"/>
            <w:noWrap/>
            <w:vAlign w:val="center"/>
            <w:hideMark/>
          </w:tcPr>
          <w:p w14:paraId="3F8FB5F5" w14:textId="77777777" w:rsidR="00364C3F" w:rsidRPr="00364C3F" w:rsidRDefault="00364C3F" w:rsidP="007C0B45">
            <w:pPr>
              <w:spacing w:afterLines="20" w:after="48"/>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sidRPr="00364C3F">
              <w:rPr>
                <w:rFonts w:ascii="Aptos" w:hAnsi="Aptos"/>
                <w:color w:val="000000"/>
                <w:szCs w:val="22"/>
                <w:lang w:eastAsia="en-AU"/>
              </w:rPr>
              <w:t>Medicare Benefits Schedule</w:t>
            </w:r>
          </w:p>
        </w:tc>
      </w:tr>
      <w:tr w:rsidR="00364C3F" w:rsidRPr="00364C3F" w14:paraId="1B9C1746" w14:textId="77777777" w:rsidTr="007C0B45">
        <w:trPr>
          <w:cantSplit/>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640A315F" w14:textId="77777777" w:rsidR="00364C3F" w:rsidRPr="007E7E90" w:rsidRDefault="00364C3F" w:rsidP="007E7E90">
            <w:pPr>
              <w:pStyle w:val="Heading4"/>
              <w:rPr>
                <w:b/>
                <w:bCs/>
              </w:rPr>
            </w:pPr>
            <w:r w:rsidRPr="007E7E90">
              <w:rPr>
                <w:b/>
                <w:bCs/>
              </w:rPr>
              <w:t>Microbial Framework</w:t>
            </w:r>
          </w:p>
        </w:tc>
        <w:tc>
          <w:tcPr>
            <w:tcW w:w="6803" w:type="dxa"/>
            <w:vAlign w:val="center"/>
            <w:hideMark/>
          </w:tcPr>
          <w:p w14:paraId="7614EB84" w14:textId="77777777" w:rsidR="00364C3F" w:rsidRPr="00364C3F" w:rsidRDefault="00364C3F" w:rsidP="007C0B45">
            <w:pPr>
              <w:spacing w:afterLines="20" w:after="48"/>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sidRPr="00364C3F">
              <w:rPr>
                <w:rFonts w:ascii="Aptos" w:hAnsi="Aptos"/>
                <w:color w:val="000000"/>
                <w:szCs w:val="22"/>
                <w:lang w:eastAsia="en-AU"/>
              </w:rPr>
              <w:t>National Microbial Genomics Framework for Public Health 2025–2027</w:t>
            </w:r>
          </w:p>
        </w:tc>
      </w:tr>
      <w:tr w:rsidR="00364C3F" w:rsidRPr="00364C3F" w14:paraId="37DD3E49" w14:textId="77777777" w:rsidTr="007C0B4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4E3596B2" w14:textId="77777777" w:rsidR="00364C3F" w:rsidRPr="007E7E90" w:rsidRDefault="00364C3F" w:rsidP="007E7E90">
            <w:pPr>
              <w:pStyle w:val="Heading4"/>
              <w:rPr>
                <w:b/>
                <w:bCs/>
              </w:rPr>
            </w:pPr>
            <w:r w:rsidRPr="007E7E90">
              <w:rPr>
                <w:b/>
                <w:bCs/>
              </w:rPr>
              <w:t>MRFF</w:t>
            </w:r>
          </w:p>
        </w:tc>
        <w:tc>
          <w:tcPr>
            <w:tcW w:w="6803" w:type="dxa"/>
            <w:noWrap/>
            <w:vAlign w:val="center"/>
            <w:hideMark/>
          </w:tcPr>
          <w:p w14:paraId="78E30254" w14:textId="77777777" w:rsidR="00364C3F" w:rsidRPr="00364C3F" w:rsidRDefault="00364C3F" w:rsidP="007C0B45">
            <w:pPr>
              <w:spacing w:afterLines="20" w:after="48"/>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sidRPr="00364C3F">
              <w:rPr>
                <w:rFonts w:ascii="Aptos" w:hAnsi="Aptos"/>
                <w:color w:val="000000"/>
                <w:szCs w:val="22"/>
                <w:lang w:eastAsia="en-AU"/>
              </w:rPr>
              <w:t>Medical Research Future Fund</w:t>
            </w:r>
          </w:p>
        </w:tc>
      </w:tr>
      <w:tr w:rsidR="00364C3F" w:rsidRPr="00364C3F" w14:paraId="3F28E734" w14:textId="77777777" w:rsidTr="007C0B45">
        <w:trPr>
          <w:cantSplit/>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3DAB5468" w14:textId="77777777" w:rsidR="00364C3F" w:rsidRPr="007E7E90" w:rsidRDefault="00364C3F" w:rsidP="007E7E90">
            <w:pPr>
              <w:pStyle w:val="Heading4"/>
              <w:rPr>
                <w:b/>
                <w:bCs/>
              </w:rPr>
            </w:pPr>
            <w:r w:rsidRPr="007E7E90">
              <w:rPr>
                <w:b/>
                <w:bCs/>
              </w:rPr>
              <w:t>MSAC</w:t>
            </w:r>
          </w:p>
        </w:tc>
        <w:tc>
          <w:tcPr>
            <w:tcW w:w="6803" w:type="dxa"/>
            <w:noWrap/>
            <w:vAlign w:val="center"/>
            <w:hideMark/>
          </w:tcPr>
          <w:p w14:paraId="70D1E41C" w14:textId="77777777" w:rsidR="00364C3F" w:rsidRPr="00364C3F" w:rsidRDefault="00364C3F" w:rsidP="007C0B45">
            <w:pPr>
              <w:spacing w:afterLines="20" w:after="48"/>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sidRPr="00364C3F">
              <w:rPr>
                <w:rFonts w:ascii="Aptos" w:hAnsi="Aptos"/>
                <w:color w:val="000000"/>
                <w:szCs w:val="22"/>
                <w:lang w:eastAsia="en-AU"/>
              </w:rPr>
              <w:t>Medical Services Advisory Committee</w:t>
            </w:r>
          </w:p>
        </w:tc>
      </w:tr>
      <w:tr w:rsidR="00364C3F" w:rsidRPr="00364C3F" w14:paraId="72597103" w14:textId="77777777" w:rsidTr="007C0B4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1F3A986C" w14:textId="77777777" w:rsidR="00364C3F" w:rsidRPr="007E7E90" w:rsidRDefault="00364C3F" w:rsidP="007E7E90">
            <w:pPr>
              <w:pStyle w:val="Heading4"/>
              <w:rPr>
                <w:b/>
                <w:bCs/>
              </w:rPr>
            </w:pPr>
            <w:r w:rsidRPr="007E7E90">
              <w:rPr>
                <w:b/>
                <w:bCs/>
              </w:rPr>
              <w:t>NGO</w:t>
            </w:r>
          </w:p>
        </w:tc>
        <w:tc>
          <w:tcPr>
            <w:tcW w:w="6803" w:type="dxa"/>
            <w:noWrap/>
            <w:vAlign w:val="center"/>
            <w:hideMark/>
          </w:tcPr>
          <w:p w14:paraId="25F63B9B" w14:textId="77777777" w:rsidR="00364C3F" w:rsidRPr="00364C3F" w:rsidRDefault="00364C3F" w:rsidP="007C0B45">
            <w:pPr>
              <w:spacing w:afterLines="20" w:after="48"/>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sidRPr="00364C3F">
              <w:rPr>
                <w:rFonts w:ascii="Aptos" w:hAnsi="Aptos"/>
                <w:color w:val="000000"/>
                <w:szCs w:val="22"/>
                <w:lang w:eastAsia="en-AU"/>
              </w:rPr>
              <w:t>Non-government organisation</w:t>
            </w:r>
          </w:p>
        </w:tc>
      </w:tr>
      <w:tr w:rsidR="00364C3F" w:rsidRPr="00364C3F" w14:paraId="4290AA59" w14:textId="77777777" w:rsidTr="007C0B45">
        <w:trPr>
          <w:cantSplit/>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6C5179C5" w14:textId="77777777" w:rsidR="00364C3F" w:rsidRPr="007E7E90" w:rsidRDefault="00364C3F" w:rsidP="007E7E90">
            <w:pPr>
              <w:pStyle w:val="Heading4"/>
              <w:rPr>
                <w:b/>
                <w:bCs/>
              </w:rPr>
            </w:pPr>
            <w:r w:rsidRPr="007E7E90">
              <w:rPr>
                <w:b/>
                <w:bCs/>
              </w:rPr>
              <w:t>NHMRC</w:t>
            </w:r>
          </w:p>
        </w:tc>
        <w:tc>
          <w:tcPr>
            <w:tcW w:w="6803" w:type="dxa"/>
            <w:noWrap/>
            <w:vAlign w:val="center"/>
            <w:hideMark/>
          </w:tcPr>
          <w:p w14:paraId="0CB97A2C" w14:textId="77777777" w:rsidR="00364C3F" w:rsidRPr="00364C3F" w:rsidRDefault="00364C3F" w:rsidP="007C0B45">
            <w:pPr>
              <w:spacing w:afterLines="20" w:after="48"/>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sidRPr="00364C3F">
              <w:rPr>
                <w:rFonts w:ascii="Aptos" w:hAnsi="Aptos"/>
                <w:color w:val="000000"/>
                <w:szCs w:val="22"/>
                <w:lang w:eastAsia="en-AU"/>
              </w:rPr>
              <w:t>National Health and Medical Research Council</w:t>
            </w:r>
          </w:p>
        </w:tc>
      </w:tr>
      <w:tr w:rsidR="00364C3F" w:rsidRPr="00364C3F" w14:paraId="258C61C8" w14:textId="77777777" w:rsidTr="007C0B4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42E3F34C" w14:textId="77777777" w:rsidR="00364C3F" w:rsidRPr="007E7E90" w:rsidRDefault="00364C3F" w:rsidP="007E7E90">
            <w:pPr>
              <w:pStyle w:val="Heading4"/>
              <w:rPr>
                <w:b/>
                <w:bCs/>
              </w:rPr>
            </w:pPr>
            <w:r w:rsidRPr="007E7E90">
              <w:rPr>
                <w:b/>
                <w:bCs/>
              </w:rPr>
              <w:t>NHRA</w:t>
            </w:r>
          </w:p>
        </w:tc>
        <w:tc>
          <w:tcPr>
            <w:tcW w:w="6803" w:type="dxa"/>
            <w:noWrap/>
            <w:vAlign w:val="center"/>
            <w:hideMark/>
          </w:tcPr>
          <w:p w14:paraId="3DF971B7" w14:textId="77777777" w:rsidR="00364C3F" w:rsidRPr="00364C3F" w:rsidRDefault="00364C3F" w:rsidP="007C0B45">
            <w:pPr>
              <w:spacing w:afterLines="20" w:after="48"/>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sidRPr="00364C3F">
              <w:rPr>
                <w:rFonts w:ascii="Aptos" w:hAnsi="Aptos"/>
                <w:color w:val="000000"/>
                <w:szCs w:val="22"/>
                <w:lang w:eastAsia="en-AU"/>
              </w:rPr>
              <w:t>National Health Reform Agreement</w:t>
            </w:r>
          </w:p>
        </w:tc>
      </w:tr>
      <w:tr w:rsidR="00364C3F" w:rsidRPr="00364C3F" w14:paraId="34216356" w14:textId="77777777" w:rsidTr="007C0B45">
        <w:trPr>
          <w:cantSplit/>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15900981" w14:textId="77777777" w:rsidR="00364C3F" w:rsidRPr="007E7E90" w:rsidRDefault="00364C3F" w:rsidP="007E7E90">
            <w:pPr>
              <w:pStyle w:val="Heading4"/>
              <w:rPr>
                <w:b/>
                <w:bCs/>
              </w:rPr>
            </w:pPr>
            <w:r w:rsidRPr="007E7E90">
              <w:rPr>
                <w:b/>
                <w:bCs/>
              </w:rPr>
              <w:t>NSQHS</w:t>
            </w:r>
          </w:p>
        </w:tc>
        <w:tc>
          <w:tcPr>
            <w:tcW w:w="6803" w:type="dxa"/>
            <w:noWrap/>
            <w:vAlign w:val="center"/>
            <w:hideMark/>
          </w:tcPr>
          <w:p w14:paraId="51C95727" w14:textId="77777777" w:rsidR="00364C3F" w:rsidRPr="00364C3F" w:rsidRDefault="00364C3F" w:rsidP="007C0B45">
            <w:pPr>
              <w:spacing w:afterLines="20" w:after="48"/>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sidRPr="00364C3F">
              <w:rPr>
                <w:rFonts w:ascii="Aptos" w:hAnsi="Aptos"/>
                <w:color w:val="000000"/>
                <w:szCs w:val="22"/>
                <w:lang w:eastAsia="en-AU"/>
              </w:rPr>
              <w:t>National Safety and Quality Health Service Standards</w:t>
            </w:r>
          </w:p>
        </w:tc>
      </w:tr>
      <w:tr w:rsidR="00364C3F" w:rsidRPr="00364C3F" w14:paraId="35232BAC" w14:textId="77777777" w:rsidTr="007C0B4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1DFD8F2A" w14:textId="77777777" w:rsidR="00364C3F" w:rsidRPr="007E7E90" w:rsidRDefault="00364C3F" w:rsidP="007E7E90">
            <w:pPr>
              <w:pStyle w:val="Heading4"/>
              <w:rPr>
                <w:b/>
                <w:bCs/>
              </w:rPr>
            </w:pPr>
            <w:r w:rsidRPr="007E7E90">
              <w:rPr>
                <w:b/>
                <w:bCs/>
              </w:rPr>
              <w:t>PBAC</w:t>
            </w:r>
          </w:p>
        </w:tc>
        <w:tc>
          <w:tcPr>
            <w:tcW w:w="6803" w:type="dxa"/>
            <w:noWrap/>
            <w:vAlign w:val="center"/>
            <w:hideMark/>
          </w:tcPr>
          <w:p w14:paraId="236A03DE" w14:textId="77777777" w:rsidR="00364C3F" w:rsidRPr="00364C3F" w:rsidRDefault="00364C3F" w:rsidP="007C0B45">
            <w:pPr>
              <w:spacing w:afterLines="20" w:after="48"/>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sidRPr="00364C3F">
              <w:rPr>
                <w:rFonts w:ascii="Aptos" w:hAnsi="Aptos"/>
                <w:color w:val="000000"/>
                <w:szCs w:val="22"/>
                <w:lang w:eastAsia="en-AU"/>
              </w:rPr>
              <w:t>Pharmaceutical Benefits Advisory Committee</w:t>
            </w:r>
          </w:p>
        </w:tc>
      </w:tr>
      <w:tr w:rsidR="00364C3F" w:rsidRPr="00364C3F" w14:paraId="23A0E47B" w14:textId="77777777" w:rsidTr="007C0B45">
        <w:trPr>
          <w:cantSplit/>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214F3F07" w14:textId="77777777" w:rsidR="00364C3F" w:rsidRPr="007E7E90" w:rsidRDefault="00364C3F" w:rsidP="007E7E90">
            <w:pPr>
              <w:pStyle w:val="Heading4"/>
              <w:rPr>
                <w:b/>
                <w:bCs/>
              </w:rPr>
            </w:pPr>
            <w:r w:rsidRPr="007E7E90">
              <w:rPr>
                <w:b/>
                <w:bCs/>
              </w:rPr>
              <w:t>PBS</w:t>
            </w:r>
          </w:p>
        </w:tc>
        <w:tc>
          <w:tcPr>
            <w:tcW w:w="6803" w:type="dxa"/>
            <w:noWrap/>
            <w:vAlign w:val="center"/>
            <w:hideMark/>
          </w:tcPr>
          <w:p w14:paraId="7831A557" w14:textId="77777777" w:rsidR="00364C3F" w:rsidRPr="00364C3F" w:rsidRDefault="00364C3F" w:rsidP="007C0B45">
            <w:pPr>
              <w:spacing w:afterLines="20" w:after="48"/>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sidRPr="00364C3F">
              <w:rPr>
                <w:rFonts w:ascii="Aptos" w:hAnsi="Aptos"/>
                <w:color w:val="000000"/>
                <w:szCs w:val="22"/>
                <w:lang w:eastAsia="en-AU"/>
              </w:rPr>
              <w:t>Pharmaceutical Benefits Scheme</w:t>
            </w:r>
          </w:p>
        </w:tc>
      </w:tr>
      <w:tr w:rsidR="00364C3F" w:rsidRPr="00364C3F" w14:paraId="5051E71C" w14:textId="77777777" w:rsidTr="007C0B4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6E6A0F7C" w14:textId="77777777" w:rsidR="00364C3F" w:rsidRPr="007E7E90" w:rsidRDefault="00364C3F" w:rsidP="007E7E90">
            <w:pPr>
              <w:pStyle w:val="Heading4"/>
              <w:rPr>
                <w:b/>
                <w:bCs/>
              </w:rPr>
            </w:pPr>
            <w:r w:rsidRPr="007E7E90">
              <w:rPr>
                <w:b/>
                <w:bCs/>
              </w:rPr>
              <w:t>PHN</w:t>
            </w:r>
          </w:p>
        </w:tc>
        <w:tc>
          <w:tcPr>
            <w:tcW w:w="6803" w:type="dxa"/>
            <w:noWrap/>
            <w:vAlign w:val="center"/>
            <w:hideMark/>
          </w:tcPr>
          <w:p w14:paraId="75E0E8DA" w14:textId="77777777" w:rsidR="00364C3F" w:rsidRPr="00364C3F" w:rsidRDefault="00364C3F" w:rsidP="007C0B45">
            <w:pPr>
              <w:spacing w:afterLines="20" w:after="48"/>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sidRPr="00364C3F">
              <w:rPr>
                <w:rFonts w:ascii="Aptos" w:hAnsi="Aptos"/>
                <w:color w:val="000000"/>
                <w:szCs w:val="22"/>
                <w:lang w:eastAsia="en-AU"/>
              </w:rPr>
              <w:t>Primary Health Networks</w:t>
            </w:r>
          </w:p>
        </w:tc>
      </w:tr>
      <w:tr w:rsidR="00364C3F" w:rsidRPr="00364C3F" w14:paraId="2463B562" w14:textId="77777777" w:rsidTr="007C0B45">
        <w:trPr>
          <w:cantSplit/>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711BF702" w14:textId="77777777" w:rsidR="00364C3F" w:rsidRPr="007E7E90" w:rsidRDefault="00364C3F" w:rsidP="007E7E90">
            <w:pPr>
              <w:pStyle w:val="Heading4"/>
              <w:rPr>
                <w:b/>
                <w:bCs/>
              </w:rPr>
            </w:pPr>
            <w:r w:rsidRPr="007E7E90">
              <w:rPr>
                <w:b/>
                <w:bCs/>
              </w:rPr>
              <w:t>PICO</w:t>
            </w:r>
          </w:p>
        </w:tc>
        <w:tc>
          <w:tcPr>
            <w:tcW w:w="6803" w:type="dxa"/>
            <w:noWrap/>
            <w:vAlign w:val="center"/>
            <w:hideMark/>
          </w:tcPr>
          <w:p w14:paraId="58DFFFC3" w14:textId="77777777" w:rsidR="00364C3F" w:rsidRPr="00364C3F" w:rsidRDefault="00364C3F" w:rsidP="007C0B45">
            <w:pPr>
              <w:spacing w:afterLines="20" w:after="48"/>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sidRPr="00364C3F">
              <w:rPr>
                <w:rFonts w:ascii="Aptos" w:hAnsi="Aptos"/>
                <w:color w:val="000000"/>
                <w:szCs w:val="22"/>
                <w:lang w:eastAsia="en-AU"/>
              </w:rPr>
              <w:t>population, intervention, comparator and outcome</w:t>
            </w:r>
          </w:p>
        </w:tc>
      </w:tr>
      <w:tr w:rsidR="00364C3F" w:rsidRPr="00364C3F" w14:paraId="4B487730" w14:textId="77777777" w:rsidTr="007C0B4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20322667" w14:textId="77777777" w:rsidR="00364C3F" w:rsidRPr="007E7E90" w:rsidRDefault="00364C3F" w:rsidP="007E7E90">
            <w:pPr>
              <w:pStyle w:val="Heading4"/>
              <w:rPr>
                <w:b/>
                <w:bCs/>
              </w:rPr>
            </w:pPr>
            <w:r w:rsidRPr="007E7E90">
              <w:rPr>
                <w:b/>
                <w:bCs/>
              </w:rPr>
              <w:t>PRG</w:t>
            </w:r>
          </w:p>
        </w:tc>
        <w:tc>
          <w:tcPr>
            <w:tcW w:w="6803" w:type="dxa"/>
            <w:noWrap/>
            <w:vAlign w:val="center"/>
            <w:hideMark/>
          </w:tcPr>
          <w:p w14:paraId="3EF800EE" w14:textId="77777777" w:rsidR="00364C3F" w:rsidRPr="00364C3F" w:rsidRDefault="00364C3F" w:rsidP="007C0B45">
            <w:pPr>
              <w:spacing w:afterLines="20" w:after="48"/>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sidRPr="00364C3F">
              <w:rPr>
                <w:rFonts w:ascii="Aptos" w:hAnsi="Aptos"/>
                <w:color w:val="000000"/>
                <w:szCs w:val="22"/>
                <w:lang w:eastAsia="en-AU"/>
              </w:rPr>
              <w:t>National Health Genomics Policy Framework Project Reference Group</w:t>
            </w:r>
          </w:p>
        </w:tc>
      </w:tr>
      <w:tr w:rsidR="00364C3F" w:rsidRPr="00364C3F" w14:paraId="5C40259E" w14:textId="77777777" w:rsidTr="007C0B45">
        <w:trPr>
          <w:cantSplit/>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36114647" w14:textId="77777777" w:rsidR="00364C3F" w:rsidRPr="007E7E90" w:rsidRDefault="00364C3F" w:rsidP="007E7E90">
            <w:pPr>
              <w:pStyle w:val="Heading4"/>
              <w:rPr>
                <w:b/>
                <w:bCs/>
              </w:rPr>
            </w:pPr>
            <w:r w:rsidRPr="007E7E90">
              <w:rPr>
                <w:b/>
                <w:bCs/>
              </w:rPr>
              <w:t>TGA</w:t>
            </w:r>
          </w:p>
        </w:tc>
        <w:tc>
          <w:tcPr>
            <w:tcW w:w="6803" w:type="dxa"/>
            <w:noWrap/>
            <w:vAlign w:val="center"/>
            <w:hideMark/>
          </w:tcPr>
          <w:p w14:paraId="4FC1E377" w14:textId="77777777" w:rsidR="00364C3F" w:rsidRPr="00364C3F" w:rsidRDefault="00364C3F" w:rsidP="007C0B45">
            <w:pPr>
              <w:spacing w:afterLines="20" w:after="48"/>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sidRPr="00364C3F">
              <w:rPr>
                <w:rFonts w:ascii="Aptos" w:hAnsi="Aptos"/>
                <w:color w:val="000000"/>
                <w:szCs w:val="22"/>
                <w:lang w:eastAsia="en-AU"/>
              </w:rPr>
              <w:t>Therapeutic Goods Administration</w:t>
            </w:r>
          </w:p>
        </w:tc>
      </w:tr>
    </w:tbl>
    <w:p w14:paraId="249514F3" w14:textId="55DBD9EC" w:rsidR="000F08B4" w:rsidRDefault="000F08B4" w:rsidP="000F08B4">
      <w:pPr>
        <w:pStyle w:val="Heading2"/>
      </w:pPr>
      <w:r>
        <w:lastRenderedPageBreak/>
        <w:t>Key</w:t>
      </w:r>
      <w:r w:rsidR="00E82C2E">
        <w:t xml:space="preserve"> technical and defined</w:t>
      </w:r>
      <w:r>
        <w:t xml:space="preserve"> terms</w:t>
      </w:r>
    </w:p>
    <w:tbl>
      <w:tblPr>
        <w:tblStyle w:val="PlainTable1"/>
        <w:tblW w:w="9071" w:type="dxa"/>
        <w:tblLook w:val="04A0" w:firstRow="1" w:lastRow="0" w:firstColumn="1" w:lastColumn="0" w:noHBand="0" w:noVBand="1"/>
      </w:tblPr>
      <w:tblGrid>
        <w:gridCol w:w="2268"/>
        <w:gridCol w:w="6803"/>
      </w:tblGrid>
      <w:tr w:rsidR="004E306A" w:rsidRPr="004E306A" w14:paraId="0BF80111" w14:textId="77777777" w:rsidTr="007C0B45">
        <w:trPr>
          <w:cnfStyle w:val="100000000000" w:firstRow="1" w:lastRow="0" w:firstColumn="0" w:lastColumn="0" w:oddVBand="0" w:evenVBand="0" w:oddHBand="0"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40E7CF07" w14:textId="3BFCE6BF" w:rsidR="004E306A" w:rsidRPr="007E7E90" w:rsidRDefault="004E306A" w:rsidP="007E7E90">
            <w:pPr>
              <w:pStyle w:val="Heading4"/>
              <w:rPr>
                <w:b/>
                <w:bCs/>
              </w:rPr>
            </w:pPr>
            <w:bookmarkStart w:id="75" w:name="_Biological_specimen"/>
            <w:bookmarkEnd w:id="75"/>
            <w:r w:rsidRPr="007E7E90">
              <w:rPr>
                <w:b/>
                <w:bCs/>
              </w:rPr>
              <w:t>Biological specimen</w:t>
            </w:r>
          </w:p>
        </w:tc>
        <w:tc>
          <w:tcPr>
            <w:tcW w:w="6803" w:type="dxa"/>
            <w:noWrap/>
            <w:vAlign w:val="center"/>
            <w:hideMark/>
          </w:tcPr>
          <w:p w14:paraId="17FE25AC" w14:textId="47ADFA64" w:rsidR="004E306A" w:rsidRPr="00673DE8" w:rsidRDefault="004E306A" w:rsidP="007C0B45">
            <w:pPr>
              <w:spacing w:after="20"/>
              <w:cnfStyle w:val="100000000000" w:firstRow="1" w:lastRow="0" w:firstColumn="0" w:lastColumn="0" w:oddVBand="0" w:evenVBand="0" w:oddHBand="0" w:evenHBand="0" w:firstRowFirstColumn="0" w:firstRowLastColumn="0" w:lastRowFirstColumn="0" w:lastRowLastColumn="0"/>
              <w:rPr>
                <w:rFonts w:ascii="Aptos" w:hAnsi="Aptos"/>
                <w:color w:val="000000"/>
                <w:szCs w:val="22"/>
                <w:lang w:eastAsia="en-AU"/>
              </w:rPr>
            </w:pPr>
            <w:r>
              <w:rPr>
                <w:rFonts w:ascii="Aptos" w:hAnsi="Aptos"/>
                <w:b w:val="0"/>
                <w:bCs w:val="0"/>
                <w:color w:val="000000"/>
                <w:szCs w:val="22"/>
                <w:lang w:eastAsia="en-AU"/>
              </w:rPr>
              <w:t>A</w:t>
            </w:r>
            <w:r w:rsidRPr="004E306A">
              <w:rPr>
                <w:rFonts w:ascii="Aptos" w:hAnsi="Aptos"/>
                <w:b w:val="0"/>
                <w:bCs w:val="0"/>
                <w:color w:val="000000"/>
                <w:szCs w:val="22"/>
                <w:lang w:eastAsia="en-AU"/>
              </w:rPr>
              <w:t xml:space="preserve"> sample </w:t>
            </w:r>
            <w:r w:rsidR="00673DE8">
              <w:rPr>
                <w:rFonts w:ascii="Aptos" w:hAnsi="Aptos"/>
                <w:b w:val="0"/>
                <w:bCs w:val="0"/>
                <w:color w:val="000000"/>
                <w:szCs w:val="22"/>
                <w:lang w:eastAsia="en-AU"/>
              </w:rPr>
              <w:t>collected</w:t>
            </w:r>
            <w:r w:rsidRPr="004E306A">
              <w:rPr>
                <w:rFonts w:ascii="Aptos" w:hAnsi="Aptos"/>
                <w:b w:val="0"/>
                <w:bCs w:val="0"/>
                <w:color w:val="000000"/>
                <w:szCs w:val="22"/>
                <w:lang w:eastAsia="en-AU"/>
              </w:rPr>
              <w:t xml:space="preserve"> from a living </w:t>
            </w:r>
            <w:r w:rsidR="00673DE8">
              <w:rPr>
                <w:rFonts w:ascii="Aptos" w:hAnsi="Aptos"/>
                <w:b w:val="0"/>
                <w:bCs w:val="0"/>
                <w:color w:val="000000"/>
                <w:szCs w:val="22"/>
                <w:lang w:eastAsia="en-AU"/>
              </w:rPr>
              <w:t>thing</w:t>
            </w:r>
            <w:r w:rsidRPr="004E306A">
              <w:rPr>
                <w:rFonts w:ascii="Aptos" w:hAnsi="Aptos"/>
                <w:b w:val="0"/>
                <w:bCs w:val="0"/>
                <w:color w:val="000000"/>
                <w:szCs w:val="22"/>
                <w:lang w:eastAsia="en-AU"/>
              </w:rPr>
              <w:t xml:space="preserve"> </w:t>
            </w:r>
            <w:r w:rsidR="00673DE8">
              <w:rPr>
                <w:rFonts w:ascii="Aptos" w:hAnsi="Aptos"/>
                <w:b w:val="0"/>
                <w:bCs w:val="0"/>
                <w:color w:val="000000"/>
                <w:szCs w:val="22"/>
                <w:lang w:eastAsia="en-AU"/>
              </w:rPr>
              <w:t>to support its analysis for health care</w:t>
            </w:r>
            <w:r w:rsidR="000B095A">
              <w:rPr>
                <w:rFonts w:ascii="Aptos" w:hAnsi="Aptos"/>
                <w:b w:val="0"/>
                <w:bCs w:val="0"/>
                <w:color w:val="000000"/>
                <w:szCs w:val="22"/>
                <w:lang w:eastAsia="en-AU"/>
              </w:rPr>
              <w:t xml:space="preserve"> or research</w:t>
            </w:r>
            <w:r w:rsidR="00673DE8">
              <w:rPr>
                <w:rFonts w:ascii="Aptos" w:hAnsi="Aptos"/>
                <w:b w:val="0"/>
                <w:bCs w:val="0"/>
                <w:color w:val="000000"/>
                <w:szCs w:val="22"/>
                <w:lang w:eastAsia="en-AU"/>
              </w:rPr>
              <w:t>. In human genomics, common types of biological specimens collected include blood, saliva, a swab rubbed against the inside of the cheek (buccal swab), and tissue (for example, a biopsy of a tumour).</w:t>
            </w:r>
          </w:p>
        </w:tc>
      </w:tr>
      <w:tr w:rsidR="004E306A" w:rsidRPr="004E306A" w14:paraId="3F476E39" w14:textId="77777777" w:rsidTr="007C0B45">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444DAAE3" w14:textId="77777777" w:rsidR="004E306A" w:rsidRPr="007E7E90" w:rsidRDefault="004E306A" w:rsidP="007E7E90">
            <w:pPr>
              <w:pStyle w:val="Heading4"/>
              <w:rPr>
                <w:b/>
                <w:bCs/>
              </w:rPr>
            </w:pPr>
            <w:bookmarkStart w:id="76" w:name="_Carrier"/>
            <w:bookmarkEnd w:id="76"/>
            <w:r w:rsidRPr="007E7E90">
              <w:rPr>
                <w:b/>
                <w:bCs/>
              </w:rPr>
              <w:t>Carrier</w:t>
            </w:r>
          </w:p>
        </w:tc>
        <w:tc>
          <w:tcPr>
            <w:tcW w:w="6803" w:type="dxa"/>
            <w:noWrap/>
            <w:vAlign w:val="center"/>
            <w:hideMark/>
          </w:tcPr>
          <w:p w14:paraId="72A1ABC4" w14:textId="351223D4" w:rsidR="004E306A" w:rsidRPr="004E306A" w:rsidRDefault="00673DE8" w:rsidP="007C0B45">
            <w:pPr>
              <w:spacing w:after="20"/>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Pr>
                <w:rFonts w:ascii="Aptos" w:hAnsi="Aptos"/>
                <w:color w:val="000000"/>
                <w:szCs w:val="22"/>
                <w:lang w:eastAsia="en-AU"/>
              </w:rPr>
              <w:t>A person who has an inheritable genetic variant associated with a condition who is typically not affected by that condition and may pass the genetic variant to their children.</w:t>
            </w:r>
          </w:p>
        </w:tc>
      </w:tr>
      <w:tr w:rsidR="004E306A" w:rsidRPr="004E306A" w14:paraId="22EEB1BA" w14:textId="77777777" w:rsidTr="007C0B45">
        <w:trPr>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325C4977" w14:textId="77777777" w:rsidR="004E306A" w:rsidRPr="007E7E90" w:rsidRDefault="004E306A" w:rsidP="007E7E90">
            <w:pPr>
              <w:pStyle w:val="Heading4"/>
              <w:rPr>
                <w:b/>
                <w:bCs/>
              </w:rPr>
            </w:pPr>
            <w:bookmarkStart w:id="77" w:name="_Cell_and_gene"/>
            <w:bookmarkEnd w:id="77"/>
            <w:r w:rsidRPr="007E7E90">
              <w:rPr>
                <w:b/>
                <w:bCs/>
              </w:rPr>
              <w:t>Cell and gene therapies</w:t>
            </w:r>
          </w:p>
        </w:tc>
        <w:tc>
          <w:tcPr>
            <w:tcW w:w="6803" w:type="dxa"/>
            <w:noWrap/>
            <w:vAlign w:val="center"/>
            <w:hideMark/>
          </w:tcPr>
          <w:p w14:paraId="197B1C05" w14:textId="115697EC" w:rsidR="004E306A" w:rsidRPr="004E306A" w:rsidRDefault="00C11915" w:rsidP="007C0B45">
            <w:pPr>
              <w:spacing w:after="20"/>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Pr>
                <w:rFonts w:ascii="Aptos" w:hAnsi="Aptos"/>
                <w:color w:val="000000"/>
                <w:szCs w:val="22"/>
                <w:lang w:eastAsia="en-AU"/>
              </w:rPr>
              <w:t>A</w:t>
            </w:r>
            <w:r w:rsidR="004E306A" w:rsidRPr="004E306A">
              <w:rPr>
                <w:rFonts w:ascii="Aptos" w:hAnsi="Aptos"/>
                <w:color w:val="000000"/>
                <w:szCs w:val="22"/>
                <w:lang w:eastAsia="en-AU"/>
              </w:rPr>
              <w:t xml:space="preserve">dvanced treatments that target </w:t>
            </w:r>
            <w:r>
              <w:rPr>
                <w:rFonts w:ascii="Aptos" w:hAnsi="Aptos"/>
                <w:color w:val="000000"/>
                <w:szCs w:val="22"/>
                <w:lang w:eastAsia="en-AU"/>
              </w:rPr>
              <w:t>conditions</w:t>
            </w:r>
            <w:r w:rsidR="004E306A" w:rsidRPr="004E306A">
              <w:rPr>
                <w:rFonts w:ascii="Aptos" w:hAnsi="Aptos"/>
                <w:color w:val="000000"/>
                <w:szCs w:val="22"/>
                <w:lang w:eastAsia="en-AU"/>
              </w:rPr>
              <w:t xml:space="preserve"> at the cellular or genetic level</w:t>
            </w:r>
            <w:r w:rsidR="004B77DC">
              <w:rPr>
                <w:rFonts w:ascii="Aptos" w:hAnsi="Aptos"/>
                <w:color w:val="000000"/>
                <w:szCs w:val="22"/>
                <w:lang w:eastAsia="en-AU"/>
              </w:rPr>
              <w:t xml:space="preserve"> through introducing, removing or modifying cells or genetic material.</w:t>
            </w:r>
          </w:p>
        </w:tc>
      </w:tr>
      <w:tr w:rsidR="004E306A" w:rsidRPr="004E306A" w14:paraId="6B6F01F1" w14:textId="77777777" w:rsidTr="007C0B45">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3A24F21B" w14:textId="77777777" w:rsidR="004E306A" w:rsidRPr="007E7E90" w:rsidRDefault="004E306A" w:rsidP="007E7E90">
            <w:pPr>
              <w:pStyle w:val="Heading4"/>
              <w:rPr>
                <w:b/>
                <w:bCs/>
              </w:rPr>
            </w:pPr>
            <w:bookmarkStart w:id="78" w:name="_Clinical_genetics"/>
            <w:bookmarkEnd w:id="78"/>
            <w:r w:rsidRPr="007E7E90">
              <w:rPr>
                <w:b/>
                <w:bCs/>
              </w:rPr>
              <w:t>Clinical genetics</w:t>
            </w:r>
          </w:p>
        </w:tc>
        <w:tc>
          <w:tcPr>
            <w:tcW w:w="6803" w:type="dxa"/>
            <w:noWrap/>
            <w:vAlign w:val="center"/>
            <w:hideMark/>
          </w:tcPr>
          <w:p w14:paraId="3668BEDD" w14:textId="6D67B35A" w:rsidR="00FC54E0" w:rsidRPr="004E306A" w:rsidRDefault="00673DE8" w:rsidP="007C0B45">
            <w:pPr>
              <w:spacing w:after="20"/>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Pr>
                <w:rFonts w:ascii="Aptos" w:hAnsi="Aptos"/>
                <w:color w:val="000000"/>
                <w:szCs w:val="22"/>
                <w:lang w:eastAsia="en-AU"/>
              </w:rPr>
              <w:t>A f</w:t>
            </w:r>
            <w:r w:rsidR="00DD1A52">
              <w:rPr>
                <w:rFonts w:ascii="Aptos" w:hAnsi="Aptos"/>
                <w:color w:val="000000"/>
                <w:szCs w:val="22"/>
                <w:lang w:eastAsia="en-AU"/>
              </w:rPr>
              <w:t xml:space="preserve">ield of </w:t>
            </w:r>
            <w:r w:rsidR="00124C8A">
              <w:rPr>
                <w:rFonts w:ascii="Aptos" w:hAnsi="Aptos"/>
                <w:color w:val="000000"/>
                <w:szCs w:val="22"/>
                <w:lang w:eastAsia="en-AU"/>
              </w:rPr>
              <w:t xml:space="preserve">speciality </w:t>
            </w:r>
            <w:r w:rsidR="00DD1A52">
              <w:rPr>
                <w:rFonts w:ascii="Aptos" w:hAnsi="Aptos"/>
                <w:color w:val="000000"/>
                <w:szCs w:val="22"/>
                <w:lang w:eastAsia="en-AU"/>
              </w:rPr>
              <w:t>practice</w:t>
            </w:r>
            <w:r w:rsidR="00124C8A">
              <w:rPr>
                <w:rFonts w:ascii="Aptos" w:hAnsi="Aptos"/>
                <w:color w:val="000000"/>
                <w:szCs w:val="22"/>
                <w:lang w:eastAsia="en-AU"/>
              </w:rPr>
              <w:t xml:space="preserve"> in medicine</w:t>
            </w:r>
            <w:r w:rsidR="00DD1A52">
              <w:rPr>
                <w:rFonts w:ascii="Aptos" w:hAnsi="Aptos"/>
                <w:color w:val="000000"/>
                <w:szCs w:val="22"/>
                <w:lang w:eastAsia="en-AU"/>
              </w:rPr>
              <w:t xml:space="preserve"> </w:t>
            </w:r>
            <w:r w:rsidR="00124C8A">
              <w:rPr>
                <w:rFonts w:ascii="Aptos" w:hAnsi="Aptos"/>
                <w:color w:val="000000"/>
                <w:szCs w:val="22"/>
                <w:lang w:eastAsia="en-AU"/>
              </w:rPr>
              <w:t>focussed on the assessment</w:t>
            </w:r>
            <w:r w:rsidR="00A35730">
              <w:rPr>
                <w:rFonts w:ascii="Aptos" w:hAnsi="Aptos"/>
                <w:color w:val="000000"/>
                <w:szCs w:val="22"/>
                <w:lang w:eastAsia="en-AU"/>
              </w:rPr>
              <w:t xml:space="preserve">, </w:t>
            </w:r>
            <w:r w:rsidR="00124C8A">
              <w:rPr>
                <w:rFonts w:ascii="Aptos" w:hAnsi="Aptos"/>
                <w:color w:val="000000"/>
                <w:szCs w:val="22"/>
                <w:lang w:eastAsia="en-AU"/>
              </w:rPr>
              <w:t>management</w:t>
            </w:r>
            <w:r w:rsidR="00A35730">
              <w:rPr>
                <w:rFonts w:ascii="Aptos" w:hAnsi="Aptos"/>
                <w:color w:val="000000"/>
                <w:szCs w:val="22"/>
                <w:lang w:eastAsia="en-AU"/>
              </w:rPr>
              <w:t xml:space="preserve"> and treatment</w:t>
            </w:r>
            <w:r w:rsidR="00124C8A">
              <w:rPr>
                <w:rFonts w:ascii="Aptos" w:hAnsi="Aptos"/>
                <w:color w:val="000000"/>
                <w:szCs w:val="22"/>
                <w:lang w:eastAsia="en-AU"/>
              </w:rPr>
              <w:t xml:space="preserve"> of patients who are at risk, suspected or known to have a genetic or genomic condition.</w:t>
            </w:r>
            <w:r w:rsidR="00FC54E0">
              <w:rPr>
                <w:rFonts w:ascii="Aptos" w:hAnsi="Aptos"/>
                <w:color w:val="000000"/>
                <w:szCs w:val="22"/>
                <w:lang w:eastAsia="en-AU"/>
              </w:rPr>
              <w:t xml:space="preserve"> Clinical geneticists typically interact directly with patients, request genomic testing, and interpret its results.</w:t>
            </w:r>
          </w:p>
        </w:tc>
      </w:tr>
      <w:tr w:rsidR="004E306A" w:rsidRPr="004E306A" w14:paraId="0252B423" w14:textId="77777777" w:rsidTr="007C0B45">
        <w:trPr>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5704C8CC" w14:textId="77777777" w:rsidR="004E306A" w:rsidRPr="007E7E90" w:rsidRDefault="004E306A" w:rsidP="007E7E90">
            <w:pPr>
              <w:pStyle w:val="Heading4"/>
              <w:rPr>
                <w:b/>
                <w:bCs/>
              </w:rPr>
            </w:pPr>
            <w:bookmarkStart w:id="79" w:name="_Epigenomics"/>
            <w:bookmarkEnd w:id="79"/>
            <w:r w:rsidRPr="007E7E90">
              <w:rPr>
                <w:b/>
                <w:bCs/>
              </w:rPr>
              <w:t>Epigenomics</w:t>
            </w:r>
          </w:p>
        </w:tc>
        <w:tc>
          <w:tcPr>
            <w:tcW w:w="6803" w:type="dxa"/>
            <w:noWrap/>
            <w:vAlign w:val="center"/>
            <w:hideMark/>
          </w:tcPr>
          <w:p w14:paraId="6D982F12" w14:textId="0A4F3B70" w:rsidR="004E306A" w:rsidRPr="004E306A" w:rsidRDefault="00DD1A52" w:rsidP="007C0B45">
            <w:pPr>
              <w:spacing w:after="20"/>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Pr>
                <w:rFonts w:ascii="Aptos" w:hAnsi="Aptos"/>
                <w:color w:val="000000"/>
                <w:szCs w:val="22"/>
                <w:lang w:eastAsia="en-AU"/>
              </w:rPr>
              <w:t>S</w:t>
            </w:r>
            <w:r w:rsidR="004E306A" w:rsidRPr="004E306A">
              <w:rPr>
                <w:rFonts w:ascii="Aptos" w:hAnsi="Aptos"/>
                <w:color w:val="000000"/>
                <w:szCs w:val="22"/>
                <w:lang w:eastAsia="en-AU"/>
              </w:rPr>
              <w:t xml:space="preserve">tudy of </w:t>
            </w:r>
            <w:r w:rsidR="00D45D4B">
              <w:rPr>
                <w:rFonts w:ascii="Aptos" w:hAnsi="Aptos"/>
                <w:color w:val="000000"/>
                <w:szCs w:val="22"/>
                <w:lang w:eastAsia="en-AU"/>
              </w:rPr>
              <w:t>how external factors</w:t>
            </w:r>
            <w:r w:rsidR="00C1791C">
              <w:rPr>
                <w:rFonts w:ascii="Aptos" w:hAnsi="Aptos"/>
                <w:color w:val="000000"/>
                <w:szCs w:val="22"/>
                <w:lang w:eastAsia="en-AU"/>
              </w:rPr>
              <w:t xml:space="preserve"> (</w:t>
            </w:r>
            <w:r w:rsidR="00D45D4B">
              <w:rPr>
                <w:rFonts w:ascii="Aptos" w:hAnsi="Aptos"/>
                <w:color w:val="000000"/>
                <w:szCs w:val="22"/>
                <w:lang w:eastAsia="en-AU"/>
              </w:rPr>
              <w:t>such as diet, stress</w:t>
            </w:r>
            <w:r w:rsidR="00C1791C">
              <w:rPr>
                <w:rFonts w:ascii="Aptos" w:hAnsi="Aptos"/>
                <w:color w:val="000000"/>
                <w:szCs w:val="22"/>
                <w:lang w:eastAsia="en-AU"/>
              </w:rPr>
              <w:t xml:space="preserve"> and</w:t>
            </w:r>
            <w:r w:rsidR="00D45D4B">
              <w:rPr>
                <w:rFonts w:ascii="Aptos" w:hAnsi="Aptos"/>
                <w:color w:val="000000"/>
                <w:szCs w:val="22"/>
                <w:lang w:eastAsia="en-AU"/>
              </w:rPr>
              <w:t xml:space="preserve"> environment</w:t>
            </w:r>
            <w:r w:rsidR="00C1791C">
              <w:rPr>
                <w:rFonts w:ascii="Aptos" w:hAnsi="Aptos"/>
                <w:color w:val="000000"/>
                <w:szCs w:val="22"/>
                <w:lang w:eastAsia="en-AU"/>
              </w:rPr>
              <w:t>al factors)</w:t>
            </w:r>
            <w:r w:rsidR="00D45D4B">
              <w:rPr>
                <w:rFonts w:ascii="Aptos" w:hAnsi="Aptos"/>
                <w:color w:val="000000"/>
                <w:szCs w:val="22"/>
                <w:lang w:eastAsia="en-AU"/>
              </w:rPr>
              <w:t xml:space="preserve"> can change the ways genes are expressed without </w:t>
            </w:r>
            <w:r w:rsidR="00124C8A">
              <w:rPr>
                <w:rFonts w:ascii="Aptos" w:hAnsi="Aptos"/>
                <w:color w:val="000000"/>
                <w:szCs w:val="22"/>
                <w:lang w:eastAsia="en-AU"/>
              </w:rPr>
              <w:t>altering</w:t>
            </w:r>
            <w:r w:rsidR="00D45D4B">
              <w:rPr>
                <w:rFonts w:ascii="Aptos" w:hAnsi="Aptos"/>
                <w:color w:val="000000"/>
                <w:szCs w:val="22"/>
                <w:lang w:eastAsia="en-AU"/>
              </w:rPr>
              <w:t xml:space="preserve"> </w:t>
            </w:r>
            <w:r w:rsidR="00124C8A">
              <w:rPr>
                <w:rFonts w:ascii="Aptos" w:hAnsi="Aptos"/>
                <w:color w:val="000000"/>
                <w:szCs w:val="22"/>
                <w:lang w:eastAsia="en-AU"/>
              </w:rPr>
              <w:t xml:space="preserve">the genes </w:t>
            </w:r>
            <w:r w:rsidR="00C1791C">
              <w:rPr>
                <w:rFonts w:ascii="Aptos" w:hAnsi="Aptos"/>
                <w:color w:val="000000"/>
                <w:szCs w:val="22"/>
                <w:lang w:eastAsia="en-AU"/>
              </w:rPr>
              <w:t>themselves.</w:t>
            </w:r>
          </w:p>
        </w:tc>
      </w:tr>
      <w:tr w:rsidR="004E306A" w:rsidRPr="004E306A" w14:paraId="42C081C1" w14:textId="77777777" w:rsidTr="007C0B45">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2803F566" w14:textId="77777777" w:rsidR="004E306A" w:rsidRPr="007E7E90" w:rsidRDefault="004E306A" w:rsidP="007E7E90">
            <w:pPr>
              <w:pStyle w:val="Heading4"/>
              <w:rPr>
                <w:b/>
                <w:bCs/>
              </w:rPr>
            </w:pPr>
            <w:bookmarkStart w:id="80" w:name="_Genetics"/>
            <w:bookmarkEnd w:id="80"/>
            <w:r w:rsidRPr="007E7E90">
              <w:rPr>
                <w:b/>
                <w:bCs/>
              </w:rPr>
              <w:t>Genetics</w:t>
            </w:r>
          </w:p>
        </w:tc>
        <w:tc>
          <w:tcPr>
            <w:tcW w:w="6803" w:type="dxa"/>
            <w:noWrap/>
            <w:vAlign w:val="center"/>
            <w:hideMark/>
          </w:tcPr>
          <w:p w14:paraId="3AEA1F53" w14:textId="00B4E053" w:rsidR="004E306A" w:rsidRPr="004E306A" w:rsidRDefault="00D45D4B" w:rsidP="007C0B45">
            <w:pPr>
              <w:spacing w:after="20"/>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Pr>
                <w:rFonts w:ascii="Aptos" w:hAnsi="Aptos"/>
                <w:color w:val="000000"/>
                <w:szCs w:val="22"/>
                <w:lang w:eastAsia="en-AU"/>
              </w:rPr>
              <w:t>S</w:t>
            </w:r>
            <w:r w:rsidR="004E306A" w:rsidRPr="004E306A">
              <w:rPr>
                <w:rFonts w:ascii="Aptos" w:hAnsi="Aptos"/>
                <w:color w:val="000000"/>
                <w:szCs w:val="22"/>
                <w:lang w:eastAsia="en-AU"/>
              </w:rPr>
              <w:t>tudy of genes</w:t>
            </w:r>
            <w:r w:rsidR="00C1791C">
              <w:rPr>
                <w:rFonts w:ascii="Aptos" w:hAnsi="Aptos"/>
                <w:color w:val="000000"/>
                <w:szCs w:val="22"/>
                <w:lang w:eastAsia="en-AU"/>
              </w:rPr>
              <w:t xml:space="preserve"> and how they are inherited.</w:t>
            </w:r>
          </w:p>
        </w:tc>
      </w:tr>
      <w:tr w:rsidR="00D45D4B" w:rsidRPr="004E306A" w14:paraId="40B96E39" w14:textId="77777777" w:rsidTr="007C0B45">
        <w:trPr>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6E3E9157" w14:textId="4C706EC9" w:rsidR="004E306A" w:rsidRPr="007E7E90" w:rsidRDefault="004E306A" w:rsidP="007E7E90">
            <w:pPr>
              <w:pStyle w:val="Heading4"/>
              <w:rPr>
                <w:b/>
                <w:bCs/>
              </w:rPr>
            </w:pPr>
            <w:bookmarkStart w:id="81" w:name="_Genomic_data"/>
            <w:bookmarkEnd w:id="81"/>
            <w:r w:rsidRPr="007E7E90">
              <w:rPr>
                <w:b/>
                <w:bCs/>
              </w:rPr>
              <w:t>Genomic data</w:t>
            </w:r>
          </w:p>
        </w:tc>
        <w:tc>
          <w:tcPr>
            <w:tcW w:w="6803" w:type="dxa"/>
            <w:noWrap/>
            <w:vAlign w:val="center"/>
            <w:hideMark/>
          </w:tcPr>
          <w:p w14:paraId="715ABAB4" w14:textId="4C3158C1" w:rsidR="004E306A" w:rsidRPr="004E306A" w:rsidRDefault="00D45D4B" w:rsidP="007C0B45">
            <w:pPr>
              <w:spacing w:after="20"/>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Pr>
                <w:rFonts w:ascii="Aptos" w:hAnsi="Aptos"/>
                <w:color w:val="000000"/>
                <w:szCs w:val="22"/>
                <w:lang w:eastAsia="en-AU"/>
              </w:rPr>
              <w:t xml:space="preserve">Data generated from </w:t>
            </w:r>
            <w:r w:rsidR="00FC54E0">
              <w:rPr>
                <w:rFonts w:ascii="Aptos" w:hAnsi="Aptos"/>
                <w:color w:val="000000"/>
                <w:szCs w:val="22"/>
                <w:lang w:eastAsia="en-AU"/>
              </w:rPr>
              <w:t>genomic testing</w:t>
            </w:r>
            <w:r w:rsidR="000B095A">
              <w:rPr>
                <w:rFonts w:ascii="Aptos" w:hAnsi="Aptos"/>
                <w:color w:val="000000"/>
                <w:szCs w:val="22"/>
                <w:lang w:eastAsia="en-AU"/>
              </w:rPr>
              <w:t xml:space="preserve"> part or all of</w:t>
            </w:r>
            <w:r>
              <w:rPr>
                <w:rFonts w:ascii="Aptos" w:hAnsi="Aptos"/>
                <w:color w:val="000000"/>
                <w:szCs w:val="22"/>
                <w:lang w:eastAsia="en-AU"/>
              </w:rPr>
              <w:t xml:space="preserve"> a</w:t>
            </w:r>
            <w:r w:rsidR="000B095A">
              <w:rPr>
                <w:rFonts w:ascii="Aptos" w:hAnsi="Aptos"/>
                <w:color w:val="000000"/>
                <w:szCs w:val="22"/>
                <w:lang w:eastAsia="en-AU"/>
              </w:rPr>
              <w:t>n organism’s</w:t>
            </w:r>
            <w:r>
              <w:rPr>
                <w:rFonts w:ascii="Aptos" w:hAnsi="Aptos"/>
                <w:color w:val="000000"/>
                <w:szCs w:val="22"/>
                <w:lang w:eastAsia="en-AU"/>
              </w:rPr>
              <w:t xml:space="preserve"> genome.</w:t>
            </w:r>
          </w:p>
        </w:tc>
      </w:tr>
      <w:tr w:rsidR="004E306A" w:rsidRPr="004E306A" w14:paraId="1E8F4FFA" w14:textId="77777777" w:rsidTr="007C0B45">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24C64AAA" w14:textId="398B090E" w:rsidR="004E306A" w:rsidRPr="007E7E90" w:rsidRDefault="004E306A" w:rsidP="007E7E90">
            <w:pPr>
              <w:pStyle w:val="Heading4"/>
              <w:rPr>
                <w:b/>
                <w:bCs/>
              </w:rPr>
            </w:pPr>
            <w:r w:rsidRPr="007E7E90">
              <w:rPr>
                <w:b/>
                <w:bCs/>
              </w:rPr>
              <w:t xml:space="preserve">Genomic </w:t>
            </w:r>
            <w:r w:rsidR="00D45D4B" w:rsidRPr="007E7E90">
              <w:rPr>
                <w:b/>
                <w:bCs/>
              </w:rPr>
              <w:t>m</w:t>
            </w:r>
            <w:r w:rsidRPr="007E7E90">
              <w:rPr>
                <w:b/>
                <w:bCs/>
              </w:rPr>
              <w:t>edicine</w:t>
            </w:r>
          </w:p>
        </w:tc>
        <w:tc>
          <w:tcPr>
            <w:tcW w:w="6803" w:type="dxa"/>
            <w:noWrap/>
            <w:vAlign w:val="center"/>
            <w:hideMark/>
          </w:tcPr>
          <w:p w14:paraId="1AEA21CE" w14:textId="77777777" w:rsidR="000B095A" w:rsidRDefault="00C1791C" w:rsidP="007C0B45">
            <w:pPr>
              <w:spacing w:after="20"/>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Pr>
                <w:rFonts w:ascii="Aptos" w:hAnsi="Aptos"/>
                <w:color w:val="000000"/>
                <w:szCs w:val="22"/>
                <w:lang w:eastAsia="en-AU"/>
              </w:rPr>
              <w:t xml:space="preserve">The use of genomic information </w:t>
            </w:r>
            <w:r w:rsidR="00A35730">
              <w:rPr>
                <w:rFonts w:ascii="Aptos" w:hAnsi="Aptos"/>
                <w:color w:val="000000"/>
                <w:szCs w:val="22"/>
                <w:lang w:eastAsia="en-AU"/>
              </w:rPr>
              <w:t xml:space="preserve">as part of assessment, management and treatment </w:t>
            </w:r>
            <w:r>
              <w:rPr>
                <w:rFonts w:ascii="Aptos" w:hAnsi="Aptos"/>
                <w:color w:val="000000"/>
                <w:szCs w:val="22"/>
                <w:lang w:eastAsia="en-AU"/>
              </w:rPr>
              <w:t xml:space="preserve">of </w:t>
            </w:r>
            <w:r w:rsidR="00A35730">
              <w:rPr>
                <w:rFonts w:ascii="Aptos" w:hAnsi="Aptos"/>
                <w:color w:val="000000"/>
                <w:szCs w:val="22"/>
                <w:lang w:eastAsia="en-AU"/>
              </w:rPr>
              <w:t xml:space="preserve">patients who are at risk, suspected or known to have a genetic or genomic condition. </w:t>
            </w:r>
          </w:p>
          <w:p w14:paraId="11786BCF" w14:textId="77777777" w:rsidR="000B095A" w:rsidRDefault="000B095A" w:rsidP="007C0B45">
            <w:pPr>
              <w:spacing w:after="20"/>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p>
          <w:p w14:paraId="662B19F2" w14:textId="5260F8EF" w:rsidR="00A35730" w:rsidRPr="004E306A" w:rsidRDefault="00A35730" w:rsidP="007C0B45">
            <w:pPr>
              <w:spacing w:after="20"/>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Pr>
                <w:rFonts w:ascii="Aptos" w:hAnsi="Aptos"/>
                <w:color w:val="000000"/>
                <w:szCs w:val="22"/>
                <w:lang w:eastAsia="en-AU"/>
              </w:rPr>
              <w:t xml:space="preserve">This framework and implementation plan primarily uses the </w:t>
            </w:r>
            <w:r w:rsidR="000B095A">
              <w:rPr>
                <w:rFonts w:ascii="Aptos" w:hAnsi="Aptos"/>
                <w:color w:val="000000"/>
                <w:szCs w:val="22"/>
                <w:lang w:eastAsia="en-AU"/>
              </w:rPr>
              <w:t xml:space="preserve">largely </w:t>
            </w:r>
            <w:r>
              <w:rPr>
                <w:rFonts w:ascii="Aptos" w:hAnsi="Aptos"/>
                <w:color w:val="000000"/>
                <w:szCs w:val="22"/>
                <w:lang w:eastAsia="en-AU"/>
              </w:rPr>
              <w:t xml:space="preserve">synonymous </w:t>
            </w:r>
            <w:r w:rsidR="000B095A">
              <w:rPr>
                <w:rFonts w:ascii="Aptos" w:hAnsi="Aptos"/>
                <w:color w:val="000000"/>
                <w:szCs w:val="22"/>
                <w:lang w:eastAsia="en-AU"/>
              </w:rPr>
              <w:t xml:space="preserve">but broader </w:t>
            </w:r>
            <w:r>
              <w:rPr>
                <w:rFonts w:ascii="Aptos" w:hAnsi="Aptos"/>
                <w:color w:val="000000"/>
                <w:szCs w:val="22"/>
                <w:lang w:eastAsia="en-AU"/>
              </w:rPr>
              <w:t>term ‘</w:t>
            </w:r>
            <w:r w:rsidRPr="00A35730">
              <w:rPr>
                <w:rFonts w:ascii="Aptos" w:hAnsi="Aptos"/>
                <w:b/>
                <w:bCs/>
                <w:color w:val="000000"/>
                <w:szCs w:val="22"/>
                <w:lang w:eastAsia="en-AU"/>
              </w:rPr>
              <w:t>genomics-informed health care</w:t>
            </w:r>
            <w:r>
              <w:rPr>
                <w:rFonts w:ascii="Aptos" w:hAnsi="Aptos"/>
                <w:color w:val="000000"/>
                <w:szCs w:val="22"/>
                <w:lang w:eastAsia="en-AU"/>
              </w:rPr>
              <w:t>’ to recognise the growing importance of genomics as a</w:t>
            </w:r>
            <w:r w:rsidR="00C07F75">
              <w:rPr>
                <w:rFonts w:ascii="Aptos" w:hAnsi="Aptos"/>
                <w:color w:val="000000"/>
                <w:szCs w:val="22"/>
                <w:lang w:eastAsia="en-AU"/>
              </w:rPr>
              <w:t xml:space="preserve"> routine</w:t>
            </w:r>
            <w:r>
              <w:rPr>
                <w:rFonts w:ascii="Aptos" w:hAnsi="Aptos"/>
                <w:color w:val="000000"/>
                <w:szCs w:val="22"/>
                <w:lang w:eastAsia="en-AU"/>
              </w:rPr>
              <w:t xml:space="preserve"> part of many areas of clinical practice</w:t>
            </w:r>
            <w:r w:rsidR="000B095A">
              <w:rPr>
                <w:rFonts w:ascii="Aptos" w:hAnsi="Aptos"/>
                <w:color w:val="000000"/>
                <w:szCs w:val="22"/>
                <w:lang w:eastAsia="en-AU"/>
              </w:rPr>
              <w:t xml:space="preserve"> as well as public health initiatives.</w:t>
            </w:r>
          </w:p>
        </w:tc>
      </w:tr>
      <w:tr w:rsidR="009A1136" w:rsidRPr="004E306A" w14:paraId="31182016" w14:textId="77777777" w:rsidTr="007C0B45">
        <w:trPr>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tcPr>
          <w:p w14:paraId="085AAB0D" w14:textId="48427AEE" w:rsidR="009A1136" w:rsidRPr="007E7E90" w:rsidRDefault="009A1136" w:rsidP="007E7E90">
            <w:pPr>
              <w:pStyle w:val="Heading4"/>
              <w:rPr>
                <w:b/>
                <w:bCs/>
              </w:rPr>
            </w:pPr>
            <w:bookmarkStart w:id="82" w:name="_Genomic_testing"/>
            <w:bookmarkEnd w:id="82"/>
            <w:r w:rsidRPr="007E7E90">
              <w:rPr>
                <w:b/>
                <w:bCs/>
              </w:rPr>
              <w:t>Genomic testing</w:t>
            </w:r>
          </w:p>
        </w:tc>
        <w:tc>
          <w:tcPr>
            <w:tcW w:w="6803" w:type="dxa"/>
            <w:noWrap/>
            <w:vAlign w:val="center"/>
          </w:tcPr>
          <w:p w14:paraId="1FFF2672" w14:textId="48E4500B" w:rsidR="002A75C6" w:rsidRDefault="00FC54E0" w:rsidP="007C0B45">
            <w:pPr>
              <w:spacing w:after="20"/>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Pr>
                <w:rFonts w:ascii="Aptos" w:hAnsi="Aptos"/>
                <w:color w:val="000000"/>
                <w:szCs w:val="22"/>
                <w:lang w:eastAsia="en-AU"/>
              </w:rPr>
              <w:t>The</w:t>
            </w:r>
            <w:r w:rsidR="002A75C6">
              <w:rPr>
                <w:rFonts w:ascii="Aptos" w:hAnsi="Aptos"/>
                <w:color w:val="000000"/>
                <w:szCs w:val="22"/>
                <w:lang w:eastAsia="en-AU"/>
              </w:rPr>
              <w:t xml:space="preserve"> technical</w:t>
            </w:r>
            <w:r>
              <w:rPr>
                <w:rFonts w:ascii="Aptos" w:hAnsi="Aptos"/>
                <w:color w:val="000000"/>
                <w:szCs w:val="22"/>
                <w:lang w:eastAsia="en-AU"/>
              </w:rPr>
              <w:t xml:space="preserve"> </w:t>
            </w:r>
            <w:r w:rsidR="002A75C6">
              <w:rPr>
                <w:rFonts w:ascii="Aptos" w:hAnsi="Aptos"/>
                <w:color w:val="000000"/>
                <w:szCs w:val="22"/>
                <w:lang w:eastAsia="en-AU"/>
              </w:rPr>
              <w:t>process performed in laboratories by genetic pathologists</w:t>
            </w:r>
            <w:r w:rsidR="003B5CBC">
              <w:rPr>
                <w:rFonts w:ascii="Aptos" w:hAnsi="Aptos"/>
                <w:color w:val="000000"/>
                <w:szCs w:val="22"/>
                <w:lang w:eastAsia="en-AU"/>
              </w:rPr>
              <w:t>,</w:t>
            </w:r>
            <w:r w:rsidR="002A75C6">
              <w:rPr>
                <w:rFonts w:ascii="Aptos" w:hAnsi="Aptos"/>
                <w:color w:val="000000"/>
                <w:szCs w:val="22"/>
                <w:lang w:eastAsia="en-AU"/>
              </w:rPr>
              <w:t xml:space="preserve"> </w:t>
            </w:r>
            <w:r w:rsidR="003B5CBC">
              <w:rPr>
                <w:rFonts w:ascii="Aptos" w:hAnsi="Aptos"/>
                <w:color w:val="000000"/>
                <w:szCs w:val="22"/>
                <w:lang w:eastAsia="en-AU"/>
              </w:rPr>
              <w:t xml:space="preserve">medical </w:t>
            </w:r>
            <w:r w:rsidR="002A75C6">
              <w:rPr>
                <w:rFonts w:ascii="Aptos" w:hAnsi="Aptos"/>
                <w:color w:val="000000"/>
                <w:szCs w:val="22"/>
                <w:lang w:eastAsia="en-AU"/>
              </w:rPr>
              <w:t xml:space="preserve">scientists with appropriate qualifications </w:t>
            </w:r>
            <w:r w:rsidR="003B5CBC">
              <w:rPr>
                <w:rFonts w:ascii="Aptos" w:hAnsi="Aptos"/>
                <w:color w:val="000000"/>
                <w:szCs w:val="22"/>
                <w:lang w:eastAsia="en-AU"/>
              </w:rPr>
              <w:t>in genetics, and other support staff,</w:t>
            </w:r>
            <w:r w:rsidR="002A75C6">
              <w:rPr>
                <w:rFonts w:ascii="Aptos" w:hAnsi="Aptos"/>
                <w:color w:val="000000"/>
                <w:szCs w:val="22"/>
                <w:lang w:eastAsia="en-AU"/>
              </w:rPr>
              <w:t xml:space="preserve"> </w:t>
            </w:r>
            <w:r w:rsidR="003B5CBC">
              <w:rPr>
                <w:rFonts w:ascii="Aptos" w:hAnsi="Aptos"/>
                <w:color w:val="000000"/>
                <w:szCs w:val="22"/>
                <w:lang w:eastAsia="en-AU"/>
              </w:rPr>
              <w:t xml:space="preserve">to </w:t>
            </w:r>
            <w:r w:rsidR="002A75C6">
              <w:rPr>
                <w:rFonts w:ascii="Aptos" w:hAnsi="Aptos"/>
                <w:color w:val="000000"/>
                <w:szCs w:val="22"/>
                <w:lang w:eastAsia="en-AU"/>
              </w:rPr>
              <w:t>analys</w:t>
            </w:r>
            <w:r w:rsidR="003B5CBC">
              <w:rPr>
                <w:rFonts w:ascii="Aptos" w:hAnsi="Aptos"/>
                <w:color w:val="000000"/>
                <w:szCs w:val="22"/>
                <w:lang w:eastAsia="en-AU"/>
              </w:rPr>
              <w:t>e</w:t>
            </w:r>
            <w:r w:rsidR="002A75C6">
              <w:rPr>
                <w:rFonts w:ascii="Aptos" w:hAnsi="Aptos"/>
                <w:color w:val="000000"/>
                <w:szCs w:val="22"/>
                <w:lang w:eastAsia="en-AU"/>
              </w:rPr>
              <w:t xml:space="preserve"> the genome to support diagnosis, prognosis or treatment of a condition.</w:t>
            </w:r>
          </w:p>
          <w:p w14:paraId="1960C952" w14:textId="113ECF2D" w:rsidR="009A1136" w:rsidRDefault="002A75C6" w:rsidP="007C0B45">
            <w:pPr>
              <w:spacing w:after="20"/>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Pr>
                <w:rFonts w:ascii="Aptos" w:hAnsi="Aptos"/>
                <w:color w:val="000000"/>
                <w:szCs w:val="22"/>
                <w:lang w:eastAsia="en-AU"/>
              </w:rPr>
              <w:t>Involves the collection of a biological specimen and the extraction of DNA, sequencing, analysis, interpretation and reporting.</w:t>
            </w:r>
          </w:p>
        </w:tc>
      </w:tr>
      <w:tr w:rsidR="00D45D4B" w:rsidRPr="004E306A" w14:paraId="35F53086" w14:textId="77777777" w:rsidTr="007C0B45">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7AFBF558" w14:textId="77777777" w:rsidR="004E306A" w:rsidRPr="007E7E90" w:rsidRDefault="004E306A" w:rsidP="007E7E90">
            <w:pPr>
              <w:pStyle w:val="Heading4"/>
              <w:rPr>
                <w:b/>
                <w:bCs/>
              </w:rPr>
            </w:pPr>
            <w:bookmarkStart w:id="83" w:name="_Genomics"/>
            <w:bookmarkEnd w:id="83"/>
            <w:r w:rsidRPr="007E7E90">
              <w:rPr>
                <w:b/>
                <w:bCs/>
              </w:rPr>
              <w:t>Genomics</w:t>
            </w:r>
          </w:p>
        </w:tc>
        <w:tc>
          <w:tcPr>
            <w:tcW w:w="6803" w:type="dxa"/>
            <w:noWrap/>
            <w:vAlign w:val="center"/>
            <w:hideMark/>
          </w:tcPr>
          <w:p w14:paraId="2F0034C5" w14:textId="427A890B" w:rsidR="004E306A" w:rsidRPr="004E306A" w:rsidRDefault="00D45D4B" w:rsidP="007C0B45">
            <w:pPr>
              <w:spacing w:after="20"/>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Pr>
                <w:rFonts w:ascii="Aptos" w:hAnsi="Aptos"/>
                <w:color w:val="000000"/>
                <w:szCs w:val="22"/>
                <w:lang w:eastAsia="en-AU"/>
              </w:rPr>
              <w:t>Study of an organism’s complete set of genetic information.</w:t>
            </w:r>
          </w:p>
        </w:tc>
      </w:tr>
      <w:tr w:rsidR="00D45D4B" w:rsidRPr="004E306A" w14:paraId="0E06E6AE" w14:textId="77777777" w:rsidTr="007C0B45">
        <w:trPr>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tcPr>
          <w:p w14:paraId="37AE744A" w14:textId="779CFF90" w:rsidR="00D45D4B" w:rsidRPr="007E7E90" w:rsidRDefault="00D45D4B" w:rsidP="007E7E90">
            <w:pPr>
              <w:pStyle w:val="Heading4"/>
              <w:rPr>
                <w:b/>
                <w:bCs/>
              </w:rPr>
            </w:pPr>
            <w:bookmarkStart w:id="84" w:name="_Genomic_information"/>
            <w:bookmarkEnd w:id="84"/>
            <w:r w:rsidRPr="007E7E90">
              <w:rPr>
                <w:b/>
                <w:bCs/>
              </w:rPr>
              <w:t>Genomic information</w:t>
            </w:r>
          </w:p>
        </w:tc>
        <w:tc>
          <w:tcPr>
            <w:tcW w:w="6803" w:type="dxa"/>
            <w:noWrap/>
            <w:vAlign w:val="center"/>
          </w:tcPr>
          <w:p w14:paraId="3AB006F0" w14:textId="4E92CE33" w:rsidR="00D45D4B" w:rsidRPr="004E306A" w:rsidRDefault="00B84582" w:rsidP="007C0B45">
            <w:pPr>
              <w:spacing w:after="20"/>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Pr>
                <w:rFonts w:ascii="Aptos" w:hAnsi="Aptos"/>
                <w:color w:val="000000"/>
                <w:szCs w:val="22"/>
                <w:lang w:eastAsia="en-AU"/>
              </w:rPr>
              <w:t xml:space="preserve">Data generated from </w:t>
            </w:r>
            <w:r w:rsidR="00FC54E0">
              <w:rPr>
                <w:rFonts w:ascii="Aptos" w:hAnsi="Aptos"/>
                <w:color w:val="000000"/>
                <w:szCs w:val="22"/>
                <w:lang w:eastAsia="en-AU"/>
              </w:rPr>
              <w:t>genomic testing</w:t>
            </w:r>
            <w:r>
              <w:rPr>
                <w:rFonts w:ascii="Aptos" w:hAnsi="Aptos"/>
                <w:color w:val="000000"/>
                <w:szCs w:val="22"/>
                <w:lang w:eastAsia="en-AU"/>
              </w:rPr>
              <w:t xml:space="preserve"> </w:t>
            </w:r>
            <w:r w:rsidR="000B095A">
              <w:rPr>
                <w:rFonts w:ascii="Aptos" w:hAnsi="Aptos"/>
                <w:color w:val="000000"/>
                <w:szCs w:val="22"/>
                <w:lang w:eastAsia="en-AU"/>
              </w:rPr>
              <w:t xml:space="preserve">all or part or all of an organism’s genome </w:t>
            </w:r>
            <w:r>
              <w:rPr>
                <w:rFonts w:ascii="Aptos" w:hAnsi="Aptos"/>
                <w:color w:val="000000"/>
                <w:szCs w:val="22"/>
                <w:lang w:eastAsia="en-AU"/>
              </w:rPr>
              <w:t xml:space="preserve">that has been </w:t>
            </w:r>
            <w:r w:rsidR="00FC54E0">
              <w:rPr>
                <w:rFonts w:ascii="Aptos" w:hAnsi="Aptos"/>
                <w:color w:val="000000"/>
                <w:szCs w:val="22"/>
                <w:lang w:eastAsia="en-AU"/>
              </w:rPr>
              <w:t xml:space="preserve">analysed, </w:t>
            </w:r>
            <w:r>
              <w:rPr>
                <w:rFonts w:ascii="Aptos" w:hAnsi="Aptos"/>
                <w:color w:val="000000"/>
                <w:szCs w:val="22"/>
                <w:lang w:eastAsia="en-AU"/>
              </w:rPr>
              <w:t>interpreted and provides meaningful insights</w:t>
            </w:r>
            <w:r w:rsidR="000B095A">
              <w:rPr>
                <w:rFonts w:ascii="Aptos" w:hAnsi="Aptos"/>
                <w:color w:val="000000"/>
                <w:szCs w:val="22"/>
                <w:lang w:eastAsia="en-AU"/>
              </w:rPr>
              <w:t xml:space="preserve"> for health care</w:t>
            </w:r>
            <w:r w:rsidR="000B095A">
              <w:rPr>
                <w:rFonts w:ascii="Aptos" w:hAnsi="Aptos"/>
                <w:b/>
                <w:bCs/>
                <w:color w:val="000000"/>
                <w:szCs w:val="22"/>
                <w:lang w:eastAsia="en-AU"/>
              </w:rPr>
              <w:t xml:space="preserve"> </w:t>
            </w:r>
            <w:r w:rsidR="000B095A" w:rsidRPr="000B095A">
              <w:rPr>
                <w:rFonts w:ascii="Aptos" w:hAnsi="Aptos"/>
                <w:color w:val="000000"/>
                <w:szCs w:val="22"/>
                <w:lang w:eastAsia="en-AU"/>
              </w:rPr>
              <w:t>or research</w:t>
            </w:r>
            <w:r w:rsidR="000B095A">
              <w:rPr>
                <w:rFonts w:ascii="Aptos" w:hAnsi="Aptos"/>
                <w:color w:val="000000"/>
                <w:szCs w:val="22"/>
                <w:lang w:eastAsia="en-AU"/>
              </w:rPr>
              <w:t>.</w:t>
            </w:r>
          </w:p>
        </w:tc>
      </w:tr>
      <w:tr w:rsidR="00D45D4B" w:rsidRPr="004E306A" w14:paraId="3039D989" w14:textId="77777777" w:rsidTr="007C0B45">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1A535F0C" w14:textId="28645B14" w:rsidR="004E306A" w:rsidRPr="007E7E90" w:rsidRDefault="004E306A" w:rsidP="007E7E90">
            <w:pPr>
              <w:pStyle w:val="Heading4"/>
              <w:rPr>
                <w:b/>
                <w:bCs/>
              </w:rPr>
            </w:pPr>
            <w:bookmarkStart w:id="85" w:name="_Genomic_information_management"/>
            <w:bookmarkEnd w:id="85"/>
            <w:r w:rsidRPr="007E7E90">
              <w:rPr>
                <w:b/>
                <w:bCs/>
              </w:rPr>
              <w:t>Genomic information management</w:t>
            </w:r>
          </w:p>
        </w:tc>
        <w:tc>
          <w:tcPr>
            <w:tcW w:w="6803" w:type="dxa"/>
            <w:noWrap/>
            <w:vAlign w:val="center"/>
            <w:hideMark/>
          </w:tcPr>
          <w:p w14:paraId="0B720516" w14:textId="55BB70DC" w:rsidR="004E306A" w:rsidRPr="004E306A" w:rsidRDefault="00B84582" w:rsidP="007C0B45">
            <w:pPr>
              <w:spacing w:after="20"/>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Pr>
                <w:rFonts w:ascii="Aptos" w:hAnsi="Aptos"/>
                <w:color w:val="000000"/>
                <w:szCs w:val="22"/>
                <w:lang w:eastAsia="en-AU"/>
              </w:rPr>
              <w:t xml:space="preserve">Processes and/or </w:t>
            </w:r>
            <w:r w:rsidR="004E306A" w:rsidRPr="004E306A">
              <w:rPr>
                <w:rFonts w:ascii="Aptos" w:hAnsi="Aptos"/>
                <w:color w:val="000000"/>
                <w:szCs w:val="22"/>
                <w:lang w:eastAsia="en-AU"/>
              </w:rPr>
              <w:t>system</w:t>
            </w:r>
            <w:r>
              <w:rPr>
                <w:rFonts w:ascii="Aptos" w:hAnsi="Aptos"/>
                <w:color w:val="000000"/>
                <w:szCs w:val="22"/>
                <w:lang w:eastAsia="en-AU"/>
              </w:rPr>
              <w:t>s</w:t>
            </w:r>
            <w:r w:rsidR="004E306A" w:rsidRPr="004E306A">
              <w:rPr>
                <w:rFonts w:ascii="Aptos" w:hAnsi="Aptos"/>
                <w:color w:val="000000"/>
                <w:szCs w:val="22"/>
                <w:lang w:eastAsia="en-AU"/>
              </w:rPr>
              <w:t xml:space="preserve"> that </w:t>
            </w:r>
            <w:r>
              <w:rPr>
                <w:rFonts w:ascii="Aptos" w:hAnsi="Aptos"/>
                <w:color w:val="000000"/>
                <w:szCs w:val="22"/>
                <w:lang w:eastAsia="en-AU"/>
              </w:rPr>
              <w:t xml:space="preserve">support the </w:t>
            </w:r>
            <w:r w:rsidR="004E306A" w:rsidRPr="004E306A">
              <w:rPr>
                <w:rFonts w:ascii="Aptos" w:hAnsi="Aptos"/>
                <w:color w:val="000000"/>
                <w:szCs w:val="22"/>
                <w:lang w:eastAsia="en-AU"/>
              </w:rPr>
              <w:t>stor</w:t>
            </w:r>
            <w:r>
              <w:rPr>
                <w:rFonts w:ascii="Aptos" w:hAnsi="Aptos"/>
                <w:color w:val="000000"/>
                <w:szCs w:val="22"/>
                <w:lang w:eastAsia="en-AU"/>
              </w:rPr>
              <w:t>age</w:t>
            </w:r>
            <w:r w:rsidR="000B095A">
              <w:rPr>
                <w:rFonts w:ascii="Aptos" w:hAnsi="Aptos"/>
                <w:color w:val="000000"/>
                <w:szCs w:val="22"/>
                <w:lang w:eastAsia="en-AU"/>
              </w:rPr>
              <w:t xml:space="preserve">, </w:t>
            </w:r>
            <w:r w:rsidR="004E306A" w:rsidRPr="004E306A">
              <w:rPr>
                <w:rFonts w:ascii="Aptos" w:hAnsi="Aptos"/>
                <w:color w:val="000000"/>
                <w:szCs w:val="22"/>
                <w:lang w:eastAsia="en-AU"/>
              </w:rPr>
              <w:t>manage</w:t>
            </w:r>
            <w:r>
              <w:rPr>
                <w:rFonts w:ascii="Aptos" w:hAnsi="Aptos"/>
                <w:color w:val="000000"/>
                <w:szCs w:val="22"/>
                <w:lang w:eastAsia="en-AU"/>
              </w:rPr>
              <w:t>ment</w:t>
            </w:r>
            <w:r w:rsidR="000B095A">
              <w:rPr>
                <w:rFonts w:ascii="Aptos" w:hAnsi="Aptos"/>
                <w:color w:val="000000"/>
                <w:szCs w:val="22"/>
                <w:lang w:eastAsia="en-AU"/>
              </w:rPr>
              <w:t xml:space="preserve"> and sharing</w:t>
            </w:r>
            <w:r>
              <w:rPr>
                <w:rFonts w:ascii="Aptos" w:hAnsi="Aptos"/>
                <w:color w:val="000000"/>
                <w:szCs w:val="22"/>
                <w:lang w:eastAsia="en-AU"/>
              </w:rPr>
              <w:t xml:space="preserve"> of</w:t>
            </w:r>
            <w:r w:rsidR="004E306A" w:rsidRPr="004E306A">
              <w:rPr>
                <w:rFonts w:ascii="Aptos" w:hAnsi="Aptos"/>
                <w:color w:val="000000"/>
                <w:szCs w:val="22"/>
                <w:lang w:eastAsia="en-AU"/>
              </w:rPr>
              <w:t xml:space="preserve"> genomic </w:t>
            </w:r>
            <w:r>
              <w:rPr>
                <w:rFonts w:ascii="Aptos" w:hAnsi="Aptos"/>
                <w:color w:val="000000"/>
                <w:szCs w:val="22"/>
                <w:lang w:eastAsia="en-AU"/>
              </w:rPr>
              <w:t>information</w:t>
            </w:r>
            <w:r w:rsidR="000B095A">
              <w:rPr>
                <w:rFonts w:ascii="Aptos" w:hAnsi="Aptos"/>
                <w:color w:val="000000"/>
                <w:szCs w:val="22"/>
                <w:lang w:eastAsia="en-AU"/>
              </w:rPr>
              <w:t xml:space="preserve"> and related </w:t>
            </w:r>
            <w:r w:rsidR="000B095A" w:rsidRPr="00F328DF">
              <w:rPr>
                <w:rFonts w:ascii="Aptos" w:eastAsia="Arial" w:hAnsi="Aptos"/>
                <w:kern w:val="2"/>
                <w:szCs w:val="22"/>
              </w:rPr>
              <w:t>health information</w:t>
            </w:r>
            <w:r>
              <w:rPr>
                <w:rFonts w:ascii="Aptos" w:hAnsi="Aptos"/>
                <w:color w:val="000000"/>
                <w:szCs w:val="22"/>
                <w:lang w:eastAsia="en-AU"/>
              </w:rPr>
              <w:t>.</w:t>
            </w:r>
          </w:p>
        </w:tc>
      </w:tr>
      <w:tr w:rsidR="00D45D4B" w:rsidRPr="004E306A" w14:paraId="7425F67A" w14:textId="77777777" w:rsidTr="007C0B45">
        <w:trPr>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365B2D9E" w14:textId="77777777" w:rsidR="004E306A" w:rsidRPr="007E7E90" w:rsidRDefault="004E306A" w:rsidP="007E7E90">
            <w:pPr>
              <w:pStyle w:val="Heading4"/>
              <w:rPr>
                <w:b/>
                <w:bCs/>
              </w:rPr>
            </w:pPr>
            <w:bookmarkStart w:id="86" w:name="_Genomics-informed_health_care"/>
            <w:bookmarkEnd w:id="86"/>
            <w:r w:rsidRPr="007E7E90">
              <w:rPr>
                <w:b/>
                <w:bCs/>
              </w:rPr>
              <w:t>Genomics-informed health care</w:t>
            </w:r>
          </w:p>
        </w:tc>
        <w:tc>
          <w:tcPr>
            <w:tcW w:w="6803" w:type="dxa"/>
            <w:noWrap/>
            <w:vAlign w:val="center"/>
            <w:hideMark/>
          </w:tcPr>
          <w:p w14:paraId="62F1DFDC" w14:textId="133B1803" w:rsidR="004E306A" w:rsidRPr="004E306A" w:rsidRDefault="00B84582" w:rsidP="007C0B45">
            <w:pPr>
              <w:spacing w:after="20"/>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Pr>
                <w:rFonts w:ascii="Aptos" w:hAnsi="Aptos"/>
                <w:color w:val="000000"/>
                <w:szCs w:val="22"/>
                <w:lang w:eastAsia="en-AU"/>
              </w:rPr>
              <w:t xml:space="preserve">The use of genomic information as part of </w:t>
            </w:r>
            <w:r w:rsidR="000B095A">
              <w:rPr>
                <w:rFonts w:ascii="Aptos" w:hAnsi="Aptos"/>
                <w:color w:val="000000"/>
                <w:szCs w:val="22"/>
                <w:lang w:eastAsia="en-AU"/>
              </w:rPr>
              <w:t>individual clinical care or public health initiatives</w:t>
            </w:r>
            <w:r w:rsidR="005F6252">
              <w:rPr>
                <w:rFonts w:ascii="Aptos" w:hAnsi="Aptos"/>
                <w:color w:val="000000"/>
                <w:szCs w:val="22"/>
                <w:lang w:eastAsia="en-AU"/>
              </w:rPr>
              <w:t>.</w:t>
            </w:r>
          </w:p>
        </w:tc>
      </w:tr>
      <w:tr w:rsidR="00D45D4B" w:rsidRPr="004E306A" w14:paraId="7600B6BA" w14:textId="77777777" w:rsidTr="007C0B45">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6F6D9450" w14:textId="74574C5D" w:rsidR="004E306A" w:rsidRPr="007E7E90" w:rsidRDefault="004E306A" w:rsidP="007E7E90">
            <w:pPr>
              <w:pStyle w:val="Heading4"/>
              <w:rPr>
                <w:b/>
                <w:bCs/>
              </w:rPr>
            </w:pPr>
            <w:bookmarkStart w:id="87" w:name="_Germline_variants"/>
            <w:bookmarkEnd w:id="87"/>
            <w:r w:rsidRPr="007E7E90">
              <w:rPr>
                <w:b/>
                <w:bCs/>
              </w:rPr>
              <w:lastRenderedPageBreak/>
              <w:t>Germline variants</w:t>
            </w:r>
          </w:p>
        </w:tc>
        <w:tc>
          <w:tcPr>
            <w:tcW w:w="6803" w:type="dxa"/>
            <w:noWrap/>
            <w:vAlign w:val="center"/>
            <w:hideMark/>
          </w:tcPr>
          <w:p w14:paraId="59DFB3C7" w14:textId="1F9C619F" w:rsidR="004E306A" w:rsidRPr="004E306A" w:rsidRDefault="0037318F" w:rsidP="007C0B45">
            <w:pPr>
              <w:spacing w:after="20"/>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sidRPr="0045641F">
              <w:rPr>
                <w:rFonts w:ascii="Aptos" w:hAnsi="Aptos"/>
                <w:color w:val="000000"/>
                <w:szCs w:val="22"/>
                <w:lang w:eastAsia="en-AU"/>
              </w:rPr>
              <w:t xml:space="preserve">A </w:t>
            </w:r>
            <w:r>
              <w:rPr>
                <w:rFonts w:ascii="Aptos" w:hAnsi="Aptos"/>
                <w:color w:val="000000"/>
                <w:szCs w:val="22"/>
                <w:lang w:eastAsia="en-AU"/>
              </w:rPr>
              <w:t xml:space="preserve">permanent change in a gene </w:t>
            </w:r>
            <w:r w:rsidR="000B095A">
              <w:rPr>
                <w:rFonts w:ascii="Aptos" w:hAnsi="Aptos"/>
                <w:color w:val="000000"/>
                <w:szCs w:val="22"/>
                <w:lang w:eastAsia="en-AU"/>
              </w:rPr>
              <w:t>that</w:t>
            </w:r>
            <w:r w:rsidR="004E306A" w:rsidRPr="004E306A">
              <w:rPr>
                <w:rFonts w:ascii="Aptos" w:hAnsi="Aptos"/>
                <w:color w:val="000000"/>
                <w:szCs w:val="22"/>
                <w:lang w:eastAsia="en-AU"/>
              </w:rPr>
              <w:t xml:space="preserve"> exist</w:t>
            </w:r>
            <w:r>
              <w:rPr>
                <w:rFonts w:ascii="Aptos" w:hAnsi="Aptos"/>
                <w:color w:val="000000"/>
                <w:szCs w:val="22"/>
                <w:lang w:eastAsia="en-AU"/>
              </w:rPr>
              <w:t>s</w:t>
            </w:r>
            <w:r w:rsidR="004E306A" w:rsidRPr="004E306A">
              <w:rPr>
                <w:rFonts w:ascii="Aptos" w:hAnsi="Aptos"/>
                <w:color w:val="000000"/>
                <w:szCs w:val="22"/>
                <w:lang w:eastAsia="en-AU"/>
              </w:rPr>
              <w:t xml:space="preserve"> in </w:t>
            </w:r>
            <w:r>
              <w:rPr>
                <w:rFonts w:ascii="Aptos" w:hAnsi="Aptos"/>
                <w:color w:val="000000"/>
                <w:szCs w:val="22"/>
                <w:lang w:eastAsia="en-AU"/>
              </w:rPr>
              <w:t>reproductive</w:t>
            </w:r>
            <w:r w:rsidR="004E306A" w:rsidRPr="004E306A">
              <w:rPr>
                <w:rFonts w:ascii="Aptos" w:hAnsi="Aptos"/>
                <w:color w:val="000000"/>
                <w:szCs w:val="22"/>
                <w:lang w:eastAsia="en-AU"/>
              </w:rPr>
              <w:t xml:space="preserve"> cells (sperm</w:t>
            </w:r>
            <w:r>
              <w:rPr>
                <w:rFonts w:ascii="Aptos" w:hAnsi="Aptos"/>
                <w:color w:val="000000"/>
                <w:szCs w:val="22"/>
                <w:lang w:eastAsia="en-AU"/>
              </w:rPr>
              <w:t xml:space="preserve"> and eggs</w:t>
            </w:r>
            <w:r w:rsidR="004E306A" w:rsidRPr="004E306A">
              <w:rPr>
                <w:rFonts w:ascii="Aptos" w:hAnsi="Aptos"/>
                <w:color w:val="000000"/>
                <w:szCs w:val="22"/>
                <w:lang w:eastAsia="en-AU"/>
              </w:rPr>
              <w:t>)</w:t>
            </w:r>
            <w:r>
              <w:rPr>
                <w:rFonts w:ascii="Aptos" w:hAnsi="Aptos"/>
                <w:color w:val="000000"/>
                <w:szCs w:val="22"/>
                <w:lang w:eastAsia="en-AU"/>
              </w:rPr>
              <w:t xml:space="preserve"> which is usually inherited from parents or may, rarely, present spontaneously during conception or early </w:t>
            </w:r>
            <w:r w:rsidRPr="0037318F">
              <w:rPr>
                <w:rFonts w:ascii="Aptos" w:hAnsi="Aptos"/>
                <w:color w:val="000000"/>
                <w:szCs w:val="22"/>
                <w:lang w:eastAsia="en-AU"/>
              </w:rPr>
              <w:t>gestation</w:t>
            </w:r>
            <w:r>
              <w:rPr>
                <w:rFonts w:ascii="Aptos" w:hAnsi="Aptos"/>
                <w:color w:val="000000"/>
                <w:szCs w:val="22"/>
                <w:lang w:eastAsia="en-AU"/>
              </w:rPr>
              <w:t xml:space="preserve">. Germline variants can </w:t>
            </w:r>
            <w:r w:rsidRPr="0045641F">
              <w:rPr>
                <w:rFonts w:ascii="Aptos" w:hAnsi="Aptos"/>
                <w:color w:val="000000"/>
                <w:szCs w:val="22"/>
                <w:lang w:eastAsia="en-AU"/>
              </w:rPr>
              <w:t xml:space="preserve">be passed to </w:t>
            </w:r>
            <w:r>
              <w:rPr>
                <w:rFonts w:ascii="Aptos" w:hAnsi="Aptos"/>
                <w:color w:val="000000"/>
                <w:szCs w:val="22"/>
                <w:lang w:eastAsia="en-AU"/>
              </w:rPr>
              <w:t>a person’s children</w:t>
            </w:r>
            <w:r w:rsidRPr="0045641F">
              <w:rPr>
                <w:rFonts w:ascii="Aptos" w:hAnsi="Aptos"/>
                <w:color w:val="000000"/>
                <w:szCs w:val="22"/>
                <w:lang w:eastAsia="en-AU"/>
              </w:rPr>
              <w:t>.</w:t>
            </w:r>
          </w:p>
        </w:tc>
      </w:tr>
      <w:tr w:rsidR="00D45D4B" w:rsidRPr="004E306A" w14:paraId="49C883D1" w14:textId="77777777" w:rsidTr="007C0B45">
        <w:trPr>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24EE9498" w14:textId="404353BF" w:rsidR="004E306A" w:rsidRPr="007E7E90" w:rsidRDefault="004E306A" w:rsidP="007E7E90">
            <w:pPr>
              <w:pStyle w:val="Heading4"/>
              <w:rPr>
                <w:b/>
                <w:bCs/>
              </w:rPr>
            </w:pPr>
            <w:bookmarkStart w:id="88" w:name="_Horizon_scanning"/>
            <w:bookmarkEnd w:id="88"/>
            <w:r w:rsidRPr="007E7E90">
              <w:rPr>
                <w:b/>
                <w:bCs/>
              </w:rPr>
              <w:t>Horizon scanning</w:t>
            </w:r>
          </w:p>
        </w:tc>
        <w:tc>
          <w:tcPr>
            <w:tcW w:w="6803" w:type="dxa"/>
            <w:noWrap/>
            <w:vAlign w:val="center"/>
            <w:hideMark/>
          </w:tcPr>
          <w:p w14:paraId="6FC73EFE" w14:textId="58703E3C" w:rsidR="004E306A" w:rsidRPr="004E306A" w:rsidRDefault="000B095A" w:rsidP="007C0B45">
            <w:pPr>
              <w:spacing w:after="20"/>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Pr>
                <w:rFonts w:ascii="Aptos" w:hAnsi="Aptos"/>
                <w:color w:val="000000"/>
                <w:szCs w:val="22"/>
                <w:lang w:eastAsia="en-AU"/>
              </w:rPr>
              <w:t xml:space="preserve">A systematic </w:t>
            </w:r>
            <w:r w:rsidR="004E306A" w:rsidRPr="004E306A">
              <w:rPr>
                <w:rFonts w:ascii="Aptos" w:hAnsi="Aptos"/>
                <w:color w:val="000000"/>
                <w:szCs w:val="22"/>
                <w:lang w:eastAsia="en-AU"/>
              </w:rPr>
              <w:t xml:space="preserve">process </w:t>
            </w:r>
            <w:r>
              <w:rPr>
                <w:rFonts w:ascii="Aptos" w:hAnsi="Aptos"/>
                <w:color w:val="000000"/>
                <w:szCs w:val="22"/>
                <w:lang w:eastAsia="en-AU"/>
              </w:rPr>
              <w:t>to</w:t>
            </w:r>
            <w:r w:rsidR="004E306A" w:rsidRPr="004E306A">
              <w:rPr>
                <w:rFonts w:ascii="Aptos" w:hAnsi="Aptos"/>
                <w:color w:val="000000"/>
                <w:szCs w:val="22"/>
                <w:lang w:eastAsia="en-AU"/>
              </w:rPr>
              <w:t xml:space="preserve"> </w:t>
            </w:r>
            <w:r w:rsidR="005F6252">
              <w:rPr>
                <w:rFonts w:ascii="Aptos" w:hAnsi="Aptos"/>
                <w:color w:val="000000"/>
                <w:szCs w:val="22"/>
                <w:lang w:eastAsia="en-AU"/>
              </w:rPr>
              <w:t>explor</w:t>
            </w:r>
            <w:r>
              <w:rPr>
                <w:rFonts w:ascii="Aptos" w:hAnsi="Aptos"/>
                <w:color w:val="000000"/>
                <w:szCs w:val="22"/>
                <w:lang w:eastAsia="en-AU"/>
              </w:rPr>
              <w:t>e</w:t>
            </w:r>
            <w:r w:rsidR="005F6252">
              <w:rPr>
                <w:rFonts w:ascii="Aptos" w:hAnsi="Aptos"/>
                <w:color w:val="000000"/>
                <w:szCs w:val="22"/>
                <w:lang w:eastAsia="en-AU"/>
              </w:rPr>
              <w:t xml:space="preserve"> potential or emerging trends, t</w:t>
            </w:r>
            <w:r w:rsidR="004E306A" w:rsidRPr="004E306A">
              <w:rPr>
                <w:rFonts w:ascii="Aptos" w:hAnsi="Aptos"/>
                <w:color w:val="000000"/>
                <w:szCs w:val="22"/>
                <w:lang w:eastAsia="en-AU"/>
              </w:rPr>
              <w:t>echnologies, and other developments that could impact an organisation, industry, or specific area of interest</w:t>
            </w:r>
            <w:r>
              <w:rPr>
                <w:rFonts w:ascii="Aptos" w:hAnsi="Aptos"/>
                <w:color w:val="000000"/>
                <w:szCs w:val="22"/>
                <w:lang w:eastAsia="en-AU"/>
              </w:rPr>
              <w:t xml:space="preserve"> with the goal of taking full advantage of opportunities and mitigating risks.</w:t>
            </w:r>
          </w:p>
        </w:tc>
      </w:tr>
      <w:tr w:rsidR="00720F68" w:rsidRPr="004E306A" w14:paraId="62884D46" w14:textId="77777777" w:rsidTr="007C0B45">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2C75D858" w14:textId="0D84BCF3" w:rsidR="004E306A" w:rsidRPr="007E7E90" w:rsidRDefault="004E306A" w:rsidP="007E7E90">
            <w:pPr>
              <w:pStyle w:val="Heading4"/>
              <w:rPr>
                <w:b/>
                <w:bCs/>
              </w:rPr>
            </w:pPr>
            <w:bookmarkStart w:id="89" w:name="_Health_technology_assessment"/>
            <w:bookmarkEnd w:id="89"/>
            <w:r w:rsidRPr="007E7E90">
              <w:rPr>
                <w:b/>
                <w:bCs/>
              </w:rPr>
              <w:t>Health technology assessment (HTA)</w:t>
            </w:r>
          </w:p>
        </w:tc>
        <w:tc>
          <w:tcPr>
            <w:tcW w:w="6803" w:type="dxa"/>
            <w:noWrap/>
            <w:vAlign w:val="center"/>
            <w:hideMark/>
          </w:tcPr>
          <w:p w14:paraId="3FF985A1" w14:textId="4076BAF9" w:rsidR="004E306A" w:rsidRPr="004E306A" w:rsidRDefault="00C07F75" w:rsidP="007C0B45">
            <w:pPr>
              <w:spacing w:after="20"/>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Pr>
                <w:rFonts w:ascii="Aptos" w:hAnsi="Aptos"/>
                <w:color w:val="000000"/>
                <w:szCs w:val="22"/>
                <w:lang w:eastAsia="en-AU"/>
              </w:rPr>
              <w:t>M</w:t>
            </w:r>
            <w:r w:rsidR="004E306A" w:rsidRPr="004E306A">
              <w:rPr>
                <w:rFonts w:ascii="Aptos" w:hAnsi="Aptos"/>
                <w:color w:val="000000"/>
                <w:szCs w:val="22"/>
                <w:lang w:eastAsia="en-AU"/>
              </w:rPr>
              <w:t xml:space="preserve">ultidisciplinary </w:t>
            </w:r>
            <w:r>
              <w:rPr>
                <w:rFonts w:ascii="Aptos" w:hAnsi="Aptos"/>
                <w:color w:val="000000"/>
                <w:szCs w:val="22"/>
                <w:lang w:eastAsia="en-AU"/>
              </w:rPr>
              <w:t xml:space="preserve">evaluation of health technologies to assess </w:t>
            </w:r>
            <w:r w:rsidRPr="00C07F75">
              <w:rPr>
                <w:rFonts w:ascii="Aptos" w:hAnsi="Aptos"/>
                <w:color w:val="000000"/>
                <w:szCs w:val="22"/>
                <w:lang w:eastAsia="en-AU"/>
              </w:rPr>
              <w:t xml:space="preserve">evidence </w:t>
            </w:r>
            <w:r>
              <w:rPr>
                <w:rFonts w:ascii="Aptos" w:hAnsi="Aptos"/>
                <w:color w:val="000000"/>
                <w:szCs w:val="22"/>
                <w:lang w:eastAsia="en-AU"/>
              </w:rPr>
              <w:t>of</w:t>
            </w:r>
            <w:r w:rsidRPr="00C07F75">
              <w:rPr>
                <w:rFonts w:ascii="Aptos" w:hAnsi="Aptos"/>
                <w:color w:val="000000"/>
                <w:szCs w:val="22"/>
                <w:lang w:eastAsia="en-AU"/>
              </w:rPr>
              <w:t xml:space="preserve"> benefits, harms and costs</w:t>
            </w:r>
            <w:r>
              <w:rPr>
                <w:rFonts w:ascii="Aptos" w:hAnsi="Aptos"/>
                <w:color w:val="000000"/>
                <w:szCs w:val="22"/>
                <w:lang w:eastAsia="en-AU"/>
              </w:rPr>
              <w:t xml:space="preserve"> to determine its value and inform its use in health systems and/or potential </w:t>
            </w:r>
            <w:r w:rsidRPr="00C07F75">
              <w:rPr>
                <w:rFonts w:ascii="Aptos" w:hAnsi="Aptos"/>
                <w:color w:val="000000"/>
                <w:szCs w:val="22"/>
                <w:lang w:eastAsia="en-AU"/>
              </w:rPr>
              <w:t>subsidy </w:t>
            </w:r>
            <w:r>
              <w:rPr>
                <w:rFonts w:ascii="Aptos" w:hAnsi="Aptos"/>
                <w:color w:val="000000"/>
                <w:szCs w:val="22"/>
                <w:lang w:eastAsia="en-AU"/>
              </w:rPr>
              <w:t>under government programs.</w:t>
            </w:r>
          </w:p>
        </w:tc>
      </w:tr>
      <w:tr w:rsidR="00D45D4B" w:rsidRPr="004E306A" w14:paraId="19AC7984" w14:textId="77777777" w:rsidTr="007C0B45">
        <w:trPr>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220963D4" w14:textId="666C87DB" w:rsidR="004E306A" w:rsidRPr="007E7E90" w:rsidRDefault="004E306A" w:rsidP="007E7E90">
            <w:pPr>
              <w:pStyle w:val="Heading4"/>
              <w:rPr>
                <w:b/>
                <w:bCs/>
              </w:rPr>
            </w:pPr>
            <w:bookmarkStart w:id="90" w:name="_Immunotherapies"/>
            <w:bookmarkEnd w:id="90"/>
            <w:r w:rsidRPr="007E7E90">
              <w:rPr>
                <w:b/>
                <w:bCs/>
              </w:rPr>
              <w:t>Immunotherapies</w:t>
            </w:r>
          </w:p>
        </w:tc>
        <w:tc>
          <w:tcPr>
            <w:tcW w:w="6803" w:type="dxa"/>
            <w:noWrap/>
            <w:vAlign w:val="center"/>
            <w:hideMark/>
          </w:tcPr>
          <w:p w14:paraId="5D4776FC" w14:textId="6C6F4849" w:rsidR="004E306A" w:rsidRPr="004E306A" w:rsidRDefault="005F6252" w:rsidP="007C0B45">
            <w:pPr>
              <w:spacing w:after="20"/>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Pr>
                <w:rFonts w:ascii="Aptos" w:hAnsi="Aptos"/>
                <w:color w:val="000000"/>
                <w:szCs w:val="22"/>
                <w:lang w:eastAsia="en-AU"/>
              </w:rPr>
              <w:t>Cancer treatments</w:t>
            </w:r>
            <w:r w:rsidR="004E306A" w:rsidRPr="004E306A">
              <w:rPr>
                <w:rFonts w:ascii="Aptos" w:hAnsi="Aptos"/>
                <w:color w:val="000000"/>
                <w:szCs w:val="22"/>
                <w:lang w:eastAsia="en-AU"/>
              </w:rPr>
              <w:t xml:space="preserve"> that utilise a patient's</w:t>
            </w:r>
            <w:r>
              <w:rPr>
                <w:rFonts w:ascii="Aptos" w:hAnsi="Aptos"/>
                <w:color w:val="000000"/>
                <w:szCs w:val="22"/>
                <w:lang w:eastAsia="en-AU"/>
              </w:rPr>
              <w:t xml:space="preserve"> </w:t>
            </w:r>
            <w:r w:rsidR="004E306A" w:rsidRPr="004E306A">
              <w:rPr>
                <w:rFonts w:ascii="Aptos" w:hAnsi="Aptos"/>
                <w:color w:val="000000"/>
                <w:szCs w:val="22"/>
                <w:lang w:eastAsia="en-AU"/>
              </w:rPr>
              <w:t xml:space="preserve">immune system to </w:t>
            </w:r>
            <w:r>
              <w:rPr>
                <w:rFonts w:ascii="Aptos" w:hAnsi="Aptos"/>
                <w:color w:val="000000"/>
                <w:szCs w:val="22"/>
                <w:lang w:eastAsia="en-AU"/>
              </w:rPr>
              <w:t xml:space="preserve">more effectively target </w:t>
            </w:r>
            <w:r w:rsidR="00C07F75">
              <w:rPr>
                <w:rFonts w:ascii="Aptos" w:hAnsi="Aptos"/>
                <w:color w:val="000000"/>
                <w:szCs w:val="22"/>
                <w:lang w:eastAsia="en-AU"/>
              </w:rPr>
              <w:t xml:space="preserve">and attack </w:t>
            </w:r>
            <w:r>
              <w:rPr>
                <w:rFonts w:ascii="Aptos" w:hAnsi="Aptos"/>
                <w:color w:val="000000"/>
                <w:szCs w:val="22"/>
                <w:lang w:eastAsia="en-AU"/>
              </w:rPr>
              <w:t>cancerous cells.</w:t>
            </w:r>
          </w:p>
        </w:tc>
      </w:tr>
      <w:tr w:rsidR="00D45D4B" w:rsidRPr="004E306A" w14:paraId="4B53C10D" w14:textId="77777777" w:rsidTr="007C0B45">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3BF4D74C" w14:textId="77777777" w:rsidR="004E306A" w:rsidRPr="007E7E90" w:rsidRDefault="004E306A" w:rsidP="007E7E90">
            <w:pPr>
              <w:pStyle w:val="Heading4"/>
              <w:rPr>
                <w:b/>
                <w:bCs/>
              </w:rPr>
            </w:pPr>
            <w:bookmarkStart w:id="91" w:name="_Indigenous_Data_Sovereignty"/>
            <w:bookmarkEnd w:id="91"/>
            <w:r w:rsidRPr="007E7E90">
              <w:rPr>
                <w:b/>
                <w:bCs/>
              </w:rPr>
              <w:t>Indigenous Data Sovereignty</w:t>
            </w:r>
          </w:p>
        </w:tc>
        <w:tc>
          <w:tcPr>
            <w:tcW w:w="6803" w:type="dxa"/>
            <w:noWrap/>
            <w:vAlign w:val="center"/>
            <w:hideMark/>
          </w:tcPr>
          <w:p w14:paraId="3AF45AFF" w14:textId="2C614300" w:rsidR="004E306A" w:rsidRPr="004E306A" w:rsidRDefault="000462F8" w:rsidP="007C0B45">
            <w:pPr>
              <w:spacing w:after="20"/>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Pr>
                <w:rFonts w:ascii="Aptos" w:hAnsi="Aptos"/>
                <w:color w:val="000000"/>
                <w:szCs w:val="22"/>
                <w:lang w:eastAsia="en-AU"/>
              </w:rPr>
              <w:t>Right of First Nations people to govern the collection, access and use of data derived from or about First Nations people and their communities.</w:t>
            </w:r>
          </w:p>
        </w:tc>
      </w:tr>
      <w:tr w:rsidR="00D45D4B" w:rsidRPr="004E306A" w14:paraId="33DBFA3B" w14:textId="77777777" w:rsidTr="007C0B45">
        <w:trPr>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51452E4A" w14:textId="77777777" w:rsidR="004E306A" w:rsidRPr="007E7E90" w:rsidRDefault="004E306A" w:rsidP="007E7E90">
            <w:pPr>
              <w:pStyle w:val="Heading4"/>
              <w:rPr>
                <w:b/>
                <w:bCs/>
              </w:rPr>
            </w:pPr>
            <w:bookmarkStart w:id="92" w:name="_Lipidomics"/>
            <w:bookmarkEnd w:id="92"/>
            <w:proofErr w:type="spellStart"/>
            <w:r w:rsidRPr="007E7E90">
              <w:rPr>
                <w:b/>
                <w:bCs/>
              </w:rPr>
              <w:t>Lipidomics</w:t>
            </w:r>
            <w:proofErr w:type="spellEnd"/>
          </w:p>
        </w:tc>
        <w:tc>
          <w:tcPr>
            <w:tcW w:w="6803" w:type="dxa"/>
            <w:noWrap/>
            <w:vAlign w:val="center"/>
            <w:hideMark/>
          </w:tcPr>
          <w:p w14:paraId="660DA0BA" w14:textId="3BC18B63" w:rsidR="004E306A" w:rsidRPr="004E306A" w:rsidRDefault="000462F8" w:rsidP="007C0B45">
            <w:pPr>
              <w:spacing w:after="20"/>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Pr>
                <w:rFonts w:ascii="Aptos" w:hAnsi="Aptos"/>
                <w:color w:val="000000"/>
                <w:szCs w:val="22"/>
                <w:lang w:eastAsia="en-AU"/>
              </w:rPr>
              <w:t>C</w:t>
            </w:r>
            <w:r w:rsidR="004E306A" w:rsidRPr="004E306A">
              <w:rPr>
                <w:rFonts w:ascii="Aptos" w:hAnsi="Aptos"/>
                <w:color w:val="000000"/>
                <w:szCs w:val="22"/>
                <w:lang w:eastAsia="en-AU"/>
              </w:rPr>
              <w:t>omprehensive study of lipids, the fatty substances that are essential components of cellular structures and functions.</w:t>
            </w:r>
          </w:p>
        </w:tc>
      </w:tr>
      <w:tr w:rsidR="00720F68" w:rsidRPr="004E306A" w14:paraId="5D6EBB76" w14:textId="77777777" w:rsidTr="007C0B45">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191B6A2D" w14:textId="77777777" w:rsidR="004E306A" w:rsidRPr="007E7E90" w:rsidRDefault="004E306A" w:rsidP="007E7E90">
            <w:pPr>
              <w:pStyle w:val="Heading4"/>
              <w:rPr>
                <w:b/>
                <w:bCs/>
              </w:rPr>
            </w:pPr>
            <w:bookmarkStart w:id="93" w:name="_Mainstreaming"/>
            <w:bookmarkEnd w:id="93"/>
            <w:r w:rsidRPr="007E7E90">
              <w:rPr>
                <w:b/>
                <w:bCs/>
              </w:rPr>
              <w:t>Mainstreaming</w:t>
            </w:r>
          </w:p>
        </w:tc>
        <w:tc>
          <w:tcPr>
            <w:tcW w:w="6803" w:type="dxa"/>
            <w:noWrap/>
            <w:vAlign w:val="center"/>
            <w:hideMark/>
          </w:tcPr>
          <w:p w14:paraId="4BC4F16D" w14:textId="1FE7D70A" w:rsidR="00C07F75" w:rsidRPr="004E306A" w:rsidRDefault="000462F8" w:rsidP="007C0B45">
            <w:pPr>
              <w:spacing w:after="20"/>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Pr>
                <w:rFonts w:ascii="Aptos" w:hAnsi="Aptos"/>
                <w:color w:val="000000"/>
                <w:szCs w:val="22"/>
                <w:lang w:eastAsia="en-AU"/>
              </w:rPr>
              <w:t>P</w:t>
            </w:r>
            <w:r w:rsidR="004E306A" w:rsidRPr="004E306A">
              <w:rPr>
                <w:rFonts w:ascii="Aptos" w:hAnsi="Aptos"/>
                <w:color w:val="000000"/>
                <w:szCs w:val="22"/>
                <w:lang w:eastAsia="en-AU"/>
              </w:rPr>
              <w:t xml:space="preserve">rocess of integrating </w:t>
            </w:r>
            <w:r w:rsidR="00C07F75">
              <w:rPr>
                <w:rFonts w:ascii="Aptos" w:hAnsi="Aptos"/>
                <w:color w:val="000000"/>
                <w:szCs w:val="22"/>
                <w:lang w:eastAsia="en-AU"/>
              </w:rPr>
              <w:t>g</w:t>
            </w:r>
            <w:r w:rsidR="00C07F75" w:rsidRPr="00C07F75">
              <w:rPr>
                <w:rFonts w:ascii="Aptos" w:hAnsi="Aptos"/>
                <w:color w:val="000000"/>
                <w:szCs w:val="22"/>
                <w:lang w:eastAsia="en-AU"/>
              </w:rPr>
              <w:t>enomics-informed health care</w:t>
            </w:r>
            <w:r w:rsidR="00C07F75">
              <w:rPr>
                <w:rFonts w:ascii="Aptos" w:hAnsi="Aptos"/>
                <w:color w:val="000000"/>
                <w:szCs w:val="22"/>
                <w:lang w:eastAsia="en-AU"/>
              </w:rPr>
              <w:t xml:space="preserve"> as a routine part of many areas of clinical practice, such that </w:t>
            </w:r>
            <w:r w:rsidR="00634376">
              <w:rPr>
                <w:rFonts w:ascii="Aptos" w:hAnsi="Aptos"/>
                <w:color w:val="000000"/>
                <w:szCs w:val="22"/>
                <w:lang w:eastAsia="en-AU"/>
              </w:rPr>
              <w:t>the ‘</w:t>
            </w:r>
            <w:r w:rsidR="00634376" w:rsidRPr="00634376">
              <w:rPr>
                <w:rFonts w:ascii="Aptos" w:hAnsi="Aptos"/>
                <w:b/>
                <w:bCs/>
                <w:color w:val="000000"/>
                <w:szCs w:val="22"/>
                <w:lang w:eastAsia="en-AU"/>
              </w:rPr>
              <w:t>mainstream health workforce’</w:t>
            </w:r>
            <w:r w:rsidR="00634376">
              <w:rPr>
                <w:rFonts w:ascii="Aptos" w:hAnsi="Aptos"/>
                <w:color w:val="000000"/>
                <w:szCs w:val="22"/>
                <w:lang w:eastAsia="en-AU"/>
              </w:rPr>
              <w:t xml:space="preserve"> </w:t>
            </w:r>
            <w:r w:rsidR="00C07F75">
              <w:rPr>
                <w:rFonts w:ascii="Aptos" w:hAnsi="Aptos"/>
                <w:color w:val="000000"/>
                <w:szCs w:val="22"/>
                <w:lang w:eastAsia="en-AU"/>
              </w:rPr>
              <w:t>can request genomic testing</w:t>
            </w:r>
            <w:r w:rsidR="00634376">
              <w:rPr>
                <w:rFonts w:ascii="Aptos" w:hAnsi="Aptos"/>
                <w:color w:val="000000"/>
                <w:szCs w:val="22"/>
                <w:lang w:eastAsia="en-AU"/>
              </w:rPr>
              <w:t>, interpret results and effectively manage patients as opposed to referring patients to be managed by the ‘</w:t>
            </w:r>
            <w:r w:rsidR="00634376" w:rsidRPr="00634376">
              <w:rPr>
                <w:rFonts w:ascii="Aptos" w:eastAsia="Arial" w:hAnsi="Aptos"/>
                <w:b/>
                <w:bCs/>
                <w:kern w:val="2"/>
                <w:szCs w:val="22"/>
              </w:rPr>
              <w:t>specialised health genomics workforce</w:t>
            </w:r>
            <w:r w:rsidR="00634376">
              <w:rPr>
                <w:rFonts w:ascii="Aptos" w:eastAsia="Arial" w:hAnsi="Aptos"/>
                <w:kern w:val="2"/>
                <w:szCs w:val="22"/>
              </w:rPr>
              <w:t>’.</w:t>
            </w:r>
          </w:p>
        </w:tc>
      </w:tr>
      <w:tr w:rsidR="00634376" w:rsidRPr="004E306A" w14:paraId="7C7B7A0C" w14:textId="77777777" w:rsidTr="007C0B45">
        <w:trPr>
          <w:cantSplit/>
          <w:trHeight w:val="308"/>
        </w:trPr>
        <w:tc>
          <w:tcPr>
            <w:cnfStyle w:val="001000000000" w:firstRow="0" w:lastRow="0" w:firstColumn="1" w:lastColumn="0" w:oddVBand="0" w:evenVBand="0" w:oddHBand="0" w:evenHBand="0" w:firstRowFirstColumn="0" w:firstRowLastColumn="0" w:lastRowFirstColumn="0" w:lastRowLastColumn="0"/>
            <w:tcW w:w="2268" w:type="dxa"/>
            <w:noWrap/>
            <w:vAlign w:val="center"/>
          </w:tcPr>
          <w:p w14:paraId="38F2FB92" w14:textId="7FAAD826" w:rsidR="00634376" w:rsidRPr="007E7E90" w:rsidRDefault="00634376" w:rsidP="007E7E90">
            <w:pPr>
              <w:pStyle w:val="Heading4"/>
              <w:rPr>
                <w:b/>
                <w:bCs/>
              </w:rPr>
            </w:pPr>
            <w:bookmarkStart w:id="94" w:name="_Mainstream_health_workforce"/>
            <w:bookmarkEnd w:id="94"/>
            <w:r w:rsidRPr="007E7E90">
              <w:rPr>
                <w:b/>
                <w:bCs/>
              </w:rPr>
              <w:t>Mainstream health workforce</w:t>
            </w:r>
          </w:p>
        </w:tc>
        <w:tc>
          <w:tcPr>
            <w:tcW w:w="6803" w:type="dxa"/>
            <w:noWrap/>
            <w:vAlign w:val="center"/>
          </w:tcPr>
          <w:p w14:paraId="5CA9E322" w14:textId="754FDC35" w:rsidR="00634376" w:rsidRDefault="004E6547" w:rsidP="007C0B45">
            <w:pPr>
              <w:spacing w:after="20"/>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Pr>
                <w:rFonts w:ascii="Aptos" w:hAnsi="Aptos"/>
                <w:color w:val="000000"/>
                <w:szCs w:val="22"/>
                <w:lang w:eastAsia="en-AU"/>
              </w:rPr>
              <w:t>P</w:t>
            </w:r>
            <w:r w:rsidRPr="004E6547">
              <w:rPr>
                <w:rFonts w:ascii="Aptos" w:hAnsi="Aptos"/>
                <w:color w:val="000000"/>
                <w:szCs w:val="22"/>
                <w:lang w:eastAsia="en-AU"/>
              </w:rPr>
              <w:t xml:space="preserve">rofessionals and support staff working to provide healthcare services </w:t>
            </w:r>
            <w:r>
              <w:rPr>
                <w:rFonts w:ascii="Aptos" w:hAnsi="Aptos"/>
                <w:color w:val="000000"/>
                <w:szCs w:val="22"/>
                <w:lang w:eastAsia="en-AU"/>
              </w:rPr>
              <w:t>(for example, medical doctors and specialists, nurses and midwives, and allied health professionals) who are not formally qualified in human genetics, genomics or related disciplines (</w:t>
            </w:r>
            <w:r w:rsidR="00A45EA7">
              <w:rPr>
                <w:rFonts w:ascii="Aptos" w:hAnsi="Aptos"/>
                <w:color w:val="000000"/>
                <w:szCs w:val="22"/>
                <w:lang w:eastAsia="en-AU"/>
              </w:rPr>
              <w:t>that is, the ‘</w:t>
            </w:r>
            <w:r w:rsidR="00A45EA7" w:rsidRPr="00634376">
              <w:rPr>
                <w:rFonts w:ascii="Aptos" w:eastAsia="Arial" w:hAnsi="Aptos"/>
                <w:b/>
                <w:bCs/>
                <w:kern w:val="2"/>
                <w:szCs w:val="22"/>
              </w:rPr>
              <w:t>specialised health genomics workforce</w:t>
            </w:r>
            <w:r w:rsidR="00A45EA7">
              <w:rPr>
                <w:rFonts w:ascii="Aptos" w:eastAsia="Arial" w:hAnsi="Aptos"/>
                <w:kern w:val="2"/>
                <w:szCs w:val="22"/>
              </w:rPr>
              <w:t>’</w:t>
            </w:r>
            <w:r>
              <w:rPr>
                <w:rFonts w:ascii="Aptos" w:hAnsi="Aptos"/>
                <w:color w:val="000000"/>
                <w:szCs w:val="22"/>
                <w:lang w:eastAsia="en-AU"/>
              </w:rPr>
              <w:t>)</w:t>
            </w:r>
            <w:r w:rsidR="00A45EA7">
              <w:rPr>
                <w:rFonts w:ascii="Aptos" w:hAnsi="Aptos"/>
                <w:color w:val="000000"/>
                <w:szCs w:val="22"/>
                <w:lang w:eastAsia="en-AU"/>
              </w:rPr>
              <w:t>.</w:t>
            </w:r>
            <w:r>
              <w:rPr>
                <w:rFonts w:ascii="Aptos" w:hAnsi="Aptos"/>
                <w:color w:val="000000"/>
                <w:szCs w:val="22"/>
                <w:lang w:eastAsia="en-AU"/>
              </w:rPr>
              <w:t xml:space="preserve"> </w:t>
            </w:r>
          </w:p>
        </w:tc>
      </w:tr>
      <w:tr w:rsidR="00D45D4B" w:rsidRPr="004E306A" w14:paraId="11FE5728" w14:textId="77777777" w:rsidTr="007C0B45">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7C1A880A" w14:textId="45933765" w:rsidR="004E306A" w:rsidRPr="007E7E90" w:rsidRDefault="004E306A" w:rsidP="007E7E90">
            <w:pPr>
              <w:pStyle w:val="Heading4"/>
              <w:rPr>
                <w:b/>
                <w:bCs/>
              </w:rPr>
            </w:pPr>
            <w:bookmarkStart w:id="95" w:name="_Medicare_Benefits_Schedule"/>
            <w:bookmarkEnd w:id="95"/>
            <w:r w:rsidRPr="007E7E90">
              <w:rPr>
                <w:b/>
                <w:bCs/>
              </w:rPr>
              <w:t>Medicare Benefits Schedule (MBS)</w:t>
            </w:r>
          </w:p>
        </w:tc>
        <w:tc>
          <w:tcPr>
            <w:tcW w:w="6803" w:type="dxa"/>
            <w:noWrap/>
            <w:vAlign w:val="center"/>
            <w:hideMark/>
          </w:tcPr>
          <w:p w14:paraId="20E1D03C" w14:textId="3C4EB425" w:rsidR="004E306A" w:rsidRPr="004E306A" w:rsidRDefault="00982E6F" w:rsidP="007C0B45">
            <w:pPr>
              <w:spacing w:after="20"/>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Pr>
                <w:rFonts w:ascii="Aptos" w:hAnsi="Aptos"/>
                <w:color w:val="000000"/>
                <w:szCs w:val="22"/>
                <w:lang w:eastAsia="en-AU"/>
              </w:rPr>
              <w:t>A l</w:t>
            </w:r>
            <w:r w:rsidR="004E306A" w:rsidRPr="004E306A">
              <w:rPr>
                <w:rFonts w:ascii="Aptos" w:hAnsi="Aptos"/>
                <w:color w:val="000000"/>
                <w:szCs w:val="22"/>
                <w:lang w:eastAsia="en-AU"/>
              </w:rPr>
              <w:t xml:space="preserve">isting of </w:t>
            </w:r>
            <w:r>
              <w:rPr>
                <w:rFonts w:ascii="Aptos" w:hAnsi="Aptos"/>
                <w:color w:val="000000"/>
                <w:szCs w:val="22"/>
                <w:lang w:eastAsia="en-AU"/>
              </w:rPr>
              <w:t>medical</w:t>
            </w:r>
            <w:r w:rsidR="004E306A" w:rsidRPr="004E306A">
              <w:rPr>
                <w:rFonts w:ascii="Aptos" w:hAnsi="Aptos"/>
                <w:color w:val="000000"/>
                <w:szCs w:val="22"/>
                <w:lang w:eastAsia="en-AU"/>
              </w:rPr>
              <w:t xml:space="preserve"> services</w:t>
            </w:r>
            <w:r>
              <w:rPr>
                <w:rFonts w:ascii="Aptos" w:hAnsi="Aptos"/>
                <w:color w:val="000000"/>
                <w:szCs w:val="22"/>
                <w:lang w:eastAsia="en-AU"/>
              </w:rPr>
              <w:t xml:space="preserve"> subsidised by the Australian Government. In the context of genomics-informed health care, this</w:t>
            </w:r>
            <w:r w:rsidR="004E306A" w:rsidRPr="004E306A">
              <w:rPr>
                <w:rFonts w:ascii="Aptos" w:hAnsi="Aptos"/>
                <w:color w:val="000000"/>
                <w:szCs w:val="22"/>
                <w:lang w:eastAsia="en-AU"/>
              </w:rPr>
              <w:t xml:space="preserve"> inclu</w:t>
            </w:r>
            <w:r>
              <w:rPr>
                <w:rFonts w:ascii="Aptos" w:hAnsi="Aptos"/>
                <w:color w:val="000000"/>
                <w:szCs w:val="22"/>
                <w:lang w:eastAsia="en-AU"/>
              </w:rPr>
              <w:t>des</w:t>
            </w:r>
            <w:r w:rsidR="004E306A" w:rsidRPr="004E306A">
              <w:rPr>
                <w:rFonts w:ascii="Aptos" w:hAnsi="Aptos"/>
                <w:color w:val="000000"/>
                <w:szCs w:val="22"/>
                <w:lang w:eastAsia="en-AU"/>
              </w:rPr>
              <w:t xml:space="preserve"> consultations with general practitioners and specialists that involve the clinical management of suspected or known genomic conditions, genomic testing referred to pathology providers, and other non-pharmaceutical treatments to manage genomic conditions.</w:t>
            </w:r>
          </w:p>
        </w:tc>
      </w:tr>
      <w:tr w:rsidR="00720F68" w:rsidRPr="004E306A" w14:paraId="2AE0AD2D" w14:textId="77777777" w:rsidTr="007C0B45">
        <w:trPr>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65624656" w14:textId="77777777" w:rsidR="004E306A" w:rsidRPr="007E7E90" w:rsidRDefault="004E306A" w:rsidP="007E7E90">
            <w:pPr>
              <w:pStyle w:val="Heading4"/>
              <w:rPr>
                <w:b/>
                <w:bCs/>
              </w:rPr>
            </w:pPr>
            <w:bookmarkStart w:id="96" w:name="_Metabolomics"/>
            <w:bookmarkEnd w:id="96"/>
            <w:r w:rsidRPr="007E7E90">
              <w:rPr>
                <w:b/>
                <w:bCs/>
              </w:rPr>
              <w:t>Metabolomics</w:t>
            </w:r>
          </w:p>
        </w:tc>
        <w:tc>
          <w:tcPr>
            <w:tcW w:w="6803" w:type="dxa"/>
            <w:noWrap/>
            <w:vAlign w:val="center"/>
            <w:hideMark/>
          </w:tcPr>
          <w:p w14:paraId="6497E22E" w14:textId="14550077" w:rsidR="00D86A0D" w:rsidRPr="004E306A" w:rsidRDefault="00D86A0D" w:rsidP="007C0B45">
            <w:pPr>
              <w:spacing w:after="20"/>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Pr>
                <w:rFonts w:ascii="Aptos" w:hAnsi="Aptos"/>
                <w:color w:val="000000"/>
                <w:szCs w:val="22"/>
                <w:lang w:eastAsia="en-AU"/>
              </w:rPr>
              <w:t>C</w:t>
            </w:r>
            <w:r w:rsidR="004E306A" w:rsidRPr="004E306A">
              <w:rPr>
                <w:rFonts w:ascii="Aptos" w:hAnsi="Aptos"/>
                <w:color w:val="000000"/>
                <w:szCs w:val="22"/>
                <w:lang w:eastAsia="en-AU"/>
              </w:rPr>
              <w:t xml:space="preserve">omprehensive study of </w:t>
            </w:r>
            <w:r>
              <w:rPr>
                <w:rFonts w:ascii="Aptos" w:hAnsi="Aptos"/>
                <w:color w:val="000000"/>
                <w:szCs w:val="22"/>
                <w:lang w:eastAsia="en-AU"/>
              </w:rPr>
              <w:t>substances involved in metabolism,</w:t>
            </w:r>
          </w:p>
          <w:p w14:paraId="063142EA" w14:textId="3BD5A41E" w:rsidR="004E306A" w:rsidRPr="004E306A" w:rsidRDefault="004E306A" w:rsidP="007C0B45">
            <w:pPr>
              <w:spacing w:after="20"/>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sidRPr="004E306A">
              <w:rPr>
                <w:rFonts w:ascii="Aptos" w:hAnsi="Aptos"/>
                <w:color w:val="000000"/>
                <w:szCs w:val="22"/>
                <w:lang w:eastAsia="en-AU"/>
              </w:rPr>
              <w:t xml:space="preserve"> aiming to identify, quantify, and understand their roles in biological processes and how they change under different conditions.</w:t>
            </w:r>
          </w:p>
        </w:tc>
      </w:tr>
      <w:tr w:rsidR="00D45D4B" w:rsidRPr="004E306A" w14:paraId="17B97530" w14:textId="77777777" w:rsidTr="007C0B45">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08606A99" w14:textId="77777777" w:rsidR="004E306A" w:rsidRPr="007E7E90" w:rsidRDefault="004E306A" w:rsidP="007E7E90">
            <w:pPr>
              <w:pStyle w:val="Heading4"/>
              <w:rPr>
                <w:b/>
                <w:bCs/>
              </w:rPr>
            </w:pPr>
            <w:bookmarkStart w:id="97" w:name="_Microbes"/>
            <w:bookmarkEnd w:id="97"/>
            <w:r w:rsidRPr="007E7E90">
              <w:rPr>
                <w:b/>
                <w:bCs/>
              </w:rPr>
              <w:t>Microbes</w:t>
            </w:r>
          </w:p>
        </w:tc>
        <w:tc>
          <w:tcPr>
            <w:tcW w:w="6803" w:type="dxa"/>
            <w:noWrap/>
            <w:vAlign w:val="center"/>
            <w:hideMark/>
          </w:tcPr>
          <w:p w14:paraId="75E61B7D" w14:textId="35B93317" w:rsidR="004E306A" w:rsidRPr="004E306A" w:rsidRDefault="000462F8" w:rsidP="007C0B45">
            <w:pPr>
              <w:spacing w:after="20"/>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Pr>
                <w:rFonts w:ascii="Aptos" w:hAnsi="Aptos"/>
                <w:color w:val="000000"/>
                <w:szCs w:val="22"/>
                <w:lang w:eastAsia="en-AU"/>
              </w:rPr>
              <w:t>M</w:t>
            </w:r>
            <w:r w:rsidRPr="000462F8">
              <w:rPr>
                <w:rFonts w:ascii="Aptos" w:hAnsi="Aptos"/>
                <w:color w:val="000000"/>
                <w:szCs w:val="22"/>
                <w:lang w:eastAsia="en-AU"/>
              </w:rPr>
              <w:t>icroorganism</w:t>
            </w:r>
            <w:r w:rsidR="00D86A0D">
              <w:rPr>
                <w:rFonts w:ascii="Aptos" w:hAnsi="Aptos"/>
                <w:color w:val="000000"/>
                <w:szCs w:val="22"/>
                <w:lang w:eastAsia="en-AU"/>
              </w:rPr>
              <w:t>s</w:t>
            </w:r>
            <w:r w:rsidRPr="000462F8">
              <w:rPr>
                <w:rFonts w:ascii="Aptos" w:hAnsi="Aptos"/>
                <w:color w:val="000000"/>
                <w:szCs w:val="22"/>
                <w:lang w:eastAsia="en-AU"/>
              </w:rPr>
              <w:t>, such as bacteria, virus, or fungi, that can be seen only through a microscope.</w:t>
            </w:r>
          </w:p>
        </w:tc>
      </w:tr>
      <w:tr w:rsidR="00720F68" w:rsidRPr="004E306A" w14:paraId="1B836892" w14:textId="77777777" w:rsidTr="007C0B45">
        <w:trPr>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40D15FC5" w14:textId="77777777" w:rsidR="004E306A" w:rsidRPr="007E7E90" w:rsidRDefault="004E306A" w:rsidP="007E7E90">
            <w:pPr>
              <w:pStyle w:val="Heading4"/>
              <w:rPr>
                <w:b/>
                <w:bCs/>
              </w:rPr>
            </w:pPr>
            <w:bookmarkStart w:id="98" w:name="_Microbiomics"/>
            <w:bookmarkEnd w:id="98"/>
            <w:r w:rsidRPr="007E7E90">
              <w:rPr>
                <w:b/>
                <w:bCs/>
              </w:rPr>
              <w:t>Microbiomics</w:t>
            </w:r>
          </w:p>
        </w:tc>
        <w:tc>
          <w:tcPr>
            <w:tcW w:w="6803" w:type="dxa"/>
            <w:noWrap/>
            <w:vAlign w:val="center"/>
            <w:hideMark/>
          </w:tcPr>
          <w:p w14:paraId="3B53DE49" w14:textId="0BE37FA8" w:rsidR="004E306A" w:rsidRPr="004E306A" w:rsidRDefault="000462F8" w:rsidP="007C0B45">
            <w:pPr>
              <w:spacing w:after="20"/>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Pr>
                <w:rFonts w:ascii="Aptos" w:hAnsi="Aptos"/>
                <w:color w:val="000000"/>
                <w:szCs w:val="22"/>
                <w:lang w:eastAsia="en-AU"/>
              </w:rPr>
              <w:t>S</w:t>
            </w:r>
            <w:r w:rsidR="004E306A" w:rsidRPr="004E306A">
              <w:rPr>
                <w:rFonts w:ascii="Aptos" w:hAnsi="Aptos"/>
                <w:color w:val="000000"/>
                <w:szCs w:val="22"/>
                <w:lang w:eastAsia="en-AU"/>
              </w:rPr>
              <w:t xml:space="preserve">tudy of </w:t>
            </w:r>
            <w:r w:rsidR="00D86A0D">
              <w:rPr>
                <w:rFonts w:ascii="Aptos" w:hAnsi="Aptos"/>
                <w:color w:val="000000"/>
                <w:szCs w:val="22"/>
                <w:lang w:eastAsia="en-AU"/>
              </w:rPr>
              <w:t>microbes that naturally live in a given environment (for example, on or in the human body)</w:t>
            </w:r>
            <w:r w:rsidR="004E306A" w:rsidRPr="004E306A">
              <w:rPr>
                <w:rFonts w:ascii="Aptos" w:hAnsi="Aptos"/>
                <w:color w:val="000000"/>
                <w:szCs w:val="22"/>
                <w:lang w:eastAsia="en-AU"/>
              </w:rPr>
              <w:t>, their structure, function, and dynamics</w:t>
            </w:r>
            <w:r w:rsidR="00D86A0D">
              <w:rPr>
                <w:rFonts w:ascii="Aptos" w:hAnsi="Aptos"/>
                <w:color w:val="000000"/>
                <w:szCs w:val="22"/>
                <w:lang w:eastAsia="en-AU"/>
              </w:rPr>
              <w:t>.</w:t>
            </w:r>
          </w:p>
        </w:tc>
      </w:tr>
      <w:tr w:rsidR="00D45D4B" w:rsidRPr="004E306A" w14:paraId="2459B850" w14:textId="77777777" w:rsidTr="007C0B45">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1B4F588C" w14:textId="2896F519" w:rsidR="004E306A" w:rsidRPr="007E7E90" w:rsidRDefault="004E306A" w:rsidP="007E7E90">
            <w:pPr>
              <w:pStyle w:val="Heading4"/>
              <w:rPr>
                <w:b/>
                <w:bCs/>
              </w:rPr>
            </w:pPr>
            <w:bookmarkStart w:id="99" w:name="_Multi-omics"/>
            <w:bookmarkEnd w:id="99"/>
            <w:r w:rsidRPr="007E7E90">
              <w:rPr>
                <w:b/>
                <w:bCs/>
              </w:rPr>
              <w:t>Multi-omics</w:t>
            </w:r>
          </w:p>
        </w:tc>
        <w:tc>
          <w:tcPr>
            <w:tcW w:w="6803" w:type="dxa"/>
            <w:noWrap/>
            <w:vAlign w:val="center"/>
            <w:hideMark/>
          </w:tcPr>
          <w:p w14:paraId="4E04AC7B" w14:textId="38E9F2DE" w:rsidR="004E306A" w:rsidRPr="004E306A" w:rsidRDefault="00D86A0D" w:rsidP="007C0B45">
            <w:pPr>
              <w:spacing w:after="20"/>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Pr>
                <w:rFonts w:ascii="Aptos" w:hAnsi="Aptos"/>
                <w:color w:val="000000"/>
                <w:szCs w:val="22"/>
                <w:lang w:eastAsia="en-AU"/>
              </w:rPr>
              <w:t xml:space="preserve">The use of information from </w:t>
            </w:r>
            <w:r w:rsidR="004E306A" w:rsidRPr="004E306A">
              <w:rPr>
                <w:rFonts w:ascii="Aptos" w:hAnsi="Aptos"/>
                <w:color w:val="000000"/>
                <w:szCs w:val="22"/>
                <w:lang w:eastAsia="en-AU"/>
              </w:rPr>
              <w:t>multiple "-omics" disciplines (like genomics, transcriptomics, proteomics, and metabolomics)</w:t>
            </w:r>
            <w:r>
              <w:rPr>
                <w:rFonts w:ascii="Aptos" w:hAnsi="Aptos"/>
                <w:color w:val="000000"/>
                <w:szCs w:val="22"/>
                <w:lang w:eastAsia="en-AU"/>
              </w:rPr>
              <w:t xml:space="preserve"> at the same time.</w:t>
            </w:r>
          </w:p>
        </w:tc>
      </w:tr>
      <w:tr w:rsidR="00720F68" w:rsidRPr="004E306A" w14:paraId="5651B12A" w14:textId="77777777" w:rsidTr="007C0B45">
        <w:trPr>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21008F6F" w14:textId="77777777" w:rsidR="004E306A" w:rsidRPr="007E7E90" w:rsidRDefault="004E306A" w:rsidP="007E7E90">
            <w:pPr>
              <w:pStyle w:val="Heading4"/>
              <w:rPr>
                <w:b/>
                <w:bCs/>
              </w:rPr>
            </w:pPr>
            <w:r w:rsidRPr="007E7E90">
              <w:rPr>
                <w:b/>
                <w:bCs/>
              </w:rPr>
              <w:t>My Health Record</w:t>
            </w:r>
          </w:p>
        </w:tc>
        <w:tc>
          <w:tcPr>
            <w:tcW w:w="6803" w:type="dxa"/>
            <w:noWrap/>
            <w:vAlign w:val="center"/>
            <w:hideMark/>
          </w:tcPr>
          <w:p w14:paraId="2D8B5BE8" w14:textId="78FA55AF" w:rsidR="004E306A" w:rsidRPr="004E306A" w:rsidRDefault="000462F8" w:rsidP="007C0B45">
            <w:pPr>
              <w:spacing w:after="20"/>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sidRPr="000462F8">
              <w:rPr>
                <w:rFonts w:ascii="Aptos" w:hAnsi="Aptos"/>
                <w:color w:val="000000"/>
                <w:szCs w:val="22"/>
                <w:lang w:eastAsia="en-AU"/>
              </w:rPr>
              <w:t xml:space="preserve">Australia's </w:t>
            </w:r>
            <w:r>
              <w:rPr>
                <w:rFonts w:ascii="Aptos" w:hAnsi="Aptos"/>
                <w:color w:val="000000"/>
                <w:szCs w:val="22"/>
                <w:lang w:eastAsia="en-AU"/>
              </w:rPr>
              <w:t>national</w:t>
            </w:r>
            <w:r w:rsidRPr="000462F8">
              <w:rPr>
                <w:rFonts w:ascii="Aptos" w:hAnsi="Aptos"/>
                <w:color w:val="000000"/>
                <w:szCs w:val="22"/>
                <w:lang w:eastAsia="en-AU"/>
              </w:rPr>
              <w:t xml:space="preserve"> digital health record system</w:t>
            </w:r>
            <w:r w:rsidR="004E306A" w:rsidRPr="004E306A">
              <w:rPr>
                <w:rFonts w:ascii="Aptos" w:hAnsi="Aptos"/>
                <w:color w:val="000000"/>
                <w:szCs w:val="22"/>
                <w:lang w:eastAsia="en-AU"/>
              </w:rPr>
              <w:t>, managed by the Australian Digital Health Agency</w:t>
            </w:r>
            <w:r>
              <w:rPr>
                <w:rFonts w:ascii="Aptos" w:hAnsi="Aptos"/>
                <w:color w:val="000000"/>
                <w:szCs w:val="22"/>
                <w:lang w:eastAsia="en-AU"/>
              </w:rPr>
              <w:t xml:space="preserve"> (ADHA).</w:t>
            </w:r>
          </w:p>
        </w:tc>
      </w:tr>
      <w:tr w:rsidR="00D45D4B" w:rsidRPr="004E306A" w14:paraId="29274C72" w14:textId="77777777" w:rsidTr="007C0B45">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057CCBF2" w14:textId="77777777" w:rsidR="004E306A" w:rsidRPr="007E7E90" w:rsidRDefault="004E306A" w:rsidP="007E7E90">
            <w:pPr>
              <w:pStyle w:val="Heading4"/>
              <w:rPr>
                <w:b/>
                <w:bCs/>
              </w:rPr>
            </w:pPr>
            <w:bookmarkStart w:id="100" w:name="_One_Health"/>
            <w:bookmarkEnd w:id="100"/>
            <w:r w:rsidRPr="007E7E90">
              <w:rPr>
                <w:b/>
                <w:bCs/>
              </w:rPr>
              <w:lastRenderedPageBreak/>
              <w:t>One Health</w:t>
            </w:r>
          </w:p>
        </w:tc>
        <w:tc>
          <w:tcPr>
            <w:tcW w:w="6803" w:type="dxa"/>
            <w:noWrap/>
            <w:vAlign w:val="center"/>
            <w:hideMark/>
          </w:tcPr>
          <w:p w14:paraId="1FA8C8AD" w14:textId="48633CDE" w:rsidR="004E306A" w:rsidRPr="004E306A" w:rsidRDefault="00D86A0D" w:rsidP="007C0B45">
            <w:pPr>
              <w:spacing w:after="20"/>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Pr>
                <w:rFonts w:ascii="Aptos" w:hAnsi="Aptos"/>
                <w:color w:val="000000"/>
                <w:szCs w:val="22"/>
                <w:lang w:eastAsia="en-AU"/>
              </w:rPr>
              <w:t>An a</w:t>
            </w:r>
            <w:r w:rsidR="000462F8" w:rsidRPr="000462F8">
              <w:rPr>
                <w:rFonts w:ascii="Aptos" w:hAnsi="Aptos"/>
                <w:color w:val="000000"/>
                <w:szCs w:val="22"/>
                <w:lang w:eastAsia="en-AU"/>
              </w:rPr>
              <w:t>pproach to designing and implementing programs, policies, legislation, and research in which animal, human and environmental sectors communicate and work together to achieve better public health outcomes.</w:t>
            </w:r>
          </w:p>
        </w:tc>
      </w:tr>
      <w:tr w:rsidR="00720F68" w:rsidRPr="004E306A" w14:paraId="0A40B861" w14:textId="77777777" w:rsidTr="007C0B45">
        <w:trPr>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63AC82B6" w14:textId="73BACF3E" w:rsidR="004E306A" w:rsidRPr="007E7E90" w:rsidRDefault="004E306A" w:rsidP="007E7E90">
            <w:pPr>
              <w:pStyle w:val="Heading4"/>
              <w:rPr>
                <w:b/>
                <w:bCs/>
              </w:rPr>
            </w:pPr>
            <w:bookmarkStart w:id="101" w:name="_Pharmaceutical_Benefits_Scheme"/>
            <w:bookmarkEnd w:id="101"/>
            <w:r w:rsidRPr="007E7E90">
              <w:rPr>
                <w:b/>
                <w:bCs/>
              </w:rPr>
              <w:t>Pharmaceutical Benefits Scheme (PBS)</w:t>
            </w:r>
          </w:p>
        </w:tc>
        <w:tc>
          <w:tcPr>
            <w:tcW w:w="6803" w:type="dxa"/>
            <w:noWrap/>
            <w:vAlign w:val="center"/>
            <w:hideMark/>
          </w:tcPr>
          <w:p w14:paraId="6C1F5D07" w14:textId="536260F3" w:rsidR="004E306A" w:rsidRPr="004E306A" w:rsidRDefault="00D86A0D" w:rsidP="007C0B45">
            <w:pPr>
              <w:spacing w:after="20"/>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Pr>
                <w:rFonts w:ascii="Aptos" w:hAnsi="Aptos"/>
                <w:color w:val="000000"/>
                <w:szCs w:val="22"/>
                <w:lang w:eastAsia="en-AU"/>
              </w:rPr>
              <w:t>A l</w:t>
            </w:r>
            <w:r w:rsidR="004E306A" w:rsidRPr="004E306A">
              <w:rPr>
                <w:rFonts w:ascii="Aptos" w:hAnsi="Aptos"/>
                <w:color w:val="000000"/>
                <w:szCs w:val="22"/>
                <w:lang w:eastAsia="en-AU"/>
              </w:rPr>
              <w:t>isting of medicines</w:t>
            </w:r>
            <w:r>
              <w:rPr>
                <w:rFonts w:ascii="Aptos" w:hAnsi="Aptos"/>
                <w:color w:val="000000"/>
                <w:szCs w:val="22"/>
                <w:lang w:eastAsia="en-AU"/>
              </w:rPr>
              <w:t xml:space="preserve"> subsidised by the Australian Government</w:t>
            </w:r>
            <w:r w:rsidR="00754CBB">
              <w:rPr>
                <w:rFonts w:ascii="Aptos" w:hAnsi="Aptos"/>
                <w:color w:val="000000"/>
                <w:szCs w:val="22"/>
                <w:lang w:eastAsia="en-AU"/>
              </w:rPr>
              <w:t>. In the context of genomics-informed health care, this</w:t>
            </w:r>
            <w:r w:rsidR="004E306A" w:rsidRPr="004E306A">
              <w:rPr>
                <w:rFonts w:ascii="Aptos" w:hAnsi="Aptos"/>
                <w:color w:val="000000"/>
                <w:szCs w:val="22"/>
                <w:lang w:eastAsia="en-AU"/>
              </w:rPr>
              <w:t xml:space="preserve"> </w:t>
            </w:r>
            <w:r w:rsidR="00754CBB">
              <w:rPr>
                <w:rFonts w:ascii="Aptos" w:hAnsi="Aptos"/>
                <w:color w:val="000000"/>
                <w:szCs w:val="22"/>
                <w:lang w:eastAsia="en-AU"/>
              </w:rPr>
              <w:t>includes common medicines used to symptomatically treat genomic</w:t>
            </w:r>
            <w:r w:rsidR="004E306A" w:rsidRPr="004E306A">
              <w:rPr>
                <w:rFonts w:ascii="Aptos" w:hAnsi="Aptos"/>
                <w:color w:val="000000"/>
                <w:szCs w:val="22"/>
                <w:lang w:eastAsia="en-AU"/>
              </w:rPr>
              <w:t xml:space="preserve"> conditions</w:t>
            </w:r>
            <w:r w:rsidR="00041116">
              <w:rPr>
                <w:rFonts w:ascii="Aptos" w:hAnsi="Aptos"/>
                <w:color w:val="000000"/>
                <w:szCs w:val="22"/>
                <w:lang w:eastAsia="en-AU"/>
              </w:rPr>
              <w:t xml:space="preserve"> and those that address the underlying causes, including ‘</w:t>
            </w:r>
            <w:r w:rsidR="00041116" w:rsidRPr="00041116">
              <w:rPr>
                <w:rFonts w:ascii="Aptos" w:hAnsi="Aptos"/>
                <w:b/>
                <w:bCs/>
                <w:color w:val="000000"/>
                <w:szCs w:val="22"/>
                <w:lang w:eastAsia="en-AU"/>
              </w:rPr>
              <w:t>immunotherapies</w:t>
            </w:r>
            <w:r w:rsidR="00041116">
              <w:rPr>
                <w:rFonts w:ascii="Aptos" w:hAnsi="Aptos"/>
                <w:b/>
                <w:bCs/>
                <w:color w:val="000000"/>
                <w:szCs w:val="22"/>
                <w:lang w:eastAsia="en-AU"/>
              </w:rPr>
              <w:t xml:space="preserve">’ </w:t>
            </w:r>
            <w:r w:rsidR="00041116">
              <w:rPr>
                <w:rFonts w:ascii="Aptos" w:hAnsi="Aptos"/>
                <w:color w:val="000000"/>
                <w:szCs w:val="22"/>
                <w:lang w:eastAsia="en-AU"/>
              </w:rPr>
              <w:t>and ‘</w:t>
            </w:r>
            <w:r w:rsidR="00041116" w:rsidRPr="00041116">
              <w:rPr>
                <w:rFonts w:ascii="Aptos" w:hAnsi="Aptos"/>
                <w:b/>
                <w:bCs/>
                <w:color w:val="000000"/>
                <w:szCs w:val="22"/>
                <w:lang w:eastAsia="en-AU"/>
              </w:rPr>
              <w:t xml:space="preserve">cell and gene </w:t>
            </w:r>
            <w:proofErr w:type="gramStart"/>
            <w:r w:rsidR="00041116" w:rsidRPr="00041116">
              <w:rPr>
                <w:rFonts w:ascii="Aptos" w:hAnsi="Aptos"/>
                <w:b/>
                <w:bCs/>
                <w:color w:val="000000"/>
                <w:szCs w:val="22"/>
                <w:lang w:eastAsia="en-AU"/>
              </w:rPr>
              <w:t>therapies</w:t>
            </w:r>
            <w:r w:rsidR="00041116">
              <w:rPr>
                <w:rFonts w:ascii="Aptos" w:hAnsi="Aptos"/>
                <w:color w:val="000000"/>
                <w:szCs w:val="22"/>
                <w:lang w:eastAsia="en-AU"/>
              </w:rPr>
              <w:t>’</w:t>
            </w:r>
            <w:proofErr w:type="gramEnd"/>
            <w:r w:rsidR="00041116">
              <w:rPr>
                <w:rFonts w:ascii="Aptos" w:hAnsi="Aptos"/>
                <w:color w:val="000000"/>
                <w:szCs w:val="22"/>
                <w:lang w:eastAsia="en-AU"/>
              </w:rPr>
              <w:t xml:space="preserve">. </w:t>
            </w:r>
          </w:p>
        </w:tc>
      </w:tr>
      <w:tr w:rsidR="00D45D4B" w:rsidRPr="004E306A" w14:paraId="32473AE3" w14:textId="77777777" w:rsidTr="007C0B45">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6FEE04D4" w14:textId="3A2F168A" w:rsidR="004E306A" w:rsidRPr="007E7E90" w:rsidRDefault="000462F8" w:rsidP="007E7E90">
            <w:pPr>
              <w:pStyle w:val="Heading4"/>
              <w:rPr>
                <w:b/>
                <w:bCs/>
              </w:rPr>
            </w:pPr>
            <w:bookmarkStart w:id="102" w:name="_Person-_and_family-"/>
            <w:bookmarkEnd w:id="102"/>
            <w:r w:rsidRPr="007E7E90">
              <w:rPr>
                <w:b/>
                <w:bCs/>
              </w:rPr>
              <w:t>P</w:t>
            </w:r>
            <w:r w:rsidR="004E306A" w:rsidRPr="007E7E90">
              <w:rPr>
                <w:b/>
                <w:bCs/>
              </w:rPr>
              <w:t>erson-</w:t>
            </w:r>
            <w:r w:rsidR="00041116" w:rsidRPr="007E7E90">
              <w:rPr>
                <w:b/>
                <w:bCs/>
              </w:rPr>
              <w:t xml:space="preserve"> and family- </w:t>
            </w:r>
            <w:r w:rsidR="004E306A" w:rsidRPr="007E7E90">
              <w:rPr>
                <w:b/>
                <w:bCs/>
              </w:rPr>
              <w:t>centred care</w:t>
            </w:r>
          </w:p>
        </w:tc>
        <w:tc>
          <w:tcPr>
            <w:tcW w:w="6803" w:type="dxa"/>
            <w:noWrap/>
            <w:vAlign w:val="center"/>
            <w:hideMark/>
          </w:tcPr>
          <w:p w14:paraId="193C1D92" w14:textId="09DB8B7A" w:rsidR="004E306A" w:rsidRPr="004E306A" w:rsidRDefault="00041116" w:rsidP="007C0B45">
            <w:pPr>
              <w:spacing w:after="20"/>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Pr>
                <w:rFonts w:ascii="Aptos" w:hAnsi="Aptos"/>
                <w:color w:val="000000"/>
                <w:szCs w:val="22"/>
                <w:lang w:eastAsia="en-AU"/>
              </w:rPr>
              <w:t>An</w:t>
            </w:r>
            <w:r w:rsidR="004E306A" w:rsidRPr="004E306A">
              <w:rPr>
                <w:rFonts w:ascii="Aptos" w:hAnsi="Aptos"/>
                <w:color w:val="000000"/>
                <w:szCs w:val="22"/>
                <w:lang w:eastAsia="en-AU"/>
              </w:rPr>
              <w:t xml:space="preserve"> approach to health</w:t>
            </w:r>
            <w:r w:rsidR="000462F8">
              <w:rPr>
                <w:rFonts w:ascii="Aptos" w:hAnsi="Aptos"/>
                <w:color w:val="000000"/>
                <w:szCs w:val="22"/>
                <w:lang w:eastAsia="en-AU"/>
              </w:rPr>
              <w:t xml:space="preserve"> </w:t>
            </w:r>
            <w:r w:rsidR="004E306A" w:rsidRPr="004E306A">
              <w:rPr>
                <w:rFonts w:ascii="Aptos" w:hAnsi="Aptos"/>
                <w:color w:val="000000"/>
                <w:szCs w:val="22"/>
                <w:lang w:eastAsia="en-AU"/>
              </w:rPr>
              <w:t xml:space="preserve">care that prioritises </w:t>
            </w:r>
            <w:r>
              <w:rPr>
                <w:rFonts w:ascii="Aptos" w:hAnsi="Aptos"/>
                <w:color w:val="000000"/>
                <w:szCs w:val="22"/>
                <w:lang w:eastAsia="en-AU"/>
              </w:rPr>
              <w:t>the</w:t>
            </w:r>
            <w:r w:rsidR="004E306A" w:rsidRPr="004E306A">
              <w:rPr>
                <w:rFonts w:ascii="Aptos" w:hAnsi="Aptos"/>
                <w:color w:val="000000"/>
                <w:szCs w:val="22"/>
                <w:lang w:eastAsia="en-AU"/>
              </w:rPr>
              <w:t xml:space="preserve"> preferences, needs and values</w:t>
            </w:r>
            <w:r>
              <w:rPr>
                <w:rFonts w:ascii="Aptos" w:hAnsi="Aptos"/>
                <w:color w:val="000000"/>
                <w:szCs w:val="22"/>
                <w:lang w:eastAsia="en-AU"/>
              </w:rPr>
              <w:t xml:space="preserve"> of patients, and where appropriate their families, and actively involves them in decisions about their care.</w:t>
            </w:r>
          </w:p>
        </w:tc>
      </w:tr>
      <w:tr w:rsidR="00720F68" w:rsidRPr="004E306A" w14:paraId="7146BEBC" w14:textId="77777777" w:rsidTr="007C0B45">
        <w:trPr>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71AAEFED" w14:textId="558E7F6F" w:rsidR="004E306A" w:rsidRPr="007E7E90" w:rsidRDefault="000462F8" w:rsidP="007E7E90">
            <w:pPr>
              <w:pStyle w:val="Heading4"/>
              <w:rPr>
                <w:b/>
                <w:bCs/>
              </w:rPr>
            </w:pPr>
            <w:bookmarkStart w:id="103" w:name="_Pharmacogenomics"/>
            <w:bookmarkEnd w:id="103"/>
            <w:r w:rsidRPr="007E7E90">
              <w:rPr>
                <w:b/>
                <w:bCs/>
              </w:rPr>
              <w:t>P</w:t>
            </w:r>
            <w:r w:rsidR="004E306A" w:rsidRPr="007E7E90">
              <w:rPr>
                <w:b/>
                <w:bCs/>
              </w:rPr>
              <w:t>harmacogenomics</w:t>
            </w:r>
          </w:p>
        </w:tc>
        <w:tc>
          <w:tcPr>
            <w:tcW w:w="6803" w:type="dxa"/>
            <w:noWrap/>
            <w:vAlign w:val="center"/>
            <w:hideMark/>
          </w:tcPr>
          <w:p w14:paraId="45C352A8" w14:textId="3EF7A1FE" w:rsidR="004E306A" w:rsidRPr="004E306A" w:rsidRDefault="00041116" w:rsidP="007C0B45">
            <w:pPr>
              <w:spacing w:after="20"/>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Pr>
                <w:rFonts w:ascii="Aptos" w:hAnsi="Aptos"/>
                <w:color w:val="000000"/>
                <w:szCs w:val="22"/>
                <w:lang w:eastAsia="en-AU"/>
              </w:rPr>
              <w:t xml:space="preserve">Study of the way in which the genome influences responses to certain </w:t>
            </w:r>
            <w:r w:rsidR="00B502CC">
              <w:rPr>
                <w:rFonts w:ascii="Aptos" w:hAnsi="Aptos"/>
                <w:color w:val="000000"/>
                <w:szCs w:val="22"/>
                <w:lang w:eastAsia="en-AU"/>
              </w:rPr>
              <w:t>drugs</w:t>
            </w:r>
            <w:r>
              <w:rPr>
                <w:rFonts w:ascii="Aptos" w:hAnsi="Aptos"/>
                <w:color w:val="000000"/>
                <w:szCs w:val="22"/>
                <w:lang w:eastAsia="en-AU"/>
              </w:rPr>
              <w:t>. In a clinical context, pharmacogenomics can be used to tailor</w:t>
            </w:r>
            <w:r w:rsidR="00B502CC">
              <w:rPr>
                <w:rFonts w:ascii="Aptos" w:hAnsi="Aptos"/>
                <w:color w:val="000000"/>
                <w:szCs w:val="22"/>
                <w:lang w:eastAsia="en-AU"/>
              </w:rPr>
              <w:t xml:space="preserve"> </w:t>
            </w:r>
            <w:r>
              <w:rPr>
                <w:rFonts w:ascii="Aptos" w:hAnsi="Aptos"/>
                <w:color w:val="000000"/>
                <w:szCs w:val="22"/>
                <w:lang w:eastAsia="en-AU"/>
              </w:rPr>
              <w:t xml:space="preserve">treatment to maximise effectiveness and avoid adverse reactions. </w:t>
            </w:r>
          </w:p>
        </w:tc>
      </w:tr>
      <w:tr w:rsidR="00D45D4B" w:rsidRPr="004E306A" w14:paraId="5D66B6E2" w14:textId="77777777" w:rsidTr="007C0B45">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42102BFB" w14:textId="24FA7555" w:rsidR="004E306A" w:rsidRPr="007E7E90" w:rsidRDefault="00B502CC" w:rsidP="007E7E90">
            <w:pPr>
              <w:pStyle w:val="Heading4"/>
              <w:rPr>
                <w:b/>
                <w:bCs/>
              </w:rPr>
            </w:pPr>
            <w:r w:rsidRPr="007E7E90">
              <w:rPr>
                <w:b/>
                <w:bCs/>
              </w:rPr>
              <w:t>Primary Health Networks (</w:t>
            </w:r>
            <w:r w:rsidR="004E306A" w:rsidRPr="007E7E90">
              <w:rPr>
                <w:b/>
                <w:bCs/>
              </w:rPr>
              <w:t>PHN</w:t>
            </w:r>
            <w:r w:rsidRPr="007E7E90">
              <w:rPr>
                <w:b/>
                <w:bCs/>
              </w:rPr>
              <w:t>)</w:t>
            </w:r>
          </w:p>
        </w:tc>
        <w:tc>
          <w:tcPr>
            <w:tcW w:w="6803" w:type="dxa"/>
            <w:noWrap/>
            <w:vAlign w:val="center"/>
            <w:hideMark/>
          </w:tcPr>
          <w:p w14:paraId="0174156D" w14:textId="77777777" w:rsidR="004E306A" w:rsidRPr="004E306A" w:rsidRDefault="004E306A" w:rsidP="007C0B45">
            <w:pPr>
              <w:spacing w:after="20"/>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sidRPr="004E306A">
              <w:rPr>
                <w:rFonts w:ascii="Aptos" w:hAnsi="Aptos"/>
                <w:color w:val="000000"/>
                <w:szCs w:val="22"/>
                <w:lang w:eastAsia="en-AU"/>
              </w:rPr>
              <w:t>Independent not-for-profit organisations funded by the Australian Government to coordinate primary health care in their respective regions</w:t>
            </w:r>
          </w:p>
        </w:tc>
      </w:tr>
      <w:tr w:rsidR="00720F68" w:rsidRPr="004E306A" w14:paraId="2567C4DC" w14:textId="77777777" w:rsidTr="007C0B45">
        <w:trPr>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4882F676" w14:textId="0A9600C0" w:rsidR="004E306A" w:rsidRPr="007E7E90" w:rsidRDefault="004E306A" w:rsidP="007E7E90">
            <w:pPr>
              <w:pStyle w:val="Heading4"/>
              <w:rPr>
                <w:b/>
                <w:bCs/>
              </w:rPr>
            </w:pPr>
            <w:bookmarkStart w:id="104" w:name="_Population_screening"/>
            <w:bookmarkEnd w:id="104"/>
            <w:r w:rsidRPr="007E7E90">
              <w:rPr>
                <w:b/>
                <w:bCs/>
              </w:rPr>
              <w:t>Population screening</w:t>
            </w:r>
          </w:p>
        </w:tc>
        <w:tc>
          <w:tcPr>
            <w:tcW w:w="6803" w:type="dxa"/>
            <w:noWrap/>
            <w:vAlign w:val="center"/>
            <w:hideMark/>
          </w:tcPr>
          <w:p w14:paraId="6335E38F" w14:textId="56FDA03D" w:rsidR="004E306A" w:rsidRPr="004E306A" w:rsidRDefault="00B502CC" w:rsidP="007C0B45">
            <w:pPr>
              <w:spacing w:after="20"/>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Pr>
                <w:rFonts w:ascii="Aptos" w:hAnsi="Aptos"/>
                <w:color w:val="000000"/>
                <w:szCs w:val="22"/>
                <w:lang w:eastAsia="en-AU"/>
              </w:rPr>
              <w:t>The s</w:t>
            </w:r>
            <w:r w:rsidR="004E306A" w:rsidRPr="004E306A">
              <w:rPr>
                <w:rFonts w:ascii="Aptos" w:hAnsi="Aptos"/>
                <w:color w:val="000000"/>
                <w:szCs w:val="22"/>
                <w:lang w:eastAsia="en-AU"/>
              </w:rPr>
              <w:t>ystematic offering</w:t>
            </w:r>
            <w:r>
              <w:rPr>
                <w:rFonts w:ascii="Aptos" w:hAnsi="Aptos"/>
                <w:color w:val="000000"/>
                <w:szCs w:val="22"/>
                <w:lang w:eastAsia="en-AU"/>
              </w:rPr>
              <w:t xml:space="preserve"> of</w:t>
            </w:r>
            <w:r w:rsidR="004E306A" w:rsidRPr="004E306A">
              <w:rPr>
                <w:rFonts w:ascii="Aptos" w:hAnsi="Aptos"/>
                <w:color w:val="000000"/>
                <w:szCs w:val="22"/>
                <w:lang w:eastAsia="en-AU"/>
              </w:rPr>
              <w:t xml:space="preserve"> test</w:t>
            </w:r>
            <w:r w:rsidR="00723E4C">
              <w:rPr>
                <w:rFonts w:ascii="Aptos" w:hAnsi="Aptos"/>
                <w:color w:val="000000"/>
                <w:szCs w:val="22"/>
                <w:lang w:eastAsia="en-AU"/>
              </w:rPr>
              <w:t>ing</w:t>
            </w:r>
            <w:r w:rsidR="004E306A" w:rsidRPr="004E306A">
              <w:rPr>
                <w:rFonts w:ascii="Aptos" w:hAnsi="Aptos"/>
                <w:color w:val="000000"/>
                <w:szCs w:val="22"/>
                <w:lang w:eastAsia="en-AU"/>
              </w:rPr>
              <w:t xml:space="preserve"> to everyone within a defined target group </w:t>
            </w:r>
            <w:r>
              <w:rPr>
                <w:rFonts w:ascii="Aptos" w:hAnsi="Aptos"/>
                <w:color w:val="000000"/>
                <w:szCs w:val="22"/>
                <w:lang w:eastAsia="en-AU"/>
              </w:rPr>
              <w:t>to support early detection of risk factors or signs of specified conditions, with the goal of reducing the impact of those conditions on individuals and the target group as a whole.</w:t>
            </w:r>
          </w:p>
        </w:tc>
      </w:tr>
      <w:tr w:rsidR="00D45D4B" w:rsidRPr="004E306A" w14:paraId="61E525F8" w14:textId="77777777" w:rsidTr="007C0B45">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18F7F295" w14:textId="23C12380" w:rsidR="004E306A" w:rsidRPr="007E7E90" w:rsidRDefault="004E306A" w:rsidP="007E7E90">
            <w:pPr>
              <w:pStyle w:val="Heading4"/>
              <w:rPr>
                <w:b/>
                <w:bCs/>
              </w:rPr>
            </w:pPr>
            <w:bookmarkStart w:id="105" w:name="_Precision_medicine"/>
            <w:bookmarkEnd w:id="105"/>
            <w:r w:rsidRPr="007E7E90">
              <w:rPr>
                <w:b/>
                <w:bCs/>
              </w:rPr>
              <w:t xml:space="preserve">Precision </w:t>
            </w:r>
            <w:r w:rsidR="00B502CC" w:rsidRPr="007E7E90">
              <w:rPr>
                <w:b/>
                <w:bCs/>
              </w:rPr>
              <w:t>m</w:t>
            </w:r>
            <w:r w:rsidRPr="007E7E90">
              <w:rPr>
                <w:b/>
                <w:bCs/>
              </w:rPr>
              <w:t>edicine</w:t>
            </w:r>
          </w:p>
        </w:tc>
        <w:tc>
          <w:tcPr>
            <w:tcW w:w="6803" w:type="dxa"/>
            <w:noWrap/>
            <w:vAlign w:val="center"/>
            <w:hideMark/>
          </w:tcPr>
          <w:p w14:paraId="7B21FC9E" w14:textId="2D4B275A" w:rsidR="004E306A" w:rsidRPr="004E306A" w:rsidRDefault="00B502CC" w:rsidP="007C0B45">
            <w:pPr>
              <w:spacing w:after="20"/>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Pr>
                <w:rFonts w:ascii="Aptos" w:hAnsi="Aptos"/>
                <w:color w:val="000000"/>
                <w:szCs w:val="22"/>
                <w:lang w:eastAsia="en-AU"/>
              </w:rPr>
              <w:t>The u</w:t>
            </w:r>
            <w:r w:rsidR="00723E4C">
              <w:rPr>
                <w:rFonts w:ascii="Aptos" w:hAnsi="Aptos"/>
                <w:color w:val="000000"/>
                <w:szCs w:val="22"/>
                <w:lang w:eastAsia="en-AU"/>
              </w:rPr>
              <w:t>s</w:t>
            </w:r>
            <w:r w:rsidR="004E306A" w:rsidRPr="004E306A">
              <w:rPr>
                <w:rFonts w:ascii="Aptos" w:hAnsi="Aptos"/>
                <w:color w:val="000000"/>
                <w:szCs w:val="22"/>
                <w:lang w:eastAsia="en-AU"/>
              </w:rPr>
              <w:t>e of genomic, environmental and lifestyle information to</w:t>
            </w:r>
            <w:r w:rsidR="00E97D5E">
              <w:rPr>
                <w:rFonts w:ascii="Aptos" w:hAnsi="Aptos"/>
                <w:color w:val="000000"/>
                <w:szCs w:val="22"/>
                <w:lang w:eastAsia="en-AU"/>
              </w:rPr>
              <w:t xml:space="preserve"> guide </w:t>
            </w:r>
            <w:r w:rsidR="00E97D5E" w:rsidRPr="00E97D5E">
              <w:rPr>
                <w:rFonts w:ascii="Aptos" w:hAnsi="Aptos"/>
                <w:color w:val="000000"/>
                <w:szCs w:val="22"/>
                <w:lang w:eastAsia="en-AU"/>
              </w:rPr>
              <w:t>prevent</w:t>
            </w:r>
            <w:r w:rsidR="00E97D5E">
              <w:rPr>
                <w:rFonts w:ascii="Aptos" w:hAnsi="Aptos"/>
                <w:color w:val="000000"/>
                <w:szCs w:val="22"/>
                <w:lang w:eastAsia="en-AU"/>
              </w:rPr>
              <w:t>ion</w:t>
            </w:r>
            <w:r w:rsidR="00E97D5E" w:rsidRPr="00E97D5E">
              <w:rPr>
                <w:rFonts w:ascii="Aptos" w:hAnsi="Aptos"/>
                <w:color w:val="000000"/>
                <w:szCs w:val="22"/>
                <w:lang w:eastAsia="en-AU"/>
              </w:rPr>
              <w:t>, diagnos</w:t>
            </w:r>
            <w:r w:rsidR="00E97D5E">
              <w:rPr>
                <w:rFonts w:ascii="Aptos" w:hAnsi="Aptos"/>
                <w:color w:val="000000"/>
                <w:szCs w:val="22"/>
                <w:lang w:eastAsia="en-AU"/>
              </w:rPr>
              <w:t>is</w:t>
            </w:r>
            <w:r w:rsidR="00E97D5E" w:rsidRPr="00E97D5E">
              <w:rPr>
                <w:rFonts w:ascii="Aptos" w:hAnsi="Aptos"/>
                <w:color w:val="000000"/>
                <w:szCs w:val="22"/>
                <w:lang w:eastAsia="en-AU"/>
              </w:rPr>
              <w:t>, and treat</w:t>
            </w:r>
            <w:r w:rsidR="00E97D5E">
              <w:rPr>
                <w:rFonts w:ascii="Aptos" w:hAnsi="Aptos"/>
                <w:color w:val="000000"/>
                <w:szCs w:val="22"/>
                <w:lang w:eastAsia="en-AU"/>
              </w:rPr>
              <w:t>ment</w:t>
            </w:r>
            <w:r w:rsidR="009A1136">
              <w:rPr>
                <w:rFonts w:ascii="Aptos" w:hAnsi="Aptos"/>
                <w:color w:val="000000"/>
                <w:szCs w:val="22"/>
                <w:lang w:eastAsia="en-AU"/>
              </w:rPr>
              <w:t xml:space="preserve"> (typically by separately patients into subgroups, but may conceptually involve tailoring approaches to individual patients) </w:t>
            </w:r>
            <w:r w:rsidR="00E97D5E">
              <w:rPr>
                <w:rFonts w:ascii="Aptos" w:hAnsi="Aptos"/>
                <w:color w:val="000000"/>
                <w:szCs w:val="22"/>
                <w:lang w:eastAsia="en-AU"/>
              </w:rPr>
              <w:t xml:space="preserve">in </w:t>
            </w:r>
            <w:r w:rsidR="009A1136">
              <w:rPr>
                <w:rFonts w:ascii="Aptos" w:hAnsi="Aptos"/>
                <w:color w:val="000000"/>
                <w:szCs w:val="22"/>
                <w:lang w:eastAsia="en-AU"/>
              </w:rPr>
              <w:t>a more targeted way</w:t>
            </w:r>
            <w:r w:rsidR="00E97D5E">
              <w:rPr>
                <w:rFonts w:ascii="Aptos" w:hAnsi="Aptos"/>
                <w:color w:val="000000"/>
                <w:szCs w:val="22"/>
                <w:lang w:eastAsia="en-AU"/>
              </w:rPr>
              <w:t xml:space="preserve"> than can be achieved </w:t>
            </w:r>
            <w:r w:rsidR="009A1136">
              <w:rPr>
                <w:rFonts w:ascii="Aptos" w:hAnsi="Aptos"/>
                <w:color w:val="000000"/>
                <w:szCs w:val="22"/>
                <w:lang w:eastAsia="en-AU"/>
              </w:rPr>
              <w:t>by</w:t>
            </w:r>
            <w:r w:rsidR="00E97D5E">
              <w:rPr>
                <w:rFonts w:ascii="Aptos" w:hAnsi="Aptos"/>
                <w:color w:val="000000"/>
                <w:szCs w:val="22"/>
                <w:lang w:eastAsia="en-AU"/>
              </w:rPr>
              <w:t xml:space="preserve"> </w:t>
            </w:r>
            <w:r w:rsidR="009A1136">
              <w:rPr>
                <w:rFonts w:ascii="Aptos" w:hAnsi="Aptos"/>
                <w:color w:val="000000"/>
                <w:szCs w:val="22"/>
                <w:lang w:eastAsia="en-AU"/>
              </w:rPr>
              <w:t>conventional medicine, which focuses on diagnosing patients based on their symptoms and applying the same treatment regardless of individual differences.</w:t>
            </w:r>
          </w:p>
        </w:tc>
      </w:tr>
      <w:tr w:rsidR="00720F68" w:rsidRPr="004E306A" w14:paraId="702E62CC" w14:textId="77777777" w:rsidTr="007C0B45">
        <w:trPr>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719530F3" w14:textId="77777777" w:rsidR="004E306A" w:rsidRPr="007E7E90" w:rsidRDefault="004E306A" w:rsidP="007E7E90">
            <w:pPr>
              <w:pStyle w:val="Heading4"/>
              <w:rPr>
                <w:b/>
                <w:bCs/>
              </w:rPr>
            </w:pPr>
            <w:bookmarkStart w:id="106" w:name="_Proteomics"/>
            <w:bookmarkEnd w:id="106"/>
            <w:r w:rsidRPr="007E7E90">
              <w:rPr>
                <w:b/>
                <w:bCs/>
              </w:rPr>
              <w:t>Proteomics</w:t>
            </w:r>
          </w:p>
        </w:tc>
        <w:tc>
          <w:tcPr>
            <w:tcW w:w="6803" w:type="dxa"/>
            <w:noWrap/>
            <w:vAlign w:val="center"/>
            <w:hideMark/>
          </w:tcPr>
          <w:p w14:paraId="0383BE76" w14:textId="211E43E5" w:rsidR="004E306A" w:rsidRPr="009D61CA" w:rsidRDefault="00673DE8" w:rsidP="007C0B45">
            <w:pPr>
              <w:spacing w:after="20"/>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sidRPr="009D61CA">
              <w:rPr>
                <w:rFonts w:ascii="Aptos" w:hAnsi="Aptos"/>
                <w:color w:val="000000"/>
                <w:szCs w:val="22"/>
                <w:lang w:eastAsia="en-AU"/>
              </w:rPr>
              <w:t>S</w:t>
            </w:r>
            <w:r w:rsidR="004E306A" w:rsidRPr="009D61CA">
              <w:rPr>
                <w:rFonts w:ascii="Aptos" w:hAnsi="Aptos"/>
                <w:color w:val="000000"/>
                <w:szCs w:val="22"/>
                <w:lang w:eastAsia="en-AU"/>
              </w:rPr>
              <w:t>tudy of all proteins present in a cell, tissue, organ, or organism, known as the proteome.</w:t>
            </w:r>
          </w:p>
        </w:tc>
      </w:tr>
      <w:tr w:rsidR="004E306A" w:rsidRPr="004E306A" w14:paraId="04E7940A" w14:textId="77777777" w:rsidTr="007C0B45">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5FB33213" w14:textId="15FE52B5" w:rsidR="004E306A" w:rsidRPr="007E7E90" w:rsidRDefault="00C91E72" w:rsidP="007E7E90">
            <w:pPr>
              <w:pStyle w:val="Heading4"/>
              <w:rPr>
                <w:b/>
                <w:bCs/>
              </w:rPr>
            </w:pPr>
            <w:bookmarkStart w:id="107" w:name="_Social_determinants_of"/>
            <w:bookmarkEnd w:id="107"/>
            <w:r w:rsidRPr="007E7E90">
              <w:rPr>
                <w:b/>
                <w:bCs/>
              </w:rPr>
              <w:t>S</w:t>
            </w:r>
            <w:r w:rsidR="004E306A" w:rsidRPr="007E7E90">
              <w:rPr>
                <w:b/>
                <w:bCs/>
              </w:rPr>
              <w:t>ocial determinants of health</w:t>
            </w:r>
          </w:p>
        </w:tc>
        <w:tc>
          <w:tcPr>
            <w:tcW w:w="6803" w:type="dxa"/>
            <w:noWrap/>
            <w:vAlign w:val="center"/>
            <w:hideMark/>
          </w:tcPr>
          <w:p w14:paraId="7894F0D2" w14:textId="1F64B7E5" w:rsidR="004E306A" w:rsidRPr="0045641F" w:rsidRDefault="00C91E72" w:rsidP="007C0B45">
            <w:pPr>
              <w:spacing w:after="20"/>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sidRPr="0045641F">
              <w:rPr>
                <w:rFonts w:ascii="Aptos" w:hAnsi="Aptos"/>
                <w:color w:val="000000"/>
                <w:szCs w:val="22"/>
                <w:lang w:eastAsia="en-AU"/>
              </w:rPr>
              <w:t>N</w:t>
            </w:r>
            <w:r w:rsidR="004E306A" w:rsidRPr="0045641F">
              <w:rPr>
                <w:rFonts w:ascii="Aptos" w:hAnsi="Aptos"/>
                <w:color w:val="000000"/>
                <w:szCs w:val="22"/>
                <w:lang w:eastAsia="en-AU"/>
              </w:rPr>
              <w:t>on-medical factors that influence an individual's health outcomes</w:t>
            </w:r>
            <w:r w:rsidR="0045641F" w:rsidRPr="0045641F">
              <w:rPr>
                <w:rFonts w:ascii="Aptos" w:hAnsi="Aptos"/>
                <w:color w:val="000000"/>
                <w:szCs w:val="22"/>
                <w:lang w:eastAsia="en-AU"/>
              </w:rPr>
              <w:t>.</w:t>
            </w:r>
          </w:p>
        </w:tc>
      </w:tr>
      <w:tr w:rsidR="00720F68" w:rsidRPr="004E306A" w14:paraId="0A5B427E" w14:textId="77777777" w:rsidTr="007C0B45">
        <w:trPr>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4326FEE7" w14:textId="77777777" w:rsidR="004E306A" w:rsidRPr="007E7E90" w:rsidRDefault="004E306A" w:rsidP="007E7E90">
            <w:pPr>
              <w:pStyle w:val="Heading4"/>
              <w:rPr>
                <w:b/>
                <w:bCs/>
              </w:rPr>
            </w:pPr>
            <w:bookmarkStart w:id="108" w:name="_Somatic_variant"/>
            <w:bookmarkEnd w:id="108"/>
            <w:r w:rsidRPr="007E7E90">
              <w:rPr>
                <w:b/>
                <w:bCs/>
              </w:rPr>
              <w:t>Somatic variant</w:t>
            </w:r>
          </w:p>
        </w:tc>
        <w:tc>
          <w:tcPr>
            <w:tcW w:w="6803" w:type="dxa"/>
            <w:noWrap/>
            <w:vAlign w:val="center"/>
            <w:hideMark/>
          </w:tcPr>
          <w:p w14:paraId="4A0DB165" w14:textId="3F3F3688" w:rsidR="004E306A" w:rsidRPr="0045641F" w:rsidRDefault="0045641F" w:rsidP="007C0B45">
            <w:pPr>
              <w:spacing w:after="20"/>
              <w:cnfStyle w:val="000000000000" w:firstRow="0" w:lastRow="0" w:firstColumn="0" w:lastColumn="0" w:oddVBand="0" w:evenVBand="0" w:oddHBand="0" w:evenHBand="0" w:firstRowFirstColumn="0" w:firstRowLastColumn="0" w:lastRowFirstColumn="0" w:lastRowLastColumn="0"/>
              <w:rPr>
                <w:rFonts w:ascii="Aptos" w:hAnsi="Aptos"/>
                <w:color w:val="000000"/>
                <w:szCs w:val="22"/>
                <w:lang w:eastAsia="en-AU"/>
              </w:rPr>
            </w:pPr>
            <w:r w:rsidRPr="0045641F">
              <w:rPr>
                <w:rFonts w:ascii="Aptos" w:hAnsi="Aptos"/>
                <w:color w:val="000000"/>
                <w:szCs w:val="22"/>
                <w:lang w:eastAsia="en-AU"/>
              </w:rPr>
              <w:t>A</w:t>
            </w:r>
            <w:r w:rsidR="004E306A" w:rsidRPr="0045641F">
              <w:rPr>
                <w:rFonts w:ascii="Aptos" w:hAnsi="Aptos"/>
                <w:color w:val="000000"/>
                <w:szCs w:val="22"/>
                <w:lang w:eastAsia="en-AU"/>
              </w:rPr>
              <w:t xml:space="preserve"> </w:t>
            </w:r>
            <w:r w:rsidR="00AC7090">
              <w:rPr>
                <w:rFonts w:ascii="Aptos" w:hAnsi="Aptos"/>
                <w:color w:val="000000"/>
                <w:szCs w:val="22"/>
                <w:lang w:eastAsia="en-AU"/>
              </w:rPr>
              <w:t xml:space="preserve">permanent </w:t>
            </w:r>
            <w:r w:rsidR="0037318F">
              <w:rPr>
                <w:rFonts w:ascii="Aptos" w:hAnsi="Aptos"/>
                <w:color w:val="000000"/>
                <w:szCs w:val="22"/>
                <w:lang w:eastAsia="en-AU"/>
              </w:rPr>
              <w:t>change in a gene</w:t>
            </w:r>
            <w:r w:rsidR="004E306A" w:rsidRPr="0045641F">
              <w:rPr>
                <w:rFonts w:ascii="Aptos" w:hAnsi="Aptos"/>
                <w:color w:val="000000"/>
                <w:szCs w:val="22"/>
                <w:lang w:eastAsia="en-AU"/>
              </w:rPr>
              <w:t xml:space="preserve"> that occurs after conception and is not present in </w:t>
            </w:r>
            <w:r w:rsidR="0037318F">
              <w:rPr>
                <w:rFonts w:ascii="Aptos" w:hAnsi="Aptos"/>
                <w:color w:val="000000"/>
                <w:szCs w:val="22"/>
                <w:lang w:eastAsia="en-AU"/>
              </w:rPr>
              <w:t>reproductive</w:t>
            </w:r>
            <w:r w:rsidR="004E306A" w:rsidRPr="0045641F">
              <w:rPr>
                <w:rFonts w:ascii="Aptos" w:hAnsi="Aptos"/>
                <w:color w:val="000000"/>
                <w:szCs w:val="22"/>
                <w:lang w:eastAsia="en-AU"/>
              </w:rPr>
              <w:t xml:space="preserve"> cells (sperm or egg</w:t>
            </w:r>
            <w:r w:rsidR="0037318F">
              <w:rPr>
                <w:rFonts w:ascii="Aptos" w:hAnsi="Aptos"/>
                <w:color w:val="000000"/>
                <w:szCs w:val="22"/>
                <w:lang w:eastAsia="en-AU"/>
              </w:rPr>
              <w:t>s</w:t>
            </w:r>
            <w:r w:rsidR="004E306A" w:rsidRPr="0045641F">
              <w:rPr>
                <w:rFonts w:ascii="Aptos" w:hAnsi="Aptos"/>
                <w:color w:val="000000"/>
                <w:szCs w:val="22"/>
                <w:lang w:eastAsia="en-AU"/>
              </w:rPr>
              <w:t>).</w:t>
            </w:r>
            <w:r w:rsidR="0037318F">
              <w:rPr>
                <w:rFonts w:ascii="Aptos" w:hAnsi="Aptos"/>
                <w:color w:val="000000"/>
                <w:szCs w:val="22"/>
                <w:lang w:eastAsia="en-AU"/>
              </w:rPr>
              <w:t xml:space="preserve"> Somatic variants are the common cause of most cancers.</w:t>
            </w:r>
            <w:r w:rsidR="004E306A" w:rsidRPr="0045641F">
              <w:rPr>
                <w:rFonts w:ascii="Aptos" w:hAnsi="Aptos"/>
                <w:color w:val="000000"/>
                <w:szCs w:val="22"/>
                <w:lang w:eastAsia="en-AU"/>
              </w:rPr>
              <w:t xml:space="preserve"> </w:t>
            </w:r>
            <w:r w:rsidR="0037318F">
              <w:rPr>
                <w:rFonts w:ascii="Aptos" w:hAnsi="Aptos"/>
                <w:color w:val="000000"/>
                <w:szCs w:val="22"/>
                <w:lang w:eastAsia="en-AU"/>
              </w:rPr>
              <w:t>Somatic</w:t>
            </w:r>
            <w:r w:rsidR="004E306A" w:rsidRPr="0045641F">
              <w:rPr>
                <w:rFonts w:ascii="Aptos" w:hAnsi="Aptos"/>
                <w:color w:val="000000"/>
                <w:szCs w:val="22"/>
                <w:lang w:eastAsia="en-AU"/>
              </w:rPr>
              <w:t xml:space="preserve"> </w:t>
            </w:r>
            <w:r w:rsidRPr="0045641F">
              <w:rPr>
                <w:rFonts w:ascii="Aptos" w:hAnsi="Aptos"/>
                <w:color w:val="000000"/>
                <w:szCs w:val="22"/>
                <w:lang w:eastAsia="en-AU"/>
              </w:rPr>
              <w:t xml:space="preserve">variants cannot be </w:t>
            </w:r>
            <w:r w:rsidR="004E306A" w:rsidRPr="0045641F">
              <w:rPr>
                <w:rFonts w:ascii="Aptos" w:hAnsi="Aptos"/>
                <w:color w:val="000000"/>
                <w:szCs w:val="22"/>
                <w:lang w:eastAsia="en-AU"/>
              </w:rPr>
              <w:t xml:space="preserve">passed to </w:t>
            </w:r>
            <w:r w:rsidR="0037318F">
              <w:rPr>
                <w:rFonts w:ascii="Aptos" w:hAnsi="Aptos"/>
                <w:color w:val="000000"/>
                <w:szCs w:val="22"/>
                <w:lang w:eastAsia="en-AU"/>
              </w:rPr>
              <w:t>a person’s children.</w:t>
            </w:r>
          </w:p>
        </w:tc>
      </w:tr>
      <w:tr w:rsidR="0045641F" w:rsidRPr="004E306A" w14:paraId="675C58BE" w14:textId="77777777" w:rsidTr="007C0B45">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tcPr>
          <w:p w14:paraId="7C805D06" w14:textId="2850238F" w:rsidR="0045641F" w:rsidRPr="007E7E90" w:rsidRDefault="0045641F" w:rsidP="007E7E90">
            <w:pPr>
              <w:pStyle w:val="Heading4"/>
              <w:rPr>
                <w:b/>
                <w:bCs/>
              </w:rPr>
            </w:pPr>
            <w:bookmarkStart w:id="109" w:name="_Specialised_health_genomics"/>
            <w:bookmarkEnd w:id="109"/>
            <w:r w:rsidRPr="007E7E90">
              <w:rPr>
                <w:b/>
                <w:bCs/>
              </w:rPr>
              <w:t>Specialised health genomics workforce</w:t>
            </w:r>
          </w:p>
        </w:tc>
        <w:tc>
          <w:tcPr>
            <w:tcW w:w="6803" w:type="dxa"/>
            <w:noWrap/>
            <w:vAlign w:val="center"/>
          </w:tcPr>
          <w:p w14:paraId="637DACD5" w14:textId="1A971A0A" w:rsidR="0045641F" w:rsidRPr="00D25833" w:rsidRDefault="0045641F" w:rsidP="007C0B45">
            <w:pPr>
              <w:spacing w:after="20"/>
              <w:cnfStyle w:val="000000100000" w:firstRow="0" w:lastRow="0" w:firstColumn="0" w:lastColumn="0" w:oddVBand="0" w:evenVBand="0" w:oddHBand="1" w:evenHBand="0" w:firstRowFirstColumn="0" w:firstRowLastColumn="0" w:lastRowFirstColumn="0" w:lastRowLastColumn="0"/>
              <w:rPr>
                <w:rFonts w:ascii="Aptos" w:hAnsi="Aptos"/>
                <w:color w:val="000000"/>
                <w:szCs w:val="22"/>
                <w:highlight w:val="yellow"/>
                <w:lang w:eastAsia="en-AU"/>
              </w:rPr>
            </w:pPr>
            <w:r>
              <w:rPr>
                <w:rFonts w:ascii="Aptos" w:hAnsi="Aptos"/>
                <w:color w:val="000000"/>
                <w:szCs w:val="22"/>
                <w:lang w:eastAsia="en-AU"/>
              </w:rPr>
              <w:t>P</w:t>
            </w:r>
            <w:r w:rsidRPr="004E6547">
              <w:rPr>
                <w:rFonts w:ascii="Aptos" w:hAnsi="Aptos"/>
                <w:color w:val="000000"/>
                <w:szCs w:val="22"/>
                <w:lang w:eastAsia="en-AU"/>
              </w:rPr>
              <w:t xml:space="preserve">rofessionals and support staff working to provide healthcare services </w:t>
            </w:r>
            <w:r>
              <w:rPr>
                <w:rFonts w:ascii="Aptos" w:hAnsi="Aptos"/>
                <w:color w:val="000000"/>
                <w:szCs w:val="22"/>
                <w:lang w:eastAsia="en-AU"/>
              </w:rPr>
              <w:t>who are formally qualified in human genetics, genomics or related disciplines, for example, clinical geneticists, genetic pathologists, and genetic counsellors.</w:t>
            </w:r>
          </w:p>
        </w:tc>
      </w:tr>
      <w:tr w:rsidR="0045641F" w:rsidRPr="004E306A" w14:paraId="3C852802" w14:textId="77777777" w:rsidTr="007C0B45">
        <w:trPr>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1561FA0C" w14:textId="77777777" w:rsidR="0045641F" w:rsidRPr="007E7E90" w:rsidRDefault="0045641F" w:rsidP="007E7E90">
            <w:pPr>
              <w:pStyle w:val="Heading4"/>
              <w:rPr>
                <w:b/>
                <w:bCs/>
                <w:highlight w:val="yellow"/>
              </w:rPr>
            </w:pPr>
            <w:bookmarkStart w:id="110" w:name="_Transcriptomics"/>
            <w:bookmarkEnd w:id="110"/>
            <w:r w:rsidRPr="007E7E90">
              <w:rPr>
                <w:b/>
                <w:bCs/>
              </w:rPr>
              <w:t>Transcriptomics</w:t>
            </w:r>
          </w:p>
        </w:tc>
        <w:tc>
          <w:tcPr>
            <w:tcW w:w="6803" w:type="dxa"/>
            <w:noWrap/>
            <w:vAlign w:val="center"/>
            <w:hideMark/>
          </w:tcPr>
          <w:p w14:paraId="6AC256B4" w14:textId="62D82146" w:rsidR="0045641F" w:rsidRPr="00D25833" w:rsidRDefault="00F278A2" w:rsidP="007C0B45">
            <w:pPr>
              <w:spacing w:after="20"/>
              <w:cnfStyle w:val="000000000000" w:firstRow="0" w:lastRow="0" w:firstColumn="0" w:lastColumn="0" w:oddVBand="0" w:evenVBand="0" w:oddHBand="0" w:evenHBand="0" w:firstRowFirstColumn="0" w:firstRowLastColumn="0" w:lastRowFirstColumn="0" w:lastRowLastColumn="0"/>
              <w:rPr>
                <w:rFonts w:ascii="Aptos" w:hAnsi="Aptos"/>
                <w:color w:val="000000"/>
                <w:szCs w:val="22"/>
                <w:highlight w:val="yellow"/>
                <w:lang w:eastAsia="en-AU"/>
              </w:rPr>
            </w:pPr>
            <w:r w:rsidRPr="003F244F">
              <w:rPr>
                <w:rFonts w:ascii="Aptos" w:hAnsi="Aptos"/>
                <w:color w:val="000000"/>
                <w:szCs w:val="22"/>
                <w:lang w:eastAsia="en-AU"/>
              </w:rPr>
              <w:t>The</w:t>
            </w:r>
            <w:r w:rsidR="0045641F" w:rsidRPr="003F244F">
              <w:rPr>
                <w:rFonts w:ascii="Aptos" w:hAnsi="Aptos"/>
                <w:color w:val="000000"/>
                <w:szCs w:val="22"/>
                <w:lang w:eastAsia="en-AU"/>
              </w:rPr>
              <w:t xml:space="preserve"> study of the structure</w:t>
            </w:r>
            <w:r w:rsidR="002075EB">
              <w:rPr>
                <w:rFonts w:ascii="Aptos" w:hAnsi="Aptos"/>
                <w:color w:val="000000"/>
                <w:szCs w:val="22"/>
                <w:lang w:eastAsia="en-AU"/>
              </w:rPr>
              <w:t xml:space="preserve"> and</w:t>
            </w:r>
            <w:r w:rsidR="0045641F" w:rsidRPr="003F244F">
              <w:rPr>
                <w:rFonts w:ascii="Aptos" w:hAnsi="Aptos"/>
                <w:color w:val="000000"/>
                <w:szCs w:val="22"/>
                <w:lang w:eastAsia="en-AU"/>
              </w:rPr>
              <w:t xml:space="preserve"> function of the transcriptome, the complete set of RNA transcripts produced by a genome.</w:t>
            </w:r>
          </w:p>
        </w:tc>
      </w:tr>
      <w:tr w:rsidR="0045641F" w:rsidRPr="004E306A" w14:paraId="5C7CE764" w14:textId="77777777" w:rsidTr="007C0B45">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5B5CAECA" w14:textId="3C122B96" w:rsidR="0045641F" w:rsidRPr="007E7E90" w:rsidRDefault="0045641F" w:rsidP="007E7E90">
            <w:pPr>
              <w:pStyle w:val="Heading4"/>
              <w:rPr>
                <w:b/>
                <w:bCs/>
              </w:rPr>
            </w:pPr>
            <w:bookmarkStart w:id="111" w:name="_Translational_research"/>
            <w:bookmarkEnd w:id="111"/>
            <w:r w:rsidRPr="007E7E90">
              <w:rPr>
                <w:b/>
                <w:bCs/>
              </w:rPr>
              <w:t>Translational research</w:t>
            </w:r>
          </w:p>
        </w:tc>
        <w:tc>
          <w:tcPr>
            <w:tcW w:w="6803" w:type="dxa"/>
            <w:noWrap/>
            <w:vAlign w:val="center"/>
            <w:hideMark/>
          </w:tcPr>
          <w:p w14:paraId="0DAA61F7" w14:textId="4C375D3D" w:rsidR="0045641F" w:rsidRPr="00AC7090" w:rsidRDefault="00AC7090" w:rsidP="007C0B45">
            <w:pPr>
              <w:spacing w:after="20"/>
              <w:cnfStyle w:val="000000100000" w:firstRow="0" w:lastRow="0" w:firstColumn="0" w:lastColumn="0" w:oddVBand="0" w:evenVBand="0" w:oddHBand="1" w:evenHBand="0" w:firstRowFirstColumn="0" w:firstRowLastColumn="0" w:lastRowFirstColumn="0" w:lastRowLastColumn="0"/>
              <w:rPr>
                <w:rFonts w:ascii="Aptos" w:hAnsi="Aptos"/>
                <w:color w:val="000000"/>
                <w:szCs w:val="22"/>
                <w:lang w:eastAsia="en-AU"/>
              </w:rPr>
            </w:pPr>
            <w:r>
              <w:rPr>
                <w:rFonts w:ascii="Aptos" w:hAnsi="Aptos"/>
                <w:color w:val="000000"/>
                <w:szCs w:val="22"/>
                <w:lang w:eastAsia="en-AU"/>
              </w:rPr>
              <w:t xml:space="preserve">Research aimed at converting scientific ideas and novel discoveries into findings that have </w:t>
            </w:r>
            <w:r w:rsidR="0045641F" w:rsidRPr="00AC7090">
              <w:rPr>
                <w:rFonts w:ascii="Aptos" w:hAnsi="Aptos"/>
                <w:color w:val="000000"/>
                <w:szCs w:val="22"/>
                <w:lang w:eastAsia="en-AU"/>
              </w:rPr>
              <w:t>practical</w:t>
            </w:r>
            <w:r>
              <w:rPr>
                <w:rFonts w:ascii="Aptos" w:hAnsi="Aptos"/>
                <w:color w:val="000000"/>
                <w:szCs w:val="22"/>
                <w:lang w:eastAsia="en-AU"/>
              </w:rPr>
              <w:t>, feasible and scalable</w:t>
            </w:r>
            <w:r w:rsidR="0045641F" w:rsidRPr="00AC7090">
              <w:rPr>
                <w:rFonts w:ascii="Aptos" w:hAnsi="Aptos"/>
                <w:color w:val="000000"/>
                <w:szCs w:val="22"/>
                <w:lang w:eastAsia="en-AU"/>
              </w:rPr>
              <w:t xml:space="preserve"> applications </w:t>
            </w:r>
            <w:r>
              <w:rPr>
                <w:rFonts w:ascii="Aptos" w:hAnsi="Aptos"/>
                <w:color w:val="000000"/>
                <w:szCs w:val="22"/>
                <w:lang w:eastAsia="en-AU"/>
              </w:rPr>
              <w:t>in clinical practice.</w:t>
            </w:r>
          </w:p>
        </w:tc>
      </w:tr>
    </w:tbl>
    <w:p w14:paraId="6D6753C6" w14:textId="77777777" w:rsidR="004E306A" w:rsidRDefault="004E306A">
      <w:pPr>
        <w:rPr>
          <w:rFonts w:ascii="Aptos" w:hAnsi="Aptos" w:cs="Arial"/>
          <w:bCs/>
          <w:color w:val="3F4A75"/>
          <w:kern w:val="28"/>
          <w:sz w:val="36"/>
          <w:szCs w:val="36"/>
        </w:rPr>
      </w:pPr>
      <w:bookmarkStart w:id="112" w:name="_Toc198025704"/>
      <w:r>
        <w:br w:type="page"/>
      </w:r>
    </w:p>
    <w:p w14:paraId="7ACC621D" w14:textId="3589364B" w:rsidR="00C0351C" w:rsidRDefault="00C0351C" w:rsidP="00C0351C">
      <w:pPr>
        <w:pStyle w:val="Heading1"/>
      </w:pPr>
      <w:bookmarkStart w:id="113" w:name="_Appendix_2:_Background"/>
      <w:bookmarkEnd w:id="113"/>
      <w:r>
        <w:lastRenderedPageBreak/>
        <w:t>Appendix 2</w:t>
      </w:r>
      <w:r w:rsidR="0007118A">
        <w:t>:</w:t>
      </w:r>
      <w:r>
        <w:t xml:space="preserve"> Background</w:t>
      </w:r>
      <w:bookmarkEnd w:id="112"/>
    </w:p>
    <w:p w14:paraId="0DDCE089" w14:textId="77777777" w:rsidR="00C0351C" w:rsidRDefault="00C0351C" w:rsidP="00C0351C">
      <w:pPr>
        <w:pStyle w:val="Paragraphtext"/>
      </w:pPr>
      <w:r w:rsidRPr="00703C5D">
        <w:t>In 2016, the Health Chief Executives Forum (HCEF</w:t>
      </w:r>
      <w:r>
        <w:t xml:space="preserve">) </w:t>
      </w:r>
      <w:r w:rsidRPr="00F6225F">
        <w:t>—</w:t>
      </w:r>
      <w:r>
        <w:t xml:space="preserve"> </w:t>
      </w:r>
      <w:r w:rsidRPr="00703C5D">
        <w:t xml:space="preserve">then known as the Australian Health Ministers’ Advisory Council (AHMAC) </w:t>
      </w:r>
      <w:r w:rsidRPr="00F6225F">
        <w:t>—</w:t>
      </w:r>
      <w:r w:rsidRPr="00703C5D">
        <w:t xml:space="preserve"> agreed on the need to better integrate genomics into the Australian health system.</w:t>
      </w:r>
      <w:r>
        <w:t xml:space="preserve"> </w:t>
      </w:r>
    </w:p>
    <w:p w14:paraId="6D9E8DC1" w14:textId="77777777" w:rsidR="00C0351C" w:rsidRDefault="00C0351C" w:rsidP="00C0351C">
      <w:pPr>
        <w:pStyle w:val="Paragraphtext"/>
      </w:pPr>
      <w:r>
        <w:t>T</w:t>
      </w:r>
      <w:r w:rsidRPr="00703C5D">
        <w:t xml:space="preserve">his resulted in publication of the </w:t>
      </w:r>
      <w:hyperlink r:id="rId19" w:history="1">
        <w:r w:rsidRPr="00703C5D">
          <w:rPr>
            <w:rStyle w:val="Hyperlink"/>
            <w:i/>
            <w:iCs/>
          </w:rPr>
          <w:t>National Health Genomics Policy Framework 2018–2021</w:t>
        </w:r>
      </w:hyperlink>
      <w:r>
        <w:t xml:space="preserve"> (the lapsed national framework)</w:t>
      </w:r>
      <w:r w:rsidRPr="00703C5D">
        <w:t xml:space="preserve">. </w:t>
      </w:r>
      <w:r>
        <w:t>The lapsed national</w:t>
      </w:r>
      <w:r w:rsidRPr="00703C5D">
        <w:t xml:space="preserve"> framework presented a shared commitment and coordinated </w:t>
      </w:r>
      <w:r>
        <w:t xml:space="preserve">intergovernmental </w:t>
      </w:r>
      <w:r w:rsidRPr="00703C5D">
        <w:t xml:space="preserve">approach to embedding genomics in the </w:t>
      </w:r>
      <w:r>
        <w:t xml:space="preserve">Australian </w:t>
      </w:r>
      <w:r w:rsidRPr="00703C5D">
        <w:t>health system</w:t>
      </w:r>
      <w:r>
        <w:t xml:space="preserve">. It identified activities to </w:t>
      </w:r>
      <w:r w:rsidRPr="00703C5D">
        <w:t>enable collaboration</w:t>
      </w:r>
      <w:r>
        <w:t xml:space="preserve">, </w:t>
      </w:r>
      <w:r w:rsidRPr="00703C5D">
        <w:t>information sharing</w:t>
      </w:r>
      <w:r>
        <w:t>, and avoid duplication of effort across the federal, state and territory governments. It also outlined actions to be taken nationally to maximise health outcomes for all Australians.</w:t>
      </w:r>
    </w:p>
    <w:p w14:paraId="76B128D6" w14:textId="77777777" w:rsidR="00C0351C" w:rsidRDefault="00C0351C" w:rsidP="00C0351C">
      <w:pPr>
        <w:pStyle w:val="Paragraphtext"/>
      </w:pPr>
      <w:r w:rsidRPr="00B05A28">
        <w:t>In 2020,</w:t>
      </w:r>
      <w:r>
        <w:t xml:space="preserve"> coordinated effort to progress the lapsed national framework concluded </w:t>
      </w:r>
      <w:r w:rsidRPr="0041118D">
        <w:t xml:space="preserve">as </w:t>
      </w:r>
      <w:r>
        <w:t>Australian g</w:t>
      </w:r>
      <w:r w:rsidRPr="0041118D">
        <w:t>overnments focused on the coronavirus disease 2019 (COVID-19) pandemic response.</w:t>
      </w:r>
      <w:r>
        <w:t xml:space="preserve"> Australian governments and non-government stakeholders all continued to support the integration of genomics into the Australian health system in the following years. These efforts have improved outcomes </w:t>
      </w:r>
      <w:r w:rsidRPr="00B05A28">
        <w:t xml:space="preserve">for </w:t>
      </w:r>
      <w:r>
        <w:t>individuals,</w:t>
      </w:r>
      <w:r w:rsidRPr="00B05A28">
        <w:t xml:space="preserve"> families and</w:t>
      </w:r>
      <w:r>
        <w:t xml:space="preserve"> communities, and</w:t>
      </w:r>
      <w:r w:rsidRPr="00B05A28">
        <w:t xml:space="preserve"> </w:t>
      </w:r>
      <w:r>
        <w:t xml:space="preserve">have </w:t>
      </w:r>
      <w:r w:rsidRPr="00B05A28">
        <w:t>reshap</w:t>
      </w:r>
      <w:r>
        <w:t>ed</w:t>
      </w:r>
      <w:r w:rsidRPr="00B05A28">
        <w:t xml:space="preserve"> clinical practic</w:t>
      </w:r>
      <w:r>
        <w:t xml:space="preserve">e. However, the extent of coordination and formal collaboration across federal, state and territory governments has varied. </w:t>
      </w:r>
    </w:p>
    <w:p w14:paraId="0578802C" w14:textId="77777777" w:rsidR="00C0351C" w:rsidRDefault="00C0351C" w:rsidP="00C0351C">
      <w:pPr>
        <w:pStyle w:val="Paragraphtext"/>
      </w:pPr>
      <w:r>
        <w:t>In 2023, the Health Technology and Genomics Collaboration (HTGC) committed to review and update the lapsed national framework, which led to the development of this framework and implementation plan.</w:t>
      </w:r>
    </w:p>
    <w:p w14:paraId="7AD9D725" w14:textId="77777777" w:rsidR="00C0351C" w:rsidRDefault="00C0351C" w:rsidP="00C0351C">
      <w:pPr>
        <w:pStyle w:val="Paragraphtext"/>
      </w:pPr>
      <w:r>
        <w:t xml:space="preserve">This work has been led by the Australian Government Department of Health and Aged Care in close collaboration with the National Health Genomics Policy Framework Project Reference Group (PRG). The PRG is composed of representatives nominated by the federal, state and territory health departments and the </w:t>
      </w:r>
      <w:r w:rsidRPr="00D72C43">
        <w:t>Aboriginal and Torres Strait Islander Advisory Group on Health Genomics</w:t>
      </w:r>
      <w:r>
        <w:t>.</w:t>
      </w:r>
    </w:p>
    <w:p w14:paraId="121FAB5E" w14:textId="1EE938B0" w:rsidR="00C0351C" w:rsidRPr="002D2A39" w:rsidRDefault="00C0351C" w:rsidP="00C0351C">
      <w:pPr>
        <w:pStyle w:val="Boxtype"/>
        <w:shd w:val="clear" w:color="auto" w:fill="92D050"/>
      </w:pPr>
      <w:r w:rsidRPr="002D2A39">
        <w:t xml:space="preserve">This section will be further developed </w:t>
      </w:r>
      <w:r w:rsidR="002A0819">
        <w:t xml:space="preserve">following public consultation </w:t>
      </w:r>
      <w:r w:rsidRPr="002D2A39">
        <w:t xml:space="preserve">to include additional </w:t>
      </w:r>
      <w:r w:rsidR="005C7612" w:rsidRPr="002D2A39">
        <w:t>details</w:t>
      </w:r>
      <w:r w:rsidRPr="002D2A39">
        <w:t xml:space="preserve"> of:</w:t>
      </w:r>
    </w:p>
    <w:p w14:paraId="63FDF19D" w14:textId="55258015" w:rsidR="00C0351C" w:rsidRPr="002D2A39" w:rsidRDefault="00C0351C" w:rsidP="0069120C">
      <w:pPr>
        <w:pStyle w:val="Boxtype"/>
        <w:numPr>
          <w:ilvl w:val="0"/>
          <w:numId w:val="18"/>
        </w:numPr>
        <w:shd w:val="clear" w:color="auto" w:fill="92D050"/>
      </w:pPr>
      <w:r>
        <w:t xml:space="preserve">this </w:t>
      </w:r>
      <w:r w:rsidRPr="002D2A39">
        <w:t>public consultation</w:t>
      </w:r>
      <w:r>
        <w:t xml:space="preserve"> process</w:t>
      </w:r>
    </w:p>
    <w:p w14:paraId="202B0448" w14:textId="2D093099" w:rsidR="00C0351C" w:rsidRPr="00BB68BA" w:rsidRDefault="00C0351C" w:rsidP="0069120C">
      <w:pPr>
        <w:pStyle w:val="Boxtype"/>
        <w:numPr>
          <w:ilvl w:val="0"/>
          <w:numId w:val="18"/>
        </w:numPr>
        <w:shd w:val="clear" w:color="auto" w:fill="92D050"/>
        <w:rPr>
          <w:i/>
          <w:iCs/>
        </w:rPr>
      </w:pPr>
      <w:r w:rsidRPr="002D2A39">
        <w:t>targeted consultation with Aboriginal and Torres Strait Islander stakeholders</w:t>
      </w:r>
      <w:r>
        <w:br w:type="page"/>
      </w:r>
    </w:p>
    <w:p w14:paraId="562ADFAD" w14:textId="77777777" w:rsidR="00C0351C" w:rsidRDefault="00C0351C" w:rsidP="00C0351C">
      <w:pPr>
        <w:pStyle w:val="Heading1"/>
      </w:pPr>
      <w:bookmarkStart w:id="114" w:name="_Appendix_3:_Australian"/>
      <w:bookmarkStart w:id="115" w:name="_Toc198025705"/>
      <w:bookmarkEnd w:id="114"/>
      <w:r>
        <w:lastRenderedPageBreak/>
        <w:t>Appendix 3: Australian health system overview</w:t>
      </w:r>
      <w:bookmarkEnd w:id="115"/>
      <w:r>
        <w:t xml:space="preserve"> </w:t>
      </w:r>
    </w:p>
    <w:p w14:paraId="45D3D693" w14:textId="77777777" w:rsidR="00C0351C" w:rsidRDefault="00C0351C" w:rsidP="00C0351C">
      <w:pPr>
        <w:pStyle w:val="Paragraphtext"/>
      </w:pPr>
      <w:r>
        <w:t>Australia’s health system is a federated system, under which responsibility for health care is divided and shared between the federal, state and territory governments. It is a complex mix of separately funded and operated health services and programs that, when functioning effectively, form a cohesive network to meet the health and wellbeing needs of Australians.</w:t>
      </w:r>
    </w:p>
    <w:p w14:paraId="6ADBA05D" w14:textId="77777777" w:rsidR="00C0351C" w:rsidRDefault="00C0351C" w:rsidP="00C0351C">
      <w:pPr>
        <w:pStyle w:val="Paragraphtext"/>
      </w:pPr>
      <w:r>
        <w:t>In the context of genomics and the scope of this framework and implementation plan, key Australian Government responsibilities include:</w:t>
      </w:r>
    </w:p>
    <w:p w14:paraId="06A3FD42" w14:textId="33FB2251" w:rsidR="00C0351C" w:rsidRDefault="00C0351C" w:rsidP="00C0351C">
      <w:pPr>
        <w:pStyle w:val="ListNumber2"/>
      </w:pPr>
      <w:r>
        <w:t xml:space="preserve">funding and managing </w:t>
      </w:r>
      <w:r w:rsidRPr="00851BAB">
        <w:t xml:space="preserve">the </w:t>
      </w:r>
      <w:hyperlink w:anchor="_Medicare_Benefits_Schedule" w:history="1">
        <w:r w:rsidRPr="00790790">
          <w:rPr>
            <w:rStyle w:val="Hyperlink"/>
          </w:rPr>
          <w:t>Medicare Benefits Schedule (MBS)</w:t>
        </w:r>
      </w:hyperlink>
      <w:r>
        <w:t xml:space="preserve"> and </w:t>
      </w:r>
      <w:r w:rsidRPr="00851BAB">
        <w:t xml:space="preserve">the </w:t>
      </w:r>
      <w:hyperlink w:anchor="_Pharmaceutical_Benefits_Scheme" w:history="1">
        <w:r w:rsidRPr="00790790">
          <w:rPr>
            <w:rStyle w:val="Hyperlink"/>
          </w:rPr>
          <w:t>Pharmaceutical Benefits Scheme (PBS)</w:t>
        </w:r>
      </w:hyperlink>
    </w:p>
    <w:p w14:paraId="5C378EFD" w14:textId="77777777" w:rsidR="00C0351C" w:rsidRDefault="00C0351C" w:rsidP="00C0351C">
      <w:pPr>
        <w:pStyle w:val="ListNumber2"/>
      </w:pPr>
      <w:r w:rsidRPr="00851BAB">
        <w:t>co-funding public hospitals, with state and territory governments</w:t>
      </w:r>
      <w:r>
        <w:t>, through the National Health Reform Agreement</w:t>
      </w:r>
      <w:r w:rsidRPr="00851BAB">
        <w:t xml:space="preserve"> </w:t>
      </w:r>
      <w:r>
        <w:t>(NHRA)</w:t>
      </w:r>
    </w:p>
    <w:p w14:paraId="5A755AB9" w14:textId="77777777" w:rsidR="00C0351C" w:rsidRDefault="00C0351C" w:rsidP="00C0351C">
      <w:pPr>
        <w:pStyle w:val="ListNumber2"/>
      </w:pPr>
      <w:r>
        <w:t xml:space="preserve">funding </w:t>
      </w:r>
      <w:r w:rsidRPr="002000AC">
        <w:t>Primary Health Networks (PHN)</w:t>
      </w:r>
    </w:p>
    <w:p w14:paraId="63264ABD" w14:textId="77777777" w:rsidR="00C0351C" w:rsidRDefault="00C0351C" w:rsidP="00C0351C">
      <w:pPr>
        <w:pStyle w:val="ListNumber2"/>
      </w:pPr>
      <w:r>
        <w:t xml:space="preserve">supporting the Medical Services Advisory Committee (MSAC) and </w:t>
      </w:r>
      <w:r w:rsidRPr="00147855">
        <w:t xml:space="preserve">Pharmaceutical Benefits Advisory Committee (PBAC) </w:t>
      </w:r>
      <w:r>
        <w:t xml:space="preserve">to provide advice concerning the </w:t>
      </w:r>
      <w:r w:rsidRPr="00147855">
        <w:t>assessment and funding of high cost, highly specialised therapies (HST)</w:t>
      </w:r>
      <w:r>
        <w:t xml:space="preserve"> </w:t>
      </w:r>
    </w:p>
    <w:p w14:paraId="4F0E2534" w14:textId="77777777" w:rsidR="00C0351C" w:rsidRPr="00851BAB" w:rsidRDefault="00C0351C" w:rsidP="00C0351C">
      <w:pPr>
        <w:pStyle w:val="ListNumber2"/>
      </w:pPr>
      <w:r w:rsidRPr="00851BAB">
        <w:t>funding</w:t>
      </w:r>
      <w:r>
        <w:t xml:space="preserve"> national</w:t>
      </w:r>
      <w:r w:rsidRPr="00851BAB">
        <w:t xml:space="preserve"> health and medical research through the Medical Research Future Fund (MRFF) and the National Health and Medical Research Council (NHMRC)</w:t>
      </w:r>
      <w:r w:rsidRPr="00851BAB" w:rsidDel="00616CA5">
        <w:t xml:space="preserve"> </w:t>
      </w:r>
    </w:p>
    <w:p w14:paraId="6CB60EFC" w14:textId="4BF7A5C9" w:rsidR="00C0351C" w:rsidRDefault="00C0351C" w:rsidP="00C0351C">
      <w:pPr>
        <w:pStyle w:val="ListNumber2"/>
      </w:pPr>
      <w:r w:rsidRPr="00851BAB">
        <w:t>regulating medical devices and medicines through the Therapeutic Goods Administration (TGA</w:t>
      </w:r>
      <w:r w:rsidR="00366294" w:rsidRPr="00851BAB">
        <w:t>), and</w:t>
      </w:r>
      <w:r w:rsidRPr="00851BAB">
        <w:t xml:space="preserve"> gene technology through the Gene Technology Regulator</w:t>
      </w:r>
    </w:p>
    <w:p w14:paraId="1F69C43F" w14:textId="77777777" w:rsidR="00C0351C" w:rsidRDefault="00C0351C" w:rsidP="00C0351C">
      <w:pPr>
        <w:pStyle w:val="Paragraphtext"/>
      </w:pPr>
      <w:r>
        <w:t>Key state and territory government responsibilities include:</w:t>
      </w:r>
    </w:p>
    <w:p w14:paraId="379A718A" w14:textId="77777777" w:rsidR="00C0351C" w:rsidRPr="002000AC" w:rsidRDefault="00C0351C" w:rsidP="00C0351C">
      <w:pPr>
        <w:pStyle w:val="ListNumber2"/>
      </w:pPr>
      <w:r w:rsidRPr="002000AC">
        <w:t>co-funding and managing public hospitals including emergency departments, admitted settings in hospitals, and other non-admitted settings managed by public hospitals</w:t>
      </w:r>
    </w:p>
    <w:p w14:paraId="3B028E01" w14:textId="77777777" w:rsidR="00C0351C" w:rsidRDefault="00C0351C" w:rsidP="00C0351C">
      <w:pPr>
        <w:pStyle w:val="ListNumber2"/>
      </w:pPr>
      <w:r>
        <w:t>health service and public health planning</w:t>
      </w:r>
    </w:p>
    <w:p w14:paraId="6C0E9227" w14:textId="77777777" w:rsidR="00C0351C" w:rsidRPr="002000AC" w:rsidRDefault="00C0351C" w:rsidP="00C0351C">
      <w:pPr>
        <w:pStyle w:val="ListNumber2"/>
      </w:pPr>
      <w:r w:rsidRPr="002000AC">
        <w:t xml:space="preserve">developing models of care and pathways responsive to local needs, legislation and structures of </w:t>
      </w:r>
      <w:r>
        <w:t>state and territory</w:t>
      </w:r>
      <w:r w:rsidRPr="002000AC">
        <w:t xml:space="preserve"> health systems</w:t>
      </w:r>
    </w:p>
    <w:p w14:paraId="0609E18D" w14:textId="77777777" w:rsidR="00C0351C" w:rsidRDefault="00C0351C" w:rsidP="00C0351C">
      <w:pPr>
        <w:pStyle w:val="ListNumber2"/>
      </w:pPr>
      <w:r w:rsidRPr="002000AC">
        <w:t xml:space="preserve">employing </w:t>
      </w:r>
      <w:r>
        <w:t>clinical, administrative, support and technical staff, and supporting their ongoing education and training</w:t>
      </w:r>
    </w:p>
    <w:p w14:paraId="441E899B" w14:textId="77777777" w:rsidR="00C0351C" w:rsidRPr="002000AC" w:rsidRDefault="00C0351C" w:rsidP="00C0351C">
      <w:pPr>
        <w:pStyle w:val="ListNumber2"/>
      </w:pPr>
      <w:r w:rsidRPr="002000AC">
        <w:t>community education</w:t>
      </w:r>
    </w:p>
    <w:p w14:paraId="6291DFAA" w14:textId="77777777" w:rsidR="00C0351C" w:rsidRDefault="00C0351C" w:rsidP="00C0351C">
      <w:pPr>
        <w:pStyle w:val="ListNumber2"/>
      </w:pPr>
      <w:r w:rsidRPr="002000AC">
        <w:t xml:space="preserve">setting operational guidelines for how </w:t>
      </w:r>
      <w:r>
        <w:t xml:space="preserve">patient </w:t>
      </w:r>
      <w:r w:rsidRPr="002000AC">
        <w:t>information is collected, used and stored</w:t>
      </w:r>
      <w:r>
        <w:t xml:space="preserve"> in public hospital settings</w:t>
      </w:r>
    </w:p>
    <w:p w14:paraId="113E6D3A" w14:textId="77777777" w:rsidR="00C0351C" w:rsidRPr="002000AC" w:rsidRDefault="00C0351C" w:rsidP="00C0351C">
      <w:pPr>
        <w:pStyle w:val="ListNumber2"/>
      </w:pPr>
      <w:r>
        <w:t>funding health and medical research</w:t>
      </w:r>
    </w:p>
    <w:p w14:paraId="22F11633" w14:textId="77777777" w:rsidR="00C0351C" w:rsidRDefault="00C0351C" w:rsidP="00C0351C">
      <w:pPr>
        <w:pStyle w:val="Paragraphtext"/>
      </w:pPr>
      <w:r>
        <w:t xml:space="preserve">Commercial businesses deliver healthcare services, including those subsidised by the Australian Government or contracted by federal, state or territory governments, and develop, manufacture and supply medical devices, pharmaceuticals, equipment and consumables. </w:t>
      </w:r>
    </w:p>
    <w:p w14:paraId="18E1E029" w14:textId="77777777" w:rsidR="0028169C" w:rsidRDefault="0028169C">
      <w:pPr>
        <w:rPr>
          <w:rFonts w:ascii="Aptos" w:hAnsi="Aptos"/>
          <w:color w:val="000000" w:themeColor="text1"/>
          <w:sz w:val="24"/>
        </w:rPr>
      </w:pPr>
      <w:r>
        <w:br w:type="page"/>
      </w:r>
    </w:p>
    <w:p w14:paraId="15ED6AFC" w14:textId="5892F585" w:rsidR="00C0351C" w:rsidRDefault="00C0351C" w:rsidP="00C0351C">
      <w:pPr>
        <w:pStyle w:val="Paragraphtext"/>
      </w:pPr>
      <w:r>
        <w:lastRenderedPageBreak/>
        <w:t>E</w:t>
      </w:r>
      <w:r w:rsidRPr="00991FCD">
        <w:t>ducational and research institutions</w:t>
      </w:r>
      <w:r>
        <w:t>, peak clinical and industry bodies, and non-government organisations (NGO) also make vital contributions to the Australian health system. These stakeholders advocate to Australian Government and state and territory government decision makers for policy development, inform communities and other stakeholders about new policy developments, research or other work being undertaken, fund and conduct research, contribute to the training and development of health professionals, and, in some instances, deliver health services.</w:t>
      </w:r>
    </w:p>
    <w:p w14:paraId="502E11D3" w14:textId="769FF997" w:rsidR="00C0351C" w:rsidRDefault="00C0351C" w:rsidP="00C0351C">
      <w:pPr>
        <w:pStyle w:val="Paragraphtext"/>
      </w:pPr>
      <w:r>
        <w:t>T</w:t>
      </w:r>
      <w:r w:rsidRPr="007E2143">
        <w:t xml:space="preserve">here is a need for </w:t>
      </w:r>
      <w:r>
        <w:t xml:space="preserve">close engagement and partnerships across the health system to support </w:t>
      </w:r>
      <w:r w:rsidRPr="007E2143">
        <w:t>coordination and</w:t>
      </w:r>
      <w:r>
        <w:t xml:space="preserve">, where appropriate, </w:t>
      </w:r>
      <w:r w:rsidRPr="007E2143">
        <w:t>collaboration</w:t>
      </w:r>
      <w:r>
        <w:t>.</w:t>
      </w:r>
      <w:r w:rsidRPr="007E2143">
        <w:t xml:space="preserve"> </w:t>
      </w:r>
      <w:r>
        <w:t>This</w:t>
      </w:r>
      <w:r w:rsidRPr="007E2143">
        <w:t xml:space="preserve"> ensure</w:t>
      </w:r>
      <w:r>
        <w:t>s</w:t>
      </w:r>
      <w:r w:rsidRPr="007E2143">
        <w:t xml:space="preserve"> the entire </w:t>
      </w:r>
      <w:r>
        <w:t xml:space="preserve">system functions </w:t>
      </w:r>
      <w:r w:rsidRPr="007E2143">
        <w:t>as seamlessly as possible</w:t>
      </w:r>
      <w:r>
        <w:t xml:space="preserve"> so that </w:t>
      </w:r>
      <w:r w:rsidRPr="007E2143">
        <w:t>individuals, their families and communities</w:t>
      </w:r>
      <w:r>
        <w:t xml:space="preserve"> can equitably benefit from </w:t>
      </w:r>
      <w:r w:rsidRPr="007E2143">
        <w:t>genomics-</w:t>
      </w:r>
      <w:r>
        <w:t>informed</w:t>
      </w:r>
      <w:r w:rsidRPr="007E2143">
        <w:t xml:space="preserve"> health care</w:t>
      </w:r>
      <w:r>
        <w:t xml:space="preserve"> and access genomics research</w:t>
      </w:r>
      <w:r w:rsidRPr="007E2143">
        <w:t>, regardless of where they live</w:t>
      </w:r>
      <w:r>
        <w:t>.</w:t>
      </w:r>
    </w:p>
    <w:p w14:paraId="126EA20C" w14:textId="77777777" w:rsidR="00C0351C" w:rsidRPr="000437CC" w:rsidRDefault="00C0351C" w:rsidP="00C0351C">
      <w:pPr>
        <w:pStyle w:val="BoxTypeHeader"/>
      </w:pPr>
      <w:r w:rsidRPr="000437CC">
        <w:t>Genomics Australia</w:t>
      </w:r>
    </w:p>
    <w:p w14:paraId="394B6A65" w14:textId="77777777" w:rsidR="00C0351C" w:rsidRPr="000437CC" w:rsidRDefault="00C0351C" w:rsidP="00C0351C">
      <w:pPr>
        <w:pStyle w:val="Boxtype"/>
        <w:shd w:val="clear" w:color="auto" w:fill="92D050"/>
      </w:pPr>
      <w:r w:rsidRPr="000437CC">
        <w:t xml:space="preserve">This section </w:t>
      </w:r>
      <w:r>
        <w:t>is</w:t>
      </w:r>
      <w:r w:rsidRPr="000437CC">
        <w:t xml:space="preserve"> written in past tense, as publication of this framework and implementation plan will occur after 1 July 2025.</w:t>
      </w:r>
    </w:p>
    <w:p w14:paraId="1D3D7BD6" w14:textId="77777777" w:rsidR="00C0351C" w:rsidRPr="000437CC" w:rsidRDefault="00C0351C" w:rsidP="00C0351C">
      <w:pPr>
        <w:pStyle w:val="Boxtype"/>
      </w:pPr>
      <w:r w:rsidRPr="00846161">
        <w:rPr>
          <w:lang w:val="en-US"/>
        </w:rPr>
        <w:t>On 1 July 2025, the Australian Government established Genomics Australia, a new national body, to provide leadership, coordination and expertise so all Australians can reap the benefits of cutting-edge genomic technologies and research.</w:t>
      </w:r>
    </w:p>
    <w:p w14:paraId="5AC47DBC" w14:textId="77777777" w:rsidR="00C0351C" w:rsidRPr="000437CC" w:rsidRDefault="00C0351C" w:rsidP="00C0351C">
      <w:pPr>
        <w:pStyle w:val="Boxtype"/>
      </w:pPr>
      <w:r w:rsidRPr="00846161">
        <w:rPr>
          <w:lang w:val="en-US"/>
        </w:rPr>
        <w:t xml:space="preserve">Genomics Australia has been established within the Department of Health and Aged Care, with the flexibility to evolve its model to meet changing technology and policy needs over time. </w:t>
      </w:r>
      <w:r>
        <w:rPr>
          <w:lang w:val="en-US"/>
        </w:rPr>
        <w:t xml:space="preserve">It is supported by a </w:t>
      </w:r>
      <w:proofErr w:type="gramStart"/>
      <w:r>
        <w:rPr>
          <w:lang w:val="en-US"/>
        </w:rPr>
        <w:t>Commissioner</w:t>
      </w:r>
      <w:proofErr w:type="gramEnd"/>
      <w:r>
        <w:rPr>
          <w:lang w:val="en-US"/>
        </w:rPr>
        <w:t xml:space="preserve"> who advises the Australian Government based on broad engagement with the sector and community. </w:t>
      </w:r>
    </w:p>
    <w:p w14:paraId="3F186997" w14:textId="77777777" w:rsidR="00C0351C" w:rsidRDefault="00C0351C" w:rsidP="00C0351C">
      <w:pPr>
        <w:pStyle w:val="Boxtype"/>
      </w:pPr>
      <w:r w:rsidRPr="000437CC">
        <w:t xml:space="preserve">Its remit includes conducting projects to give effect to </w:t>
      </w:r>
      <w:r>
        <w:t>this</w:t>
      </w:r>
      <w:r w:rsidRPr="000437CC">
        <w:t xml:space="preserve"> framework and implementation plan. It has, accordingly, been assigned to lead activities. It is also expected to support the </w:t>
      </w:r>
      <w:r>
        <w:t>Australian</w:t>
      </w:r>
      <w:r w:rsidRPr="000437CC">
        <w:t xml:space="preserve"> </w:t>
      </w:r>
      <w:r>
        <w:t>G</w:t>
      </w:r>
      <w:r w:rsidRPr="000437CC">
        <w:t>overnment in other national genomics policy work.</w:t>
      </w:r>
    </w:p>
    <w:p w14:paraId="2697ACF5" w14:textId="77777777" w:rsidR="00C0351C" w:rsidRDefault="00C0351C" w:rsidP="00C0351C">
      <w:pPr>
        <w:pStyle w:val="Paragraphtext"/>
      </w:pPr>
    </w:p>
    <w:p w14:paraId="0CECBFDE" w14:textId="77777777" w:rsidR="002A0819" w:rsidRDefault="002A0819">
      <w:pPr>
        <w:rPr>
          <w:rFonts w:ascii="Aptos" w:hAnsi="Aptos" w:cs="Arial"/>
          <w:bCs/>
          <w:color w:val="3F4A75"/>
          <w:kern w:val="28"/>
          <w:sz w:val="36"/>
          <w:szCs w:val="36"/>
        </w:rPr>
      </w:pPr>
      <w:r>
        <w:br w:type="page"/>
      </w:r>
    </w:p>
    <w:p w14:paraId="09468BF8" w14:textId="13740009" w:rsidR="00110F93" w:rsidRDefault="007E5ACA" w:rsidP="00110F93">
      <w:pPr>
        <w:pStyle w:val="Heading1"/>
      </w:pPr>
      <w:bookmarkStart w:id="116" w:name="_Toc198025706"/>
      <w:r>
        <w:lastRenderedPageBreak/>
        <w:t xml:space="preserve">Appendix </w:t>
      </w:r>
      <w:r w:rsidR="00C0351C">
        <w:t>4</w:t>
      </w:r>
      <w:r>
        <w:t>: Policies, strategies and plans relevant to the framework and implementation plan</w:t>
      </w:r>
      <w:bookmarkEnd w:id="116"/>
    </w:p>
    <w:p w14:paraId="14842374" w14:textId="2DEC6C54" w:rsidR="00A248EB" w:rsidRDefault="00A248EB" w:rsidP="00A248EB">
      <w:pPr>
        <w:pStyle w:val="Paragraphtext"/>
      </w:pPr>
      <w:r>
        <w:t xml:space="preserve">The framework and implementation plan sits within a broader policy context at the national and state and territory levels. It was developed with consideration of related policies, strategies and plans and the responsibilities of existing government entities and committees. This approach was taken to ensure alignment with Australian governments’ objectives and to avoid duplication of effort. </w:t>
      </w:r>
    </w:p>
    <w:p w14:paraId="77324623" w14:textId="177C1BD1" w:rsidR="00110F93" w:rsidRDefault="00110F93" w:rsidP="00110F93">
      <w:pPr>
        <w:pStyle w:val="Heading2"/>
      </w:pPr>
      <w:bookmarkStart w:id="117" w:name="_Toc195779903"/>
      <w:bookmarkStart w:id="118" w:name="_Toc198025707"/>
      <w:r>
        <w:t xml:space="preserve">Related </w:t>
      </w:r>
      <w:r w:rsidR="00555154">
        <w:t xml:space="preserve">national </w:t>
      </w:r>
      <w:r>
        <w:t>policy documents</w:t>
      </w:r>
      <w:bookmarkEnd w:id="117"/>
      <w:bookmarkEnd w:id="118"/>
    </w:p>
    <w:tbl>
      <w:tblPr>
        <w:tblStyle w:val="TableGrid"/>
        <w:tblW w:w="0" w:type="auto"/>
        <w:tblLook w:val="04A0" w:firstRow="1" w:lastRow="0" w:firstColumn="1" w:lastColumn="0" w:noHBand="0" w:noVBand="1"/>
      </w:tblPr>
      <w:tblGrid>
        <w:gridCol w:w="9060"/>
      </w:tblGrid>
      <w:tr w:rsidR="00110F93" w:rsidRPr="003E1977" w14:paraId="11BEA10E" w14:textId="77777777" w:rsidTr="00792E7D">
        <w:trPr>
          <w:cantSplit/>
        </w:trPr>
        <w:tc>
          <w:tcPr>
            <w:tcW w:w="9060" w:type="dxa"/>
            <w:shd w:val="clear" w:color="auto" w:fill="3F4A75" w:themeFill="accent1"/>
          </w:tcPr>
          <w:p w14:paraId="5EB99CBB" w14:textId="77777777" w:rsidR="00110F93" w:rsidRPr="00792E7D" w:rsidRDefault="00110F93" w:rsidP="00DD63BF">
            <w:pPr>
              <w:pStyle w:val="FigureTitle"/>
              <w:rPr>
                <w:rFonts w:ascii="Aptos" w:hAnsi="Aptos"/>
                <w:color w:val="FFFFFF" w:themeColor="background1"/>
              </w:rPr>
            </w:pPr>
            <w:r w:rsidRPr="00792E7D">
              <w:rPr>
                <w:rFonts w:ascii="Aptos" w:hAnsi="Aptos"/>
                <w:color w:val="FFFFFF" w:themeColor="background1"/>
              </w:rPr>
              <w:t>National Strategies, Policy Documents and Reviews</w:t>
            </w:r>
          </w:p>
        </w:tc>
      </w:tr>
      <w:tr w:rsidR="00757FAC" w14:paraId="1E96C4F3" w14:textId="77777777" w:rsidTr="00792E7D">
        <w:trPr>
          <w:cantSplit/>
        </w:trPr>
        <w:tc>
          <w:tcPr>
            <w:tcW w:w="9060" w:type="dxa"/>
          </w:tcPr>
          <w:p w14:paraId="15800C68" w14:textId="77777777" w:rsidR="00757FAC" w:rsidRPr="00792E7D" w:rsidRDefault="00757FAC" w:rsidP="00757FAC">
            <w:pPr>
              <w:pStyle w:val="FigureTitle"/>
              <w:rPr>
                <w:rFonts w:ascii="Aptos" w:hAnsi="Aptos"/>
              </w:rPr>
            </w:pPr>
            <w:r w:rsidRPr="00792E7D">
              <w:rPr>
                <w:rFonts w:ascii="Aptos" w:hAnsi="Aptos"/>
              </w:rPr>
              <w:t>Digital Health Blueprint and Action Plan 2023–2033</w:t>
            </w:r>
          </w:p>
          <w:p w14:paraId="3BDF6460" w14:textId="5EA6250B" w:rsidR="00E4566A" w:rsidRPr="00E4566A" w:rsidRDefault="00E4566A" w:rsidP="00666D5E">
            <w:pPr>
              <w:pStyle w:val="Paragraphtext"/>
            </w:pPr>
            <w:r w:rsidRPr="00E4566A">
              <w:t xml:space="preserve">The </w:t>
            </w:r>
            <w:hyperlink r:id="rId20" w:history="1">
              <w:r w:rsidRPr="00E4566A">
                <w:rPr>
                  <w:rStyle w:val="Hyperlink"/>
                </w:rPr>
                <w:t>Digital Health Blueprint 2023-2033</w:t>
              </w:r>
            </w:hyperlink>
            <w:r w:rsidRPr="00E4566A">
              <w:t xml:space="preserve"> is a ten-year roadmap that lays out the Australian Government’s vision for the role digital health capabilities will continue to play in delivering a more tailored, integrated, efficient and contemporary health system. The Action Plan highlights the initiatives the Australian Government is investing in to meet the target outcomes identified in the Blueprint and outlines key delivery partners and progress. The Action Plan will be refreshed regularly to outline progress and to include new digital and data investments over time.</w:t>
            </w:r>
          </w:p>
          <w:p w14:paraId="3BA75C90" w14:textId="4F4B242C" w:rsidR="00792E7D" w:rsidRPr="00792E7D" w:rsidRDefault="00E4566A" w:rsidP="00E4566A">
            <w:pPr>
              <w:pStyle w:val="Paragraphtext"/>
              <w:rPr>
                <w:rFonts w:cs="Arial"/>
                <w:iCs/>
                <w:szCs w:val="22"/>
              </w:rPr>
            </w:pPr>
            <w:r w:rsidRPr="00E4566A">
              <w:t>This framework and implementation plan aligns with the key outcomes of the Digital Health Blueprint, focusing on giving Australians choice in how they manage their health and wellbeing through patient digital health records that follow them through the system, and data and information that is shared and reused securely.</w:t>
            </w:r>
          </w:p>
        </w:tc>
      </w:tr>
      <w:tr w:rsidR="00110F93" w14:paraId="0D500225" w14:textId="77777777" w:rsidTr="00792E7D">
        <w:trPr>
          <w:cantSplit/>
        </w:trPr>
        <w:tc>
          <w:tcPr>
            <w:tcW w:w="9060" w:type="dxa"/>
          </w:tcPr>
          <w:p w14:paraId="593557DF" w14:textId="2835F9CA" w:rsidR="00110F93" w:rsidRPr="00792E7D" w:rsidRDefault="00110F93" w:rsidP="00DD63BF">
            <w:pPr>
              <w:pStyle w:val="FigureTitle"/>
              <w:rPr>
                <w:rFonts w:ascii="Aptos" w:hAnsi="Aptos"/>
              </w:rPr>
            </w:pPr>
            <w:r w:rsidRPr="00792E7D">
              <w:rPr>
                <w:rFonts w:ascii="Aptos" w:hAnsi="Aptos"/>
              </w:rPr>
              <w:t>Ensuring Culturally Safe Health Genomics with Aboriginal and Torres Strait Islander Peoples: Guiding Principles</w:t>
            </w:r>
            <w:r w:rsidR="00356ACA" w:rsidRPr="00792E7D">
              <w:rPr>
                <w:rFonts w:ascii="Aptos" w:hAnsi="Aptos"/>
              </w:rPr>
              <w:t xml:space="preserve"> (the Guiding Principles)</w:t>
            </w:r>
            <w:r w:rsidRPr="00792E7D">
              <w:rPr>
                <w:rFonts w:ascii="Aptos" w:hAnsi="Aptos"/>
              </w:rPr>
              <w:t xml:space="preserve"> </w:t>
            </w:r>
          </w:p>
          <w:p w14:paraId="6E78F248" w14:textId="6F52F642" w:rsidR="00110F93" w:rsidRPr="00792E7D" w:rsidRDefault="00975821" w:rsidP="00762643">
            <w:pPr>
              <w:pStyle w:val="Paragraphtext"/>
            </w:pPr>
            <w:r>
              <w:t>T</w:t>
            </w:r>
            <w:r w:rsidR="00762643" w:rsidRPr="00792E7D">
              <w:t>he</w:t>
            </w:r>
            <w:r w:rsidR="00110F93" w:rsidRPr="00792E7D">
              <w:t xml:space="preserve"> Guiding Principles</w:t>
            </w:r>
            <w:r>
              <w:t xml:space="preserve"> were developed by t</w:t>
            </w:r>
            <w:r w:rsidRPr="00792E7D">
              <w:t>he Aboriginal and Torres Strait Islander Advisory Group on Health Genomics</w:t>
            </w:r>
            <w:r>
              <w:t xml:space="preserve"> </w:t>
            </w:r>
            <w:r w:rsidR="00762643" w:rsidRPr="00792E7D">
              <w:t>to guide delivery of culturally safe and equitable access to genomic health care and research. It</w:t>
            </w:r>
            <w:r w:rsidR="00110F93" w:rsidRPr="00792E7D">
              <w:t xml:space="preserve"> provide</w:t>
            </w:r>
            <w:r w:rsidR="00762643" w:rsidRPr="00792E7D">
              <w:t>s</w:t>
            </w:r>
            <w:r w:rsidR="00110F93" w:rsidRPr="00792E7D">
              <w:t xml:space="preserve"> </w:t>
            </w:r>
            <w:r w:rsidR="00E4566A" w:rsidRPr="00E4566A">
              <w:t xml:space="preserve">information </w:t>
            </w:r>
            <w:proofErr w:type="gramStart"/>
            <w:r w:rsidR="00E4566A" w:rsidRPr="00E4566A">
              <w:t xml:space="preserve">for </w:t>
            </w:r>
            <w:r w:rsidR="00C76AAF" w:rsidRPr="00792E7D">
              <w:t xml:space="preserve"> </w:t>
            </w:r>
            <w:r w:rsidR="00762643" w:rsidRPr="00792E7D">
              <w:t>policymakers</w:t>
            </w:r>
            <w:proofErr w:type="gramEnd"/>
            <w:r w:rsidR="00762643" w:rsidRPr="00792E7D">
              <w:t xml:space="preserve">, researchers, clinicians, ethics committees and Aboriginal and Torres Strait Islander communities </w:t>
            </w:r>
            <w:r w:rsidR="00110F93" w:rsidRPr="00792E7D">
              <w:t xml:space="preserve">on </w:t>
            </w:r>
            <w:r w:rsidR="00762643" w:rsidRPr="00792E7D">
              <w:t>integrating genomics into the health system and research through</w:t>
            </w:r>
            <w:r w:rsidR="00110F93" w:rsidRPr="00792E7D">
              <w:t xml:space="preserve"> partnership</w:t>
            </w:r>
            <w:r w:rsidR="00762643" w:rsidRPr="00792E7D">
              <w:t xml:space="preserve">s with and at a pace determined by </w:t>
            </w:r>
            <w:r w:rsidR="00110F93" w:rsidRPr="00792E7D">
              <w:t>Aboriginal and Torres Strait Islander people</w:t>
            </w:r>
            <w:r w:rsidR="00762643" w:rsidRPr="00792E7D">
              <w:t>.</w:t>
            </w:r>
          </w:p>
          <w:p w14:paraId="6C3A7B8B" w14:textId="77777777" w:rsidR="00975821" w:rsidRDefault="006262B7" w:rsidP="00762643">
            <w:pPr>
              <w:pStyle w:val="Paragraphtext"/>
            </w:pPr>
            <w:r w:rsidRPr="00CA7ACD">
              <w:t>T</w:t>
            </w:r>
            <w:r>
              <w:t>his</w:t>
            </w:r>
            <w:r w:rsidRPr="002C00D1">
              <w:t xml:space="preserve"> framework and implementation plan </w:t>
            </w:r>
            <w:r>
              <w:t xml:space="preserve">provides an opportunity to partner with Aboriginal and Torres Strait Islander people to implement the Guiding Principles. </w:t>
            </w:r>
          </w:p>
          <w:p w14:paraId="30F3A00E" w14:textId="36083DA4" w:rsidR="00356ACA" w:rsidRPr="00792E7D" w:rsidRDefault="006262B7" w:rsidP="00762643">
            <w:pPr>
              <w:pStyle w:val="Paragraphtext"/>
              <w:rPr>
                <w:highlight w:val="yellow"/>
              </w:rPr>
            </w:pPr>
            <w:r>
              <w:t>The Guiding Principles will also be considered</w:t>
            </w:r>
            <w:r w:rsidRPr="002C00D1">
              <w:t xml:space="preserve"> in </w:t>
            </w:r>
            <w:r>
              <w:t>the implementation of all activities under this framework</w:t>
            </w:r>
            <w:r w:rsidR="00975821">
              <w:t xml:space="preserve"> and implementation plan</w:t>
            </w:r>
            <w:r w:rsidRPr="002C00D1">
              <w:t>.</w:t>
            </w:r>
          </w:p>
        </w:tc>
      </w:tr>
      <w:tr w:rsidR="00110F93" w14:paraId="450D4ADB" w14:textId="77777777" w:rsidTr="00792E7D">
        <w:trPr>
          <w:cantSplit/>
        </w:trPr>
        <w:tc>
          <w:tcPr>
            <w:tcW w:w="9060" w:type="dxa"/>
          </w:tcPr>
          <w:p w14:paraId="2EFEFB73" w14:textId="46EA3525" w:rsidR="00110F93" w:rsidRPr="00792E7D" w:rsidRDefault="00110F93" w:rsidP="00DD63BF">
            <w:pPr>
              <w:pStyle w:val="FigureTitle"/>
              <w:rPr>
                <w:rFonts w:ascii="Aptos" w:hAnsi="Aptos"/>
              </w:rPr>
            </w:pPr>
            <w:bookmarkStart w:id="119" w:name="_Hlk199166351"/>
            <w:r w:rsidRPr="00792E7D">
              <w:rPr>
                <w:rFonts w:ascii="Aptos" w:hAnsi="Aptos"/>
              </w:rPr>
              <w:lastRenderedPageBreak/>
              <w:t>Framework for Governance</w:t>
            </w:r>
            <w:r w:rsidR="00267044">
              <w:rPr>
                <w:rFonts w:ascii="Aptos" w:hAnsi="Aptos"/>
              </w:rPr>
              <w:t xml:space="preserve"> </w:t>
            </w:r>
            <w:r w:rsidR="00267044">
              <w:t xml:space="preserve">of </w:t>
            </w:r>
            <w:r w:rsidR="00267044" w:rsidRPr="00792E7D">
              <w:rPr>
                <w:rFonts w:ascii="Aptos" w:hAnsi="Aptos"/>
              </w:rPr>
              <w:t>Indigenous Data</w:t>
            </w:r>
          </w:p>
          <w:p w14:paraId="07012EBE" w14:textId="2CEDFA15" w:rsidR="00110F93" w:rsidRDefault="00110F93" w:rsidP="00DD63BF">
            <w:pPr>
              <w:pStyle w:val="Paragraphtext"/>
            </w:pPr>
            <w:r w:rsidRPr="00792E7D">
              <w:t xml:space="preserve">The </w:t>
            </w:r>
            <w:hyperlink r:id="rId21" w:history="1">
              <w:r w:rsidR="00267044" w:rsidRPr="00267044">
                <w:rPr>
                  <w:rStyle w:val="Hyperlink"/>
                </w:rPr>
                <w:t>Framework for Governance of Indigenous Data</w:t>
              </w:r>
            </w:hyperlink>
            <w:r w:rsidRPr="00792E7D">
              <w:t xml:space="preserve"> provides practical guidance for the Australian Public Service (APS) on how to </w:t>
            </w:r>
            <w:r w:rsidR="00975821">
              <w:t xml:space="preserve">practically support </w:t>
            </w:r>
            <w:r w:rsidR="00975821" w:rsidRPr="00975821">
              <w:t>the principles of Indigenous Data Sovereignty</w:t>
            </w:r>
            <w:r w:rsidR="00975821">
              <w:t xml:space="preserve"> for </w:t>
            </w:r>
            <w:r w:rsidR="00975821" w:rsidRPr="00975821">
              <w:t>data</w:t>
            </w:r>
            <w:r w:rsidR="00975821">
              <w:t xml:space="preserve"> governed by the Australian Government.</w:t>
            </w:r>
          </w:p>
          <w:p w14:paraId="536AD8D5" w14:textId="49B3D91C" w:rsidR="00110F93" w:rsidRPr="00792E7D" w:rsidRDefault="00FD03A1" w:rsidP="00DD63BF">
            <w:pPr>
              <w:pStyle w:val="Paragraphtext"/>
            </w:pPr>
            <w:r>
              <w:t xml:space="preserve">Indigenous Data Sovereignty is an important element of </w:t>
            </w:r>
            <w:r w:rsidR="00975821">
              <w:t xml:space="preserve">Strategic </w:t>
            </w:r>
            <w:r>
              <w:t>Priority 4 of this framework and implementation plan</w:t>
            </w:r>
            <w:bookmarkEnd w:id="119"/>
            <w:r>
              <w:t>.</w:t>
            </w:r>
          </w:p>
        </w:tc>
      </w:tr>
      <w:tr w:rsidR="00856EBD" w14:paraId="659C32E6" w14:textId="77777777" w:rsidTr="00792E7D">
        <w:trPr>
          <w:cantSplit/>
        </w:trPr>
        <w:tc>
          <w:tcPr>
            <w:tcW w:w="9060" w:type="dxa"/>
          </w:tcPr>
          <w:p w14:paraId="37438D09" w14:textId="77777777" w:rsidR="00856EBD" w:rsidRPr="00856EBD" w:rsidRDefault="00856EBD" w:rsidP="00856EBD">
            <w:pPr>
              <w:pStyle w:val="FigureTitle"/>
              <w:rPr>
                <w:rFonts w:ascii="Aptos" w:hAnsi="Aptos"/>
              </w:rPr>
            </w:pPr>
            <w:bookmarkStart w:id="120" w:name="_Hlk199167914"/>
            <w:bookmarkStart w:id="121" w:name="_Hlk199167926"/>
            <w:r w:rsidRPr="00856EBD">
              <w:rPr>
                <w:rFonts w:ascii="Aptos" w:hAnsi="Aptos"/>
              </w:rPr>
              <w:t>Framework for the assessment, funding and implementation of high cost, highly specialised therapies and services</w:t>
            </w:r>
          </w:p>
          <w:bookmarkEnd w:id="120"/>
          <w:p w14:paraId="4905AE00" w14:textId="4A229845" w:rsidR="00CB2C0A" w:rsidRDefault="00CB2C0A" w:rsidP="00CB2C0A">
            <w:pPr>
              <w:pStyle w:val="FigureTitle"/>
              <w:rPr>
                <w:rFonts w:ascii="Aptos" w:hAnsi="Aptos" w:cs="Times New Roman"/>
                <w:b w:val="0"/>
                <w:bCs w:val="0"/>
                <w:iCs w:val="0"/>
                <w:sz w:val="24"/>
                <w:szCs w:val="24"/>
              </w:rPr>
            </w:pPr>
            <w:r w:rsidRPr="00AB1B96">
              <w:rPr>
                <w:rFonts w:ascii="Aptos" w:hAnsi="Aptos"/>
                <w:b w:val="0"/>
                <w:bCs w:val="0"/>
                <w:sz w:val="24"/>
                <w:szCs w:val="24"/>
              </w:rPr>
              <w:t xml:space="preserve">The </w:t>
            </w:r>
            <w:hyperlink r:id="rId22" w:history="1">
              <w:r w:rsidRPr="00AB1B96">
                <w:rPr>
                  <w:rStyle w:val="Hyperlink"/>
                  <w:b w:val="0"/>
                  <w:bCs w:val="0"/>
                  <w:sz w:val="24"/>
                  <w:szCs w:val="24"/>
                </w:rPr>
                <w:t>Framework for the assessment, funding and implementation of high cost, highly specialised therapies and services</w:t>
              </w:r>
            </w:hyperlink>
            <w:r w:rsidRPr="00AB1B96">
              <w:rPr>
                <w:rFonts w:ascii="Aptos" w:hAnsi="Aptos"/>
                <w:b w:val="0"/>
                <w:bCs w:val="0"/>
                <w:sz w:val="24"/>
                <w:szCs w:val="24"/>
              </w:rPr>
              <w:t xml:space="preserve"> </w:t>
            </w:r>
            <w:r w:rsidRPr="00AB1B96">
              <w:rPr>
                <w:rFonts w:ascii="Aptos" w:hAnsi="Aptos" w:cs="Times New Roman"/>
                <w:b w:val="0"/>
                <w:bCs w:val="0"/>
                <w:iCs w:val="0"/>
                <w:sz w:val="24"/>
                <w:szCs w:val="24"/>
              </w:rPr>
              <w:t xml:space="preserve">describes the steps </w:t>
            </w:r>
            <w:r w:rsidR="005A30D1" w:rsidRPr="005A30D1">
              <w:rPr>
                <w:rFonts w:ascii="Aptos" w:hAnsi="Aptos" w:cs="Times New Roman"/>
                <w:b w:val="0"/>
                <w:bCs w:val="0"/>
                <w:iCs w:val="0"/>
                <w:sz w:val="24"/>
                <w:szCs w:val="24"/>
              </w:rPr>
              <w:t xml:space="preserve">agreed by the Australian, state and territory governments </w:t>
            </w:r>
            <w:r w:rsidRPr="00AB1B96">
              <w:rPr>
                <w:rFonts w:ascii="Aptos" w:hAnsi="Aptos" w:cs="Times New Roman"/>
                <w:b w:val="0"/>
                <w:bCs w:val="0"/>
                <w:iCs w:val="0"/>
                <w:sz w:val="24"/>
                <w:szCs w:val="24"/>
              </w:rPr>
              <w:t>to</w:t>
            </w:r>
            <w:r w:rsidR="005A30D1">
              <w:rPr>
                <w:rFonts w:ascii="Aptos" w:hAnsi="Aptos" w:cs="Times New Roman"/>
                <w:b w:val="0"/>
                <w:bCs w:val="0"/>
                <w:iCs w:val="0"/>
                <w:sz w:val="24"/>
                <w:szCs w:val="24"/>
              </w:rPr>
              <w:t xml:space="preserve"> </w:t>
            </w:r>
            <w:r w:rsidR="005A30D1" w:rsidRPr="005A30D1">
              <w:rPr>
                <w:rFonts w:ascii="Aptos" w:hAnsi="Aptos" w:cs="Times New Roman"/>
                <w:b w:val="0"/>
                <w:bCs w:val="0"/>
                <w:iCs w:val="0"/>
                <w:sz w:val="24"/>
                <w:szCs w:val="24"/>
              </w:rPr>
              <w:t>assess and</w:t>
            </w:r>
            <w:r w:rsidRPr="00AB1B96">
              <w:rPr>
                <w:rFonts w:ascii="Aptos" w:hAnsi="Aptos" w:cs="Times New Roman"/>
                <w:b w:val="0"/>
                <w:bCs w:val="0"/>
                <w:iCs w:val="0"/>
                <w:sz w:val="24"/>
                <w:szCs w:val="24"/>
              </w:rPr>
              <w:t xml:space="preserve"> </w:t>
            </w:r>
            <w:r>
              <w:rPr>
                <w:rFonts w:ascii="Aptos" w:hAnsi="Aptos" w:cs="Times New Roman"/>
                <w:b w:val="0"/>
                <w:bCs w:val="0"/>
                <w:iCs w:val="0"/>
                <w:sz w:val="24"/>
                <w:szCs w:val="24"/>
              </w:rPr>
              <w:t xml:space="preserve">implement </w:t>
            </w:r>
            <w:r w:rsidRPr="00CB2C0A">
              <w:rPr>
                <w:rFonts w:ascii="Aptos" w:hAnsi="Aptos" w:cs="Times New Roman"/>
                <w:b w:val="0"/>
                <w:bCs w:val="0"/>
                <w:iCs w:val="0"/>
                <w:sz w:val="24"/>
                <w:szCs w:val="24"/>
              </w:rPr>
              <w:t>high cost, highly specialised therapies (HST)</w:t>
            </w:r>
            <w:r>
              <w:rPr>
                <w:rFonts w:ascii="Aptos" w:hAnsi="Aptos" w:cs="Times New Roman"/>
                <w:b w:val="0"/>
                <w:bCs w:val="0"/>
                <w:iCs w:val="0"/>
                <w:sz w:val="24"/>
                <w:szCs w:val="24"/>
              </w:rPr>
              <w:t xml:space="preserve"> </w:t>
            </w:r>
            <w:r w:rsidR="005A30D1">
              <w:rPr>
                <w:rFonts w:ascii="Aptos" w:hAnsi="Aptos" w:cs="Times New Roman"/>
                <w:b w:val="0"/>
                <w:bCs w:val="0"/>
                <w:iCs w:val="0"/>
                <w:sz w:val="24"/>
                <w:szCs w:val="24"/>
              </w:rPr>
              <w:t>in public hospitals</w:t>
            </w:r>
            <w:r w:rsidR="00975821">
              <w:rPr>
                <w:rFonts w:ascii="Aptos" w:hAnsi="Aptos" w:cs="Times New Roman"/>
                <w:b w:val="0"/>
                <w:bCs w:val="0"/>
                <w:iCs w:val="0"/>
                <w:sz w:val="24"/>
                <w:szCs w:val="24"/>
              </w:rPr>
              <w:t>.</w:t>
            </w:r>
          </w:p>
          <w:p w14:paraId="737EE175" w14:textId="2C387618" w:rsidR="00856EBD" w:rsidRPr="00975821" w:rsidRDefault="005A30D1" w:rsidP="00CB2C0A">
            <w:pPr>
              <w:pStyle w:val="FigureTitle"/>
              <w:rPr>
                <w:b w:val="0"/>
                <w:bCs w:val="0"/>
              </w:rPr>
            </w:pPr>
            <w:r w:rsidRPr="005A30D1">
              <w:rPr>
                <w:rFonts w:ascii="Aptos" w:hAnsi="Aptos" w:cs="Times New Roman"/>
                <w:b w:val="0"/>
                <w:bCs w:val="0"/>
                <w:iCs w:val="0"/>
                <w:sz w:val="24"/>
                <w:szCs w:val="24"/>
              </w:rPr>
              <w:t xml:space="preserve">The Framework applies to TGA approved medicines and biologicals delivered in public hospitals where the average annual treatment costs exceed $200,000 per patient (including ancillary services). </w:t>
            </w:r>
            <w:r w:rsidR="00975821" w:rsidRPr="00785645">
              <w:rPr>
                <w:rFonts w:ascii="Aptos" w:hAnsi="Aptos" w:cs="Times New Roman"/>
                <w:b w:val="0"/>
                <w:bCs w:val="0"/>
                <w:iCs w:val="0"/>
                <w:sz w:val="24"/>
                <w:szCs w:val="24"/>
              </w:rPr>
              <w:t>HSTs may target rare diseases and/or involve new technologies, like gene and cell therapies.</w:t>
            </w:r>
            <w:bookmarkEnd w:id="121"/>
          </w:p>
        </w:tc>
      </w:tr>
      <w:tr w:rsidR="00110F93" w14:paraId="0D1DEEBA" w14:textId="77777777" w:rsidTr="00792E7D">
        <w:trPr>
          <w:cantSplit/>
        </w:trPr>
        <w:tc>
          <w:tcPr>
            <w:tcW w:w="9060" w:type="dxa"/>
          </w:tcPr>
          <w:p w14:paraId="29FD877B" w14:textId="77777777" w:rsidR="00110F93" w:rsidRPr="00792E7D" w:rsidRDefault="00110F93" w:rsidP="00DD63BF">
            <w:pPr>
              <w:pStyle w:val="FigureTitle"/>
              <w:rPr>
                <w:rFonts w:ascii="Aptos" w:hAnsi="Aptos"/>
              </w:rPr>
            </w:pPr>
            <w:bookmarkStart w:id="122" w:name="_Hlk199165881"/>
            <w:r w:rsidRPr="00792E7D">
              <w:rPr>
                <w:rFonts w:ascii="Aptos" w:hAnsi="Aptos"/>
              </w:rPr>
              <w:t>Health Technology Assessment (HTA) Policy and Methods Review</w:t>
            </w:r>
          </w:p>
          <w:p w14:paraId="74AC3298" w14:textId="7C4CD224" w:rsidR="00110F93" w:rsidRPr="00792E7D" w:rsidRDefault="00372078" w:rsidP="00DD63BF">
            <w:pPr>
              <w:pStyle w:val="Paragraphtext"/>
            </w:pPr>
            <w:r w:rsidRPr="00372078">
              <w:t xml:space="preserve">A review of Australia’s health technology assessment (HTA) policies and methods (HTA Review) was conducted in 2023-2024. The Australian Government has established an Implementation Advisory Group to provide advice on developing a roadmap for sequencing the Australian Government’s response to the recommendations of the </w:t>
            </w:r>
            <w:hyperlink r:id="rId23" w:history="1">
              <w:r w:rsidRPr="00372078">
                <w:rPr>
                  <w:rStyle w:val="Hyperlink"/>
                </w:rPr>
                <w:t>HTA Review final report</w:t>
              </w:r>
            </w:hyperlink>
            <w:r w:rsidRPr="00372078">
              <w:t>.</w:t>
            </w:r>
            <w:bookmarkEnd w:id="122"/>
          </w:p>
        </w:tc>
      </w:tr>
      <w:tr w:rsidR="005652DC" w14:paraId="335A4D3F" w14:textId="77777777" w:rsidTr="00666D5E">
        <w:trPr>
          <w:cantSplit/>
        </w:trPr>
        <w:tc>
          <w:tcPr>
            <w:tcW w:w="9060" w:type="dxa"/>
          </w:tcPr>
          <w:p w14:paraId="182C77F3" w14:textId="09499E47" w:rsidR="005652DC" w:rsidRPr="00792E7D" w:rsidRDefault="005652DC" w:rsidP="005652DC">
            <w:pPr>
              <w:pStyle w:val="FigureTitle"/>
              <w:rPr>
                <w:rFonts w:ascii="Aptos" w:hAnsi="Aptos"/>
              </w:rPr>
            </w:pPr>
            <w:bookmarkStart w:id="123" w:name="_Hlk199169713"/>
            <w:bookmarkStart w:id="124" w:name="_Hlk199338793"/>
            <w:r w:rsidRPr="00792E7D">
              <w:rPr>
                <w:rFonts w:ascii="Aptos" w:hAnsi="Aptos"/>
              </w:rPr>
              <w:t xml:space="preserve">National </w:t>
            </w:r>
            <w:r>
              <w:rPr>
                <w:rFonts w:ascii="Aptos" w:hAnsi="Aptos"/>
              </w:rPr>
              <w:t>Aboriginal and Torres Strait Islander Health Plan 2021-2031</w:t>
            </w:r>
          </w:p>
          <w:p w14:paraId="77EF9984" w14:textId="2B9FAA3E" w:rsidR="0071246C" w:rsidRDefault="0071246C" w:rsidP="0071246C">
            <w:pPr>
              <w:pStyle w:val="Paragraphtext"/>
            </w:pPr>
            <w:bookmarkStart w:id="125" w:name="_Hlk199169719"/>
            <w:r>
              <w:t xml:space="preserve">The vision for the </w:t>
            </w:r>
            <w:hyperlink r:id="rId24" w:history="1">
              <w:r w:rsidRPr="0071246C">
                <w:rPr>
                  <w:rStyle w:val="Hyperlink"/>
                </w:rPr>
                <w:t>National Aboriginal and Torres Strait Islander Health Plan 2021–2031</w:t>
              </w:r>
            </w:hyperlink>
            <w:r>
              <w:t xml:space="preserve"> (Health Plan) is that Aboriginal and Torres Strait Islander people enjoy long, healthy lives that are centred in culture, with access to services that are prevention-focused, culturally safe and responsive, equitable and free of racism.</w:t>
            </w:r>
          </w:p>
          <w:p w14:paraId="27B05930" w14:textId="16BAF32C" w:rsidR="00A1775C" w:rsidRPr="00792E7D" w:rsidRDefault="0071246C" w:rsidP="005652DC">
            <w:pPr>
              <w:pStyle w:val="Paragraphtext"/>
            </w:pPr>
            <w:r>
              <w:t>Consistent with this vision, this Health Plan acknowledges Aboriginal and Torres Strait Islander people’s right to self-determination by ensuring that they are leading the decisions that impact their health and wellbeing. The Health Plan sets out a holistic approach that considers cultural and social determinants across the whole life course. It also highlights the need for mainstream health services to provide culturally safe and responsive care, in partnership with First Nations people and communities.</w:t>
            </w:r>
            <w:bookmarkEnd w:id="123"/>
            <w:bookmarkEnd w:id="125"/>
          </w:p>
        </w:tc>
      </w:tr>
      <w:tr w:rsidR="005652DC" w14:paraId="5AF6017C" w14:textId="77777777" w:rsidTr="00666D5E">
        <w:trPr>
          <w:cantSplit/>
        </w:trPr>
        <w:tc>
          <w:tcPr>
            <w:tcW w:w="9060" w:type="dxa"/>
          </w:tcPr>
          <w:p w14:paraId="77485902" w14:textId="268209A0" w:rsidR="005652DC" w:rsidRPr="00792E7D" w:rsidRDefault="005652DC" w:rsidP="005652DC">
            <w:pPr>
              <w:pStyle w:val="FigureTitle"/>
              <w:rPr>
                <w:rFonts w:ascii="Aptos" w:hAnsi="Aptos"/>
              </w:rPr>
            </w:pPr>
            <w:r w:rsidRPr="00792E7D">
              <w:rPr>
                <w:rFonts w:ascii="Aptos" w:hAnsi="Aptos"/>
              </w:rPr>
              <w:lastRenderedPageBreak/>
              <w:t xml:space="preserve">National </w:t>
            </w:r>
            <w:r>
              <w:rPr>
                <w:rFonts w:ascii="Aptos" w:hAnsi="Aptos"/>
              </w:rPr>
              <w:t>Aboriginal and Torres Strait Islander Health Workforce Strategic Framework and Implementation Plan 2021-2031</w:t>
            </w:r>
          </w:p>
          <w:p w14:paraId="2EFA7F65" w14:textId="585A5317" w:rsidR="00615DCC" w:rsidRPr="00792E7D" w:rsidRDefault="0071246C" w:rsidP="005D2358">
            <w:pPr>
              <w:pStyle w:val="Paragraphtext"/>
            </w:pPr>
            <w:bookmarkStart w:id="126" w:name="_Hlk199169738"/>
            <w:r w:rsidRPr="0071246C">
              <w:t xml:space="preserve">The </w:t>
            </w:r>
            <w:hyperlink r:id="rId25" w:history="1">
              <w:r w:rsidRPr="0071246C">
                <w:rPr>
                  <w:rStyle w:val="Hyperlink"/>
                </w:rPr>
                <w:t>National Aboriginal and Torres Strait Islander Health Workforce Strategic Framework and Implementation Plan 2021–2031</w:t>
              </w:r>
            </w:hyperlink>
            <w:r>
              <w:t xml:space="preserve"> (Workforce Plan)</w:t>
            </w:r>
            <w:r w:rsidRPr="0071246C">
              <w:t xml:space="preserve"> aims to increase Aboriginal and Torres Strait Islander representation in all health roles and locations across the Australian health system, to improve health, mental health and social and emotional wellbeing of Aboriginal and Torres Strait Islander peoples. The Workforce Plan also aims to strengthen the health system to create and sustain its cultural and professional capabilities, increase access to services and improve the attraction, retention and career development of Aboriginal and Torres Strait Islander staff.</w:t>
            </w:r>
            <w:bookmarkEnd w:id="126"/>
          </w:p>
        </w:tc>
      </w:tr>
      <w:tr w:rsidR="00856EBD" w14:paraId="60F816EA" w14:textId="77777777" w:rsidTr="00792E7D">
        <w:trPr>
          <w:cantSplit/>
        </w:trPr>
        <w:tc>
          <w:tcPr>
            <w:tcW w:w="9060" w:type="dxa"/>
          </w:tcPr>
          <w:p w14:paraId="358E4AE1" w14:textId="548C2164" w:rsidR="00856EBD" w:rsidRPr="00856EBD" w:rsidRDefault="00856EBD" w:rsidP="00856EBD">
            <w:pPr>
              <w:pStyle w:val="FigureTitle"/>
              <w:rPr>
                <w:rFonts w:ascii="Aptos" w:hAnsi="Aptos"/>
              </w:rPr>
            </w:pPr>
            <w:bookmarkStart w:id="127" w:name="_Hlk199169923"/>
            <w:bookmarkStart w:id="128" w:name="_Hlk199170510"/>
            <w:bookmarkEnd w:id="124"/>
            <w:r w:rsidRPr="00856EBD">
              <w:rPr>
                <w:rFonts w:ascii="Aptos" w:hAnsi="Aptos"/>
              </w:rPr>
              <w:t>National</w:t>
            </w:r>
            <w:r w:rsidR="00166CD0">
              <w:rPr>
                <w:rFonts w:ascii="Aptos" w:hAnsi="Aptos"/>
              </w:rPr>
              <w:t xml:space="preserve"> Strategic</w:t>
            </w:r>
            <w:r w:rsidRPr="00856EBD">
              <w:rPr>
                <w:rFonts w:ascii="Aptos" w:hAnsi="Aptos"/>
              </w:rPr>
              <w:t xml:space="preserve"> Action Plan for Rare Diseases </w:t>
            </w:r>
          </w:p>
          <w:bookmarkEnd w:id="127"/>
          <w:p w14:paraId="282F5526" w14:textId="63088B37" w:rsidR="008E67D2" w:rsidRDefault="008E67D2" w:rsidP="008E67D2">
            <w:pPr>
              <w:pStyle w:val="Paragraphtext"/>
            </w:pPr>
            <w:r>
              <w:t xml:space="preserve">The </w:t>
            </w:r>
            <w:hyperlink r:id="rId26" w:history="1">
              <w:r w:rsidRPr="008E67D2">
                <w:rPr>
                  <w:rStyle w:val="Hyperlink"/>
                </w:rPr>
                <w:t>National Strategic Action Plan for Rare Diseases</w:t>
              </w:r>
            </w:hyperlink>
            <w:r>
              <w:t xml:space="preserve"> (the Action Plan) is the first nationally coordinated effort to address rare diseases in Australia. The Action Plan outlines the priorities and actions required to improve the health of those impacted by a rare disease.</w:t>
            </w:r>
          </w:p>
          <w:p w14:paraId="3F209B71" w14:textId="679FB9D0" w:rsidR="00856EBD" w:rsidRPr="00975821" w:rsidRDefault="008E67D2" w:rsidP="00975821">
            <w:pPr>
              <w:pStyle w:val="Paragraphtext"/>
              <w:rPr>
                <w:rFonts w:ascii="Arial" w:hAnsi="Arial"/>
              </w:rPr>
            </w:pPr>
            <w:r>
              <w:t>Genomics has great potential for rare diseases. Approximately 80 per cent of rare diseases are of genetic origin and while statistically rare, it is estimated that 8 per cent of Australians live with a rare disease – this equates to around 2 million people. It is therefore important to consider the impacts this framework and implementation plan will have on people living with rare diseases.</w:t>
            </w:r>
            <w:bookmarkEnd w:id="128"/>
          </w:p>
        </w:tc>
      </w:tr>
      <w:tr w:rsidR="00110F93" w14:paraId="7A16E2DC" w14:textId="77777777" w:rsidTr="00792E7D">
        <w:trPr>
          <w:cantSplit/>
        </w:trPr>
        <w:tc>
          <w:tcPr>
            <w:tcW w:w="9060" w:type="dxa"/>
          </w:tcPr>
          <w:p w14:paraId="505C12A3" w14:textId="346BDC4A" w:rsidR="00110F93" w:rsidRPr="00792E7D" w:rsidRDefault="00110F93" w:rsidP="00DD63BF">
            <w:pPr>
              <w:pStyle w:val="FigureTitle"/>
              <w:rPr>
                <w:rFonts w:ascii="Aptos" w:hAnsi="Aptos"/>
              </w:rPr>
            </w:pPr>
            <w:bookmarkStart w:id="129" w:name="_Hlk199170843"/>
            <w:r w:rsidRPr="00792E7D">
              <w:rPr>
                <w:rFonts w:ascii="Aptos" w:hAnsi="Aptos"/>
              </w:rPr>
              <w:t>National Digital Health Strategy</w:t>
            </w:r>
            <w:r w:rsidR="009050C7">
              <w:rPr>
                <w:rFonts w:ascii="Aptos" w:hAnsi="Aptos"/>
              </w:rPr>
              <w:t xml:space="preserve"> (2023 – 2028)</w:t>
            </w:r>
          </w:p>
          <w:p w14:paraId="7743D279" w14:textId="022BDF41" w:rsidR="00110F93" w:rsidRDefault="00110F93" w:rsidP="00DD63BF">
            <w:pPr>
              <w:pStyle w:val="Paragraphtext"/>
            </w:pPr>
            <w:r w:rsidRPr="00792E7D">
              <w:t xml:space="preserve">The </w:t>
            </w:r>
            <w:hyperlink r:id="rId27" w:history="1">
              <w:r w:rsidR="00E86733" w:rsidRPr="00E86733">
                <w:rPr>
                  <w:rStyle w:val="Hyperlink"/>
                </w:rPr>
                <w:t>National Digital Health Strategy (2023 - 2028)</w:t>
              </w:r>
            </w:hyperlink>
            <w:r w:rsidR="00E4566A">
              <w:t xml:space="preserve">, </w:t>
            </w:r>
            <w:r w:rsidR="00E4566A" w:rsidRPr="00E4566A">
              <w:t>developed by the ADHA on behalf of all Australian Governments</w:t>
            </w:r>
            <w:r w:rsidR="00E4566A">
              <w:t>,</w:t>
            </w:r>
            <w:r w:rsidR="00E86733" w:rsidRPr="00E86733">
              <w:t xml:space="preserve"> </w:t>
            </w:r>
            <w:r w:rsidRPr="00792E7D">
              <w:t>identifies opportunities for digital health to support planned national health system reforms and address emerging contemporary health system challenges to deliver a sustainable, interoperable and inclusive health system now and into the future.</w:t>
            </w:r>
          </w:p>
          <w:p w14:paraId="7FEE754C" w14:textId="4FCC107A" w:rsidR="00110F93" w:rsidRPr="00792E7D" w:rsidRDefault="001D1834" w:rsidP="001D1834">
            <w:pPr>
              <w:pStyle w:val="Paragraphtext"/>
            </w:pPr>
            <w:r>
              <w:t>The National Digital Health Strategy and this framework and implementation plan both strive to</w:t>
            </w:r>
            <w:r w:rsidR="00E86733">
              <w:t xml:space="preserve"> develop safe and secure genomic data and information sharing capabilities across the Australian health system.</w:t>
            </w:r>
            <w:bookmarkEnd w:id="129"/>
          </w:p>
        </w:tc>
      </w:tr>
      <w:tr w:rsidR="00110F93" w14:paraId="4A51A702" w14:textId="77777777" w:rsidTr="00792E7D">
        <w:trPr>
          <w:cantSplit/>
        </w:trPr>
        <w:tc>
          <w:tcPr>
            <w:tcW w:w="9060" w:type="dxa"/>
          </w:tcPr>
          <w:p w14:paraId="5B0A14AC" w14:textId="77777777" w:rsidR="00110F93" w:rsidRPr="00792E7D" w:rsidRDefault="00110F93" w:rsidP="00DD63BF">
            <w:pPr>
              <w:pStyle w:val="FigureTitle"/>
              <w:rPr>
                <w:rFonts w:ascii="Aptos" w:hAnsi="Aptos"/>
              </w:rPr>
            </w:pPr>
            <w:bookmarkStart w:id="130" w:name="_Hlk199167062"/>
            <w:r w:rsidRPr="00792E7D">
              <w:rPr>
                <w:rFonts w:ascii="Aptos" w:hAnsi="Aptos"/>
              </w:rPr>
              <w:t>National Framework for Genomics in Cancer Control</w:t>
            </w:r>
          </w:p>
          <w:p w14:paraId="01B71D3F" w14:textId="77777777" w:rsidR="00F40E99" w:rsidRDefault="00F40E99" w:rsidP="00F40E99">
            <w:pPr>
              <w:pStyle w:val="Paragraphtext"/>
            </w:pPr>
            <w:r>
              <w:t xml:space="preserve">The </w:t>
            </w:r>
            <w:hyperlink r:id="rId28" w:history="1">
              <w:r w:rsidRPr="00FA6E82">
                <w:rPr>
                  <w:rStyle w:val="Hyperlink"/>
                </w:rPr>
                <w:t>National Framework for Genomics in Cancer Control</w:t>
              </w:r>
            </w:hyperlink>
            <w:r>
              <w:t xml:space="preserve"> (the Cancer Control Framework) focuses on genomics across the cancer care continuum. It is intended to guide policy to enable equitable access to genomic medicine for all Australians affected by cancer.</w:t>
            </w:r>
          </w:p>
          <w:p w14:paraId="0B5B5828" w14:textId="68E9BAB3" w:rsidR="00110F93" w:rsidRPr="00792E7D" w:rsidRDefault="00F40E99" w:rsidP="00F40E99">
            <w:pPr>
              <w:pStyle w:val="Paragraphtext"/>
            </w:pPr>
            <w:r>
              <w:t>This framework and implementation plan addresses activities and priorities detailed in the Cancer Control Framework, including equity, workforce, and access, that are relevant not only to cancer care but also to the wider health landscape.</w:t>
            </w:r>
            <w:bookmarkEnd w:id="130"/>
          </w:p>
        </w:tc>
      </w:tr>
      <w:tr w:rsidR="00110F93" w14:paraId="10854193" w14:textId="77777777" w:rsidTr="00792E7D">
        <w:trPr>
          <w:cantSplit/>
        </w:trPr>
        <w:tc>
          <w:tcPr>
            <w:tcW w:w="9060" w:type="dxa"/>
          </w:tcPr>
          <w:p w14:paraId="3980E592" w14:textId="77777777" w:rsidR="00110F93" w:rsidRPr="00792E7D" w:rsidRDefault="00110F93" w:rsidP="00DD63BF">
            <w:pPr>
              <w:pStyle w:val="FigureTitle"/>
              <w:rPr>
                <w:rFonts w:ascii="Aptos" w:hAnsi="Aptos"/>
              </w:rPr>
            </w:pPr>
            <w:r w:rsidRPr="00792E7D">
              <w:rPr>
                <w:rFonts w:ascii="Aptos" w:hAnsi="Aptos"/>
              </w:rPr>
              <w:lastRenderedPageBreak/>
              <w:t>National Microbial Genomics Framework for Public Health 2025-2027</w:t>
            </w:r>
          </w:p>
          <w:p w14:paraId="20F3F6D2" w14:textId="6C894142" w:rsidR="00110F93" w:rsidRPr="00792E7D" w:rsidRDefault="00110F93" w:rsidP="00DD63BF">
            <w:pPr>
              <w:pStyle w:val="Paragraphtext"/>
            </w:pPr>
            <w:r w:rsidRPr="00792E7D">
              <w:t xml:space="preserve">The </w:t>
            </w:r>
            <w:hyperlink r:id="rId29" w:history="1">
              <w:r w:rsidR="004630EF" w:rsidRPr="004630EF">
                <w:rPr>
                  <w:rStyle w:val="Hyperlink"/>
                </w:rPr>
                <w:t>National Microbial Genomics Framework for Public Health 2025–2027</w:t>
              </w:r>
            </w:hyperlink>
            <w:r w:rsidRPr="00792E7D">
              <w:rPr>
                <w:i/>
                <w:iCs/>
              </w:rPr>
              <w:t xml:space="preserve"> </w:t>
            </w:r>
            <w:r w:rsidRPr="00792E7D">
              <w:t xml:space="preserve">(the Microbial Framework) </w:t>
            </w:r>
            <w:r w:rsidR="007E0100">
              <w:t xml:space="preserve">provides a nationally consistent approach to </w:t>
            </w:r>
            <w:r w:rsidRPr="00792E7D">
              <w:t>integrat</w:t>
            </w:r>
            <w:r w:rsidR="007E0100">
              <w:t>e</w:t>
            </w:r>
            <w:r w:rsidRPr="00792E7D">
              <w:t xml:space="preserve"> microbial genomics into the Australian public health system</w:t>
            </w:r>
            <w:r w:rsidR="007E0100">
              <w:t>.</w:t>
            </w:r>
          </w:p>
          <w:p w14:paraId="4A509587" w14:textId="1C923D0D" w:rsidR="00110F93" w:rsidRPr="00792E7D" w:rsidRDefault="006262B7" w:rsidP="00DD63BF">
            <w:pPr>
              <w:pStyle w:val="Paragraphtext"/>
            </w:pPr>
            <w:r>
              <w:t>The Microbial Framework and this framework</w:t>
            </w:r>
            <w:r w:rsidR="001E222F">
              <w:t xml:space="preserve"> and implementation plan</w:t>
            </w:r>
            <w:r>
              <w:t xml:space="preserve"> are complementary.</w:t>
            </w:r>
            <w:r w:rsidR="00876756">
              <w:t xml:space="preserve"> It is acknowledged that there are close links and interdependencies between human, animal, plant and wider environmental health. There may be opportunities for cooperation across sectors to embed genomics to advance health under a more integrated (i.e., One Health) approach</w:t>
            </w:r>
            <w:r w:rsidR="007E0100">
              <w:t xml:space="preserve"> in the future</w:t>
            </w:r>
            <w:r w:rsidR="00876756">
              <w:t>.</w:t>
            </w:r>
          </w:p>
        </w:tc>
      </w:tr>
      <w:tr w:rsidR="00110F93" w14:paraId="1D0677C5" w14:textId="77777777" w:rsidTr="00792E7D">
        <w:trPr>
          <w:cantSplit/>
        </w:trPr>
        <w:tc>
          <w:tcPr>
            <w:tcW w:w="9060" w:type="dxa"/>
          </w:tcPr>
          <w:p w14:paraId="63315C99" w14:textId="77777777" w:rsidR="00110F93" w:rsidRPr="00792E7D" w:rsidRDefault="00110F93" w:rsidP="00DD63BF">
            <w:pPr>
              <w:pStyle w:val="FigureTitle"/>
              <w:rPr>
                <w:rFonts w:ascii="Aptos" w:hAnsi="Aptos"/>
              </w:rPr>
            </w:pPr>
            <w:r w:rsidRPr="00792E7D">
              <w:rPr>
                <w:rFonts w:ascii="Aptos" w:hAnsi="Aptos"/>
              </w:rPr>
              <w:t>Population Based Screening Framework</w:t>
            </w:r>
          </w:p>
          <w:p w14:paraId="3EA6B8A5" w14:textId="24D10E4D" w:rsidR="00110F93" w:rsidRPr="00792E7D" w:rsidRDefault="005A30D1" w:rsidP="007E0100">
            <w:pPr>
              <w:pStyle w:val="Paragraphtext"/>
            </w:pPr>
            <w:r w:rsidRPr="005A30D1">
              <w:t xml:space="preserve">The </w:t>
            </w:r>
            <w:hyperlink r:id="rId30" w:history="1">
              <w:r w:rsidRPr="005A30D1">
                <w:rPr>
                  <w:rStyle w:val="Hyperlink"/>
                </w:rPr>
                <w:t>Population-based Screening Framework</w:t>
              </w:r>
            </w:hyperlink>
            <w:r w:rsidRPr="005A30D1">
              <w:t xml:space="preserve"> provides guidance for decision makers when considering potential population-based screening programs in Australia. The Framework includes details about the criteria which should be used to assess whether screening should be offered, or a screening program introduced for diseases or conditions, and the key principles for the implementation and management of screening programs. The </w:t>
            </w:r>
            <w:hyperlink r:id="rId31" w:history="1">
              <w:r w:rsidRPr="005A30D1">
                <w:rPr>
                  <w:rStyle w:val="Hyperlink"/>
                </w:rPr>
                <w:t>Genomic tests in population-based screening programs – position statement</w:t>
              </w:r>
            </w:hyperlink>
            <w:r w:rsidRPr="005A30D1">
              <w:t xml:space="preserve"> sets out further criteria to be considered on proposals for genomic specific tests in population screening.  </w:t>
            </w:r>
          </w:p>
        </w:tc>
      </w:tr>
      <w:tr w:rsidR="00110F93" w14:paraId="29766005" w14:textId="77777777" w:rsidTr="00792E7D">
        <w:trPr>
          <w:cantSplit/>
        </w:trPr>
        <w:tc>
          <w:tcPr>
            <w:tcW w:w="9060" w:type="dxa"/>
          </w:tcPr>
          <w:p w14:paraId="1C2D94A3" w14:textId="77777777" w:rsidR="00110F93" w:rsidRPr="00792E7D" w:rsidRDefault="00110F93" w:rsidP="00DD63BF">
            <w:pPr>
              <w:pStyle w:val="FigureTitle"/>
              <w:rPr>
                <w:rFonts w:ascii="Aptos" w:hAnsi="Aptos"/>
              </w:rPr>
            </w:pPr>
            <w:bookmarkStart w:id="131" w:name="_Hlk199167559"/>
            <w:bookmarkStart w:id="132" w:name="_Hlk199167571"/>
            <w:r w:rsidRPr="00792E7D">
              <w:rPr>
                <w:rFonts w:ascii="Aptos" w:hAnsi="Aptos"/>
              </w:rPr>
              <w:t>Review of the Medical Research Future Fund’s (MRFF) Genomics Health Futures Mission (GHFM)</w:t>
            </w:r>
          </w:p>
          <w:bookmarkEnd w:id="131"/>
          <w:p w14:paraId="310BB6F3" w14:textId="031E66A2" w:rsidR="00110F93" w:rsidRPr="007E0100" w:rsidRDefault="007E0100" w:rsidP="00DD63BF">
            <w:pPr>
              <w:spacing w:before="240" w:after="240"/>
              <w:rPr>
                <w:rFonts w:ascii="Aptos" w:hAnsi="Aptos"/>
                <w:sz w:val="24"/>
              </w:rPr>
            </w:pPr>
            <w:r>
              <w:rPr>
                <w:rFonts w:ascii="Aptos" w:hAnsi="Aptos"/>
                <w:sz w:val="24"/>
              </w:rPr>
              <w:t>The</w:t>
            </w:r>
            <w:r w:rsidR="00110F93" w:rsidRPr="00792E7D">
              <w:rPr>
                <w:rFonts w:ascii="Aptos" w:hAnsi="Aptos"/>
                <w:sz w:val="24"/>
              </w:rPr>
              <w:t xml:space="preserve"> independent </w:t>
            </w:r>
            <w:hyperlink r:id="rId32" w:history="1">
              <w:r w:rsidR="00284957" w:rsidRPr="00284957">
                <w:rPr>
                  <w:rStyle w:val="Hyperlink"/>
                  <w:sz w:val="24"/>
                </w:rPr>
                <w:t>Review of the Genomics Health Futures Mission</w:t>
              </w:r>
            </w:hyperlink>
            <w:r w:rsidR="00110F93" w:rsidRPr="00792E7D">
              <w:rPr>
                <w:rFonts w:ascii="Aptos" w:hAnsi="Aptos"/>
                <w:sz w:val="24"/>
              </w:rPr>
              <w:t xml:space="preserve"> was conducted to assess </w:t>
            </w:r>
            <w:r>
              <w:rPr>
                <w:rFonts w:ascii="Aptos" w:hAnsi="Aptos"/>
                <w:sz w:val="24"/>
              </w:rPr>
              <w:t>how the MRFF has contributed to genomics research, its place in the genomics research funding landscape, the alignment and progress of MRFF-funded genomics research, and opportunities to improve the impact of MRFF funded research.</w:t>
            </w:r>
            <w:bookmarkEnd w:id="132"/>
          </w:p>
        </w:tc>
      </w:tr>
    </w:tbl>
    <w:p w14:paraId="7E82C242" w14:textId="57DB3F9A" w:rsidR="00792E7D" w:rsidRDefault="00792E7D">
      <w:pPr>
        <w:rPr>
          <w:rFonts w:ascii="Aptos" w:hAnsi="Aptos" w:cs="Arial"/>
          <w:bCs/>
          <w:iCs/>
          <w:color w:val="358189"/>
          <w:sz w:val="32"/>
          <w:szCs w:val="28"/>
        </w:rPr>
      </w:pPr>
    </w:p>
    <w:p w14:paraId="773D4E58" w14:textId="77777777" w:rsidR="00666D5E" w:rsidRDefault="00666D5E">
      <w:pPr>
        <w:rPr>
          <w:rFonts w:ascii="Aptos" w:hAnsi="Aptos" w:cs="Arial"/>
          <w:bCs/>
          <w:iCs/>
          <w:color w:val="358189"/>
          <w:sz w:val="32"/>
          <w:szCs w:val="28"/>
        </w:rPr>
      </w:pPr>
      <w:bookmarkStart w:id="133" w:name="_Toc195779904"/>
      <w:bookmarkStart w:id="134" w:name="_Toc198025708"/>
      <w:r>
        <w:br w:type="page"/>
      </w:r>
    </w:p>
    <w:p w14:paraId="0E444A91" w14:textId="2BD721ED" w:rsidR="00792E7D" w:rsidRPr="00096339" w:rsidRDefault="00792E7D" w:rsidP="00792E7D">
      <w:pPr>
        <w:pStyle w:val="Heading2"/>
        <w:rPr>
          <w:sz w:val="22"/>
          <w:szCs w:val="22"/>
        </w:rPr>
      </w:pPr>
      <w:r>
        <w:lastRenderedPageBreak/>
        <w:t>Related Australian Government entities and committees</w:t>
      </w:r>
      <w:bookmarkEnd w:id="133"/>
      <w:bookmarkEnd w:id="134"/>
    </w:p>
    <w:p w14:paraId="0B762E3F" w14:textId="77777777" w:rsidR="00212FEB" w:rsidRDefault="00212FEB" w:rsidP="001A136F">
      <w:pPr>
        <w:pStyle w:val="Heading4"/>
      </w:pPr>
      <w:bookmarkStart w:id="135" w:name="_Hlk199236758"/>
      <w:r w:rsidRPr="00856EBD">
        <w:t>Australian Commission on Safety and Quality in Health Care</w:t>
      </w:r>
    </w:p>
    <w:p w14:paraId="4FD8D771" w14:textId="6A4992D5" w:rsidR="00212FEB" w:rsidRPr="00025B86" w:rsidRDefault="0007588E" w:rsidP="00666D5E">
      <w:pPr>
        <w:pStyle w:val="Paragraphtext"/>
      </w:pPr>
      <w:bookmarkStart w:id="136" w:name="_Hlk199236866"/>
      <w:bookmarkEnd w:id="135"/>
      <w:r w:rsidRPr="0007588E">
        <w:t xml:space="preserve">The Australian Commission on Safety and Quality in Health Care (ACSQHC) works in partnership with patients, consumers, clinicians, managers, policy makers and healthcare organisations to achieve a sustainable, safe and high-quality health system. The ACSQHC is funded jointly by the Australian Government and by state and territory governments. It is accountable to the Australian Parliament and the Australian Government Minister for Health and Aged Care. Its purpose is to lead improvements to the safety and quality of health </w:t>
      </w:r>
      <w:proofErr w:type="gramStart"/>
      <w:r w:rsidRPr="0007588E">
        <w:t>care</w:t>
      </w:r>
      <w:proofErr w:type="gramEnd"/>
      <w:r w:rsidRPr="0007588E">
        <w:t xml:space="preserve"> so all Australians receive better care, everywhere</w:t>
      </w:r>
      <w:r w:rsidR="00212FEB">
        <w:t>.</w:t>
      </w:r>
    </w:p>
    <w:p w14:paraId="272E3665" w14:textId="3DB06A9B" w:rsidR="00856EBD" w:rsidRDefault="00856EBD" w:rsidP="001A136F">
      <w:pPr>
        <w:pStyle w:val="Heading4"/>
      </w:pPr>
      <w:bookmarkStart w:id="137" w:name="_Hlk199170818"/>
      <w:bookmarkEnd w:id="136"/>
      <w:r w:rsidRPr="00AB1B96">
        <w:t>Australian Digital Health Agency</w:t>
      </w:r>
    </w:p>
    <w:p w14:paraId="59C0BBE9" w14:textId="73D38B6B" w:rsidR="00212FEB" w:rsidRPr="00E4566A" w:rsidRDefault="00212FEB" w:rsidP="00666D5E">
      <w:pPr>
        <w:pStyle w:val="Paragraphtext"/>
      </w:pPr>
      <w:r w:rsidRPr="00E4566A">
        <w:t xml:space="preserve">The Australian Digital Health Agency (ADHA) aims to improve health outcomes through delivery of national digital health services and systems. ADHA focuses on putting data and technology safely to work for patients, consumers and the healthcare professionals who look after them. ADHA is responsible for My Health Record and other e-health programs under the </w:t>
      </w:r>
      <w:r w:rsidR="009050C7" w:rsidRPr="00E4566A">
        <w:t>National Digital Health Strategy (2023 – 2028)</w:t>
      </w:r>
      <w:r w:rsidRPr="00E4566A">
        <w:t>.</w:t>
      </w:r>
    </w:p>
    <w:p w14:paraId="6B82E111" w14:textId="21666856" w:rsidR="00856EBD" w:rsidRDefault="00856EBD" w:rsidP="001A136F">
      <w:pPr>
        <w:pStyle w:val="Heading4"/>
      </w:pPr>
      <w:bookmarkStart w:id="138" w:name="_Hlk199167014"/>
      <w:bookmarkEnd w:id="137"/>
      <w:r w:rsidRPr="00AB1B96">
        <w:t>Cancer Australia</w:t>
      </w:r>
    </w:p>
    <w:p w14:paraId="0135DC9B" w14:textId="61088FE1" w:rsidR="00856EBD" w:rsidRPr="00212FEB" w:rsidRDefault="00212FEB" w:rsidP="00666D5E">
      <w:pPr>
        <w:pStyle w:val="Paragraphtext"/>
      </w:pPr>
      <w:r w:rsidRPr="00722AE3">
        <w:t>Cancer Australia</w:t>
      </w:r>
      <w:r>
        <w:t xml:space="preserve"> aims to reduce the impact of cancer, address disparities and improve outcomes for people affected by cancer by leading and coordinating national, evidence-based interventions across the continuum of care.</w:t>
      </w:r>
      <w:r w:rsidRPr="00BD51FE">
        <w:t xml:space="preserve"> Cancer Australia works</w:t>
      </w:r>
      <w:r w:rsidR="00F40E99">
        <w:t xml:space="preserve"> </w:t>
      </w:r>
      <w:r w:rsidRPr="00BD51FE">
        <w:t xml:space="preserve">collaboratively and liaises with a wide range of groups, including those affected by cancer, key stakeholders and service providers with an interest in cancer control. </w:t>
      </w:r>
      <w:r>
        <w:t>It</w:t>
      </w:r>
      <w:r w:rsidRPr="00BD51FE">
        <w:t xml:space="preserve"> also focus</w:t>
      </w:r>
      <w:r w:rsidR="00F27DF9">
        <w:t>es</w:t>
      </w:r>
      <w:r w:rsidRPr="00BD51FE">
        <w:t xml:space="preserve"> on populations who experience poorer health outcomes, including Aboriginal and Torres Strait Islander peoples</w:t>
      </w:r>
      <w:r>
        <w:t>,</w:t>
      </w:r>
      <w:r w:rsidRPr="00BD51FE">
        <w:t xml:space="preserve"> and people living in rural and remote Australia.</w:t>
      </w:r>
    </w:p>
    <w:p w14:paraId="16AE79B4" w14:textId="64155F9E" w:rsidR="00856EBD" w:rsidRDefault="00856EBD" w:rsidP="001A136F">
      <w:pPr>
        <w:pStyle w:val="Heading4"/>
      </w:pPr>
      <w:bookmarkStart w:id="139" w:name="_Hlk199171288"/>
      <w:bookmarkEnd w:id="138"/>
      <w:r w:rsidRPr="00AB1B96">
        <w:t>Cancer and Population Screening Committee</w:t>
      </w:r>
    </w:p>
    <w:p w14:paraId="2B3B0F9B" w14:textId="77777777" w:rsidR="0028169C" w:rsidRPr="0028169C" w:rsidRDefault="0028169C" w:rsidP="0028169C">
      <w:pPr>
        <w:pStyle w:val="Paragraphtext"/>
      </w:pPr>
      <w:r w:rsidRPr="0028169C">
        <w:t>The Cancer and Population Screening (CAPS) Committee provides strategic policy advice for national population screening and cancer control. The CAPS Committee is established under and reports to HCEF. This includes progressing recommendations from relevant program management committees and groups to HCEF.</w:t>
      </w:r>
    </w:p>
    <w:p w14:paraId="637A2E53" w14:textId="77777777" w:rsidR="00BB2664" w:rsidRPr="00792E7D" w:rsidRDefault="00BB2664" w:rsidP="00BB2664">
      <w:pPr>
        <w:pStyle w:val="Heading4"/>
      </w:pPr>
      <w:r w:rsidRPr="00792E7D">
        <w:t>Gene Technology Regulator</w:t>
      </w:r>
    </w:p>
    <w:p w14:paraId="41932F07" w14:textId="6150169E" w:rsidR="00BB2664" w:rsidRDefault="00BB2664" w:rsidP="00666D5E">
      <w:pPr>
        <w:pStyle w:val="Paragraphtext"/>
      </w:pPr>
      <w:r w:rsidRPr="00BB2664">
        <w:t>The Gene Technology Regulator assesses and approves activities with genetically modified organisms (GMOs) to protect the health and safety of people and to protect the environment from any risks posed by gene technology. This oversight includes research involving GMOs, clinical trials with therapeutics that are or contain GMOs and commercial release of these therapeutics.</w:t>
      </w:r>
    </w:p>
    <w:p w14:paraId="095337DE" w14:textId="77777777" w:rsidR="0028169C" w:rsidRDefault="0028169C">
      <w:pPr>
        <w:rPr>
          <w:rFonts w:ascii="Aptos" w:hAnsi="Aptos"/>
          <w:b/>
          <w:bCs/>
          <w:color w:val="000000"/>
          <w:szCs w:val="22"/>
          <w:lang w:eastAsia="en-AU"/>
        </w:rPr>
      </w:pPr>
      <w:bookmarkStart w:id="140" w:name="_Hlk199167755"/>
      <w:bookmarkEnd w:id="139"/>
      <w:r>
        <w:br w:type="page"/>
      </w:r>
    </w:p>
    <w:p w14:paraId="2C5FC59E" w14:textId="758EFB7F" w:rsidR="00722AE3" w:rsidRDefault="00722AE3" w:rsidP="001A136F">
      <w:pPr>
        <w:pStyle w:val="Heading4"/>
      </w:pPr>
      <w:r>
        <w:lastRenderedPageBreak/>
        <w:t>Medical Research Future Fund (MRFF)</w:t>
      </w:r>
    </w:p>
    <w:p w14:paraId="716A1735" w14:textId="77777777" w:rsidR="00F40E99" w:rsidRDefault="00F40E99" w:rsidP="00F40E99">
      <w:pPr>
        <w:pStyle w:val="Paragraphtext"/>
        <w:rPr>
          <w:b/>
          <w:bCs/>
        </w:rPr>
      </w:pPr>
      <w:bookmarkStart w:id="141" w:name="_Hlk199165812"/>
      <w:bookmarkEnd w:id="140"/>
      <w:r w:rsidRPr="00F40E99">
        <w:t xml:space="preserve">The Medical Research Future Fund (MRFF), established under the </w:t>
      </w:r>
      <w:r w:rsidRPr="00F40E99">
        <w:rPr>
          <w:i/>
          <w:iCs/>
        </w:rPr>
        <w:t xml:space="preserve">Medical Research Future Fund Act 2015 </w:t>
      </w:r>
      <w:r w:rsidRPr="00F40E99">
        <w:t>(MRFF ACT), is a long-term investment supporting Australian health and medical research. The MRFF aims to transform health and medical research and innovation to improve lives, build the economy and contribute to health system sustainability. The Health and Medical Research Office (HMRO) advises the Minister for Health, Disability and Ageing on MRFF policy matters and is responsible for the overall administration of the MRFF.</w:t>
      </w:r>
    </w:p>
    <w:p w14:paraId="6CED5DDC" w14:textId="20D04815" w:rsidR="00792E7D" w:rsidRPr="00792E7D" w:rsidRDefault="00792E7D" w:rsidP="001A136F">
      <w:pPr>
        <w:pStyle w:val="Heading4"/>
      </w:pPr>
      <w:r w:rsidRPr="00792E7D">
        <w:t>Medical Services Advisory Committee (MSAC)</w:t>
      </w:r>
    </w:p>
    <w:p w14:paraId="38A56B83" w14:textId="1EEDD6FF" w:rsidR="0071246C" w:rsidRPr="00666D5E" w:rsidRDefault="00372078" w:rsidP="00666D5E">
      <w:pPr>
        <w:pStyle w:val="Paragraphtext"/>
        <w:rPr>
          <w:lang w:eastAsia="en-AU"/>
        </w:rPr>
      </w:pPr>
      <w:r w:rsidRPr="00372078">
        <w:t>The Medical Services Advisory Committee (MSAC) is an independent non-statutory committee appointed by appointed by the Australian Government Minister for Health, Disability &amp; Ageing. It advises the Australian Government on applications for public funding of health services and technologies.</w:t>
      </w:r>
    </w:p>
    <w:p w14:paraId="0F39B13B" w14:textId="57840C68" w:rsidR="00722AE3" w:rsidRDefault="00722AE3" w:rsidP="001A136F">
      <w:pPr>
        <w:pStyle w:val="Heading4"/>
      </w:pPr>
      <w:bookmarkStart w:id="142" w:name="_Hlk199166572"/>
      <w:bookmarkEnd w:id="141"/>
      <w:r>
        <w:t>National Health and Medical Research Council (NHMRC)</w:t>
      </w:r>
    </w:p>
    <w:p w14:paraId="2B68EB37" w14:textId="0F1E1CAD" w:rsidR="00BB2664" w:rsidRPr="00666D5E" w:rsidRDefault="00722AE3" w:rsidP="00666D5E">
      <w:pPr>
        <w:pStyle w:val="Paragraphtext"/>
        <w:rPr>
          <w:lang w:eastAsia="en-AU"/>
        </w:rPr>
      </w:pPr>
      <w:r w:rsidRPr="00722AE3">
        <w:t>The National Health and Medical Research Council (NHMRC) funds high quality health and medical research to build research capability, support researchers, encourage the translation of research into better health outcomes and promote the highest ethical standards for health and medical research.</w:t>
      </w:r>
      <w:bookmarkStart w:id="143" w:name="_Hlk199168540"/>
      <w:bookmarkEnd w:id="142"/>
    </w:p>
    <w:p w14:paraId="4844692E" w14:textId="77777777" w:rsidR="00792E7D" w:rsidRPr="00792E7D" w:rsidRDefault="00792E7D" w:rsidP="001A136F">
      <w:pPr>
        <w:pStyle w:val="Heading4"/>
      </w:pPr>
      <w:bookmarkStart w:id="144" w:name="_Hlk199165821"/>
      <w:bookmarkEnd w:id="143"/>
      <w:r w:rsidRPr="00792E7D">
        <w:t>Pharmaceutical Benefits Advisory Committee (PBAC)</w:t>
      </w:r>
    </w:p>
    <w:p w14:paraId="6C56592C" w14:textId="0C9FC192" w:rsidR="00372078" w:rsidRPr="00666D5E" w:rsidRDefault="00372078" w:rsidP="00666D5E">
      <w:pPr>
        <w:pStyle w:val="Paragraphtext"/>
        <w:rPr>
          <w:lang w:eastAsia="en-AU"/>
        </w:rPr>
      </w:pPr>
      <w:r w:rsidRPr="00372078">
        <w:t>The Pharmaceutical Benefits Advisory Committee (PBAC) is an independent statutory body appointed by the Australian Government. The PBAC is established under the National Health Act 1953. Its primary role is to recommend new medicines for listing on the Pharmaceutical Benefits Scheme (PBS).</w:t>
      </w:r>
    </w:p>
    <w:p w14:paraId="7089647D" w14:textId="77777777" w:rsidR="00792E7D" w:rsidRPr="00792E7D" w:rsidRDefault="00792E7D" w:rsidP="001A136F">
      <w:pPr>
        <w:pStyle w:val="Heading4"/>
      </w:pPr>
      <w:bookmarkStart w:id="145" w:name="_Hlk199165456"/>
      <w:bookmarkEnd w:id="144"/>
      <w:r w:rsidRPr="00792E7D">
        <w:t>Therapeutic Goods Administration (TGA)</w:t>
      </w:r>
    </w:p>
    <w:p w14:paraId="2DEAD5B1" w14:textId="0DBB9F15" w:rsidR="00B013FE" w:rsidRDefault="00792E7D" w:rsidP="00666D5E">
      <w:pPr>
        <w:pStyle w:val="Paragraphtext"/>
        <w:rPr>
          <w:rFonts w:cs="Arial"/>
          <w:bCs/>
          <w:color w:val="358189"/>
          <w:sz w:val="28"/>
          <w:szCs w:val="26"/>
        </w:rPr>
      </w:pPr>
      <w:r w:rsidRPr="00792E7D">
        <w:t>The Therapeutic Goods Administration (TGA) is responsible for evaluating, assessing and monitoring products that are defined as therapeutic goods. The TGA regulate</w:t>
      </w:r>
      <w:r w:rsidR="001E222F">
        <w:t>s</w:t>
      </w:r>
      <w:r w:rsidRPr="00792E7D">
        <w:t xml:space="preserve"> medicines, medical devices and biologicals. </w:t>
      </w:r>
    </w:p>
    <w:p w14:paraId="06BA458D" w14:textId="77777777" w:rsidR="00722AE3" w:rsidRDefault="00722AE3">
      <w:pPr>
        <w:rPr>
          <w:rFonts w:cs="Arial"/>
          <w:bCs/>
          <w:color w:val="358189"/>
          <w:sz w:val="28"/>
          <w:szCs w:val="26"/>
        </w:rPr>
      </w:pPr>
      <w:bookmarkStart w:id="146" w:name="_Toc195779905"/>
      <w:bookmarkStart w:id="147" w:name="_Toc198025709"/>
      <w:bookmarkEnd w:id="145"/>
      <w:r>
        <w:br w:type="page"/>
      </w:r>
    </w:p>
    <w:p w14:paraId="3D4E6E31" w14:textId="21A309C3" w:rsidR="00110F93" w:rsidRDefault="00110F93" w:rsidP="00110F93">
      <w:pPr>
        <w:pStyle w:val="Heading3"/>
      </w:pPr>
      <w:r>
        <w:lastRenderedPageBreak/>
        <w:t>Policy documents at the state and territory level</w:t>
      </w:r>
      <w:bookmarkEnd w:id="146"/>
      <w:bookmarkEnd w:id="147"/>
    </w:p>
    <w:p w14:paraId="04E6277E" w14:textId="3F0B0AA1" w:rsidR="00110F93" w:rsidRDefault="00110F93" w:rsidP="00110F93">
      <w:pPr>
        <w:pStyle w:val="Paragraphtext"/>
      </w:pPr>
      <w:r w:rsidRPr="00BF0EB1">
        <w:t>While this framework primarily focuses on priorities and acti</w:t>
      </w:r>
      <w:r>
        <w:t>vities</w:t>
      </w:r>
      <w:r w:rsidRPr="00BF0EB1">
        <w:t xml:space="preserve"> that would benefit from national coordination, embedding genomics into the health system will require acti</w:t>
      </w:r>
      <w:r>
        <w:t>vity</w:t>
      </w:r>
      <w:r w:rsidRPr="00BF0EB1">
        <w:t xml:space="preserve"> at the state and territory levels. The use of genomic medicine is </w:t>
      </w:r>
      <w:r w:rsidR="00792E7D">
        <w:t xml:space="preserve">the focus of </w:t>
      </w:r>
      <w:r w:rsidRPr="00BF0EB1">
        <w:t>several state and territory policy documents</w:t>
      </w:r>
      <w:r>
        <w:t>.</w:t>
      </w:r>
    </w:p>
    <w:tbl>
      <w:tblPr>
        <w:tblStyle w:val="TableGrid"/>
        <w:tblW w:w="0" w:type="auto"/>
        <w:tblLook w:val="04A0" w:firstRow="1" w:lastRow="0" w:firstColumn="1" w:lastColumn="0" w:noHBand="0" w:noVBand="1"/>
      </w:tblPr>
      <w:tblGrid>
        <w:gridCol w:w="1724"/>
        <w:gridCol w:w="7336"/>
      </w:tblGrid>
      <w:tr w:rsidR="00110F93" w14:paraId="049CECDD" w14:textId="77777777" w:rsidTr="00B87422">
        <w:trPr>
          <w:cantSplit/>
        </w:trPr>
        <w:tc>
          <w:tcPr>
            <w:tcW w:w="9060" w:type="dxa"/>
            <w:gridSpan w:val="2"/>
            <w:shd w:val="clear" w:color="auto" w:fill="3F4A75" w:themeFill="accent1"/>
          </w:tcPr>
          <w:p w14:paraId="0C85D083" w14:textId="77777777" w:rsidR="00110F93" w:rsidRPr="007337D7" w:rsidRDefault="00110F93" w:rsidP="00DD63BF">
            <w:pPr>
              <w:pStyle w:val="Paragraphtext"/>
              <w:rPr>
                <w:color w:val="FFFFFF" w:themeColor="background1"/>
              </w:rPr>
            </w:pPr>
            <w:r w:rsidRPr="007337D7">
              <w:rPr>
                <w:color w:val="FFFFFF" w:themeColor="background1"/>
              </w:rPr>
              <w:t>State and Territory Strategies and Policy Documents</w:t>
            </w:r>
          </w:p>
        </w:tc>
      </w:tr>
      <w:tr w:rsidR="00722AE3" w14:paraId="70369204" w14:textId="77777777" w:rsidTr="00B87422">
        <w:trPr>
          <w:cantSplit/>
        </w:trPr>
        <w:tc>
          <w:tcPr>
            <w:tcW w:w="1724" w:type="dxa"/>
          </w:tcPr>
          <w:p w14:paraId="13378167" w14:textId="19F6BB19" w:rsidR="00722AE3" w:rsidRPr="007337D7" w:rsidRDefault="00722AE3" w:rsidP="00722AE3">
            <w:pPr>
              <w:pStyle w:val="Paragraphtext"/>
              <w:rPr>
                <w:b/>
                <w:bCs/>
              </w:rPr>
            </w:pPr>
            <w:r>
              <w:rPr>
                <w:b/>
                <w:bCs/>
              </w:rPr>
              <w:t>ACT</w:t>
            </w:r>
          </w:p>
        </w:tc>
        <w:tc>
          <w:tcPr>
            <w:tcW w:w="7336" w:type="dxa"/>
          </w:tcPr>
          <w:p w14:paraId="56A99505" w14:textId="77777777" w:rsidR="00722AE3" w:rsidRDefault="00722AE3" w:rsidP="00722AE3">
            <w:pPr>
              <w:pStyle w:val="Paragraphtext"/>
              <w:rPr>
                <w:b/>
                <w:bCs/>
              </w:rPr>
            </w:pPr>
            <w:r>
              <w:rPr>
                <w:b/>
                <w:bCs/>
              </w:rPr>
              <w:t>ACT Child and Adolescent Clinical Services Plan 2023-2030</w:t>
            </w:r>
          </w:p>
          <w:p w14:paraId="42C6BBDB" w14:textId="52970A9D" w:rsidR="00722AE3" w:rsidRPr="00722AE3" w:rsidRDefault="00722AE3" w:rsidP="00722AE3">
            <w:pPr>
              <w:pStyle w:val="Paragraphtext"/>
            </w:pPr>
            <w:r w:rsidRPr="00722AE3">
              <w:t>The</w:t>
            </w:r>
            <w:r>
              <w:rPr>
                <w:b/>
                <w:bCs/>
              </w:rPr>
              <w:t xml:space="preserve"> </w:t>
            </w:r>
            <w:hyperlink r:id="rId33" w:history="1">
              <w:r w:rsidRPr="00974C68">
                <w:rPr>
                  <w:rStyle w:val="Hyperlink"/>
                </w:rPr>
                <w:t>Child and Adolescent Clinical Services Plan 2023-2030</w:t>
              </w:r>
            </w:hyperlink>
            <w:r>
              <w:t xml:space="preserve"> sets out a holistic roadmap for children’s health services funded by the ACT Government. This plan builds on work across the ACT’s health and early childhood systems to improve and strengthen existing services and programs for children, adolescents and their families. </w:t>
            </w:r>
          </w:p>
          <w:p w14:paraId="5D218EA2" w14:textId="77777777" w:rsidR="00722AE3" w:rsidRDefault="00722AE3" w:rsidP="00722AE3">
            <w:pPr>
              <w:pStyle w:val="Paragraphtext"/>
              <w:rPr>
                <w:b/>
                <w:bCs/>
              </w:rPr>
            </w:pPr>
            <w:r>
              <w:rPr>
                <w:b/>
                <w:bCs/>
              </w:rPr>
              <w:t>ACT Health Services Plan 2022-2030</w:t>
            </w:r>
          </w:p>
          <w:p w14:paraId="6B69C107" w14:textId="79D536F0" w:rsidR="00722AE3" w:rsidRPr="00722AE3" w:rsidRDefault="00722AE3" w:rsidP="00722AE3">
            <w:pPr>
              <w:pStyle w:val="Paragraphtext"/>
            </w:pPr>
            <w:r>
              <w:t xml:space="preserve">The </w:t>
            </w:r>
            <w:hyperlink r:id="rId34" w:history="1">
              <w:r w:rsidRPr="00974C68">
                <w:rPr>
                  <w:rStyle w:val="Hyperlink"/>
                </w:rPr>
                <w:t>ACT Health Services Plan 2022 to 2030</w:t>
              </w:r>
            </w:hyperlink>
            <w:r>
              <w:t xml:space="preserve"> provides a roadmap for redesign, investment and redevelopment of health services funded by the ACT Government. It also sets out ACT Government priorities for working with Australian Government funded health services, private providers, primary care and allied health services. The strategies outlined in this plan include a focus on equity and ensuring that services are flexible and inclusive.</w:t>
            </w:r>
          </w:p>
          <w:p w14:paraId="531F2420" w14:textId="77777777" w:rsidR="00722AE3" w:rsidRPr="00722AE3" w:rsidRDefault="00722AE3" w:rsidP="00722AE3">
            <w:pPr>
              <w:pStyle w:val="Paragraphtext"/>
              <w:rPr>
                <w:b/>
                <w:bCs/>
              </w:rPr>
            </w:pPr>
            <w:r w:rsidRPr="00722AE3">
              <w:rPr>
                <w:b/>
                <w:bCs/>
              </w:rPr>
              <w:t>Better together</w:t>
            </w:r>
            <w:r>
              <w:rPr>
                <w:b/>
                <w:bCs/>
              </w:rPr>
              <w:t xml:space="preserve"> – A strategic plan for research in the ACT health system 2022-2030</w:t>
            </w:r>
          </w:p>
          <w:p w14:paraId="21F00B86" w14:textId="77777777" w:rsidR="00722AE3" w:rsidRDefault="00722AE3" w:rsidP="00722AE3">
            <w:pPr>
              <w:pStyle w:val="Paragraphtext"/>
            </w:pPr>
            <w:hyperlink r:id="rId35" w:history="1">
              <w:r w:rsidRPr="00BF0EB1">
                <w:rPr>
                  <w:rStyle w:val="Hyperlink"/>
                </w:rPr>
                <w:t>Better together</w:t>
              </w:r>
            </w:hyperlink>
            <w:r>
              <w:t xml:space="preserve"> outlines the eight-year vision for the ACT Government and its partners to drive research which strengthens the health of their communities through a strategic approach to investment and collaboration. The plan has three strategic objectives: </w:t>
            </w:r>
          </w:p>
          <w:p w14:paraId="57354072" w14:textId="77777777" w:rsidR="00722AE3" w:rsidRDefault="00722AE3" w:rsidP="0069120C">
            <w:pPr>
              <w:pStyle w:val="Paragraphtext"/>
              <w:numPr>
                <w:ilvl w:val="0"/>
                <w:numId w:val="13"/>
              </w:numPr>
            </w:pPr>
            <w:r>
              <w:t>the ACT health system becomes a learning health system</w:t>
            </w:r>
          </w:p>
          <w:p w14:paraId="73021FB0" w14:textId="77777777" w:rsidR="00722AE3" w:rsidRDefault="00722AE3" w:rsidP="0069120C">
            <w:pPr>
              <w:pStyle w:val="Paragraphtext"/>
              <w:numPr>
                <w:ilvl w:val="0"/>
                <w:numId w:val="13"/>
              </w:numPr>
            </w:pPr>
            <w:r>
              <w:t>ACT people have capacity to undertake high value research in the health system</w:t>
            </w:r>
          </w:p>
          <w:p w14:paraId="75ACE969" w14:textId="77777777" w:rsidR="00722AE3" w:rsidRDefault="00722AE3" w:rsidP="00722AE3">
            <w:pPr>
              <w:pStyle w:val="Paragraphtext"/>
            </w:pPr>
            <w:r>
              <w:t>ACT research infrastructure supports high value research.</w:t>
            </w:r>
          </w:p>
          <w:p w14:paraId="3377C546" w14:textId="201C3869" w:rsidR="00722AE3" w:rsidRPr="00B87422" w:rsidRDefault="00722AE3" w:rsidP="00722AE3">
            <w:pPr>
              <w:pStyle w:val="Paragraphtext"/>
              <w:rPr>
                <w:b/>
                <w:bCs/>
              </w:rPr>
            </w:pPr>
            <w:r w:rsidRPr="00B87422">
              <w:rPr>
                <w:b/>
                <w:bCs/>
              </w:rPr>
              <w:t>Digital Health Strategy 2019-2029</w:t>
            </w:r>
          </w:p>
          <w:p w14:paraId="536BF8D9" w14:textId="57AC390B" w:rsidR="00722AE3" w:rsidRDefault="00722AE3" w:rsidP="00722AE3">
            <w:pPr>
              <w:pStyle w:val="Paragraphtext"/>
            </w:pPr>
            <w:hyperlink r:id="rId36" w:history="1">
              <w:r w:rsidRPr="00A42E62">
                <w:rPr>
                  <w:rStyle w:val="Hyperlink"/>
                </w:rPr>
                <w:t>Digital</w:t>
              </w:r>
              <w:r>
                <w:rPr>
                  <w:rStyle w:val="Hyperlink"/>
                </w:rPr>
                <w:t xml:space="preserve"> </w:t>
              </w:r>
              <w:r w:rsidRPr="00A42E62">
                <w:rPr>
                  <w:rStyle w:val="Hyperlink"/>
                </w:rPr>
                <w:t>Health</w:t>
              </w:r>
              <w:r>
                <w:rPr>
                  <w:rStyle w:val="Hyperlink"/>
                </w:rPr>
                <w:t xml:space="preserve"> </w:t>
              </w:r>
              <w:r w:rsidRPr="00A42E62">
                <w:rPr>
                  <w:rStyle w:val="Hyperlink"/>
                </w:rPr>
                <w:t>Strategy</w:t>
              </w:r>
            </w:hyperlink>
            <w:r w:rsidRPr="00A42E62">
              <w:t xml:space="preserve"> presents a vision and direction to guide future activities and investments in technology across the Territory. It outlines the direction for the ACT public health system in building the digital capabilities needed to support a sustainable, innovative and world-class health system for the ACT. </w:t>
            </w:r>
          </w:p>
        </w:tc>
      </w:tr>
      <w:tr w:rsidR="00722AE3" w14:paraId="278926EB" w14:textId="77777777" w:rsidTr="00B87422">
        <w:trPr>
          <w:cantSplit/>
        </w:trPr>
        <w:tc>
          <w:tcPr>
            <w:tcW w:w="1724" w:type="dxa"/>
          </w:tcPr>
          <w:p w14:paraId="788CA6F3" w14:textId="3DDABA22" w:rsidR="00722AE3" w:rsidRPr="007337D7" w:rsidRDefault="00722AE3" w:rsidP="00722AE3">
            <w:pPr>
              <w:pStyle w:val="Paragraphtext"/>
              <w:rPr>
                <w:b/>
                <w:bCs/>
              </w:rPr>
            </w:pPr>
            <w:r>
              <w:rPr>
                <w:b/>
                <w:bCs/>
              </w:rPr>
              <w:lastRenderedPageBreak/>
              <w:t>NSW</w:t>
            </w:r>
          </w:p>
        </w:tc>
        <w:tc>
          <w:tcPr>
            <w:tcW w:w="7336" w:type="dxa"/>
          </w:tcPr>
          <w:p w14:paraId="6D03386D" w14:textId="77777777" w:rsidR="00722AE3" w:rsidRPr="00B87422" w:rsidRDefault="00722AE3" w:rsidP="00B87422">
            <w:pPr>
              <w:pStyle w:val="Paragraphtext"/>
              <w:rPr>
                <w:b/>
                <w:bCs/>
              </w:rPr>
            </w:pPr>
            <w:r w:rsidRPr="00B87422">
              <w:rPr>
                <w:b/>
                <w:bCs/>
              </w:rPr>
              <w:t>Future Health: Guiding the next decade of health care in NSW 2022-2032</w:t>
            </w:r>
          </w:p>
          <w:p w14:paraId="4302D7A6" w14:textId="77777777" w:rsidR="009E3740" w:rsidRDefault="00722AE3" w:rsidP="00722AE3">
            <w:pPr>
              <w:spacing w:after="60"/>
              <w:rPr>
                <w:rFonts w:ascii="Aptos" w:hAnsi="Aptos"/>
                <w:sz w:val="24"/>
              </w:rPr>
            </w:pPr>
            <w:hyperlink r:id="rId37" w:history="1">
              <w:r w:rsidRPr="006702AA">
                <w:rPr>
                  <w:rStyle w:val="Hyperlink"/>
                  <w:sz w:val="24"/>
                </w:rPr>
                <w:t>Future Health</w:t>
              </w:r>
            </w:hyperlink>
            <w:r w:rsidRPr="009E3740">
              <w:rPr>
                <w:rFonts w:ascii="Aptos" w:hAnsi="Aptos"/>
                <w:sz w:val="24"/>
              </w:rPr>
              <w:t xml:space="preserve"> provides the strategic framework and priorities for the whole NSW Health system over the next decade. The strategic framework outlines six strategic outcomes, each with key objectives. The strategic outcomes are: </w:t>
            </w:r>
          </w:p>
          <w:p w14:paraId="7436A23D" w14:textId="77777777" w:rsidR="009E3740" w:rsidRDefault="00722AE3" w:rsidP="0069120C">
            <w:pPr>
              <w:pStyle w:val="ListParagraph"/>
              <w:numPr>
                <w:ilvl w:val="0"/>
                <w:numId w:val="14"/>
              </w:numPr>
              <w:spacing w:after="60"/>
              <w:rPr>
                <w:rFonts w:ascii="Aptos" w:hAnsi="Aptos"/>
                <w:sz w:val="24"/>
              </w:rPr>
            </w:pPr>
            <w:r w:rsidRPr="009E3740">
              <w:rPr>
                <w:rFonts w:ascii="Aptos" w:hAnsi="Aptos"/>
                <w:sz w:val="24"/>
              </w:rPr>
              <w:t>patients and carers have positive experiences and outcomes that matter</w:t>
            </w:r>
          </w:p>
          <w:p w14:paraId="67993DED" w14:textId="77777777" w:rsidR="009E3740" w:rsidRDefault="00722AE3" w:rsidP="0069120C">
            <w:pPr>
              <w:pStyle w:val="ListParagraph"/>
              <w:numPr>
                <w:ilvl w:val="0"/>
                <w:numId w:val="14"/>
              </w:numPr>
              <w:spacing w:after="60"/>
              <w:rPr>
                <w:rFonts w:ascii="Aptos" w:hAnsi="Aptos"/>
                <w:sz w:val="24"/>
              </w:rPr>
            </w:pPr>
            <w:r w:rsidRPr="009E3740">
              <w:rPr>
                <w:rFonts w:ascii="Aptos" w:hAnsi="Aptos"/>
                <w:sz w:val="24"/>
              </w:rPr>
              <w:t>safe care is delivered across all settings; people are healthy and well</w:t>
            </w:r>
          </w:p>
          <w:p w14:paraId="508F4229" w14:textId="77777777" w:rsidR="009E3740" w:rsidRDefault="00722AE3" w:rsidP="0069120C">
            <w:pPr>
              <w:pStyle w:val="ListParagraph"/>
              <w:numPr>
                <w:ilvl w:val="0"/>
                <w:numId w:val="14"/>
              </w:numPr>
              <w:spacing w:after="60"/>
              <w:rPr>
                <w:rFonts w:ascii="Aptos" w:hAnsi="Aptos"/>
                <w:sz w:val="24"/>
              </w:rPr>
            </w:pPr>
            <w:r w:rsidRPr="009E3740">
              <w:rPr>
                <w:rFonts w:ascii="Aptos" w:hAnsi="Aptos"/>
                <w:sz w:val="24"/>
              </w:rPr>
              <w:t>staff are engaged and well supported</w:t>
            </w:r>
          </w:p>
          <w:p w14:paraId="3790FB26" w14:textId="77777777" w:rsidR="009E3740" w:rsidRDefault="00722AE3" w:rsidP="0069120C">
            <w:pPr>
              <w:pStyle w:val="ListParagraph"/>
              <w:numPr>
                <w:ilvl w:val="0"/>
                <w:numId w:val="14"/>
              </w:numPr>
              <w:spacing w:after="60"/>
              <w:rPr>
                <w:rFonts w:ascii="Aptos" w:hAnsi="Aptos"/>
                <w:sz w:val="24"/>
              </w:rPr>
            </w:pPr>
            <w:r w:rsidRPr="009E3740">
              <w:rPr>
                <w:rFonts w:ascii="Aptos" w:hAnsi="Aptos"/>
                <w:sz w:val="24"/>
              </w:rPr>
              <w:t>research and innovation, and digital advances inform service delivery</w:t>
            </w:r>
          </w:p>
          <w:p w14:paraId="60DD57D3" w14:textId="77777777" w:rsidR="00722AE3" w:rsidRDefault="00722AE3" w:rsidP="0069120C">
            <w:pPr>
              <w:pStyle w:val="ListParagraph"/>
              <w:numPr>
                <w:ilvl w:val="0"/>
                <w:numId w:val="14"/>
              </w:numPr>
              <w:spacing w:after="60"/>
              <w:rPr>
                <w:rFonts w:ascii="Aptos" w:hAnsi="Aptos"/>
                <w:sz w:val="24"/>
              </w:rPr>
            </w:pPr>
            <w:r w:rsidRPr="009E3740">
              <w:rPr>
                <w:rFonts w:ascii="Aptos" w:hAnsi="Aptos"/>
                <w:sz w:val="24"/>
              </w:rPr>
              <w:t>the health system is managed sustainably.</w:t>
            </w:r>
          </w:p>
          <w:p w14:paraId="59F851E4" w14:textId="77777777" w:rsidR="009E3740" w:rsidRPr="00F06C9F" w:rsidRDefault="009E3740" w:rsidP="009E3740">
            <w:pPr>
              <w:pStyle w:val="Paragraphtext"/>
              <w:rPr>
                <w:b/>
                <w:bCs/>
              </w:rPr>
            </w:pPr>
            <w:r w:rsidRPr="00F06C9F">
              <w:rPr>
                <w:b/>
                <w:bCs/>
              </w:rPr>
              <w:t>NSW Health Genomics Strategy (2017) and Implementation Plans</w:t>
            </w:r>
          </w:p>
          <w:p w14:paraId="5550B074" w14:textId="77777777" w:rsidR="009E3740" w:rsidRDefault="009E3740" w:rsidP="009E3740">
            <w:pPr>
              <w:pStyle w:val="Paragraphtext"/>
            </w:pPr>
            <w:r>
              <w:t xml:space="preserve">The </w:t>
            </w:r>
            <w:hyperlink r:id="rId38" w:history="1">
              <w:r w:rsidRPr="00BF0EB1">
                <w:rPr>
                  <w:rStyle w:val="Hyperlink"/>
                </w:rPr>
                <w:t>NSW Health Genomics Strategy</w:t>
              </w:r>
            </w:hyperlink>
            <w:r>
              <w:t xml:space="preserve"> articulates a shared vision for genomics in NSW. It describes pathways to implementation and makes recommendations as to how NSW can remain responsive to this transformation in healthcare and position itself as a recognised leader in this field. </w:t>
            </w:r>
          </w:p>
          <w:p w14:paraId="46EDB016" w14:textId="7015340D" w:rsidR="009E3740" w:rsidRPr="009E3740" w:rsidRDefault="009E3740" w:rsidP="009E3740">
            <w:pPr>
              <w:pStyle w:val="Paragraphtext"/>
            </w:pPr>
            <w:r>
              <w:t xml:space="preserve">The related </w:t>
            </w:r>
            <w:hyperlink r:id="rId39" w:history="1">
              <w:r w:rsidRPr="00BF0EB1">
                <w:rPr>
                  <w:rStyle w:val="Hyperlink"/>
                </w:rPr>
                <w:t>NSW Health Genomics Strategy Implementation Plan 2021-2025</w:t>
              </w:r>
            </w:hyperlink>
            <w:r>
              <w:t xml:space="preserve"> was developed with consumers, clinicians, researchers and health managers using a co-design approach. It builds on the achievements in delivering foundational initiatives described </w:t>
            </w:r>
            <w:r w:rsidRPr="00627D55">
              <w:t xml:space="preserve">in the </w:t>
            </w:r>
            <w:hyperlink r:id="rId40" w:tgtFrame="_blank" w:history="1">
              <w:r w:rsidRPr="00F06C9F">
                <w:rPr>
                  <w:rStyle w:val="Hyperlink"/>
                </w:rPr>
                <w:t>NSW Health Genomics Strategy Implementation Plan 2018-20</w:t>
              </w:r>
            </w:hyperlink>
            <w:r w:rsidRPr="00627D55">
              <w:t>.</w:t>
            </w:r>
            <w:r>
              <w:t xml:space="preserve"> The 2021-2025 Implementation Plan focuses on implementing Phase 2 of the Health Genomics Strategy to enhance disease management and prevention.</w:t>
            </w:r>
          </w:p>
        </w:tc>
      </w:tr>
      <w:tr w:rsidR="00722AE3" w14:paraId="12FBE67A" w14:textId="77777777" w:rsidTr="00B87422">
        <w:trPr>
          <w:cantSplit/>
        </w:trPr>
        <w:tc>
          <w:tcPr>
            <w:tcW w:w="1724" w:type="dxa"/>
          </w:tcPr>
          <w:p w14:paraId="4761B559" w14:textId="2199952D" w:rsidR="00722AE3" w:rsidRPr="007337D7" w:rsidRDefault="00722AE3" w:rsidP="00722AE3">
            <w:pPr>
              <w:pStyle w:val="Paragraphtext"/>
              <w:rPr>
                <w:b/>
                <w:bCs/>
              </w:rPr>
            </w:pPr>
            <w:r>
              <w:rPr>
                <w:b/>
                <w:bCs/>
              </w:rPr>
              <w:t>NT</w:t>
            </w:r>
          </w:p>
        </w:tc>
        <w:tc>
          <w:tcPr>
            <w:tcW w:w="7336" w:type="dxa"/>
          </w:tcPr>
          <w:p w14:paraId="48032780" w14:textId="77777777" w:rsidR="00722AE3" w:rsidRPr="005844B9" w:rsidRDefault="00722AE3" w:rsidP="00722AE3">
            <w:pPr>
              <w:pStyle w:val="Paragraphtext"/>
              <w:rPr>
                <w:b/>
                <w:bCs/>
              </w:rPr>
            </w:pPr>
            <w:r>
              <w:rPr>
                <w:b/>
                <w:bCs/>
              </w:rPr>
              <w:t>Strengthening our Health System Strategy (2020-2025)</w:t>
            </w:r>
          </w:p>
          <w:p w14:paraId="56C9B399" w14:textId="37486E55" w:rsidR="00722AE3" w:rsidRDefault="00722AE3" w:rsidP="00722AE3">
            <w:pPr>
              <w:pStyle w:val="Paragraphtext"/>
            </w:pPr>
            <w:r>
              <w:t xml:space="preserve">Northern Territory Health, Aboriginal Medical Services Alliance NT and Northern Territory Primary Health Network have formed a collaborative partnership to drive and coordinate the opportunities emerging through digital health technologies and new ways of working across the health system. The </w:t>
            </w:r>
            <w:hyperlink r:id="rId41" w:history="1">
              <w:r w:rsidRPr="003E1977">
                <w:rPr>
                  <w:rStyle w:val="Hyperlink"/>
                </w:rPr>
                <w:t>Strengthening our Health System Strategy (2020-2025)</w:t>
              </w:r>
            </w:hyperlink>
            <w:r>
              <w:t xml:space="preserve"> sets out the intent and commitment to strengthening the NT health system by pursuing opportunities to better connect communities, workforce, systems, and approaches enabled by digital health capabilities and technologies.</w:t>
            </w:r>
          </w:p>
        </w:tc>
      </w:tr>
      <w:tr w:rsidR="00722AE3" w14:paraId="441134CC" w14:textId="77777777" w:rsidTr="00B87422">
        <w:trPr>
          <w:cantSplit/>
        </w:trPr>
        <w:tc>
          <w:tcPr>
            <w:tcW w:w="1724" w:type="dxa"/>
          </w:tcPr>
          <w:p w14:paraId="64C58D64" w14:textId="45698C93" w:rsidR="00722AE3" w:rsidRDefault="00722AE3" w:rsidP="00722AE3">
            <w:pPr>
              <w:pStyle w:val="Paragraphtext"/>
            </w:pPr>
            <w:r>
              <w:rPr>
                <w:b/>
                <w:bCs/>
              </w:rPr>
              <w:lastRenderedPageBreak/>
              <w:t>QLD</w:t>
            </w:r>
          </w:p>
        </w:tc>
        <w:tc>
          <w:tcPr>
            <w:tcW w:w="7336" w:type="dxa"/>
          </w:tcPr>
          <w:p w14:paraId="34A7E0DF" w14:textId="1EBC8F28" w:rsidR="006D2E3E" w:rsidRDefault="006D2E3E" w:rsidP="00722AE3">
            <w:pPr>
              <w:pStyle w:val="Paragraphtext"/>
              <w:rPr>
                <w:b/>
                <w:bCs/>
              </w:rPr>
            </w:pPr>
            <w:r w:rsidRPr="006D2E3E">
              <w:rPr>
                <w:b/>
                <w:bCs/>
              </w:rPr>
              <w:t>Genomics and Precision Health – A strategic 5- year roadmap 2021- 2026</w:t>
            </w:r>
          </w:p>
          <w:p w14:paraId="2F7C02B1" w14:textId="77777777" w:rsidR="006D2E3E" w:rsidRPr="00785645" w:rsidRDefault="006D2E3E" w:rsidP="006D2E3E">
            <w:pPr>
              <w:pStyle w:val="Paragraphtext"/>
            </w:pPr>
            <w:r w:rsidRPr="00785645">
              <w:t>Genomics and Precision Health – A Strategic 5-Year Roadmap sets out Queensland Health’s vision for embedding genomics into the health system through coordinated leadership, equitable access, and system-wide integration. It prioritises ethical, legal, and social considerations, supports the mainstreaming of genomic services in healthcare delivery, and fosters a collaborative ecosystem that enables commercial partnerships with research and industry. The roadmap is structured around seven key priority areas:</w:t>
            </w:r>
          </w:p>
          <w:p w14:paraId="1214C723" w14:textId="5BD5D8CF" w:rsidR="006D2E3E" w:rsidRPr="00785645" w:rsidRDefault="006D2E3E" w:rsidP="00785645">
            <w:pPr>
              <w:pStyle w:val="Paragraphtext"/>
              <w:numPr>
                <w:ilvl w:val="0"/>
                <w:numId w:val="20"/>
              </w:numPr>
            </w:pPr>
            <w:r w:rsidRPr="00785645">
              <w:t>Person and family-centred care</w:t>
            </w:r>
          </w:p>
          <w:p w14:paraId="422849B4" w14:textId="2E4DA7F6" w:rsidR="006D2E3E" w:rsidRPr="00785645" w:rsidRDefault="006D2E3E" w:rsidP="00785645">
            <w:pPr>
              <w:pStyle w:val="Paragraphtext"/>
              <w:numPr>
                <w:ilvl w:val="0"/>
                <w:numId w:val="20"/>
              </w:numPr>
            </w:pPr>
            <w:r w:rsidRPr="00785645">
              <w:t>Services</w:t>
            </w:r>
          </w:p>
          <w:p w14:paraId="1EA05CE1" w14:textId="256BFE9C" w:rsidR="006D2E3E" w:rsidRPr="00785645" w:rsidRDefault="006D2E3E" w:rsidP="00785645">
            <w:pPr>
              <w:pStyle w:val="Paragraphtext"/>
              <w:numPr>
                <w:ilvl w:val="0"/>
                <w:numId w:val="20"/>
              </w:numPr>
            </w:pPr>
            <w:r w:rsidRPr="00785645">
              <w:t>Resources</w:t>
            </w:r>
          </w:p>
          <w:p w14:paraId="0917D917" w14:textId="72AF5BDE" w:rsidR="006D2E3E" w:rsidRPr="00785645" w:rsidRDefault="006D2E3E" w:rsidP="00785645">
            <w:pPr>
              <w:pStyle w:val="Paragraphtext"/>
              <w:numPr>
                <w:ilvl w:val="0"/>
                <w:numId w:val="20"/>
              </w:numPr>
            </w:pPr>
            <w:r w:rsidRPr="00785645">
              <w:t>Workforce</w:t>
            </w:r>
          </w:p>
          <w:p w14:paraId="72F0076B" w14:textId="3E53B691" w:rsidR="006D2E3E" w:rsidRPr="00785645" w:rsidRDefault="006D2E3E" w:rsidP="00785645">
            <w:pPr>
              <w:pStyle w:val="Paragraphtext"/>
              <w:numPr>
                <w:ilvl w:val="0"/>
                <w:numId w:val="20"/>
              </w:numPr>
            </w:pPr>
            <w:r w:rsidRPr="00785645">
              <w:t>Data and biobanking</w:t>
            </w:r>
          </w:p>
          <w:p w14:paraId="7D597952" w14:textId="1DAC7B8D" w:rsidR="006D2E3E" w:rsidRPr="00785645" w:rsidRDefault="006D2E3E" w:rsidP="00785645">
            <w:pPr>
              <w:pStyle w:val="Paragraphtext"/>
              <w:numPr>
                <w:ilvl w:val="0"/>
                <w:numId w:val="20"/>
              </w:numPr>
            </w:pPr>
            <w:r w:rsidRPr="00785645">
              <w:t>Research</w:t>
            </w:r>
          </w:p>
          <w:p w14:paraId="45690523" w14:textId="6918E2AA" w:rsidR="006D2E3E" w:rsidRPr="00785645" w:rsidRDefault="006D2E3E" w:rsidP="00785645">
            <w:pPr>
              <w:pStyle w:val="Paragraphtext"/>
              <w:numPr>
                <w:ilvl w:val="0"/>
                <w:numId w:val="20"/>
              </w:numPr>
            </w:pPr>
            <w:r w:rsidRPr="00785645">
              <w:t>Governance</w:t>
            </w:r>
          </w:p>
          <w:p w14:paraId="112AE78E" w14:textId="77777777" w:rsidR="006D2E3E" w:rsidRPr="006D2E3E" w:rsidRDefault="006D2E3E" w:rsidP="006D2E3E">
            <w:pPr>
              <w:pStyle w:val="Paragraphtext"/>
              <w:rPr>
                <w:b/>
                <w:bCs/>
              </w:rPr>
            </w:pPr>
            <w:r w:rsidRPr="006D2E3E">
              <w:rPr>
                <w:b/>
                <w:bCs/>
              </w:rPr>
              <w:t>Digital Health 2031 – A digital vision for Queensland’s health system</w:t>
            </w:r>
          </w:p>
          <w:p w14:paraId="09CE2294" w14:textId="47BB0BAD" w:rsidR="00722AE3" w:rsidRDefault="006D2E3E" w:rsidP="00722AE3">
            <w:pPr>
              <w:pStyle w:val="Paragraphtext"/>
            </w:pPr>
            <w:r w:rsidRPr="00785645">
              <w:t>This digital strategy outlines the vision for a digitally enabled, world-class healthcare system in Queensland. Its primary goal is to improve health outcomes for all Queenslanders by positioning digital as a key enabler of safe, quality, and sustainable care. It defines the future state of digital healthcare, provides a strategic framework for implementation, and sets out the roadmap and success factors for delivering and sustaining digitally enabled services.</w:t>
            </w:r>
          </w:p>
        </w:tc>
      </w:tr>
      <w:tr w:rsidR="00722AE3" w14:paraId="4142E260" w14:textId="77777777" w:rsidTr="00B87422">
        <w:trPr>
          <w:cantSplit/>
        </w:trPr>
        <w:tc>
          <w:tcPr>
            <w:tcW w:w="1724" w:type="dxa"/>
          </w:tcPr>
          <w:p w14:paraId="63235651" w14:textId="356C182C" w:rsidR="00722AE3" w:rsidRDefault="00722AE3" w:rsidP="00722AE3">
            <w:pPr>
              <w:pStyle w:val="Paragraphtext"/>
              <w:rPr>
                <w:b/>
                <w:bCs/>
              </w:rPr>
            </w:pPr>
            <w:r>
              <w:rPr>
                <w:b/>
                <w:bCs/>
              </w:rPr>
              <w:lastRenderedPageBreak/>
              <w:t>SA</w:t>
            </w:r>
          </w:p>
        </w:tc>
        <w:tc>
          <w:tcPr>
            <w:tcW w:w="7336" w:type="dxa"/>
          </w:tcPr>
          <w:p w14:paraId="79A24BF4" w14:textId="77777777" w:rsidR="00722AE3" w:rsidRPr="009E3740" w:rsidRDefault="00722AE3" w:rsidP="00722AE3">
            <w:pPr>
              <w:pStyle w:val="Paragraphtext"/>
              <w:rPr>
                <w:b/>
                <w:bCs/>
              </w:rPr>
            </w:pPr>
            <w:r w:rsidRPr="009E3740">
              <w:rPr>
                <w:b/>
                <w:bCs/>
              </w:rPr>
              <w:t>Precision Medicine Blueprint</w:t>
            </w:r>
          </w:p>
          <w:p w14:paraId="7BA074FA" w14:textId="77777777" w:rsidR="009E3740" w:rsidRDefault="00722AE3" w:rsidP="00722AE3">
            <w:pPr>
              <w:pStyle w:val="Paragraphtext"/>
            </w:pPr>
            <w:r>
              <w:t xml:space="preserve">The </w:t>
            </w:r>
            <w:r w:rsidRPr="00BF0EB1">
              <w:t>Commission on Excellence and Innovation in Health</w:t>
            </w:r>
            <w:r>
              <w:t xml:space="preserve">’s </w:t>
            </w:r>
            <w:hyperlink r:id="rId42" w:history="1">
              <w:r w:rsidRPr="00BF0EB1">
                <w:rPr>
                  <w:rStyle w:val="Hyperlink"/>
                </w:rPr>
                <w:t>Precision Medicine Blueprint</w:t>
              </w:r>
            </w:hyperlink>
            <w:r>
              <w:t xml:space="preserve"> outlines the first steps in establishing an agency agenda to guide the co-development of a system-wide framework for precision medicine in South Australia. The system priorities of the blueprint are: </w:t>
            </w:r>
          </w:p>
          <w:p w14:paraId="08178034" w14:textId="77777777" w:rsidR="009E3740" w:rsidRDefault="00722AE3" w:rsidP="0069120C">
            <w:pPr>
              <w:pStyle w:val="Paragraphtext"/>
              <w:numPr>
                <w:ilvl w:val="0"/>
                <w:numId w:val="15"/>
              </w:numPr>
            </w:pPr>
            <w:r>
              <w:t>supporting infrastructure and service models</w:t>
            </w:r>
          </w:p>
          <w:p w14:paraId="39006A0A" w14:textId="3A907C9A" w:rsidR="009E3740" w:rsidRDefault="00722AE3" w:rsidP="0069120C">
            <w:pPr>
              <w:pStyle w:val="Paragraphtext"/>
              <w:numPr>
                <w:ilvl w:val="0"/>
                <w:numId w:val="15"/>
              </w:numPr>
            </w:pPr>
            <w:r>
              <w:t>workforce, education and training</w:t>
            </w:r>
          </w:p>
          <w:p w14:paraId="3D8ED9BA" w14:textId="5408EB66" w:rsidR="009E3740" w:rsidRDefault="00722AE3" w:rsidP="0069120C">
            <w:pPr>
              <w:pStyle w:val="Paragraphtext"/>
              <w:numPr>
                <w:ilvl w:val="0"/>
                <w:numId w:val="15"/>
              </w:numPr>
            </w:pPr>
            <w:r>
              <w:t>integrated big data and analytics</w:t>
            </w:r>
          </w:p>
          <w:p w14:paraId="78613A2E" w14:textId="77777777" w:rsidR="009E3740" w:rsidRDefault="00722AE3" w:rsidP="0069120C">
            <w:pPr>
              <w:pStyle w:val="Paragraphtext"/>
              <w:numPr>
                <w:ilvl w:val="0"/>
                <w:numId w:val="15"/>
              </w:numPr>
            </w:pPr>
            <w:r>
              <w:t>research, innovation and translation</w:t>
            </w:r>
          </w:p>
          <w:p w14:paraId="474CEBF1" w14:textId="77777777" w:rsidR="00722AE3" w:rsidRDefault="00722AE3" w:rsidP="0069120C">
            <w:pPr>
              <w:pStyle w:val="Paragraphtext"/>
              <w:numPr>
                <w:ilvl w:val="0"/>
                <w:numId w:val="15"/>
              </w:numPr>
            </w:pPr>
            <w:r>
              <w:t>community education and health literacy.</w:t>
            </w:r>
          </w:p>
          <w:p w14:paraId="74E38DF0" w14:textId="77777777" w:rsidR="009E3740" w:rsidRDefault="009E3740" w:rsidP="009E3740">
            <w:pPr>
              <w:pStyle w:val="Paragraphtext"/>
              <w:rPr>
                <w:b/>
                <w:bCs/>
              </w:rPr>
            </w:pPr>
            <w:r w:rsidRPr="00F06C9F">
              <w:rPr>
                <w:b/>
                <w:bCs/>
              </w:rPr>
              <w:t>The South Australian Health and Wellbeing Strategy 2020-2025</w:t>
            </w:r>
          </w:p>
          <w:p w14:paraId="5DB343F4" w14:textId="653672EB" w:rsidR="009E3740" w:rsidRDefault="009E3740" w:rsidP="009E3740">
            <w:pPr>
              <w:pStyle w:val="Paragraphtext"/>
            </w:pPr>
            <w:hyperlink r:id="rId43" w:history="1">
              <w:r>
                <w:t xml:space="preserve">The </w:t>
              </w:r>
              <w:r w:rsidRPr="00A676FE">
                <w:rPr>
                  <w:rStyle w:val="Hyperlink"/>
                </w:rPr>
                <w:t>Health and Wellbeing Strategy 2020 - 2025</w:t>
              </w:r>
            </w:hyperlink>
            <w:r>
              <w:t xml:space="preserve"> informs the work, priorities and direction for the public health system in South Australia from 2020 to 2025. This direction emphasises the importance of keeping people healthy and refocuses on prevention, promotion and early intervention initiatives, as well as expanding service capacity in community settings to support people to avoid unnecessary interactions with the hospital sector.</w:t>
            </w:r>
            <w:hyperlink r:id="rId44" w:history="1"/>
          </w:p>
        </w:tc>
      </w:tr>
      <w:tr w:rsidR="00722AE3" w14:paraId="62086110" w14:textId="77777777" w:rsidTr="00B87422">
        <w:trPr>
          <w:cantSplit/>
        </w:trPr>
        <w:tc>
          <w:tcPr>
            <w:tcW w:w="1724" w:type="dxa"/>
          </w:tcPr>
          <w:p w14:paraId="165E141C" w14:textId="29EE31E9" w:rsidR="00722AE3" w:rsidRDefault="00722AE3" w:rsidP="00722AE3">
            <w:pPr>
              <w:pStyle w:val="Paragraphtext"/>
              <w:rPr>
                <w:b/>
                <w:bCs/>
              </w:rPr>
            </w:pPr>
            <w:r>
              <w:rPr>
                <w:b/>
                <w:bCs/>
              </w:rPr>
              <w:t>TAS</w:t>
            </w:r>
          </w:p>
        </w:tc>
        <w:tc>
          <w:tcPr>
            <w:tcW w:w="7336" w:type="dxa"/>
          </w:tcPr>
          <w:p w14:paraId="3B7FCCEC" w14:textId="77777777" w:rsidR="00722AE3" w:rsidRPr="00B87422" w:rsidRDefault="00722AE3" w:rsidP="00722AE3">
            <w:pPr>
              <w:pStyle w:val="Paragraphtext"/>
              <w:rPr>
                <w:b/>
                <w:bCs/>
              </w:rPr>
            </w:pPr>
            <w:r>
              <w:rPr>
                <w:b/>
                <w:bCs/>
              </w:rPr>
              <w:t>Digital Health Transformation – Improving Patient Outcomes (2022-2032)</w:t>
            </w:r>
          </w:p>
          <w:p w14:paraId="30E545B7" w14:textId="77777777" w:rsidR="00722AE3" w:rsidRDefault="00722AE3" w:rsidP="00722AE3">
            <w:pPr>
              <w:pStyle w:val="Paragraphtext"/>
            </w:pPr>
            <w:r>
              <w:t xml:space="preserve">The vision for the </w:t>
            </w:r>
            <w:hyperlink r:id="rId45" w:history="1">
              <w:r w:rsidRPr="00BF0EB1">
                <w:rPr>
                  <w:rStyle w:val="Hyperlink"/>
                </w:rPr>
                <w:t>Tasmanian Digital Health Transformation Strategy</w:t>
              </w:r>
            </w:hyperlink>
            <w:r>
              <w:t xml:space="preserve"> is to empower consumers and healthcare workers to deliver better patient outcomes through system-wide, digitally enabled technologies. The four focus areas of the strategy are to improve community care, engage patients in their care, optimise clinical and operational workflows, and foster statewide collaboration.</w:t>
            </w:r>
          </w:p>
          <w:p w14:paraId="66B037FF" w14:textId="77777777" w:rsidR="00722AE3" w:rsidRPr="00B87422" w:rsidRDefault="00722AE3" w:rsidP="00722AE3">
            <w:pPr>
              <w:pStyle w:val="Paragraphtext"/>
              <w:rPr>
                <w:b/>
                <w:bCs/>
              </w:rPr>
            </w:pPr>
            <w:r>
              <w:rPr>
                <w:b/>
                <w:bCs/>
              </w:rPr>
              <w:t>Tasmanian Genomics Framework 2024-2029</w:t>
            </w:r>
          </w:p>
          <w:p w14:paraId="323623CE" w14:textId="4DBF5C7C" w:rsidR="00722AE3" w:rsidRDefault="00722AE3" w:rsidP="00722AE3">
            <w:pPr>
              <w:pStyle w:val="Paragraphtext"/>
            </w:pPr>
            <w:r>
              <w:t xml:space="preserve">The </w:t>
            </w:r>
            <w:hyperlink r:id="rId46" w:history="1">
              <w:r w:rsidRPr="003C5AE4">
                <w:rPr>
                  <w:rStyle w:val="Hyperlink"/>
                </w:rPr>
                <w:t>Tasmanian Genomics Framework 2024-2029</w:t>
              </w:r>
            </w:hyperlink>
            <w:r>
              <w:t xml:space="preserve"> offers guidance to administrators, system planners and health professionals to recognise the system-transformative changes genomics can bring. Its principles and priorities also provide guidance for the broader health sector in Tasmania.</w:t>
            </w:r>
          </w:p>
        </w:tc>
      </w:tr>
      <w:tr w:rsidR="00722AE3" w14:paraId="7C0C7A96" w14:textId="77777777" w:rsidTr="00B87422">
        <w:trPr>
          <w:cantSplit/>
        </w:trPr>
        <w:tc>
          <w:tcPr>
            <w:tcW w:w="1724" w:type="dxa"/>
          </w:tcPr>
          <w:p w14:paraId="76808ABC" w14:textId="09D20B73" w:rsidR="00722AE3" w:rsidRDefault="00722AE3" w:rsidP="00722AE3">
            <w:pPr>
              <w:pStyle w:val="Paragraphtext"/>
              <w:rPr>
                <w:b/>
                <w:bCs/>
              </w:rPr>
            </w:pPr>
            <w:r>
              <w:rPr>
                <w:b/>
                <w:bCs/>
              </w:rPr>
              <w:lastRenderedPageBreak/>
              <w:t>VIC</w:t>
            </w:r>
          </w:p>
        </w:tc>
        <w:tc>
          <w:tcPr>
            <w:tcW w:w="7336" w:type="dxa"/>
          </w:tcPr>
          <w:p w14:paraId="3849EC59" w14:textId="77777777" w:rsidR="00000140" w:rsidRDefault="00000140" w:rsidP="00000140">
            <w:pPr>
              <w:pStyle w:val="Paragraphtext"/>
              <w:rPr>
                <w:b/>
                <w:bCs/>
              </w:rPr>
            </w:pPr>
            <w:r>
              <w:rPr>
                <w:b/>
                <w:bCs/>
              </w:rPr>
              <w:t>Victorian Department of Health - Our Strategic Plan 2023-2027 (2024 update)</w:t>
            </w:r>
          </w:p>
          <w:p w14:paraId="67D6B0A5" w14:textId="10D495CB" w:rsidR="00000140" w:rsidRPr="00785645" w:rsidRDefault="00000140" w:rsidP="00722AE3">
            <w:pPr>
              <w:pStyle w:val="Paragraphtext"/>
              <w:rPr>
                <w:color w:val="auto"/>
              </w:rPr>
            </w:pPr>
            <w:r w:rsidRPr="00DC6C82">
              <w:rPr>
                <w:color w:val="auto"/>
              </w:rPr>
              <w:t xml:space="preserve">The vision </w:t>
            </w:r>
            <w:r>
              <w:rPr>
                <w:color w:val="auto"/>
              </w:rPr>
              <w:t xml:space="preserve">for the </w:t>
            </w:r>
            <w:hyperlink r:id="rId47" w:history="1">
              <w:r w:rsidRPr="007D0251">
                <w:rPr>
                  <w:rStyle w:val="Hyperlink"/>
                </w:rPr>
                <w:t>Victorian Department of Health Strategic Plan 2023-27 (2024 update)</w:t>
              </w:r>
            </w:hyperlink>
            <w:r>
              <w:rPr>
                <w:color w:val="auto"/>
              </w:rPr>
              <w:t xml:space="preserve"> is that Victorians are the healthiest people in the world. Victoria will partner with the community to support every individual to lead a healthy life. To achieve this vision, the Plan identifies seven strategic directions: keeping people healthy and safe in the community, providing care closer to home, keep innovating and improving care, improving Aboriginal health and wellbeing, moving from competition to collaboration, a stronger and more sustainable workforce, and a safe and sustainable health, wellbeing and care system.</w:t>
            </w:r>
          </w:p>
          <w:p w14:paraId="637FC506" w14:textId="669E740B" w:rsidR="00722AE3" w:rsidRPr="00B87422" w:rsidRDefault="00722AE3" w:rsidP="00722AE3">
            <w:pPr>
              <w:pStyle w:val="Paragraphtext"/>
              <w:rPr>
                <w:b/>
                <w:bCs/>
              </w:rPr>
            </w:pPr>
            <w:r>
              <w:rPr>
                <w:b/>
                <w:bCs/>
              </w:rPr>
              <w:t>Genetic and genomic healthcare for Victoria 2021</w:t>
            </w:r>
          </w:p>
          <w:p w14:paraId="3C574C07" w14:textId="49054BE9" w:rsidR="00722AE3" w:rsidRDefault="00722AE3" w:rsidP="00722AE3">
            <w:pPr>
              <w:pStyle w:val="Paragraphtext"/>
            </w:pPr>
            <w:hyperlink r:id="rId48" w:history="1">
              <w:r w:rsidRPr="000C7BB1">
                <w:rPr>
                  <w:rStyle w:val="Hyperlink"/>
                </w:rPr>
                <w:t>Genetic and genomic healthcare for Victoria 2021</w:t>
              </w:r>
            </w:hyperlink>
            <w:r>
              <w:t xml:space="preserve"> provides a framework outlining what needs to be done to further embed the appropriate use of genomics to benefit the health and wellbeing of Victorians. It outlines four areas in which additional work is needed to include genomic information into routine healthcare: strengthening the healthcare system; building trust; raising awareness; and growing knowledge.</w:t>
            </w:r>
          </w:p>
        </w:tc>
      </w:tr>
      <w:tr w:rsidR="00722AE3" w14:paraId="4013822B" w14:textId="77777777" w:rsidTr="00B87422">
        <w:trPr>
          <w:cantSplit/>
        </w:trPr>
        <w:tc>
          <w:tcPr>
            <w:tcW w:w="1724" w:type="dxa"/>
          </w:tcPr>
          <w:p w14:paraId="05C7C8BA" w14:textId="4E71A780" w:rsidR="00722AE3" w:rsidRDefault="00722AE3" w:rsidP="00722AE3">
            <w:pPr>
              <w:pStyle w:val="Paragraphtext"/>
              <w:rPr>
                <w:b/>
                <w:bCs/>
              </w:rPr>
            </w:pPr>
            <w:r>
              <w:rPr>
                <w:b/>
                <w:bCs/>
              </w:rPr>
              <w:lastRenderedPageBreak/>
              <w:t>WA</w:t>
            </w:r>
          </w:p>
        </w:tc>
        <w:tc>
          <w:tcPr>
            <w:tcW w:w="7336" w:type="dxa"/>
          </w:tcPr>
          <w:p w14:paraId="52B57CC6" w14:textId="77777777" w:rsidR="00722AE3" w:rsidRPr="00B87422" w:rsidRDefault="00722AE3" w:rsidP="00722AE3">
            <w:pPr>
              <w:pStyle w:val="Paragraphtext"/>
              <w:rPr>
                <w:b/>
                <w:bCs/>
              </w:rPr>
            </w:pPr>
            <w:r>
              <w:rPr>
                <w:b/>
                <w:bCs/>
              </w:rPr>
              <w:t>WA Genomics Strategy 2022-2032: Towards precision medicine and precision public health</w:t>
            </w:r>
          </w:p>
          <w:p w14:paraId="58229DDB" w14:textId="2AC0F181" w:rsidR="00B87422" w:rsidRDefault="00722AE3" w:rsidP="00722AE3">
            <w:pPr>
              <w:pStyle w:val="Paragraphtext"/>
            </w:pPr>
            <w:r>
              <w:t xml:space="preserve">The </w:t>
            </w:r>
            <w:hyperlink r:id="rId49" w:history="1">
              <w:r w:rsidRPr="00BF0EB1">
                <w:rPr>
                  <w:rStyle w:val="Hyperlink"/>
                </w:rPr>
                <w:t>WA Genomics Strategy</w:t>
              </w:r>
            </w:hyperlink>
            <w:r>
              <w:t xml:space="preserve"> outlines an ambitious vision to benefit all Western Australian through timely and appropriate translation of genomics. To achieve this vision, the WA Genomics Strategy identifies five strategic priority </w:t>
            </w:r>
            <w:proofErr w:type="gramStart"/>
            <w:r>
              <w:t>areas</w:t>
            </w:r>
            <w:r w:rsidR="00B87422">
              <w:t>:</w:t>
            </w:r>
            <w:r>
              <w:t>:</w:t>
            </w:r>
            <w:proofErr w:type="gramEnd"/>
            <w:r>
              <w:t xml:space="preserve"> </w:t>
            </w:r>
          </w:p>
          <w:p w14:paraId="391D4262" w14:textId="77777777" w:rsidR="00B87422" w:rsidRDefault="00722AE3" w:rsidP="0069120C">
            <w:pPr>
              <w:pStyle w:val="Paragraphtext"/>
              <w:numPr>
                <w:ilvl w:val="0"/>
                <w:numId w:val="16"/>
              </w:numPr>
            </w:pPr>
            <w:r>
              <w:t>person and family-centredness</w:t>
            </w:r>
          </w:p>
          <w:p w14:paraId="6999324F" w14:textId="4F285148" w:rsidR="00B87422" w:rsidRDefault="00722AE3" w:rsidP="0069120C">
            <w:pPr>
              <w:pStyle w:val="Paragraphtext"/>
              <w:numPr>
                <w:ilvl w:val="0"/>
                <w:numId w:val="16"/>
              </w:numPr>
            </w:pPr>
            <w:r>
              <w:t>genomic healthcare services</w:t>
            </w:r>
          </w:p>
          <w:p w14:paraId="7FBF3832" w14:textId="77777777" w:rsidR="00B87422" w:rsidRDefault="00722AE3" w:rsidP="0069120C">
            <w:pPr>
              <w:pStyle w:val="Paragraphtext"/>
              <w:numPr>
                <w:ilvl w:val="0"/>
                <w:numId w:val="16"/>
              </w:numPr>
            </w:pPr>
            <w:r>
              <w:t>workforce, education and training</w:t>
            </w:r>
          </w:p>
          <w:p w14:paraId="6A1B76B4" w14:textId="60A0AB85" w:rsidR="00B87422" w:rsidRDefault="00722AE3" w:rsidP="0069120C">
            <w:pPr>
              <w:pStyle w:val="Paragraphtext"/>
              <w:numPr>
                <w:ilvl w:val="0"/>
                <w:numId w:val="16"/>
              </w:numPr>
            </w:pPr>
            <w:r>
              <w:t>digital health and data</w:t>
            </w:r>
          </w:p>
          <w:p w14:paraId="2F77692B" w14:textId="6578368C" w:rsidR="00722AE3" w:rsidRDefault="00722AE3" w:rsidP="0069120C">
            <w:pPr>
              <w:pStyle w:val="Paragraphtext"/>
              <w:numPr>
                <w:ilvl w:val="0"/>
                <w:numId w:val="16"/>
              </w:numPr>
            </w:pPr>
            <w:r>
              <w:t>research and innovation.</w:t>
            </w:r>
          </w:p>
          <w:p w14:paraId="41E0C247" w14:textId="77777777" w:rsidR="00B87422" w:rsidRPr="00B87422" w:rsidRDefault="00B87422" w:rsidP="00B87422">
            <w:pPr>
              <w:pStyle w:val="Paragraphtext"/>
              <w:rPr>
                <w:b/>
                <w:bCs/>
              </w:rPr>
            </w:pPr>
            <w:r>
              <w:rPr>
                <w:b/>
                <w:bCs/>
              </w:rPr>
              <w:t>WA Health Digital Strategy 2020-2030</w:t>
            </w:r>
          </w:p>
          <w:p w14:paraId="26F4C9DE" w14:textId="77777777" w:rsidR="00B87422" w:rsidRDefault="00B87422" w:rsidP="00B87422">
            <w:pPr>
              <w:pStyle w:val="Paragraphtext"/>
            </w:pPr>
            <w:r>
              <w:t xml:space="preserve">The </w:t>
            </w:r>
            <w:hyperlink r:id="rId50" w:history="1">
              <w:r w:rsidRPr="00BF0EB1">
                <w:rPr>
                  <w:rStyle w:val="Hyperlink"/>
                </w:rPr>
                <w:t>WA Health Digital Strategy</w:t>
              </w:r>
            </w:hyperlink>
            <w:r>
              <w:t xml:space="preserve"> aims to take advantage of the innovations transforming healthcare to drive better health outcomes for all Western Australians. Initiatives, investment priorities and resources for the WA Health Digital Strategy will be focused on six strategic themes: </w:t>
            </w:r>
          </w:p>
          <w:p w14:paraId="5F75141E" w14:textId="77777777" w:rsidR="00B87422" w:rsidRDefault="00B87422" w:rsidP="0069120C">
            <w:pPr>
              <w:pStyle w:val="Paragraphtext"/>
              <w:numPr>
                <w:ilvl w:val="0"/>
                <w:numId w:val="17"/>
              </w:numPr>
            </w:pPr>
            <w:r>
              <w:t>empowered consumers</w:t>
            </w:r>
          </w:p>
          <w:p w14:paraId="31097007" w14:textId="77777777" w:rsidR="00B87422" w:rsidRDefault="00B87422" w:rsidP="0069120C">
            <w:pPr>
              <w:pStyle w:val="Paragraphtext"/>
              <w:numPr>
                <w:ilvl w:val="0"/>
                <w:numId w:val="17"/>
              </w:numPr>
            </w:pPr>
            <w:r>
              <w:t>informed clinicians</w:t>
            </w:r>
          </w:p>
          <w:p w14:paraId="0B916B7C" w14:textId="77777777" w:rsidR="00B87422" w:rsidRDefault="00B87422" w:rsidP="0069120C">
            <w:pPr>
              <w:pStyle w:val="Paragraphtext"/>
              <w:numPr>
                <w:ilvl w:val="0"/>
                <w:numId w:val="17"/>
              </w:numPr>
            </w:pPr>
            <w:r>
              <w:t>optimised performance</w:t>
            </w:r>
          </w:p>
          <w:p w14:paraId="388289BA" w14:textId="77777777" w:rsidR="00B87422" w:rsidRDefault="00B87422" w:rsidP="0069120C">
            <w:pPr>
              <w:pStyle w:val="Paragraphtext"/>
              <w:numPr>
                <w:ilvl w:val="0"/>
                <w:numId w:val="17"/>
              </w:numPr>
            </w:pPr>
            <w:r>
              <w:t>supported workforce</w:t>
            </w:r>
          </w:p>
          <w:p w14:paraId="183E0D27" w14:textId="77777777" w:rsidR="00B87422" w:rsidRDefault="00B87422" w:rsidP="0069120C">
            <w:pPr>
              <w:pStyle w:val="Paragraphtext"/>
              <w:numPr>
                <w:ilvl w:val="0"/>
                <w:numId w:val="17"/>
              </w:numPr>
            </w:pPr>
            <w:r>
              <w:t>enhanced public health</w:t>
            </w:r>
          </w:p>
          <w:p w14:paraId="5C6C4157" w14:textId="46391DEE" w:rsidR="00B87422" w:rsidRDefault="00B87422" w:rsidP="0069120C">
            <w:pPr>
              <w:pStyle w:val="Paragraphtext"/>
              <w:numPr>
                <w:ilvl w:val="0"/>
                <w:numId w:val="17"/>
              </w:numPr>
            </w:pPr>
            <w:r>
              <w:t>embedded innovation and research.</w:t>
            </w:r>
          </w:p>
        </w:tc>
      </w:tr>
    </w:tbl>
    <w:p w14:paraId="7C20D355" w14:textId="5B57636A" w:rsidR="00B1656D" w:rsidRDefault="00B1656D" w:rsidP="00110F93">
      <w:pPr>
        <w:pStyle w:val="Paragraphtext"/>
      </w:pPr>
    </w:p>
    <w:p w14:paraId="6F485EC7" w14:textId="77777777" w:rsidR="0055725D" w:rsidRDefault="0055725D" w:rsidP="00110F93">
      <w:pPr>
        <w:pStyle w:val="Paragraphtext"/>
      </w:pPr>
    </w:p>
    <w:sectPr w:rsidR="0055725D" w:rsidSect="005A36FC">
      <w:headerReference w:type="even" r:id="rId51"/>
      <w:headerReference w:type="default" r:id="rId52"/>
      <w:footerReference w:type="even" r:id="rId53"/>
      <w:footerReference w:type="default" r:id="rId54"/>
      <w:headerReference w:type="first" r:id="rId55"/>
      <w:footerReference w:type="first" r:id="rId56"/>
      <w:type w:val="continuous"/>
      <w:pgSz w:w="11906" w:h="16838"/>
      <w:pgMar w:top="1701" w:right="1418" w:bottom="1418" w:left="1418" w:header="850"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FB17E" w14:textId="77777777" w:rsidR="009342FB" w:rsidRDefault="009342FB" w:rsidP="006B56BB">
      <w:r>
        <w:separator/>
      </w:r>
    </w:p>
    <w:p w14:paraId="5CA92023" w14:textId="77777777" w:rsidR="009342FB" w:rsidRDefault="009342FB"/>
    <w:p w14:paraId="5F42D82C" w14:textId="77777777" w:rsidR="009342FB" w:rsidRDefault="009342FB"/>
  </w:endnote>
  <w:endnote w:type="continuationSeparator" w:id="0">
    <w:p w14:paraId="237CD83A" w14:textId="77777777" w:rsidR="009342FB" w:rsidRDefault="009342FB" w:rsidP="006B56BB">
      <w:r>
        <w:continuationSeparator/>
      </w:r>
    </w:p>
    <w:p w14:paraId="077FFBF2" w14:textId="77777777" w:rsidR="009342FB" w:rsidRDefault="009342FB"/>
    <w:p w14:paraId="53F12258" w14:textId="77777777" w:rsidR="009342FB" w:rsidRDefault="009342FB"/>
  </w:endnote>
  <w:endnote w:type="continuationNotice" w:id="1">
    <w:p w14:paraId="1D452F4C" w14:textId="77777777" w:rsidR="009342FB" w:rsidRDefault="009342FB"/>
    <w:p w14:paraId="0234309C" w14:textId="77777777" w:rsidR="009342FB" w:rsidRDefault="00934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Neue Haas Grotesk Text Pro">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FA109" w14:textId="77777777" w:rsidR="00F43315" w:rsidRDefault="005401F1">
    <w:pPr>
      <w:pStyle w:val="Footer"/>
    </w:pPr>
    <w:r>
      <w:rPr>
        <w:noProof/>
      </w:rPr>
      <mc:AlternateContent>
        <mc:Choice Requires="wps">
          <w:drawing>
            <wp:anchor distT="0" distB="0" distL="0" distR="0" simplePos="0" relativeHeight="251695104" behindDoc="0" locked="0" layoutInCell="1" allowOverlap="1" wp14:anchorId="234635AD" wp14:editId="47399DBA">
              <wp:simplePos x="635" y="635"/>
              <wp:positionH relativeFrom="page">
                <wp:align>center</wp:align>
              </wp:positionH>
              <wp:positionV relativeFrom="page">
                <wp:align>bottom</wp:align>
              </wp:positionV>
              <wp:extent cx="656590" cy="369570"/>
              <wp:effectExtent l="0" t="0" r="10160" b="0"/>
              <wp:wrapNone/>
              <wp:docPr id="75599534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92D2ECB" w14:textId="05690CF9" w:rsidR="005401F1" w:rsidRPr="005401F1" w:rsidRDefault="005401F1" w:rsidP="005401F1">
                          <w:pPr>
                            <w:rPr>
                              <w:rFonts w:ascii="Arial Black" w:eastAsia="Arial Black" w:hAnsi="Arial Black" w:cs="Arial Black"/>
                              <w:noProof/>
                              <w:color w:val="000000"/>
                              <w:sz w:val="20"/>
                              <w:szCs w:val="20"/>
                            </w:rPr>
                          </w:pPr>
                          <w:r w:rsidRPr="005401F1">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4635AD" id="_x0000_t202" coordsize="21600,21600" o:spt="202" path="m,l,21600r21600,l21600,xe">
              <v:stroke joinstyle="miter"/>
              <v:path gradientshapeok="t" o:connecttype="rect"/>
            </v:shapetype>
            <v:shape id="Text Box 2" o:spid="_x0000_s1026" type="#_x0000_t202" alt="OFFICIAL" style="position:absolute;margin-left:0;margin-top:0;width:51.7pt;height:29.1pt;z-index:2516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692D2ECB" w14:textId="05690CF9" w:rsidR="005401F1" w:rsidRPr="005401F1" w:rsidRDefault="005401F1" w:rsidP="005401F1">
                    <w:pPr>
                      <w:rPr>
                        <w:rFonts w:ascii="Arial Black" w:eastAsia="Arial Black" w:hAnsi="Arial Black" w:cs="Arial Black"/>
                        <w:noProof/>
                        <w:color w:val="000000"/>
                        <w:sz w:val="20"/>
                        <w:szCs w:val="20"/>
                      </w:rPr>
                    </w:pPr>
                    <w:r w:rsidRPr="005401F1">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685353"/>
      <w:docPartObj>
        <w:docPartGallery w:val="Page Numbers (Bottom of Page)"/>
        <w:docPartUnique/>
      </w:docPartObj>
    </w:sdtPr>
    <w:sdtEndPr>
      <w:rPr>
        <w:noProof/>
      </w:rPr>
    </w:sdtEndPr>
    <w:sdtContent>
      <w:p w14:paraId="25B7A9D6" w14:textId="249E55C4" w:rsidR="00DD62AF" w:rsidRDefault="005401F1">
        <w:pPr>
          <w:pStyle w:val="Footer"/>
          <w:jc w:val="right"/>
        </w:pPr>
        <w:r>
          <w:rPr>
            <w:noProof/>
          </w:rPr>
          <mc:AlternateContent>
            <mc:Choice Requires="wps">
              <w:drawing>
                <wp:anchor distT="0" distB="0" distL="0" distR="0" simplePos="0" relativeHeight="251697152" behindDoc="0" locked="0" layoutInCell="1" allowOverlap="1" wp14:anchorId="0CE58B37" wp14:editId="415201C2">
                  <wp:simplePos x="901065" y="9950450"/>
                  <wp:positionH relativeFrom="page">
                    <wp:align>center</wp:align>
                  </wp:positionH>
                  <wp:positionV relativeFrom="page">
                    <wp:align>bottom</wp:align>
                  </wp:positionV>
                  <wp:extent cx="656590" cy="369570"/>
                  <wp:effectExtent l="0" t="0" r="10160" b="0"/>
                  <wp:wrapNone/>
                  <wp:docPr id="44591036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2DF7D29" w14:textId="52D1324F" w:rsidR="005401F1" w:rsidRPr="005401F1" w:rsidRDefault="005401F1" w:rsidP="005401F1">
                              <w:pPr>
                                <w:rPr>
                                  <w:rFonts w:ascii="Arial Black" w:eastAsia="Arial Black" w:hAnsi="Arial Black" w:cs="Arial Black"/>
                                  <w:noProof/>
                                  <w:color w:val="000000"/>
                                  <w:sz w:val="20"/>
                                  <w:szCs w:val="20"/>
                                </w:rPr>
                              </w:pPr>
                              <w:r w:rsidRPr="005401F1">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E58B37"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29.1pt;z-index:25169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02DF7D29" w14:textId="52D1324F" w:rsidR="005401F1" w:rsidRPr="005401F1" w:rsidRDefault="005401F1" w:rsidP="005401F1">
                        <w:pPr>
                          <w:rPr>
                            <w:rFonts w:ascii="Arial Black" w:eastAsia="Arial Black" w:hAnsi="Arial Black" w:cs="Arial Black"/>
                            <w:noProof/>
                            <w:color w:val="000000"/>
                            <w:sz w:val="20"/>
                            <w:szCs w:val="20"/>
                          </w:rPr>
                        </w:pPr>
                        <w:r w:rsidRPr="005401F1">
                          <w:rPr>
                            <w:rFonts w:ascii="Arial Black" w:eastAsia="Arial Black" w:hAnsi="Arial Black" w:cs="Arial Black"/>
                            <w:noProof/>
                            <w:color w:val="000000"/>
                            <w:sz w:val="20"/>
                            <w:szCs w:val="20"/>
                          </w:rPr>
                          <w:t>OFFICIAL</w:t>
                        </w:r>
                      </w:p>
                    </w:txbxContent>
                  </v:textbox>
                  <w10:wrap anchorx="page" anchory="page"/>
                </v:shape>
              </w:pict>
            </mc:Fallback>
          </mc:AlternateContent>
        </w:r>
        <w:sdt>
          <w:sdtPr>
            <w:id w:val="1037695704"/>
            <w:docPartObj>
              <w:docPartGallery w:val="Page Numbers (Bottom of Page)"/>
              <w:docPartUnique/>
            </w:docPartObj>
          </w:sdtPr>
          <w:sdtEndPr>
            <w:rPr>
              <w:noProof/>
            </w:rPr>
          </w:sdtEndPr>
          <w:sdtContent>
            <w:r w:rsidR="00DD62AF">
              <w:fldChar w:fldCharType="begin"/>
            </w:r>
            <w:r w:rsidR="00DD62AF">
              <w:instrText xml:space="preserve"> PAGE   \* MERGEFORMAT </w:instrText>
            </w:r>
            <w:r w:rsidR="00DD62AF">
              <w:fldChar w:fldCharType="separate"/>
            </w:r>
            <w:r w:rsidR="00DD62AF">
              <w:rPr>
                <w:noProof/>
              </w:rPr>
              <w:t>2</w:t>
            </w:r>
            <w:r w:rsidR="00DD62AF">
              <w:rPr>
                <w:noProof/>
              </w:rPr>
              <w:fldChar w:fldCharType="end"/>
            </w:r>
          </w:sdtContent>
        </w:sdt>
      </w:p>
    </w:sdtContent>
  </w:sdt>
  <w:p w14:paraId="4C1BAF23" w14:textId="77777777" w:rsidR="00DD62AF" w:rsidRDefault="00DD62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B0453" w14:textId="59F66E3C" w:rsidR="00F8719B" w:rsidRPr="00F8719B" w:rsidRDefault="00F65A18" w:rsidP="00F65A18">
    <w:pPr>
      <w:pStyle w:val="Footer"/>
      <w:tabs>
        <w:tab w:val="clear" w:pos="4513"/>
        <w:tab w:val="center" w:pos="4535"/>
        <w:tab w:val="left" w:pos="5960"/>
      </w:tabs>
      <w:rPr>
        <w:b/>
        <w:bCs/>
        <w:noProof/>
      </w:rPr>
    </w:pPr>
    <w:r>
      <w:rPr>
        <w:b/>
        <w:bCs/>
        <w:noProof/>
      </w:rPr>
      <w:tab/>
    </w:r>
  </w:p>
  <w:sdt>
    <w:sdtPr>
      <w:id w:val="1122191888"/>
      <w:docPartObj>
        <w:docPartGallery w:val="Page Numbers (Bottom of Page)"/>
        <w:docPartUnique/>
      </w:docPartObj>
    </w:sdtPr>
    <w:sdtEndPr>
      <w:rPr>
        <w:noProof/>
      </w:rPr>
    </w:sdtEndPr>
    <w:sdtContent>
      <w:p w14:paraId="7AFC8525" w14:textId="42AAD9A0" w:rsidR="00F65A18" w:rsidRDefault="00F65A18" w:rsidP="00B80483">
        <w:pPr>
          <w:pStyle w:val="Footer"/>
          <w:jc w:val="right"/>
        </w:pPr>
      </w:p>
      <w:p w14:paraId="7B3683CE" w14:textId="04A7D1D4" w:rsidR="00F8719B" w:rsidRDefault="00F65A18" w:rsidP="00F65A18">
        <w:pPr>
          <w:pStyle w:val="Footer"/>
          <w:jc w:val="center"/>
          <w:rPr>
            <w:noProof/>
          </w:rPr>
        </w:pPr>
        <w:r w:rsidRPr="00F8719B">
          <w:rPr>
            <w:b/>
            <w:bCs/>
            <w:noProof/>
          </w:rPr>
          <w:t>OFFICIAL</w:t>
        </w:r>
      </w:p>
    </w:sdtContent>
  </w:sdt>
  <w:p w14:paraId="4199EB74" w14:textId="14FBBF85" w:rsidR="00F43315" w:rsidRDefault="00F433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0E21B" w14:textId="77777777" w:rsidR="00875DF6" w:rsidRDefault="005401F1">
    <w:pPr>
      <w:pStyle w:val="Footer"/>
    </w:pPr>
    <w:r>
      <w:rPr>
        <w:noProof/>
      </w:rPr>
      <mc:AlternateContent>
        <mc:Choice Requires="wps">
          <w:drawing>
            <wp:anchor distT="0" distB="0" distL="0" distR="0" simplePos="0" relativeHeight="251703296" behindDoc="0" locked="0" layoutInCell="1" allowOverlap="1" wp14:anchorId="64BCAB09" wp14:editId="59CB282A">
              <wp:simplePos x="635" y="635"/>
              <wp:positionH relativeFrom="page">
                <wp:align>center</wp:align>
              </wp:positionH>
              <wp:positionV relativeFrom="page">
                <wp:align>bottom</wp:align>
              </wp:positionV>
              <wp:extent cx="656590" cy="369570"/>
              <wp:effectExtent l="0" t="0" r="10160" b="0"/>
              <wp:wrapNone/>
              <wp:docPr id="159098392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F630DED" w14:textId="361A0A6D" w:rsidR="005401F1" w:rsidRPr="005401F1" w:rsidRDefault="005401F1" w:rsidP="005401F1">
                          <w:pPr>
                            <w:rPr>
                              <w:rFonts w:ascii="Arial Black" w:eastAsia="Arial Black" w:hAnsi="Arial Black" w:cs="Arial Black"/>
                              <w:noProof/>
                              <w:color w:val="000000"/>
                              <w:sz w:val="20"/>
                              <w:szCs w:val="20"/>
                            </w:rPr>
                          </w:pPr>
                          <w:r w:rsidRPr="005401F1">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BCAB09" id="_x0000_t202" coordsize="21600,21600" o:spt="202" path="m,l,21600r21600,l21600,xe">
              <v:stroke joinstyle="miter"/>
              <v:path gradientshapeok="t" o:connecttype="rect"/>
            </v:shapetype>
            <v:shape id="Text Box 5" o:spid="_x0000_s1028" type="#_x0000_t202" alt="OFFICIAL" style="position:absolute;margin-left:0;margin-top:0;width:51.7pt;height:29.1pt;z-index:251703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1F630DED" w14:textId="361A0A6D" w:rsidR="005401F1" w:rsidRPr="005401F1" w:rsidRDefault="005401F1" w:rsidP="005401F1">
                    <w:pPr>
                      <w:rPr>
                        <w:rFonts w:ascii="Arial Black" w:eastAsia="Arial Black" w:hAnsi="Arial Black" w:cs="Arial Black"/>
                        <w:noProof/>
                        <w:color w:val="000000"/>
                        <w:sz w:val="20"/>
                        <w:szCs w:val="20"/>
                      </w:rPr>
                    </w:pPr>
                    <w:r w:rsidRPr="005401F1">
                      <w:rPr>
                        <w:rFonts w:ascii="Arial Black" w:eastAsia="Arial Black" w:hAnsi="Arial Black" w:cs="Arial Black"/>
                        <w:noProof/>
                        <w:color w:val="000000"/>
                        <w:sz w:val="20"/>
                        <w:szCs w:val="20"/>
                      </w:rPr>
                      <w:t>OFFICIAL</w:t>
                    </w:r>
                  </w:p>
                </w:txbxContent>
              </v:textbox>
              <w10:wrap anchorx="page" anchory="page"/>
            </v:shape>
          </w:pict>
        </mc:Fallback>
      </mc:AlternateContent>
    </w:r>
  </w:p>
  <w:p w14:paraId="4A8ADED2" w14:textId="77777777" w:rsidR="00F43F08" w:rsidRDefault="00F43F0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12453"/>
      <w:docPartObj>
        <w:docPartGallery w:val="Page Numbers (Bottom of Page)"/>
        <w:docPartUnique/>
      </w:docPartObj>
    </w:sdtPr>
    <w:sdtEndPr>
      <w:rPr>
        <w:noProof/>
      </w:rPr>
    </w:sdtEndPr>
    <w:sdtContent>
      <w:p w14:paraId="286724A9" w14:textId="77777777" w:rsidR="000176F4" w:rsidRDefault="00B80483">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0D136B02" w14:textId="4174DFED" w:rsidR="00B80483" w:rsidRPr="005F42EA" w:rsidRDefault="000176F4" w:rsidP="005F42EA">
        <w:pPr>
          <w:pStyle w:val="Footer"/>
          <w:jc w:val="center"/>
          <w:rPr>
            <w:b/>
          </w:rPr>
        </w:pPr>
        <w:r w:rsidRPr="00F8719B">
          <w:rPr>
            <w:b/>
            <w:bCs/>
            <w:noProof/>
          </w:rPr>
          <w:t>OFFICIAL</w:t>
        </w:r>
      </w:p>
    </w:sdtContent>
  </w:sdt>
  <w:p w14:paraId="33236EAE" w14:textId="0679E358" w:rsidR="00875DF6" w:rsidRPr="005F42EA" w:rsidRDefault="00875DF6" w:rsidP="005F42EA">
    <w:pPr>
      <w:pStyle w:val="Footer"/>
      <w:jc w:val="center"/>
      <w:rPr>
        <w:b/>
      </w:rPr>
    </w:pPr>
  </w:p>
  <w:p w14:paraId="272FD504" w14:textId="77777777" w:rsidR="00F43F08" w:rsidRDefault="00F43F0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132A6" w14:textId="77777777" w:rsidR="00E86048" w:rsidRDefault="005401F1">
    <w:pPr>
      <w:pStyle w:val="Footer"/>
      <w:jc w:val="right"/>
    </w:pPr>
    <w:r>
      <w:rPr>
        <w:noProof/>
      </w:rPr>
      <mc:AlternateContent>
        <mc:Choice Requires="wps">
          <w:drawing>
            <wp:anchor distT="0" distB="0" distL="0" distR="0" simplePos="0" relativeHeight="251707392" behindDoc="0" locked="0" layoutInCell="1" allowOverlap="1" wp14:anchorId="36A97BE7" wp14:editId="7713F24C">
              <wp:simplePos x="635" y="635"/>
              <wp:positionH relativeFrom="page">
                <wp:align>center</wp:align>
              </wp:positionH>
              <wp:positionV relativeFrom="page">
                <wp:align>bottom</wp:align>
              </wp:positionV>
              <wp:extent cx="656590" cy="369570"/>
              <wp:effectExtent l="0" t="0" r="10160" b="0"/>
              <wp:wrapNone/>
              <wp:docPr id="169429138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7F85BAB" w14:textId="1DE1812C" w:rsidR="005401F1" w:rsidRPr="005401F1" w:rsidRDefault="005401F1" w:rsidP="005401F1">
                          <w:pPr>
                            <w:rPr>
                              <w:rFonts w:ascii="Arial Black" w:eastAsia="Arial Black" w:hAnsi="Arial Black" w:cs="Arial Black"/>
                              <w:noProof/>
                              <w:color w:val="000000"/>
                              <w:sz w:val="20"/>
                              <w:szCs w:val="20"/>
                            </w:rPr>
                          </w:pPr>
                          <w:r w:rsidRPr="005401F1">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A97BE7" id="_x0000_t202" coordsize="21600,21600" o:spt="202" path="m,l,21600r21600,l21600,xe">
              <v:stroke joinstyle="miter"/>
              <v:path gradientshapeok="t" o:connecttype="rect"/>
            </v:shapetype>
            <v:shape id="Text Box 4" o:spid="_x0000_s1029" type="#_x0000_t202" alt="OFFICIAL" style="position:absolute;left:0;text-align:left;margin-left:0;margin-top:0;width:51.7pt;height:29.1pt;z-index:2517073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47F85BAB" w14:textId="1DE1812C" w:rsidR="005401F1" w:rsidRPr="005401F1" w:rsidRDefault="005401F1" w:rsidP="005401F1">
                    <w:pPr>
                      <w:rPr>
                        <w:rFonts w:ascii="Arial Black" w:eastAsia="Arial Black" w:hAnsi="Arial Black" w:cs="Arial Black"/>
                        <w:noProof/>
                        <w:color w:val="000000"/>
                        <w:sz w:val="20"/>
                        <w:szCs w:val="20"/>
                      </w:rPr>
                    </w:pPr>
                    <w:r w:rsidRPr="005401F1">
                      <w:rPr>
                        <w:rFonts w:ascii="Arial Black" w:eastAsia="Arial Black" w:hAnsi="Arial Black" w:cs="Arial Black"/>
                        <w:noProof/>
                        <w:color w:val="000000"/>
                        <w:sz w:val="20"/>
                        <w:szCs w:val="20"/>
                      </w:rPr>
                      <w:t>OFFICIAL</w:t>
                    </w:r>
                  </w:p>
                </w:txbxContent>
              </v:textbox>
              <w10:wrap anchorx="page" anchory="page"/>
            </v:shape>
          </w:pict>
        </mc:Fallback>
      </mc:AlternateContent>
    </w:r>
  </w:p>
  <w:p w14:paraId="300A682B" w14:textId="0F762CC2" w:rsidR="00DD62AF" w:rsidRDefault="00DD62AF">
    <w:pPr>
      <w:pStyle w:val="Footer"/>
      <w:jc w:val="right"/>
    </w:pPr>
  </w:p>
  <w:p w14:paraId="637AF25F" w14:textId="00F6EC20" w:rsidR="00EC7C37" w:rsidRDefault="00EC7C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99FBD" w14:textId="77777777" w:rsidR="009342FB" w:rsidRDefault="009342FB" w:rsidP="006B56BB">
      <w:r>
        <w:separator/>
      </w:r>
    </w:p>
    <w:p w14:paraId="1CF1F74B" w14:textId="77777777" w:rsidR="009342FB" w:rsidRDefault="009342FB"/>
    <w:p w14:paraId="09A8C5BA" w14:textId="77777777" w:rsidR="009342FB" w:rsidRDefault="009342FB"/>
  </w:footnote>
  <w:footnote w:type="continuationSeparator" w:id="0">
    <w:p w14:paraId="27837E31" w14:textId="77777777" w:rsidR="009342FB" w:rsidRDefault="009342FB" w:rsidP="006B56BB">
      <w:r>
        <w:continuationSeparator/>
      </w:r>
    </w:p>
    <w:p w14:paraId="7A8CD492" w14:textId="77777777" w:rsidR="009342FB" w:rsidRDefault="009342FB"/>
    <w:p w14:paraId="07C3DCC7" w14:textId="77777777" w:rsidR="009342FB" w:rsidRDefault="009342FB"/>
  </w:footnote>
  <w:footnote w:type="continuationNotice" w:id="1">
    <w:p w14:paraId="211552A7" w14:textId="77777777" w:rsidR="009342FB" w:rsidRDefault="009342FB"/>
    <w:p w14:paraId="4A1092D4" w14:textId="77777777" w:rsidR="009342FB" w:rsidRDefault="009342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CCF6B" w14:textId="428DBC30" w:rsidR="00AD5CA5" w:rsidRDefault="00A658F3">
    <w:pPr>
      <w:pStyle w:val="Header"/>
    </w:pPr>
    <w:r>
      <w:rPr>
        <w:noProof/>
      </w:rPr>
      <w:pict w14:anchorId="21E11D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23719" o:spid="_x0000_s1041" type="#_x0000_t136" style="position:absolute;margin-left:0;margin-top:0;width:456.7pt;height:182.65pt;rotation:315;z-index:-2516070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21E11D3A">
        <v:shape id="PowerPlusWaterMarkObject179784907" o:spid="_x0000_s1035" type="#_x0000_t136" style="position:absolute;margin-left:0;margin-top:0;width:456.7pt;height:182.65pt;rotation:315;z-index:-2516346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18F9D" w14:textId="52795FBE" w:rsidR="00AD5CA5" w:rsidRDefault="00A658F3">
    <w:pPr>
      <w:pStyle w:val="Header"/>
    </w:pPr>
    <w:r>
      <w:rPr>
        <w:noProof/>
      </w:rPr>
      <w:pict w14:anchorId="19F53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23720" o:spid="_x0000_s1042" type="#_x0000_t136" style="position:absolute;margin-left:0;margin-top:0;width:456.7pt;height:182.65pt;rotation:315;z-index:-2516049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19F530D1">
        <v:shape id="PowerPlusWaterMarkObject179784908" o:spid="_x0000_s1036" type="#_x0000_t136" style="position:absolute;margin-left:0;margin-top:0;width:456.7pt;height:182.65pt;rotation:315;z-index:-2516326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73A6" w14:textId="61E756C9" w:rsidR="00E66214" w:rsidRDefault="00E66214" w:rsidP="00E66214">
    <w:pPr>
      <w:pStyle w:val="NormalWeb"/>
    </w:pPr>
    <w:r>
      <w:rPr>
        <w:noProof/>
      </w:rPr>
      <w:drawing>
        <wp:anchor distT="0" distB="0" distL="114300" distR="114300" simplePos="0" relativeHeight="251672576" behindDoc="1" locked="0" layoutInCell="1" allowOverlap="1" wp14:anchorId="1A393F67" wp14:editId="794B6F3F">
          <wp:simplePos x="0" y="0"/>
          <wp:positionH relativeFrom="page">
            <wp:posOffset>-10633</wp:posOffset>
          </wp:positionH>
          <wp:positionV relativeFrom="page">
            <wp:posOffset>-116958</wp:posOffset>
          </wp:positionV>
          <wp:extent cx="7559675" cy="10621925"/>
          <wp:effectExtent l="0" t="0" r="3175" b="8255"/>
          <wp:wrapNone/>
          <wp:docPr id="135621474" name="Picture 135621474"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06406" name="Picture 614806406" descr="Australian Government Department of Health cres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938" cy="1062369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1728" behindDoc="0" locked="0" layoutInCell="1" allowOverlap="1" wp14:anchorId="7577AAA7" wp14:editId="1B87889B">
          <wp:simplePos x="0" y="0"/>
          <wp:positionH relativeFrom="column">
            <wp:posOffset>-634838</wp:posOffset>
          </wp:positionH>
          <wp:positionV relativeFrom="paragraph">
            <wp:posOffset>-274320</wp:posOffset>
          </wp:positionV>
          <wp:extent cx="2211070" cy="669925"/>
          <wp:effectExtent l="0" t="0" r="0" b="0"/>
          <wp:wrapThrough wrapText="bothSides">
            <wp:wrapPolygon edited="0">
              <wp:start x="0" y="0"/>
              <wp:lineTo x="0" y="20883"/>
              <wp:lineTo x="21401" y="20883"/>
              <wp:lineTo x="21401" y="0"/>
              <wp:lineTo x="0" y="0"/>
            </wp:wrapPolygon>
          </wp:wrapThrough>
          <wp:docPr id="1"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1070" cy="669925"/>
                  </a:xfrm>
                  <a:prstGeom prst="rect">
                    <a:avLst/>
                  </a:prstGeom>
                  <a:solidFill>
                    <a:schemeClr val="bg1"/>
                  </a:solidFill>
                  <a:ln>
                    <a:noFill/>
                  </a:ln>
                </pic:spPr>
              </pic:pic>
            </a:graphicData>
          </a:graphic>
          <wp14:sizeRelH relativeFrom="margin">
            <wp14:pctWidth>0</wp14:pctWidth>
          </wp14:sizeRelH>
          <wp14:sizeRelV relativeFrom="margin">
            <wp14:pctHeight>0</wp14:pctHeight>
          </wp14:sizeRelV>
        </wp:anchor>
      </w:drawing>
    </w:r>
  </w:p>
  <w:p w14:paraId="55FA32B1" w14:textId="672DC4E4" w:rsidR="00751A23" w:rsidRDefault="00A658F3" w:rsidP="001679C5">
    <w:pPr>
      <w:pStyle w:val="Header"/>
    </w:pPr>
    <w:r>
      <w:rPr>
        <w:noProof/>
      </w:rPr>
      <w:pict w14:anchorId="2D729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832031" o:spid="_x0000_s1029" type="#_x0000_t136" style="position:absolute;margin-left:0;margin-top:0;width:456.7pt;height:182.6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8FA6" w14:textId="4E356A77" w:rsidR="00AD5CA5" w:rsidRDefault="00A658F3">
    <w:pPr>
      <w:pStyle w:val="Header"/>
    </w:pPr>
    <w:r>
      <w:rPr>
        <w:noProof/>
      </w:rPr>
      <w:pict w14:anchorId="60C459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23722" o:spid="_x0000_s1044" type="#_x0000_t136" style="position:absolute;margin-left:0;margin-top:0;width:456.7pt;height:182.65pt;rotation:315;z-index:-2515998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60C459F9">
        <v:shape id="PowerPlusWaterMarkObject179784910" o:spid="_x0000_s1038" type="#_x0000_t136" style="position:absolute;margin-left:0;margin-top:0;width:456.7pt;height:182.65pt;rotation:315;z-index:-2516275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2C529139" w14:textId="77777777" w:rsidR="00F43F08" w:rsidRDefault="00F43F0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632C6" w14:textId="6EBAC438" w:rsidR="00AD5CA5" w:rsidRDefault="00A658F3">
    <w:pPr>
      <w:pStyle w:val="Header"/>
    </w:pPr>
    <w:r>
      <w:rPr>
        <w:noProof/>
      </w:rPr>
      <w:pict w14:anchorId="58BDF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23723" o:spid="_x0000_s1045" type="#_x0000_t136" style="position:absolute;margin-left:0;margin-top:0;width:456.7pt;height:182.65pt;rotation:315;z-index:-2515978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6FF882DD" w14:textId="77777777" w:rsidR="00F43F08" w:rsidRDefault="00F43F0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DF227" w14:textId="0E069028" w:rsidR="00751A23" w:rsidRDefault="00A658F3">
    <w:pPr>
      <w:pStyle w:val="Header"/>
    </w:pPr>
    <w:r>
      <w:rPr>
        <w:noProof/>
      </w:rPr>
      <w:pict w14:anchorId="29A30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23721" o:spid="_x0000_s1046" type="#_x0000_t136" style="position:absolute;margin-left:0;margin-top:0;width:456.7pt;height:182.65pt;rotation:315;z-index:-251595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29A302E2">
        <v:shape id="PowerPlusWaterMarkObject179784909" o:spid="_x0000_s1040" type="#_x0000_t136" style="position:absolute;margin-left:0;margin-top:0;width:456.7pt;height:182.65pt;rotation:315;z-index:-2516234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5D17D85B" w14:textId="77777777" w:rsidR="00EC7C37" w:rsidRDefault="00EC7C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BD64EC"/>
    <w:multiLevelType w:val="hybridMultilevel"/>
    <w:tmpl w:val="1268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0846AD"/>
    <w:multiLevelType w:val="hybridMultilevel"/>
    <w:tmpl w:val="19F08A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DF329FB"/>
    <w:multiLevelType w:val="hybridMultilevel"/>
    <w:tmpl w:val="49A0F7E2"/>
    <w:lvl w:ilvl="0" w:tplc="0C090001">
      <w:start w:val="1"/>
      <w:numFmt w:val="bullet"/>
      <w:lvlText w:val=""/>
      <w:lvlJc w:val="left"/>
      <w:pPr>
        <w:ind w:left="359" w:hanging="360"/>
      </w:pPr>
      <w:rPr>
        <w:rFonts w:ascii="Symbol" w:hAnsi="Symbol" w:hint="default"/>
      </w:rPr>
    </w:lvl>
    <w:lvl w:ilvl="1" w:tplc="0C090003" w:tentative="1">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5" w15:restartNumberingAfterBreak="0">
    <w:nsid w:val="2A7332FC"/>
    <w:multiLevelType w:val="hybridMultilevel"/>
    <w:tmpl w:val="86E6A7F2"/>
    <w:lvl w:ilvl="0" w:tplc="A0D8ECCC">
      <w:start w:val="1"/>
      <w:numFmt w:val="decimal"/>
      <w:lvlText w:val="%1."/>
      <w:lvlJc w:val="left"/>
      <w:pPr>
        <w:ind w:left="720" w:hanging="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585FBF"/>
    <w:multiLevelType w:val="hybridMultilevel"/>
    <w:tmpl w:val="1C22AF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F592959"/>
    <w:multiLevelType w:val="hybridMultilevel"/>
    <w:tmpl w:val="FF2A7D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3C04AA"/>
    <w:multiLevelType w:val="hybridMultilevel"/>
    <w:tmpl w:val="06F067E4"/>
    <w:lvl w:ilvl="0" w:tplc="1068A8B0">
      <w:start w:val="1"/>
      <w:numFmt w:val="bullet"/>
      <w:pStyle w:val="ListNumber2"/>
      <w:lvlText w:val=""/>
      <w:lvlJc w:val="left"/>
      <w:pPr>
        <w:ind w:left="360" w:hanging="360"/>
      </w:pPr>
      <w:rPr>
        <w:rFonts w:ascii="Symbol" w:hAnsi="Symbol" w:hint="default"/>
        <w:color w:val="000000" w:themeColor="text1"/>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C315CE"/>
    <w:multiLevelType w:val="hybridMultilevel"/>
    <w:tmpl w:val="667634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89F7B86"/>
    <w:multiLevelType w:val="hybridMultilevel"/>
    <w:tmpl w:val="3D5C6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0F5425B"/>
    <w:multiLevelType w:val="hybridMultilevel"/>
    <w:tmpl w:val="056408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69B63A0"/>
    <w:multiLevelType w:val="hybridMultilevel"/>
    <w:tmpl w:val="7B32A9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D341966"/>
    <w:multiLevelType w:val="hybridMultilevel"/>
    <w:tmpl w:val="04907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6E10F09"/>
    <w:multiLevelType w:val="hybridMultilevel"/>
    <w:tmpl w:val="0FE07E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7C75B3"/>
    <w:multiLevelType w:val="hybridMultilevel"/>
    <w:tmpl w:val="9080E9A6"/>
    <w:lvl w:ilvl="0" w:tplc="77E60E00">
      <w:start w:val="2"/>
      <w:numFmt w:val="bullet"/>
      <w:lvlText w:val="-"/>
      <w:lvlJc w:val="left"/>
      <w:pPr>
        <w:ind w:left="587" w:hanging="360"/>
      </w:pPr>
      <w:rPr>
        <w:rFonts w:ascii="Aptos" w:eastAsia="Times New Roman" w:hAnsi="Aptos" w:cs="Aria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8" w15:restartNumberingAfterBreak="0">
    <w:nsid w:val="6DB80453"/>
    <w:multiLevelType w:val="hybridMultilevel"/>
    <w:tmpl w:val="86E6A7F2"/>
    <w:lvl w:ilvl="0" w:tplc="FFFFFFFF">
      <w:start w:val="1"/>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131387913">
    <w:abstractNumId w:val="14"/>
  </w:num>
  <w:num w:numId="2" w16cid:durableId="2071999378">
    <w:abstractNumId w:val="16"/>
  </w:num>
  <w:num w:numId="3" w16cid:durableId="219559501">
    <w:abstractNumId w:val="0"/>
  </w:num>
  <w:num w:numId="4" w16cid:durableId="694624104">
    <w:abstractNumId w:val="19"/>
  </w:num>
  <w:num w:numId="5" w16cid:durableId="148719387">
    <w:abstractNumId w:val="2"/>
  </w:num>
  <w:num w:numId="6" w16cid:durableId="1374424549">
    <w:abstractNumId w:val="8"/>
  </w:num>
  <w:num w:numId="7" w16cid:durableId="1030885665">
    <w:abstractNumId w:val="4"/>
  </w:num>
  <w:num w:numId="8" w16cid:durableId="1803233884">
    <w:abstractNumId w:val="13"/>
  </w:num>
  <w:num w:numId="9" w16cid:durableId="569269251">
    <w:abstractNumId w:val="5"/>
  </w:num>
  <w:num w:numId="10" w16cid:durableId="186994157">
    <w:abstractNumId w:val="10"/>
  </w:num>
  <w:num w:numId="11" w16cid:durableId="1605069338">
    <w:abstractNumId w:val="11"/>
  </w:num>
  <w:num w:numId="12" w16cid:durableId="179660079">
    <w:abstractNumId w:val="18"/>
  </w:num>
  <w:num w:numId="13" w16cid:durableId="453407409">
    <w:abstractNumId w:val="12"/>
  </w:num>
  <w:num w:numId="14" w16cid:durableId="1059547860">
    <w:abstractNumId w:val="1"/>
  </w:num>
  <w:num w:numId="15" w16cid:durableId="316539085">
    <w:abstractNumId w:val="15"/>
  </w:num>
  <w:num w:numId="16" w16cid:durableId="1311014564">
    <w:abstractNumId w:val="3"/>
  </w:num>
  <w:num w:numId="17" w16cid:durableId="1629896855">
    <w:abstractNumId w:val="9"/>
  </w:num>
  <w:num w:numId="18" w16cid:durableId="1919558172">
    <w:abstractNumId w:val="17"/>
  </w:num>
  <w:num w:numId="19" w16cid:durableId="542211998">
    <w:abstractNumId w:val="7"/>
  </w:num>
  <w:num w:numId="20" w16cid:durableId="902645527">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removePersonalInformation/>
  <w:removeDateAndTime/>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BF"/>
    <w:rsid w:val="00000140"/>
    <w:rsid w:val="00000790"/>
    <w:rsid w:val="00003743"/>
    <w:rsid w:val="000038AA"/>
    <w:rsid w:val="000047B4"/>
    <w:rsid w:val="00004BB3"/>
    <w:rsid w:val="00005712"/>
    <w:rsid w:val="00005738"/>
    <w:rsid w:val="00005EAF"/>
    <w:rsid w:val="00007C1D"/>
    <w:rsid w:val="00007FD8"/>
    <w:rsid w:val="000117F4"/>
    <w:rsid w:val="000117F8"/>
    <w:rsid w:val="00011BE2"/>
    <w:rsid w:val="00012E4C"/>
    <w:rsid w:val="00015022"/>
    <w:rsid w:val="00016549"/>
    <w:rsid w:val="000176F4"/>
    <w:rsid w:val="00017810"/>
    <w:rsid w:val="00017886"/>
    <w:rsid w:val="00017C06"/>
    <w:rsid w:val="00020074"/>
    <w:rsid w:val="00021D81"/>
    <w:rsid w:val="000222FE"/>
    <w:rsid w:val="000226EC"/>
    <w:rsid w:val="00023CA1"/>
    <w:rsid w:val="00026139"/>
    <w:rsid w:val="0002698A"/>
    <w:rsid w:val="00027071"/>
    <w:rsid w:val="00027601"/>
    <w:rsid w:val="000278C8"/>
    <w:rsid w:val="00031328"/>
    <w:rsid w:val="00031789"/>
    <w:rsid w:val="000320FD"/>
    <w:rsid w:val="00033321"/>
    <w:rsid w:val="000338E5"/>
    <w:rsid w:val="00033ECC"/>
    <w:rsid w:val="0003422F"/>
    <w:rsid w:val="0003584B"/>
    <w:rsid w:val="000358D5"/>
    <w:rsid w:val="00035D2A"/>
    <w:rsid w:val="00036B17"/>
    <w:rsid w:val="00036B75"/>
    <w:rsid w:val="00040082"/>
    <w:rsid w:val="0004038E"/>
    <w:rsid w:val="00041116"/>
    <w:rsid w:val="000420EF"/>
    <w:rsid w:val="000437CC"/>
    <w:rsid w:val="0004494E"/>
    <w:rsid w:val="0004599E"/>
    <w:rsid w:val="000462F8"/>
    <w:rsid w:val="00046417"/>
    <w:rsid w:val="00046F07"/>
    <w:rsid w:val="00046FB2"/>
    <w:rsid w:val="00046FF0"/>
    <w:rsid w:val="00050176"/>
    <w:rsid w:val="000517B6"/>
    <w:rsid w:val="00052CEE"/>
    <w:rsid w:val="0005347F"/>
    <w:rsid w:val="00055BB0"/>
    <w:rsid w:val="00055CD5"/>
    <w:rsid w:val="00056035"/>
    <w:rsid w:val="00056673"/>
    <w:rsid w:val="00056AC3"/>
    <w:rsid w:val="00057693"/>
    <w:rsid w:val="00057939"/>
    <w:rsid w:val="00057B56"/>
    <w:rsid w:val="00057B58"/>
    <w:rsid w:val="00060205"/>
    <w:rsid w:val="00062B65"/>
    <w:rsid w:val="00062D6C"/>
    <w:rsid w:val="00063813"/>
    <w:rsid w:val="00063BAD"/>
    <w:rsid w:val="00067456"/>
    <w:rsid w:val="000705BD"/>
    <w:rsid w:val="0007118A"/>
    <w:rsid w:val="00071506"/>
    <w:rsid w:val="0007154F"/>
    <w:rsid w:val="000717F2"/>
    <w:rsid w:val="00071DD3"/>
    <w:rsid w:val="00072728"/>
    <w:rsid w:val="0007280C"/>
    <w:rsid w:val="00072A87"/>
    <w:rsid w:val="00073840"/>
    <w:rsid w:val="000746C7"/>
    <w:rsid w:val="000752F6"/>
    <w:rsid w:val="0007588E"/>
    <w:rsid w:val="00076FED"/>
    <w:rsid w:val="000771C9"/>
    <w:rsid w:val="00077913"/>
    <w:rsid w:val="00081AB1"/>
    <w:rsid w:val="00081DBD"/>
    <w:rsid w:val="000858CB"/>
    <w:rsid w:val="00085F78"/>
    <w:rsid w:val="00086280"/>
    <w:rsid w:val="000863B8"/>
    <w:rsid w:val="00086797"/>
    <w:rsid w:val="00086FFD"/>
    <w:rsid w:val="000872A7"/>
    <w:rsid w:val="00087AB6"/>
    <w:rsid w:val="000901E3"/>
    <w:rsid w:val="00090316"/>
    <w:rsid w:val="000913D3"/>
    <w:rsid w:val="00092CEC"/>
    <w:rsid w:val="0009308E"/>
    <w:rsid w:val="00093981"/>
    <w:rsid w:val="00093CD9"/>
    <w:rsid w:val="0009422D"/>
    <w:rsid w:val="00095153"/>
    <w:rsid w:val="00095786"/>
    <w:rsid w:val="00096339"/>
    <w:rsid w:val="000965BF"/>
    <w:rsid w:val="00096A78"/>
    <w:rsid w:val="000A34A6"/>
    <w:rsid w:val="000A3CEA"/>
    <w:rsid w:val="000A3EE8"/>
    <w:rsid w:val="000A433E"/>
    <w:rsid w:val="000A60D8"/>
    <w:rsid w:val="000A660D"/>
    <w:rsid w:val="000A68D7"/>
    <w:rsid w:val="000A714E"/>
    <w:rsid w:val="000A7C80"/>
    <w:rsid w:val="000B050A"/>
    <w:rsid w:val="000B067A"/>
    <w:rsid w:val="000B095A"/>
    <w:rsid w:val="000B1540"/>
    <w:rsid w:val="000B2CB5"/>
    <w:rsid w:val="000B2E80"/>
    <w:rsid w:val="000B2F70"/>
    <w:rsid w:val="000B33FD"/>
    <w:rsid w:val="000B3630"/>
    <w:rsid w:val="000B4470"/>
    <w:rsid w:val="000B4ABA"/>
    <w:rsid w:val="000B6588"/>
    <w:rsid w:val="000B6DA1"/>
    <w:rsid w:val="000B726A"/>
    <w:rsid w:val="000C449C"/>
    <w:rsid w:val="000C45D0"/>
    <w:rsid w:val="000C4B16"/>
    <w:rsid w:val="000C50C3"/>
    <w:rsid w:val="000C5F6C"/>
    <w:rsid w:val="000C77DB"/>
    <w:rsid w:val="000D0045"/>
    <w:rsid w:val="000D0728"/>
    <w:rsid w:val="000D09C6"/>
    <w:rsid w:val="000D0B7A"/>
    <w:rsid w:val="000D0F86"/>
    <w:rsid w:val="000D21F6"/>
    <w:rsid w:val="000D3098"/>
    <w:rsid w:val="000D3FEB"/>
    <w:rsid w:val="000D42C3"/>
    <w:rsid w:val="000D4472"/>
    <w:rsid w:val="000D4500"/>
    <w:rsid w:val="000D4E27"/>
    <w:rsid w:val="000D5045"/>
    <w:rsid w:val="000D5064"/>
    <w:rsid w:val="000D7777"/>
    <w:rsid w:val="000D7AEA"/>
    <w:rsid w:val="000D7C95"/>
    <w:rsid w:val="000E01A9"/>
    <w:rsid w:val="000E0415"/>
    <w:rsid w:val="000E04BA"/>
    <w:rsid w:val="000E2C66"/>
    <w:rsid w:val="000E2FFA"/>
    <w:rsid w:val="000E3846"/>
    <w:rsid w:val="000E4DB6"/>
    <w:rsid w:val="000E513E"/>
    <w:rsid w:val="000E5A70"/>
    <w:rsid w:val="000E612F"/>
    <w:rsid w:val="000E66EC"/>
    <w:rsid w:val="000E6E7D"/>
    <w:rsid w:val="000F08B4"/>
    <w:rsid w:val="000F08EA"/>
    <w:rsid w:val="000F123C"/>
    <w:rsid w:val="000F2FED"/>
    <w:rsid w:val="000F308C"/>
    <w:rsid w:val="000F456F"/>
    <w:rsid w:val="000F46DA"/>
    <w:rsid w:val="000F5755"/>
    <w:rsid w:val="000F78B1"/>
    <w:rsid w:val="00101A61"/>
    <w:rsid w:val="00103D49"/>
    <w:rsid w:val="00104041"/>
    <w:rsid w:val="00104E52"/>
    <w:rsid w:val="0010616D"/>
    <w:rsid w:val="0010676D"/>
    <w:rsid w:val="001068A1"/>
    <w:rsid w:val="00106B4B"/>
    <w:rsid w:val="00107C68"/>
    <w:rsid w:val="00107EB1"/>
    <w:rsid w:val="00110478"/>
    <w:rsid w:val="00110F93"/>
    <w:rsid w:val="00112F55"/>
    <w:rsid w:val="00113587"/>
    <w:rsid w:val="00113D9E"/>
    <w:rsid w:val="00113F7B"/>
    <w:rsid w:val="00114981"/>
    <w:rsid w:val="00115F77"/>
    <w:rsid w:val="00116004"/>
    <w:rsid w:val="0011711B"/>
    <w:rsid w:val="001173B5"/>
    <w:rsid w:val="001173BF"/>
    <w:rsid w:val="00117F8A"/>
    <w:rsid w:val="00121B9B"/>
    <w:rsid w:val="00122500"/>
    <w:rsid w:val="00122ADC"/>
    <w:rsid w:val="001243A5"/>
    <w:rsid w:val="00124C8A"/>
    <w:rsid w:val="00125112"/>
    <w:rsid w:val="001257AA"/>
    <w:rsid w:val="00125AD1"/>
    <w:rsid w:val="0012628B"/>
    <w:rsid w:val="00130F59"/>
    <w:rsid w:val="00133096"/>
    <w:rsid w:val="0013393E"/>
    <w:rsid w:val="00133EC0"/>
    <w:rsid w:val="001341EF"/>
    <w:rsid w:val="00135ACB"/>
    <w:rsid w:val="00135E15"/>
    <w:rsid w:val="001378E4"/>
    <w:rsid w:val="00140030"/>
    <w:rsid w:val="00140126"/>
    <w:rsid w:val="00140818"/>
    <w:rsid w:val="0014199C"/>
    <w:rsid w:val="00141CE5"/>
    <w:rsid w:val="001430DF"/>
    <w:rsid w:val="001435C8"/>
    <w:rsid w:val="00144908"/>
    <w:rsid w:val="0014496B"/>
    <w:rsid w:val="00144FEA"/>
    <w:rsid w:val="001469AB"/>
    <w:rsid w:val="00147003"/>
    <w:rsid w:val="00147855"/>
    <w:rsid w:val="00150147"/>
    <w:rsid w:val="00150270"/>
    <w:rsid w:val="00151E3D"/>
    <w:rsid w:val="001521A5"/>
    <w:rsid w:val="001536A2"/>
    <w:rsid w:val="0015392E"/>
    <w:rsid w:val="0015452A"/>
    <w:rsid w:val="001568C0"/>
    <w:rsid w:val="001571C7"/>
    <w:rsid w:val="0016091A"/>
    <w:rsid w:val="00161094"/>
    <w:rsid w:val="001618A2"/>
    <w:rsid w:val="00161DC0"/>
    <w:rsid w:val="00162B32"/>
    <w:rsid w:val="001654AB"/>
    <w:rsid w:val="001660E5"/>
    <w:rsid w:val="00166535"/>
    <w:rsid w:val="00166BB6"/>
    <w:rsid w:val="00166CD0"/>
    <w:rsid w:val="00166F55"/>
    <w:rsid w:val="0016729D"/>
    <w:rsid w:val="001679C5"/>
    <w:rsid w:val="00171F23"/>
    <w:rsid w:val="0017267D"/>
    <w:rsid w:val="00172A55"/>
    <w:rsid w:val="00172EC9"/>
    <w:rsid w:val="001758CD"/>
    <w:rsid w:val="00175E1D"/>
    <w:rsid w:val="0017665C"/>
    <w:rsid w:val="00177AD2"/>
    <w:rsid w:val="001802AB"/>
    <w:rsid w:val="00180AE0"/>
    <w:rsid w:val="001815A8"/>
    <w:rsid w:val="00181873"/>
    <w:rsid w:val="00182E53"/>
    <w:rsid w:val="001831A8"/>
    <w:rsid w:val="001840FA"/>
    <w:rsid w:val="00185339"/>
    <w:rsid w:val="00187EFE"/>
    <w:rsid w:val="00190079"/>
    <w:rsid w:val="00190958"/>
    <w:rsid w:val="00190BA2"/>
    <w:rsid w:val="001922C9"/>
    <w:rsid w:val="00193E68"/>
    <w:rsid w:val="00194B65"/>
    <w:rsid w:val="0019622E"/>
    <w:rsid w:val="001966A7"/>
    <w:rsid w:val="00196F20"/>
    <w:rsid w:val="0019700B"/>
    <w:rsid w:val="001A06AE"/>
    <w:rsid w:val="001A0DD6"/>
    <w:rsid w:val="001A136F"/>
    <w:rsid w:val="001A34B7"/>
    <w:rsid w:val="001A372B"/>
    <w:rsid w:val="001A4004"/>
    <w:rsid w:val="001A4627"/>
    <w:rsid w:val="001A4979"/>
    <w:rsid w:val="001A7E55"/>
    <w:rsid w:val="001B0203"/>
    <w:rsid w:val="001B15D3"/>
    <w:rsid w:val="001B2721"/>
    <w:rsid w:val="001B3443"/>
    <w:rsid w:val="001B494F"/>
    <w:rsid w:val="001B49EE"/>
    <w:rsid w:val="001B5430"/>
    <w:rsid w:val="001B5AA0"/>
    <w:rsid w:val="001B6791"/>
    <w:rsid w:val="001B7F76"/>
    <w:rsid w:val="001BA27F"/>
    <w:rsid w:val="001C0326"/>
    <w:rsid w:val="001C111A"/>
    <w:rsid w:val="001C192F"/>
    <w:rsid w:val="001C2505"/>
    <w:rsid w:val="001C269D"/>
    <w:rsid w:val="001C3C42"/>
    <w:rsid w:val="001C538B"/>
    <w:rsid w:val="001C64F1"/>
    <w:rsid w:val="001C67A7"/>
    <w:rsid w:val="001C6DD5"/>
    <w:rsid w:val="001D1834"/>
    <w:rsid w:val="001D18DD"/>
    <w:rsid w:val="001D1C70"/>
    <w:rsid w:val="001D2519"/>
    <w:rsid w:val="001D2EF2"/>
    <w:rsid w:val="001D3499"/>
    <w:rsid w:val="001D3D82"/>
    <w:rsid w:val="001D63ED"/>
    <w:rsid w:val="001D7869"/>
    <w:rsid w:val="001D7F89"/>
    <w:rsid w:val="001E030F"/>
    <w:rsid w:val="001E0A90"/>
    <w:rsid w:val="001E222F"/>
    <w:rsid w:val="001E2D30"/>
    <w:rsid w:val="001E346E"/>
    <w:rsid w:val="001E3CC1"/>
    <w:rsid w:val="001E4782"/>
    <w:rsid w:val="001E70D2"/>
    <w:rsid w:val="001E7A55"/>
    <w:rsid w:val="001F0BDD"/>
    <w:rsid w:val="001F0D0F"/>
    <w:rsid w:val="001F25BC"/>
    <w:rsid w:val="001F2F78"/>
    <w:rsid w:val="001F3089"/>
    <w:rsid w:val="001F54F2"/>
    <w:rsid w:val="001F5BD7"/>
    <w:rsid w:val="001F5DC6"/>
    <w:rsid w:val="001F6731"/>
    <w:rsid w:val="001F6811"/>
    <w:rsid w:val="001F7132"/>
    <w:rsid w:val="001F7BF6"/>
    <w:rsid w:val="002000AC"/>
    <w:rsid w:val="002026CD"/>
    <w:rsid w:val="002033FC"/>
    <w:rsid w:val="0020346A"/>
    <w:rsid w:val="002044BB"/>
    <w:rsid w:val="00205AEB"/>
    <w:rsid w:val="002075EB"/>
    <w:rsid w:val="00207EA9"/>
    <w:rsid w:val="00210AC5"/>
    <w:rsid w:val="00210B09"/>
    <w:rsid w:val="00210C9E"/>
    <w:rsid w:val="00210E34"/>
    <w:rsid w:val="0021156A"/>
    <w:rsid w:val="00211840"/>
    <w:rsid w:val="00212FEB"/>
    <w:rsid w:val="002143B2"/>
    <w:rsid w:val="00214917"/>
    <w:rsid w:val="00214A52"/>
    <w:rsid w:val="0021730A"/>
    <w:rsid w:val="00217B53"/>
    <w:rsid w:val="00220E5F"/>
    <w:rsid w:val="00220F86"/>
    <w:rsid w:val="002212B5"/>
    <w:rsid w:val="00223500"/>
    <w:rsid w:val="002245CE"/>
    <w:rsid w:val="00224BA7"/>
    <w:rsid w:val="00226668"/>
    <w:rsid w:val="0023099B"/>
    <w:rsid w:val="00230AB6"/>
    <w:rsid w:val="00231169"/>
    <w:rsid w:val="0023167A"/>
    <w:rsid w:val="00231765"/>
    <w:rsid w:val="002320B8"/>
    <w:rsid w:val="00232195"/>
    <w:rsid w:val="00233809"/>
    <w:rsid w:val="00233884"/>
    <w:rsid w:val="0023418F"/>
    <w:rsid w:val="00234AFB"/>
    <w:rsid w:val="002350E8"/>
    <w:rsid w:val="00235779"/>
    <w:rsid w:val="002369C1"/>
    <w:rsid w:val="00240046"/>
    <w:rsid w:val="00240826"/>
    <w:rsid w:val="0024288A"/>
    <w:rsid w:val="00243B13"/>
    <w:rsid w:val="00245E21"/>
    <w:rsid w:val="00245E7B"/>
    <w:rsid w:val="00246825"/>
    <w:rsid w:val="00246F62"/>
    <w:rsid w:val="00247021"/>
    <w:rsid w:val="0024797F"/>
    <w:rsid w:val="00250AAC"/>
    <w:rsid w:val="0025119E"/>
    <w:rsid w:val="00251269"/>
    <w:rsid w:val="00252FB4"/>
    <w:rsid w:val="002535C0"/>
    <w:rsid w:val="002538B2"/>
    <w:rsid w:val="002551E2"/>
    <w:rsid w:val="002569FF"/>
    <w:rsid w:val="002577D9"/>
    <w:rsid w:val="0025792F"/>
    <w:rsid w:val="002579FE"/>
    <w:rsid w:val="00257FF7"/>
    <w:rsid w:val="002617BC"/>
    <w:rsid w:val="00262EF8"/>
    <w:rsid w:val="0026311C"/>
    <w:rsid w:val="00263163"/>
    <w:rsid w:val="00263ED4"/>
    <w:rsid w:val="0026411E"/>
    <w:rsid w:val="00265299"/>
    <w:rsid w:val="00265850"/>
    <w:rsid w:val="0026668C"/>
    <w:rsid w:val="00266AC1"/>
    <w:rsid w:val="00266DD6"/>
    <w:rsid w:val="00267044"/>
    <w:rsid w:val="002705AB"/>
    <w:rsid w:val="0027178C"/>
    <w:rsid w:val="002719FA"/>
    <w:rsid w:val="00272668"/>
    <w:rsid w:val="0027330B"/>
    <w:rsid w:val="002736C1"/>
    <w:rsid w:val="002736F0"/>
    <w:rsid w:val="00274EFD"/>
    <w:rsid w:val="002762FD"/>
    <w:rsid w:val="002768F4"/>
    <w:rsid w:val="002770E0"/>
    <w:rsid w:val="002803AD"/>
    <w:rsid w:val="002813F3"/>
    <w:rsid w:val="002815CF"/>
    <w:rsid w:val="0028169C"/>
    <w:rsid w:val="00282052"/>
    <w:rsid w:val="00282692"/>
    <w:rsid w:val="00283105"/>
    <w:rsid w:val="0028467C"/>
    <w:rsid w:val="00284957"/>
    <w:rsid w:val="0028519E"/>
    <w:rsid w:val="002852BF"/>
    <w:rsid w:val="002856A5"/>
    <w:rsid w:val="00285A8C"/>
    <w:rsid w:val="002872ED"/>
    <w:rsid w:val="002905C2"/>
    <w:rsid w:val="00290A8D"/>
    <w:rsid w:val="002914AB"/>
    <w:rsid w:val="00291586"/>
    <w:rsid w:val="00291D56"/>
    <w:rsid w:val="00292D51"/>
    <w:rsid w:val="00293F18"/>
    <w:rsid w:val="0029416A"/>
    <w:rsid w:val="002955F3"/>
    <w:rsid w:val="00295AF2"/>
    <w:rsid w:val="00295C91"/>
    <w:rsid w:val="00296AC9"/>
    <w:rsid w:val="00297151"/>
    <w:rsid w:val="00297366"/>
    <w:rsid w:val="00297917"/>
    <w:rsid w:val="002A019F"/>
    <w:rsid w:val="002A0819"/>
    <w:rsid w:val="002A0E10"/>
    <w:rsid w:val="002A1E57"/>
    <w:rsid w:val="002A2065"/>
    <w:rsid w:val="002A2C56"/>
    <w:rsid w:val="002A5C95"/>
    <w:rsid w:val="002A7115"/>
    <w:rsid w:val="002A75C6"/>
    <w:rsid w:val="002B0089"/>
    <w:rsid w:val="002B20E6"/>
    <w:rsid w:val="002B20E8"/>
    <w:rsid w:val="002B3DCD"/>
    <w:rsid w:val="002B418F"/>
    <w:rsid w:val="002B42A3"/>
    <w:rsid w:val="002B5622"/>
    <w:rsid w:val="002B6D33"/>
    <w:rsid w:val="002B7471"/>
    <w:rsid w:val="002B74A7"/>
    <w:rsid w:val="002B7F27"/>
    <w:rsid w:val="002C00D1"/>
    <w:rsid w:val="002C046D"/>
    <w:rsid w:val="002C0CDD"/>
    <w:rsid w:val="002C1B68"/>
    <w:rsid w:val="002C376F"/>
    <w:rsid w:val="002C3968"/>
    <w:rsid w:val="002C4E87"/>
    <w:rsid w:val="002C7597"/>
    <w:rsid w:val="002D1176"/>
    <w:rsid w:val="002D25E5"/>
    <w:rsid w:val="002D3283"/>
    <w:rsid w:val="002D377B"/>
    <w:rsid w:val="002D68C9"/>
    <w:rsid w:val="002D7799"/>
    <w:rsid w:val="002D77DE"/>
    <w:rsid w:val="002E0ED6"/>
    <w:rsid w:val="002E1A1D"/>
    <w:rsid w:val="002E1F34"/>
    <w:rsid w:val="002E281A"/>
    <w:rsid w:val="002E38E5"/>
    <w:rsid w:val="002E3C27"/>
    <w:rsid w:val="002E4081"/>
    <w:rsid w:val="002E4500"/>
    <w:rsid w:val="002E5B78"/>
    <w:rsid w:val="002E5C34"/>
    <w:rsid w:val="002E5EFF"/>
    <w:rsid w:val="002E6825"/>
    <w:rsid w:val="002F2978"/>
    <w:rsid w:val="002F3507"/>
    <w:rsid w:val="002F3AE3"/>
    <w:rsid w:val="002F4BC0"/>
    <w:rsid w:val="00300C94"/>
    <w:rsid w:val="00301568"/>
    <w:rsid w:val="0030276D"/>
    <w:rsid w:val="003027E5"/>
    <w:rsid w:val="00303001"/>
    <w:rsid w:val="00303508"/>
    <w:rsid w:val="003044A4"/>
    <w:rsid w:val="0030464B"/>
    <w:rsid w:val="00305DF9"/>
    <w:rsid w:val="00305EE2"/>
    <w:rsid w:val="00306700"/>
    <w:rsid w:val="00306E49"/>
    <w:rsid w:val="003075A9"/>
    <w:rsid w:val="0030786C"/>
    <w:rsid w:val="00311607"/>
    <w:rsid w:val="0031301D"/>
    <w:rsid w:val="003141B0"/>
    <w:rsid w:val="00316BBC"/>
    <w:rsid w:val="0031783D"/>
    <w:rsid w:val="00317B17"/>
    <w:rsid w:val="00320031"/>
    <w:rsid w:val="003207B2"/>
    <w:rsid w:val="00321436"/>
    <w:rsid w:val="003218F3"/>
    <w:rsid w:val="00321E17"/>
    <w:rsid w:val="003233DE"/>
    <w:rsid w:val="0032466B"/>
    <w:rsid w:val="003251E5"/>
    <w:rsid w:val="00325791"/>
    <w:rsid w:val="00327B44"/>
    <w:rsid w:val="0033005C"/>
    <w:rsid w:val="003309F1"/>
    <w:rsid w:val="003311CF"/>
    <w:rsid w:val="00331640"/>
    <w:rsid w:val="00331985"/>
    <w:rsid w:val="003327A5"/>
    <w:rsid w:val="0033296F"/>
    <w:rsid w:val="00332DEE"/>
    <w:rsid w:val="003330EB"/>
    <w:rsid w:val="00333814"/>
    <w:rsid w:val="00333E6E"/>
    <w:rsid w:val="00335805"/>
    <w:rsid w:val="003359A6"/>
    <w:rsid w:val="00335BDD"/>
    <w:rsid w:val="00336605"/>
    <w:rsid w:val="003371CB"/>
    <w:rsid w:val="00337DB3"/>
    <w:rsid w:val="003403BB"/>
    <w:rsid w:val="00340475"/>
    <w:rsid w:val="00340F98"/>
    <w:rsid w:val="003415FD"/>
    <w:rsid w:val="00341CC6"/>
    <w:rsid w:val="00341E0B"/>
    <w:rsid w:val="00341E95"/>
    <w:rsid w:val="003421C8"/>
    <w:rsid w:val="003429F0"/>
    <w:rsid w:val="00344D4D"/>
    <w:rsid w:val="00344F8B"/>
    <w:rsid w:val="003465C6"/>
    <w:rsid w:val="00346811"/>
    <w:rsid w:val="00346966"/>
    <w:rsid w:val="0034780D"/>
    <w:rsid w:val="0034792A"/>
    <w:rsid w:val="00347D2C"/>
    <w:rsid w:val="0035097A"/>
    <w:rsid w:val="00351E16"/>
    <w:rsid w:val="003540A4"/>
    <w:rsid w:val="003544DA"/>
    <w:rsid w:val="00354BEC"/>
    <w:rsid w:val="00354DA8"/>
    <w:rsid w:val="00355345"/>
    <w:rsid w:val="003559F1"/>
    <w:rsid w:val="00356ACA"/>
    <w:rsid w:val="00360E4E"/>
    <w:rsid w:val="00364A9D"/>
    <w:rsid w:val="00364C3F"/>
    <w:rsid w:val="00364E14"/>
    <w:rsid w:val="003650F5"/>
    <w:rsid w:val="003651D1"/>
    <w:rsid w:val="00366294"/>
    <w:rsid w:val="00367C9E"/>
    <w:rsid w:val="00370AAA"/>
    <w:rsid w:val="00371248"/>
    <w:rsid w:val="00371B0F"/>
    <w:rsid w:val="00372078"/>
    <w:rsid w:val="003726C4"/>
    <w:rsid w:val="00373035"/>
    <w:rsid w:val="0037318F"/>
    <w:rsid w:val="003758E2"/>
    <w:rsid w:val="0037591D"/>
    <w:rsid w:val="00375F77"/>
    <w:rsid w:val="00377A78"/>
    <w:rsid w:val="00377DAF"/>
    <w:rsid w:val="0038150C"/>
    <w:rsid w:val="00381731"/>
    <w:rsid w:val="00381BBE"/>
    <w:rsid w:val="0038268E"/>
    <w:rsid w:val="00382903"/>
    <w:rsid w:val="003846FF"/>
    <w:rsid w:val="00384A7F"/>
    <w:rsid w:val="00385AD4"/>
    <w:rsid w:val="0038685C"/>
    <w:rsid w:val="00387924"/>
    <w:rsid w:val="003926C5"/>
    <w:rsid w:val="003926FC"/>
    <w:rsid w:val="0039384D"/>
    <w:rsid w:val="00394744"/>
    <w:rsid w:val="00395C23"/>
    <w:rsid w:val="00396DB0"/>
    <w:rsid w:val="00397B21"/>
    <w:rsid w:val="003A02F2"/>
    <w:rsid w:val="003A0A14"/>
    <w:rsid w:val="003A2E4F"/>
    <w:rsid w:val="003A3417"/>
    <w:rsid w:val="003A3A2C"/>
    <w:rsid w:val="003A4438"/>
    <w:rsid w:val="003A496B"/>
    <w:rsid w:val="003A5013"/>
    <w:rsid w:val="003A5078"/>
    <w:rsid w:val="003A57C4"/>
    <w:rsid w:val="003A58D8"/>
    <w:rsid w:val="003A62DD"/>
    <w:rsid w:val="003A6E0C"/>
    <w:rsid w:val="003A7202"/>
    <w:rsid w:val="003A775A"/>
    <w:rsid w:val="003A7ABA"/>
    <w:rsid w:val="003B0DAB"/>
    <w:rsid w:val="003B0E44"/>
    <w:rsid w:val="003B1312"/>
    <w:rsid w:val="003B1E30"/>
    <w:rsid w:val="003B213A"/>
    <w:rsid w:val="003B231B"/>
    <w:rsid w:val="003B24C4"/>
    <w:rsid w:val="003B43AD"/>
    <w:rsid w:val="003B4AAE"/>
    <w:rsid w:val="003B50C4"/>
    <w:rsid w:val="003B580E"/>
    <w:rsid w:val="003B5B25"/>
    <w:rsid w:val="003B5CBC"/>
    <w:rsid w:val="003C00F4"/>
    <w:rsid w:val="003C07E4"/>
    <w:rsid w:val="003C0FEC"/>
    <w:rsid w:val="003C15B8"/>
    <w:rsid w:val="003C15C6"/>
    <w:rsid w:val="003C160D"/>
    <w:rsid w:val="003C1C6D"/>
    <w:rsid w:val="003C2AC8"/>
    <w:rsid w:val="003C2F50"/>
    <w:rsid w:val="003C413B"/>
    <w:rsid w:val="003C44E8"/>
    <w:rsid w:val="003C4512"/>
    <w:rsid w:val="003C5AE4"/>
    <w:rsid w:val="003C5B03"/>
    <w:rsid w:val="003C66C0"/>
    <w:rsid w:val="003C6FD7"/>
    <w:rsid w:val="003C70DD"/>
    <w:rsid w:val="003C7C85"/>
    <w:rsid w:val="003C7D4A"/>
    <w:rsid w:val="003D05B1"/>
    <w:rsid w:val="003D0FAB"/>
    <w:rsid w:val="003D1311"/>
    <w:rsid w:val="003D17F9"/>
    <w:rsid w:val="003D2C3B"/>
    <w:rsid w:val="003D2D88"/>
    <w:rsid w:val="003D2EEA"/>
    <w:rsid w:val="003D41EA"/>
    <w:rsid w:val="003D4850"/>
    <w:rsid w:val="003D535A"/>
    <w:rsid w:val="003D6189"/>
    <w:rsid w:val="003D6CEF"/>
    <w:rsid w:val="003D79E2"/>
    <w:rsid w:val="003E04BB"/>
    <w:rsid w:val="003E1455"/>
    <w:rsid w:val="003E4E43"/>
    <w:rsid w:val="003E5265"/>
    <w:rsid w:val="003E666C"/>
    <w:rsid w:val="003E6EBE"/>
    <w:rsid w:val="003F0955"/>
    <w:rsid w:val="003F244F"/>
    <w:rsid w:val="003F37A7"/>
    <w:rsid w:val="003F4D5B"/>
    <w:rsid w:val="003F5905"/>
    <w:rsid w:val="003F6FE1"/>
    <w:rsid w:val="003F7ADD"/>
    <w:rsid w:val="004004F0"/>
    <w:rsid w:val="00400F00"/>
    <w:rsid w:val="00400FA8"/>
    <w:rsid w:val="004023BF"/>
    <w:rsid w:val="00402495"/>
    <w:rsid w:val="004030DD"/>
    <w:rsid w:val="00404387"/>
    <w:rsid w:val="00404BAB"/>
    <w:rsid w:val="00404F8B"/>
    <w:rsid w:val="00405256"/>
    <w:rsid w:val="0040558B"/>
    <w:rsid w:val="00407334"/>
    <w:rsid w:val="00410031"/>
    <w:rsid w:val="00410483"/>
    <w:rsid w:val="0041074C"/>
    <w:rsid w:val="00410C8D"/>
    <w:rsid w:val="0041118D"/>
    <w:rsid w:val="004115A2"/>
    <w:rsid w:val="0041497E"/>
    <w:rsid w:val="0041499E"/>
    <w:rsid w:val="00415C81"/>
    <w:rsid w:val="00416035"/>
    <w:rsid w:val="00416731"/>
    <w:rsid w:val="0041761D"/>
    <w:rsid w:val="004206AB"/>
    <w:rsid w:val="004217A3"/>
    <w:rsid w:val="00421B60"/>
    <w:rsid w:val="00423153"/>
    <w:rsid w:val="00425E26"/>
    <w:rsid w:val="0042739D"/>
    <w:rsid w:val="00427B5B"/>
    <w:rsid w:val="004306BF"/>
    <w:rsid w:val="00431455"/>
    <w:rsid w:val="00432072"/>
    <w:rsid w:val="00432378"/>
    <w:rsid w:val="00433528"/>
    <w:rsid w:val="00434B74"/>
    <w:rsid w:val="00436909"/>
    <w:rsid w:val="00440569"/>
    <w:rsid w:val="00440D65"/>
    <w:rsid w:val="00440F36"/>
    <w:rsid w:val="00441AEC"/>
    <w:rsid w:val="00441E1B"/>
    <w:rsid w:val="00442857"/>
    <w:rsid w:val="00442BBE"/>
    <w:rsid w:val="004435E6"/>
    <w:rsid w:val="0044585B"/>
    <w:rsid w:val="00446897"/>
    <w:rsid w:val="004468CF"/>
    <w:rsid w:val="00447E31"/>
    <w:rsid w:val="004505F4"/>
    <w:rsid w:val="00450B20"/>
    <w:rsid w:val="00450BF5"/>
    <w:rsid w:val="00451C2C"/>
    <w:rsid w:val="00452255"/>
    <w:rsid w:val="00452E4D"/>
    <w:rsid w:val="00453923"/>
    <w:rsid w:val="00453DB4"/>
    <w:rsid w:val="00454B9B"/>
    <w:rsid w:val="0045507A"/>
    <w:rsid w:val="0045641F"/>
    <w:rsid w:val="004575C8"/>
    <w:rsid w:val="00457858"/>
    <w:rsid w:val="00457FC0"/>
    <w:rsid w:val="0046025B"/>
    <w:rsid w:val="00460B0B"/>
    <w:rsid w:val="00461023"/>
    <w:rsid w:val="00461E0C"/>
    <w:rsid w:val="00462D8E"/>
    <w:rsid w:val="00462D98"/>
    <w:rsid w:val="00462FAC"/>
    <w:rsid w:val="004630EF"/>
    <w:rsid w:val="00464631"/>
    <w:rsid w:val="00464B79"/>
    <w:rsid w:val="00465828"/>
    <w:rsid w:val="00466C9B"/>
    <w:rsid w:val="00466D9E"/>
    <w:rsid w:val="00467BBF"/>
    <w:rsid w:val="00471408"/>
    <w:rsid w:val="00472578"/>
    <w:rsid w:val="00472F0C"/>
    <w:rsid w:val="004731B8"/>
    <w:rsid w:val="00474266"/>
    <w:rsid w:val="00474BF4"/>
    <w:rsid w:val="00474F78"/>
    <w:rsid w:val="00476239"/>
    <w:rsid w:val="00477A0D"/>
    <w:rsid w:val="00477AC0"/>
    <w:rsid w:val="00480890"/>
    <w:rsid w:val="004812FF"/>
    <w:rsid w:val="00484812"/>
    <w:rsid w:val="004858C6"/>
    <w:rsid w:val="004867E2"/>
    <w:rsid w:val="00490969"/>
    <w:rsid w:val="00491948"/>
    <w:rsid w:val="004927CD"/>
    <w:rsid w:val="004929A9"/>
    <w:rsid w:val="00492D45"/>
    <w:rsid w:val="004955F0"/>
    <w:rsid w:val="00496FEF"/>
    <w:rsid w:val="00497778"/>
    <w:rsid w:val="00497D3F"/>
    <w:rsid w:val="004A0DD6"/>
    <w:rsid w:val="004A5310"/>
    <w:rsid w:val="004A565A"/>
    <w:rsid w:val="004B00F5"/>
    <w:rsid w:val="004B3130"/>
    <w:rsid w:val="004B6ED7"/>
    <w:rsid w:val="004B7492"/>
    <w:rsid w:val="004B77DC"/>
    <w:rsid w:val="004C1679"/>
    <w:rsid w:val="004C2FEC"/>
    <w:rsid w:val="004C3E32"/>
    <w:rsid w:val="004C6290"/>
    <w:rsid w:val="004C637E"/>
    <w:rsid w:val="004C6BCF"/>
    <w:rsid w:val="004C7CF8"/>
    <w:rsid w:val="004C7D47"/>
    <w:rsid w:val="004D29B2"/>
    <w:rsid w:val="004D3FF3"/>
    <w:rsid w:val="004D41DD"/>
    <w:rsid w:val="004D423D"/>
    <w:rsid w:val="004D58BF"/>
    <w:rsid w:val="004D7EB1"/>
    <w:rsid w:val="004E2FA9"/>
    <w:rsid w:val="004E306A"/>
    <w:rsid w:val="004E30CD"/>
    <w:rsid w:val="004E3657"/>
    <w:rsid w:val="004E4335"/>
    <w:rsid w:val="004E4681"/>
    <w:rsid w:val="004E5573"/>
    <w:rsid w:val="004E5ACF"/>
    <w:rsid w:val="004E6547"/>
    <w:rsid w:val="004E6668"/>
    <w:rsid w:val="004E673C"/>
    <w:rsid w:val="004E70AD"/>
    <w:rsid w:val="004E757B"/>
    <w:rsid w:val="004F0224"/>
    <w:rsid w:val="004F13EE"/>
    <w:rsid w:val="004F193C"/>
    <w:rsid w:val="004F1A88"/>
    <w:rsid w:val="004F2022"/>
    <w:rsid w:val="004F2AFB"/>
    <w:rsid w:val="004F3DA8"/>
    <w:rsid w:val="004F3FE1"/>
    <w:rsid w:val="004F4A6A"/>
    <w:rsid w:val="004F4F0A"/>
    <w:rsid w:val="004F55E2"/>
    <w:rsid w:val="004F5AB0"/>
    <w:rsid w:val="004F6A64"/>
    <w:rsid w:val="004F75D7"/>
    <w:rsid w:val="004F7A49"/>
    <w:rsid w:val="004F7C05"/>
    <w:rsid w:val="0050051E"/>
    <w:rsid w:val="00501C94"/>
    <w:rsid w:val="00501EA7"/>
    <w:rsid w:val="005044AA"/>
    <w:rsid w:val="00506432"/>
    <w:rsid w:val="00507815"/>
    <w:rsid w:val="005113CF"/>
    <w:rsid w:val="0051242B"/>
    <w:rsid w:val="00512506"/>
    <w:rsid w:val="00512866"/>
    <w:rsid w:val="005128CB"/>
    <w:rsid w:val="00514187"/>
    <w:rsid w:val="0051418C"/>
    <w:rsid w:val="00515EC7"/>
    <w:rsid w:val="00516C69"/>
    <w:rsid w:val="00516DDB"/>
    <w:rsid w:val="0051744A"/>
    <w:rsid w:val="00517C7A"/>
    <w:rsid w:val="00517FC4"/>
    <w:rsid w:val="0052051D"/>
    <w:rsid w:val="00531C23"/>
    <w:rsid w:val="00532DBA"/>
    <w:rsid w:val="0053448E"/>
    <w:rsid w:val="005344EF"/>
    <w:rsid w:val="00535ED9"/>
    <w:rsid w:val="00536742"/>
    <w:rsid w:val="0053774B"/>
    <w:rsid w:val="005401F1"/>
    <w:rsid w:val="00540E9F"/>
    <w:rsid w:val="00541AB7"/>
    <w:rsid w:val="00542187"/>
    <w:rsid w:val="005421EB"/>
    <w:rsid w:val="00543EE6"/>
    <w:rsid w:val="005457FD"/>
    <w:rsid w:val="00545EE6"/>
    <w:rsid w:val="005464F5"/>
    <w:rsid w:val="00546D49"/>
    <w:rsid w:val="00546FBD"/>
    <w:rsid w:val="00547002"/>
    <w:rsid w:val="00547395"/>
    <w:rsid w:val="00550592"/>
    <w:rsid w:val="0055094B"/>
    <w:rsid w:val="0055107B"/>
    <w:rsid w:val="00551260"/>
    <w:rsid w:val="00551F2A"/>
    <w:rsid w:val="00552213"/>
    <w:rsid w:val="0055257A"/>
    <w:rsid w:val="00553337"/>
    <w:rsid w:val="00554619"/>
    <w:rsid w:val="0055479B"/>
    <w:rsid w:val="005550E7"/>
    <w:rsid w:val="00555154"/>
    <w:rsid w:val="005559B3"/>
    <w:rsid w:val="005564FB"/>
    <w:rsid w:val="0055689E"/>
    <w:rsid w:val="005569D7"/>
    <w:rsid w:val="00556AEA"/>
    <w:rsid w:val="00556B71"/>
    <w:rsid w:val="00556BC1"/>
    <w:rsid w:val="00556FE7"/>
    <w:rsid w:val="0055725D"/>
    <w:rsid w:val="005572C7"/>
    <w:rsid w:val="005578C9"/>
    <w:rsid w:val="00557AC3"/>
    <w:rsid w:val="00557CED"/>
    <w:rsid w:val="00560309"/>
    <w:rsid w:val="005616FB"/>
    <w:rsid w:val="00561B19"/>
    <w:rsid w:val="00563A2A"/>
    <w:rsid w:val="005650ED"/>
    <w:rsid w:val="005652DC"/>
    <w:rsid w:val="005703A3"/>
    <w:rsid w:val="0057125D"/>
    <w:rsid w:val="005725A4"/>
    <w:rsid w:val="00575754"/>
    <w:rsid w:val="00576E1E"/>
    <w:rsid w:val="00577205"/>
    <w:rsid w:val="0057745F"/>
    <w:rsid w:val="0057763C"/>
    <w:rsid w:val="0058123A"/>
    <w:rsid w:val="00583583"/>
    <w:rsid w:val="00585C8B"/>
    <w:rsid w:val="00585EE2"/>
    <w:rsid w:val="005863AA"/>
    <w:rsid w:val="00586AD5"/>
    <w:rsid w:val="005913BA"/>
    <w:rsid w:val="0059155F"/>
    <w:rsid w:val="00591E20"/>
    <w:rsid w:val="00592653"/>
    <w:rsid w:val="00592782"/>
    <w:rsid w:val="00592825"/>
    <w:rsid w:val="005928E2"/>
    <w:rsid w:val="00593C4D"/>
    <w:rsid w:val="00593C69"/>
    <w:rsid w:val="0059499E"/>
    <w:rsid w:val="00595408"/>
    <w:rsid w:val="005959E5"/>
    <w:rsid w:val="00595E84"/>
    <w:rsid w:val="0059715A"/>
    <w:rsid w:val="00597A7C"/>
    <w:rsid w:val="005A025D"/>
    <w:rsid w:val="005A0442"/>
    <w:rsid w:val="005A063F"/>
    <w:rsid w:val="005A0C59"/>
    <w:rsid w:val="005A0D37"/>
    <w:rsid w:val="005A2635"/>
    <w:rsid w:val="005A30D1"/>
    <w:rsid w:val="005A3208"/>
    <w:rsid w:val="005A36FC"/>
    <w:rsid w:val="005A385E"/>
    <w:rsid w:val="005A45E9"/>
    <w:rsid w:val="005A48EB"/>
    <w:rsid w:val="005A55C1"/>
    <w:rsid w:val="005A58C7"/>
    <w:rsid w:val="005A60B7"/>
    <w:rsid w:val="005A6608"/>
    <w:rsid w:val="005A6CFB"/>
    <w:rsid w:val="005A6F47"/>
    <w:rsid w:val="005A7080"/>
    <w:rsid w:val="005B1121"/>
    <w:rsid w:val="005B1256"/>
    <w:rsid w:val="005B3B35"/>
    <w:rsid w:val="005B3FE6"/>
    <w:rsid w:val="005B4E5D"/>
    <w:rsid w:val="005B5599"/>
    <w:rsid w:val="005B6B5C"/>
    <w:rsid w:val="005C1F77"/>
    <w:rsid w:val="005C26A5"/>
    <w:rsid w:val="005C3605"/>
    <w:rsid w:val="005C376A"/>
    <w:rsid w:val="005C3F06"/>
    <w:rsid w:val="005C5AEB"/>
    <w:rsid w:val="005C5CDE"/>
    <w:rsid w:val="005C7612"/>
    <w:rsid w:val="005D21F1"/>
    <w:rsid w:val="005D2358"/>
    <w:rsid w:val="005D3181"/>
    <w:rsid w:val="005D3481"/>
    <w:rsid w:val="005D3EC3"/>
    <w:rsid w:val="005D4580"/>
    <w:rsid w:val="005D573C"/>
    <w:rsid w:val="005D72C1"/>
    <w:rsid w:val="005E0A3F"/>
    <w:rsid w:val="005E16C2"/>
    <w:rsid w:val="005E17FD"/>
    <w:rsid w:val="005E2BBF"/>
    <w:rsid w:val="005E347E"/>
    <w:rsid w:val="005E3736"/>
    <w:rsid w:val="005E54D6"/>
    <w:rsid w:val="005E6883"/>
    <w:rsid w:val="005E772F"/>
    <w:rsid w:val="005E78AF"/>
    <w:rsid w:val="005F136F"/>
    <w:rsid w:val="005F1D0A"/>
    <w:rsid w:val="005F23BC"/>
    <w:rsid w:val="005F2528"/>
    <w:rsid w:val="005F42EA"/>
    <w:rsid w:val="005F4372"/>
    <w:rsid w:val="005F45F1"/>
    <w:rsid w:val="005F4753"/>
    <w:rsid w:val="005F4A79"/>
    <w:rsid w:val="005F4ECA"/>
    <w:rsid w:val="005F6252"/>
    <w:rsid w:val="005F7B65"/>
    <w:rsid w:val="0060183B"/>
    <w:rsid w:val="00601E0F"/>
    <w:rsid w:val="00602138"/>
    <w:rsid w:val="00602729"/>
    <w:rsid w:val="00603B84"/>
    <w:rsid w:val="006041BE"/>
    <w:rsid w:val="006043C7"/>
    <w:rsid w:val="006046A9"/>
    <w:rsid w:val="00607833"/>
    <w:rsid w:val="00607E75"/>
    <w:rsid w:val="0061158D"/>
    <w:rsid w:val="006134B9"/>
    <w:rsid w:val="00613D19"/>
    <w:rsid w:val="00615349"/>
    <w:rsid w:val="00615DCC"/>
    <w:rsid w:val="00616837"/>
    <w:rsid w:val="00616A3B"/>
    <w:rsid w:val="00616CA5"/>
    <w:rsid w:val="00617621"/>
    <w:rsid w:val="00617C84"/>
    <w:rsid w:val="00621AF9"/>
    <w:rsid w:val="00624B52"/>
    <w:rsid w:val="00624D32"/>
    <w:rsid w:val="006262B7"/>
    <w:rsid w:val="00627AAF"/>
    <w:rsid w:val="00630203"/>
    <w:rsid w:val="00630433"/>
    <w:rsid w:val="00630DF6"/>
    <w:rsid w:val="0063116F"/>
    <w:rsid w:val="006311D1"/>
    <w:rsid w:val="00631DF4"/>
    <w:rsid w:val="00633EBC"/>
    <w:rsid w:val="0063401A"/>
    <w:rsid w:val="00634175"/>
    <w:rsid w:val="00634376"/>
    <w:rsid w:val="00634F41"/>
    <w:rsid w:val="00636C01"/>
    <w:rsid w:val="006408AC"/>
    <w:rsid w:val="00640E79"/>
    <w:rsid w:val="00640F97"/>
    <w:rsid w:val="0064147B"/>
    <w:rsid w:val="00641639"/>
    <w:rsid w:val="0064249E"/>
    <w:rsid w:val="00642961"/>
    <w:rsid w:val="00643D81"/>
    <w:rsid w:val="00646428"/>
    <w:rsid w:val="0064782D"/>
    <w:rsid w:val="006511B6"/>
    <w:rsid w:val="00652742"/>
    <w:rsid w:val="00652D31"/>
    <w:rsid w:val="00653935"/>
    <w:rsid w:val="00653A34"/>
    <w:rsid w:val="00654BE0"/>
    <w:rsid w:val="00654EB5"/>
    <w:rsid w:val="0065669C"/>
    <w:rsid w:val="006576E4"/>
    <w:rsid w:val="00657FF8"/>
    <w:rsid w:val="0066099D"/>
    <w:rsid w:val="00661043"/>
    <w:rsid w:val="00662FB4"/>
    <w:rsid w:val="00664868"/>
    <w:rsid w:val="006662A7"/>
    <w:rsid w:val="00666AD7"/>
    <w:rsid w:val="00666D5E"/>
    <w:rsid w:val="00667035"/>
    <w:rsid w:val="00667738"/>
    <w:rsid w:val="00670B37"/>
    <w:rsid w:val="00670D99"/>
    <w:rsid w:val="00670E2B"/>
    <w:rsid w:val="00671A0B"/>
    <w:rsid w:val="00671E4F"/>
    <w:rsid w:val="006720BC"/>
    <w:rsid w:val="006734BB"/>
    <w:rsid w:val="00673911"/>
    <w:rsid w:val="00673DE8"/>
    <w:rsid w:val="00674E13"/>
    <w:rsid w:val="00674F80"/>
    <w:rsid w:val="00677907"/>
    <w:rsid w:val="00680BEE"/>
    <w:rsid w:val="00681A34"/>
    <w:rsid w:val="00681D7B"/>
    <w:rsid w:val="006821EB"/>
    <w:rsid w:val="006821FB"/>
    <w:rsid w:val="006824B9"/>
    <w:rsid w:val="0068256D"/>
    <w:rsid w:val="0068392A"/>
    <w:rsid w:val="00683C48"/>
    <w:rsid w:val="006840CB"/>
    <w:rsid w:val="006850D2"/>
    <w:rsid w:val="00685567"/>
    <w:rsid w:val="00685F70"/>
    <w:rsid w:val="006906CB"/>
    <w:rsid w:val="0069120C"/>
    <w:rsid w:val="00691CA0"/>
    <w:rsid w:val="00693794"/>
    <w:rsid w:val="00693A50"/>
    <w:rsid w:val="00693EE1"/>
    <w:rsid w:val="00693F51"/>
    <w:rsid w:val="00694824"/>
    <w:rsid w:val="00694F5E"/>
    <w:rsid w:val="00697D48"/>
    <w:rsid w:val="006A09F2"/>
    <w:rsid w:val="006A2670"/>
    <w:rsid w:val="006A2B2C"/>
    <w:rsid w:val="006A3530"/>
    <w:rsid w:val="006A4C74"/>
    <w:rsid w:val="006A54D4"/>
    <w:rsid w:val="006A6FA0"/>
    <w:rsid w:val="006A7608"/>
    <w:rsid w:val="006A7820"/>
    <w:rsid w:val="006B0B9A"/>
    <w:rsid w:val="006B0C7F"/>
    <w:rsid w:val="006B1198"/>
    <w:rsid w:val="006B1609"/>
    <w:rsid w:val="006B1D63"/>
    <w:rsid w:val="006B2286"/>
    <w:rsid w:val="006B2B90"/>
    <w:rsid w:val="006B3207"/>
    <w:rsid w:val="006B335D"/>
    <w:rsid w:val="006B3485"/>
    <w:rsid w:val="006B380C"/>
    <w:rsid w:val="006B3DBE"/>
    <w:rsid w:val="006B41E9"/>
    <w:rsid w:val="006B4C71"/>
    <w:rsid w:val="006B4F48"/>
    <w:rsid w:val="006B56BB"/>
    <w:rsid w:val="006B774F"/>
    <w:rsid w:val="006C01D8"/>
    <w:rsid w:val="006C4893"/>
    <w:rsid w:val="006C59D7"/>
    <w:rsid w:val="006C5FB3"/>
    <w:rsid w:val="006C6092"/>
    <w:rsid w:val="006C6C1F"/>
    <w:rsid w:val="006C77A8"/>
    <w:rsid w:val="006D0494"/>
    <w:rsid w:val="006D0BA1"/>
    <w:rsid w:val="006D176D"/>
    <w:rsid w:val="006D1D20"/>
    <w:rsid w:val="006D2E3E"/>
    <w:rsid w:val="006D2E5D"/>
    <w:rsid w:val="006D2ED3"/>
    <w:rsid w:val="006D4098"/>
    <w:rsid w:val="006D7681"/>
    <w:rsid w:val="006D7B2E"/>
    <w:rsid w:val="006E01CE"/>
    <w:rsid w:val="006E02C2"/>
    <w:rsid w:val="006E02EA"/>
    <w:rsid w:val="006E0968"/>
    <w:rsid w:val="006E2AF6"/>
    <w:rsid w:val="006E2B50"/>
    <w:rsid w:val="006E2F9D"/>
    <w:rsid w:val="006E47A3"/>
    <w:rsid w:val="006E50F0"/>
    <w:rsid w:val="006E5C88"/>
    <w:rsid w:val="006F05A6"/>
    <w:rsid w:val="006F16E8"/>
    <w:rsid w:val="006F3658"/>
    <w:rsid w:val="006F3B29"/>
    <w:rsid w:val="006F3C82"/>
    <w:rsid w:val="006F61BB"/>
    <w:rsid w:val="00701275"/>
    <w:rsid w:val="0070379F"/>
    <w:rsid w:val="00703C5D"/>
    <w:rsid w:val="00706F13"/>
    <w:rsid w:val="00707464"/>
    <w:rsid w:val="00707966"/>
    <w:rsid w:val="00707F56"/>
    <w:rsid w:val="007109DC"/>
    <w:rsid w:val="00710FD0"/>
    <w:rsid w:val="0071119C"/>
    <w:rsid w:val="007116C7"/>
    <w:rsid w:val="0071223D"/>
    <w:rsid w:val="0071246C"/>
    <w:rsid w:val="00712836"/>
    <w:rsid w:val="007128F9"/>
    <w:rsid w:val="007132A3"/>
    <w:rsid w:val="00713558"/>
    <w:rsid w:val="00714135"/>
    <w:rsid w:val="00714818"/>
    <w:rsid w:val="00715F76"/>
    <w:rsid w:val="007160F9"/>
    <w:rsid w:val="0071674F"/>
    <w:rsid w:val="00720637"/>
    <w:rsid w:val="00720D08"/>
    <w:rsid w:val="00720F68"/>
    <w:rsid w:val="0072233E"/>
    <w:rsid w:val="00722AE3"/>
    <w:rsid w:val="00723E4C"/>
    <w:rsid w:val="00724A7E"/>
    <w:rsid w:val="00724E1F"/>
    <w:rsid w:val="0072526C"/>
    <w:rsid w:val="007263B9"/>
    <w:rsid w:val="00730425"/>
    <w:rsid w:val="00730B1B"/>
    <w:rsid w:val="007312AE"/>
    <w:rsid w:val="007314AD"/>
    <w:rsid w:val="007319CD"/>
    <w:rsid w:val="00731E1B"/>
    <w:rsid w:val="007321FA"/>
    <w:rsid w:val="0073291C"/>
    <w:rsid w:val="007334F8"/>
    <w:rsid w:val="007339CD"/>
    <w:rsid w:val="00733DCA"/>
    <w:rsid w:val="007340B3"/>
    <w:rsid w:val="00734171"/>
    <w:rsid w:val="007342CD"/>
    <w:rsid w:val="00734713"/>
    <w:rsid w:val="00734BB2"/>
    <w:rsid w:val="00735393"/>
    <w:rsid w:val="00735838"/>
    <w:rsid w:val="00735854"/>
    <w:rsid w:val="007359D8"/>
    <w:rsid w:val="00735C58"/>
    <w:rsid w:val="00735FD3"/>
    <w:rsid w:val="007360E5"/>
    <w:rsid w:val="007362D4"/>
    <w:rsid w:val="00736348"/>
    <w:rsid w:val="00737D6D"/>
    <w:rsid w:val="00737DD0"/>
    <w:rsid w:val="007409A0"/>
    <w:rsid w:val="00742EA3"/>
    <w:rsid w:val="0074392B"/>
    <w:rsid w:val="0074453D"/>
    <w:rsid w:val="00744756"/>
    <w:rsid w:val="007452D1"/>
    <w:rsid w:val="0074547E"/>
    <w:rsid w:val="007465FD"/>
    <w:rsid w:val="00746BEF"/>
    <w:rsid w:val="007472C6"/>
    <w:rsid w:val="007505D8"/>
    <w:rsid w:val="00751A23"/>
    <w:rsid w:val="00752B3D"/>
    <w:rsid w:val="00754B25"/>
    <w:rsid w:val="00754CBB"/>
    <w:rsid w:val="00755E04"/>
    <w:rsid w:val="00756440"/>
    <w:rsid w:val="00756493"/>
    <w:rsid w:val="007579CD"/>
    <w:rsid w:val="00757FAC"/>
    <w:rsid w:val="00760360"/>
    <w:rsid w:val="00760417"/>
    <w:rsid w:val="0076107A"/>
    <w:rsid w:val="0076211A"/>
    <w:rsid w:val="00762643"/>
    <w:rsid w:val="00762CA5"/>
    <w:rsid w:val="00765529"/>
    <w:rsid w:val="0076672A"/>
    <w:rsid w:val="00766B36"/>
    <w:rsid w:val="00766E33"/>
    <w:rsid w:val="00770EF4"/>
    <w:rsid w:val="0077237D"/>
    <w:rsid w:val="00772883"/>
    <w:rsid w:val="007745A5"/>
    <w:rsid w:val="00775D34"/>
    <w:rsid w:val="00775E45"/>
    <w:rsid w:val="0077653A"/>
    <w:rsid w:val="00776E74"/>
    <w:rsid w:val="00783906"/>
    <w:rsid w:val="00783C06"/>
    <w:rsid w:val="007848D3"/>
    <w:rsid w:val="00785169"/>
    <w:rsid w:val="00785645"/>
    <w:rsid w:val="00786A88"/>
    <w:rsid w:val="00790790"/>
    <w:rsid w:val="00790FD3"/>
    <w:rsid w:val="007910C2"/>
    <w:rsid w:val="0079116A"/>
    <w:rsid w:val="00792E7D"/>
    <w:rsid w:val="00793107"/>
    <w:rsid w:val="007939A9"/>
    <w:rsid w:val="00793D76"/>
    <w:rsid w:val="0079469B"/>
    <w:rsid w:val="007954AB"/>
    <w:rsid w:val="007956ED"/>
    <w:rsid w:val="00795926"/>
    <w:rsid w:val="007968ED"/>
    <w:rsid w:val="007973DE"/>
    <w:rsid w:val="007A02F4"/>
    <w:rsid w:val="007A14C5"/>
    <w:rsid w:val="007A3E38"/>
    <w:rsid w:val="007A4033"/>
    <w:rsid w:val="007A4A10"/>
    <w:rsid w:val="007A4FE0"/>
    <w:rsid w:val="007A52CD"/>
    <w:rsid w:val="007A73F3"/>
    <w:rsid w:val="007A7581"/>
    <w:rsid w:val="007B1760"/>
    <w:rsid w:val="007B1800"/>
    <w:rsid w:val="007B4243"/>
    <w:rsid w:val="007B65E8"/>
    <w:rsid w:val="007C050F"/>
    <w:rsid w:val="007C0B45"/>
    <w:rsid w:val="007C0F7A"/>
    <w:rsid w:val="007C279E"/>
    <w:rsid w:val="007C2E80"/>
    <w:rsid w:val="007C3A27"/>
    <w:rsid w:val="007C45C7"/>
    <w:rsid w:val="007C67A3"/>
    <w:rsid w:val="007C6B26"/>
    <w:rsid w:val="007C6D14"/>
    <w:rsid w:val="007C6D9C"/>
    <w:rsid w:val="007C7B25"/>
    <w:rsid w:val="007C7DDB"/>
    <w:rsid w:val="007D07C3"/>
    <w:rsid w:val="007D092E"/>
    <w:rsid w:val="007D2CC7"/>
    <w:rsid w:val="007D3A04"/>
    <w:rsid w:val="007D3BC3"/>
    <w:rsid w:val="007D405D"/>
    <w:rsid w:val="007D60B3"/>
    <w:rsid w:val="007D673D"/>
    <w:rsid w:val="007D68B9"/>
    <w:rsid w:val="007D70E1"/>
    <w:rsid w:val="007D7330"/>
    <w:rsid w:val="007E0100"/>
    <w:rsid w:val="007E34AA"/>
    <w:rsid w:val="007E54D7"/>
    <w:rsid w:val="007E5ACA"/>
    <w:rsid w:val="007E5EB5"/>
    <w:rsid w:val="007E5FE9"/>
    <w:rsid w:val="007E6662"/>
    <w:rsid w:val="007E6B95"/>
    <w:rsid w:val="007E719D"/>
    <w:rsid w:val="007E7C53"/>
    <w:rsid w:val="007E7E90"/>
    <w:rsid w:val="007F09F9"/>
    <w:rsid w:val="007F0C7B"/>
    <w:rsid w:val="007F131E"/>
    <w:rsid w:val="007F2220"/>
    <w:rsid w:val="007F30BA"/>
    <w:rsid w:val="007F4744"/>
    <w:rsid w:val="007F4B3E"/>
    <w:rsid w:val="007F588A"/>
    <w:rsid w:val="007F73C9"/>
    <w:rsid w:val="008003D6"/>
    <w:rsid w:val="008018D9"/>
    <w:rsid w:val="00802F99"/>
    <w:rsid w:val="00803E39"/>
    <w:rsid w:val="00804496"/>
    <w:rsid w:val="00804D07"/>
    <w:rsid w:val="008054AC"/>
    <w:rsid w:val="008055C7"/>
    <w:rsid w:val="00805ACF"/>
    <w:rsid w:val="00810178"/>
    <w:rsid w:val="00810B0A"/>
    <w:rsid w:val="0081179E"/>
    <w:rsid w:val="00812274"/>
    <w:rsid w:val="008127AF"/>
    <w:rsid w:val="008128FE"/>
    <w:rsid w:val="00812B46"/>
    <w:rsid w:val="00812C89"/>
    <w:rsid w:val="00813FF2"/>
    <w:rsid w:val="008143F8"/>
    <w:rsid w:val="00815700"/>
    <w:rsid w:val="00817B70"/>
    <w:rsid w:val="00817FDD"/>
    <w:rsid w:val="00821195"/>
    <w:rsid w:val="008214E0"/>
    <w:rsid w:val="00823784"/>
    <w:rsid w:val="00825772"/>
    <w:rsid w:val="008257CA"/>
    <w:rsid w:val="008264EB"/>
    <w:rsid w:val="00826B8F"/>
    <w:rsid w:val="00827259"/>
    <w:rsid w:val="00831773"/>
    <w:rsid w:val="00831E8A"/>
    <w:rsid w:val="00833366"/>
    <w:rsid w:val="00834305"/>
    <w:rsid w:val="008347BC"/>
    <w:rsid w:val="0083511E"/>
    <w:rsid w:val="00835C76"/>
    <w:rsid w:val="00840A32"/>
    <w:rsid w:val="00843049"/>
    <w:rsid w:val="00843815"/>
    <w:rsid w:val="00844D78"/>
    <w:rsid w:val="008453CF"/>
    <w:rsid w:val="0084602F"/>
    <w:rsid w:val="00846161"/>
    <w:rsid w:val="00846F2C"/>
    <w:rsid w:val="00847CED"/>
    <w:rsid w:val="00851BAB"/>
    <w:rsid w:val="0085209B"/>
    <w:rsid w:val="008528A7"/>
    <w:rsid w:val="008531E5"/>
    <w:rsid w:val="0085351A"/>
    <w:rsid w:val="00853DD3"/>
    <w:rsid w:val="00855ED7"/>
    <w:rsid w:val="008562F1"/>
    <w:rsid w:val="00856654"/>
    <w:rsid w:val="00856B66"/>
    <w:rsid w:val="00856E6F"/>
    <w:rsid w:val="00856EBD"/>
    <w:rsid w:val="00857D65"/>
    <w:rsid w:val="00861323"/>
    <w:rsid w:val="00861A5F"/>
    <w:rsid w:val="0086208D"/>
    <w:rsid w:val="00862785"/>
    <w:rsid w:val="00863104"/>
    <w:rsid w:val="00863A9F"/>
    <w:rsid w:val="00863B79"/>
    <w:rsid w:val="00863CF0"/>
    <w:rsid w:val="008644AD"/>
    <w:rsid w:val="00865735"/>
    <w:rsid w:val="00865DDB"/>
    <w:rsid w:val="00865E89"/>
    <w:rsid w:val="0086606E"/>
    <w:rsid w:val="00867538"/>
    <w:rsid w:val="00867894"/>
    <w:rsid w:val="00871337"/>
    <w:rsid w:val="00872DBC"/>
    <w:rsid w:val="008732CD"/>
    <w:rsid w:val="00873D90"/>
    <w:rsid w:val="00873FC8"/>
    <w:rsid w:val="00874E1B"/>
    <w:rsid w:val="00875A26"/>
    <w:rsid w:val="00875DF6"/>
    <w:rsid w:val="008763AD"/>
    <w:rsid w:val="00876756"/>
    <w:rsid w:val="0087704B"/>
    <w:rsid w:val="0087740F"/>
    <w:rsid w:val="008776CA"/>
    <w:rsid w:val="00880134"/>
    <w:rsid w:val="008815E4"/>
    <w:rsid w:val="00881CF9"/>
    <w:rsid w:val="008834D3"/>
    <w:rsid w:val="00884C63"/>
    <w:rsid w:val="00885908"/>
    <w:rsid w:val="008864B7"/>
    <w:rsid w:val="008878DF"/>
    <w:rsid w:val="00887F55"/>
    <w:rsid w:val="0089018E"/>
    <w:rsid w:val="0089040B"/>
    <w:rsid w:val="0089128B"/>
    <w:rsid w:val="008933FF"/>
    <w:rsid w:val="00894ED0"/>
    <w:rsid w:val="0089677E"/>
    <w:rsid w:val="00896E8C"/>
    <w:rsid w:val="008A00BF"/>
    <w:rsid w:val="008A158D"/>
    <w:rsid w:val="008A3875"/>
    <w:rsid w:val="008A42C8"/>
    <w:rsid w:val="008A462E"/>
    <w:rsid w:val="008A4E34"/>
    <w:rsid w:val="008A53CC"/>
    <w:rsid w:val="008A7011"/>
    <w:rsid w:val="008A7438"/>
    <w:rsid w:val="008B1097"/>
    <w:rsid w:val="008B1334"/>
    <w:rsid w:val="008B1605"/>
    <w:rsid w:val="008B2875"/>
    <w:rsid w:val="008B4082"/>
    <w:rsid w:val="008B4226"/>
    <w:rsid w:val="008B4E43"/>
    <w:rsid w:val="008B6F1D"/>
    <w:rsid w:val="008B7C58"/>
    <w:rsid w:val="008C0278"/>
    <w:rsid w:val="008C19AF"/>
    <w:rsid w:val="008C24E9"/>
    <w:rsid w:val="008C4482"/>
    <w:rsid w:val="008C4C5B"/>
    <w:rsid w:val="008C53EB"/>
    <w:rsid w:val="008C749B"/>
    <w:rsid w:val="008C77C9"/>
    <w:rsid w:val="008D0533"/>
    <w:rsid w:val="008D058B"/>
    <w:rsid w:val="008D0AD7"/>
    <w:rsid w:val="008D2674"/>
    <w:rsid w:val="008D42CB"/>
    <w:rsid w:val="008D48C9"/>
    <w:rsid w:val="008D5270"/>
    <w:rsid w:val="008D568B"/>
    <w:rsid w:val="008D5B79"/>
    <w:rsid w:val="008D6381"/>
    <w:rsid w:val="008D6E05"/>
    <w:rsid w:val="008D6EF2"/>
    <w:rsid w:val="008D75AB"/>
    <w:rsid w:val="008E078B"/>
    <w:rsid w:val="008E0C77"/>
    <w:rsid w:val="008E13F3"/>
    <w:rsid w:val="008E1837"/>
    <w:rsid w:val="008E2116"/>
    <w:rsid w:val="008E4EE1"/>
    <w:rsid w:val="008E544B"/>
    <w:rsid w:val="008E5DE6"/>
    <w:rsid w:val="008E625F"/>
    <w:rsid w:val="008E67D2"/>
    <w:rsid w:val="008E682E"/>
    <w:rsid w:val="008E79E9"/>
    <w:rsid w:val="008E7FEE"/>
    <w:rsid w:val="008F0038"/>
    <w:rsid w:val="008F0DC4"/>
    <w:rsid w:val="008F1600"/>
    <w:rsid w:val="008F264D"/>
    <w:rsid w:val="008F2B42"/>
    <w:rsid w:val="008F43AF"/>
    <w:rsid w:val="008F59A3"/>
    <w:rsid w:val="008F7244"/>
    <w:rsid w:val="008F78F1"/>
    <w:rsid w:val="00900A86"/>
    <w:rsid w:val="0090181C"/>
    <w:rsid w:val="00902CB7"/>
    <w:rsid w:val="009050C7"/>
    <w:rsid w:val="009074E1"/>
    <w:rsid w:val="009112F7"/>
    <w:rsid w:val="00911BC6"/>
    <w:rsid w:val="009122AF"/>
    <w:rsid w:val="009127BC"/>
    <w:rsid w:val="00912D54"/>
    <w:rsid w:val="00912E73"/>
    <w:rsid w:val="0091389F"/>
    <w:rsid w:val="00915210"/>
    <w:rsid w:val="00915ACA"/>
    <w:rsid w:val="0091630A"/>
    <w:rsid w:val="009208F7"/>
    <w:rsid w:val="00921EA7"/>
    <w:rsid w:val="00921FC1"/>
    <w:rsid w:val="00922517"/>
    <w:rsid w:val="00922722"/>
    <w:rsid w:val="00922C62"/>
    <w:rsid w:val="00925779"/>
    <w:rsid w:val="009261E6"/>
    <w:rsid w:val="00926735"/>
    <w:rsid w:val="009268E1"/>
    <w:rsid w:val="00926D3A"/>
    <w:rsid w:val="00927334"/>
    <w:rsid w:val="00927B69"/>
    <w:rsid w:val="00927D0C"/>
    <w:rsid w:val="00927E8F"/>
    <w:rsid w:val="00930899"/>
    <w:rsid w:val="0093235B"/>
    <w:rsid w:val="00933A79"/>
    <w:rsid w:val="00933BF2"/>
    <w:rsid w:val="009342FB"/>
    <w:rsid w:val="009365C0"/>
    <w:rsid w:val="00936E81"/>
    <w:rsid w:val="009372BC"/>
    <w:rsid w:val="00937D3E"/>
    <w:rsid w:val="0094170B"/>
    <w:rsid w:val="00941B3E"/>
    <w:rsid w:val="00942AFC"/>
    <w:rsid w:val="00944ACA"/>
    <w:rsid w:val="00944FD0"/>
    <w:rsid w:val="00945E7F"/>
    <w:rsid w:val="009463CB"/>
    <w:rsid w:val="00947D84"/>
    <w:rsid w:val="00950DF2"/>
    <w:rsid w:val="009511A0"/>
    <w:rsid w:val="00951564"/>
    <w:rsid w:val="00951CCF"/>
    <w:rsid w:val="00953736"/>
    <w:rsid w:val="00954C4D"/>
    <w:rsid w:val="009557C1"/>
    <w:rsid w:val="00955DB4"/>
    <w:rsid w:val="009565C7"/>
    <w:rsid w:val="00956DA9"/>
    <w:rsid w:val="00956E16"/>
    <w:rsid w:val="00956EC9"/>
    <w:rsid w:val="009602DC"/>
    <w:rsid w:val="00960449"/>
    <w:rsid w:val="00960D6E"/>
    <w:rsid w:val="00960EDA"/>
    <w:rsid w:val="00961BF4"/>
    <w:rsid w:val="0096284D"/>
    <w:rsid w:val="00962FDC"/>
    <w:rsid w:val="00963DE0"/>
    <w:rsid w:val="009645EA"/>
    <w:rsid w:val="00965BE8"/>
    <w:rsid w:val="009660E5"/>
    <w:rsid w:val="00967A6A"/>
    <w:rsid w:val="00967D94"/>
    <w:rsid w:val="00971726"/>
    <w:rsid w:val="009719D4"/>
    <w:rsid w:val="00972BC1"/>
    <w:rsid w:val="00973797"/>
    <w:rsid w:val="00973E05"/>
    <w:rsid w:val="00973E7B"/>
    <w:rsid w:val="00974669"/>
    <w:rsid w:val="00974B59"/>
    <w:rsid w:val="00974C68"/>
    <w:rsid w:val="00975821"/>
    <w:rsid w:val="00976B4B"/>
    <w:rsid w:val="0098036B"/>
    <w:rsid w:val="00982E6F"/>
    <w:rsid w:val="0098340B"/>
    <w:rsid w:val="00983472"/>
    <w:rsid w:val="00985DDE"/>
    <w:rsid w:val="009860CF"/>
    <w:rsid w:val="0098621A"/>
    <w:rsid w:val="00986830"/>
    <w:rsid w:val="00986FE1"/>
    <w:rsid w:val="0098758C"/>
    <w:rsid w:val="00987B0A"/>
    <w:rsid w:val="00990679"/>
    <w:rsid w:val="00991FCD"/>
    <w:rsid w:val="009924C3"/>
    <w:rsid w:val="00993102"/>
    <w:rsid w:val="00993280"/>
    <w:rsid w:val="00993FAC"/>
    <w:rsid w:val="0099416D"/>
    <w:rsid w:val="009958DD"/>
    <w:rsid w:val="00995EEC"/>
    <w:rsid w:val="00996E08"/>
    <w:rsid w:val="0099724D"/>
    <w:rsid w:val="009A0419"/>
    <w:rsid w:val="009A08BE"/>
    <w:rsid w:val="009A0B9E"/>
    <w:rsid w:val="009A1136"/>
    <w:rsid w:val="009A2CD7"/>
    <w:rsid w:val="009A45BD"/>
    <w:rsid w:val="009A4997"/>
    <w:rsid w:val="009A4D0A"/>
    <w:rsid w:val="009A656B"/>
    <w:rsid w:val="009A69BE"/>
    <w:rsid w:val="009B08F8"/>
    <w:rsid w:val="009B0D40"/>
    <w:rsid w:val="009B1FE4"/>
    <w:rsid w:val="009B228D"/>
    <w:rsid w:val="009B3195"/>
    <w:rsid w:val="009B38BF"/>
    <w:rsid w:val="009B3EA4"/>
    <w:rsid w:val="009B45D0"/>
    <w:rsid w:val="009B600B"/>
    <w:rsid w:val="009B6E44"/>
    <w:rsid w:val="009B6EB9"/>
    <w:rsid w:val="009B7C7B"/>
    <w:rsid w:val="009C14F5"/>
    <w:rsid w:val="009C1AE7"/>
    <w:rsid w:val="009C3727"/>
    <w:rsid w:val="009C3925"/>
    <w:rsid w:val="009C40A6"/>
    <w:rsid w:val="009C4A39"/>
    <w:rsid w:val="009C5B86"/>
    <w:rsid w:val="009C6A82"/>
    <w:rsid w:val="009C6F10"/>
    <w:rsid w:val="009D06E4"/>
    <w:rsid w:val="009D125F"/>
    <w:rsid w:val="009D148F"/>
    <w:rsid w:val="009D1AF3"/>
    <w:rsid w:val="009D2422"/>
    <w:rsid w:val="009D3D70"/>
    <w:rsid w:val="009D4629"/>
    <w:rsid w:val="009D61CA"/>
    <w:rsid w:val="009D7E66"/>
    <w:rsid w:val="009E1015"/>
    <w:rsid w:val="009E3096"/>
    <w:rsid w:val="009E3740"/>
    <w:rsid w:val="009E6F7E"/>
    <w:rsid w:val="009E7A57"/>
    <w:rsid w:val="009E7D0D"/>
    <w:rsid w:val="009F02B3"/>
    <w:rsid w:val="009F1180"/>
    <w:rsid w:val="009F25EB"/>
    <w:rsid w:val="009F3A95"/>
    <w:rsid w:val="009F4F2F"/>
    <w:rsid w:val="009F4F6A"/>
    <w:rsid w:val="009F746B"/>
    <w:rsid w:val="009F7725"/>
    <w:rsid w:val="00A0118A"/>
    <w:rsid w:val="00A012F8"/>
    <w:rsid w:val="00A01753"/>
    <w:rsid w:val="00A03D4A"/>
    <w:rsid w:val="00A04084"/>
    <w:rsid w:val="00A04221"/>
    <w:rsid w:val="00A04598"/>
    <w:rsid w:val="00A04F88"/>
    <w:rsid w:val="00A05395"/>
    <w:rsid w:val="00A107E5"/>
    <w:rsid w:val="00A110EA"/>
    <w:rsid w:val="00A117C4"/>
    <w:rsid w:val="00A11B1F"/>
    <w:rsid w:val="00A127F5"/>
    <w:rsid w:val="00A136CB"/>
    <w:rsid w:val="00A13A8D"/>
    <w:rsid w:val="00A14E03"/>
    <w:rsid w:val="00A1589F"/>
    <w:rsid w:val="00A169A8"/>
    <w:rsid w:val="00A16E36"/>
    <w:rsid w:val="00A1775C"/>
    <w:rsid w:val="00A17E69"/>
    <w:rsid w:val="00A2032C"/>
    <w:rsid w:val="00A22589"/>
    <w:rsid w:val="00A23BCC"/>
    <w:rsid w:val="00A248EB"/>
    <w:rsid w:val="00A24961"/>
    <w:rsid w:val="00A24B10"/>
    <w:rsid w:val="00A25663"/>
    <w:rsid w:val="00A26789"/>
    <w:rsid w:val="00A30713"/>
    <w:rsid w:val="00A30D96"/>
    <w:rsid w:val="00A30E9B"/>
    <w:rsid w:val="00A318C0"/>
    <w:rsid w:val="00A32ADE"/>
    <w:rsid w:val="00A32CE9"/>
    <w:rsid w:val="00A32EC0"/>
    <w:rsid w:val="00A34CE8"/>
    <w:rsid w:val="00A35730"/>
    <w:rsid w:val="00A35AEC"/>
    <w:rsid w:val="00A3630F"/>
    <w:rsid w:val="00A363BD"/>
    <w:rsid w:val="00A37189"/>
    <w:rsid w:val="00A377C3"/>
    <w:rsid w:val="00A37E5F"/>
    <w:rsid w:val="00A40CBE"/>
    <w:rsid w:val="00A42369"/>
    <w:rsid w:val="00A4512D"/>
    <w:rsid w:val="00A45AA5"/>
    <w:rsid w:val="00A45EA7"/>
    <w:rsid w:val="00A46318"/>
    <w:rsid w:val="00A47E49"/>
    <w:rsid w:val="00A50244"/>
    <w:rsid w:val="00A50ED9"/>
    <w:rsid w:val="00A5167E"/>
    <w:rsid w:val="00A52941"/>
    <w:rsid w:val="00A54662"/>
    <w:rsid w:val="00A55A43"/>
    <w:rsid w:val="00A565F4"/>
    <w:rsid w:val="00A56C2D"/>
    <w:rsid w:val="00A56F17"/>
    <w:rsid w:val="00A5749E"/>
    <w:rsid w:val="00A577BD"/>
    <w:rsid w:val="00A57DC3"/>
    <w:rsid w:val="00A60C43"/>
    <w:rsid w:val="00A627A6"/>
    <w:rsid w:val="00A627D7"/>
    <w:rsid w:val="00A63546"/>
    <w:rsid w:val="00A637A3"/>
    <w:rsid w:val="00A656C7"/>
    <w:rsid w:val="00A658F3"/>
    <w:rsid w:val="00A666CD"/>
    <w:rsid w:val="00A705AF"/>
    <w:rsid w:val="00A71C92"/>
    <w:rsid w:val="00A72421"/>
    <w:rsid w:val="00A72454"/>
    <w:rsid w:val="00A7297B"/>
    <w:rsid w:val="00A743C7"/>
    <w:rsid w:val="00A74639"/>
    <w:rsid w:val="00A74DA2"/>
    <w:rsid w:val="00A77696"/>
    <w:rsid w:val="00A80334"/>
    <w:rsid w:val="00A80557"/>
    <w:rsid w:val="00A81A54"/>
    <w:rsid w:val="00A81D33"/>
    <w:rsid w:val="00A81E95"/>
    <w:rsid w:val="00A828EF"/>
    <w:rsid w:val="00A8299F"/>
    <w:rsid w:val="00A829B1"/>
    <w:rsid w:val="00A831B5"/>
    <w:rsid w:val="00A84FDD"/>
    <w:rsid w:val="00A85385"/>
    <w:rsid w:val="00A85BD1"/>
    <w:rsid w:val="00A86075"/>
    <w:rsid w:val="00A869C6"/>
    <w:rsid w:val="00A905D9"/>
    <w:rsid w:val="00A92507"/>
    <w:rsid w:val="00A9280C"/>
    <w:rsid w:val="00A930AE"/>
    <w:rsid w:val="00A9566E"/>
    <w:rsid w:val="00A956C6"/>
    <w:rsid w:val="00AA0069"/>
    <w:rsid w:val="00AA1A95"/>
    <w:rsid w:val="00AA2373"/>
    <w:rsid w:val="00AA24C1"/>
    <w:rsid w:val="00AA260F"/>
    <w:rsid w:val="00AA26F4"/>
    <w:rsid w:val="00AA2857"/>
    <w:rsid w:val="00AA2B3F"/>
    <w:rsid w:val="00AA4C40"/>
    <w:rsid w:val="00AA5322"/>
    <w:rsid w:val="00AA57FC"/>
    <w:rsid w:val="00AA5DC7"/>
    <w:rsid w:val="00AA5FE8"/>
    <w:rsid w:val="00AA6EF8"/>
    <w:rsid w:val="00AB0176"/>
    <w:rsid w:val="00AB15CD"/>
    <w:rsid w:val="00AB1B96"/>
    <w:rsid w:val="00AB1EE7"/>
    <w:rsid w:val="00AB339B"/>
    <w:rsid w:val="00AB407B"/>
    <w:rsid w:val="00AB4B37"/>
    <w:rsid w:val="00AB5762"/>
    <w:rsid w:val="00AC054F"/>
    <w:rsid w:val="00AC06EB"/>
    <w:rsid w:val="00AC133F"/>
    <w:rsid w:val="00AC2679"/>
    <w:rsid w:val="00AC2C71"/>
    <w:rsid w:val="00AC4BE4"/>
    <w:rsid w:val="00AC5A84"/>
    <w:rsid w:val="00AC5C7F"/>
    <w:rsid w:val="00AC6BF9"/>
    <w:rsid w:val="00AC6DE7"/>
    <w:rsid w:val="00AC7090"/>
    <w:rsid w:val="00AD03A4"/>
    <w:rsid w:val="00AD05E6"/>
    <w:rsid w:val="00AD06EA"/>
    <w:rsid w:val="00AD0D3F"/>
    <w:rsid w:val="00AD162B"/>
    <w:rsid w:val="00AD275F"/>
    <w:rsid w:val="00AD2959"/>
    <w:rsid w:val="00AD3A13"/>
    <w:rsid w:val="00AD3ED0"/>
    <w:rsid w:val="00AD4F93"/>
    <w:rsid w:val="00AD5233"/>
    <w:rsid w:val="00AD5B78"/>
    <w:rsid w:val="00AD5CA5"/>
    <w:rsid w:val="00AD68A6"/>
    <w:rsid w:val="00AD6BDA"/>
    <w:rsid w:val="00AE1ADA"/>
    <w:rsid w:val="00AE1D7D"/>
    <w:rsid w:val="00AE2A8B"/>
    <w:rsid w:val="00AE3B9B"/>
    <w:rsid w:val="00AE3F64"/>
    <w:rsid w:val="00AE474A"/>
    <w:rsid w:val="00AE584C"/>
    <w:rsid w:val="00AE726B"/>
    <w:rsid w:val="00AE743D"/>
    <w:rsid w:val="00AF04C5"/>
    <w:rsid w:val="00AF08B4"/>
    <w:rsid w:val="00AF1A69"/>
    <w:rsid w:val="00AF632A"/>
    <w:rsid w:val="00AF7386"/>
    <w:rsid w:val="00AF7934"/>
    <w:rsid w:val="00B00939"/>
    <w:rsid w:val="00B00B81"/>
    <w:rsid w:val="00B013FE"/>
    <w:rsid w:val="00B014D8"/>
    <w:rsid w:val="00B019EE"/>
    <w:rsid w:val="00B01D01"/>
    <w:rsid w:val="00B0248B"/>
    <w:rsid w:val="00B028E9"/>
    <w:rsid w:val="00B032B4"/>
    <w:rsid w:val="00B039E5"/>
    <w:rsid w:val="00B03DE3"/>
    <w:rsid w:val="00B04495"/>
    <w:rsid w:val="00B04580"/>
    <w:rsid w:val="00B04B09"/>
    <w:rsid w:val="00B063BA"/>
    <w:rsid w:val="00B11CF1"/>
    <w:rsid w:val="00B12273"/>
    <w:rsid w:val="00B122A7"/>
    <w:rsid w:val="00B122AF"/>
    <w:rsid w:val="00B122C4"/>
    <w:rsid w:val="00B134F2"/>
    <w:rsid w:val="00B1656D"/>
    <w:rsid w:val="00B16A51"/>
    <w:rsid w:val="00B21387"/>
    <w:rsid w:val="00B22DE4"/>
    <w:rsid w:val="00B24CFB"/>
    <w:rsid w:val="00B251A3"/>
    <w:rsid w:val="00B25440"/>
    <w:rsid w:val="00B268DE"/>
    <w:rsid w:val="00B2692B"/>
    <w:rsid w:val="00B27FF0"/>
    <w:rsid w:val="00B31FA9"/>
    <w:rsid w:val="00B32222"/>
    <w:rsid w:val="00B34B05"/>
    <w:rsid w:val="00B3618D"/>
    <w:rsid w:val="00B361BF"/>
    <w:rsid w:val="00B36233"/>
    <w:rsid w:val="00B3637F"/>
    <w:rsid w:val="00B363E6"/>
    <w:rsid w:val="00B401DF"/>
    <w:rsid w:val="00B407F3"/>
    <w:rsid w:val="00B4096F"/>
    <w:rsid w:val="00B40CF0"/>
    <w:rsid w:val="00B41627"/>
    <w:rsid w:val="00B42851"/>
    <w:rsid w:val="00B438E9"/>
    <w:rsid w:val="00B45792"/>
    <w:rsid w:val="00B45AC7"/>
    <w:rsid w:val="00B45E9B"/>
    <w:rsid w:val="00B468C8"/>
    <w:rsid w:val="00B469AC"/>
    <w:rsid w:val="00B4763A"/>
    <w:rsid w:val="00B502CC"/>
    <w:rsid w:val="00B5268A"/>
    <w:rsid w:val="00B5372F"/>
    <w:rsid w:val="00B548E0"/>
    <w:rsid w:val="00B558D0"/>
    <w:rsid w:val="00B55DD7"/>
    <w:rsid w:val="00B562AF"/>
    <w:rsid w:val="00B563F5"/>
    <w:rsid w:val="00B60417"/>
    <w:rsid w:val="00B607FC"/>
    <w:rsid w:val="00B609ED"/>
    <w:rsid w:val="00B61129"/>
    <w:rsid w:val="00B632C6"/>
    <w:rsid w:val="00B63674"/>
    <w:rsid w:val="00B637EA"/>
    <w:rsid w:val="00B63FB7"/>
    <w:rsid w:val="00B6465A"/>
    <w:rsid w:val="00B64BD4"/>
    <w:rsid w:val="00B67C15"/>
    <w:rsid w:val="00B67CDB"/>
    <w:rsid w:val="00B67E55"/>
    <w:rsid w:val="00B67E7F"/>
    <w:rsid w:val="00B702AD"/>
    <w:rsid w:val="00B706BC"/>
    <w:rsid w:val="00B70CE1"/>
    <w:rsid w:val="00B71059"/>
    <w:rsid w:val="00B71807"/>
    <w:rsid w:val="00B71A7E"/>
    <w:rsid w:val="00B7296A"/>
    <w:rsid w:val="00B73084"/>
    <w:rsid w:val="00B7339B"/>
    <w:rsid w:val="00B74EA3"/>
    <w:rsid w:val="00B75A04"/>
    <w:rsid w:val="00B75FC6"/>
    <w:rsid w:val="00B7673F"/>
    <w:rsid w:val="00B77212"/>
    <w:rsid w:val="00B77B1F"/>
    <w:rsid w:val="00B80404"/>
    <w:rsid w:val="00B80483"/>
    <w:rsid w:val="00B82283"/>
    <w:rsid w:val="00B82833"/>
    <w:rsid w:val="00B82E85"/>
    <w:rsid w:val="00B82EF5"/>
    <w:rsid w:val="00B837A7"/>
    <w:rsid w:val="00B839B2"/>
    <w:rsid w:val="00B84582"/>
    <w:rsid w:val="00B852A7"/>
    <w:rsid w:val="00B85969"/>
    <w:rsid w:val="00B87422"/>
    <w:rsid w:val="00B87432"/>
    <w:rsid w:val="00B876AA"/>
    <w:rsid w:val="00B91FCC"/>
    <w:rsid w:val="00B926E7"/>
    <w:rsid w:val="00B92C0D"/>
    <w:rsid w:val="00B932B0"/>
    <w:rsid w:val="00B94252"/>
    <w:rsid w:val="00B953C6"/>
    <w:rsid w:val="00B9715A"/>
    <w:rsid w:val="00B97552"/>
    <w:rsid w:val="00BA0896"/>
    <w:rsid w:val="00BA14BE"/>
    <w:rsid w:val="00BA15B6"/>
    <w:rsid w:val="00BA19D4"/>
    <w:rsid w:val="00BA1E73"/>
    <w:rsid w:val="00BA2732"/>
    <w:rsid w:val="00BA293D"/>
    <w:rsid w:val="00BA2DD9"/>
    <w:rsid w:val="00BA356A"/>
    <w:rsid w:val="00BA36BD"/>
    <w:rsid w:val="00BA49BC"/>
    <w:rsid w:val="00BA56B7"/>
    <w:rsid w:val="00BA5EB9"/>
    <w:rsid w:val="00BA66DB"/>
    <w:rsid w:val="00BA7977"/>
    <w:rsid w:val="00BA7A1E"/>
    <w:rsid w:val="00BA7CA9"/>
    <w:rsid w:val="00BB1D87"/>
    <w:rsid w:val="00BB2664"/>
    <w:rsid w:val="00BB2F6C"/>
    <w:rsid w:val="00BB383E"/>
    <w:rsid w:val="00BB3875"/>
    <w:rsid w:val="00BB5860"/>
    <w:rsid w:val="00BB6665"/>
    <w:rsid w:val="00BB68BA"/>
    <w:rsid w:val="00BB6AAD"/>
    <w:rsid w:val="00BB6DFF"/>
    <w:rsid w:val="00BC1CFC"/>
    <w:rsid w:val="00BC2B36"/>
    <w:rsid w:val="00BC39A8"/>
    <w:rsid w:val="00BC4A19"/>
    <w:rsid w:val="00BC4E6D"/>
    <w:rsid w:val="00BC53B2"/>
    <w:rsid w:val="00BC6E7F"/>
    <w:rsid w:val="00BC7352"/>
    <w:rsid w:val="00BD0617"/>
    <w:rsid w:val="00BD0707"/>
    <w:rsid w:val="00BD1437"/>
    <w:rsid w:val="00BD16F9"/>
    <w:rsid w:val="00BD1C99"/>
    <w:rsid w:val="00BD2E9B"/>
    <w:rsid w:val="00BD3E66"/>
    <w:rsid w:val="00BD5B1C"/>
    <w:rsid w:val="00BD75F8"/>
    <w:rsid w:val="00BE077B"/>
    <w:rsid w:val="00BE1BE5"/>
    <w:rsid w:val="00BE2128"/>
    <w:rsid w:val="00BE2D6E"/>
    <w:rsid w:val="00BE3056"/>
    <w:rsid w:val="00BE46D4"/>
    <w:rsid w:val="00BE4987"/>
    <w:rsid w:val="00BE5C0F"/>
    <w:rsid w:val="00BE751F"/>
    <w:rsid w:val="00BF0234"/>
    <w:rsid w:val="00BF083E"/>
    <w:rsid w:val="00BF2C6C"/>
    <w:rsid w:val="00BF4087"/>
    <w:rsid w:val="00BF46AA"/>
    <w:rsid w:val="00BF6677"/>
    <w:rsid w:val="00BF6FD2"/>
    <w:rsid w:val="00BF7874"/>
    <w:rsid w:val="00BF7934"/>
    <w:rsid w:val="00BF7D0C"/>
    <w:rsid w:val="00C00525"/>
    <w:rsid w:val="00C00930"/>
    <w:rsid w:val="00C015B0"/>
    <w:rsid w:val="00C01848"/>
    <w:rsid w:val="00C01E80"/>
    <w:rsid w:val="00C02015"/>
    <w:rsid w:val="00C02294"/>
    <w:rsid w:val="00C0351C"/>
    <w:rsid w:val="00C0416B"/>
    <w:rsid w:val="00C0440D"/>
    <w:rsid w:val="00C05190"/>
    <w:rsid w:val="00C0521B"/>
    <w:rsid w:val="00C060AD"/>
    <w:rsid w:val="00C0670D"/>
    <w:rsid w:val="00C07F75"/>
    <w:rsid w:val="00C1073A"/>
    <w:rsid w:val="00C107C2"/>
    <w:rsid w:val="00C113BF"/>
    <w:rsid w:val="00C11915"/>
    <w:rsid w:val="00C14876"/>
    <w:rsid w:val="00C14C5D"/>
    <w:rsid w:val="00C15085"/>
    <w:rsid w:val="00C17756"/>
    <w:rsid w:val="00C1791C"/>
    <w:rsid w:val="00C17D9C"/>
    <w:rsid w:val="00C17E20"/>
    <w:rsid w:val="00C2176E"/>
    <w:rsid w:val="00C219D2"/>
    <w:rsid w:val="00C23430"/>
    <w:rsid w:val="00C24353"/>
    <w:rsid w:val="00C25336"/>
    <w:rsid w:val="00C26486"/>
    <w:rsid w:val="00C26535"/>
    <w:rsid w:val="00C27D67"/>
    <w:rsid w:val="00C30618"/>
    <w:rsid w:val="00C3092B"/>
    <w:rsid w:val="00C311D0"/>
    <w:rsid w:val="00C32899"/>
    <w:rsid w:val="00C34FE9"/>
    <w:rsid w:val="00C3584C"/>
    <w:rsid w:val="00C41D65"/>
    <w:rsid w:val="00C42D7E"/>
    <w:rsid w:val="00C43E66"/>
    <w:rsid w:val="00C449DE"/>
    <w:rsid w:val="00C45456"/>
    <w:rsid w:val="00C458DB"/>
    <w:rsid w:val="00C4631F"/>
    <w:rsid w:val="00C50E16"/>
    <w:rsid w:val="00C51A1F"/>
    <w:rsid w:val="00C53639"/>
    <w:rsid w:val="00C5383C"/>
    <w:rsid w:val="00C544B9"/>
    <w:rsid w:val="00C55258"/>
    <w:rsid w:val="00C56045"/>
    <w:rsid w:val="00C565F7"/>
    <w:rsid w:val="00C57444"/>
    <w:rsid w:val="00C60925"/>
    <w:rsid w:val="00C60C62"/>
    <w:rsid w:val="00C614F8"/>
    <w:rsid w:val="00C63654"/>
    <w:rsid w:val="00C63AA6"/>
    <w:rsid w:val="00C665E5"/>
    <w:rsid w:val="00C67ABA"/>
    <w:rsid w:val="00C67EE6"/>
    <w:rsid w:val="00C701B5"/>
    <w:rsid w:val="00C70921"/>
    <w:rsid w:val="00C72751"/>
    <w:rsid w:val="00C72EFB"/>
    <w:rsid w:val="00C73B84"/>
    <w:rsid w:val="00C73F2B"/>
    <w:rsid w:val="00C76AAF"/>
    <w:rsid w:val="00C7700F"/>
    <w:rsid w:val="00C80AF3"/>
    <w:rsid w:val="00C81285"/>
    <w:rsid w:val="00C82EEB"/>
    <w:rsid w:val="00C84177"/>
    <w:rsid w:val="00C8422C"/>
    <w:rsid w:val="00C855A2"/>
    <w:rsid w:val="00C858D4"/>
    <w:rsid w:val="00C858F7"/>
    <w:rsid w:val="00C8694E"/>
    <w:rsid w:val="00C87098"/>
    <w:rsid w:val="00C90F33"/>
    <w:rsid w:val="00C91E72"/>
    <w:rsid w:val="00C927D6"/>
    <w:rsid w:val="00C93330"/>
    <w:rsid w:val="00C947A9"/>
    <w:rsid w:val="00C95060"/>
    <w:rsid w:val="00C971DC"/>
    <w:rsid w:val="00CA1157"/>
    <w:rsid w:val="00CA16B7"/>
    <w:rsid w:val="00CA1956"/>
    <w:rsid w:val="00CA335A"/>
    <w:rsid w:val="00CA4BE3"/>
    <w:rsid w:val="00CA5231"/>
    <w:rsid w:val="00CA62AE"/>
    <w:rsid w:val="00CA66C1"/>
    <w:rsid w:val="00CB037A"/>
    <w:rsid w:val="00CB1218"/>
    <w:rsid w:val="00CB1F57"/>
    <w:rsid w:val="00CB2903"/>
    <w:rsid w:val="00CB2C0A"/>
    <w:rsid w:val="00CB3D9E"/>
    <w:rsid w:val="00CB4258"/>
    <w:rsid w:val="00CB43DD"/>
    <w:rsid w:val="00CB4EB3"/>
    <w:rsid w:val="00CB5B1A"/>
    <w:rsid w:val="00CB7791"/>
    <w:rsid w:val="00CB7CB9"/>
    <w:rsid w:val="00CC0381"/>
    <w:rsid w:val="00CC06AE"/>
    <w:rsid w:val="00CC07E4"/>
    <w:rsid w:val="00CC1645"/>
    <w:rsid w:val="00CC220B"/>
    <w:rsid w:val="00CC2AF9"/>
    <w:rsid w:val="00CC2E18"/>
    <w:rsid w:val="00CC338F"/>
    <w:rsid w:val="00CC3486"/>
    <w:rsid w:val="00CC5C43"/>
    <w:rsid w:val="00CC5F85"/>
    <w:rsid w:val="00CC6A18"/>
    <w:rsid w:val="00CD02AE"/>
    <w:rsid w:val="00CD049C"/>
    <w:rsid w:val="00CD1D17"/>
    <w:rsid w:val="00CD2310"/>
    <w:rsid w:val="00CD2A4F"/>
    <w:rsid w:val="00CD2FD8"/>
    <w:rsid w:val="00CD3F15"/>
    <w:rsid w:val="00CD484D"/>
    <w:rsid w:val="00CD49DD"/>
    <w:rsid w:val="00CD6512"/>
    <w:rsid w:val="00CD6EE5"/>
    <w:rsid w:val="00CE03CA"/>
    <w:rsid w:val="00CE1A54"/>
    <w:rsid w:val="00CE22F1"/>
    <w:rsid w:val="00CE2506"/>
    <w:rsid w:val="00CE2745"/>
    <w:rsid w:val="00CE2A3B"/>
    <w:rsid w:val="00CE3540"/>
    <w:rsid w:val="00CE3EE2"/>
    <w:rsid w:val="00CE50F2"/>
    <w:rsid w:val="00CE5F68"/>
    <w:rsid w:val="00CE6502"/>
    <w:rsid w:val="00CF0E49"/>
    <w:rsid w:val="00CF2CB5"/>
    <w:rsid w:val="00CF4DF7"/>
    <w:rsid w:val="00CF5B2D"/>
    <w:rsid w:val="00CF7D3C"/>
    <w:rsid w:val="00D0199B"/>
    <w:rsid w:val="00D03C0D"/>
    <w:rsid w:val="00D03FE1"/>
    <w:rsid w:val="00D0420F"/>
    <w:rsid w:val="00D1118A"/>
    <w:rsid w:val="00D135F8"/>
    <w:rsid w:val="00D1404D"/>
    <w:rsid w:val="00D147EB"/>
    <w:rsid w:val="00D14ED6"/>
    <w:rsid w:val="00D151C5"/>
    <w:rsid w:val="00D15B90"/>
    <w:rsid w:val="00D174AF"/>
    <w:rsid w:val="00D17A2E"/>
    <w:rsid w:val="00D2101B"/>
    <w:rsid w:val="00D21BCD"/>
    <w:rsid w:val="00D231D8"/>
    <w:rsid w:val="00D23656"/>
    <w:rsid w:val="00D255F1"/>
    <w:rsid w:val="00D25833"/>
    <w:rsid w:val="00D25F9C"/>
    <w:rsid w:val="00D279B7"/>
    <w:rsid w:val="00D27F0A"/>
    <w:rsid w:val="00D30826"/>
    <w:rsid w:val="00D33BF7"/>
    <w:rsid w:val="00D34667"/>
    <w:rsid w:val="00D35524"/>
    <w:rsid w:val="00D35BF7"/>
    <w:rsid w:val="00D35E46"/>
    <w:rsid w:val="00D36C9C"/>
    <w:rsid w:val="00D401E1"/>
    <w:rsid w:val="00D408A9"/>
    <w:rsid w:val="00D408B4"/>
    <w:rsid w:val="00D423B5"/>
    <w:rsid w:val="00D42695"/>
    <w:rsid w:val="00D445DE"/>
    <w:rsid w:val="00D45C3B"/>
    <w:rsid w:val="00D45D4B"/>
    <w:rsid w:val="00D45D94"/>
    <w:rsid w:val="00D524C8"/>
    <w:rsid w:val="00D53973"/>
    <w:rsid w:val="00D543D5"/>
    <w:rsid w:val="00D5721A"/>
    <w:rsid w:val="00D573D5"/>
    <w:rsid w:val="00D60E25"/>
    <w:rsid w:val="00D61209"/>
    <w:rsid w:val="00D61384"/>
    <w:rsid w:val="00D647F6"/>
    <w:rsid w:val="00D67324"/>
    <w:rsid w:val="00D70B4B"/>
    <w:rsid w:val="00D70E24"/>
    <w:rsid w:val="00D71509"/>
    <w:rsid w:val="00D7176B"/>
    <w:rsid w:val="00D72B61"/>
    <w:rsid w:val="00D72C43"/>
    <w:rsid w:val="00D76497"/>
    <w:rsid w:val="00D76DD8"/>
    <w:rsid w:val="00D8134A"/>
    <w:rsid w:val="00D818D6"/>
    <w:rsid w:val="00D81B69"/>
    <w:rsid w:val="00D821F3"/>
    <w:rsid w:val="00D86A0D"/>
    <w:rsid w:val="00D86D16"/>
    <w:rsid w:val="00D90E2F"/>
    <w:rsid w:val="00D923A3"/>
    <w:rsid w:val="00D92D61"/>
    <w:rsid w:val="00D9357D"/>
    <w:rsid w:val="00D93A74"/>
    <w:rsid w:val="00D93BC3"/>
    <w:rsid w:val="00D96758"/>
    <w:rsid w:val="00D9694F"/>
    <w:rsid w:val="00DA0225"/>
    <w:rsid w:val="00DA16E7"/>
    <w:rsid w:val="00DA191E"/>
    <w:rsid w:val="00DA2FD0"/>
    <w:rsid w:val="00DA311C"/>
    <w:rsid w:val="00DA3D1D"/>
    <w:rsid w:val="00DA42EC"/>
    <w:rsid w:val="00DA5682"/>
    <w:rsid w:val="00DA653B"/>
    <w:rsid w:val="00DA7580"/>
    <w:rsid w:val="00DB0138"/>
    <w:rsid w:val="00DB3A13"/>
    <w:rsid w:val="00DB3D41"/>
    <w:rsid w:val="00DB40D9"/>
    <w:rsid w:val="00DB5124"/>
    <w:rsid w:val="00DB6286"/>
    <w:rsid w:val="00DB645F"/>
    <w:rsid w:val="00DB6A0E"/>
    <w:rsid w:val="00DB6E02"/>
    <w:rsid w:val="00DB76E9"/>
    <w:rsid w:val="00DC0A67"/>
    <w:rsid w:val="00DC1D5E"/>
    <w:rsid w:val="00DC2313"/>
    <w:rsid w:val="00DC421D"/>
    <w:rsid w:val="00DC4B1D"/>
    <w:rsid w:val="00DC5220"/>
    <w:rsid w:val="00DC645C"/>
    <w:rsid w:val="00DC76B3"/>
    <w:rsid w:val="00DC782B"/>
    <w:rsid w:val="00DC7910"/>
    <w:rsid w:val="00DD1A52"/>
    <w:rsid w:val="00DD2061"/>
    <w:rsid w:val="00DD2142"/>
    <w:rsid w:val="00DD5C6E"/>
    <w:rsid w:val="00DD62AF"/>
    <w:rsid w:val="00DD7DAB"/>
    <w:rsid w:val="00DE052E"/>
    <w:rsid w:val="00DE0E58"/>
    <w:rsid w:val="00DE1C75"/>
    <w:rsid w:val="00DE24B1"/>
    <w:rsid w:val="00DE3355"/>
    <w:rsid w:val="00DE3D33"/>
    <w:rsid w:val="00DE406C"/>
    <w:rsid w:val="00DE4539"/>
    <w:rsid w:val="00DE4CEC"/>
    <w:rsid w:val="00DE509C"/>
    <w:rsid w:val="00DE7509"/>
    <w:rsid w:val="00DF069B"/>
    <w:rsid w:val="00DF0D7F"/>
    <w:rsid w:val="00DF486F"/>
    <w:rsid w:val="00DF5B5B"/>
    <w:rsid w:val="00DF72FC"/>
    <w:rsid w:val="00DF7619"/>
    <w:rsid w:val="00DF796B"/>
    <w:rsid w:val="00E0061D"/>
    <w:rsid w:val="00E00936"/>
    <w:rsid w:val="00E042D8"/>
    <w:rsid w:val="00E04E0D"/>
    <w:rsid w:val="00E05594"/>
    <w:rsid w:val="00E05E65"/>
    <w:rsid w:val="00E06D90"/>
    <w:rsid w:val="00E0731D"/>
    <w:rsid w:val="00E0752B"/>
    <w:rsid w:val="00E075D4"/>
    <w:rsid w:val="00E07EE7"/>
    <w:rsid w:val="00E1103B"/>
    <w:rsid w:val="00E1157F"/>
    <w:rsid w:val="00E124BB"/>
    <w:rsid w:val="00E12ADE"/>
    <w:rsid w:val="00E12C8F"/>
    <w:rsid w:val="00E13145"/>
    <w:rsid w:val="00E14719"/>
    <w:rsid w:val="00E15390"/>
    <w:rsid w:val="00E15634"/>
    <w:rsid w:val="00E159DB"/>
    <w:rsid w:val="00E160CF"/>
    <w:rsid w:val="00E1626A"/>
    <w:rsid w:val="00E1765D"/>
    <w:rsid w:val="00E176A1"/>
    <w:rsid w:val="00E17B44"/>
    <w:rsid w:val="00E236D0"/>
    <w:rsid w:val="00E23F4A"/>
    <w:rsid w:val="00E26938"/>
    <w:rsid w:val="00E26FEA"/>
    <w:rsid w:val="00E27FB2"/>
    <w:rsid w:val="00E27FEA"/>
    <w:rsid w:val="00E27FF0"/>
    <w:rsid w:val="00E32470"/>
    <w:rsid w:val="00E32763"/>
    <w:rsid w:val="00E327A9"/>
    <w:rsid w:val="00E32948"/>
    <w:rsid w:val="00E345DA"/>
    <w:rsid w:val="00E36472"/>
    <w:rsid w:val="00E36CD9"/>
    <w:rsid w:val="00E4086F"/>
    <w:rsid w:val="00E4268A"/>
    <w:rsid w:val="00E438C4"/>
    <w:rsid w:val="00E43B3C"/>
    <w:rsid w:val="00E43D0A"/>
    <w:rsid w:val="00E4494E"/>
    <w:rsid w:val="00E4518C"/>
    <w:rsid w:val="00E4566A"/>
    <w:rsid w:val="00E467A7"/>
    <w:rsid w:val="00E50188"/>
    <w:rsid w:val="00E515CB"/>
    <w:rsid w:val="00E52260"/>
    <w:rsid w:val="00E53FB7"/>
    <w:rsid w:val="00E54BD8"/>
    <w:rsid w:val="00E552B4"/>
    <w:rsid w:val="00E55360"/>
    <w:rsid w:val="00E55C1A"/>
    <w:rsid w:val="00E56CE8"/>
    <w:rsid w:val="00E579DC"/>
    <w:rsid w:val="00E628C8"/>
    <w:rsid w:val="00E62B3F"/>
    <w:rsid w:val="00E639B6"/>
    <w:rsid w:val="00E6434B"/>
    <w:rsid w:val="00E6463D"/>
    <w:rsid w:val="00E66214"/>
    <w:rsid w:val="00E7037D"/>
    <w:rsid w:val="00E72E9B"/>
    <w:rsid w:val="00E733EB"/>
    <w:rsid w:val="00E746BE"/>
    <w:rsid w:val="00E74815"/>
    <w:rsid w:val="00E74F3C"/>
    <w:rsid w:val="00E75D24"/>
    <w:rsid w:val="00E76DDD"/>
    <w:rsid w:val="00E804B0"/>
    <w:rsid w:val="00E808C9"/>
    <w:rsid w:val="00E81BF7"/>
    <w:rsid w:val="00E828AA"/>
    <w:rsid w:val="00E82A3E"/>
    <w:rsid w:val="00E82C2E"/>
    <w:rsid w:val="00E83695"/>
    <w:rsid w:val="00E849DA"/>
    <w:rsid w:val="00E85CD8"/>
    <w:rsid w:val="00E86048"/>
    <w:rsid w:val="00E86733"/>
    <w:rsid w:val="00E8700F"/>
    <w:rsid w:val="00E87394"/>
    <w:rsid w:val="00E875F2"/>
    <w:rsid w:val="00E9078F"/>
    <w:rsid w:val="00E90CE4"/>
    <w:rsid w:val="00E90F79"/>
    <w:rsid w:val="00E91381"/>
    <w:rsid w:val="00E91F40"/>
    <w:rsid w:val="00E9462E"/>
    <w:rsid w:val="00E94FFE"/>
    <w:rsid w:val="00E95209"/>
    <w:rsid w:val="00E95C58"/>
    <w:rsid w:val="00E9655D"/>
    <w:rsid w:val="00E96627"/>
    <w:rsid w:val="00E97291"/>
    <w:rsid w:val="00E97D5E"/>
    <w:rsid w:val="00EA2C32"/>
    <w:rsid w:val="00EA2DD6"/>
    <w:rsid w:val="00EA3784"/>
    <w:rsid w:val="00EA3C92"/>
    <w:rsid w:val="00EA470E"/>
    <w:rsid w:val="00EA47A7"/>
    <w:rsid w:val="00EA56C6"/>
    <w:rsid w:val="00EA57EB"/>
    <w:rsid w:val="00EA7C4E"/>
    <w:rsid w:val="00EA7DFB"/>
    <w:rsid w:val="00EB07E6"/>
    <w:rsid w:val="00EB2456"/>
    <w:rsid w:val="00EB24C8"/>
    <w:rsid w:val="00EB2539"/>
    <w:rsid w:val="00EB3226"/>
    <w:rsid w:val="00EB323A"/>
    <w:rsid w:val="00EB404A"/>
    <w:rsid w:val="00EB43AE"/>
    <w:rsid w:val="00EB4AE1"/>
    <w:rsid w:val="00EC142D"/>
    <w:rsid w:val="00EC213A"/>
    <w:rsid w:val="00EC3167"/>
    <w:rsid w:val="00EC3E06"/>
    <w:rsid w:val="00EC420B"/>
    <w:rsid w:val="00EC4261"/>
    <w:rsid w:val="00EC4DD6"/>
    <w:rsid w:val="00EC5C50"/>
    <w:rsid w:val="00EC6603"/>
    <w:rsid w:val="00EC7744"/>
    <w:rsid w:val="00EC7C37"/>
    <w:rsid w:val="00ED0DAD"/>
    <w:rsid w:val="00ED0F46"/>
    <w:rsid w:val="00ED1BD0"/>
    <w:rsid w:val="00ED2373"/>
    <w:rsid w:val="00ED2F52"/>
    <w:rsid w:val="00ED3698"/>
    <w:rsid w:val="00ED4203"/>
    <w:rsid w:val="00ED5C7D"/>
    <w:rsid w:val="00ED5CE3"/>
    <w:rsid w:val="00EE00D3"/>
    <w:rsid w:val="00EE28A0"/>
    <w:rsid w:val="00EE2F84"/>
    <w:rsid w:val="00EE3156"/>
    <w:rsid w:val="00EE3E8A"/>
    <w:rsid w:val="00EE42BE"/>
    <w:rsid w:val="00EE5EB1"/>
    <w:rsid w:val="00EE758E"/>
    <w:rsid w:val="00EE75E4"/>
    <w:rsid w:val="00EE76FF"/>
    <w:rsid w:val="00EF3786"/>
    <w:rsid w:val="00EF4A90"/>
    <w:rsid w:val="00EF53B5"/>
    <w:rsid w:val="00EF64B6"/>
    <w:rsid w:val="00EF6ECA"/>
    <w:rsid w:val="00EF79C3"/>
    <w:rsid w:val="00F01F9D"/>
    <w:rsid w:val="00F024E1"/>
    <w:rsid w:val="00F04298"/>
    <w:rsid w:val="00F063B3"/>
    <w:rsid w:val="00F06C10"/>
    <w:rsid w:val="00F06C18"/>
    <w:rsid w:val="00F07AC2"/>
    <w:rsid w:val="00F1090E"/>
    <w:rsid w:val="00F1096F"/>
    <w:rsid w:val="00F10A68"/>
    <w:rsid w:val="00F10C55"/>
    <w:rsid w:val="00F10D2F"/>
    <w:rsid w:val="00F12589"/>
    <w:rsid w:val="00F12595"/>
    <w:rsid w:val="00F13180"/>
    <w:rsid w:val="00F134D9"/>
    <w:rsid w:val="00F13798"/>
    <w:rsid w:val="00F13C68"/>
    <w:rsid w:val="00F1403D"/>
    <w:rsid w:val="00F1463F"/>
    <w:rsid w:val="00F15D8A"/>
    <w:rsid w:val="00F205D9"/>
    <w:rsid w:val="00F206EB"/>
    <w:rsid w:val="00F21302"/>
    <w:rsid w:val="00F2317B"/>
    <w:rsid w:val="00F23584"/>
    <w:rsid w:val="00F260D2"/>
    <w:rsid w:val="00F268B4"/>
    <w:rsid w:val="00F278A2"/>
    <w:rsid w:val="00F27C60"/>
    <w:rsid w:val="00F27D58"/>
    <w:rsid w:val="00F27DF9"/>
    <w:rsid w:val="00F31C74"/>
    <w:rsid w:val="00F321DE"/>
    <w:rsid w:val="00F328DF"/>
    <w:rsid w:val="00F33530"/>
    <w:rsid w:val="00F33777"/>
    <w:rsid w:val="00F34166"/>
    <w:rsid w:val="00F35AD5"/>
    <w:rsid w:val="00F363F4"/>
    <w:rsid w:val="00F36D13"/>
    <w:rsid w:val="00F3735E"/>
    <w:rsid w:val="00F40648"/>
    <w:rsid w:val="00F40676"/>
    <w:rsid w:val="00F40D2E"/>
    <w:rsid w:val="00F40E99"/>
    <w:rsid w:val="00F41FBA"/>
    <w:rsid w:val="00F42A1B"/>
    <w:rsid w:val="00F43315"/>
    <w:rsid w:val="00F43F08"/>
    <w:rsid w:val="00F44A44"/>
    <w:rsid w:val="00F452C5"/>
    <w:rsid w:val="00F453EE"/>
    <w:rsid w:val="00F473A2"/>
    <w:rsid w:val="00F47DA2"/>
    <w:rsid w:val="00F50CF5"/>
    <w:rsid w:val="00F512AC"/>
    <w:rsid w:val="00F519FC"/>
    <w:rsid w:val="00F52436"/>
    <w:rsid w:val="00F52AA2"/>
    <w:rsid w:val="00F5307A"/>
    <w:rsid w:val="00F53094"/>
    <w:rsid w:val="00F54275"/>
    <w:rsid w:val="00F549F9"/>
    <w:rsid w:val="00F55069"/>
    <w:rsid w:val="00F57753"/>
    <w:rsid w:val="00F603A9"/>
    <w:rsid w:val="00F60E9A"/>
    <w:rsid w:val="00F6225F"/>
    <w:rsid w:val="00F622A7"/>
    <w:rsid w:val="00F6239D"/>
    <w:rsid w:val="00F6352E"/>
    <w:rsid w:val="00F640B9"/>
    <w:rsid w:val="00F6507A"/>
    <w:rsid w:val="00F65A18"/>
    <w:rsid w:val="00F65BE6"/>
    <w:rsid w:val="00F6600C"/>
    <w:rsid w:val="00F715D2"/>
    <w:rsid w:val="00F71FFF"/>
    <w:rsid w:val="00F7213F"/>
    <w:rsid w:val="00F72601"/>
    <w:rsid w:val="00F7274F"/>
    <w:rsid w:val="00F735DC"/>
    <w:rsid w:val="00F76A0A"/>
    <w:rsid w:val="00F76FA8"/>
    <w:rsid w:val="00F7729C"/>
    <w:rsid w:val="00F7799F"/>
    <w:rsid w:val="00F80E61"/>
    <w:rsid w:val="00F8139F"/>
    <w:rsid w:val="00F81A59"/>
    <w:rsid w:val="00F831B6"/>
    <w:rsid w:val="00F84514"/>
    <w:rsid w:val="00F84D79"/>
    <w:rsid w:val="00F84F34"/>
    <w:rsid w:val="00F86E05"/>
    <w:rsid w:val="00F87136"/>
    <w:rsid w:val="00F8719B"/>
    <w:rsid w:val="00F87D05"/>
    <w:rsid w:val="00F921F3"/>
    <w:rsid w:val="00F93F08"/>
    <w:rsid w:val="00F9422F"/>
    <w:rsid w:val="00F94CED"/>
    <w:rsid w:val="00F95CAE"/>
    <w:rsid w:val="00F971FC"/>
    <w:rsid w:val="00FA0CED"/>
    <w:rsid w:val="00FA2CEE"/>
    <w:rsid w:val="00FA3091"/>
    <w:rsid w:val="00FA318C"/>
    <w:rsid w:val="00FA6139"/>
    <w:rsid w:val="00FB1D11"/>
    <w:rsid w:val="00FB353E"/>
    <w:rsid w:val="00FB381E"/>
    <w:rsid w:val="00FB3995"/>
    <w:rsid w:val="00FB6A17"/>
    <w:rsid w:val="00FB6F92"/>
    <w:rsid w:val="00FC026E"/>
    <w:rsid w:val="00FC12A6"/>
    <w:rsid w:val="00FC1CD6"/>
    <w:rsid w:val="00FC2BFE"/>
    <w:rsid w:val="00FC4BB7"/>
    <w:rsid w:val="00FC5124"/>
    <w:rsid w:val="00FC54E0"/>
    <w:rsid w:val="00FC62CB"/>
    <w:rsid w:val="00FC6851"/>
    <w:rsid w:val="00FD03A1"/>
    <w:rsid w:val="00FD0B5F"/>
    <w:rsid w:val="00FD0DCB"/>
    <w:rsid w:val="00FD12B8"/>
    <w:rsid w:val="00FD3435"/>
    <w:rsid w:val="00FD38D6"/>
    <w:rsid w:val="00FD458A"/>
    <w:rsid w:val="00FD4731"/>
    <w:rsid w:val="00FD4BDD"/>
    <w:rsid w:val="00FE0DE6"/>
    <w:rsid w:val="00FE2B33"/>
    <w:rsid w:val="00FE4EA4"/>
    <w:rsid w:val="00FE5F1A"/>
    <w:rsid w:val="00FE63E6"/>
    <w:rsid w:val="00FE6A9E"/>
    <w:rsid w:val="00FE6F75"/>
    <w:rsid w:val="00FE740F"/>
    <w:rsid w:val="00FF0AB0"/>
    <w:rsid w:val="00FF0EC9"/>
    <w:rsid w:val="00FF28AC"/>
    <w:rsid w:val="00FF4B5E"/>
    <w:rsid w:val="00FF7F62"/>
    <w:rsid w:val="0133CF36"/>
    <w:rsid w:val="02171B29"/>
    <w:rsid w:val="025F5E70"/>
    <w:rsid w:val="02D498C3"/>
    <w:rsid w:val="0442504A"/>
    <w:rsid w:val="0473433B"/>
    <w:rsid w:val="04D18810"/>
    <w:rsid w:val="05B245D0"/>
    <w:rsid w:val="07287FCC"/>
    <w:rsid w:val="07A6C81B"/>
    <w:rsid w:val="07B96829"/>
    <w:rsid w:val="088D92C4"/>
    <w:rsid w:val="0992768C"/>
    <w:rsid w:val="0B0B59A3"/>
    <w:rsid w:val="0BF33B66"/>
    <w:rsid w:val="0C645007"/>
    <w:rsid w:val="0C9BD043"/>
    <w:rsid w:val="0DC15CC2"/>
    <w:rsid w:val="0F850BB0"/>
    <w:rsid w:val="10A5C6C6"/>
    <w:rsid w:val="112C5B5B"/>
    <w:rsid w:val="15BB8D38"/>
    <w:rsid w:val="15C069B4"/>
    <w:rsid w:val="15C294B8"/>
    <w:rsid w:val="1633A8BF"/>
    <w:rsid w:val="165986BC"/>
    <w:rsid w:val="1771FF7E"/>
    <w:rsid w:val="191A8A23"/>
    <w:rsid w:val="1999F6A1"/>
    <w:rsid w:val="19E7B1CC"/>
    <w:rsid w:val="1A77ECCF"/>
    <w:rsid w:val="1A8658F9"/>
    <w:rsid w:val="1BDE715E"/>
    <w:rsid w:val="1BED65DA"/>
    <w:rsid w:val="1CE6728F"/>
    <w:rsid w:val="1D5F7C5D"/>
    <w:rsid w:val="1E39C988"/>
    <w:rsid w:val="1E737B6B"/>
    <w:rsid w:val="1F17312D"/>
    <w:rsid w:val="1FDFBFEC"/>
    <w:rsid w:val="210CA4FC"/>
    <w:rsid w:val="218367FE"/>
    <w:rsid w:val="21EE6CA8"/>
    <w:rsid w:val="221049E2"/>
    <w:rsid w:val="22C43FB8"/>
    <w:rsid w:val="2333D156"/>
    <w:rsid w:val="246D0709"/>
    <w:rsid w:val="2509C16F"/>
    <w:rsid w:val="252A98D7"/>
    <w:rsid w:val="25FFD78E"/>
    <w:rsid w:val="26021D2E"/>
    <w:rsid w:val="27F99924"/>
    <w:rsid w:val="29F8810D"/>
    <w:rsid w:val="2A16A9E0"/>
    <w:rsid w:val="2B2992A1"/>
    <w:rsid w:val="2B764798"/>
    <w:rsid w:val="2C22E02E"/>
    <w:rsid w:val="2DD35304"/>
    <w:rsid w:val="2E78EEA0"/>
    <w:rsid w:val="2E945884"/>
    <w:rsid w:val="2EDFFE30"/>
    <w:rsid w:val="315E39EC"/>
    <w:rsid w:val="336391F5"/>
    <w:rsid w:val="337C9E3D"/>
    <w:rsid w:val="341F393E"/>
    <w:rsid w:val="35A79CF3"/>
    <w:rsid w:val="35F9D37F"/>
    <w:rsid w:val="370ECEF4"/>
    <w:rsid w:val="37378EDD"/>
    <w:rsid w:val="374B950B"/>
    <w:rsid w:val="37C1BD04"/>
    <w:rsid w:val="37DCE54E"/>
    <w:rsid w:val="3A202467"/>
    <w:rsid w:val="3A5FB618"/>
    <w:rsid w:val="3ACE45CB"/>
    <w:rsid w:val="3BBBBBDC"/>
    <w:rsid w:val="3C053B17"/>
    <w:rsid w:val="3F1786B0"/>
    <w:rsid w:val="3F67E581"/>
    <w:rsid w:val="3FC0352A"/>
    <w:rsid w:val="3FEB03F0"/>
    <w:rsid w:val="4057CA8E"/>
    <w:rsid w:val="40F71325"/>
    <w:rsid w:val="414B2760"/>
    <w:rsid w:val="417F23DD"/>
    <w:rsid w:val="420EEACA"/>
    <w:rsid w:val="44A0E6A7"/>
    <w:rsid w:val="45367A5F"/>
    <w:rsid w:val="4553394E"/>
    <w:rsid w:val="46B3A095"/>
    <w:rsid w:val="46E77222"/>
    <w:rsid w:val="4AD4EC3C"/>
    <w:rsid w:val="4B055257"/>
    <w:rsid w:val="4C085345"/>
    <w:rsid w:val="4C5B3A9E"/>
    <w:rsid w:val="4CB386C6"/>
    <w:rsid w:val="4CC77B99"/>
    <w:rsid w:val="4EE137BC"/>
    <w:rsid w:val="501E9907"/>
    <w:rsid w:val="50B156DD"/>
    <w:rsid w:val="517DB31B"/>
    <w:rsid w:val="532F622F"/>
    <w:rsid w:val="5364B951"/>
    <w:rsid w:val="536BCA28"/>
    <w:rsid w:val="53C5B669"/>
    <w:rsid w:val="53D12370"/>
    <w:rsid w:val="5421C21F"/>
    <w:rsid w:val="546BD199"/>
    <w:rsid w:val="54EE7395"/>
    <w:rsid w:val="55D99B39"/>
    <w:rsid w:val="56AF6E97"/>
    <w:rsid w:val="56CB700E"/>
    <w:rsid w:val="571750F4"/>
    <w:rsid w:val="57A0C80E"/>
    <w:rsid w:val="58201D4E"/>
    <w:rsid w:val="58E59809"/>
    <w:rsid w:val="59263D65"/>
    <w:rsid w:val="59AB0C44"/>
    <w:rsid w:val="59DC1A0C"/>
    <w:rsid w:val="5A634A7F"/>
    <w:rsid w:val="5B2FF7C1"/>
    <w:rsid w:val="5B91DB1B"/>
    <w:rsid w:val="5CD5CDCD"/>
    <w:rsid w:val="5D279E6D"/>
    <w:rsid w:val="5E52BD06"/>
    <w:rsid w:val="5E797B7B"/>
    <w:rsid w:val="5F284EFB"/>
    <w:rsid w:val="60357413"/>
    <w:rsid w:val="606E92FA"/>
    <w:rsid w:val="60C6E60E"/>
    <w:rsid w:val="6198CD0E"/>
    <w:rsid w:val="619DFF83"/>
    <w:rsid w:val="61EBD51F"/>
    <w:rsid w:val="6350AC15"/>
    <w:rsid w:val="64292BE5"/>
    <w:rsid w:val="65CB64E6"/>
    <w:rsid w:val="69B4854A"/>
    <w:rsid w:val="6A93FDF2"/>
    <w:rsid w:val="6BCA385D"/>
    <w:rsid w:val="6C62D8D3"/>
    <w:rsid w:val="6C727BCE"/>
    <w:rsid w:val="6C8CFEB1"/>
    <w:rsid w:val="6CA67C9E"/>
    <w:rsid w:val="6D47C0BC"/>
    <w:rsid w:val="6E83B847"/>
    <w:rsid w:val="70029E3E"/>
    <w:rsid w:val="7013AC3D"/>
    <w:rsid w:val="702B2A02"/>
    <w:rsid w:val="7219AA08"/>
    <w:rsid w:val="72341127"/>
    <w:rsid w:val="728B63BD"/>
    <w:rsid w:val="73CB57BE"/>
    <w:rsid w:val="73F4134E"/>
    <w:rsid w:val="75077694"/>
    <w:rsid w:val="75659B26"/>
    <w:rsid w:val="762C21FA"/>
    <w:rsid w:val="7651DE48"/>
    <w:rsid w:val="76AF83AB"/>
    <w:rsid w:val="76CBB6D9"/>
    <w:rsid w:val="7812E0B2"/>
    <w:rsid w:val="78FBB18B"/>
    <w:rsid w:val="790FEDB7"/>
    <w:rsid w:val="79B6F1E6"/>
    <w:rsid w:val="79EE60AC"/>
    <w:rsid w:val="7B4CB8BF"/>
    <w:rsid w:val="7C6EBB07"/>
    <w:rsid w:val="7CBF5CED"/>
    <w:rsid w:val="7CCC3DB3"/>
    <w:rsid w:val="7D58BAFD"/>
    <w:rsid w:val="7DCE413E"/>
    <w:rsid w:val="7EC24C98"/>
    <w:rsid w:val="7EE83705"/>
    <w:rsid w:val="7EFF8DA4"/>
    <w:rsid w:val="7FE1ED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7E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52E4D"/>
    <w:rPr>
      <w:rFonts w:ascii="Arial" w:hAnsi="Arial"/>
      <w:sz w:val="22"/>
      <w:szCs w:val="24"/>
      <w:lang w:eastAsia="en-US"/>
    </w:rPr>
  </w:style>
  <w:style w:type="paragraph" w:styleId="Heading1">
    <w:name w:val="heading 1"/>
    <w:basedOn w:val="Normal"/>
    <w:next w:val="Normal"/>
    <w:link w:val="Heading1Char"/>
    <w:qFormat/>
    <w:rsid w:val="00151E3D"/>
    <w:pPr>
      <w:keepNext/>
      <w:spacing w:before="240" w:after="60"/>
      <w:outlineLvl w:val="0"/>
    </w:pPr>
    <w:rPr>
      <w:rFonts w:ascii="Aptos" w:hAnsi="Aptos" w:cs="Arial"/>
      <w:bCs/>
      <w:color w:val="3F4A75"/>
      <w:kern w:val="28"/>
      <w:sz w:val="36"/>
      <w:szCs w:val="36"/>
    </w:rPr>
  </w:style>
  <w:style w:type="paragraph" w:styleId="Heading2">
    <w:name w:val="heading 2"/>
    <w:next w:val="Paragraphtext"/>
    <w:link w:val="Heading2Char"/>
    <w:qFormat/>
    <w:rsid w:val="00355345"/>
    <w:pPr>
      <w:keepNext/>
      <w:spacing w:before="240" w:after="60"/>
      <w:outlineLvl w:val="1"/>
    </w:pPr>
    <w:rPr>
      <w:rFonts w:ascii="Aptos" w:hAnsi="Aptos" w:cs="Arial"/>
      <w:bCs/>
      <w:iCs/>
      <w:color w:val="358189"/>
      <w:sz w:val="32"/>
      <w:szCs w:val="28"/>
      <w:lang w:eastAsia="en-US"/>
    </w:rPr>
  </w:style>
  <w:style w:type="paragraph" w:styleId="Heading3">
    <w:name w:val="heading 3"/>
    <w:next w:val="Normal"/>
    <w:link w:val="Heading3Char"/>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link w:val="Heading4Char"/>
    <w:qFormat/>
    <w:rsid w:val="001A136F"/>
    <w:pPr>
      <w:spacing w:after="20"/>
      <w:outlineLvl w:val="3"/>
    </w:pPr>
    <w:rPr>
      <w:rFonts w:ascii="Aptos" w:hAnsi="Aptos"/>
      <w:b/>
      <w:bCs/>
      <w:color w:val="000000"/>
      <w:szCs w:val="22"/>
      <w:lang w:eastAsia="en-AU"/>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link w:val="ParagraphtextChar"/>
    <w:qFormat/>
    <w:rsid w:val="00355345"/>
    <w:pPr>
      <w:spacing w:before="120" w:after="60"/>
    </w:pPr>
    <w:rPr>
      <w:rFonts w:ascii="Aptos" w:hAnsi="Aptos"/>
      <w:color w:val="000000" w:themeColor="text1"/>
      <w:sz w:val="24"/>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uiPriority w:val="10"/>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uiPriority w:val="10"/>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Paragraphtext"/>
    <w:qFormat/>
    <w:rsid w:val="00CA5231"/>
    <w:pPr>
      <w:numPr>
        <w:numId w:val="6"/>
      </w:numPr>
    </w:pPr>
    <w:rPr>
      <w:sz w:val="22"/>
      <w:szCs w:val="22"/>
    </w:rPr>
  </w:style>
  <w:style w:type="paragraph" w:styleId="ListBullet">
    <w:name w:val="List Bullet"/>
    <w:basedOn w:val="Normal"/>
    <w:qFormat/>
    <w:rsid w:val="00A56F17"/>
    <w:pPr>
      <w:numPr>
        <w:numId w:val="5"/>
      </w:numPr>
      <w:spacing w:before="60" w:after="60"/>
    </w:pPr>
    <w:rPr>
      <w:color w:val="000000" w:themeColor="text1"/>
      <w:sz w:val="21"/>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151E3D"/>
    <w:rPr>
      <w:rFonts w:ascii="Aptos" w:hAnsi="Aptos"/>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link w:val="BoxtypeChar"/>
    <w:qFormat/>
    <w:rsid w:val="000437CC"/>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ptos" w:hAnsi="Aptos" w:cs="Arial"/>
      <w:color w:val="000000" w:themeColor="text1"/>
      <w:sz w:val="24"/>
      <w:szCs w:val="24"/>
      <w:lang w:val="en" w:eastAsia="en-US"/>
    </w:rPr>
  </w:style>
  <w:style w:type="paragraph" w:styleId="TOCHeading">
    <w:name w:val="TOC Heading"/>
    <w:basedOn w:val="Heading1"/>
    <w:next w:val="Normal"/>
    <w:uiPriority w:val="39"/>
    <w:unhideWhenUsed/>
    <w:qFormat/>
    <w:rsid w:val="004023BF"/>
    <w:pPr>
      <w:keepLines/>
      <w:spacing w:after="0" w:line="259" w:lineRule="auto"/>
      <w:outlineLvl w:val="9"/>
    </w:pPr>
    <w:rPr>
      <w:rFonts w:asciiTheme="majorHAnsi" w:eastAsiaTheme="majorEastAsia" w:hAnsiTheme="majorHAnsi" w:cstheme="majorBidi"/>
      <w:bCs w:val="0"/>
      <w:color w:val="2F3757" w:themeColor="accent1" w:themeShade="BF"/>
      <w:kern w:val="0"/>
      <w:sz w:val="32"/>
      <w:szCs w:val="32"/>
      <w:lang w:val="en-US"/>
    </w:rPr>
  </w:style>
  <w:style w:type="paragraph" w:styleId="TOC1">
    <w:name w:val="toc 1"/>
    <w:basedOn w:val="Normal"/>
    <w:next w:val="Normal"/>
    <w:autoRedefine/>
    <w:uiPriority w:val="39"/>
    <w:unhideWhenUsed/>
    <w:rsid w:val="004023BF"/>
    <w:pPr>
      <w:spacing w:after="100"/>
    </w:pPr>
  </w:style>
  <w:style w:type="character" w:customStyle="1" w:styleId="Heading2Char">
    <w:name w:val="Heading 2 Char"/>
    <w:basedOn w:val="DefaultParagraphFont"/>
    <w:link w:val="Heading2"/>
    <w:rsid w:val="00355345"/>
    <w:rPr>
      <w:rFonts w:ascii="Aptos" w:hAnsi="Aptos" w:cs="Arial"/>
      <w:bCs/>
      <w:iCs/>
      <w:color w:val="358189"/>
      <w:sz w:val="32"/>
      <w:szCs w:val="28"/>
      <w:lang w:eastAsia="en-US"/>
    </w:rPr>
  </w:style>
  <w:style w:type="paragraph" w:styleId="CommentText">
    <w:name w:val="annotation text"/>
    <w:basedOn w:val="Normal"/>
    <w:link w:val="CommentTextChar"/>
    <w:uiPriority w:val="99"/>
    <w:unhideWhenUsed/>
    <w:rsid w:val="00FC12A6"/>
    <w:rPr>
      <w:sz w:val="20"/>
      <w:szCs w:val="20"/>
    </w:rPr>
  </w:style>
  <w:style w:type="character" w:customStyle="1" w:styleId="CommentTextChar">
    <w:name w:val="Comment Text Char"/>
    <w:basedOn w:val="DefaultParagraphFont"/>
    <w:link w:val="CommentText"/>
    <w:uiPriority w:val="99"/>
    <w:rsid w:val="00FC12A6"/>
    <w:rPr>
      <w:rFonts w:ascii="Arial" w:hAnsi="Arial"/>
      <w:lang w:eastAsia="en-US"/>
    </w:rPr>
  </w:style>
  <w:style w:type="character" w:styleId="CommentReference">
    <w:name w:val="annotation reference"/>
    <w:basedOn w:val="DefaultParagraphFont"/>
    <w:uiPriority w:val="99"/>
    <w:unhideWhenUsed/>
    <w:rsid w:val="00FC12A6"/>
    <w:rPr>
      <w:sz w:val="16"/>
      <w:szCs w:val="16"/>
    </w:rPr>
  </w:style>
  <w:style w:type="character" w:customStyle="1" w:styleId="ParagraphtextChar">
    <w:name w:val="Paragraph text Char"/>
    <w:basedOn w:val="DefaultParagraphFont"/>
    <w:link w:val="Paragraphtext"/>
    <w:rsid w:val="00355345"/>
    <w:rPr>
      <w:rFonts w:ascii="Aptos" w:hAnsi="Aptos"/>
      <w:color w:val="000000" w:themeColor="text1"/>
      <w:sz w:val="24"/>
      <w:szCs w:val="24"/>
      <w:lang w:eastAsia="en-US"/>
    </w:rPr>
  </w:style>
  <w:style w:type="paragraph" w:styleId="CommentSubject">
    <w:name w:val="annotation subject"/>
    <w:basedOn w:val="CommentText"/>
    <w:next w:val="CommentText"/>
    <w:link w:val="CommentSubjectChar"/>
    <w:semiHidden/>
    <w:unhideWhenUsed/>
    <w:rsid w:val="00A05395"/>
    <w:rPr>
      <w:b/>
      <w:bCs/>
    </w:rPr>
  </w:style>
  <w:style w:type="character" w:customStyle="1" w:styleId="CommentSubjectChar">
    <w:name w:val="Comment Subject Char"/>
    <w:basedOn w:val="CommentTextChar"/>
    <w:link w:val="CommentSubject"/>
    <w:semiHidden/>
    <w:rsid w:val="00A05395"/>
    <w:rPr>
      <w:rFonts w:ascii="Arial" w:hAnsi="Arial"/>
      <w:b/>
      <w:bCs/>
      <w:lang w:eastAsia="en-US"/>
    </w:rPr>
  </w:style>
  <w:style w:type="paragraph" w:styleId="TOC2">
    <w:name w:val="toc 2"/>
    <w:basedOn w:val="Normal"/>
    <w:next w:val="Normal"/>
    <w:autoRedefine/>
    <w:uiPriority w:val="39"/>
    <w:unhideWhenUsed/>
    <w:rsid w:val="008C4C5B"/>
    <w:pPr>
      <w:spacing w:after="100"/>
      <w:ind w:left="220"/>
    </w:pPr>
  </w:style>
  <w:style w:type="character" w:customStyle="1" w:styleId="Heading3Char">
    <w:name w:val="Heading 3 Char"/>
    <w:basedOn w:val="DefaultParagraphFont"/>
    <w:link w:val="Heading3"/>
    <w:rsid w:val="00E55360"/>
    <w:rPr>
      <w:rFonts w:ascii="Arial" w:hAnsi="Arial" w:cs="Arial"/>
      <w:bCs/>
      <w:color w:val="358189"/>
      <w:sz w:val="28"/>
      <w:szCs w:val="26"/>
      <w:lang w:eastAsia="en-US"/>
    </w:rPr>
  </w:style>
  <w:style w:type="character" w:styleId="EndnoteReference">
    <w:name w:val="endnote reference"/>
    <w:basedOn w:val="DefaultParagraphFont"/>
    <w:uiPriority w:val="99"/>
    <w:unhideWhenUsed/>
    <w:rsid w:val="00795926"/>
    <w:rPr>
      <w:vertAlign w:val="superscript"/>
    </w:rPr>
  </w:style>
  <w:style w:type="character" w:styleId="UnresolvedMention">
    <w:name w:val="Unresolved Mention"/>
    <w:basedOn w:val="DefaultParagraphFont"/>
    <w:uiPriority w:val="99"/>
    <w:semiHidden/>
    <w:unhideWhenUsed/>
    <w:rsid w:val="005B3FE6"/>
    <w:rPr>
      <w:color w:val="605E5C"/>
      <w:shd w:val="clear" w:color="auto" w:fill="E1DFDD"/>
    </w:rPr>
  </w:style>
  <w:style w:type="character" w:styleId="FollowedHyperlink">
    <w:name w:val="FollowedHyperlink"/>
    <w:basedOn w:val="DefaultParagraphFont"/>
    <w:semiHidden/>
    <w:unhideWhenUsed/>
    <w:rsid w:val="00BC1CFC"/>
    <w:rPr>
      <w:color w:val="800080" w:themeColor="followedHyperlink"/>
      <w:u w:val="single"/>
    </w:rPr>
  </w:style>
  <w:style w:type="paragraph" w:styleId="TOC3">
    <w:name w:val="toc 3"/>
    <w:basedOn w:val="Normal"/>
    <w:next w:val="Normal"/>
    <w:autoRedefine/>
    <w:uiPriority w:val="39"/>
    <w:unhideWhenUsed/>
    <w:rsid w:val="00A117C4"/>
    <w:pPr>
      <w:spacing w:after="100"/>
      <w:ind w:left="440"/>
    </w:pPr>
  </w:style>
  <w:style w:type="character" w:customStyle="1" w:styleId="Heading4Char">
    <w:name w:val="Heading 4 Char"/>
    <w:basedOn w:val="DefaultParagraphFont"/>
    <w:link w:val="Heading4"/>
    <w:rsid w:val="001A136F"/>
    <w:rPr>
      <w:rFonts w:ascii="Aptos" w:hAnsi="Aptos"/>
      <w:b/>
      <w:bCs/>
      <w:color w:val="000000"/>
      <w:sz w:val="22"/>
      <w:szCs w:val="22"/>
    </w:rPr>
  </w:style>
  <w:style w:type="character" w:customStyle="1" w:styleId="Heading1Char">
    <w:name w:val="Heading 1 Char"/>
    <w:basedOn w:val="DefaultParagraphFont"/>
    <w:link w:val="Heading1"/>
    <w:rsid w:val="00151E3D"/>
    <w:rPr>
      <w:rFonts w:ascii="Aptos" w:hAnsi="Aptos" w:cs="Arial"/>
      <w:bCs/>
      <w:color w:val="3F4A75"/>
      <w:kern w:val="28"/>
      <w:sz w:val="36"/>
      <w:szCs w:val="36"/>
      <w:lang w:eastAsia="en-US"/>
    </w:rPr>
  </w:style>
  <w:style w:type="paragraph" w:styleId="Revision">
    <w:name w:val="Revision"/>
    <w:hidden/>
    <w:uiPriority w:val="99"/>
    <w:semiHidden/>
    <w:rsid w:val="00986FE1"/>
    <w:rPr>
      <w:rFonts w:ascii="Arial" w:hAnsi="Arial"/>
      <w:sz w:val="22"/>
      <w:szCs w:val="24"/>
      <w:lang w:eastAsia="en-US"/>
    </w:rPr>
  </w:style>
  <w:style w:type="paragraph" w:styleId="EndnoteText">
    <w:name w:val="endnote text"/>
    <w:basedOn w:val="Normal"/>
    <w:link w:val="EndnoteTextChar"/>
    <w:semiHidden/>
    <w:unhideWhenUsed/>
    <w:rsid w:val="008F0DC4"/>
    <w:rPr>
      <w:sz w:val="20"/>
      <w:szCs w:val="20"/>
    </w:rPr>
  </w:style>
  <w:style w:type="character" w:customStyle="1" w:styleId="EndnoteTextChar">
    <w:name w:val="Endnote Text Char"/>
    <w:basedOn w:val="DefaultParagraphFont"/>
    <w:link w:val="EndnoteText"/>
    <w:semiHidden/>
    <w:rsid w:val="008F0DC4"/>
    <w:rPr>
      <w:rFonts w:ascii="Arial" w:hAnsi="Arial"/>
      <w:lang w:eastAsia="en-US"/>
    </w:rPr>
  </w:style>
  <w:style w:type="character" w:styleId="FootnoteReference">
    <w:name w:val="footnote reference"/>
    <w:basedOn w:val="DefaultParagraphFont"/>
    <w:semiHidden/>
    <w:unhideWhenUsed/>
    <w:rsid w:val="008F0DC4"/>
    <w:rPr>
      <w:vertAlign w:val="superscript"/>
    </w:rPr>
  </w:style>
  <w:style w:type="table" w:styleId="ListTable3-Accent1">
    <w:name w:val="List Table 3 Accent 1"/>
    <w:basedOn w:val="TableNormal"/>
    <w:uiPriority w:val="48"/>
    <w:rsid w:val="00257FF7"/>
    <w:rPr>
      <w:rFonts w:ascii="Calibri" w:eastAsiaTheme="minorHAnsi" w:hAnsi="Calibri" w:cs="Calibri"/>
      <w:spacing w:val="-10"/>
      <w:kern w:val="28"/>
      <w:sz w:val="24"/>
      <w:szCs w:val="24"/>
      <w:lang w:eastAsia="en-US"/>
      <w14:ligatures w14:val="standardContextual"/>
    </w:rPr>
    <w:tblPr>
      <w:tblStyleRowBandSize w:val="1"/>
      <w:tblStyleColBandSize w:val="1"/>
      <w:tblBorders>
        <w:top w:val="single" w:sz="4" w:space="0" w:color="3F4A75" w:themeColor="accent1"/>
        <w:left w:val="single" w:sz="4" w:space="0" w:color="3F4A75" w:themeColor="accent1"/>
        <w:bottom w:val="single" w:sz="4" w:space="0" w:color="3F4A75" w:themeColor="accent1"/>
        <w:right w:val="single" w:sz="4" w:space="0" w:color="3F4A75" w:themeColor="accent1"/>
      </w:tblBorders>
    </w:tblPr>
    <w:tblStylePr w:type="firstRow">
      <w:rPr>
        <w:b/>
        <w:bCs/>
        <w:color w:val="FFFFFF" w:themeColor="background1"/>
      </w:rPr>
      <w:tblPr/>
      <w:tcPr>
        <w:shd w:val="clear" w:color="auto" w:fill="3F4A75" w:themeFill="accent1"/>
      </w:tcPr>
    </w:tblStylePr>
    <w:tblStylePr w:type="lastRow">
      <w:rPr>
        <w:b/>
        <w:bCs/>
      </w:rPr>
      <w:tblPr/>
      <w:tcPr>
        <w:tcBorders>
          <w:top w:val="double" w:sz="4" w:space="0" w:color="3F4A7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4A75" w:themeColor="accent1"/>
          <w:right w:val="single" w:sz="4" w:space="0" w:color="3F4A75" w:themeColor="accent1"/>
        </w:tcBorders>
      </w:tcPr>
    </w:tblStylePr>
    <w:tblStylePr w:type="band1Horz">
      <w:tblPr/>
      <w:tcPr>
        <w:tcBorders>
          <w:top w:val="single" w:sz="4" w:space="0" w:color="3F4A75" w:themeColor="accent1"/>
          <w:bottom w:val="single" w:sz="4" w:space="0" w:color="3F4A7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4A75" w:themeColor="accent1"/>
          <w:left w:val="nil"/>
        </w:tcBorders>
      </w:tcPr>
    </w:tblStylePr>
    <w:tblStylePr w:type="swCell">
      <w:tblPr/>
      <w:tcPr>
        <w:tcBorders>
          <w:top w:val="double" w:sz="4" w:space="0" w:color="3F4A75" w:themeColor="accent1"/>
          <w:right w:val="nil"/>
        </w:tcBorders>
      </w:tcPr>
    </w:tblStylePr>
  </w:style>
  <w:style w:type="table" w:styleId="GridTable2-Accent5">
    <w:name w:val="Grid Table 2 Accent 5"/>
    <w:basedOn w:val="TableNormal"/>
    <w:uiPriority w:val="47"/>
    <w:rsid w:val="001C6DD5"/>
    <w:tblPr>
      <w:tblStyleRowBandSize w:val="1"/>
      <w:tblStyleColBandSize w:val="1"/>
      <w:tblBorders>
        <w:top w:val="single" w:sz="2" w:space="0" w:color="82C3D8" w:themeColor="accent5" w:themeTint="99"/>
        <w:bottom w:val="single" w:sz="2" w:space="0" w:color="82C3D8" w:themeColor="accent5" w:themeTint="99"/>
        <w:insideH w:val="single" w:sz="2" w:space="0" w:color="82C3D8" w:themeColor="accent5" w:themeTint="99"/>
        <w:insideV w:val="single" w:sz="2" w:space="0" w:color="82C3D8" w:themeColor="accent5" w:themeTint="99"/>
      </w:tblBorders>
    </w:tblPr>
    <w:tblStylePr w:type="firstRow">
      <w:rPr>
        <w:b/>
        <w:bCs/>
      </w:rPr>
      <w:tblPr/>
      <w:tcPr>
        <w:tcBorders>
          <w:top w:val="nil"/>
          <w:bottom w:val="single" w:sz="12" w:space="0" w:color="82C3D8" w:themeColor="accent5" w:themeTint="99"/>
          <w:insideH w:val="nil"/>
          <w:insideV w:val="nil"/>
        </w:tcBorders>
        <w:shd w:val="clear" w:color="auto" w:fill="FFFFFF" w:themeFill="background1"/>
      </w:tcPr>
    </w:tblStylePr>
    <w:tblStylePr w:type="lastRow">
      <w:rPr>
        <w:b/>
        <w:bCs/>
      </w:rPr>
      <w:tblPr/>
      <w:tcPr>
        <w:tcBorders>
          <w:top w:val="double" w:sz="2" w:space="0" w:color="82C3D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EBF2" w:themeFill="accent5" w:themeFillTint="33"/>
      </w:tcPr>
    </w:tblStylePr>
    <w:tblStylePr w:type="band1Horz">
      <w:tblPr/>
      <w:tcPr>
        <w:shd w:val="clear" w:color="auto" w:fill="D5EBF2" w:themeFill="accent5" w:themeFillTint="33"/>
      </w:tcPr>
    </w:tblStylePr>
  </w:style>
  <w:style w:type="paragraph" w:customStyle="1" w:styleId="BoxTypeHeader">
    <w:name w:val="Box Type Header"/>
    <w:basedOn w:val="Boxtype"/>
    <w:link w:val="BoxTypeHeaderChar"/>
    <w:qFormat/>
    <w:rsid w:val="000437CC"/>
    <w:rPr>
      <w:b/>
      <w:bCs/>
      <w:sz w:val="28"/>
      <w:szCs w:val="28"/>
    </w:rPr>
  </w:style>
  <w:style w:type="character" w:customStyle="1" w:styleId="BoxtypeChar">
    <w:name w:val="Box type Char"/>
    <w:basedOn w:val="DefaultParagraphFont"/>
    <w:link w:val="Boxtype"/>
    <w:rsid w:val="000437CC"/>
    <w:rPr>
      <w:rFonts w:ascii="Aptos" w:hAnsi="Aptos" w:cs="Arial"/>
      <w:color w:val="000000" w:themeColor="text1"/>
      <w:sz w:val="24"/>
      <w:szCs w:val="24"/>
      <w:lang w:val="en" w:eastAsia="en-US"/>
    </w:rPr>
  </w:style>
  <w:style w:type="character" w:customStyle="1" w:styleId="BoxTypeHeaderChar">
    <w:name w:val="Box Type Header Char"/>
    <w:basedOn w:val="BoxtypeChar"/>
    <w:link w:val="BoxTypeHeader"/>
    <w:rsid w:val="000437CC"/>
    <w:rPr>
      <w:rFonts w:ascii="Aptos" w:hAnsi="Aptos" w:cs="Arial"/>
      <w:b/>
      <w:bCs/>
      <w:color w:val="000000" w:themeColor="text1"/>
      <w:sz w:val="28"/>
      <w:szCs w:val="28"/>
      <w:lang w:val="en" w:eastAsia="en-US"/>
    </w:rPr>
  </w:style>
  <w:style w:type="table" w:styleId="PlainTable1">
    <w:name w:val="Plain Table 1"/>
    <w:basedOn w:val="TableNormal"/>
    <w:uiPriority w:val="41"/>
    <w:rsid w:val="00BD070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733DCA"/>
    <w:tblPr>
      <w:tblStyleRowBandSize w:val="1"/>
      <w:tblStyleColBandSize w:val="1"/>
      <w:tblBorders>
        <w:top w:val="single" w:sz="4" w:space="0" w:color="3FB7FF" w:themeColor="accent3" w:themeTint="99"/>
        <w:left w:val="single" w:sz="4" w:space="0" w:color="3FB7FF" w:themeColor="accent3" w:themeTint="99"/>
        <w:bottom w:val="single" w:sz="4" w:space="0" w:color="3FB7FF" w:themeColor="accent3" w:themeTint="99"/>
        <w:right w:val="single" w:sz="4" w:space="0" w:color="3FB7FF" w:themeColor="accent3" w:themeTint="99"/>
        <w:insideH w:val="single" w:sz="4" w:space="0" w:color="3FB7FF" w:themeColor="accent3" w:themeTint="99"/>
        <w:insideV w:val="single" w:sz="4" w:space="0" w:color="3FB7FF" w:themeColor="accent3" w:themeTint="99"/>
      </w:tblBorders>
    </w:tblPr>
    <w:tblStylePr w:type="firstRow">
      <w:rPr>
        <w:b/>
        <w:bCs/>
        <w:color w:val="FFFFFF" w:themeColor="background1"/>
      </w:rPr>
      <w:tblPr/>
      <w:tcPr>
        <w:tcBorders>
          <w:top w:val="single" w:sz="4" w:space="0" w:color="0078BF" w:themeColor="accent3"/>
          <w:left w:val="single" w:sz="4" w:space="0" w:color="0078BF" w:themeColor="accent3"/>
          <w:bottom w:val="single" w:sz="4" w:space="0" w:color="0078BF" w:themeColor="accent3"/>
          <w:right w:val="single" w:sz="4" w:space="0" w:color="0078BF" w:themeColor="accent3"/>
          <w:insideH w:val="nil"/>
          <w:insideV w:val="nil"/>
        </w:tcBorders>
        <w:shd w:val="clear" w:color="auto" w:fill="0078BF" w:themeFill="accent3"/>
      </w:tcPr>
    </w:tblStylePr>
    <w:tblStylePr w:type="lastRow">
      <w:rPr>
        <w:b/>
        <w:bCs/>
      </w:rPr>
      <w:tblPr/>
      <w:tcPr>
        <w:tcBorders>
          <w:top w:val="double" w:sz="4" w:space="0" w:color="0078BF" w:themeColor="accent3"/>
        </w:tcBorders>
      </w:tcPr>
    </w:tblStylePr>
    <w:tblStylePr w:type="firstCol">
      <w:rPr>
        <w:b/>
        <w:bCs/>
      </w:rPr>
    </w:tblStylePr>
    <w:tblStylePr w:type="lastCol">
      <w:rPr>
        <w:b/>
        <w:bCs/>
      </w:rPr>
    </w:tblStylePr>
    <w:tblStylePr w:type="band1Vert">
      <w:tblPr/>
      <w:tcPr>
        <w:shd w:val="clear" w:color="auto" w:fill="BFE7FF" w:themeFill="accent3" w:themeFillTint="33"/>
      </w:tcPr>
    </w:tblStylePr>
    <w:tblStylePr w:type="band1Horz">
      <w:tblPr/>
      <w:tcPr>
        <w:shd w:val="clear" w:color="auto" w:fill="BFE7FF" w:themeFill="accent3" w:themeFillTint="33"/>
      </w:tcPr>
    </w:tblStylePr>
  </w:style>
  <w:style w:type="character" w:styleId="Mention">
    <w:name w:val="Mention"/>
    <w:basedOn w:val="DefaultParagraphFont"/>
    <w:uiPriority w:val="99"/>
    <w:unhideWhenUsed/>
    <w:rsid w:val="00FE63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6610">
      <w:bodyDiv w:val="1"/>
      <w:marLeft w:val="0"/>
      <w:marRight w:val="0"/>
      <w:marTop w:val="0"/>
      <w:marBottom w:val="0"/>
      <w:divBdr>
        <w:top w:val="none" w:sz="0" w:space="0" w:color="auto"/>
        <w:left w:val="none" w:sz="0" w:space="0" w:color="auto"/>
        <w:bottom w:val="none" w:sz="0" w:space="0" w:color="auto"/>
        <w:right w:val="none" w:sz="0" w:space="0" w:color="auto"/>
      </w:divBdr>
    </w:div>
    <w:div w:id="46884363">
      <w:bodyDiv w:val="1"/>
      <w:marLeft w:val="0"/>
      <w:marRight w:val="0"/>
      <w:marTop w:val="0"/>
      <w:marBottom w:val="0"/>
      <w:divBdr>
        <w:top w:val="none" w:sz="0" w:space="0" w:color="auto"/>
        <w:left w:val="none" w:sz="0" w:space="0" w:color="auto"/>
        <w:bottom w:val="none" w:sz="0" w:space="0" w:color="auto"/>
        <w:right w:val="none" w:sz="0" w:space="0" w:color="auto"/>
      </w:divBdr>
    </w:div>
    <w:div w:id="104353689">
      <w:bodyDiv w:val="1"/>
      <w:marLeft w:val="0"/>
      <w:marRight w:val="0"/>
      <w:marTop w:val="0"/>
      <w:marBottom w:val="0"/>
      <w:divBdr>
        <w:top w:val="none" w:sz="0" w:space="0" w:color="auto"/>
        <w:left w:val="none" w:sz="0" w:space="0" w:color="auto"/>
        <w:bottom w:val="none" w:sz="0" w:space="0" w:color="auto"/>
        <w:right w:val="none" w:sz="0" w:space="0" w:color="auto"/>
      </w:divBdr>
    </w:div>
    <w:div w:id="115954572">
      <w:bodyDiv w:val="1"/>
      <w:marLeft w:val="0"/>
      <w:marRight w:val="0"/>
      <w:marTop w:val="0"/>
      <w:marBottom w:val="0"/>
      <w:divBdr>
        <w:top w:val="none" w:sz="0" w:space="0" w:color="auto"/>
        <w:left w:val="none" w:sz="0" w:space="0" w:color="auto"/>
        <w:bottom w:val="none" w:sz="0" w:space="0" w:color="auto"/>
        <w:right w:val="none" w:sz="0" w:space="0" w:color="auto"/>
      </w:divBdr>
    </w:div>
    <w:div w:id="117459770">
      <w:bodyDiv w:val="1"/>
      <w:marLeft w:val="0"/>
      <w:marRight w:val="0"/>
      <w:marTop w:val="0"/>
      <w:marBottom w:val="0"/>
      <w:divBdr>
        <w:top w:val="none" w:sz="0" w:space="0" w:color="auto"/>
        <w:left w:val="none" w:sz="0" w:space="0" w:color="auto"/>
        <w:bottom w:val="none" w:sz="0" w:space="0" w:color="auto"/>
        <w:right w:val="none" w:sz="0" w:space="0" w:color="auto"/>
      </w:divBdr>
    </w:div>
    <w:div w:id="156265479">
      <w:bodyDiv w:val="1"/>
      <w:marLeft w:val="0"/>
      <w:marRight w:val="0"/>
      <w:marTop w:val="0"/>
      <w:marBottom w:val="0"/>
      <w:divBdr>
        <w:top w:val="none" w:sz="0" w:space="0" w:color="auto"/>
        <w:left w:val="none" w:sz="0" w:space="0" w:color="auto"/>
        <w:bottom w:val="none" w:sz="0" w:space="0" w:color="auto"/>
        <w:right w:val="none" w:sz="0" w:space="0" w:color="auto"/>
      </w:divBdr>
    </w:div>
    <w:div w:id="191840360">
      <w:bodyDiv w:val="1"/>
      <w:marLeft w:val="0"/>
      <w:marRight w:val="0"/>
      <w:marTop w:val="0"/>
      <w:marBottom w:val="0"/>
      <w:divBdr>
        <w:top w:val="none" w:sz="0" w:space="0" w:color="auto"/>
        <w:left w:val="none" w:sz="0" w:space="0" w:color="auto"/>
        <w:bottom w:val="none" w:sz="0" w:space="0" w:color="auto"/>
        <w:right w:val="none" w:sz="0" w:space="0" w:color="auto"/>
      </w:divBdr>
    </w:div>
    <w:div w:id="211314157">
      <w:bodyDiv w:val="1"/>
      <w:marLeft w:val="0"/>
      <w:marRight w:val="0"/>
      <w:marTop w:val="0"/>
      <w:marBottom w:val="0"/>
      <w:divBdr>
        <w:top w:val="none" w:sz="0" w:space="0" w:color="auto"/>
        <w:left w:val="none" w:sz="0" w:space="0" w:color="auto"/>
        <w:bottom w:val="none" w:sz="0" w:space="0" w:color="auto"/>
        <w:right w:val="none" w:sz="0" w:space="0" w:color="auto"/>
      </w:divBdr>
    </w:div>
    <w:div w:id="218246503">
      <w:bodyDiv w:val="1"/>
      <w:marLeft w:val="0"/>
      <w:marRight w:val="0"/>
      <w:marTop w:val="0"/>
      <w:marBottom w:val="0"/>
      <w:divBdr>
        <w:top w:val="none" w:sz="0" w:space="0" w:color="auto"/>
        <w:left w:val="none" w:sz="0" w:space="0" w:color="auto"/>
        <w:bottom w:val="none" w:sz="0" w:space="0" w:color="auto"/>
        <w:right w:val="none" w:sz="0" w:space="0" w:color="auto"/>
      </w:divBdr>
    </w:div>
    <w:div w:id="236524840">
      <w:bodyDiv w:val="1"/>
      <w:marLeft w:val="0"/>
      <w:marRight w:val="0"/>
      <w:marTop w:val="0"/>
      <w:marBottom w:val="0"/>
      <w:divBdr>
        <w:top w:val="none" w:sz="0" w:space="0" w:color="auto"/>
        <w:left w:val="none" w:sz="0" w:space="0" w:color="auto"/>
        <w:bottom w:val="none" w:sz="0" w:space="0" w:color="auto"/>
        <w:right w:val="none" w:sz="0" w:space="0" w:color="auto"/>
      </w:divBdr>
    </w:div>
    <w:div w:id="278337432">
      <w:bodyDiv w:val="1"/>
      <w:marLeft w:val="0"/>
      <w:marRight w:val="0"/>
      <w:marTop w:val="0"/>
      <w:marBottom w:val="0"/>
      <w:divBdr>
        <w:top w:val="none" w:sz="0" w:space="0" w:color="auto"/>
        <w:left w:val="none" w:sz="0" w:space="0" w:color="auto"/>
        <w:bottom w:val="none" w:sz="0" w:space="0" w:color="auto"/>
        <w:right w:val="none" w:sz="0" w:space="0" w:color="auto"/>
      </w:divBdr>
    </w:div>
    <w:div w:id="306931745">
      <w:bodyDiv w:val="1"/>
      <w:marLeft w:val="0"/>
      <w:marRight w:val="0"/>
      <w:marTop w:val="0"/>
      <w:marBottom w:val="0"/>
      <w:divBdr>
        <w:top w:val="none" w:sz="0" w:space="0" w:color="auto"/>
        <w:left w:val="none" w:sz="0" w:space="0" w:color="auto"/>
        <w:bottom w:val="none" w:sz="0" w:space="0" w:color="auto"/>
        <w:right w:val="none" w:sz="0" w:space="0" w:color="auto"/>
      </w:divBdr>
    </w:div>
    <w:div w:id="314335670">
      <w:bodyDiv w:val="1"/>
      <w:marLeft w:val="0"/>
      <w:marRight w:val="0"/>
      <w:marTop w:val="0"/>
      <w:marBottom w:val="0"/>
      <w:divBdr>
        <w:top w:val="none" w:sz="0" w:space="0" w:color="auto"/>
        <w:left w:val="none" w:sz="0" w:space="0" w:color="auto"/>
        <w:bottom w:val="none" w:sz="0" w:space="0" w:color="auto"/>
        <w:right w:val="none" w:sz="0" w:space="0" w:color="auto"/>
      </w:divBdr>
      <w:divsChild>
        <w:div w:id="430013099">
          <w:marLeft w:val="0"/>
          <w:marRight w:val="0"/>
          <w:marTop w:val="0"/>
          <w:marBottom w:val="0"/>
          <w:divBdr>
            <w:top w:val="none" w:sz="0" w:space="0" w:color="auto"/>
            <w:left w:val="none" w:sz="0" w:space="0" w:color="auto"/>
            <w:bottom w:val="none" w:sz="0" w:space="0" w:color="auto"/>
            <w:right w:val="none" w:sz="0" w:space="0" w:color="auto"/>
          </w:divBdr>
          <w:divsChild>
            <w:div w:id="1764567073">
              <w:marLeft w:val="0"/>
              <w:marRight w:val="0"/>
              <w:marTop w:val="0"/>
              <w:marBottom w:val="0"/>
              <w:divBdr>
                <w:top w:val="none" w:sz="0" w:space="0" w:color="auto"/>
                <w:left w:val="none" w:sz="0" w:space="0" w:color="auto"/>
                <w:bottom w:val="none" w:sz="0" w:space="0" w:color="auto"/>
                <w:right w:val="none" w:sz="0" w:space="0" w:color="auto"/>
              </w:divBdr>
              <w:divsChild>
                <w:div w:id="1011832063">
                  <w:marLeft w:val="0"/>
                  <w:marRight w:val="0"/>
                  <w:marTop w:val="0"/>
                  <w:marBottom w:val="0"/>
                  <w:divBdr>
                    <w:top w:val="none" w:sz="0" w:space="0" w:color="auto"/>
                    <w:left w:val="none" w:sz="0" w:space="0" w:color="auto"/>
                    <w:bottom w:val="none" w:sz="0" w:space="0" w:color="auto"/>
                    <w:right w:val="none" w:sz="0" w:space="0" w:color="auto"/>
                  </w:divBdr>
                  <w:divsChild>
                    <w:div w:id="131972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80256122">
      <w:bodyDiv w:val="1"/>
      <w:marLeft w:val="0"/>
      <w:marRight w:val="0"/>
      <w:marTop w:val="0"/>
      <w:marBottom w:val="0"/>
      <w:divBdr>
        <w:top w:val="none" w:sz="0" w:space="0" w:color="auto"/>
        <w:left w:val="none" w:sz="0" w:space="0" w:color="auto"/>
        <w:bottom w:val="none" w:sz="0" w:space="0" w:color="auto"/>
        <w:right w:val="none" w:sz="0" w:space="0" w:color="auto"/>
      </w:divBdr>
    </w:div>
    <w:div w:id="398291182">
      <w:bodyDiv w:val="1"/>
      <w:marLeft w:val="0"/>
      <w:marRight w:val="0"/>
      <w:marTop w:val="0"/>
      <w:marBottom w:val="0"/>
      <w:divBdr>
        <w:top w:val="none" w:sz="0" w:space="0" w:color="auto"/>
        <w:left w:val="none" w:sz="0" w:space="0" w:color="auto"/>
        <w:bottom w:val="none" w:sz="0" w:space="0" w:color="auto"/>
        <w:right w:val="none" w:sz="0" w:space="0" w:color="auto"/>
      </w:divBdr>
    </w:div>
    <w:div w:id="413285862">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70027436">
      <w:bodyDiv w:val="1"/>
      <w:marLeft w:val="0"/>
      <w:marRight w:val="0"/>
      <w:marTop w:val="0"/>
      <w:marBottom w:val="0"/>
      <w:divBdr>
        <w:top w:val="none" w:sz="0" w:space="0" w:color="auto"/>
        <w:left w:val="none" w:sz="0" w:space="0" w:color="auto"/>
        <w:bottom w:val="none" w:sz="0" w:space="0" w:color="auto"/>
        <w:right w:val="none" w:sz="0" w:space="0" w:color="auto"/>
      </w:divBdr>
    </w:div>
    <w:div w:id="487357815">
      <w:bodyDiv w:val="1"/>
      <w:marLeft w:val="0"/>
      <w:marRight w:val="0"/>
      <w:marTop w:val="0"/>
      <w:marBottom w:val="0"/>
      <w:divBdr>
        <w:top w:val="none" w:sz="0" w:space="0" w:color="auto"/>
        <w:left w:val="none" w:sz="0" w:space="0" w:color="auto"/>
        <w:bottom w:val="none" w:sz="0" w:space="0" w:color="auto"/>
        <w:right w:val="none" w:sz="0" w:space="0" w:color="auto"/>
      </w:divBdr>
    </w:div>
    <w:div w:id="491871871">
      <w:bodyDiv w:val="1"/>
      <w:marLeft w:val="0"/>
      <w:marRight w:val="0"/>
      <w:marTop w:val="0"/>
      <w:marBottom w:val="0"/>
      <w:divBdr>
        <w:top w:val="none" w:sz="0" w:space="0" w:color="auto"/>
        <w:left w:val="none" w:sz="0" w:space="0" w:color="auto"/>
        <w:bottom w:val="none" w:sz="0" w:space="0" w:color="auto"/>
        <w:right w:val="none" w:sz="0" w:space="0" w:color="auto"/>
      </w:divBdr>
    </w:div>
    <w:div w:id="519045634">
      <w:bodyDiv w:val="1"/>
      <w:marLeft w:val="0"/>
      <w:marRight w:val="0"/>
      <w:marTop w:val="0"/>
      <w:marBottom w:val="0"/>
      <w:divBdr>
        <w:top w:val="none" w:sz="0" w:space="0" w:color="auto"/>
        <w:left w:val="none" w:sz="0" w:space="0" w:color="auto"/>
        <w:bottom w:val="none" w:sz="0" w:space="0" w:color="auto"/>
        <w:right w:val="none" w:sz="0" w:space="0" w:color="auto"/>
      </w:divBdr>
    </w:div>
    <w:div w:id="558398141">
      <w:bodyDiv w:val="1"/>
      <w:marLeft w:val="0"/>
      <w:marRight w:val="0"/>
      <w:marTop w:val="0"/>
      <w:marBottom w:val="0"/>
      <w:divBdr>
        <w:top w:val="none" w:sz="0" w:space="0" w:color="auto"/>
        <w:left w:val="none" w:sz="0" w:space="0" w:color="auto"/>
        <w:bottom w:val="none" w:sz="0" w:space="0" w:color="auto"/>
        <w:right w:val="none" w:sz="0" w:space="0" w:color="auto"/>
      </w:divBdr>
    </w:div>
    <w:div w:id="579363810">
      <w:bodyDiv w:val="1"/>
      <w:marLeft w:val="0"/>
      <w:marRight w:val="0"/>
      <w:marTop w:val="0"/>
      <w:marBottom w:val="0"/>
      <w:divBdr>
        <w:top w:val="none" w:sz="0" w:space="0" w:color="auto"/>
        <w:left w:val="none" w:sz="0" w:space="0" w:color="auto"/>
        <w:bottom w:val="none" w:sz="0" w:space="0" w:color="auto"/>
        <w:right w:val="none" w:sz="0" w:space="0" w:color="auto"/>
      </w:divBdr>
    </w:div>
    <w:div w:id="599798249">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19268641">
      <w:bodyDiv w:val="1"/>
      <w:marLeft w:val="0"/>
      <w:marRight w:val="0"/>
      <w:marTop w:val="0"/>
      <w:marBottom w:val="0"/>
      <w:divBdr>
        <w:top w:val="none" w:sz="0" w:space="0" w:color="auto"/>
        <w:left w:val="none" w:sz="0" w:space="0" w:color="auto"/>
        <w:bottom w:val="none" w:sz="0" w:space="0" w:color="auto"/>
        <w:right w:val="none" w:sz="0" w:space="0" w:color="auto"/>
      </w:divBdr>
    </w:div>
    <w:div w:id="689457230">
      <w:bodyDiv w:val="1"/>
      <w:marLeft w:val="0"/>
      <w:marRight w:val="0"/>
      <w:marTop w:val="0"/>
      <w:marBottom w:val="0"/>
      <w:divBdr>
        <w:top w:val="none" w:sz="0" w:space="0" w:color="auto"/>
        <w:left w:val="none" w:sz="0" w:space="0" w:color="auto"/>
        <w:bottom w:val="none" w:sz="0" w:space="0" w:color="auto"/>
        <w:right w:val="none" w:sz="0" w:space="0" w:color="auto"/>
      </w:divBdr>
    </w:div>
    <w:div w:id="693767469">
      <w:bodyDiv w:val="1"/>
      <w:marLeft w:val="0"/>
      <w:marRight w:val="0"/>
      <w:marTop w:val="0"/>
      <w:marBottom w:val="0"/>
      <w:divBdr>
        <w:top w:val="none" w:sz="0" w:space="0" w:color="auto"/>
        <w:left w:val="none" w:sz="0" w:space="0" w:color="auto"/>
        <w:bottom w:val="none" w:sz="0" w:space="0" w:color="auto"/>
        <w:right w:val="none" w:sz="0" w:space="0" w:color="auto"/>
      </w:divBdr>
    </w:div>
    <w:div w:id="723872749">
      <w:bodyDiv w:val="1"/>
      <w:marLeft w:val="0"/>
      <w:marRight w:val="0"/>
      <w:marTop w:val="0"/>
      <w:marBottom w:val="0"/>
      <w:divBdr>
        <w:top w:val="none" w:sz="0" w:space="0" w:color="auto"/>
        <w:left w:val="none" w:sz="0" w:space="0" w:color="auto"/>
        <w:bottom w:val="none" w:sz="0" w:space="0" w:color="auto"/>
        <w:right w:val="none" w:sz="0" w:space="0" w:color="auto"/>
      </w:divBdr>
    </w:div>
    <w:div w:id="724566638">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42215258">
      <w:bodyDiv w:val="1"/>
      <w:marLeft w:val="0"/>
      <w:marRight w:val="0"/>
      <w:marTop w:val="0"/>
      <w:marBottom w:val="0"/>
      <w:divBdr>
        <w:top w:val="none" w:sz="0" w:space="0" w:color="auto"/>
        <w:left w:val="none" w:sz="0" w:space="0" w:color="auto"/>
        <w:bottom w:val="none" w:sz="0" w:space="0" w:color="auto"/>
        <w:right w:val="none" w:sz="0" w:space="0" w:color="auto"/>
      </w:divBdr>
    </w:div>
    <w:div w:id="763109342">
      <w:bodyDiv w:val="1"/>
      <w:marLeft w:val="0"/>
      <w:marRight w:val="0"/>
      <w:marTop w:val="0"/>
      <w:marBottom w:val="0"/>
      <w:divBdr>
        <w:top w:val="none" w:sz="0" w:space="0" w:color="auto"/>
        <w:left w:val="none" w:sz="0" w:space="0" w:color="auto"/>
        <w:bottom w:val="none" w:sz="0" w:space="0" w:color="auto"/>
        <w:right w:val="none" w:sz="0" w:space="0" w:color="auto"/>
      </w:divBdr>
    </w:div>
    <w:div w:id="806700852">
      <w:bodyDiv w:val="1"/>
      <w:marLeft w:val="0"/>
      <w:marRight w:val="0"/>
      <w:marTop w:val="0"/>
      <w:marBottom w:val="0"/>
      <w:divBdr>
        <w:top w:val="none" w:sz="0" w:space="0" w:color="auto"/>
        <w:left w:val="none" w:sz="0" w:space="0" w:color="auto"/>
        <w:bottom w:val="none" w:sz="0" w:space="0" w:color="auto"/>
        <w:right w:val="none" w:sz="0" w:space="0" w:color="auto"/>
      </w:divBdr>
    </w:div>
    <w:div w:id="817763082">
      <w:bodyDiv w:val="1"/>
      <w:marLeft w:val="0"/>
      <w:marRight w:val="0"/>
      <w:marTop w:val="0"/>
      <w:marBottom w:val="0"/>
      <w:divBdr>
        <w:top w:val="none" w:sz="0" w:space="0" w:color="auto"/>
        <w:left w:val="none" w:sz="0" w:space="0" w:color="auto"/>
        <w:bottom w:val="none" w:sz="0" w:space="0" w:color="auto"/>
        <w:right w:val="none" w:sz="0" w:space="0" w:color="auto"/>
      </w:divBdr>
    </w:div>
    <w:div w:id="824005877">
      <w:bodyDiv w:val="1"/>
      <w:marLeft w:val="0"/>
      <w:marRight w:val="0"/>
      <w:marTop w:val="0"/>
      <w:marBottom w:val="0"/>
      <w:divBdr>
        <w:top w:val="none" w:sz="0" w:space="0" w:color="auto"/>
        <w:left w:val="none" w:sz="0" w:space="0" w:color="auto"/>
        <w:bottom w:val="none" w:sz="0" w:space="0" w:color="auto"/>
        <w:right w:val="none" w:sz="0" w:space="0" w:color="auto"/>
      </w:divBdr>
      <w:divsChild>
        <w:div w:id="1714304671">
          <w:marLeft w:val="0"/>
          <w:marRight w:val="0"/>
          <w:marTop w:val="0"/>
          <w:marBottom w:val="0"/>
          <w:divBdr>
            <w:top w:val="none" w:sz="0" w:space="0" w:color="auto"/>
            <w:left w:val="none" w:sz="0" w:space="0" w:color="auto"/>
            <w:bottom w:val="none" w:sz="0" w:space="0" w:color="auto"/>
            <w:right w:val="none" w:sz="0" w:space="0" w:color="auto"/>
          </w:divBdr>
          <w:divsChild>
            <w:div w:id="1313371530">
              <w:marLeft w:val="0"/>
              <w:marRight w:val="0"/>
              <w:marTop w:val="0"/>
              <w:marBottom w:val="0"/>
              <w:divBdr>
                <w:top w:val="none" w:sz="0" w:space="0" w:color="auto"/>
                <w:left w:val="none" w:sz="0" w:space="0" w:color="auto"/>
                <w:bottom w:val="none" w:sz="0" w:space="0" w:color="auto"/>
                <w:right w:val="none" w:sz="0" w:space="0" w:color="auto"/>
              </w:divBdr>
              <w:divsChild>
                <w:div w:id="760880155">
                  <w:marLeft w:val="0"/>
                  <w:marRight w:val="0"/>
                  <w:marTop w:val="0"/>
                  <w:marBottom w:val="0"/>
                  <w:divBdr>
                    <w:top w:val="none" w:sz="0" w:space="0" w:color="auto"/>
                    <w:left w:val="none" w:sz="0" w:space="0" w:color="auto"/>
                    <w:bottom w:val="none" w:sz="0" w:space="0" w:color="auto"/>
                    <w:right w:val="none" w:sz="0" w:space="0" w:color="auto"/>
                  </w:divBdr>
                  <w:divsChild>
                    <w:div w:id="5080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609938">
      <w:bodyDiv w:val="1"/>
      <w:marLeft w:val="0"/>
      <w:marRight w:val="0"/>
      <w:marTop w:val="0"/>
      <w:marBottom w:val="0"/>
      <w:divBdr>
        <w:top w:val="none" w:sz="0" w:space="0" w:color="auto"/>
        <w:left w:val="none" w:sz="0" w:space="0" w:color="auto"/>
        <w:bottom w:val="none" w:sz="0" w:space="0" w:color="auto"/>
        <w:right w:val="none" w:sz="0" w:space="0" w:color="auto"/>
      </w:divBdr>
    </w:div>
    <w:div w:id="920872862">
      <w:bodyDiv w:val="1"/>
      <w:marLeft w:val="0"/>
      <w:marRight w:val="0"/>
      <w:marTop w:val="0"/>
      <w:marBottom w:val="0"/>
      <w:divBdr>
        <w:top w:val="none" w:sz="0" w:space="0" w:color="auto"/>
        <w:left w:val="none" w:sz="0" w:space="0" w:color="auto"/>
        <w:bottom w:val="none" w:sz="0" w:space="0" w:color="auto"/>
        <w:right w:val="none" w:sz="0" w:space="0" w:color="auto"/>
      </w:divBdr>
    </w:div>
    <w:div w:id="977763269">
      <w:bodyDiv w:val="1"/>
      <w:marLeft w:val="0"/>
      <w:marRight w:val="0"/>
      <w:marTop w:val="0"/>
      <w:marBottom w:val="0"/>
      <w:divBdr>
        <w:top w:val="none" w:sz="0" w:space="0" w:color="auto"/>
        <w:left w:val="none" w:sz="0" w:space="0" w:color="auto"/>
        <w:bottom w:val="none" w:sz="0" w:space="0" w:color="auto"/>
        <w:right w:val="none" w:sz="0" w:space="0" w:color="auto"/>
      </w:divBdr>
    </w:div>
    <w:div w:id="987906088">
      <w:bodyDiv w:val="1"/>
      <w:marLeft w:val="0"/>
      <w:marRight w:val="0"/>
      <w:marTop w:val="0"/>
      <w:marBottom w:val="0"/>
      <w:divBdr>
        <w:top w:val="none" w:sz="0" w:space="0" w:color="auto"/>
        <w:left w:val="none" w:sz="0" w:space="0" w:color="auto"/>
        <w:bottom w:val="none" w:sz="0" w:space="0" w:color="auto"/>
        <w:right w:val="none" w:sz="0" w:space="0" w:color="auto"/>
      </w:divBdr>
    </w:div>
    <w:div w:id="989598409">
      <w:bodyDiv w:val="1"/>
      <w:marLeft w:val="0"/>
      <w:marRight w:val="0"/>
      <w:marTop w:val="0"/>
      <w:marBottom w:val="0"/>
      <w:divBdr>
        <w:top w:val="none" w:sz="0" w:space="0" w:color="auto"/>
        <w:left w:val="none" w:sz="0" w:space="0" w:color="auto"/>
        <w:bottom w:val="none" w:sz="0" w:space="0" w:color="auto"/>
        <w:right w:val="none" w:sz="0" w:space="0" w:color="auto"/>
      </w:divBdr>
    </w:div>
    <w:div w:id="1072510262">
      <w:bodyDiv w:val="1"/>
      <w:marLeft w:val="0"/>
      <w:marRight w:val="0"/>
      <w:marTop w:val="0"/>
      <w:marBottom w:val="0"/>
      <w:divBdr>
        <w:top w:val="none" w:sz="0" w:space="0" w:color="auto"/>
        <w:left w:val="none" w:sz="0" w:space="0" w:color="auto"/>
        <w:bottom w:val="none" w:sz="0" w:space="0" w:color="auto"/>
        <w:right w:val="none" w:sz="0" w:space="0" w:color="auto"/>
      </w:divBdr>
    </w:div>
    <w:div w:id="1105151927">
      <w:bodyDiv w:val="1"/>
      <w:marLeft w:val="0"/>
      <w:marRight w:val="0"/>
      <w:marTop w:val="0"/>
      <w:marBottom w:val="0"/>
      <w:divBdr>
        <w:top w:val="none" w:sz="0" w:space="0" w:color="auto"/>
        <w:left w:val="none" w:sz="0" w:space="0" w:color="auto"/>
        <w:bottom w:val="none" w:sz="0" w:space="0" w:color="auto"/>
        <w:right w:val="none" w:sz="0" w:space="0" w:color="auto"/>
      </w:divBdr>
    </w:div>
    <w:div w:id="1107504128">
      <w:bodyDiv w:val="1"/>
      <w:marLeft w:val="0"/>
      <w:marRight w:val="0"/>
      <w:marTop w:val="0"/>
      <w:marBottom w:val="0"/>
      <w:divBdr>
        <w:top w:val="none" w:sz="0" w:space="0" w:color="auto"/>
        <w:left w:val="none" w:sz="0" w:space="0" w:color="auto"/>
        <w:bottom w:val="none" w:sz="0" w:space="0" w:color="auto"/>
        <w:right w:val="none" w:sz="0" w:space="0" w:color="auto"/>
      </w:divBdr>
    </w:div>
    <w:div w:id="1126391166">
      <w:bodyDiv w:val="1"/>
      <w:marLeft w:val="0"/>
      <w:marRight w:val="0"/>
      <w:marTop w:val="0"/>
      <w:marBottom w:val="0"/>
      <w:divBdr>
        <w:top w:val="none" w:sz="0" w:space="0" w:color="auto"/>
        <w:left w:val="none" w:sz="0" w:space="0" w:color="auto"/>
        <w:bottom w:val="none" w:sz="0" w:space="0" w:color="auto"/>
        <w:right w:val="none" w:sz="0" w:space="0" w:color="auto"/>
      </w:divBdr>
    </w:div>
    <w:div w:id="1158379106">
      <w:bodyDiv w:val="1"/>
      <w:marLeft w:val="0"/>
      <w:marRight w:val="0"/>
      <w:marTop w:val="0"/>
      <w:marBottom w:val="0"/>
      <w:divBdr>
        <w:top w:val="none" w:sz="0" w:space="0" w:color="auto"/>
        <w:left w:val="none" w:sz="0" w:space="0" w:color="auto"/>
        <w:bottom w:val="none" w:sz="0" w:space="0" w:color="auto"/>
        <w:right w:val="none" w:sz="0" w:space="0" w:color="auto"/>
      </w:divBdr>
    </w:div>
    <w:div w:id="1158692348">
      <w:bodyDiv w:val="1"/>
      <w:marLeft w:val="0"/>
      <w:marRight w:val="0"/>
      <w:marTop w:val="0"/>
      <w:marBottom w:val="0"/>
      <w:divBdr>
        <w:top w:val="none" w:sz="0" w:space="0" w:color="auto"/>
        <w:left w:val="none" w:sz="0" w:space="0" w:color="auto"/>
        <w:bottom w:val="none" w:sz="0" w:space="0" w:color="auto"/>
        <w:right w:val="none" w:sz="0" w:space="0" w:color="auto"/>
      </w:divBdr>
    </w:div>
    <w:div w:id="1180006356">
      <w:bodyDiv w:val="1"/>
      <w:marLeft w:val="0"/>
      <w:marRight w:val="0"/>
      <w:marTop w:val="0"/>
      <w:marBottom w:val="0"/>
      <w:divBdr>
        <w:top w:val="none" w:sz="0" w:space="0" w:color="auto"/>
        <w:left w:val="none" w:sz="0" w:space="0" w:color="auto"/>
        <w:bottom w:val="none" w:sz="0" w:space="0" w:color="auto"/>
        <w:right w:val="none" w:sz="0" w:space="0" w:color="auto"/>
      </w:divBdr>
    </w:div>
    <w:div w:id="118910558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96838132">
      <w:bodyDiv w:val="1"/>
      <w:marLeft w:val="0"/>
      <w:marRight w:val="0"/>
      <w:marTop w:val="0"/>
      <w:marBottom w:val="0"/>
      <w:divBdr>
        <w:top w:val="none" w:sz="0" w:space="0" w:color="auto"/>
        <w:left w:val="none" w:sz="0" w:space="0" w:color="auto"/>
        <w:bottom w:val="none" w:sz="0" w:space="0" w:color="auto"/>
        <w:right w:val="none" w:sz="0" w:space="0" w:color="auto"/>
      </w:divBdr>
    </w:div>
    <w:div w:id="1356271486">
      <w:bodyDiv w:val="1"/>
      <w:marLeft w:val="0"/>
      <w:marRight w:val="0"/>
      <w:marTop w:val="0"/>
      <w:marBottom w:val="0"/>
      <w:divBdr>
        <w:top w:val="none" w:sz="0" w:space="0" w:color="auto"/>
        <w:left w:val="none" w:sz="0" w:space="0" w:color="auto"/>
        <w:bottom w:val="none" w:sz="0" w:space="0" w:color="auto"/>
        <w:right w:val="none" w:sz="0" w:space="0" w:color="auto"/>
      </w:divBdr>
    </w:div>
    <w:div w:id="1359310660">
      <w:bodyDiv w:val="1"/>
      <w:marLeft w:val="0"/>
      <w:marRight w:val="0"/>
      <w:marTop w:val="0"/>
      <w:marBottom w:val="0"/>
      <w:divBdr>
        <w:top w:val="none" w:sz="0" w:space="0" w:color="auto"/>
        <w:left w:val="none" w:sz="0" w:space="0" w:color="auto"/>
        <w:bottom w:val="none" w:sz="0" w:space="0" w:color="auto"/>
        <w:right w:val="none" w:sz="0" w:space="0" w:color="auto"/>
      </w:divBdr>
    </w:div>
    <w:div w:id="1370302253">
      <w:bodyDiv w:val="1"/>
      <w:marLeft w:val="0"/>
      <w:marRight w:val="0"/>
      <w:marTop w:val="0"/>
      <w:marBottom w:val="0"/>
      <w:divBdr>
        <w:top w:val="none" w:sz="0" w:space="0" w:color="auto"/>
        <w:left w:val="none" w:sz="0" w:space="0" w:color="auto"/>
        <w:bottom w:val="none" w:sz="0" w:space="0" w:color="auto"/>
        <w:right w:val="none" w:sz="0" w:space="0" w:color="auto"/>
      </w:divBdr>
      <w:divsChild>
        <w:div w:id="2000189232">
          <w:marLeft w:val="547"/>
          <w:marRight w:val="0"/>
          <w:marTop w:val="0"/>
          <w:marBottom w:val="0"/>
          <w:divBdr>
            <w:top w:val="none" w:sz="0" w:space="0" w:color="auto"/>
            <w:left w:val="none" w:sz="0" w:space="0" w:color="auto"/>
            <w:bottom w:val="none" w:sz="0" w:space="0" w:color="auto"/>
            <w:right w:val="none" w:sz="0" w:space="0" w:color="auto"/>
          </w:divBdr>
        </w:div>
        <w:div w:id="1145968023">
          <w:marLeft w:val="1166"/>
          <w:marRight w:val="0"/>
          <w:marTop w:val="0"/>
          <w:marBottom w:val="0"/>
          <w:divBdr>
            <w:top w:val="none" w:sz="0" w:space="0" w:color="auto"/>
            <w:left w:val="none" w:sz="0" w:space="0" w:color="auto"/>
            <w:bottom w:val="none" w:sz="0" w:space="0" w:color="auto"/>
            <w:right w:val="none" w:sz="0" w:space="0" w:color="auto"/>
          </w:divBdr>
        </w:div>
      </w:divsChild>
    </w:div>
    <w:div w:id="1415542980">
      <w:bodyDiv w:val="1"/>
      <w:marLeft w:val="0"/>
      <w:marRight w:val="0"/>
      <w:marTop w:val="0"/>
      <w:marBottom w:val="0"/>
      <w:divBdr>
        <w:top w:val="none" w:sz="0" w:space="0" w:color="auto"/>
        <w:left w:val="none" w:sz="0" w:space="0" w:color="auto"/>
        <w:bottom w:val="none" w:sz="0" w:space="0" w:color="auto"/>
        <w:right w:val="none" w:sz="0" w:space="0" w:color="auto"/>
      </w:divBdr>
    </w:div>
    <w:div w:id="1478916240">
      <w:bodyDiv w:val="1"/>
      <w:marLeft w:val="0"/>
      <w:marRight w:val="0"/>
      <w:marTop w:val="0"/>
      <w:marBottom w:val="0"/>
      <w:divBdr>
        <w:top w:val="none" w:sz="0" w:space="0" w:color="auto"/>
        <w:left w:val="none" w:sz="0" w:space="0" w:color="auto"/>
        <w:bottom w:val="none" w:sz="0" w:space="0" w:color="auto"/>
        <w:right w:val="none" w:sz="0" w:space="0" w:color="auto"/>
      </w:divBdr>
    </w:div>
    <w:div w:id="1497306148">
      <w:bodyDiv w:val="1"/>
      <w:marLeft w:val="0"/>
      <w:marRight w:val="0"/>
      <w:marTop w:val="0"/>
      <w:marBottom w:val="0"/>
      <w:divBdr>
        <w:top w:val="none" w:sz="0" w:space="0" w:color="auto"/>
        <w:left w:val="none" w:sz="0" w:space="0" w:color="auto"/>
        <w:bottom w:val="none" w:sz="0" w:space="0" w:color="auto"/>
        <w:right w:val="none" w:sz="0" w:space="0" w:color="auto"/>
      </w:divBdr>
    </w:div>
    <w:div w:id="1523472620">
      <w:bodyDiv w:val="1"/>
      <w:marLeft w:val="0"/>
      <w:marRight w:val="0"/>
      <w:marTop w:val="0"/>
      <w:marBottom w:val="0"/>
      <w:divBdr>
        <w:top w:val="none" w:sz="0" w:space="0" w:color="auto"/>
        <w:left w:val="none" w:sz="0" w:space="0" w:color="auto"/>
        <w:bottom w:val="none" w:sz="0" w:space="0" w:color="auto"/>
        <w:right w:val="none" w:sz="0" w:space="0" w:color="auto"/>
      </w:divBdr>
    </w:div>
    <w:div w:id="1597253470">
      <w:bodyDiv w:val="1"/>
      <w:marLeft w:val="0"/>
      <w:marRight w:val="0"/>
      <w:marTop w:val="0"/>
      <w:marBottom w:val="0"/>
      <w:divBdr>
        <w:top w:val="none" w:sz="0" w:space="0" w:color="auto"/>
        <w:left w:val="none" w:sz="0" w:space="0" w:color="auto"/>
        <w:bottom w:val="none" w:sz="0" w:space="0" w:color="auto"/>
        <w:right w:val="none" w:sz="0" w:space="0" w:color="auto"/>
      </w:divBdr>
    </w:div>
    <w:div w:id="1651400842">
      <w:bodyDiv w:val="1"/>
      <w:marLeft w:val="0"/>
      <w:marRight w:val="0"/>
      <w:marTop w:val="0"/>
      <w:marBottom w:val="0"/>
      <w:divBdr>
        <w:top w:val="none" w:sz="0" w:space="0" w:color="auto"/>
        <w:left w:val="none" w:sz="0" w:space="0" w:color="auto"/>
        <w:bottom w:val="none" w:sz="0" w:space="0" w:color="auto"/>
        <w:right w:val="none" w:sz="0" w:space="0" w:color="auto"/>
      </w:divBdr>
    </w:div>
    <w:div w:id="1661807877">
      <w:bodyDiv w:val="1"/>
      <w:marLeft w:val="0"/>
      <w:marRight w:val="0"/>
      <w:marTop w:val="0"/>
      <w:marBottom w:val="0"/>
      <w:divBdr>
        <w:top w:val="none" w:sz="0" w:space="0" w:color="auto"/>
        <w:left w:val="none" w:sz="0" w:space="0" w:color="auto"/>
        <w:bottom w:val="none" w:sz="0" w:space="0" w:color="auto"/>
        <w:right w:val="none" w:sz="0" w:space="0" w:color="auto"/>
      </w:divBdr>
    </w:div>
    <w:div w:id="1665283834">
      <w:bodyDiv w:val="1"/>
      <w:marLeft w:val="0"/>
      <w:marRight w:val="0"/>
      <w:marTop w:val="0"/>
      <w:marBottom w:val="0"/>
      <w:divBdr>
        <w:top w:val="none" w:sz="0" w:space="0" w:color="auto"/>
        <w:left w:val="none" w:sz="0" w:space="0" w:color="auto"/>
        <w:bottom w:val="none" w:sz="0" w:space="0" w:color="auto"/>
        <w:right w:val="none" w:sz="0" w:space="0" w:color="auto"/>
      </w:divBdr>
    </w:div>
    <w:div w:id="1667047409">
      <w:bodyDiv w:val="1"/>
      <w:marLeft w:val="0"/>
      <w:marRight w:val="0"/>
      <w:marTop w:val="0"/>
      <w:marBottom w:val="0"/>
      <w:divBdr>
        <w:top w:val="none" w:sz="0" w:space="0" w:color="auto"/>
        <w:left w:val="none" w:sz="0" w:space="0" w:color="auto"/>
        <w:bottom w:val="none" w:sz="0" w:space="0" w:color="auto"/>
        <w:right w:val="none" w:sz="0" w:space="0" w:color="auto"/>
      </w:divBdr>
    </w:div>
    <w:div w:id="1682121002">
      <w:bodyDiv w:val="1"/>
      <w:marLeft w:val="0"/>
      <w:marRight w:val="0"/>
      <w:marTop w:val="0"/>
      <w:marBottom w:val="0"/>
      <w:divBdr>
        <w:top w:val="none" w:sz="0" w:space="0" w:color="auto"/>
        <w:left w:val="none" w:sz="0" w:space="0" w:color="auto"/>
        <w:bottom w:val="none" w:sz="0" w:space="0" w:color="auto"/>
        <w:right w:val="none" w:sz="0" w:space="0" w:color="auto"/>
      </w:divBdr>
    </w:div>
    <w:div w:id="1682780092">
      <w:bodyDiv w:val="1"/>
      <w:marLeft w:val="0"/>
      <w:marRight w:val="0"/>
      <w:marTop w:val="0"/>
      <w:marBottom w:val="0"/>
      <w:divBdr>
        <w:top w:val="none" w:sz="0" w:space="0" w:color="auto"/>
        <w:left w:val="none" w:sz="0" w:space="0" w:color="auto"/>
        <w:bottom w:val="none" w:sz="0" w:space="0" w:color="auto"/>
        <w:right w:val="none" w:sz="0" w:space="0" w:color="auto"/>
      </w:divBdr>
    </w:div>
    <w:div w:id="1689527708">
      <w:bodyDiv w:val="1"/>
      <w:marLeft w:val="0"/>
      <w:marRight w:val="0"/>
      <w:marTop w:val="0"/>
      <w:marBottom w:val="0"/>
      <w:divBdr>
        <w:top w:val="none" w:sz="0" w:space="0" w:color="auto"/>
        <w:left w:val="none" w:sz="0" w:space="0" w:color="auto"/>
        <w:bottom w:val="none" w:sz="0" w:space="0" w:color="auto"/>
        <w:right w:val="none" w:sz="0" w:space="0" w:color="auto"/>
      </w:divBdr>
    </w:div>
    <w:div w:id="1700662238">
      <w:bodyDiv w:val="1"/>
      <w:marLeft w:val="0"/>
      <w:marRight w:val="0"/>
      <w:marTop w:val="0"/>
      <w:marBottom w:val="0"/>
      <w:divBdr>
        <w:top w:val="none" w:sz="0" w:space="0" w:color="auto"/>
        <w:left w:val="none" w:sz="0" w:space="0" w:color="auto"/>
        <w:bottom w:val="none" w:sz="0" w:space="0" w:color="auto"/>
        <w:right w:val="none" w:sz="0" w:space="0" w:color="auto"/>
      </w:divBdr>
    </w:div>
    <w:div w:id="1708751193">
      <w:bodyDiv w:val="1"/>
      <w:marLeft w:val="0"/>
      <w:marRight w:val="0"/>
      <w:marTop w:val="0"/>
      <w:marBottom w:val="0"/>
      <w:divBdr>
        <w:top w:val="none" w:sz="0" w:space="0" w:color="auto"/>
        <w:left w:val="none" w:sz="0" w:space="0" w:color="auto"/>
        <w:bottom w:val="none" w:sz="0" w:space="0" w:color="auto"/>
        <w:right w:val="none" w:sz="0" w:space="0" w:color="auto"/>
      </w:divBdr>
      <w:divsChild>
        <w:div w:id="769743424">
          <w:marLeft w:val="547"/>
          <w:marRight w:val="0"/>
          <w:marTop w:val="0"/>
          <w:marBottom w:val="0"/>
          <w:divBdr>
            <w:top w:val="none" w:sz="0" w:space="0" w:color="auto"/>
            <w:left w:val="none" w:sz="0" w:space="0" w:color="auto"/>
            <w:bottom w:val="none" w:sz="0" w:space="0" w:color="auto"/>
            <w:right w:val="none" w:sz="0" w:space="0" w:color="auto"/>
          </w:divBdr>
        </w:div>
      </w:divsChild>
    </w:div>
    <w:div w:id="1710255207">
      <w:bodyDiv w:val="1"/>
      <w:marLeft w:val="0"/>
      <w:marRight w:val="0"/>
      <w:marTop w:val="0"/>
      <w:marBottom w:val="0"/>
      <w:divBdr>
        <w:top w:val="none" w:sz="0" w:space="0" w:color="auto"/>
        <w:left w:val="none" w:sz="0" w:space="0" w:color="auto"/>
        <w:bottom w:val="none" w:sz="0" w:space="0" w:color="auto"/>
        <w:right w:val="none" w:sz="0" w:space="0" w:color="auto"/>
      </w:divBdr>
    </w:div>
    <w:div w:id="1744984200">
      <w:bodyDiv w:val="1"/>
      <w:marLeft w:val="0"/>
      <w:marRight w:val="0"/>
      <w:marTop w:val="0"/>
      <w:marBottom w:val="0"/>
      <w:divBdr>
        <w:top w:val="none" w:sz="0" w:space="0" w:color="auto"/>
        <w:left w:val="none" w:sz="0" w:space="0" w:color="auto"/>
        <w:bottom w:val="none" w:sz="0" w:space="0" w:color="auto"/>
        <w:right w:val="none" w:sz="0" w:space="0" w:color="auto"/>
      </w:divBdr>
    </w:div>
    <w:div w:id="1814832534">
      <w:bodyDiv w:val="1"/>
      <w:marLeft w:val="0"/>
      <w:marRight w:val="0"/>
      <w:marTop w:val="0"/>
      <w:marBottom w:val="0"/>
      <w:divBdr>
        <w:top w:val="none" w:sz="0" w:space="0" w:color="auto"/>
        <w:left w:val="none" w:sz="0" w:space="0" w:color="auto"/>
        <w:bottom w:val="none" w:sz="0" w:space="0" w:color="auto"/>
        <w:right w:val="none" w:sz="0" w:space="0" w:color="auto"/>
      </w:divBdr>
    </w:div>
    <w:div w:id="1817532261">
      <w:bodyDiv w:val="1"/>
      <w:marLeft w:val="0"/>
      <w:marRight w:val="0"/>
      <w:marTop w:val="0"/>
      <w:marBottom w:val="0"/>
      <w:divBdr>
        <w:top w:val="none" w:sz="0" w:space="0" w:color="auto"/>
        <w:left w:val="none" w:sz="0" w:space="0" w:color="auto"/>
        <w:bottom w:val="none" w:sz="0" w:space="0" w:color="auto"/>
        <w:right w:val="none" w:sz="0" w:space="0" w:color="auto"/>
      </w:divBdr>
    </w:div>
    <w:div w:id="1863661051">
      <w:bodyDiv w:val="1"/>
      <w:marLeft w:val="0"/>
      <w:marRight w:val="0"/>
      <w:marTop w:val="0"/>
      <w:marBottom w:val="0"/>
      <w:divBdr>
        <w:top w:val="none" w:sz="0" w:space="0" w:color="auto"/>
        <w:left w:val="none" w:sz="0" w:space="0" w:color="auto"/>
        <w:bottom w:val="none" w:sz="0" w:space="0" w:color="auto"/>
        <w:right w:val="none" w:sz="0" w:space="0" w:color="auto"/>
      </w:divBdr>
    </w:div>
    <w:div w:id="1898976901">
      <w:bodyDiv w:val="1"/>
      <w:marLeft w:val="0"/>
      <w:marRight w:val="0"/>
      <w:marTop w:val="0"/>
      <w:marBottom w:val="0"/>
      <w:divBdr>
        <w:top w:val="none" w:sz="0" w:space="0" w:color="auto"/>
        <w:left w:val="none" w:sz="0" w:space="0" w:color="auto"/>
        <w:bottom w:val="none" w:sz="0" w:space="0" w:color="auto"/>
        <w:right w:val="none" w:sz="0" w:space="0" w:color="auto"/>
      </w:divBdr>
    </w:div>
    <w:div w:id="1903977296">
      <w:bodyDiv w:val="1"/>
      <w:marLeft w:val="0"/>
      <w:marRight w:val="0"/>
      <w:marTop w:val="0"/>
      <w:marBottom w:val="0"/>
      <w:divBdr>
        <w:top w:val="none" w:sz="0" w:space="0" w:color="auto"/>
        <w:left w:val="none" w:sz="0" w:space="0" w:color="auto"/>
        <w:bottom w:val="none" w:sz="0" w:space="0" w:color="auto"/>
        <w:right w:val="none" w:sz="0" w:space="0" w:color="auto"/>
      </w:divBdr>
    </w:div>
    <w:div w:id="1934195770">
      <w:bodyDiv w:val="1"/>
      <w:marLeft w:val="0"/>
      <w:marRight w:val="0"/>
      <w:marTop w:val="0"/>
      <w:marBottom w:val="0"/>
      <w:divBdr>
        <w:top w:val="none" w:sz="0" w:space="0" w:color="auto"/>
        <w:left w:val="none" w:sz="0" w:space="0" w:color="auto"/>
        <w:bottom w:val="none" w:sz="0" w:space="0" w:color="auto"/>
        <w:right w:val="none" w:sz="0" w:space="0" w:color="auto"/>
      </w:divBdr>
    </w:div>
    <w:div w:id="1961953893">
      <w:bodyDiv w:val="1"/>
      <w:marLeft w:val="0"/>
      <w:marRight w:val="0"/>
      <w:marTop w:val="0"/>
      <w:marBottom w:val="0"/>
      <w:divBdr>
        <w:top w:val="none" w:sz="0" w:space="0" w:color="auto"/>
        <w:left w:val="none" w:sz="0" w:space="0" w:color="auto"/>
        <w:bottom w:val="none" w:sz="0" w:space="0" w:color="auto"/>
        <w:right w:val="none" w:sz="0" w:space="0" w:color="auto"/>
      </w:divBdr>
    </w:div>
    <w:div w:id="1975481293">
      <w:bodyDiv w:val="1"/>
      <w:marLeft w:val="0"/>
      <w:marRight w:val="0"/>
      <w:marTop w:val="0"/>
      <w:marBottom w:val="0"/>
      <w:divBdr>
        <w:top w:val="none" w:sz="0" w:space="0" w:color="auto"/>
        <w:left w:val="none" w:sz="0" w:space="0" w:color="auto"/>
        <w:bottom w:val="none" w:sz="0" w:space="0" w:color="auto"/>
        <w:right w:val="none" w:sz="0" w:space="0" w:color="auto"/>
      </w:divBdr>
    </w:div>
    <w:div w:id="2013877724">
      <w:bodyDiv w:val="1"/>
      <w:marLeft w:val="0"/>
      <w:marRight w:val="0"/>
      <w:marTop w:val="0"/>
      <w:marBottom w:val="0"/>
      <w:divBdr>
        <w:top w:val="none" w:sz="0" w:space="0" w:color="auto"/>
        <w:left w:val="none" w:sz="0" w:space="0" w:color="auto"/>
        <w:bottom w:val="none" w:sz="0" w:space="0" w:color="auto"/>
        <w:right w:val="none" w:sz="0" w:space="0" w:color="auto"/>
      </w:divBdr>
    </w:div>
    <w:div w:id="2014524407">
      <w:bodyDiv w:val="1"/>
      <w:marLeft w:val="0"/>
      <w:marRight w:val="0"/>
      <w:marTop w:val="0"/>
      <w:marBottom w:val="0"/>
      <w:divBdr>
        <w:top w:val="none" w:sz="0" w:space="0" w:color="auto"/>
        <w:left w:val="none" w:sz="0" w:space="0" w:color="auto"/>
        <w:bottom w:val="none" w:sz="0" w:space="0" w:color="auto"/>
        <w:right w:val="none" w:sz="0" w:space="0" w:color="auto"/>
      </w:divBdr>
    </w:div>
    <w:div w:id="2085107707">
      <w:bodyDiv w:val="1"/>
      <w:marLeft w:val="0"/>
      <w:marRight w:val="0"/>
      <w:marTop w:val="0"/>
      <w:marBottom w:val="0"/>
      <w:divBdr>
        <w:top w:val="none" w:sz="0" w:space="0" w:color="auto"/>
        <w:left w:val="none" w:sz="0" w:space="0" w:color="auto"/>
        <w:bottom w:val="none" w:sz="0" w:space="0" w:color="auto"/>
        <w:right w:val="none" w:sz="0" w:space="0" w:color="auto"/>
      </w:divBdr>
    </w:div>
    <w:div w:id="2089110838">
      <w:bodyDiv w:val="1"/>
      <w:marLeft w:val="0"/>
      <w:marRight w:val="0"/>
      <w:marTop w:val="0"/>
      <w:marBottom w:val="0"/>
      <w:divBdr>
        <w:top w:val="none" w:sz="0" w:space="0" w:color="auto"/>
        <w:left w:val="none" w:sz="0" w:space="0" w:color="auto"/>
        <w:bottom w:val="none" w:sz="0" w:space="0" w:color="auto"/>
        <w:right w:val="none" w:sz="0" w:space="0" w:color="auto"/>
      </w:divBdr>
    </w:div>
    <w:div w:id="2094858687">
      <w:bodyDiv w:val="1"/>
      <w:marLeft w:val="0"/>
      <w:marRight w:val="0"/>
      <w:marTop w:val="0"/>
      <w:marBottom w:val="0"/>
      <w:divBdr>
        <w:top w:val="none" w:sz="0" w:space="0" w:color="auto"/>
        <w:left w:val="none" w:sz="0" w:space="0" w:color="auto"/>
        <w:bottom w:val="none" w:sz="0" w:space="0" w:color="auto"/>
        <w:right w:val="none" w:sz="0" w:space="0" w:color="auto"/>
      </w:divBdr>
    </w:div>
    <w:div w:id="2096047303">
      <w:bodyDiv w:val="1"/>
      <w:marLeft w:val="0"/>
      <w:marRight w:val="0"/>
      <w:marTop w:val="0"/>
      <w:marBottom w:val="0"/>
      <w:divBdr>
        <w:top w:val="none" w:sz="0" w:space="0" w:color="auto"/>
        <w:left w:val="none" w:sz="0" w:space="0" w:color="auto"/>
        <w:bottom w:val="none" w:sz="0" w:space="0" w:color="auto"/>
        <w:right w:val="none" w:sz="0" w:space="0" w:color="auto"/>
      </w:divBdr>
    </w:div>
    <w:div w:id="212260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health.gov.au/resources/publications/national-aboriginal-and-torres-strait-islander-health-workforce-strategic-framework-and-implementation-plan-2021-2031?language=en" TargetMode="External"/><Relationship Id="rId26" Type="http://schemas.openxmlformats.org/officeDocument/2006/relationships/hyperlink" Target="https://www.health.gov.au/resources/publications/national-strategic-action-plan-for-rare-diseases" TargetMode="External"/><Relationship Id="rId39" Type="http://schemas.openxmlformats.org/officeDocument/2006/relationships/hyperlink" Target="https://www.health.nsw.gov.au/services/Pages/genomics-strategy-implementation-plan.aspx" TargetMode="External"/><Relationship Id="rId21" Type="http://schemas.openxmlformats.org/officeDocument/2006/relationships/hyperlink" Target="https://www.niaa.gov.au/resource-centre/framework-governance-indigenous-data" TargetMode="External"/><Relationship Id="rId34" Type="http://schemas.openxmlformats.org/officeDocument/2006/relationships/hyperlink" Target="https://www.act.gov.au/__data/assets/pdf_file/0018/2250441/ACT-Health-Services-Plan_2022-to-2030.pdf" TargetMode="External"/><Relationship Id="rId42" Type="http://schemas.openxmlformats.org/officeDocument/2006/relationships/hyperlink" Target="https://ceih.sa.gov.au/assets/library/External-Version-Precision-Medicine-Blueprint-5.pdf" TargetMode="External"/><Relationship Id="rId47" Type="http://schemas.openxmlformats.org/officeDocument/2006/relationships/hyperlink" Target="https://www.health.vic.gov.au/our-strategic-plan-2023-27" TargetMode="External"/><Relationship Id="rId50" Type="http://schemas.openxmlformats.org/officeDocument/2006/relationships/hyperlink" Target="https://www.health.wa.gov.au/Reports-and-publications/Digital-strategy" TargetMode="External"/><Relationship Id="rId55"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health.nsw.gov.au/services/Pages/genomic-testing-national-model.aspx" TargetMode="External"/><Relationship Id="rId25" Type="http://schemas.openxmlformats.org/officeDocument/2006/relationships/hyperlink" Target="https://www.health.gov.au/resources/publications/national-aboriginal-and-torres-strait-islander-health-workforce-strategic-framework-and-implementation-plan-2021-2031?language=en" TargetMode="External"/><Relationship Id="rId33" Type="http://schemas.openxmlformats.org/officeDocument/2006/relationships/hyperlink" Target="https://www.act.gov.au/__data/assets/pdf_file/0016/2225302/Child-and-Adolescent-Clinical-Services-Plan-2023-2030.pdf" TargetMode="External"/><Relationship Id="rId38" Type="http://schemas.openxmlformats.org/officeDocument/2006/relationships/hyperlink" Target="https://www.health.nsw.gov.au/services/Publications/nsw-health-genomics-strategy.pdf" TargetMode="External"/><Relationship Id="rId46" Type="http://schemas.openxmlformats.org/officeDocument/2006/relationships/hyperlink" Target="https://www.health.tas.gov.au/publications/tasmanian-genomics-framework-2024-2029" TargetMode="External"/><Relationship Id="rId2" Type="http://schemas.openxmlformats.org/officeDocument/2006/relationships/numbering" Target="numbering.xml"/><Relationship Id="rId16" Type="http://schemas.openxmlformats.org/officeDocument/2006/relationships/hyperlink" Target="https://www.cdc.gov.au/resources/publications/national-microbial-genomics-framework-public-health-2025-2027" TargetMode="External"/><Relationship Id="rId20" Type="http://schemas.openxmlformats.org/officeDocument/2006/relationships/hyperlink" Target="https://www.health.gov.au/resources/publications/the-digital-health-blueprint-and-action-plan-2023-2033" TargetMode="External"/><Relationship Id="rId29" Type="http://schemas.openxmlformats.org/officeDocument/2006/relationships/hyperlink" Target="https://www.cdc.gov.au/resources/publications/national-microbial-genomics-framework-public-health-2025-2027" TargetMode="External"/><Relationship Id="rId41" Type="http://schemas.openxmlformats.org/officeDocument/2006/relationships/hyperlink" Target="https://health.nt.gov.au/__data/assets/pdf_file/0010/955495/Strengthening-our-Health-System-Strategy-2020-2025.pdf"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health.gov.au/resources/publications/national-aboriginal-and-torres-strait-islander-health-plan-2021-2031" TargetMode="External"/><Relationship Id="rId32" Type="http://schemas.openxmlformats.org/officeDocument/2006/relationships/hyperlink" Target="https://www.health.gov.au/resources/publications/mrff-Review-of-the-Genomics-Health-Futures-Mission" TargetMode="External"/><Relationship Id="rId37" Type="http://schemas.openxmlformats.org/officeDocument/2006/relationships/hyperlink" Target="https://www.health.nsw.gov.au/about/nswhealth/Pages/future-health.aspx" TargetMode="External"/><Relationship Id="rId40" Type="http://schemas.openxmlformats.org/officeDocument/2006/relationships/hyperlink" Target="https://www.health.nsw.gov.au/services/Publications/genomics-implementation-plan.pdf" TargetMode="External"/><Relationship Id="rId45" Type="http://schemas.openxmlformats.org/officeDocument/2006/relationships/hyperlink" Target="https://www.health.tas.gov.au/publications/digital-health-transformation-strategy" TargetMode="External"/><Relationship Id="rId53" Type="http://schemas.openxmlformats.org/officeDocument/2006/relationships/footer" Target="footer4.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gov.au/resources/collections/national-health-genomics-policy-framework" TargetMode="External"/><Relationship Id="rId23" Type="http://schemas.openxmlformats.org/officeDocument/2006/relationships/hyperlink" Target="https://www.health.gov.au/resources/collections/hta-review-final-report-collection" TargetMode="External"/><Relationship Id="rId28" Type="http://schemas.openxmlformats.org/officeDocument/2006/relationships/hyperlink" Target="https://www.canceraustralia.gov.au/key-initiatives/national-framework-genomics-cancer-control" TargetMode="External"/><Relationship Id="rId36" Type="http://schemas.openxmlformats.org/officeDocument/2006/relationships/hyperlink" Target="https://www.act.gov.au/__data/assets/pdf_file/0005/2194925/Digital-Health-Strategy-2019-2029.pdf" TargetMode="External"/><Relationship Id="rId49" Type="http://schemas.openxmlformats.org/officeDocument/2006/relationships/hyperlink" Target="https://www.health.wa.gov.au/~/media/Corp/Documents/Health-for/Population-health/WA-Genomics-Strategy-2022-2032-Towards-Precision-Medicine-and-Precision-Public-Health.pdf" TargetMode="Externa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health.gov.au/resources/publications/national-health-genomics-policy-framework-2018-2021?language=en" TargetMode="External"/><Relationship Id="rId31" Type="http://schemas.openxmlformats.org/officeDocument/2006/relationships/hyperlink" Target="https://www.health.gov.au/resources/publications/genomic-tests-in-population-based-screening-programs-position-statement?language=en" TargetMode="External"/><Relationship Id="rId44" Type="http://schemas.openxmlformats.org/officeDocument/2006/relationships/hyperlink" Target="https://www.sahealth.sa.gov.au/wps/wcm/connect/public+content/sa+health+internet/about+us/about+sa+health/health+and+wellbeing+strategy+2020+2025/the+south+australian+health+and+wellbeing+strategy+2020+-+2025" TargetMode="External"/><Relationship Id="rId52"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anceraustralia.gov.au/key-initiatives/national-framework-genomics-cancer-control" TargetMode="External"/><Relationship Id="rId22" Type="http://schemas.openxmlformats.org/officeDocument/2006/relationships/hyperlink" Target="https://www.health.gov.au/resources/publications/framework-for-the-assessment-funding-and-implementation-of-high-cost-highly-specialised-therapies-and-services?language=en" TargetMode="External"/><Relationship Id="rId27" Type="http://schemas.openxmlformats.org/officeDocument/2006/relationships/hyperlink" Target="https://www.digitalhealth.gov.au/national-digital-health-strategy" TargetMode="External"/><Relationship Id="rId30" Type="http://schemas.openxmlformats.org/officeDocument/2006/relationships/hyperlink" Target="https://www.health.gov.au/resources/publications/population-based-screening-framework?language=en" TargetMode="External"/><Relationship Id="rId35" Type="http://schemas.openxmlformats.org/officeDocument/2006/relationships/hyperlink" Target="https://www.act.gov.au/__data/assets/pdf_file/0011/2423648/Better-together-A-strategic-plan-for-research-in-the-ACT-health-system-2022-2030.pdf" TargetMode="External"/><Relationship Id="rId43" Type="http://schemas.openxmlformats.org/officeDocument/2006/relationships/hyperlink" Target="https://www.sahealth.sa.gov.au/wps/wcm/connect/public+content/sa+health+internet/about+us/strategy+and+planning/the+south+australian+health+and+wellbeing+strategy+2020+-+2025" TargetMode="External"/><Relationship Id="rId48" Type="http://schemas.openxmlformats.org/officeDocument/2006/relationships/hyperlink" Target="https://www.health.vic.gov.au/publications/genetic-and-genomic-healthcare-for-victoria-2021" TargetMode="External"/><Relationship Id="rId56" Type="http://schemas.openxmlformats.org/officeDocument/2006/relationships/footer" Target="footer6.xml"/><Relationship Id="rId8" Type="http://schemas.openxmlformats.org/officeDocument/2006/relationships/header" Target="header1.xml"/><Relationship Id="rId51" Type="http://schemas.openxmlformats.org/officeDocument/2006/relationships/header" Target="header4.xm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D9352-CA8E-4559-A40C-354D60F2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11765</Words>
  <Characters>82338</Characters>
  <Application>Microsoft Office Word</Application>
  <DocSecurity>0</DocSecurity>
  <Lines>2058</Lines>
  <Paragraphs>771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2025-06-20T06:27:00Z</dcterms:created>
  <dcterms:modified xsi:type="dcterms:W3CDTF">2025-06-20T06:27:00Z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