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2C3" w:rsidRDefault="00EA42C3" w:rsidP="008C6A86">
      <w:pPr>
        <w:jc w:val="center"/>
        <w:rPr>
          <w:rFonts w:asciiTheme="minorHAnsi" w:hAnsiTheme="minorHAnsi"/>
          <w:b/>
          <w:sz w:val="40"/>
          <w:szCs w:val="40"/>
        </w:rPr>
      </w:pPr>
    </w:p>
    <w:p w:rsidR="00EA42C3" w:rsidRDefault="00EA42C3" w:rsidP="008C6A86">
      <w:pPr>
        <w:jc w:val="center"/>
        <w:rPr>
          <w:rFonts w:asciiTheme="minorHAnsi" w:hAnsiTheme="minorHAnsi"/>
          <w:b/>
          <w:sz w:val="40"/>
          <w:szCs w:val="40"/>
        </w:rPr>
      </w:pPr>
    </w:p>
    <w:p w:rsidR="008C6A86" w:rsidRDefault="00EA42C3" w:rsidP="00311BB0">
      <w:pPr>
        <w:spacing w:after="2600"/>
        <w:jc w:val="center"/>
        <w:rPr>
          <w:rFonts w:asciiTheme="minorHAnsi" w:hAnsiTheme="minorHAnsi"/>
          <w:b/>
          <w:sz w:val="40"/>
          <w:szCs w:val="40"/>
        </w:rPr>
      </w:pPr>
      <w:r>
        <w:rPr>
          <w:noProof/>
        </w:rPr>
        <w:drawing>
          <wp:inline distT="0" distB="0" distL="0" distR="0" wp14:anchorId="7F0054A9" wp14:editId="4ABCC9BC">
            <wp:extent cx="4170556" cy="996152"/>
            <wp:effectExtent l="0" t="0" r="1905" b="0"/>
            <wp:docPr id="3" name="Picture 6" descr="Crest of the Commonwealth Department of Health" title="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07500" cy="1004976"/>
                    </a:xfrm>
                    <a:prstGeom prst="rect">
                      <a:avLst/>
                    </a:prstGeom>
                    <a:noFill/>
                  </pic:spPr>
                </pic:pic>
              </a:graphicData>
            </a:graphic>
          </wp:inline>
        </w:drawing>
      </w:r>
    </w:p>
    <w:p w:rsidR="008C6A86" w:rsidRPr="00EA42C3" w:rsidRDefault="00A67B4E" w:rsidP="008C6A86">
      <w:pPr>
        <w:jc w:val="center"/>
        <w:rPr>
          <w:rFonts w:asciiTheme="minorHAnsi" w:hAnsiTheme="minorHAnsi"/>
          <w:b/>
          <w:sz w:val="44"/>
          <w:szCs w:val="44"/>
        </w:rPr>
      </w:pPr>
      <w:r>
        <w:rPr>
          <w:rFonts w:asciiTheme="minorHAnsi" w:hAnsiTheme="minorHAnsi"/>
          <w:b/>
          <w:sz w:val="44"/>
          <w:szCs w:val="44"/>
        </w:rPr>
        <w:t>Electronic</w:t>
      </w:r>
      <w:r w:rsidR="007B5B70">
        <w:rPr>
          <w:rFonts w:asciiTheme="minorHAnsi" w:hAnsiTheme="minorHAnsi"/>
          <w:b/>
          <w:sz w:val="44"/>
          <w:szCs w:val="44"/>
        </w:rPr>
        <w:t xml:space="preserve"> Health</w:t>
      </w:r>
      <w:r w:rsidR="008C6A86" w:rsidRPr="00EA42C3">
        <w:rPr>
          <w:rFonts w:asciiTheme="minorHAnsi" w:hAnsiTheme="minorHAnsi"/>
          <w:b/>
          <w:sz w:val="44"/>
          <w:szCs w:val="44"/>
        </w:rPr>
        <w:t xml:space="preserve"> Record</w:t>
      </w:r>
      <w:r>
        <w:rPr>
          <w:rFonts w:asciiTheme="minorHAnsi" w:hAnsiTheme="minorHAnsi"/>
          <w:b/>
          <w:sz w:val="44"/>
          <w:szCs w:val="44"/>
        </w:rPr>
        <w:t>s</w:t>
      </w:r>
      <w:r w:rsidR="00EA42C3">
        <w:rPr>
          <w:rFonts w:asciiTheme="minorHAnsi" w:hAnsiTheme="minorHAnsi"/>
          <w:b/>
          <w:sz w:val="44"/>
          <w:szCs w:val="44"/>
        </w:rPr>
        <w:t xml:space="preserve"> and Healthcare Identifiers</w:t>
      </w:r>
      <w:r w:rsidR="008C6A86" w:rsidRPr="00EA42C3">
        <w:rPr>
          <w:rFonts w:asciiTheme="minorHAnsi" w:hAnsiTheme="minorHAnsi"/>
          <w:b/>
          <w:sz w:val="44"/>
          <w:szCs w:val="44"/>
        </w:rPr>
        <w:t>:</w:t>
      </w:r>
    </w:p>
    <w:p w:rsidR="008C6A86" w:rsidRPr="00EA42C3" w:rsidRDefault="00EA42C3" w:rsidP="008C6A86">
      <w:pPr>
        <w:jc w:val="center"/>
        <w:rPr>
          <w:rFonts w:asciiTheme="minorHAnsi" w:hAnsiTheme="minorHAnsi"/>
          <w:b/>
          <w:sz w:val="44"/>
          <w:szCs w:val="44"/>
        </w:rPr>
      </w:pPr>
      <w:r>
        <w:rPr>
          <w:rFonts w:asciiTheme="minorHAnsi" w:hAnsiTheme="minorHAnsi"/>
          <w:b/>
          <w:sz w:val="44"/>
          <w:szCs w:val="44"/>
        </w:rPr>
        <w:t>Legislation Discussion Paper</w:t>
      </w:r>
    </w:p>
    <w:p w:rsidR="008C6A86" w:rsidRPr="008C6A86" w:rsidRDefault="008C6A86" w:rsidP="008C6A86">
      <w:pPr>
        <w:jc w:val="center"/>
        <w:rPr>
          <w:rFonts w:asciiTheme="minorHAnsi" w:hAnsiTheme="minorHAnsi"/>
          <w:sz w:val="40"/>
          <w:szCs w:val="40"/>
        </w:rPr>
      </w:pPr>
    </w:p>
    <w:p w:rsidR="00EA42C3" w:rsidRDefault="00D356EE">
      <w:pPr>
        <w:rPr>
          <w:rFonts w:asciiTheme="minorHAnsi" w:hAnsiTheme="minorHAnsi"/>
          <w:sz w:val="40"/>
          <w:szCs w:val="40"/>
        </w:rPr>
        <w:sectPr w:rsidR="00EA42C3" w:rsidSect="00EA42C3">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titlePg/>
          <w:docGrid w:linePitch="360"/>
        </w:sectPr>
      </w:pPr>
      <w:r w:rsidRPr="008C6A86">
        <w:rPr>
          <w:rFonts w:asciiTheme="minorHAnsi" w:hAnsiTheme="minorHAnsi"/>
          <w:sz w:val="40"/>
          <w:szCs w:val="40"/>
        </w:rPr>
        <w:br w:type="page"/>
      </w:r>
    </w:p>
    <w:p w:rsidR="00735610" w:rsidRDefault="00735610" w:rsidP="00EA42C3">
      <w:pPr>
        <w:spacing w:before="120"/>
        <w:rPr>
          <w:rFonts w:asciiTheme="minorHAnsi" w:hAnsiTheme="minorHAnsi"/>
          <w:b/>
          <w:sz w:val="22"/>
          <w:szCs w:val="22"/>
        </w:rPr>
      </w:pPr>
    </w:p>
    <w:p w:rsidR="00EA42C3" w:rsidRPr="00EA42C3" w:rsidRDefault="00EA42C3" w:rsidP="00311BB0">
      <w:pPr>
        <w:spacing w:before="11000"/>
        <w:rPr>
          <w:rFonts w:asciiTheme="minorHAnsi" w:hAnsiTheme="minorHAnsi"/>
          <w:b/>
          <w:sz w:val="22"/>
          <w:szCs w:val="22"/>
        </w:rPr>
      </w:pPr>
      <w:r w:rsidRPr="00EA42C3">
        <w:rPr>
          <w:rFonts w:asciiTheme="minorHAnsi" w:hAnsiTheme="minorHAnsi"/>
          <w:b/>
          <w:sz w:val="22"/>
          <w:szCs w:val="22"/>
        </w:rPr>
        <w:t>© Commonwealth of Australia 201</w:t>
      </w:r>
      <w:r w:rsidR="00735610">
        <w:rPr>
          <w:rFonts w:asciiTheme="minorHAnsi" w:hAnsiTheme="minorHAnsi"/>
          <w:b/>
          <w:sz w:val="22"/>
          <w:szCs w:val="22"/>
        </w:rPr>
        <w:t>5</w:t>
      </w:r>
    </w:p>
    <w:p w:rsidR="00EA42C3" w:rsidRDefault="00EA42C3" w:rsidP="00EA42C3">
      <w:pPr>
        <w:rPr>
          <w:rFonts w:asciiTheme="minorHAnsi" w:hAnsiTheme="minorHAnsi"/>
          <w:sz w:val="22"/>
          <w:szCs w:val="22"/>
        </w:rPr>
      </w:pPr>
      <w:r w:rsidRPr="00EA42C3">
        <w:rPr>
          <w:rFonts w:asciiTheme="minorHAnsi" w:hAnsiTheme="minorHAnsi"/>
          <w:sz w:val="22"/>
          <w:szCs w:val="22"/>
        </w:rPr>
        <w:t xml:space="preserve">This work is copyright.  You may download, display, print and reproduce the whole or part of this work in unaltered form for your own personal use or, if you are part of an organisation, for internal use within your organisation, but only if you or your organisation do not use the reproduction for any commercial purpose and retain this copyright notice and all disclaimer notices as part of that reproduction.  Apart from rights to use as permitted by the </w:t>
      </w:r>
      <w:r w:rsidRPr="00EA42C3">
        <w:rPr>
          <w:rStyle w:val="Emphasis"/>
          <w:rFonts w:asciiTheme="minorHAnsi" w:hAnsiTheme="minorHAnsi"/>
          <w:sz w:val="22"/>
          <w:szCs w:val="22"/>
        </w:rPr>
        <w:t>Copyright Act 1968</w:t>
      </w:r>
      <w:r w:rsidRPr="00EA42C3">
        <w:rPr>
          <w:rFonts w:asciiTheme="minorHAnsi" w:hAnsiTheme="minorHAnsi"/>
          <w:sz w:val="22"/>
          <w:szCs w:val="22"/>
        </w:rPr>
        <w:t xml:space="preserve"> or allowed by this copyright notice, all other rights are reserved and you are not allowed to reproduce the whole or any part of this work in any way (electronic or otherwise) without first being given the specific written permission from the Commonwealth to do so.  Requests and enquiries concerning reproduction and rights are to be sent to the Communicatio</w:t>
      </w:r>
      <w:r w:rsidR="00735610">
        <w:rPr>
          <w:rFonts w:asciiTheme="minorHAnsi" w:hAnsiTheme="minorHAnsi"/>
          <w:sz w:val="22"/>
          <w:szCs w:val="22"/>
        </w:rPr>
        <w:t>ns Branch, Department of Health</w:t>
      </w:r>
      <w:r w:rsidRPr="00EA42C3">
        <w:rPr>
          <w:rFonts w:asciiTheme="minorHAnsi" w:hAnsiTheme="minorHAnsi"/>
          <w:sz w:val="22"/>
          <w:szCs w:val="22"/>
        </w:rPr>
        <w:t xml:space="preserve">, GPO Box 9848, Canberra ACT 2601, or via e-mail to </w:t>
      </w:r>
      <w:hyperlink r:id="rId16" w:history="1">
        <w:r w:rsidRPr="00EA42C3">
          <w:rPr>
            <w:rStyle w:val="Hyperlink"/>
            <w:rFonts w:asciiTheme="minorHAnsi" w:hAnsiTheme="minorHAnsi"/>
            <w:sz w:val="22"/>
            <w:szCs w:val="22"/>
          </w:rPr>
          <w:t>copyright@health.gov.au</w:t>
        </w:r>
      </w:hyperlink>
      <w:r w:rsidRPr="00EA42C3">
        <w:rPr>
          <w:rFonts w:asciiTheme="minorHAnsi" w:hAnsiTheme="minorHAnsi"/>
          <w:sz w:val="22"/>
          <w:szCs w:val="22"/>
        </w:rPr>
        <w:t>.</w:t>
      </w:r>
    </w:p>
    <w:p w:rsidR="00735610" w:rsidRDefault="00735610" w:rsidP="00EA42C3">
      <w:pPr>
        <w:rPr>
          <w:rFonts w:asciiTheme="minorHAnsi" w:hAnsiTheme="minorHAnsi"/>
          <w:sz w:val="22"/>
          <w:szCs w:val="22"/>
        </w:rPr>
        <w:sectPr w:rsidR="00735610" w:rsidSect="00735610">
          <w:headerReference w:type="first" r:id="rId17"/>
          <w:footerReference w:type="first" r:id="rId18"/>
          <w:pgSz w:w="11906" w:h="16838"/>
          <w:pgMar w:top="851" w:right="1134" w:bottom="851" w:left="1134" w:header="709" w:footer="709" w:gutter="0"/>
          <w:pgNumType w:fmt="lowerRoman" w:start="2"/>
          <w:cols w:space="708"/>
          <w:titlePg/>
          <w:docGrid w:linePitch="360"/>
        </w:sectPr>
      </w:pPr>
    </w:p>
    <w:p w:rsidR="00735610" w:rsidRDefault="00735610" w:rsidP="00735610">
      <w:pPr>
        <w:spacing w:before="240"/>
        <w:rPr>
          <w:rFonts w:asciiTheme="minorHAnsi" w:hAnsiTheme="minorHAnsi"/>
          <w:b/>
          <w:sz w:val="36"/>
          <w:szCs w:val="36"/>
        </w:rPr>
      </w:pPr>
      <w:r w:rsidRPr="00735610">
        <w:rPr>
          <w:rFonts w:asciiTheme="minorHAnsi" w:hAnsiTheme="minorHAnsi"/>
          <w:b/>
          <w:sz w:val="36"/>
          <w:szCs w:val="36"/>
        </w:rPr>
        <w:lastRenderedPageBreak/>
        <w:t>Table of contents</w:t>
      </w:r>
    </w:p>
    <w:p w:rsidR="00735610" w:rsidRPr="003C72D7" w:rsidRDefault="00735610" w:rsidP="003C72D7">
      <w:pPr>
        <w:spacing w:after="60"/>
        <w:rPr>
          <w:rFonts w:asciiTheme="minorHAnsi" w:hAnsiTheme="minorHAnsi"/>
          <w:b/>
          <w:sz w:val="22"/>
          <w:szCs w:val="22"/>
        </w:rPr>
      </w:pPr>
    </w:p>
    <w:p w:rsidR="0002186F" w:rsidRPr="0002186F" w:rsidRDefault="003C72D7" w:rsidP="0002186F">
      <w:pPr>
        <w:pStyle w:val="TOC1"/>
        <w:tabs>
          <w:tab w:val="right" w:pos="9628"/>
        </w:tabs>
        <w:spacing w:after="80"/>
        <w:rPr>
          <w:noProof/>
        </w:rPr>
      </w:pPr>
      <w:r w:rsidRPr="0002186F">
        <w:rPr>
          <w:b/>
        </w:rPr>
        <w:fldChar w:fldCharType="begin"/>
      </w:r>
      <w:r w:rsidRPr="0002186F">
        <w:rPr>
          <w:b/>
        </w:rPr>
        <w:instrText xml:space="preserve"> TOC \o "1-4" \h \z \u </w:instrText>
      </w:r>
      <w:r w:rsidRPr="0002186F">
        <w:rPr>
          <w:b/>
        </w:rPr>
        <w:fldChar w:fldCharType="separate"/>
      </w:r>
      <w:hyperlink w:anchor="_Toc420394222" w:history="1">
        <w:r w:rsidR="0002186F" w:rsidRPr="0002186F">
          <w:rPr>
            <w:rStyle w:val="Hyperlink"/>
            <w:noProof/>
          </w:rPr>
          <w:t>Executive summary</w:t>
        </w:r>
        <w:r w:rsidR="0002186F" w:rsidRPr="0002186F">
          <w:rPr>
            <w:noProof/>
            <w:webHidden/>
          </w:rPr>
          <w:tab/>
        </w:r>
        <w:r w:rsidR="0002186F" w:rsidRPr="0002186F">
          <w:rPr>
            <w:noProof/>
            <w:webHidden/>
          </w:rPr>
          <w:fldChar w:fldCharType="begin"/>
        </w:r>
        <w:r w:rsidR="0002186F" w:rsidRPr="0002186F">
          <w:rPr>
            <w:noProof/>
            <w:webHidden/>
          </w:rPr>
          <w:instrText xml:space="preserve"> PAGEREF _Toc420394222 \h </w:instrText>
        </w:r>
        <w:r w:rsidR="0002186F" w:rsidRPr="0002186F">
          <w:rPr>
            <w:noProof/>
            <w:webHidden/>
          </w:rPr>
        </w:r>
        <w:r w:rsidR="0002186F" w:rsidRPr="0002186F">
          <w:rPr>
            <w:noProof/>
            <w:webHidden/>
          </w:rPr>
          <w:fldChar w:fldCharType="separate"/>
        </w:r>
        <w:r w:rsidR="0002186F" w:rsidRPr="0002186F">
          <w:rPr>
            <w:noProof/>
            <w:webHidden/>
          </w:rPr>
          <w:t>1</w:t>
        </w:r>
        <w:r w:rsidR="0002186F" w:rsidRPr="0002186F">
          <w:rPr>
            <w:noProof/>
            <w:webHidden/>
          </w:rPr>
          <w:fldChar w:fldCharType="end"/>
        </w:r>
      </w:hyperlink>
    </w:p>
    <w:p w:rsidR="0002186F" w:rsidRPr="0002186F" w:rsidRDefault="009F79B1" w:rsidP="0002186F">
      <w:pPr>
        <w:pStyle w:val="TOC1"/>
        <w:tabs>
          <w:tab w:val="left" w:pos="480"/>
          <w:tab w:val="right" w:pos="9628"/>
        </w:tabs>
        <w:spacing w:after="80"/>
        <w:rPr>
          <w:noProof/>
        </w:rPr>
      </w:pPr>
      <w:hyperlink w:anchor="_Toc420394223" w:history="1">
        <w:r w:rsidR="0002186F" w:rsidRPr="0002186F">
          <w:rPr>
            <w:rStyle w:val="Hyperlink"/>
            <w:noProof/>
          </w:rPr>
          <w:t>1.</w:t>
        </w:r>
        <w:r w:rsidR="0002186F" w:rsidRPr="0002186F">
          <w:rPr>
            <w:noProof/>
          </w:rPr>
          <w:tab/>
        </w:r>
        <w:r w:rsidR="0002186F" w:rsidRPr="0002186F">
          <w:rPr>
            <w:rStyle w:val="Hyperlink"/>
            <w:noProof/>
          </w:rPr>
          <w:t>Introduction</w:t>
        </w:r>
        <w:r w:rsidR="0002186F" w:rsidRPr="0002186F">
          <w:rPr>
            <w:noProof/>
            <w:webHidden/>
          </w:rPr>
          <w:tab/>
        </w:r>
        <w:r w:rsidR="0002186F" w:rsidRPr="0002186F">
          <w:rPr>
            <w:noProof/>
            <w:webHidden/>
          </w:rPr>
          <w:fldChar w:fldCharType="begin"/>
        </w:r>
        <w:r w:rsidR="0002186F" w:rsidRPr="0002186F">
          <w:rPr>
            <w:noProof/>
            <w:webHidden/>
          </w:rPr>
          <w:instrText xml:space="preserve"> PAGEREF _Toc420394223 \h </w:instrText>
        </w:r>
        <w:r w:rsidR="0002186F" w:rsidRPr="0002186F">
          <w:rPr>
            <w:noProof/>
            <w:webHidden/>
          </w:rPr>
        </w:r>
        <w:r w:rsidR="0002186F" w:rsidRPr="0002186F">
          <w:rPr>
            <w:noProof/>
            <w:webHidden/>
          </w:rPr>
          <w:fldChar w:fldCharType="separate"/>
        </w:r>
        <w:r w:rsidR="0002186F" w:rsidRPr="0002186F">
          <w:rPr>
            <w:noProof/>
            <w:webHidden/>
          </w:rPr>
          <w:t>2</w:t>
        </w:r>
        <w:r w:rsidR="0002186F" w:rsidRPr="0002186F">
          <w:rPr>
            <w:noProof/>
            <w:webHidden/>
          </w:rPr>
          <w:fldChar w:fldCharType="end"/>
        </w:r>
      </w:hyperlink>
    </w:p>
    <w:p w:rsidR="0002186F" w:rsidRPr="0002186F" w:rsidRDefault="009F79B1" w:rsidP="0002186F">
      <w:pPr>
        <w:pStyle w:val="TOC2"/>
        <w:rPr>
          <w:rFonts w:asciiTheme="minorHAnsi" w:eastAsiaTheme="minorEastAsia" w:hAnsiTheme="minorHAnsi" w:cstheme="minorBidi"/>
          <w:noProof/>
          <w:sz w:val="22"/>
          <w:szCs w:val="22"/>
        </w:rPr>
      </w:pPr>
      <w:hyperlink w:anchor="_Toc420394224" w:history="1">
        <w:r w:rsidR="0002186F" w:rsidRPr="0002186F">
          <w:rPr>
            <w:rStyle w:val="Hyperlink"/>
            <w:rFonts w:asciiTheme="minorHAnsi" w:hAnsiTheme="minorHAnsi"/>
            <w:noProof/>
            <w:sz w:val="22"/>
            <w:szCs w:val="22"/>
          </w:rPr>
          <w:t>1.1</w:t>
        </w:r>
        <w:r w:rsidR="0002186F" w:rsidRPr="0002186F">
          <w:rPr>
            <w:rFonts w:asciiTheme="minorHAnsi" w:eastAsiaTheme="minorEastAsia" w:hAnsiTheme="minorHAnsi" w:cstheme="minorBidi"/>
            <w:noProof/>
            <w:sz w:val="22"/>
            <w:szCs w:val="22"/>
          </w:rPr>
          <w:tab/>
        </w:r>
        <w:r w:rsidR="0002186F" w:rsidRPr="0002186F">
          <w:rPr>
            <w:rStyle w:val="Hyperlink"/>
            <w:rFonts w:asciiTheme="minorHAnsi" w:hAnsiTheme="minorHAnsi"/>
            <w:noProof/>
            <w:sz w:val="22"/>
            <w:szCs w:val="22"/>
          </w:rPr>
          <w:t>Purpose of this paper</w:t>
        </w:r>
        <w:r w:rsidR="0002186F" w:rsidRPr="0002186F">
          <w:rPr>
            <w:rFonts w:asciiTheme="minorHAnsi" w:hAnsiTheme="minorHAnsi"/>
            <w:noProof/>
            <w:webHidden/>
            <w:sz w:val="22"/>
            <w:szCs w:val="22"/>
          </w:rPr>
          <w:tab/>
        </w:r>
        <w:r w:rsidR="0002186F" w:rsidRPr="0002186F">
          <w:rPr>
            <w:rFonts w:asciiTheme="minorHAnsi" w:hAnsiTheme="minorHAnsi"/>
            <w:noProof/>
            <w:webHidden/>
            <w:sz w:val="22"/>
            <w:szCs w:val="22"/>
          </w:rPr>
          <w:fldChar w:fldCharType="begin"/>
        </w:r>
        <w:r w:rsidR="0002186F" w:rsidRPr="0002186F">
          <w:rPr>
            <w:rFonts w:asciiTheme="minorHAnsi" w:hAnsiTheme="minorHAnsi"/>
            <w:noProof/>
            <w:webHidden/>
            <w:sz w:val="22"/>
            <w:szCs w:val="22"/>
          </w:rPr>
          <w:instrText xml:space="preserve"> PAGEREF _Toc420394224 \h </w:instrText>
        </w:r>
        <w:r w:rsidR="0002186F" w:rsidRPr="0002186F">
          <w:rPr>
            <w:rFonts w:asciiTheme="minorHAnsi" w:hAnsiTheme="minorHAnsi"/>
            <w:noProof/>
            <w:webHidden/>
            <w:sz w:val="22"/>
            <w:szCs w:val="22"/>
          </w:rPr>
        </w:r>
        <w:r w:rsidR="0002186F" w:rsidRPr="0002186F">
          <w:rPr>
            <w:rFonts w:asciiTheme="minorHAnsi" w:hAnsiTheme="minorHAnsi"/>
            <w:noProof/>
            <w:webHidden/>
            <w:sz w:val="22"/>
            <w:szCs w:val="22"/>
          </w:rPr>
          <w:fldChar w:fldCharType="separate"/>
        </w:r>
        <w:r w:rsidR="0002186F" w:rsidRPr="0002186F">
          <w:rPr>
            <w:rFonts w:asciiTheme="minorHAnsi" w:hAnsiTheme="minorHAnsi"/>
            <w:noProof/>
            <w:webHidden/>
            <w:sz w:val="22"/>
            <w:szCs w:val="22"/>
          </w:rPr>
          <w:t>2</w:t>
        </w:r>
        <w:r w:rsidR="0002186F" w:rsidRPr="0002186F">
          <w:rPr>
            <w:rFonts w:asciiTheme="minorHAnsi" w:hAnsiTheme="minorHAnsi"/>
            <w:noProof/>
            <w:webHidden/>
            <w:sz w:val="22"/>
            <w:szCs w:val="22"/>
          </w:rPr>
          <w:fldChar w:fldCharType="end"/>
        </w:r>
      </w:hyperlink>
    </w:p>
    <w:p w:rsidR="0002186F" w:rsidRPr="0002186F" w:rsidRDefault="009F79B1" w:rsidP="0002186F">
      <w:pPr>
        <w:pStyle w:val="TOC2"/>
        <w:rPr>
          <w:rFonts w:asciiTheme="minorHAnsi" w:eastAsiaTheme="minorEastAsia" w:hAnsiTheme="minorHAnsi" w:cstheme="minorBidi"/>
          <w:noProof/>
          <w:sz w:val="22"/>
          <w:szCs w:val="22"/>
        </w:rPr>
      </w:pPr>
      <w:hyperlink w:anchor="_Toc420394225" w:history="1">
        <w:r w:rsidR="0002186F" w:rsidRPr="0002186F">
          <w:rPr>
            <w:rStyle w:val="Hyperlink"/>
            <w:rFonts w:asciiTheme="minorHAnsi" w:hAnsiTheme="minorHAnsi"/>
            <w:noProof/>
            <w:sz w:val="22"/>
            <w:szCs w:val="22"/>
          </w:rPr>
          <w:t>1.2</w:t>
        </w:r>
        <w:r w:rsidR="0002186F" w:rsidRPr="0002186F">
          <w:rPr>
            <w:rFonts w:asciiTheme="minorHAnsi" w:eastAsiaTheme="minorEastAsia" w:hAnsiTheme="minorHAnsi" w:cstheme="minorBidi"/>
            <w:noProof/>
            <w:sz w:val="22"/>
            <w:szCs w:val="22"/>
          </w:rPr>
          <w:tab/>
        </w:r>
        <w:r w:rsidR="0002186F" w:rsidRPr="0002186F">
          <w:rPr>
            <w:rStyle w:val="Hyperlink"/>
            <w:rFonts w:asciiTheme="minorHAnsi" w:hAnsiTheme="minorHAnsi"/>
            <w:noProof/>
            <w:sz w:val="22"/>
            <w:szCs w:val="22"/>
          </w:rPr>
          <w:t>What is not in scope</w:t>
        </w:r>
        <w:r w:rsidR="0002186F" w:rsidRPr="0002186F">
          <w:rPr>
            <w:rFonts w:asciiTheme="minorHAnsi" w:hAnsiTheme="minorHAnsi"/>
            <w:noProof/>
            <w:webHidden/>
            <w:sz w:val="22"/>
            <w:szCs w:val="22"/>
          </w:rPr>
          <w:tab/>
        </w:r>
        <w:r w:rsidR="0002186F" w:rsidRPr="0002186F">
          <w:rPr>
            <w:rFonts w:asciiTheme="minorHAnsi" w:hAnsiTheme="minorHAnsi"/>
            <w:noProof/>
            <w:webHidden/>
            <w:sz w:val="22"/>
            <w:szCs w:val="22"/>
          </w:rPr>
          <w:fldChar w:fldCharType="begin"/>
        </w:r>
        <w:r w:rsidR="0002186F" w:rsidRPr="0002186F">
          <w:rPr>
            <w:rFonts w:asciiTheme="minorHAnsi" w:hAnsiTheme="minorHAnsi"/>
            <w:noProof/>
            <w:webHidden/>
            <w:sz w:val="22"/>
            <w:szCs w:val="22"/>
          </w:rPr>
          <w:instrText xml:space="preserve"> PAGEREF _Toc420394225 \h </w:instrText>
        </w:r>
        <w:r w:rsidR="0002186F" w:rsidRPr="0002186F">
          <w:rPr>
            <w:rFonts w:asciiTheme="minorHAnsi" w:hAnsiTheme="minorHAnsi"/>
            <w:noProof/>
            <w:webHidden/>
            <w:sz w:val="22"/>
            <w:szCs w:val="22"/>
          </w:rPr>
        </w:r>
        <w:r w:rsidR="0002186F" w:rsidRPr="0002186F">
          <w:rPr>
            <w:rFonts w:asciiTheme="minorHAnsi" w:hAnsiTheme="minorHAnsi"/>
            <w:noProof/>
            <w:webHidden/>
            <w:sz w:val="22"/>
            <w:szCs w:val="22"/>
          </w:rPr>
          <w:fldChar w:fldCharType="separate"/>
        </w:r>
        <w:r w:rsidR="0002186F" w:rsidRPr="0002186F">
          <w:rPr>
            <w:rFonts w:asciiTheme="minorHAnsi" w:hAnsiTheme="minorHAnsi"/>
            <w:noProof/>
            <w:webHidden/>
            <w:sz w:val="22"/>
            <w:szCs w:val="22"/>
          </w:rPr>
          <w:t>2</w:t>
        </w:r>
        <w:r w:rsidR="0002186F" w:rsidRPr="0002186F">
          <w:rPr>
            <w:rFonts w:asciiTheme="minorHAnsi" w:hAnsiTheme="minorHAnsi"/>
            <w:noProof/>
            <w:webHidden/>
            <w:sz w:val="22"/>
            <w:szCs w:val="22"/>
          </w:rPr>
          <w:fldChar w:fldCharType="end"/>
        </w:r>
      </w:hyperlink>
    </w:p>
    <w:p w:rsidR="0002186F" w:rsidRPr="0002186F" w:rsidRDefault="009F79B1" w:rsidP="0002186F">
      <w:pPr>
        <w:pStyle w:val="TOC2"/>
        <w:rPr>
          <w:rFonts w:asciiTheme="minorHAnsi" w:eastAsiaTheme="minorEastAsia" w:hAnsiTheme="minorHAnsi" w:cstheme="minorBidi"/>
          <w:noProof/>
          <w:sz w:val="22"/>
          <w:szCs w:val="22"/>
        </w:rPr>
      </w:pPr>
      <w:hyperlink w:anchor="_Toc420394226" w:history="1">
        <w:r w:rsidR="0002186F" w:rsidRPr="0002186F">
          <w:rPr>
            <w:rStyle w:val="Hyperlink"/>
            <w:rFonts w:asciiTheme="minorHAnsi" w:hAnsiTheme="minorHAnsi"/>
            <w:noProof/>
            <w:sz w:val="22"/>
            <w:szCs w:val="22"/>
          </w:rPr>
          <w:t>1.3</w:t>
        </w:r>
        <w:r w:rsidR="0002186F" w:rsidRPr="0002186F">
          <w:rPr>
            <w:rFonts w:asciiTheme="minorHAnsi" w:eastAsiaTheme="minorEastAsia" w:hAnsiTheme="minorHAnsi" w:cstheme="minorBidi"/>
            <w:noProof/>
            <w:sz w:val="22"/>
            <w:szCs w:val="22"/>
          </w:rPr>
          <w:tab/>
        </w:r>
        <w:r w:rsidR="0002186F" w:rsidRPr="0002186F">
          <w:rPr>
            <w:rStyle w:val="Hyperlink"/>
            <w:rFonts w:asciiTheme="minorHAnsi" w:hAnsiTheme="minorHAnsi"/>
            <w:noProof/>
            <w:sz w:val="22"/>
            <w:szCs w:val="22"/>
          </w:rPr>
          <w:t>How to provide feedback</w:t>
        </w:r>
        <w:r w:rsidR="0002186F" w:rsidRPr="0002186F">
          <w:rPr>
            <w:rFonts w:asciiTheme="minorHAnsi" w:hAnsiTheme="minorHAnsi"/>
            <w:noProof/>
            <w:webHidden/>
            <w:sz w:val="22"/>
            <w:szCs w:val="22"/>
          </w:rPr>
          <w:tab/>
        </w:r>
        <w:r w:rsidR="0002186F" w:rsidRPr="0002186F">
          <w:rPr>
            <w:rFonts w:asciiTheme="minorHAnsi" w:hAnsiTheme="minorHAnsi"/>
            <w:noProof/>
            <w:webHidden/>
            <w:sz w:val="22"/>
            <w:szCs w:val="22"/>
          </w:rPr>
          <w:fldChar w:fldCharType="begin"/>
        </w:r>
        <w:r w:rsidR="0002186F" w:rsidRPr="0002186F">
          <w:rPr>
            <w:rFonts w:asciiTheme="minorHAnsi" w:hAnsiTheme="minorHAnsi"/>
            <w:noProof/>
            <w:webHidden/>
            <w:sz w:val="22"/>
            <w:szCs w:val="22"/>
          </w:rPr>
          <w:instrText xml:space="preserve"> PAGEREF _Toc420394226 \h </w:instrText>
        </w:r>
        <w:r w:rsidR="0002186F" w:rsidRPr="0002186F">
          <w:rPr>
            <w:rFonts w:asciiTheme="minorHAnsi" w:hAnsiTheme="minorHAnsi"/>
            <w:noProof/>
            <w:webHidden/>
            <w:sz w:val="22"/>
            <w:szCs w:val="22"/>
          </w:rPr>
        </w:r>
        <w:r w:rsidR="0002186F" w:rsidRPr="0002186F">
          <w:rPr>
            <w:rFonts w:asciiTheme="minorHAnsi" w:hAnsiTheme="minorHAnsi"/>
            <w:noProof/>
            <w:webHidden/>
            <w:sz w:val="22"/>
            <w:szCs w:val="22"/>
          </w:rPr>
          <w:fldChar w:fldCharType="separate"/>
        </w:r>
        <w:r w:rsidR="0002186F" w:rsidRPr="0002186F">
          <w:rPr>
            <w:rFonts w:asciiTheme="minorHAnsi" w:hAnsiTheme="minorHAnsi"/>
            <w:noProof/>
            <w:webHidden/>
            <w:sz w:val="22"/>
            <w:szCs w:val="22"/>
          </w:rPr>
          <w:t>2</w:t>
        </w:r>
        <w:r w:rsidR="0002186F" w:rsidRPr="0002186F">
          <w:rPr>
            <w:rFonts w:asciiTheme="minorHAnsi" w:hAnsiTheme="minorHAnsi"/>
            <w:noProof/>
            <w:webHidden/>
            <w:sz w:val="22"/>
            <w:szCs w:val="22"/>
          </w:rPr>
          <w:fldChar w:fldCharType="end"/>
        </w:r>
      </w:hyperlink>
    </w:p>
    <w:p w:rsidR="0002186F" w:rsidRPr="0002186F" w:rsidRDefault="009F79B1" w:rsidP="0002186F">
      <w:pPr>
        <w:pStyle w:val="TOC1"/>
        <w:tabs>
          <w:tab w:val="left" w:pos="480"/>
          <w:tab w:val="right" w:pos="9628"/>
        </w:tabs>
        <w:spacing w:after="80"/>
        <w:rPr>
          <w:noProof/>
        </w:rPr>
      </w:pPr>
      <w:hyperlink w:anchor="_Toc420394227" w:history="1">
        <w:r w:rsidR="0002186F" w:rsidRPr="0002186F">
          <w:rPr>
            <w:rStyle w:val="Hyperlink"/>
            <w:noProof/>
          </w:rPr>
          <w:t>2.</w:t>
        </w:r>
        <w:r w:rsidR="0002186F" w:rsidRPr="0002186F">
          <w:rPr>
            <w:noProof/>
          </w:rPr>
          <w:tab/>
        </w:r>
        <w:r w:rsidR="0002186F" w:rsidRPr="0002186F">
          <w:rPr>
            <w:rStyle w:val="Hyperlink"/>
            <w:noProof/>
          </w:rPr>
          <w:t>Background</w:t>
        </w:r>
        <w:r w:rsidR="0002186F" w:rsidRPr="0002186F">
          <w:rPr>
            <w:noProof/>
            <w:webHidden/>
          </w:rPr>
          <w:tab/>
        </w:r>
        <w:r w:rsidR="0002186F" w:rsidRPr="0002186F">
          <w:rPr>
            <w:noProof/>
            <w:webHidden/>
          </w:rPr>
          <w:fldChar w:fldCharType="begin"/>
        </w:r>
        <w:r w:rsidR="0002186F" w:rsidRPr="0002186F">
          <w:rPr>
            <w:noProof/>
            <w:webHidden/>
          </w:rPr>
          <w:instrText xml:space="preserve"> PAGEREF _Toc420394227 \h </w:instrText>
        </w:r>
        <w:r w:rsidR="0002186F" w:rsidRPr="0002186F">
          <w:rPr>
            <w:noProof/>
            <w:webHidden/>
          </w:rPr>
        </w:r>
        <w:r w:rsidR="0002186F" w:rsidRPr="0002186F">
          <w:rPr>
            <w:noProof/>
            <w:webHidden/>
          </w:rPr>
          <w:fldChar w:fldCharType="separate"/>
        </w:r>
        <w:r w:rsidR="0002186F" w:rsidRPr="0002186F">
          <w:rPr>
            <w:noProof/>
            <w:webHidden/>
          </w:rPr>
          <w:t>4</w:t>
        </w:r>
        <w:r w:rsidR="0002186F" w:rsidRPr="0002186F">
          <w:rPr>
            <w:noProof/>
            <w:webHidden/>
          </w:rPr>
          <w:fldChar w:fldCharType="end"/>
        </w:r>
      </w:hyperlink>
    </w:p>
    <w:p w:rsidR="0002186F" w:rsidRPr="0002186F" w:rsidRDefault="009F79B1" w:rsidP="0002186F">
      <w:pPr>
        <w:pStyle w:val="TOC2"/>
        <w:rPr>
          <w:rFonts w:asciiTheme="minorHAnsi" w:eastAsiaTheme="minorEastAsia" w:hAnsiTheme="minorHAnsi" w:cstheme="minorBidi"/>
          <w:noProof/>
          <w:sz w:val="22"/>
          <w:szCs w:val="22"/>
        </w:rPr>
      </w:pPr>
      <w:hyperlink w:anchor="_Toc420394228" w:history="1">
        <w:r w:rsidR="0002186F" w:rsidRPr="0002186F">
          <w:rPr>
            <w:rStyle w:val="Hyperlink"/>
            <w:rFonts w:asciiTheme="minorHAnsi" w:hAnsiTheme="minorHAnsi"/>
            <w:noProof/>
            <w:sz w:val="22"/>
            <w:szCs w:val="22"/>
          </w:rPr>
          <w:t>2.1</w:t>
        </w:r>
        <w:r w:rsidR="0002186F" w:rsidRPr="0002186F">
          <w:rPr>
            <w:rFonts w:asciiTheme="minorHAnsi" w:eastAsiaTheme="minorEastAsia" w:hAnsiTheme="minorHAnsi" w:cstheme="minorBidi"/>
            <w:noProof/>
            <w:sz w:val="22"/>
            <w:szCs w:val="22"/>
          </w:rPr>
          <w:tab/>
        </w:r>
        <w:r w:rsidR="0002186F" w:rsidRPr="0002186F">
          <w:rPr>
            <w:rStyle w:val="Hyperlink"/>
            <w:rFonts w:asciiTheme="minorHAnsi" w:hAnsiTheme="minorHAnsi"/>
            <w:noProof/>
            <w:sz w:val="22"/>
            <w:szCs w:val="22"/>
          </w:rPr>
          <w:t>Personally controlled electronic health record system</w:t>
        </w:r>
        <w:r w:rsidR="0002186F" w:rsidRPr="0002186F">
          <w:rPr>
            <w:rFonts w:asciiTheme="minorHAnsi" w:hAnsiTheme="minorHAnsi"/>
            <w:noProof/>
            <w:webHidden/>
            <w:sz w:val="22"/>
            <w:szCs w:val="22"/>
          </w:rPr>
          <w:tab/>
        </w:r>
        <w:r w:rsidR="0002186F" w:rsidRPr="0002186F">
          <w:rPr>
            <w:rFonts w:asciiTheme="minorHAnsi" w:hAnsiTheme="minorHAnsi"/>
            <w:noProof/>
            <w:webHidden/>
            <w:sz w:val="22"/>
            <w:szCs w:val="22"/>
          </w:rPr>
          <w:fldChar w:fldCharType="begin"/>
        </w:r>
        <w:r w:rsidR="0002186F" w:rsidRPr="0002186F">
          <w:rPr>
            <w:rFonts w:asciiTheme="minorHAnsi" w:hAnsiTheme="minorHAnsi"/>
            <w:noProof/>
            <w:webHidden/>
            <w:sz w:val="22"/>
            <w:szCs w:val="22"/>
          </w:rPr>
          <w:instrText xml:space="preserve"> PAGEREF _Toc420394228 \h </w:instrText>
        </w:r>
        <w:r w:rsidR="0002186F" w:rsidRPr="0002186F">
          <w:rPr>
            <w:rFonts w:asciiTheme="minorHAnsi" w:hAnsiTheme="minorHAnsi"/>
            <w:noProof/>
            <w:webHidden/>
            <w:sz w:val="22"/>
            <w:szCs w:val="22"/>
          </w:rPr>
        </w:r>
        <w:r w:rsidR="0002186F" w:rsidRPr="0002186F">
          <w:rPr>
            <w:rFonts w:asciiTheme="minorHAnsi" w:hAnsiTheme="minorHAnsi"/>
            <w:noProof/>
            <w:webHidden/>
            <w:sz w:val="22"/>
            <w:szCs w:val="22"/>
          </w:rPr>
          <w:fldChar w:fldCharType="separate"/>
        </w:r>
        <w:r w:rsidR="0002186F" w:rsidRPr="0002186F">
          <w:rPr>
            <w:rFonts w:asciiTheme="minorHAnsi" w:hAnsiTheme="minorHAnsi"/>
            <w:noProof/>
            <w:webHidden/>
            <w:sz w:val="22"/>
            <w:szCs w:val="22"/>
          </w:rPr>
          <w:t>4</w:t>
        </w:r>
        <w:r w:rsidR="0002186F" w:rsidRPr="0002186F">
          <w:rPr>
            <w:rFonts w:asciiTheme="minorHAnsi" w:hAnsiTheme="minorHAnsi"/>
            <w:noProof/>
            <w:webHidden/>
            <w:sz w:val="22"/>
            <w:szCs w:val="22"/>
          </w:rPr>
          <w:fldChar w:fldCharType="end"/>
        </w:r>
      </w:hyperlink>
    </w:p>
    <w:p w:rsidR="0002186F" w:rsidRPr="0002186F" w:rsidRDefault="009F79B1" w:rsidP="0002186F">
      <w:pPr>
        <w:pStyle w:val="TOC2"/>
        <w:rPr>
          <w:rFonts w:asciiTheme="minorHAnsi" w:eastAsiaTheme="minorEastAsia" w:hAnsiTheme="minorHAnsi" w:cstheme="minorBidi"/>
          <w:noProof/>
          <w:sz w:val="22"/>
          <w:szCs w:val="22"/>
        </w:rPr>
      </w:pPr>
      <w:hyperlink w:anchor="_Toc420394229" w:history="1">
        <w:r w:rsidR="0002186F" w:rsidRPr="0002186F">
          <w:rPr>
            <w:rStyle w:val="Hyperlink"/>
            <w:rFonts w:asciiTheme="minorHAnsi" w:hAnsiTheme="minorHAnsi"/>
            <w:noProof/>
            <w:sz w:val="22"/>
            <w:szCs w:val="22"/>
          </w:rPr>
          <w:t>2.2</w:t>
        </w:r>
        <w:r w:rsidR="0002186F" w:rsidRPr="0002186F">
          <w:rPr>
            <w:rFonts w:asciiTheme="minorHAnsi" w:eastAsiaTheme="minorEastAsia" w:hAnsiTheme="minorHAnsi" w:cstheme="minorBidi"/>
            <w:noProof/>
            <w:sz w:val="22"/>
            <w:szCs w:val="22"/>
          </w:rPr>
          <w:tab/>
        </w:r>
        <w:r w:rsidR="0002186F" w:rsidRPr="0002186F">
          <w:rPr>
            <w:rStyle w:val="Hyperlink"/>
            <w:rFonts w:asciiTheme="minorHAnsi" w:hAnsiTheme="minorHAnsi"/>
            <w:noProof/>
            <w:sz w:val="22"/>
            <w:szCs w:val="22"/>
          </w:rPr>
          <w:t>Review of the PCEHR system</w:t>
        </w:r>
        <w:r w:rsidR="0002186F" w:rsidRPr="0002186F">
          <w:rPr>
            <w:rFonts w:asciiTheme="minorHAnsi" w:hAnsiTheme="minorHAnsi"/>
            <w:noProof/>
            <w:webHidden/>
            <w:sz w:val="22"/>
            <w:szCs w:val="22"/>
          </w:rPr>
          <w:tab/>
        </w:r>
        <w:r w:rsidR="0002186F" w:rsidRPr="0002186F">
          <w:rPr>
            <w:rFonts w:asciiTheme="minorHAnsi" w:hAnsiTheme="minorHAnsi"/>
            <w:noProof/>
            <w:webHidden/>
            <w:sz w:val="22"/>
            <w:szCs w:val="22"/>
          </w:rPr>
          <w:fldChar w:fldCharType="begin"/>
        </w:r>
        <w:r w:rsidR="0002186F" w:rsidRPr="0002186F">
          <w:rPr>
            <w:rFonts w:asciiTheme="minorHAnsi" w:hAnsiTheme="minorHAnsi"/>
            <w:noProof/>
            <w:webHidden/>
            <w:sz w:val="22"/>
            <w:szCs w:val="22"/>
          </w:rPr>
          <w:instrText xml:space="preserve"> PAGEREF _Toc420394229 \h </w:instrText>
        </w:r>
        <w:r w:rsidR="0002186F" w:rsidRPr="0002186F">
          <w:rPr>
            <w:rFonts w:asciiTheme="minorHAnsi" w:hAnsiTheme="minorHAnsi"/>
            <w:noProof/>
            <w:webHidden/>
            <w:sz w:val="22"/>
            <w:szCs w:val="22"/>
          </w:rPr>
        </w:r>
        <w:r w:rsidR="0002186F" w:rsidRPr="0002186F">
          <w:rPr>
            <w:rFonts w:asciiTheme="minorHAnsi" w:hAnsiTheme="minorHAnsi"/>
            <w:noProof/>
            <w:webHidden/>
            <w:sz w:val="22"/>
            <w:szCs w:val="22"/>
          </w:rPr>
          <w:fldChar w:fldCharType="separate"/>
        </w:r>
        <w:r w:rsidR="0002186F" w:rsidRPr="0002186F">
          <w:rPr>
            <w:rFonts w:asciiTheme="minorHAnsi" w:hAnsiTheme="minorHAnsi"/>
            <w:noProof/>
            <w:webHidden/>
            <w:sz w:val="22"/>
            <w:szCs w:val="22"/>
          </w:rPr>
          <w:t>4</w:t>
        </w:r>
        <w:r w:rsidR="0002186F" w:rsidRPr="0002186F">
          <w:rPr>
            <w:rFonts w:asciiTheme="minorHAnsi" w:hAnsiTheme="minorHAnsi"/>
            <w:noProof/>
            <w:webHidden/>
            <w:sz w:val="22"/>
            <w:szCs w:val="22"/>
          </w:rPr>
          <w:fldChar w:fldCharType="end"/>
        </w:r>
      </w:hyperlink>
    </w:p>
    <w:p w:rsidR="0002186F" w:rsidRPr="0002186F" w:rsidRDefault="009F79B1" w:rsidP="0002186F">
      <w:pPr>
        <w:pStyle w:val="TOC2"/>
        <w:rPr>
          <w:rFonts w:asciiTheme="minorHAnsi" w:eastAsiaTheme="minorEastAsia" w:hAnsiTheme="minorHAnsi" w:cstheme="minorBidi"/>
          <w:noProof/>
          <w:sz w:val="22"/>
          <w:szCs w:val="22"/>
        </w:rPr>
      </w:pPr>
      <w:hyperlink w:anchor="_Toc420394230" w:history="1">
        <w:r w:rsidR="0002186F" w:rsidRPr="0002186F">
          <w:rPr>
            <w:rStyle w:val="Hyperlink"/>
            <w:rFonts w:asciiTheme="minorHAnsi" w:hAnsiTheme="minorHAnsi"/>
            <w:noProof/>
            <w:sz w:val="22"/>
            <w:szCs w:val="22"/>
          </w:rPr>
          <w:t>2.3</w:t>
        </w:r>
        <w:r w:rsidR="0002186F" w:rsidRPr="0002186F">
          <w:rPr>
            <w:rFonts w:asciiTheme="minorHAnsi" w:eastAsiaTheme="minorEastAsia" w:hAnsiTheme="minorHAnsi" w:cstheme="minorBidi"/>
            <w:noProof/>
            <w:sz w:val="22"/>
            <w:szCs w:val="22"/>
          </w:rPr>
          <w:tab/>
        </w:r>
        <w:r w:rsidR="0002186F" w:rsidRPr="0002186F">
          <w:rPr>
            <w:rStyle w:val="Hyperlink"/>
            <w:rFonts w:asciiTheme="minorHAnsi" w:hAnsiTheme="minorHAnsi"/>
            <w:noProof/>
            <w:sz w:val="22"/>
            <w:szCs w:val="22"/>
          </w:rPr>
          <w:t>Healthcare Identifiers Service</w:t>
        </w:r>
        <w:r w:rsidR="0002186F" w:rsidRPr="0002186F">
          <w:rPr>
            <w:rFonts w:asciiTheme="minorHAnsi" w:hAnsiTheme="minorHAnsi"/>
            <w:noProof/>
            <w:webHidden/>
            <w:sz w:val="22"/>
            <w:szCs w:val="22"/>
          </w:rPr>
          <w:tab/>
        </w:r>
        <w:r w:rsidR="0002186F" w:rsidRPr="0002186F">
          <w:rPr>
            <w:rFonts w:asciiTheme="minorHAnsi" w:hAnsiTheme="minorHAnsi"/>
            <w:noProof/>
            <w:webHidden/>
            <w:sz w:val="22"/>
            <w:szCs w:val="22"/>
          </w:rPr>
          <w:fldChar w:fldCharType="begin"/>
        </w:r>
        <w:r w:rsidR="0002186F" w:rsidRPr="0002186F">
          <w:rPr>
            <w:rFonts w:asciiTheme="minorHAnsi" w:hAnsiTheme="minorHAnsi"/>
            <w:noProof/>
            <w:webHidden/>
            <w:sz w:val="22"/>
            <w:szCs w:val="22"/>
          </w:rPr>
          <w:instrText xml:space="preserve"> PAGEREF _Toc420394230 \h </w:instrText>
        </w:r>
        <w:r w:rsidR="0002186F" w:rsidRPr="0002186F">
          <w:rPr>
            <w:rFonts w:asciiTheme="minorHAnsi" w:hAnsiTheme="minorHAnsi"/>
            <w:noProof/>
            <w:webHidden/>
            <w:sz w:val="22"/>
            <w:szCs w:val="22"/>
          </w:rPr>
        </w:r>
        <w:r w:rsidR="0002186F" w:rsidRPr="0002186F">
          <w:rPr>
            <w:rFonts w:asciiTheme="minorHAnsi" w:hAnsiTheme="minorHAnsi"/>
            <w:noProof/>
            <w:webHidden/>
            <w:sz w:val="22"/>
            <w:szCs w:val="22"/>
          </w:rPr>
          <w:fldChar w:fldCharType="separate"/>
        </w:r>
        <w:r w:rsidR="0002186F" w:rsidRPr="0002186F">
          <w:rPr>
            <w:rFonts w:asciiTheme="minorHAnsi" w:hAnsiTheme="minorHAnsi"/>
            <w:noProof/>
            <w:webHidden/>
            <w:sz w:val="22"/>
            <w:szCs w:val="22"/>
          </w:rPr>
          <w:t>4</w:t>
        </w:r>
        <w:r w:rsidR="0002186F" w:rsidRPr="0002186F">
          <w:rPr>
            <w:rFonts w:asciiTheme="minorHAnsi" w:hAnsiTheme="minorHAnsi"/>
            <w:noProof/>
            <w:webHidden/>
            <w:sz w:val="22"/>
            <w:szCs w:val="22"/>
          </w:rPr>
          <w:fldChar w:fldCharType="end"/>
        </w:r>
      </w:hyperlink>
    </w:p>
    <w:p w:rsidR="0002186F" w:rsidRPr="0002186F" w:rsidRDefault="009F79B1" w:rsidP="0002186F">
      <w:pPr>
        <w:pStyle w:val="TOC2"/>
        <w:rPr>
          <w:rFonts w:asciiTheme="minorHAnsi" w:eastAsiaTheme="minorEastAsia" w:hAnsiTheme="minorHAnsi" w:cstheme="minorBidi"/>
          <w:noProof/>
          <w:sz w:val="22"/>
          <w:szCs w:val="22"/>
        </w:rPr>
      </w:pPr>
      <w:hyperlink w:anchor="_Toc420394231" w:history="1">
        <w:r w:rsidR="0002186F" w:rsidRPr="0002186F">
          <w:rPr>
            <w:rStyle w:val="Hyperlink"/>
            <w:rFonts w:asciiTheme="minorHAnsi" w:hAnsiTheme="minorHAnsi"/>
            <w:noProof/>
            <w:sz w:val="22"/>
            <w:szCs w:val="22"/>
          </w:rPr>
          <w:t>2.4</w:t>
        </w:r>
        <w:r w:rsidR="0002186F" w:rsidRPr="0002186F">
          <w:rPr>
            <w:rFonts w:asciiTheme="minorHAnsi" w:eastAsiaTheme="minorEastAsia" w:hAnsiTheme="minorHAnsi" w:cstheme="minorBidi"/>
            <w:noProof/>
            <w:sz w:val="22"/>
            <w:szCs w:val="22"/>
          </w:rPr>
          <w:tab/>
        </w:r>
        <w:r w:rsidR="0002186F" w:rsidRPr="0002186F">
          <w:rPr>
            <w:rStyle w:val="Hyperlink"/>
            <w:rFonts w:asciiTheme="minorHAnsi" w:hAnsiTheme="minorHAnsi"/>
            <w:noProof/>
            <w:sz w:val="22"/>
            <w:szCs w:val="22"/>
          </w:rPr>
          <w:t>Review of the HI Service</w:t>
        </w:r>
        <w:r w:rsidR="0002186F" w:rsidRPr="0002186F">
          <w:rPr>
            <w:rFonts w:asciiTheme="minorHAnsi" w:hAnsiTheme="minorHAnsi"/>
            <w:noProof/>
            <w:webHidden/>
            <w:sz w:val="22"/>
            <w:szCs w:val="22"/>
          </w:rPr>
          <w:tab/>
        </w:r>
        <w:r w:rsidR="0002186F" w:rsidRPr="0002186F">
          <w:rPr>
            <w:rFonts w:asciiTheme="minorHAnsi" w:hAnsiTheme="minorHAnsi"/>
            <w:noProof/>
            <w:webHidden/>
            <w:sz w:val="22"/>
            <w:szCs w:val="22"/>
          </w:rPr>
          <w:fldChar w:fldCharType="begin"/>
        </w:r>
        <w:r w:rsidR="0002186F" w:rsidRPr="0002186F">
          <w:rPr>
            <w:rFonts w:asciiTheme="minorHAnsi" w:hAnsiTheme="minorHAnsi"/>
            <w:noProof/>
            <w:webHidden/>
            <w:sz w:val="22"/>
            <w:szCs w:val="22"/>
          </w:rPr>
          <w:instrText xml:space="preserve"> PAGEREF _Toc420394231 \h </w:instrText>
        </w:r>
        <w:r w:rsidR="0002186F" w:rsidRPr="0002186F">
          <w:rPr>
            <w:rFonts w:asciiTheme="minorHAnsi" w:hAnsiTheme="minorHAnsi"/>
            <w:noProof/>
            <w:webHidden/>
            <w:sz w:val="22"/>
            <w:szCs w:val="22"/>
          </w:rPr>
        </w:r>
        <w:r w:rsidR="0002186F" w:rsidRPr="0002186F">
          <w:rPr>
            <w:rFonts w:asciiTheme="minorHAnsi" w:hAnsiTheme="minorHAnsi"/>
            <w:noProof/>
            <w:webHidden/>
            <w:sz w:val="22"/>
            <w:szCs w:val="22"/>
          </w:rPr>
          <w:fldChar w:fldCharType="separate"/>
        </w:r>
        <w:r w:rsidR="0002186F" w:rsidRPr="0002186F">
          <w:rPr>
            <w:rFonts w:asciiTheme="minorHAnsi" w:hAnsiTheme="minorHAnsi"/>
            <w:noProof/>
            <w:webHidden/>
            <w:sz w:val="22"/>
            <w:szCs w:val="22"/>
          </w:rPr>
          <w:t>5</w:t>
        </w:r>
        <w:r w:rsidR="0002186F" w:rsidRPr="0002186F">
          <w:rPr>
            <w:rFonts w:asciiTheme="minorHAnsi" w:hAnsiTheme="minorHAnsi"/>
            <w:noProof/>
            <w:webHidden/>
            <w:sz w:val="22"/>
            <w:szCs w:val="22"/>
          </w:rPr>
          <w:fldChar w:fldCharType="end"/>
        </w:r>
      </w:hyperlink>
    </w:p>
    <w:p w:rsidR="0002186F" w:rsidRPr="0002186F" w:rsidRDefault="009F79B1" w:rsidP="0002186F">
      <w:pPr>
        <w:pStyle w:val="TOC2"/>
        <w:rPr>
          <w:rFonts w:asciiTheme="minorHAnsi" w:eastAsiaTheme="minorEastAsia" w:hAnsiTheme="minorHAnsi" w:cstheme="minorBidi"/>
          <w:noProof/>
          <w:sz w:val="22"/>
          <w:szCs w:val="22"/>
        </w:rPr>
      </w:pPr>
      <w:hyperlink w:anchor="_Toc420394232" w:history="1">
        <w:r w:rsidR="0002186F" w:rsidRPr="0002186F">
          <w:rPr>
            <w:rStyle w:val="Hyperlink"/>
            <w:rFonts w:asciiTheme="minorHAnsi" w:hAnsiTheme="minorHAnsi"/>
            <w:noProof/>
            <w:sz w:val="22"/>
            <w:szCs w:val="22"/>
          </w:rPr>
          <w:t>2.5</w:t>
        </w:r>
        <w:r w:rsidR="0002186F" w:rsidRPr="0002186F">
          <w:rPr>
            <w:rFonts w:asciiTheme="minorHAnsi" w:eastAsiaTheme="minorEastAsia" w:hAnsiTheme="minorHAnsi" w:cstheme="minorBidi"/>
            <w:noProof/>
            <w:sz w:val="22"/>
            <w:szCs w:val="22"/>
          </w:rPr>
          <w:tab/>
        </w:r>
        <w:r w:rsidR="0002186F" w:rsidRPr="0002186F">
          <w:rPr>
            <w:rStyle w:val="Hyperlink"/>
            <w:rFonts w:asciiTheme="minorHAnsi" w:hAnsiTheme="minorHAnsi"/>
            <w:noProof/>
            <w:sz w:val="22"/>
            <w:szCs w:val="22"/>
          </w:rPr>
          <w:t>Proposed changes</w:t>
        </w:r>
        <w:r w:rsidR="0002186F" w:rsidRPr="0002186F">
          <w:rPr>
            <w:rFonts w:asciiTheme="minorHAnsi" w:hAnsiTheme="minorHAnsi"/>
            <w:noProof/>
            <w:webHidden/>
            <w:sz w:val="22"/>
            <w:szCs w:val="22"/>
          </w:rPr>
          <w:tab/>
        </w:r>
        <w:r w:rsidR="0002186F" w:rsidRPr="0002186F">
          <w:rPr>
            <w:rFonts w:asciiTheme="minorHAnsi" w:hAnsiTheme="minorHAnsi"/>
            <w:noProof/>
            <w:webHidden/>
            <w:sz w:val="22"/>
            <w:szCs w:val="22"/>
          </w:rPr>
          <w:fldChar w:fldCharType="begin"/>
        </w:r>
        <w:r w:rsidR="0002186F" w:rsidRPr="0002186F">
          <w:rPr>
            <w:rFonts w:asciiTheme="minorHAnsi" w:hAnsiTheme="minorHAnsi"/>
            <w:noProof/>
            <w:webHidden/>
            <w:sz w:val="22"/>
            <w:szCs w:val="22"/>
          </w:rPr>
          <w:instrText xml:space="preserve"> PAGEREF _Toc420394232 \h </w:instrText>
        </w:r>
        <w:r w:rsidR="0002186F" w:rsidRPr="0002186F">
          <w:rPr>
            <w:rFonts w:asciiTheme="minorHAnsi" w:hAnsiTheme="minorHAnsi"/>
            <w:noProof/>
            <w:webHidden/>
            <w:sz w:val="22"/>
            <w:szCs w:val="22"/>
          </w:rPr>
        </w:r>
        <w:r w:rsidR="0002186F" w:rsidRPr="0002186F">
          <w:rPr>
            <w:rFonts w:asciiTheme="minorHAnsi" w:hAnsiTheme="minorHAnsi"/>
            <w:noProof/>
            <w:webHidden/>
            <w:sz w:val="22"/>
            <w:szCs w:val="22"/>
          </w:rPr>
          <w:fldChar w:fldCharType="separate"/>
        </w:r>
        <w:r w:rsidR="0002186F" w:rsidRPr="0002186F">
          <w:rPr>
            <w:rFonts w:asciiTheme="minorHAnsi" w:hAnsiTheme="minorHAnsi"/>
            <w:noProof/>
            <w:webHidden/>
            <w:sz w:val="22"/>
            <w:szCs w:val="22"/>
          </w:rPr>
          <w:t>5</w:t>
        </w:r>
        <w:r w:rsidR="0002186F" w:rsidRPr="0002186F">
          <w:rPr>
            <w:rFonts w:asciiTheme="minorHAnsi" w:hAnsiTheme="minorHAnsi"/>
            <w:noProof/>
            <w:webHidden/>
            <w:sz w:val="22"/>
            <w:szCs w:val="22"/>
          </w:rPr>
          <w:fldChar w:fldCharType="end"/>
        </w:r>
      </w:hyperlink>
    </w:p>
    <w:p w:rsidR="0002186F" w:rsidRPr="0002186F" w:rsidRDefault="009F79B1" w:rsidP="0002186F">
      <w:pPr>
        <w:pStyle w:val="TOC2"/>
        <w:rPr>
          <w:rFonts w:asciiTheme="minorHAnsi" w:eastAsiaTheme="minorEastAsia" w:hAnsiTheme="minorHAnsi" w:cstheme="minorBidi"/>
          <w:noProof/>
          <w:sz w:val="22"/>
          <w:szCs w:val="22"/>
        </w:rPr>
      </w:pPr>
      <w:hyperlink w:anchor="_Toc420394233" w:history="1">
        <w:r w:rsidR="0002186F" w:rsidRPr="0002186F">
          <w:rPr>
            <w:rStyle w:val="Hyperlink"/>
            <w:rFonts w:asciiTheme="minorHAnsi" w:hAnsiTheme="minorHAnsi"/>
            <w:noProof/>
            <w:sz w:val="22"/>
            <w:szCs w:val="22"/>
          </w:rPr>
          <w:t>2.6</w:t>
        </w:r>
        <w:r w:rsidR="0002186F" w:rsidRPr="0002186F">
          <w:rPr>
            <w:rFonts w:asciiTheme="minorHAnsi" w:eastAsiaTheme="minorEastAsia" w:hAnsiTheme="minorHAnsi" w:cstheme="minorBidi"/>
            <w:noProof/>
            <w:sz w:val="22"/>
            <w:szCs w:val="22"/>
          </w:rPr>
          <w:tab/>
        </w:r>
        <w:r w:rsidR="0002186F" w:rsidRPr="0002186F">
          <w:rPr>
            <w:rStyle w:val="Hyperlink"/>
            <w:rFonts w:asciiTheme="minorHAnsi" w:hAnsiTheme="minorHAnsi"/>
            <w:noProof/>
            <w:sz w:val="22"/>
            <w:szCs w:val="22"/>
          </w:rPr>
          <w:t>Timeframes</w:t>
        </w:r>
        <w:r w:rsidR="0002186F" w:rsidRPr="0002186F">
          <w:rPr>
            <w:rFonts w:asciiTheme="minorHAnsi" w:hAnsiTheme="minorHAnsi"/>
            <w:noProof/>
            <w:webHidden/>
            <w:sz w:val="22"/>
            <w:szCs w:val="22"/>
          </w:rPr>
          <w:tab/>
        </w:r>
        <w:r w:rsidR="0002186F" w:rsidRPr="0002186F">
          <w:rPr>
            <w:rFonts w:asciiTheme="minorHAnsi" w:hAnsiTheme="minorHAnsi"/>
            <w:noProof/>
            <w:webHidden/>
            <w:sz w:val="22"/>
            <w:szCs w:val="22"/>
          </w:rPr>
          <w:fldChar w:fldCharType="begin"/>
        </w:r>
        <w:r w:rsidR="0002186F" w:rsidRPr="0002186F">
          <w:rPr>
            <w:rFonts w:asciiTheme="minorHAnsi" w:hAnsiTheme="minorHAnsi"/>
            <w:noProof/>
            <w:webHidden/>
            <w:sz w:val="22"/>
            <w:szCs w:val="22"/>
          </w:rPr>
          <w:instrText xml:space="preserve"> PAGEREF _Toc420394233 \h </w:instrText>
        </w:r>
        <w:r w:rsidR="0002186F" w:rsidRPr="0002186F">
          <w:rPr>
            <w:rFonts w:asciiTheme="minorHAnsi" w:hAnsiTheme="minorHAnsi"/>
            <w:noProof/>
            <w:webHidden/>
            <w:sz w:val="22"/>
            <w:szCs w:val="22"/>
          </w:rPr>
        </w:r>
        <w:r w:rsidR="0002186F" w:rsidRPr="0002186F">
          <w:rPr>
            <w:rFonts w:asciiTheme="minorHAnsi" w:hAnsiTheme="minorHAnsi"/>
            <w:noProof/>
            <w:webHidden/>
            <w:sz w:val="22"/>
            <w:szCs w:val="22"/>
          </w:rPr>
          <w:fldChar w:fldCharType="separate"/>
        </w:r>
        <w:r w:rsidR="0002186F" w:rsidRPr="0002186F">
          <w:rPr>
            <w:rFonts w:asciiTheme="minorHAnsi" w:hAnsiTheme="minorHAnsi"/>
            <w:noProof/>
            <w:webHidden/>
            <w:sz w:val="22"/>
            <w:szCs w:val="22"/>
          </w:rPr>
          <w:t>6</w:t>
        </w:r>
        <w:r w:rsidR="0002186F" w:rsidRPr="0002186F">
          <w:rPr>
            <w:rFonts w:asciiTheme="minorHAnsi" w:hAnsiTheme="minorHAnsi"/>
            <w:noProof/>
            <w:webHidden/>
            <w:sz w:val="22"/>
            <w:szCs w:val="22"/>
          </w:rPr>
          <w:fldChar w:fldCharType="end"/>
        </w:r>
      </w:hyperlink>
    </w:p>
    <w:p w:rsidR="0002186F" w:rsidRPr="0002186F" w:rsidRDefault="009F79B1" w:rsidP="0002186F">
      <w:pPr>
        <w:pStyle w:val="TOC2"/>
        <w:rPr>
          <w:rFonts w:asciiTheme="minorHAnsi" w:eastAsiaTheme="minorEastAsia" w:hAnsiTheme="minorHAnsi" w:cstheme="minorBidi"/>
          <w:noProof/>
          <w:sz w:val="22"/>
          <w:szCs w:val="22"/>
        </w:rPr>
      </w:pPr>
      <w:hyperlink w:anchor="_Toc420394234" w:history="1">
        <w:r w:rsidR="0002186F" w:rsidRPr="0002186F">
          <w:rPr>
            <w:rStyle w:val="Hyperlink"/>
            <w:rFonts w:asciiTheme="minorHAnsi" w:hAnsiTheme="minorHAnsi"/>
            <w:noProof/>
            <w:sz w:val="22"/>
            <w:szCs w:val="22"/>
          </w:rPr>
          <w:t>2.7</w:t>
        </w:r>
        <w:r w:rsidR="0002186F" w:rsidRPr="0002186F">
          <w:rPr>
            <w:rFonts w:asciiTheme="minorHAnsi" w:eastAsiaTheme="minorEastAsia" w:hAnsiTheme="minorHAnsi" w:cstheme="minorBidi"/>
            <w:noProof/>
            <w:sz w:val="22"/>
            <w:szCs w:val="22"/>
          </w:rPr>
          <w:tab/>
        </w:r>
        <w:r w:rsidR="0002186F" w:rsidRPr="0002186F">
          <w:rPr>
            <w:rStyle w:val="Hyperlink"/>
            <w:rFonts w:asciiTheme="minorHAnsi" w:hAnsiTheme="minorHAnsi"/>
            <w:noProof/>
            <w:sz w:val="22"/>
            <w:szCs w:val="22"/>
          </w:rPr>
          <w:t>Consultation to date</w:t>
        </w:r>
        <w:r w:rsidR="0002186F" w:rsidRPr="0002186F">
          <w:rPr>
            <w:rFonts w:asciiTheme="minorHAnsi" w:hAnsiTheme="minorHAnsi"/>
            <w:noProof/>
            <w:webHidden/>
            <w:sz w:val="22"/>
            <w:szCs w:val="22"/>
          </w:rPr>
          <w:tab/>
        </w:r>
        <w:r w:rsidR="0002186F" w:rsidRPr="0002186F">
          <w:rPr>
            <w:rFonts w:asciiTheme="minorHAnsi" w:hAnsiTheme="minorHAnsi"/>
            <w:noProof/>
            <w:webHidden/>
            <w:sz w:val="22"/>
            <w:szCs w:val="22"/>
          </w:rPr>
          <w:fldChar w:fldCharType="begin"/>
        </w:r>
        <w:r w:rsidR="0002186F" w:rsidRPr="0002186F">
          <w:rPr>
            <w:rFonts w:asciiTheme="minorHAnsi" w:hAnsiTheme="minorHAnsi"/>
            <w:noProof/>
            <w:webHidden/>
            <w:sz w:val="22"/>
            <w:szCs w:val="22"/>
          </w:rPr>
          <w:instrText xml:space="preserve"> PAGEREF _Toc420394234 \h </w:instrText>
        </w:r>
        <w:r w:rsidR="0002186F" w:rsidRPr="0002186F">
          <w:rPr>
            <w:rFonts w:asciiTheme="minorHAnsi" w:hAnsiTheme="minorHAnsi"/>
            <w:noProof/>
            <w:webHidden/>
            <w:sz w:val="22"/>
            <w:szCs w:val="22"/>
          </w:rPr>
        </w:r>
        <w:r w:rsidR="0002186F" w:rsidRPr="0002186F">
          <w:rPr>
            <w:rFonts w:asciiTheme="minorHAnsi" w:hAnsiTheme="minorHAnsi"/>
            <w:noProof/>
            <w:webHidden/>
            <w:sz w:val="22"/>
            <w:szCs w:val="22"/>
          </w:rPr>
          <w:fldChar w:fldCharType="separate"/>
        </w:r>
        <w:r w:rsidR="0002186F" w:rsidRPr="0002186F">
          <w:rPr>
            <w:rFonts w:asciiTheme="minorHAnsi" w:hAnsiTheme="minorHAnsi"/>
            <w:noProof/>
            <w:webHidden/>
            <w:sz w:val="22"/>
            <w:szCs w:val="22"/>
          </w:rPr>
          <w:t>6</w:t>
        </w:r>
        <w:r w:rsidR="0002186F" w:rsidRPr="0002186F">
          <w:rPr>
            <w:rFonts w:asciiTheme="minorHAnsi" w:hAnsiTheme="minorHAnsi"/>
            <w:noProof/>
            <w:webHidden/>
            <w:sz w:val="22"/>
            <w:szCs w:val="22"/>
          </w:rPr>
          <w:fldChar w:fldCharType="end"/>
        </w:r>
      </w:hyperlink>
    </w:p>
    <w:p w:rsidR="0002186F" w:rsidRPr="0002186F" w:rsidRDefault="009F79B1" w:rsidP="0002186F">
      <w:pPr>
        <w:pStyle w:val="TOC1"/>
        <w:tabs>
          <w:tab w:val="left" w:pos="480"/>
          <w:tab w:val="right" w:pos="9628"/>
        </w:tabs>
        <w:spacing w:after="80"/>
        <w:rPr>
          <w:noProof/>
        </w:rPr>
      </w:pPr>
      <w:hyperlink w:anchor="_Toc420394235" w:history="1">
        <w:r w:rsidR="0002186F" w:rsidRPr="0002186F">
          <w:rPr>
            <w:rStyle w:val="Hyperlink"/>
            <w:noProof/>
          </w:rPr>
          <w:t>3.</w:t>
        </w:r>
        <w:r w:rsidR="0002186F" w:rsidRPr="0002186F">
          <w:rPr>
            <w:noProof/>
          </w:rPr>
          <w:tab/>
        </w:r>
        <w:r w:rsidR="0002186F" w:rsidRPr="0002186F">
          <w:rPr>
            <w:rStyle w:val="Hyperlink"/>
            <w:noProof/>
          </w:rPr>
          <w:t>Legislative proposals: PCEHR system and HI Service</w:t>
        </w:r>
        <w:r w:rsidR="0002186F" w:rsidRPr="0002186F">
          <w:rPr>
            <w:noProof/>
            <w:webHidden/>
          </w:rPr>
          <w:tab/>
        </w:r>
        <w:r w:rsidR="0002186F" w:rsidRPr="0002186F">
          <w:rPr>
            <w:noProof/>
            <w:webHidden/>
          </w:rPr>
          <w:fldChar w:fldCharType="begin"/>
        </w:r>
        <w:r w:rsidR="0002186F" w:rsidRPr="0002186F">
          <w:rPr>
            <w:noProof/>
            <w:webHidden/>
          </w:rPr>
          <w:instrText xml:space="preserve"> PAGEREF _Toc420394235 \h </w:instrText>
        </w:r>
        <w:r w:rsidR="0002186F" w:rsidRPr="0002186F">
          <w:rPr>
            <w:noProof/>
            <w:webHidden/>
          </w:rPr>
        </w:r>
        <w:r w:rsidR="0002186F" w:rsidRPr="0002186F">
          <w:rPr>
            <w:noProof/>
            <w:webHidden/>
          </w:rPr>
          <w:fldChar w:fldCharType="separate"/>
        </w:r>
        <w:r w:rsidR="0002186F" w:rsidRPr="0002186F">
          <w:rPr>
            <w:noProof/>
            <w:webHidden/>
          </w:rPr>
          <w:t>8</w:t>
        </w:r>
        <w:r w:rsidR="0002186F" w:rsidRPr="0002186F">
          <w:rPr>
            <w:noProof/>
            <w:webHidden/>
          </w:rPr>
          <w:fldChar w:fldCharType="end"/>
        </w:r>
      </w:hyperlink>
    </w:p>
    <w:p w:rsidR="0002186F" w:rsidRPr="0002186F" w:rsidRDefault="009F79B1" w:rsidP="0002186F">
      <w:pPr>
        <w:pStyle w:val="TOC2"/>
        <w:rPr>
          <w:rFonts w:asciiTheme="minorHAnsi" w:eastAsiaTheme="minorEastAsia" w:hAnsiTheme="minorHAnsi" w:cstheme="minorBidi"/>
          <w:noProof/>
          <w:sz w:val="22"/>
          <w:szCs w:val="22"/>
        </w:rPr>
      </w:pPr>
      <w:hyperlink w:anchor="_Toc420394236" w:history="1">
        <w:r w:rsidR="0002186F" w:rsidRPr="0002186F">
          <w:rPr>
            <w:rStyle w:val="Hyperlink"/>
            <w:rFonts w:asciiTheme="minorHAnsi" w:hAnsiTheme="minorHAnsi"/>
            <w:noProof/>
            <w:sz w:val="22"/>
            <w:szCs w:val="22"/>
          </w:rPr>
          <w:t>3.1</w:t>
        </w:r>
        <w:r w:rsidR="0002186F" w:rsidRPr="0002186F">
          <w:rPr>
            <w:rFonts w:asciiTheme="minorHAnsi" w:eastAsiaTheme="minorEastAsia" w:hAnsiTheme="minorHAnsi" w:cstheme="minorBidi"/>
            <w:noProof/>
            <w:sz w:val="22"/>
            <w:szCs w:val="22"/>
          </w:rPr>
          <w:tab/>
        </w:r>
        <w:r w:rsidR="0002186F" w:rsidRPr="0002186F">
          <w:rPr>
            <w:rStyle w:val="Hyperlink"/>
            <w:rFonts w:asciiTheme="minorHAnsi" w:hAnsiTheme="minorHAnsi"/>
            <w:noProof/>
            <w:sz w:val="22"/>
            <w:szCs w:val="22"/>
          </w:rPr>
          <w:t>Preliminary</w:t>
        </w:r>
        <w:r w:rsidR="0002186F" w:rsidRPr="0002186F">
          <w:rPr>
            <w:rFonts w:asciiTheme="minorHAnsi" w:hAnsiTheme="minorHAnsi"/>
            <w:noProof/>
            <w:webHidden/>
            <w:sz w:val="22"/>
            <w:szCs w:val="22"/>
          </w:rPr>
          <w:tab/>
        </w:r>
        <w:r w:rsidR="0002186F" w:rsidRPr="0002186F">
          <w:rPr>
            <w:rFonts w:asciiTheme="minorHAnsi" w:hAnsiTheme="minorHAnsi"/>
            <w:noProof/>
            <w:webHidden/>
            <w:sz w:val="22"/>
            <w:szCs w:val="22"/>
          </w:rPr>
          <w:fldChar w:fldCharType="begin"/>
        </w:r>
        <w:r w:rsidR="0002186F" w:rsidRPr="0002186F">
          <w:rPr>
            <w:rFonts w:asciiTheme="minorHAnsi" w:hAnsiTheme="minorHAnsi"/>
            <w:noProof/>
            <w:webHidden/>
            <w:sz w:val="22"/>
            <w:szCs w:val="22"/>
          </w:rPr>
          <w:instrText xml:space="preserve"> PAGEREF _Toc420394236 \h </w:instrText>
        </w:r>
        <w:r w:rsidR="0002186F" w:rsidRPr="0002186F">
          <w:rPr>
            <w:rFonts w:asciiTheme="minorHAnsi" w:hAnsiTheme="minorHAnsi"/>
            <w:noProof/>
            <w:webHidden/>
            <w:sz w:val="22"/>
            <w:szCs w:val="22"/>
          </w:rPr>
        </w:r>
        <w:r w:rsidR="0002186F" w:rsidRPr="0002186F">
          <w:rPr>
            <w:rFonts w:asciiTheme="minorHAnsi" w:hAnsiTheme="minorHAnsi"/>
            <w:noProof/>
            <w:webHidden/>
            <w:sz w:val="22"/>
            <w:szCs w:val="22"/>
          </w:rPr>
          <w:fldChar w:fldCharType="separate"/>
        </w:r>
        <w:r w:rsidR="0002186F" w:rsidRPr="0002186F">
          <w:rPr>
            <w:rFonts w:asciiTheme="minorHAnsi" w:hAnsiTheme="minorHAnsi"/>
            <w:noProof/>
            <w:webHidden/>
            <w:sz w:val="22"/>
            <w:szCs w:val="22"/>
          </w:rPr>
          <w:t>8</w:t>
        </w:r>
        <w:r w:rsidR="0002186F" w:rsidRPr="0002186F">
          <w:rPr>
            <w:rFonts w:asciiTheme="minorHAnsi" w:hAnsiTheme="minorHAnsi"/>
            <w:noProof/>
            <w:webHidden/>
            <w:sz w:val="22"/>
            <w:szCs w:val="22"/>
          </w:rPr>
          <w:fldChar w:fldCharType="end"/>
        </w:r>
      </w:hyperlink>
    </w:p>
    <w:p w:rsidR="0002186F" w:rsidRPr="0002186F" w:rsidRDefault="009F79B1" w:rsidP="0002186F">
      <w:pPr>
        <w:pStyle w:val="TOC3"/>
        <w:tabs>
          <w:tab w:val="left" w:pos="1320"/>
          <w:tab w:val="right" w:pos="9628"/>
        </w:tabs>
        <w:spacing w:after="80"/>
        <w:rPr>
          <w:rFonts w:asciiTheme="minorHAnsi" w:eastAsiaTheme="minorEastAsia" w:hAnsiTheme="minorHAnsi" w:cstheme="minorBidi"/>
          <w:noProof/>
          <w:sz w:val="22"/>
          <w:szCs w:val="22"/>
        </w:rPr>
      </w:pPr>
      <w:hyperlink w:anchor="_Toc420394237" w:history="1">
        <w:r w:rsidR="0002186F" w:rsidRPr="0002186F">
          <w:rPr>
            <w:rStyle w:val="Hyperlink"/>
            <w:rFonts w:asciiTheme="minorHAnsi" w:hAnsiTheme="minorHAnsi"/>
            <w:noProof/>
            <w:sz w:val="22"/>
            <w:szCs w:val="22"/>
          </w:rPr>
          <w:t>3.1.1</w:t>
        </w:r>
        <w:r w:rsidR="0002186F" w:rsidRPr="0002186F">
          <w:rPr>
            <w:rFonts w:asciiTheme="minorHAnsi" w:eastAsiaTheme="minorEastAsia" w:hAnsiTheme="minorHAnsi" w:cstheme="minorBidi"/>
            <w:noProof/>
            <w:sz w:val="22"/>
            <w:szCs w:val="22"/>
          </w:rPr>
          <w:tab/>
        </w:r>
        <w:r w:rsidR="0002186F" w:rsidRPr="0002186F">
          <w:rPr>
            <w:rStyle w:val="Hyperlink"/>
            <w:rFonts w:asciiTheme="minorHAnsi" w:hAnsiTheme="minorHAnsi"/>
            <w:noProof/>
            <w:sz w:val="22"/>
            <w:szCs w:val="22"/>
          </w:rPr>
          <w:t>Name of the PCEHR system</w:t>
        </w:r>
        <w:r w:rsidR="0002186F" w:rsidRPr="0002186F">
          <w:rPr>
            <w:rFonts w:asciiTheme="minorHAnsi" w:hAnsiTheme="minorHAnsi"/>
            <w:noProof/>
            <w:webHidden/>
            <w:sz w:val="22"/>
            <w:szCs w:val="22"/>
          </w:rPr>
          <w:tab/>
        </w:r>
        <w:r w:rsidR="0002186F" w:rsidRPr="0002186F">
          <w:rPr>
            <w:rFonts w:asciiTheme="minorHAnsi" w:hAnsiTheme="minorHAnsi"/>
            <w:noProof/>
            <w:webHidden/>
            <w:sz w:val="22"/>
            <w:szCs w:val="22"/>
          </w:rPr>
          <w:fldChar w:fldCharType="begin"/>
        </w:r>
        <w:r w:rsidR="0002186F" w:rsidRPr="0002186F">
          <w:rPr>
            <w:rFonts w:asciiTheme="minorHAnsi" w:hAnsiTheme="minorHAnsi"/>
            <w:noProof/>
            <w:webHidden/>
            <w:sz w:val="22"/>
            <w:szCs w:val="22"/>
          </w:rPr>
          <w:instrText xml:space="preserve"> PAGEREF _Toc420394237 \h </w:instrText>
        </w:r>
        <w:r w:rsidR="0002186F" w:rsidRPr="0002186F">
          <w:rPr>
            <w:rFonts w:asciiTheme="minorHAnsi" w:hAnsiTheme="minorHAnsi"/>
            <w:noProof/>
            <w:webHidden/>
            <w:sz w:val="22"/>
            <w:szCs w:val="22"/>
          </w:rPr>
        </w:r>
        <w:r w:rsidR="0002186F" w:rsidRPr="0002186F">
          <w:rPr>
            <w:rFonts w:asciiTheme="minorHAnsi" w:hAnsiTheme="minorHAnsi"/>
            <w:noProof/>
            <w:webHidden/>
            <w:sz w:val="22"/>
            <w:szCs w:val="22"/>
          </w:rPr>
          <w:fldChar w:fldCharType="separate"/>
        </w:r>
        <w:r w:rsidR="0002186F" w:rsidRPr="0002186F">
          <w:rPr>
            <w:rFonts w:asciiTheme="minorHAnsi" w:hAnsiTheme="minorHAnsi"/>
            <w:noProof/>
            <w:webHidden/>
            <w:sz w:val="22"/>
            <w:szCs w:val="22"/>
          </w:rPr>
          <w:t>8</w:t>
        </w:r>
        <w:r w:rsidR="0002186F" w:rsidRPr="0002186F">
          <w:rPr>
            <w:rFonts w:asciiTheme="minorHAnsi" w:hAnsiTheme="minorHAnsi"/>
            <w:noProof/>
            <w:webHidden/>
            <w:sz w:val="22"/>
            <w:szCs w:val="22"/>
          </w:rPr>
          <w:fldChar w:fldCharType="end"/>
        </w:r>
      </w:hyperlink>
    </w:p>
    <w:p w:rsidR="0002186F" w:rsidRPr="0002186F" w:rsidRDefault="009F79B1" w:rsidP="0002186F">
      <w:pPr>
        <w:pStyle w:val="TOC3"/>
        <w:tabs>
          <w:tab w:val="left" w:pos="1320"/>
          <w:tab w:val="right" w:pos="9628"/>
        </w:tabs>
        <w:spacing w:after="80"/>
        <w:rPr>
          <w:rFonts w:asciiTheme="minorHAnsi" w:eastAsiaTheme="minorEastAsia" w:hAnsiTheme="minorHAnsi" w:cstheme="minorBidi"/>
          <w:noProof/>
          <w:sz w:val="22"/>
          <w:szCs w:val="22"/>
        </w:rPr>
      </w:pPr>
      <w:hyperlink w:anchor="_Toc420394238" w:history="1">
        <w:r w:rsidR="0002186F" w:rsidRPr="0002186F">
          <w:rPr>
            <w:rStyle w:val="Hyperlink"/>
            <w:rFonts w:asciiTheme="minorHAnsi" w:hAnsiTheme="minorHAnsi"/>
            <w:noProof/>
            <w:sz w:val="22"/>
            <w:szCs w:val="22"/>
          </w:rPr>
          <w:t>3.1.2</w:t>
        </w:r>
        <w:r w:rsidR="0002186F" w:rsidRPr="0002186F">
          <w:rPr>
            <w:rFonts w:asciiTheme="minorHAnsi" w:eastAsiaTheme="minorEastAsia" w:hAnsiTheme="minorHAnsi" w:cstheme="minorBidi"/>
            <w:noProof/>
            <w:sz w:val="22"/>
            <w:szCs w:val="22"/>
          </w:rPr>
          <w:tab/>
        </w:r>
        <w:r w:rsidR="0002186F" w:rsidRPr="0002186F">
          <w:rPr>
            <w:rStyle w:val="Hyperlink"/>
            <w:rFonts w:asciiTheme="minorHAnsi" w:hAnsiTheme="minorHAnsi"/>
            <w:noProof/>
            <w:sz w:val="22"/>
            <w:szCs w:val="22"/>
          </w:rPr>
          <w:t>Definitions</w:t>
        </w:r>
        <w:r w:rsidR="0002186F" w:rsidRPr="0002186F">
          <w:rPr>
            <w:rFonts w:asciiTheme="minorHAnsi" w:hAnsiTheme="minorHAnsi"/>
            <w:noProof/>
            <w:webHidden/>
            <w:sz w:val="22"/>
            <w:szCs w:val="22"/>
          </w:rPr>
          <w:tab/>
        </w:r>
        <w:r w:rsidR="0002186F" w:rsidRPr="0002186F">
          <w:rPr>
            <w:rFonts w:asciiTheme="minorHAnsi" w:hAnsiTheme="minorHAnsi"/>
            <w:noProof/>
            <w:webHidden/>
            <w:sz w:val="22"/>
            <w:szCs w:val="22"/>
          </w:rPr>
          <w:fldChar w:fldCharType="begin"/>
        </w:r>
        <w:r w:rsidR="0002186F" w:rsidRPr="0002186F">
          <w:rPr>
            <w:rFonts w:asciiTheme="minorHAnsi" w:hAnsiTheme="minorHAnsi"/>
            <w:noProof/>
            <w:webHidden/>
            <w:sz w:val="22"/>
            <w:szCs w:val="22"/>
          </w:rPr>
          <w:instrText xml:space="preserve"> PAGEREF _Toc420394238 \h </w:instrText>
        </w:r>
        <w:r w:rsidR="0002186F" w:rsidRPr="0002186F">
          <w:rPr>
            <w:rFonts w:asciiTheme="minorHAnsi" w:hAnsiTheme="minorHAnsi"/>
            <w:noProof/>
            <w:webHidden/>
            <w:sz w:val="22"/>
            <w:szCs w:val="22"/>
          </w:rPr>
        </w:r>
        <w:r w:rsidR="0002186F" w:rsidRPr="0002186F">
          <w:rPr>
            <w:rFonts w:asciiTheme="minorHAnsi" w:hAnsiTheme="minorHAnsi"/>
            <w:noProof/>
            <w:webHidden/>
            <w:sz w:val="22"/>
            <w:szCs w:val="22"/>
          </w:rPr>
          <w:fldChar w:fldCharType="separate"/>
        </w:r>
        <w:r w:rsidR="0002186F" w:rsidRPr="0002186F">
          <w:rPr>
            <w:rFonts w:asciiTheme="minorHAnsi" w:hAnsiTheme="minorHAnsi"/>
            <w:noProof/>
            <w:webHidden/>
            <w:sz w:val="22"/>
            <w:szCs w:val="22"/>
          </w:rPr>
          <w:t>8</w:t>
        </w:r>
        <w:r w:rsidR="0002186F" w:rsidRPr="0002186F">
          <w:rPr>
            <w:rFonts w:asciiTheme="minorHAnsi" w:hAnsiTheme="minorHAnsi"/>
            <w:noProof/>
            <w:webHidden/>
            <w:sz w:val="22"/>
            <w:szCs w:val="22"/>
          </w:rPr>
          <w:fldChar w:fldCharType="end"/>
        </w:r>
      </w:hyperlink>
    </w:p>
    <w:p w:rsidR="0002186F" w:rsidRPr="0002186F" w:rsidRDefault="009F79B1" w:rsidP="0002186F">
      <w:pPr>
        <w:pStyle w:val="TOC4"/>
        <w:tabs>
          <w:tab w:val="right" w:pos="9628"/>
        </w:tabs>
        <w:spacing w:after="80"/>
        <w:rPr>
          <w:noProof/>
        </w:rPr>
      </w:pPr>
      <w:hyperlink w:anchor="_Toc420394239" w:history="1">
        <w:r w:rsidR="0002186F" w:rsidRPr="0002186F">
          <w:rPr>
            <w:rStyle w:val="Hyperlink"/>
            <w:noProof/>
          </w:rPr>
          <w:t>Alignment between HI and PCEHR Acts</w:t>
        </w:r>
        <w:r w:rsidR="0002186F" w:rsidRPr="0002186F">
          <w:rPr>
            <w:noProof/>
            <w:webHidden/>
          </w:rPr>
          <w:tab/>
        </w:r>
        <w:r w:rsidR="0002186F" w:rsidRPr="0002186F">
          <w:rPr>
            <w:noProof/>
            <w:webHidden/>
          </w:rPr>
          <w:fldChar w:fldCharType="begin"/>
        </w:r>
        <w:r w:rsidR="0002186F" w:rsidRPr="0002186F">
          <w:rPr>
            <w:noProof/>
            <w:webHidden/>
          </w:rPr>
          <w:instrText xml:space="preserve"> PAGEREF _Toc420394239 \h </w:instrText>
        </w:r>
        <w:r w:rsidR="0002186F" w:rsidRPr="0002186F">
          <w:rPr>
            <w:noProof/>
            <w:webHidden/>
          </w:rPr>
        </w:r>
        <w:r w:rsidR="0002186F" w:rsidRPr="0002186F">
          <w:rPr>
            <w:noProof/>
            <w:webHidden/>
          </w:rPr>
          <w:fldChar w:fldCharType="separate"/>
        </w:r>
        <w:r w:rsidR="0002186F" w:rsidRPr="0002186F">
          <w:rPr>
            <w:noProof/>
            <w:webHidden/>
          </w:rPr>
          <w:t>8</w:t>
        </w:r>
        <w:r w:rsidR="0002186F" w:rsidRPr="0002186F">
          <w:rPr>
            <w:noProof/>
            <w:webHidden/>
          </w:rPr>
          <w:fldChar w:fldCharType="end"/>
        </w:r>
      </w:hyperlink>
    </w:p>
    <w:p w:rsidR="0002186F" w:rsidRPr="0002186F" w:rsidRDefault="009F79B1" w:rsidP="0002186F">
      <w:pPr>
        <w:pStyle w:val="TOC4"/>
        <w:tabs>
          <w:tab w:val="right" w:pos="9628"/>
        </w:tabs>
        <w:spacing w:after="80"/>
        <w:rPr>
          <w:noProof/>
        </w:rPr>
      </w:pPr>
      <w:hyperlink w:anchor="_Toc420394240" w:history="1">
        <w:r w:rsidR="0002186F" w:rsidRPr="0002186F">
          <w:rPr>
            <w:rStyle w:val="Hyperlink"/>
            <w:noProof/>
          </w:rPr>
          <w:t>Clarification of “healthcare”</w:t>
        </w:r>
        <w:r w:rsidR="0002186F" w:rsidRPr="0002186F">
          <w:rPr>
            <w:noProof/>
            <w:webHidden/>
          </w:rPr>
          <w:tab/>
        </w:r>
        <w:r w:rsidR="0002186F" w:rsidRPr="0002186F">
          <w:rPr>
            <w:noProof/>
            <w:webHidden/>
          </w:rPr>
          <w:fldChar w:fldCharType="begin"/>
        </w:r>
        <w:r w:rsidR="0002186F" w:rsidRPr="0002186F">
          <w:rPr>
            <w:noProof/>
            <w:webHidden/>
          </w:rPr>
          <w:instrText xml:space="preserve"> PAGEREF _Toc420394240 \h </w:instrText>
        </w:r>
        <w:r w:rsidR="0002186F" w:rsidRPr="0002186F">
          <w:rPr>
            <w:noProof/>
            <w:webHidden/>
          </w:rPr>
        </w:r>
        <w:r w:rsidR="0002186F" w:rsidRPr="0002186F">
          <w:rPr>
            <w:noProof/>
            <w:webHidden/>
          </w:rPr>
          <w:fldChar w:fldCharType="separate"/>
        </w:r>
        <w:r w:rsidR="0002186F" w:rsidRPr="0002186F">
          <w:rPr>
            <w:noProof/>
            <w:webHidden/>
          </w:rPr>
          <w:t>8</w:t>
        </w:r>
        <w:r w:rsidR="0002186F" w:rsidRPr="0002186F">
          <w:rPr>
            <w:noProof/>
            <w:webHidden/>
          </w:rPr>
          <w:fldChar w:fldCharType="end"/>
        </w:r>
      </w:hyperlink>
    </w:p>
    <w:p w:rsidR="0002186F" w:rsidRPr="0002186F" w:rsidRDefault="009F79B1" w:rsidP="0002186F">
      <w:pPr>
        <w:pStyle w:val="TOC4"/>
        <w:tabs>
          <w:tab w:val="right" w:pos="9628"/>
        </w:tabs>
        <w:spacing w:after="80"/>
        <w:rPr>
          <w:noProof/>
        </w:rPr>
      </w:pPr>
      <w:hyperlink w:anchor="_Toc420394241" w:history="1">
        <w:r w:rsidR="0002186F" w:rsidRPr="0002186F">
          <w:rPr>
            <w:rStyle w:val="Hyperlink"/>
            <w:noProof/>
          </w:rPr>
          <w:t>Distinguishing between healthcare providers and organisations</w:t>
        </w:r>
        <w:r w:rsidR="0002186F" w:rsidRPr="0002186F">
          <w:rPr>
            <w:noProof/>
            <w:webHidden/>
          </w:rPr>
          <w:tab/>
        </w:r>
        <w:r w:rsidR="0002186F" w:rsidRPr="0002186F">
          <w:rPr>
            <w:noProof/>
            <w:webHidden/>
          </w:rPr>
          <w:fldChar w:fldCharType="begin"/>
        </w:r>
        <w:r w:rsidR="0002186F" w:rsidRPr="0002186F">
          <w:rPr>
            <w:noProof/>
            <w:webHidden/>
          </w:rPr>
          <w:instrText xml:space="preserve"> PAGEREF _Toc420394241 \h </w:instrText>
        </w:r>
        <w:r w:rsidR="0002186F" w:rsidRPr="0002186F">
          <w:rPr>
            <w:noProof/>
            <w:webHidden/>
          </w:rPr>
        </w:r>
        <w:r w:rsidR="0002186F" w:rsidRPr="0002186F">
          <w:rPr>
            <w:noProof/>
            <w:webHidden/>
          </w:rPr>
          <w:fldChar w:fldCharType="separate"/>
        </w:r>
        <w:r w:rsidR="0002186F" w:rsidRPr="0002186F">
          <w:rPr>
            <w:noProof/>
            <w:webHidden/>
          </w:rPr>
          <w:t>9</w:t>
        </w:r>
        <w:r w:rsidR="0002186F" w:rsidRPr="0002186F">
          <w:rPr>
            <w:noProof/>
            <w:webHidden/>
          </w:rPr>
          <w:fldChar w:fldCharType="end"/>
        </w:r>
      </w:hyperlink>
    </w:p>
    <w:p w:rsidR="0002186F" w:rsidRPr="0002186F" w:rsidRDefault="009F79B1" w:rsidP="0002186F">
      <w:pPr>
        <w:pStyle w:val="TOC4"/>
        <w:tabs>
          <w:tab w:val="right" w:pos="9628"/>
        </w:tabs>
        <w:spacing w:after="80"/>
        <w:rPr>
          <w:noProof/>
        </w:rPr>
      </w:pPr>
      <w:hyperlink w:anchor="_Toc420394242" w:history="1">
        <w:r w:rsidR="0002186F" w:rsidRPr="0002186F">
          <w:rPr>
            <w:rStyle w:val="Hyperlink"/>
            <w:noProof/>
          </w:rPr>
          <w:t>Expanding “identifying information”</w:t>
        </w:r>
        <w:r w:rsidR="0002186F" w:rsidRPr="0002186F">
          <w:rPr>
            <w:noProof/>
            <w:webHidden/>
          </w:rPr>
          <w:tab/>
        </w:r>
        <w:r w:rsidR="0002186F" w:rsidRPr="0002186F">
          <w:rPr>
            <w:noProof/>
            <w:webHidden/>
          </w:rPr>
          <w:fldChar w:fldCharType="begin"/>
        </w:r>
        <w:r w:rsidR="0002186F" w:rsidRPr="0002186F">
          <w:rPr>
            <w:noProof/>
            <w:webHidden/>
          </w:rPr>
          <w:instrText xml:space="preserve"> PAGEREF _Toc420394242 \h </w:instrText>
        </w:r>
        <w:r w:rsidR="0002186F" w:rsidRPr="0002186F">
          <w:rPr>
            <w:noProof/>
            <w:webHidden/>
          </w:rPr>
        </w:r>
        <w:r w:rsidR="0002186F" w:rsidRPr="0002186F">
          <w:rPr>
            <w:noProof/>
            <w:webHidden/>
          </w:rPr>
          <w:fldChar w:fldCharType="separate"/>
        </w:r>
        <w:r w:rsidR="0002186F" w:rsidRPr="0002186F">
          <w:rPr>
            <w:noProof/>
            <w:webHidden/>
          </w:rPr>
          <w:t>9</w:t>
        </w:r>
        <w:r w:rsidR="0002186F" w:rsidRPr="0002186F">
          <w:rPr>
            <w:noProof/>
            <w:webHidden/>
          </w:rPr>
          <w:fldChar w:fldCharType="end"/>
        </w:r>
      </w:hyperlink>
    </w:p>
    <w:p w:rsidR="0002186F" w:rsidRPr="0002186F" w:rsidRDefault="009F79B1" w:rsidP="0002186F">
      <w:pPr>
        <w:pStyle w:val="TOC3"/>
        <w:tabs>
          <w:tab w:val="left" w:pos="1320"/>
          <w:tab w:val="right" w:pos="9628"/>
        </w:tabs>
        <w:spacing w:after="80"/>
        <w:rPr>
          <w:rFonts w:asciiTheme="minorHAnsi" w:eastAsiaTheme="minorEastAsia" w:hAnsiTheme="minorHAnsi" w:cstheme="minorBidi"/>
          <w:noProof/>
          <w:sz w:val="22"/>
          <w:szCs w:val="22"/>
        </w:rPr>
      </w:pPr>
      <w:hyperlink w:anchor="_Toc420394243" w:history="1">
        <w:r w:rsidR="0002186F" w:rsidRPr="0002186F">
          <w:rPr>
            <w:rStyle w:val="Hyperlink"/>
            <w:rFonts w:asciiTheme="minorHAnsi" w:hAnsiTheme="minorHAnsi"/>
            <w:noProof/>
            <w:sz w:val="22"/>
            <w:szCs w:val="22"/>
          </w:rPr>
          <w:t>3.1.3</w:t>
        </w:r>
        <w:r w:rsidR="0002186F" w:rsidRPr="0002186F">
          <w:rPr>
            <w:rFonts w:asciiTheme="minorHAnsi" w:eastAsiaTheme="minorEastAsia" w:hAnsiTheme="minorHAnsi" w:cstheme="minorBidi"/>
            <w:noProof/>
            <w:sz w:val="22"/>
            <w:szCs w:val="22"/>
          </w:rPr>
          <w:tab/>
        </w:r>
        <w:r w:rsidR="0002186F" w:rsidRPr="0002186F">
          <w:rPr>
            <w:rStyle w:val="Hyperlink"/>
            <w:rFonts w:asciiTheme="minorHAnsi" w:hAnsiTheme="minorHAnsi"/>
            <w:noProof/>
            <w:sz w:val="22"/>
            <w:szCs w:val="22"/>
          </w:rPr>
          <w:t>Timing of amendments</w:t>
        </w:r>
        <w:r w:rsidR="0002186F" w:rsidRPr="0002186F">
          <w:rPr>
            <w:rFonts w:asciiTheme="minorHAnsi" w:hAnsiTheme="minorHAnsi"/>
            <w:noProof/>
            <w:webHidden/>
            <w:sz w:val="22"/>
            <w:szCs w:val="22"/>
          </w:rPr>
          <w:tab/>
        </w:r>
        <w:r w:rsidR="0002186F" w:rsidRPr="0002186F">
          <w:rPr>
            <w:rFonts w:asciiTheme="minorHAnsi" w:hAnsiTheme="minorHAnsi"/>
            <w:noProof/>
            <w:webHidden/>
            <w:sz w:val="22"/>
            <w:szCs w:val="22"/>
          </w:rPr>
          <w:fldChar w:fldCharType="begin"/>
        </w:r>
        <w:r w:rsidR="0002186F" w:rsidRPr="0002186F">
          <w:rPr>
            <w:rFonts w:asciiTheme="minorHAnsi" w:hAnsiTheme="minorHAnsi"/>
            <w:noProof/>
            <w:webHidden/>
            <w:sz w:val="22"/>
            <w:szCs w:val="22"/>
          </w:rPr>
          <w:instrText xml:space="preserve"> PAGEREF _Toc420394243 \h </w:instrText>
        </w:r>
        <w:r w:rsidR="0002186F" w:rsidRPr="0002186F">
          <w:rPr>
            <w:rFonts w:asciiTheme="minorHAnsi" w:hAnsiTheme="minorHAnsi"/>
            <w:noProof/>
            <w:webHidden/>
            <w:sz w:val="22"/>
            <w:szCs w:val="22"/>
          </w:rPr>
        </w:r>
        <w:r w:rsidR="0002186F" w:rsidRPr="0002186F">
          <w:rPr>
            <w:rFonts w:asciiTheme="minorHAnsi" w:hAnsiTheme="minorHAnsi"/>
            <w:noProof/>
            <w:webHidden/>
            <w:sz w:val="22"/>
            <w:szCs w:val="22"/>
          </w:rPr>
          <w:fldChar w:fldCharType="separate"/>
        </w:r>
        <w:r w:rsidR="0002186F" w:rsidRPr="0002186F">
          <w:rPr>
            <w:rFonts w:asciiTheme="minorHAnsi" w:hAnsiTheme="minorHAnsi"/>
            <w:noProof/>
            <w:webHidden/>
            <w:sz w:val="22"/>
            <w:szCs w:val="22"/>
          </w:rPr>
          <w:t>10</w:t>
        </w:r>
        <w:r w:rsidR="0002186F" w:rsidRPr="0002186F">
          <w:rPr>
            <w:rFonts w:asciiTheme="minorHAnsi" w:hAnsiTheme="minorHAnsi"/>
            <w:noProof/>
            <w:webHidden/>
            <w:sz w:val="22"/>
            <w:szCs w:val="22"/>
          </w:rPr>
          <w:fldChar w:fldCharType="end"/>
        </w:r>
      </w:hyperlink>
    </w:p>
    <w:p w:rsidR="0002186F" w:rsidRPr="0002186F" w:rsidRDefault="009F79B1" w:rsidP="0002186F">
      <w:pPr>
        <w:pStyle w:val="TOC2"/>
        <w:rPr>
          <w:rFonts w:asciiTheme="minorHAnsi" w:eastAsiaTheme="minorEastAsia" w:hAnsiTheme="minorHAnsi" w:cstheme="minorBidi"/>
          <w:noProof/>
          <w:sz w:val="22"/>
          <w:szCs w:val="22"/>
        </w:rPr>
      </w:pPr>
      <w:hyperlink w:anchor="_Toc420394244" w:history="1">
        <w:r w:rsidR="0002186F" w:rsidRPr="0002186F">
          <w:rPr>
            <w:rStyle w:val="Hyperlink"/>
            <w:rFonts w:asciiTheme="minorHAnsi" w:hAnsiTheme="minorHAnsi"/>
            <w:noProof/>
            <w:sz w:val="22"/>
            <w:szCs w:val="22"/>
          </w:rPr>
          <w:t>3.2</w:t>
        </w:r>
        <w:r w:rsidR="0002186F" w:rsidRPr="0002186F">
          <w:rPr>
            <w:rFonts w:asciiTheme="minorHAnsi" w:eastAsiaTheme="minorEastAsia" w:hAnsiTheme="minorHAnsi" w:cstheme="minorBidi"/>
            <w:noProof/>
            <w:sz w:val="22"/>
            <w:szCs w:val="22"/>
          </w:rPr>
          <w:tab/>
        </w:r>
        <w:r w:rsidR="0002186F" w:rsidRPr="0002186F">
          <w:rPr>
            <w:rStyle w:val="Hyperlink"/>
            <w:rFonts w:asciiTheme="minorHAnsi" w:hAnsiTheme="minorHAnsi"/>
            <w:noProof/>
            <w:sz w:val="22"/>
            <w:szCs w:val="22"/>
          </w:rPr>
          <w:t>Governance</w:t>
        </w:r>
        <w:r w:rsidR="0002186F" w:rsidRPr="0002186F">
          <w:rPr>
            <w:rFonts w:asciiTheme="minorHAnsi" w:hAnsiTheme="minorHAnsi"/>
            <w:noProof/>
            <w:webHidden/>
            <w:sz w:val="22"/>
            <w:szCs w:val="22"/>
          </w:rPr>
          <w:tab/>
        </w:r>
        <w:r w:rsidR="0002186F" w:rsidRPr="0002186F">
          <w:rPr>
            <w:rFonts w:asciiTheme="minorHAnsi" w:hAnsiTheme="minorHAnsi"/>
            <w:noProof/>
            <w:webHidden/>
            <w:sz w:val="22"/>
            <w:szCs w:val="22"/>
          </w:rPr>
          <w:fldChar w:fldCharType="begin"/>
        </w:r>
        <w:r w:rsidR="0002186F" w:rsidRPr="0002186F">
          <w:rPr>
            <w:rFonts w:asciiTheme="minorHAnsi" w:hAnsiTheme="minorHAnsi"/>
            <w:noProof/>
            <w:webHidden/>
            <w:sz w:val="22"/>
            <w:szCs w:val="22"/>
          </w:rPr>
          <w:instrText xml:space="preserve"> PAGEREF _Toc420394244 \h </w:instrText>
        </w:r>
        <w:r w:rsidR="0002186F" w:rsidRPr="0002186F">
          <w:rPr>
            <w:rFonts w:asciiTheme="minorHAnsi" w:hAnsiTheme="minorHAnsi"/>
            <w:noProof/>
            <w:webHidden/>
            <w:sz w:val="22"/>
            <w:szCs w:val="22"/>
          </w:rPr>
        </w:r>
        <w:r w:rsidR="0002186F" w:rsidRPr="0002186F">
          <w:rPr>
            <w:rFonts w:asciiTheme="minorHAnsi" w:hAnsiTheme="minorHAnsi"/>
            <w:noProof/>
            <w:webHidden/>
            <w:sz w:val="22"/>
            <w:szCs w:val="22"/>
          </w:rPr>
          <w:fldChar w:fldCharType="separate"/>
        </w:r>
        <w:r w:rsidR="0002186F" w:rsidRPr="0002186F">
          <w:rPr>
            <w:rFonts w:asciiTheme="minorHAnsi" w:hAnsiTheme="minorHAnsi"/>
            <w:noProof/>
            <w:webHidden/>
            <w:sz w:val="22"/>
            <w:szCs w:val="22"/>
          </w:rPr>
          <w:t>10</w:t>
        </w:r>
        <w:r w:rsidR="0002186F" w:rsidRPr="0002186F">
          <w:rPr>
            <w:rFonts w:asciiTheme="minorHAnsi" w:hAnsiTheme="minorHAnsi"/>
            <w:noProof/>
            <w:webHidden/>
            <w:sz w:val="22"/>
            <w:szCs w:val="22"/>
          </w:rPr>
          <w:fldChar w:fldCharType="end"/>
        </w:r>
      </w:hyperlink>
    </w:p>
    <w:p w:rsidR="0002186F" w:rsidRPr="0002186F" w:rsidRDefault="009F79B1" w:rsidP="0002186F">
      <w:pPr>
        <w:pStyle w:val="TOC3"/>
        <w:tabs>
          <w:tab w:val="left" w:pos="1320"/>
          <w:tab w:val="right" w:pos="9628"/>
        </w:tabs>
        <w:spacing w:after="80"/>
        <w:rPr>
          <w:rFonts w:asciiTheme="minorHAnsi" w:eastAsiaTheme="minorEastAsia" w:hAnsiTheme="minorHAnsi" w:cstheme="minorBidi"/>
          <w:noProof/>
          <w:sz w:val="22"/>
          <w:szCs w:val="22"/>
        </w:rPr>
      </w:pPr>
      <w:hyperlink w:anchor="_Toc420394245" w:history="1">
        <w:r w:rsidR="0002186F" w:rsidRPr="0002186F">
          <w:rPr>
            <w:rStyle w:val="Hyperlink"/>
            <w:rFonts w:asciiTheme="minorHAnsi" w:hAnsiTheme="minorHAnsi"/>
            <w:noProof/>
            <w:sz w:val="22"/>
            <w:szCs w:val="22"/>
          </w:rPr>
          <w:t>3.2.1</w:t>
        </w:r>
        <w:r w:rsidR="0002186F" w:rsidRPr="0002186F">
          <w:rPr>
            <w:rFonts w:asciiTheme="minorHAnsi" w:eastAsiaTheme="minorEastAsia" w:hAnsiTheme="minorHAnsi" w:cstheme="minorBidi"/>
            <w:noProof/>
            <w:sz w:val="22"/>
            <w:szCs w:val="22"/>
          </w:rPr>
          <w:tab/>
        </w:r>
        <w:r w:rsidR="0002186F" w:rsidRPr="0002186F">
          <w:rPr>
            <w:rStyle w:val="Hyperlink"/>
            <w:rFonts w:asciiTheme="minorHAnsi" w:hAnsiTheme="minorHAnsi"/>
            <w:noProof/>
            <w:sz w:val="22"/>
            <w:szCs w:val="22"/>
          </w:rPr>
          <w:t>Establishment of ACeH</w:t>
        </w:r>
        <w:r w:rsidR="0002186F" w:rsidRPr="0002186F">
          <w:rPr>
            <w:rFonts w:asciiTheme="minorHAnsi" w:hAnsiTheme="minorHAnsi"/>
            <w:noProof/>
            <w:webHidden/>
            <w:sz w:val="22"/>
            <w:szCs w:val="22"/>
          </w:rPr>
          <w:tab/>
        </w:r>
        <w:r w:rsidR="0002186F" w:rsidRPr="0002186F">
          <w:rPr>
            <w:rFonts w:asciiTheme="minorHAnsi" w:hAnsiTheme="minorHAnsi"/>
            <w:noProof/>
            <w:webHidden/>
            <w:sz w:val="22"/>
            <w:szCs w:val="22"/>
          </w:rPr>
          <w:fldChar w:fldCharType="begin"/>
        </w:r>
        <w:r w:rsidR="0002186F" w:rsidRPr="0002186F">
          <w:rPr>
            <w:rFonts w:asciiTheme="minorHAnsi" w:hAnsiTheme="minorHAnsi"/>
            <w:noProof/>
            <w:webHidden/>
            <w:sz w:val="22"/>
            <w:szCs w:val="22"/>
          </w:rPr>
          <w:instrText xml:space="preserve"> PAGEREF _Toc420394245 \h </w:instrText>
        </w:r>
        <w:r w:rsidR="0002186F" w:rsidRPr="0002186F">
          <w:rPr>
            <w:rFonts w:asciiTheme="minorHAnsi" w:hAnsiTheme="minorHAnsi"/>
            <w:noProof/>
            <w:webHidden/>
            <w:sz w:val="22"/>
            <w:szCs w:val="22"/>
          </w:rPr>
        </w:r>
        <w:r w:rsidR="0002186F" w:rsidRPr="0002186F">
          <w:rPr>
            <w:rFonts w:asciiTheme="minorHAnsi" w:hAnsiTheme="minorHAnsi"/>
            <w:noProof/>
            <w:webHidden/>
            <w:sz w:val="22"/>
            <w:szCs w:val="22"/>
          </w:rPr>
          <w:fldChar w:fldCharType="separate"/>
        </w:r>
        <w:r w:rsidR="0002186F" w:rsidRPr="0002186F">
          <w:rPr>
            <w:rFonts w:asciiTheme="minorHAnsi" w:hAnsiTheme="minorHAnsi"/>
            <w:noProof/>
            <w:webHidden/>
            <w:sz w:val="22"/>
            <w:szCs w:val="22"/>
          </w:rPr>
          <w:t>11</w:t>
        </w:r>
        <w:r w:rsidR="0002186F" w:rsidRPr="0002186F">
          <w:rPr>
            <w:rFonts w:asciiTheme="minorHAnsi" w:hAnsiTheme="minorHAnsi"/>
            <w:noProof/>
            <w:webHidden/>
            <w:sz w:val="22"/>
            <w:szCs w:val="22"/>
          </w:rPr>
          <w:fldChar w:fldCharType="end"/>
        </w:r>
      </w:hyperlink>
    </w:p>
    <w:p w:rsidR="0002186F" w:rsidRPr="0002186F" w:rsidRDefault="009F79B1" w:rsidP="0002186F">
      <w:pPr>
        <w:pStyle w:val="TOC4"/>
        <w:tabs>
          <w:tab w:val="right" w:pos="9628"/>
        </w:tabs>
        <w:spacing w:after="80"/>
        <w:rPr>
          <w:noProof/>
        </w:rPr>
      </w:pPr>
      <w:hyperlink w:anchor="_Toc420394246" w:history="1">
        <w:r w:rsidR="0002186F" w:rsidRPr="0002186F">
          <w:rPr>
            <w:rStyle w:val="Hyperlink"/>
            <w:noProof/>
          </w:rPr>
          <w:t>Timing of ACeH establishment</w:t>
        </w:r>
        <w:r w:rsidR="0002186F" w:rsidRPr="0002186F">
          <w:rPr>
            <w:noProof/>
            <w:webHidden/>
          </w:rPr>
          <w:tab/>
        </w:r>
        <w:r w:rsidR="0002186F" w:rsidRPr="0002186F">
          <w:rPr>
            <w:noProof/>
            <w:webHidden/>
          </w:rPr>
          <w:fldChar w:fldCharType="begin"/>
        </w:r>
        <w:r w:rsidR="0002186F" w:rsidRPr="0002186F">
          <w:rPr>
            <w:noProof/>
            <w:webHidden/>
          </w:rPr>
          <w:instrText xml:space="preserve"> PAGEREF _Toc420394246 \h </w:instrText>
        </w:r>
        <w:r w:rsidR="0002186F" w:rsidRPr="0002186F">
          <w:rPr>
            <w:noProof/>
            <w:webHidden/>
          </w:rPr>
        </w:r>
        <w:r w:rsidR="0002186F" w:rsidRPr="0002186F">
          <w:rPr>
            <w:noProof/>
            <w:webHidden/>
          </w:rPr>
          <w:fldChar w:fldCharType="separate"/>
        </w:r>
        <w:r w:rsidR="0002186F" w:rsidRPr="0002186F">
          <w:rPr>
            <w:noProof/>
            <w:webHidden/>
          </w:rPr>
          <w:t>11</w:t>
        </w:r>
        <w:r w:rsidR="0002186F" w:rsidRPr="0002186F">
          <w:rPr>
            <w:noProof/>
            <w:webHidden/>
          </w:rPr>
          <w:fldChar w:fldCharType="end"/>
        </w:r>
      </w:hyperlink>
    </w:p>
    <w:p w:rsidR="0002186F" w:rsidRPr="0002186F" w:rsidRDefault="009F79B1" w:rsidP="0002186F">
      <w:pPr>
        <w:pStyle w:val="TOC4"/>
        <w:tabs>
          <w:tab w:val="right" w:pos="9628"/>
        </w:tabs>
        <w:spacing w:after="80"/>
        <w:rPr>
          <w:noProof/>
        </w:rPr>
      </w:pPr>
      <w:hyperlink w:anchor="_Toc420394247" w:history="1">
        <w:r w:rsidR="0002186F" w:rsidRPr="0002186F">
          <w:rPr>
            <w:rStyle w:val="Hyperlink"/>
            <w:noProof/>
          </w:rPr>
          <w:t>Disbanding current arrangements</w:t>
        </w:r>
        <w:r w:rsidR="0002186F" w:rsidRPr="0002186F">
          <w:rPr>
            <w:noProof/>
            <w:webHidden/>
          </w:rPr>
          <w:tab/>
        </w:r>
        <w:r w:rsidR="0002186F" w:rsidRPr="0002186F">
          <w:rPr>
            <w:noProof/>
            <w:webHidden/>
          </w:rPr>
          <w:fldChar w:fldCharType="begin"/>
        </w:r>
        <w:r w:rsidR="0002186F" w:rsidRPr="0002186F">
          <w:rPr>
            <w:noProof/>
            <w:webHidden/>
          </w:rPr>
          <w:instrText xml:space="preserve"> PAGEREF _Toc420394247 \h </w:instrText>
        </w:r>
        <w:r w:rsidR="0002186F" w:rsidRPr="0002186F">
          <w:rPr>
            <w:noProof/>
            <w:webHidden/>
          </w:rPr>
        </w:r>
        <w:r w:rsidR="0002186F" w:rsidRPr="0002186F">
          <w:rPr>
            <w:noProof/>
            <w:webHidden/>
          </w:rPr>
          <w:fldChar w:fldCharType="separate"/>
        </w:r>
        <w:r w:rsidR="0002186F" w:rsidRPr="0002186F">
          <w:rPr>
            <w:noProof/>
            <w:webHidden/>
          </w:rPr>
          <w:t>11</w:t>
        </w:r>
        <w:r w:rsidR="0002186F" w:rsidRPr="0002186F">
          <w:rPr>
            <w:noProof/>
            <w:webHidden/>
          </w:rPr>
          <w:fldChar w:fldCharType="end"/>
        </w:r>
      </w:hyperlink>
    </w:p>
    <w:p w:rsidR="0002186F" w:rsidRPr="0002186F" w:rsidRDefault="009F79B1" w:rsidP="0002186F">
      <w:pPr>
        <w:pStyle w:val="TOC4"/>
        <w:tabs>
          <w:tab w:val="right" w:pos="9628"/>
        </w:tabs>
        <w:spacing w:after="80"/>
        <w:rPr>
          <w:noProof/>
        </w:rPr>
      </w:pPr>
      <w:hyperlink w:anchor="_Toc420394248" w:history="1">
        <w:r w:rsidR="0002186F" w:rsidRPr="0002186F">
          <w:rPr>
            <w:rStyle w:val="Hyperlink"/>
            <w:noProof/>
          </w:rPr>
          <w:t>Transition to new arrangements</w:t>
        </w:r>
        <w:r w:rsidR="0002186F" w:rsidRPr="0002186F">
          <w:rPr>
            <w:noProof/>
            <w:webHidden/>
          </w:rPr>
          <w:tab/>
        </w:r>
        <w:r w:rsidR="0002186F" w:rsidRPr="0002186F">
          <w:rPr>
            <w:noProof/>
            <w:webHidden/>
          </w:rPr>
          <w:fldChar w:fldCharType="begin"/>
        </w:r>
        <w:r w:rsidR="0002186F" w:rsidRPr="0002186F">
          <w:rPr>
            <w:noProof/>
            <w:webHidden/>
          </w:rPr>
          <w:instrText xml:space="preserve"> PAGEREF _Toc420394248 \h </w:instrText>
        </w:r>
        <w:r w:rsidR="0002186F" w:rsidRPr="0002186F">
          <w:rPr>
            <w:noProof/>
            <w:webHidden/>
          </w:rPr>
        </w:r>
        <w:r w:rsidR="0002186F" w:rsidRPr="0002186F">
          <w:rPr>
            <w:noProof/>
            <w:webHidden/>
          </w:rPr>
          <w:fldChar w:fldCharType="separate"/>
        </w:r>
        <w:r w:rsidR="0002186F" w:rsidRPr="0002186F">
          <w:rPr>
            <w:noProof/>
            <w:webHidden/>
          </w:rPr>
          <w:t>11</w:t>
        </w:r>
        <w:r w:rsidR="0002186F" w:rsidRPr="0002186F">
          <w:rPr>
            <w:noProof/>
            <w:webHidden/>
          </w:rPr>
          <w:fldChar w:fldCharType="end"/>
        </w:r>
      </w:hyperlink>
    </w:p>
    <w:p w:rsidR="0002186F" w:rsidRPr="0002186F" w:rsidRDefault="009F79B1" w:rsidP="0002186F">
      <w:pPr>
        <w:pStyle w:val="TOC4"/>
        <w:tabs>
          <w:tab w:val="right" w:pos="9628"/>
        </w:tabs>
        <w:spacing w:after="80"/>
        <w:rPr>
          <w:noProof/>
        </w:rPr>
      </w:pPr>
      <w:hyperlink w:anchor="_Toc420394249" w:history="1">
        <w:r w:rsidR="0002186F" w:rsidRPr="0002186F">
          <w:rPr>
            <w:rStyle w:val="Hyperlink"/>
            <w:noProof/>
          </w:rPr>
          <w:t>ACeH functions</w:t>
        </w:r>
        <w:r w:rsidR="0002186F" w:rsidRPr="0002186F">
          <w:rPr>
            <w:noProof/>
            <w:webHidden/>
          </w:rPr>
          <w:tab/>
        </w:r>
        <w:r w:rsidR="0002186F" w:rsidRPr="0002186F">
          <w:rPr>
            <w:noProof/>
            <w:webHidden/>
          </w:rPr>
          <w:fldChar w:fldCharType="begin"/>
        </w:r>
        <w:r w:rsidR="0002186F" w:rsidRPr="0002186F">
          <w:rPr>
            <w:noProof/>
            <w:webHidden/>
          </w:rPr>
          <w:instrText xml:space="preserve"> PAGEREF _Toc420394249 \h </w:instrText>
        </w:r>
        <w:r w:rsidR="0002186F" w:rsidRPr="0002186F">
          <w:rPr>
            <w:noProof/>
            <w:webHidden/>
          </w:rPr>
        </w:r>
        <w:r w:rsidR="0002186F" w:rsidRPr="0002186F">
          <w:rPr>
            <w:noProof/>
            <w:webHidden/>
          </w:rPr>
          <w:fldChar w:fldCharType="separate"/>
        </w:r>
        <w:r w:rsidR="0002186F" w:rsidRPr="0002186F">
          <w:rPr>
            <w:noProof/>
            <w:webHidden/>
          </w:rPr>
          <w:t>11</w:t>
        </w:r>
        <w:r w:rsidR="0002186F" w:rsidRPr="0002186F">
          <w:rPr>
            <w:noProof/>
            <w:webHidden/>
          </w:rPr>
          <w:fldChar w:fldCharType="end"/>
        </w:r>
      </w:hyperlink>
    </w:p>
    <w:p w:rsidR="0002186F" w:rsidRPr="0002186F" w:rsidRDefault="009F79B1" w:rsidP="0002186F">
      <w:pPr>
        <w:pStyle w:val="TOC4"/>
        <w:tabs>
          <w:tab w:val="right" w:pos="9628"/>
        </w:tabs>
        <w:spacing w:after="80"/>
        <w:rPr>
          <w:noProof/>
        </w:rPr>
      </w:pPr>
      <w:hyperlink w:anchor="_Toc420394250" w:history="1">
        <w:r w:rsidR="0002186F" w:rsidRPr="0002186F">
          <w:rPr>
            <w:rStyle w:val="Hyperlink"/>
            <w:noProof/>
          </w:rPr>
          <w:t>ACeH Board</w:t>
        </w:r>
        <w:r w:rsidR="0002186F" w:rsidRPr="0002186F">
          <w:rPr>
            <w:noProof/>
            <w:webHidden/>
          </w:rPr>
          <w:tab/>
        </w:r>
        <w:r w:rsidR="0002186F" w:rsidRPr="0002186F">
          <w:rPr>
            <w:noProof/>
            <w:webHidden/>
          </w:rPr>
          <w:fldChar w:fldCharType="begin"/>
        </w:r>
        <w:r w:rsidR="0002186F" w:rsidRPr="0002186F">
          <w:rPr>
            <w:noProof/>
            <w:webHidden/>
          </w:rPr>
          <w:instrText xml:space="preserve"> PAGEREF _Toc420394250 \h </w:instrText>
        </w:r>
        <w:r w:rsidR="0002186F" w:rsidRPr="0002186F">
          <w:rPr>
            <w:noProof/>
            <w:webHidden/>
          </w:rPr>
        </w:r>
        <w:r w:rsidR="0002186F" w:rsidRPr="0002186F">
          <w:rPr>
            <w:noProof/>
            <w:webHidden/>
          </w:rPr>
          <w:fldChar w:fldCharType="separate"/>
        </w:r>
        <w:r w:rsidR="0002186F" w:rsidRPr="0002186F">
          <w:rPr>
            <w:noProof/>
            <w:webHidden/>
          </w:rPr>
          <w:t>11</w:t>
        </w:r>
        <w:r w:rsidR="0002186F" w:rsidRPr="0002186F">
          <w:rPr>
            <w:noProof/>
            <w:webHidden/>
          </w:rPr>
          <w:fldChar w:fldCharType="end"/>
        </w:r>
      </w:hyperlink>
    </w:p>
    <w:p w:rsidR="0002186F" w:rsidRPr="0002186F" w:rsidRDefault="009F79B1" w:rsidP="0002186F">
      <w:pPr>
        <w:pStyle w:val="TOC4"/>
        <w:tabs>
          <w:tab w:val="right" w:pos="9628"/>
        </w:tabs>
        <w:spacing w:after="80"/>
        <w:rPr>
          <w:noProof/>
        </w:rPr>
      </w:pPr>
      <w:hyperlink w:anchor="_Toc420394251" w:history="1">
        <w:r w:rsidR="0002186F" w:rsidRPr="0002186F">
          <w:rPr>
            <w:rStyle w:val="Hyperlink"/>
            <w:noProof/>
          </w:rPr>
          <w:t>ACeH staff</w:t>
        </w:r>
        <w:r w:rsidR="0002186F" w:rsidRPr="0002186F">
          <w:rPr>
            <w:noProof/>
            <w:webHidden/>
          </w:rPr>
          <w:tab/>
        </w:r>
        <w:r w:rsidR="0002186F" w:rsidRPr="0002186F">
          <w:rPr>
            <w:noProof/>
            <w:webHidden/>
          </w:rPr>
          <w:fldChar w:fldCharType="begin"/>
        </w:r>
        <w:r w:rsidR="0002186F" w:rsidRPr="0002186F">
          <w:rPr>
            <w:noProof/>
            <w:webHidden/>
          </w:rPr>
          <w:instrText xml:space="preserve"> PAGEREF _Toc420394251 \h </w:instrText>
        </w:r>
        <w:r w:rsidR="0002186F" w:rsidRPr="0002186F">
          <w:rPr>
            <w:noProof/>
            <w:webHidden/>
          </w:rPr>
        </w:r>
        <w:r w:rsidR="0002186F" w:rsidRPr="0002186F">
          <w:rPr>
            <w:noProof/>
            <w:webHidden/>
          </w:rPr>
          <w:fldChar w:fldCharType="separate"/>
        </w:r>
        <w:r w:rsidR="0002186F" w:rsidRPr="0002186F">
          <w:rPr>
            <w:noProof/>
            <w:webHidden/>
          </w:rPr>
          <w:t>12</w:t>
        </w:r>
        <w:r w:rsidR="0002186F" w:rsidRPr="0002186F">
          <w:rPr>
            <w:noProof/>
            <w:webHidden/>
          </w:rPr>
          <w:fldChar w:fldCharType="end"/>
        </w:r>
      </w:hyperlink>
    </w:p>
    <w:p w:rsidR="0002186F" w:rsidRPr="0002186F" w:rsidRDefault="009F79B1" w:rsidP="0002186F">
      <w:pPr>
        <w:pStyle w:val="TOC3"/>
        <w:tabs>
          <w:tab w:val="left" w:pos="1320"/>
          <w:tab w:val="right" w:pos="9628"/>
        </w:tabs>
        <w:spacing w:after="80"/>
        <w:rPr>
          <w:rFonts w:asciiTheme="minorHAnsi" w:eastAsiaTheme="minorEastAsia" w:hAnsiTheme="minorHAnsi" w:cstheme="minorBidi"/>
          <w:noProof/>
          <w:sz w:val="22"/>
          <w:szCs w:val="22"/>
        </w:rPr>
      </w:pPr>
      <w:hyperlink w:anchor="_Toc420394252" w:history="1">
        <w:r w:rsidR="0002186F" w:rsidRPr="0002186F">
          <w:rPr>
            <w:rStyle w:val="Hyperlink"/>
            <w:rFonts w:asciiTheme="minorHAnsi" w:hAnsiTheme="minorHAnsi"/>
            <w:noProof/>
            <w:sz w:val="22"/>
            <w:szCs w:val="22"/>
          </w:rPr>
          <w:t>3.2.2</w:t>
        </w:r>
        <w:r w:rsidR="0002186F" w:rsidRPr="0002186F">
          <w:rPr>
            <w:rFonts w:asciiTheme="minorHAnsi" w:eastAsiaTheme="minorEastAsia" w:hAnsiTheme="minorHAnsi" w:cstheme="minorBidi"/>
            <w:noProof/>
            <w:sz w:val="22"/>
            <w:szCs w:val="22"/>
          </w:rPr>
          <w:tab/>
        </w:r>
        <w:r w:rsidR="0002186F" w:rsidRPr="0002186F">
          <w:rPr>
            <w:rStyle w:val="Hyperlink"/>
            <w:rFonts w:asciiTheme="minorHAnsi" w:hAnsiTheme="minorHAnsi"/>
            <w:noProof/>
            <w:sz w:val="22"/>
            <w:szCs w:val="22"/>
          </w:rPr>
          <w:t>HI Service Operator</w:t>
        </w:r>
        <w:r w:rsidR="0002186F" w:rsidRPr="0002186F">
          <w:rPr>
            <w:rFonts w:asciiTheme="minorHAnsi" w:hAnsiTheme="minorHAnsi"/>
            <w:noProof/>
            <w:webHidden/>
            <w:sz w:val="22"/>
            <w:szCs w:val="22"/>
          </w:rPr>
          <w:tab/>
        </w:r>
        <w:r w:rsidR="0002186F" w:rsidRPr="0002186F">
          <w:rPr>
            <w:rFonts w:asciiTheme="minorHAnsi" w:hAnsiTheme="minorHAnsi"/>
            <w:noProof/>
            <w:webHidden/>
            <w:sz w:val="22"/>
            <w:szCs w:val="22"/>
          </w:rPr>
          <w:fldChar w:fldCharType="begin"/>
        </w:r>
        <w:r w:rsidR="0002186F" w:rsidRPr="0002186F">
          <w:rPr>
            <w:rFonts w:asciiTheme="minorHAnsi" w:hAnsiTheme="minorHAnsi"/>
            <w:noProof/>
            <w:webHidden/>
            <w:sz w:val="22"/>
            <w:szCs w:val="22"/>
          </w:rPr>
          <w:instrText xml:space="preserve"> PAGEREF _Toc420394252 \h </w:instrText>
        </w:r>
        <w:r w:rsidR="0002186F" w:rsidRPr="0002186F">
          <w:rPr>
            <w:rFonts w:asciiTheme="minorHAnsi" w:hAnsiTheme="minorHAnsi"/>
            <w:noProof/>
            <w:webHidden/>
            <w:sz w:val="22"/>
            <w:szCs w:val="22"/>
          </w:rPr>
        </w:r>
        <w:r w:rsidR="0002186F" w:rsidRPr="0002186F">
          <w:rPr>
            <w:rFonts w:asciiTheme="minorHAnsi" w:hAnsiTheme="minorHAnsi"/>
            <w:noProof/>
            <w:webHidden/>
            <w:sz w:val="22"/>
            <w:szCs w:val="22"/>
          </w:rPr>
          <w:fldChar w:fldCharType="separate"/>
        </w:r>
        <w:r w:rsidR="0002186F" w:rsidRPr="0002186F">
          <w:rPr>
            <w:rFonts w:asciiTheme="minorHAnsi" w:hAnsiTheme="minorHAnsi"/>
            <w:noProof/>
            <w:webHidden/>
            <w:sz w:val="22"/>
            <w:szCs w:val="22"/>
          </w:rPr>
          <w:t>12</w:t>
        </w:r>
        <w:r w:rsidR="0002186F" w:rsidRPr="0002186F">
          <w:rPr>
            <w:rFonts w:asciiTheme="minorHAnsi" w:hAnsiTheme="minorHAnsi"/>
            <w:noProof/>
            <w:webHidden/>
            <w:sz w:val="22"/>
            <w:szCs w:val="22"/>
          </w:rPr>
          <w:fldChar w:fldCharType="end"/>
        </w:r>
      </w:hyperlink>
    </w:p>
    <w:p w:rsidR="0002186F" w:rsidRPr="0002186F" w:rsidRDefault="009F79B1" w:rsidP="0002186F">
      <w:pPr>
        <w:pStyle w:val="TOC2"/>
        <w:rPr>
          <w:rFonts w:asciiTheme="minorHAnsi" w:eastAsiaTheme="minorEastAsia" w:hAnsiTheme="minorHAnsi" w:cstheme="minorBidi"/>
          <w:noProof/>
          <w:sz w:val="22"/>
          <w:szCs w:val="22"/>
        </w:rPr>
      </w:pPr>
      <w:hyperlink w:anchor="_Toc420394253" w:history="1">
        <w:r w:rsidR="0002186F" w:rsidRPr="0002186F">
          <w:rPr>
            <w:rStyle w:val="Hyperlink"/>
            <w:rFonts w:asciiTheme="minorHAnsi" w:hAnsiTheme="minorHAnsi"/>
            <w:noProof/>
            <w:sz w:val="22"/>
            <w:szCs w:val="22"/>
          </w:rPr>
          <w:t>3.3</w:t>
        </w:r>
        <w:r w:rsidR="0002186F" w:rsidRPr="0002186F">
          <w:rPr>
            <w:rFonts w:asciiTheme="minorHAnsi" w:eastAsiaTheme="minorEastAsia" w:hAnsiTheme="minorHAnsi" w:cstheme="minorBidi"/>
            <w:noProof/>
            <w:sz w:val="22"/>
            <w:szCs w:val="22"/>
          </w:rPr>
          <w:tab/>
        </w:r>
        <w:r w:rsidR="0002186F" w:rsidRPr="0002186F">
          <w:rPr>
            <w:rStyle w:val="Hyperlink"/>
            <w:rFonts w:asciiTheme="minorHAnsi" w:hAnsiTheme="minorHAnsi"/>
            <w:noProof/>
            <w:sz w:val="22"/>
            <w:szCs w:val="22"/>
          </w:rPr>
          <w:t>Participation</w:t>
        </w:r>
        <w:r w:rsidR="0002186F" w:rsidRPr="0002186F">
          <w:rPr>
            <w:rFonts w:asciiTheme="minorHAnsi" w:hAnsiTheme="minorHAnsi"/>
            <w:noProof/>
            <w:webHidden/>
            <w:sz w:val="22"/>
            <w:szCs w:val="22"/>
          </w:rPr>
          <w:tab/>
        </w:r>
        <w:r w:rsidR="0002186F" w:rsidRPr="0002186F">
          <w:rPr>
            <w:rFonts w:asciiTheme="minorHAnsi" w:hAnsiTheme="minorHAnsi"/>
            <w:noProof/>
            <w:webHidden/>
            <w:sz w:val="22"/>
            <w:szCs w:val="22"/>
          </w:rPr>
          <w:fldChar w:fldCharType="begin"/>
        </w:r>
        <w:r w:rsidR="0002186F" w:rsidRPr="0002186F">
          <w:rPr>
            <w:rFonts w:asciiTheme="minorHAnsi" w:hAnsiTheme="minorHAnsi"/>
            <w:noProof/>
            <w:webHidden/>
            <w:sz w:val="22"/>
            <w:szCs w:val="22"/>
          </w:rPr>
          <w:instrText xml:space="preserve"> PAGEREF _Toc420394253 \h </w:instrText>
        </w:r>
        <w:r w:rsidR="0002186F" w:rsidRPr="0002186F">
          <w:rPr>
            <w:rFonts w:asciiTheme="minorHAnsi" w:hAnsiTheme="minorHAnsi"/>
            <w:noProof/>
            <w:webHidden/>
            <w:sz w:val="22"/>
            <w:szCs w:val="22"/>
          </w:rPr>
        </w:r>
        <w:r w:rsidR="0002186F" w:rsidRPr="0002186F">
          <w:rPr>
            <w:rFonts w:asciiTheme="minorHAnsi" w:hAnsiTheme="minorHAnsi"/>
            <w:noProof/>
            <w:webHidden/>
            <w:sz w:val="22"/>
            <w:szCs w:val="22"/>
          </w:rPr>
          <w:fldChar w:fldCharType="separate"/>
        </w:r>
        <w:r w:rsidR="0002186F" w:rsidRPr="0002186F">
          <w:rPr>
            <w:rFonts w:asciiTheme="minorHAnsi" w:hAnsiTheme="minorHAnsi"/>
            <w:noProof/>
            <w:webHidden/>
            <w:sz w:val="22"/>
            <w:szCs w:val="22"/>
          </w:rPr>
          <w:t>12</w:t>
        </w:r>
        <w:r w:rsidR="0002186F" w:rsidRPr="0002186F">
          <w:rPr>
            <w:rFonts w:asciiTheme="minorHAnsi" w:hAnsiTheme="minorHAnsi"/>
            <w:noProof/>
            <w:webHidden/>
            <w:sz w:val="22"/>
            <w:szCs w:val="22"/>
          </w:rPr>
          <w:fldChar w:fldCharType="end"/>
        </w:r>
      </w:hyperlink>
    </w:p>
    <w:p w:rsidR="0002186F" w:rsidRPr="0002186F" w:rsidRDefault="009F79B1" w:rsidP="0002186F">
      <w:pPr>
        <w:pStyle w:val="TOC3"/>
        <w:tabs>
          <w:tab w:val="left" w:pos="1320"/>
          <w:tab w:val="right" w:pos="9628"/>
        </w:tabs>
        <w:spacing w:after="80"/>
        <w:rPr>
          <w:rFonts w:asciiTheme="minorHAnsi" w:eastAsiaTheme="minorEastAsia" w:hAnsiTheme="minorHAnsi" w:cstheme="minorBidi"/>
          <w:noProof/>
          <w:sz w:val="22"/>
          <w:szCs w:val="22"/>
        </w:rPr>
      </w:pPr>
      <w:hyperlink w:anchor="_Toc420394254" w:history="1">
        <w:r w:rsidR="0002186F" w:rsidRPr="0002186F">
          <w:rPr>
            <w:rStyle w:val="Hyperlink"/>
            <w:rFonts w:asciiTheme="minorHAnsi" w:hAnsiTheme="minorHAnsi"/>
            <w:noProof/>
            <w:sz w:val="22"/>
            <w:szCs w:val="22"/>
          </w:rPr>
          <w:t>3.3.1</w:t>
        </w:r>
        <w:r w:rsidR="0002186F" w:rsidRPr="0002186F">
          <w:rPr>
            <w:rFonts w:asciiTheme="minorHAnsi" w:eastAsiaTheme="minorEastAsia" w:hAnsiTheme="minorHAnsi" w:cstheme="minorBidi"/>
            <w:noProof/>
            <w:sz w:val="22"/>
            <w:szCs w:val="22"/>
          </w:rPr>
          <w:tab/>
        </w:r>
        <w:r w:rsidR="0002186F" w:rsidRPr="0002186F">
          <w:rPr>
            <w:rStyle w:val="Hyperlink"/>
            <w:rFonts w:asciiTheme="minorHAnsi" w:hAnsiTheme="minorHAnsi"/>
            <w:noProof/>
            <w:sz w:val="22"/>
            <w:szCs w:val="22"/>
          </w:rPr>
          <w:t>An opt-out PCEHR system?</w:t>
        </w:r>
        <w:r w:rsidR="0002186F" w:rsidRPr="0002186F">
          <w:rPr>
            <w:rFonts w:asciiTheme="minorHAnsi" w:hAnsiTheme="minorHAnsi"/>
            <w:noProof/>
            <w:webHidden/>
            <w:sz w:val="22"/>
            <w:szCs w:val="22"/>
          </w:rPr>
          <w:tab/>
        </w:r>
        <w:r w:rsidR="0002186F" w:rsidRPr="0002186F">
          <w:rPr>
            <w:rFonts w:asciiTheme="minorHAnsi" w:hAnsiTheme="minorHAnsi"/>
            <w:noProof/>
            <w:webHidden/>
            <w:sz w:val="22"/>
            <w:szCs w:val="22"/>
          </w:rPr>
          <w:fldChar w:fldCharType="begin"/>
        </w:r>
        <w:r w:rsidR="0002186F" w:rsidRPr="0002186F">
          <w:rPr>
            <w:rFonts w:asciiTheme="minorHAnsi" w:hAnsiTheme="minorHAnsi"/>
            <w:noProof/>
            <w:webHidden/>
            <w:sz w:val="22"/>
            <w:szCs w:val="22"/>
          </w:rPr>
          <w:instrText xml:space="preserve"> PAGEREF _Toc420394254 \h </w:instrText>
        </w:r>
        <w:r w:rsidR="0002186F" w:rsidRPr="0002186F">
          <w:rPr>
            <w:rFonts w:asciiTheme="minorHAnsi" w:hAnsiTheme="minorHAnsi"/>
            <w:noProof/>
            <w:webHidden/>
            <w:sz w:val="22"/>
            <w:szCs w:val="22"/>
          </w:rPr>
        </w:r>
        <w:r w:rsidR="0002186F" w:rsidRPr="0002186F">
          <w:rPr>
            <w:rFonts w:asciiTheme="minorHAnsi" w:hAnsiTheme="minorHAnsi"/>
            <w:noProof/>
            <w:webHidden/>
            <w:sz w:val="22"/>
            <w:szCs w:val="22"/>
          </w:rPr>
          <w:fldChar w:fldCharType="separate"/>
        </w:r>
        <w:r w:rsidR="0002186F" w:rsidRPr="0002186F">
          <w:rPr>
            <w:rFonts w:asciiTheme="minorHAnsi" w:hAnsiTheme="minorHAnsi"/>
            <w:noProof/>
            <w:webHidden/>
            <w:sz w:val="22"/>
            <w:szCs w:val="22"/>
          </w:rPr>
          <w:t>12</w:t>
        </w:r>
        <w:r w:rsidR="0002186F" w:rsidRPr="0002186F">
          <w:rPr>
            <w:rFonts w:asciiTheme="minorHAnsi" w:hAnsiTheme="minorHAnsi"/>
            <w:noProof/>
            <w:webHidden/>
            <w:sz w:val="22"/>
            <w:szCs w:val="22"/>
          </w:rPr>
          <w:fldChar w:fldCharType="end"/>
        </w:r>
      </w:hyperlink>
    </w:p>
    <w:p w:rsidR="0002186F" w:rsidRPr="0002186F" w:rsidRDefault="009F79B1" w:rsidP="0002186F">
      <w:pPr>
        <w:pStyle w:val="TOC4"/>
        <w:tabs>
          <w:tab w:val="right" w:pos="9628"/>
        </w:tabs>
        <w:spacing w:after="80"/>
        <w:rPr>
          <w:noProof/>
        </w:rPr>
      </w:pPr>
      <w:hyperlink w:anchor="_Toc420394255" w:history="1">
        <w:r w:rsidR="0002186F" w:rsidRPr="0002186F">
          <w:rPr>
            <w:rStyle w:val="Hyperlink"/>
            <w:noProof/>
          </w:rPr>
          <w:t>Opting out in trial regions</w:t>
        </w:r>
        <w:r w:rsidR="0002186F" w:rsidRPr="0002186F">
          <w:rPr>
            <w:noProof/>
            <w:webHidden/>
          </w:rPr>
          <w:tab/>
        </w:r>
        <w:r w:rsidR="0002186F" w:rsidRPr="0002186F">
          <w:rPr>
            <w:noProof/>
            <w:webHidden/>
          </w:rPr>
          <w:fldChar w:fldCharType="begin"/>
        </w:r>
        <w:r w:rsidR="0002186F" w:rsidRPr="0002186F">
          <w:rPr>
            <w:noProof/>
            <w:webHidden/>
          </w:rPr>
          <w:instrText xml:space="preserve"> PAGEREF _Toc420394255 \h </w:instrText>
        </w:r>
        <w:r w:rsidR="0002186F" w:rsidRPr="0002186F">
          <w:rPr>
            <w:noProof/>
            <w:webHidden/>
          </w:rPr>
        </w:r>
        <w:r w:rsidR="0002186F" w:rsidRPr="0002186F">
          <w:rPr>
            <w:noProof/>
            <w:webHidden/>
          </w:rPr>
          <w:fldChar w:fldCharType="separate"/>
        </w:r>
        <w:r w:rsidR="0002186F" w:rsidRPr="0002186F">
          <w:rPr>
            <w:noProof/>
            <w:webHidden/>
          </w:rPr>
          <w:t>13</w:t>
        </w:r>
        <w:r w:rsidR="0002186F" w:rsidRPr="0002186F">
          <w:rPr>
            <w:noProof/>
            <w:webHidden/>
          </w:rPr>
          <w:fldChar w:fldCharType="end"/>
        </w:r>
      </w:hyperlink>
    </w:p>
    <w:p w:rsidR="0002186F" w:rsidRPr="0002186F" w:rsidRDefault="009F79B1" w:rsidP="0002186F">
      <w:pPr>
        <w:pStyle w:val="TOC4"/>
        <w:tabs>
          <w:tab w:val="right" w:pos="9628"/>
        </w:tabs>
        <w:spacing w:after="80"/>
        <w:rPr>
          <w:noProof/>
        </w:rPr>
      </w:pPr>
      <w:hyperlink w:anchor="_Toc420394256" w:history="1">
        <w:r w:rsidR="0002186F" w:rsidRPr="0002186F">
          <w:rPr>
            <w:rStyle w:val="Hyperlink"/>
            <w:noProof/>
          </w:rPr>
          <w:t>Opt-out transition in trial regions</w:t>
        </w:r>
        <w:r w:rsidR="0002186F" w:rsidRPr="0002186F">
          <w:rPr>
            <w:noProof/>
            <w:webHidden/>
          </w:rPr>
          <w:tab/>
        </w:r>
        <w:r w:rsidR="0002186F" w:rsidRPr="0002186F">
          <w:rPr>
            <w:noProof/>
            <w:webHidden/>
          </w:rPr>
          <w:fldChar w:fldCharType="begin"/>
        </w:r>
        <w:r w:rsidR="0002186F" w:rsidRPr="0002186F">
          <w:rPr>
            <w:noProof/>
            <w:webHidden/>
          </w:rPr>
          <w:instrText xml:space="preserve"> PAGEREF _Toc420394256 \h </w:instrText>
        </w:r>
        <w:r w:rsidR="0002186F" w:rsidRPr="0002186F">
          <w:rPr>
            <w:noProof/>
            <w:webHidden/>
          </w:rPr>
        </w:r>
        <w:r w:rsidR="0002186F" w:rsidRPr="0002186F">
          <w:rPr>
            <w:noProof/>
            <w:webHidden/>
          </w:rPr>
          <w:fldChar w:fldCharType="separate"/>
        </w:r>
        <w:r w:rsidR="0002186F" w:rsidRPr="0002186F">
          <w:rPr>
            <w:noProof/>
            <w:webHidden/>
          </w:rPr>
          <w:t>13</w:t>
        </w:r>
        <w:r w:rsidR="0002186F" w:rsidRPr="0002186F">
          <w:rPr>
            <w:noProof/>
            <w:webHidden/>
          </w:rPr>
          <w:fldChar w:fldCharType="end"/>
        </w:r>
      </w:hyperlink>
    </w:p>
    <w:p w:rsidR="0002186F" w:rsidRPr="0002186F" w:rsidRDefault="009F79B1" w:rsidP="0002186F">
      <w:pPr>
        <w:pStyle w:val="TOC4"/>
        <w:tabs>
          <w:tab w:val="right" w:pos="9628"/>
        </w:tabs>
        <w:spacing w:after="80"/>
        <w:rPr>
          <w:noProof/>
        </w:rPr>
      </w:pPr>
      <w:hyperlink w:anchor="_Toc420394257" w:history="1">
        <w:r w:rsidR="0002186F" w:rsidRPr="0002186F">
          <w:rPr>
            <w:rStyle w:val="Hyperlink"/>
            <w:noProof/>
          </w:rPr>
          <w:t>Individual consent</w:t>
        </w:r>
        <w:r w:rsidR="0002186F" w:rsidRPr="0002186F">
          <w:rPr>
            <w:noProof/>
            <w:webHidden/>
          </w:rPr>
          <w:tab/>
        </w:r>
        <w:r w:rsidR="0002186F" w:rsidRPr="0002186F">
          <w:rPr>
            <w:noProof/>
            <w:webHidden/>
          </w:rPr>
          <w:fldChar w:fldCharType="begin"/>
        </w:r>
        <w:r w:rsidR="0002186F" w:rsidRPr="0002186F">
          <w:rPr>
            <w:noProof/>
            <w:webHidden/>
          </w:rPr>
          <w:instrText xml:space="preserve"> PAGEREF _Toc420394257 \h </w:instrText>
        </w:r>
        <w:r w:rsidR="0002186F" w:rsidRPr="0002186F">
          <w:rPr>
            <w:noProof/>
            <w:webHidden/>
          </w:rPr>
        </w:r>
        <w:r w:rsidR="0002186F" w:rsidRPr="0002186F">
          <w:rPr>
            <w:noProof/>
            <w:webHidden/>
          </w:rPr>
          <w:fldChar w:fldCharType="separate"/>
        </w:r>
        <w:r w:rsidR="0002186F" w:rsidRPr="0002186F">
          <w:rPr>
            <w:noProof/>
            <w:webHidden/>
          </w:rPr>
          <w:t>14</w:t>
        </w:r>
        <w:r w:rsidR="0002186F" w:rsidRPr="0002186F">
          <w:rPr>
            <w:noProof/>
            <w:webHidden/>
          </w:rPr>
          <w:fldChar w:fldCharType="end"/>
        </w:r>
      </w:hyperlink>
    </w:p>
    <w:p w:rsidR="0002186F" w:rsidRPr="0002186F" w:rsidRDefault="009F79B1" w:rsidP="0002186F">
      <w:pPr>
        <w:pStyle w:val="TOC4"/>
        <w:tabs>
          <w:tab w:val="right" w:pos="9628"/>
        </w:tabs>
        <w:spacing w:after="80"/>
        <w:rPr>
          <w:noProof/>
        </w:rPr>
      </w:pPr>
      <w:hyperlink w:anchor="_Toc420394258" w:history="1">
        <w:r w:rsidR="0002186F" w:rsidRPr="0002186F">
          <w:rPr>
            <w:rStyle w:val="Hyperlink"/>
            <w:noProof/>
          </w:rPr>
          <w:t>Secondary use of information</w:t>
        </w:r>
        <w:r w:rsidR="0002186F" w:rsidRPr="0002186F">
          <w:rPr>
            <w:noProof/>
            <w:webHidden/>
          </w:rPr>
          <w:tab/>
        </w:r>
        <w:r w:rsidR="0002186F" w:rsidRPr="0002186F">
          <w:rPr>
            <w:noProof/>
            <w:webHidden/>
          </w:rPr>
          <w:fldChar w:fldCharType="begin"/>
        </w:r>
        <w:r w:rsidR="0002186F" w:rsidRPr="0002186F">
          <w:rPr>
            <w:noProof/>
            <w:webHidden/>
          </w:rPr>
          <w:instrText xml:space="preserve"> PAGEREF _Toc420394258 \h </w:instrText>
        </w:r>
        <w:r w:rsidR="0002186F" w:rsidRPr="0002186F">
          <w:rPr>
            <w:noProof/>
            <w:webHidden/>
          </w:rPr>
        </w:r>
        <w:r w:rsidR="0002186F" w:rsidRPr="0002186F">
          <w:rPr>
            <w:noProof/>
            <w:webHidden/>
          </w:rPr>
          <w:fldChar w:fldCharType="separate"/>
        </w:r>
        <w:r w:rsidR="0002186F" w:rsidRPr="0002186F">
          <w:rPr>
            <w:noProof/>
            <w:webHidden/>
          </w:rPr>
          <w:t>15</w:t>
        </w:r>
        <w:r w:rsidR="0002186F" w:rsidRPr="0002186F">
          <w:rPr>
            <w:noProof/>
            <w:webHidden/>
          </w:rPr>
          <w:fldChar w:fldCharType="end"/>
        </w:r>
      </w:hyperlink>
    </w:p>
    <w:p w:rsidR="0002186F" w:rsidRPr="0002186F" w:rsidRDefault="009F79B1" w:rsidP="0002186F">
      <w:pPr>
        <w:pStyle w:val="TOC4"/>
        <w:tabs>
          <w:tab w:val="right" w:pos="9628"/>
        </w:tabs>
        <w:spacing w:after="80"/>
        <w:rPr>
          <w:noProof/>
        </w:rPr>
      </w:pPr>
      <w:hyperlink w:anchor="_Toc420394259" w:history="1">
        <w:r w:rsidR="0002186F" w:rsidRPr="0002186F">
          <w:rPr>
            <w:rStyle w:val="Hyperlink"/>
            <w:noProof/>
          </w:rPr>
          <w:t>Registering individuals in opt-out trials</w:t>
        </w:r>
        <w:r w:rsidR="0002186F" w:rsidRPr="0002186F">
          <w:rPr>
            <w:noProof/>
            <w:webHidden/>
          </w:rPr>
          <w:tab/>
        </w:r>
        <w:r w:rsidR="0002186F" w:rsidRPr="0002186F">
          <w:rPr>
            <w:noProof/>
            <w:webHidden/>
          </w:rPr>
          <w:fldChar w:fldCharType="begin"/>
        </w:r>
        <w:r w:rsidR="0002186F" w:rsidRPr="0002186F">
          <w:rPr>
            <w:noProof/>
            <w:webHidden/>
          </w:rPr>
          <w:instrText xml:space="preserve"> PAGEREF _Toc420394259 \h </w:instrText>
        </w:r>
        <w:r w:rsidR="0002186F" w:rsidRPr="0002186F">
          <w:rPr>
            <w:noProof/>
            <w:webHidden/>
          </w:rPr>
        </w:r>
        <w:r w:rsidR="0002186F" w:rsidRPr="0002186F">
          <w:rPr>
            <w:noProof/>
            <w:webHidden/>
          </w:rPr>
          <w:fldChar w:fldCharType="separate"/>
        </w:r>
        <w:r w:rsidR="0002186F" w:rsidRPr="0002186F">
          <w:rPr>
            <w:noProof/>
            <w:webHidden/>
          </w:rPr>
          <w:t>15</w:t>
        </w:r>
        <w:r w:rsidR="0002186F" w:rsidRPr="0002186F">
          <w:rPr>
            <w:noProof/>
            <w:webHidden/>
          </w:rPr>
          <w:fldChar w:fldCharType="end"/>
        </w:r>
      </w:hyperlink>
    </w:p>
    <w:p w:rsidR="0002186F" w:rsidRPr="0002186F" w:rsidRDefault="009F79B1" w:rsidP="0002186F">
      <w:pPr>
        <w:pStyle w:val="TOC4"/>
        <w:tabs>
          <w:tab w:val="right" w:pos="9628"/>
        </w:tabs>
        <w:spacing w:after="80"/>
        <w:rPr>
          <w:noProof/>
        </w:rPr>
      </w:pPr>
      <w:hyperlink w:anchor="_Toc420394260" w:history="1">
        <w:r w:rsidR="0002186F" w:rsidRPr="0002186F">
          <w:rPr>
            <w:rStyle w:val="Hyperlink"/>
            <w:noProof/>
          </w:rPr>
          <w:t>Registering healthcare provider organisations and other entities in opt-out trials</w:t>
        </w:r>
        <w:r w:rsidR="0002186F" w:rsidRPr="0002186F">
          <w:rPr>
            <w:noProof/>
            <w:webHidden/>
          </w:rPr>
          <w:tab/>
        </w:r>
        <w:r w:rsidR="0002186F" w:rsidRPr="0002186F">
          <w:rPr>
            <w:noProof/>
            <w:webHidden/>
          </w:rPr>
          <w:fldChar w:fldCharType="begin"/>
        </w:r>
        <w:r w:rsidR="0002186F" w:rsidRPr="0002186F">
          <w:rPr>
            <w:noProof/>
            <w:webHidden/>
          </w:rPr>
          <w:instrText xml:space="preserve"> PAGEREF _Toc420394260 \h </w:instrText>
        </w:r>
        <w:r w:rsidR="0002186F" w:rsidRPr="0002186F">
          <w:rPr>
            <w:noProof/>
            <w:webHidden/>
          </w:rPr>
        </w:r>
        <w:r w:rsidR="0002186F" w:rsidRPr="0002186F">
          <w:rPr>
            <w:noProof/>
            <w:webHidden/>
          </w:rPr>
          <w:fldChar w:fldCharType="separate"/>
        </w:r>
        <w:r w:rsidR="0002186F" w:rsidRPr="0002186F">
          <w:rPr>
            <w:noProof/>
            <w:webHidden/>
          </w:rPr>
          <w:t>15</w:t>
        </w:r>
        <w:r w:rsidR="0002186F" w:rsidRPr="0002186F">
          <w:rPr>
            <w:noProof/>
            <w:webHidden/>
          </w:rPr>
          <w:fldChar w:fldCharType="end"/>
        </w:r>
      </w:hyperlink>
    </w:p>
    <w:p w:rsidR="0002186F" w:rsidRPr="0002186F" w:rsidRDefault="009F79B1" w:rsidP="0002186F">
      <w:pPr>
        <w:pStyle w:val="TOC2"/>
        <w:rPr>
          <w:rFonts w:asciiTheme="minorHAnsi" w:eastAsiaTheme="minorEastAsia" w:hAnsiTheme="minorHAnsi" w:cstheme="minorBidi"/>
          <w:noProof/>
          <w:sz w:val="22"/>
          <w:szCs w:val="22"/>
        </w:rPr>
      </w:pPr>
      <w:hyperlink w:anchor="_Toc420394261" w:history="1">
        <w:r w:rsidR="0002186F" w:rsidRPr="0002186F">
          <w:rPr>
            <w:rStyle w:val="Hyperlink"/>
            <w:rFonts w:asciiTheme="minorHAnsi" w:hAnsiTheme="minorHAnsi"/>
            <w:noProof/>
            <w:sz w:val="22"/>
            <w:szCs w:val="22"/>
          </w:rPr>
          <w:t>3.4</w:t>
        </w:r>
        <w:r w:rsidR="0002186F" w:rsidRPr="0002186F">
          <w:rPr>
            <w:rFonts w:asciiTheme="minorHAnsi" w:eastAsiaTheme="minorEastAsia" w:hAnsiTheme="minorHAnsi" w:cstheme="minorBidi"/>
            <w:noProof/>
            <w:sz w:val="22"/>
            <w:szCs w:val="22"/>
          </w:rPr>
          <w:tab/>
        </w:r>
        <w:r w:rsidR="0002186F" w:rsidRPr="0002186F">
          <w:rPr>
            <w:rStyle w:val="Hyperlink"/>
            <w:rFonts w:asciiTheme="minorHAnsi" w:hAnsiTheme="minorHAnsi"/>
            <w:noProof/>
            <w:sz w:val="22"/>
            <w:szCs w:val="22"/>
          </w:rPr>
          <w:t>Obligations of parties</w:t>
        </w:r>
        <w:r w:rsidR="0002186F" w:rsidRPr="0002186F">
          <w:rPr>
            <w:rFonts w:asciiTheme="minorHAnsi" w:hAnsiTheme="minorHAnsi"/>
            <w:noProof/>
            <w:webHidden/>
            <w:sz w:val="22"/>
            <w:szCs w:val="22"/>
          </w:rPr>
          <w:tab/>
        </w:r>
        <w:r w:rsidR="0002186F" w:rsidRPr="0002186F">
          <w:rPr>
            <w:rFonts w:asciiTheme="minorHAnsi" w:hAnsiTheme="minorHAnsi"/>
            <w:noProof/>
            <w:webHidden/>
            <w:sz w:val="22"/>
            <w:szCs w:val="22"/>
          </w:rPr>
          <w:fldChar w:fldCharType="begin"/>
        </w:r>
        <w:r w:rsidR="0002186F" w:rsidRPr="0002186F">
          <w:rPr>
            <w:rFonts w:asciiTheme="minorHAnsi" w:hAnsiTheme="minorHAnsi"/>
            <w:noProof/>
            <w:webHidden/>
            <w:sz w:val="22"/>
            <w:szCs w:val="22"/>
          </w:rPr>
          <w:instrText xml:space="preserve"> PAGEREF _Toc420394261 \h </w:instrText>
        </w:r>
        <w:r w:rsidR="0002186F" w:rsidRPr="0002186F">
          <w:rPr>
            <w:rFonts w:asciiTheme="minorHAnsi" w:hAnsiTheme="minorHAnsi"/>
            <w:noProof/>
            <w:webHidden/>
            <w:sz w:val="22"/>
            <w:szCs w:val="22"/>
          </w:rPr>
        </w:r>
        <w:r w:rsidR="0002186F" w:rsidRPr="0002186F">
          <w:rPr>
            <w:rFonts w:asciiTheme="minorHAnsi" w:hAnsiTheme="minorHAnsi"/>
            <w:noProof/>
            <w:webHidden/>
            <w:sz w:val="22"/>
            <w:szCs w:val="22"/>
          </w:rPr>
          <w:fldChar w:fldCharType="separate"/>
        </w:r>
        <w:r w:rsidR="0002186F" w:rsidRPr="0002186F">
          <w:rPr>
            <w:rFonts w:asciiTheme="minorHAnsi" w:hAnsiTheme="minorHAnsi"/>
            <w:noProof/>
            <w:webHidden/>
            <w:sz w:val="22"/>
            <w:szCs w:val="22"/>
          </w:rPr>
          <w:t>16</w:t>
        </w:r>
        <w:r w:rsidR="0002186F" w:rsidRPr="0002186F">
          <w:rPr>
            <w:rFonts w:asciiTheme="minorHAnsi" w:hAnsiTheme="minorHAnsi"/>
            <w:noProof/>
            <w:webHidden/>
            <w:sz w:val="22"/>
            <w:szCs w:val="22"/>
          </w:rPr>
          <w:fldChar w:fldCharType="end"/>
        </w:r>
      </w:hyperlink>
    </w:p>
    <w:p w:rsidR="0002186F" w:rsidRPr="0002186F" w:rsidRDefault="009F79B1" w:rsidP="0002186F">
      <w:pPr>
        <w:pStyle w:val="TOC3"/>
        <w:tabs>
          <w:tab w:val="left" w:pos="1320"/>
          <w:tab w:val="right" w:pos="9628"/>
        </w:tabs>
        <w:spacing w:after="80"/>
        <w:rPr>
          <w:rFonts w:asciiTheme="minorHAnsi" w:eastAsiaTheme="minorEastAsia" w:hAnsiTheme="minorHAnsi" w:cstheme="minorBidi"/>
          <w:noProof/>
          <w:sz w:val="22"/>
          <w:szCs w:val="22"/>
        </w:rPr>
      </w:pPr>
      <w:hyperlink w:anchor="_Toc420394262" w:history="1">
        <w:r w:rsidR="0002186F" w:rsidRPr="0002186F">
          <w:rPr>
            <w:rStyle w:val="Hyperlink"/>
            <w:rFonts w:asciiTheme="minorHAnsi" w:hAnsiTheme="minorHAnsi"/>
            <w:noProof/>
            <w:sz w:val="22"/>
            <w:szCs w:val="22"/>
          </w:rPr>
          <w:t>3.4.1</w:t>
        </w:r>
        <w:r w:rsidR="0002186F" w:rsidRPr="0002186F">
          <w:rPr>
            <w:rFonts w:asciiTheme="minorHAnsi" w:eastAsiaTheme="minorEastAsia" w:hAnsiTheme="minorHAnsi" w:cstheme="minorBidi"/>
            <w:noProof/>
            <w:sz w:val="22"/>
            <w:szCs w:val="22"/>
          </w:rPr>
          <w:tab/>
        </w:r>
        <w:r w:rsidR="0002186F" w:rsidRPr="0002186F">
          <w:rPr>
            <w:rStyle w:val="Hyperlink"/>
            <w:rFonts w:asciiTheme="minorHAnsi" w:hAnsiTheme="minorHAnsi"/>
            <w:noProof/>
            <w:sz w:val="22"/>
            <w:szCs w:val="22"/>
          </w:rPr>
          <w:t>Obligation to enter into participation agreement</w:t>
        </w:r>
        <w:r w:rsidR="0002186F" w:rsidRPr="0002186F">
          <w:rPr>
            <w:rFonts w:asciiTheme="minorHAnsi" w:hAnsiTheme="minorHAnsi"/>
            <w:noProof/>
            <w:webHidden/>
            <w:sz w:val="22"/>
            <w:szCs w:val="22"/>
          </w:rPr>
          <w:tab/>
        </w:r>
        <w:r w:rsidR="0002186F" w:rsidRPr="0002186F">
          <w:rPr>
            <w:rFonts w:asciiTheme="minorHAnsi" w:hAnsiTheme="minorHAnsi"/>
            <w:noProof/>
            <w:webHidden/>
            <w:sz w:val="22"/>
            <w:szCs w:val="22"/>
          </w:rPr>
          <w:fldChar w:fldCharType="begin"/>
        </w:r>
        <w:r w:rsidR="0002186F" w:rsidRPr="0002186F">
          <w:rPr>
            <w:rFonts w:asciiTheme="minorHAnsi" w:hAnsiTheme="minorHAnsi"/>
            <w:noProof/>
            <w:webHidden/>
            <w:sz w:val="22"/>
            <w:szCs w:val="22"/>
          </w:rPr>
          <w:instrText xml:space="preserve"> PAGEREF _Toc420394262 \h </w:instrText>
        </w:r>
        <w:r w:rsidR="0002186F" w:rsidRPr="0002186F">
          <w:rPr>
            <w:rFonts w:asciiTheme="minorHAnsi" w:hAnsiTheme="minorHAnsi"/>
            <w:noProof/>
            <w:webHidden/>
            <w:sz w:val="22"/>
            <w:szCs w:val="22"/>
          </w:rPr>
        </w:r>
        <w:r w:rsidR="0002186F" w:rsidRPr="0002186F">
          <w:rPr>
            <w:rFonts w:asciiTheme="minorHAnsi" w:hAnsiTheme="minorHAnsi"/>
            <w:noProof/>
            <w:webHidden/>
            <w:sz w:val="22"/>
            <w:szCs w:val="22"/>
          </w:rPr>
          <w:fldChar w:fldCharType="separate"/>
        </w:r>
        <w:r w:rsidR="0002186F" w:rsidRPr="0002186F">
          <w:rPr>
            <w:rFonts w:asciiTheme="minorHAnsi" w:hAnsiTheme="minorHAnsi"/>
            <w:noProof/>
            <w:webHidden/>
            <w:sz w:val="22"/>
            <w:szCs w:val="22"/>
          </w:rPr>
          <w:t>16</w:t>
        </w:r>
        <w:r w:rsidR="0002186F" w:rsidRPr="0002186F">
          <w:rPr>
            <w:rFonts w:asciiTheme="minorHAnsi" w:hAnsiTheme="minorHAnsi"/>
            <w:noProof/>
            <w:webHidden/>
            <w:sz w:val="22"/>
            <w:szCs w:val="22"/>
          </w:rPr>
          <w:fldChar w:fldCharType="end"/>
        </w:r>
      </w:hyperlink>
    </w:p>
    <w:p w:rsidR="0002186F" w:rsidRPr="0002186F" w:rsidRDefault="009F79B1" w:rsidP="0002186F">
      <w:pPr>
        <w:pStyle w:val="TOC4"/>
        <w:tabs>
          <w:tab w:val="right" w:pos="9628"/>
        </w:tabs>
        <w:spacing w:after="80"/>
        <w:rPr>
          <w:noProof/>
        </w:rPr>
      </w:pPr>
      <w:hyperlink w:anchor="_Toc420394263" w:history="1">
        <w:r w:rsidR="0002186F" w:rsidRPr="0002186F">
          <w:rPr>
            <w:rStyle w:val="Hyperlink"/>
            <w:noProof/>
          </w:rPr>
          <w:t>Intellectual property</w:t>
        </w:r>
        <w:r w:rsidR="0002186F" w:rsidRPr="0002186F">
          <w:rPr>
            <w:noProof/>
            <w:webHidden/>
          </w:rPr>
          <w:tab/>
        </w:r>
        <w:r w:rsidR="0002186F" w:rsidRPr="0002186F">
          <w:rPr>
            <w:noProof/>
            <w:webHidden/>
          </w:rPr>
          <w:fldChar w:fldCharType="begin"/>
        </w:r>
        <w:r w:rsidR="0002186F" w:rsidRPr="0002186F">
          <w:rPr>
            <w:noProof/>
            <w:webHidden/>
          </w:rPr>
          <w:instrText xml:space="preserve"> PAGEREF _Toc420394263 \h </w:instrText>
        </w:r>
        <w:r w:rsidR="0002186F" w:rsidRPr="0002186F">
          <w:rPr>
            <w:noProof/>
            <w:webHidden/>
          </w:rPr>
        </w:r>
        <w:r w:rsidR="0002186F" w:rsidRPr="0002186F">
          <w:rPr>
            <w:noProof/>
            <w:webHidden/>
          </w:rPr>
          <w:fldChar w:fldCharType="separate"/>
        </w:r>
        <w:r w:rsidR="0002186F" w:rsidRPr="0002186F">
          <w:rPr>
            <w:noProof/>
            <w:webHidden/>
          </w:rPr>
          <w:t>16</w:t>
        </w:r>
        <w:r w:rsidR="0002186F" w:rsidRPr="0002186F">
          <w:rPr>
            <w:noProof/>
            <w:webHidden/>
          </w:rPr>
          <w:fldChar w:fldCharType="end"/>
        </w:r>
      </w:hyperlink>
    </w:p>
    <w:p w:rsidR="0002186F" w:rsidRPr="0002186F" w:rsidRDefault="009F79B1" w:rsidP="0002186F">
      <w:pPr>
        <w:pStyle w:val="TOC4"/>
        <w:tabs>
          <w:tab w:val="right" w:pos="9628"/>
        </w:tabs>
        <w:spacing w:after="80"/>
        <w:rPr>
          <w:noProof/>
        </w:rPr>
      </w:pPr>
      <w:hyperlink w:anchor="_Toc420394264" w:history="1">
        <w:r w:rsidR="0002186F" w:rsidRPr="0002186F">
          <w:rPr>
            <w:rStyle w:val="Hyperlink"/>
            <w:noProof/>
          </w:rPr>
          <w:t>Liability</w:t>
        </w:r>
        <w:r w:rsidR="0002186F" w:rsidRPr="0002186F">
          <w:rPr>
            <w:noProof/>
            <w:webHidden/>
          </w:rPr>
          <w:tab/>
        </w:r>
        <w:r w:rsidR="0002186F" w:rsidRPr="0002186F">
          <w:rPr>
            <w:noProof/>
            <w:webHidden/>
          </w:rPr>
          <w:fldChar w:fldCharType="begin"/>
        </w:r>
        <w:r w:rsidR="0002186F" w:rsidRPr="0002186F">
          <w:rPr>
            <w:noProof/>
            <w:webHidden/>
          </w:rPr>
          <w:instrText xml:space="preserve"> PAGEREF _Toc420394264 \h </w:instrText>
        </w:r>
        <w:r w:rsidR="0002186F" w:rsidRPr="0002186F">
          <w:rPr>
            <w:noProof/>
            <w:webHidden/>
          </w:rPr>
        </w:r>
        <w:r w:rsidR="0002186F" w:rsidRPr="0002186F">
          <w:rPr>
            <w:noProof/>
            <w:webHidden/>
          </w:rPr>
          <w:fldChar w:fldCharType="separate"/>
        </w:r>
        <w:r w:rsidR="0002186F" w:rsidRPr="0002186F">
          <w:rPr>
            <w:noProof/>
            <w:webHidden/>
          </w:rPr>
          <w:t>16</w:t>
        </w:r>
        <w:r w:rsidR="0002186F" w:rsidRPr="0002186F">
          <w:rPr>
            <w:noProof/>
            <w:webHidden/>
          </w:rPr>
          <w:fldChar w:fldCharType="end"/>
        </w:r>
      </w:hyperlink>
    </w:p>
    <w:p w:rsidR="0002186F" w:rsidRPr="0002186F" w:rsidRDefault="009F79B1" w:rsidP="0002186F">
      <w:pPr>
        <w:pStyle w:val="TOC4"/>
        <w:tabs>
          <w:tab w:val="right" w:pos="9628"/>
        </w:tabs>
        <w:spacing w:after="80"/>
        <w:rPr>
          <w:noProof/>
        </w:rPr>
      </w:pPr>
      <w:hyperlink w:anchor="_Toc420394265" w:history="1">
        <w:r w:rsidR="0002186F" w:rsidRPr="0002186F">
          <w:rPr>
            <w:rStyle w:val="Hyperlink"/>
            <w:noProof/>
          </w:rPr>
          <w:t>Data breach notifications</w:t>
        </w:r>
        <w:r w:rsidR="0002186F" w:rsidRPr="0002186F">
          <w:rPr>
            <w:noProof/>
            <w:webHidden/>
          </w:rPr>
          <w:tab/>
        </w:r>
        <w:r w:rsidR="0002186F" w:rsidRPr="0002186F">
          <w:rPr>
            <w:noProof/>
            <w:webHidden/>
          </w:rPr>
          <w:fldChar w:fldCharType="begin"/>
        </w:r>
        <w:r w:rsidR="0002186F" w:rsidRPr="0002186F">
          <w:rPr>
            <w:noProof/>
            <w:webHidden/>
          </w:rPr>
          <w:instrText xml:space="preserve"> PAGEREF _Toc420394265 \h </w:instrText>
        </w:r>
        <w:r w:rsidR="0002186F" w:rsidRPr="0002186F">
          <w:rPr>
            <w:noProof/>
            <w:webHidden/>
          </w:rPr>
        </w:r>
        <w:r w:rsidR="0002186F" w:rsidRPr="0002186F">
          <w:rPr>
            <w:noProof/>
            <w:webHidden/>
          </w:rPr>
          <w:fldChar w:fldCharType="separate"/>
        </w:r>
        <w:r w:rsidR="0002186F" w:rsidRPr="0002186F">
          <w:rPr>
            <w:noProof/>
            <w:webHidden/>
          </w:rPr>
          <w:t>16</w:t>
        </w:r>
        <w:r w:rsidR="0002186F" w:rsidRPr="0002186F">
          <w:rPr>
            <w:noProof/>
            <w:webHidden/>
          </w:rPr>
          <w:fldChar w:fldCharType="end"/>
        </w:r>
      </w:hyperlink>
    </w:p>
    <w:p w:rsidR="0002186F" w:rsidRPr="0002186F" w:rsidRDefault="009F79B1" w:rsidP="0002186F">
      <w:pPr>
        <w:pStyle w:val="TOC3"/>
        <w:tabs>
          <w:tab w:val="left" w:pos="1320"/>
          <w:tab w:val="right" w:pos="9628"/>
        </w:tabs>
        <w:spacing w:after="80"/>
        <w:rPr>
          <w:rFonts w:asciiTheme="minorHAnsi" w:eastAsiaTheme="minorEastAsia" w:hAnsiTheme="minorHAnsi" w:cstheme="minorBidi"/>
          <w:noProof/>
          <w:sz w:val="22"/>
          <w:szCs w:val="22"/>
        </w:rPr>
      </w:pPr>
      <w:hyperlink w:anchor="_Toc420394266" w:history="1">
        <w:r w:rsidR="0002186F" w:rsidRPr="0002186F">
          <w:rPr>
            <w:rStyle w:val="Hyperlink"/>
            <w:rFonts w:asciiTheme="minorHAnsi" w:hAnsiTheme="minorHAnsi"/>
            <w:noProof/>
            <w:sz w:val="22"/>
            <w:szCs w:val="22"/>
          </w:rPr>
          <w:t>3.4.2</w:t>
        </w:r>
        <w:r w:rsidR="0002186F" w:rsidRPr="0002186F">
          <w:rPr>
            <w:rFonts w:asciiTheme="minorHAnsi" w:eastAsiaTheme="minorEastAsia" w:hAnsiTheme="minorHAnsi" w:cstheme="minorBidi"/>
            <w:noProof/>
            <w:sz w:val="22"/>
            <w:szCs w:val="22"/>
          </w:rPr>
          <w:tab/>
        </w:r>
        <w:r w:rsidR="0002186F" w:rsidRPr="0002186F">
          <w:rPr>
            <w:rStyle w:val="Hyperlink"/>
            <w:rFonts w:asciiTheme="minorHAnsi" w:hAnsiTheme="minorHAnsi"/>
            <w:noProof/>
            <w:sz w:val="22"/>
            <w:szCs w:val="22"/>
          </w:rPr>
          <w:t>Centralising and simplifying participant obligations</w:t>
        </w:r>
        <w:r w:rsidR="0002186F" w:rsidRPr="0002186F">
          <w:rPr>
            <w:rFonts w:asciiTheme="minorHAnsi" w:hAnsiTheme="minorHAnsi"/>
            <w:noProof/>
            <w:webHidden/>
            <w:sz w:val="22"/>
            <w:szCs w:val="22"/>
          </w:rPr>
          <w:tab/>
        </w:r>
        <w:r w:rsidR="0002186F" w:rsidRPr="0002186F">
          <w:rPr>
            <w:rFonts w:asciiTheme="minorHAnsi" w:hAnsiTheme="minorHAnsi"/>
            <w:noProof/>
            <w:webHidden/>
            <w:sz w:val="22"/>
            <w:szCs w:val="22"/>
          </w:rPr>
          <w:fldChar w:fldCharType="begin"/>
        </w:r>
        <w:r w:rsidR="0002186F" w:rsidRPr="0002186F">
          <w:rPr>
            <w:rFonts w:asciiTheme="minorHAnsi" w:hAnsiTheme="minorHAnsi"/>
            <w:noProof/>
            <w:webHidden/>
            <w:sz w:val="22"/>
            <w:szCs w:val="22"/>
          </w:rPr>
          <w:instrText xml:space="preserve"> PAGEREF _Toc420394266 \h </w:instrText>
        </w:r>
        <w:r w:rsidR="0002186F" w:rsidRPr="0002186F">
          <w:rPr>
            <w:rFonts w:asciiTheme="minorHAnsi" w:hAnsiTheme="minorHAnsi"/>
            <w:noProof/>
            <w:webHidden/>
            <w:sz w:val="22"/>
            <w:szCs w:val="22"/>
          </w:rPr>
        </w:r>
        <w:r w:rsidR="0002186F" w:rsidRPr="0002186F">
          <w:rPr>
            <w:rFonts w:asciiTheme="minorHAnsi" w:hAnsiTheme="minorHAnsi"/>
            <w:noProof/>
            <w:webHidden/>
            <w:sz w:val="22"/>
            <w:szCs w:val="22"/>
          </w:rPr>
          <w:fldChar w:fldCharType="separate"/>
        </w:r>
        <w:r w:rsidR="0002186F" w:rsidRPr="0002186F">
          <w:rPr>
            <w:rFonts w:asciiTheme="minorHAnsi" w:hAnsiTheme="minorHAnsi"/>
            <w:noProof/>
            <w:webHidden/>
            <w:sz w:val="22"/>
            <w:szCs w:val="22"/>
          </w:rPr>
          <w:t>17</w:t>
        </w:r>
        <w:r w:rsidR="0002186F" w:rsidRPr="0002186F">
          <w:rPr>
            <w:rFonts w:asciiTheme="minorHAnsi" w:hAnsiTheme="minorHAnsi"/>
            <w:noProof/>
            <w:webHidden/>
            <w:sz w:val="22"/>
            <w:szCs w:val="22"/>
          </w:rPr>
          <w:fldChar w:fldCharType="end"/>
        </w:r>
      </w:hyperlink>
    </w:p>
    <w:p w:rsidR="0002186F" w:rsidRPr="0002186F" w:rsidRDefault="009F79B1" w:rsidP="0002186F">
      <w:pPr>
        <w:pStyle w:val="TOC3"/>
        <w:tabs>
          <w:tab w:val="left" w:pos="1320"/>
          <w:tab w:val="right" w:pos="9628"/>
        </w:tabs>
        <w:spacing w:after="80"/>
        <w:rPr>
          <w:rFonts w:asciiTheme="minorHAnsi" w:eastAsiaTheme="minorEastAsia" w:hAnsiTheme="minorHAnsi" w:cstheme="minorBidi"/>
          <w:noProof/>
          <w:sz w:val="22"/>
          <w:szCs w:val="22"/>
        </w:rPr>
      </w:pPr>
      <w:hyperlink w:anchor="_Toc420394267" w:history="1">
        <w:r w:rsidR="0002186F" w:rsidRPr="0002186F">
          <w:rPr>
            <w:rStyle w:val="Hyperlink"/>
            <w:rFonts w:asciiTheme="minorHAnsi" w:hAnsiTheme="minorHAnsi"/>
            <w:noProof/>
            <w:sz w:val="22"/>
            <w:szCs w:val="22"/>
          </w:rPr>
          <w:t>3.4.3</w:t>
        </w:r>
        <w:r w:rsidR="0002186F" w:rsidRPr="0002186F">
          <w:rPr>
            <w:rFonts w:asciiTheme="minorHAnsi" w:eastAsiaTheme="minorEastAsia" w:hAnsiTheme="minorHAnsi" w:cstheme="minorBidi"/>
            <w:noProof/>
            <w:sz w:val="22"/>
            <w:szCs w:val="22"/>
          </w:rPr>
          <w:tab/>
        </w:r>
        <w:r w:rsidR="0002186F" w:rsidRPr="0002186F">
          <w:rPr>
            <w:rStyle w:val="Hyperlink"/>
            <w:rFonts w:asciiTheme="minorHAnsi" w:hAnsiTheme="minorHAnsi"/>
            <w:noProof/>
            <w:sz w:val="22"/>
            <w:szCs w:val="22"/>
          </w:rPr>
          <w:t>Obligation for organisations to have PCEHR policy</w:t>
        </w:r>
        <w:r w:rsidR="0002186F" w:rsidRPr="0002186F">
          <w:rPr>
            <w:rFonts w:asciiTheme="minorHAnsi" w:hAnsiTheme="minorHAnsi"/>
            <w:noProof/>
            <w:webHidden/>
            <w:sz w:val="22"/>
            <w:szCs w:val="22"/>
          </w:rPr>
          <w:tab/>
        </w:r>
        <w:r w:rsidR="0002186F" w:rsidRPr="0002186F">
          <w:rPr>
            <w:rFonts w:asciiTheme="minorHAnsi" w:hAnsiTheme="minorHAnsi"/>
            <w:noProof/>
            <w:webHidden/>
            <w:sz w:val="22"/>
            <w:szCs w:val="22"/>
          </w:rPr>
          <w:fldChar w:fldCharType="begin"/>
        </w:r>
        <w:r w:rsidR="0002186F" w:rsidRPr="0002186F">
          <w:rPr>
            <w:rFonts w:asciiTheme="minorHAnsi" w:hAnsiTheme="minorHAnsi"/>
            <w:noProof/>
            <w:webHidden/>
            <w:sz w:val="22"/>
            <w:szCs w:val="22"/>
          </w:rPr>
          <w:instrText xml:space="preserve"> PAGEREF _Toc420394267 \h </w:instrText>
        </w:r>
        <w:r w:rsidR="0002186F" w:rsidRPr="0002186F">
          <w:rPr>
            <w:rFonts w:asciiTheme="minorHAnsi" w:hAnsiTheme="minorHAnsi"/>
            <w:noProof/>
            <w:webHidden/>
            <w:sz w:val="22"/>
            <w:szCs w:val="22"/>
          </w:rPr>
        </w:r>
        <w:r w:rsidR="0002186F" w:rsidRPr="0002186F">
          <w:rPr>
            <w:rFonts w:asciiTheme="minorHAnsi" w:hAnsiTheme="minorHAnsi"/>
            <w:noProof/>
            <w:webHidden/>
            <w:sz w:val="22"/>
            <w:szCs w:val="22"/>
          </w:rPr>
          <w:fldChar w:fldCharType="separate"/>
        </w:r>
        <w:r w:rsidR="0002186F" w:rsidRPr="0002186F">
          <w:rPr>
            <w:rFonts w:asciiTheme="minorHAnsi" w:hAnsiTheme="minorHAnsi"/>
            <w:noProof/>
            <w:webHidden/>
            <w:sz w:val="22"/>
            <w:szCs w:val="22"/>
          </w:rPr>
          <w:t>17</w:t>
        </w:r>
        <w:r w:rsidR="0002186F" w:rsidRPr="0002186F">
          <w:rPr>
            <w:rFonts w:asciiTheme="minorHAnsi" w:hAnsiTheme="minorHAnsi"/>
            <w:noProof/>
            <w:webHidden/>
            <w:sz w:val="22"/>
            <w:szCs w:val="22"/>
          </w:rPr>
          <w:fldChar w:fldCharType="end"/>
        </w:r>
      </w:hyperlink>
    </w:p>
    <w:p w:rsidR="0002186F" w:rsidRPr="0002186F" w:rsidRDefault="009F79B1" w:rsidP="0002186F">
      <w:pPr>
        <w:pStyle w:val="TOC3"/>
        <w:tabs>
          <w:tab w:val="left" w:pos="1320"/>
          <w:tab w:val="right" w:pos="9628"/>
        </w:tabs>
        <w:spacing w:after="80"/>
        <w:rPr>
          <w:rFonts w:asciiTheme="minorHAnsi" w:eastAsiaTheme="minorEastAsia" w:hAnsiTheme="minorHAnsi" w:cstheme="minorBidi"/>
          <w:noProof/>
          <w:sz w:val="22"/>
          <w:szCs w:val="22"/>
        </w:rPr>
      </w:pPr>
      <w:hyperlink w:anchor="_Toc420394268" w:history="1">
        <w:r w:rsidR="0002186F" w:rsidRPr="0002186F">
          <w:rPr>
            <w:rStyle w:val="Hyperlink"/>
            <w:rFonts w:asciiTheme="minorHAnsi" w:hAnsiTheme="minorHAnsi"/>
            <w:noProof/>
            <w:sz w:val="22"/>
            <w:szCs w:val="22"/>
          </w:rPr>
          <w:t>3.4.4</w:t>
        </w:r>
        <w:r w:rsidR="0002186F" w:rsidRPr="0002186F">
          <w:rPr>
            <w:rFonts w:asciiTheme="minorHAnsi" w:eastAsiaTheme="minorEastAsia" w:hAnsiTheme="minorHAnsi" w:cstheme="minorBidi"/>
            <w:noProof/>
            <w:sz w:val="22"/>
            <w:szCs w:val="22"/>
          </w:rPr>
          <w:tab/>
        </w:r>
        <w:r w:rsidR="0002186F" w:rsidRPr="0002186F">
          <w:rPr>
            <w:rStyle w:val="Hyperlink"/>
            <w:rFonts w:asciiTheme="minorHAnsi" w:hAnsiTheme="minorHAnsi"/>
            <w:noProof/>
            <w:sz w:val="22"/>
            <w:szCs w:val="22"/>
          </w:rPr>
          <w:t>Obligations on authorised and nominated representatives</w:t>
        </w:r>
        <w:r w:rsidR="0002186F" w:rsidRPr="0002186F">
          <w:rPr>
            <w:rFonts w:asciiTheme="minorHAnsi" w:hAnsiTheme="minorHAnsi"/>
            <w:noProof/>
            <w:webHidden/>
            <w:sz w:val="22"/>
            <w:szCs w:val="22"/>
          </w:rPr>
          <w:tab/>
        </w:r>
        <w:r w:rsidR="0002186F" w:rsidRPr="0002186F">
          <w:rPr>
            <w:rFonts w:asciiTheme="minorHAnsi" w:hAnsiTheme="minorHAnsi"/>
            <w:noProof/>
            <w:webHidden/>
            <w:sz w:val="22"/>
            <w:szCs w:val="22"/>
          </w:rPr>
          <w:fldChar w:fldCharType="begin"/>
        </w:r>
        <w:r w:rsidR="0002186F" w:rsidRPr="0002186F">
          <w:rPr>
            <w:rFonts w:asciiTheme="minorHAnsi" w:hAnsiTheme="minorHAnsi"/>
            <w:noProof/>
            <w:webHidden/>
            <w:sz w:val="22"/>
            <w:szCs w:val="22"/>
          </w:rPr>
          <w:instrText xml:space="preserve"> PAGEREF _Toc420394268 \h </w:instrText>
        </w:r>
        <w:r w:rsidR="0002186F" w:rsidRPr="0002186F">
          <w:rPr>
            <w:rFonts w:asciiTheme="minorHAnsi" w:hAnsiTheme="minorHAnsi"/>
            <w:noProof/>
            <w:webHidden/>
            <w:sz w:val="22"/>
            <w:szCs w:val="22"/>
          </w:rPr>
        </w:r>
        <w:r w:rsidR="0002186F" w:rsidRPr="0002186F">
          <w:rPr>
            <w:rFonts w:asciiTheme="minorHAnsi" w:hAnsiTheme="minorHAnsi"/>
            <w:noProof/>
            <w:webHidden/>
            <w:sz w:val="22"/>
            <w:szCs w:val="22"/>
          </w:rPr>
          <w:fldChar w:fldCharType="separate"/>
        </w:r>
        <w:r w:rsidR="0002186F" w:rsidRPr="0002186F">
          <w:rPr>
            <w:rFonts w:asciiTheme="minorHAnsi" w:hAnsiTheme="minorHAnsi"/>
            <w:noProof/>
            <w:webHidden/>
            <w:sz w:val="22"/>
            <w:szCs w:val="22"/>
          </w:rPr>
          <w:t>17</w:t>
        </w:r>
        <w:r w:rsidR="0002186F" w:rsidRPr="0002186F">
          <w:rPr>
            <w:rFonts w:asciiTheme="minorHAnsi" w:hAnsiTheme="minorHAnsi"/>
            <w:noProof/>
            <w:webHidden/>
            <w:sz w:val="22"/>
            <w:szCs w:val="22"/>
          </w:rPr>
          <w:fldChar w:fldCharType="end"/>
        </w:r>
      </w:hyperlink>
    </w:p>
    <w:p w:rsidR="0002186F" w:rsidRPr="0002186F" w:rsidRDefault="009F79B1" w:rsidP="0002186F">
      <w:pPr>
        <w:pStyle w:val="TOC3"/>
        <w:tabs>
          <w:tab w:val="left" w:pos="1320"/>
          <w:tab w:val="right" w:pos="9628"/>
        </w:tabs>
        <w:spacing w:after="80"/>
        <w:rPr>
          <w:rFonts w:asciiTheme="minorHAnsi" w:eastAsiaTheme="minorEastAsia" w:hAnsiTheme="minorHAnsi" w:cstheme="minorBidi"/>
          <w:noProof/>
          <w:sz w:val="22"/>
          <w:szCs w:val="22"/>
        </w:rPr>
      </w:pPr>
      <w:hyperlink w:anchor="_Toc420394269" w:history="1">
        <w:r w:rsidR="0002186F" w:rsidRPr="0002186F">
          <w:rPr>
            <w:rStyle w:val="Hyperlink"/>
            <w:rFonts w:asciiTheme="minorHAnsi" w:hAnsiTheme="minorHAnsi"/>
            <w:noProof/>
            <w:sz w:val="22"/>
            <w:szCs w:val="22"/>
          </w:rPr>
          <w:t>3.4.5</w:t>
        </w:r>
        <w:r w:rsidR="0002186F" w:rsidRPr="0002186F">
          <w:rPr>
            <w:rFonts w:asciiTheme="minorHAnsi" w:eastAsiaTheme="minorEastAsia" w:hAnsiTheme="minorHAnsi" w:cstheme="minorBidi"/>
            <w:noProof/>
            <w:sz w:val="22"/>
            <w:szCs w:val="22"/>
          </w:rPr>
          <w:tab/>
        </w:r>
        <w:r w:rsidR="0002186F" w:rsidRPr="0002186F">
          <w:rPr>
            <w:rStyle w:val="Hyperlink"/>
            <w:rFonts w:asciiTheme="minorHAnsi" w:hAnsiTheme="minorHAnsi"/>
            <w:noProof/>
            <w:sz w:val="22"/>
            <w:szCs w:val="22"/>
          </w:rPr>
          <w:t>Application of obligations on different types of entities</w:t>
        </w:r>
        <w:r w:rsidR="0002186F" w:rsidRPr="0002186F">
          <w:rPr>
            <w:rFonts w:asciiTheme="minorHAnsi" w:hAnsiTheme="minorHAnsi"/>
            <w:noProof/>
            <w:webHidden/>
            <w:sz w:val="22"/>
            <w:szCs w:val="22"/>
          </w:rPr>
          <w:tab/>
        </w:r>
        <w:r w:rsidR="0002186F" w:rsidRPr="0002186F">
          <w:rPr>
            <w:rFonts w:asciiTheme="minorHAnsi" w:hAnsiTheme="minorHAnsi"/>
            <w:noProof/>
            <w:webHidden/>
            <w:sz w:val="22"/>
            <w:szCs w:val="22"/>
          </w:rPr>
          <w:fldChar w:fldCharType="begin"/>
        </w:r>
        <w:r w:rsidR="0002186F" w:rsidRPr="0002186F">
          <w:rPr>
            <w:rFonts w:asciiTheme="minorHAnsi" w:hAnsiTheme="minorHAnsi"/>
            <w:noProof/>
            <w:webHidden/>
            <w:sz w:val="22"/>
            <w:szCs w:val="22"/>
          </w:rPr>
          <w:instrText xml:space="preserve"> PAGEREF _Toc420394269 \h </w:instrText>
        </w:r>
        <w:r w:rsidR="0002186F" w:rsidRPr="0002186F">
          <w:rPr>
            <w:rFonts w:asciiTheme="minorHAnsi" w:hAnsiTheme="minorHAnsi"/>
            <w:noProof/>
            <w:webHidden/>
            <w:sz w:val="22"/>
            <w:szCs w:val="22"/>
          </w:rPr>
        </w:r>
        <w:r w:rsidR="0002186F" w:rsidRPr="0002186F">
          <w:rPr>
            <w:rFonts w:asciiTheme="minorHAnsi" w:hAnsiTheme="minorHAnsi"/>
            <w:noProof/>
            <w:webHidden/>
            <w:sz w:val="22"/>
            <w:szCs w:val="22"/>
          </w:rPr>
          <w:fldChar w:fldCharType="separate"/>
        </w:r>
        <w:r w:rsidR="0002186F" w:rsidRPr="0002186F">
          <w:rPr>
            <w:rFonts w:asciiTheme="minorHAnsi" w:hAnsiTheme="minorHAnsi"/>
            <w:noProof/>
            <w:webHidden/>
            <w:sz w:val="22"/>
            <w:szCs w:val="22"/>
          </w:rPr>
          <w:t>18</w:t>
        </w:r>
        <w:r w:rsidR="0002186F" w:rsidRPr="0002186F">
          <w:rPr>
            <w:rFonts w:asciiTheme="minorHAnsi" w:hAnsiTheme="minorHAnsi"/>
            <w:noProof/>
            <w:webHidden/>
            <w:sz w:val="22"/>
            <w:szCs w:val="22"/>
          </w:rPr>
          <w:fldChar w:fldCharType="end"/>
        </w:r>
      </w:hyperlink>
    </w:p>
    <w:p w:rsidR="0002186F" w:rsidRPr="0002186F" w:rsidRDefault="009F79B1" w:rsidP="0002186F">
      <w:pPr>
        <w:pStyle w:val="TOC3"/>
        <w:tabs>
          <w:tab w:val="left" w:pos="1320"/>
          <w:tab w:val="right" w:pos="9628"/>
        </w:tabs>
        <w:spacing w:after="80"/>
        <w:rPr>
          <w:rFonts w:asciiTheme="minorHAnsi" w:eastAsiaTheme="minorEastAsia" w:hAnsiTheme="minorHAnsi" w:cstheme="minorBidi"/>
          <w:noProof/>
          <w:sz w:val="22"/>
          <w:szCs w:val="22"/>
        </w:rPr>
      </w:pPr>
      <w:hyperlink w:anchor="_Toc420394270" w:history="1">
        <w:r w:rsidR="0002186F" w:rsidRPr="0002186F">
          <w:rPr>
            <w:rStyle w:val="Hyperlink"/>
            <w:rFonts w:asciiTheme="minorHAnsi" w:hAnsiTheme="minorHAnsi"/>
            <w:noProof/>
            <w:sz w:val="22"/>
            <w:szCs w:val="22"/>
          </w:rPr>
          <w:t>3.4.6</w:t>
        </w:r>
        <w:r w:rsidR="0002186F" w:rsidRPr="0002186F">
          <w:rPr>
            <w:rFonts w:asciiTheme="minorHAnsi" w:eastAsiaTheme="minorEastAsia" w:hAnsiTheme="minorHAnsi" w:cstheme="minorBidi"/>
            <w:noProof/>
            <w:sz w:val="22"/>
            <w:szCs w:val="22"/>
          </w:rPr>
          <w:tab/>
        </w:r>
        <w:r w:rsidR="0002186F" w:rsidRPr="0002186F">
          <w:rPr>
            <w:rStyle w:val="Hyperlink"/>
            <w:rFonts w:asciiTheme="minorHAnsi" w:hAnsiTheme="minorHAnsi"/>
            <w:noProof/>
            <w:sz w:val="22"/>
            <w:szCs w:val="22"/>
          </w:rPr>
          <w:t>Obligations to use PCEHR system</w:t>
        </w:r>
        <w:r w:rsidR="0002186F" w:rsidRPr="0002186F">
          <w:rPr>
            <w:rFonts w:asciiTheme="minorHAnsi" w:hAnsiTheme="minorHAnsi"/>
            <w:noProof/>
            <w:webHidden/>
            <w:sz w:val="22"/>
            <w:szCs w:val="22"/>
          </w:rPr>
          <w:tab/>
        </w:r>
        <w:r w:rsidR="0002186F" w:rsidRPr="0002186F">
          <w:rPr>
            <w:rFonts w:asciiTheme="minorHAnsi" w:hAnsiTheme="minorHAnsi"/>
            <w:noProof/>
            <w:webHidden/>
            <w:sz w:val="22"/>
            <w:szCs w:val="22"/>
          </w:rPr>
          <w:fldChar w:fldCharType="begin"/>
        </w:r>
        <w:r w:rsidR="0002186F" w:rsidRPr="0002186F">
          <w:rPr>
            <w:rFonts w:asciiTheme="minorHAnsi" w:hAnsiTheme="minorHAnsi"/>
            <w:noProof/>
            <w:webHidden/>
            <w:sz w:val="22"/>
            <w:szCs w:val="22"/>
          </w:rPr>
          <w:instrText xml:space="preserve"> PAGEREF _Toc420394270 \h </w:instrText>
        </w:r>
        <w:r w:rsidR="0002186F" w:rsidRPr="0002186F">
          <w:rPr>
            <w:rFonts w:asciiTheme="minorHAnsi" w:hAnsiTheme="minorHAnsi"/>
            <w:noProof/>
            <w:webHidden/>
            <w:sz w:val="22"/>
            <w:szCs w:val="22"/>
          </w:rPr>
        </w:r>
        <w:r w:rsidR="0002186F" w:rsidRPr="0002186F">
          <w:rPr>
            <w:rFonts w:asciiTheme="minorHAnsi" w:hAnsiTheme="minorHAnsi"/>
            <w:noProof/>
            <w:webHidden/>
            <w:sz w:val="22"/>
            <w:szCs w:val="22"/>
          </w:rPr>
          <w:fldChar w:fldCharType="separate"/>
        </w:r>
        <w:r w:rsidR="0002186F" w:rsidRPr="0002186F">
          <w:rPr>
            <w:rFonts w:asciiTheme="minorHAnsi" w:hAnsiTheme="minorHAnsi"/>
            <w:noProof/>
            <w:webHidden/>
            <w:sz w:val="22"/>
            <w:szCs w:val="22"/>
          </w:rPr>
          <w:t>18</w:t>
        </w:r>
        <w:r w:rsidR="0002186F" w:rsidRPr="0002186F">
          <w:rPr>
            <w:rFonts w:asciiTheme="minorHAnsi" w:hAnsiTheme="minorHAnsi"/>
            <w:noProof/>
            <w:webHidden/>
            <w:sz w:val="22"/>
            <w:szCs w:val="22"/>
          </w:rPr>
          <w:fldChar w:fldCharType="end"/>
        </w:r>
      </w:hyperlink>
    </w:p>
    <w:p w:rsidR="0002186F" w:rsidRPr="0002186F" w:rsidRDefault="009F79B1" w:rsidP="0002186F">
      <w:pPr>
        <w:pStyle w:val="TOC3"/>
        <w:tabs>
          <w:tab w:val="left" w:pos="1320"/>
          <w:tab w:val="right" w:pos="9628"/>
        </w:tabs>
        <w:spacing w:after="80"/>
        <w:rPr>
          <w:rFonts w:asciiTheme="minorHAnsi" w:eastAsiaTheme="minorEastAsia" w:hAnsiTheme="minorHAnsi" w:cstheme="minorBidi"/>
          <w:noProof/>
          <w:sz w:val="22"/>
          <w:szCs w:val="22"/>
        </w:rPr>
      </w:pPr>
      <w:hyperlink w:anchor="_Toc420394271" w:history="1">
        <w:r w:rsidR="0002186F" w:rsidRPr="0002186F">
          <w:rPr>
            <w:rStyle w:val="Hyperlink"/>
            <w:rFonts w:asciiTheme="minorHAnsi" w:hAnsiTheme="minorHAnsi"/>
            <w:noProof/>
            <w:sz w:val="22"/>
            <w:szCs w:val="22"/>
          </w:rPr>
          <w:t>3.4.7</w:t>
        </w:r>
        <w:r w:rsidR="0002186F" w:rsidRPr="0002186F">
          <w:rPr>
            <w:rFonts w:asciiTheme="minorHAnsi" w:eastAsiaTheme="minorEastAsia" w:hAnsiTheme="minorHAnsi" w:cstheme="minorBidi"/>
            <w:noProof/>
            <w:sz w:val="22"/>
            <w:szCs w:val="22"/>
          </w:rPr>
          <w:tab/>
        </w:r>
        <w:r w:rsidR="0002186F" w:rsidRPr="0002186F">
          <w:rPr>
            <w:rStyle w:val="Hyperlink"/>
            <w:rFonts w:asciiTheme="minorHAnsi" w:hAnsiTheme="minorHAnsi"/>
            <w:noProof/>
            <w:sz w:val="22"/>
            <w:szCs w:val="22"/>
          </w:rPr>
          <w:t>Obligation for System Operator to notify decisions</w:t>
        </w:r>
        <w:r w:rsidR="0002186F" w:rsidRPr="0002186F">
          <w:rPr>
            <w:rFonts w:asciiTheme="minorHAnsi" w:hAnsiTheme="minorHAnsi"/>
            <w:noProof/>
            <w:webHidden/>
            <w:sz w:val="22"/>
            <w:szCs w:val="22"/>
          </w:rPr>
          <w:tab/>
        </w:r>
        <w:r w:rsidR="0002186F" w:rsidRPr="0002186F">
          <w:rPr>
            <w:rFonts w:asciiTheme="minorHAnsi" w:hAnsiTheme="minorHAnsi"/>
            <w:noProof/>
            <w:webHidden/>
            <w:sz w:val="22"/>
            <w:szCs w:val="22"/>
          </w:rPr>
          <w:fldChar w:fldCharType="begin"/>
        </w:r>
        <w:r w:rsidR="0002186F" w:rsidRPr="0002186F">
          <w:rPr>
            <w:rFonts w:asciiTheme="minorHAnsi" w:hAnsiTheme="minorHAnsi"/>
            <w:noProof/>
            <w:webHidden/>
            <w:sz w:val="22"/>
            <w:szCs w:val="22"/>
          </w:rPr>
          <w:instrText xml:space="preserve"> PAGEREF _Toc420394271 \h </w:instrText>
        </w:r>
        <w:r w:rsidR="0002186F" w:rsidRPr="0002186F">
          <w:rPr>
            <w:rFonts w:asciiTheme="minorHAnsi" w:hAnsiTheme="minorHAnsi"/>
            <w:noProof/>
            <w:webHidden/>
            <w:sz w:val="22"/>
            <w:szCs w:val="22"/>
          </w:rPr>
        </w:r>
        <w:r w:rsidR="0002186F" w:rsidRPr="0002186F">
          <w:rPr>
            <w:rFonts w:asciiTheme="minorHAnsi" w:hAnsiTheme="minorHAnsi"/>
            <w:noProof/>
            <w:webHidden/>
            <w:sz w:val="22"/>
            <w:szCs w:val="22"/>
          </w:rPr>
          <w:fldChar w:fldCharType="separate"/>
        </w:r>
        <w:r w:rsidR="0002186F" w:rsidRPr="0002186F">
          <w:rPr>
            <w:rFonts w:asciiTheme="minorHAnsi" w:hAnsiTheme="minorHAnsi"/>
            <w:noProof/>
            <w:webHidden/>
            <w:sz w:val="22"/>
            <w:szCs w:val="22"/>
          </w:rPr>
          <w:t>18</w:t>
        </w:r>
        <w:r w:rsidR="0002186F" w:rsidRPr="0002186F">
          <w:rPr>
            <w:rFonts w:asciiTheme="minorHAnsi" w:hAnsiTheme="minorHAnsi"/>
            <w:noProof/>
            <w:webHidden/>
            <w:sz w:val="22"/>
            <w:szCs w:val="22"/>
          </w:rPr>
          <w:fldChar w:fldCharType="end"/>
        </w:r>
      </w:hyperlink>
    </w:p>
    <w:p w:rsidR="0002186F" w:rsidRPr="0002186F" w:rsidRDefault="009F79B1" w:rsidP="0002186F">
      <w:pPr>
        <w:pStyle w:val="TOC3"/>
        <w:tabs>
          <w:tab w:val="left" w:pos="1320"/>
          <w:tab w:val="right" w:pos="9628"/>
        </w:tabs>
        <w:spacing w:after="80"/>
        <w:rPr>
          <w:rFonts w:asciiTheme="minorHAnsi" w:eastAsiaTheme="minorEastAsia" w:hAnsiTheme="minorHAnsi" w:cstheme="minorBidi"/>
          <w:noProof/>
          <w:sz w:val="22"/>
          <w:szCs w:val="22"/>
        </w:rPr>
      </w:pPr>
      <w:hyperlink w:anchor="_Toc420394272" w:history="1">
        <w:r w:rsidR="0002186F" w:rsidRPr="0002186F">
          <w:rPr>
            <w:rStyle w:val="Hyperlink"/>
            <w:rFonts w:asciiTheme="minorHAnsi" w:hAnsiTheme="minorHAnsi"/>
            <w:noProof/>
            <w:sz w:val="22"/>
            <w:szCs w:val="22"/>
          </w:rPr>
          <w:t>3.4.8</w:t>
        </w:r>
        <w:r w:rsidR="0002186F" w:rsidRPr="0002186F">
          <w:rPr>
            <w:rFonts w:asciiTheme="minorHAnsi" w:eastAsiaTheme="minorEastAsia" w:hAnsiTheme="minorHAnsi" w:cstheme="minorBidi"/>
            <w:noProof/>
            <w:sz w:val="22"/>
            <w:szCs w:val="22"/>
          </w:rPr>
          <w:tab/>
        </w:r>
        <w:r w:rsidR="0002186F" w:rsidRPr="0002186F">
          <w:rPr>
            <w:rStyle w:val="Hyperlink"/>
            <w:rFonts w:asciiTheme="minorHAnsi" w:hAnsiTheme="minorHAnsi"/>
            <w:noProof/>
            <w:sz w:val="22"/>
            <w:szCs w:val="22"/>
          </w:rPr>
          <w:t>Obligation for System Operator to retain records</w:t>
        </w:r>
        <w:r w:rsidR="0002186F" w:rsidRPr="0002186F">
          <w:rPr>
            <w:rFonts w:asciiTheme="minorHAnsi" w:hAnsiTheme="minorHAnsi"/>
            <w:noProof/>
            <w:webHidden/>
            <w:sz w:val="22"/>
            <w:szCs w:val="22"/>
          </w:rPr>
          <w:tab/>
        </w:r>
        <w:r w:rsidR="0002186F" w:rsidRPr="0002186F">
          <w:rPr>
            <w:rFonts w:asciiTheme="minorHAnsi" w:hAnsiTheme="minorHAnsi"/>
            <w:noProof/>
            <w:webHidden/>
            <w:sz w:val="22"/>
            <w:szCs w:val="22"/>
          </w:rPr>
          <w:fldChar w:fldCharType="begin"/>
        </w:r>
        <w:r w:rsidR="0002186F" w:rsidRPr="0002186F">
          <w:rPr>
            <w:rFonts w:asciiTheme="minorHAnsi" w:hAnsiTheme="minorHAnsi"/>
            <w:noProof/>
            <w:webHidden/>
            <w:sz w:val="22"/>
            <w:szCs w:val="22"/>
          </w:rPr>
          <w:instrText xml:space="preserve"> PAGEREF _Toc420394272 \h </w:instrText>
        </w:r>
        <w:r w:rsidR="0002186F" w:rsidRPr="0002186F">
          <w:rPr>
            <w:rFonts w:asciiTheme="minorHAnsi" w:hAnsiTheme="minorHAnsi"/>
            <w:noProof/>
            <w:webHidden/>
            <w:sz w:val="22"/>
            <w:szCs w:val="22"/>
          </w:rPr>
        </w:r>
        <w:r w:rsidR="0002186F" w:rsidRPr="0002186F">
          <w:rPr>
            <w:rFonts w:asciiTheme="minorHAnsi" w:hAnsiTheme="minorHAnsi"/>
            <w:noProof/>
            <w:webHidden/>
            <w:sz w:val="22"/>
            <w:szCs w:val="22"/>
          </w:rPr>
          <w:fldChar w:fldCharType="separate"/>
        </w:r>
        <w:r w:rsidR="0002186F" w:rsidRPr="0002186F">
          <w:rPr>
            <w:rFonts w:asciiTheme="minorHAnsi" w:hAnsiTheme="minorHAnsi"/>
            <w:noProof/>
            <w:webHidden/>
            <w:sz w:val="22"/>
            <w:szCs w:val="22"/>
          </w:rPr>
          <w:t>19</w:t>
        </w:r>
        <w:r w:rsidR="0002186F" w:rsidRPr="0002186F">
          <w:rPr>
            <w:rFonts w:asciiTheme="minorHAnsi" w:hAnsiTheme="minorHAnsi"/>
            <w:noProof/>
            <w:webHidden/>
            <w:sz w:val="22"/>
            <w:szCs w:val="22"/>
          </w:rPr>
          <w:fldChar w:fldCharType="end"/>
        </w:r>
      </w:hyperlink>
    </w:p>
    <w:p w:rsidR="0002186F" w:rsidRPr="0002186F" w:rsidRDefault="009F79B1" w:rsidP="0002186F">
      <w:pPr>
        <w:pStyle w:val="TOC3"/>
        <w:tabs>
          <w:tab w:val="left" w:pos="1320"/>
          <w:tab w:val="right" w:pos="9628"/>
        </w:tabs>
        <w:spacing w:after="80"/>
        <w:rPr>
          <w:rFonts w:asciiTheme="minorHAnsi" w:eastAsiaTheme="minorEastAsia" w:hAnsiTheme="minorHAnsi" w:cstheme="minorBidi"/>
          <w:noProof/>
          <w:sz w:val="22"/>
          <w:szCs w:val="22"/>
        </w:rPr>
      </w:pPr>
      <w:hyperlink w:anchor="_Toc420394273" w:history="1">
        <w:r w:rsidR="0002186F" w:rsidRPr="0002186F">
          <w:rPr>
            <w:rStyle w:val="Hyperlink"/>
            <w:rFonts w:asciiTheme="minorHAnsi" w:hAnsiTheme="minorHAnsi"/>
            <w:noProof/>
            <w:sz w:val="22"/>
            <w:szCs w:val="22"/>
          </w:rPr>
          <w:t>3.4.9</w:t>
        </w:r>
        <w:r w:rsidR="0002186F" w:rsidRPr="0002186F">
          <w:rPr>
            <w:rFonts w:asciiTheme="minorHAnsi" w:eastAsiaTheme="minorEastAsia" w:hAnsiTheme="minorHAnsi" w:cstheme="minorBidi"/>
            <w:noProof/>
            <w:sz w:val="22"/>
            <w:szCs w:val="22"/>
          </w:rPr>
          <w:tab/>
        </w:r>
        <w:r w:rsidR="0002186F" w:rsidRPr="0002186F">
          <w:rPr>
            <w:rStyle w:val="Hyperlink"/>
            <w:rFonts w:asciiTheme="minorHAnsi" w:hAnsiTheme="minorHAnsi"/>
            <w:noProof/>
            <w:sz w:val="22"/>
            <w:szCs w:val="22"/>
          </w:rPr>
          <w:t>Obligation for System Operator to provide system testing</w:t>
        </w:r>
        <w:r w:rsidR="0002186F" w:rsidRPr="0002186F">
          <w:rPr>
            <w:rFonts w:asciiTheme="minorHAnsi" w:hAnsiTheme="minorHAnsi"/>
            <w:noProof/>
            <w:webHidden/>
            <w:sz w:val="22"/>
            <w:szCs w:val="22"/>
          </w:rPr>
          <w:tab/>
        </w:r>
        <w:r w:rsidR="0002186F" w:rsidRPr="0002186F">
          <w:rPr>
            <w:rFonts w:asciiTheme="minorHAnsi" w:hAnsiTheme="minorHAnsi"/>
            <w:noProof/>
            <w:webHidden/>
            <w:sz w:val="22"/>
            <w:szCs w:val="22"/>
          </w:rPr>
          <w:fldChar w:fldCharType="begin"/>
        </w:r>
        <w:r w:rsidR="0002186F" w:rsidRPr="0002186F">
          <w:rPr>
            <w:rFonts w:asciiTheme="minorHAnsi" w:hAnsiTheme="minorHAnsi"/>
            <w:noProof/>
            <w:webHidden/>
            <w:sz w:val="22"/>
            <w:szCs w:val="22"/>
          </w:rPr>
          <w:instrText xml:space="preserve"> PAGEREF _Toc420394273 \h </w:instrText>
        </w:r>
        <w:r w:rsidR="0002186F" w:rsidRPr="0002186F">
          <w:rPr>
            <w:rFonts w:asciiTheme="minorHAnsi" w:hAnsiTheme="minorHAnsi"/>
            <w:noProof/>
            <w:webHidden/>
            <w:sz w:val="22"/>
            <w:szCs w:val="22"/>
          </w:rPr>
        </w:r>
        <w:r w:rsidR="0002186F" w:rsidRPr="0002186F">
          <w:rPr>
            <w:rFonts w:asciiTheme="minorHAnsi" w:hAnsiTheme="minorHAnsi"/>
            <w:noProof/>
            <w:webHidden/>
            <w:sz w:val="22"/>
            <w:szCs w:val="22"/>
          </w:rPr>
          <w:fldChar w:fldCharType="separate"/>
        </w:r>
        <w:r w:rsidR="0002186F" w:rsidRPr="0002186F">
          <w:rPr>
            <w:rFonts w:asciiTheme="minorHAnsi" w:hAnsiTheme="minorHAnsi"/>
            <w:noProof/>
            <w:webHidden/>
            <w:sz w:val="22"/>
            <w:szCs w:val="22"/>
          </w:rPr>
          <w:t>19</w:t>
        </w:r>
        <w:r w:rsidR="0002186F" w:rsidRPr="0002186F">
          <w:rPr>
            <w:rFonts w:asciiTheme="minorHAnsi" w:hAnsiTheme="minorHAnsi"/>
            <w:noProof/>
            <w:webHidden/>
            <w:sz w:val="22"/>
            <w:szCs w:val="22"/>
          </w:rPr>
          <w:fldChar w:fldCharType="end"/>
        </w:r>
      </w:hyperlink>
    </w:p>
    <w:p w:rsidR="0002186F" w:rsidRPr="0002186F" w:rsidRDefault="009F79B1" w:rsidP="0002186F">
      <w:pPr>
        <w:pStyle w:val="TOC2"/>
        <w:rPr>
          <w:rFonts w:asciiTheme="minorHAnsi" w:eastAsiaTheme="minorEastAsia" w:hAnsiTheme="minorHAnsi" w:cstheme="minorBidi"/>
          <w:noProof/>
          <w:sz w:val="22"/>
          <w:szCs w:val="22"/>
        </w:rPr>
      </w:pPr>
      <w:hyperlink w:anchor="_Toc420394274" w:history="1">
        <w:r w:rsidR="0002186F" w:rsidRPr="0002186F">
          <w:rPr>
            <w:rStyle w:val="Hyperlink"/>
            <w:rFonts w:asciiTheme="minorHAnsi" w:hAnsiTheme="minorHAnsi"/>
            <w:noProof/>
            <w:sz w:val="22"/>
            <w:szCs w:val="22"/>
          </w:rPr>
          <w:t>3.5</w:t>
        </w:r>
        <w:r w:rsidR="0002186F" w:rsidRPr="0002186F">
          <w:rPr>
            <w:rFonts w:asciiTheme="minorHAnsi" w:eastAsiaTheme="minorEastAsia" w:hAnsiTheme="minorHAnsi" w:cstheme="minorBidi"/>
            <w:noProof/>
            <w:sz w:val="22"/>
            <w:szCs w:val="22"/>
          </w:rPr>
          <w:tab/>
        </w:r>
        <w:r w:rsidR="0002186F" w:rsidRPr="0002186F">
          <w:rPr>
            <w:rStyle w:val="Hyperlink"/>
            <w:rFonts w:asciiTheme="minorHAnsi" w:hAnsiTheme="minorHAnsi"/>
            <w:noProof/>
            <w:sz w:val="22"/>
            <w:szCs w:val="22"/>
          </w:rPr>
          <w:t>Privacy</w:t>
        </w:r>
        <w:r w:rsidR="0002186F" w:rsidRPr="0002186F">
          <w:rPr>
            <w:rFonts w:asciiTheme="minorHAnsi" w:hAnsiTheme="minorHAnsi"/>
            <w:noProof/>
            <w:webHidden/>
            <w:sz w:val="22"/>
            <w:szCs w:val="22"/>
          </w:rPr>
          <w:tab/>
        </w:r>
        <w:r w:rsidR="0002186F" w:rsidRPr="0002186F">
          <w:rPr>
            <w:rFonts w:asciiTheme="minorHAnsi" w:hAnsiTheme="minorHAnsi"/>
            <w:noProof/>
            <w:webHidden/>
            <w:sz w:val="22"/>
            <w:szCs w:val="22"/>
          </w:rPr>
          <w:fldChar w:fldCharType="begin"/>
        </w:r>
        <w:r w:rsidR="0002186F" w:rsidRPr="0002186F">
          <w:rPr>
            <w:rFonts w:asciiTheme="minorHAnsi" w:hAnsiTheme="minorHAnsi"/>
            <w:noProof/>
            <w:webHidden/>
            <w:sz w:val="22"/>
            <w:szCs w:val="22"/>
          </w:rPr>
          <w:instrText xml:space="preserve"> PAGEREF _Toc420394274 \h </w:instrText>
        </w:r>
        <w:r w:rsidR="0002186F" w:rsidRPr="0002186F">
          <w:rPr>
            <w:rFonts w:asciiTheme="minorHAnsi" w:hAnsiTheme="minorHAnsi"/>
            <w:noProof/>
            <w:webHidden/>
            <w:sz w:val="22"/>
            <w:szCs w:val="22"/>
          </w:rPr>
        </w:r>
        <w:r w:rsidR="0002186F" w:rsidRPr="0002186F">
          <w:rPr>
            <w:rFonts w:asciiTheme="minorHAnsi" w:hAnsiTheme="minorHAnsi"/>
            <w:noProof/>
            <w:webHidden/>
            <w:sz w:val="22"/>
            <w:szCs w:val="22"/>
          </w:rPr>
          <w:fldChar w:fldCharType="separate"/>
        </w:r>
        <w:r w:rsidR="0002186F" w:rsidRPr="0002186F">
          <w:rPr>
            <w:rFonts w:asciiTheme="minorHAnsi" w:hAnsiTheme="minorHAnsi"/>
            <w:noProof/>
            <w:webHidden/>
            <w:sz w:val="22"/>
            <w:szCs w:val="22"/>
          </w:rPr>
          <w:t>19</w:t>
        </w:r>
        <w:r w:rsidR="0002186F" w:rsidRPr="0002186F">
          <w:rPr>
            <w:rFonts w:asciiTheme="minorHAnsi" w:hAnsiTheme="minorHAnsi"/>
            <w:noProof/>
            <w:webHidden/>
            <w:sz w:val="22"/>
            <w:szCs w:val="22"/>
          </w:rPr>
          <w:fldChar w:fldCharType="end"/>
        </w:r>
      </w:hyperlink>
    </w:p>
    <w:p w:rsidR="0002186F" w:rsidRPr="0002186F" w:rsidRDefault="009F79B1" w:rsidP="0002186F">
      <w:pPr>
        <w:pStyle w:val="TOC3"/>
        <w:tabs>
          <w:tab w:val="left" w:pos="1320"/>
          <w:tab w:val="right" w:pos="9628"/>
        </w:tabs>
        <w:spacing w:after="80"/>
        <w:rPr>
          <w:rFonts w:asciiTheme="minorHAnsi" w:eastAsiaTheme="minorEastAsia" w:hAnsiTheme="minorHAnsi" w:cstheme="minorBidi"/>
          <w:noProof/>
          <w:sz w:val="22"/>
          <w:szCs w:val="22"/>
        </w:rPr>
      </w:pPr>
      <w:hyperlink w:anchor="_Toc420394275" w:history="1">
        <w:r w:rsidR="0002186F" w:rsidRPr="0002186F">
          <w:rPr>
            <w:rStyle w:val="Hyperlink"/>
            <w:rFonts w:asciiTheme="minorHAnsi" w:hAnsiTheme="minorHAnsi"/>
            <w:noProof/>
            <w:sz w:val="22"/>
            <w:szCs w:val="22"/>
          </w:rPr>
          <w:t>3.5.1</w:t>
        </w:r>
        <w:r w:rsidR="0002186F" w:rsidRPr="0002186F">
          <w:rPr>
            <w:rFonts w:asciiTheme="minorHAnsi" w:eastAsiaTheme="minorEastAsia" w:hAnsiTheme="minorHAnsi" w:cstheme="minorBidi"/>
            <w:noProof/>
            <w:sz w:val="22"/>
            <w:szCs w:val="22"/>
          </w:rPr>
          <w:tab/>
        </w:r>
        <w:r w:rsidR="0002186F" w:rsidRPr="0002186F">
          <w:rPr>
            <w:rStyle w:val="Hyperlink"/>
            <w:rFonts w:asciiTheme="minorHAnsi" w:hAnsiTheme="minorHAnsi"/>
            <w:noProof/>
            <w:sz w:val="22"/>
            <w:szCs w:val="22"/>
          </w:rPr>
          <w:t>Notification of PCEHR use</w:t>
        </w:r>
        <w:r w:rsidR="0002186F" w:rsidRPr="0002186F">
          <w:rPr>
            <w:rFonts w:asciiTheme="minorHAnsi" w:hAnsiTheme="minorHAnsi"/>
            <w:noProof/>
            <w:webHidden/>
            <w:sz w:val="22"/>
            <w:szCs w:val="22"/>
          </w:rPr>
          <w:tab/>
        </w:r>
        <w:r w:rsidR="0002186F" w:rsidRPr="0002186F">
          <w:rPr>
            <w:rFonts w:asciiTheme="minorHAnsi" w:hAnsiTheme="minorHAnsi"/>
            <w:noProof/>
            <w:webHidden/>
            <w:sz w:val="22"/>
            <w:szCs w:val="22"/>
          </w:rPr>
          <w:fldChar w:fldCharType="begin"/>
        </w:r>
        <w:r w:rsidR="0002186F" w:rsidRPr="0002186F">
          <w:rPr>
            <w:rFonts w:asciiTheme="minorHAnsi" w:hAnsiTheme="minorHAnsi"/>
            <w:noProof/>
            <w:webHidden/>
            <w:sz w:val="22"/>
            <w:szCs w:val="22"/>
          </w:rPr>
          <w:instrText xml:space="preserve"> PAGEREF _Toc420394275 \h </w:instrText>
        </w:r>
        <w:r w:rsidR="0002186F" w:rsidRPr="0002186F">
          <w:rPr>
            <w:rFonts w:asciiTheme="minorHAnsi" w:hAnsiTheme="minorHAnsi"/>
            <w:noProof/>
            <w:webHidden/>
            <w:sz w:val="22"/>
            <w:szCs w:val="22"/>
          </w:rPr>
        </w:r>
        <w:r w:rsidR="0002186F" w:rsidRPr="0002186F">
          <w:rPr>
            <w:rFonts w:asciiTheme="minorHAnsi" w:hAnsiTheme="minorHAnsi"/>
            <w:noProof/>
            <w:webHidden/>
            <w:sz w:val="22"/>
            <w:szCs w:val="22"/>
          </w:rPr>
          <w:fldChar w:fldCharType="separate"/>
        </w:r>
        <w:r w:rsidR="0002186F" w:rsidRPr="0002186F">
          <w:rPr>
            <w:rFonts w:asciiTheme="minorHAnsi" w:hAnsiTheme="minorHAnsi"/>
            <w:noProof/>
            <w:webHidden/>
            <w:sz w:val="22"/>
            <w:szCs w:val="22"/>
          </w:rPr>
          <w:t>19</w:t>
        </w:r>
        <w:r w:rsidR="0002186F" w:rsidRPr="0002186F">
          <w:rPr>
            <w:rFonts w:asciiTheme="minorHAnsi" w:hAnsiTheme="minorHAnsi"/>
            <w:noProof/>
            <w:webHidden/>
            <w:sz w:val="22"/>
            <w:szCs w:val="22"/>
          </w:rPr>
          <w:fldChar w:fldCharType="end"/>
        </w:r>
      </w:hyperlink>
    </w:p>
    <w:p w:rsidR="0002186F" w:rsidRPr="0002186F" w:rsidRDefault="009F79B1" w:rsidP="0002186F">
      <w:pPr>
        <w:pStyle w:val="TOC3"/>
        <w:tabs>
          <w:tab w:val="left" w:pos="1320"/>
          <w:tab w:val="right" w:pos="9628"/>
        </w:tabs>
        <w:spacing w:after="80"/>
        <w:rPr>
          <w:rFonts w:asciiTheme="minorHAnsi" w:eastAsiaTheme="minorEastAsia" w:hAnsiTheme="minorHAnsi" w:cstheme="minorBidi"/>
          <w:noProof/>
          <w:sz w:val="22"/>
          <w:szCs w:val="22"/>
        </w:rPr>
      </w:pPr>
      <w:hyperlink w:anchor="_Toc420394276" w:history="1">
        <w:r w:rsidR="0002186F" w:rsidRPr="0002186F">
          <w:rPr>
            <w:rStyle w:val="Hyperlink"/>
            <w:rFonts w:asciiTheme="minorHAnsi" w:hAnsiTheme="minorHAnsi"/>
            <w:noProof/>
            <w:sz w:val="22"/>
            <w:szCs w:val="22"/>
          </w:rPr>
          <w:t>3.5.2</w:t>
        </w:r>
        <w:r w:rsidR="0002186F" w:rsidRPr="0002186F">
          <w:rPr>
            <w:rFonts w:asciiTheme="minorHAnsi" w:eastAsiaTheme="minorEastAsia" w:hAnsiTheme="minorHAnsi" w:cstheme="minorBidi"/>
            <w:noProof/>
            <w:sz w:val="22"/>
            <w:szCs w:val="22"/>
          </w:rPr>
          <w:tab/>
        </w:r>
        <w:r w:rsidR="0002186F" w:rsidRPr="0002186F">
          <w:rPr>
            <w:rStyle w:val="Hyperlink"/>
            <w:rFonts w:asciiTheme="minorHAnsi" w:hAnsiTheme="minorHAnsi"/>
            <w:noProof/>
            <w:sz w:val="22"/>
            <w:szCs w:val="22"/>
          </w:rPr>
          <w:t>Temporary suspension of access to a PCEHR</w:t>
        </w:r>
        <w:r w:rsidR="0002186F" w:rsidRPr="0002186F">
          <w:rPr>
            <w:rFonts w:asciiTheme="minorHAnsi" w:hAnsiTheme="minorHAnsi"/>
            <w:noProof/>
            <w:webHidden/>
            <w:sz w:val="22"/>
            <w:szCs w:val="22"/>
          </w:rPr>
          <w:tab/>
        </w:r>
        <w:r w:rsidR="0002186F" w:rsidRPr="0002186F">
          <w:rPr>
            <w:rFonts w:asciiTheme="minorHAnsi" w:hAnsiTheme="minorHAnsi"/>
            <w:noProof/>
            <w:webHidden/>
            <w:sz w:val="22"/>
            <w:szCs w:val="22"/>
          </w:rPr>
          <w:fldChar w:fldCharType="begin"/>
        </w:r>
        <w:r w:rsidR="0002186F" w:rsidRPr="0002186F">
          <w:rPr>
            <w:rFonts w:asciiTheme="minorHAnsi" w:hAnsiTheme="minorHAnsi"/>
            <w:noProof/>
            <w:webHidden/>
            <w:sz w:val="22"/>
            <w:szCs w:val="22"/>
          </w:rPr>
          <w:instrText xml:space="preserve"> PAGEREF _Toc420394276 \h </w:instrText>
        </w:r>
        <w:r w:rsidR="0002186F" w:rsidRPr="0002186F">
          <w:rPr>
            <w:rFonts w:asciiTheme="minorHAnsi" w:hAnsiTheme="minorHAnsi"/>
            <w:noProof/>
            <w:webHidden/>
            <w:sz w:val="22"/>
            <w:szCs w:val="22"/>
          </w:rPr>
        </w:r>
        <w:r w:rsidR="0002186F" w:rsidRPr="0002186F">
          <w:rPr>
            <w:rFonts w:asciiTheme="minorHAnsi" w:hAnsiTheme="minorHAnsi"/>
            <w:noProof/>
            <w:webHidden/>
            <w:sz w:val="22"/>
            <w:szCs w:val="22"/>
          </w:rPr>
          <w:fldChar w:fldCharType="separate"/>
        </w:r>
        <w:r w:rsidR="0002186F" w:rsidRPr="0002186F">
          <w:rPr>
            <w:rFonts w:asciiTheme="minorHAnsi" w:hAnsiTheme="minorHAnsi"/>
            <w:noProof/>
            <w:webHidden/>
            <w:sz w:val="22"/>
            <w:szCs w:val="22"/>
          </w:rPr>
          <w:t>20</w:t>
        </w:r>
        <w:r w:rsidR="0002186F" w:rsidRPr="0002186F">
          <w:rPr>
            <w:rFonts w:asciiTheme="minorHAnsi" w:hAnsiTheme="minorHAnsi"/>
            <w:noProof/>
            <w:webHidden/>
            <w:sz w:val="22"/>
            <w:szCs w:val="22"/>
          </w:rPr>
          <w:fldChar w:fldCharType="end"/>
        </w:r>
      </w:hyperlink>
    </w:p>
    <w:p w:rsidR="0002186F" w:rsidRPr="0002186F" w:rsidRDefault="009F79B1" w:rsidP="0002186F">
      <w:pPr>
        <w:pStyle w:val="TOC3"/>
        <w:tabs>
          <w:tab w:val="left" w:pos="1320"/>
          <w:tab w:val="right" w:pos="9628"/>
        </w:tabs>
        <w:spacing w:after="80"/>
        <w:rPr>
          <w:rFonts w:asciiTheme="minorHAnsi" w:eastAsiaTheme="minorEastAsia" w:hAnsiTheme="minorHAnsi" w:cstheme="minorBidi"/>
          <w:noProof/>
          <w:sz w:val="22"/>
          <w:szCs w:val="22"/>
        </w:rPr>
      </w:pPr>
      <w:hyperlink w:anchor="_Toc420394277" w:history="1">
        <w:r w:rsidR="0002186F" w:rsidRPr="0002186F">
          <w:rPr>
            <w:rStyle w:val="Hyperlink"/>
            <w:rFonts w:asciiTheme="minorHAnsi" w:hAnsiTheme="minorHAnsi"/>
            <w:noProof/>
            <w:sz w:val="22"/>
            <w:szCs w:val="22"/>
          </w:rPr>
          <w:t>3.5.3</w:t>
        </w:r>
        <w:r w:rsidR="0002186F" w:rsidRPr="0002186F">
          <w:rPr>
            <w:rFonts w:asciiTheme="minorHAnsi" w:eastAsiaTheme="minorEastAsia" w:hAnsiTheme="minorHAnsi" w:cstheme="minorBidi"/>
            <w:noProof/>
            <w:sz w:val="22"/>
            <w:szCs w:val="22"/>
          </w:rPr>
          <w:tab/>
        </w:r>
        <w:r w:rsidR="0002186F" w:rsidRPr="0002186F">
          <w:rPr>
            <w:rStyle w:val="Hyperlink"/>
            <w:rFonts w:asciiTheme="minorHAnsi" w:hAnsiTheme="minorHAnsi"/>
            <w:noProof/>
            <w:sz w:val="22"/>
            <w:szCs w:val="22"/>
          </w:rPr>
          <w:t>Collection, use and disclosure of information</w:t>
        </w:r>
        <w:r w:rsidR="0002186F" w:rsidRPr="0002186F">
          <w:rPr>
            <w:rFonts w:asciiTheme="minorHAnsi" w:hAnsiTheme="minorHAnsi"/>
            <w:noProof/>
            <w:webHidden/>
            <w:sz w:val="22"/>
            <w:szCs w:val="22"/>
          </w:rPr>
          <w:tab/>
        </w:r>
        <w:r w:rsidR="0002186F" w:rsidRPr="0002186F">
          <w:rPr>
            <w:rFonts w:asciiTheme="minorHAnsi" w:hAnsiTheme="minorHAnsi"/>
            <w:noProof/>
            <w:webHidden/>
            <w:sz w:val="22"/>
            <w:szCs w:val="22"/>
          </w:rPr>
          <w:fldChar w:fldCharType="begin"/>
        </w:r>
        <w:r w:rsidR="0002186F" w:rsidRPr="0002186F">
          <w:rPr>
            <w:rFonts w:asciiTheme="minorHAnsi" w:hAnsiTheme="minorHAnsi"/>
            <w:noProof/>
            <w:webHidden/>
            <w:sz w:val="22"/>
            <w:szCs w:val="22"/>
          </w:rPr>
          <w:instrText xml:space="preserve"> PAGEREF _Toc420394277 \h </w:instrText>
        </w:r>
        <w:r w:rsidR="0002186F" w:rsidRPr="0002186F">
          <w:rPr>
            <w:rFonts w:asciiTheme="minorHAnsi" w:hAnsiTheme="minorHAnsi"/>
            <w:noProof/>
            <w:webHidden/>
            <w:sz w:val="22"/>
            <w:szCs w:val="22"/>
          </w:rPr>
        </w:r>
        <w:r w:rsidR="0002186F" w:rsidRPr="0002186F">
          <w:rPr>
            <w:rFonts w:asciiTheme="minorHAnsi" w:hAnsiTheme="minorHAnsi"/>
            <w:noProof/>
            <w:webHidden/>
            <w:sz w:val="22"/>
            <w:szCs w:val="22"/>
          </w:rPr>
          <w:fldChar w:fldCharType="separate"/>
        </w:r>
        <w:r w:rsidR="0002186F" w:rsidRPr="0002186F">
          <w:rPr>
            <w:rFonts w:asciiTheme="minorHAnsi" w:hAnsiTheme="minorHAnsi"/>
            <w:noProof/>
            <w:webHidden/>
            <w:sz w:val="22"/>
            <w:szCs w:val="22"/>
          </w:rPr>
          <w:t>20</w:t>
        </w:r>
        <w:r w:rsidR="0002186F" w:rsidRPr="0002186F">
          <w:rPr>
            <w:rFonts w:asciiTheme="minorHAnsi" w:hAnsiTheme="minorHAnsi"/>
            <w:noProof/>
            <w:webHidden/>
            <w:sz w:val="22"/>
            <w:szCs w:val="22"/>
          </w:rPr>
          <w:fldChar w:fldCharType="end"/>
        </w:r>
      </w:hyperlink>
    </w:p>
    <w:p w:rsidR="0002186F" w:rsidRPr="0002186F" w:rsidRDefault="009F79B1" w:rsidP="0002186F">
      <w:pPr>
        <w:pStyle w:val="TOC4"/>
        <w:tabs>
          <w:tab w:val="right" w:pos="9628"/>
        </w:tabs>
        <w:spacing w:after="80"/>
        <w:rPr>
          <w:noProof/>
        </w:rPr>
      </w:pPr>
      <w:hyperlink w:anchor="_Toc420394278" w:history="1">
        <w:r w:rsidR="0002186F" w:rsidRPr="0002186F">
          <w:rPr>
            <w:rStyle w:val="Hyperlink"/>
            <w:noProof/>
          </w:rPr>
          <w:t>Third party information</w:t>
        </w:r>
        <w:r w:rsidR="0002186F" w:rsidRPr="0002186F">
          <w:rPr>
            <w:noProof/>
            <w:webHidden/>
          </w:rPr>
          <w:tab/>
        </w:r>
        <w:r w:rsidR="0002186F" w:rsidRPr="0002186F">
          <w:rPr>
            <w:noProof/>
            <w:webHidden/>
          </w:rPr>
          <w:fldChar w:fldCharType="begin"/>
        </w:r>
        <w:r w:rsidR="0002186F" w:rsidRPr="0002186F">
          <w:rPr>
            <w:noProof/>
            <w:webHidden/>
          </w:rPr>
          <w:instrText xml:space="preserve"> PAGEREF _Toc420394278 \h </w:instrText>
        </w:r>
        <w:r w:rsidR="0002186F" w:rsidRPr="0002186F">
          <w:rPr>
            <w:noProof/>
            <w:webHidden/>
          </w:rPr>
        </w:r>
        <w:r w:rsidR="0002186F" w:rsidRPr="0002186F">
          <w:rPr>
            <w:noProof/>
            <w:webHidden/>
          </w:rPr>
          <w:fldChar w:fldCharType="separate"/>
        </w:r>
        <w:r w:rsidR="0002186F" w:rsidRPr="0002186F">
          <w:rPr>
            <w:noProof/>
            <w:webHidden/>
          </w:rPr>
          <w:t>20</w:t>
        </w:r>
        <w:r w:rsidR="0002186F" w:rsidRPr="0002186F">
          <w:rPr>
            <w:noProof/>
            <w:webHidden/>
          </w:rPr>
          <w:fldChar w:fldCharType="end"/>
        </w:r>
      </w:hyperlink>
    </w:p>
    <w:p w:rsidR="0002186F" w:rsidRPr="0002186F" w:rsidRDefault="009F79B1" w:rsidP="0002186F">
      <w:pPr>
        <w:pStyle w:val="TOC4"/>
        <w:tabs>
          <w:tab w:val="right" w:pos="9628"/>
        </w:tabs>
        <w:spacing w:after="80"/>
        <w:rPr>
          <w:noProof/>
        </w:rPr>
      </w:pPr>
      <w:hyperlink w:anchor="_Toc420394279" w:history="1">
        <w:r w:rsidR="0002186F" w:rsidRPr="0002186F">
          <w:rPr>
            <w:rStyle w:val="Hyperlink"/>
            <w:noProof/>
          </w:rPr>
          <w:t>Healthcare Provider Directory (HPD)</w:t>
        </w:r>
        <w:r w:rsidR="0002186F" w:rsidRPr="0002186F">
          <w:rPr>
            <w:noProof/>
            <w:webHidden/>
          </w:rPr>
          <w:tab/>
        </w:r>
        <w:r w:rsidR="0002186F" w:rsidRPr="0002186F">
          <w:rPr>
            <w:noProof/>
            <w:webHidden/>
          </w:rPr>
          <w:fldChar w:fldCharType="begin"/>
        </w:r>
        <w:r w:rsidR="0002186F" w:rsidRPr="0002186F">
          <w:rPr>
            <w:noProof/>
            <w:webHidden/>
          </w:rPr>
          <w:instrText xml:space="preserve"> PAGEREF _Toc420394279 \h </w:instrText>
        </w:r>
        <w:r w:rsidR="0002186F" w:rsidRPr="0002186F">
          <w:rPr>
            <w:noProof/>
            <w:webHidden/>
          </w:rPr>
        </w:r>
        <w:r w:rsidR="0002186F" w:rsidRPr="0002186F">
          <w:rPr>
            <w:noProof/>
            <w:webHidden/>
          </w:rPr>
          <w:fldChar w:fldCharType="separate"/>
        </w:r>
        <w:r w:rsidR="0002186F" w:rsidRPr="0002186F">
          <w:rPr>
            <w:noProof/>
            <w:webHidden/>
          </w:rPr>
          <w:t>20</w:t>
        </w:r>
        <w:r w:rsidR="0002186F" w:rsidRPr="0002186F">
          <w:rPr>
            <w:noProof/>
            <w:webHidden/>
          </w:rPr>
          <w:fldChar w:fldCharType="end"/>
        </w:r>
      </w:hyperlink>
    </w:p>
    <w:p w:rsidR="0002186F" w:rsidRPr="0002186F" w:rsidRDefault="009F79B1" w:rsidP="0002186F">
      <w:pPr>
        <w:pStyle w:val="TOC4"/>
        <w:tabs>
          <w:tab w:val="right" w:pos="9628"/>
        </w:tabs>
        <w:spacing w:after="80"/>
        <w:rPr>
          <w:noProof/>
        </w:rPr>
      </w:pPr>
      <w:hyperlink w:anchor="_Toc420394280" w:history="1">
        <w:r w:rsidR="0002186F" w:rsidRPr="0002186F">
          <w:rPr>
            <w:rStyle w:val="Hyperlink"/>
            <w:noProof/>
          </w:rPr>
          <w:t>Handling of healthcare identifiers by prescribed entities</w:t>
        </w:r>
        <w:r w:rsidR="0002186F" w:rsidRPr="0002186F">
          <w:rPr>
            <w:noProof/>
            <w:webHidden/>
          </w:rPr>
          <w:tab/>
        </w:r>
        <w:r w:rsidR="0002186F" w:rsidRPr="0002186F">
          <w:rPr>
            <w:noProof/>
            <w:webHidden/>
          </w:rPr>
          <w:fldChar w:fldCharType="begin"/>
        </w:r>
        <w:r w:rsidR="0002186F" w:rsidRPr="0002186F">
          <w:rPr>
            <w:noProof/>
            <w:webHidden/>
          </w:rPr>
          <w:instrText xml:space="preserve"> PAGEREF _Toc420394280 \h </w:instrText>
        </w:r>
        <w:r w:rsidR="0002186F" w:rsidRPr="0002186F">
          <w:rPr>
            <w:noProof/>
            <w:webHidden/>
          </w:rPr>
        </w:r>
        <w:r w:rsidR="0002186F" w:rsidRPr="0002186F">
          <w:rPr>
            <w:noProof/>
            <w:webHidden/>
          </w:rPr>
          <w:fldChar w:fldCharType="separate"/>
        </w:r>
        <w:r w:rsidR="0002186F" w:rsidRPr="0002186F">
          <w:rPr>
            <w:noProof/>
            <w:webHidden/>
          </w:rPr>
          <w:t>21</w:t>
        </w:r>
        <w:r w:rsidR="0002186F" w:rsidRPr="0002186F">
          <w:rPr>
            <w:noProof/>
            <w:webHidden/>
          </w:rPr>
          <w:fldChar w:fldCharType="end"/>
        </w:r>
      </w:hyperlink>
    </w:p>
    <w:p w:rsidR="0002186F" w:rsidRPr="0002186F" w:rsidRDefault="009F79B1" w:rsidP="0002186F">
      <w:pPr>
        <w:pStyle w:val="TOC4"/>
        <w:tabs>
          <w:tab w:val="right" w:pos="9628"/>
        </w:tabs>
        <w:spacing w:after="80"/>
        <w:rPr>
          <w:noProof/>
        </w:rPr>
      </w:pPr>
      <w:hyperlink w:anchor="_Toc420394281" w:history="1">
        <w:r w:rsidR="0002186F" w:rsidRPr="0002186F">
          <w:rPr>
            <w:rStyle w:val="Hyperlink"/>
            <w:noProof/>
          </w:rPr>
          <w:t>Information Commissioner’s use of healthcare identifiers</w:t>
        </w:r>
        <w:r w:rsidR="0002186F" w:rsidRPr="0002186F">
          <w:rPr>
            <w:noProof/>
            <w:webHidden/>
          </w:rPr>
          <w:tab/>
        </w:r>
        <w:r w:rsidR="0002186F" w:rsidRPr="0002186F">
          <w:rPr>
            <w:noProof/>
            <w:webHidden/>
          </w:rPr>
          <w:fldChar w:fldCharType="begin"/>
        </w:r>
        <w:r w:rsidR="0002186F" w:rsidRPr="0002186F">
          <w:rPr>
            <w:noProof/>
            <w:webHidden/>
          </w:rPr>
          <w:instrText xml:space="preserve"> PAGEREF _Toc420394281 \h </w:instrText>
        </w:r>
        <w:r w:rsidR="0002186F" w:rsidRPr="0002186F">
          <w:rPr>
            <w:noProof/>
            <w:webHidden/>
          </w:rPr>
        </w:r>
        <w:r w:rsidR="0002186F" w:rsidRPr="0002186F">
          <w:rPr>
            <w:noProof/>
            <w:webHidden/>
          </w:rPr>
          <w:fldChar w:fldCharType="separate"/>
        </w:r>
        <w:r w:rsidR="0002186F" w:rsidRPr="0002186F">
          <w:rPr>
            <w:noProof/>
            <w:webHidden/>
          </w:rPr>
          <w:t>21</w:t>
        </w:r>
        <w:r w:rsidR="0002186F" w:rsidRPr="0002186F">
          <w:rPr>
            <w:noProof/>
            <w:webHidden/>
          </w:rPr>
          <w:fldChar w:fldCharType="end"/>
        </w:r>
      </w:hyperlink>
    </w:p>
    <w:p w:rsidR="0002186F" w:rsidRPr="0002186F" w:rsidRDefault="009F79B1" w:rsidP="0002186F">
      <w:pPr>
        <w:pStyle w:val="TOC4"/>
        <w:tabs>
          <w:tab w:val="right" w:pos="9628"/>
        </w:tabs>
        <w:spacing w:after="80"/>
        <w:rPr>
          <w:noProof/>
        </w:rPr>
      </w:pPr>
      <w:hyperlink w:anchor="_Toc420394282" w:history="1">
        <w:r w:rsidR="0002186F" w:rsidRPr="0002186F">
          <w:rPr>
            <w:rStyle w:val="Hyperlink"/>
            <w:noProof/>
          </w:rPr>
          <w:t>Healthcare provider organisations’ use of healthcare identifiers</w:t>
        </w:r>
        <w:r w:rsidR="0002186F" w:rsidRPr="0002186F">
          <w:rPr>
            <w:noProof/>
            <w:webHidden/>
          </w:rPr>
          <w:tab/>
        </w:r>
        <w:r w:rsidR="0002186F" w:rsidRPr="0002186F">
          <w:rPr>
            <w:noProof/>
            <w:webHidden/>
          </w:rPr>
          <w:fldChar w:fldCharType="begin"/>
        </w:r>
        <w:r w:rsidR="0002186F" w:rsidRPr="0002186F">
          <w:rPr>
            <w:noProof/>
            <w:webHidden/>
          </w:rPr>
          <w:instrText xml:space="preserve"> PAGEREF _Toc420394282 \h </w:instrText>
        </w:r>
        <w:r w:rsidR="0002186F" w:rsidRPr="0002186F">
          <w:rPr>
            <w:noProof/>
            <w:webHidden/>
          </w:rPr>
        </w:r>
        <w:r w:rsidR="0002186F" w:rsidRPr="0002186F">
          <w:rPr>
            <w:noProof/>
            <w:webHidden/>
          </w:rPr>
          <w:fldChar w:fldCharType="separate"/>
        </w:r>
        <w:r w:rsidR="0002186F" w:rsidRPr="0002186F">
          <w:rPr>
            <w:noProof/>
            <w:webHidden/>
          </w:rPr>
          <w:t>22</w:t>
        </w:r>
        <w:r w:rsidR="0002186F" w:rsidRPr="0002186F">
          <w:rPr>
            <w:noProof/>
            <w:webHidden/>
          </w:rPr>
          <w:fldChar w:fldCharType="end"/>
        </w:r>
      </w:hyperlink>
    </w:p>
    <w:p w:rsidR="0002186F" w:rsidRPr="0002186F" w:rsidRDefault="009F79B1" w:rsidP="0002186F">
      <w:pPr>
        <w:pStyle w:val="TOC4"/>
        <w:tabs>
          <w:tab w:val="right" w:pos="9628"/>
        </w:tabs>
        <w:spacing w:after="80"/>
        <w:rPr>
          <w:noProof/>
        </w:rPr>
      </w:pPr>
      <w:hyperlink w:anchor="_Toc420394283" w:history="1">
        <w:r w:rsidR="0002186F" w:rsidRPr="0002186F">
          <w:rPr>
            <w:rStyle w:val="Hyperlink"/>
            <w:noProof/>
          </w:rPr>
          <w:t>Healthcare identifier searching capabilities</w:t>
        </w:r>
        <w:r w:rsidR="0002186F" w:rsidRPr="0002186F">
          <w:rPr>
            <w:noProof/>
            <w:webHidden/>
          </w:rPr>
          <w:tab/>
        </w:r>
        <w:r w:rsidR="0002186F" w:rsidRPr="0002186F">
          <w:rPr>
            <w:noProof/>
            <w:webHidden/>
          </w:rPr>
          <w:fldChar w:fldCharType="begin"/>
        </w:r>
        <w:r w:rsidR="0002186F" w:rsidRPr="0002186F">
          <w:rPr>
            <w:noProof/>
            <w:webHidden/>
          </w:rPr>
          <w:instrText xml:space="preserve"> PAGEREF _Toc420394283 \h </w:instrText>
        </w:r>
        <w:r w:rsidR="0002186F" w:rsidRPr="0002186F">
          <w:rPr>
            <w:noProof/>
            <w:webHidden/>
          </w:rPr>
        </w:r>
        <w:r w:rsidR="0002186F" w:rsidRPr="0002186F">
          <w:rPr>
            <w:noProof/>
            <w:webHidden/>
          </w:rPr>
          <w:fldChar w:fldCharType="separate"/>
        </w:r>
        <w:r w:rsidR="0002186F" w:rsidRPr="0002186F">
          <w:rPr>
            <w:noProof/>
            <w:webHidden/>
          </w:rPr>
          <w:t>22</w:t>
        </w:r>
        <w:r w:rsidR="0002186F" w:rsidRPr="0002186F">
          <w:rPr>
            <w:noProof/>
            <w:webHidden/>
          </w:rPr>
          <w:fldChar w:fldCharType="end"/>
        </w:r>
      </w:hyperlink>
    </w:p>
    <w:p w:rsidR="0002186F" w:rsidRPr="0002186F" w:rsidRDefault="009F79B1" w:rsidP="0002186F">
      <w:pPr>
        <w:pStyle w:val="TOC4"/>
        <w:tabs>
          <w:tab w:val="right" w:pos="9628"/>
        </w:tabs>
        <w:spacing w:after="80"/>
        <w:rPr>
          <w:noProof/>
        </w:rPr>
      </w:pPr>
      <w:hyperlink w:anchor="_Toc420394284" w:history="1">
        <w:r w:rsidR="0002186F" w:rsidRPr="0002186F">
          <w:rPr>
            <w:rStyle w:val="Hyperlink"/>
            <w:noProof/>
          </w:rPr>
          <w:t>Retaining information for security purposes</w:t>
        </w:r>
        <w:r w:rsidR="0002186F" w:rsidRPr="0002186F">
          <w:rPr>
            <w:noProof/>
            <w:webHidden/>
          </w:rPr>
          <w:tab/>
        </w:r>
        <w:r w:rsidR="0002186F" w:rsidRPr="0002186F">
          <w:rPr>
            <w:noProof/>
            <w:webHidden/>
          </w:rPr>
          <w:fldChar w:fldCharType="begin"/>
        </w:r>
        <w:r w:rsidR="0002186F" w:rsidRPr="0002186F">
          <w:rPr>
            <w:noProof/>
            <w:webHidden/>
          </w:rPr>
          <w:instrText xml:space="preserve"> PAGEREF _Toc420394284 \h </w:instrText>
        </w:r>
        <w:r w:rsidR="0002186F" w:rsidRPr="0002186F">
          <w:rPr>
            <w:noProof/>
            <w:webHidden/>
          </w:rPr>
        </w:r>
        <w:r w:rsidR="0002186F" w:rsidRPr="0002186F">
          <w:rPr>
            <w:noProof/>
            <w:webHidden/>
          </w:rPr>
          <w:fldChar w:fldCharType="separate"/>
        </w:r>
        <w:r w:rsidR="0002186F" w:rsidRPr="0002186F">
          <w:rPr>
            <w:noProof/>
            <w:webHidden/>
          </w:rPr>
          <w:t>22</w:t>
        </w:r>
        <w:r w:rsidR="0002186F" w:rsidRPr="0002186F">
          <w:rPr>
            <w:noProof/>
            <w:webHidden/>
          </w:rPr>
          <w:fldChar w:fldCharType="end"/>
        </w:r>
      </w:hyperlink>
    </w:p>
    <w:p w:rsidR="0002186F" w:rsidRPr="0002186F" w:rsidRDefault="009F79B1" w:rsidP="0002186F">
      <w:pPr>
        <w:pStyle w:val="TOC4"/>
        <w:tabs>
          <w:tab w:val="right" w:pos="9628"/>
        </w:tabs>
        <w:spacing w:after="80"/>
        <w:rPr>
          <w:noProof/>
        </w:rPr>
      </w:pPr>
      <w:hyperlink w:anchor="_Toc420394285" w:history="1">
        <w:r w:rsidR="0002186F" w:rsidRPr="0002186F">
          <w:rPr>
            <w:rStyle w:val="Hyperlink"/>
            <w:noProof/>
          </w:rPr>
          <w:t>Handling by Australian Health Practitioner Regulation Agency (AHPRA)</w:t>
        </w:r>
        <w:r w:rsidR="0002186F" w:rsidRPr="0002186F">
          <w:rPr>
            <w:noProof/>
            <w:webHidden/>
          </w:rPr>
          <w:tab/>
        </w:r>
        <w:r w:rsidR="0002186F" w:rsidRPr="0002186F">
          <w:rPr>
            <w:noProof/>
            <w:webHidden/>
          </w:rPr>
          <w:fldChar w:fldCharType="begin"/>
        </w:r>
        <w:r w:rsidR="0002186F" w:rsidRPr="0002186F">
          <w:rPr>
            <w:noProof/>
            <w:webHidden/>
          </w:rPr>
          <w:instrText xml:space="preserve"> PAGEREF _Toc420394285 \h </w:instrText>
        </w:r>
        <w:r w:rsidR="0002186F" w:rsidRPr="0002186F">
          <w:rPr>
            <w:noProof/>
            <w:webHidden/>
          </w:rPr>
        </w:r>
        <w:r w:rsidR="0002186F" w:rsidRPr="0002186F">
          <w:rPr>
            <w:noProof/>
            <w:webHidden/>
          </w:rPr>
          <w:fldChar w:fldCharType="separate"/>
        </w:r>
        <w:r w:rsidR="0002186F" w:rsidRPr="0002186F">
          <w:rPr>
            <w:noProof/>
            <w:webHidden/>
          </w:rPr>
          <w:t>22</w:t>
        </w:r>
        <w:r w:rsidR="0002186F" w:rsidRPr="0002186F">
          <w:rPr>
            <w:noProof/>
            <w:webHidden/>
          </w:rPr>
          <w:fldChar w:fldCharType="end"/>
        </w:r>
      </w:hyperlink>
    </w:p>
    <w:p w:rsidR="0002186F" w:rsidRPr="0002186F" w:rsidRDefault="009F79B1" w:rsidP="0002186F">
      <w:pPr>
        <w:pStyle w:val="TOC3"/>
        <w:tabs>
          <w:tab w:val="left" w:pos="1320"/>
          <w:tab w:val="right" w:pos="9628"/>
        </w:tabs>
        <w:spacing w:after="80"/>
        <w:rPr>
          <w:rFonts w:asciiTheme="minorHAnsi" w:eastAsiaTheme="minorEastAsia" w:hAnsiTheme="minorHAnsi" w:cstheme="minorBidi"/>
          <w:noProof/>
          <w:sz w:val="22"/>
          <w:szCs w:val="22"/>
        </w:rPr>
      </w:pPr>
      <w:hyperlink w:anchor="_Toc420394286" w:history="1">
        <w:r w:rsidR="0002186F" w:rsidRPr="0002186F">
          <w:rPr>
            <w:rStyle w:val="Hyperlink"/>
            <w:rFonts w:asciiTheme="minorHAnsi" w:hAnsiTheme="minorHAnsi"/>
            <w:noProof/>
            <w:sz w:val="22"/>
            <w:szCs w:val="22"/>
          </w:rPr>
          <w:t>3.5.4</w:t>
        </w:r>
        <w:r w:rsidR="0002186F" w:rsidRPr="0002186F">
          <w:rPr>
            <w:rFonts w:asciiTheme="minorHAnsi" w:eastAsiaTheme="minorEastAsia" w:hAnsiTheme="minorHAnsi" w:cstheme="minorBidi"/>
            <w:noProof/>
            <w:sz w:val="22"/>
            <w:szCs w:val="22"/>
          </w:rPr>
          <w:tab/>
        </w:r>
        <w:r w:rsidR="0002186F" w:rsidRPr="0002186F">
          <w:rPr>
            <w:rStyle w:val="Hyperlink"/>
            <w:rFonts w:asciiTheme="minorHAnsi" w:hAnsiTheme="minorHAnsi"/>
            <w:noProof/>
            <w:sz w:val="22"/>
            <w:szCs w:val="22"/>
          </w:rPr>
          <w:t>Penalties for misuse of information</w:t>
        </w:r>
        <w:r w:rsidR="0002186F" w:rsidRPr="0002186F">
          <w:rPr>
            <w:rFonts w:asciiTheme="minorHAnsi" w:hAnsiTheme="minorHAnsi"/>
            <w:noProof/>
            <w:webHidden/>
            <w:sz w:val="22"/>
            <w:szCs w:val="22"/>
          </w:rPr>
          <w:tab/>
        </w:r>
        <w:r w:rsidR="0002186F" w:rsidRPr="0002186F">
          <w:rPr>
            <w:rFonts w:asciiTheme="minorHAnsi" w:hAnsiTheme="minorHAnsi"/>
            <w:noProof/>
            <w:webHidden/>
            <w:sz w:val="22"/>
            <w:szCs w:val="22"/>
          </w:rPr>
          <w:fldChar w:fldCharType="begin"/>
        </w:r>
        <w:r w:rsidR="0002186F" w:rsidRPr="0002186F">
          <w:rPr>
            <w:rFonts w:asciiTheme="minorHAnsi" w:hAnsiTheme="minorHAnsi"/>
            <w:noProof/>
            <w:webHidden/>
            <w:sz w:val="22"/>
            <w:szCs w:val="22"/>
          </w:rPr>
          <w:instrText xml:space="preserve"> PAGEREF _Toc420394286 \h </w:instrText>
        </w:r>
        <w:r w:rsidR="0002186F" w:rsidRPr="0002186F">
          <w:rPr>
            <w:rFonts w:asciiTheme="minorHAnsi" w:hAnsiTheme="minorHAnsi"/>
            <w:noProof/>
            <w:webHidden/>
            <w:sz w:val="22"/>
            <w:szCs w:val="22"/>
          </w:rPr>
        </w:r>
        <w:r w:rsidR="0002186F" w:rsidRPr="0002186F">
          <w:rPr>
            <w:rFonts w:asciiTheme="minorHAnsi" w:hAnsiTheme="minorHAnsi"/>
            <w:noProof/>
            <w:webHidden/>
            <w:sz w:val="22"/>
            <w:szCs w:val="22"/>
          </w:rPr>
          <w:fldChar w:fldCharType="separate"/>
        </w:r>
        <w:r w:rsidR="0002186F" w:rsidRPr="0002186F">
          <w:rPr>
            <w:rFonts w:asciiTheme="minorHAnsi" w:hAnsiTheme="minorHAnsi"/>
            <w:noProof/>
            <w:webHidden/>
            <w:sz w:val="22"/>
            <w:szCs w:val="22"/>
          </w:rPr>
          <w:t>23</w:t>
        </w:r>
        <w:r w:rsidR="0002186F" w:rsidRPr="0002186F">
          <w:rPr>
            <w:rFonts w:asciiTheme="minorHAnsi" w:hAnsiTheme="minorHAnsi"/>
            <w:noProof/>
            <w:webHidden/>
            <w:sz w:val="22"/>
            <w:szCs w:val="22"/>
          </w:rPr>
          <w:fldChar w:fldCharType="end"/>
        </w:r>
      </w:hyperlink>
    </w:p>
    <w:p w:rsidR="0002186F" w:rsidRPr="0002186F" w:rsidRDefault="009F79B1" w:rsidP="0002186F">
      <w:pPr>
        <w:pStyle w:val="TOC2"/>
        <w:rPr>
          <w:rFonts w:asciiTheme="minorHAnsi" w:eastAsiaTheme="minorEastAsia" w:hAnsiTheme="minorHAnsi" w:cstheme="minorBidi"/>
          <w:noProof/>
          <w:sz w:val="22"/>
          <w:szCs w:val="22"/>
        </w:rPr>
      </w:pPr>
      <w:hyperlink w:anchor="_Toc420394287" w:history="1">
        <w:r w:rsidR="0002186F" w:rsidRPr="0002186F">
          <w:rPr>
            <w:rStyle w:val="Hyperlink"/>
            <w:rFonts w:asciiTheme="minorHAnsi" w:hAnsiTheme="minorHAnsi"/>
            <w:noProof/>
            <w:sz w:val="22"/>
            <w:szCs w:val="22"/>
          </w:rPr>
          <w:t>3.6</w:t>
        </w:r>
        <w:r w:rsidR="0002186F" w:rsidRPr="0002186F">
          <w:rPr>
            <w:rFonts w:asciiTheme="minorHAnsi" w:eastAsiaTheme="minorEastAsia" w:hAnsiTheme="minorHAnsi" w:cstheme="minorBidi"/>
            <w:noProof/>
            <w:sz w:val="22"/>
            <w:szCs w:val="22"/>
          </w:rPr>
          <w:tab/>
        </w:r>
        <w:r w:rsidR="0002186F" w:rsidRPr="0002186F">
          <w:rPr>
            <w:rStyle w:val="Hyperlink"/>
            <w:rFonts w:asciiTheme="minorHAnsi" w:hAnsiTheme="minorHAnsi"/>
            <w:noProof/>
            <w:sz w:val="22"/>
            <w:szCs w:val="22"/>
          </w:rPr>
          <w:t>Reviews</w:t>
        </w:r>
        <w:r w:rsidR="0002186F" w:rsidRPr="0002186F">
          <w:rPr>
            <w:rFonts w:asciiTheme="minorHAnsi" w:hAnsiTheme="minorHAnsi"/>
            <w:noProof/>
            <w:webHidden/>
            <w:sz w:val="22"/>
            <w:szCs w:val="22"/>
          </w:rPr>
          <w:tab/>
        </w:r>
        <w:r w:rsidR="0002186F" w:rsidRPr="0002186F">
          <w:rPr>
            <w:rFonts w:asciiTheme="minorHAnsi" w:hAnsiTheme="minorHAnsi"/>
            <w:noProof/>
            <w:webHidden/>
            <w:sz w:val="22"/>
            <w:szCs w:val="22"/>
          </w:rPr>
          <w:fldChar w:fldCharType="begin"/>
        </w:r>
        <w:r w:rsidR="0002186F" w:rsidRPr="0002186F">
          <w:rPr>
            <w:rFonts w:asciiTheme="minorHAnsi" w:hAnsiTheme="minorHAnsi"/>
            <w:noProof/>
            <w:webHidden/>
            <w:sz w:val="22"/>
            <w:szCs w:val="22"/>
          </w:rPr>
          <w:instrText xml:space="preserve"> PAGEREF _Toc420394287 \h </w:instrText>
        </w:r>
        <w:r w:rsidR="0002186F" w:rsidRPr="0002186F">
          <w:rPr>
            <w:rFonts w:asciiTheme="minorHAnsi" w:hAnsiTheme="minorHAnsi"/>
            <w:noProof/>
            <w:webHidden/>
            <w:sz w:val="22"/>
            <w:szCs w:val="22"/>
          </w:rPr>
        </w:r>
        <w:r w:rsidR="0002186F" w:rsidRPr="0002186F">
          <w:rPr>
            <w:rFonts w:asciiTheme="minorHAnsi" w:hAnsiTheme="minorHAnsi"/>
            <w:noProof/>
            <w:webHidden/>
            <w:sz w:val="22"/>
            <w:szCs w:val="22"/>
          </w:rPr>
          <w:fldChar w:fldCharType="separate"/>
        </w:r>
        <w:r w:rsidR="0002186F" w:rsidRPr="0002186F">
          <w:rPr>
            <w:rFonts w:asciiTheme="minorHAnsi" w:hAnsiTheme="minorHAnsi"/>
            <w:noProof/>
            <w:webHidden/>
            <w:sz w:val="22"/>
            <w:szCs w:val="22"/>
          </w:rPr>
          <w:t>23</w:t>
        </w:r>
        <w:r w:rsidR="0002186F" w:rsidRPr="0002186F">
          <w:rPr>
            <w:rFonts w:asciiTheme="minorHAnsi" w:hAnsiTheme="minorHAnsi"/>
            <w:noProof/>
            <w:webHidden/>
            <w:sz w:val="22"/>
            <w:szCs w:val="22"/>
          </w:rPr>
          <w:fldChar w:fldCharType="end"/>
        </w:r>
      </w:hyperlink>
    </w:p>
    <w:p w:rsidR="0002186F" w:rsidRPr="0002186F" w:rsidRDefault="009F79B1" w:rsidP="0002186F">
      <w:pPr>
        <w:pStyle w:val="TOC3"/>
        <w:tabs>
          <w:tab w:val="left" w:pos="1320"/>
          <w:tab w:val="right" w:pos="9628"/>
        </w:tabs>
        <w:spacing w:after="80"/>
        <w:rPr>
          <w:rFonts w:asciiTheme="minorHAnsi" w:eastAsiaTheme="minorEastAsia" w:hAnsiTheme="minorHAnsi" w:cstheme="minorBidi"/>
          <w:noProof/>
          <w:sz w:val="22"/>
          <w:szCs w:val="22"/>
        </w:rPr>
      </w:pPr>
      <w:hyperlink w:anchor="_Toc420394288" w:history="1">
        <w:r w:rsidR="0002186F" w:rsidRPr="0002186F">
          <w:rPr>
            <w:rStyle w:val="Hyperlink"/>
            <w:rFonts w:asciiTheme="minorHAnsi" w:hAnsiTheme="minorHAnsi"/>
            <w:noProof/>
            <w:sz w:val="22"/>
            <w:szCs w:val="22"/>
          </w:rPr>
          <w:t>3.6.1</w:t>
        </w:r>
        <w:r w:rsidR="0002186F" w:rsidRPr="0002186F">
          <w:rPr>
            <w:rFonts w:asciiTheme="minorHAnsi" w:eastAsiaTheme="minorEastAsia" w:hAnsiTheme="minorHAnsi" w:cstheme="minorBidi"/>
            <w:noProof/>
            <w:sz w:val="22"/>
            <w:szCs w:val="22"/>
          </w:rPr>
          <w:tab/>
        </w:r>
        <w:r w:rsidR="0002186F" w:rsidRPr="0002186F">
          <w:rPr>
            <w:rStyle w:val="Hyperlink"/>
            <w:rFonts w:asciiTheme="minorHAnsi" w:hAnsiTheme="minorHAnsi"/>
            <w:noProof/>
            <w:sz w:val="22"/>
            <w:szCs w:val="22"/>
          </w:rPr>
          <w:t>Review of the legislative changes</w:t>
        </w:r>
        <w:r w:rsidR="0002186F" w:rsidRPr="0002186F">
          <w:rPr>
            <w:rFonts w:asciiTheme="minorHAnsi" w:hAnsiTheme="minorHAnsi"/>
            <w:noProof/>
            <w:webHidden/>
            <w:sz w:val="22"/>
            <w:szCs w:val="22"/>
          </w:rPr>
          <w:tab/>
        </w:r>
        <w:r w:rsidR="0002186F" w:rsidRPr="0002186F">
          <w:rPr>
            <w:rFonts w:asciiTheme="minorHAnsi" w:hAnsiTheme="minorHAnsi"/>
            <w:noProof/>
            <w:webHidden/>
            <w:sz w:val="22"/>
            <w:szCs w:val="22"/>
          </w:rPr>
          <w:fldChar w:fldCharType="begin"/>
        </w:r>
        <w:r w:rsidR="0002186F" w:rsidRPr="0002186F">
          <w:rPr>
            <w:rFonts w:asciiTheme="minorHAnsi" w:hAnsiTheme="minorHAnsi"/>
            <w:noProof/>
            <w:webHidden/>
            <w:sz w:val="22"/>
            <w:szCs w:val="22"/>
          </w:rPr>
          <w:instrText xml:space="preserve"> PAGEREF _Toc420394288 \h </w:instrText>
        </w:r>
        <w:r w:rsidR="0002186F" w:rsidRPr="0002186F">
          <w:rPr>
            <w:rFonts w:asciiTheme="minorHAnsi" w:hAnsiTheme="minorHAnsi"/>
            <w:noProof/>
            <w:webHidden/>
            <w:sz w:val="22"/>
            <w:szCs w:val="22"/>
          </w:rPr>
        </w:r>
        <w:r w:rsidR="0002186F" w:rsidRPr="0002186F">
          <w:rPr>
            <w:rFonts w:asciiTheme="minorHAnsi" w:hAnsiTheme="minorHAnsi"/>
            <w:noProof/>
            <w:webHidden/>
            <w:sz w:val="22"/>
            <w:szCs w:val="22"/>
          </w:rPr>
          <w:fldChar w:fldCharType="separate"/>
        </w:r>
        <w:r w:rsidR="0002186F" w:rsidRPr="0002186F">
          <w:rPr>
            <w:rFonts w:asciiTheme="minorHAnsi" w:hAnsiTheme="minorHAnsi"/>
            <w:noProof/>
            <w:webHidden/>
            <w:sz w:val="22"/>
            <w:szCs w:val="22"/>
          </w:rPr>
          <w:t>23</w:t>
        </w:r>
        <w:r w:rsidR="0002186F" w:rsidRPr="0002186F">
          <w:rPr>
            <w:rFonts w:asciiTheme="minorHAnsi" w:hAnsiTheme="minorHAnsi"/>
            <w:noProof/>
            <w:webHidden/>
            <w:sz w:val="22"/>
            <w:szCs w:val="22"/>
          </w:rPr>
          <w:fldChar w:fldCharType="end"/>
        </w:r>
      </w:hyperlink>
    </w:p>
    <w:p w:rsidR="0002186F" w:rsidRPr="0002186F" w:rsidRDefault="009F79B1" w:rsidP="0002186F">
      <w:pPr>
        <w:pStyle w:val="TOC3"/>
        <w:tabs>
          <w:tab w:val="left" w:pos="1320"/>
          <w:tab w:val="right" w:pos="9628"/>
        </w:tabs>
        <w:spacing w:after="80"/>
        <w:rPr>
          <w:rFonts w:asciiTheme="minorHAnsi" w:eastAsiaTheme="minorEastAsia" w:hAnsiTheme="minorHAnsi" w:cstheme="minorBidi"/>
          <w:noProof/>
          <w:sz w:val="22"/>
          <w:szCs w:val="22"/>
        </w:rPr>
      </w:pPr>
      <w:hyperlink w:anchor="_Toc420394289" w:history="1">
        <w:r w:rsidR="0002186F" w:rsidRPr="0002186F">
          <w:rPr>
            <w:rStyle w:val="Hyperlink"/>
            <w:rFonts w:asciiTheme="minorHAnsi" w:hAnsiTheme="minorHAnsi"/>
            <w:noProof/>
            <w:sz w:val="22"/>
            <w:szCs w:val="22"/>
          </w:rPr>
          <w:t>3.6.2</w:t>
        </w:r>
        <w:r w:rsidR="0002186F" w:rsidRPr="0002186F">
          <w:rPr>
            <w:rFonts w:asciiTheme="minorHAnsi" w:eastAsiaTheme="minorEastAsia" w:hAnsiTheme="minorHAnsi" w:cstheme="minorBidi"/>
            <w:noProof/>
            <w:sz w:val="22"/>
            <w:szCs w:val="22"/>
          </w:rPr>
          <w:tab/>
        </w:r>
        <w:r w:rsidR="0002186F" w:rsidRPr="0002186F">
          <w:rPr>
            <w:rStyle w:val="Hyperlink"/>
            <w:rFonts w:asciiTheme="minorHAnsi" w:hAnsiTheme="minorHAnsi"/>
            <w:noProof/>
            <w:sz w:val="22"/>
            <w:szCs w:val="22"/>
          </w:rPr>
          <w:t>Privacy Assessments of AHPRA</w:t>
        </w:r>
        <w:r w:rsidR="0002186F" w:rsidRPr="0002186F">
          <w:rPr>
            <w:rFonts w:asciiTheme="minorHAnsi" w:hAnsiTheme="minorHAnsi"/>
            <w:noProof/>
            <w:webHidden/>
            <w:sz w:val="22"/>
            <w:szCs w:val="22"/>
          </w:rPr>
          <w:tab/>
        </w:r>
        <w:r w:rsidR="0002186F" w:rsidRPr="0002186F">
          <w:rPr>
            <w:rFonts w:asciiTheme="minorHAnsi" w:hAnsiTheme="minorHAnsi"/>
            <w:noProof/>
            <w:webHidden/>
            <w:sz w:val="22"/>
            <w:szCs w:val="22"/>
          </w:rPr>
          <w:fldChar w:fldCharType="begin"/>
        </w:r>
        <w:r w:rsidR="0002186F" w:rsidRPr="0002186F">
          <w:rPr>
            <w:rFonts w:asciiTheme="minorHAnsi" w:hAnsiTheme="minorHAnsi"/>
            <w:noProof/>
            <w:webHidden/>
            <w:sz w:val="22"/>
            <w:szCs w:val="22"/>
          </w:rPr>
          <w:instrText xml:space="preserve"> PAGEREF _Toc420394289 \h </w:instrText>
        </w:r>
        <w:r w:rsidR="0002186F" w:rsidRPr="0002186F">
          <w:rPr>
            <w:rFonts w:asciiTheme="minorHAnsi" w:hAnsiTheme="minorHAnsi"/>
            <w:noProof/>
            <w:webHidden/>
            <w:sz w:val="22"/>
            <w:szCs w:val="22"/>
          </w:rPr>
        </w:r>
        <w:r w:rsidR="0002186F" w:rsidRPr="0002186F">
          <w:rPr>
            <w:rFonts w:asciiTheme="minorHAnsi" w:hAnsiTheme="minorHAnsi"/>
            <w:noProof/>
            <w:webHidden/>
            <w:sz w:val="22"/>
            <w:szCs w:val="22"/>
          </w:rPr>
          <w:fldChar w:fldCharType="separate"/>
        </w:r>
        <w:r w:rsidR="0002186F" w:rsidRPr="0002186F">
          <w:rPr>
            <w:rFonts w:asciiTheme="minorHAnsi" w:hAnsiTheme="minorHAnsi"/>
            <w:noProof/>
            <w:webHidden/>
            <w:sz w:val="22"/>
            <w:szCs w:val="22"/>
          </w:rPr>
          <w:t>24</w:t>
        </w:r>
        <w:r w:rsidR="0002186F" w:rsidRPr="0002186F">
          <w:rPr>
            <w:rFonts w:asciiTheme="minorHAnsi" w:hAnsiTheme="minorHAnsi"/>
            <w:noProof/>
            <w:webHidden/>
            <w:sz w:val="22"/>
            <w:szCs w:val="22"/>
          </w:rPr>
          <w:fldChar w:fldCharType="end"/>
        </w:r>
      </w:hyperlink>
    </w:p>
    <w:p w:rsidR="0002186F" w:rsidRPr="0002186F" w:rsidRDefault="009F79B1" w:rsidP="0002186F">
      <w:pPr>
        <w:pStyle w:val="TOC1"/>
        <w:tabs>
          <w:tab w:val="left" w:pos="480"/>
          <w:tab w:val="right" w:pos="9628"/>
        </w:tabs>
        <w:spacing w:after="80"/>
        <w:rPr>
          <w:noProof/>
        </w:rPr>
      </w:pPr>
      <w:hyperlink w:anchor="_Toc420394290" w:history="1">
        <w:r w:rsidR="0002186F" w:rsidRPr="0002186F">
          <w:rPr>
            <w:rStyle w:val="Hyperlink"/>
            <w:noProof/>
          </w:rPr>
          <w:t>4.</w:t>
        </w:r>
        <w:r w:rsidR="0002186F" w:rsidRPr="0002186F">
          <w:rPr>
            <w:noProof/>
          </w:rPr>
          <w:tab/>
        </w:r>
        <w:r w:rsidR="0002186F" w:rsidRPr="0002186F">
          <w:rPr>
            <w:rStyle w:val="Hyperlink"/>
            <w:noProof/>
          </w:rPr>
          <w:t>Next steps</w:t>
        </w:r>
        <w:r w:rsidR="0002186F" w:rsidRPr="0002186F">
          <w:rPr>
            <w:noProof/>
            <w:webHidden/>
          </w:rPr>
          <w:tab/>
        </w:r>
        <w:r w:rsidR="0002186F" w:rsidRPr="0002186F">
          <w:rPr>
            <w:noProof/>
            <w:webHidden/>
          </w:rPr>
          <w:fldChar w:fldCharType="begin"/>
        </w:r>
        <w:r w:rsidR="0002186F" w:rsidRPr="0002186F">
          <w:rPr>
            <w:noProof/>
            <w:webHidden/>
          </w:rPr>
          <w:instrText xml:space="preserve"> PAGEREF _Toc420394290 \h </w:instrText>
        </w:r>
        <w:r w:rsidR="0002186F" w:rsidRPr="0002186F">
          <w:rPr>
            <w:noProof/>
            <w:webHidden/>
          </w:rPr>
        </w:r>
        <w:r w:rsidR="0002186F" w:rsidRPr="0002186F">
          <w:rPr>
            <w:noProof/>
            <w:webHidden/>
          </w:rPr>
          <w:fldChar w:fldCharType="separate"/>
        </w:r>
        <w:r w:rsidR="0002186F" w:rsidRPr="0002186F">
          <w:rPr>
            <w:noProof/>
            <w:webHidden/>
          </w:rPr>
          <w:t>25</w:t>
        </w:r>
        <w:r w:rsidR="0002186F" w:rsidRPr="0002186F">
          <w:rPr>
            <w:noProof/>
            <w:webHidden/>
          </w:rPr>
          <w:fldChar w:fldCharType="end"/>
        </w:r>
      </w:hyperlink>
    </w:p>
    <w:p w:rsidR="0002186F" w:rsidRPr="0002186F" w:rsidRDefault="009F79B1" w:rsidP="0002186F">
      <w:pPr>
        <w:pStyle w:val="TOC1"/>
        <w:tabs>
          <w:tab w:val="right" w:pos="9628"/>
        </w:tabs>
        <w:spacing w:after="80"/>
        <w:rPr>
          <w:noProof/>
        </w:rPr>
      </w:pPr>
      <w:hyperlink w:anchor="_Toc420394291" w:history="1">
        <w:r w:rsidR="0002186F" w:rsidRPr="0002186F">
          <w:rPr>
            <w:rStyle w:val="Hyperlink"/>
            <w:noProof/>
          </w:rPr>
          <w:t>Appendix 1: Acronyms and key definitions</w:t>
        </w:r>
        <w:r w:rsidR="0002186F" w:rsidRPr="0002186F">
          <w:rPr>
            <w:noProof/>
            <w:webHidden/>
          </w:rPr>
          <w:tab/>
        </w:r>
        <w:r w:rsidR="0002186F" w:rsidRPr="0002186F">
          <w:rPr>
            <w:noProof/>
            <w:webHidden/>
          </w:rPr>
          <w:fldChar w:fldCharType="begin"/>
        </w:r>
        <w:r w:rsidR="0002186F" w:rsidRPr="0002186F">
          <w:rPr>
            <w:noProof/>
            <w:webHidden/>
          </w:rPr>
          <w:instrText xml:space="preserve"> PAGEREF _Toc420394291 \h </w:instrText>
        </w:r>
        <w:r w:rsidR="0002186F" w:rsidRPr="0002186F">
          <w:rPr>
            <w:noProof/>
            <w:webHidden/>
          </w:rPr>
        </w:r>
        <w:r w:rsidR="0002186F" w:rsidRPr="0002186F">
          <w:rPr>
            <w:noProof/>
            <w:webHidden/>
          </w:rPr>
          <w:fldChar w:fldCharType="separate"/>
        </w:r>
        <w:r w:rsidR="0002186F" w:rsidRPr="0002186F">
          <w:rPr>
            <w:noProof/>
            <w:webHidden/>
          </w:rPr>
          <w:t>26</w:t>
        </w:r>
        <w:r w:rsidR="0002186F" w:rsidRPr="0002186F">
          <w:rPr>
            <w:noProof/>
            <w:webHidden/>
          </w:rPr>
          <w:fldChar w:fldCharType="end"/>
        </w:r>
      </w:hyperlink>
    </w:p>
    <w:p w:rsidR="00735610" w:rsidRDefault="003C72D7" w:rsidP="0002186F">
      <w:pPr>
        <w:spacing w:after="80"/>
        <w:rPr>
          <w:rFonts w:asciiTheme="minorHAnsi" w:hAnsiTheme="minorHAnsi"/>
          <w:b/>
          <w:sz w:val="36"/>
          <w:szCs w:val="36"/>
        </w:rPr>
        <w:sectPr w:rsidR="00735610" w:rsidSect="00735610">
          <w:pgSz w:w="11906" w:h="16838"/>
          <w:pgMar w:top="851" w:right="1134" w:bottom="851" w:left="1134" w:header="709" w:footer="709" w:gutter="0"/>
          <w:pgNumType w:fmt="lowerRoman"/>
          <w:cols w:space="708"/>
          <w:titlePg/>
          <w:docGrid w:linePitch="360"/>
        </w:sectPr>
      </w:pPr>
      <w:r w:rsidRPr="0002186F">
        <w:rPr>
          <w:rFonts w:asciiTheme="minorHAnsi" w:hAnsiTheme="minorHAnsi"/>
          <w:b/>
          <w:sz w:val="22"/>
          <w:szCs w:val="22"/>
        </w:rPr>
        <w:fldChar w:fldCharType="end"/>
      </w:r>
    </w:p>
    <w:p w:rsidR="00735610" w:rsidRDefault="00735610" w:rsidP="0016082B">
      <w:pPr>
        <w:pStyle w:val="Heading1"/>
        <w:numPr>
          <w:ilvl w:val="0"/>
          <w:numId w:val="0"/>
        </w:numPr>
        <w:ind w:left="737" w:hanging="737"/>
      </w:pPr>
      <w:bookmarkStart w:id="0" w:name="_Toc418763069"/>
      <w:bookmarkStart w:id="1" w:name="_Toc420394222"/>
      <w:r w:rsidRPr="00D77D6D">
        <w:lastRenderedPageBreak/>
        <w:t>Executive summary</w:t>
      </w:r>
      <w:bookmarkEnd w:id="0"/>
      <w:bookmarkEnd w:id="1"/>
    </w:p>
    <w:p w:rsidR="00786B40" w:rsidRDefault="003E6A5E" w:rsidP="003E6A5E">
      <w:pPr>
        <w:spacing w:after="120"/>
        <w:ind w:left="737"/>
        <w:rPr>
          <w:rFonts w:asciiTheme="minorHAnsi" w:hAnsiTheme="minorHAnsi"/>
          <w:sz w:val="22"/>
          <w:szCs w:val="22"/>
        </w:rPr>
      </w:pPr>
      <w:r>
        <w:rPr>
          <w:rFonts w:asciiTheme="minorHAnsi" w:hAnsiTheme="minorHAnsi"/>
          <w:sz w:val="22"/>
          <w:szCs w:val="22"/>
        </w:rPr>
        <w:t xml:space="preserve">The Australian Government is proposing changes to the personally controlled electronic health record (PCEHR) system and the Healthcare Identifiers (HI) Service to increase the number of individuals </w:t>
      </w:r>
      <w:r w:rsidR="00786B40">
        <w:rPr>
          <w:rFonts w:asciiTheme="minorHAnsi" w:hAnsiTheme="minorHAnsi"/>
          <w:sz w:val="22"/>
          <w:szCs w:val="22"/>
        </w:rPr>
        <w:t>and healthcare providers participating in the PCEHR system,</w:t>
      </w:r>
      <w:r w:rsidR="004F735A">
        <w:rPr>
          <w:rFonts w:asciiTheme="minorHAnsi" w:hAnsiTheme="minorHAnsi"/>
          <w:sz w:val="22"/>
          <w:szCs w:val="22"/>
        </w:rPr>
        <w:t xml:space="preserve"> increase the clinical utility and usability of the PCEHR system to support meaningful use by healthcare providers, </w:t>
      </w:r>
      <w:r>
        <w:rPr>
          <w:rFonts w:asciiTheme="minorHAnsi" w:hAnsiTheme="minorHAnsi"/>
          <w:sz w:val="22"/>
          <w:szCs w:val="22"/>
        </w:rPr>
        <w:t>and improve the overall operation of the PCEHR system and HI Service</w:t>
      </w:r>
      <w:r w:rsidR="00904A0F">
        <w:rPr>
          <w:rFonts w:asciiTheme="minorHAnsi" w:hAnsiTheme="minorHAnsi"/>
          <w:sz w:val="22"/>
          <w:szCs w:val="22"/>
        </w:rPr>
        <w:t>, and eHealth more generally</w:t>
      </w:r>
      <w:r>
        <w:rPr>
          <w:rFonts w:asciiTheme="minorHAnsi" w:hAnsiTheme="minorHAnsi"/>
          <w:sz w:val="22"/>
          <w:szCs w:val="22"/>
        </w:rPr>
        <w:t>.  This paper discusses the legislative changes that are proposed to support these changes.</w:t>
      </w:r>
    </w:p>
    <w:p w:rsidR="003E6A5E" w:rsidRDefault="003E6A5E" w:rsidP="003E6A5E">
      <w:pPr>
        <w:spacing w:after="120"/>
        <w:ind w:left="737"/>
        <w:rPr>
          <w:rFonts w:asciiTheme="minorHAnsi" w:hAnsiTheme="minorHAnsi"/>
          <w:sz w:val="22"/>
          <w:szCs w:val="22"/>
        </w:rPr>
      </w:pPr>
      <w:r>
        <w:rPr>
          <w:rFonts w:asciiTheme="minorHAnsi" w:hAnsiTheme="minorHAnsi"/>
          <w:sz w:val="22"/>
          <w:szCs w:val="22"/>
        </w:rPr>
        <w:t xml:space="preserve">The primary change </w:t>
      </w:r>
      <w:r w:rsidR="007678A4">
        <w:rPr>
          <w:rFonts w:asciiTheme="minorHAnsi" w:hAnsiTheme="minorHAnsi"/>
          <w:sz w:val="22"/>
          <w:szCs w:val="22"/>
        </w:rPr>
        <w:t>being considered is to</w:t>
      </w:r>
      <w:r>
        <w:rPr>
          <w:rFonts w:asciiTheme="minorHAnsi" w:hAnsiTheme="minorHAnsi"/>
          <w:sz w:val="22"/>
          <w:szCs w:val="22"/>
        </w:rPr>
        <w:t xml:space="preserve"> the participation arrangements for individuals.  The PCEHR system currently operates on an opt-in basis where </w:t>
      </w:r>
      <w:r w:rsidR="00F72ED5">
        <w:rPr>
          <w:rFonts w:asciiTheme="minorHAnsi" w:hAnsiTheme="minorHAnsi"/>
          <w:sz w:val="22"/>
          <w:szCs w:val="22"/>
        </w:rPr>
        <w:t>individuals</w:t>
      </w:r>
      <w:r>
        <w:rPr>
          <w:rFonts w:asciiTheme="minorHAnsi" w:hAnsiTheme="minorHAnsi"/>
          <w:sz w:val="22"/>
          <w:szCs w:val="22"/>
        </w:rPr>
        <w:t xml:space="preserve"> who want a PCEHR register for one and give consent for their information to be uploaded to their PCEHR by healthcare providers and Medicare.  From 2016, trials of different participation </w:t>
      </w:r>
      <w:r w:rsidR="00904A0F">
        <w:rPr>
          <w:rFonts w:asciiTheme="minorHAnsi" w:hAnsiTheme="minorHAnsi"/>
          <w:sz w:val="22"/>
          <w:szCs w:val="22"/>
        </w:rPr>
        <w:t>arrangements</w:t>
      </w:r>
      <w:r>
        <w:rPr>
          <w:rFonts w:asciiTheme="minorHAnsi" w:hAnsiTheme="minorHAnsi"/>
          <w:sz w:val="22"/>
          <w:szCs w:val="22"/>
        </w:rPr>
        <w:t xml:space="preserve"> for individuals will be undertaken in order to inform Government about future approaches to increasing individual participation in the system.  </w:t>
      </w:r>
      <w:r w:rsidR="00904A0F">
        <w:rPr>
          <w:rFonts w:asciiTheme="minorHAnsi" w:hAnsiTheme="minorHAnsi"/>
          <w:sz w:val="22"/>
          <w:szCs w:val="22"/>
        </w:rPr>
        <w:t>An opt-out model of participation, as recommended in a review of the PCEHR system,</w:t>
      </w:r>
      <w:r>
        <w:rPr>
          <w:rFonts w:asciiTheme="minorHAnsi" w:hAnsiTheme="minorHAnsi"/>
          <w:sz w:val="22"/>
          <w:szCs w:val="22"/>
        </w:rPr>
        <w:t xml:space="preserve"> will be included as part of these trials, that is, individuals in certain trial regions will automatically be registered for a</w:t>
      </w:r>
      <w:r w:rsidR="003D7F19">
        <w:rPr>
          <w:rFonts w:asciiTheme="minorHAnsi" w:hAnsiTheme="minorHAnsi"/>
          <w:sz w:val="22"/>
          <w:szCs w:val="22"/>
        </w:rPr>
        <w:t>n eHealth record</w:t>
      </w:r>
      <w:r>
        <w:rPr>
          <w:rFonts w:asciiTheme="minorHAnsi" w:hAnsiTheme="minorHAnsi"/>
          <w:sz w:val="22"/>
          <w:szCs w:val="22"/>
        </w:rPr>
        <w:t xml:space="preserve"> unless they advise that they </w:t>
      </w:r>
      <w:r w:rsidR="00904A0F">
        <w:rPr>
          <w:rFonts w:asciiTheme="minorHAnsi" w:hAnsiTheme="minorHAnsi"/>
          <w:sz w:val="22"/>
          <w:szCs w:val="22"/>
        </w:rPr>
        <w:t xml:space="preserve">do not want </w:t>
      </w:r>
      <w:r w:rsidR="00D52AEC">
        <w:rPr>
          <w:rFonts w:asciiTheme="minorHAnsi" w:hAnsiTheme="minorHAnsi"/>
          <w:sz w:val="22"/>
          <w:szCs w:val="22"/>
        </w:rPr>
        <w:t>an eHealth record</w:t>
      </w:r>
      <w:r>
        <w:rPr>
          <w:rFonts w:asciiTheme="minorHAnsi" w:hAnsiTheme="minorHAnsi"/>
          <w:sz w:val="22"/>
          <w:szCs w:val="22"/>
        </w:rPr>
        <w:t>.</w:t>
      </w:r>
    </w:p>
    <w:p w:rsidR="003E6A5E" w:rsidRDefault="003E6A5E" w:rsidP="003E6A5E">
      <w:pPr>
        <w:spacing w:after="120"/>
        <w:ind w:left="737"/>
        <w:rPr>
          <w:rFonts w:asciiTheme="minorHAnsi" w:hAnsiTheme="minorHAnsi"/>
          <w:sz w:val="22"/>
          <w:szCs w:val="22"/>
        </w:rPr>
      </w:pPr>
      <w:r>
        <w:rPr>
          <w:rFonts w:asciiTheme="minorHAnsi" w:hAnsiTheme="minorHAnsi"/>
          <w:sz w:val="22"/>
          <w:szCs w:val="22"/>
        </w:rPr>
        <w:t xml:space="preserve">While opt-out participation means that the PCEHR system </w:t>
      </w:r>
      <w:r w:rsidR="00487A5E">
        <w:rPr>
          <w:rFonts w:asciiTheme="minorHAnsi" w:hAnsiTheme="minorHAnsi"/>
          <w:sz w:val="22"/>
          <w:szCs w:val="22"/>
        </w:rPr>
        <w:t xml:space="preserve">will </w:t>
      </w:r>
      <w:r>
        <w:rPr>
          <w:rFonts w:asciiTheme="minorHAnsi" w:hAnsiTheme="minorHAnsi"/>
          <w:sz w:val="22"/>
          <w:szCs w:val="22"/>
        </w:rPr>
        <w:t xml:space="preserve">no longer be relying on the consent of individuals but on legal authority, the system </w:t>
      </w:r>
      <w:r w:rsidR="00487A5E">
        <w:rPr>
          <w:rFonts w:asciiTheme="minorHAnsi" w:hAnsiTheme="minorHAnsi"/>
          <w:sz w:val="22"/>
          <w:szCs w:val="22"/>
        </w:rPr>
        <w:t xml:space="preserve">will </w:t>
      </w:r>
      <w:r>
        <w:rPr>
          <w:rFonts w:asciiTheme="minorHAnsi" w:hAnsiTheme="minorHAnsi"/>
          <w:sz w:val="22"/>
          <w:szCs w:val="22"/>
        </w:rPr>
        <w:t xml:space="preserve">continue to offer the same level of personal control over a PCEHR and </w:t>
      </w:r>
      <w:r w:rsidR="00487A5E">
        <w:rPr>
          <w:rFonts w:asciiTheme="minorHAnsi" w:hAnsiTheme="minorHAnsi"/>
          <w:sz w:val="22"/>
          <w:szCs w:val="22"/>
        </w:rPr>
        <w:t xml:space="preserve">will </w:t>
      </w:r>
      <w:r>
        <w:rPr>
          <w:rFonts w:asciiTheme="minorHAnsi" w:hAnsiTheme="minorHAnsi"/>
          <w:sz w:val="22"/>
          <w:szCs w:val="22"/>
        </w:rPr>
        <w:t>continue to give information the same level of privacy and security protection.</w:t>
      </w:r>
    </w:p>
    <w:p w:rsidR="00515C6C" w:rsidRDefault="00515C6C" w:rsidP="003E6A5E">
      <w:pPr>
        <w:spacing w:after="120"/>
        <w:ind w:left="737"/>
        <w:rPr>
          <w:rFonts w:asciiTheme="minorHAnsi" w:hAnsiTheme="minorHAnsi"/>
          <w:sz w:val="22"/>
          <w:szCs w:val="22"/>
        </w:rPr>
      </w:pPr>
      <w:r>
        <w:rPr>
          <w:rFonts w:asciiTheme="minorHAnsi" w:hAnsiTheme="minorHAnsi"/>
          <w:sz w:val="22"/>
          <w:szCs w:val="22"/>
        </w:rPr>
        <w:t xml:space="preserve">The PCEHR is not intended to replace the usual and existing clinical information and processes that </w:t>
      </w:r>
      <w:r w:rsidR="00487A5E">
        <w:rPr>
          <w:rFonts w:asciiTheme="minorHAnsi" w:hAnsiTheme="minorHAnsi"/>
          <w:sz w:val="22"/>
          <w:szCs w:val="22"/>
        </w:rPr>
        <w:t>are</w:t>
      </w:r>
      <w:r>
        <w:rPr>
          <w:rFonts w:asciiTheme="minorHAnsi" w:hAnsiTheme="minorHAnsi"/>
          <w:sz w:val="22"/>
          <w:szCs w:val="22"/>
        </w:rPr>
        <w:t xml:space="preserve"> expected to be applied in the course of an individual’s healthcare.  Moving to an opt-out system is not intended to change the responsibilities of healthcare providers and the individual to ensure that relevant information is available.</w:t>
      </w:r>
    </w:p>
    <w:p w:rsidR="003E6A5E" w:rsidRDefault="003E6A5E" w:rsidP="003E6A5E">
      <w:pPr>
        <w:spacing w:after="120"/>
        <w:ind w:left="737"/>
        <w:rPr>
          <w:rFonts w:asciiTheme="minorHAnsi" w:hAnsiTheme="minorHAnsi"/>
          <w:sz w:val="22"/>
          <w:szCs w:val="22"/>
        </w:rPr>
      </w:pPr>
      <w:r>
        <w:rPr>
          <w:rFonts w:asciiTheme="minorHAnsi" w:hAnsiTheme="minorHAnsi"/>
          <w:sz w:val="22"/>
          <w:szCs w:val="22"/>
        </w:rPr>
        <w:t xml:space="preserve">The scope of ‘healthcare’ </w:t>
      </w:r>
      <w:r w:rsidR="007678A4">
        <w:rPr>
          <w:rFonts w:asciiTheme="minorHAnsi" w:hAnsiTheme="minorHAnsi"/>
          <w:sz w:val="22"/>
          <w:szCs w:val="22"/>
        </w:rPr>
        <w:t>is proposed to</w:t>
      </w:r>
      <w:r>
        <w:rPr>
          <w:rFonts w:asciiTheme="minorHAnsi" w:hAnsiTheme="minorHAnsi"/>
          <w:sz w:val="22"/>
          <w:szCs w:val="22"/>
        </w:rPr>
        <w:t xml:space="preserve"> be clarified to remove any doubt that health-related aged care services, disability services and palliative care are considered part of healthcare.  This </w:t>
      </w:r>
      <w:r w:rsidR="007678A4">
        <w:rPr>
          <w:rFonts w:asciiTheme="minorHAnsi" w:hAnsiTheme="minorHAnsi"/>
          <w:sz w:val="22"/>
          <w:szCs w:val="22"/>
        </w:rPr>
        <w:t>would</w:t>
      </w:r>
      <w:r>
        <w:rPr>
          <w:rFonts w:asciiTheme="minorHAnsi" w:hAnsiTheme="minorHAnsi"/>
          <w:sz w:val="22"/>
          <w:szCs w:val="22"/>
        </w:rPr>
        <w:t xml:space="preserve"> </w:t>
      </w:r>
      <w:r w:rsidR="00BB5C8D">
        <w:rPr>
          <w:rFonts w:asciiTheme="minorHAnsi" w:hAnsiTheme="minorHAnsi"/>
          <w:sz w:val="22"/>
          <w:szCs w:val="22"/>
        </w:rPr>
        <w:t xml:space="preserve">better </w:t>
      </w:r>
      <w:r>
        <w:rPr>
          <w:rFonts w:asciiTheme="minorHAnsi" w:hAnsiTheme="minorHAnsi"/>
          <w:sz w:val="22"/>
          <w:szCs w:val="22"/>
        </w:rPr>
        <w:t xml:space="preserve">reflect the reality of health delivery in Australia and </w:t>
      </w:r>
      <w:r w:rsidR="00BB5C8D">
        <w:rPr>
          <w:rFonts w:asciiTheme="minorHAnsi" w:hAnsiTheme="minorHAnsi"/>
          <w:sz w:val="22"/>
          <w:szCs w:val="22"/>
        </w:rPr>
        <w:t xml:space="preserve">would </w:t>
      </w:r>
      <w:r>
        <w:rPr>
          <w:rFonts w:asciiTheme="minorHAnsi" w:hAnsiTheme="minorHAnsi"/>
          <w:sz w:val="22"/>
          <w:szCs w:val="22"/>
        </w:rPr>
        <w:t>facilitat</w:t>
      </w:r>
      <w:r w:rsidR="00BB5C8D">
        <w:rPr>
          <w:rFonts w:asciiTheme="minorHAnsi" w:hAnsiTheme="minorHAnsi"/>
          <w:sz w:val="22"/>
          <w:szCs w:val="22"/>
        </w:rPr>
        <w:t>e</w:t>
      </w:r>
      <w:r>
        <w:rPr>
          <w:rFonts w:asciiTheme="minorHAnsi" w:hAnsiTheme="minorHAnsi"/>
          <w:sz w:val="22"/>
          <w:szCs w:val="22"/>
        </w:rPr>
        <w:t xml:space="preserve"> integration of health</w:t>
      </w:r>
      <w:r w:rsidR="00904A0F">
        <w:rPr>
          <w:rFonts w:asciiTheme="minorHAnsi" w:hAnsiTheme="minorHAnsi"/>
          <w:sz w:val="22"/>
          <w:szCs w:val="22"/>
        </w:rPr>
        <w:noBreakHyphen/>
      </w:r>
      <w:r w:rsidR="00BB5C8D">
        <w:rPr>
          <w:rFonts w:asciiTheme="minorHAnsi" w:hAnsiTheme="minorHAnsi"/>
          <w:sz w:val="22"/>
          <w:szCs w:val="22"/>
        </w:rPr>
        <w:t>related</w:t>
      </w:r>
      <w:r>
        <w:rPr>
          <w:rFonts w:asciiTheme="minorHAnsi" w:hAnsiTheme="minorHAnsi"/>
          <w:sz w:val="22"/>
          <w:szCs w:val="22"/>
        </w:rPr>
        <w:t xml:space="preserve"> services</w:t>
      </w:r>
      <w:r w:rsidR="00904A0F">
        <w:rPr>
          <w:rFonts w:asciiTheme="minorHAnsi" w:hAnsiTheme="minorHAnsi"/>
          <w:sz w:val="22"/>
          <w:szCs w:val="22"/>
        </w:rPr>
        <w:t xml:space="preserve"> and support improved continuity of care for patients</w:t>
      </w:r>
      <w:r>
        <w:rPr>
          <w:rFonts w:asciiTheme="minorHAnsi" w:hAnsiTheme="minorHAnsi"/>
          <w:sz w:val="22"/>
          <w:szCs w:val="22"/>
        </w:rPr>
        <w:t>.</w:t>
      </w:r>
    </w:p>
    <w:p w:rsidR="003E6A5E" w:rsidRDefault="00BB5C8D" w:rsidP="003E6A5E">
      <w:pPr>
        <w:spacing w:after="120"/>
        <w:ind w:left="737"/>
        <w:rPr>
          <w:rFonts w:asciiTheme="minorHAnsi" w:hAnsiTheme="minorHAnsi"/>
          <w:sz w:val="22"/>
          <w:szCs w:val="22"/>
        </w:rPr>
      </w:pPr>
      <w:r>
        <w:rPr>
          <w:rFonts w:asciiTheme="minorHAnsi" w:hAnsiTheme="minorHAnsi"/>
          <w:sz w:val="22"/>
          <w:szCs w:val="22"/>
        </w:rPr>
        <w:t>Proposed c</w:t>
      </w:r>
      <w:r w:rsidR="003E6A5E">
        <w:rPr>
          <w:rFonts w:asciiTheme="minorHAnsi" w:hAnsiTheme="minorHAnsi"/>
          <w:sz w:val="22"/>
          <w:szCs w:val="22"/>
        </w:rPr>
        <w:t xml:space="preserve">hanges to </w:t>
      </w:r>
      <w:r w:rsidR="00904A0F">
        <w:rPr>
          <w:rFonts w:asciiTheme="minorHAnsi" w:hAnsiTheme="minorHAnsi"/>
          <w:sz w:val="22"/>
          <w:szCs w:val="22"/>
        </w:rPr>
        <w:t>eHealth</w:t>
      </w:r>
      <w:r w:rsidR="003E6A5E">
        <w:rPr>
          <w:rFonts w:asciiTheme="minorHAnsi" w:hAnsiTheme="minorHAnsi"/>
          <w:sz w:val="22"/>
          <w:szCs w:val="22"/>
        </w:rPr>
        <w:t xml:space="preserve"> governance arrangements </w:t>
      </w:r>
      <w:r w:rsidR="00487A5E">
        <w:rPr>
          <w:rFonts w:asciiTheme="minorHAnsi" w:hAnsiTheme="minorHAnsi"/>
          <w:sz w:val="22"/>
          <w:szCs w:val="22"/>
        </w:rPr>
        <w:t xml:space="preserve">will </w:t>
      </w:r>
      <w:r w:rsidR="003E6A5E">
        <w:rPr>
          <w:rFonts w:asciiTheme="minorHAnsi" w:hAnsiTheme="minorHAnsi"/>
          <w:sz w:val="22"/>
          <w:szCs w:val="22"/>
        </w:rPr>
        <w:t>streamline the existing mechanisms across all eHealth development</w:t>
      </w:r>
      <w:r w:rsidR="00904A0F">
        <w:rPr>
          <w:rFonts w:asciiTheme="minorHAnsi" w:hAnsiTheme="minorHAnsi"/>
          <w:sz w:val="22"/>
          <w:szCs w:val="22"/>
        </w:rPr>
        <w:t xml:space="preserve"> and implementation,</w:t>
      </w:r>
      <w:r w:rsidR="003E6A5E">
        <w:rPr>
          <w:rFonts w:asciiTheme="minorHAnsi" w:hAnsiTheme="minorHAnsi"/>
          <w:sz w:val="22"/>
          <w:szCs w:val="22"/>
        </w:rPr>
        <w:t xml:space="preserve"> and improve key stakeholder involvement with the establishment of the Australia</w:t>
      </w:r>
      <w:r w:rsidR="007E253D">
        <w:rPr>
          <w:rFonts w:asciiTheme="minorHAnsi" w:hAnsiTheme="minorHAnsi"/>
          <w:sz w:val="22"/>
          <w:szCs w:val="22"/>
        </w:rPr>
        <w:t>n</w:t>
      </w:r>
      <w:r w:rsidR="003E6A5E">
        <w:rPr>
          <w:rFonts w:asciiTheme="minorHAnsi" w:hAnsiTheme="minorHAnsi"/>
          <w:sz w:val="22"/>
          <w:szCs w:val="22"/>
        </w:rPr>
        <w:t xml:space="preserve"> Commission for eHealth.  </w:t>
      </w:r>
    </w:p>
    <w:p w:rsidR="003E6A5E" w:rsidRDefault="003E6A5E" w:rsidP="003E6A5E">
      <w:pPr>
        <w:spacing w:after="120"/>
        <w:ind w:left="737"/>
        <w:rPr>
          <w:rFonts w:asciiTheme="minorHAnsi" w:hAnsiTheme="minorHAnsi"/>
          <w:sz w:val="22"/>
          <w:szCs w:val="22"/>
        </w:rPr>
      </w:pPr>
      <w:r>
        <w:rPr>
          <w:rFonts w:asciiTheme="minorHAnsi" w:hAnsiTheme="minorHAnsi"/>
          <w:sz w:val="22"/>
          <w:szCs w:val="22"/>
        </w:rPr>
        <w:t xml:space="preserve">Other </w:t>
      </w:r>
      <w:r w:rsidR="007678A4">
        <w:rPr>
          <w:rFonts w:asciiTheme="minorHAnsi" w:hAnsiTheme="minorHAnsi"/>
          <w:sz w:val="22"/>
          <w:szCs w:val="22"/>
        </w:rPr>
        <w:t xml:space="preserve">proposed </w:t>
      </w:r>
      <w:r>
        <w:rPr>
          <w:rFonts w:asciiTheme="minorHAnsi" w:hAnsiTheme="minorHAnsi"/>
          <w:sz w:val="22"/>
          <w:szCs w:val="22"/>
        </w:rPr>
        <w:t xml:space="preserve">changes </w:t>
      </w:r>
      <w:r w:rsidR="00BB5C8D">
        <w:rPr>
          <w:rFonts w:asciiTheme="minorHAnsi" w:hAnsiTheme="minorHAnsi"/>
          <w:sz w:val="22"/>
          <w:szCs w:val="22"/>
        </w:rPr>
        <w:t>would</w:t>
      </w:r>
      <w:r>
        <w:rPr>
          <w:rFonts w:asciiTheme="minorHAnsi" w:hAnsiTheme="minorHAnsi"/>
          <w:sz w:val="22"/>
          <w:szCs w:val="22"/>
        </w:rPr>
        <w:t>:</w:t>
      </w:r>
    </w:p>
    <w:p w:rsidR="003E6A5E" w:rsidRPr="009C221C" w:rsidRDefault="003E6A5E" w:rsidP="00A67B4E">
      <w:pPr>
        <w:pStyle w:val="ListParagraph"/>
        <w:numPr>
          <w:ilvl w:val="0"/>
          <w:numId w:val="24"/>
        </w:numPr>
        <w:spacing w:after="120"/>
        <w:ind w:left="1451" w:hanging="357"/>
        <w:contextualSpacing w:val="0"/>
        <w:rPr>
          <w:rFonts w:asciiTheme="minorHAnsi" w:hAnsiTheme="minorHAnsi"/>
          <w:sz w:val="22"/>
          <w:szCs w:val="22"/>
        </w:rPr>
      </w:pPr>
      <w:r>
        <w:rPr>
          <w:rFonts w:asciiTheme="minorHAnsi" w:hAnsiTheme="minorHAnsi"/>
          <w:sz w:val="22"/>
          <w:szCs w:val="22"/>
        </w:rPr>
        <w:t xml:space="preserve">clarify the data breach notification requirements to remove ambiguities of what constitutes a data breach and when parties need to provide notification; </w:t>
      </w:r>
    </w:p>
    <w:p w:rsidR="003E6A5E" w:rsidRDefault="003E6A5E" w:rsidP="00A67B4E">
      <w:pPr>
        <w:pStyle w:val="ListParagraph"/>
        <w:numPr>
          <w:ilvl w:val="0"/>
          <w:numId w:val="24"/>
        </w:numPr>
        <w:spacing w:after="120"/>
        <w:ind w:left="1451" w:hanging="357"/>
        <w:contextualSpacing w:val="0"/>
        <w:rPr>
          <w:rFonts w:asciiTheme="minorHAnsi" w:hAnsiTheme="minorHAnsi"/>
          <w:sz w:val="22"/>
          <w:szCs w:val="22"/>
        </w:rPr>
      </w:pPr>
      <w:r w:rsidRPr="009C221C">
        <w:rPr>
          <w:rFonts w:asciiTheme="minorHAnsi" w:hAnsiTheme="minorHAnsi"/>
          <w:sz w:val="22"/>
          <w:szCs w:val="22"/>
        </w:rPr>
        <w:t>clarify how healthcare providers and other entities can handle healthcare identifiers and other information</w:t>
      </w:r>
      <w:r>
        <w:rPr>
          <w:rFonts w:asciiTheme="minorHAnsi" w:hAnsiTheme="minorHAnsi"/>
          <w:sz w:val="22"/>
          <w:szCs w:val="22"/>
        </w:rPr>
        <w:t>, ensuring information can be obtained and used as is required to support safe and effective information sharing and recording; and</w:t>
      </w:r>
    </w:p>
    <w:p w:rsidR="003E6A5E" w:rsidRDefault="003E6A5E" w:rsidP="00A67B4E">
      <w:pPr>
        <w:pStyle w:val="ListParagraph"/>
        <w:numPr>
          <w:ilvl w:val="0"/>
          <w:numId w:val="24"/>
        </w:numPr>
        <w:spacing w:after="120"/>
        <w:ind w:left="1451" w:hanging="357"/>
        <w:contextualSpacing w:val="0"/>
        <w:rPr>
          <w:rFonts w:asciiTheme="minorHAnsi" w:hAnsiTheme="minorHAnsi"/>
          <w:sz w:val="22"/>
          <w:szCs w:val="22"/>
        </w:rPr>
      </w:pPr>
      <w:proofErr w:type="gramStart"/>
      <w:r>
        <w:rPr>
          <w:rFonts w:asciiTheme="minorHAnsi" w:hAnsiTheme="minorHAnsi"/>
          <w:sz w:val="22"/>
          <w:szCs w:val="22"/>
        </w:rPr>
        <w:t>provide</w:t>
      </w:r>
      <w:proofErr w:type="gramEnd"/>
      <w:r>
        <w:rPr>
          <w:rFonts w:asciiTheme="minorHAnsi" w:hAnsiTheme="minorHAnsi"/>
          <w:sz w:val="22"/>
          <w:szCs w:val="22"/>
        </w:rPr>
        <w:t xml:space="preserve"> alignment with Government measures to standardise regulatory powers (recognising the Government’s 2014 legislation to establish a regulatory powers framework), and to better reflect the rights of people with disabilities (recognising the Australian Law Reform Commission’s 2014 report </w:t>
      </w:r>
      <w:r>
        <w:rPr>
          <w:rFonts w:asciiTheme="minorHAnsi" w:hAnsiTheme="minorHAnsi"/>
          <w:i/>
          <w:sz w:val="22"/>
          <w:szCs w:val="22"/>
        </w:rPr>
        <w:t>Equality, Capacity and Disability in Commonwealth Laws</w:t>
      </w:r>
      <w:r>
        <w:rPr>
          <w:rFonts w:asciiTheme="minorHAnsi" w:hAnsiTheme="minorHAnsi"/>
          <w:sz w:val="22"/>
          <w:szCs w:val="22"/>
        </w:rPr>
        <w:t xml:space="preserve">). </w:t>
      </w:r>
    </w:p>
    <w:p w:rsidR="003E6A5E" w:rsidRDefault="003E6A5E" w:rsidP="003E6A5E">
      <w:pPr>
        <w:spacing w:after="120"/>
        <w:ind w:left="737"/>
        <w:rPr>
          <w:rFonts w:asciiTheme="minorHAnsi" w:hAnsiTheme="minorHAnsi"/>
          <w:sz w:val="22"/>
          <w:szCs w:val="22"/>
        </w:rPr>
      </w:pPr>
      <w:r>
        <w:rPr>
          <w:rFonts w:asciiTheme="minorHAnsi" w:hAnsiTheme="minorHAnsi"/>
          <w:sz w:val="22"/>
          <w:szCs w:val="22"/>
        </w:rPr>
        <w:t xml:space="preserve">Finally, </w:t>
      </w:r>
      <w:r w:rsidR="00BB5C8D">
        <w:rPr>
          <w:rFonts w:asciiTheme="minorHAnsi" w:hAnsiTheme="minorHAnsi"/>
          <w:sz w:val="22"/>
          <w:szCs w:val="22"/>
        </w:rPr>
        <w:t xml:space="preserve">it is proposed that </w:t>
      </w:r>
      <w:r>
        <w:rPr>
          <w:rFonts w:asciiTheme="minorHAnsi" w:hAnsiTheme="minorHAnsi"/>
          <w:sz w:val="22"/>
          <w:szCs w:val="22"/>
        </w:rPr>
        <w:t xml:space="preserve">the PCEHR be renamed the My Health Record.  </w:t>
      </w:r>
      <w:r w:rsidR="00BB5C8D">
        <w:rPr>
          <w:rFonts w:asciiTheme="minorHAnsi" w:hAnsiTheme="minorHAnsi"/>
          <w:sz w:val="22"/>
          <w:szCs w:val="22"/>
        </w:rPr>
        <w:t>It is considered that t</w:t>
      </w:r>
      <w:r>
        <w:rPr>
          <w:rFonts w:asciiTheme="minorHAnsi" w:hAnsiTheme="minorHAnsi"/>
          <w:sz w:val="22"/>
          <w:szCs w:val="22"/>
        </w:rPr>
        <w:t xml:space="preserve">his name </w:t>
      </w:r>
      <w:r w:rsidR="00487A5E">
        <w:rPr>
          <w:rFonts w:asciiTheme="minorHAnsi" w:hAnsiTheme="minorHAnsi"/>
          <w:sz w:val="22"/>
          <w:szCs w:val="22"/>
        </w:rPr>
        <w:t xml:space="preserve">will </w:t>
      </w:r>
      <w:r>
        <w:rPr>
          <w:rFonts w:asciiTheme="minorHAnsi" w:hAnsiTheme="minorHAnsi"/>
          <w:sz w:val="22"/>
          <w:szCs w:val="22"/>
        </w:rPr>
        <w:t xml:space="preserve">better reflect the partnership between individuals and healthcare providers.  There </w:t>
      </w:r>
      <w:r w:rsidR="00487A5E">
        <w:rPr>
          <w:rFonts w:asciiTheme="minorHAnsi" w:hAnsiTheme="minorHAnsi"/>
          <w:sz w:val="22"/>
          <w:szCs w:val="22"/>
        </w:rPr>
        <w:t xml:space="preserve">will </w:t>
      </w:r>
      <w:r>
        <w:rPr>
          <w:rFonts w:asciiTheme="minorHAnsi" w:hAnsiTheme="minorHAnsi"/>
          <w:sz w:val="22"/>
          <w:szCs w:val="22"/>
        </w:rPr>
        <w:t xml:space="preserve">be no reduction of the personal controls available for individuals to manage their PCEHR, and the system </w:t>
      </w:r>
      <w:r w:rsidR="00487A5E">
        <w:rPr>
          <w:rFonts w:asciiTheme="minorHAnsi" w:hAnsiTheme="minorHAnsi"/>
          <w:sz w:val="22"/>
          <w:szCs w:val="22"/>
        </w:rPr>
        <w:t xml:space="preserve">will </w:t>
      </w:r>
      <w:r>
        <w:rPr>
          <w:rFonts w:asciiTheme="minorHAnsi" w:hAnsiTheme="minorHAnsi"/>
          <w:sz w:val="22"/>
          <w:szCs w:val="22"/>
        </w:rPr>
        <w:t>continue to support the principle of placing individuals at the centre of their healthcare.</w:t>
      </w:r>
    </w:p>
    <w:p w:rsidR="00137695" w:rsidRDefault="00137695" w:rsidP="003E6A5E">
      <w:pPr>
        <w:spacing w:after="120"/>
        <w:ind w:left="737"/>
        <w:rPr>
          <w:rFonts w:asciiTheme="minorHAnsi" w:hAnsiTheme="minorHAnsi"/>
          <w:sz w:val="22"/>
          <w:szCs w:val="22"/>
        </w:rPr>
      </w:pPr>
      <w:r>
        <w:rPr>
          <w:rFonts w:asciiTheme="minorHAnsi" w:hAnsiTheme="minorHAnsi"/>
          <w:sz w:val="22"/>
          <w:szCs w:val="22"/>
        </w:rPr>
        <w:t xml:space="preserve">The Government is also considering </w:t>
      </w:r>
      <w:r w:rsidR="00E30728">
        <w:rPr>
          <w:rFonts w:asciiTheme="minorHAnsi" w:hAnsiTheme="minorHAnsi"/>
          <w:sz w:val="22"/>
          <w:szCs w:val="22"/>
        </w:rPr>
        <w:t xml:space="preserve">whether changes to PCEHR system’s </w:t>
      </w:r>
      <w:r>
        <w:rPr>
          <w:rFonts w:asciiTheme="minorHAnsi" w:hAnsiTheme="minorHAnsi"/>
          <w:sz w:val="22"/>
          <w:szCs w:val="22"/>
        </w:rPr>
        <w:t xml:space="preserve">penalty framework </w:t>
      </w:r>
      <w:r w:rsidR="00E30728">
        <w:rPr>
          <w:rFonts w:asciiTheme="minorHAnsi" w:hAnsiTheme="minorHAnsi"/>
          <w:sz w:val="22"/>
          <w:szCs w:val="22"/>
        </w:rPr>
        <w:t>are necessary.</w:t>
      </w:r>
    </w:p>
    <w:p w:rsidR="003E6A5E" w:rsidRPr="003E6A5E" w:rsidRDefault="003E6A5E" w:rsidP="003E6A5E">
      <w:pPr>
        <w:sectPr w:rsidR="003E6A5E" w:rsidRPr="003E6A5E" w:rsidSect="00C94050">
          <w:footerReference w:type="default" r:id="rId19"/>
          <w:footerReference w:type="first" r:id="rId20"/>
          <w:pgSz w:w="11906" w:h="16838"/>
          <w:pgMar w:top="851" w:right="1134" w:bottom="851" w:left="1134" w:header="709" w:footer="709" w:gutter="0"/>
          <w:pgNumType w:start="1"/>
          <w:cols w:space="708"/>
          <w:docGrid w:linePitch="360"/>
        </w:sectPr>
      </w:pPr>
    </w:p>
    <w:p w:rsidR="00735610" w:rsidRPr="003C72D7" w:rsidRDefault="00735610" w:rsidP="003C72D7">
      <w:pPr>
        <w:pStyle w:val="Heading1"/>
      </w:pPr>
      <w:bookmarkStart w:id="2" w:name="_Toc418763070"/>
      <w:bookmarkStart w:id="3" w:name="_Toc420394223"/>
      <w:r w:rsidRPr="003C72D7">
        <w:lastRenderedPageBreak/>
        <w:t>Introduction</w:t>
      </w:r>
      <w:bookmarkEnd w:id="2"/>
      <w:bookmarkEnd w:id="3"/>
    </w:p>
    <w:p w:rsidR="00396E21" w:rsidRPr="003C72D7" w:rsidRDefault="00396E21" w:rsidP="003C72D7">
      <w:pPr>
        <w:pStyle w:val="Heading2"/>
      </w:pPr>
      <w:bookmarkStart w:id="4" w:name="_Toc418763071"/>
      <w:bookmarkStart w:id="5" w:name="_Toc420394224"/>
      <w:r w:rsidRPr="003C72D7">
        <w:t>Purpose of this paper</w:t>
      </w:r>
      <w:bookmarkEnd w:id="4"/>
      <w:bookmarkEnd w:id="5"/>
    </w:p>
    <w:p w:rsidR="00396E21" w:rsidRDefault="00396E21" w:rsidP="00891AAC">
      <w:pPr>
        <w:spacing w:after="120"/>
        <w:ind w:left="737"/>
        <w:rPr>
          <w:rFonts w:asciiTheme="minorHAnsi" w:hAnsiTheme="minorHAnsi"/>
          <w:sz w:val="22"/>
          <w:szCs w:val="22"/>
        </w:rPr>
      </w:pPr>
      <w:r w:rsidRPr="00396E21">
        <w:rPr>
          <w:rFonts w:asciiTheme="minorHAnsi" w:hAnsiTheme="minorHAnsi"/>
          <w:sz w:val="22"/>
          <w:szCs w:val="22"/>
        </w:rPr>
        <w:t xml:space="preserve">This paper is intended to </w:t>
      </w:r>
      <w:r w:rsidR="00FC7E05">
        <w:rPr>
          <w:rFonts w:asciiTheme="minorHAnsi" w:hAnsiTheme="minorHAnsi"/>
          <w:sz w:val="22"/>
          <w:szCs w:val="22"/>
        </w:rPr>
        <w:t>provide a plain English description of the</w:t>
      </w:r>
      <w:r w:rsidRPr="00396E21">
        <w:rPr>
          <w:rFonts w:asciiTheme="minorHAnsi" w:hAnsiTheme="minorHAnsi"/>
          <w:sz w:val="22"/>
          <w:szCs w:val="22"/>
        </w:rPr>
        <w:t xml:space="preserve"> proposed </w:t>
      </w:r>
      <w:r>
        <w:rPr>
          <w:rFonts w:asciiTheme="minorHAnsi" w:hAnsiTheme="minorHAnsi"/>
          <w:sz w:val="22"/>
          <w:szCs w:val="22"/>
        </w:rPr>
        <w:t xml:space="preserve">changes to the </w:t>
      </w:r>
      <w:r w:rsidR="00FC7E05">
        <w:rPr>
          <w:rFonts w:asciiTheme="minorHAnsi" w:hAnsiTheme="minorHAnsi"/>
          <w:sz w:val="22"/>
          <w:szCs w:val="22"/>
        </w:rPr>
        <w:t xml:space="preserve">legislative framework for the </w:t>
      </w:r>
      <w:r w:rsidR="00891AAC">
        <w:rPr>
          <w:rFonts w:asciiTheme="minorHAnsi" w:hAnsiTheme="minorHAnsi"/>
          <w:sz w:val="22"/>
          <w:szCs w:val="22"/>
        </w:rPr>
        <w:t>per</w:t>
      </w:r>
      <w:r w:rsidR="00FC7E05">
        <w:rPr>
          <w:rFonts w:asciiTheme="minorHAnsi" w:hAnsiTheme="minorHAnsi"/>
          <w:sz w:val="22"/>
          <w:szCs w:val="22"/>
        </w:rPr>
        <w:t xml:space="preserve">sonally </w:t>
      </w:r>
      <w:r w:rsidR="00891AAC">
        <w:rPr>
          <w:rFonts w:asciiTheme="minorHAnsi" w:hAnsiTheme="minorHAnsi"/>
          <w:sz w:val="22"/>
          <w:szCs w:val="22"/>
        </w:rPr>
        <w:t>co</w:t>
      </w:r>
      <w:r w:rsidR="00FC7E05">
        <w:rPr>
          <w:rFonts w:asciiTheme="minorHAnsi" w:hAnsiTheme="minorHAnsi"/>
          <w:sz w:val="22"/>
          <w:szCs w:val="22"/>
        </w:rPr>
        <w:t xml:space="preserve">ntrolled </w:t>
      </w:r>
      <w:r w:rsidR="00891AAC">
        <w:rPr>
          <w:rFonts w:asciiTheme="minorHAnsi" w:hAnsiTheme="minorHAnsi"/>
          <w:sz w:val="22"/>
          <w:szCs w:val="22"/>
        </w:rPr>
        <w:t>e</w:t>
      </w:r>
      <w:r w:rsidR="00FC7E05">
        <w:rPr>
          <w:rFonts w:asciiTheme="minorHAnsi" w:hAnsiTheme="minorHAnsi"/>
          <w:sz w:val="22"/>
          <w:szCs w:val="22"/>
        </w:rPr>
        <w:t xml:space="preserve">lectronic </w:t>
      </w:r>
      <w:r w:rsidR="00891AAC">
        <w:rPr>
          <w:rFonts w:asciiTheme="minorHAnsi" w:hAnsiTheme="minorHAnsi"/>
          <w:sz w:val="22"/>
          <w:szCs w:val="22"/>
        </w:rPr>
        <w:t>h</w:t>
      </w:r>
      <w:r w:rsidR="00FC7E05">
        <w:rPr>
          <w:rFonts w:asciiTheme="minorHAnsi" w:hAnsiTheme="minorHAnsi"/>
          <w:sz w:val="22"/>
          <w:szCs w:val="22"/>
        </w:rPr>
        <w:t xml:space="preserve">ealth </w:t>
      </w:r>
      <w:r w:rsidR="00891AAC">
        <w:rPr>
          <w:rFonts w:asciiTheme="minorHAnsi" w:hAnsiTheme="minorHAnsi"/>
          <w:sz w:val="22"/>
          <w:szCs w:val="22"/>
        </w:rPr>
        <w:t>r</w:t>
      </w:r>
      <w:r w:rsidR="00FC7E05">
        <w:rPr>
          <w:rFonts w:asciiTheme="minorHAnsi" w:hAnsiTheme="minorHAnsi"/>
          <w:sz w:val="22"/>
          <w:szCs w:val="22"/>
        </w:rPr>
        <w:t xml:space="preserve">ecord (PCEHR) </w:t>
      </w:r>
      <w:r w:rsidR="00891AAC">
        <w:rPr>
          <w:rFonts w:asciiTheme="minorHAnsi" w:hAnsiTheme="minorHAnsi"/>
          <w:sz w:val="22"/>
          <w:szCs w:val="22"/>
        </w:rPr>
        <w:t>s</w:t>
      </w:r>
      <w:r w:rsidR="00FC7E05">
        <w:rPr>
          <w:rFonts w:asciiTheme="minorHAnsi" w:hAnsiTheme="minorHAnsi"/>
          <w:sz w:val="22"/>
          <w:szCs w:val="22"/>
        </w:rPr>
        <w:t>ystem and Healthcare Identifiers Service</w:t>
      </w:r>
      <w:r w:rsidR="00AE4963">
        <w:rPr>
          <w:rFonts w:asciiTheme="minorHAnsi" w:hAnsiTheme="minorHAnsi"/>
          <w:sz w:val="22"/>
          <w:szCs w:val="22"/>
        </w:rPr>
        <w:t xml:space="preserve"> (HI Service)</w:t>
      </w:r>
      <w:r w:rsidR="00BE5F3F">
        <w:rPr>
          <w:rFonts w:asciiTheme="minorHAnsi" w:hAnsiTheme="minorHAnsi"/>
          <w:sz w:val="22"/>
          <w:szCs w:val="22"/>
        </w:rPr>
        <w:t>, and a brief analysis of why the changes are needed</w:t>
      </w:r>
      <w:r w:rsidRPr="00396E21">
        <w:rPr>
          <w:rFonts w:asciiTheme="minorHAnsi" w:hAnsiTheme="minorHAnsi"/>
          <w:sz w:val="22"/>
          <w:szCs w:val="22"/>
        </w:rPr>
        <w:t>.</w:t>
      </w:r>
    </w:p>
    <w:p w:rsidR="00FC7E05" w:rsidRDefault="00FC7E05" w:rsidP="00891AAC">
      <w:pPr>
        <w:spacing w:after="120"/>
        <w:ind w:left="737"/>
        <w:rPr>
          <w:rFonts w:asciiTheme="minorHAnsi" w:hAnsiTheme="minorHAnsi"/>
          <w:sz w:val="22"/>
          <w:szCs w:val="22"/>
        </w:rPr>
      </w:pPr>
      <w:r>
        <w:rPr>
          <w:rFonts w:asciiTheme="minorHAnsi" w:hAnsiTheme="minorHAnsi"/>
          <w:sz w:val="22"/>
          <w:szCs w:val="22"/>
        </w:rPr>
        <w:t>The purpose of the paper is to encourage discussion and support public consultation.</w:t>
      </w:r>
    </w:p>
    <w:p w:rsidR="00891AAC" w:rsidRDefault="00891AAC" w:rsidP="00891AAC">
      <w:pPr>
        <w:spacing w:after="120"/>
        <w:ind w:left="737"/>
        <w:rPr>
          <w:rFonts w:asciiTheme="minorHAnsi" w:hAnsiTheme="minorHAnsi"/>
          <w:sz w:val="22"/>
          <w:szCs w:val="22"/>
        </w:rPr>
      </w:pPr>
      <w:r>
        <w:rPr>
          <w:rFonts w:asciiTheme="minorHAnsi" w:hAnsiTheme="minorHAnsi"/>
          <w:sz w:val="22"/>
          <w:szCs w:val="22"/>
        </w:rPr>
        <w:t>These proposed changes should not be considered final.  During the process of legislative development</w:t>
      </w:r>
      <w:r w:rsidR="00C07CF5">
        <w:rPr>
          <w:rFonts w:asciiTheme="minorHAnsi" w:hAnsiTheme="minorHAnsi"/>
          <w:sz w:val="22"/>
          <w:szCs w:val="22"/>
        </w:rPr>
        <w:t xml:space="preserve"> further changes can arise as the result of consultation with the public and government agencies, privacy impact assessments and legislative constraints.</w:t>
      </w:r>
      <w:r w:rsidR="007678A4">
        <w:rPr>
          <w:rFonts w:asciiTheme="minorHAnsi" w:hAnsiTheme="minorHAnsi"/>
          <w:sz w:val="22"/>
          <w:szCs w:val="22"/>
        </w:rPr>
        <w:t xml:space="preserve">  The proposals are also subject to Government decision and Parliamentary agreement.</w:t>
      </w:r>
      <w:r>
        <w:rPr>
          <w:rFonts w:asciiTheme="minorHAnsi" w:hAnsiTheme="minorHAnsi"/>
          <w:sz w:val="22"/>
          <w:szCs w:val="22"/>
        </w:rPr>
        <w:t xml:space="preserve"> </w:t>
      </w:r>
    </w:p>
    <w:p w:rsidR="00396E21" w:rsidRDefault="00396E21" w:rsidP="00891AAC">
      <w:pPr>
        <w:spacing w:after="120"/>
        <w:ind w:left="737"/>
        <w:rPr>
          <w:rFonts w:asciiTheme="minorHAnsi" w:hAnsiTheme="minorHAnsi"/>
          <w:sz w:val="22"/>
          <w:szCs w:val="22"/>
        </w:rPr>
      </w:pPr>
      <w:r w:rsidRPr="00396E21">
        <w:rPr>
          <w:rFonts w:asciiTheme="minorHAnsi" w:hAnsiTheme="minorHAnsi"/>
          <w:sz w:val="22"/>
          <w:szCs w:val="22"/>
        </w:rPr>
        <w:t>Particular issues are brought to the attention of readers using coloured breakout boxes, as follows: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CellMar>
          <w:top w:w="119" w:type="dxa"/>
        </w:tblCellMar>
        <w:tblLook w:val="04A0" w:firstRow="1" w:lastRow="0" w:firstColumn="1" w:lastColumn="0" w:noHBand="0" w:noVBand="1"/>
        <w:tblCaption w:val="A box for examples"/>
        <w:tblDescription w:val="Example boxes provide examples of how particular changes would work in practice or the types of circumstances the changes are intended to address."/>
      </w:tblPr>
      <w:tblGrid>
        <w:gridCol w:w="8153"/>
      </w:tblGrid>
      <w:tr w:rsidR="00396E21" w:rsidRPr="00396E21" w:rsidTr="0045440F">
        <w:trPr>
          <w:cantSplit/>
        </w:trPr>
        <w:tc>
          <w:tcPr>
            <w:tcW w:w="8153" w:type="dxa"/>
            <w:shd w:val="clear" w:color="auto" w:fill="FFFF99"/>
          </w:tcPr>
          <w:p w:rsidR="00396E21" w:rsidRPr="00396E21" w:rsidRDefault="00396E21" w:rsidP="00FC7E05">
            <w:pPr>
              <w:pStyle w:val="BodyText"/>
              <w:keepNext/>
              <w:rPr>
                <w:rFonts w:asciiTheme="minorHAnsi" w:hAnsiTheme="minorHAnsi"/>
                <w:b/>
                <w:sz w:val="22"/>
                <w:szCs w:val="22"/>
              </w:rPr>
            </w:pPr>
            <w:r w:rsidRPr="00396E21">
              <w:rPr>
                <w:rFonts w:asciiTheme="minorHAnsi" w:hAnsiTheme="minorHAnsi"/>
                <w:b/>
                <w:sz w:val="22"/>
                <w:szCs w:val="22"/>
              </w:rPr>
              <w:t xml:space="preserve">Example: </w:t>
            </w:r>
            <w:r w:rsidRPr="00396E21">
              <w:rPr>
                <w:rFonts w:asciiTheme="minorHAnsi" w:hAnsiTheme="minorHAnsi"/>
                <w:sz w:val="22"/>
                <w:szCs w:val="22"/>
              </w:rPr>
              <w:t xml:space="preserve">Yellow boxes provide examples of how particular </w:t>
            </w:r>
            <w:r w:rsidR="00FC7E05">
              <w:rPr>
                <w:rFonts w:asciiTheme="minorHAnsi" w:hAnsiTheme="minorHAnsi"/>
                <w:sz w:val="22"/>
                <w:szCs w:val="22"/>
              </w:rPr>
              <w:t xml:space="preserve">changes would work </w:t>
            </w:r>
            <w:r w:rsidRPr="00396E21">
              <w:rPr>
                <w:rFonts w:asciiTheme="minorHAnsi" w:hAnsiTheme="minorHAnsi"/>
                <w:sz w:val="22"/>
                <w:szCs w:val="22"/>
              </w:rPr>
              <w:t xml:space="preserve">in practice or the types of circumstances the </w:t>
            </w:r>
            <w:r w:rsidR="00FC7E05">
              <w:rPr>
                <w:rFonts w:asciiTheme="minorHAnsi" w:hAnsiTheme="minorHAnsi"/>
                <w:sz w:val="22"/>
                <w:szCs w:val="22"/>
              </w:rPr>
              <w:t>changes are intended</w:t>
            </w:r>
            <w:r w:rsidRPr="00396E21">
              <w:rPr>
                <w:rFonts w:asciiTheme="minorHAnsi" w:hAnsiTheme="minorHAnsi"/>
                <w:sz w:val="22"/>
                <w:szCs w:val="22"/>
              </w:rPr>
              <w:t xml:space="preserve"> to address.</w:t>
            </w:r>
          </w:p>
        </w:tc>
      </w:tr>
    </w:tbl>
    <w:p w:rsidR="00396E21" w:rsidRPr="0088792D" w:rsidRDefault="00396E21" w:rsidP="00FC7E05">
      <w:pPr>
        <w:spacing w:after="120"/>
        <w:rPr>
          <w:rFonts w:asciiTheme="minorHAnsi" w:hAnsiTheme="minorHAnsi"/>
          <w:sz w:val="12"/>
          <w:szCs w:val="1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CellMar>
          <w:top w:w="119" w:type="dxa"/>
        </w:tblCellMar>
        <w:tblLook w:val="04A0" w:firstRow="1" w:lastRow="0" w:firstColumn="1" w:lastColumn="0" w:noHBand="0" w:noVBand="1"/>
        <w:tblCaption w:val="A box to identify matters for consideration"/>
        <w:tblDescription w:val="Consideration boxes identify matters on which stakeholder input is of particular interest due to legal and/or practical ramifications."/>
      </w:tblPr>
      <w:tblGrid>
        <w:gridCol w:w="8153"/>
      </w:tblGrid>
      <w:tr w:rsidR="00396E21" w:rsidRPr="00396E21" w:rsidTr="0045440F">
        <w:trPr>
          <w:cantSplit/>
        </w:trPr>
        <w:tc>
          <w:tcPr>
            <w:tcW w:w="8153" w:type="dxa"/>
            <w:shd w:val="clear" w:color="auto" w:fill="CCFFCC"/>
          </w:tcPr>
          <w:p w:rsidR="00396E21" w:rsidRPr="00396E21" w:rsidRDefault="00396E21" w:rsidP="00FC7E05">
            <w:pPr>
              <w:pStyle w:val="BodyText"/>
              <w:keepNext/>
              <w:rPr>
                <w:rFonts w:asciiTheme="minorHAnsi" w:hAnsiTheme="minorHAnsi"/>
                <w:b/>
                <w:sz w:val="22"/>
                <w:szCs w:val="22"/>
              </w:rPr>
            </w:pPr>
            <w:r w:rsidRPr="00396E21">
              <w:rPr>
                <w:rFonts w:asciiTheme="minorHAnsi" w:hAnsiTheme="minorHAnsi"/>
                <w:b/>
                <w:sz w:val="22"/>
                <w:szCs w:val="22"/>
              </w:rPr>
              <w:t xml:space="preserve">Consider: </w:t>
            </w:r>
            <w:r w:rsidRPr="00396E21">
              <w:rPr>
                <w:rFonts w:asciiTheme="minorHAnsi" w:hAnsiTheme="minorHAnsi"/>
                <w:sz w:val="22"/>
                <w:szCs w:val="22"/>
              </w:rPr>
              <w:t>Green boxes identify matters on which stakeholder input is of particular interest due to legal and/or practical ramifications.</w:t>
            </w:r>
          </w:p>
        </w:tc>
      </w:tr>
    </w:tbl>
    <w:p w:rsidR="007C5475" w:rsidRPr="0088792D" w:rsidRDefault="007C5475" w:rsidP="007C5475">
      <w:pPr>
        <w:spacing w:after="120"/>
        <w:rPr>
          <w:rFonts w:asciiTheme="minorHAnsi" w:hAnsiTheme="minorHAnsi"/>
          <w:sz w:val="12"/>
          <w:szCs w:val="12"/>
        </w:rPr>
      </w:pPr>
      <w:bookmarkStart w:id="6" w:name="OLE_LINK3"/>
      <w:bookmarkStart w:id="7" w:name="OLE_LINK4"/>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hemeFill="accent2" w:themeFillTint="99"/>
        <w:tblCellMar>
          <w:top w:w="119" w:type="dxa"/>
        </w:tblCellMar>
        <w:tblLook w:val="04A0" w:firstRow="1" w:lastRow="0" w:firstColumn="1" w:lastColumn="0" w:noHBand="0" w:noVBand="1"/>
        <w:tblCaption w:val="A box for noting"/>
        <w:tblDescription w:val="Noting boxes are provided to alert readers to important matters."/>
      </w:tblPr>
      <w:tblGrid>
        <w:gridCol w:w="8153"/>
      </w:tblGrid>
      <w:tr w:rsidR="007C5475" w:rsidRPr="00396E21" w:rsidTr="0045440F">
        <w:trPr>
          <w:cantSplit/>
        </w:trPr>
        <w:tc>
          <w:tcPr>
            <w:tcW w:w="8153" w:type="dxa"/>
            <w:shd w:val="clear" w:color="auto" w:fill="D99594" w:themeFill="accent2" w:themeFillTint="99"/>
          </w:tcPr>
          <w:p w:rsidR="007C5475" w:rsidRPr="00396E21" w:rsidRDefault="007C5475" w:rsidP="00891AAC">
            <w:pPr>
              <w:pStyle w:val="BodyText"/>
              <w:keepNext/>
              <w:rPr>
                <w:rFonts w:asciiTheme="minorHAnsi" w:hAnsiTheme="minorHAnsi"/>
                <w:b/>
                <w:sz w:val="22"/>
                <w:szCs w:val="22"/>
              </w:rPr>
            </w:pPr>
            <w:r>
              <w:rPr>
                <w:rFonts w:asciiTheme="minorHAnsi" w:hAnsiTheme="minorHAnsi"/>
                <w:b/>
                <w:sz w:val="22"/>
                <w:szCs w:val="22"/>
              </w:rPr>
              <w:t>Note</w:t>
            </w:r>
            <w:r w:rsidRPr="007C5475">
              <w:rPr>
                <w:rFonts w:asciiTheme="minorHAnsi" w:hAnsiTheme="minorHAnsi"/>
                <w:sz w:val="22"/>
                <w:szCs w:val="22"/>
              </w:rPr>
              <w:t xml:space="preserve">: </w:t>
            </w:r>
            <w:r w:rsidR="00891AAC">
              <w:rPr>
                <w:rFonts w:asciiTheme="minorHAnsi" w:hAnsiTheme="minorHAnsi"/>
                <w:sz w:val="22"/>
                <w:szCs w:val="22"/>
              </w:rPr>
              <w:t>Red boxe</w:t>
            </w:r>
            <w:r w:rsidRPr="00396E21">
              <w:rPr>
                <w:rFonts w:asciiTheme="minorHAnsi" w:hAnsiTheme="minorHAnsi"/>
                <w:sz w:val="22"/>
                <w:szCs w:val="22"/>
              </w:rPr>
              <w:t xml:space="preserve">s </w:t>
            </w:r>
            <w:r>
              <w:rPr>
                <w:rFonts w:asciiTheme="minorHAnsi" w:hAnsiTheme="minorHAnsi"/>
                <w:sz w:val="22"/>
                <w:szCs w:val="22"/>
              </w:rPr>
              <w:t>are provided to alert readers to important matters.</w:t>
            </w:r>
          </w:p>
        </w:tc>
      </w:tr>
    </w:tbl>
    <w:p w:rsidR="00396E21" w:rsidRPr="0088792D" w:rsidRDefault="00396E21" w:rsidP="00FC7E05">
      <w:pPr>
        <w:spacing w:after="120"/>
        <w:rPr>
          <w:rFonts w:asciiTheme="minorHAnsi" w:hAnsiTheme="minorHAnsi"/>
          <w:sz w:val="12"/>
          <w:szCs w:val="12"/>
        </w:rPr>
      </w:pPr>
    </w:p>
    <w:bookmarkEnd w:id="6"/>
    <w:bookmarkEnd w:id="7"/>
    <w:p w:rsidR="00130835" w:rsidRDefault="00396E21" w:rsidP="00130835">
      <w:pPr>
        <w:spacing w:after="120"/>
        <w:ind w:left="737"/>
        <w:rPr>
          <w:rFonts w:asciiTheme="minorHAnsi" w:hAnsiTheme="minorHAnsi"/>
          <w:sz w:val="22"/>
          <w:szCs w:val="22"/>
        </w:rPr>
      </w:pPr>
      <w:r w:rsidRPr="00396E21">
        <w:rPr>
          <w:rFonts w:asciiTheme="minorHAnsi" w:hAnsiTheme="minorHAnsi"/>
          <w:sz w:val="22"/>
          <w:szCs w:val="22"/>
        </w:rPr>
        <w:t xml:space="preserve">Acronyms and terms used in this paper are described at </w:t>
      </w:r>
      <w:r w:rsidRPr="00130835">
        <w:rPr>
          <w:rFonts w:asciiTheme="minorHAnsi" w:hAnsiTheme="minorHAnsi"/>
          <w:b/>
          <w:sz w:val="22"/>
          <w:szCs w:val="22"/>
        </w:rPr>
        <w:t>Appendix 1</w:t>
      </w:r>
      <w:r w:rsidRPr="00396E21">
        <w:rPr>
          <w:rFonts w:asciiTheme="minorHAnsi" w:hAnsiTheme="minorHAnsi"/>
          <w:sz w:val="22"/>
          <w:szCs w:val="22"/>
        </w:rPr>
        <w:t>.</w:t>
      </w:r>
    </w:p>
    <w:p w:rsidR="00130835" w:rsidRDefault="00130835" w:rsidP="00130835">
      <w:pPr>
        <w:spacing w:after="120"/>
        <w:ind w:left="737"/>
        <w:rPr>
          <w:rFonts w:asciiTheme="minorHAnsi" w:hAnsiTheme="minorHAnsi"/>
          <w:sz w:val="22"/>
          <w:szCs w:val="22"/>
        </w:rPr>
      </w:pPr>
      <w:r>
        <w:rPr>
          <w:rFonts w:asciiTheme="minorHAnsi" w:hAnsiTheme="minorHAnsi"/>
          <w:sz w:val="22"/>
          <w:szCs w:val="22"/>
        </w:rPr>
        <w:t>This paper does not discuss technical, administrative or other changes that may be made to the PCEHR system or HI Service.</w:t>
      </w:r>
    </w:p>
    <w:p w:rsidR="00130835" w:rsidRDefault="00DB1482" w:rsidP="00130835">
      <w:pPr>
        <w:spacing w:after="120"/>
        <w:ind w:left="737"/>
        <w:rPr>
          <w:rFonts w:asciiTheme="minorHAnsi" w:hAnsiTheme="minorHAnsi"/>
          <w:sz w:val="22"/>
          <w:szCs w:val="22"/>
        </w:rPr>
      </w:pPr>
      <w:r>
        <w:rPr>
          <w:rFonts w:asciiTheme="minorHAnsi" w:hAnsiTheme="minorHAnsi"/>
          <w:sz w:val="22"/>
          <w:szCs w:val="22"/>
        </w:rPr>
        <w:t>T</w:t>
      </w:r>
      <w:r w:rsidR="00130835">
        <w:rPr>
          <w:rFonts w:asciiTheme="minorHAnsi" w:hAnsiTheme="minorHAnsi"/>
          <w:sz w:val="22"/>
          <w:szCs w:val="22"/>
        </w:rPr>
        <w:t xml:space="preserve">his paper refers to an eHealth record as a PCEHR and not by </w:t>
      </w:r>
      <w:r w:rsidR="007B3D25">
        <w:rPr>
          <w:rFonts w:asciiTheme="minorHAnsi" w:hAnsiTheme="minorHAnsi"/>
          <w:sz w:val="22"/>
          <w:szCs w:val="22"/>
        </w:rPr>
        <w:t xml:space="preserve">its </w:t>
      </w:r>
      <w:r w:rsidR="00130835">
        <w:rPr>
          <w:rFonts w:asciiTheme="minorHAnsi" w:hAnsiTheme="minorHAnsi"/>
          <w:sz w:val="22"/>
          <w:szCs w:val="22"/>
        </w:rPr>
        <w:t>proposed new name My Health Record.</w:t>
      </w:r>
    </w:p>
    <w:p w:rsidR="00396E21" w:rsidRPr="00396E21" w:rsidRDefault="00396E21" w:rsidP="003C72D7">
      <w:pPr>
        <w:pStyle w:val="Heading2"/>
      </w:pPr>
      <w:bookmarkStart w:id="8" w:name="_Toc418763072"/>
      <w:bookmarkStart w:id="9" w:name="_Toc420394225"/>
      <w:r>
        <w:t>What is not in scope</w:t>
      </w:r>
      <w:bookmarkEnd w:id="8"/>
      <w:bookmarkEnd w:id="9"/>
    </w:p>
    <w:p w:rsidR="00396E21" w:rsidRPr="003C72D7" w:rsidRDefault="00396E21" w:rsidP="003C72D7">
      <w:pPr>
        <w:spacing w:after="120"/>
        <w:ind w:left="737"/>
        <w:rPr>
          <w:rFonts w:asciiTheme="minorHAnsi" w:hAnsiTheme="minorHAnsi"/>
          <w:sz w:val="22"/>
          <w:szCs w:val="22"/>
        </w:rPr>
      </w:pPr>
      <w:r w:rsidRPr="003C72D7">
        <w:rPr>
          <w:rFonts w:asciiTheme="minorHAnsi" w:hAnsiTheme="minorHAnsi"/>
          <w:sz w:val="22"/>
          <w:szCs w:val="22"/>
        </w:rPr>
        <w:t>This paper is intended to describe those components of the PCEHR system which require legislative support.  It does not include information about the architecture and design of the PCEHR system.</w:t>
      </w:r>
    </w:p>
    <w:p w:rsidR="00396E21" w:rsidRPr="003C72D7" w:rsidRDefault="00396E21" w:rsidP="003C72D7">
      <w:pPr>
        <w:spacing w:after="120"/>
        <w:ind w:left="737"/>
        <w:rPr>
          <w:rFonts w:asciiTheme="minorHAnsi" w:hAnsiTheme="minorHAnsi"/>
          <w:sz w:val="22"/>
          <w:szCs w:val="22"/>
        </w:rPr>
      </w:pPr>
      <w:r w:rsidRPr="003C72D7">
        <w:rPr>
          <w:rFonts w:asciiTheme="minorHAnsi" w:hAnsiTheme="minorHAnsi"/>
          <w:sz w:val="22"/>
          <w:szCs w:val="22"/>
        </w:rPr>
        <w:t xml:space="preserve">Many aspects of the PCEHR system </w:t>
      </w:r>
      <w:r w:rsidR="00DB1482">
        <w:rPr>
          <w:rFonts w:asciiTheme="minorHAnsi" w:hAnsiTheme="minorHAnsi"/>
          <w:sz w:val="22"/>
          <w:szCs w:val="22"/>
        </w:rPr>
        <w:t>are determined by operational and technical requirements</w:t>
      </w:r>
      <w:r w:rsidRPr="003C72D7">
        <w:rPr>
          <w:rFonts w:asciiTheme="minorHAnsi" w:hAnsiTheme="minorHAnsi"/>
          <w:sz w:val="22"/>
          <w:szCs w:val="22"/>
        </w:rPr>
        <w:t xml:space="preserve"> which do not </w:t>
      </w:r>
      <w:r w:rsidR="00DB1482">
        <w:rPr>
          <w:rFonts w:asciiTheme="minorHAnsi" w:hAnsiTheme="minorHAnsi"/>
          <w:sz w:val="22"/>
          <w:szCs w:val="22"/>
        </w:rPr>
        <w:t>need to</w:t>
      </w:r>
      <w:r w:rsidRPr="003C72D7">
        <w:rPr>
          <w:rFonts w:asciiTheme="minorHAnsi" w:hAnsiTheme="minorHAnsi"/>
          <w:sz w:val="22"/>
          <w:szCs w:val="22"/>
        </w:rPr>
        <w:t xml:space="preserve"> be set out in the legislation.</w:t>
      </w:r>
    </w:p>
    <w:p w:rsidR="00396E21" w:rsidRPr="00396E21" w:rsidRDefault="00396E21" w:rsidP="003C72D7">
      <w:pPr>
        <w:pStyle w:val="Heading2"/>
      </w:pPr>
      <w:bookmarkStart w:id="10" w:name="_Toc418763073"/>
      <w:bookmarkStart w:id="11" w:name="_Toc420394226"/>
      <w:r>
        <w:t>How to provide feedback</w:t>
      </w:r>
      <w:bookmarkEnd w:id="10"/>
      <w:bookmarkEnd w:id="11"/>
    </w:p>
    <w:p w:rsidR="00396E21" w:rsidRDefault="007E4306" w:rsidP="00891AAC">
      <w:pPr>
        <w:spacing w:after="120"/>
        <w:ind w:left="737"/>
        <w:rPr>
          <w:rFonts w:asciiTheme="minorHAnsi" w:hAnsiTheme="minorHAnsi"/>
          <w:sz w:val="22"/>
          <w:szCs w:val="22"/>
        </w:rPr>
      </w:pPr>
      <w:r>
        <w:rPr>
          <w:rFonts w:asciiTheme="minorHAnsi" w:hAnsiTheme="minorHAnsi"/>
          <w:sz w:val="22"/>
          <w:szCs w:val="22"/>
        </w:rPr>
        <w:t>Submissions must be provided in writing, and must identify the name/s of the party/</w:t>
      </w:r>
      <w:proofErr w:type="spellStart"/>
      <w:r>
        <w:rPr>
          <w:rFonts w:asciiTheme="minorHAnsi" w:hAnsiTheme="minorHAnsi"/>
          <w:sz w:val="22"/>
          <w:szCs w:val="22"/>
        </w:rPr>
        <w:t>ies</w:t>
      </w:r>
      <w:proofErr w:type="spellEnd"/>
      <w:r>
        <w:rPr>
          <w:rFonts w:asciiTheme="minorHAnsi" w:hAnsiTheme="minorHAnsi"/>
          <w:sz w:val="22"/>
          <w:szCs w:val="22"/>
        </w:rPr>
        <w:t xml:space="preserve"> and/or organisation/s they represent (if any), as well as contact details.</w:t>
      </w:r>
    </w:p>
    <w:p w:rsidR="007E4306" w:rsidRDefault="007E4306" w:rsidP="00891AAC">
      <w:pPr>
        <w:spacing w:after="120"/>
        <w:ind w:left="737"/>
        <w:rPr>
          <w:rFonts w:asciiTheme="minorHAnsi" w:hAnsiTheme="minorHAnsi"/>
          <w:sz w:val="22"/>
          <w:szCs w:val="22"/>
        </w:rPr>
      </w:pPr>
      <w:r>
        <w:rPr>
          <w:rFonts w:asciiTheme="minorHAnsi" w:hAnsiTheme="minorHAnsi"/>
          <w:sz w:val="22"/>
          <w:szCs w:val="22"/>
        </w:rPr>
        <w:t xml:space="preserve">Submissions </w:t>
      </w:r>
      <w:r w:rsidR="00AE4E46">
        <w:rPr>
          <w:rFonts w:asciiTheme="minorHAnsi" w:hAnsiTheme="minorHAnsi"/>
          <w:sz w:val="22"/>
          <w:szCs w:val="22"/>
        </w:rPr>
        <w:t xml:space="preserve">can </w:t>
      </w:r>
      <w:r w:rsidR="007C5475">
        <w:rPr>
          <w:rFonts w:asciiTheme="minorHAnsi" w:hAnsiTheme="minorHAnsi"/>
          <w:sz w:val="22"/>
          <w:szCs w:val="22"/>
        </w:rPr>
        <w:t>be made by any of the following ways</w:t>
      </w:r>
      <w:r>
        <w:rPr>
          <w:rFonts w:asciiTheme="minorHAnsi" w:hAnsiTheme="minorHAnsi"/>
          <w:sz w:val="22"/>
          <w:szCs w:val="22"/>
        </w:rPr>
        <w:t>:</w:t>
      </w:r>
    </w:p>
    <w:p w:rsidR="007E4306" w:rsidRDefault="007E4306" w:rsidP="003A37A5">
      <w:pPr>
        <w:pStyle w:val="ListParagraph"/>
        <w:numPr>
          <w:ilvl w:val="0"/>
          <w:numId w:val="4"/>
        </w:numPr>
        <w:spacing w:after="120"/>
        <w:rPr>
          <w:rFonts w:asciiTheme="minorHAnsi" w:hAnsiTheme="minorHAnsi"/>
          <w:sz w:val="22"/>
          <w:szCs w:val="22"/>
        </w:rPr>
      </w:pPr>
      <w:r>
        <w:rPr>
          <w:rFonts w:asciiTheme="minorHAnsi" w:hAnsiTheme="minorHAnsi"/>
          <w:sz w:val="22"/>
          <w:szCs w:val="22"/>
        </w:rPr>
        <w:t xml:space="preserve">mail </w:t>
      </w:r>
      <w:r w:rsidR="007C5475">
        <w:rPr>
          <w:rFonts w:asciiTheme="minorHAnsi" w:hAnsiTheme="minorHAnsi"/>
          <w:sz w:val="22"/>
          <w:szCs w:val="22"/>
        </w:rPr>
        <w:t>it</w:t>
      </w:r>
      <w:r>
        <w:rPr>
          <w:rFonts w:asciiTheme="minorHAnsi" w:hAnsiTheme="minorHAnsi"/>
          <w:sz w:val="22"/>
          <w:szCs w:val="22"/>
        </w:rPr>
        <w:t xml:space="preserve"> to</w:t>
      </w:r>
      <w:r>
        <w:rPr>
          <w:rFonts w:asciiTheme="minorHAnsi" w:hAnsiTheme="minorHAnsi"/>
          <w:sz w:val="22"/>
          <w:szCs w:val="22"/>
        </w:rPr>
        <w:tab/>
      </w:r>
      <w:r w:rsidR="007C5475">
        <w:rPr>
          <w:rFonts w:asciiTheme="minorHAnsi" w:hAnsiTheme="minorHAnsi"/>
          <w:sz w:val="22"/>
          <w:szCs w:val="22"/>
        </w:rPr>
        <w:tab/>
      </w:r>
      <w:r>
        <w:rPr>
          <w:rFonts w:asciiTheme="minorHAnsi" w:hAnsiTheme="minorHAnsi"/>
          <w:sz w:val="22"/>
          <w:szCs w:val="22"/>
        </w:rPr>
        <w:t>PCEHR/HI Discussion Paper Feedback</w:t>
      </w:r>
    </w:p>
    <w:p w:rsidR="00E3267A" w:rsidRDefault="007E4306" w:rsidP="007E4306">
      <w:pPr>
        <w:pStyle w:val="ListParagraph"/>
        <w:spacing w:after="120"/>
        <w:ind w:left="2880"/>
        <w:rPr>
          <w:rFonts w:asciiTheme="minorHAnsi" w:hAnsiTheme="minorHAnsi"/>
          <w:sz w:val="22"/>
          <w:szCs w:val="22"/>
        </w:rPr>
      </w:pPr>
      <w:r>
        <w:rPr>
          <w:rFonts w:asciiTheme="minorHAnsi" w:hAnsiTheme="minorHAnsi"/>
          <w:sz w:val="22"/>
          <w:szCs w:val="22"/>
        </w:rPr>
        <w:t>Department of Health</w:t>
      </w:r>
    </w:p>
    <w:p w:rsidR="00E3267A" w:rsidRDefault="00EE0EE8" w:rsidP="007E4306">
      <w:pPr>
        <w:pStyle w:val="ListParagraph"/>
        <w:spacing w:after="120"/>
        <w:ind w:left="2880"/>
        <w:rPr>
          <w:rFonts w:asciiTheme="minorHAnsi" w:hAnsiTheme="minorHAnsi"/>
          <w:sz w:val="22"/>
          <w:szCs w:val="22"/>
        </w:rPr>
      </w:pPr>
      <w:proofErr w:type="spellStart"/>
      <w:r>
        <w:rPr>
          <w:rFonts w:asciiTheme="minorHAnsi" w:hAnsiTheme="minorHAnsi"/>
          <w:sz w:val="22"/>
          <w:szCs w:val="22"/>
        </w:rPr>
        <w:t>MDP</w:t>
      </w:r>
      <w:proofErr w:type="spellEnd"/>
      <w:r>
        <w:rPr>
          <w:rFonts w:asciiTheme="minorHAnsi" w:hAnsiTheme="minorHAnsi"/>
          <w:sz w:val="22"/>
          <w:szCs w:val="22"/>
        </w:rPr>
        <w:t xml:space="preserve"> 1003</w:t>
      </w:r>
    </w:p>
    <w:p w:rsidR="007E4306" w:rsidRDefault="007E4306" w:rsidP="007E4306">
      <w:pPr>
        <w:pStyle w:val="ListParagraph"/>
        <w:spacing w:after="120"/>
        <w:ind w:left="2880"/>
        <w:rPr>
          <w:rFonts w:asciiTheme="minorHAnsi" w:hAnsiTheme="minorHAnsi"/>
          <w:sz w:val="22"/>
          <w:szCs w:val="22"/>
        </w:rPr>
      </w:pPr>
      <w:r>
        <w:rPr>
          <w:rFonts w:asciiTheme="minorHAnsi" w:hAnsiTheme="minorHAnsi"/>
          <w:sz w:val="22"/>
          <w:szCs w:val="22"/>
        </w:rPr>
        <w:t>GPO Box 9848</w:t>
      </w:r>
    </w:p>
    <w:p w:rsidR="007E4306" w:rsidRDefault="007E4306" w:rsidP="007E4306">
      <w:pPr>
        <w:pStyle w:val="ListParagraph"/>
        <w:spacing w:after="120"/>
        <w:ind w:left="2880"/>
        <w:contextualSpacing w:val="0"/>
        <w:rPr>
          <w:rFonts w:asciiTheme="minorHAnsi" w:hAnsiTheme="minorHAnsi"/>
          <w:sz w:val="22"/>
          <w:szCs w:val="22"/>
        </w:rPr>
      </w:pPr>
      <w:proofErr w:type="gramStart"/>
      <w:r>
        <w:rPr>
          <w:rFonts w:asciiTheme="minorHAnsi" w:hAnsiTheme="minorHAnsi"/>
          <w:sz w:val="22"/>
          <w:szCs w:val="22"/>
        </w:rPr>
        <w:t>CANBERRA  ACT</w:t>
      </w:r>
      <w:proofErr w:type="gramEnd"/>
      <w:r>
        <w:rPr>
          <w:rFonts w:asciiTheme="minorHAnsi" w:hAnsiTheme="minorHAnsi"/>
          <w:sz w:val="22"/>
          <w:szCs w:val="22"/>
        </w:rPr>
        <w:t xml:space="preserve">  2601</w:t>
      </w:r>
    </w:p>
    <w:p w:rsidR="00D14F00" w:rsidRPr="00D16AF3" w:rsidRDefault="005450E6" w:rsidP="00311BB0">
      <w:pPr>
        <w:pStyle w:val="ListParagraph"/>
        <w:numPr>
          <w:ilvl w:val="0"/>
          <w:numId w:val="4"/>
        </w:numPr>
        <w:spacing w:after="120"/>
        <w:ind w:left="1077" w:hanging="357"/>
        <w:contextualSpacing w:val="0"/>
        <w:rPr>
          <w:sz w:val="12"/>
          <w:szCs w:val="12"/>
        </w:rPr>
      </w:pPr>
      <w:r w:rsidRPr="005450E6">
        <w:rPr>
          <w:rFonts w:asciiTheme="minorHAnsi" w:hAnsiTheme="minorHAnsi"/>
          <w:sz w:val="22"/>
          <w:szCs w:val="22"/>
        </w:rPr>
        <w:t>email it to</w:t>
      </w:r>
      <w:r>
        <w:rPr>
          <w:rFonts w:asciiTheme="minorHAnsi" w:hAnsiTheme="minorHAnsi"/>
          <w:sz w:val="22"/>
          <w:szCs w:val="22"/>
        </w:rPr>
        <w:tab/>
      </w:r>
      <w:r>
        <w:rPr>
          <w:rFonts w:asciiTheme="minorHAnsi" w:hAnsiTheme="minorHAnsi"/>
          <w:sz w:val="22"/>
          <w:szCs w:val="22"/>
        </w:rPr>
        <w:tab/>
      </w:r>
      <w:hyperlink r:id="rId21" w:history="1">
        <w:r w:rsidRPr="00BE62BD">
          <w:rPr>
            <w:rStyle w:val="Hyperlink"/>
            <w:rFonts w:asciiTheme="minorHAnsi" w:hAnsiTheme="minorHAnsi"/>
            <w:sz w:val="22"/>
            <w:szCs w:val="22"/>
          </w:rPr>
          <w:t>ehealth.legislation@health.gov.au</w:t>
        </w:r>
      </w:hyperlink>
    </w:p>
    <w:p w:rsidR="00CD134C" w:rsidRPr="00CD134C" w:rsidRDefault="00930339" w:rsidP="00311BB0">
      <w:pPr>
        <w:pStyle w:val="ListParagraph"/>
        <w:numPr>
          <w:ilvl w:val="0"/>
          <w:numId w:val="4"/>
        </w:numPr>
        <w:spacing w:after="120"/>
        <w:ind w:left="1077" w:hanging="357"/>
        <w:contextualSpacing w:val="0"/>
        <w:rPr>
          <w:rStyle w:val="Hyperlink"/>
          <w:color w:val="auto"/>
          <w:sz w:val="12"/>
          <w:szCs w:val="12"/>
        </w:rPr>
      </w:pPr>
      <w:r>
        <w:rPr>
          <w:rFonts w:asciiTheme="minorHAnsi" w:hAnsiTheme="minorHAnsi"/>
          <w:sz w:val="22"/>
          <w:szCs w:val="22"/>
        </w:rPr>
        <w:t>upload i</w:t>
      </w:r>
      <w:r w:rsidRPr="005450E6">
        <w:rPr>
          <w:rFonts w:asciiTheme="minorHAnsi" w:hAnsiTheme="minorHAnsi"/>
          <w:sz w:val="22"/>
          <w:szCs w:val="22"/>
        </w:rPr>
        <w:t xml:space="preserve">t </w:t>
      </w:r>
      <w:r>
        <w:rPr>
          <w:rFonts w:asciiTheme="minorHAnsi" w:hAnsiTheme="minorHAnsi"/>
          <w:sz w:val="22"/>
          <w:szCs w:val="22"/>
        </w:rPr>
        <w:t>at</w:t>
      </w:r>
      <w:r>
        <w:rPr>
          <w:rFonts w:asciiTheme="minorHAnsi" w:hAnsiTheme="minorHAnsi"/>
          <w:sz w:val="22"/>
          <w:szCs w:val="22"/>
        </w:rPr>
        <w:tab/>
      </w:r>
      <w:r>
        <w:rPr>
          <w:rFonts w:asciiTheme="minorHAnsi" w:hAnsiTheme="minorHAnsi"/>
          <w:sz w:val="22"/>
          <w:szCs w:val="22"/>
        </w:rPr>
        <w:tab/>
      </w:r>
      <w:hyperlink r:id="rId22" w:history="1">
        <w:r w:rsidR="00AB1151" w:rsidRPr="00AB1151">
          <w:rPr>
            <w:rStyle w:val="Hyperlink"/>
            <w:rFonts w:asciiTheme="minorHAnsi" w:hAnsiTheme="minorHAnsi"/>
            <w:sz w:val="22"/>
            <w:szCs w:val="22"/>
          </w:rPr>
          <w:t>the eHealth website</w:t>
        </w:r>
      </w:hyperlink>
    </w:p>
    <w:p w:rsidR="00930339" w:rsidRPr="00CD134C" w:rsidRDefault="00CD134C" w:rsidP="00311BB0">
      <w:pPr>
        <w:pStyle w:val="ListParagraph"/>
        <w:numPr>
          <w:ilvl w:val="0"/>
          <w:numId w:val="4"/>
        </w:numPr>
        <w:spacing w:after="120"/>
        <w:ind w:left="1077" w:hanging="357"/>
        <w:contextualSpacing w:val="0"/>
        <w:rPr>
          <w:rFonts w:asciiTheme="minorHAnsi" w:hAnsiTheme="minorHAnsi"/>
          <w:sz w:val="22"/>
          <w:szCs w:val="22"/>
          <w:lang w:eastAsia="en-AU"/>
        </w:rPr>
      </w:pPr>
      <w:proofErr w:type="gramStart"/>
      <w:r w:rsidRPr="00CD134C">
        <w:rPr>
          <w:rStyle w:val="Hyperlink"/>
          <w:rFonts w:asciiTheme="minorHAnsi" w:hAnsiTheme="minorHAnsi"/>
          <w:color w:val="auto"/>
          <w:sz w:val="22"/>
          <w:szCs w:val="22"/>
        </w:rPr>
        <w:lastRenderedPageBreak/>
        <w:t>fax</w:t>
      </w:r>
      <w:proofErr w:type="gramEnd"/>
      <w:r w:rsidRPr="00CD134C">
        <w:rPr>
          <w:rStyle w:val="Hyperlink"/>
          <w:rFonts w:asciiTheme="minorHAnsi" w:hAnsiTheme="minorHAnsi"/>
          <w:color w:val="auto"/>
          <w:sz w:val="22"/>
          <w:szCs w:val="22"/>
        </w:rPr>
        <w:t xml:space="preserve"> it to</w:t>
      </w:r>
      <w:r w:rsidRPr="00CD134C">
        <w:rPr>
          <w:rFonts w:asciiTheme="minorHAnsi" w:hAnsiTheme="minorHAnsi"/>
          <w:sz w:val="22"/>
          <w:szCs w:val="22"/>
          <w:lang w:eastAsia="en-AU"/>
        </w:rPr>
        <w:tab/>
      </w:r>
      <w:r w:rsidRPr="00CD134C">
        <w:rPr>
          <w:rFonts w:asciiTheme="minorHAnsi" w:hAnsiTheme="minorHAnsi"/>
          <w:sz w:val="22"/>
          <w:szCs w:val="22"/>
          <w:lang w:eastAsia="en-AU"/>
        </w:rPr>
        <w:tab/>
        <w:t>(02) 6289 5673</w:t>
      </w:r>
      <w:r w:rsidR="009136A0">
        <w:rPr>
          <w:rFonts w:asciiTheme="minorHAnsi" w:hAnsiTheme="minorHAnsi"/>
          <w:sz w:val="22"/>
          <w:szCs w:val="22"/>
          <w:lang w:eastAsia="en-AU"/>
        </w:rPr>
        <w:t>.</w:t>
      </w:r>
      <w:r w:rsidR="00930339" w:rsidRPr="00CD134C">
        <w:rPr>
          <w:rFonts w:asciiTheme="minorHAnsi" w:hAnsiTheme="minorHAnsi"/>
          <w:sz w:val="22"/>
          <w:szCs w:val="22"/>
          <w:lang w:eastAsia="en-AU"/>
        </w:rPr>
        <w:t xml:space="preserve"> </w:t>
      </w:r>
    </w:p>
    <w:p w:rsidR="007C5475" w:rsidRPr="00C94050" w:rsidRDefault="007C5475" w:rsidP="00891AAC">
      <w:pPr>
        <w:spacing w:after="120"/>
        <w:ind w:left="737"/>
        <w:rPr>
          <w:rFonts w:asciiTheme="minorHAnsi" w:hAnsiTheme="minorHAnsi"/>
          <w:sz w:val="22"/>
          <w:szCs w:val="22"/>
        </w:rPr>
      </w:pPr>
      <w:r w:rsidRPr="00C94050">
        <w:rPr>
          <w:rFonts w:asciiTheme="minorHAnsi" w:hAnsiTheme="minorHAnsi"/>
          <w:sz w:val="22"/>
          <w:szCs w:val="22"/>
        </w:rPr>
        <w:t>Submission</w:t>
      </w:r>
      <w:r w:rsidR="00C94050" w:rsidRPr="00C94050">
        <w:rPr>
          <w:rFonts w:asciiTheme="minorHAnsi" w:hAnsiTheme="minorHAnsi"/>
          <w:sz w:val="22"/>
          <w:szCs w:val="22"/>
        </w:rPr>
        <w:t>s</w:t>
      </w:r>
      <w:r w:rsidRPr="00C94050">
        <w:rPr>
          <w:rFonts w:asciiTheme="minorHAnsi" w:hAnsiTheme="minorHAnsi"/>
          <w:sz w:val="22"/>
          <w:szCs w:val="22"/>
        </w:rPr>
        <w:t xml:space="preserve"> will be made public and shared with other Commonwealth, state and territory government agencies to inform the development of the legislative changes.  If you want your submission to remain confidential please mark the submission as such, and submitters should be aware that confidential submissions may still be subject to access under Freedom of Information law.</w:t>
      </w:r>
    </w:p>
    <w:p w:rsidR="007E4306" w:rsidRDefault="007C5475" w:rsidP="00891AAC">
      <w:pPr>
        <w:spacing w:after="120"/>
        <w:ind w:left="737"/>
        <w:rPr>
          <w:rFonts w:asciiTheme="minorHAnsi" w:hAnsiTheme="minorHAnsi"/>
          <w:sz w:val="22"/>
          <w:szCs w:val="22"/>
        </w:rPr>
      </w:pPr>
      <w:r>
        <w:rPr>
          <w:rFonts w:asciiTheme="minorHAnsi" w:hAnsiTheme="minorHAnsi"/>
          <w:sz w:val="22"/>
          <w:szCs w:val="22"/>
        </w:rPr>
        <w:t>The closing date for submission</w:t>
      </w:r>
      <w:r w:rsidR="00904A0F">
        <w:rPr>
          <w:rFonts w:asciiTheme="minorHAnsi" w:hAnsiTheme="minorHAnsi"/>
          <w:sz w:val="22"/>
          <w:szCs w:val="22"/>
        </w:rPr>
        <w:t>s</w:t>
      </w:r>
      <w:r>
        <w:rPr>
          <w:rFonts w:asciiTheme="minorHAnsi" w:hAnsiTheme="minorHAnsi"/>
          <w:sz w:val="22"/>
          <w:szCs w:val="22"/>
        </w:rPr>
        <w:t xml:space="preserve"> is </w:t>
      </w:r>
      <w:r w:rsidRPr="007C5475">
        <w:rPr>
          <w:rFonts w:asciiTheme="minorHAnsi" w:hAnsiTheme="minorHAnsi"/>
          <w:b/>
          <w:sz w:val="22"/>
          <w:szCs w:val="22"/>
        </w:rPr>
        <w:t>5 p.m. (A</w:t>
      </w:r>
      <w:r w:rsidR="003D7F19">
        <w:rPr>
          <w:rFonts w:asciiTheme="minorHAnsi" w:hAnsiTheme="minorHAnsi"/>
          <w:b/>
          <w:sz w:val="22"/>
          <w:szCs w:val="22"/>
        </w:rPr>
        <w:t>ustralian Eastern Standard Time</w:t>
      </w:r>
      <w:r>
        <w:rPr>
          <w:rFonts w:asciiTheme="minorHAnsi" w:hAnsiTheme="minorHAnsi"/>
          <w:b/>
          <w:sz w:val="22"/>
          <w:szCs w:val="22"/>
        </w:rPr>
        <w:t>)</w:t>
      </w:r>
      <w:r w:rsidRPr="007C5475">
        <w:rPr>
          <w:rFonts w:asciiTheme="minorHAnsi" w:hAnsiTheme="minorHAnsi"/>
          <w:b/>
          <w:sz w:val="22"/>
          <w:szCs w:val="22"/>
        </w:rPr>
        <w:t>, Wednesday, 24 June 2015</w:t>
      </w:r>
      <w:r>
        <w:rPr>
          <w:rFonts w:asciiTheme="minorHAnsi" w:hAnsiTheme="minorHAnsi"/>
          <w:sz w:val="22"/>
          <w:szCs w:val="22"/>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hemeFill="accent2" w:themeFillTint="99"/>
        <w:tblCellMar>
          <w:top w:w="119" w:type="dxa"/>
        </w:tblCellMar>
        <w:tblLook w:val="04A0" w:firstRow="1" w:lastRow="0" w:firstColumn="1" w:lastColumn="0" w:noHBand="0" w:noVBand="1"/>
        <w:tblCaption w:val="A box for noting"/>
        <w:tblDescription w:val="Readers should note that submissions or comments will generally be subject to freedom of information provisions under the Freedom of Information Act 1982."/>
      </w:tblPr>
      <w:tblGrid>
        <w:gridCol w:w="8153"/>
      </w:tblGrid>
      <w:tr w:rsidR="007C5475" w:rsidRPr="00396E21" w:rsidTr="0045440F">
        <w:trPr>
          <w:cantSplit/>
        </w:trPr>
        <w:tc>
          <w:tcPr>
            <w:tcW w:w="8153" w:type="dxa"/>
            <w:shd w:val="clear" w:color="auto" w:fill="D99594" w:themeFill="accent2" w:themeFillTint="99"/>
          </w:tcPr>
          <w:p w:rsidR="007C5475" w:rsidRPr="007C5475" w:rsidRDefault="007C5475" w:rsidP="00DB1482">
            <w:pPr>
              <w:pStyle w:val="BodyText"/>
              <w:keepNext/>
              <w:rPr>
                <w:rFonts w:asciiTheme="minorHAnsi" w:hAnsiTheme="minorHAnsi"/>
                <w:b/>
                <w:sz w:val="22"/>
                <w:szCs w:val="22"/>
              </w:rPr>
            </w:pPr>
            <w:r>
              <w:rPr>
                <w:rFonts w:asciiTheme="minorHAnsi" w:hAnsiTheme="minorHAnsi"/>
                <w:b/>
                <w:sz w:val="22"/>
                <w:szCs w:val="22"/>
              </w:rPr>
              <w:t>Note</w:t>
            </w:r>
            <w:r w:rsidRPr="007C5475">
              <w:rPr>
                <w:rFonts w:asciiTheme="minorHAnsi" w:hAnsiTheme="minorHAnsi"/>
                <w:sz w:val="22"/>
                <w:szCs w:val="22"/>
              </w:rPr>
              <w:t xml:space="preserve">: </w:t>
            </w:r>
            <w:r>
              <w:rPr>
                <w:rFonts w:asciiTheme="minorHAnsi" w:hAnsiTheme="minorHAnsi"/>
                <w:sz w:val="22"/>
                <w:szCs w:val="22"/>
              </w:rPr>
              <w:t>Readers should note that submissions or comments will generally be subject to freedom of information provisions</w:t>
            </w:r>
            <w:r w:rsidR="00DB1482">
              <w:rPr>
                <w:rFonts w:asciiTheme="minorHAnsi" w:hAnsiTheme="minorHAnsi"/>
                <w:sz w:val="22"/>
                <w:szCs w:val="22"/>
              </w:rPr>
              <w:t xml:space="preserve"> under</w:t>
            </w:r>
            <w:r>
              <w:rPr>
                <w:rFonts w:asciiTheme="minorHAnsi" w:hAnsiTheme="minorHAnsi"/>
                <w:sz w:val="22"/>
                <w:szCs w:val="22"/>
              </w:rPr>
              <w:t xml:space="preserve"> the </w:t>
            </w:r>
            <w:r>
              <w:rPr>
                <w:rFonts w:asciiTheme="minorHAnsi" w:hAnsiTheme="minorHAnsi"/>
                <w:i/>
                <w:sz w:val="22"/>
                <w:szCs w:val="22"/>
              </w:rPr>
              <w:t>Freedom of Information Act 1982</w:t>
            </w:r>
            <w:r>
              <w:rPr>
                <w:rFonts w:asciiTheme="minorHAnsi" w:hAnsiTheme="minorHAnsi"/>
                <w:sz w:val="22"/>
                <w:szCs w:val="22"/>
              </w:rPr>
              <w:t>.</w:t>
            </w:r>
          </w:p>
        </w:tc>
      </w:tr>
    </w:tbl>
    <w:p w:rsidR="0016082B" w:rsidRDefault="0016082B" w:rsidP="003A37A5">
      <w:pPr>
        <w:pStyle w:val="ListParagraph"/>
        <w:numPr>
          <w:ilvl w:val="0"/>
          <w:numId w:val="2"/>
        </w:numPr>
        <w:spacing w:before="240" w:after="120"/>
        <w:ind w:left="567" w:hanging="567"/>
        <w:contextualSpacing w:val="0"/>
        <w:rPr>
          <w:rFonts w:asciiTheme="minorHAnsi" w:hAnsiTheme="minorHAnsi"/>
          <w:b/>
          <w:sz w:val="36"/>
          <w:szCs w:val="36"/>
        </w:rPr>
        <w:sectPr w:rsidR="0016082B" w:rsidSect="00C94050">
          <w:pgSz w:w="11906" w:h="16838"/>
          <w:pgMar w:top="1276" w:right="1134" w:bottom="851" w:left="1134" w:header="709" w:footer="709" w:gutter="0"/>
          <w:cols w:space="708"/>
          <w:docGrid w:linePitch="360"/>
        </w:sectPr>
      </w:pPr>
    </w:p>
    <w:p w:rsidR="00FC5316" w:rsidRDefault="00FC5316" w:rsidP="003C72D7">
      <w:pPr>
        <w:pStyle w:val="Heading1"/>
      </w:pPr>
      <w:bookmarkStart w:id="12" w:name="_Toc418763074"/>
      <w:bookmarkStart w:id="13" w:name="_Toc420394227"/>
      <w:r>
        <w:lastRenderedPageBreak/>
        <w:t>Background</w:t>
      </w:r>
      <w:bookmarkEnd w:id="12"/>
      <w:bookmarkEnd w:id="13"/>
    </w:p>
    <w:p w:rsidR="00FC5316" w:rsidRPr="003D6C23" w:rsidRDefault="0016082B" w:rsidP="00A67B4E">
      <w:pPr>
        <w:pStyle w:val="Heading2"/>
        <w:numPr>
          <w:ilvl w:val="1"/>
          <w:numId w:val="20"/>
        </w:numPr>
        <w:ind w:left="737" w:hanging="737"/>
      </w:pPr>
      <w:bookmarkStart w:id="14" w:name="_Toc418763075"/>
      <w:bookmarkStart w:id="15" w:name="_Toc420394228"/>
      <w:r>
        <w:t>Perso</w:t>
      </w:r>
      <w:r w:rsidR="00FC5316" w:rsidRPr="003D6C23">
        <w:t>nally controlled electronic health record system</w:t>
      </w:r>
      <w:bookmarkEnd w:id="14"/>
      <w:bookmarkEnd w:id="15"/>
    </w:p>
    <w:p w:rsidR="006A5E74" w:rsidRDefault="00891AAC" w:rsidP="00BF27DF">
      <w:pPr>
        <w:pStyle w:val="ListParagraph"/>
        <w:spacing w:after="120"/>
        <w:ind w:left="737"/>
        <w:contextualSpacing w:val="0"/>
        <w:rPr>
          <w:rFonts w:asciiTheme="minorHAnsi" w:hAnsiTheme="minorHAnsi"/>
          <w:sz w:val="22"/>
          <w:szCs w:val="22"/>
        </w:rPr>
      </w:pPr>
      <w:r>
        <w:rPr>
          <w:rFonts w:asciiTheme="minorHAnsi" w:hAnsiTheme="minorHAnsi"/>
          <w:sz w:val="22"/>
          <w:szCs w:val="22"/>
        </w:rPr>
        <w:t xml:space="preserve">The </w:t>
      </w:r>
      <w:r w:rsidR="00C07CF5">
        <w:rPr>
          <w:rFonts w:asciiTheme="minorHAnsi" w:hAnsiTheme="minorHAnsi"/>
          <w:sz w:val="22"/>
          <w:szCs w:val="22"/>
        </w:rPr>
        <w:t>PCEHR system</w:t>
      </w:r>
      <w:r>
        <w:rPr>
          <w:rFonts w:asciiTheme="minorHAnsi" w:hAnsiTheme="minorHAnsi"/>
          <w:sz w:val="22"/>
          <w:szCs w:val="22"/>
        </w:rPr>
        <w:t xml:space="preserve"> </w:t>
      </w:r>
      <w:r w:rsidR="000602A4">
        <w:rPr>
          <w:rFonts w:asciiTheme="minorHAnsi" w:hAnsiTheme="minorHAnsi"/>
          <w:sz w:val="22"/>
          <w:szCs w:val="22"/>
        </w:rPr>
        <w:t xml:space="preserve">was </w:t>
      </w:r>
      <w:r w:rsidR="000602A4" w:rsidRPr="000602A4">
        <w:rPr>
          <w:rFonts w:asciiTheme="minorHAnsi" w:hAnsiTheme="minorHAnsi"/>
          <w:sz w:val="22"/>
          <w:szCs w:val="22"/>
        </w:rPr>
        <w:t xml:space="preserve">established by the </w:t>
      </w:r>
      <w:r w:rsidR="000602A4" w:rsidRPr="000602A4">
        <w:rPr>
          <w:rFonts w:asciiTheme="minorHAnsi" w:hAnsiTheme="minorHAnsi"/>
          <w:i/>
          <w:sz w:val="22"/>
          <w:szCs w:val="22"/>
        </w:rPr>
        <w:t xml:space="preserve">Personally Controlled Electronic Health Records Act </w:t>
      </w:r>
      <w:r w:rsidR="000602A4" w:rsidRPr="00F37719">
        <w:rPr>
          <w:rFonts w:asciiTheme="minorHAnsi" w:hAnsiTheme="minorHAnsi"/>
          <w:i/>
        </w:rPr>
        <w:t>2012</w:t>
      </w:r>
      <w:r w:rsidR="00F37719">
        <w:rPr>
          <w:rFonts w:asciiTheme="minorHAnsi" w:hAnsiTheme="minorHAnsi"/>
        </w:rPr>
        <w:t xml:space="preserve"> </w:t>
      </w:r>
      <w:r w:rsidR="000602A4" w:rsidRPr="000602A4">
        <w:rPr>
          <w:rFonts w:asciiTheme="minorHAnsi" w:hAnsiTheme="minorHAnsi"/>
        </w:rPr>
        <w:t xml:space="preserve">(PCEHR Act) </w:t>
      </w:r>
      <w:r w:rsidR="000602A4">
        <w:rPr>
          <w:rFonts w:asciiTheme="minorHAnsi" w:hAnsiTheme="minorHAnsi"/>
        </w:rPr>
        <w:t xml:space="preserve">and </w:t>
      </w:r>
      <w:r w:rsidR="00D25482">
        <w:rPr>
          <w:rFonts w:asciiTheme="minorHAnsi" w:hAnsiTheme="minorHAnsi"/>
        </w:rPr>
        <w:t xml:space="preserve">became available to the </w:t>
      </w:r>
      <w:r w:rsidR="000602A4">
        <w:rPr>
          <w:rFonts w:asciiTheme="minorHAnsi" w:hAnsiTheme="minorHAnsi"/>
        </w:rPr>
        <w:t xml:space="preserve">public </w:t>
      </w:r>
      <w:r w:rsidR="00E9556B">
        <w:rPr>
          <w:rFonts w:asciiTheme="minorHAnsi" w:hAnsiTheme="minorHAnsi"/>
          <w:sz w:val="22"/>
          <w:szCs w:val="22"/>
        </w:rPr>
        <w:t>on 1 July 2012.</w:t>
      </w:r>
      <w:r w:rsidR="00D25482">
        <w:rPr>
          <w:rFonts w:asciiTheme="minorHAnsi" w:hAnsiTheme="minorHAnsi"/>
          <w:sz w:val="22"/>
          <w:szCs w:val="22"/>
        </w:rPr>
        <w:t xml:space="preserve">  It is a national system </w:t>
      </w:r>
      <w:r w:rsidR="006A5E74">
        <w:rPr>
          <w:rFonts w:asciiTheme="minorHAnsi" w:hAnsiTheme="minorHAnsi"/>
          <w:sz w:val="22"/>
          <w:szCs w:val="22"/>
        </w:rPr>
        <w:t xml:space="preserve">for providing access to </w:t>
      </w:r>
      <w:r w:rsidR="00F72ED5">
        <w:rPr>
          <w:rFonts w:asciiTheme="minorHAnsi" w:hAnsiTheme="minorHAnsi"/>
          <w:sz w:val="22"/>
          <w:szCs w:val="22"/>
        </w:rPr>
        <w:t>individuals’</w:t>
      </w:r>
      <w:r w:rsidR="006A5E74">
        <w:rPr>
          <w:rFonts w:asciiTheme="minorHAnsi" w:hAnsiTheme="minorHAnsi"/>
          <w:sz w:val="22"/>
          <w:szCs w:val="22"/>
        </w:rPr>
        <w:t xml:space="preserve"> key health information, intended </w:t>
      </w:r>
      <w:r w:rsidR="00D25482">
        <w:rPr>
          <w:rFonts w:asciiTheme="minorHAnsi" w:hAnsiTheme="minorHAnsi"/>
          <w:sz w:val="22"/>
          <w:szCs w:val="22"/>
        </w:rPr>
        <w:t>to</w:t>
      </w:r>
      <w:r w:rsidR="006A5E74">
        <w:rPr>
          <w:rFonts w:asciiTheme="minorHAnsi" w:hAnsiTheme="minorHAnsi"/>
          <w:sz w:val="22"/>
          <w:szCs w:val="22"/>
        </w:rPr>
        <w:t>:</w:t>
      </w:r>
    </w:p>
    <w:p w:rsidR="006A5E74" w:rsidRDefault="006A5E74" w:rsidP="00A67B4E">
      <w:pPr>
        <w:pStyle w:val="ListParagraph"/>
        <w:numPr>
          <w:ilvl w:val="0"/>
          <w:numId w:val="19"/>
        </w:numPr>
        <w:spacing w:after="120"/>
        <w:contextualSpacing w:val="0"/>
        <w:rPr>
          <w:rFonts w:asciiTheme="minorHAnsi" w:hAnsiTheme="minorHAnsi"/>
          <w:sz w:val="22"/>
          <w:szCs w:val="22"/>
        </w:rPr>
      </w:pPr>
      <w:r>
        <w:rPr>
          <w:rFonts w:asciiTheme="minorHAnsi" w:hAnsiTheme="minorHAnsi"/>
          <w:sz w:val="22"/>
          <w:szCs w:val="22"/>
        </w:rPr>
        <w:t xml:space="preserve">help </w:t>
      </w:r>
      <w:r w:rsidR="00F37719">
        <w:rPr>
          <w:rFonts w:asciiTheme="minorHAnsi" w:hAnsiTheme="minorHAnsi"/>
          <w:sz w:val="22"/>
          <w:szCs w:val="22"/>
        </w:rPr>
        <w:t>overcome the fragmentation of health information in Australia</w:t>
      </w:r>
      <w:r>
        <w:rPr>
          <w:rFonts w:asciiTheme="minorHAnsi" w:hAnsiTheme="minorHAnsi"/>
          <w:sz w:val="22"/>
          <w:szCs w:val="22"/>
        </w:rPr>
        <w:t>;</w:t>
      </w:r>
      <w:r w:rsidR="00F37719">
        <w:rPr>
          <w:rFonts w:asciiTheme="minorHAnsi" w:hAnsiTheme="minorHAnsi"/>
          <w:sz w:val="22"/>
          <w:szCs w:val="22"/>
        </w:rPr>
        <w:t xml:space="preserve"> </w:t>
      </w:r>
    </w:p>
    <w:p w:rsidR="006A5E74" w:rsidRDefault="006A5E74" w:rsidP="00A67B4E">
      <w:pPr>
        <w:pStyle w:val="ListParagraph"/>
        <w:numPr>
          <w:ilvl w:val="0"/>
          <w:numId w:val="19"/>
        </w:numPr>
        <w:spacing w:after="120"/>
        <w:contextualSpacing w:val="0"/>
        <w:rPr>
          <w:rFonts w:asciiTheme="minorHAnsi" w:hAnsiTheme="minorHAnsi"/>
          <w:sz w:val="22"/>
          <w:szCs w:val="22"/>
        </w:rPr>
      </w:pPr>
      <w:r>
        <w:rPr>
          <w:rFonts w:asciiTheme="minorHAnsi" w:hAnsiTheme="minorHAnsi"/>
          <w:sz w:val="22"/>
          <w:szCs w:val="22"/>
        </w:rPr>
        <w:t>improve the availability and quality of health information;</w:t>
      </w:r>
    </w:p>
    <w:p w:rsidR="006A5E74" w:rsidRDefault="006A5E74" w:rsidP="00A67B4E">
      <w:pPr>
        <w:pStyle w:val="ListParagraph"/>
        <w:numPr>
          <w:ilvl w:val="0"/>
          <w:numId w:val="19"/>
        </w:numPr>
        <w:spacing w:after="120"/>
        <w:contextualSpacing w:val="0"/>
        <w:rPr>
          <w:rFonts w:asciiTheme="minorHAnsi" w:hAnsiTheme="minorHAnsi"/>
          <w:sz w:val="22"/>
          <w:szCs w:val="22"/>
        </w:rPr>
      </w:pPr>
      <w:r>
        <w:rPr>
          <w:rFonts w:asciiTheme="minorHAnsi" w:hAnsiTheme="minorHAnsi"/>
          <w:sz w:val="22"/>
          <w:szCs w:val="22"/>
        </w:rPr>
        <w:t>reduce the occurrence of adverse medical events and the duplication of treatment; and</w:t>
      </w:r>
    </w:p>
    <w:p w:rsidR="00F37719" w:rsidRDefault="006A5E74" w:rsidP="00A67B4E">
      <w:pPr>
        <w:pStyle w:val="ListParagraph"/>
        <w:numPr>
          <w:ilvl w:val="0"/>
          <w:numId w:val="19"/>
        </w:numPr>
        <w:spacing w:after="120"/>
        <w:contextualSpacing w:val="0"/>
        <w:rPr>
          <w:rFonts w:asciiTheme="minorHAnsi" w:hAnsiTheme="minorHAnsi"/>
          <w:sz w:val="22"/>
          <w:szCs w:val="22"/>
        </w:rPr>
      </w:pPr>
      <w:proofErr w:type="gramStart"/>
      <w:r>
        <w:rPr>
          <w:rFonts w:asciiTheme="minorHAnsi" w:hAnsiTheme="minorHAnsi"/>
          <w:sz w:val="22"/>
          <w:szCs w:val="22"/>
        </w:rPr>
        <w:t>improve</w:t>
      </w:r>
      <w:proofErr w:type="gramEnd"/>
      <w:r>
        <w:rPr>
          <w:rFonts w:asciiTheme="minorHAnsi" w:hAnsiTheme="minorHAnsi"/>
          <w:sz w:val="22"/>
          <w:szCs w:val="22"/>
        </w:rPr>
        <w:t xml:space="preserve"> the coordination and quality of healthcare provide</w:t>
      </w:r>
      <w:r w:rsidR="00CD3BCD">
        <w:rPr>
          <w:rFonts w:asciiTheme="minorHAnsi" w:hAnsiTheme="minorHAnsi"/>
          <w:sz w:val="22"/>
          <w:szCs w:val="22"/>
        </w:rPr>
        <w:t>d</w:t>
      </w:r>
      <w:r>
        <w:rPr>
          <w:rFonts w:asciiTheme="minorHAnsi" w:hAnsiTheme="minorHAnsi"/>
          <w:sz w:val="22"/>
          <w:szCs w:val="22"/>
        </w:rPr>
        <w:t xml:space="preserve"> to </w:t>
      </w:r>
      <w:r w:rsidR="00F72ED5">
        <w:rPr>
          <w:rFonts w:asciiTheme="minorHAnsi" w:hAnsiTheme="minorHAnsi"/>
          <w:sz w:val="22"/>
          <w:szCs w:val="22"/>
        </w:rPr>
        <w:t>individuals</w:t>
      </w:r>
      <w:r>
        <w:rPr>
          <w:rFonts w:asciiTheme="minorHAnsi" w:hAnsiTheme="minorHAnsi"/>
          <w:sz w:val="22"/>
          <w:szCs w:val="22"/>
        </w:rPr>
        <w:t xml:space="preserve"> by different healthcare providers.</w:t>
      </w:r>
    </w:p>
    <w:p w:rsidR="006F206F" w:rsidRDefault="006F206F" w:rsidP="00BF27DF">
      <w:pPr>
        <w:pStyle w:val="ListParagraph"/>
        <w:spacing w:after="120"/>
        <w:ind w:left="737"/>
        <w:contextualSpacing w:val="0"/>
        <w:rPr>
          <w:rFonts w:asciiTheme="minorHAnsi" w:hAnsiTheme="minorHAnsi"/>
          <w:sz w:val="22"/>
          <w:szCs w:val="22"/>
        </w:rPr>
      </w:pPr>
      <w:r>
        <w:rPr>
          <w:rFonts w:asciiTheme="minorHAnsi" w:hAnsiTheme="minorHAnsi"/>
          <w:sz w:val="22"/>
          <w:szCs w:val="22"/>
        </w:rPr>
        <w:t>The PCEHR system builds on the foundation laid by the introduction of healthcare identifiers.</w:t>
      </w:r>
    </w:p>
    <w:p w:rsidR="00F37719" w:rsidRDefault="006F206F" w:rsidP="00BF27DF">
      <w:pPr>
        <w:pStyle w:val="ListParagraph"/>
        <w:spacing w:after="120"/>
        <w:ind w:left="737"/>
        <w:contextualSpacing w:val="0"/>
        <w:rPr>
          <w:rFonts w:asciiTheme="minorHAnsi" w:hAnsiTheme="minorHAnsi"/>
          <w:sz w:val="22"/>
          <w:szCs w:val="22"/>
        </w:rPr>
      </w:pPr>
      <w:r>
        <w:rPr>
          <w:rFonts w:asciiTheme="minorHAnsi" w:hAnsiTheme="minorHAnsi"/>
          <w:sz w:val="22"/>
          <w:szCs w:val="22"/>
        </w:rPr>
        <w:t>A PCEHR is an electronic summary of a person’s key health information, ass</w:t>
      </w:r>
      <w:r w:rsidR="00F37719">
        <w:rPr>
          <w:rFonts w:asciiTheme="minorHAnsi" w:hAnsiTheme="minorHAnsi"/>
          <w:sz w:val="22"/>
          <w:szCs w:val="22"/>
        </w:rPr>
        <w:t xml:space="preserve">embled from information held by </w:t>
      </w:r>
      <w:r>
        <w:rPr>
          <w:rFonts w:asciiTheme="minorHAnsi" w:hAnsiTheme="minorHAnsi"/>
          <w:sz w:val="22"/>
          <w:szCs w:val="22"/>
        </w:rPr>
        <w:t>distributed participating organisations, known as registered repository operators, and the National Repositories Service operated by the PCEHR System Operator.</w:t>
      </w:r>
      <w:r w:rsidR="00F37719">
        <w:rPr>
          <w:rFonts w:asciiTheme="minorHAnsi" w:hAnsiTheme="minorHAnsi"/>
          <w:sz w:val="22"/>
          <w:szCs w:val="22"/>
        </w:rPr>
        <w:t xml:space="preserve"> </w:t>
      </w:r>
    </w:p>
    <w:p w:rsidR="006F206F" w:rsidRDefault="006F206F" w:rsidP="006F206F">
      <w:pPr>
        <w:pStyle w:val="ListParagraph"/>
        <w:spacing w:after="120"/>
        <w:ind w:left="737"/>
        <w:contextualSpacing w:val="0"/>
        <w:rPr>
          <w:rFonts w:asciiTheme="minorHAnsi" w:hAnsiTheme="minorHAnsi"/>
          <w:sz w:val="22"/>
          <w:szCs w:val="22"/>
        </w:rPr>
      </w:pPr>
      <w:r>
        <w:rPr>
          <w:rFonts w:asciiTheme="minorHAnsi" w:hAnsiTheme="minorHAnsi"/>
          <w:sz w:val="22"/>
          <w:szCs w:val="22"/>
        </w:rPr>
        <w:t xml:space="preserve">The PCEHR system places the </w:t>
      </w:r>
      <w:r w:rsidR="00F72ED5">
        <w:rPr>
          <w:rFonts w:asciiTheme="minorHAnsi" w:hAnsiTheme="minorHAnsi"/>
          <w:sz w:val="22"/>
          <w:szCs w:val="22"/>
        </w:rPr>
        <w:t>individual</w:t>
      </w:r>
      <w:r>
        <w:rPr>
          <w:rFonts w:asciiTheme="minorHAnsi" w:hAnsiTheme="minorHAnsi"/>
          <w:sz w:val="22"/>
          <w:szCs w:val="22"/>
        </w:rPr>
        <w:t xml:space="preserve"> at the centre of their own healthcare by enabling access to important health information where and when it is needed by </w:t>
      </w:r>
      <w:r w:rsidR="00F72ED5">
        <w:rPr>
          <w:rFonts w:asciiTheme="minorHAnsi" w:hAnsiTheme="minorHAnsi"/>
          <w:sz w:val="22"/>
          <w:szCs w:val="22"/>
        </w:rPr>
        <w:t xml:space="preserve">individuals </w:t>
      </w:r>
      <w:r>
        <w:rPr>
          <w:rFonts w:asciiTheme="minorHAnsi" w:hAnsiTheme="minorHAnsi"/>
          <w:sz w:val="22"/>
          <w:szCs w:val="22"/>
        </w:rPr>
        <w:t xml:space="preserve">and their healthcare providers.  The </w:t>
      </w:r>
      <w:r w:rsidR="00F72ED5">
        <w:rPr>
          <w:rFonts w:asciiTheme="minorHAnsi" w:hAnsiTheme="minorHAnsi"/>
          <w:sz w:val="22"/>
          <w:szCs w:val="22"/>
        </w:rPr>
        <w:t xml:space="preserve">individual </w:t>
      </w:r>
      <w:r>
        <w:rPr>
          <w:rFonts w:asciiTheme="minorHAnsi" w:hAnsiTheme="minorHAnsi"/>
          <w:sz w:val="22"/>
          <w:szCs w:val="22"/>
        </w:rPr>
        <w:t xml:space="preserve">can choose to limit access to their PCEHR and to particular documents in their PCEHR, can add their own health notes, and can remove documents from their PCEHR if they choose. </w:t>
      </w:r>
    </w:p>
    <w:p w:rsidR="00F37719" w:rsidRDefault="00F37719" w:rsidP="00BF27DF">
      <w:pPr>
        <w:pStyle w:val="ListParagraph"/>
        <w:spacing w:after="120"/>
        <w:ind w:left="737"/>
        <w:contextualSpacing w:val="0"/>
        <w:rPr>
          <w:rFonts w:asciiTheme="minorHAnsi" w:hAnsiTheme="minorHAnsi"/>
          <w:sz w:val="22"/>
          <w:szCs w:val="22"/>
        </w:rPr>
      </w:pPr>
      <w:r>
        <w:rPr>
          <w:rFonts w:asciiTheme="minorHAnsi" w:hAnsiTheme="minorHAnsi"/>
          <w:sz w:val="22"/>
          <w:szCs w:val="22"/>
        </w:rPr>
        <w:t>Since it began operating, the PCEHR system has</w:t>
      </w:r>
      <w:r w:rsidR="005237A1">
        <w:rPr>
          <w:rFonts w:asciiTheme="minorHAnsi" w:hAnsiTheme="minorHAnsi"/>
          <w:sz w:val="22"/>
          <w:szCs w:val="22"/>
        </w:rPr>
        <w:t xml:space="preserve"> evolved and grown</w:t>
      </w:r>
      <w:r w:rsidR="006A5E74">
        <w:rPr>
          <w:rFonts w:asciiTheme="minorHAnsi" w:hAnsiTheme="minorHAnsi"/>
          <w:sz w:val="22"/>
          <w:szCs w:val="22"/>
        </w:rPr>
        <w:t xml:space="preserve">, </w:t>
      </w:r>
      <w:r w:rsidR="005237A1">
        <w:rPr>
          <w:rFonts w:asciiTheme="minorHAnsi" w:hAnsiTheme="minorHAnsi"/>
          <w:sz w:val="22"/>
          <w:szCs w:val="22"/>
        </w:rPr>
        <w:t>provid</w:t>
      </w:r>
      <w:r w:rsidR="006A5E74">
        <w:rPr>
          <w:rFonts w:asciiTheme="minorHAnsi" w:hAnsiTheme="minorHAnsi"/>
          <w:sz w:val="22"/>
          <w:szCs w:val="22"/>
        </w:rPr>
        <w:t>ing</w:t>
      </w:r>
      <w:r w:rsidR="005237A1">
        <w:rPr>
          <w:rFonts w:asciiTheme="minorHAnsi" w:hAnsiTheme="minorHAnsi"/>
          <w:sz w:val="22"/>
          <w:szCs w:val="22"/>
        </w:rPr>
        <w:t xml:space="preserve"> new and enhanced capabilities, such as </w:t>
      </w:r>
      <w:r w:rsidR="006A5E74">
        <w:rPr>
          <w:rFonts w:asciiTheme="minorHAnsi" w:hAnsiTheme="minorHAnsi"/>
          <w:sz w:val="22"/>
          <w:szCs w:val="22"/>
        </w:rPr>
        <w:t xml:space="preserve">the Child eHealth Record and prescription and </w:t>
      </w:r>
      <w:proofErr w:type="gramStart"/>
      <w:r w:rsidR="006A5E74">
        <w:rPr>
          <w:rFonts w:asciiTheme="minorHAnsi" w:hAnsiTheme="minorHAnsi"/>
          <w:sz w:val="22"/>
          <w:szCs w:val="22"/>
        </w:rPr>
        <w:t>dispense</w:t>
      </w:r>
      <w:proofErr w:type="gramEnd"/>
      <w:r w:rsidR="006A5E74">
        <w:rPr>
          <w:rFonts w:asciiTheme="minorHAnsi" w:hAnsiTheme="minorHAnsi"/>
          <w:sz w:val="22"/>
          <w:szCs w:val="22"/>
        </w:rPr>
        <w:t xml:space="preserve"> records </w:t>
      </w:r>
      <w:r w:rsidR="006F206F">
        <w:rPr>
          <w:rFonts w:asciiTheme="minorHAnsi" w:hAnsiTheme="minorHAnsi"/>
          <w:sz w:val="22"/>
          <w:szCs w:val="22"/>
        </w:rPr>
        <w:t xml:space="preserve">which </w:t>
      </w:r>
      <w:r w:rsidR="006A5E74">
        <w:rPr>
          <w:rFonts w:asciiTheme="minorHAnsi" w:hAnsiTheme="minorHAnsi"/>
          <w:sz w:val="22"/>
          <w:szCs w:val="22"/>
        </w:rPr>
        <w:t>were implemented</w:t>
      </w:r>
      <w:r w:rsidR="006F206F">
        <w:rPr>
          <w:rFonts w:asciiTheme="minorHAnsi" w:hAnsiTheme="minorHAnsi"/>
          <w:sz w:val="22"/>
          <w:szCs w:val="22"/>
        </w:rPr>
        <w:t xml:space="preserve"> in May 2013</w:t>
      </w:r>
      <w:r w:rsidR="00904A0F">
        <w:rPr>
          <w:rFonts w:asciiTheme="minorHAnsi" w:hAnsiTheme="minorHAnsi"/>
          <w:sz w:val="22"/>
          <w:szCs w:val="22"/>
        </w:rPr>
        <w:t xml:space="preserve">, and </w:t>
      </w:r>
      <w:r w:rsidR="007D6C72">
        <w:rPr>
          <w:rFonts w:asciiTheme="minorHAnsi" w:hAnsiTheme="minorHAnsi"/>
          <w:sz w:val="22"/>
          <w:szCs w:val="22"/>
        </w:rPr>
        <w:t xml:space="preserve">the capacity to include </w:t>
      </w:r>
      <w:r w:rsidR="00904A0F">
        <w:rPr>
          <w:rFonts w:asciiTheme="minorHAnsi" w:hAnsiTheme="minorHAnsi"/>
          <w:sz w:val="22"/>
          <w:szCs w:val="22"/>
        </w:rPr>
        <w:t>pathology and diagnostic imaging reports that were implemented in December 2014</w:t>
      </w:r>
      <w:r w:rsidR="006A5E74">
        <w:rPr>
          <w:rFonts w:asciiTheme="minorHAnsi" w:hAnsiTheme="minorHAnsi"/>
          <w:sz w:val="22"/>
          <w:szCs w:val="22"/>
        </w:rPr>
        <w:t>.</w:t>
      </w:r>
    </w:p>
    <w:p w:rsidR="000602A4" w:rsidRDefault="000602A4" w:rsidP="00BF27DF">
      <w:pPr>
        <w:pStyle w:val="ListParagraph"/>
        <w:spacing w:after="120"/>
        <w:ind w:left="737"/>
        <w:contextualSpacing w:val="0"/>
        <w:rPr>
          <w:rFonts w:asciiTheme="minorHAnsi" w:hAnsiTheme="minorHAnsi"/>
          <w:sz w:val="22"/>
          <w:szCs w:val="22"/>
        </w:rPr>
      </w:pPr>
      <w:r>
        <w:rPr>
          <w:rFonts w:asciiTheme="minorHAnsi" w:hAnsiTheme="minorHAnsi"/>
          <w:sz w:val="22"/>
          <w:szCs w:val="22"/>
        </w:rPr>
        <w:t>The PCEHR System Operator is the Secretary of the Department of Health.</w:t>
      </w:r>
    </w:p>
    <w:p w:rsidR="005567B0" w:rsidRPr="003C72D7" w:rsidRDefault="005F499A" w:rsidP="005F499A">
      <w:pPr>
        <w:pStyle w:val="Heading2"/>
        <w:numPr>
          <w:ilvl w:val="0"/>
          <w:numId w:val="0"/>
        </w:numPr>
        <w:ind w:left="737" w:hanging="737"/>
      </w:pPr>
      <w:bookmarkStart w:id="16" w:name="_Toc418763076"/>
      <w:bookmarkStart w:id="17" w:name="_Toc420394229"/>
      <w:r>
        <w:t>2.2</w:t>
      </w:r>
      <w:r>
        <w:tab/>
      </w:r>
      <w:r w:rsidR="005567B0" w:rsidRPr="003C72D7">
        <w:t>Review of the PCEHR system</w:t>
      </w:r>
      <w:bookmarkEnd w:id="16"/>
      <w:bookmarkEnd w:id="17"/>
    </w:p>
    <w:p w:rsidR="003A7325" w:rsidRPr="00B425EB" w:rsidRDefault="005567B0" w:rsidP="005567B0">
      <w:pPr>
        <w:pStyle w:val="ListParagraph"/>
        <w:spacing w:after="120"/>
        <w:ind w:left="737"/>
        <w:contextualSpacing w:val="0"/>
        <w:rPr>
          <w:rFonts w:asciiTheme="minorHAnsi" w:hAnsiTheme="minorHAnsi"/>
          <w:sz w:val="22"/>
          <w:szCs w:val="22"/>
        </w:rPr>
      </w:pPr>
      <w:r w:rsidRPr="00B425EB">
        <w:rPr>
          <w:rFonts w:asciiTheme="minorHAnsi" w:hAnsiTheme="minorHAnsi"/>
          <w:sz w:val="22"/>
          <w:szCs w:val="22"/>
        </w:rPr>
        <w:t xml:space="preserve">On 3 November 2013 the then Minister for Health and Minister for Sport, the Hon Peter Dutton MP, announced a review of the PCEHR system.  </w:t>
      </w:r>
      <w:r w:rsidR="003A7325" w:rsidRPr="00B425EB">
        <w:rPr>
          <w:rFonts w:asciiTheme="minorHAnsi" w:hAnsiTheme="minorHAnsi"/>
          <w:sz w:val="22"/>
          <w:szCs w:val="22"/>
        </w:rPr>
        <w:t>The</w:t>
      </w:r>
      <w:r w:rsidR="007D6C72">
        <w:rPr>
          <w:rFonts w:asciiTheme="minorHAnsi" w:hAnsiTheme="minorHAnsi"/>
          <w:sz w:val="22"/>
          <w:szCs w:val="22"/>
        </w:rPr>
        <w:t xml:space="preserve"> report</w:t>
      </w:r>
      <w:r w:rsidR="00A023CC">
        <w:rPr>
          <w:rFonts w:asciiTheme="minorHAnsi" w:hAnsiTheme="minorHAnsi"/>
          <w:sz w:val="22"/>
          <w:szCs w:val="22"/>
        </w:rPr>
        <w:t>,</w:t>
      </w:r>
      <w:r w:rsidR="007D6C72">
        <w:rPr>
          <w:rFonts w:asciiTheme="minorHAnsi" w:hAnsiTheme="minorHAnsi"/>
          <w:sz w:val="22"/>
          <w:szCs w:val="22"/>
        </w:rPr>
        <w:t xml:space="preserve"> </w:t>
      </w:r>
      <w:r w:rsidR="003A7325" w:rsidRPr="00B425EB">
        <w:rPr>
          <w:rFonts w:asciiTheme="minorHAnsi" w:hAnsiTheme="minorHAnsi"/>
          <w:i/>
          <w:sz w:val="22"/>
          <w:szCs w:val="22"/>
        </w:rPr>
        <w:t>Review of the Personally Controlled Electronic Health Record – December 2013</w:t>
      </w:r>
      <w:r w:rsidR="003A7325" w:rsidRPr="00B425EB">
        <w:rPr>
          <w:rFonts w:asciiTheme="minorHAnsi" w:hAnsiTheme="minorHAnsi"/>
          <w:sz w:val="22"/>
          <w:szCs w:val="22"/>
        </w:rPr>
        <w:t xml:space="preserve"> (PCEHR Review)</w:t>
      </w:r>
      <w:r w:rsidR="003A7325" w:rsidRPr="00B425EB">
        <w:rPr>
          <w:rStyle w:val="FootnoteReference"/>
          <w:rFonts w:asciiTheme="minorHAnsi" w:hAnsiTheme="minorHAnsi"/>
          <w:sz w:val="22"/>
          <w:szCs w:val="22"/>
        </w:rPr>
        <w:footnoteReference w:id="1"/>
      </w:r>
      <w:r w:rsidR="0002474F">
        <w:rPr>
          <w:rFonts w:asciiTheme="minorHAnsi" w:hAnsiTheme="minorHAnsi"/>
          <w:sz w:val="22"/>
          <w:szCs w:val="22"/>
        </w:rPr>
        <w:t>,</w:t>
      </w:r>
      <w:r w:rsidR="003A7325" w:rsidRPr="00B425EB">
        <w:rPr>
          <w:rFonts w:asciiTheme="minorHAnsi" w:hAnsiTheme="minorHAnsi"/>
          <w:sz w:val="22"/>
          <w:szCs w:val="22"/>
        </w:rPr>
        <w:t xml:space="preserve"> was </w:t>
      </w:r>
      <w:r w:rsidR="00904A0F">
        <w:rPr>
          <w:rFonts w:asciiTheme="minorHAnsi" w:hAnsiTheme="minorHAnsi"/>
          <w:sz w:val="22"/>
          <w:szCs w:val="22"/>
        </w:rPr>
        <w:t>publicly released in May 2014</w:t>
      </w:r>
      <w:r w:rsidR="003A7325" w:rsidRPr="00B425EB">
        <w:rPr>
          <w:rFonts w:asciiTheme="minorHAnsi" w:hAnsiTheme="minorHAnsi"/>
          <w:sz w:val="22"/>
          <w:szCs w:val="22"/>
        </w:rPr>
        <w:t xml:space="preserve">. </w:t>
      </w:r>
    </w:p>
    <w:p w:rsidR="005567B0" w:rsidRPr="00B425EB" w:rsidRDefault="003A7325" w:rsidP="005567B0">
      <w:pPr>
        <w:pStyle w:val="ListParagraph"/>
        <w:spacing w:after="120"/>
        <w:ind w:left="737"/>
        <w:contextualSpacing w:val="0"/>
        <w:rPr>
          <w:rFonts w:asciiTheme="minorHAnsi" w:hAnsiTheme="minorHAnsi"/>
          <w:sz w:val="22"/>
          <w:szCs w:val="22"/>
        </w:rPr>
      </w:pPr>
      <w:r w:rsidRPr="00B425EB">
        <w:rPr>
          <w:rFonts w:asciiTheme="minorHAnsi" w:hAnsiTheme="minorHAnsi"/>
          <w:sz w:val="22"/>
          <w:szCs w:val="22"/>
        </w:rPr>
        <w:t>The PCEHR Review found that</w:t>
      </w:r>
      <w:r w:rsidR="00660C13" w:rsidRPr="00B425EB">
        <w:rPr>
          <w:rFonts w:asciiTheme="minorHAnsi" w:hAnsiTheme="minorHAnsi"/>
          <w:sz w:val="22"/>
          <w:szCs w:val="22"/>
        </w:rPr>
        <w:t xml:space="preserve"> there was overwhelming support for continuing the path of implementing a consistent eHealth record system for all Australians, but that a change in approach </w:t>
      </w:r>
      <w:r w:rsidR="00904A0F">
        <w:rPr>
          <w:rFonts w:asciiTheme="minorHAnsi" w:hAnsiTheme="minorHAnsi"/>
          <w:sz w:val="22"/>
          <w:szCs w:val="22"/>
        </w:rPr>
        <w:t>was</w:t>
      </w:r>
      <w:r w:rsidR="00660C13" w:rsidRPr="00B425EB">
        <w:rPr>
          <w:rFonts w:asciiTheme="minorHAnsi" w:hAnsiTheme="minorHAnsi"/>
          <w:sz w:val="22"/>
          <w:szCs w:val="22"/>
        </w:rPr>
        <w:t xml:space="preserve"> needed to correct early implementation issues</w:t>
      </w:r>
      <w:r w:rsidR="00904A0F">
        <w:rPr>
          <w:rFonts w:asciiTheme="minorHAnsi" w:hAnsiTheme="minorHAnsi"/>
          <w:sz w:val="22"/>
          <w:szCs w:val="22"/>
        </w:rPr>
        <w:t>.</w:t>
      </w:r>
      <w:r w:rsidR="00660C13" w:rsidRPr="00B425EB">
        <w:rPr>
          <w:rFonts w:asciiTheme="minorHAnsi" w:hAnsiTheme="minorHAnsi"/>
          <w:sz w:val="22"/>
          <w:szCs w:val="22"/>
        </w:rPr>
        <w:t xml:space="preserve">  </w:t>
      </w:r>
      <w:r w:rsidR="00786B40">
        <w:rPr>
          <w:rFonts w:asciiTheme="minorHAnsi" w:hAnsiTheme="minorHAnsi"/>
          <w:sz w:val="22"/>
          <w:szCs w:val="22"/>
        </w:rPr>
        <w:t>The PCEHR Review made thirty-eight recommendations aimed at making the system more usable and able to deliver the expected benefits in a shorter period, including new governance arrangements, moving to an opt-out system, and improving usability for healthcare providers and individuals.</w:t>
      </w:r>
      <w:r w:rsidR="00F1550E" w:rsidRPr="00B425EB">
        <w:rPr>
          <w:rFonts w:asciiTheme="minorHAnsi" w:hAnsiTheme="minorHAnsi"/>
          <w:sz w:val="22"/>
          <w:szCs w:val="22"/>
        </w:rPr>
        <w:t xml:space="preserve"> </w:t>
      </w:r>
    </w:p>
    <w:p w:rsidR="003A7325" w:rsidRPr="00B425EB" w:rsidRDefault="003A7325" w:rsidP="005567B0">
      <w:pPr>
        <w:pStyle w:val="ListParagraph"/>
        <w:spacing w:after="120"/>
        <w:ind w:left="737"/>
        <w:contextualSpacing w:val="0"/>
        <w:rPr>
          <w:rFonts w:asciiTheme="minorHAnsi" w:hAnsiTheme="minorHAnsi"/>
          <w:sz w:val="22"/>
          <w:szCs w:val="22"/>
        </w:rPr>
      </w:pPr>
      <w:r w:rsidRPr="00B425EB">
        <w:rPr>
          <w:rFonts w:asciiTheme="minorHAnsi" w:hAnsiTheme="minorHAnsi"/>
          <w:sz w:val="22"/>
          <w:szCs w:val="22"/>
        </w:rPr>
        <w:t xml:space="preserve">The </w:t>
      </w:r>
      <w:r w:rsidR="00904A0F">
        <w:rPr>
          <w:rFonts w:asciiTheme="minorHAnsi" w:hAnsiTheme="minorHAnsi"/>
          <w:sz w:val="22"/>
          <w:szCs w:val="22"/>
        </w:rPr>
        <w:t xml:space="preserve">Australian Government </w:t>
      </w:r>
      <w:r w:rsidRPr="00B425EB">
        <w:rPr>
          <w:rFonts w:asciiTheme="minorHAnsi" w:hAnsiTheme="minorHAnsi"/>
          <w:sz w:val="22"/>
          <w:szCs w:val="22"/>
        </w:rPr>
        <w:t>is responding to the recommendations of the PCEHR Review.</w:t>
      </w:r>
    </w:p>
    <w:p w:rsidR="00FC5316" w:rsidRPr="003D6C23" w:rsidRDefault="005F499A" w:rsidP="005F499A">
      <w:pPr>
        <w:pStyle w:val="Heading2"/>
        <w:numPr>
          <w:ilvl w:val="0"/>
          <w:numId w:val="0"/>
        </w:numPr>
        <w:ind w:left="737" w:hanging="737"/>
      </w:pPr>
      <w:bookmarkStart w:id="18" w:name="_Toc418763077"/>
      <w:bookmarkStart w:id="19" w:name="_Toc420394230"/>
      <w:r>
        <w:t>2.3</w:t>
      </w:r>
      <w:r>
        <w:tab/>
      </w:r>
      <w:r w:rsidR="00FC5316" w:rsidRPr="003D6C23">
        <w:t>Healthcare Identifiers Service</w:t>
      </w:r>
      <w:bookmarkEnd w:id="18"/>
      <w:bookmarkEnd w:id="19"/>
    </w:p>
    <w:p w:rsidR="00E65BA1" w:rsidRDefault="00AE4963" w:rsidP="00E65BA1">
      <w:pPr>
        <w:pStyle w:val="ListParagraph"/>
        <w:spacing w:after="120"/>
        <w:ind w:left="737"/>
        <w:contextualSpacing w:val="0"/>
        <w:rPr>
          <w:rFonts w:asciiTheme="minorHAnsi" w:hAnsiTheme="minorHAnsi"/>
          <w:sz w:val="22"/>
        </w:rPr>
      </w:pPr>
      <w:r>
        <w:rPr>
          <w:rFonts w:asciiTheme="minorHAnsi" w:hAnsiTheme="minorHAnsi"/>
          <w:sz w:val="22"/>
        </w:rPr>
        <w:t xml:space="preserve">The HI Service was established by the </w:t>
      </w:r>
      <w:r>
        <w:rPr>
          <w:rFonts w:asciiTheme="minorHAnsi" w:hAnsiTheme="minorHAnsi"/>
          <w:i/>
          <w:sz w:val="22"/>
        </w:rPr>
        <w:t xml:space="preserve">Healthcare Identifiers Act 2010 </w:t>
      </w:r>
      <w:r>
        <w:rPr>
          <w:rFonts w:asciiTheme="minorHAnsi" w:hAnsiTheme="minorHAnsi"/>
          <w:sz w:val="22"/>
        </w:rPr>
        <w:t xml:space="preserve">(HI Act) and commenced on 29 June 2010.  It is a national system for consistently identifying </w:t>
      </w:r>
      <w:r w:rsidR="00F72ED5">
        <w:rPr>
          <w:rFonts w:asciiTheme="minorHAnsi" w:hAnsiTheme="minorHAnsi"/>
          <w:sz w:val="22"/>
          <w:szCs w:val="22"/>
        </w:rPr>
        <w:t>individuals</w:t>
      </w:r>
      <w:r>
        <w:rPr>
          <w:rFonts w:asciiTheme="minorHAnsi" w:hAnsiTheme="minorHAnsi"/>
          <w:sz w:val="22"/>
        </w:rPr>
        <w:t>, healthcare providers</w:t>
      </w:r>
      <w:r w:rsidR="002701D5">
        <w:rPr>
          <w:rFonts w:asciiTheme="minorHAnsi" w:hAnsiTheme="minorHAnsi"/>
          <w:sz w:val="22"/>
        </w:rPr>
        <w:t xml:space="preserve"> and healthcare provider organisations.</w:t>
      </w:r>
      <w:r>
        <w:rPr>
          <w:rFonts w:asciiTheme="minorHAnsi" w:hAnsiTheme="minorHAnsi"/>
          <w:sz w:val="22"/>
        </w:rPr>
        <w:t xml:space="preserve"> </w:t>
      </w:r>
    </w:p>
    <w:p w:rsidR="00E65BA1" w:rsidRDefault="00AE4963" w:rsidP="00E65BA1">
      <w:pPr>
        <w:pStyle w:val="ListParagraph"/>
        <w:spacing w:after="120"/>
        <w:ind w:left="737"/>
        <w:contextualSpacing w:val="0"/>
        <w:rPr>
          <w:rFonts w:asciiTheme="minorHAnsi" w:hAnsiTheme="minorHAnsi"/>
          <w:sz w:val="22"/>
        </w:rPr>
      </w:pPr>
      <w:r>
        <w:rPr>
          <w:rFonts w:asciiTheme="minorHAnsi" w:hAnsiTheme="minorHAnsi"/>
          <w:sz w:val="22"/>
        </w:rPr>
        <w:lastRenderedPageBreak/>
        <w:t>The HI Service is a</w:t>
      </w:r>
      <w:r w:rsidR="0088792D">
        <w:rPr>
          <w:rFonts w:asciiTheme="minorHAnsi" w:hAnsiTheme="minorHAnsi"/>
          <w:sz w:val="22"/>
        </w:rPr>
        <w:t>n</w:t>
      </w:r>
      <w:r>
        <w:rPr>
          <w:rFonts w:asciiTheme="minorHAnsi" w:hAnsiTheme="minorHAnsi"/>
          <w:sz w:val="22"/>
        </w:rPr>
        <w:t xml:space="preserve"> initiative of the Council of Australian Governments as part of accelerating work on a national electronic health record system to improve safety for patients</w:t>
      </w:r>
      <w:r w:rsidR="007E253D">
        <w:rPr>
          <w:rFonts w:asciiTheme="minorHAnsi" w:hAnsiTheme="minorHAnsi"/>
          <w:sz w:val="22"/>
        </w:rPr>
        <w:t>,</w:t>
      </w:r>
      <w:r w:rsidR="00DB1482">
        <w:rPr>
          <w:rFonts w:asciiTheme="minorHAnsi" w:hAnsiTheme="minorHAnsi"/>
          <w:sz w:val="22"/>
        </w:rPr>
        <w:t xml:space="preserve"> to support safe and efficient sharing and storage of health information</w:t>
      </w:r>
      <w:r>
        <w:rPr>
          <w:rFonts w:asciiTheme="minorHAnsi" w:hAnsiTheme="minorHAnsi"/>
          <w:sz w:val="22"/>
        </w:rPr>
        <w:t xml:space="preserve"> and increase efficiency for healthcare providers.  It is jointly funded by the Commonwealth, states and territories.</w:t>
      </w:r>
    </w:p>
    <w:p w:rsidR="00E65BA1" w:rsidRDefault="00AE4963" w:rsidP="00E65BA1">
      <w:pPr>
        <w:pStyle w:val="ListParagraph"/>
        <w:spacing w:after="120"/>
        <w:ind w:left="737"/>
        <w:contextualSpacing w:val="0"/>
        <w:rPr>
          <w:rFonts w:asciiTheme="minorHAnsi" w:hAnsiTheme="minorHAnsi"/>
          <w:sz w:val="22"/>
        </w:rPr>
      </w:pPr>
      <w:r w:rsidRPr="005416C4">
        <w:rPr>
          <w:rFonts w:asciiTheme="minorHAnsi" w:hAnsiTheme="minorHAnsi"/>
          <w:sz w:val="22"/>
        </w:rPr>
        <w:t>As a foundation service to other eHealth measures</w:t>
      </w:r>
      <w:r>
        <w:rPr>
          <w:rFonts w:asciiTheme="minorHAnsi" w:hAnsiTheme="minorHAnsi"/>
          <w:sz w:val="22"/>
        </w:rPr>
        <w:t>,</w:t>
      </w:r>
      <w:r w:rsidRPr="005416C4">
        <w:rPr>
          <w:rFonts w:asciiTheme="minorHAnsi" w:hAnsiTheme="minorHAnsi"/>
          <w:sz w:val="22"/>
        </w:rPr>
        <w:t xml:space="preserve"> the HI Service is an important step in realising the benefits expected to be derived from eHealth.</w:t>
      </w:r>
      <w:r>
        <w:rPr>
          <w:rFonts w:asciiTheme="minorHAnsi" w:hAnsiTheme="minorHAnsi"/>
          <w:sz w:val="22"/>
        </w:rPr>
        <w:t xml:space="preserve">  </w:t>
      </w:r>
      <w:r w:rsidRPr="00F446C2">
        <w:rPr>
          <w:rFonts w:asciiTheme="minorHAnsi" w:hAnsiTheme="minorHAnsi"/>
          <w:sz w:val="22"/>
        </w:rPr>
        <w:t>Communication of health information is a vital part of effective healthcare</w:t>
      </w:r>
      <w:r>
        <w:rPr>
          <w:rFonts w:asciiTheme="minorHAnsi" w:hAnsiTheme="minorHAnsi"/>
          <w:sz w:val="22"/>
        </w:rPr>
        <w:t>, and th</w:t>
      </w:r>
      <w:r w:rsidRPr="00F446C2">
        <w:rPr>
          <w:rFonts w:asciiTheme="minorHAnsi" w:hAnsiTheme="minorHAnsi"/>
          <w:sz w:val="22"/>
        </w:rPr>
        <w:t>e accurate identification of individuals</w:t>
      </w:r>
      <w:r>
        <w:rPr>
          <w:rFonts w:asciiTheme="minorHAnsi" w:hAnsiTheme="minorHAnsi"/>
          <w:sz w:val="22"/>
        </w:rPr>
        <w:t xml:space="preserve">, </w:t>
      </w:r>
      <w:r w:rsidR="00E65BA1">
        <w:rPr>
          <w:rFonts w:asciiTheme="minorHAnsi" w:hAnsiTheme="minorHAnsi"/>
          <w:sz w:val="22"/>
        </w:rPr>
        <w:t xml:space="preserve">individual </w:t>
      </w:r>
      <w:r>
        <w:rPr>
          <w:rFonts w:asciiTheme="minorHAnsi" w:hAnsiTheme="minorHAnsi"/>
          <w:sz w:val="22"/>
        </w:rPr>
        <w:t>healthcare providers and healthcare provider organisations</w:t>
      </w:r>
      <w:r w:rsidRPr="00F446C2">
        <w:rPr>
          <w:rFonts w:asciiTheme="minorHAnsi" w:hAnsiTheme="minorHAnsi"/>
          <w:sz w:val="22"/>
        </w:rPr>
        <w:t xml:space="preserve"> is critical in all health communication.  Mismatching of patients with their records and results is a documented problem for the health system and a clear link has been established between avoidable harm to patients and poor medical records management.</w:t>
      </w:r>
      <w:r>
        <w:rPr>
          <w:rFonts w:asciiTheme="minorHAnsi" w:hAnsiTheme="minorHAnsi"/>
          <w:sz w:val="22"/>
        </w:rPr>
        <w:t xml:space="preserve">  </w:t>
      </w:r>
    </w:p>
    <w:p w:rsidR="00E65BA1" w:rsidRDefault="00AE4963" w:rsidP="00E65BA1">
      <w:pPr>
        <w:pStyle w:val="ListParagraph"/>
        <w:spacing w:after="120"/>
        <w:ind w:left="737"/>
        <w:contextualSpacing w:val="0"/>
        <w:rPr>
          <w:rFonts w:asciiTheme="minorHAnsi" w:hAnsiTheme="minorHAnsi"/>
          <w:sz w:val="22"/>
        </w:rPr>
      </w:pPr>
      <w:r w:rsidRPr="00F446C2">
        <w:rPr>
          <w:rFonts w:asciiTheme="minorHAnsi" w:hAnsiTheme="minorHAnsi"/>
          <w:sz w:val="22"/>
        </w:rPr>
        <w:t xml:space="preserve">Using an individual healthcare identifier provides a way for healthcare providers to more accurately match the right records to the person they are treating and improve accuracy when communicating information with other healthcare providers. </w:t>
      </w:r>
      <w:r>
        <w:rPr>
          <w:rFonts w:asciiTheme="minorHAnsi" w:hAnsiTheme="minorHAnsi"/>
          <w:sz w:val="22"/>
        </w:rPr>
        <w:t xml:space="preserve"> </w:t>
      </w:r>
      <w:r w:rsidRPr="00F446C2">
        <w:rPr>
          <w:rFonts w:asciiTheme="minorHAnsi" w:hAnsiTheme="minorHAnsi"/>
          <w:sz w:val="22"/>
        </w:rPr>
        <w:t>This helps to avoid medical mix-ups or one person’s information being recorded on another patient’s file.</w:t>
      </w:r>
    </w:p>
    <w:p w:rsidR="00E65BA1" w:rsidRDefault="00AE4963" w:rsidP="00E65BA1">
      <w:pPr>
        <w:pStyle w:val="ListParagraph"/>
        <w:spacing w:after="120"/>
        <w:ind w:left="737"/>
        <w:contextualSpacing w:val="0"/>
        <w:rPr>
          <w:rFonts w:asciiTheme="minorHAnsi" w:hAnsiTheme="minorHAnsi"/>
          <w:sz w:val="22"/>
        </w:rPr>
      </w:pPr>
      <w:r w:rsidRPr="00E65BA1">
        <w:rPr>
          <w:rFonts w:asciiTheme="minorHAnsi" w:hAnsiTheme="minorHAnsi"/>
          <w:sz w:val="22"/>
        </w:rPr>
        <w:t>Using healthcare identifiers for healthcare providers and organisations supports secure messaging between providers by providing a consistent identifier for e-communication</w:t>
      </w:r>
      <w:r w:rsidR="00E65BA1">
        <w:rPr>
          <w:rFonts w:asciiTheme="minorHAnsi" w:hAnsiTheme="minorHAnsi"/>
          <w:sz w:val="22"/>
        </w:rPr>
        <w:t>;</w:t>
      </w:r>
      <w:r w:rsidRPr="00E65BA1">
        <w:rPr>
          <w:rFonts w:asciiTheme="minorHAnsi" w:hAnsiTheme="minorHAnsi"/>
          <w:sz w:val="22"/>
        </w:rPr>
        <w:t xml:space="preserve"> facilitat</w:t>
      </w:r>
      <w:r w:rsidR="00E65BA1">
        <w:rPr>
          <w:rFonts w:asciiTheme="minorHAnsi" w:hAnsiTheme="minorHAnsi"/>
          <w:sz w:val="22"/>
        </w:rPr>
        <w:t>es</w:t>
      </w:r>
      <w:r w:rsidRPr="00E65BA1">
        <w:rPr>
          <w:rFonts w:asciiTheme="minorHAnsi" w:hAnsiTheme="minorHAnsi"/>
          <w:sz w:val="22"/>
        </w:rPr>
        <w:t xml:space="preserve"> electronic communications between providers by providing a way for providers to look up contact details of other providers</w:t>
      </w:r>
      <w:r w:rsidR="00E65BA1">
        <w:rPr>
          <w:rFonts w:asciiTheme="minorHAnsi" w:hAnsiTheme="minorHAnsi"/>
          <w:sz w:val="22"/>
        </w:rPr>
        <w:t>;</w:t>
      </w:r>
      <w:r w:rsidRPr="00E65BA1">
        <w:rPr>
          <w:rFonts w:asciiTheme="minorHAnsi" w:hAnsiTheme="minorHAnsi"/>
          <w:sz w:val="22"/>
        </w:rPr>
        <w:t xml:space="preserve"> and supports implementation of a security and access framework to ensure authentication of providers who access national eHealth infrastructure. </w:t>
      </w:r>
    </w:p>
    <w:p w:rsidR="00E65BA1" w:rsidRDefault="00AE4963" w:rsidP="00E65BA1">
      <w:pPr>
        <w:pStyle w:val="ListParagraph"/>
        <w:spacing w:after="120"/>
        <w:ind w:left="737"/>
        <w:contextualSpacing w:val="0"/>
        <w:rPr>
          <w:rFonts w:asciiTheme="minorHAnsi" w:hAnsiTheme="minorHAnsi"/>
          <w:sz w:val="22"/>
        </w:rPr>
      </w:pPr>
      <w:r w:rsidRPr="00F446C2">
        <w:rPr>
          <w:rFonts w:asciiTheme="minorHAnsi" w:hAnsiTheme="minorHAnsi"/>
          <w:sz w:val="22"/>
        </w:rPr>
        <w:t xml:space="preserve">Healthcare identifiers are part of the core national infrastructure required to support secure electronic communications across </w:t>
      </w:r>
      <w:r>
        <w:rPr>
          <w:rFonts w:asciiTheme="minorHAnsi" w:hAnsiTheme="minorHAnsi"/>
          <w:sz w:val="22"/>
        </w:rPr>
        <w:t>Australia’s healthcare system.</w:t>
      </w:r>
    </w:p>
    <w:p w:rsidR="00E65BA1" w:rsidRDefault="00AE4963" w:rsidP="00E65BA1">
      <w:pPr>
        <w:pStyle w:val="ListParagraph"/>
        <w:spacing w:after="120"/>
        <w:ind w:left="737"/>
        <w:contextualSpacing w:val="0"/>
        <w:rPr>
          <w:rFonts w:asciiTheme="minorHAnsi" w:hAnsiTheme="minorHAnsi"/>
          <w:sz w:val="22"/>
        </w:rPr>
      </w:pPr>
      <w:r>
        <w:rPr>
          <w:rFonts w:asciiTheme="minorHAnsi" w:hAnsiTheme="minorHAnsi"/>
          <w:sz w:val="22"/>
        </w:rPr>
        <w:t xml:space="preserve">The HI Service Operator is the Chief Executive Medicare. </w:t>
      </w:r>
    </w:p>
    <w:p w:rsidR="00E65BA1" w:rsidRPr="003C72D7" w:rsidRDefault="005F499A" w:rsidP="005F499A">
      <w:pPr>
        <w:pStyle w:val="Heading2"/>
        <w:numPr>
          <w:ilvl w:val="0"/>
          <w:numId w:val="0"/>
        </w:numPr>
        <w:ind w:left="737" w:hanging="737"/>
      </w:pPr>
      <w:bookmarkStart w:id="20" w:name="_Toc418763078"/>
      <w:bookmarkStart w:id="21" w:name="_Toc420394231"/>
      <w:r>
        <w:t>2.4</w:t>
      </w:r>
      <w:r>
        <w:tab/>
      </w:r>
      <w:r w:rsidR="005567B0" w:rsidRPr="003C72D7">
        <w:t>Review of the HI Service</w:t>
      </w:r>
      <w:bookmarkEnd w:id="20"/>
      <w:bookmarkEnd w:id="21"/>
    </w:p>
    <w:p w:rsidR="00E65BA1" w:rsidRPr="003A7325" w:rsidRDefault="00E65BA1" w:rsidP="003A7325">
      <w:pPr>
        <w:pStyle w:val="ListParagraph"/>
        <w:spacing w:after="120"/>
        <w:ind w:left="737"/>
        <w:contextualSpacing w:val="0"/>
        <w:rPr>
          <w:rFonts w:asciiTheme="minorHAnsi" w:hAnsiTheme="minorHAnsi"/>
          <w:sz w:val="22"/>
        </w:rPr>
      </w:pPr>
      <w:r w:rsidRPr="00811388">
        <w:rPr>
          <w:rFonts w:asciiTheme="minorHAnsi" w:hAnsiTheme="minorHAnsi"/>
          <w:sz w:val="22"/>
        </w:rPr>
        <w:t xml:space="preserve">Section 35 of the HI Act requires that an independent review of the </w:t>
      </w:r>
      <w:r>
        <w:rPr>
          <w:rFonts w:asciiTheme="minorHAnsi" w:hAnsiTheme="minorHAnsi"/>
          <w:sz w:val="22"/>
        </w:rPr>
        <w:t>HI Act and regulations</w:t>
      </w:r>
      <w:r w:rsidRPr="00811388">
        <w:rPr>
          <w:rFonts w:asciiTheme="minorHAnsi" w:hAnsiTheme="minorHAnsi"/>
          <w:sz w:val="22"/>
        </w:rPr>
        <w:t xml:space="preserve"> </w:t>
      </w:r>
      <w:r>
        <w:rPr>
          <w:rFonts w:asciiTheme="minorHAnsi" w:hAnsiTheme="minorHAnsi"/>
          <w:sz w:val="22"/>
        </w:rPr>
        <w:t>be</w:t>
      </w:r>
      <w:r w:rsidRPr="00811388">
        <w:rPr>
          <w:rFonts w:asciiTheme="minorHAnsi" w:hAnsiTheme="minorHAnsi"/>
          <w:sz w:val="22"/>
        </w:rPr>
        <w:t xml:space="preserve"> conducted after two years of operation</w:t>
      </w:r>
      <w:r w:rsidR="003A7325">
        <w:rPr>
          <w:rFonts w:asciiTheme="minorHAnsi" w:hAnsiTheme="minorHAnsi"/>
          <w:sz w:val="22"/>
        </w:rPr>
        <w:t>, and this</w:t>
      </w:r>
      <w:r w:rsidR="0034185C">
        <w:rPr>
          <w:rFonts w:asciiTheme="minorHAnsi" w:hAnsiTheme="minorHAnsi"/>
          <w:sz w:val="22"/>
        </w:rPr>
        <w:t xml:space="preserve"> review commenced in October 2012.</w:t>
      </w:r>
      <w:r w:rsidR="003A7325">
        <w:rPr>
          <w:rFonts w:asciiTheme="minorHAnsi" w:hAnsiTheme="minorHAnsi"/>
          <w:sz w:val="22"/>
        </w:rPr>
        <w:t xml:space="preserve">  </w:t>
      </w:r>
      <w:r w:rsidRPr="003A7325">
        <w:rPr>
          <w:rFonts w:asciiTheme="minorHAnsi" w:hAnsiTheme="minorHAnsi"/>
          <w:sz w:val="22"/>
        </w:rPr>
        <w:t>The</w:t>
      </w:r>
      <w:r w:rsidRPr="003A7325">
        <w:rPr>
          <w:rFonts w:asciiTheme="minorHAnsi" w:hAnsiTheme="minorHAnsi"/>
        </w:rPr>
        <w:t xml:space="preserve"> </w:t>
      </w:r>
      <w:r w:rsidRPr="003A7325">
        <w:rPr>
          <w:rFonts w:asciiTheme="minorHAnsi" w:hAnsiTheme="minorHAnsi"/>
          <w:i/>
          <w:sz w:val="22"/>
        </w:rPr>
        <w:t>Healthcare Identifiers Act and Service Review – Final Report, June 2013</w:t>
      </w:r>
      <w:r w:rsidRPr="003A7325">
        <w:rPr>
          <w:rFonts w:asciiTheme="minorHAnsi" w:hAnsiTheme="minorHAnsi"/>
          <w:sz w:val="22"/>
        </w:rPr>
        <w:t xml:space="preserve"> (HI Review)</w:t>
      </w:r>
      <w:r w:rsidR="005567B0">
        <w:rPr>
          <w:rStyle w:val="FootnoteReference"/>
          <w:rFonts w:asciiTheme="minorHAnsi" w:hAnsiTheme="minorHAnsi"/>
          <w:sz w:val="22"/>
          <w:szCs w:val="22"/>
        </w:rPr>
        <w:footnoteReference w:id="2"/>
      </w:r>
      <w:r w:rsidRPr="003A7325">
        <w:rPr>
          <w:rFonts w:asciiTheme="minorHAnsi" w:hAnsiTheme="minorHAnsi"/>
          <w:sz w:val="22"/>
        </w:rPr>
        <w:t xml:space="preserve"> was </w:t>
      </w:r>
      <w:r w:rsidR="00690DD7" w:rsidRPr="003A7325">
        <w:rPr>
          <w:rFonts w:asciiTheme="minorHAnsi" w:hAnsiTheme="minorHAnsi"/>
          <w:sz w:val="22"/>
        </w:rPr>
        <w:t xml:space="preserve">delivered </w:t>
      </w:r>
      <w:r w:rsidR="00690DD7" w:rsidRPr="00904A0F">
        <w:rPr>
          <w:rFonts w:asciiTheme="minorHAnsi" w:hAnsiTheme="minorHAnsi"/>
          <w:sz w:val="22"/>
        </w:rPr>
        <w:t>on 2</w:t>
      </w:r>
      <w:r w:rsidR="00362746">
        <w:rPr>
          <w:rFonts w:asciiTheme="minorHAnsi" w:hAnsiTheme="minorHAnsi"/>
          <w:sz w:val="22"/>
        </w:rPr>
        <w:t>5</w:t>
      </w:r>
      <w:r w:rsidRPr="00904A0F">
        <w:rPr>
          <w:rFonts w:asciiTheme="minorHAnsi" w:hAnsiTheme="minorHAnsi"/>
          <w:sz w:val="22"/>
        </w:rPr>
        <w:t xml:space="preserve"> June 2013.</w:t>
      </w:r>
      <w:r w:rsidRPr="003A7325">
        <w:rPr>
          <w:rFonts w:asciiTheme="minorHAnsi" w:hAnsiTheme="minorHAnsi"/>
          <w:sz w:val="22"/>
        </w:rPr>
        <w:t xml:space="preserve">  </w:t>
      </w:r>
    </w:p>
    <w:p w:rsidR="005567B0" w:rsidRDefault="00E65BA1" w:rsidP="00E65BA1">
      <w:pPr>
        <w:pStyle w:val="ListParagraph"/>
        <w:spacing w:after="120"/>
        <w:ind w:left="737"/>
        <w:contextualSpacing w:val="0"/>
        <w:rPr>
          <w:rFonts w:asciiTheme="minorHAnsi" w:hAnsiTheme="minorHAnsi"/>
          <w:sz w:val="22"/>
          <w:lang w:val="en-US"/>
        </w:rPr>
      </w:pPr>
      <w:r w:rsidRPr="00CD7E6E">
        <w:rPr>
          <w:rFonts w:asciiTheme="minorHAnsi" w:hAnsiTheme="minorHAnsi"/>
          <w:sz w:val="22"/>
          <w:lang w:val="en-US"/>
        </w:rPr>
        <w:t>The HI Review found that the core functionality of the HI Service is operati</w:t>
      </w:r>
      <w:r>
        <w:rPr>
          <w:rFonts w:asciiTheme="minorHAnsi" w:hAnsiTheme="minorHAnsi"/>
          <w:sz w:val="22"/>
          <w:lang w:val="en-US"/>
        </w:rPr>
        <w:t>ng</w:t>
      </w:r>
      <w:r w:rsidRPr="00CD7E6E">
        <w:rPr>
          <w:rFonts w:asciiTheme="minorHAnsi" w:hAnsiTheme="minorHAnsi"/>
          <w:sz w:val="22"/>
          <w:lang w:val="en-US"/>
        </w:rPr>
        <w:t xml:space="preserve"> and working effectively.  </w:t>
      </w:r>
      <w:r>
        <w:rPr>
          <w:rFonts w:asciiTheme="minorHAnsi" w:hAnsiTheme="minorHAnsi"/>
          <w:sz w:val="22"/>
          <w:lang w:val="en-US"/>
        </w:rPr>
        <w:t>It acknowledged that t</w:t>
      </w:r>
      <w:r w:rsidRPr="00CD7E6E">
        <w:rPr>
          <w:rFonts w:asciiTheme="minorHAnsi" w:hAnsiTheme="minorHAnsi"/>
          <w:sz w:val="22"/>
          <w:lang w:val="en-US"/>
        </w:rPr>
        <w:t>he development and implementation of a national HI Service is a significant achievement given its scale, complexity and importance to the delivery of a national eHealth system.</w:t>
      </w:r>
      <w:r>
        <w:rPr>
          <w:rFonts w:asciiTheme="minorHAnsi" w:hAnsiTheme="minorHAnsi"/>
          <w:sz w:val="22"/>
          <w:lang w:val="en-US"/>
        </w:rPr>
        <w:t xml:space="preserve">  </w:t>
      </w:r>
      <w:r w:rsidRPr="00CD7E6E">
        <w:rPr>
          <w:rFonts w:asciiTheme="minorHAnsi" w:hAnsiTheme="minorHAnsi"/>
          <w:sz w:val="22"/>
          <w:lang w:val="en-US"/>
        </w:rPr>
        <w:t>The HI Review noted that, as the system is being implemented and is now impacting directly on clinical workflow, there are some risks and is</w:t>
      </w:r>
      <w:r>
        <w:rPr>
          <w:rFonts w:asciiTheme="minorHAnsi" w:hAnsiTheme="minorHAnsi"/>
          <w:sz w:val="22"/>
          <w:lang w:val="en-US"/>
        </w:rPr>
        <w:t xml:space="preserve">sues emerging that may require </w:t>
      </w:r>
      <w:r w:rsidRPr="00CD7E6E">
        <w:rPr>
          <w:rFonts w:asciiTheme="minorHAnsi" w:hAnsiTheme="minorHAnsi"/>
          <w:sz w:val="22"/>
          <w:lang w:val="en-US"/>
        </w:rPr>
        <w:t>enhancement and adjustment of current processes and the associated legislative and regulatory framework.</w:t>
      </w:r>
      <w:r>
        <w:rPr>
          <w:rFonts w:asciiTheme="minorHAnsi" w:hAnsiTheme="minorHAnsi"/>
          <w:sz w:val="22"/>
          <w:lang w:val="en-US"/>
        </w:rPr>
        <w:t xml:space="preserve">  T</w:t>
      </w:r>
      <w:r w:rsidRPr="00CD7E6E">
        <w:rPr>
          <w:rFonts w:asciiTheme="minorHAnsi" w:hAnsiTheme="minorHAnsi"/>
          <w:sz w:val="22"/>
          <w:lang w:val="en-US"/>
        </w:rPr>
        <w:t>wenty</w:t>
      </w:r>
      <w:r>
        <w:rPr>
          <w:rFonts w:asciiTheme="minorHAnsi" w:hAnsiTheme="minorHAnsi"/>
          <w:sz w:val="22"/>
          <w:lang w:val="en-US"/>
        </w:rPr>
        <w:t>-</w:t>
      </w:r>
      <w:r w:rsidRPr="00CD7E6E">
        <w:rPr>
          <w:rFonts w:asciiTheme="minorHAnsi" w:hAnsiTheme="minorHAnsi"/>
          <w:sz w:val="22"/>
          <w:lang w:val="en-US"/>
        </w:rPr>
        <w:t xml:space="preserve">four recommendations </w:t>
      </w:r>
      <w:r>
        <w:rPr>
          <w:rFonts w:asciiTheme="minorHAnsi" w:hAnsiTheme="minorHAnsi"/>
          <w:sz w:val="22"/>
          <w:lang w:val="en-US"/>
        </w:rPr>
        <w:t>were made for improving the HI </w:t>
      </w:r>
      <w:r w:rsidRPr="00CD7E6E">
        <w:rPr>
          <w:rFonts w:asciiTheme="minorHAnsi" w:hAnsiTheme="minorHAnsi"/>
          <w:sz w:val="22"/>
          <w:lang w:val="en-US"/>
        </w:rPr>
        <w:t>Service</w:t>
      </w:r>
      <w:r>
        <w:rPr>
          <w:rFonts w:asciiTheme="minorHAnsi" w:hAnsiTheme="minorHAnsi"/>
          <w:sz w:val="22"/>
          <w:lang w:val="en-US"/>
        </w:rPr>
        <w:t xml:space="preserve">.  </w:t>
      </w:r>
    </w:p>
    <w:p w:rsidR="00E65BA1" w:rsidRDefault="005567B0" w:rsidP="005F499A">
      <w:pPr>
        <w:spacing w:after="120"/>
        <w:ind w:left="737"/>
        <w:rPr>
          <w:rFonts w:asciiTheme="minorHAnsi" w:hAnsiTheme="minorHAnsi"/>
          <w:sz w:val="22"/>
        </w:rPr>
      </w:pPr>
      <w:r>
        <w:rPr>
          <w:rFonts w:asciiTheme="minorHAnsi" w:hAnsiTheme="minorHAnsi"/>
          <w:sz w:val="22"/>
          <w:lang w:val="en-US"/>
        </w:rPr>
        <w:t>The Commonwealth, states and territories are responding jointly to the</w:t>
      </w:r>
      <w:r w:rsidR="003A7325">
        <w:rPr>
          <w:rFonts w:asciiTheme="minorHAnsi" w:hAnsiTheme="minorHAnsi"/>
          <w:sz w:val="22"/>
          <w:lang w:val="en-US"/>
        </w:rPr>
        <w:t xml:space="preserve"> recommendations of the</w:t>
      </w:r>
      <w:r>
        <w:rPr>
          <w:rFonts w:asciiTheme="minorHAnsi" w:hAnsiTheme="minorHAnsi"/>
          <w:sz w:val="22"/>
          <w:lang w:val="en-US"/>
        </w:rPr>
        <w:t xml:space="preserve"> HI Review.</w:t>
      </w:r>
      <w:r w:rsidR="005F499A">
        <w:rPr>
          <w:rFonts w:asciiTheme="minorHAnsi" w:hAnsiTheme="minorHAnsi"/>
          <w:sz w:val="22"/>
          <w:lang w:val="en-US"/>
        </w:rPr>
        <w:t xml:space="preserve">  </w:t>
      </w:r>
    </w:p>
    <w:p w:rsidR="00FC5316" w:rsidRPr="003D6C23" w:rsidRDefault="005451F7" w:rsidP="0088792D">
      <w:pPr>
        <w:pStyle w:val="Heading2"/>
        <w:numPr>
          <w:ilvl w:val="0"/>
          <w:numId w:val="0"/>
        </w:numPr>
      </w:pPr>
      <w:bookmarkStart w:id="22" w:name="_Toc418763079"/>
      <w:bookmarkStart w:id="23" w:name="_Toc420394232"/>
      <w:r>
        <w:t>2.5</w:t>
      </w:r>
      <w:r>
        <w:tab/>
      </w:r>
      <w:r w:rsidR="00FC5316" w:rsidRPr="003D6C23">
        <w:t>Proposed changes</w:t>
      </w:r>
      <w:bookmarkEnd w:id="22"/>
      <w:bookmarkEnd w:id="23"/>
    </w:p>
    <w:p w:rsidR="00BF27DF" w:rsidRDefault="00E9556B" w:rsidP="00BF27DF">
      <w:pPr>
        <w:pStyle w:val="ListParagraph"/>
        <w:spacing w:after="120"/>
        <w:ind w:left="737"/>
        <w:contextualSpacing w:val="0"/>
        <w:rPr>
          <w:rFonts w:asciiTheme="minorHAnsi" w:hAnsiTheme="minorHAnsi"/>
          <w:sz w:val="22"/>
          <w:szCs w:val="22"/>
        </w:rPr>
      </w:pPr>
      <w:r>
        <w:rPr>
          <w:rFonts w:asciiTheme="minorHAnsi" w:hAnsiTheme="minorHAnsi"/>
          <w:sz w:val="22"/>
          <w:szCs w:val="22"/>
        </w:rPr>
        <w:t xml:space="preserve">The changes proposed in this paper are primarily the result of recommendations made by the </w:t>
      </w:r>
      <w:r w:rsidR="00C011C0">
        <w:rPr>
          <w:rFonts w:asciiTheme="minorHAnsi" w:hAnsiTheme="minorHAnsi"/>
          <w:sz w:val="22"/>
          <w:szCs w:val="22"/>
        </w:rPr>
        <w:t xml:space="preserve">HI Review </w:t>
      </w:r>
      <w:r>
        <w:rPr>
          <w:rFonts w:asciiTheme="minorHAnsi" w:hAnsiTheme="minorHAnsi"/>
          <w:sz w:val="22"/>
          <w:szCs w:val="22"/>
        </w:rPr>
        <w:t xml:space="preserve">and </w:t>
      </w:r>
      <w:r w:rsidR="00C011C0">
        <w:rPr>
          <w:rFonts w:asciiTheme="minorHAnsi" w:hAnsiTheme="minorHAnsi"/>
          <w:sz w:val="22"/>
          <w:szCs w:val="22"/>
        </w:rPr>
        <w:t>PCEHR Review</w:t>
      </w:r>
      <w:r>
        <w:rPr>
          <w:rFonts w:asciiTheme="minorHAnsi" w:hAnsiTheme="minorHAnsi"/>
          <w:sz w:val="22"/>
          <w:szCs w:val="22"/>
        </w:rPr>
        <w:t>.  Changes have also been identified through administrative and operational experience with the HI Service and PCEHR system by government and non-government entities.</w:t>
      </w:r>
    </w:p>
    <w:p w:rsidR="00C011C0" w:rsidRDefault="00C011C0" w:rsidP="00BF27DF">
      <w:pPr>
        <w:pStyle w:val="ListParagraph"/>
        <w:spacing w:after="120"/>
        <w:ind w:left="737"/>
        <w:contextualSpacing w:val="0"/>
        <w:rPr>
          <w:rFonts w:asciiTheme="minorHAnsi" w:hAnsiTheme="minorHAnsi"/>
          <w:sz w:val="22"/>
          <w:szCs w:val="22"/>
        </w:rPr>
      </w:pPr>
      <w:r>
        <w:rPr>
          <w:rFonts w:asciiTheme="minorHAnsi" w:hAnsiTheme="minorHAnsi"/>
          <w:sz w:val="22"/>
          <w:szCs w:val="22"/>
        </w:rPr>
        <w:t xml:space="preserve">The changes proposed </w:t>
      </w:r>
      <w:r w:rsidR="00487A5E">
        <w:rPr>
          <w:rFonts w:asciiTheme="minorHAnsi" w:hAnsiTheme="minorHAnsi"/>
          <w:sz w:val="22"/>
          <w:szCs w:val="22"/>
        </w:rPr>
        <w:t xml:space="preserve">will </w:t>
      </w:r>
      <w:r>
        <w:rPr>
          <w:rFonts w:asciiTheme="minorHAnsi" w:hAnsiTheme="minorHAnsi"/>
          <w:sz w:val="22"/>
          <w:szCs w:val="22"/>
        </w:rPr>
        <w:t>require amendment to legislation to have effect</w:t>
      </w:r>
      <w:r w:rsidR="006B36BB">
        <w:rPr>
          <w:rFonts w:asciiTheme="minorHAnsi" w:hAnsiTheme="minorHAnsi"/>
          <w:sz w:val="22"/>
          <w:szCs w:val="22"/>
        </w:rPr>
        <w:t>, namely:</w:t>
      </w:r>
    </w:p>
    <w:p w:rsidR="006B36BB" w:rsidRDefault="006B36BB" w:rsidP="00A67B4E">
      <w:pPr>
        <w:pStyle w:val="ListParagraph"/>
        <w:numPr>
          <w:ilvl w:val="0"/>
          <w:numId w:val="7"/>
        </w:numPr>
        <w:spacing w:after="120"/>
        <w:contextualSpacing w:val="0"/>
        <w:rPr>
          <w:rFonts w:asciiTheme="minorHAnsi" w:hAnsiTheme="minorHAnsi"/>
          <w:sz w:val="22"/>
          <w:szCs w:val="22"/>
        </w:rPr>
      </w:pPr>
      <w:r>
        <w:rPr>
          <w:rFonts w:asciiTheme="minorHAnsi" w:hAnsiTheme="minorHAnsi"/>
          <w:i/>
          <w:sz w:val="22"/>
          <w:szCs w:val="22"/>
        </w:rPr>
        <w:lastRenderedPageBreak/>
        <w:t xml:space="preserve">Personally Controlled Electronic Health Records Act 2012 </w:t>
      </w:r>
      <w:r>
        <w:rPr>
          <w:rFonts w:asciiTheme="minorHAnsi" w:hAnsiTheme="minorHAnsi"/>
          <w:sz w:val="22"/>
          <w:szCs w:val="22"/>
        </w:rPr>
        <w:t>(PCEHR Act);</w:t>
      </w:r>
    </w:p>
    <w:p w:rsidR="006B36BB" w:rsidRDefault="006B36BB" w:rsidP="00A67B4E">
      <w:pPr>
        <w:pStyle w:val="ListParagraph"/>
        <w:numPr>
          <w:ilvl w:val="0"/>
          <w:numId w:val="7"/>
        </w:numPr>
        <w:spacing w:after="120"/>
        <w:contextualSpacing w:val="0"/>
        <w:rPr>
          <w:rFonts w:asciiTheme="minorHAnsi" w:hAnsiTheme="minorHAnsi"/>
          <w:sz w:val="22"/>
          <w:szCs w:val="22"/>
        </w:rPr>
      </w:pPr>
      <w:r>
        <w:rPr>
          <w:rFonts w:asciiTheme="minorHAnsi" w:hAnsiTheme="minorHAnsi"/>
          <w:i/>
          <w:sz w:val="22"/>
          <w:szCs w:val="22"/>
        </w:rPr>
        <w:t xml:space="preserve">Personally Controlled Electronic Health Records Regulation 2012 </w:t>
      </w:r>
      <w:r>
        <w:rPr>
          <w:rFonts w:asciiTheme="minorHAnsi" w:hAnsiTheme="minorHAnsi"/>
          <w:sz w:val="22"/>
          <w:szCs w:val="22"/>
        </w:rPr>
        <w:t>(PCEHR Regulations);</w:t>
      </w:r>
    </w:p>
    <w:p w:rsidR="006B36BB" w:rsidRDefault="006B36BB" w:rsidP="00A67B4E">
      <w:pPr>
        <w:pStyle w:val="ListParagraph"/>
        <w:numPr>
          <w:ilvl w:val="0"/>
          <w:numId w:val="7"/>
        </w:numPr>
        <w:spacing w:after="120"/>
        <w:contextualSpacing w:val="0"/>
        <w:rPr>
          <w:rFonts w:asciiTheme="minorHAnsi" w:hAnsiTheme="minorHAnsi"/>
          <w:sz w:val="22"/>
          <w:szCs w:val="22"/>
        </w:rPr>
      </w:pPr>
      <w:r w:rsidRPr="006B36BB">
        <w:rPr>
          <w:rFonts w:asciiTheme="minorHAnsi" w:hAnsiTheme="minorHAnsi"/>
          <w:i/>
          <w:sz w:val="22"/>
          <w:szCs w:val="22"/>
        </w:rPr>
        <w:t>PCEHR Rules</w:t>
      </w:r>
      <w:r>
        <w:rPr>
          <w:rFonts w:asciiTheme="minorHAnsi" w:hAnsiTheme="minorHAnsi"/>
          <w:sz w:val="22"/>
          <w:szCs w:val="22"/>
        </w:rPr>
        <w:t xml:space="preserve"> </w:t>
      </w:r>
      <w:r w:rsidRPr="006B36BB">
        <w:rPr>
          <w:rFonts w:asciiTheme="minorHAnsi" w:hAnsiTheme="minorHAnsi"/>
          <w:i/>
          <w:sz w:val="22"/>
          <w:szCs w:val="22"/>
        </w:rPr>
        <w:t>2012</w:t>
      </w:r>
      <w:r>
        <w:rPr>
          <w:rFonts w:asciiTheme="minorHAnsi" w:hAnsiTheme="minorHAnsi"/>
          <w:sz w:val="22"/>
          <w:szCs w:val="22"/>
        </w:rPr>
        <w:t xml:space="preserve">, </w:t>
      </w:r>
      <w:r>
        <w:rPr>
          <w:rFonts w:asciiTheme="minorHAnsi" w:hAnsiTheme="minorHAnsi"/>
          <w:i/>
          <w:sz w:val="22"/>
          <w:szCs w:val="22"/>
        </w:rPr>
        <w:t>PCEHR (Participations Agreements</w:t>
      </w:r>
      <w:r w:rsidR="0088792D">
        <w:rPr>
          <w:rFonts w:asciiTheme="minorHAnsi" w:hAnsiTheme="minorHAnsi"/>
          <w:i/>
          <w:sz w:val="22"/>
          <w:szCs w:val="22"/>
        </w:rPr>
        <w:t>)</w:t>
      </w:r>
      <w:r>
        <w:rPr>
          <w:rFonts w:asciiTheme="minorHAnsi" w:hAnsiTheme="minorHAnsi"/>
          <w:i/>
          <w:sz w:val="22"/>
          <w:szCs w:val="22"/>
        </w:rPr>
        <w:t xml:space="preserve"> Rules 2012</w:t>
      </w:r>
      <w:r>
        <w:rPr>
          <w:rFonts w:asciiTheme="minorHAnsi" w:hAnsiTheme="minorHAnsi"/>
          <w:sz w:val="22"/>
          <w:szCs w:val="22"/>
        </w:rPr>
        <w:t xml:space="preserve"> and </w:t>
      </w:r>
      <w:r>
        <w:rPr>
          <w:rFonts w:asciiTheme="minorHAnsi" w:hAnsiTheme="minorHAnsi"/>
          <w:i/>
          <w:sz w:val="22"/>
          <w:szCs w:val="22"/>
        </w:rPr>
        <w:t>PCEHR (Assisted Registration) Rules 2012</w:t>
      </w:r>
      <w:r w:rsidRPr="006B36BB">
        <w:rPr>
          <w:rFonts w:asciiTheme="minorHAnsi" w:hAnsiTheme="minorHAnsi"/>
          <w:sz w:val="22"/>
          <w:szCs w:val="22"/>
        </w:rPr>
        <w:t>, collectively referred</w:t>
      </w:r>
      <w:r>
        <w:rPr>
          <w:rFonts w:asciiTheme="minorHAnsi" w:hAnsiTheme="minorHAnsi"/>
          <w:sz w:val="22"/>
          <w:szCs w:val="22"/>
        </w:rPr>
        <w:t xml:space="preserve"> to as the PCEHR Rules;</w:t>
      </w:r>
    </w:p>
    <w:p w:rsidR="006B36BB" w:rsidRPr="006B36BB" w:rsidRDefault="006B36BB" w:rsidP="00A67B4E">
      <w:pPr>
        <w:pStyle w:val="ListParagraph"/>
        <w:numPr>
          <w:ilvl w:val="0"/>
          <w:numId w:val="7"/>
        </w:numPr>
        <w:spacing w:after="120"/>
        <w:contextualSpacing w:val="0"/>
        <w:rPr>
          <w:rFonts w:asciiTheme="minorHAnsi" w:hAnsiTheme="minorHAnsi"/>
          <w:i/>
          <w:sz w:val="22"/>
          <w:szCs w:val="22"/>
        </w:rPr>
      </w:pPr>
      <w:r>
        <w:rPr>
          <w:rFonts w:asciiTheme="minorHAnsi" w:hAnsiTheme="minorHAnsi"/>
          <w:i/>
          <w:sz w:val="22"/>
          <w:szCs w:val="22"/>
        </w:rPr>
        <w:t xml:space="preserve">Healthcare Identifiers Act 2010 </w:t>
      </w:r>
      <w:r>
        <w:rPr>
          <w:rFonts w:asciiTheme="minorHAnsi" w:hAnsiTheme="minorHAnsi"/>
          <w:sz w:val="22"/>
          <w:szCs w:val="22"/>
        </w:rPr>
        <w:t>(HI Act); and</w:t>
      </w:r>
    </w:p>
    <w:p w:rsidR="006B36BB" w:rsidRPr="006B36BB" w:rsidRDefault="006B36BB" w:rsidP="00A67B4E">
      <w:pPr>
        <w:pStyle w:val="ListParagraph"/>
        <w:numPr>
          <w:ilvl w:val="0"/>
          <w:numId w:val="7"/>
        </w:numPr>
        <w:spacing w:after="120"/>
        <w:contextualSpacing w:val="0"/>
        <w:rPr>
          <w:rFonts w:asciiTheme="minorHAnsi" w:hAnsiTheme="minorHAnsi"/>
          <w:i/>
          <w:sz w:val="22"/>
          <w:szCs w:val="22"/>
        </w:rPr>
      </w:pPr>
      <w:r>
        <w:rPr>
          <w:rFonts w:asciiTheme="minorHAnsi" w:hAnsiTheme="minorHAnsi"/>
          <w:i/>
          <w:sz w:val="22"/>
          <w:szCs w:val="22"/>
        </w:rPr>
        <w:t xml:space="preserve">Healthcare Identifiers Regulations 2010 </w:t>
      </w:r>
      <w:r w:rsidR="00E23E4C">
        <w:rPr>
          <w:rFonts w:asciiTheme="minorHAnsi" w:hAnsiTheme="minorHAnsi"/>
          <w:sz w:val="22"/>
          <w:szCs w:val="22"/>
        </w:rPr>
        <w:t>(</w:t>
      </w:r>
      <w:r>
        <w:rPr>
          <w:rFonts w:asciiTheme="minorHAnsi" w:hAnsiTheme="minorHAnsi"/>
          <w:sz w:val="22"/>
          <w:szCs w:val="22"/>
        </w:rPr>
        <w:t>HI Regulations).</w:t>
      </w:r>
    </w:p>
    <w:p w:rsidR="005472CB" w:rsidRPr="005472CB" w:rsidRDefault="00655B30" w:rsidP="005472CB">
      <w:pPr>
        <w:spacing w:after="120"/>
        <w:ind w:left="771"/>
        <w:rPr>
          <w:rFonts w:asciiTheme="minorHAnsi" w:hAnsiTheme="minorHAnsi"/>
          <w:i/>
          <w:sz w:val="22"/>
          <w:szCs w:val="22"/>
        </w:rPr>
      </w:pPr>
      <w:r>
        <w:rPr>
          <w:rFonts w:asciiTheme="minorHAnsi" w:hAnsiTheme="minorHAnsi"/>
          <w:sz w:val="22"/>
          <w:szCs w:val="22"/>
        </w:rPr>
        <w:t xml:space="preserve">Consequential amendments </w:t>
      </w:r>
      <w:r w:rsidR="006215B0">
        <w:rPr>
          <w:rFonts w:asciiTheme="minorHAnsi" w:hAnsiTheme="minorHAnsi"/>
          <w:sz w:val="22"/>
          <w:szCs w:val="22"/>
        </w:rPr>
        <w:t xml:space="preserve">are also proposed to be made to the </w:t>
      </w:r>
      <w:r w:rsidR="006215B0">
        <w:rPr>
          <w:rFonts w:asciiTheme="minorHAnsi" w:hAnsiTheme="minorHAnsi"/>
          <w:i/>
          <w:sz w:val="22"/>
          <w:szCs w:val="22"/>
        </w:rPr>
        <w:t>Privacy Act 1988</w:t>
      </w:r>
      <w:r w:rsidR="006215B0">
        <w:rPr>
          <w:rFonts w:asciiTheme="minorHAnsi" w:hAnsiTheme="minorHAnsi"/>
          <w:sz w:val="22"/>
          <w:szCs w:val="22"/>
        </w:rPr>
        <w:t xml:space="preserve"> (Privacy Act)</w:t>
      </w:r>
      <w:r>
        <w:rPr>
          <w:rFonts w:asciiTheme="minorHAnsi" w:hAnsiTheme="minorHAnsi"/>
          <w:sz w:val="22"/>
          <w:szCs w:val="22"/>
        </w:rPr>
        <w:t xml:space="preserve">, </w:t>
      </w:r>
      <w:r w:rsidR="005472CB" w:rsidRPr="005472CB">
        <w:rPr>
          <w:rFonts w:asciiTheme="minorHAnsi" w:hAnsiTheme="minorHAnsi"/>
          <w:i/>
          <w:sz w:val="22"/>
          <w:szCs w:val="22"/>
        </w:rPr>
        <w:t>Health</w:t>
      </w:r>
      <w:r w:rsidR="005472CB">
        <w:rPr>
          <w:rFonts w:asciiTheme="minorHAnsi" w:hAnsiTheme="minorHAnsi"/>
          <w:i/>
          <w:sz w:val="22"/>
          <w:szCs w:val="22"/>
        </w:rPr>
        <w:t xml:space="preserve"> Insurance Act 1973</w:t>
      </w:r>
      <w:r w:rsidR="005472CB">
        <w:rPr>
          <w:rFonts w:asciiTheme="minorHAnsi" w:hAnsiTheme="minorHAnsi"/>
          <w:sz w:val="22"/>
          <w:szCs w:val="22"/>
        </w:rPr>
        <w:t xml:space="preserve"> and</w:t>
      </w:r>
      <w:r w:rsidR="005472CB">
        <w:rPr>
          <w:rFonts w:asciiTheme="minorHAnsi" w:hAnsiTheme="minorHAnsi"/>
          <w:i/>
          <w:sz w:val="22"/>
          <w:szCs w:val="22"/>
        </w:rPr>
        <w:t xml:space="preserve"> </w:t>
      </w:r>
      <w:r w:rsidR="005472CB" w:rsidRPr="005472CB">
        <w:rPr>
          <w:rFonts w:asciiTheme="minorHAnsi" w:hAnsiTheme="minorHAnsi"/>
          <w:i/>
          <w:sz w:val="22"/>
          <w:szCs w:val="22"/>
        </w:rPr>
        <w:t>National Health Act 1953</w:t>
      </w:r>
      <w:r w:rsidR="005472CB" w:rsidRPr="005472CB">
        <w:rPr>
          <w:rFonts w:asciiTheme="minorHAnsi" w:hAnsiTheme="minorHAnsi"/>
          <w:sz w:val="22"/>
          <w:szCs w:val="22"/>
        </w:rPr>
        <w:t>.</w:t>
      </w:r>
    </w:p>
    <w:p w:rsidR="00FC5316" w:rsidRPr="003D6C23" w:rsidRDefault="005451F7" w:rsidP="0088792D">
      <w:pPr>
        <w:pStyle w:val="Heading2"/>
        <w:numPr>
          <w:ilvl w:val="0"/>
          <w:numId w:val="0"/>
        </w:numPr>
        <w:ind w:left="737" w:hanging="737"/>
      </w:pPr>
      <w:bookmarkStart w:id="24" w:name="_Toc418763080"/>
      <w:bookmarkStart w:id="25" w:name="_Toc420394233"/>
      <w:r>
        <w:t>2.6</w:t>
      </w:r>
      <w:r>
        <w:tab/>
      </w:r>
      <w:r w:rsidR="00FC5316" w:rsidRPr="003D6C23">
        <w:t>Timeframes</w:t>
      </w:r>
      <w:bookmarkEnd w:id="24"/>
      <w:bookmarkEnd w:id="25"/>
    </w:p>
    <w:p w:rsidR="00BF27DF" w:rsidRPr="00FC5316" w:rsidRDefault="00BB0845" w:rsidP="00BF27DF">
      <w:pPr>
        <w:pStyle w:val="ListParagraph"/>
        <w:spacing w:after="120"/>
        <w:ind w:left="737"/>
        <w:contextualSpacing w:val="0"/>
        <w:rPr>
          <w:rFonts w:asciiTheme="minorHAnsi" w:hAnsiTheme="minorHAnsi"/>
          <w:sz w:val="22"/>
          <w:szCs w:val="22"/>
        </w:rPr>
      </w:pPr>
      <w:r>
        <w:rPr>
          <w:rFonts w:asciiTheme="minorHAnsi" w:hAnsiTheme="minorHAnsi"/>
          <w:sz w:val="22"/>
          <w:szCs w:val="22"/>
        </w:rPr>
        <w:t>The amendments to legislation are proposed to be made in late 2015, subject to Parliamentary passage.</w:t>
      </w:r>
    </w:p>
    <w:p w:rsidR="00FC5316" w:rsidRPr="003D6C23" w:rsidRDefault="005451F7" w:rsidP="0088792D">
      <w:pPr>
        <w:pStyle w:val="Heading2"/>
        <w:numPr>
          <w:ilvl w:val="0"/>
          <w:numId w:val="0"/>
        </w:numPr>
        <w:ind w:left="737" w:hanging="737"/>
      </w:pPr>
      <w:bookmarkStart w:id="26" w:name="_Toc418763081"/>
      <w:bookmarkStart w:id="27" w:name="_Toc420394234"/>
      <w:r>
        <w:t>2.7</w:t>
      </w:r>
      <w:r>
        <w:tab/>
      </w:r>
      <w:r w:rsidR="00FC5316" w:rsidRPr="003D6C23">
        <w:t>Consultation to date</w:t>
      </w:r>
      <w:bookmarkEnd w:id="26"/>
      <w:bookmarkEnd w:id="27"/>
    </w:p>
    <w:p w:rsidR="000E521D" w:rsidRDefault="00622AE6" w:rsidP="00622AE6">
      <w:pPr>
        <w:pStyle w:val="ListParagraph"/>
        <w:spacing w:after="120"/>
        <w:ind w:left="737"/>
        <w:contextualSpacing w:val="0"/>
        <w:rPr>
          <w:rFonts w:asciiTheme="minorHAnsi" w:hAnsiTheme="minorHAnsi"/>
          <w:sz w:val="22"/>
          <w:szCs w:val="22"/>
        </w:rPr>
      </w:pPr>
      <w:r>
        <w:rPr>
          <w:rFonts w:asciiTheme="minorHAnsi" w:hAnsiTheme="minorHAnsi"/>
          <w:sz w:val="22"/>
          <w:szCs w:val="22"/>
        </w:rPr>
        <w:t>S</w:t>
      </w:r>
      <w:r w:rsidR="000E521D" w:rsidRPr="000E521D">
        <w:rPr>
          <w:rFonts w:asciiTheme="minorHAnsi" w:hAnsiTheme="minorHAnsi"/>
          <w:sz w:val="22"/>
          <w:szCs w:val="22"/>
        </w:rPr>
        <w:t xml:space="preserve">takeholder consultation </w:t>
      </w:r>
      <w:r>
        <w:rPr>
          <w:rFonts w:asciiTheme="minorHAnsi" w:hAnsiTheme="minorHAnsi"/>
          <w:sz w:val="22"/>
          <w:szCs w:val="22"/>
        </w:rPr>
        <w:t xml:space="preserve">on the recommendations of the PCEHR Review </w:t>
      </w:r>
      <w:r w:rsidR="000E521D" w:rsidRPr="000E521D">
        <w:rPr>
          <w:rFonts w:asciiTheme="minorHAnsi" w:hAnsiTheme="minorHAnsi"/>
          <w:sz w:val="22"/>
          <w:szCs w:val="22"/>
        </w:rPr>
        <w:t>w</w:t>
      </w:r>
      <w:r>
        <w:rPr>
          <w:rFonts w:asciiTheme="minorHAnsi" w:hAnsiTheme="minorHAnsi"/>
          <w:sz w:val="22"/>
          <w:szCs w:val="22"/>
        </w:rPr>
        <w:t>as</w:t>
      </w:r>
      <w:r w:rsidR="000E521D" w:rsidRPr="000E521D">
        <w:rPr>
          <w:rFonts w:asciiTheme="minorHAnsi" w:hAnsiTheme="minorHAnsi"/>
          <w:sz w:val="22"/>
          <w:szCs w:val="22"/>
        </w:rPr>
        <w:t xml:space="preserve"> under</w:t>
      </w:r>
      <w:r>
        <w:rPr>
          <w:rFonts w:asciiTheme="minorHAnsi" w:hAnsiTheme="minorHAnsi"/>
          <w:sz w:val="22"/>
          <w:szCs w:val="22"/>
        </w:rPr>
        <w:t>taken i</w:t>
      </w:r>
      <w:r w:rsidR="000E521D">
        <w:rPr>
          <w:rFonts w:asciiTheme="minorHAnsi" w:hAnsiTheme="minorHAnsi"/>
          <w:sz w:val="22"/>
          <w:szCs w:val="22"/>
        </w:rPr>
        <w:t>n July to September 2014</w:t>
      </w:r>
      <w:r>
        <w:rPr>
          <w:rFonts w:asciiTheme="minorHAnsi" w:hAnsiTheme="minorHAnsi"/>
          <w:sz w:val="22"/>
          <w:szCs w:val="22"/>
        </w:rPr>
        <w:t xml:space="preserve">.  The key objectives of the consultation were to understand stakeholder views in order to inform system design, implementation and communications planning, risk management planning for the implementation of the </w:t>
      </w:r>
      <w:r w:rsidR="007D6C72">
        <w:rPr>
          <w:rFonts w:asciiTheme="minorHAnsi" w:hAnsiTheme="minorHAnsi"/>
          <w:sz w:val="22"/>
          <w:szCs w:val="22"/>
        </w:rPr>
        <w:t xml:space="preserve">key </w:t>
      </w:r>
      <w:r>
        <w:rPr>
          <w:rFonts w:asciiTheme="minorHAnsi" w:hAnsiTheme="minorHAnsi"/>
          <w:sz w:val="22"/>
          <w:szCs w:val="22"/>
        </w:rPr>
        <w:t>PCEHR Review recommendations, and to identify what needs to be changed to prepare the PCEHR system for national and ubiquitous adoption and use</w:t>
      </w:r>
      <w:r w:rsidRPr="00622AE6">
        <w:rPr>
          <w:rFonts w:asciiTheme="minorHAnsi" w:hAnsiTheme="minorHAnsi"/>
          <w:sz w:val="22"/>
          <w:szCs w:val="22"/>
        </w:rPr>
        <w:t>.</w:t>
      </w:r>
    </w:p>
    <w:p w:rsidR="00622AE6" w:rsidRDefault="00622AE6" w:rsidP="00622AE6">
      <w:pPr>
        <w:pStyle w:val="ListParagraph"/>
        <w:spacing w:after="120"/>
        <w:ind w:left="737"/>
        <w:contextualSpacing w:val="0"/>
        <w:rPr>
          <w:rFonts w:asciiTheme="minorHAnsi" w:hAnsiTheme="minorHAnsi"/>
          <w:sz w:val="22"/>
          <w:szCs w:val="22"/>
        </w:rPr>
      </w:pPr>
      <w:r>
        <w:rPr>
          <w:rFonts w:asciiTheme="minorHAnsi" w:hAnsiTheme="minorHAnsi"/>
          <w:sz w:val="22"/>
          <w:szCs w:val="22"/>
        </w:rPr>
        <w:t xml:space="preserve">Consultations were conducted using </w:t>
      </w:r>
      <w:r w:rsidR="00AE4E46">
        <w:rPr>
          <w:rFonts w:asciiTheme="minorHAnsi" w:hAnsiTheme="minorHAnsi"/>
          <w:sz w:val="22"/>
          <w:szCs w:val="22"/>
        </w:rPr>
        <w:t xml:space="preserve">thirty-seven </w:t>
      </w:r>
      <w:r>
        <w:rPr>
          <w:rFonts w:asciiTheme="minorHAnsi" w:hAnsiTheme="minorHAnsi"/>
          <w:sz w:val="22"/>
          <w:szCs w:val="22"/>
        </w:rPr>
        <w:t xml:space="preserve">face-to-face workshops with large and small groups.  This was supplemented with a small number of group teleconferences with </w:t>
      </w:r>
      <w:r w:rsidR="00655B30">
        <w:rPr>
          <w:rFonts w:asciiTheme="minorHAnsi" w:hAnsiTheme="minorHAnsi"/>
          <w:sz w:val="22"/>
          <w:szCs w:val="22"/>
        </w:rPr>
        <w:t>selected</w:t>
      </w:r>
      <w:r>
        <w:rPr>
          <w:rFonts w:asciiTheme="minorHAnsi" w:hAnsiTheme="minorHAnsi"/>
          <w:sz w:val="22"/>
          <w:szCs w:val="22"/>
        </w:rPr>
        <w:t xml:space="preserve"> stakeholder groups who were not easily able to attend the workshop sessions.  Workshops </w:t>
      </w:r>
      <w:r w:rsidR="00655B30">
        <w:rPr>
          <w:rFonts w:asciiTheme="minorHAnsi" w:hAnsiTheme="minorHAnsi"/>
          <w:sz w:val="22"/>
          <w:szCs w:val="22"/>
        </w:rPr>
        <w:t xml:space="preserve">had a diversity of </w:t>
      </w:r>
      <w:r>
        <w:rPr>
          <w:rFonts w:asciiTheme="minorHAnsi" w:hAnsiTheme="minorHAnsi"/>
          <w:sz w:val="22"/>
          <w:szCs w:val="22"/>
        </w:rPr>
        <w:t>stakeholder groups including:</w:t>
      </w:r>
    </w:p>
    <w:p w:rsidR="00622AE6" w:rsidRDefault="00F72ED5" w:rsidP="00A67B4E">
      <w:pPr>
        <w:pStyle w:val="ListParagraph"/>
        <w:numPr>
          <w:ilvl w:val="0"/>
          <w:numId w:val="5"/>
        </w:numPr>
        <w:spacing w:after="120"/>
        <w:contextualSpacing w:val="0"/>
        <w:rPr>
          <w:rFonts w:asciiTheme="minorHAnsi" w:hAnsiTheme="minorHAnsi"/>
          <w:sz w:val="22"/>
          <w:szCs w:val="22"/>
        </w:rPr>
      </w:pPr>
      <w:r>
        <w:rPr>
          <w:rFonts w:asciiTheme="minorHAnsi" w:hAnsiTheme="minorHAnsi"/>
          <w:sz w:val="22"/>
          <w:szCs w:val="22"/>
        </w:rPr>
        <w:t>individuals</w:t>
      </w:r>
      <w:r w:rsidR="00622AE6">
        <w:rPr>
          <w:rFonts w:asciiTheme="minorHAnsi" w:hAnsiTheme="minorHAnsi"/>
          <w:sz w:val="22"/>
          <w:szCs w:val="22"/>
        </w:rPr>
        <w:t>;</w:t>
      </w:r>
    </w:p>
    <w:p w:rsidR="00622AE6" w:rsidRDefault="00622AE6" w:rsidP="00A67B4E">
      <w:pPr>
        <w:pStyle w:val="ListParagraph"/>
        <w:numPr>
          <w:ilvl w:val="0"/>
          <w:numId w:val="5"/>
        </w:numPr>
        <w:spacing w:after="120"/>
        <w:contextualSpacing w:val="0"/>
        <w:rPr>
          <w:rFonts w:asciiTheme="minorHAnsi" w:hAnsiTheme="minorHAnsi"/>
          <w:sz w:val="22"/>
          <w:szCs w:val="22"/>
        </w:rPr>
      </w:pPr>
      <w:r>
        <w:rPr>
          <w:rFonts w:asciiTheme="minorHAnsi" w:hAnsiTheme="minorHAnsi"/>
          <w:sz w:val="22"/>
          <w:szCs w:val="22"/>
        </w:rPr>
        <w:t>healthcare providers (including general practitioners, specialists, allied health practitioners, pharmacists and nurses) working in primary and acute care settings;</w:t>
      </w:r>
    </w:p>
    <w:p w:rsidR="00622AE6" w:rsidRDefault="00622AE6" w:rsidP="00A67B4E">
      <w:pPr>
        <w:pStyle w:val="ListParagraph"/>
        <w:numPr>
          <w:ilvl w:val="0"/>
          <w:numId w:val="5"/>
        </w:numPr>
        <w:spacing w:after="120"/>
        <w:contextualSpacing w:val="0"/>
        <w:rPr>
          <w:rFonts w:asciiTheme="minorHAnsi" w:hAnsiTheme="minorHAnsi"/>
          <w:sz w:val="22"/>
          <w:szCs w:val="22"/>
        </w:rPr>
      </w:pPr>
      <w:r>
        <w:rPr>
          <w:rFonts w:asciiTheme="minorHAnsi" w:hAnsiTheme="minorHAnsi"/>
          <w:sz w:val="22"/>
          <w:szCs w:val="22"/>
        </w:rPr>
        <w:t>health software vendors;</w:t>
      </w:r>
    </w:p>
    <w:p w:rsidR="00622AE6" w:rsidRDefault="00622AE6" w:rsidP="00A67B4E">
      <w:pPr>
        <w:pStyle w:val="ListParagraph"/>
        <w:numPr>
          <w:ilvl w:val="0"/>
          <w:numId w:val="5"/>
        </w:numPr>
        <w:spacing w:after="120"/>
        <w:contextualSpacing w:val="0"/>
        <w:rPr>
          <w:rFonts w:asciiTheme="minorHAnsi" w:hAnsiTheme="minorHAnsi"/>
          <w:sz w:val="22"/>
          <w:szCs w:val="22"/>
        </w:rPr>
      </w:pPr>
      <w:r>
        <w:rPr>
          <w:rFonts w:asciiTheme="minorHAnsi" w:hAnsiTheme="minorHAnsi"/>
          <w:sz w:val="22"/>
          <w:szCs w:val="22"/>
        </w:rPr>
        <w:t>private health insurance providers;</w:t>
      </w:r>
    </w:p>
    <w:p w:rsidR="00622AE6" w:rsidRDefault="00622AE6" w:rsidP="00A67B4E">
      <w:pPr>
        <w:pStyle w:val="ListParagraph"/>
        <w:numPr>
          <w:ilvl w:val="0"/>
          <w:numId w:val="5"/>
        </w:numPr>
        <w:spacing w:after="120"/>
        <w:contextualSpacing w:val="0"/>
        <w:rPr>
          <w:rFonts w:asciiTheme="minorHAnsi" w:hAnsiTheme="minorHAnsi"/>
          <w:sz w:val="22"/>
          <w:szCs w:val="22"/>
        </w:rPr>
      </w:pPr>
      <w:r>
        <w:rPr>
          <w:rFonts w:asciiTheme="minorHAnsi" w:hAnsiTheme="minorHAnsi"/>
          <w:sz w:val="22"/>
          <w:szCs w:val="22"/>
        </w:rPr>
        <w:t>medical indemnity insurance providers;</w:t>
      </w:r>
    </w:p>
    <w:p w:rsidR="00622AE6" w:rsidRDefault="00622AE6" w:rsidP="00A67B4E">
      <w:pPr>
        <w:pStyle w:val="ListParagraph"/>
        <w:numPr>
          <w:ilvl w:val="0"/>
          <w:numId w:val="5"/>
        </w:numPr>
        <w:spacing w:after="120"/>
        <w:contextualSpacing w:val="0"/>
        <w:rPr>
          <w:rFonts w:asciiTheme="minorHAnsi" w:hAnsiTheme="minorHAnsi"/>
          <w:sz w:val="22"/>
          <w:szCs w:val="22"/>
        </w:rPr>
      </w:pPr>
      <w:r>
        <w:rPr>
          <w:rFonts w:asciiTheme="minorHAnsi" w:hAnsiTheme="minorHAnsi"/>
          <w:sz w:val="22"/>
          <w:szCs w:val="22"/>
        </w:rPr>
        <w:t>private hospital representatives; and</w:t>
      </w:r>
    </w:p>
    <w:p w:rsidR="00622AE6" w:rsidRPr="00622AE6" w:rsidRDefault="00622AE6" w:rsidP="00A67B4E">
      <w:pPr>
        <w:pStyle w:val="ListParagraph"/>
        <w:numPr>
          <w:ilvl w:val="0"/>
          <w:numId w:val="5"/>
        </w:numPr>
        <w:spacing w:after="120"/>
        <w:contextualSpacing w:val="0"/>
        <w:rPr>
          <w:rFonts w:asciiTheme="minorHAnsi" w:hAnsiTheme="minorHAnsi"/>
          <w:sz w:val="22"/>
          <w:szCs w:val="22"/>
        </w:rPr>
      </w:pPr>
      <w:proofErr w:type="gramStart"/>
      <w:r>
        <w:rPr>
          <w:rFonts w:asciiTheme="minorHAnsi" w:hAnsiTheme="minorHAnsi"/>
          <w:sz w:val="22"/>
          <w:szCs w:val="22"/>
        </w:rPr>
        <w:t>healthcare</w:t>
      </w:r>
      <w:proofErr w:type="gramEnd"/>
      <w:r>
        <w:rPr>
          <w:rFonts w:asciiTheme="minorHAnsi" w:hAnsiTheme="minorHAnsi"/>
          <w:sz w:val="22"/>
          <w:szCs w:val="22"/>
        </w:rPr>
        <w:t xml:space="preserve"> providers and community workers working with Indigenous and remote communities.</w:t>
      </w:r>
    </w:p>
    <w:p w:rsidR="000E521D" w:rsidRDefault="000E521D" w:rsidP="000E521D">
      <w:pPr>
        <w:pStyle w:val="ListParagraph"/>
        <w:spacing w:after="120"/>
        <w:ind w:left="737"/>
        <w:contextualSpacing w:val="0"/>
        <w:rPr>
          <w:rFonts w:asciiTheme="minorHAnsi" w:hAnsiTheme="minorHAnsi"/>
          <w:sz w:val="22"/>
          <w:szCs w:val="22"/>
        </w:rPr>
      </w:pPr>
      <w:r w:rsidRPr="000E521D">
        <w:rPr>
          <w:rFonts w:asciiTheme="minorHAnsi" w:hAnsiTheme="minorHAnsi"/>
          <w:sz w:val="22"/>
          <w:szCs w:val="22"/>
        </w:rPr>
        <w:t xml:space="preserve">Stakeholders expressed strong support for the continued operation of a national shared electronic health record system and for the findings of the </w:t>
      </w:r>
      <w:r w:rsidR="00A54B30">
        <w:rPr>
          <w:rFonts w:asciiTheme="minorHAnsi" w:hAnsiTheme="minorHAnsi"/>
          <w:sz w:val="22"/>
          <w:szCs w:val="22"/>
        </w:rPr>
        <w:t>PCEHR R</w:t>
      </w:r>
      <w:r w:rsidRPr="000E521D">
        <w:rPr>
          <w:rFonts w:asciiTheme="minorHAnsi" w:hAnsiTheme="minorHAnsi"/>
          <w:sz w:val="22"/>
          <w:szCs w:val="22"/>
        </w:rPr>
        <w:t xml:space="preserve">eview.  In particular, there </w:t>
      </w:r>
      <w:r w:rsidR="00DB1482">
        <w:rPr>
          <w:rFonts w:asciiTheme="minorHAnsi" w:hAnsiTheme="minorHAnsi"/>
          <w:sz w:val="22"/>
          <w:szCs w:val="22"/>
        </w:rPr>
        <w:t>was</w:t>
      </w:r>
      <w:r w:rsidRPr="000E521D">
        <w:rPr>
          <w:rFonts w:asciiTheme="minorHAnsi" w:hAnsiTheme="minorHAnsi"/>
          <w:sz w:val="22"/>
          <w:szCs w:val="22"/>
        </w:rPr>
        <w:t xml:space="preserve"> strong support for the move to an opt-out system accompanied by an effective public awareness and education campaign, and for retention of the current personally controlled nature of the record.  </w:t>
      </w:r>
    </w:p>
    <w:p w:rsidR="000B0736" w:rsidRDefault="000B0736" w:rsidP="000E521D">
      <w:pPr>
        <w:pStyle w:val="ListParagraph"/>
        <w:spacing w:after="120"/>
        <w:ind w:left="737"/>
        <w:contextualSpacing w:val="0"/>
        <w:rPr>
          <w:rFonts w:asciiTheme="minorHAnsi" w:hAnsiTheme="minorHAnsi"/>
          <w:sz w:val="22"/>
          <w:szCs w:val="22"/>
        </w:rPr>
      </w:pPr>
      <w:r>
        <w:rPr>
          <w:rFonts w:asciiTheme="minorHAnsi" w:hAnsiTheme="minorHAnsi"/>
          <w:sz w:val="22"/>
          <w:szCs w:val="22"/>
        </w:rPr>
        <w:t>Key learnings from the consultations are described below:</w:t>
      </w:r>
    </w:p>
    <w:p w:rsidR="000B0736" w:rsidRDefault="00F72ED5" w:rsidP="00A67B4E">
      <w:pPr>
        <w:pStyle w:val="ListParagraph"/>
        <w:numPr>
          <w:ilvl w:val="0"/>
          <w:numId w:val="6"/>
        </w:numPr>
        <w:spacing w:after="120"/>
        <w:contextualSpacing w:val="0"/>
        <w:rPr>
          <w:rFonts w:asciiTheme="minorHAnsi" w:hAnsiTheme="minorHAnsi"/>
          <w:sz w:val="22"/>
          <w:szCs w:val="22"/>
        </w:rPr>
      </w:pPr>
      <w:r>
        <w:rPr>
          <w:rFonts w:asciiTheme="minorHAnsi" w:hAnsiTheme="minorHAnsi"/>
          <w:sz w:val="22"/>
          <w:szCs w:val="22"/>
        </w:rPr>
        <w:t>Individuals</w:t>
      </w:r>
      <w:r w:rsidR="000B0736">
        <w:rPr>
          <w:rFonts w:asciiTheme="minorHAnsi" w:hAnsiTheme="minorHAnsi"/>
          <w:sz w:val="22"/>
          <w:szCs w:val="22"/>
        </w:rPr>
        <w:t xml:space="preserve"> and clinicians want to see more representation of their voices and experiences in the ongoing design and implementation of the PCEHR system.  They don’t necessar</w:t>
      </w:r>
      <w:r w:rsidR="00603EB4">
        <w:rPr>
          <w:rFonts w:asciiTheme="minorHAnsi" w:hAnsiTheme="minorHAnsi"/>
          <w:sz w:val="22"/>
          <w:szCs w:val="22"/>
        </w:rPr>
        <w:t>il</w:t>
      </w:r>
      <w:r w:rsidR="000B0736">
        <w:rPr>
          <w:rFonts w:asciiTheme="minorHAnsi" w:hAnsiTheme="minorHAnsi"/>
          <w:sz w:val="22"/>
          <w:szCs w:val="22"/>
        </w:rPr>
        <w:t>y want a seat on the board of the governing body but do want to ensure that there are mechanisms by which different perspectives, impacts and expertise can be fed into the governance process through effective consultation.</w:t>
      </w:r>
    </w:p>
    <w:p w:rsidR="000B0736" w:rsidRDefault="000B0736" w:rsidP="00A67B4E">
      <w:pPr>
        <w:pStyle w:val="ListParagraph"/>
        <w:numPr>
          <w:ilvl w:val="0"/>
          <w:numId w:val="6"/>
        </w:numPr>
        <w:spacing w:after="120"/>
        <w:contextualSpacing w:val="0"/>
        <w:rPr>
          <w:rFonts w:asciiTheme="minorHAnsi" w:hAnsiTheme="minorHAnsi"/>
          <w:sz w:val="22"/>
          <w:szCs w:val="22"/>
        </w:rPr>
      </w:pPr>
      <w:r>
        <w:rPr>
          <w:rFonts w:asciiTheme="minorHAnsi" w:hAnsiTheme="minorHAnsi"/>
          <w:sz w:val="22"/>
          <w:szCs w:val="22"/>
        </w:rPr>
        <w:t xml:space="preserve">There is considerable uncertainty in the clinical and vendor community about the future of the PCEHR system.  More concrete actions are required to get stakeholders involved in </w:t>
      </w:r>
      <w:proofErr w:type="gramStart"/>
      <w:r>
        <w:rPr>
          <w:rFonts w:asciiTheme="minorHAnsi" w:hAnsiTheme="minorHAnsi"/>
          <w:sz w:val="22"/>
          <w:szCs w:val="22"/>
        </w:rPr>
        <w:lastRenderedPageBreak/>
        <w:t>progressing</w:t>
      </w:r>
      <w:proofErr w:type="gramEnd"/>
      <w:r>
        <w:rPr>
          <w:rFonts w:asciiTheme="minorHAnsi" w:hAnsiTheme="minorHAnsi"/>
          <w:sz w:val="22"/>
          <w:szCs w:val="22"/>
        </w:rPr>
        <w:t xml:space="preserve"> the adoption of the PCEHR system as an ongoing element of the Australian health system.</w:t>
      </w:r>
    </w:p>
    <w:p w:rsidR="000B0736" w:rsidRDefault="000B0736" w:rsidP="00A67B4E">
      <w:pPr>
        <w:pStyle w:val="ListParagraph"/>
        <w:numPr>
          <w:ilvl w:val="0"/>
          <w:numId w:val="6"/>
        </w:numPr>
        <w:spacing w:after="120"/>
        <w:contextualSpacing w:val="0"/>
        <w:rPr>
          <w:rFonts w:asciiTheme="minorHAnsi" w:hAnsiTheme="minorHAnsi"/>
          <w:sz w:val="22"/>
          <w:szCs w:val="22"/>
        </w:rPr>
      </w:pPr>
      <w:r>
        <w:rPr>
          <w:rFonts w:asciiTheme="minorHAnsi" w:hAnsiTheme="minorHAnsi"/>
          <w:sz w:val="22"/>
          <w:szCs w:val="22"/>
        </w:rPr>
        <w:t xml:space="preserve">Consultations highlighted that knowledge and understanding of the PCEHR system is patchy at best across all stakeholder groups and is particularly poor amongst </w:t>
      </w:r>
      <w:r w:rsidR="00DB1482">
        <w:rPr>
          <w:rFonts w:asciiTheme="minorHAnsi" w:hAnsiTheme="minorHAnsi"/>
          <w:sz w:val="22"/>
          <w:szCs w:val="22"/>
        </w:rPr>
        <w:t>the general public</w:t>
      </w:r>
      <w:r>
        <w:rPr>
          <w:rFonts w:asciiTheme="minorHAnsi" w:hAnsiTheme="minorHAnsi"/>
          <w:sz w:val="22"/>
          <w:szCs w:val="22"/>
        </w:rPr>
        <w:t xml:space="preserve">.  While awareness is better amongst healthcare providers, the perception of the PCEHR system is quite poor, and its benefits are not generally understood nor accepted at the current time.  Awareness </w:t>
      </w:r>
      <w:proofErr w:type="gramStart"/>
      <w:r>
        <w:rPr>
          <w:rFonts w:asciiTheme="minorHAnsi" w:hAnsiTheme="minorHAnsi"/>
          <w:sz w:val="22"/>
          <w:szCs w:val="22"/>
        </w:rPr>
        <w:t>raising</w:t>
      </w:r>
      <w:proofErr w:type="gramEnd"/>
      <w:r>
        <w:rPr>
          <w:rFonts w:asciiTheme="minorHAnsi" w:hAnsiTheme="minorHAnsi"/>
          <w:sz w:val="22"/>
          <w:szCs w:val="22"/>
        </w:rPr>
        <w:t xml:space="preserve"> will be particularly important ahead of any proposed introduction of an opt-out model.</w:t>
      </w:r>
    </w:p>
    <w:p w:rsidR="00C76926" w:rsidRDefault="00C76926" w:rsidP="00A67B4E">
      <w:pPr>
        <w:pStyle w:val="ListParagraph"/>
        <w:numPr>
          <w:ilvl w:val="0"/>
          <w:numId w:val="6"/>
        </w:numPr>
        <w:spacing w:after="120"/>
        <w:contextualSpacing w:val="0"/>
        <w:rPr>
          <w:rFonts w:asciiTheme="minorHAnsi" w:hAnsiTheme="minorHAnsi"/>
          <w:sz w:val="22"/>
          <w:szCs w:val="22"/>
        </w:rPr>
      </w:pPr>
      <w:r>
        <w:rPr>
          <w:rFonts w:asciiTheme="minorHAnsi" w:hAnsiTheme="minorHAnsi"/>
          <w:sz w:val="22"/>
          <w:szCs w:val="22"/>
        </w:rPr>
        <w:t xml:space="preserve">In general, </w:t>
      </w:r>
      <w:r w:rsidR="00F72ED5">
        <w:rPr>
          <w:rFonts w:asciiTheme="minorHAnsi" w:hAnsiTheme="minorHAnsi"/>
          <w:sz w:val="22"/>
          <w:szCs w:val="22"/>
        </w:rPr>
        <w:t xml:space="preserve">individuals </w:t>
      </w:r>
      <w:r>
        <w:rPr>
          <w:rFonts w:asciiTheme="minorHAnsi" w:hAnsiTheme="minorHAnsi"/>
          <w:sz w:val="22"/>
          <w:szCs w:val="22"/>
        </w:rPr>
        <w:t xml:space="preserve">understand when the purpose and intent of the PCEHR system is carefully explained.  This suggests that an information campaign that is benefits-focused and clear about what they need to do will be necessary. </w:t>
      </w:r>
    </w:p>
    <w:p w:rsidR="000B0736" w:rsidRDefault="000B0736" w:rsidP="00A67B4E">
      <w:pPr>
        <w:pStyle w:val="ListParagraph"/>
        <w:numPr>
          <w:ilvl w:val="0"/>
          <w:numId w:val="6"/>
        </w:numPr>
        <w:spacing w:after="120"/>
        <w:contextualSpacing w:val="0"/>
        <w:rPr>
          <w:rFonts w:asciiTheme="minorHAnsi" w:hAnsiTheme="minorHAnsi"/>
          <w:sz w:val="22"/>
          <w:szCs w:val="22"/>
        </w:rPr>
      </w:pPr>
      <w:r>
        <w:rPr>
          <w:rFonts w:asciiTheme="minorHAnsi" w:hAnsiTheme="minorHAnsi"/>
          <w:sz w:val="22"/>
          <w:szCs w:val="22"/>
        </w:rPr>
        <w:t xml:space="preserve">Like </w:t>
      </w:r>
      <w:r w:rsidR="00DB1482">
        <w:rPr>
          <w:rFonts w:asciiTheme="minorHAnsi" w:hAnsiTheme="minorHAnsi"/>
          <w:sz w:val="22"/>
          <w:szCs w:val="22"/>
        </w:rPr>
        <w:t>the general public</w:t>
      </w:r>
      <w:r w:rsidR="00805D7F">
        <w:rPr>
          <w:rFonts w:asciiTheme="minorHAnsi" w:hAnsiTheme="minorHAnsi"/>
          <w:sz w:val="22"/>
          <w:szCs w:val="22"/>
        </w:rPr>
        <w:t>,</w:t>
      </w:r>
      <w:r>
        <w:rPr>
          <w:rFonts w:asciiTheme="minorHAnsi" w:hAnsiTheme="minorHAnsi"/>
          <w:sz w:val="22"/>
          <w:szCs w:val="22"/>
        </w:rPr>
        <w:t xml:space="preserve"> clinicians need to see the benefits of the PCEHR system and they need to understand that there is a pathway to improving the functionality and utility of the existing system.</w:t>
      </w:r>
      <w:r w:rsidR="00C76926">
        <w:rPr>
          <w:rFonts w:asciiTheme="minorHAnsi" w:hAnsiTheme="minorHAnsi"/>
          <w:sz w:val="22"/>
          <w:szCs w:val="22"/>
        </w:rPr>
        <w:t xml:space="preserve">  They also need supporting materials in order to assist them in discussing the impact of the opt-out model with </w:t>
      </w:r>
      <w:r w:rsidR="00F72ED5">
        <w:rPr>
          <w:rFonts w:asciiTheme="minorHAnsi" w:hAnsiTheme="minorHAnsi"/>
          <w:sz w:val="22"/>
          <w:szCs w:val="22"/>
        </w:rPr>
        <w:t xml:space="preserve">individuals </w:t>
      </w:r>
      <w:r w:rsidR="00C76926">
        <w:rPr>
          <w:rFonts w:asciiTheme="minorHAnsi" w:hAnsiTheme="minorHAnsi"/>
          <w:sz w:val="22"/>
          <w:szCs w:val="22"/>
        </w:rPr>
        <w:t xml:space="preserve">because the consultation suggests that many </w:t>
      </w:r>
      <w:r w:rsidR="00F72ED5">
        <w:rPr>
          <w:rFonts w:asciiTheme="minorHAnsi" w:hAnsiTheme="minorHAnsi"/>
          <w:sz w:val="22"/>
          <w:szCs w:val="22"/>
        </w:rPr>
        <w:t xml:space="preserve">individuals </w:t>
      </w:r>
      <w:r w:rsidR="00C76926">
        <w:rPr>
          <w:rFonts w:asciiTheme="minorHAnsi" w:hAnsiTheme="minorHAnsi"/>
          <w:sz w:val="22"/>
          <w:szCs w:val="22"/>
        </w:rPr>
        <w:t>will turn to their general practitioner for advice.</w:t>
      </w:r>
    </w:p>
    <w:p w:rsidR="00C76926" w:rsidRDefault="00C76926" w:rsidP="00A67B4E">
      <w:pPr>
        <w:pStyle w:val="ListParagraph"/>
        <w:numPr>
          <w:ilvl w:val="0"/>
          <w:numId w:val="6"/>
        </w:numPr>
        <w:spacing w:after="120"/>
        <w:contextualSpacing w:val="0"/>
        <w:rPr>
          <w:rFonts w:asciiTheme="minorHAnsi" w:hAnsiTheme="minorHAnsi"/>
          <w:sz w:val="22"/>
          <w:szCs w:val="22"/>
        </w:rPr>
      </w:pPr>
      <w:r>
        <w:rPr>
          <w:rFonts w:asciiTheme="minorHAnsi" w:hAnsiTheme="minorHAnsi"/>
          <w:sz w:val="22"/>
          <w:szCs w:val="22"/>
        </w:rPr>
        <w:t>While the majority of stakeholders strongly supported the move to an opt-out model, concern was raised about precisely how an opt-out model might be designed and implemented.  Careful design of the opt-out model will be required to manage stakeholder concerns and to ensure stakeholders clearly understand how and why the opt-out model will be introduced.</w:t>
      </w:r>
    </w:p>
    <w:p w:rsidR="00C76926" w:rsidRDefault="00C76926" w:rsidP="00A67B4E">
      <w:pPr>
        <w:pStyle w:val="ListParagraph"/>
        <w:numPr>
          <w:ilvl w:val="0"/>
          <w:numId w:val="6"/>
        </w:numPr>
        <w:spacing w:after="120"/>
        <w:contextualSpacing w:val="0"/>
        <w:rPr>
          <w:rFonts w:asciiTheme="minorHAnsi" w:hAnsiTheme="minorHAnsi"/>
          <w:sz w:val="22"/>
          <w:szCs w:val="22"/>
        </w:rPr>
      </w:pPr>
      <w:r>
        <w:rPr>
          <w:rFonts w:asciiTheme="minorHAnsi" w:hAnsiTheme="minorHAnsi"/>
          <w:sz w:val="22"/>
          <w:szCs w:val="22"/>
        </w:rPr>
        <w:t xml:space="preserve">While many </w:t>
      </w:r>
      <w:r w:rsidR="00F72ED5">
        <w:rPr>
          <w:rFonts w:asciiTheme="minorHAnsi" w:hAnsiTheme="minorHAnsi"/>
          <w:sz w:val="22"/>
          <w:szCs w:val="22"/>
        </w:rPr>
        <w:t xml:space="preserve">individuals </w:t>
      </w:r>
      <w:r>
        <w:rPr>
          <w:rFonts w:asciiTheme="minorHAnsi" w:hAnsiTheme="minorHAnsi"/>
          <w:sz w:val="22"/>
          <w:szCs w:val="22"/>
        </w:rPr>
        <w:t xml:space="preserve">did not consider that they would necessarily use the access controls and notifications provided in the PCEHR system, they all acknowledged the need for these controls to be retained.  </w:t>
      </w:r>
      <w:r w:rsidR="00F72ED5">
        <w:rPr>
          <w:rFonts w:asciiTheme="minorHAnsi" w:hAnsiTheme="minorHAnsi"/>
          <w:sz w:val="22"/>
          <w:szCs w:val="22"/>
        </w:rPr>
        <w:t xml:space="preserve">Individuals </w:t>
      </w:r>
      <w:r>
        <w:rPr>
          <w:rFonts w:asciiTheme="minorHAnsi" w:hAnsiTheme="minorHAnsi"/>
          <w:sz w:val="22"/>
          <w:szCs w:val="22"/>
        </w:rPr>
        <w:t>stressed the need for simple mechanisms.</w:t>
      </w:r>
    </w:p>
    <w:p w:rsidR="00C76926" w:rsidRDefault="00C76926" w:rsidP="00A67B4E">
      <w:pPr>
        <w:pStyle w:val="ListParagraph"/>
        <w:numPr>
          <w:ilvl w:val="0"/>
          <w:numId w:val="6"/>
        </w:numPr>
        <w:spacing w:after="120"/>
        <w:contextualSpacing w:val="0"/>
        <w:rPr>
          <w:rFonts w:asciiTheme="minorHAnsi" w:hAnsiTheme="minorHAnsi"/>
          <w:sz w:val="22"/>
          <w:szCs w:val="22"/>
        </w:rPr>
      </w:pPr>
      <w:r>
        <w:rPr>
          <w:rFonts w:asciiTheme="minorHAnsi" w:hAnsiTheme="minorHAnsi"/>
          <w:sz w:val="22"/>
          <w:szCs w:val="22"/>
        </w:rPr>
        <w:t>Meaningful use of the PCEHR system for healthcare providers will be driven by the utility and content of the PCEHR.  This will require a focus on improving the usability of the PCEHR system, addressing accessibility issues for those segments of the healthcare provider community such as allied health practitioners who aren’t well served with PCEHR compliant software solutions, and a concerted effort to drive provider participation.</w:t>
      </w:r>
    </w:p>
    <w:p w:rsidR="00C76926" w:rsidRDefault="00C76926" w:rsidP="00A67B4E">
      <w:pPr>
        <w:pStyle w:val="ListParagraph"/>
        <w:numPr>
          <w:ilvl w:val="0"/>
          <w:numId w:val="6"/>
        </w:numPr>
        <w:spacing w:after="120"/>
        <w:contextualSpacing w:val="0"/>
        <w:rPr>
          <w:rFonts w:asciiTheme="minorHAnsi" w:hAnsiTheme="minorHAnsi"/>
          <w:sz w:val="22"/>
          <w:szCs w:val="22"/>
        </w:rPr>
      </w:pPr>
      <w:r>
        <w:rPr>
          <w:rFonts w:asciiTheme="minorHAnsi" w:hAnsiTheme="minorHAnsi"/>
          <w:sz w:val="22"/>
          <w:szCs w:val="22"/>
        </w:rPr>
        <w:t>Most stakeholders were comfortable with the types of content that the PCEHR system can currently hold</w:t>
      </w:r>
      <w:r w:rsidR="00603EB4">
        <w:rPr>
          <w:rFonts w:asciiTheme="minorHAnsi" w:hAnsiTheme="minorHAnsi"/>
          <w:sz w:val="22"/>
          <w:szCs w:val="22"/>
        </w:rPr>
        <w:t xml:space="preserve">, however there was concern that very little of this content is being uploaded.  It is therefore important to drive population of </w:t>
      </w:r>
      <w:proofErr w:type="spellStart"/>
      <w:r w:rsidR="00603EB4">
        <w:rPr>
          <w:rFonts w:asciiTheme="minorHAnsi" w:hAnsiTheme="minorHAnsi"/>
          <w:sz w:val="22"/>
          <w:szCs w:val="22"/>
        </w:rPr>
        <w:t>PCEHRs</w:t>
      </w:r>
      <w:proofErr w:type="spellEnd"/>
      <w:r w:rsidR="00603EB4">
        <w:rPr>
          <w:rFonts w:asciiTheme="minorHAnsi" w:hAnsiTheme="minorHAnsi"/>
          <w:sz w:val="22"/>
          <w:szCs w:val="22"/>
        </w:rPr>
        <w:t xml:space="preserve">.  </w:t>
      </w:r>
    </w:p>
    <w:p w:rsidR="00603EB4" w:rsidRDefault="00603EB4" w:rsidP="00A67B4E">
      <w:pPr>
        <w:pStyle w:val="ListParagraph"/>
        <w:numPr>
          <w:ilvl w:val="0"/>
          <w:numId w:val="6"/>
        </w:numPr>
        <w:spacing w:after="120"/>
        <w:contextualSpacing w:val="0"/>
        <w:rPr>
          <w:rFonts w:asciiTheme="minorHAnsi" w:hAnsiTheme="minorHAnsi"/>
          <w:sz w:val="22"/>
          <w:szCs w:val="22"/>
        </w:rPr>
      </w:pPr>
      <w:r>
        <w:rPr>
          <w:rFonts w:asciiTheme="minorHAnsi" w:hAnsiTheme="minorHAnsi"/>
          <w:sz w:val="22"/>
          <w:szCs w:val="22"/>
        </w:rPr>
        <w:t xml:space="preserve">The introduction of the PCEHR system into clinical practice requires a complex registration process, implementation of new software capabilities and changes to clinical practice.  To enable </w:t>
      </w:r>
      <w:r w:rsidR="00F72ED5">
        <w:rPr>
          <w:rFonts w:asciiTheme="minorHAnsi" w:hAnsiTheme="minorHAnsi"/>
          <w:sz w:val="22"/>
          <w:szCs w:val="22"/>
        </w:rPr>
        <w:t xml:space="preserve">individuals </w:t>
      </w:r>
      <w:r>
        <w:rPr>
          <w:rFonts w:asciiTheme="minorHAnsi" w:hAnsiTheme="minorHAnsi"/>
          <w:sz w:val="22"/>
          <w:szCs w:val="22"/>
        </w:rPr>
        <w:t>and healthcare providers to start using the PCEHR system they will need access to local support capabilities that will provide the on-the-ground help they need.</w:t>
      </w:r>
    </w:p>
    <w:p w:rsidR="00603EB4" w:rsidRDefault="00603EB4" w:rsidP="00A67B4E">
      <w:pPr>
        <w:pStyle w:val="ListParagraph"/>
        <w:numPr>
          <w:ilvl w:val="0"/>
          <w:numId w:val="6"/>
        </w:numPr>
        <w:spacing w:after="120"/>
        <w:contextualSpacing w:val="0"/>
        <w:rPr>
          <w:rFonts w:asciiTheme="minorHAnsi" w:hAnsiTheme="minorHAnsi"/>
          <w:sz w:val="22"/>
          <w:szCs w:val="22"/>
        </w:rPr>
      </w:pPr>
      <w:r>
        <w:rPr>
          <w:rFonts w:asciiTheme="minorHAnsi" w:hAnsiTheme="minorHAnsi"/>
          <w:sz w:val="22"/>
          <w:szCs w:val="22"/>
        </w:rPr>
        <w:t xml:space="preserve">The current roll-out of the PCEHR system seems to have bypassed the private hospital sector.  Getting this sector more involved, understanding its drivers and involving its representation in clinical advisory committees will be necessary to ensure completeness of coverage and benefit for </w:t>
      </w:r>
      <w:r w:rsidR="00F72ED5">
        <w:rPr>
          <w:rFonts w:asciiTheme="minorHAnsi" w:hAnsiTheme="minorHAnsi"/>
          <w:sz w:val="22"/>
          <w:szCs w:val="22"/>
        </w:rPr>
        <w:t>individuals</w:t>
      </w:r>
      <w:r>
        <w:rPr>
          <w:rFonts w:asciiTheme="minorHAnsi" w:hAnsiTheme="minorHAnsi"/>
          <w:sz w:val="22"/>
          <w:szCs w:val="22"/>
        </w:rPr>
        <w:t>.</w:t>
      </w:r>
    </w:p>
    <w:p w:rsidR="00603EB4" w:rsidRPr="000E521D" w:rsidRDefault="00C20CB8" w:rsidP="00A67B4E">
      <w:pPr>
        <w:pStyle w:val="ListParagraph"/>
        <w:numPr>
          <w:ilvl w:val="0"/>
          <w:numId w:val="6"/>
        </w:numPr>
        <w:spacing w:after="120"/>
        <w:contextualSpacing w:val="0"/>
        <w:rPr>
          <w:rFonts w:asciiTheme="minorHAnsi" w:hAnsiTheme="minorHAnsi"/>
          <w:sz w:val="22"/>
          <w:szCs w:val="22"/>
        </w:rPr>
      </w:pPr>
      <w:r>
        <w:rPr>
          <w:rFonts w:asciiTheme="minorHAnsi" w:hAnsiTheme="minorHAnsi"/>
          <w:sz w:val="22"/>
          <w:szCs w:val="22"/>
        </w:rPr>
        <w:t>Vendors consider that greater use can be made of international standards rather than having to adopt standards specifically designed in Australia.</w:t>
      </w:r>
      <w:r w:rsidR="00603EB4">
        <w:rPr>
          <w:rFonts w:asciiTheme="minorHAnsi" w:hAnsiTheme="minorHAnsi"/>
          <w:sz w:val="22"/>
          <w:szCs w:val="22"/>
        </w:rPr>
        <w:t xml:space="preserve"> </w:t>
      </w:r>
      <w:r>
        <w:rPr>
          <w:rFonts w:asciiTheme="minorHAnsi" w:hAnsiTheme="minorHAnsi"/>
          <w:sz w:val="22"/>
          <w:szCs w:val="22"/>
        </w:rPr>
        <w:t xml:space="preserve"> They also want more stability around standards, and want to know in advance when they will be introduced or changed and what they will contain so they can plan their business accordingly. </w:t>
      </w:r>
    </w:p>
    <w:p w:rsidR="005D2981" w:rsidRDefault="005D2981">
      <w:pPr>
        <w:rPr>
          <w:rFonts w:asciiTheme="minorHAnsi" w:hAnsiTheme="minorHAnsi"/>
          <w:b/>
          <w:sz w:val="36"/>
          <w:szCs w:val="36"/>
        </w:rPr>
      </w:pPr>
      <w:r>
        <w:br w:type="page"/>
      </w:r>
    </w:p>
    <w:p w:rsidR="00FC5316" w:rsidRPr="005472CB" w:rsidRDefault="00FC5316" w:rsidP="003C72D7">
      <w:pPr>
        <w:pStyle w:val="Heading1"/>
      </w:pPr>
      <w:bookmarkStart w:id="28" w:name="_Toc418763082"/>
      <w:bookmarkStart w:id="29" w:name="_Toc420394235"/>
      <w:r w:rsidRPr="005472CB">
        <w:lastRenderedPageBreak/>
        <w:t>Legislative proposals: PCEHR system</w:t>
      </w:r>
      <w:r w:rsidR="009E5949">
        <w:t xml:space="preserve"> and HI Service</w:t>
      </w:r>
      <w:bookmarkEnd w:id="28"/>
      <w:bookmarkEnd w:id="29"/>
    </w:p>
    <w:p w:rsidR="003D1345" w:rsidRPr="003C72D7" w:rsidRDefault="00655B30" w:rsidP="00655B30">
      <w:pPr>
        <w:pStyle w:val="Heading2"/>
        <w:numPr>
          <w:ilvl w:val="0"/>
          <w:numId w:val="0"/>
        </w:numPr>
      </w:pPr>
      <w:bookmarkStart w:id="30" w:name="_Toc418763083"/>
      <w:bookmarkStart w:id="31" w:name="_Toc420394236"/>
      <w:r>
        <w:t>3.1</w:t>
      </w:r>
      <w:r>
        <w:tab/>
      </w:r>
      <w:r w:rsidR="003D1345" w:rsidRPr="003C72D7">
        <w:t>Preliminary</w:t>
      </w:r>
      <w:bookmarkEnd w:id="30"/>
      <w:bookmarkEnd w:id="31"/>
      <w:r w:rsidR="00C2417F" w:rsidRPr="003C72D7">
        <w:t xml:space="preserve"> </w:t>
      </w:r>
    </w:p>
    <w:p w:rsidR="00BF27DF" w:rsidRPr="003C72D7" w:rsidRDefault="00655B30" w:rsidP="00655B30">
      <w:pPr>
        <w:pStyle w:val="Heading3"/>
        <w:numPr>
          <w:ilvl w:val="0"/>
          <w:numId w:val="0"/>
        </w:numPr>
        <w:ind w:left="720" w:hanging="720"/>
      </w:pPr>
      <w:bookmarkStart w:id="32" w:name="_Toc418763084"/>
      <w:bookmarkStart w:id="33" w:name="_Toc420394237"/>
      <w:r>
        <w:t>3.1.1</w:t>
      </w:r>
      <w:r>
        <w:tab/>
      </w:r>
      <w:r w:rsidR="00891AAC" w:rsidRPr="003C72D7">
        <w:t xml:space="preserve">Name of the </w:t>
      </w:r>
      <w:r w:rsidR="005D7702" w:rsidRPr="003C72D7">
        <w:t xml:space="preserve">PCEHR </w:t>
      </w:r>
      <w:r w:rsidR="00891AAC" w:rsidRPr="003C72D7">
        <w:t>system</w:t>
      </w:r>
      <w:bookmarkEnd w:id="32"/>
      <w:bookmarkEnd w:id="33"/>
    </w:p>
    <w:p w:rsidR="003D1345" w:rsidRDefault="003D1345" w:rsidP="003D1345">
      <w:pPr>
        <w:pStyle w:val="ListParagraph"/>
        <w:spacing w:after="120"/>
        <w:ind w:left="737"/>
        <w:contextualSpacing w:val="0"/>
        <w:rPr>
          <w:rFonts w:asciiTheme="minorHAnsi" w:hAnsiTheme="minorHAnsi"/>
          <w:sz w:val="22"/>
          <w:szCs w:val="22"/>
        </w:rPr>
      </w:pPr>
      <w:r>
        <w:rPr>
          <w:rFonts w:asciiTheme="minorHAnsi" w:hAnsiTheme="minorHAnsi"/>
          <w:sz w:val="22"/>
          <w:szCs w:val="22"/>
        </w:rPr>
        <w:t>As recommended in the PCEHR Review</w:t>
      </w:r>
      <w:r>
        <w:rPr>
          <w:rStyle w:val="FootnoteReference"/>
          <w:rFonts w:asciiTheme="minorHAnsi" w:hAnsiTheme="minorHAnsi"/>
          <w:sz w:val="22"/>
          <w:szCs w:val="22"/>
        </w:rPr>
        <w:footnoteReference w:id="3"/>
      </w:r>
      <w:r>
        <w:rPr>
          <w:rFonts w:asciiTheme="minorHAnsi" w:hAnsiTheme="minorHAnsi"/>
          <w:sz w:val="22"/>
          <w:szCs w:val="22"/>
        </w:rPr>
        <w:t xml:space="preserve">, the name of the electronic record should </w:t>
      </w:r>
      <w:r w:rsidRPr="00C011C0">
        <w:rPr>
          <w:rFonts w:asciiTheme="minorHAnsi" w:hAnsiTheme="minorHAnsi"/>
          <w:sz w:val="22"/>
          <w:szCs w:val="22"/>
        </w:rPr>
        <w:t>better reflect the partnership between individuals and their healthcare providers</w:t>
      </w:r>
      <w:r>
        <w:rPr>
          <w:rFonts w:asciiTheme="minorHAnsi" w:hAnsiTheme="minorHAnsi"/>
          <w:sz w:val="22"/>
          <w:szCs w:val="22"/>
        </w:rPr>
        <w:t>, and recognise that there is a shrinking need to differentiate between digital and physical sources.</w:t>
      </w:r>
    </w:p>
    <w:p w:rsidR="00E856A6" w:rsidRDefault="00E856A6" w:rsidP="003D1345">
      <w:pPr>
        <w:pStyle w:val="ListParagraph"/>
        <w:spacing w:after="120"/>
        <w:ind w:left="737"/>
        <w:contextualSpacing w:val="0"/>
        <w:rPr>
          <w:rFonts w:asciiTheme="minorHAnsi" w:hAnsiTheme="minorHAnsi"/>
          <w:sz w:val="22"/>
          <w:szCs w:val="22"/>
        </w:rPr>
      </w:pPr>
      <w:r>
        <w:rPr>
          <w:rFonts w:asciiTheme="minorHAnsi" w:hAnsiTheme="minorHAnsi"/>
          <w:sz w:val="22"/>
          <w:szCs w:val="22"/>
        </w:rPr>
        <w:t>The Department undertook consultations and focus group testing which indicated that My Health Record is generally considered to be a simple and easily remembered name.</w:t>
      </w:r>
    </w:p>
    <w:p w:rsidR="003D1345" w:rsidRDefault="003D1345" w:rsidP="003D1345">
      <w:pPr>
        <w:pStyle w:val="ListParagraph"/>
        <w:spacing w:after="120"/>
        <w:ind w:left="737"/>
        <w:contextualSpacing w:val="0"/>
        <w:rPr>
          <w:rFonts w:asciiTheme="minorHAnsi" w:hAnsiTheme="minorHAnsi"/>
          <w:sz w:val="22"/>
          <w:szCs w:val="22"/>
        </w:rPr>
      </w:pPr>
      <w:r>
        <w:rPr>
          <w:rFonts w:asciiTheme="minorHAnsi" w:hAnsiTheme="minorHAnsi"/>
          <w:sz w:val="22"/>
          <w:szCs w:val="22"/>
        </w:rPr>
        <w:t xml:space="preserve">It is proposed that the PCEHR be renamed the My Health Record.  All references to “PCEHR” and “PCEHR system” in </w:t>
      </w:r>
      <w:r w:rsidR="00562001">
        <w:rPr>
          <w:rFonts w:asciiTheme="minorHAnsi" w:hAnsiTheme="minorHAnsi"/>
          <w:sz w:val="22"/>
          <w:szCs w:val="22"/>
        </w:rPr>
        <w:t xml:space="preserve">legislation </w:t>
      </w:r>
      <w:r w:rsidR="00487A5E">
        <w:rPr>
          <w:rFonts w:asciiTheme="minorHAnsi" w:hAnsiTheme="minorHAnsi"/>
          <w:sz w:val="22"/>
          <w:szCs w:val="22"/>
        </w:rPr>
        <w:t xml:space="preserve">will </w:t>
      </w:r>
      <w:r>
        <w:rPr>
          <w:rFonts w:asciiTheme="minorHAnsi" w:hAnsiTheme="minorHAnsi"/>
          <w:sz w:val="22"/>
          <w:szCs w:val="22"/>
        </w:rPr>
        <w:t>be amended accordingly.</w:t>
      </w:r>
    </w:p>
    <w:p w:rsidR="009E65A5" w:rsidRDefault="009E65A5" w:rsidP="003D1345">
      <w:pPr>
        <w:pStyle w:val="ListParagraph"/>
        <w:spacing w:after="120"/>
        <w:ind w:left="737"/>
        <w:contextualSpacing w:val="0"/>
        <w:rPr>
          <w:rFonts w:asciiTheme="minorHAnsi" w:hAnsiTheme="minorHAnsi"/>
          <w:sz w:val="22"/>
          <w:szCs w:val="22"/>
        </w:rPr>
      </w:pPr>
      <w:r>
        <w:rPr>
          <w:rFonts w:asciiTheme="minorHAnsi" w:hAnsiTheme="minorHAnsi"/>
          <w:sz w:val="22"/>
          <w:szCs w:val="22"/>
        </w:rPr>
        <w:t xml:space="preserve">Further, to remove any risk of confusion, the name of the PCEHR Act </w:t>
      </w:r>
      <w:r w:rsidR="00487A5E">
        <w:rPr>
          <w:rFonts w:asciiTheme="minorHAnsi" w:hAnsiTheme="minorHAnsi"/>
          <w:sz w:val="22"/>
          <w:szCs w:val="22"/>
        </w:rPr>
        <w:t xml:space="preserve">will </w:t>
      </w:r>
      <w:r>
        <w:rPr>
          <w:rFonts w:asciiTheme="minorHAnsi" w:hAnsiTheme="minorHAnsi"/>
          <w:sz w:val="22"/>
          <w:szCs w:val="22"/>
        </w:rPr>
        <w:t>be renamed the My Health Record Act.</w:t>
      </w:r>
    </w:p>
    <w:p w:rsidR="00AE6060" w:rsidRDefault="00AE6060" w:rsidP="003D1345">
      <w:pPr>
        <w:pStyle w:val="ListParagraph"/>
        <w:spacing w:after="120"/>
        <w:ind w:left="737"/>
        <w:contextualSpacing w:val="0"/>
        <w:rPr>
          <w:rFonts w:asciiTheme="minorHAnsi" w:hAnsiTheme="minorHAnsi"/>
          <w:sz w:val="22"/>
          <w:szCs w:val="22"/>
        </w:rPr>
      </w:pPr>
      <w:r>
        <w:rPr>
          <w:rFonts w:asciiTheme="minorHAnsi" w:hAnsiTheme="minorHAnsi"/>
          <w:sz w:val="22"/>
          <w:szCs w:val="22"/>
        </w:rPr>
        <w:t>This paper will continue to refer to the PCEHR system.</w:t>
      </w:r>
    </w:p>
    <w:p w:rsidR="003D1345" w:rsidRPr="003D6C23" w:rsidRDefault="00655B30" w:rsidP="00655B30">
      <w:pPr>
        <w:pStyle w:val="Heading3"/>
        <w:numPr>
          <w:ilvl w:val="0"/>
          <w:numId w:val="0"/>
        </w:numPr>
        <w:ind w:left="720" w:hanging="720"/>
      </w:pPr>
      <w:bookmarkStart w:id="34" w:name="_Toc418763085"/>
      <w:bookmarkStart w:id="35" w:name="_Toc420394238"/>
      <w:r>
        <w:t>3.1.2</w:t>
      </w:r>
      <w:r>
        <w:tab/>
      </w:r>
      <w:r w:rsidR="001244B9">
        <w:t>Definitions</w:t>
      </w:r>
      <w:bookmarkEnd w:id="34"/>
      <w:bookmarkEnd w:id="35"/>
    </w:p>
    <w:p w:rsidR="006215B0" w:rsidRPr="003C72D7" w:rsidRDefault="006215B0" w:rsidP="003C72D7">
      <w:pPr>
        <w:pStyle w:val="Heading4"/>
      </w:pPr>
      <w:bookmarkStart w:id="36" w:name="_Toc418763086"/>
      <w:bookmarkStart w:id="37" w:name="_Toc420394239"/>
      <w:r w:rsidRPr="003C72D7">
        <w:t>Alignment</w:t>
      </w:r>
      <w:r w:rsidR="000B56F9" w:rsidRPr="003C72D7">
        <w:t xml:space="preserve"> between HI and PCEHR Acts</w:t>
      </w:r>
      <w:bookmarkEnd w:id="36"/>
      <w:bookmarkEnd w:id="37"/>
    </w:p>
    <w:p w:rsidR="009E65A5" w:rsidRDefault="009E65A5" w:rsidP="009E65A5">
      <w:pPr>
        <w:pStyle w:val="ListParagraph"/>
        <w:spacing w:after="120"/>
        <w:ind w:left="737"/>
        <w:contextualSpacing w:val="0"/>
        <w:rPr>
          <w:rFonts w:asciiTheme="minorHAnsi" w:hAnsiTheme="minorHAnsi" w:cs="Calibri"/>
          <w:sz w:val="22"/>
        </w:rPr>
      </w:pPr>
      <w:r w:rsidRPr="003D6C23">
        <w:rPr>
          <w:rFonts w:asciiTheme="minorHAnsi" w:hAnsiTheme="minorHAnsi"/>
          <w:sz w:val="22"/>
          <w:szCs w:val="22"/>
        </w:rPr>
        <w:t>C</w:t>
      </w:r>
      <w:r w:rsidRPr="003D6C23">
        <w:rPr>
          <w:rFonts w:asciiTheme="minorHAnsi" w:hAnsiTheme="minorHAnsi" w:cs="Calibri"/>
          <w:sz w:val="22"/>
        </w:rPr>
        <w:t xml:space="preserve">urrently, “consumers” in the PCEHR Act and “healthcare recipients” in the HI Act are defined to mean the same thing.  That is, “an </w:t>
      </w:r>
      <w:proofErr w:type="gramStart"/>
      <w:r w:rsidRPr="003D6C23">
        <w:rPr>
          <w:rFonts w:asciiTheme="minorHAnsi" w:hAnsiTheme="minorHAnsi" w:cs="Calibri"/>
          <w:sz w:val="22"/>
        </w:rPr>
        <w:t>individual</w:t>
      </w:r>
      <w:proofErr w:type="gramEnd"/>
      <w:r w:rsidRPr="003D6C23">
        <w:rPr>
          <w:rFonts w:asciiTheme="minorHAnsi" w:hAnsiTheme="minorHAnsi" w:cs="Calibri"/>
          <w:sz w:val="22"/>
        </w:rPr>
        <w:t xml:space="preserve"> who has received, receives or may receive, healthcare”.  The policy is to </w:t>
      </w:r>
      <w:r w:rsidR="003E6A5E">
        <w:rPr>
          <w:rFonts w:asciiTheme="minorHAnsi" w:hAnsiTheme="minorHAnsi" w:cs="Calibri"/>
          <w:sz w:val="22"/>
        </w:rPr>
        <w:t>align this terminology in both Acts and subordinate legislation, using either “healthcare recipient” or “individual”.</w:t>
      </w:r>
    </w:p>
    <w:p w:rsidR="006215B0" w:rsidRPr="004643CB" w:rsidRDefault="00694A64" w:rsidP="003C72D7">
      <w:pPr>
        <w:pStyle w:val="Heading4"/>
      </w:pPr>
      <w:bookmarkStart w:id="38" w:name="_Toc418763087"/>
      <w:bookmarkStart w:id="39" w:name="_Toc420394240"/>
      <w:r>
        <w:t xml:space="preserve">Clarification </w:t>
      </w:r>
      <w:r w:rsidR="000B56F9">
        <w:t xml:space="preserve">of </w:t>
      </w:r>
      <w:r w:rsidR="007E6773">
        <w:t>“</w:t>
      </w:r>
      <w:r w:rsidR="000B56F9">
        <w:t>healthcare</w:t>
      </w:r>
      <w:r w:rsidR="007E6773">
        <w:t>”</w:t>
      </w:r>
      <w:bookmarkEnd w:id="38"/>
      <w:bookmarkEnd w:id="39"/>
    </w:p>
    <w:p w:rsidR="006215B0" w:rsidRDefault="006215B0" w:rsidP="009E65A5">
      <w:pPr>
        <w:pStyle w:val="ListParagraph"/>
        <w:spacing w:after="120"/>
        <w:ind w:left="737"/>
        <w:contextualSpacing w:val="0"/>
        <w:rPr>
          <w:rFonts w:asciiTheme="minorHAnsi" w:hAnsiTheme="minorHAnsi" w:cs="Calibri"/>
          <w:sz w:val="22"/>
        </w:rPr>
      </w:pPr>
      <w:r>
        <w:rPr>
          <w:rFonts w:asciiTheme="minorHAnsi" w:hAnsiTheme="minorHAnsi" w:cs="Calibri"/>
          <w:sz w:val="22"/>
        </w:rPr>
        <w:t xml:space="preserve">Currently, “healthcare” in </w:t>
      </w:r>
      <w:r w:rsidR="001244B9">
        <w:rPr>
          <w:rFonts w:asciiTheme="minorHAnsi" w:hAnsiTheme="minorHAnsi" w:cs="Calibri"/>
          <w:sz w:val="22"/>
        </w:rPr>
        <w:t xml:space="preserve">the PCEHR Act and the HI Act </w:t>
      </w:r>
      <w:r>
        <w:rPr>
          <w:rFonts w:asciiTheme="minorHAnsi" w:hAnsiTheme="minorHAnsi" w:cs="Calibri"/>
          <w:sz w:val="22"/>
        </w:rPr>
        <w:t xml:space="preserve">and “health service” in the </w:t>
      </w:r>
      <w:r w:rsidR="002F5ABE" w:rsidRPr="006F129E">
        <w:rPr>
          <w:rStyle w:val="IntenseReference"/>
          <w:rFonts w:asciiTheme="minorHAnsi" w:hAnsiTheme="minorHAnsi" w:cs="Arial"/>
          <w:b w:val="0"/>
          <w:bCs w:val="0"/>
          <w:smallCaps w:val="0"/>
          <w:color w:val="auto"/>
          <w:spacing w:val="0"/>
          <w:sz w:val="22"/>
          <w:szCs w:val="22"/>
        </w:rPr>
        <w:t>Privacy Act</w:t>
      </w:r>
      <w:r w:rsidR="002F5ABE">
        <w:rPr>
          <w:rStyle w:val="IntenseReference"/>
          <w:rFonts w:asciiTheme="minorHAnsi" w:hAnsiTheme="minorHAnsi" w:cs="Arial"/>
          <w:b w:val="0"/>
          <w:bCs w:val="0"/>
          <w:smallCaps w:val="0"/>
          <w:color w:val="auto"/>
          <w:spacing w:val="0"/>
          <w:sz w:val="22"/>
          <w:szCs w:val="22"/>
        </w:rPr>
        <w:t xml:space="preserve"> </w:t>
      </w:r>
      <w:r w:rsidR="002F5ABE" w:rsidRPr="002F5ABE">
        <w:rPr>
          <w:rStyle w:val="IntenseReference"/>
          <w:rFonts w:asciiTheme="minorHAnsi" w:hAnsiTheme="minorHAnsi" w:cs="Arial"/>
          <w:b w:val="0"/>
          <w:bCs w:val="0"/>
          <w:smallCaps w:val="0"/>
          <w:color w:val="auto"/>
          <w:spacing w:val="0"/>
          <w:sz w:val="22"/>
          <w:szCs w:val="22"/>
        </w:rPr>
        <w:t>1988</w:t>
      </w:r>
      <w:r w:rsidR="002F5ABE">
        <w:rPr>
          <w:rStyle w:val="IntenseReference"/>
          <w:rFonts w:asciiTheme="minorHAnsi" w:hAnsiTheme="minorHAnsi" w:cs="Arial"/>
          <w:b w:val="0"/>
          <w:bCs w:val="0"/>
          <w:i w:val="0"/>
          <w:smallCaps w:val="0"/>
          <w:color w:val="auto"/>
          <w:spacing w:val="0"/>
          <w:sz w:val="22"/>
          <w:szCs w:val="22"/>
        </w:rPr>
        <w:t xml:space="preserve"> (</w:t>
      </w:r>
      <w:r w:rsidRPr="002F5ABE">
        <w:rPr>
          <w:rFonts w:asciiTheme="minorHAnsi" w:hAnsiTheme="minorHAnsi" w:cs="Calibri"/>
          <w:sz w:val="22"/>
        </w:rPr>
        <w:t>Privacy Act</w:t>
      </w:r>
      <w:r w:rsidR="002F5ABE">
        <w:rPr>
          <w:rFonts w:asciiTheme="minorHAnsi" w:hAnsiTheme="minorHAnsi" w:cs="Calibri"/>
          <w:sz w:val="22"/>
        </w:rPr>
        <w:t>)</w:t>
      </w:r>
      <w:r>
        <w:rPr>
          <w:rFonts w:asciiTheme="minorHAnsi" w:hAnsiTheme="minorHAnsi" w:cs="Calibri"/>
          <w:sz w:val="22"/>
        </w:rPr>
        <w:t xml:space="preserve"> are defined to mean the same thing.  </w:t>
      </w:r>
    </w:p>
    <w:p w:rsidR="006215B0" w:rsidRDefault="006215B0" w:rsidP="009E65A5">
      <w:pPr>
        <w:pStyle w:val="ListParagraph"/>
        <w:spacing w:after="120"/>
        <w:ind w:left="737"/>
        <w:contextualSpacing w:val="0"/>
        <w:rPr>
          <w:rFonts w:asciiTheme="minorHAnsi" w:hAnsiTheme="minorHAnsi" w:cs="Calibri"/>
          <w:sz w:val="22"/>
        </w:rPr>
      </w:pPr>
      <w:r>
        <w:rPr>
          <w:rFonts w:asciiTheme="minorHAnsi" w:hAnsiTheme="minorHAnsi" w:cs="Calibri"/>
          <w:sz w:val="22"/>
        </w:rPr>
        <w:t>The Australian Law Reform Commission (</w:t>
      </w:r>
      <w:proofErr w:type="spellStart"/>
      <w:r>
        <w:rPr>
          <w:rFonts w:asciiTheme="minorHAnsi" w:hAnsiTheme="minorHAnsi" w:cs="Calibri"/>
          <w:sz w:val="22"/>
        </w:rPr>
        <w:t>ALRC</w:t>
      </w:r>
      <w:proofErr w:type="spellEnd"/>
      <w:r>
        <w:rPr>
          <w:rFonts w:asciiTheme="minorHAnsi" w:hAnsiTheme="minorHAnsi" w:cs="Calibri"/>
          <w:sz w:val="22"/>
        </w:rPr>
        <w:t xml:space="preserve">) report of August 2008 recommended that the meaning of “health service” be amended to, among other </w:t>
      </w:r>
      <w:proofErr w:type="gramStart"/>
      <w:r>
        <w:rPr>
          <w:rFonts w:asciiTheme="minorHAnsi" w:hAnsiTheme="minorHAnsi" w:cs="Calibri"/>
          <w:sz w:val="22"/>
        </w:rPr>
        <w:t>things,</w:t>
      </w:r>
      <w:proofErr w:type="gramEnd"/>
      <w:r>
        <w:rPr>
          <w:rFonts w:asciiTheme="minorHAnsi" w:hAnsiTheme="minorHAnsi" w:cs="Calibri"/>
          <w:sz w:val="22"/>
        </w:rPr>
        <w:t xml:space="preserve"> include “a health-related disability, palliative care or aged service”.</w:t>
      </w:r>
      <w:r>
        <w:rPr>
          <w:rStyle w:val="FootnoteReference"/>
          <w:rFonts w:ascii="Calibri" w:hAnsi="Calibri" w:cs="Calibri"/>
          <w:sz w:val="22"/>
        </w:rPr>
        <w:footnoteReference w:id="4"/>
      </w:r>
      <w:r>
        <w:rPr>
          <w:rFonts w:asciiTheme="minorHAnsi" w:hAnsiTheme="minorHAnsi" w:cs="Calibri"/>
          <w:sz w:val="22"/>
        </w:rPr>
        <w:t xml:space="preserve"> </w:t>
      </w:r>
    </w:p>
    <w:p w:rsidR="001244B9" w:rsidRDefault="002F5ABE" w:rsidP="009E65A5">
      <w:pPr>
        <w:pStyle w:val="ListParagraph"/>
        <w:spacing w:after="120"/>
        <w:ind w:left="737"/>
        <w:contextualSpacing w:val="0"/>
        <w:rPr>
          <w:rFonts w:asciiTheme="minorHAnsi" w:hAnsiTheme="minorHAnsi" w:cs="Calibri"/>
          <w:sz w:val="22"/>
        </w:rPr>
      </w:pPr>
      <w:r>
        <w:rPr>
          <w:rFonts w:asciiTheme="minorHAnsi" w:hAnsiTheme="minorHAnsi" w:cs="Calibri"/>
          <w:sz w:val="22"/>
        </w:rPr>
        <w:t>The HI Review recommended that the scope</w:t>
      </w:r>
      <w:r w:rsidR="008F3BF1">
        <w:rPr>
          <w:rFonts w:asciiTheme="minorHAnsi" w:hAnsiTheme="minorHAnsi" w:cs="Calibri"/>
          <w:sz w:val="22"/>
        </w:rPr>
        <w:t xml:space="preserve"> of the</w:t>
      </w:r>
      <w:r>
        <w:rPr>
          <w:rFonts w:asciiTheme="minorHAnsi" w:hAnsiTheme="minorHAnsi" w:cs="Calibri"/>
          <w:sz w:val="22"/>
        </w:rPr>
        <w:t xml:space="preserve"> use and disclosure of healthcare identifiers </w:t>
      </w:r>
      <w:r w:rsidR="00655B30">
        <w:rPr>
          <w:rFonts w:asciiTheme="minorHAnsi" w:hAnsiTheme="minorHAnsi" w:cs="Calibri"/>
          <w:sz w:val="22"/>
        </w:rPr>
        <w:t xml:space="preserve">make clear that is </w:t>
      </w:r>
      <w:r>
        <w:rPr>
          <w:rFonts w:asciiTheme="minorHAnsi" w:hAnsiTheme="minorHAnsi" w:cs="Calibri"/>
          <w:sz w:val="22"/>
        </w:rPr>
        <w:t>include</w:t>
      </w:r>
      <w:r w:rsidR="00655B30">
        <w:rPr>
          <w:rFonts w:asciiTheme="minorHAnsi" w:hAnsiTheme="minorHAnsi" w:cs="Calibri"/>
          <w:sz w:val="22"/>
        </w:rPr>
        <w:t>s</w:t>
      </w:r>
      <w:r>
        <w:rPr>
          <w:rFonts w:asciiTheme="minorHAnsi" w:hAnsiTheme="minorHAnsi" w:cs="Calibri"/>
          <w:sz w:val="22"/>
        </w:rPr>
        <w:t xml:space="preserve"> aged care and disability programs</w:t>
      </w:r>
      <w:r w:rsidR="00655B30">
        <w:rPr>
          <w:rFonts w:asciiTheme="minorHAnsi" w:hAnsiTheme="minorHAnsi" w:cs="Calibri"/>
          <w:sz w:val="22"/>
        </w:rPr>
        <w:t>.</w:t>
      </w:r>
      <w:r w:rsidRPr="00244950">
        <w:rPr>
          <w:rStyle w:val="FootnoteReference"/>
          <w:rFonts w:ascii="Calibri" w:hAnsi="Calibri" w:cs="Calibri"/>
          <w:sz w:val="22"/>
        </w:rPr>
        <w:footnoteReference w:id="5"/>
      </w:r>
    </w:p>
    <w:p w:rsidR="003E6A5E" w:rsidRDefault="002F5ABE" w:rsidP="002F5ABE">
      <w:pPr>
        <w:pStyle w:val="ListParagraph"/>
        <w:spacing w:after="120"/>
        <w:ind w:left="737"/>
        <w:contextualSpacing w:val="0"/>
        <w:rPr>
          <w:rFonts w:ascii="Calibri" w:hAnsi="Calibri" w:cs="Calibri"/>
          <w:sz w:val="22"/>
          <w:szCs w:val="22"/>
        </w:rPr>
      </w:pPr>
      <w:r>
        <w:rPr>
          <w:rFonts w:asciiTheme="minorHAnsi" w:hAnsiTheme="minorHAnsi" w:cs="Calibri"/>
          <w:sz w:val="22"/>
        </w:rPr>
        <w:t xml:space="preserve">To give effect to the HI Review </w:t>
      </w:r>
      <w:r w:rsidR="001244B9">
        <w:rPr>
          <w:rFonts w:ascii="Calibri" w:hAnsi="Calibri" w:cs="Calibri"/>
          <w:sz w:val="22"/>
        </w:rPr>
        <w:t xml:space="preserve">recommendation and consistent with the </w:t>
      </w:r>
      <w:proofErr w:type="spellStart"/>
      <w:r w:rsidR="001244B9">
        <w:rPr>
          <w:rFonts w:ascii="Calibri" w:hAnsi="Calibri" w:cs="Calibri"/>
          <w:sz w:val="22"/>
        </w:rPr>
        <w:t>ALRC</w:t>
      </w:r>
      <w:proofErr w:type="spellEnd"/>
      <w:r w:rsidR="001244B9">
        <w:rPr>
          <w:rFonts w:ascii="Calibri" w:hAnsi="Calibri" w:cs="Calibri"/>
          <w:sz w:val="22"/>
        </w:rPr>
        <w:t xml:space="preserve"> recommendation, the definition of “healthcare” in both the HI Act and the PCEHR Act </w:t>
      </w:r>
      <w:r>
        <w:rPr>
          <w:rFonts w:ascii="Calibri" w:hAnsi="Calibri" w:cs="Calibri"/>
          <w:sz w:val="22"/>
        </w:rPr>
        <w:t>is proposed to</w:t>
      </w:r>
      <w:r w:rsidR="001244B9">
        <w:rPr>
          <w:rFonts w:ascii="Calibri" w:hAnsi="Calibri" w:cs="Calibri"/>
          <w:sz w:val="22"/>
        </w:rPr>
        <w:t xml:space="preserve"> be amended to cover </w:t>
      </w:r>
      <w:r w:rsidR="001244B9" w:rsidRPr="001E132B">
        <w:rPr>
          <w:rFonts w:ascii="Calibri" w:hAnsi="Calibri" w:cs="Calibri"/>
          <w:sz w:val="22"/>
        </w:rPr>
        <w:t>health-related</w:t>
      </w:r>
      <w:r w:rsidR="001244B9" w:rsidRPr="00C21A68">
        <w:rPr>
          <w:rFonts w:ascii="Calibri" w:hAnsi="Calibri" w:cs="Calibri"/>
          <w:sz w:val="22"/>
        </w:rPr>
        <w:t xml:space="preserve"> disability, palliative care or aged care service</w:t>
      </w:r>
      <w:r w:rsidR="001244B9">
        <w:rPr>
          <w:rFonts w:ascii="Calibri" w:hAnsi="Calibri" w:cs="Calibri"/>
          <w:sz w:val="22"/>
        </w:rPr>
        <w:t>s</w:t>
      </w:r>
      <w:r>
        <w:rPr>
          <w:rFonts w:ascii="Calibri" w:hAnsi="Calibri" w:cs="Calibri"/>
          <w:sz w:val="22"/>
        </w:rPr>
        <w:t>.</w:t>
      </w:r>
      <w:r w:rsidR="001244B9">
        <w:rPr>
          <w:rStyle w:val="FootnoteReference"/>
          <w:rFonts w:ascii="Calibri" w:hAnsi="Calibri" w:cs="Calibri"/>
          <w:sz w:val="22"/>
        </w:rPr>
        <w:footnoteReference w:id="6"/>
      </w:r>
      <w:r>
        <w:rPr>
          <w:rFonts w:ascii="Calibri" w:hAnsi="Calibri" w:cs="Calibri"/>
          <w:sz w:val="22"/>
        </w:rPr>
        <w:t xml:space="preserve">  Further, </w:t>
      </w:r>
      <w:r w:rsidR="0034609E">
        <w:rPr>
          <w:rFonts w:ascii="Calibri" w:hAnsi="Calibri" w:cs="Calibri"/>
          <w:sz w:val="22"/>
        </w:rPr>
        <w:t>it</w:t>
      </w:r>
      <w:r w:rsidR="000B56F9">
        <w:rPr>
          <w:rFonts w:ascii="Calibri" w:hAnsi="Calibri" w:cs="Calibri"/>
          <w:sz w:val="22"/>
        </w:rPr>
        <w:t xml:space="preserve"> </w:t>
      </w:r>
      <w:r>
        <w:rPr>
          <w:rFonts w:ascii="Calibri" w:hAnsi="Calibri" w:cs="Calibri"/>
          <w:sz w:val="22"/>
        </w:rPr>
        <w:t>is proposed</w:t>
      </w:r>
      <w:r w:rsidR="001244B9">
        <w:rPr>
          <w:rFonts w:ascii="Calibri" w:hAnsi="Calibri" w:cs="Calibri"/>
          <w:sz w:val="22"/>
        </w:rPr>
        <w:t xml:space="preserve"> to make a number of other minor </w:t>
      </w:r>
      <w:r w:rsidR="001244B9" w:rsidRPr="000B56F9">
        <w:rPr>
          <w:rFonts w:ascii="Calibri" w:hAnsi="Calibri" w:cs="Calibri"/>
          <w:sz w:val="22"/>
          <w:szCs w:val="22"/>
        </w:rPr>
        <w:t>changes</w:t>
      </w:r>
      <w:r w:rsidR="000B56F9">
        <w:rPr>
          <w:rFonts w:ascii="Calibri" w:hAnsi="Calibri" w:cs="Calibri"/>
          <w:sz w:val="22"/>
          <w:szCs w:val="22"/>
        </w:rPr>
        <w:t xml:space="preserve">, such </w:t>
      </w:r>
      <w:r w:rsidR="000B56F9" w:rsidRPr="000B56F9">
        <w:rPr>
          <w:rFonts w:asciiTheme="minorHAnsi" w:hAnsiTheme="minorHAnsi"/>
          <w:sz w:val="22"/>
          <w:szCs w:val="22"/>
        </w:rPr>
        <w:t>as includ</w:t>
      </w:r>
      <w:r w:rsidR="00694A64">
        <w:rPr>
          <w:rFonts w:asciiTheme="minorHAnsi" w:hAnsiTheme="minorHAnsi"/>
          <w:sz w:val="22"/>
          <w:szCs w:val="22"/>
        </w:rPr>
        <w:t>ing</w:t>
      </w:r>
      <w:r w:rsidR="002256D2">
        <w:rPr>
          <w:rFonts w:asciiTheme="minorHAnsi" w:hAnsiTheme="minorHAnsi"/>
          <w:sz w:val="22"/>
          <w:szCs w:val="22"/>
        </w:rPr>
        <w:t xml:space="preserve"> assessment and treatment of </w:t>
      </w:r>
      <w:r w:rsidR="000B56F9">
        <w:rPr>
          <w:rFonts w:asciiTheme="minorHAnsi" w:hAnsiTheme="minorHAnsi"/>
          <w:sz w:val="22"/>
          <w:szCs w:val="22"/>
        </w:rPr>
        <w:t>“</w:t>
      </w:r>
      <w:r w:rsidR="000B56F9" w:rsidRPr="000B56F9">
        <w:rPr>
          <w:rFonts w:asciiTheme="minorHAnsi" w:hAnsiTheme="minorHAnsi"/>
          <w:sz w:val="22"/>
          <w:szCs w:val="22"/>
        </w:rPr>
        <w:t>injury</w:t>
      </w:r>
      <w:r w:rsidR="000B56F9">
        <w:rPr>
          <w:rFonts w:asciiTheme="minorHAnsi" w:hAnsiTheme="minorHAnsi"/>
          <w:sz w:val="22"/>
          <w:szCs w:val="22"/>
        </w:rPr>
        <w:t xml:space="preserve">” </w:t>
      </w:r>
      <w:r w:rsidR="002256D2">
        <w:rPr>
          <w:rFonts w:asciiTheme="minorHAnsi" w:hAnsiTheme="minorHAnsi"/>
          <w:sz w:val="22"/>
          <w:szCs w:val="22"/>
        </w:rPr>
        <w:t>(in addition to the existing</w:t>
      </w:r>
      <w:r w:rsidR="000B56F9" w:rsidRPr="000B56F9">
        <w:rPr>
          <w:rFonts w:asciiTheme="minorHAnsi" w:hAnsiTheme="minorHAnsi"/>
          <w:sz w:val="22"/>
          <w:szCs w:val="22"/>
        </w:rPr>
        <w:t xml:space="preserve"> </w:t>
      </w:r>
      <w:r w:rsidR="002256D2">
        <w:rPr>
          <w:rFonts w:asciiTheme="minorHAnsi" w:hAnsiTheme="minorHAnsi"/>
          <w:sz w:val="22"/>
          <w:szCs w:val="22"/>
        </w:rPr>
        <w:t>“</w:t>
      </w:r>
      <w:r w:rsidR="000B56F9" w:rsidRPr="000B56F9">
        <w:rPr>
          <w:rFonts w:asciiTheme="minorHAnsi" w:hAnsiTheme="minorHAnsi"/>
          <w:sz w:val="22"/>
          <w:szCs w:val="22"/>
        </w:rPr>
        <w:t>illness and disability</w:t>
      </w:r>
      <w:r w:rsidR="002256D2">
        <w:rPr>
          <w:rFonts w:asciiTheme="minorHAnsi" w:hAnsiTheme="minorHAnsi"/>
          <w:sz w:val="22"/>
          <w:szCs w:val="22"/>
        </w:rPr>
        <w:t>”)</w:t>
      </w:r>
      <w:r w:rsidR="000B56F9">
        <w:rPr>
          <w:rFonts w:asciiTheme="minorHAnsi" w:hAnsiTheme="minorHAnsi"/>
          <w:sz w:val="22"/>
          <w:szCs w:val="22"/>
        </w:rPr>
        <w:t xml:space="preserve">, and </w:t>
      </w:r>
      <w:r w:rsidR="000B56F9" w:rsidRPr="000B56F9">
        <w:rPr>
          <w:rFonts w:asciiTheme="minorHAnsi" w:hAnsiTheme="minorHAnsi"/>
          <w:sz w:val="22"/>
          <w:szCs w:val="22"/>
        </w:rPr>
        <w:t xml:space="preserve">allowing regulations to be made to exclude activities </w:t>
      </w:r>
      <w:r w:rsidR="000B56F9">
        <w:rPr>
          <w:rFonts w:asciiTheme="minorHAnsi" w:hAnsiTheme="minorHAnsi"/>
          <w:sz w:val="22"/>
          <w:szCs w:val="22"/>
        </w:rPr>
        <w:t xml:space="preserve">from being “healthcare” because they are </w:t>
      </w:r>
      <w:r w:rsidR="000B56F9" w:rsidRPr="000B56F9">
        <w:rPr>
          <w:rFonts w:asciiTheme="minorHAnsi" w:hAnsiTheme="minorHAnsi"/>
          <w:sz w:val="22"/>
          <w:szCs w:val="22"/>
        </w:rPr>
        <w:t>performed for reasons other than care or treatment</w:t>
      </w:r>
      <w:r w:rsidR="006F054F">
        <w:rPr>
          <w:rFonts w:asciiTheme="minorHAnsi" w:hAnsiTheme="minorHAnsi"/>
          <w:sz w:val="22"/>
          <w:szCs w:val="22"/>
        </w:rPr>
        <w:t>, such as for the purpose of life, health or other insurance</w:t>
      </w:r>
      <w:r w:rsidR="000B56F9">
        <w:rPr>
          <w:rFonts w:asciiTheme="minorHAnsi" w:hAnsiTheme="minorHAnsi"/>
          <w:sz w:val="22"/>
          <w:szCs w:val="22"/>
        </w:rPr>
        <w:t>.</w:t>
      </w:r>
      <w:r w:rsidR="001244B9" w:rsidRPr="000B56F9">
        <w:rPr>
          <w:rFonts w:ascii="Calibri" w:hAnsi="Calibri" w:cs="Calibri"/>
          <w:sz w:val="22"/>
          <w:szCs w:val="22"/>
        </w:rPr>
        <w:t xml:space="preserve">  This </w:t>
      </w:r>
      <w:r w:rsidR="007678A4">
        <w:rPr>
          <w:rFonts w:ascii="Calibri" w:hAnsi="Calibri" w:cs="Calibri"/>
          <w:sz w:val="22"/>
          <w:szCs w:val="22"/>
        </w:rPr>
        <w:t>would</w:t>
      </w:r>
      <w:r w:rsidR="001244B9" w:rsidRPr="000B56F9">
        <w:rPr>
          <w:rFonts w:ascii="Calibri" w:hAnsi="Calibri" w:cs="Calibri"/>
          <w:sz w:val="22"/>
          <w:szCs w:val="22"/>
        </w:rPr>
        <w:t xml:space="preserve"> </w:t>
      </w:r>
      <w:r w:rsidR="00694A64">
        <w:rPr>
          <w:rFonts w:ascii="Calibri" w:hAnsi="Calibri" w:cs="Calibri"/>
          <w:sz w:val="22"/>
          <w:szCs w:val="22"/>
        </w:rPr>
        <w:t>ensure</w:t>
      </w:r>
      <w:r w:rsidR="00694A64" w:rsidRPr="000B56F9">
        <w:rPr>
          <w:rFonts w:ascii="Calibri" w:hAnsi="Calibri" w:cs="Calibri"/>
          <w:sz w:val="22"/>
          <w:szCs w:val="22"/>
        </w:rPr>
        <w:t xml:space="preserve"> </w:t>
      </w:r>
      <w:r w:rsidR="001244B9" w:rsidRPr="000B56F9">
        <w:rPr>
          <w:rFonts w:ascii="Calibri" w:hAnsi="Calibri" w:cs="Calibri"/>
          <w:sz w:val="22"/>
          <w:szCs w:val="22"/>
        </w:rPr>
        <w:t xml:space="preserve">the range </w:t>
      </w:r>
      <w:r w:rsidR="001244B9" w:rsidRPr="000B56F9">
        <w:rPr>
          <w:rFonts w:ascii="Calibri" w:hAnsi="Calibri" w:cs="Calibri"/>
          <w:sz w:val="22"/>
          <w:szCs w:val="22"/>
        </w:rPr>
        <w:lastRenderedPageBreak/>
        <w:t>of entities that fall within the definition of a “healthcare provider organisation” include</w:t>
      </w:r>
      <w:r w:rsidR="00694A64">
        <w:rPr>
          <w:rFonts w:ascii="Calibri" w:hAnsi="Calibri" w:cs="Calibri"/>
          <w:sz w:val="22"/>
          <w:szCs w:val="22"/>
        </w:rPr>
        <w:t>s</w:t>
      </w:r>
      <w:r w:rsidR="001244B9" w:rsidRPr="000B56F9">
        <w:rPr>
          <w:rFonts w:ascii="Calibri" w:hAnsi="Calibri" w:cs="Calibri"/>
          <w:sz w:val="22"/>
          <w:szCs w:val="22"/>
        </w:rPr>
        <w:t xml:space="preserve"> aged care, palliative care and disability service providers.</w:t>
      </w:r>
      <w:r w:rsidR="000B56F9">
        <w:rPr>
          <w:rFonts w:ascii="Calibri" w:hAnsi="Calibri" w:cs="Calibri"/>
          <w:sz w:val="22"/>
          <w:szCs w:val="22"/>
        </w:rPr>
        <w:t xml:space="preserve">  </w:t>
      </w:r>
    </w:p>
    <w:p w:rsidR="000B56F9" w:rsidRDefault="001B3528" w:rsidP="002F5ABE">
      <w:pPr>
        <w:pStyle w:val="ListParagraph"/>
        <w:spacing w:after="120"/>
        <w:ind w:left="737"/>
        <w:contextualSpacing w:val="0"/>
        <w:rPr>
          <w:rFonts w:ascii="Calibri" w:hAnsi="Calibri" w:cs="Calibri"/>
          <w:sz w:val="22"/>
          <w:szCs w:val="22"/>
        </w:rPr>
      </w:pPr>
      <w:r>
        <w:rPr>
          <w:rFonts w:ascii="Calibri" w:hAnsi="Calibri" w:cs="Calibri"/>
          <w:sz w:val="22"/>
          <w:szCs w:val="22"/>
        </w:rPr>
        <w:t xml:space="preserve">Given the need to have consistent definitions </w:t>
      </w:r>
      <w:r w:rsidR="00E17941">
        <w:rPr>
          <w:rFonts w:ascii="Calibri" w:hAnsi="Calibri" w:cs="Calibri"/>
          <w:sz w:val="22"/>
          <w:szCs w:val="22"/>
        </w:rPr>
        <w:t xml:space="preserve">of </w:t>
      </w:r>
      <w:r>
        <w:rPr>
          <w:rFonts w:ascii="Calibri" w:hAnsi="Calibri" w:cs="Calibri"/>
          <w:sz w:val="22"/>
          <w:szCs w:val="22"/>
        </w:rPr>
        <w:t>“healthcare</w:t>
      </w:r>
      <w:r w:rsidR="00E17941">
        <w:rPr>
          <w:rFonts w:ascii="Calibri" w:hAnsi="Calibri" w:cs="Calibri"/>
          <w:sz w:val="22"/>
          <w:szCs w:val="22"/>
        </w:rPr>
        <w:t>”</w:t>
      </w:r>
      <w:r>
        <w:rPr>
          <w:rFonts w:ascii="Calibri" w:hAnsi="Calibri" w:cs="Calibri"/>
          <w:sz w:val="22"/>
          <w:szCs w:val="22"/>
        </w:rPr>
        <w:t xml:space="preserve"> in the PCEHR Act and HI Act, and “health service” in the Privacy Act, it is proposed to make consequential changes to the Privacy Act so that the current alignment of definitions between the three Acts continues.  This </w:t>
      </w:r>
      <w:r w:rsidR="007678A4">
        <w:rPr>
          <w:rFonts w:ascii="Calibri" w:hAnsi="Calibri" w:cs="Calibri"/>
          <w:sz w:val="22"/>
          <w:szCs w:val="22"/>
        </w:rPr>
        <w:t>would</w:t>
      </w:r>
      <w:r>
        <w:rPr>
          <w:rFonts w:ascii="Calibri" w:hAnsi="Calibri" w:cs="Calibri"/>
          <w:sz w:val="22"/>
          <w:szCs w:val="22"/>
        </w:rPr>
        <w:t xml:space="preserve"> ensure that common definitions apply regardless of whether </w:t>
      </w:r>
      <w:r w:rsidR="00E17941">
        <w:rPr>
          <w:rFonts w:ascii="Calibri" w:hAnsi="Calibri" w:cs="Calibri"/>
          <w:sz w:val="22"/>
          <w:szCs w:val="22"/>
        </w:rPr>
        <w:t>a healthcare provider is using the PCEHR system or is providing services other than by way of the PCEHR system.</w:t>
      </w:r>
    </w:p>
    <w:p w:rsidR="001244B9" w:rsidRDefault="000B56F9" w:rsidP="002F5ABE">
      <w:pPr>
        <w:pStyle w:val="ListParagraph"/>
        <w:spacing w:after="120"/>
        <w:ind w:left="737"/>
        <w:contextualSpacing w:val="0"/>
        <w:rPr>
          <w:rFonts w:ascii="Calibri" w:hAnsi="Calibri" w:cs="Calibri"/>
          <w:sz w:val="22"/>
        </w:rPr>
      </w:pPr>
      <w:r>
        <w:rPr>
          <w:rFonts w:ascii="Calibri" w:hAnsi="Calibri" w:cs="Calibri"/>
          <w:sz w:val="22"/>
          <w:szCs w:val="22"/>
        </w:rPr>
        <w:t>T</w:t>
      </w:r>
      <w:r w:rsidR="001244B9" w:rsidRPr="000B56F9">
        <w:rPr>
          <w:rFonts w:ascii="Calibri" w:hAnsi="Calibri" w:cs="Calibri"/>
          <w:sz w:val="22"/>
          <w:szCs w:val="22"/>
        </w:rPr>
        <w:t xml:space="preserve">he definition of “health information” in both the PCEHR Act and the HI Act </w:t>
      </w:r>
      <w:r>
        <w:rPr>
          <w:rFonts w:ascii="Calibri" w:hAnsi="Calibri" w:cs="Calibri"/>
          <w:sz w:val="22"/>
          <w:szCs w:val="22"/>
        </w:rPr>
        <w:t>is also proposed to be</w:t>
      </w:r>
      <w:r w:rsidR="001244B9" w:rsidRPr="000B56F9">
        <w:rPr>
          <w:rFonts w:ascii="Calibri" w:hAnsi="Calibri" w:cs="Calibri"/>
          <w:sz w:val="22"/>
          <w:szCs w:val="22"/>
        </w:rPr>
        <w:t xml:space="preserve"> clarified by expressly providing that health information includes information about the </w:t>
      </w:r>
      <w:r w:rsidR="001244B9" w:rsidRPr="000B56F9">
        <w:rPr>
          <w:rFonts w:ascii="Calibri" w:hAnsi="Calibri" w:cs="Calibri"/>
          <w:i/>
          <w:sz w:val="22"/>
          <w:szCs w:val="22"/>
        </w:rPr>
        <w:t>physical, mental</w:t>
      </w:r>
      <w:r w:rsidR="001244B9" w:rsidRPr="009C30C5">
        <w:rPr>
          <w:rFonts w:ascii="Calibri" w:hAnsi="Calibri" w:cs="Calibri"/>
          <w:i/>
          <w:sz w:val="22"/>
        </w:rPr>
        <w:t xml:space="preserve"> or psychological</w:t>
      </w:r>
      <w:r w:rsidR="001244B9">
        <w:rPr>
          <w:rFonts w:ascii="Calibri" w:hAnsi="Calibri" w:cs="Calibri"/>
          <w:sz w:val="22"/>
        </w:rPr>
        <w:t xml:space="preserve"> health or disability of an individual, and is not limited to just information about physical matters</w:t>
      </w:r>
      <w:r>
        <w:rPr>
          <w:rFonts w:ascii="Calibri" w:hAnsi="Calibri" w:cs="Calibri"/>
          <w:sz w:val="22"/>
        </w:rPr>
        <w:t>.</w:t>
      </w:r>
      <w:r w:rsidR="001244B9">
        <w:rPr>
          <w:rStyle w:val="FootnoteReference"/>
          <w:rFonts w:ascii="Calibri" w:hAnsi="Calibri" w:cs="Calibri"/>
          <w:sz w:val="22"/>
        </w:rPr>
        <w:footnoteReference w:id="7"/>
      </w:r>
      <w:r w:rsidR="001244B9">
        <w:rPr>
          <w:rFonts w:ascii="Calibri" w:hAnsi="Calibri" w:cs="Calibri"/>
          <w:sz w:val="22"/>
        </w:rPr>
        <w:t xml:space="preserve">  </w:t>
      </w:r>
    </w:p>
    <w:p w:rsidR="00E17941" w:rsidRPr="002F5ABE" w:rsidRDefault="00E17941" w:rsidP="002F5ABE">
      <w:pPr>
        <w:pStyle w:val="ListParagraph"/>
        <w:spacing w:after="120"/>
        <w:ind w:left="737"/>
        <w:contextualSpacing w:val="0"/>
        <w:rPr>
          <w:rFonts w:asciiTheme="minorHAnsi" w:hAnsiTheme="minorHAnsi" w:cs="Calibri"/>
          <w:sz w:val="22"/>
        </w:rPr>
      </w:pPr>
      <w:r>
        <w:rPr>
          <w:rFonts w:ascii="Calibri" w:hAnsi="Calibri" w:cs="Calibri"/>
          <w:sz w:val="22"/>
        </w:rPr>
        <w:t xml:space="preserve">Minor changes </w:t>
      </w:r>
      <w:r w:rsidR="007678A4">
        <w:rPr>
          <w:rFonts w:ascii="Calibri" w:hAnsi="Calibri" w:cs="Calibri"/>
          <w:sz w:val="22"/>
        </w:rPr>
        <w:t>would</w:t>
      </w:r>
      <w:r>
        <w:rPr>
          <w:rFonts w:ascii="Calibri" w:hAnsi="Calibri" w:cs="Calibri"/>
          <w:sz w:val="22"/>
        </w:rPr>
        <w:t xml:space="preserve"> be made to the definition of “health information” in both the HI Act and the PCEHR Act to reflect the changes being made to the definition of “healthcare”.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CellMar>
          <w:top w:w="119" w:type="dxa"/>
        </w:tblCellMar>
        <w:tblLook w:val="04A0" w:firstRow="1" w:lastRow="0" w:firstColumn="1" w:lastColumn="0" w:noHBand="0" w:noVBand="1"/>
        <w:tblCaption w:val="A box for consideration"/>
        <w:tblDescription w:val="The PCEHR Act definitions for “healthcare” and “health information” should align as closely as possible to those equivalent terms in the Privacy Act to ensure the PCEHR system is consistent with the operation of the Commonwealth privacy framework. If we do not amend the Privacy Act, inconsistencies would arise and healthcare providers could be subject to different privacy arrangements depending on whether or not they are using the PCEHR system. "/>
      </w:tblPr>
      <w:tblGrid>
        <w:gridCol w:w="8153"/>
      </w:tblGrid>
      <w:tr w:rsidR="000B56F9" w:rsidRPr="00396E21" w:rsidTr="0045440F">
        <w:trPr>
          <w:cantSplit/>
        </w:trPr>
        <w:tc>
          <w:tcPr>
            <w:tcW w:w="8153" w:type="dxa"/>
            <w:shd w:val="clear" w:color="auto" w:fill="CCFFCC"/>
          </w:tcPr>
          <w:p w:rsidR="008F3BF1" w:rsidRPr="00D02304" w:rsidRDefault="000B56F9" w:rsidP="00904A0F">
            <w:pPr>
              <w:pStyle w:val="BodyText"/>
              <w:keepNext/>
              <w:rPr>
                <w:rFonts w:asciiTheme="minorHAnsi" w:hAnsiTheme="minorHAnsi"/>
                <w:sz w:val="22"/>
                <w:szCs w:val="22"/>
              </w:rPr>
            </w:pPr>
            <w:r w:rsidRPr="00396E21">
              <w:rPr>
                <w:rFonts w:asciiTheme="minorHAnsi" w:hAnsiTheme="minorHAnsi"/>
                <w:b/>
                <w:sz w:val="22"/>
                <w:szCs w:val="22"/>
              </w:rPr>
              <w:t xml:space="preserve">Consider: </w:t>
            </w:r>
            <w:r>
              <w:rPr>
                <w:rFonts w:asciiTheme="minorHAnsi" w:hAnsiTheme="minorHAnsi"/>
                <w:sz w:val="22"/>
                <w:szCs w:val="22"/>
              </w:rPr>
              <w:t xml:space="preserve">The </w:t>
            </w:r>
            <w:r w:rsidR="004C17A7">
              <w:rPr>
                <w:rFonts w:asciiTheme="minorHAnsi" w:hAnsiTheme="minorHAnsi"/>
                <w:sz w:val="22"/>
                <w:szCs w:val="22"/>
              </w:rPr>
              <w:t xml:space="preserve">PCEHR Act </w:t>
            </w:r>
            <w:r>
              <w:rPr>
                <w:rFonts w:asciiTheme="minorHAnsi" w:hAnsiTheme="minorHAnsi"/>
                <w:sz w:val="22"/>
                <w:szCs w:val="22"/>
              </w:rPr>
              <w:t xml:space="preserve">definitions for “healthcare” and “health information” should align as closely as possible to those equivalent terms in the Privacy Act to ensure the PCEHR system is consistent with the </w:t>
            </w:r>
            <w:r w:rsidR="004C17A7">
              <w:rPr>
                <w:rFonts w:asciiTheme="minorHAnsi" w:hAnsiTheme="minorHAnsi"/>
                <w:sz w:val="22"/>
                <w:szCs w:val="22"/>
              </w:rPr>
              <w:t>operation of the Commonwealth privacy framework.</w:t>
            </w:r>
            <w:r w:rsidR="00D02304">
              <w:rPr>
                <w:rFonts w:asciiTheme="minorHAnsi" w:hAnsiTheme="minorHAnsi"/>
                <w:sz w:val="22"/>
                <w:szCs w:val="22"/>
              </w:rPr>
              <w:t xml:space="preserve">  I</w:t>
            </w:r>
            <w:r w:rsidR="0073027E">
              <w:rPr>
                <w:rFonts w:asciiTheme="minorHAnsi" w:hAnsiTheme="minorHAnsi"/>
                <w:sz w:val="22"/>
                <w:szCs w:val="22"/>
              </w:rPr>
              <w:t xml:space="preserve">f we do not amend the Privacy Act, inconsistencies </w:t>
            </w:r>
            <w:r w:rsidR="007678A4">
              <w:rPr>
                <w:rFonts w:asciiTheme="minorHAnsi" w:hAnsiTheme="minorHAnsi"/>
                <w:sz w:val="22"/>
                <w:szCs w:val="22"/>
              </w:rPr>
              <w:t>would</w:t>
            </w:r>
            <w:r w:rsidR="0073027E">
              <w:rPr>
                <w:rFonts w:asciiTheme="minorHAnsi" w:hAnsiTheme="minorHAnsi"/>
                <w:sz w:val="22"/>
                <w:szCs w:val="22"/>
              </w:rPr>
              <w:t xml:space="preserve"> arise and healthcare providers</w:t>
            </w:r>
            <w:r w:rsidR="00D02304">
              <w:rPr>
                <w:rFonts w:asciiTheme="minorHAnsi" w:hAnsiTheme="minorHAnsi"/>
                <w:sz w:val="22"/>
                <w:szCs w:val="22"/>
              </w:rPr>
              <w:t xml:space="preserve"> could be subject to different privacy arrangements depending on whether or not they</w:t>
            </w:r>
            <w:r w:rsidR="00904A0F">
              <w:rPr>
                <w:rFonts w:asciiTheme="minorHAnsi" w:hAnsiTheme="minorHAnsi"/>
                <w:sz w:val="22"/>
                <w:szCs w:val="22"/>
              </w:rPr>
              <w:t xml:space="preserve"> ar</w:t>
            </w:r>
            <w:r w:rsidR="00D02304">
              <w:rPr>
                <w:rFonts w:asciiTheme="minorHAnsi" w:hAnsiTheme="minorHAnsi"/>
                <w:sz w:val="22"/>
                <w:szCs w:val="22"/>
              </w:rPr>
              <w:t>e using the PCEHR system.</w:t>
            </w:r>
            <w:r w:rsidR="003E6A5E">
              <w:rPr>
                <w:rFonts w:asciiTheme="minorHAnsi" w:hAnsiTheme="minorHAnsi"/>
                <w:sz w:val="22"/>
                <w:szCs w:val="22"/>
              </w:rPr>
              <w:t xml:space="preserve"> </w:t>
            </w:r>
          </w:p>
        </w:tc>
      </w:tr>
    </w:tbl>
    <w:p w:rsidR="009C5CB4" w:rsidRPr="0088792D" w:rsidRDefault="009C5CB4" w:rsidP="009C5CB4">
      <w:pPr>
        <w:spacing w:after="120"/>
        <w:ind w:left="737"/>
        <w:rPr>
          <w:rFonts w:asciiTheme="minorHAnsi" w:hAnsiTheme="minorHAnsi"/>
          <w:b/>
          <w:sz w:val="12"/>
          <w:szCs w:val="12"/>
        </w:rPr>
      </w:pPr>
    </w:p>
    <w:p w:rsidR="009C5CB4" w:rsidRDefault="009C5CB4" w:rsidP="003C72D7">
      <w:pPr>
        <w:pStyle w:val="Heading4"/>
      </w:pPr>
      <w:bookmarkStart w:id="40" w:name="_Toc418763088"/>
      <w:bookmarkStart w:id="41" w:name="_Toc420394241"/>
      <w:r>
        <w:t>Distinguishing between healthcare providers and organisations</w:t>
      </w:r>
      <w:bookmarkEnd w:id="40"/>
      <w:bookmarkEnd w:id="41"/>
    </w:p>
    <w:p w:rsidR="00EC08E7" w:rsidRDefault="00EC08E7" w:rsidP="009C5CB4">
      <w:pPr>
        <w:spacing w:after="120"/>
        <w:ind w:left="737"/>
        <w:rPr>
          <w:rStyle w:val="IntenseReference"/>
          <w:rFonts w:asciiTheme="minorHAnsi" w:hAnsiTheme="minorHAnsi" w:cs="Arial"/>
          <w:b w:val="0"/>
          <w:bCs w:val="0"/>
          <w:i w:val="0"/>
          <w:smallCaps w:val="0"/>
          <w:color w:val="auto"/>
          <w:spacing w:val="0"/>
          <w:sz w:val="22"/>
          <w:szCs w:val="22"/>
        </w:rPr>
      </w:pPr>
      <w:r>
        <w:rPr>
          <w:rFonts w:asciiTheme="minorHAnsi" w:hAnsiTheme="minorHAnsi"/>
          <w:sz w:val="22"/>
          <w:szCs w:val="22"/>
        </w:rPr>
        <w:t>T</w:t>
      </w:r>
      <w:r w:rsidR="009C5CB4" w:rsidRPr="009C5CB4">
        <w:rPr>
          <w:rFonts w:asciiTheme="minorHAnsi" w:hAnsiTheme="minorHAnsi"/>
          <w:sz w:val="22"/>
          <w:szCs w:val="22"/>
        </w:rPr>
        <w:t>he</w:t>
      </w:r>
      <w:r w:rsidR="009C5CB4">
        <w:rPr>
          <w:rStyle w:val="IntenseReference"/>
          <w:rFonts w:asciiTheme="minorHAnsi" w:hAnsiTheme="minorHAnsi" w:cs="Arial"/>
          <w:b w:val="0"/>
          <w:bCs w:val="0"/>
          <w:i w:val="0"/>
          <w:smallCaps w:val="0"/>
          <w:color w:val="auto"/>
          <w:spacing w:val="0"/>
          <w:sz w:val="22"/>
          <w:szCs w:val="22"/>
        </w:rPr>
        <w:t xml:space="preserve"> HI </w:t>
      </w:r>
      <w:r w:rsidR="004E785E">
        <w:rPr>
          <w:rStyle w:val="IntenseReference"/>
          <w:rFonts w:asciiTheme="minorHAnsi" w:hAnsiTheme="minorHAnsi" w:cs="Arial"/>
          <w:b w:val="0"/>
          <w:bCs w:val="0"/>
          <w:i w:val="0"/>
          <w:smallCaps w:val="0"/>
          <w:color w:val="auto"/>
          <w:spacing w:val="0"/>
          <w:sz w:val="22"/>
          <w:szCs w:val="22"/>
        </w:rPr>
        <w:t xml:space="preserve">Act currently </w:t>
      </w:r>
      <w:r>
        <w:rPr>
          <w:rStyle w:val="IntenseReference"/>
          <w:rFonts w:asciiTheme="minorHAnsi" w:hAnsiTheme="minorHAnsi" w:cs="Arial"/>
          <w:b w:val="0"/>
          <w:bCs w:val="0"/>
          <w:i w:val="0"/>
          <w:smallCaps w:val="0"/>
          <w:color w:val="auto"/>
          <w:spacing w:val="0"/>
          <w:sz w:val="22"/>
          <w:szCs w:val="22"/>
        </w:rPr>
        <w:t>defines “healthcare provider” to include both</w:t>
      </w:r>
      <w:r w:rsidR="009C5CB4">
        <w:rPr>
          <w:rStyle w:val="IntenseReference"/>
          <w:rFonts w:asciiTheme="minorHAnsi" w:hAnsiTheme="minorHAnsi" w:cs="Arial"/>
          <w:b w:val="0"/>
          <w:bCs w:val="0"/>
          <w:i w:val="0"/>
          <w:smallCaps w:val="0"/>
          <w:color w:val="auto"/>
          <w:spacing w:val="0"/>
          <w:sz w:val="22"/>
          <w:szCs w:val="22"/>
        </w:rPr>
        <w:t xml:space="preserve"> healthcare provider organisations and individual healthcare providers</w:t>
      </w:r>
      <w:r>
        <w:rPr>
          <w:rStyle w:val="IntenseReference"/>
          <w:rFonts w:asciiTheme="minorHAnsi" w:hAnsiTheme="minorHAnsi" w:cs="Arial"/>
          <w:b w:val="0"/>
          <w:bCs w:val="0"/>
          <w:i w:val="0"/>
          <w:smallCaps w:val="0"/>
          <w:color w:val="auto"/>
          <w:spacing w:val="0"/>
          <w:sz w:val="22"/>
          <w:szCs w:val="22"/>
        </w:rPr>
        <w:t xml:space="preserve">.  As a result both </w:t>
      </w:r>
      <w:r w:rsidR="00A6439F">
        <w:rPr>
          <w:rStyle w:val="IntenseReference"/>
          <w:rFonts w:asciiTheme="minorHAnsi" w:hAnsiTheme="minorHAnsi" w:cs="Arial"/>
          <w:b w:val="0"/>
          <w:bCs w:val="0"/>
          <w:i w:val="0"/>
          <w:smallCaps w:val="0"/>
          <w:color w:val="auto"/>
          <w:spacing w:val="0"/>
          <w:sz w:val="22"/>
          <w:szCs w:val="22"/>
        </w:rPr>
        <w:t xml:space="preserve">information and identifiers of organisations </w:t>
      </w:r>
      <w:r>
        <w:rPr>
          <w:rStyle w:val="IntenseReference"/>
          <w:rFonts w:asciiTheme="minorHAnsi" w:hAnsiTheme="minorHAnsi" w:cs="Arial"/>
          <w:b w:val="0"/>
          <w:bCs w:val="0"/>
          <w:i w:val="0"/>
          <w:smallCaps w:val="0"/>
          <w:color w:val="auto"/>
          <w:spacing w:val="0"/>
          <w:sz w:val="22"/>
          <w:szCs w:val="22"/>
        </w:rPr>
        <w:t xml:space="preserve">are given </w:t>
      </w:r>
      <w:r w:rsidR="009C5CB4">
        <w:rPr>
          <w:rStyle w:val="IntenseReference"/>
          <w:rFonts w:asciiTheme="minorHAnsi" w:hAnsiTheme="minorHAnsi" w:cs="Arial"/>
          <w:b w:val="0"/>
          <w:bCs w:val="0"/>
          <w:i w:val="0"/>
          <w:smallCaps w:val="0"/>
          <w:color w:val="auto"/>
          <w:spacing w:val="0"/>
          <w:sz w:val="22"/>
          <w:szCs w:val="22"/>
        </w:rPr>
        <w:t>the same level of privacy protection</w:t>
      </w:r>
      <w:r w:rsidR="00A6439F">
        <w:rPr>
          <w:rStyle w:val="IntenseReference"/>
          <w:rFonts w:asciiTheme="minorHAnsi" w:hAnsiTheme="minorHAnsi" w:cs="Arial"/>
          <w:b w:val="0"/>
          <w:bCs w:val="0"/>
          <w:i w:val="0"/>
          <w:smallCaps w:val="0"/>
          <w:color w:val="auto"/>
          <w:spacing w:val="0"/>
          <w:sz w:val="22"/>
          <w:szCs w:val="22"/>
        </w:rPr>
        <w:t xml:space="preserve"> as individuals</w:t>
      </w:r>
      <w:r>
        <w:rPr>
          <w:rStyle w:val="IntenseReference"/>
          <w:rFonts w:asciiTheme="minorHAnsi" w:hAnsiTheme="minorHAnsi" w:cs="Arial"/>
          <w:b w:val="0"/>
          <w:bCs w:val="0"/>
          <w:i w:val="0"/>
          <w:smallCaps w:val="0"/>
          <w:color w:val="auto"/>
          <w:spacing w:val="0"/>
          <w:sz w:val="22"/>
          <w:szCs w:val="22"/>
        </w:rPr>
        <w:t>.  This differs from the treatment of organisations under t</w:t>
      </w:r>
      <w:r>
        <w:rPr>
          <w:rFonts w:asciiTheme="minorHAnsi" w:hAnsiTheme="minorHAnsi"/>
          <w:sz w:val="22"/>
          <w:szCs w:val="22"/>
        </w:rPr>
        <w:t>he Privacy Act which does not consider information about organisations to be personal</w:t>
      </w:r>
      <w:r w:rsidR="00A6439F">
        <w:rPr>
          <w:rFonts w:asciiTheme="minorHAnsi" w:hAnsiTheme="minorHAnsi"/>
          <w:sz w:val="22"/>
          <w:szCs w:val="22"/>
        </w:rPr>
        <w:t xml:space="preserve"> and, as a result, does not regulate information about organisations</w:t>
      </w:r>
      <w:r w:rsidR="009C5CB4">
        <w:rPr>
          <w:rStyle w:val="IntenseReference"/>
          <w:rFonts w:asciiTheme="minorHAnsi" w:hAnsiTheme="minorHAnsi" w:cs="Arial"/>
          <w:b w:val="0"/>
          <w:bCs w:val="0"/>
          <w:i w:val="0"/>
          <w:smallCaps w:val="0"/>
          <w:color w:val="auto"/>
          <w:spacing w:val="0"/>
          <w:sz w:val="22"/>
          <w:szCs w:val="22"/>
        </w:rPr>
        <w:t>.</w:t>
      </w:r>
      <w:r w:rsidR="004E785E">
        <w:rPr>
          <w:rStyle w:val="IntenseReference"/>
          <w:rFonts w:asciiTheme="minorHAnsi" w:hAnsiTheme="minorHAnsi" w:cs="Arial"/>
          <w:b w:val="0"/>
          <w:bCs w:val="0"/>
          <w:i w:val="0"/>
          <w:smallCaps w:val="0"/>
          <w:color w:val="auto"/>
          <w:spacing w:val="0"/>
          <w:sz w:val="22"/>
          <w:szCs w:val="22"/>
        </w:rPr>
        <w:t xml:space="preserve">  </w:t>
      </w:r>
    </w:p>
    <w:p w:rsidR="009C5CB4" w:rsidRDefault="004E785E" w:rsidP="00EC08E7">
      <w:pPr>
        <w:spacing w:after="120"/>
        <w:ind w:left="737"/>
        <w:rPr>
          <w:rStyle w:val="IntenseReference"/>
          <w:rFonts w:asciiTheme="minorHAnsi" w:hAnsiTheme="minorHAnsi" w:cs="Arial"/>
          <w:b w:val="0"/>
          <w:bCs w:val="0"/>
          <w:i w:val="0"/>
          <w:smallCaps w:val="0"/>
          <w:color w:val="auto"/>
          <w:spacing w:val="0"/>
          <w:sz w:val="22"/>
          <w:szCs w:val="22"/>
        </w:rPr>
      </w:pPr>
      <w:r>
        <w:rPr>
          <w:rStyle w:val="IntenseReference"/>
          <w:rFonts w:asciiTheme="minorHAnsi" w:hAnsiTheme="minorHAnsi" w:cs="Arial"/>
          <w:b w:val="0"/>
          <w:bCs w:val="0"/>
          <w:i w:val="0"/>
          <w:smallCaps w:val="0"/>
          <w:color w:val="auto"/>
          <w:spacing w:val="0"/>
          <w:sz w:val="22"/>
          <w:szCs w:val="22"/>
        </w:rPr>
        <w:t xml:space="preserve">The HI Review recommended </w:t>
      </w:r>
      <w:r w:rsidR="00EC08E7">
        <w:rPr>
          <w:rStyle w:val="IntenseReference"/>
          <w:rFonts w:asciiTheme="minorHAnsi" w:hAnsiTheme="minorHAnsi" w:cs="Arial"/>
          <w:b w:val="0"/>
          <w:bCs w:val="0"/>
          <w:i w:val="0"/>
          <w:smallCaps w:val="0"/>
          <w:color w:val="auto"/>
          <w:spacing w:val="0"/>
          <w:sz w:val="22"/>
          <w:szCs w:val="22"/>
        </w:rPr>
        <w:t xml:space="preserve">that healthcare provider organisations be distinguished from individual healthcare providers, and that healthcare provider organisations’ healthcare identifiers not be given the same privacy protections as those for individual healthcare providers and </w:t>
      </w:r>
      <w:r w:rsidR="00F72ED5">
        <w:rPr>
          <w:rFonts w:asciiTheme="minorHAnsi" w:hAnsiTheme="minorHAnsi"/>
          <w:sz w:val="22"/>
          <w:szCs w:val="22"/>
        </w:rPr>
        <w:t>individuals</w:t>
      </w:r>
      <w:r w:rsidR="00EC08E7">
        <w:rPr>
          <w:rStyle w:val="IntenseReference"/>
          <w:rFonts w:asciiTheme="minorHAnsi" w:hAnsiTheme="minorHAnsi" w:cs="Arial"/>
          <w:b w:val="0"/>
          <w:bCs w:val="0"/>
          <w:i w:val="0"/>
          <w:smallCaps w:val="0"/>
          <w:color w:val="auto"/>
          <w:spacing w:val="0"/>
          <w:sz w:val="22"/>
          <w:szCs w:val="22"/>
        </w:rPr>
        <w:t>.</w:t>
      </w:r>
      <w:r w:rsidR="009C5CB4">
        <w:rPr>
          <w:rStyle w:val="FootnoteReference"/>
          <w:rFonts w:asciiTheme="minorHAnsi" w:hAnsiTheme="minorHAnsi" w:cs="Arial"/>
          <w:sz w:val="22"/>
          <w:szCs w:val="22"/>
        </w:rPr>
        <w:footnoteReference w:id="8"/>
      </w:r>
    </w:p>
    <w:p w:rsidR="0073027E" w:rsidRDefault="00EC08E7" w:rsidP="00EC08E7">
      <w:pPr>
        <w:spacing w:after="120"/>
        <w:ind w:left="737"/>
        <w:rPr>
          <w:rStyle w:val="IntenseReference"/>
          <w:rFonts w:asciiTheme="minorHAnsi" w:hAnsiTheme="minorHAnsi" w:cs="Arial"/>
          <w:b w:val="0"/>
          <w:bCs w:val="0"/>
          <w:i w:val="0"/>
          <w:smallCaps w:val="0"/>
          <w:color w:val="auto"/>
          <w:spacing w:val="0"/>
          <w:sz w:val="22"/>
          <w:szCs w:val="22"/>
        </w:rPr>
      </w:pPr>
      <w:r>
        <w:rPr>
          <w:rStyle w:val="IntenseReference"/>
          <w:rFonts w:asciiTheme="minorHAnsi" w:hAnsiTheme="minorHAnsi" w:cs="Arial"/>
          <w:b w:val="0"/>
          <w:bCs w:val="0"/>
          <w:i w:val="0"/>
          <w:smallCaps w:val="0"/>
          <w:color w:val="auto"/>
          <w:spacing w:val="0"/>
          <w:sz w:val="22"/>
          <w:szCs w:val="22"/>
        </w:rPr>
        <w:t xml:space="preserve">It is proposed that </w:t>
      </w:r>
      <w:r w:rsidR="00241829">
        <w:rPr>
          <w:rStyle w:val="IntenseReference"/>
          <w:rFonts w:asciiTheme="minorHAnsi" w:hAnsiTheme="minorHAnsi" w:cs="Arial"/>
          <w:b w:val="0"/>
          <w:bCs w:val="0"/>
          <w:i w:val="0"/>
          <w:smallCaps w:val="0"/>
          <w:color w:val="auto"/>
          <w:spacing w:val="0"/>
          <w:sz w:val="22"/>
          <w:szCs w:val="22"/>
        </w:rPr>
        <w:t xml:space="preserve">all provisions make clear whether they apply to </w:t>
      </w:r>
      <w:r>
        <w:rPr>
          <w:rStyle w:val="IntenseReference"/>
          <w:rFonts w:asciiTheme="minorHAnsi" w:hAnsiTheme="minorHAnsi" w:cs="Arial"/>
          <w:b w:val="0"/>
          <w:bCs w:val="0"/>
          <w:i w:val="0"/>
          <w:smallCaps w:val="0"/>
          <w:color w:val="auto"/>
          <w:spacing w:val="0"/>
          <w:sz w:val="22"/>
          <w:szCs w:val="22"/>
        </w:rPr>
        <w:t>healthcare provider organisations and</w:t>
      </w:r>
      <w:r w:rsidR="00241829">
        <w:rPr>
          <w:rStyle w:val="IntenseReference"/>
          <w:rFonts w:asciiTheme="minorHAnsi" w:hAnsiTheme="minorHAnsi" w:cs="Arial"/>
          <w:b w:val="0"/>
          <w:bCs w:val="0"/>
          <w:i w:val="0"/>
          <w:smallCaps w:val="0"/>
          <w:color w:val="auto"/>
          <w:spacing w:val="0"/>
          <w:sz w:val="22"/>
          <w:szCs w:val="22"/>
        </w:rPr>
        <w:t>/or</w:t>
      </w:r>
      <w:r>
        <w:rPr>
          <w:rStyle w:val="IntenseReference"/>
          <w:rFonts w:asciiTheme="minorHAnsi" w:hAnsiTheme="minorHAnsi" w:cs="Arial"/>
          <w:b w:val="0"/>
          <w:bCs w:val="0"/>
          <w:i w:val="0"/>
          <w:smallCaps w:val="0"/>
          <w:color w:val="auto"/>
          <w:spacing w:val="0"/>
          <w:sz w:val="22"/>
          <w:szCs w:val="22"/>
        </w:rPr>
        <w:t xml:space="preserve"> individual healthcare providers</w:t>
      </w:r>
      <w:r w:rsidR="00241829">
        <w:rPr>
          <w:rStyle w:val="IntenseReference"/>
          <w:rFonts w:asciiTheme="minorHAnsi" w:hAnsiTheme="minorHAnsi" w:cs="Arial"/>
          <w:b w:val="0"/>
          <w:bCs w:val="0"/>
          <w:i w:val="0"/>
          <w:smallCaps w:val="0"/>
          <w:color w:val="auto"/>
          <w:spacing w:val="0"/>
          <w:sz w:val="22"/>
          <w:szCs w:val="22"/>
        </w:rPr>
        <w:t xml:space="preserve">, </w:t>
      </w:r>
      <w:r>
        <w:rPr>
          <w:rStyle w:val="IntenseReference"/>
          <w:rFonts w:asciiTheme="minorHAnsi" w:hAnsiTheme="minorHAnsi" w:cs="Arial"/>
          <w:b w:val="0"/>
          <w:bCs w:val="0"/>
          <w:i w:val="0"/>
          <w:smallCaps w:val="0"/>
          <w:color w:val="auto"/>
          <w:spacing w:val="0"/>
          <w:sz w:val="22"/>
          <w:szCs w:val="22"/>
        </w:rPr>
        <w:t>and that information about healthcare provider organisations</w:t>
      </w:r>
      <w:r w:rsidR="00241829">
        <w:rPr>
          <w:rStyle w:val="IntenseReference"/>
          <w:rFonts w:asciiTheme="minorHAnsi" w:hAnsiTheme="minorHAnsi" w:cs="Arial"/>
          <w:b w:val="0"/>
          <w:bCs w:val="0"/>
          <w:i w:val="0"/>
          <w:smallCaps w:val="0"/>
          <w:color w:val="auto"/>
          <w:spacing w:val="0"/>
          <w:sz w:val="22"/>
          <w:szCs w:val="22"/>
        </w:rPr>
        <w:t>, including their healthcare identifier,</w:t>
      </w:r>
      <w:r>
        <w:rPr>
          <w:rStyle w:val="IntenseReference"/>
          <w:rFonts w:asciiTheme="minorHAnsi" w:hAnsiTheme="minorHAnsi" w:cs="Arial"/>
          <w:b w:val="0"/>
          <w:bCs w:val="0"/>
          <w:i w:val="0"/>
          <w:smallCaps w:val="0"/>
          <w:color w:val="auto"/>
          <w:spacing w:val="0"/>
          <w:sz w:val="22"/>
          <w:szCs w:val="22"/>
        </w:rPr>
        <w:t xml:space="preserve"> no longer be treated as personal information.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CellMar>
          <w:top w:w="119" w:type="dxa"/>
        </w:tblCellMar>
        <w:tblLook w:val="04A0" w:firstRow="1" w:lastRow="0" w:firstColumn="1" w:lastColumn="0" w:noHBand="0" w:noVBand="1"/>
        <w:tblCaption w:val="An example box"/>
        <w:tblDescription w:val="This change would make it easier to promote organisations that are registered with the PCEHR system.  The PCEHR System Operator could publish a list of healthcare provider organisations that participate in the PCEHR system.  This would inform individuals who want to receive healthcare by a healthcare provider who can include information in their PCEHR. "/>
      </w:tblPr>
      <w:tblGrid>
        <w:gridCol w:w="8153"/>
      </w:tblGrid>
      <w:tr w:rsidR="0073027E" w:rsidRPr="00396E21" w:rsidTr="0045440F">
        <w:trPr>
          <w:cantSplit/>
        </w:trPr>
        <w:tc>
          <w:tcPr>
            <w:tcW w:w="8153" w:type="dxa"/>
            <w:shd w:val="clear" w:color="auto" w:fill="FFFF99"/>
          </w:tcPr>
          <w:p w:rsidR="0073027E" w:rsidRPr="00396E21" w:rsidRDefault="0073027E" w:rsidP="007678A4">
            <w:pPr>
              <w:pStyle w:val="BodyText"/>
              <w:keepNext/>
              <w:rPr>
                <w:rFonts w:asciiTheme="minorHAnsi" w:hAnsiTheme="minorHAnsi"/>
                <w:b/>
                <w:sz w:val="22"/>
                <w:szCs w:val="22"/>
              </w:rPr>
            </w:pPr>
            <w:r w:rsidRPr="00396E21">
              <w:rPr>
                <w:rFonts w:asciiTheme="minorHAnsi" w:hAnsiTheme="minorHAnsi"/>
                <w:b/>
                <w:sz w:val="22"/>
                <w:szCs w:val="22"/>
              </w:rPr>
              <w:t xml:space="preserve">Example: </w:t>
            </w:r>
            <w:r>
              <w:rPr>
                <w:rStyle w:val="IntenseReference"/>
                <w:rFonts w:asciiTheme="minorHAnsi" w:hAnsiTheme="minorHAnsi" w:cs="Arial"/>
                <w:b w:val="0"/>
                <w:bCs w:val="0"/>
                <w:i w:val="0"/>
                <w:smallCaps w:val="0"/>
                <w:color w:val="auto"/>
                <w:spacing w:val="0"/>
                <w:sz w:val="22"/>
                <w:szCs w:val="22"/>
              </w:rPr>
              <w:t xml:space="preserve">This change </w:t>
            </w:r>
            <w:r w:rsidR="007678A4">
              <w:rPr>
                <w:rStyle w:val="IntenseReference"/>
                <w:rFonts w:asciiTheme="minorHAnsi" w:hAnsiTheme="minorHAnsi" w:cs="Arial"/>
                <w:b w:val="0"/>
                <w:bCs w:val="0"/>
                <w:i w:val="0"/>
                <w:smallCaps w:val="0"/>
                <w:color w:val="auto"/>
                <w:spacing w:val="0"/>
                <w:sz w:val="22"/>
                <w:szCs w:val="22"/>
              </w:rPr>
              <w:t>would</w:t>
            </w:r>
            <w:r>
              <w:rPr>
                <w:rStyle w:val="IntenseReference"/>
                <w:rFonts w:asciiTheme="minorHAnsi" w:hAnsiTheme="minorHAnsi" w:cs="Arial"/>
                <w:b w:val="0"/>
                <w:bCs w:val="0"/>
                <w:i w:val="0"/>
                <w:smallCaps w:val="0"/>
                <w:color w:val="auto"/>
                <w:spacing w:val="0"/>
                <w:sz w:val="22"/>
                <w:szCs w:val="22"/>
              </w:rPr>
              <w:t xml:space="preserve"> make it easier to promote organisations that are registered with the PCEHR system.  </w:t>
            </w:r>
            <w:r w:rsidRPr="0073027E">
              <w:rPr>
                <w:rFonts w:asciiTheme="minorHAnsi" w:hAnsiTheme="minorHAnsi"/>
                <w:sz w:val="22"/>
                <w:szCs w:val="22"/>
              </w:rPr>
              <w:t xml:space="preserve">The </w:t>
            </w:r>
            <w:r>
              <w:rPr>
                <w:rFonts w:asciiTheme="minorHAnsi" w:hAnsiTheme="minorHAnsi"/>
                <w:sz w:val="22"/>
                <w:szCs w:val="22"/>
              </w:rPr>
              <w:t xml:space="preserve">PCEHR System Operator could publish a list of healthcare provider organisations that participate in the PCEHR system.  This would inform individuals who want to receive healthcare by a healthcare provider who can include information in their PCEHR. </w:t>
            </w:r>
          </w:p>
        </w:tc>
      </w:tr>
    </w:tbl>
    <w:p w:rsidR="0073027E" w:rsidRPr="0088792D" w:rsidRDefault="0073027E" w:rsidP="0073027E">
      <w:pPr>
        <w:spacing w:after="120"/>
        <w:rPr>
          <w:rFonts w:asciiTheme="minorHAnsi" w:hAnsiTheme="minorHAnsi"/>
          <w:sz w:val="12"/>
          <w:szCs w:val="12"/>
        </w:rPr>
      </w:pPr>
    </w:p>
    <w:p w:rsidR="007E6773" w:rsidRDefault="007E6773" w:rsidP="003C72D7">
      <w:pPr>
        <w:pStyle w:val="Heading4"/>
      </w:pPr>
      <w:bookmarkStart w:id="42" w:name="_Toc418763089"/>
      <w:bookmarkStart w:id="43" w:name="_Toc420394242"/>
      <w:r>
        <w:t>Expanding “identifying information”</w:t>
      </w:r>
      <w:bookmarkEnd w:id="42"/>
      <w:bookmarkEnd w:id="43"/>
    </w:p>
    <w:p w:rsidR="007E6773" w:rsidRPr="0073027E" w:rsidRDefault="007E6773" w:rsidP="00EC08E7">
      <w:pPr>
        <w:spacing w:after="120"/>
        <w:ind w:left="737"/>
        <w:rPr>
          <w:rFonts w:asciiTheme="minorHAnsi" w:hAnsiTheme="minorHAnsi"/>
          <w:sz w:val="22"/>
          <w:szCs w:val="22"/>
        </w:rPr>
      </w:pPr>
      <w:r w:rsidRPr="0073027E">
        <w:rPr>
          <w:rFonts w:asciiTheme="minorHAnsi" w:hAnsiTheme="minorHAnsi"/>
          <w:sz w:val="22"/>
          <w:szCs w:val="22"/>
        </w:rPr>
        <w:t xml:space="preserve">The PCEHR Act and HI Act both prescribe information that is considered “identifying information” of </w:t>
      </w:r>
      <w:r w:rsidR="00F72ED5">
        <w:rPr>
          <w:rFonts w:asciiTheme="minorHAnsi" w:hAnsiTheme="minorHAnsi"/>
          <w:sz w:val="22"/>
          <w:szCs w:val="22"/>
        </w:rPr>
        <w:t>individuals</w:t>
      </w:r>
      <w:r w:rsidRPr="0073027E">
        <w:rPr>
          <w:rFonts w:asciiTheme="minorHAnsi" w:hAnsiTheme="minorHAnsi"/>
          <w:sz w:val="22"/>
          <w:szCs w:val="22"/>
        </w:rPr>
        <w:t xml:space="preserve">, healthcare providers and healthcare provider organisations, such as name and </w:t>
      </w:r>
      <w:r w:rsidRPr="0073027E">
        <w:rPr>
          <w:rFonts w:asciiTheme="minorHAnsi" w:hAnsiTheme="minorHAnsi"/>
          <w:sz w:val="22"/>
          <w:szCs w:val="22"/>
        </w:rPr>
        <w:lastRenderedPageBreak/>
        <w:t>address.  Identifying information can only be collected, used or disclosed in certain situations</w:t>
      </w:r>
      <w:r w:rsidR="004649C1" w:rsidRPr="0073027E">
        <w:rPr>
          <w:rFonts w:asciiTheme="minorHAnsi" w:hAnsiTheme="minorHAnsi"/>
          <w:sz w:val="22"/>
          <w:szCs w:val="22"/>
        </w:rPr>
        <w:t>, and i</w:t>
      </w:r>
      <w:r w:rsidRPr="0073027E">
        <w:rPr>
          <w:rFonts w:asciiTheme="minorHAnsi" w:hAnsiTheme="minorHAnsi"/>
          <w:sz w:val="22"/>
          <w:szCs w:val="22"/>
        </w:rPr>
        <w:t>mproper collection, use or disclosure of identifying information can incur a criminal penalty.</w:t>
      </w:r>
    </w:p>
    <w:p w:rsidR="0074007A" w:rsidRPr="0073027E" w:rsidRDefault="004649C1" w:rsidP="00EC08E7">
      <w:pPr>
        <w:spacing w:after="120"/>
        <w:ind w:left="737"/>
        <w:rPr>
          <w:rFonts w:asciiTheme="minorHAnsi" w:hAnsiTheme="minorHAnsi"/>
          <w:sz w:val="22"/>
          <w:szCs w:val="22"/>
        </w:rPr>
      </w:pPr>
      <w:r w:rsidRPr="0073027E">
        <w:rPr>
          <w:rFonts w:asciiTheme="minorHAnsi" w:hAnsiTheme="minorHAnsi"/>
          <w:sz w:val="22"/>
          <w:szCs w:val="22"/>
        </w:rPr>
        <w:t>A telephone number is defined to be identifying information of an individual healthcare provider but not a</w:t>
      </w:r>
      <w:r w:rsidR="00F72ED5">
        <w:rPr>
          <w:rFonts w:asciiTheme="minorHAnsi" w:hAnsiTheme="minorHAnsi"/>
          <w:sz w:val="22"/>
          <w:szCs w:val="22"/>
        </w:rPr>
        <w:t>n</w:t>
      </w:r>
      <w:r w:rsidRPr="0073027E">
        <w:rPr>
          <w:rFonts w:asciiTheme="minorHAnsi" w:hAnsiTheme="minorHAnsi"/>
          <w:sz w:val="22"/>
          <w:szCs w:val="22"/>
        </w:rPr>
        <w:t xml:space="preserve"> </w:t>
      </w:r>
      <w:r w:rsidR="00F72ED5">
        <w:rPr>
          <w:rFonts w:asciiTheme="minorHAnsi" w:hAnsiTheme="minorHAnsi"/>
          <w:sz w:val="22"/>
          <w:szCs w:val="22"/>
        </w:rPr>
        <w:t>individual</w:t>
      </w:r>
      <w:r w:rsidRPr="0073027E">
        <w:rPr>
          <w:rFonts w:asciiTheme="minorHAnsi" w:hAnsiTheme="minorHAnsi"/>
          <w:sz w:val="22"/>
          <w:szCs w:val="22"/>
        </w:rPr>
        <w:t>.</w:t>
      </w:r>
      <w:r w:rsidR="0074007A" w:rsidRPr="0073027E">
        <w:rPr>
          <w:rFonts w:asciiTheme="minorHAnsi" w:hAnsiTheme="minorHAnsi"/>
          <w:sz w:val="22"/>
          <w:szCs w:val="22"/>
        </w:rPr>
        <w:t xml:space="preserve">  Further, t</w:t>
      </w:r>
      <w:r w:rsidRPr="0073027E">
        <w:rPr>
          <w:rFonts w:asciiTheme="minorHAnsi" w:hAnsiTheme="minorHAnsi"/>
          <w:sz w:val="22"/>
          <w:szCs w:val="22"/>
        </w:rPr>
        <w:t>he definition of “identifying information” in relation to individual healthcare providers and healthcare provider organisations allows regulations to be made to prescribe additional information that is identifying information</w:t>
      </w:r>
      <w:r w:rsidR="002909A9" w:rsidRPr="0073027E">
        <w:rPr>
          <w:rFonts w:asciiTheme="minorHAnsi" w:hAnsiTheme="minorHAnsi"/>
          <w:sz w:val="22"/>
          <w:szCs w:val="22"/>
        </w:rPr>
        <w:t xml:space="preserve">.  However, it is not possible to make regulations prescribing additional identifying information for </w:t>
      </w:r>
      <w:r w:rsidR="00F72ED5">
        <w:rPr>
          <w:rFonts w:asciiTheme="minorHAnsi" w:hAnsiTheme="minorHAnsi"/>
          <w:sz w:val="22"/>
          <w:szCs w:val="22"/>
        </w:rPr>
        <w:t>individuals</w:t>
      </w:r>
      <w:r w:rsidR="002909A9" w:rsidRPr="0073027E">
        <w:rPr>
          <w:rFonts w:asciiTheme="minorHAnsi" w:hAnsiTheme="minorHAnsi"/>
          <w:sz w:val="22"/>
          <w:szCs w:val="22"/>
        </w:rPr>
        <w:t xml:space="preserve">.  These restrictions are preventing the handling of information in ways that </w:t>
      </w:r>
      <w:r w:rsidR="007678A4">
        <w:rPr>
          <w:rFonts w:asciiTheme="minorHAnsi" w:hAnsiTheme="minorHAnsi"/>
          <w:sz w:val="22"/>
          <w:szCs w:val="22"/>
        </w:rPr>
        <w:t xml:space="preserve">would </w:t>
      </w:r>
      <w:r w:rsidR="002909A9" w:rsidRPr="0073027E">
        <w:rPr>
          <w:rFonts w:asciiTheme="minorHAnsi" w:hAnsiTheme="minorHAnsi"/>
          <w:sz w:val="22"/>
          <w:szCs w:val="22"/>
        </w:rPr>
        <w:t xml:space="preserve">enhance the utility of the PCEHR system.  For example, it is not currently possible to collect and use </w:t>
      </w:r>
      <w:r w:rsidR="00F72ED5">
        <w:rPr>
          <w:rFonts w:asciiTheme="minorHAnsi" w:hAnsiTheme="minorHAnsi"/>
          <w:sz w:val="22"/>
          <w:szCs w:val="22"/>
        </w:rPr>
        <w:t xml:space="preserve">individuals’ </w:t>
      </w:r>
      <w:r w:rsidR="002909A9" w:rsidRPr="0073027E">
        <w:rPr>
          <w:rFonts w:asciiTheme="minorHAnsi" w:hAnsiTheme="minorHAnsi"/>
          <w:sz w:val="22"/>
          <w:szCs w:val="22"/>
        </w:rPr>
        <w:t>mobile telephone numbers or email addresses to enable the PCEHR System Operator to send them messages.</w:t>
      </w:r>
      <w:r w:rsidRPr="0073027E">
        <w:rPr>
          <w:rFonts w:asciiTheme="minorHAnsi" w:hAnsiTheme="minorHAnsi"/>
          <w:sz w:val="22"/>
          <w:szCs w:val="22"/>
        </w:rPr>
        <w:t xml:space="preserve">  </w:t>
      </w:r>
    </w:p>
    <w:p w:rsidR="0016082B" w:rsidRPr="0073027E" w:rsidRDefault="004649C1" w:rsidP="00EC08E7">
      <w:pPr>
        <w:spacing w:after="120"/>
        <w:ind w:left="737"/>
        <w:rPr>
          <w:rFonts w:asciiTheme="minorHAnsi" w:hAnsiTheme="minorHAnsi"/>
          <w:sz w:val="22"/>
          <w:szCs w:val="22"/>
        </w:rPr>
      </w:pPr>
      <w:r w:rsidRPr="0073027E">
        <w:rPr>
          <w:rFonts w:asciiTheme="minorHAnsi" w:hAnsiTheme="minorHAnsi"/>
          <w:sz w:val="22"/>
          <w:szCs w:val="22"/>
        </w:rPr>
        <w:t>It is proposed that the definition of “identifying information” in relation to a</w:t>
      </w:r>
      <w:r w:rsidR="00F72ED5">
        <w:rPr>
          <w:rFonts w:asciiTheme="minorHAnsi" w:hAnsiTheme="minorHAnsi"/>
          <w:sz w:val="22"/>
          <w:szCs w:val="22"/>
        </w:rPr>
        <w:t>n individual</w:t>
      </w:r>
      <w:r w:rsidRPr="0073027E">
        <w:rPr>
          <w:rFonts w:asciiTheme="minorHAnsi" w:hAnsiTheme="minorHAnsi"/>
          <w:sz w:val="22"/>
          <w:szCs w:val="22"/>
        </w:rPr>
        <w:t xml:space="preserve"> </w:t>
      </w:r>
      <w:r w:rsidR="0074007A" w:rsidRPr="0073027E">
        <w:rPr>
          <w:rFonts w:asciiTheme="minorHAnsi" w:hAnsiTheme="minorHAnsi"/>
          <w:sz w:val="22"/>
          <w:szCs w:val="22"/>
        </w:rPr>
        <w:t>include</w:t>
      </w:r>
      <w:r w:rsidRPr="0073027E">
        <w:rPr>
          <w:rFonts w:asciiTheme="minorHAnsi" w:hAnsiTheme="minorHAnsi"/>
          <w:sz w:val="22"/>
          <w:szCs w:val="22"/>
        </w:rPr>
        <w:t xml:space="preserve"> this regulation-making power.</w:t>
      </w:r>
      <w:r w:rsidR="0074007A" w:rsidRPr="0073027E">
        <w:rPr>
          <w:rFonts w:asciiTheme="minorHAnsi" w:hAnsiTheme="minorHAnsi"/>
          <w:sz w:val="22"/>
          <w:szCs w:val="22"/>
        </w:rPr>
        <w:t xml:space="preserve">  </w:t>
      </w:r>
      <w:r w:rsidR="00DB1482">
        <w:rPr>
          <w:rFonts w:asciiTheme="minorHAnsi" w:hAnsiTheme="minorHAnsi"/>
          <w:sz w:val="22"/>
          <w:szCs w:val="22"/>
        </w:rPr>
        <w:t>Such a</w:t>
      </w:r>
      <w:r w:rsidR="0074007A" w:rsidRPr="0073027E">
        <w:rPr>
          <w:rFonts w:asciiTheme="minorHAnsi" w:hAnsiTheme="minorHAnsi"/>
          <w:sz w:val="22"/>
          <w:szCs w:val="22"/>
        </w:rPr>
        <w:t xml:space="preserve"> regulation-making power </w:t>
      </w:r>
      <w:r w:rsidR="00DB1482">
        <w:rPr>
          <w:rFonts w:asciiTheme="minorHAnsi" w:hAnsiTheme="minorHAnsi"/>
          <w:sz w:val="22"/>
          <w:szCs w:val="22"/>
        </w:rPr>
        <w:t xml:space="preserve">would </w:t>
      </w:r>
      <w:r w:rsidR="0074007A" w:rsidRPr="0073027E">
        <w:rPr>
          <w:rFonts w:asciiTheme="minorHAnsi" w:hAnsiTheme="minorHAnsi"/>
          <w:sz w:val="22"/>
          <w:szCs w:val="22"/>
        </w:rPr>
        <w:t>provide flexibility for the PCEHR System Operator and/or the HI Service Operator to collect additional information if it is necessary.</w:t>
      </w:r>
      <w:r w:rsidR="00D77D6D" w:rsidRPr="0073027E">
        <w:rPr>
          <w:rFonts w:asciiTheme="minorHAnsi" w:hAnsiTheme="minorHAnsi"/>
          <w:sz w:val="22"/>
          <w:szCs w:val="22"/>
        </w:rPr>
        <w:t xml:space="preserve">  For example, it is intended that regulations b</w:t>
      </w:r>
      <w:r w:rsidR="0016082B" w:rsidRPr="0073027E">
        <w:rPr>
          <w:rFonts w:asciiTheme="minorHAnsi" w:hAnsiTheme="minorHAnsi"/>
          <w:sz w:val="22"/>
          <w:szCs w:val="22"/>
        </w:rPr>
        <w:t>e made that would prescribe the following information as identifying information:</w:t>
      </w:r>
    </w:p>
    <w:p w:rsidR="0016082B" w:rsidRPr="0073027E" w:rsidRDefault="00D77D6D" w:rsidP="00A67B4E">
      <w:pPr>
        <w:pStyle w:val="ListParagraph"/>
        <w:numPr>
          <w:ilvl w:val="0"/>
          <w:numId w:val="21"/>
        </w:numPr>
        <w:spacing w:after="120"/>
        <w:contextualSpacing w:val="0"/>
        <w:rPr>
          <w:rFonts w:asciiTheme="minorHAnsi" w:hAnsiTheme="minorHAnsi"/>
          <w:sz w:val="22"/>
          <w:szCs w:val="22"/>
        </w:rPr>
      </w:pPr>
      <w:r w:rsidRPr="0073027E">
        <w:rPr>
          <w:rFonts w:asciiTheme="minorHAnsi" w:hAnsiTheme="minorHAnsi"/>
          <w:sz w:val="22"/>
          <w:szCs w:val="22"/>
        </w:rPr>
        <w:t xml:space="preserve">a mobile telephone number and email address </w:t>
      </w:r>
      <w:r w:rsidR="0016082B" w:rsidRPr="0073027E">
        <w:rPr>
          <w:rFonts w:asciiTheme="minorHAnsi" w:hAnsiTheme="minorHAnsi"/>
          <w:sz w:val="22"/>
          <w:szCs w:val="22"/>
        </w:rPr>
        <w:t>– t</w:t>
      </w:r>
      <w:r w:rsidRPr="0073027E">
        <w:rPr>
          <w:rFonts w:asciiTheme="minorHAnsi" w:hAnsiTheme="minorHAnsi"/>
          <w:sz w:val="22"/>
          <w:szCs w:val="22"/>
        </w:rPr>
        <w:t xml:space="preserve">his would allow the System Operator to collect and use this information to notify </w:t>
      </w:r>
      <w:r w:rsidR="00F72ED5">
        <w:rPr>
          <w:rFonts w:asciiTheme="minorHAnsi" w:hAnsiTheme="minorHAnsi"/>
          <w:sz w:val="22"/>
          <w:szCs w:val="22"/>
        </w:rPr>
        <w:t xml:space="preserve">individuals </w:t>
      </w:r>
      <w:r w:rsidRPr="0073027E">
        <w:rPr>
          <w:rFonts w:asciiTheme="minorHAnsi" w:hAnsiTheme="minorHAnsi"/>
          <w:sz w:val="22"/>
          <w:szCs w:val="22"/>
        </w:rPr>
        <w:t xml:space="preserve">of access to their PCEHR or other matters  by email or </w:t>
      </w:r>
      <w:proofErr w:type="spellStart"/>
      <w:r w:rsidRPr="0073027E">
        <w:rPr>
          <w:rFonts w:asciiTheme="minorHAnsi" w:hAnsiTheme="minorHAnsi"/>
          <w:sz w:val="22"/>
          <w:szCs w:val="22"/>
        </w:rPr>
        <w:t>SMS</w:t>
      </w:r>
      <w:proofErr w:type="spellEnd"/>
      <w:r w:rsidRPr="0073027E">
        <w:rPr>
          <w:rFonts w:asciiTheme="minorHAnsi" w:hAnsiTheme="minorHAnsi"/>
          <w:sz w:val="22"/>
          <w:szCs w:val="22"/>
        </w:rPr>
        <w:t xml:space="preserve">, rather than by post, in accordance with the </w:t>
      </w:r>
      <w:r w:rsidR="00F72ED5">
        <w:rPr>
          <w:rFonts w:asciiTheme="minorHAnsi" w:hAnsiTheme="minorHAnsi"/>
          <w:sz w:val="22"/>
          <w:szCs w:val="22"/>
        </w:rPr>
        <w:t xml:space="preserve">individual’s </w:t>
      </w:r>
      <w:r w:rsidRPr="0073027E">
        <w:rPr>
          <w:rFonts w:asciiTheme="minorHAnsi" w:hAnsiTheme="minorHAnsi"/>
          <w:sz w:val="22"/>
          <w:szCs w:val="22"/>
        </w:rPr>
        <w:t>preferences</w:t>
      </w:r>
      <w:r w:rsidR="0016082B" w:rsidRPr="0073027E">
        <w:rPr>
          <w:rFonts w:asciiTheme="minorHAnsi" w:hAnsiTheme="minorHAnsi"/>
          <w:sz w:val="22"/>
          <w:szCs w:val="22"/>
        </w:rPr>
        <w:t>;</w:t>
      </w:r>
    </w:p>
    <w:p w:rsidR="004649C1" w:rsidRPr="0073027E" w:rsidRDefault="0016082B" w:rsidP="00A67B4E">
      <w:pPr>
        <w:pStyle w:val="ListParagraph"/>
        <w:numPr>
          <w:ilvl w:val="0"/>
          <w:numId w:val="21"/>
        </w:numPr>
        <w:spacing w:after="120"/>
        <w:ind w:left="1451" w:hanging="357"/>
        <w:contextualSpacing w:val="0"/>
        <w:rPr>
          <w:rFonts w:asciiTheme="minorHAnsi" w:hAnsiTheme="minorHAnsi"/>
          <w:sz w:val="22"/>
          <w:szCs w:val="22"/>
        </w:rPr>
      </w:pPr>
      <w:r w:rsidRPr="0073027E">
        <w:rPr>
          <w:rStyle w:val="IntenseReference"/>
          <w:rFonts w:asciiTheme="minorHAnsi" w:hAnsiTheme="minorHAnsi"/>
          <w:b w:val="0"/>
          <w:bCs w:val="0"/>
          <w:i w:val="0"/>
          <w:smallCaps w:val="0"/>
          <w:color w:val="auto"/>
          <w:spacing w:val="0"/>
          <w:sz w:val="22"/>
          <w:szCs w:val="22"/>
        </w:rPr>
        <w:t>the status</w:t>
      </w:r>
      <w:r w:rsidR="00336EB6" w:rsidRPr="0073027E">
        <w:rPr>
          <w:rStyle w:val="IntenseReference"/>
          <w:rFonts w:asciiTheme="minorHAnsi" w:hAnsiTheme="minorHAnsi"/>
          <w:b w:val="0"/>
          <w:bCs w:val="0"/>
          <w:i w:val="0"/>
          <w:smallCaps w:val="0"/>
          <w:color w:val="auto"/>
          <w:spacing w:val="0"/>
          <w:sz w:val="22"/>
          <w:szCs w:val="22"/>
        </w:rPr>
        <w:t xml:space="preserve"> </w:t>
      </w:r>
      <w:r w:rsidRPr="0073027E">
        <w:rPr>
          <w:rStyle w:val="IntenseReference"/>
          <w:rFonts w:asciiTheme="minorHAnsi" w:hAnsiTheme="minorHAnsi"/>
          <w:b w:val="0"/>
          <w:bCs w:val="0"/>
          <w:i w:val="0"/>
          <w:smallCaps w:val="0"/>
          <w:color w:val="auto"/>
          <w:spacing w:val="0"/>
          <w:sz w:val="22"/>
          <w:szCs w:val="22"/>
        </w:rPr>
        <w:t>of a</w:t>
      </w:r>
      <w:r w:rsidR="00716DBB">
        <w:rPr>
          <w:rStyle w:val="IntenseReference"/>
          <w:rFonts w:asciiTheme="minorHAnsi" w:hAnsiTheme="minorHAnsi"/>
          <w:b w:val="0"/>
          <w:bCs w:val="0"/>
          <w:i w:val="0"/>
          <w:smallCaps w:val="0"/>
          <w:color w:val="auto"/>
          <w:spacing w:val="0"/>
          <w:sz w:val="22"/>
          <w:szCs w:val="22"/>
        </w:rPr>
        <w:t>n</w:t>
      </w:r>
      <w:r w:rsidRPr="0073027E">
        <w:rPr>
          <w:rStyle w:val="IntenseReference"/>
          <w:rFonts w:asciiTheme="minorHAnsi" w:hAnsiTheme="minorHAnsi"/>
          <w:b w:val="0"/>
          <w:bCs w:val="0"/>
          <w:i w:val="0"/>
          <w:smallCaps w:val="0"/>
          <w:color w:val="auto"/>
          <w:spacing w:val="0"/>
          <w:sz w:val="22"/>
          <w:szCs w:val="22"/>
        </w:rPr>
        <w:t xml:space="preserve"> </w:t>
      </w:r>
      <w:r w:rsidR="00F72ED5">
        <w:rPr>
          <w:rFonts w:asciiTheme="minorHAnsi" w:hAnsiTheme="minorHAnsi"/>
          <w:sz w:val="22"/>
          <w:szCs w:val="22"/>
        </w:rPr>
        <w:t xml:space="preserve">individual’s </w:t>
      </w:r>
      <w:r w:rsidRPr="0073027E">
        <w:rPr>
          <w:rStyle w:val="IntenseReference"/>
          <w:rFonts w:asciiTheme="minorHAnsi" w:hAnsiTheme="minorHAnsi"/>
          <w:b w:val="0"/>
          <w:bCs w:val="0"/>
          <w:i w:val="0"/>
          <w:smallCaps w:val="0"/>
          <w:color w:val="auto"/>
          <w:spacing w:val="0"/>
          <w:sz w:val="22"/>
          <w:szCs w:val="22"/>
        </w:rPr>
        <w:t>healthcare identifier</w:t>
      </w:r>
      <w:r w:rsidR="0045521B" w:rsidRPr="0073027E">
        <w:rPr>
          <w:rStyle w:val="IntenseReference"/>
          <w:rFonts w:asciiTheme="minorHAnsi" w:hAnsiTheme="minorHAnsi"/>
          <w:b w:val="0"/>
          <w:bCs w:val="0"/>
          <w:i w:val="0"/>
          <w:smallCaps w:val="0"/>
          <w:color w:val="auto"/>
          <w:spacing w:val="0"/>
          <w:sz w:val="22"/>
          <w:szCs w:val="22"/>
        </w:rPr>
        <w:t xml:space="preserve"> (</w:t>
      </w:r>
      <w:proofErr w:type="spellStart"/>
      <w:r w:rsidR="0045521B" w:rsidRPr="0073027E">
        <w:rPr>
          <w:rStyle w:val="IntenseReference"/>
          <w:rFonts w:asciiTheme="minorHAnsi" w:hAnsiTheme="minorHAnsi"/>
          <w:b w:val="0"/>
          <w:bCs w:val="0"/>
          <w:i w:val="0"/>
          <w:smallCaps w:val="0"/>
          <w:color w:val="auto"/>
          <w:spacing w:val="0"/>
          <w:sz w:val="22"/>
          <w:szCs w:val="22"/>
        </w:rPr>
        <w:t>IHI</w:t>
      </w:r>
      <w:proofErr w:type="spellEnd"/>
      <w:r w:rsidR="0045521B" w:rsidRPr="0073027E">
        <w:rPr>
          <w:rStyle w:val="IntenseReference"/>
          <w:rFonts w:asciiTheme="minorHAnsi" w:hAnsiTheme="minorHAnsi"/>
          <w:b w:val="0"/>
          <w:bCs w:val="0"/>
          <w:i w:val="0"/>
          <w:smallCaps w:val="0"/>
          <w:color w:val="auto"/>
          <w:spacing w:val="0"/>
          <w:sz w:val="22"/>
          <w:szCs w:val="22"/>
        </w:rPr>
        <w:t xml:space="preserve">) </w:t>
      </w:r>
      <w:r w:rsidRPr="0073027E">
        <w:rPr>
          <w:rStyle w:val="IntenseReference"/>
          <w:rFonts w:asciiTheme="minorHAnsi" w:hAnsiTheme="minorHAnsi"/>
          <w:b w:val="0"/>
          <w:bCs w:val="0"/>
          <w:i w:val="0"/>
          <w:smallCaps w:val="0"/>
          <w:color w:val="auto"/>
          <w:spacing w:val="0"/>
          <w:sz w:val="22"/>
          <w:szCs w:val="22"/>
        </w:rPr>
        <w:t xml:space="preserve">– this would </w:t>
      </w:r>
      <w:r w:rsidR="00336EB6" w:rsidRPr="0073027E">
        <w:rPr>
          <w:rStyle w:val="IntenseReference"/>
          <w:rFonts w:asciiTheme="minorHAnsi" w:hAnsiTheme="minorHAnsi"/>
          <w:b w:val="0"/>
          <w:bCs w:val="0"/>
          <w:i w:val="0"/>
          <w:smallCaps w:val="0"/>
          <w:color w:val="auto"/>
          <w:spacing w:val="0"/>
          <w:sz w:val="22"/>
          <w:szCs w:val="22"/>
        </w:rPr>
        <w:t xml:space="preserve">improve the ability of </w:t>
      </w:r>
      <w:r w:rsidR="00414FA9" w:rsidRPr="0073027E">
        <w:rPr>
          <w:rStyle w:val="IntenseReference"/>
          <w:rFonts w:asciiTheme="minorHAnsi" w:hAnsiTheme="minorHAnsi"/>
          <w:b w:val="0"/>
          <w:bCs w:val="0"/>
          <w:i w:val="0"/>
          <w:smallCaps w:val="0"/>
          <w:color w:val="auto"/>
          <w:spacing w:val="0"/>
          <w:sz w:val="22"/>
          <w:szCs w:val="22"/>
        </w:rPr>
        <w:t xml:space="preserve">the HI Service Operator </w:t>
      </w:r>
      <w:r w:rsidR="00336EB6" w:rsidRPr="0073027E">
        <w:rPr>
          <w:rStyle w:val="IntenseReference"/>
          <w:rFonts w:asciiTheme="minorHAnsi" w:hAnsiTheme="minorHAnsi"/>
          <w:b w:val="0"/>
          <w:bCs w:val="0"/>
          <w:i w:val="0"/>
          <w:smallCaps w:val="0"/>
          <w:color w:val="auto"/>
          <w:spacing w:val="0"/>
          <w:sz w:val="22"/>
          <w:szCs w:val="22"/>
        </w:rPr>
        <w:t xml:space="preserve">to manage an individual’s choice </w:t>
      </w:r>
      <w:r w:rsidR="00414FA9" w:rsidRPr="0073027E">
        <w:rPr>
          <w:rStyle w:val="IntenseReference"/>
          <w:rFonts w:asciiTheme="minorHAnsi" w:hAnsiTheme="minorHAnsi"/>
          <w:b w:val="0"/>
          <w:bCs w:val="0"/>
          <w:i w:val="0"/>
          <w:smallCaps w:val="0"/>
          <w:color w:val="auto"/>
          <w:spacing w:val="0"/>
          <w:sz w:val="22"/>
          <w:szCs w:val="22"/>
        </w:rPr>
        <w:t>to opt-out;</w:t>
      </w:r>
    </w:p>
    <w:p w:rsidR="0016082B" w:rsidRPr="0073027E" w:rsidRDefault="0016082B" w:rsidP="00A67B4E">
      <w:pPr>
        <w:pStyle w:val="ListParagraph"/>
        <w:numPr>
          <w:ilvl w:val="0"/>
          <w:numId w:val="21"/>
        </w:numPr>
        <w:spacing w:after="120"/>
        <w:ind w:left="1451" w:hanging="357"/>
        <w:contextualSpacing w:val="0"/>
        <w:rPr>
          <w:rStyle w:val="IntenseReference"/>
          <w:rFonts w:asciiTheme="minorHAnsi" w:hAnsiTheme="minorHAnsi"/>
          <w:b w:val="0"/>
          <w:bCs w:val="0"/>
          <w:i w:val="0"/>
          <w:smallCaps w:val="0"/>
          <w:color w:val="auto"/>
          <w:spacing w:val="0"/>
          <w:sz w:val="22"/>
          <w:szCs w:val="22"/>
        </w:rPr>
      </w:pPr>
      <w:proofErr w:type="gramStart"/>
      <w:r w:rsidRPr="0073027E">
        <w:rPr>
          <w:rStyle w:val="IntenseReference"/>
          <w:rFonts w:asciiTheme="minorHAnsi" w:hAnsiTheme="minorHAnsi"/>
          <w:b w:val="0"/>
          <w:bCs w:val="0"/>
          <w:i w:val="0"/>
          <w:smallCaps w:val="0"/>
          <w:color w:val="auto"/>
          <w:spacing w:val="0"/>
          <w:sz w:val="22"/>
          <w:szCs w:val="22"/>
        </w:rPr>
        <w:t>the</w:t>
      </w:r>
      <w:proofErr w:type="gramEnd"/>
      <w:r w:rsidRPr="0073027E">
        <w:rPr>
          <w:rStyle w:val="IntenseReference"/>
          <w:rFonts w:asciiTheme="minorHAnsi" w:hAnsiTheme="minorHAnsi"/>
          <w:b w:val="0"/>
          <w:bCs w:val="0"/>
          <w:i w:val="0"/>
          <w:smallCaps w:val="0"/>
          <w:color w:val="auto"/>
          <w:spacing w:val="0"/>
          <w:sz w:val="22"/>
          <w:szCs w:val="22"/>
        </w:rPr>
        <w:t xml:space="preserve"> unique reference number of the individual’s driver licence, passport or </w:t>
      </w:r>
      <w:proofErr w:type="spellStart"/>
      <w:r w:rsidRPr="0073027E">
        <w:rPr>
          <w:rStyle w:val="IntenseReference"/>
          <w:rFonts w:asciiTheme="minorHAnsi" w:hAnsiTheme="minorHAnsi"/>
          <w:b w:val="0"/>
          <w:bCs w:val="0"/>
          <w:i w:val="0"/>
          <w:smallCaps w:val="0"/>
          <w:color w:val="auto"/>
          <w:spacing w:val="0"/>
          <w:sz w:val="22"/>
          <w:szCs w:val="22"/>
        </w:rPr>
        <w:t>Immicard</w:t>
      </w:r>
      <w:proofErr w:type="spellEnd"/>
      <w:r w:rsidR="006F054F" w:rsidRPr="0073027E">
        <w:rPr>
          <w:rStyle w:val="IntenseReference"/>
          <w:rFonts w:asciiTheme="minorHAnsi" w:hAnsiTheme="minorHAnsi"/>
          <w:b w:val="0"/>
          <w:bCs w:val="0"/>
          <w:i w:val="0"/>
          <w:smallCaps w:val="0"/>
          <w:color w:val="auto"/>
          <w:spacing w:val="0"/>
          <w:sz w:val="22"/>
          <w:szCs w:val="22"/>
        </w:rPr>
        <w:t>,</w:t>
      </w:r>
      <w:r w:rsidRPr="0073027E">
        <w:rPr>
          <w:rStyle w:val="IntenseReference"/>
          <w:rFonts w:asciiTheme="minorHAnsi" w:hAnsiTheme="minorHAnsi"/>
          <w:b w:val="0"/>
          <w:bCs w:val="0"/>
          <w:i w:val="0"/>
          <w:smallCaps w:val="0"/>
          <w:color w:val="auto"/>
          <w:spacing w:val="0"/>
          <w:sz w:val="22"/>
          <w:szCs w:val="22"/>
        </w:rPr>
        <w:t xml:space="preserve"> and</w:t>
      </w:r>
      <w:r w:rsidR="006F054F" w:rsidRPr="0073027E">
        <w:rPr>
          <w:rStyle w:val="IntenseReference"/>
          <w:rFonts w:asciiTheme="minorHAnsi" w:hAnsiTheme="minorHAnsi"/>
          <w:b w:val="0"/>
          <w:bCs w:val="0"/>
          <w:i w:val="0"/>
          <w:smallCaps w:val="0"/>
          <w:color w:val="auto"/>
          <w:spacing w:val="0"/>
          <w:sz w:val="22"/>
          <w:szCs w:val="22"/>
        </w:rPr>
        <w:t xml:space="preserve"> </w:t>
      </w:r>
      <w:r w:rsidRPr="0073027E">
        <w:rPr>
          <w:rStyle w:val="IntenseReference"/>
          <w:rFonts w:asciiTheme="minorHAnsi" w:hAnsiTheme="minorHAnsi"/>
          <w:b w:val="0"/>
          <w:bCs w:val="0"/>
          <w:i w:val="0"/>
          <w:smallCaps w:val="0"/>
          <w:color w:val="auto"/>
          <w:spacing w:val="0"/>
          <w:sz w:val="22"/>
          <w:szCs w:val="22"/>
        </w:rPr>
        <w:t>the type of credential</w:t>
      </w:r>
      <w:r w:rsidR="00552F93" w:rsidRPr="0073027E">
        <w:rPr>
          <w:rStyle w:val="IntenseReference"/>
          <w:rFonts w:asciiTheme="minorHAnsi" w:hAnsiTheme="minorHAnsi"/>
          <w:b w:val="0"/>
          <w:bCs w:val="0"/>
          <w:i w:val="0"/>
          <w:smallCaps w:val="0"/>
          <w:color w:val="auto"/>
          <w:spacing w:val="0"/>
          <w:sz w:val="22"/>
          <w:szCs w:val="22"/>
        </w:rPr>
        <w:t xml:space="preserve"> (driver</w:t>
      </w:r>
      <w:r w:rsidRPr="0073027E">
        <w:rPr>
          <w:rStyle w:val="IntenseReference"/>
          <w:rFonts w:asciiTheme="minorHAnsi" w:hAnsiTheme="minorHAnsi"/>
          <w:b w:val="0"/>
          <w:bCs w:val="0"/>
          <w:i w:val="0"/>
          <w:smallCaps w:val="0"/>
          <w:color w:val="auto"/>
          <w:spacing w:val="0"/>
          <w:sz w:val="22"/>
          <w:szCs w:val="22"/>
        </w:rPr>
        <w:t xml:space="preserve"> licence, passport or </w:t>
      </w:r>
      <w:proofErr w:type="spellStart"/>
      <w:r w:rsidRPr="0073027E">
        <w:rPr>
          <w:rStyle w:val="IntenseReference"/>
          <w:rFonts w:asciiTheme="minorHAnsi" w:hAnsiTheme="minorHAnsi"/>
          <w:b w:val="0"/>
          <w:bCs w:val="0"/>
          <w:i w:val="0"/>
          <w:smallCaps w:val="0"/>
          <w:color w:val="auto"/>
          <w:spacing w:val="0"/>
          <w:sz w:val="22"/>
          <w:szCs w:val="22"/>
        </w:rPr>
        <w:t>Immicard</w:t>
      </w:r>
      <w:proofErr w:type="spellEnd"/>
      <w:r w:rsidRPr="0073027E">
        <w:rPr>
          <w:rStyle w:val="IntenseReference"/>
          <w:rFonts w:asciiTheme="minorHAnsi" w:hAnsiTheme="minorHAnsi"/>
          <w:b w:val="0"/>
          <w:bCs w:val="0"/>
          <w:i w:val="0"/>
          <w:smallCaps w:val="0"/>
          <w:color w:val="auto"/>
          <w:spacing w:val="0"/>
          <w:sz w:val="22"/>
          <w:szCs w:val="22"/>
        </w:rPr>
        <w:t>)</w:t>
      </w:r>
      <w:r w:rsidR="006F054F" w:rsidRPr="0073027E">
        <w:rPr>
          <w:rStyle w:val="IntenseReference"/>
          <w:rFonts w:asciiTheme="minorHAnsi" w:hAnsiTheme="minorHAnsi"/>
          <w:b w:val="0"/>
          <w:bCs w:val="0"/>
          <w:i w:val="0"/>
          <w:smallCaps w:val="0"/>
          <w:color w:val="auto"/>
          <w:spacing w:val="0"/>
          <w:sz w:val="22"/>
          <w:szCs w:val="22"/>
        </w:rPr>
        <w:t xml:space="preserve"> – this would allow </w:t>
      </w:r>
      <w:r w:rsidR="00B172AC" w:rsidRPr="0073027E">
        <w:rPr>
          <w:rStyle w:val="IntenseReference"/>
          <w:rFonts w:asciiTheme="minorHAnsi" w:hAnsiTheme="minorHAnsi"/>
          <w:b w:val="0"/>
          <w:bCs w:val="0"/>
          <w:i w:val="0"/>
          <w:smallCaps w:val="0"/>
          <w:color w:val="auto"/>
          <w:spacing w:val="0"/>
          <w:sz w:val="22"/>
          <w:szCs w:val="22"/>
        </w:rPr>
        <w:t>the PCEHR System Operator to collect this information, and disclose it to the Document Verification Service, in order to verify the identity of a</w:t>
      </w:r>
      <w:r w:rsidR="00F72ED5">
        <w:rPr>
          <w:rStyle w:val="IntenseReference"/>
          <w:rFonts w:asciiTheme="minorHAnsi" w:hAnsiTheme="minorHAnsi"/>
          <w:b w:val="0"/>
          <w:bCs w:val="0"/>
          <w:i w:val="0"/>
          <w:smallCaps w:val="0"/>
          <w:color w:val="auto"/>
          <w:spacing w:val="0"/>
          <w:sz w:val="22"/>
          <w:szCs w:val="22"/>
        </w:rPr>
        <w:t>n</w:t>
      </w:r>
      <w:r w:rsidR="00B172AC" w:rsidRPr="0073027E">
        <w:rPr>
          <w:rStyle w:val="IntenseReference"/>
          <w:rFonts w:asciiTheme="minorHAnsi" w:hAnsiTheme="minorHAnsi"/>
          <w:b w:val="0"/>
          <w:bCs w:val="0"/>
          <w:i w:val="0"/>
          <w:smallCaps w:val="0"/>
          <w:color w:val="auto"/>
          <w:spacing w:val="0"/>
          <w:sz w:val="22"/>
          <w:szCs w:val="22"/>
        </w:rPr>
        <w:t xml:space="preserve"> </w:t>
      </w:r>
      <w:r w:rsidR="00F72ED5">
        <w:rPr>
          <w:rFonts w:asciiTheme="minorHAnsi" w:hAnsiTheme="minorHAnsi"/>
          <w:sz w:val="22"/>
          <w:szCs w:val="22"/>
        </w:rPr>
        <w:t xml:space="preserve">individual </w:t>
      </w:r>
      <w:r w:rsidR="00B172AC" w:rsidRPr="0073027E">
        <w:rPr>
          <w:rStyle w:val="IntenseReference"/>
          <w:rFonts w:asciiTheme="minorHAnsi" w:hAnsiTheme="minorHAnsi"/>
          <w:b w:val="0"/>
          <w:bCs w:val="0"/>
          <w:i w:val="0"/>
          <w:smallCaps w:val="0"/>
          <w:color w:val="auto"/>
          <w:spacing w:val="0"/>
          <w:sz w:val="22"/>
          <w:szCs w:val="22"/>
        </w:rPr>
        <w:t>who chooses to opt-out.</w:t>
      </w:r>
      <w:r w:rsidR="00747113">
        <w:rPr>
          <w:rStyle w:val="IntenseReference"/>
          <w:rFonts w:asciiTheme="minorHAnsi" w:hAnsiTheme="minorHAnsi"/>
          <w:b w:val="0"/>
          <w:bCs w:val="0"/>
          <w:i w:val="0"/>
          <w:smallCaps w:val="0"/>
          <w:color w:val="auto"/>
          <w:spacing w:val="0"/>
          <w:sz w:val="22"/>
          <w:szCs w:val="22"/>
        </w:rPr>
        <w:t xml:space="preserve">  The System Operator </w:t>
      </w:r>
      <w:r w:rsidR="00694A64">
        <w:rPr>
          <w:rStyle w:val="IntenseReference"/>
          <w:rFonts w:asciiTheme="minorHAnsi" w:hAnsiTheme="minorHAnsi"/>
          <w:b w:val="0"/>
          <w:bCs w:val="0"/>
          <w:i w:val="0"/>
          <w:smallCaps w:val="0"/>
          <w:color w:val="auto"/>
          <w:spacing w:val="0"/>
          <w:sz w:val="22"/>
          <w:szCs w:val="22"/>
        </w:rPr>
        <w:t>will</w:t>
      </w:r>
      <w:r w:rsidR="00747113">
        <w:rPr>
          <w:rStyle w:val="IntenseReference"/>
          <w:rFonts w:asciiTheme="minorHAnsi" w:hAnsiTheme="minorHAnsi"/>
          <w:b w:val="0"/>
          <w:bCs w:val="0"/>
          <w:i w:val="0"/>
          <w:smallCaps w:val="0"/>
          <w:color w:val="auto"/>
          <w:spacing w:val="0"/>
          <w:sz w:val="22"/>
          <w:szCs w:val="22"/>
        </w:rPr>
        <w:t xml:space="preserve"> not store this information once it has been used to verify the individual’s identity.</w:t>
      </w:r>
    </w:p>
    <w:p w:rsidR="00BE3EB1" w:rsidRPr="003D6C23" w:rsidRDefault="00205A8D" w:rsidP="0073027E">
      <w:pPr>
        <w:pStyle w:val="Heading3"/>
        <w:numPr>
          <w:ilvl w:val="0"/>
          <w:numId w:val="0"/>
        </w:numPr>
        <w:ind w:left="737" w:hanging="737"/>
      </w:pPr>
      <w:bookmarkStart w:id="44" w:name="_Toc418763090"/>
      <w:bookmarkStart w:id="45" w:name="_Toc420394243"/>
      <w:r>
        <w:t>3.1.3</w:t>
      </w:r>
      <w:r>
        <w:tab/>
      </w:r>
      <w:r w:rsidR="00BE3EB1" w:rsidRPr="003D6C23">
        <w:t>Timing of amendments</w:t>
      </w:r>
      <w:bookmarkEnd w:id="44"/>
      <w:bookmarkEnd w:id="45"/>
    </w:p>
    <w:p w:rsidR="00BE3EB1" w:rsidRPr="003D6C23" w:rsidRDefault="00BE3EB1" w:rsidP="00BE3EB1">
      <w:pPr>
        <w:pStyle w:val="ListParagraph"/>
        <w:spacing w:after="120"/>
        <w:ind w:left="737"/>
        <w:contextualSpacing w:val="0"/>
        <w:rPr>
          <w:rFonts w:asciiTheme="minorHAnsi" w:hAnsiTheme="minorHAnsi" w:cs="Calibri"/>
          <w:sz w:val="22"/>
        </w:rPr>
      </w:pPr>
      <w:r w:rsidRPr="003D6C23">
        <w:rPr>
          <w:rFonts w:asciiTheme="minorHAnsi" w:hAnsiTheme="minorHAnsi"/>
          <w:sz w:val="22"/>
          <w:szCs w:val="22"/>
        </w:rPr>
        <w:t xml:space="preserve">The amendments to the PCEHR Act and HI Act are </w:t>
      </w:r>
      <w:r w:rsidR="00336EB6">
        <w:rPr>
          <w:rFonts w:asciiTheme="minorHAnsi" w:hAnsiTheme="minorHAnsi"/>
          <w:sz w:val="22"/>
          <w:szCs w:val="22"/>
        </w:rPr>
        <w:t xml:space="preserve">generally </w:t>
      </w:r>
      <w:r w:rsidRPr="003D6C23">
        <w:rPr>
          <w:rFonts w:asciiTheme="minorHAnsi" w:hAnsiTheme="minorHAnsi"/>
          <w:sz w:val="22"/>
          <w:szCs w:val="22"/>
        </w:rPr>
        <w:t>proposed to commence upon Royal Assent, except where otherwise specified in this paper.</w:t>
      </w:r>
      <w:r w:rsidR="008C4738" w:rsidRPr="003D6C23">
        <w:rPr>
          <w:rFonts w:asciiTheme="minorHAnsi" w:hAnsiTheme="minorHAnsi"/>
          <w:sz w:val="22"/>
          <w:szCs w:val="22"/>
        </w:rPr>
        <w:t xml:space="preserve">  </w:t>
      </w:r>
    </w:p>
    <w:p w:rsidR="00E856A6" w:rsidRPr="003C72D7" w:rsidRDefault="00205A8D" w:rsidP="00205A8D">
      <w:pPr>
        <w:pStyle w:val="Heading2"/>
        <w:numPr>
          <w:ilvl w:val="0"/>
          <w:numId w:val="0"/>
        </w:numPr>
        <w:ind w:left="737" w:hanging="737"/>
      </w:pPr>
      <w:bookmarkStart w:id="46" w:name="_Toc418763091"/>
      <w:bookmarkStart w:id="47" w:name="_Toc420394244"/>
      <w:r>
        <w:t>3.2</w:t>
      </w:r>
      <w:r>
        <w:tab/>
      </w:r>
      <w:r w:rsidR="00E856A6" w:rsidRPr="003C72D7">
        <w:t>Governance</w:t>
      </w:r>
      <w:bookmarkEnd w:id="46"/>
      <w:bookmarkEnd w:id="47"/>
    </w:p>
    <w:p w:rsidR="0073027E" w:rsidRPr="002E0087" w:rsidRDefault="0073027E" w:rsidP="002E0087">
      <w:pPr>
        <w:spacing w:after="120"/>
        <w:ind w:left="737"/>
        <w:rPr>
          <w:rFonts w:asciiTheme="minorHAnsi" w:hAnsiTheme="minorHAnsi"/>
          <w:sz w:val="22"/>
          <w:szCs w:val="22"/>
        </w:rPr>
      </w:pPr>
      <w:r w:rsidRPr="002E0087">
        <w:rPr>
          <w:rFonts w:asciiTheme="minorHAnsi" w:hAnsiTheme="minorHAnsi"/>
          <w:sz w:val="22"/>
          <w:szCs w:val="22"/>
        </w:rPr>
        <w:t>The PCEHR Review identified serious concerns with current eHealth governance arrangements.  It found that significant change is needed on the basis that existing arrangements:</w:t>
      </w:r>
    </w:p>
    <w:p w:rsidR="002E0087" w:rsidRDefault="0073027E" w:rsidP="002E0087">
      <w:pPr>
        <w:pStyle w:val="ListParagraph"/>
        <w:numPr>
          <w:ilvl w:val="0"/>
          <w:numId w:val="28"/>
        </w:numPr>
        <w:spacing w:after="120"/>
        <w:ind w:left="1094" w:hanging="357"/>
        <w:contextualSpacing w:val="0"/>
        <w:rPr>
          <w:rFonts w:asciiTheme="minorHAnsi" w:hAnsiTheme="minorHAnsi"/>
          <w:sz w:val="22"/>
          <w:szCs w:val="22"/>
        </w:rPr>
      </w:pPr>
      <w:r w:rsidRPr="002E0087">
        <w:rPr>
          <w:rFonts w:asciiTheme="minorHAnsi" w:hAnsiTheme="minorHAnsi"/>
          <w:sz w:val="22"/>
          <w:szCs w:val="22"/>
        </w:rPr>
        <w:t>do not reflect the representation of the expected users of the system, including clinicians and healthcare providers, within the governance framework;</w:t>
      </w:r>
    </w:p>
    <w:p w:rsidR="002E0087" w:rsidRDefault="0073027E" w:rsidP="002E0087">
      <w:pPr>
        <w:pStyle w:val="ListParagraph"/>
        <w:numPr>
          <w:ilvl w:val="0"/>
          <w:numId w:val="28"/>
        </w:numPr>
        <w:spacing w:after="120"/>
        <w:ind w:left="1094" w:hanging="357"/>
        <w:contextualSpacing w:val="0"/>
        <w:rPr>
          <w:rFonts w:asciiTheme="minorHAnsi" w:hAnsiTheme="minorHAnsi"/>
          <w:sz w:val="22"/>
          <w:szCs w:val="22"/>
        </w:rPr>
      </w:pPr>
      <w:r w:rsidRPr="002E0087">
        <w:rPr>
          <w:rFonts w:asciiTheme="minorHAnsi" w:hAnsiTheme="minorHAnsi"/>
          <w:sz w:val="22"/>
          <w:szCs w:val="22"/>
        </w:rPr>
        <w:t>do not have the confidence of the sector;</w:t>
      </w:r>
    </w:p>
    <w:p w:rsidR="002E0087" w:rsidRDefault="0073027E" w:rsidP="002E0087">
      <w:pPr>
        <w:pStyle w:val="ListParagraph"/>
        <w:numPr>
          <w:ilvl w:val="0"/>
          <w:numId w:val="28"/>
        </w:numPr>
        <w:spacing w:after="120"/>
        <w:ind w:left="1094" w:hanging="357"/>
        <w:contextualSpacing w:val="0"/>
        <w:rPr>
          <w:rFonts w:asciiTheme="minorHAnsi" w:hAnsiTheme="minorHAnsi"/>
          <w:sz w:val="22"/>
          <w:szCs w:val="22"/>
        </w:rPr>
      </w:pPr>
      <w:r w:rsidRPr="002E0087">
        <w:rPr>
          <w:rFonts w:asciiTheme="minorHAnsi" w:hAnsiTheme="minorHAnsi"/>
          <w:sz w:val="22"/>
          <w:szCs w:val="22"/>
        </w:rPr>
        <w:t xml:space="preserve">are </w:t>
      </w:r>
      <w:r w:rsidR="007D6C72">
        <w:rPr>
          <w:rFonts w:asciiTheme="minorHAnsi" w:hAnsiTheme="minorHAnsi"/>
          <w:sz w:val="22"/>
          <w:szCs w:val="22"/>
        </w:rPr>
        <w:t xml:space="preserve">duplicative, </w:t>
      </w:r>
      <w:r w:rsidRPr="002E0087">
        <w:rPr>
          <w:rFonts w:asciiTheme="minorHAnsi" w:hAnsiTheme="minorHAnsi"/>
          <w:sz w:val="22"/>
          <w:szCs w:val="22"/>
        </w:rPr>
        <w:t>overly complicated and bureaucratic in nature; and</w:t>
      </w:r>
    </w:p>
    <w:p w:rsidR="0073027E" w:rsidRPr="002E0087" w:rsidRDefault="0073027E" w:rsidP="002E0087">
      <w:pPr>
        <w:pStyle w:val="ListParagraph"/>
        <w:numPr>
          <w:ilvl w:val="0"/>
          <w:numId w:val="28"/>
        </w:numPr>
        <w:spacing w:after="120"/>
        <w:ind w:left="1094" w:hanging="357"/>
        <w:contextualSpacing w:val="0"/>
        <w:rPr>
          <w:rFonts w:asciiTheme="minorHAnsi" w:hAnsiTheme="minorHAnsi"/>
          <w:sz w:val="22"/>
          <w:szCs w:val="22"/>
        </w:rPr>
      </w:pPr>
      <w:proofErr w:type="gramStart"/>
      <w:r w:rsidRPr="002E0087">
        <w:rPr>
          <w:rFonts w:asciiTheme="minorHAnsi" w:hAnsiTheme="minorHAnsi"/>
          <w:sz w:val="22"/>
          <w:szCs w:val="22"/>
        </w:rPr>
        <w:t>do</w:t>
      </w:r>
      <w:proofErr w:type="gramEnd"/>
      <w:r w:rsidRPr="002E0087">
        <w:rPr>
          <w:rFonts w:asciiTheme="minorHAnsi" w:hAnsiTheme="minorHAnsi"/>
          <w:sz w:val="22"/>
          <w:szCs w:val="22"/>
        </w:rPr>
        <w:t xml:space="preserve"> not effectively balance the needs of government and </w:t>
      </w:r>
      <w:r w:rsidR="007D6C72">
        <w:rPr>
          <w:rFonts w:asciiTheme="minorHAnsi" w:hAnsiTheme="minorHAnsi"/>
          <w:sz w:val="22"/>
          <w:szCs w:val="22"/>
        </w:rPr>
        <w:t>private</w:t>
      </w:r>
      <w:r w:rsidR="007D6C72" w:rsidRPr="002E0087">
        <w:rPr>
          <w:rFonts w:asciiTheme="minorHAnsi" w:hAnsiTheme="minorHAnsi"/>
          <w:sz w:val="22"/>
          <w:szCs w:val="22"/>
        </w:rPr>
        <w:t xml:space="preserve"> </w:t>
      </w:r>
      <w:r w:rsidRPr="002E0087">
        <w:rPr>
          <w:rFonts w:asciiTheme="minorHAnsi" w:hAnsiTheme="minorHAnsi"/>
          <w:sz w:val="22"/>
          <w:szCs w:val="22"/>
        </w:rPr>
        <w:t xml:space="preserve">sector </w:t>
      </w:r>
      <w:r w:rsidR="007D6C72">
        <w:rPr>
          <w:rFonts w:asciiTheme="minorHAnsi" w:hAnsiTheme="minorHAnsi"/>
          <w:sz w:val="22"/>
          <w:szCs w:val="22"/>
        </w:rPr>
        <w:t xml:space="preserve">health </w:t>
      </w:r>
      <w:r w:rsidRPr="002E0087">
        <w:rPr>
          <w:rFonts w:asciiTheme="minorHAnsi" w:hAnsiTheme="minorHAnsi"/>
          <w:sz w:val="22"/>
          <w:szCs w:val="22"/>
        </w:rPr>
        <w:t>organisations.</w:t>
      </w:r>
    </w:p>
    <w:p w:rsidR="0073027E" w:rsidRPr="002E0087" w:rsidRDefault="0073027E" w:rsidP="002E0087">
      <w:pPr>
        <w:spacing w:after="120"/>
        <w:ind w:left="737"/>
        <w:rPr>
          <w:rFonts w:asciiTheme="minorHAnsi" w:hAnsiTheme="minorHAnsi"/>
          <w:sz w:val="22"/>
          <w:szCs w:val="22"/>
        </w:rPr>
      </w:pPr>
      <w:r w:rsidRPr="002E0087">
        <w:rPr>
          <w:rFonts w:asciiTheme="minorHAnsi" w:hAnsiTheme="minorHAnsi"/>
          <w:sz w:val="22"/>
          <w:szCs w:val="22"/>
        </w:rPr>
        <w:t xml:space="preserve">To address these issues, </w:t>
      </w:r>
      <w:r w:rsidR="002E0087" w:rsidRPr="002E0087">
        <w:rPr>
          <w:rFonts w:asciiTheme="minorHAnsi" w:hAnsiTheme="minorHAnsi"/>
          <w:sz w:val="22"/>
          <w:szCs w:val="22"/>
        </w:rPr>
        <w:t xml:space="preserve">it is proposed that </w:t>
      </w:r>
      <w:r w:rsidRPr="002E0087">
        <w:rPr>
          <w:rFonts w:asciiTheme="minorHAnsi" w:hAnsiTheme="minorHAnsi"/>
          <w:sz w:val="22"/>
          <w:szCs w:val="22"/>
        </w:rPr>
        <w:t xml:space="preserve">new eHealth governance arrangements be established.  </w:t>
      </w:r>
      <w:r w:rsidR="00852DE4">
        <w:rPr>
          <w:rFonts w:asciiTheme="minorHAnsi" w:hAnsiTheme="minorHAnsi"/>
          <w:sz w:val="22"/>
          <w:szCs w:val="22"/>
        </w:rPr>
        <w:t>From July 2016 a new organisation, the Australian Commission for Electronic Health (</w:t>
      </w:r>
      <w:proofErr w:type="spellStart"/>
      <w:r w:rsidR="00852DE4">
        <w:rPr>
          <w:rFonts w:asciiTheme="minorHAnsi" w:hAnsiTheme="minorHAnsi"/>
          <w:sz w:val="22"/>
          <w:szCs w:val="22"/>
        </w:rPr>
        <w:t>ACeH</w:t>
      </w:r>
      <w:proofErr w:type="spellEnd"/>
      <w:r w:rsidR="00852DE4">
        <w:rPr>
          <w:rFonts w:asciiTheme="minorHAnsi" w:hAnsiTheme="minorHAnsi"/>
          <w:sz w:val="22"/>
          <w:szCs w:val="22"/>
        </w:rPr>
        <w:t>), will be responsible for all national eHealth systems including the PCEHR system.</w:t>
      </w:r>
      <w:r w:rsidRPr="002E0087">
        <w:rPr>
          <w:rFonts w:asciiTheme="minorHAnsi" w:hAnsiTheme="minorHAnsi"/>
          <w:sz w:val="22"/>
          <w:szCs w:val="22"/>
        </w:rPr>
        <w:t xml:space="preserve">  </w:t>
      </w:r>
      <w:proofErr w:type="spellStart"/>
      <w:r w:rsidRPr="002E0087">
        <w:rPr>
          <w:rFonts w:asciiTheme="minorHAnsi" w:hAnsiTheme="minorHAnsi"/>
          <w:sz w:val="22"/>
          <w:szCs w:val="22"/>
        </w:rPr>
        <w:t>ACeH</w:t>
      </w:r>
      <w:proofErr w:type="spellEnd"/>
      <w:r w:rsidRPr="002E0087">
        <w:rPr>
          <w:rFonts w:asciiTheme="minorHAnsi" w:hAnsiTheme="minorHAnsi"/>
          <w:sz w:val="22"/>
          <w:szCs w:val="22"/>
        </w:rPr>
        <w:t xml:space="preserve"> </w:t>
      </w:r>
      <w:r w:rsidR="00487A5E">
        <w:rPr>
          <w:rFonts w:asciiTheme="minorHAnsi" w:hAnsiTheme="minorHAnsi"/>
          <w:sz w:val="22"/>
          <w:szCs w:val="22"/>
        </w:rPr>
        <w:t>will</w:t>
      </w:r>
      <w:r w:rsidR="00487A5E" w:rsidRPr="002E0087">
        <w:rPr>
          <w:rFonts w:asciiTheme="minorHAnsi" w:hAnsiTheme="minorHAnsi"/>
          <w:sz w:val="22"/>
          <w:szCs w:val="22"/>
        </w:rPr>
        <w:t xml:space="preserve"> </w:t>
      </w:r>
      <w:r w:rsidRPr="002E0087">
        <w:rPr>
          <w:rFonts w:asciiTheme="minorHAnsi" w:hAnsiTheme="minorHAnsi"/>
          <w:sz w:val="22"/>
          <w:szCs w:val="22"/>
        </w:rPr>
        <w:t xml:space="preserve">be a separate legal entity to the Commonwealth reporting to health ministers. </w:t>
      </w:r>
      <w:r w:rsidR="00B425EB" w:rsidRPr="002E0087">
        <w:rPr>
          <w:rFonts w:asciiTheme="minorHAnsi" w:hAnsiTheme="minorHAnsi"/>
          <w:sz w:val="22"/>
          <w:szCs w:val="22"/>
        </w:rPr>
        <w:t xml:space="preserve"> </w:t>
      </w:r>
      <w:proofErr w:type="spellStart"/>
      <w:r w:rsidRPr="002E0087">
        <w:rPr>
          <w:rFonts w:asciiTheme="minorHAnsi" w:hAnsiTheme="minorHAnsi"/>
          <w:sz w:val="22"/>
          <w:szCs w:val="22"/>
        </w:rPr>
        <w:t>ACeH</w:t>
      </w:r>
      <w:proofErr w:type="spellEnd"/>
      <w:r w:rsidRPr="002E0087">
        <w:rPr>
          <w:rFonts w:asciiTheme="minorHAnsi" w:hAnsiTheme="minorHAnsi"/>
          <w:sz w:val="22"/>
          <w:szCs w:val="22"/>
        </w:rPr>
        <w:t xml:space="preserve"> </w:t>
      </w:r>
      <w:r w:rsidR="00487A5E">
        <w:rPr>
          <w:rFonts w:asciiTheme="minorHAnsi" w:hAnsiTheme="minorHAnsi"/>
          <w:sz w:val="22"/>
          <w:szCs w:val="22"/>
        </w:rPr>
        <w:t>will</w:t>
      </w:r>
      <w:r w:rsidR="00487A5E" w:rsidRPr="002E0087">
        <w:rPr>
          <w:rFonts w:asciiTheme="minorHAnsi" w:hAnsiTheme="minorHAnsi"/>
          <w:sz w:val="22"/>
          <w:szCs w:val="22"/>
        </w:rPr>
        <w:t xml:space="preserve"> </w:t>
      </w:r>
      <w:r w:rsidRPr="002E0087">
        <w:rPr>
          <w:rFonts w:asciiTheme="minorHAnsi" w:hAnsiTheme="minorHAnsi"/>
          <w:sz w:val="22"/>
          <w:szCs w:val="22"/>
        </w:rPr>
        <w:t>be governed by a skills-based board supported by a number of advisory committees with appropriate technical expertise and representation from jurisdictions and the sector.</w:t>
      </w:r>
      <w:r w:rsidR="00904A0F">
        <w:rPr>
          <w:rFonts w:asciiTheme="minorHAnsi" w:hAnsiTheme="minorHAnsi"/>
          <w:sz w:val="22"/>
          <w:szCs w:val="22"/>
        </w:rPr>
        <w:t xml:space="preserve">  </w:t>
      </w:r>
      <w:proofErr w:type="spellStart"/>
      <w:r w:rsidR="00904A0F">
        <w:rPr>
          <w:rFonts w:asciiTheme="minorHAnsi" w:hAnsiTheme="minorHAnsi"/>
          <w:sz w:val="22"/>
          <w:szCs w:val="22"/>
        </w:rPr>
        <w:t>ACeH</w:t>
      </w:r>
      <w:proofErr w:type="spellEnd"/>
      <w:r w:rsidR="00904A0F">
        <w:rPr>
          <w:rFonts w:asciiTheme="minorHAnsi" w:hAnsiTheme="minorHAnsi"/>
          <w:sz w:val="22"/>
          <w:szCs w:val="22"/>
        </w:rPr>
        <w:t xml:space="preserve"> </w:t>
      </w:r>
      <w:r w:rsidR="00487A5E">
        <w:rPr>
          <w:rFonts w:asciiTheme="minorHAnsi" w:hAnsiTheme="minorHAnsi"/>
          <w:sz w:val="22"/>
          <w:szCs w:val="22"/>
        </w:rPr>
        <w:t xml:space="preserve">will </w:t>
      </w:r>
      <w:r w:rsidR="00904A0F">
        <w:rPr>
          <w:rFonts w:asciiTheme="minorHAnsi" w:hAnsiTheme="minorHAnsi"/>
          <w:sz w:val="22"/>
          <w:szCs w:val="22"/>
        </w:rPr>
        <w:t>assume responsibility for the governance and operation of all eHealth across Australia.</w:t>
      </w:r>
      <w:r w:rsidRPr="002E0087">
        <w:rPr>
          <w:rFonts w:asciiTheme="minorHAnsi" w:hAnsiTheme="minorHAnsi"/>
          <w:sz w:val="22"/>
          <w:szCs w:val="22"/>
        </w:rPr>
        <w:t xml:space="preserve"> </w:t>
      </w:r>
    </w:p>
    <w:p w:rsidR="0073027E" w:rsidRPr="002E0087" w:rsidRDefault="0073027E" w:rsidP="002E0087">
      <w:pPr>
        <w:spacing w:after="120"/>
        <w:ind w:left="737"/>
        <w:rPr>
          <w:rFonts w:asciiTheme="minorHAnsi" w:hAnsiTheme="minorHAnsi"/>
          <w:sz w:val="22"/>
          <w:szCs w:val="22"/>
        </w:rPr>
      </w:pPr>
      <w:r w:rsidRPr="002E0087">
        <w:rPr>
          <w:rFonts w:asciiTheme="minorHAnsi" w:hAnsiTheme="minorHAnsi"/>
          <w:sz w:val="22"/>
          <w:szCs w:val="22"/>
        </w:rPr>
        <w:lastRenderedPageBreak/>
        <w:t xml:space="preserve">These proposed changes </w:t>
      </w:r>
      <w:r w:rsidR="00487A5E">
        <w:rPr>
          <w:rFonts w:asciiTheme="minorHAnsi" w:hAnsiTheme="minorHAnsi"/>
          <w:sz w:val="22"/>
          <w:szCs w:val="22"/>
        </w:rPr>
        <w:t>will</w:t>
      </w:r>
      <w:r w:rsidR="00487A5E" w:rsidRPr="002E0087">
        <w:rPr>
          <w:rFonts w:asciiTheme="minorHAnsi" w:hAnsiTheme="minorHAnsi"/>
          <w:sz w:val="22"/>
          <w:szCs w:val="22"/>
        </w:rPr>
        <w:t xml:space="preserve"> </w:t>
      </w:r>
      <w:r w:rsidRPr="002E0087">
        <w:rPr>
          <w:rFonts w:asciiTheme="minorHAnsi" w:hAnsiTheme="minorHAnsi"/>
          <w:sz w:val="22"/>
          <w:szCs w:val="22"/>
        </w:rPr>
        <w:t xml:space="preserve">enhance national eHealth governance arrangements to simplify structures, strengthen accountability, improve transparency, and more appropriately represent key eHealth stakeholders.  </w:t>
      </w:r>
    </w:p>
    <w:p w:rsidR="00B425EB" w:rsidRPr="003D6C23" w:rsidRDefault="00B425EB" w:rsidP="00B425EB">
      <w:pPr>
        <w:pStyle w:val="Heading3"/>
        <w:numPr>
          <w:ilvl w:val="0"/>
          <w:numId w:val="0"/>
        </w:numPr>
        <w:ind w:left="737" w:hanging="737"/>
      </w:pPr>
      <w:bookmarkStart w:id="48" w:name="_Toc418763092"/>
      <w:bookmarkStart w:id="49" w:name="_Toc420394245"/>
      <w:r>
        <w:t>3.</w:t>
      </w:r>
      <w:r w:rsidR="00756FFB">
        <w:t>2</w:t>
      </w:r>
      <w:r>
        <w:t>.</w:t>
      </w:r>
      <w:r w:rsidR="00756FFB">
        <w:t>1</w:t>
      </w:r>
      <w:r>
        <w:tab/>
        <w:t xml:space="preserve">Establishment of </w:t>
      </w:r>
      <w:proofErr w:type="spellStart"/>
      <w:r>
        <w:t>ACeH</w:t>
      </w:r>
      <w:bookmarkEnd w:id="48"/>
      <w:bookmarkEnd w:id="49"/>
      <w:proofErr w:type="spellEnd"/>
    </w:p>
    <w:p w:rsidR="0073027E" w:rsidRPr="002E0087" w:rsidRDefault="0073027E" w:rsidP="002E0087">
      <w:pPr>
        <w:spacing w:after="120"/>
        <w:ind w:left="737"/>
        <w:rPr>
          <w:rFonts w:asciiTheme="minorHAnsi" w:hAnsiTheme="minorHAnsi"/>
          <w:sz w:val="22"/>
          <w:szCs w:val="22"/>
        </w:rPr>
      </w:pPr>
      <w:proofErr w:type="spellStart"/>
      <w:r w:rsidRPr="002E0087">
        <w:rPr>
          <w:rFonts w:asciiTheme="minorHAnsi" w:hAnsiTheme="minorHAnsi"/>
          <w:sz w:val="22"/>
          <w:szCs w:val="22"/>
        </w:rPr>
        <w:t>ACeH</w:t>
      </w:r>
      <w:proofErr w:type="spellEnd"/>
      <w:r w:rsidRPr="002E0087">
        <w:rPr>
          <w:rFonts w:asciiTheme="minorHAnsi" w:hAnsiTheme="minorHAnsi"/>
          <w:sz w:val="22"/>
          <w:szCs w:val="22"/>
        </w:rPr>
        <w:t xml:space="preserve"> </w:t>
      </w:r>
      <w:r w:rsidR="00487A5E">
        <w:rPr>
          <w:rFonts w:asciiTheme="minorHAnsi" w:hAnsiTheme="minorHAnsi"/>
          <w:sz w:val="22"/>
          <w:szCs w:val="22"/>
        </w:rPr>
        <w:t>will</w:t>
      </w:r>
      <w:r w:rsidR="00487A5E" w:rsidRPr="002E0087">
        <w:rPr>
          <w:rFonts w:asciiTheme="minorHAnsi" w:hAnsiTheme="minorHAnsi"/>
          <w:sz w:val="22"/>
          <w:szCs w:val="22"/>
        </w:rPr>
        <w:t xml:space="preserve"> </w:t>
      </w:r>
      <w:r w:rsidRPr="002E0087">
        <w:rPr>
          <w:rFonts w:asciiTheme="minorHAnsi" w:hAnsiTheme="minorHAnsi"/>
          <w:sz w:val="22"/>
          <w:szCs w:val="22"/>
        </w:rPr>
        <w:t xml:space="preserve">be established as a new corporate Commonwealth entity through rules made under the </w:t>
      </w:r>
      <w:r w:rsidRPr="002E0087">
        <w:rPr>
          <w:rFonts w:asciiTheme="minorHAnsi" w:hAnsiTheme="minorHAnsi"/>
          <w:i/>
          <w:sz w:val="22"/>
          <w:szCs w:val="22"/>
        </w:rPr>
        <w:t>Public Governance, Performance and Accountability Act 2013</w:t>
      </w:r>
      <w:r w:rsidR="00B425EB" w:rsidRPr="002E0087">
        <w:rPr>
          <w:rFonts w:asciiTheme="minorHAnsi" w:hAnsiTheme="minorHAnsi"/>
          <w:i/>
          <w:sz w:val="22"/>
          <w:szCs w:val="22"/>
        </w:rPr>
        <w:t xml:space="preserve"> </w:t>
      </w:r>
      <w:r w:rsidRPr="002E0087">
        <w:rPr>
          <w:rFonts w:asciiTheme="minorHAnsi" w:hAnsiTheme="minorHAnsi"/>
          <w:sz w:val="22"/>
          <w:szCs w:val="22"/>
        </w:rPr>
        <w:t>(</w:t>
      </w:r>
      <w:proofErr w:type="spellStart"/>
      <w:r w:rsidRPr="002E0087">
        <w:rPr>
          <w:rFonts w:asciiTheme="minorHAnsi" w:hAnsiTheme="minorHAnsi"/>
          <w:sz w:val="22"/>
          <w:szCs w:val="22"/>
        </w:rPr>
        <w:t>PGPA</w:t>
      </w:r>
      <w:proofErr w:type="spellEnd"/>
      <w:r w:rsidRPr="002E0087">
        <w:rPr>
          <w:rFonts w:asciiTheme="minorHAnsi" w:hAnsiTheme="minorHAnsi"/>
          <w:sz w:val="22"/>
          <w:szCs w:val="22"/>
        </w:rPr>
        <w:t xml:space="preserve"> Act) and the </w:t>
      </w:r>
      <w:proofErr w:type="spellStart"/>
      <w:r w:rsidRPr="002E0087">
        <w:rPr>
          <w:rFonts w:asciiTheme="minorHAnsi" w:hAnsiTheme="minorHAnsi"/>
          <w:sz w:val="22"/>
          <w:szCs w:val="22"/>
        </w:rPr>
        <w:t>PGPA</w:t>
      </w:r>
      <w:proofErr w:type="spellEnd"/>
      <w:r w:rsidRPr="002E0087">
        <w:rPr>
          <w:rFonts w:asciiTheme="minorHAnsi" w:hAnsiTheme="minorHAnsi"/>
          <w:sz w:val="22"/>
          <w:szCs w:val="22"/>
        </w:rPr>
        <w:t xml:space="preserve"> Rules.</w:t>
      </w:r>
    </w:p>
    <w:p w:rsidR="00B425EB" w:rsidRPr="004643CB" w:rsidRDefault="00460075" w:rsidP="00756FFB">
      <w:pPr>
        <w:pStyle w:val="Heading4"/>
      </w:pPr>
      <w:bookmarkStart w:id="50" w:name="_Toc418763093"/>
      <w:bookmarkStart w:id="51" w:name="_Toc420394246"/>
      <w:r>
        <w:t>T</w:t>
      </w:r>
      <w:r w:rsidR="00B425EB" w:rsidRPr="004643CB">
        <w:t>iming</w:t>
      </w:r>
      <w:r>
        <w:t xml:space="preserve"> of </w:t>
      </w:r>
      <w:proofErr w:type="spellStart"/>
      <w:r>
        <w:t>ACeH</w:t>
      </w:r>
      <w:proofErr w:type="spellEnd"/>
      <w:r>
        <w:t xml:space="preserve"> establishment</w:t>
      </w:r>
      <w:bookmarkEnd w:id="50"/>
      <w:bookmarkEnd w:id="51"/>
    </w:p>
    <w:p w:rsidR="0073027E" w:rsidRPr="002E0087" w:rsidRDefault="0073027E" w:rsidP="002E0087">
      <w:pPr>
        <w:spacing w:after="120"/>
        <w:ind w:left="737"/>
        <w:rPr>
          <w:rFonts w:asciiTheme="minorHAnsi" w:hAnsiTheme="minorHAnsi"/>
          <w:sz w:val="22"/>
          <w:szCs w:val="22"/>
        </w:rPr>
      </w:pPr>
      <w:proofErr w:type="spellStart"/>
      <w:r w:rsidRPr="002E0087">
        <w:rPr>
          <w:rFonts w:asciiTheme="minorHAnsi" w:hAnsiTheme="minorHAnsi"/>
          <w:sz w:val="22"/>
          <w:szCs w:val="22"/>
        </w:rPr>
        <w:t>ACeH</w:t>
      </w:r>
      <w:proofErr w:type="spellEnd"/>
      <w:r w:rsidRPr="002E0087">
        <w:rPr>
          <w:rFonts w:asciiTheme="minorHAnsi" w:hAnsiTheme="minorHAnsi"/>
          <w:sz w:val="22"/>
          <w:szCs w:val="22"/>
        </w:rPr>
        <w:t xml:space="preserve"> </w:t>
      </w:r>
      <w:r w:rsidR="00487A5E">
        <w:rPr>
          <w:rFonts w:asciiTheme="minorHAnsi" w:hAnsiTheme="minorHAnsi"/>
          <w:sz w:val="22"/>
          <w:szCs w:val="22"/>
        </w:rPr>
        <w:t>is proposed to</w:t>
      </w:r>
      <w:r w:rsidR="00487A5E" w:rsidRPr="002E0087">
        <w:rPr>
          <w:rFonts w:asciiTheme="minorHAnsi" w:hAnsiTheme="minorHAnsi"/>
          <w:sz w:val="22"/>
          <w:szCs w:val="22"/>
        </w:rPr>
        <w:t xml:space="preserve"> </w:t>
      </w:r>
      <w:r w:rsidRPr="002E0087">
        <w:rPr>
          <w:rFonts w:asciiTheme="minorHAnsi" w:hAnsiTheme="minorHAnsi"/>
          <w:sz w:val="22"/>
          <w:szCs w:val="22"/>
        </w:rPr>
        <w:t xml:space="preserve">commence operations </w:t>
      </w:r>
      <w:r w:rsidR="00904A0F">
        <w:rPr>
          <w:rFonts w:asciiTheme="minorHAnsi" w:hAnsiTheme="minorHAnsi"/>
          <w:sz w:val="22"/>
          <w:szCs w:val="22"/>
        </w:rPr>
        <w:t>from</w:t>
      </w:r>
      <w:r w:rsidRPr="002E0087">
        <w:rPr>
          <w:rFonts w:asciiTheme="minorHAnsi" w:hAnsiTheme="minorHAnsi"/>
          <w:sz w:val="22"/>
          <w:szCs w:val="22"/>
        </w:rPr>
        <w:t xml:space="preserve"> July 2016.</w:t>
      </w:r>
    </w:p>
    <w:p w:rsidR="00B425EB" w:rsidRPr="004643CB" w:rsidRDefault="00B425EB" w:rsidP="00756FFB">
      <w:pPr>
        <w:pStyle w:val="Heading4"/>
      </w:pPr>
      <w:bookmarkStart w:id="52" w:name="_Toc418763094"/>
      <w:bookmarkStart w:id="53" w:name="_Toc420394247"/>
      <w:r>
        <w:t>Disbanding current arrangements</w:t>
      </w:r>
      <w:bookmarkEnd w:id="52"/>
      <w:bookmarkEnd w:id="53"/>
    </w:p>
    <w:p w:rsidR="00756FFB" w:rsidRPr="002E0087" w:rsidRDefault="00756FFB" w:rsidP="002E0087">
      <w:pPr>
        <w:spacing w:after="120"/>
        <w:ind w:left="737"/>
        <w:rPr>
          <w:rFonts w:asciiTheme="minorHAnsi" w:hAnsiTheme="minorHAnsi"/>
          <w:b/>
          <w:sz w:val="22"/>
          <w:szCs w:val="22"/>
        </w:rPr>
      </w:pPr>
      <w:r w:rsidRPr="002E0087">
        <w:rPr>
          <w:rFonts w:asciiTheme="minorHAnsi" w:hAnsiTheme="minorHAnsi"/>
          <w:sz w:val="22"/>
          <w:szCs w:val="22"/>
        </w:rPr>
        <w:t>The PCEHR Act currently provides that the System Operator must have regard to advice and recommendations provided by the Jurisdictional Advisory Committee (JAC) and the Independent Advisory Council (</w:t>
      </w:r>
      <w:proofErr w:type="spellStart"/>
      <w:r w:rsidRPr="002E0087">
        <w:rPr>
          <w:rFonts w:asciiTheme="minorHAnsi" w:hAnsiTheme="minorHAnsi"/>
          <w:sz w:val="22"/>
          <w:szCs w:val="22"/>
        </w:rPr>
        <w:t>IAC</w:t>
      </w:r>
      <w:proofErr w:type="spellEnd"/>
      <w:r w:rsidRPr="002E0087">
        <w:rPr>
          <w:rFonts w:asciiTheme="minorHAnsi" w:hAnsiTheme="minorHAnsi"/>
          <w:sz w:val="22"/>
          <w:szCs w:val="22"/>
        </w:rPr>
        <w:t xml:space="preserve">), and that the Minister must consult </w:t>
      </w:r>
      <w:proofErr w:type="spellStart"/>
      <w:r w:rsidRPr="002E0087">
        <w:rPr>
          <w:rFonts w:asciiTheme="minorHAnsi" w:hAnsiTheme="minorHAnsi"/>
          <w:sz w:val="22"/>
          <w:szCs w:val="22"/>
        </w:rPr>
        <w:t>IAC</w:t>
      </w:r>
      <w:proofErr w:type="spellEnd"/>
      <w:r w:rsidRPr="002E0087">
        <w:rPr>
          <w:rFonts w:asciiTheme="minorHAnsi" w:hAnsiTheme="minorHAnsi"/>
          <w:sz w:val="22"/>
          <w:szCs w:val="22"/>
        </w:rPr>
        <w:t xml:space="preserve"> and JAC before making any PCEHR Rules.</w:t>
      </w:r>
    </w:p>
    <w:p w:rsidR="0073027E" w:rsidRPr="002E0087" w:rsidRDefault="0073027E" w:rsidP="002E0087">
      <w:pPr>
        <w:spacing w:after="120"/>
        <w:ind w:left="737"/>
        <w:rPr>
          <w:rFonts w:asciiTheme="minorHAnsi" w:hAnsiTheme="minorHAnsi"/>
          <w:sz w:val="22"/>
          <w:szCs w:val="22"/>
        </w:rPr>
      </w:pPr>
      <w:r w:rsidRPr="002E0087">
        <w:rPr>
          <w:rFonts w:asciiTheme="minorHAnsi" w:hAnsiTheme="minorHAnsi"/>
          <w:sz w:val="22"/>
          <w:szCs w:val="22"/>
        </w:rPr>
        <w:t xml:space="preserve">JAC and </w:t>
      </w:r>
      <w:proofErr w:type="spellStart"/>
      <w:r w:rsidRPr="002E0087">
        <w:rPr>
          <w:rFonts w:asciiTheme="minorHAnsi" w:hAnsiTheme="minorHAnsi"/>
          <w:sz w:val="22"/>
          <w:szCs w:val="22"/>
        </w:rPr>
        <w:t>IAC</w:t>
      </w:r>
      <w:proofErr w:type="spellEnd"/>
      <w:r w:rsidRPr="002E0087">
        <w:rPr>
          <w:rFonts w:asciiTheme="minorHAnsi" w:hAnsiTheme="minorHAnsi"/>
          <w:sz w:val="22"/>
          <w:szCs w:val="22"/>
        </w:rPr>
        <w:t xml:space="preserve"> </w:t>
      </w:r>
      <w:r w:rsidR="00487A5E">
        <w:rPr>
          <w:rFonts w:asciiTheme="minorHAnsi" w:hAnsiTheme="minorHAnsi"/>
          <w:sz w:val="22"/>
          <w:szCs w:val="22"/>
        </w:rPr>
        <w:t>will</w:t>
      </w:r>
      <w:r w:rsidR="00487A5E" w:rsidRPr="002E0087">
        <w:rPr>
          <w:rFonts w:asciiTheme="minorHAnsi" w:hAnsiTheme="minorHAnsi"/>
          <w:sz w:val="22"/>
          <w:szCs w:val="22"/>
        </w:rPr>
        <w:t xml:space="preserve"> </w:t>
      </w:r>
      <w:r w:rsidRPr="002E0087">
        <w:rPr>
          <w:rFonts w:asciiTheme="minorHAnsi" w:hAnsiTheme="minorHAnsi"/>
          <w:sz w:val="22"/>
          <w:szCs w:val="22"/>
        </w:rPr>
        <w:t>be abolished</w:t>
      </w:r>
      <w:r w:rsidR="00852DE4">
        <w:rPr>
          <w:rFonts w:asciiTheme="minorHAnsi" w:hAnsiTheme="minorHAnsi"/>
          <w:sz w:val="22"/>
          <w:szCs w:val="22"/>
        </w:rPr>
        <w:t xml:space="preserve"> as part of the new governance arrangements and t</w:t>
      </w:r>
      <w:r w:rsidRPr="002E0087">
        <w:rPr>
          <w:rFonts w:asciiTheme="minorHAnsi" w:hAnsiTheme="minorHAnsi"/>
          <w:sz w:val="22"/>
          <w:szCs w:val="22"/>
        </w:rPr>
        <w:t xml:space="preserve">his </w:t>
      </w:r>
      <w:r w:rsidR="00487A5E">
        <w:rPr>
          <w:rFonts w:asciiTheme="minorHAnsi" w:hAnsiTheme="minorHAnsi"/>
          <w:sz w:val="22"/>
          <w:szCs w:val="22"/>
        </w:rPr>
        <w:t>will</w:t>
      </w:r>
      <w:r w:rsidR="00487A5E" w:rsidRPr="002E0087">
        <w:rPr>
          <w:rFonts w:asciiTheme="minorHAnsi" w:hAnsiTheme="minorHAnsi"/>
          <w:sz w:val="22"/>
          <w:szCs w:val="22"/>
        </w:rPr>
        <w:t xml:space="preserve"> </w:t>
      </w:r>
      <w:r w:rsidRPr="002E0087">
        <w:rPr>
          <w:rFonts w:asciiTheme="minorHAnsi" w:hAnsiTheme="minorHAnsi"/>
          <w:sz w:val="22"/>
          <w:szCs w:val="22"/>
        </w:rPr>
        <w:t>require amendments to the PCEHR Act and PCEHR Regulations to remove all provisions associated with their establishment</w:t>
      </w:r>
      <w:r w:rsidR="00756FFB" w:rsidRPr="002E0087">
        <w:rPr>
          <w:rFonts w:asciiTheme="minorHAnsi" w:hAnsiTheme="minorHAnsi"/>
          <w:sz w:val="22"/>
          <w:szCs w:val="22"/>
        </w:rPr>
        <w:t>,</w:t>
      </w:r>
      <w:r w:rsidR="00B425EB" w:rsidRPr="002E0087">
        <w:rPr>
          <w:rFonts w:asciiTheme="minorHAnsi" w:hAnsiTheme="minorHAnsi"/>
          <w:sz w:val="22"/>
          <w:szCs w:val="22"/>
        </w:rPr>
        <w:t xml:space="preserve"> </w:t>
      </w:r>
      <w:r w:rsidRPr="002E0087">
        <w:rPr>
          <w:rFonts w:asciiTheme="minorHAnsi" w:hAnsiTheme="minorHAnsi"/>
          <w:sz w:val="22"/>
          <w:szCs w:val="22"/>
        </w:rPr>
        <w:t>operation</w:t>
      </w:r>
      <w:r w:rsidR="00756FFB" w:rsidRPr="002E0087">
        <w:rPr>
          <w:rFonts w:asciiTheme="minorHAnsi" w:hAnsiTheme="minorHAnsi"/>
          <w:sz w:val="22"/>
          <w:szCs w:val="22"/>
        </w:rPr>
        <w:t xml:space="preserve"> and the need for t</w:t>
      </w:r>
      <w:r w:rsidRPr="002E0087">
        <w:rPr>
          <w:rFonts w:asciiTheme="minorHAnsi" w:hAnsiTheme="minorHAnsi"/>
          <w:sz w:val="22"/>
          <w:szCs w:val="22"/>
        </w:rPr>
        <w:t xml:space="preserve">he Minister </w:t>
      </w:r>
      <w:r w:rsidR="00756FFB" w:rsidRPr="002E0087">
        <w:rPr>
          <w:rFonts w:asciiTheme="minorHAnsi" w:hAnsiTheme="minorHAnsi"/>
          <w:sz w:val="22"/>
          <w:szCs w:val="22"/>
        </w:rPr>
        <w:t>to</w:t>
      </w:r>
      <w:r w:rsidRPr="002E0087">
        <w:rPr>
          <w:rFonts w:asciiTheme="minorHAnsi" w:hAnsiTheme="minorHAnsi"/>
          <w:sz w:val="22"/>
          <w:szCs w:val="22"/>
        </w:rPr>
        <w:t xml:space="preserve"> consult with JAC and </w:t>
      </w:r>
      <w:proofErr w:type="spellStart"/>
      <w:r w:rsidRPr="002E0087">
        <w:rPr>
          <w:rFonts w:asciiTheme="minorHAnsi" w:hAnsiTheme="minorHAnsi"/>
          <w:sz w:val="22"/>
          <w:szCs w:val="22"/>
        </w:rPr>
        <w:t>IAC</w:t>
      </w:r>
      <w:proofErr w:type="spellEnd"/>
      <w:r w:rsidRPr="002E0087">
        <w:rPr>
          <w:rFonts w:asciiTheme="minorHAnsi" w:hAnsiTheme="minorHAnsi"/>
          <w:sz w:val="22"/>
          <w:szCs w:val="22"/>
        </w:rPr>
        <w:t xml:space="preserve"> before making </w:t>
      </w:r>
      <w:r w:rsidR="00756FFB" w:rsidRPr="002E0087">
        <w:rPr>
          <w:rFonts w:asciiTheme="minorHAnsi" w:hAnsiTheme="minorHAnsi"/>
          <w:sz w:val="22"/>
          <w:szCs w:val="22"/>
        </w:rPr>
        <w:t>P</w:t>
      </w:r>
      <w:r w:rsidRPr="002E0087">
        <w:rPr>
          <w:rFonts w:asciiTheme="minorHAnsi" w:hAnsiTheme="minorHAnsi"/>
          <w:sz w:val="22"/>
          <w:szCs w:val="22"/>
        </w:rPr>
        <w:t>CEHR Rules.</w:t>
      </w:r>
    </w:p>
    <w:p w:rsidR="0073027E" w:rsidRPr="002E0087" w:rsidRDefault="0073027E" w:rsidP="002E0087">
      <w:pPr>
        <w:spacing w:after="120"/>
        <w:ind w:left="737"/>
        <w:rPr>
          <w:rFonts w:asciiTheme="minorHAnsi" w:hAnsiTheme="minorHAnsi"/>
          <w:sz w:val="22"/>
          <w:szCs w:val="22"/>
        </w:rPr>
      </w:pPr>
      <w:r w:rsidRPr="002E0087">
        <w:rPr>
          <w:rFonts w:asciiTheme="minorHAnsi" w:hAnsiTheme="minorHAnsi"/>
          <w:sz w:val="22"/>
          <w:szCs w:val="22"/>
        </w:rPr>
        <w:t xml:space="preserve">Under the new governance arrangements, the roles of JAC and </w:t>
      </w:r>
      <w:proofErr w:type="spellStart"/>
      <w:r w:rsidRPr="002E0087">
        <w:rPr>
          <w:rFonts w:asciiTheme="minorHAnsi" w:hAnsiTheme="minorHAnsi"/>
          <w:sz w:val="22"/>
          <w:szCs w:val="22"/>
        </w:rPr>
        <w:t>IAC</w:t>
      </w:r>
      <w:proofErr w:type="spellEnd"/>
      <w:r w:rsidRPr="002E0087">
        <w:rPr>
          <w:rFonts w:asciiTheme="minorHAnsi" w:hAnsiTheme="minorHAnsi"/>
          <w:sz w:val="22"/>
          <w:szCs w:val="22"/>
        </w:rPr>
        <w:t xml:space="preserve"> </w:t>
      </w:r>
      <w:r w:rsidR="00487A5E">
        <w:rPr>
          <w:rFonts w:asciiTheme="minorHAnsi" w:hAnsiTheme="minorHAnsi"/>
          <w:sz w:val="22"/>
          <w:szCs w:val="22"/>
        </w:rPr>
        <w:t>will</w:t>
      </w:r>
      <w:r w:rsidR="00487A5E" w:rsidRPr="002E0087">
        <w:rPr>
          <w:rFonts w:asciiTheme="minorHAnsi" w:hAnsiTheme="minorHAnsi"/>
          <w:sz w:val="22"/>
          <w:szCs w:val="22"/>
        </w:rPr>
        <w:t xml:space="preserve"> </w:t>
      </w:r>
      <w:r w:rsidR="00904A0F">
        <w:rPr>
          <w:rFonts w:asciiTheme="minorHAnsi" w:hAnsiTheme="minorHAnsi"/>
          <w:sz w:val="22"/>
          <w:szCs w:val="22"/>
        </w:rPr>
        <w:t xml:space="preserve">respectively </w:t>
      </w:r>
      <w:r w:rsidRPr="002E0087">
        <w:rPr>
          <w:rFonts w:asciiTheme="minorHAnsi" w:hAnsiTheme="minorHAnsi"/>
          <w:sz w:val="22"/>
          <w:szCs w:val="22"/>
        </w:rPr>
        <w:t xml:space="preserve">be performed by the new </w:t>
      </w:r>
      <w:proofErr w:type="spellStart"/>
      <w:r w:rsidRPr="002E0087">
        <w:rPr>
          <w:rFonts w:asciiTheme="minorHAnsi" w:hAnsiTheme="minorHAnsi"/>
          <w:sz w:val="22"/>
          <w:szCs w:val="22"/>
        </w:rPr>
        <w:t>ACeH</w:t>
      </w:r>
      <w:proofErr w:type="spellEnd"/>
      <w:r w:rsidRPr="002E0087">
        <w:rPr>
          <w:rFonts w:asciiTheme="minorHAnsi" w:hAnsiTheme="minorHAnsi"/>
          <w:sz w:val="22"/>
          <w:szCs w:val="22"/>
        </w:rPr>
        <w:t xml:space="preserve"> Jurisdictional Advisory Committee</w:t>
      </w:r>
      <w:r w:rsidR="00756FFB" w:rsidRPr="002E0087">
        <w:rPr>
          <w:rFonts w:asciiTheme="minorHAnsi" w:hAnsiTheme="minorHAnsi"/>
          <w:sz w:val="22"/>
          <w:szCs w:val="22"/>
        </w:rPr>
        <w:t xml:space="preserve"> as recommended by the PCEHR Review</w:t>
      </w:r>
      <w:r w:rsidR="00756FFB" w:rsidRPr="002E0087">
        <w:rPr>
          <w:rStyle w:val="FootnoteReference"/>
          <w:rFonts w:asciiTheme="minorHAnsi" w:hAnsiTheme="minorHAnsi"/>
          <w:sz w:val="22"/>
          <w:szCs w:val="22"/>
        </w:rPr>
        <w:footnoteReference w:id="9"/>
      </w:r>
      <w:r w:rsidRPr="002E0087">
        <w:rPr>
          <w:rFonts w:asciiTheme="minorHAnsi" w:hAnsiTheme="minorHAnsi"/>
          <w:sz w:val="22"/>
          <w:szCs w:val="22"/>
        </w:rPr>
        <w:t xml:space="preserve">, and an independent assurer reporting directly to the Minister.  </w:t>
      </w:r>
    </w:p>
    <w:p w:rsidR="00B425EB" w:rsidRPr="004643CB" w:rsidRDefault="00B425EB" w:rsidP="00756FFB">
      <w:pPr>
        <w:pStyle w:val="Heading4"/>
      </w:pPr>
      <w:bookmarkStart w:id="54" w:name="_Toc418763095"/>
      <w:bookmarkStart w:id="55" w:name="_Toc420394248"/>
      <w:r>
        <w:t>Transition to new arrangements</w:t>
      </w:r>
      <w:bookmarkEnd w:id="54"/>
      <w:bookmarkEnd w:id="55"/>
    </w:p>
    <w:p w:rsidR="0073027E" w:rsidRPr="002E0087" w:rsidRDefault="00756FFB" w:rsidP="002E0087">
      <w:pPr>
        <w:spacing w:after="120"/>
        <w:ind w:left="737"/>
        <w:rPr>
          <w:rFonts w:asciiTheme="minorHAnsi" w:hAnsiTheme="minorHAnsi"/>
          <w:sz w:val="22"/>
          <w:szCs w:val="22"/>
        </w:rPr>
      </w:pPr>
      <w:r w:rsidRPr="002E0087">
        <w:rPr>
          <w:rFonts w:asciiTheme="minorHAnsi" w:hAnsiTheme="minorHAnsi"/>
          <w:sz w:val="22"/>
          <w:szCs w:val="22"/>
        </w:rPr>
        <w:t>As recommended by the PCEHR Review, a</w:t>
      </w:r>
      <w:r w:rsidR="00B425EB" w:rsidRPr="002E0087">
        <w:rPr>
          <w:rFonts w:asciiTheme="minorHAnsi" w:hAnsiTheme="minorHAnsi"/>
          <w:sz w:val="22"/>
          <w:szCs w:val="22"/>
        </w:rPr>
        <w:t>n i</w:t>
      </w:r>
      <w:r w:rsidR="0073027E" w:rsidRPr="002E0087">
        <w:rPr>
          <w:rFonts w:asciiTheme="minorHAnsi" w:hAnsiTheme="minorHAnsi"/>
          <w:sz w:val="22"/>
          <w:szCs w:val="22"/>
        </w:rPr>
        <w:t xml:space="preserve">mplementation </w:t>
      </w:r>
      <w:r w:rsidR="00B425EB" w:rsidRPr="002E0087">
        <w:rPr>
          <w:rFonts w:asciiTheme="minorHAnsi" w:hAnsiTheme="minorHAnsi"/>
          <w:sz w:val="22"/>
          <w:szCs w:val="22"/>
        </w:rPr>
        <w:t>t</w:t>
      </w:r>
      <w:r w:rsidR="0073027E" w:rsidRPr="002E0087">
        <w:rPr>
          <w:rFonts w:asciiTheme="minorHAnsi" w:hAnsiTheme="minorHAnsi"/>
          <w:sz w:val="22"/>
          <w:szCs w:val="22"/>
        </w:rPr>
        <w:t xml:space="preserve">askforce </w:t>
      </w:r>
      <w:r w:rsidR="00487A5E">
        <w:rPr>
          <w:rFonts w:asciiTheme="minorHAnsi" w:hAnsiTheme="minorHAnsi"/>
          <w:sz w:val="22"/>
          <w:szCs w:val="22"/>
        </w:rPr>
        <w:t>will</w:t>
      </w:r>
      <w:r w:rsidR="00487A5E" w:rsidRPr="002E0087">
        <w:rPr>
          <w:rFonts w:asciiTheme="minorHAnsi" w:hAnsiTheme="minorHAnsi"/>
          <w:sz w:val="22"/>
          <w:szCs w:val="22"/>
        </w:rPr>
        <w:t xml:space="preserve"> </w:t>
      </w:r>
      <w:r w:rsidR="0073027E" w:rsidRPr="002E0087">
        <w:rPr>
          <w:rFonts w:asciiTheme="minorHAnsi" w:hAnsiTheme="minorHAnsi"/>
          <w:sz w:val="22"/>
          <w:szCs w:val="22"/>
        </w:rPr>
        <w:t xml:space="preserve">be established (administratively) from July 2015 to oversee and advise on the </w:t>
      </w:r>
      <w:r w:rsidR="007D6C72">
        <w:rPr>
          <w:rFonts w:asciiTheme="minorHAnsi" w:hAnsiTheme="minorHAnsi"/>
          <w:sz w:val="22"/>
          <w:szCs w:val="22"/>
        </w:rPr>
        <w:t xml:space="preserve">design, establishment and </w:t>
      </w:r>
      <w:r w:rsidR="0073027E" w:rsidRPr="002E0087">
        <w:rPr>
          <w:rFonts w:asciiTheme="minorHAnsi" w:hAnsiTheme="minorHAnsi"/>
          <w:sz w:val="22"/>
          <w:szCs w:val="22"/>
        </w:rPr>
        <w:t>transition to the new national eHealth governance arrangements</w:t>
      </w:r>
      <w:r w:rsidR="00852DE4">
        <w:rPr>
          <w:rFonts w:asciiTheme="minorHAnsi" w:hAnsiTheme="minorHAnsi"/>
          <w:sz w:val="22"/>
          <w:szCs w:val="22"/>
        </w:rPr>
        <w:t>, including transitioning functions from NEHTA</w:t>
      </w:r>
      <w:r w:rsidR="0073027E" w:rsidRPr="002E0087">
        <w:rPr>
          <w:rFonts w:asciiTheme="minorHAnsi" w:hAnsiTheme="minorHAnsi"/>
          <w:sz w:val="22"/>
          <w:szCs w:val="22"/>
        </w:rPr>
        <w:t>.</w:t>
      </w:r>
      <w:r w:rsidRPr="002E0087">
        <w:rPr>
          <w:rStyle w:val="FootnoteReference"/>
          <w:rFonts w:asciiTheme="minorHAnsi" w:hAnsiTheme="minorHAnsi"/>
          <w:b/>
          <w:sz w:val="22"/>
          <w:szCs w:val="22"/>
        </w:rPr>
        <w:footnoteReference w:id="10"/>
      </w:r>
    </w:p>
    <w:p w:rsidR="00B425EB" w:rsidRPr="004643CB" w:rsidRDefault="00B425EB" w:rsidP="00756FFB">
      <w:pPr>
        <w:pStyle w:val="Heading4"/>
      </w:pPr>
      <w:bookmarkStart w:id="56" w:name="_Toc418763096"/>
      <w:bookmarkStart w:id="57" w:name="_Toc420394249"/>
      <w:proofErr w:type="spellStart"/>
      <w:r w:rsidRPr="004643CB">
        <w:t>ACeH</w:t>
      </w:r>
      <w:proofErr w:type="spellEnd"/>
      <w:r w:rsidRPr="004643CB">
        <w:t xml:space="preserve"> </w:t>
      </w:r>
      <w:r>
        <w:t>functions</w:t>
      </w:r>
      <w:bookmarkEnd w:id="56"/>
      <w:bookmarkEnd w:id="57"/>
    </w:p>
    <w:p w:rsidR="0073027E" w:rsidRPr="002E0087" w:rsidRDefault="0073027E" w:rsidP="002E0087">
      <w:pPr>
        <w:spacing w:after="120"/>
        <w:ind w:left="737"/>
        <w:rPr>
          <w:rFonts w:asciiTheme="minorHAnsi" w:hAnsiTheme="minorHAnsi"/>
          <w:sz w:val="22"/>
          <w:szCs w:val="22"/>
        </w:rPr>
      </w:pPr>
      <w:proofErr w:type="spellStart"/>
      <w:r w:rsidRPr="002E0087">
        <w:rPr>
          <w:rFonts w:asciiTheme="minorHAnsi" w:hAnsiTheme="minorHAnsi"/>
          <w:sz w:val="22"/>
          <w:szCs w:val="22"/>
        </w:rPr>
        <w:t>ACeH</w:t>
      </w:r>
      <w:proofErr w:type="spellEnd"/>
      <w:r w:rsidRPr="002E0087">
        <w:rPr>
          <w:rFonts w:asciiTheme="minorHAnsi" w:hAnsiTheme="minorHAnsi"/>
          <w:sz w:val="22"/>
          <w:szCs w:val="22"/>
        </w:rPr>
        <w:t xml:space="preserve"> </w:t>
      </w:r>
      <w:r w:rsidR="00487A5E">
        <w:rPr>
          <w:rFonts w:asciiTheme="minorHAnsi" w:hAnsiTheme="minorHAnsi"/>
          <w:sz w:val="22"/>
          <w:szCs w:val="22"/>
        </w:rPr>
        <w:t>will</w:t>
      </w:r>
      <w:r w:rsidR="00487A5E" w:rsidRPr="002E0087">
        <w:rPr>
          <w:rFonts w:asciiTheme="minorHAnsi" w:hAnsiTheme="minorHAnsi"/>
          <w:sz w:val="22"/>
          <w:szCs w:val="22"/>
        </w:rPr>
        <w:t xml:space="preserve"> </w:t>
      </w:r>
      <w:r w:rsidRPr="002E0087">
        <w:rPr>
          <w:rFonts w:asciiTheme="minorHAnsi" w:hAnsiTheme="minorHAnsi"/>
          <w:sz w:val="22"/>
          <w:szCs w:val="22"/>
        </w:rPr>
        <w:t>assume responsibility for governance of all national eHealth operations and functions, including:</w:t>
      </w:r>
    </w:p>
    <w:p w:rsidR="002E0087" w:rsidRDefault="0073027E" w:rsidP="002E0087">
      <w:pPr>
        <w:pStyle w:val="ListParagraph"/>
        <w:numPr>
          <w:ilvl w:val="0"/>
          <w:numId w:val="29"/>
        </w:numPr>
        <w:spacing w:after="120"/>
        <w:ind w:left="1094" w:hanging="357"/>
        <w:contextualSpacing w:val="0"/>
        <w:rPr>
          <w:rFonts w:asciiTheme="minorHAnsi" w:hAnsiTheme="minorHAnsi"/>
          <w:sz w:val="22"/>
          <w:szCs w:val="22"/>
        </w:rPr>
      </w:pPr>
      <w:r w:rsidRPr="002E0087">
        <w:rPr>
          <w:rFonts w:asciiTheme="minorHAnsi" w:hAnsiTheme="minorHAnsi"/>
          <w:sz w:val="22"/>
          <w:szCs w:val="22"/>
        </w:rPr>
        <w:t>responsibility for PCEHR system operation</w:t>
      </w:r>
      <w:r w:rsidR="00B425EB" w:rsidRPr="002E0087">
        <w:rPr>
          <w:rFonts w:asciiTheme="minorHAnsi" w:hAnsiTheme="minorHAnsi"/>
          <w:sz w:val="22"/>
          <w:szCs w:val="22"/>
        </w:rPr>
        <w:t>al</w:t>
      </w:r>
      <w:r w:rsidRPr="002E0087">
        <w:rPr>
          <w:rFonts w:asciiTheme="minorHAnsi" w:hAnsiTheme="minorHAnsi"/>
          <w:sz w:val="22"/>
          <w:szCs w:val="22"/>
        </w:rPr>
        <w:t xml:space="preserve"> activities</w:t>
      </w:r>
      <w:r w:rsidR="00B425EB" w:rsidRPr="002E0087">
        <w:rPr>
          <w:rFonts w:asciiTheme="minorHAnsi" w:hAnsiTheme="minorHAnsi"/>
          <w:sz w:val="22"/>
          <w:szCs w:val="22"/>
        </w:rPr>
        <w:t xml:space="preserve"> as the PCEHR System Operator,</w:t>
      </w:r>
      <w:r w:rsidRPr="002E0087">
        <w:rPr>
          <w:rFonts w:asciiTheme="minorHAnsi" w:hAnsiTheme="minorHAnsi"/>
          <w:sz w:val="22"/>
          <w:szCs w:val="22"/>
        </w:rPr>
        <w:t xml:space="preserve"> currently undertaken by the Department of Health; and </w:t>
      </w:r>
    </w:p>
    <w:p w:rsidR="0073027E" w:rsidRPr="002E0087" w:rsidRDefault="0073027E" w:rsidP="002E0087">
      <w:pPr>
        <w:pStyle w:val="ListParagraph"/>
        <w:numPr>
          <w:ilvl w:val="0"/>
          <w:numId w:val="29"/>
        </w:numPr>
        <w:spacing w:after="120"/>
        <w:ind w:left="1094" w:hanging="357"/>
        <w:contextualSpacing w:val="0"/>
        <w:rPr>
          <w:rFonts w:asciiTheme="minorHAnsi" w:hAnsiTheme="minorHAnsi"/>
          <w:sz w:val="22"/>
          <w:szCs w:val="22"/>
        </w:rPr>
      </w:pPr>
      <w:proofErr w:type="gramStart"/>
      <w:r w:rsidRPr="002E0087">
        <w:rPr>
          <w:rFonts w:asciiTheme="minorHAnsi" w:hAnsiTheme="minorHAnsi"/>
          <w:sz w:val="22"/>
          <w:szCs w:val="22"/>
        </w:rPr>
        <w:t>broader</w:t>
      </w:r>
      <w:proofErr w:type="gramEnd"/>
      <w:r w:rsidRPr="002E0087">
        <w:rPr>
          <w:rFonts w:asciiTheme="minorHAnsi" w:hAnsiTheme="minorHAnsi"/>
          <w:sz w:val="22"/>
          <w:szCs w:val="22"/>
        </w:rPr>
        <w:t xml:space="preserve"> eHealth system operations now managed by NEHTA.</w:t>
      </w:r>
    </w:p>
    <w:p w:rsidR="0073027E" w:rsidRPr="002E0087" w:rsidRDefault="0073027E" w:rsidP="002E0087">
      <w:pPr>
        <w:spacing w:after="120"/>
        <w:ind w:left="737"/>
        <w:rPr>
          <w:rFonts w:asciiTheme="minorHAnsi" w:hAnsiTheme="minorHAnsi"/>
          <w:sz w:val="22"/>
          <w:szCs w:val="22"/>
        </w:rPr>
      </w:pPr>
      <w:r w:rsidRPr="002E0087">
        <w:rPr>
          <w:rFonts w:asciiTheme="minorHAnsi" w:hAnsiTheme="minorHAnsi"/>
          <w:sz w:val="22"/>
          <w:szCs w:val="22"/>
        </w:rPr>
        <w:t xml:space="preserve">The Department of Health </w:t>
      </w:r>
      <w:r w:rsidR="00487A5E">
        <w:rPr>
          <w:rFonts w:asciiTheme="minorHAnsi" w:hAnsiTheme="minorHAnsi"/>
          <w:sz w:val="22"/>
          <w:szCs w:val="22"/>
        </w:rPr>
        <w:t>will</w:t>
      </w:r>
      <w:r w:rsidR="00487A5E" w:rsidRPr="002E0087">
        <w:rPr>
          <w:rFonts w:asciiTheme="minorHAnsi" w:hAnsiTheme="minorHAnsi"/>
          <w:sz w:val="22"/>
          <w:szCs w:val="22"/>
        </w:rPr>
        <w:t xml:space="preserve"> </w:t>
      </w:r>
      <w:r w:rsidRPr="002E0087">
        <w:rPr>
          <w:rFonts w:asciiTheme="minorHAnsi" w:hAnsiTheme="minorHAnsi"/>
          <w:sz w:val="22"/>
          <w:szCs w:val="22"/>
        </w:rPr>
        <w:t>retain responsibility for national eHealth policy.</w:t>
      </w:r>
    </w:p>
    <w:p w:rsidR="00756FFB" w:rsidRPr="004643CB" w:rsidRDefault="00756FFB" w:rsidP="00756FFB">
      <w:pPr>
        <w:pStyle w:val="Heading4"/>
      </w:pPr>
      <w:bookmarkStart w:id="58" w:name="_Toc418763097"/>
      <w:bookmarkStart w:id="59" w:name="_Toc420394250"/>
      <w:proofErr w:type="spellStart"/>
      <w:r w:rsidRPr="004643CB">
        <w:t>ACeH</w:t>
      </w:r>
      <w:proofErr w:type="spellEnd"/>
      <w:r w:rsidRPr="004643CB">
        <w:t xml:space="preserve"> </w:t>
      </w:r>
      <w:r>
        <w:t>Board</w:t>
      </w:r>
      <w:bookmarkEnd w:id="58"/>
      <w:bookmarkEnd w:id="59"/>
    </w:p>
    <w:p w:rsidR="0073027E" w:rsidRPr="002E0087" w:rsidRDefault="0073027E" w:rsidP="002E0087">
      <w:pPr>
        <w:spacing w:after="120"/>
        <w:ind w:left="737"/>
        <w:rPr>
          <w:rFonts w:asciiTheme="minorHAnsi" w:hAnsiTheme="minorHAnsi"/>
          <w:sz w:val="22"/>
          <w:szCs w:val="22"/>
        </w:rPr>
      </w:pPr>
      <w:r w:rsidRPr="002E0087">
        <w:rPr>
          <w:rFonts w:asciiTheme="minorHAnsi" w:hAnsiTheme="minorHAnsi"/>
          <w:sz w:val="22"/>
          <w:szCs w:val="22"/>
        </w:rPr>
        <w:t xml:space="preserve">To achieve broader eHealth end-user representation in the governance of eHealth, it is proposed the </w:t>
      </w:r>
      <w:proofErr w:type="spellStart"/>
      <w:r w:rsidRPr="002E0087">
        <w:rPr>
          <w:rFonts w:asciiTheme="minorHAnsi" w:hAnsiTheme="minorHAnsi"/>
          <w:sz w:val="22"/>
          <w:szCs w:val="22"/>
        </w:rPr>
        <w:t>ACeH</w:t>
      </w:r>
      <w:proofErr w:type="spellEnd"/>
      <w:r w:rsidRPr="002E0087">
        <w:rPr>
          <w:rFonts w:asciiTheme="minorHAnsi" w:hAnsiTheme="minorHAnsi"/>
          <w:sz w:val="22"/>
          <w:szCs w:val="22"/>
        </w:rPr>
        <w:t xml:space="preserve"> Board </w:t>
      </w:r>
      <w:r w:rsidR="00904A0F">
        <w:rPr>
          <w:rFonts w:asciiTheme="minorHAnsi" w:hAnsiTheme="minorHAnsi"/>
          <w:sz w:val="22"/>
          <w:szCs w:val="22"/>
        </w:rPr>
        <w:t xml:space="preserve">and its advisory committees </w:t>
      </w:r>
      <w:r w:rsidR="00487A5E">
        <w:rPr>
          <w:rFonts w:asciiTheme="minorHAnsi" w:hAnsiTheme="minorHAnsi"/>
          <w:sz w:val="22"/>
          <w:szCs w:val="22"/>
        </w:rPr>
        <w:t>will</w:t>
      </w:r>
      <w:r w:rsidR="00487A5E" w:rsidRPr="002E0087">
        <w:rPr>
          <w:rFonts w:asciiTheme="minorHAnsi" w:hAnsiTheme="minorHAnsi"/>
          <w:sz w:val="22"/>
          <w:szCs w:val="22"/>
        </w:rPr>
        <w:t xml:space="preserve"> </w:t>
      </w:r>
      <w:r w:rsidRPr="002E0087">
        <w:rPr>
          <w:rFonts w:asciiTheme="minorHAnsi" w:hAnsiTheme="minorHAnsi"/>
          <w:sz w:val="22"/>
          <w:szCs w:val="22"/>
        </w:rPr>
        <w:t xml:space="preserve">include individuals with expertise such as:  </w:t>
      </w:r>
    </w:p>
    <w:p w:rsidR="002E0087" w:rsidRDefault="002E0087" w:rsidP="002E0087">
      <w:pPr>
        <w:pStyle w:val="ListParagraph"/>
        <w:numPr>
          <w:ilvl w:val="0"/>
          <w:numId w:val="30"/>
        </w:numPr>
        <w:spacing w:after="120"/>
        <w:ind w:left="1094" w:hanging="357"/>
        <w:contextualSpacing w:val="0"/>
        <w:rPr>
          <w:rFonts w:asciiTheme="minorHAnsi" w:hAnsiTheme="minorHAnsi"/>
          <w:sz w:val="22"/>
          <w:szCs w:val="22"/>
        </w:rPr>
      </w:pPr>
      <w:r>
        <w:rPr>
          <w:rFonts w:asciiTheme="minorHAnsi" w:hAnsiTheme="minorHAnsi"/>
          <w:sz w:val="22"/>
          <w:szCs w:val="22"/>
        </w:rPr>
        <w:t>healthcare provi</w:t>
      </w:r>
      <w:r w:rsidR="007D6C72">
        <w:rPr>
          <w:rFonts w:asciiTheme="minorHAnsi" w:hAnsiTheme="minorHAnsi"/>
          <w:sz w:val="22"/>
          <w:szCs w:val="22"/>
        </w:rPr>
        <w:t>sion</w:t>
      </w:r>
      <w:r>
        <w:rPr>
          <w:rFonts w:asciiTheme="minorHAnsi" w:hAnsiTheme="minorHAnsi"/>
          <w:sz w:val="22"/>
          <w:szCs w:val="22"/>
        </w:rPr>
        <w:t>;</w:t>
      </w:r>
    </w:p>
    <w:p w:rsidR="002E0087" w:rsidRDefault="002E0087" w:rsidP="002E0087">
      <w:pPr>
        <w:pStyle w:val="ListParagraph"/>
        <w:numPr>
          <w:ilvl w:val="0"/>
          <w:numId w:val="30"/>
        </w:numPr>
        <w:spacing w:after="120"/>
        <w:ind w:left="1094" w:hanging="357"/>
        <w:contextualSpacing w:val="0"/>
        <w:rPr>
          <w:rFonts w:asciiTheme="minorHAnsi" w:hAnsiTheme="minorHAnsi"/>
          <w:sz w:val="22"/>
          <w:szCs w:val="22"/>
        </w:rPr>
      </w:pPr>
      <w:r>
        <w:rPr>
          <w:rFonts w:asciiTheme="minorHAnsi" w:hAnsiTheme="minorHAnsi"/>
          <w:sz w:val="22"/>
          <w:szCs w:val="22"/>
        </w:rPr>
        <w:t>consumer</w:t>
      </w:r>
      <w:r w:rsidR="007D6C72">
        <w:rPr>
          <w:rFonts w:asciiTheme="minorHAnsi" w:hAnsiTheme="minorHAnsi"/>
          <w:sz w:val="22"/>
          <w:szCs w:val="22"/>
        </w:rPr>
        <w:t xml:space="preserve"> of health services</w:t>
      </w:r>
      <w:r>
        <w:rPr>
          <w:rFonts w:asciiTheme="minorHAnsi" w:hAnsiTheme="minorHAnsi"/>
          <w:sz w:val="22"/>
          <w:szCs w:val="22"/>
        </w:rPr>
        <w:t>;</w:t>
      </w:r>
    </w:p>
    <w:p w:rsidR="002E0087" w:rsidRDefault="0073027E" w:rsidP="002E0087">
      <w:pPr>
        <w:pStyle w:val="ListParagraph"/>
        <w:numPr>
          <w:ilvl w:val="0"/>
          <w:numId w:val="30"/>
        </w:numPr>
        <w:spacing w:after="120"/>
        <w:ind w:left="1094" w:hanging="357"/>
        <w:contextualSpacing w:val="0"/>
        <w:rPr>
          <w:rFonts w:asciiTheme="minorHAnsi" w:hAnsiTheme="minorHAnsi"/>
          <w:sz w:val="22"/>
          <w:szCs w:val="22"/>
        </w:rPr>
      </w:pPr>
      <w:r w:rsidRPr="002E0087">
        <w:rPr>
          <w:rFonts w:asciiTheme="minorHAnsi" w:hAnsiTheme="minorHAnsi"/>
          <w:sz w:val="22"/>
          <w:szCs w:val="22"/>
        </w:rPr>
        <w:t>IT systems and innovatio</w:t>
      </w:r>
      <w:r w:rsidR="002E0087">
        <w:rPr>
          <w:rFonts w:asciiTheme="minorHAnsi" w:hAnsiTheme="minorHAnsi"/>
          <w:sz w:val="22"/>
          <w:szCs w:val="22"/>
        </w:rPr>
        <w:t>n including health informatics;</w:t>
      </w:r>
    </w:p>
    <w:p w:rsidR="002E0087" w:rsidRDefault="00904A0F" w:rsidP="002E0087">
      <w:pPr>
        <w:pStyle w:val="ListParagraph"/>
        <w:numPr>
          <w:ilvl w:val="0"/>
          <w:numId w:val="30"/>
        </w:numPr>
        <w:spacing w:after="120"/>
        <w:ind w:left="1094" w:hanging="357"/>
        <w:contextualSpacing w:val="0"/>
        <w:rPr>
          <w:rFonts w:asciiTheme="minorHAnsi" w:hAnsiTheme="minorHAnsi"/>
          <w:sz w:val="22"/>
          <w:szCs w:val="22"/>
        </w:rPr>
      </w:pPr>
      <w:r>
        <w:rPr>
          <w:rFonts w:asciiTheme="minorHAnsi" w:hAnsiTheme="minorHAnsi"/>
          <w:sz w:val="22"/>
          <w:szCs w:val="22"/>
        </w:rPr>
        <w:t>g</w:t>
      </w:r>
      <w:r w:rsidR="002E0087">
        <w:rPr>
          <w:rFonts w:asciiTheme="minorHAnsi" w:hAnsiTheme="minorHAnsi"/>
          <w:sz w:val="22"/>
          <w:szCs w:val="22"/>
        </w:rPr>
        <w:t xml:space="preserve">overnance; </w:t>
      </w:r>
    </w:p>
    <w:p w:rsidR="00904A0F" w:rsidRDefault="0073027E" w:rsidP="002E0087">
      <w:pPr>
        <w:pStyle w:val="ListParagraph"/>
        <w:numPr>
          <w:ilvl w:val="0"/>
          <w:numId w:val="30"/>
        </w:numPr>
        <w:spacing w:after="120"/>
        <w:ind w:left="1094" w:hanging="357"/>
        <w:contextualSpacing w:val="0"/>
        <w:rPr>
          <w:rFonts w:asciiTheme="minorHAnsi" w:hAnsiTheme="minorHAnsi"/>
          <w:sz w:val="22"/>
          <w:szCs w:val="22"/>
        </w:rPr>
      </w:pPr>
      <w:r w:rsidRPr="002E0087">
        <w:rPr>
          <w:rFonts w:asciiTheme="minorHAnsi" w:hAnsiTheme="minorHAnsi"/>
          <w:sz w:val="22"/>
          <w:szCs w:val="22"/>
        </w:rPr>
        <w:t>clinical safety</w:t>
      </w:r>
      <w:r w:rsidR="00904A0F">
        <w:rPr>
          <w:rFonts w:asciiTheme="minorHAnsi" w:hAnsiTheme="minorHAnsi"/>
          <w:sz w:val="22"/>
          <w:szCs w:val="22"/>
        </w:rPr>
        <w:t>; and</w:t>
      </w:r>
    </w:p>
    <w:p w:rsidR="0073027E" w:rsidRPr="002E0087" w:rsidRDefault="00904A0F" w:rsidP="002E0087">
      <w:pPr>
        <w:pStyle w:val="ListParagraph"/>
        <w:numPr>
          <w:ilvl w:val="0"/>
          <w:numId w:val="30"/>
        </w:numPr>
        <w:spacing w:after="120"/>
        <w:ind w:left="1094" w:hanging="357"/>
        <w:contextualSpacing w:val="0"/>
        <w:rPr>
          <w:rFonts w:asciiTheme="minorHAnsi" w:hAnsiTheme="minorHAnsi"/>
          <w:sz w:val="22"/>
          <w:szCs w:val="22"/>
        </w:rPr>
      </w:pPr>
      <w:proofErr w:type="gramStart"/>
      <w:r>
        <w:rPr>
          <w:rFonts w:asciiTheme="minorHAnsi" w:hAnsiTheme="minorHAnsi"/>
          <w:sz w:val="22"/>
          <w:szCs w:val="22"/>
        </w:rPr>
        <w:lastRenderedPageBreak/>
        <w:t>privacy</w:t>
      </w:r>
      <w:proofErr w:type="gramEnd"/>
      <w:r>
        <w:rPr>
          <w:rFonts w:asciiTheme="minorHAnsi" w:hAnsiTheme="minorHAnsi"/>
          <w:sz w:val="22"/>
          <w:szCs w:val="22"/>
        </w:rPr>
        <w:t xml:space="preserve"> and security</w:t>
      </w:r>
      <w:r w:rsidR="0073027E" w:rsidRPr="002E0087">
        <w:rPr>
          <w:rFonts w:asciiTheme="minorHAnsi" w:hAnsiTheme="minorHAnsi"/>
          <w:sz w:val="22"/>
          <w:szCs w:val="22"/>
        </w:rPr>
        <w:t xml:space="preserve">.  </w:t>
      </w:r>
    </w:p>
    <w:p w:rsidR="0073027E" w:rsidRPr="002E0087" w:rsidRDefault="0073027E" w:rsidP="002E0087">
      <w:pPr>
        <w:spacing w:after="120"/>
        <w:ind w:left="737"/>
        <w:rPr>
          <w:rFonts w:asciiTheme="minorHAnsi" w:hAnsiTheme="minorHAnsi"/>
          <w:sz w:val="22"/>
          <w:szCs w:val="22"/>
        </w:rPr>
      </w:pPr>
      <w:r w:rsidRPr="002E0087">
        <w:rPr>
          <w:rFonts w:asciiTheme="minorHAnsi" w:hAnsiTheme="minorHAnsi"/>
          <w:sz w:val="22"/>
          <w:szCs w:val="22"/>
        </w:rPr>
        <w:t xml:space="preserve">Representatives of jurisdictions and the Commonwealth </w:t>
      </w:r>
      <w:r w:rsidR="00487A5E">
        <w:rPr>
          <w:rFonts w:asciiTheme="minorHAnsi" w:hAnsiTheme="minorHAnsi"/>
          <w:sz w:val="22"/>
          <w:szCs w:val="22"/>
        </w:rPr>
        <w:t>will</w:t>
      </w:r>
      <w:r w:rsidR="00487A5E" w:rsidRPr="002E0087">
        <w:rPr>
          <w:rFonts w:asciiTheme="minorHAnsi" w:hAnsiTheme="minorHAnsi"/>
          <w:sz w:val="22"/>
          <w:szCs w:val="22"/>
        </w:rPr>
        <w:t xml:space="preserve"> </w:t>
      </w:r>
      <w:r w:rsidRPr="002E0087">
        <w:rPr>
          <w:rFonts w:asciiTheme="minorHAnsi" w:hAnsiTheme="minorHAnsi"/>
          <w:sz w:val="22"/>
          <w:szCs w:val="22"/>
        </w:rPr>
        <w:t xml:space="preserve">also be included on the Board. </w:t>
      </w:r>
      <w:r w:rsidR="007678A4">
        <w:rPr>
          <w:rFonts w:asciiTheme="minorHAnsi" w:hAnsiTheme="minorHAnsi"/>
          <w:sz w:val="22"/>
          <w:szCs w:val="22"/>
        </w:rPr>
        <w:t xml:space="preserve"> </w:t>
      </w:r>
      <w:r w:rsidRPr="002E0087">
        <w:rPr>
          <w:rFonts w:asciiTheme="minorHAnsi" w:hAnsiTheme="minorHAnsi"/>
          <w:sz w:val="22"/>
          <w:szCs w:val="22"/>
        </w:rPr>
        <w:t>The Commonwe</w:t>
      </w:r>
      <w:r w:rsidR="007678A4">
        <w:rPr>
          <w:rFonts w:asciiTheme="minorHAnsi" w:hAnsiTheme="minorHAnsi"/>
          <w:sz w:val="22"/>
          <w:szCs w:val="22"/>
        </w:rPr>
        <w:t xml:space="preserve">alth Minister </w:t>
      </w:r>
      <w:r w:rsidR="00487A5E">
        <w:rPr>
          <w:rFonts w:asciiTheme="minorHAnsi" w:hAnsiTheme="minorHAnsi"/>
          <w:sz w:val="22"/>
          <w:szCs w:val="22"/>
        </w:rPr>
        <w:t xml:space="preserve">will </w:t>
      </w:r>
      <w:r w:rsidR="007678A4">
        <w:rPr>
          <w:rFonts w:asciiTheme="minorHAnsi" w:hAnsiTheme="minorHAnsi"/>
          <w:sz w:val="22"/>
          <w:szCs w:val="22"/>
        </w:rPr>
        <w:t>appoint an i</w:t>
      </w:r>
      <w:r w:rsidRPr="002E0087">
        <w:rPr>
          <w:rFonts w:asciiTheme="minorHAnsi" w:hAnsiTheme="minorHAnsi"/>
          <w:sz w:val="22"/>
          <w:szCs w:val="22"/>
        </w:rPr>
        <w:t xml:space="preserve">ndependent </w:t>
      </w:r>
      <w:r w:rsidR="007678A4">
        <w:rPr>
          <w:rFonts w:asciiTheme="minorHAnsi" w:hAnsiTheme="minorHAnsi"/>
          <w:sz w:val="22"/>
          <w:szCs w:val="22"/>
        </w:rPr>
        <w:t>c</w:t>
      </w:r>
      <w:r w:rsidRPr="002E0087">
        <w:rPr>
          <w:rFonts w:asciiTheme="minorHAnsi" w:hAnsiTheme="minorHAnsi"/>
          <w:sz w:val="22"/>
          <w:szCs w:val="22"/>
        </w:rPr>
        <w:t>hair in consultation with all states and territories.</w:t>
      </w:r>
    </w:p>
    <w:p w:rsidR="00756FFB" w:rsidRPr="004643CB" w:rsidRDefault="00756FFB" w:rsidP="00756FFB">
      <w:pPr>
        <w:pStyle w:val="Heading4"/>
      </w:pPr>
      <w:bookmarkStart w:id="60" w:name="_Toc418763098"/>
      <w:bookmarkStart w:id="61" w:name="_Toc420394251"/>
      <w:proofErr w:type="spellStart"/>
      <w:r w:rsidRPr="004643CB">
        <w:t>ACeH</w:t>
      </w:r>
      <w:proofErr w:type="spellEnd"/>
      <w:r w:rsidRPr="004643CB">
        <w:t xml:space="preserve"> </w:t>
      </w:r>
      <w:r>
        <w:t>staff</w:t>
      </w:r>
      <w:bookmarkEnd w:id="60"/>
      <w:bookmarkEnd w:id="61"/>
    </w:p>
    <w:p w:rsidR="0073027E" w:rsidRPr="002E0087" w:rsidRDefault="0073027E" w:rsidP="002E0087">
      <w:pPr>
        <w:spacing w:after="120"/>
        <w:ind w:left="737"/>
        <w:rPr>
          <w:rFonts w:asciiTheme="minorHAnsi" w:hAnsiTheme="minorHAnsi"/>
          <w:sz w:val="22"/>
          <w:szCs w:val="22"/>
        </w:rPr>
      </w:pPr>
      <w:r w:rsidRPr="002E0087">
        <w:rPr>
          <w:rFonts w:asciiTheme="minorHAnsi" w:hAnsiTheme="minorHAnsi"/>
          <w:sz w:val="22"/>
          <w:szCs w:val="22"/>
        </w:rPr>
        <w:t xml:space="preserve">It is anticipated that </w:t>
      </w:r>
      <w:proofErr w:type="spellStart"/>
      <w:r w:rsidRPr="002E0087">
        <w:rPr>
          <w:rFonts w:asciiTheme="minorHAnsi" w:hAnsiTheme="minorHAnsi"/>
          <w:sz w:val="22"/>
          <w:szCs w:val="22"/>
        </w:rPr>
        <w:t>ACeH</w:t>
      </w:r>
      <w:proofErr w:type="spellEnd"/>
      <w:r w:rsidRPr="002E0087">
        <w:rPr>
          <w:rFonts w:asciiTheme="minorHAnsi" w:hAnsiTheme="minorHAnsi"/>
          <w:sz w:val="22"/>
          <w:szCs w:val="22"/>
        </w:rPr>
        <w:t xml:space="preserve"> would employ some staff under Australian Pubic Service (APS) conditions and other staff under non-APS conditions.   The Rules establishing </w:t>
      </w:r>
      <w:proofErr w:type="spellStart"/>
      <w:r w:rsidRPr="002E0087">
        <w:rPr>
          <w:rFonts w:asciiTheme="minorHAnsi" w:hAnsiTheme="minorHAnsi"/>
          <w:sz w:val="22"/>
          <w:szCs w:val="22"/>
        </w:rPr>
        <w:t>ACeH</w:t>
      </w:r>
      <w:proofErr w:type="spellEnd"/>
      <w:r w:rsidRPr="002E0087">
        <w:rPr>
          <w:rFonts w:asciiTheme="minorHAnsi" w:hAnsiTheme="minorHAnsi"/>
          <w:sz w:val="22"/>
          <w:szCs w:val="22"/>
        </w:rPr>
        <w:t xml:space="preserve"> could make provisions for such employment arrangements. </w:t>
      </w:r>
    </w:p>
    <w:p w:rsidR="0073027E" w:rsidRPr="002E0087" w:rsidRDefault="0073027E" w:rsidP="002E0087">
      <w:pPr>
        <w:spacing w:after="120"/>
        <w:ind w:left="737"/>
        <w:rPr>
          <w:rFonts w:asciiTheme="minorHAnsi" w:hAnsiTheme="minorHAnsi"/>
          <w:sz w:val="22"/>
          <w:szCs w:val="22"/>
        </w:rPr>
      </w:pPr>
      <w:r w:rsidRPr="002E0087">
        <w:rPr>
          <w:rFonts w:asciiTheme="minorHAnsi" w:hAnsiTheme="minorHAnsi"/>
          <w:sz w:val="22"/>
          <w:szCs w:val="22"/>
        </w:rPr>
        <w:t xml:space="preserve">The </w:t>
      </w:r>
      <w:proofErr w:type="spellStart"/>
      <w:r w:rsidRPr="002E0087">
        <w:rPr>
          <w:rFonts w:asciiTheme="minorHAnsi" w:hAnsiTheme="minorHAnsi"/>
          <w:sz w:val="22"/>
          <w:szCs w:val="22"/>
        </w:rPr>
        <w:t>CEO</w:t>
      </w:r>
      <w:proofErr w:type="spellEnd"/>
      <w:r w:rsidRPr="002E0087">
        <w:rPr>
          <w:rFonts w:asciiTheme="minorHAnsi" w:hAnsiTheme="minorHAnsi"/>
          <w:sz w:val="22"/>
          <w:szCs w:val="22"/>
        </w:rPr>
        <w:t xml:space="preserve">, with the approval of the </w:t>
      </w:r>
      <w:proofErr w:type="spellStart"/>
      <w:r w:rsidRPr="002E0087">
        <w:rPr>
          <w:rFonts w:asciiTheme="minorHAnsi" w:hAnsiTheme="minorHAnsi"/>
          <w:sz w:val="22"/>
          <w:szCs w:val="22"/>
        </w:rPr>
        <w:t>ACeH</w:t>
      </w:r>
      <w:proofErr w:type="spellEnd"/>
      <w:r w:rsidRPr="002E0087">
        <w:rPr>
          <w:rFonts w:asciiTheme="minorHAnsi" w:hAnsiTheme="minorHAnsi"/>
          <w:sz w:val="22"/>
          <w:szCs w:val="22"/>
        </w:rPr>
        <w:t xml:space="preserve"> Board, </w:t>
      </w:r>
      <w:r w:rsidR="00D85CC8">
        <w:rPr>
          <w:rFonts w:asciiTheme="minorHAnsi" w:hAnsiTheme="minorHAnsi"/>
          <w:sz w:val="22"/>
          <w:szCs w:val="22"/>
        </w:rPr>
        <w:t>would</w:t>
      </w:r>
      <w:r w:rsidRPr="002E0087">
        <w:rPr>
          <w:rFonts w:asciiTheme="minorHAnsi" w:hAnsiTheme="minorHAnsi"/>
          <w:sz w:val="22"/>
          <w:szCs w:val="22"/>
        </w:rPr>
        <w:t xml:space="preserve"> determine employees’ terms and conditions, as well as the engagement of consultants to assist in </w:t>
      </w:r>
      <w:proofErr w:type="spellStart"/>
      <w:r w:rsidRPr="002E0087">
        <w:rPr>
          <w:rFonts w:asciiTheme="minorHAnsi" w:hAnsiTheme="minorHAnsi"/>
          <w:sz w:val="22"/>
          <w:szCs w:val="22"/>
        </w:rPr>
        <w:t>ACeH</w:t>
      </w:r>
      <w:proofErr w:type="spellEnd"/>
      <w:r w:rsidRPr="002E0087">
        <w:rPr>
          <w:rFonts w:asciiTheme="minorHAnsi" w:hAnsiTheme="minorHAnsi"/>
          <w:sz w:val="22"/>
          <w:szCs w:val="22"/>
        </w:rPr>
        <w:t xml:space="preserve"> performing its functions.</w:t>
      </w:r>
    </w:p>
    <w:p w:rsidR="00756FFB" w:rsidRPr="003D6C23" w:rsidRDefault="00756FFB" w:rsidP="00756FFB">
      <w:pPr>
        <w:pStyle w:val="Heading3"/>
        <w:numPr>
          <w:ilvl w:val="0"/>
          <w:numId w:val="0"/>
        </w:numPr>
        <w:ind w:left="737" w:hanging="737"/>
      </w:pPr>
      <w:bookmarkStart w:id="62" w:name="_Toc418763099"/>
      <w:bookmarkStart w:id="63" w:name="_Toc420394252"/>
      <w:r>
        <w:t>3.2.2</w:t>
      </w:r>
      <w:r>
        <w:tab/>
        <w:t>HI Service Operator</w:t>
      </w:r>
      <w:bookmarkEnd w:id="62"/>
      <w:bookmarkEnd w:id="63"/>
    </w:p>
    <w:p w:rsidR="0073027E" w:rsidRPr="0073027E" w:rsidRDefault="0073027E" w:rsidP="0073027E">
      <w:pPr>
        <w:widowControl w:val="0"/>
        <w:spacing w:after="120"/>
        <w:ind w:left="737"/>
        <w:rPr>
          <w:rStyle w:val="IntenseReference"/>
          <w:rFonts w:asciiTheme="minorHAnsi" w:eastAsiaTheme="majorEastAsia" w:hAnsiTheme="minorHAnsi"/>
          <w:b w:val="0"/>
          <w:bCs w:val="0"/>
          <w:i w:val="0"/>
          <w:smallCaps w:val="0"/>
          <w:color w:val="auto"/>
          <w:sz w:val="22"/>
          <w:szCs w:val="22"/>
        </w:rPr>
      </w:pPr>
      <w:r w:rsidRPr="0073027E">
        <w:rPr>
          <w:rStyle w:val="IntenseReference"/>
          <w:rFonts w:asciiTheme="minorHAnsi" w:eastAsiaTheme="majorEastAsia" w:hAnsiTheme="minorHAnsi"/>
          <w:b w:val="0"/>
          <w:bCs w:val="0"/>
          <w:i w:val="0"/>
          <w:smallCaps w:val="0"/>
          <w:color w:val="auto"/>
          <w:sz w:val="22"/>
          <w:szCs w:val="22"/>
        </w:rPr>
        <w:t>The HI Act currently defines the HI Service Operator as the Chief Executive Medicare.  Unlike the PCEHR Act there is no ability to prescribe a different entity to be the HI Service Operator.</w:t>
      </w:r>
    </w:p>
    <w:p w:rsidR="0073027E" w:rsidRDefault="0073027E" w:rsidP="0073027E">
      <w:pPr>
        <w:widowControl w:val="0"/>
        <w:spacing w:after="120"/>
        <w:ind w:left="737"/>
        <w:rPr>
          <w:rStyle w:val="IntenseReference"/>
          <w:rFonts w:asciiTheme="minorHAnsi" w:eastAsiaTheme="majorEastAsia" w:hAnsiTheme="minorHAnsi"/>
          <w:b w:val="0"/>
          <w:bCs w:val="0"/>
          <w:i w:val="0"/>
          <w:smallCaps w:val="0"/>
          <w:color w:val="auto"/>
          <w:sz w:val="22"/>
          <w:szCs w:val="22"/>
        </w:rPr>
      </w:pPr>
      <w:r w:rsidRPr="0073027E">
        <w:rPr>
          <w:rStyle w:val="IntenseReference"/>
          <w:rFonts w:asciiTheme="minorHAnsi" w:eastAsiaTheme="majorEastAsia" w:hAnsiTheme="minorHAnsi"/>
          <w:b w:val="0"/>
          <w:bCs w:val="0"/>
          <w:i w:val="0"/>
          <w:smallCaps w:val="0"/>
          <w:color w:val="auto"/>
          <w:sz w:val="22"/>
          <w:szCs w:val="22"/>
        </w:rPr>
        <w:t>While there is no intention at this time to change who is the HI Service Operator, it is proposed that amendments be made that, like the PCEHR Act, allow regulations to be made to prescribe a different entity to be the HI Service Operator</w:t>
      </w:r>
      <w:r w:rsidR="00747113">
        <w:rPr>
          <w:rStyle w:val="IntenseReference"/>
          <w:rFonts w:asciiTheme="minorHAnsi" w:eastAsiaTheme="majorEastAsia" w:hAnsiTheme="minorHAnsi"/>
          <w:b w:val="0"/>
          <w:bCs w:val="0"/>
          <w:i w:val="0"/>
          <w:smallCaps w:val="0"/>
          <w:color w:val="auto"/>
          <w:sz w:val="22"/>
          <w:szCs w:val="22"/>
        </w:rPr>
        <w:t>, to provide future flexibility</w:t>
      </w:r>
      <w:r w:rsidRPr="0073027E">
        <w:rPr>
          <w:rStyle w:val="IntenseReference"/>
          <w:rFonts w:asciiTheme="minorHAnsi" w:eastAsiaTheme="majorEastAsia" w:hAnsiTheme="minorHAnsi"/>
          <w:b w:val="0"/>
          <w:bCs w:val="0"/>
          <w:i w:val="0"/>
          <w:smallCaps w:val="0"/>
          <w:color w:val="auto"/>
          <w:sz w:val="22"/>
          <w:szCs w:val="22"/>
        </w:rPr>
        <w:t>.</w:t>
      </w:r>
    </w:p>
    <w:p w:rsidR="005021A7" w:rsidRDefault="005021A7" w:rsidP="0073027E">
      <w:pPr>
        <w:widowControl w:val="0"/>
        <w:spacing w:after="120"/>
        <w:ind w:left="737"/>
        <w:rPr>
          <w:rStyle w:val="IntenseReference"/>
          <w:rFonts w:asciiTheme="minorHAnsi" w:eastAsiaTheme="majorEastAsia" w:hAnsiTheme="minorHAnsi"/>
          <w:b w:val="0"/>
          <w:bCs w:val="0"/>
          <w:i w:val="0"/>
          <w:smallCaps w:val="0"/>
          <w:color w:val="auto"/>
          <w:sz w:val="22"/>
          <w:szCs w:val="22"/>
        </w:rPr>
      </w:pPr>
      <w:r>
        <w:rPr>
          <w:rStyle w:val="IntenseReference"/>
          <w:rFonts w:asciiTheme="minorHAnsi" w:eastAsiaTheme="majorEastAsia" w:hAnsiTheme="minorHAnsi"/>
          <w:b w:val="0"/>
          <w:bCs w:val="0"/>
          <w:i w:val="0"/>
          <w:smallCaps w:val="0"/>
          <w:color w:val="auto"/>
          <w:sz w:val="22"/>
          <w:szCs w:val="22"/>
        </w:rPr>
        <w:t xml:space="preserve">Parliament would be able to disallow any proposed changes if it did not agree.  The provision would limit the identity of any proposed new HI Service Operator to entities established by Commonwealth law.  This </w:t>
      </w:r>
      <w:r w:rsidR="00D85CC8">
        <w:rPr>
          <w:rStyle w:val="IntenseReference"/>
          <w:rFonts w:asciiTheme="minorHAnsi" w:eastAsiaTheme="majorEastAsia" w:hAnsiTheme="minorHAnsi"/>
          <w:b w:val="0"/>
          <w:bCs w:val="0"/>
          <w:i w:val="0"/>
          <w:smallCaps w:val="0"/>
          <w:color w:val="auto"/>
          <w:sz w:val="22"/>
          <w:szCs w:val="22"/>
        </w:rPr>
        <w:t>would</w:t>
      </w:r>
      <w:r>
        <w:rPr>
          <w:rStyle w:val="IntenseReference"/>
          <w:rFonts w:asciiTheme="minorHAnsi" w:eastAsiaTheme="majorEastAsia" w:hAnsiTheme="minorHAnsi"/>
          <w:b w:val="0"/>
          <w:bCs w:val="0"/>
          <w:i w:val="0"/>
          <w:smallCaps w:val="0"/>
          <w:color w:val="auto"/>
          <w:sz w:val="22"/>
          <w:szCs w:val="22"/>
        </w:rPr>
        <w:t xml:space="preserve"> prevent private sector bodies being prescribed and </w:t>
      </w:r>
      <w:r w:rsidR="00D85CC8">
        <w:rPr>
          <w:rStyle w:val="IntenseReference"/>
          <w:rFonts w:asciiTheme="minorHAnsi" w:eastAsiaTheme="majorEastAsia" w:hAnsiTheme="minorHAnsi"/>
          <w:b w:val="0"/>
          <w:bCs w:val="0"/>
          <w:i w:val="0"/>
          <w:smallCaps w:val="0"/>
          <w:color w:val="auto"/>
          <w:sz w:val="22"/>
          <w:szCs w:val="22"/>
        </w:rPr>
        <w:t>would</w:t>
      </w:r>
      <w:r>
        <w:rPr>
          <w:rStyle w:val="IntenseReference"/>
          <w:rFonts w:asciiTheme="minorHAnsi" w:eastAsiaTheme="majorEastAsia" w:hAnsiTheme="minorHAnsi"/>
          <w:b w:val="0"/>
          <w:bCs w:val="0"/>
          <w:i w:val="0"/>
          <w:smallCaps w:val="0"/>
          <w:color w:val="auto"/>
          <w:sz w:val="22"/>
          <w:szCs w:val="22"/>
        </w:rPr>
        <w:t xml:space="preserve"> effectively limit the HI Service</w:t>
      </w:r>
      <w:r w:rsidR="002E0087">
        <w:rPr>
          <w:rStyle w:val="IntenseReference"/>
          <w:rFonts w:asciiTheme="minorHAnsi" w:eastAsiaTheme="majorEastAsia" w:hAnsiTheme="minorHAnsi"/>
          <w:b w:val="0"/>
          <w:bCs w:val="0"/>
          <w:i w:val="0"/>
          <w:smallCaps w:val="0"/>
          <w:color w:val="auto"/>
          <w:sz w:val="22"/>
          <w:szCs w:val="22"/>
        </w:rPr>
        <w:t xml:space="preserve"> Operator</w:t>
      </w:r>
      <w:r>
        <w:rPr>
          <w:rStyle w:val="IntenseReference"/>
          <w:rFonts w:asciiTheme="minorHAnsi" w:eastAsiaTheme="majorEastAsia" w:hAnsiTheme="minorHAnsi"/>
          <w:b w:val="0"/>
          <w:bCs w:val="0"/>
          <w:i w:val="0"/>
          <w:smallCaps w:val="0"/>
          <w:color w:val="auto"/>
          <w:sz w:val="22"/>
          <w:szCs w:val="22"/>
        </w:rPr>
        <w:t xml:space="preserve"> to public sector bodies such as statutory authorities.</w:t>
      </w:r>
    </w:p>
    <w:p w:rsidR="00C2417F" w:rsidRPr="003D6C23" w:rsidRDefault="00205A8D" w:rsidP="00205A8D">
      <w:pPr>
        <w:pStyle w:val="Heading2"/>
        <w:numPr>
          <w:ilvl w:val="0"/>
          <w:numId w:val="0"/>
        </w:numPr>
        <w:ind w:left="737" w:hanging="737"/>
      </w:pPr>
      <w:bookmarkStart w:id="64" w:name="_Toc418763100"/>
      <w:bookmarkStart w:id="65" w:name="_Toc420394253"/>
      <w:r>
        <w:t>3.3</w:t>
      </w:r>
      <w:r>
        <w:tab/>
      </w:r>
      <w:r w:rsidR="00C2417F" w:rsidRPr="003C72D7">
        <w:t>Participation</w:t>
      </w:r>
      <w:bookmarkEnd w:id="64"/>
      <w:bookmarkEnd w:id="65"/>
    </w:p>
    <w:p w:rsidR="00C2417F" w:rsidRPr="003D6C23" w:rsidRDefault="00205A8D" w:rsidP="00205A8D">
      <w:pPr>
        <w:pStyle w:val="Heading3"/>
        <w:numPr>
          <w:ilvl w:val="0"/>
          <w:numId w:val="0"/>
        </w:numPr>
        <w:ind w:left="720" w:hanging="720"/>
      </w:pPr>
      <w:bookmarkStart w:id="66" w:name="_Toc418763101"/>
      <w:bookmarkStart w:id="67" w:name="_Toc420394254"/>
      <w:r>
        <w:t>3.3.1</w:t>
      </w:r>
      <w:r>
        <w:tab/>
      </w:r>
      <w:r w:rsidR="00C2417F" w:rsidRPr="003D6C23">
        <w:t>An opt-out PCEHR system</w:t>
      </w:r>
      <w:r w:rsidR="002E0087">
        <w:t>?</w:t>
      </w:r>
      <w:bookmarkEnd w:id="66"/>
      <w:bookmarkEnd w:id="67"/>
    </w:p>
    <w:p w:rsidR="00C2417F" w:rsidRDefault="00C2417F" w:rsidP="00C2417F">
      <w:pPr>
        <w:pStyle w:val="ListParagraph"/>
        <w:spacing w:after="120"/>
        <w:ind w:left="737"/>
        <w:contextualSpacing w:val="0"/>
        <w:rPr>
          <w:rFonts w:asciiTheme="minorHAnsi" w:hAnsiTheme="minorHAnsi"/>
          <w:sz w:val="22"/>
          <w:szCs w:val="22"/>
        </w:rPr>
      </w:pPr>
      <w:r w:rsidRPr="003D6C23">
        <w:rPr>
          <w:rFonts w:asciiTheme="minorHAnsi" w:hAnsiTheme="minorHAnsi"/>
          <w:sz w:val="22"/>
          <w:szCs w:val="22"/>
        </w:rPr>
        <w:t xml:space="preserve">The PCEHR system currently operates on an opt-in basis for </w:t>
      </w:r>
      <w:r w:rsidR="00F72ED5">
        <w:rPr>
          <w:rFonts w:asciiTheme="minorHAnsi" w:hAnsiTheme="minorHAnsi"/>
          <w:sz w:val="22"/>
          <w:szCs w:val="22"/>
        </w:rPr>
        <w:t>individuals</w:t>
      </w:r>
      <w:r w:rsidRPr="003D6C23">
        <w:rPr>
          <w:rFonts w:asciiTheme="minorHAnsi" w:hAnsiTheme="minorHAnsi"/>
          <w:sz w:val="22"/>
          <w:szCs w:val="22"/>
        </w:rPr>
        <w:t xml:space="preserve"> and participants in the PCEHR system (i.e. healthcare provider organisations, contracted service providers, repository</w:t>
      </w:r>
      <w:r>
        <w:rPr>
          <w:rFonts w:asciiTheme="minorHAnsi" w:hAnsiTheme="minorHAnsi"/>
          <w:sz w:val="22"/>
          <w:szCs w:val="22"/>
        </w:rPr>
        <w:t xml:space="preserve"> operators and portal operators).</w:t>
      </w:r>
      <w:r w:rsidR="004643CB">
        <w:rPr>
          <w:rFonts w:asciiTheme="minorHAnsi" w:hAnsiTheme="minorHAnsi"/>
          <w:sz w:val="22"/>
          <w:szCs w:val="22"/>
        </w:rPr>
        <w:t xml:space="preserve">  This means that a</w:t>
      </w:r>
      <w:r w:rsidR="00F72ED5">
        <w:rPr>
          <w:rFonts w:asciiTheme="minorHAnsi" w:hAnsiTheme="minorHAnsi"/>
          <w:sz w:val="22"/>
          <w:szCs w:val="22"/>
        </w:rPr>
        <w:t>n</w:t>
      </w:r>
      <w:r w:rsidR="004643CB">
        <w:rPr>
          <w:rFonts w:asciiTheme="minorHAnsi" w:hAnsiTheme="minorHAnsi"/>
          <w:sz w:val="22"/>
          <w:szCs w:val="22"/>
        </w:rPr>
        <w:t xml:space="preserve"> </w:t>
      </w:r>
      <w:r w:rsidR="00F72ED5">
        <w:rPr>
          <w:rFonts w:asciiTheme="minorHAnsi" w:hAnsiTheme="minorHAnsi"/>
          <w:sz w:val="22"/>
          <w:szCs w:val="22"/>
        </w:rPr>
        <w:t>individual</w:t>
      </w:r>
      <w:r w:rsidR="004643CB">
        <w:rPr>
          <w:rFonts w:asciiTheme="minorHAnsi" w:hAnsiTheme="minorHAnsi"/>
          <w:sz w:val="22"/>
          <w:szCs w:val="22"/>
        </w:rPr>
        <w:t xml:space="preserve"> (or their representative) needs to take steps to apply to the System Operator and have their identity verified (and, if a representative is applying, provide evidence of their relationship to the </w:t>
      </w:r>
      <w:r w:rsidR="00F72ED5">
        <w:rPr>
          <w:rFonts w:asciiTheme="minorHAnsi" w:hAnsiTheme="minorHAnsi"/>
          <w:sz w:val="22"/>
          <w:szCs w:val="22"/>
        </w:rPr>
        <w:t>individual</w:t>
      </w:r>
      <w:r w:rsidR="004643CB">
        <w:rPr>
          <w:rFonts w:asciiTheme="minorHAnsi" w:hAnsiTheme="minorHAnsi"/>
          <w:sz w:val="22"/>
          <w:szCs w:val="22"/>
        </w:rPr>
        <w:t>) so that a PCEHR can be created for them.</w:t>
      </w:r>
    </w:p>
    <w:p w:rsidR="000A4FA3" w:rsidRDefault="00C2417F" w:rsidP="002E0087">
      <w:pPr>
        <w:pStyle w:val="ListParagraph"/>
        <w:spacing w:after="120"/>
        <w:ind w:left="737"/>
        <w:contextualSpacing w:val="0"/>
        <w:rPr>
          <w:rFonts w:asciiTheme="minorHAnsi" w:hAnsiTheme="minorHAnsi"/>
          <w:sz w:val="22"/>
          <w:szCs w:val="22"/>
        </w:rPr>
      </w:pPr>
      <w:r>
        <w:rPr>
          <w:rFonts w:asciiTheme="minorHAnsi" w:hAnsiTheme="minorHAnsi"/>
          <w:sz w:val="22"/>
          <w:szCs w:val="22"/>
        </w:rPr>
        <w:t xml:space="preserve">The PCEHR Review recommended that the system transition to operate on an opt-out </w:t>
      </w:r>
      <w:r w:rsidR="007D6C72">
        <w:rPr>
          <w:rFonts w:asciiTheme="minorHAnsi" w:hAnsiTheme="minorHAnsi"/>
          <w:sz w:val="22"/>
          <w:szCs w:val="22"/>
        </w:rPr>
        <w:t>participation model</w:t>
      </w:r>
      <w:r>
        <w:rPr>
          <w:rFonts w:asciiTheme="minorHAnsi" w:hAnsiTheme="minorHAnsi"/>
          <w:sz w:val="22"/>
          <w:szCs w:val="22"/>
        </w:rPr>
        <w:t xml:space="preserve"> for individuals</w:t>
      </w:r>
      <w:r w:rsidR="000A4FA3">
        <w:rPr>
          <w:rFonts w:asciiTheme="minorHAnsi" w:hAnsiTheme="minorHAnsi"/>
          <w:sz w:val="22"/>
          <w:szCs w:val="22"/>
        </w:rPr>
        <w:t xml:space="preserve"> in order to increase uptake of the PCEHR system and increase its value to, and encourage its use by, healthcare providers</w:t>
      </w:r>
      <w:r w:rsidR="002E0087">
        <w:rPr>
          <w:rFonts w:asciiTheme="minorHAnsi" w:hAnsiTheme="minorHAnsi"/>
          <w:sz w:val="22"/>
          <w:szCs w:val="22"/>
        </w:rPr>
        <w:t>.</w:t>
      </w:r>
      <w:r>
        <w:rPr>
          <w:rStyle w:val="FootnoteReference"/>
          <w:rFonts w:asciiTheme="minorHAnsi" w:hAnsiTheme="minorHAnsi"/>
          <w:sz w:val="22"/>
          <w:szCs w:val="22"/>
        </w:rPr>
        <w:footnoteReference w:id="11"/>
      </w:r>
      <w:r w:rsidRPr="002E0087">
        <w:rPr>
          <w:rFonts w:asciiTheme="minorHAnsi" w:hAnsiTheme="minorHAnsi"/>
          <w:sz w:val="22"/>
          <w:szCs w:val="22"/>
        </w:rPr>
        <w:t xml:space="preserve">  </w:t>
      </w:r>
      <w:r w:rsidR="004451F6">
        <w:rPr>
          <w:rFonts w:asciiTheme="minorHAnsi" w:hAnsiTheme="minorHAnsi"/>
          <w:sz w:val="22"/>
          <w:szCs w:val="22"/>
        </w:rPr>
        <w:t>A</w:t>
      </w:r>
      <w:r w:rsidR="00747113">
        <w:rPr>
          <w:rFonts w:asciiTheme="minorHAnsi" w:hAnsiTheme="minorHAnsi"/>
          <w:sz w:val="22"/>
          <w:szCs w:val="22"/>
        </w:rPr>
        <w:t xml:space="preserve">ny decision to move to a national </w:t>
      </w:r>
      <w:r w:rsidR="000A4FA3">
        <w:rPr>
          <w:rFonts w:asciiTheme="minorHAnsi" w:hAnsiTheme="minorHAnsi"/>
          <w:sz w:val="22"/>
          <w:szCs w:val="22"/>
        </w:rPr>
        <w:t xml:space="preserve">opt-out participation model for the PCEHR system would be a significant decision and Government would need to examine its ramifications before implementing such a model.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hemeFill="accent2" w:themeFillTint="99"/>
        <w:tblCellMar>
          <w:top w:w="119" w:type="dxa"/>
        </w:tblCellMar>
        <w:tblLook w:val="04A0" w:firstRow="1" w:lastRow="0" w:firstColumn="1" w:lastColumn="0" w:noHBand="0" w:noVBand="1"/>
        <w:tblCaption w:val="A box for noting"/>
        <w:tblDescription w:val="Opt-out participation would mean that instead of enabling individuals (or their representatives) to choose to have a PCEHR, the system would automatically create a PCEHR for individuals unless they (ortheir representatives) choose not to have one."/>
      </w:tblPr>
      <w:tblGrid>
        <w:gridCol w:w="8153"/>
      </w:tblGrid>
      <w:tr w:rsidR="00DB04F2" w:rsidRPr="00396E21" w:rsidTr="0045440F">
        <w:trPr>
          <w:cantSplit/>
        </w:trPr>
        <w:tc>
          <w:tcPr>
            <w:tcW w:w="8153" w:type="dxa"/>
            <w:shd w:val="clear" w:color="auto" w:fill="D99594" w:themeFill="accent2" w:themeFillTint="99"/>
          </w:tcPr>
          <w:p w:rsidR="00DB04F2" w:rsidRPr="00396E21" w:rsidRDefault="00DB04F2" w:rsidP="00487A5E">
            <w:pPr>
              <w:pStyle w:val="BodyText"/>
              <w:keepNext/>
              <w:rPr>
                <w:rFonts w:asciiTheme="minorHAnsi" w:hAnsiTheme="minorHAnsi"/>
                <w:b/>
                <w:sz w:val="22"/>
                <w:szCs w:val="22"/>
              </w:rPr>
            </w:pPr>
            <w:r>
              <w:rPr>
                <w:rFonts w:asciiTheme="minorHAnsi" w:hAnsiTheme="minorHAnsi"/>
                <w:b/>
                <w:sz w:val="22"/>
                <w:szCs w:val="22"/>
              </w:rPr>
              <w:t>Note</w:t>
            </w:r>
            <w:r w:rsidRPr="007C5475">
              <w:rPr>
                <w:rFonts w:asciiTheme="minorHAnsi" w:hAnsiTheme="minorHAnsi"/>
                <w:sz w:val="22"/>
                <w:szCs w:val="22"/>
              </w:rPr>
              <w:t xml:space="preserve">: </w:t>
            </w:r>
            <w:r>
              <w:rPr>
                <w:rFonts w:asciiTheme="minorHAnsi" w:hAnsiTheme="minorHAnsi"/>
                <w:sz w:val="22"/>
                <w:szCs w:val="22"/>
              </w:rPr>
              <w:t>Opt-out participation mean</w:t>
            </w:r>
            <w:r w:rsidR="00487A5E">
              <w:rPr>
                <w:rFonts w:asciiTheme="minorHAnsi" w:hAnsiTheme="minorHAnsi"/>
                <w:sz w:val="22"/>
                <w:szCs w:val="22"/>
              </w:rPr>
              <w:t>s</w:t>
            </w:r>
            <w:r>
              <w:rPr>
                <w:rFonts w:asciiTheme="minorHAnsi" w:hAnsiTheme="minorHAnsi"/>
                <w:sz w:val="22"/>
                <w:szCs w:val="22"/>
              </w:rPr>
              <w:t xml:space="preserve"> that instead of </w:t>
            </w:r>
            <w:r w:rsidR="00BE07E8">
              <w:rPr>
                <w:rFonts w:asciiTheme="minorHAnsi" w:hAnsiTheme="minorHAnsi"/>
                <w:sz w:val="22"/>
                <w:szCs w:val="22"/>
              </w:rPr>
              <w:t>enabling</w:t>
            </w:r>
            <w:r>
              <w:rPr>
                <w:rFonts w:asciiTheme="minorHAnsi" w:hAnsiTheme="minorHAnsi"/>
                <w:sz w:val="22"/>
                <w:szCs w:val="22"/>
              </w:rPr>
              <w:t xml:space="preserve"> individuals (or their representatives) to choose to have a PCEHR, the system </w:t>
            </w:r>
            <w:r w:rsidR="00BE07E8">
              <w:rPr>
                <w:rFonts w:asciiTheme="minorHAnsi" w:hAnsiTheme="minorHAnsi"/>
                <w:sz w:val="22"/>
                <w:szCs w:val="22"/>
              </w:rPr>
              <w:t>automatically create</w:t>
            </w:r>
            <w:r w:rsidR="00487A5E">
              <w:rPr>
                <w:rFonts w:asciiTheme="minorHAnsi" w:hAnsiTheme="minorHAnsi"/>
                <w:sz w:val="22"/>
                <w:szCs w:val="22"/>
              </w:rPr>
              <w:t>s</w:t>
            </w:r>
            <w:r w:rsidR="00BE07E8">
              <w:rPr>
                <w:rFonts w:asciiTheme="minorHAnsi" w:hAnsiTheme="minorHAnsi"/>
                <w:sz w:val="22"/>
                <w:szCs w:val="22"/>
              </w:rPr>
              <w:t xml:space="preserve"> a PCEHR for </w:t>
            </w:r>
            <w:r>
              <w:rPr>
                <w:rFonts w:asciiTheme="minorHAnsi" w:hAnsiTheme="minorHAnsi"/>
                <w:sz w:val="22"/>
                <w:szCs w:val="22"/>
              </w:rPr>
              <w:t xml:space="preserve">individuals </w:t>
            </w:r>
            <w:r w:rsidR="00BE07E8">
              <w:rPr>
                <w:rFonts w:asciiTheme="minorHAnsi" w:hAnsiTheme="minorHAnsi"/>
                <w:sz w:val="22"/>
                <w:szCs w:val="22"/>
              </w:rPr>
              <w:t xml:space="preserve">unless they </w:t>
            </w:r>
            <w:r>
              <w:rPr>
                <w:rFonts w:asciiTheme="minorHAnsi" w:hAnsiTheme="minorHAnsi"/>
                <w:sz w:val="22"/>
                <w:szCs w:val="22"/>
              </w:rPr>
              <w:t xml:space="preserve">(or their representatives) choose </w:t>
            </w:r>
            <w:r w:rsidRPr="00BE07E8">
              <w:rPr>
                <w:rFonts w:asciiTheme="minorHAnsi" w:hAnsiTheme="minorHAnsi"/>
                <w:b/>
                <w:sz w:val="22"/>
                <w:szCs w:val="22"/>
              </w:rPr>
              <w:t>not</w:t>
            </w:r>
            <w:r>
              <w:rPr>
                <w:rFonts w:asciiTheme="minorHAnsi" w:hAnsiTheme="minorHAnsi"/>
                <w:sz w:val="22"/>
                <w:szCs w:val="22"/>
              </w:rPr>
              <w:t xml:space="preserve"> to have </w:t>
            </w:r>
            <w:r w:rsidR="00BE07E8">
              <w:rPr>
                <w:rFonts w:asciiTheme="minorHAnsi" w:hAnsiTheme="minorHAnsi"/>
                <w:sz w:val="22"/>
                <w:szCs w:val="22"/>
              </w:rPr>
              <w:t>one</w:t>
            </w:r>
            <w:r>
              <w:rPr>
                <w:rFonts w:asciiTheme="minorHAnsi" w:hAnsiTheme="minorHAnsi"/>
                <w:sz w:val="22"/>
                <w:szCs w:val="22"/>
              </w:rPr>
              <w:t>.</w:t>
            </w:r>
          </w:p>
        </w:tc>
      </w:tr>
    </w:tbl>
    <w:p w:rsidR="00DB04F2" w:rsidRPr="0088792D" w:rsidRDefault="00DB04F2" w:rsidP="00DB04F2">
      <w:pPr>
        <w:pStyle w:val="ListParagraph"/>
        <w:spacing w:after="120"/>
        <w:ind w:left="737"/>
        <w:contextualSpacing w:val="0"/>
        <w:rPr>
          <w:rFonts w:asciiTheme="minorHAnsi" w:hAnsiTheme="minorHAnsi"/>
          <w:sz w:val="12"/>
          <w:szCs w:val="12"/>
        </w:rPr>
      </w:pPr>
    </w:p>
    <w:p w:rsidR="00543BEF" w:rsidRDefault="00155765" w:rsidP="00C2417F">
      <w:pPr>
        <w:pStyle w:val="ListParagraph"/>
        <w:spacing w:after="120"/>
        <w:ind w:left="737"/>
        <w:contextualSpacing w:val="0"/>
        <w:rPr>
          <w:rFonts w:asciiTheme="minorHAnsi" w:hAnsiTheme="minorHAnsi"/>
          <w:sz w:val="22"/>
          <w:szCs w:val="22"/>
        </w:rPr>
      </w:pPr>
      <w:r>
        <w:rPr>
          <w:rFonts w:asciiTheme="minorHAnsi" w:hAnsiTheme="minorHAnsi"/>
          <w:sz w:val="22"/>
          <w:szCs w:val="22"/>
        </w:rPr>
        <w:t xml:space="preserve">It is </w:t>
      </w:r>
      <w:r w:rsidR="000A4FA3">
        <w:rPr>
          <w:rFonts w:asciiTheme="minorHAnsi" w:hAnsiTheme="minorHAnsi"/>
          <w:sz w:val="22"/>
          <w:szCs w:val="22"/>
        </w:rPr>
        <w:t xml:space="preserve">therefore </w:t>
      </w:r>
      <w:r>
        <w:rPr>
          <w:rFonts w:asciiTheme="minorHAnsi" w:hAnsiTheme="minorHAnsi"/>
          <w:sz w:val="22"/>
          <w:szCs w:val="22"/>
        </w:rPr>
        <w:t>proposed to undertake</w:t>
      </w:r>
      <w:r w:rsidR="000A4FA3">
        <w:rPr>
          <w:rFonts w:asciiTheme="minorHAnsi" w:hAnsiTheme="minorHAnsi"/>
          <w:sz w:val="22"/>
          <w:szCs w:val="22"/>
        </w:rPr>
        <w:t xml:space="preserve"> </w:t>
      </w:r>
      <w:r w:rsidR="00904A0F">
        <w:rPr>
          <w:rFonts w:asciiTheme="minorHAnsi" w:hAnsiTheme="minorHAnsi"/>
          <w:sz w:val="22"/>
          <w:szCs w:val="22"/>
        </w:rPr>
        <w:t xml:space="preserve">a </w:t>
      </w:r>
      <w:r w:rsidR="000A4FA3">
        <w:rPr>
          <w:rFonts w:asciiTheme="minorHAnsi" w:hAnsiTheme="minorHAnsi"/>
          <w:sz w:val="22"/>
          <w:szCs w:val="22"/>
        </w:rPr>
        <w:t>number of trials of different participation models for the PCEHR system</w:t>
      </w:r>
      <w:r w:rsidR="000A4FA3" w:rsidRPr="000A4FA3">
        <w:rPr>
          <w:rFonts w:asciiTheme="minorHAnsi" w:hAnsiTheme="minorHAnsi"/>
          <w:sz w:val="22"/>
          <w:szCs w:val="22"/>
        </w:rPr>
        <w:t xml:space="preserve"> </w:t>
      </w:r>
      <w:r w:rsidR="000A4FA3">
        <w:rPr>
          <w:rFonts w:asciiTheme="minorHAnsi" w:hAnsiTheme="minorHAnsi"/>
          <w:sz w:val="22"/>
          <w:szCs w:val="22"/>
        </w:rPr>
        <w:t>in selected regions of Australia</w:t>
      </w:r>
      <w:r w:rsidR="00904A0F">
        <w:rPr>
          <w:rFonts w:asciiTheme="minorHAnsi" w:hAnsiTheme="minorHAnsi"/>
          <w:sz w:val="22"/>
          <w:szCs w:val="22"/>
        </w:rPr>
        <w:t xml:space="preserve"> in 2016</w:t>
      </w:r>
      <w:r w:rsidR="000A4FA3">
        <w:rPr>
          <w:rFonts w:asciiTheme="minorHAnsi" w:hAnsiTheme="minorHAnsi"/>
          <w:sz w:val="22"/>
          <w:szCs w:val="22"/>
        </w:rPr>
        <w:t>, including opt-out</w:t>
      </w:r>
      <w:r>
        <w:rPr>
          <w:rFonts w:asciiTheme="minorHAnsi" w:hAnsiTheme="minorHAnsi"/>
          <w:sz w:val="22"/>
          <w:szCs w:val="22"/>
        </w:rPr>
        <w:t xml:space="preserve"> trials.  The purpose of these trials </w:t>
      </w:r>
      <w:r w:rsidR="00487A5E">
        <w:rPr>
          <w:rFonts w:asciiTheme="minorHAnsi" w:hAnsiTheme="minorHAnsi"/>
          <w:sz w:val="22"/>
          <w:szCs w:val="22"/>
        </w:rPr>
        <w:t xml:space="preserve">is </w:t>
      </w:r>
      <w:r>
        <w:rPr>
          <w:rFonts w:asciiTheme="minorHAnsi" w:hAnsiTheme="minorHAnsi"/>
          <w:sz w:val="22"/>
          <w:szCs w:val="22"/>
        </w:rPr>
        <w:t>to</w:t>
      </w:r>
      <w:r w:rsidR="00543BEF">
        <w:rPr>
          <w:rFonts w:asciiTheme="minorHAnsi" w:hAnsiTheme="minorHAnsi"/>
          <w:sz w:val="22"/>
          <w:szCs w:val="22"/>
        </w:rPr>
        <w:t>:</w:t>
      </w:r>
    </w:p>
    <w:p w:rsidR="00543BEF" w:rsidRDefault="00543BEF" w:rsidP="00A67B4E">
      <w:pPr>
        <w:pStyle w:val="ListParagraph"/>
        <w:numPr>
          <w:ilvl w:val="0"/>
          <w:numId w:val="15"/>
        </w:numPr>
        <w:spacing w:after="120"/>
        <w:contextualSpacing w:val="0"/>
        <w:rPr>
          <w:rFonts w:asciiTheme="minorHAnsi" w:hAnsiTheme="minorHAnsi"/>
          <w:sz w:val="22"/>
          <w:szCs w:val="22"/>
        </w:rPr>
      </w:pPr>
      <w:r>
        <w:rPr>
          <w:rFonts w:asciiTheme="minorHAnsi" w:hAnsiTheme="minorHAnsi"/>
          <w:sz w:val="22"/>
          <w:szCs w:val="22"/>
        </w:rPr>
        <w:t xml:space="preserve">identify appropriate methods of targeting and delivering critical information to key audiences; </w:t>
      </w:r>
    </w:p>
    <w:p w:rsidR="000A4FA3" w:rsidRDefault="00543BEF" w:rsidP="00A67B4E">
      <w:pPr>
        <w:pStyle w:val="ListParagraph"/>
        <w:numPr>
          <w:ilvl w:val="0"/>
          <w:numId w:val="15"/>
        </w:numPr>
        <w:spacing w:after="120"/>
        <w:contextualSpacing w:val="0"/>
        <w:rPr>
          <w:rFonts w:asciiTheme="minorHAnsi" w:hAnsiTheme="minorHAnsi"/>
          <w:sz w:val="22"/>
          <w:szCs w:val="22"/>
        </w:rPr>
      </w:pPr>
      <w:r>
        <w:rPr>
          <w:rFonts w:asciiTheme="minorHAnsi" w:hAnsiTheme="minorHAnsi"/>
          <w:sz w:val="22"/>
          <w:szCs w:val="22"/>
        </w:rPr>
        <w:lastRenderedPageBreak/>
        <w:t xml:space="preserve">assess the effectiveness of </w:t>
      </w:r>
      <w:r w:rsidR="000A4FA3">
        <w:rPr>
          <w:rFonts w:asciiTheme="minorHAnsi" w:hAnsiTheme="minorHAnsi"/>
          <w:sz w:val="22"/>
          <w:szCs w:val="22"/>
        </w:rPr>
        <w:t>targeted</w:t>
      </w:r>
      <w:r>
        <w:rPr>
          <w:rFonts w:asciiTheme="minorHAnsi" w:hAnsiTheme="minorHAnsi"/>
          <w:sz w:val="22"/>
          <w:szCs w:val="22"/>
        </w:rPr>
        <w:t xml:space="preserve"> communications, </w:t>
      </w:r>
      <w:r w:rsidR="000A4FA3">
        <w:rPr>
          <w:rFonts w:asciiTheme="minorHAnsi" w:hAnsiTheme="minorHAnsi"/>
          <w:sz w:val="22"/>
          <w:szCs w:val="22"/>
        </w:rPr>
        <w:t xml:space="preserve">and </w:t>
      </w:r>
      <w:r>
        <w:rPr>
          <w:rFonts w:asciiTheme="minorHAnsi" w:hAnsiTheme="minorHAnsi"/>
          <w:sz w:val="22"/>
          <w:szCs w:val="22"/>
        </w:rPr>
        <w:t>education and training for healthcare providers</w:t>
      </w:r>
      <w:r w:rsidR="000A4FA3">
        <w:rPr>
          <w:rFonts w:asciiTheme="minorHAnsi" w:hAnsiTheme="minorHAnsi"/>
          <w:sz w:val="22"/>
          <w:szCs w:val="22"/>
        </w:rPr>
        <w:t>; and</w:t>
      </w:r>
    </w:p>
    <w:p w:rsidR="00155765" w:rsidRPr="000A4FA3" w:rsidRDefault="000A4FA3" w:rsidP="000A4FA3">
      <w:pPr>
        <w:pStyle w:val="ListParagraph"/>
        <w:numPr>
          <w:ilvl w:val="0"/>
          <w:numId w:val="15"/>
        </w:numPr>
        <w:spacing w:after="120"/>
        <w:contextualSpacing w:val="0"/>
        <w:rPr>
          <w:rFonts w:asciiTheme="minorHAnsi" w:hAnsiTheme="minorHAnsi"/>
          <w:sz w:val="22"/>
          <w:szCs w:val="22"/>
        </w:rPr>
      </w:pPr>
      <w:proofErr w:type="gramStart"/>
      <w:r>
        <w:rPr>
          <w:rFonts w:asciiTheme="minorHAnsi" w:hAnsiTheme="minorHAnsi"/>
          <w:sz w:val="22"/>
          <w:szCs w:val="22"/>
        </w:rPr>
        <w:t>test</w:t>
      </w:r>
      <w:proofErr w:type="gramEnd"/>
      <w:r>
        <w:rPr>
          <w:rFonts w:asciiTheme="minorHAnsi" w:hAnsiTheme="minorHAnsi"/>
          <w:sz w:val="22"/>
          <w:szCs w:val="22"/>
        </w:rPr>
        <w:t xml:space="preserve"> implementation approaches</w:t>
      </w:r>
      <w:r w:rsidR="00543BEF" w:rsidRPr="000A4FA3">
        <w:rPr>
          <w:rFonts w:asciiTheme="minorHAnsi" w:hAnsiTheme="minorHAnsi"/>
          <w:sz w:val="22"/>
          <w:szCs w:val="22"/>
        </w:rPr>
        <w:t>.</w:t>
      </w:r>
    </w:p>
    <w:p w:rsidR="00543BEF" w:rsidRDefault="00543BEF" w:rsidP="00543BEF">
      <w:pPr>
        <w:pStyle w:val="ListParagraph"/>
        <w:spacing w:after="120"/>
        <w:ind w:left="737"/>
        <w:contextualSpacing w:val="0"/>
        <w:rPr>
          <w:rFonts w:asciiTheme="minorHAnsi" w:hAnsiTheme="minorHAnsi"/>
          <w:sz w:val="22"/>
          <w:szCs w:val="22"/>
        </w:rPr>
      </w:pPr>
      <w:r>
        <w:rPr>
          <w:rFonts w:asciiTheme="minorHAnsi" w:hAnsiTheme="minorHAnsi"/>
          <w:sz w:val="22"/>
          <w:szCs w:val="22"/>
        </w:rPr>
        <w:t>Th</w:t>
      </w:r>
      <w:r w:rsidR="00664FE2">
        <w:rPr>
          <w:rFonts w:asciiTheme="minorHAnsi" w:hAnsiTheme="minorHAnsi"/>
          <w:sz w:val="22"/>
          <w:szCs w:val="22"/>
        </w:rPr>
        <w:t>ese trials</w:t>
      </w:r>
      <w:r>
        <w:rPr>
          <w:rFonts w:asciiTheme="minorHAnsi" w:hAnsiTheme="minorHAnsi"/>
          <w:sz w:val="22"/>
          <w:szCs w:val="22"/>
        </w:rPr>
        <w:t xml:space="preserve"> </w:t>
      </w:r>
      <w:r w:rsidR="00487A5E">
        <w:rPr>
          <w:rFonts w:asciiTheme="minorHAnsi" w:hAnsiTheme="minorHAnsi"/>
          <w:sz w:val="22"/>
          <w:szCs w:val="22"/>
        </w:rPr>
        <w:t xml:space="preserve">will </w:t>
      </w:r>
      <w:r>
        <w:rPr>
          <w:rFonts w:asciiTheme="minorHAnsi" w:hAnsiTheme="minorHAnsi"/>
          <w:sz w:val="22"/>
          <w:szCs w:val="22"/>
        </w:rPr>
        <w:t xml:space="preserve">inform future decisions about, and the optimal approaches for, </w:t>
      </w:r>
      <w:r w:rsidR="00DB04F2">
        <w:rPr>
          <w:rFonts w:asciiTheme="minorHAnsi" w:hAnsiTheme="minorHAnsi"/>
          <w:sz w:val="22"/>
          <w:szCs w:val="22"/>
        </w:rPr>
        <w:t>maximising participation in the PCEHR system, including the possible adoption of an opt-out system for individuals.</w:t>
      </w:r>
    </w:p>
    <w:p w:rsidR="00664FE2" w:rsidRDefault="00DB04F2" w:rsidP="00664FE2">
      <w:pPr>
        <w:pStyle w:val="ListParagraph"/>
        <w:spacing w:after="120"/>
        <w:ind w:left="737"/>
        <w:contextualSpacing w:val="0"/>
        <w:rPr>
          <w:rFonts w:asciiTheme="minorHAnsi" w:hAnsiTheme="minorHAnsi"/>
          <w:sz w:val="22"/>
          <w:szCs w:val="22"/>
        </w:rPr>
      </w:pPr>
      <w:r>
        <w:rPr>
          <w:rFonts w:asciiTheme="minorHAnsi" w:hAnsiTheme="minorHAnsi"/>
          <w:sz w:val="22"/>
          <w:szCs w:val="22"/>
        </w:rPr>
        <w:t xml:space="preserve">While the trials are being undertaken </w:t>
      </w:r>
      <w:r w:rsidR="00543BEF">
        <w:rPr>
          <w:rFonts w:asciiTheme="minorHAnsi" w:hAnsiTheme="minorHAnsi"/>
          <w:sz w:val="22"/>
          <w:szCs w:val="22"/>
        </w:rPr>
        <w:t xml:space="preserve">the system </w:t>
      </w:r>
      <w:r w:rsidR="00487A5E">
        <w:rPr>
          <w:rFonts w:asciiTheme="minorHAnsi" w:hAnsiTheme="minorHAnsi"/>
          <w:sz w:val="22"/>
          <w:szCs w:val="22"/>
        </w:rPr>
        <w:t xml:space="preserve">will </w:t>
      </w:r>
      <w:r w:rsidR="00543BEF">
        <w:rPr>
          <w:rFonts w:asciiTheme="minorHAnsi" w:hAnsiTheme="minorHAnsi"/>
          <w:sz w:val="22"/>
          <w:szCs w:val="22"/>
        </w:rPr>
        <w:t xml:space="preserve">continue to operate on an opt-in basis </w:t>
      </w:r>
      <w:r w:rsidR="005D41F2">
        <w:rPr>
          <w:rFonts w:asciiTheme="minorHAnsi" w:hAnsiTheme="minorHAnsi"/>
          <w:sz w:val="22"/>
          <w:szCs w:val="22"/>
        </w:rPr>
        <w:t>across</w:t>
      </w:r>
      <w:r w:rsidR="00543BEF">
        <w:rPr>
          <w:rFonts w:asciiTheme="minorHAnsi" w:hAnsiTheme="minorHAnsi"/>
          <w:sz w:val="22"/>
          <w:szCs w:val="22"/>
        </w:rPr>
        <w:t xml:space="preserve"> the rest of Australia.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hemeFill="accent2" w:themeFillTint="99"/>
        <w:tblCellMar>
          <w:top w:w="119" w:type="dxa"/>
        </w:tblCellMar>
        <w:tblLook w:val="04A0" w:firstRow="1" w:lastRow="0" w:firstColumn="1" w:lastColumn="0" w:noHBand="0" w:noVBand="1"/>
        <w:tblCaption w:val="A box for noting"/>
        <w:tblDescription w:val="Amendments would need to be made to the PCEHR Act and HI Act to enable opt-out trials to operate while the system continues to operate on an opt-in basis elsewhere."/>
      </w:tblPr>
      <w:tblGrid>
        <w:gridCol w:w="8153"/>
      </w:tblGrid>
      <w:tr w:rsidR="00DB04F2" w:rsidRPr="00396E21" w:rsidTr="0045440F">
        <w:trPr>
          <w:cantSplit/>
        </w:trPr>
        <w:tc>
          <w:tcPr>
            <w:tcW w:w="8153" w:type="dxa"/>
            <w:shd w:val="clear" w:color="auto" w:fill="D99594" w:themeFill="accent2" w:themeFillTint="99"/>
          </w:tcPr>
          <w:p w:rsidR="00DB04F2" w:rsidRPr="00396E21" w:rsidRDefault="00DB04F2" w:rsidP="00487A5E">
            <w:pPr>
              <w:pStyle w:val="BodyText"/>
              <w:keepNext/>
              <w:rPr>
                <w:rFonts w:asciiTheme="minorHAnsi" w:hAnsiTheme="minorHAnsi"/>
                <w:b/>
                <w:sz w:val="22"/>
                <w:szCs w:val="22"/>
              </w:rPr>
            </w:pPr>
            <w:r>
              <w:rPr>
                <w:rFonts w:asciiTheme="minorHAnsi" w:hAnsiTheme="minorHAnsi"/>
                <w:b/>
                <w:sz w:val="22"/>
                <w:szCs w:val="22"/>
              </w:rPr>
              <w:t>Note</w:t>
            </w:r>
            <w:r w:rsidRPr="007C5475">
              <w:rPr>
                <w:rFonts w:asciiTheme="minorHAnsi" w:hAnsiTheme="minorHAnsi"/>
                <w:sz w:val="22"/>
                <w:szCs w:val="22"/>
              </w:rPr>
              <w:t xml:space="preserve">: </w:t>
            </w:r>
            <w:r>
              <w:rPr>
                <w:rFonts w:asciiTheme="minorHAnsi" w:hAnsiTheme="minorHAnsi"/>
                <w:sz w:val="22"/>
                <w:szCs w:val="22"/>
              </w:rPr>
              <w:t xml:space="preserve">Amendments </w:t>
            </w:r>
            <w:r w:rsidR="00487A5E">
              <w:rPr>
                <w:rFonts w:asciiTheme="minorHAnsi" w:hAnsiTheme="minorHAnsi"/>
                <w:sz w:val="22"/>
                <w:szCs w:val="22"/>
              </w:rPr>
              <w:t xml:space="preserve">will </w:t>
            </w:r>
            <w:r>
              <w:rPr>
                <w:rFonts w:asciiTheme="minorHAnsi" w:hAnsiTheme="minorHAnsi"/>
                <w:sz w:val="22"/>
                <w:szCs w:val="22"/>
              </w:rPr>
              <w:t>need to be made to the PCEHR Act and HI Act to enable opt</w:t>
            </w:r>
            <w:r w:rsidR="00904A0F">
              <w:rPr>
                <w:rFonts w:asciiTheme="minorHAnsi" w:hAnsiTheme="minorHAnsi"/>
                <w:sz w:val="22"/>
                <w:szCs w:val="22"/>
              </w:rPr>
              <w:noBreakHyphen/>
            </w:r>
            <w:r>
              <w:rPr>
                <w:rFonts w:asciiTheme="minorHAnsi" w:hAnsiTheme="minorHAnsi"/>
                <w:sz w:val="22"/>
                <w:szCs w:val="22"/>
              </w:rPr>
              <w:t xml:space="preserve">out trials to operate while the system continues to operate on </w:t>
            </w:r>
            <w:r w:rsidR="00904A0F">
              <w:rPr>
                <w:rFonts w:asciiTheme="minorHAnsi" w:hAnsiTheme="minorHAnsi"/>
                <w:sz w:val="22"/>
                <w:szCs w:val="22"/>
              </w:rPr>
              <w:t>an opt-in</w:t>
            </w:r>
            <w:r>
              <w:rPr>
                <w:rFonts w:asciiTheme="minorHAnsi" w:hAnsiTheme="minorHAnsi"/>
                <w:sz w:val="22"/>
                <w:szCs w:val="22"/>
              </w:rPr>
              <w:t xml:space="preserve"> basis elsewhere.</w:t>
            </w:r>
          </w:p>
        </w:tc>
      </w:tr>
    </w:tbl>
    <w:p w:rsidR="00664FE2" w:rsidRPr="0088792D" w:rsidRDefault="00664FE2" w:rsidP="00664FE2">
      <w:pPr>
        <w:pStyle w:val="ListParagraph"/>
        <w:spacing w:after="120"/>
        <w:ind w:left="737"/>
        <w:contextualSpacing w:val="0"/>
        <w:rPr>
          <w:rFonts w:asciiTheme="minorHAnsi" w:hAnsiTheme="minorHAnsi"/>
          <w:sz w:val="12"/>
          <w:szCs w:val="12"/>
        </w:rPr>
      </w:pPr>
    </w:p>
    <w:p w:rsidR="00664FE2" w:rsidRDefault="000A17ED" w:rsidP="000A17ED">
      <w:pPr>
        <w:pStyle w:val="ListParagraph"/>
        <w:spacing w:after="120"/>
        <w:ind w:left="737"/>
        <w:contextualSpacing w:val="0"/>
        <w:rPr>
          <w:rFonts w:asciiTheme="minorHAnsi" w:hAnsiTheme="minorHAnsi"/>
          <w:sz w:val="22"/>
          <w:szCs w:val="22"/>
        </w:rPr>
      </w:pPr>
      <w:r>
        <w:rPr>
          <w:rFonts w:asciiTheme="minorHAnsi" w:hAnsiTheme="minorHAnsi"/>
          <w:sz w:val="22"/>
          <w:szCs w:val="22"/>
        </w:rPr>
        <w:t xml:space="preserve">It is proposed that a mechanism be included in the PCEHR </w:t>
      </w:r>
      <w:r w:rsidR="00186D02">
        <w:rPr>
          <w:rFonts w:asciiTheme="minorHAnsi" w:hAnsiTheme="minorHAnsi"/>
          <w:sz w:val="22"/>
          <w:szCs w:val="22"/>
        </w:rPr>
        <w:t xml:space="preserve">legislation </w:t>
      </w:r>
      <w:r>
        <w:rPr>
          <w:rFonts w:asciiTheme="minorHAnsi" w:hAnsiTheme="minorHAnsi"/>
          <w:sz w:val="22"/>
          <w:szCs w:val="22"/>
        </w:rPr>
        <w:t xml:space="preserve">that would allow the Minister </w:t>
      </w:r>
      <w:r w:rsidR="00C0591F">
        <w:rPr>
          <w:rFonts w:asciiTheme="minorHAnsi" w:hAnsiTheme="minorHAnsi"/>
          <w:sz w:val="22"/>
          <w:szCs w:val="22"/>
        </w:rPr>
        <w:t xml:space="preserve">or the Governor-General </w:t>
      </w:r>
      <w:r>
        <w:rPr>
          <w:rFonts w:asciiTheme="minorHAnsi" w:hAnsiTheme="minorHAnsi"/>
          <w:sz w:val="22"/>
          <w:szCs w:val="22"/>
        </w:rPr>
        <w:t xml:space="preserve">to determine the areas of Australia where the system </w:t>
      </w:r>
      <w:r w:rsidR="00D85CC8">
        <w:rPr>
          <w:rFonts w:asciiTheme="minorHAnsi" w:hAnsiTheme="minorHAnsi"/>
          <w:sz w:val="22"/>
          <w:szCs w:val="22"/>
        </w:rPr>
        <w:t>would</w:t>
      </w:r>
      <w:r>
        <w:rPr>
          <w:rFonts w:asciiTheme="minorHAnsi" w:hAnsiTheme="minorHAnsi"/>
          <w:sz w:val="22"/>
          <w:szCs w:val="22"/>
        </w:rPr>
        <w:t xml:space="preserve"> operate on an opt-out basis.  The Minister would be required to consult </w:t>
      </w:r>
      <w:r w:rsidR="0081490B">
        <w:rPr>
          <w:rFonts w:asciiTheme="minorHAnsi" w:hAnsiTheme="minorHAnsi"/>
          <w:sz w:val="22"/>
          <w:szCs w:val="22"/>
        </w:rPr>
        <w:t xml:space="preserve">(or the Governor-General would need to be satisfied that consultations have occurred) </w:t>
      </w:r>
      <w:r>
        <w:rPr>
          <w:rFonts w:asciiTheme="minorHAnsi" w:hAnsiTheme="minorHAnsi"/>
          <w:sz w:val="22"/>
          <w:szCs w:val="22"/>
        </w:rPr>
        <w:t xml:space="preserve">with the </w:t>
      </w:r>
      <w:r w:rsidR="007D6C72">
        <w:rPr>
          <w:rFonts w:asciiTheme="minorHAnsi" w:hAnsiTheme="minorHAnsi"/>
          <w:sz w:val="22"/>
          <w:szCs w:val="22"/>
        </w:rPr>
        <w:t>state or territory concerned and</w:t>
      </w:r>
      <w:r w:rsidR="0088792D" w:rsidRPr="0088792D">
        <w:rPr>
          <w:rFonts w:asciiTheme="minorHAnsi" w:hAnsiTheme="minorHAnsi"/>
          <w:sz w:val="22"/>
          <w:szCs w:val="22"/>
        </w:rPr>
        <w:t xml:space="preserve"> </w:t>
      </w:r>
      <w:r w:rsidR="0088792D">
        <w:rPr>
          <w:rFonts w:asciiTheme="minorHAnsi" w:hAnsiTheme="minorHAnsi"/>
          <w:sz w:val="22"/>
          <w:szCs w:val="22"/>
        </w:rPr>
        <w:t>have the proposal</w:t>
      </w:r>
      <w:r w:rsidR="007D6C72">
        <w:rPr>
          <w:rFonts w:asciiTheme="minorHAnsi" w:hAnsiTheme="minorHAnsi"/>
          <w:sz w:val="22"/>
          <w:szCs w:val="22"/>
        </w:rPr>
        <w:t xml:space="preserve"> considered by </w:t>
      </w:r>
      <w:r w:rsidR="00665BC5">
        <w:rPr>
          <w:rFonts w:asciiTheme="minorHAnsi" w:hAnsiTheme="minorHAnsi"/>
          <w:sz w:val="22"/>
          <w:szCs w:val="22"/>
        </w:rPr>
        <w:t>the Council of Australian Governments (</w:t>
      </w:r>
      <w:proofErr w:type="spellStart"/>
      <w:r w:rsidR="00665BC5">
        <w:rPr>
          <w:rFonts w:asciiTheme="minorHAnsi" w:hAnsiTheme="minorHAnsi"/>
          <w:sz w:val="22"/>
          <w:szCs w:val="22"/>
        </w:rPr>
        <w:t>COAG</w:t>
      </w:r>
      <w:proofErr w:type="spellEnd"/>
      <w:r w:rsidR="00665BC5">
        <w:rPr>
          <w:rFonts w:asciiTheme="minorHAnsi" w:hAnsiTheme="minorHAnsi"/>
          <w:sz w:val="22"/>
          <w:szCs w:val="22"/>
        </w:rPr>
        <w:t>)</w:t>
      </w:r>
      <w:r w:rsidR="007D6C72">
        <w:rPr>
          <w:rFonts w:asciiTheme="minorHAnsi" w:hAnsiTheme="minorHAnsi"/>
          <w:sz w:val="22"/>
          <w:szCs w:val="22"/>
        </w:rPr>
        <w:t xml:space="preserve"> Health Council</w:t>
      </w:r>
      <w:r>
        <w:rPr>
          <w:rFonts w:asciiTheme="minorHAnsi" w:hAnsiTheme="minorHAnsi"/>
          <w:sz w:val="22"/>
          <w:szCs w:val="22"/>
        </w:rPr>
        <w:t xml:space="preserve"> before any such determination</w:t>
      </w:r>
      <w:r w:rsidR="00C0591F">
        <w:rPr>
          <w:rFonts w:asciiTheme="minorHAnsi" w:hAnsiTheme="minorHAnsi"/>
          <w:sz w:val="22"/>
          <w:szCs w:val="22"/>
        </w:rPr>
        <w:t xml:space="preserve"> was made</w:t>
      </w:r>
      <w:r>
        <w:rPr>
          <w:rFonts w:asciiTheme="minorHAnsi" w:hAnsiTheme="minorHAnsi"/>
          <w:sz w:val="22"/>
          <w:szCs w:val="22"/>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CellMar>
          <w:top w:w="119" w:type="dxa"/>
        </w:tblCellMar>
        <w:tblLook w:val="04A0" w:firstRow="1" w:lastRow="0" w:firstColumn="1" w:lastColumn="0" w:noHBand="0" w:noVBand="1"/>
        <w:tblCaption w:val="A box with an example"/>
        <w:tblDescription w:val="In practice, the Minister may make a declaration similar to those made under the Quarantine Act 1908 in relation to quarantine zones. The declaration would identify the boundaries of each trial region and specify the date/s on which the trials would commence and conclude, subject to agreement by the state or territory concerned. Such an instrument wouldbe subject to Parliamentary scrutiny and would be disallowable."/>
      </w:tblPr>
      <w:tblGrid>
        <w:gridCol w:w="8153"/>
      </w:tblGrid>
      <w:tr w:rsidR="00C0591F" w:rsidRPr="00396E21" w:rsidTr="0045440F">
        <w:trPr>
          <w:cantSplit/>
        </w:trPr>
        <w:tc>
          <w:tcPr>
            <w:tcW w:w="8153" w:type="dxa"/>
            <w:shd w:val="clear" w:color="auto" w:fill="FFFF99"/>
          </w:tcPr>
          <w:p w:rsidR="00C0591F" w:rsidRPr="00396E21" w:rsidRDefault="00C0591F" w:rsidP="00D85CC8">
            <w:pPr>
              <w:pStyle w:val="BodyText"/>
              <w:keepNext/>
              <w:rPr>
                <w:rFonts w:asciiTheme="minorHAnsi" w:hAnsiTheme="minorHAnsi"/>
                <w:b/>
                <w:sz w:val="22"/>
                <w:szCs w:val="22"/>
              </w:rPr>
            </w:pPr>
            <w:r>
              <w:rPr>
                <w:rFonts w:asciiTheme="minorHAnsi" w:hAnsiTheme="minorHAnsi"/>
                <w:b/>
                <w:sz w:val="22"/>
                <w:szCs w:val="22"/>
              </w:rPr>
              <w:t>In practice:</w:t>
            </w:r>
            <w:r w:rsidRPr="00396E21">
              <w:rPr>
                <w:rFonts w:asciiTheme="minorHAnsi" w:hAnsiTheme="minorHAnsi"/>
                <w:b/>
                <w:sz w:val="22"/>
                <w:szCs w:val="22"/>
              </w:rPr>
              <w:t xml:space="preserve"> </w:t>
            </w:r>
            <w:r>
              <w:rPr>
                <w:rFonts w:asciiTheme="minorHAnsi" w:hAnsiTheme="minorHAnsi"/>
                <w:sz w:val="22"/>
                <w:szCs w:val="22"/>
              </w:rPr>
              <w:t xml:space="preserve">The Minister may make a declaration similar to those made under the </w:t>
            </w:r>
            <w:r>
              <w:rPr>
                <w:rFonts w:asciiTheme="minorHAnsi" w:hAnsiTheme="minorHAnsi"/>
                <w:i/>
                <w:sz w:val="22"/>
                <w:szCs w:val="22"/>
              </w:rPr>
              <w:t>Quarantine Act 1908</w:t>
            </w:r>
            <w:r>
              <w:rPr>
                <w:rFonts w:asciiTheme="minorHAnsi" w:hAnsiTheme="minorHAnsi"/>
                <w:sz w:val="22"/>
                <w:szCs w:val="22"/>
              </w:rPr>
              <w:t xml:space="preserve"> in relation to quarantine zones.  The declaration would identify the boundaries of each trial region and specify the date/s on which the trials </w:t>
            </w:r>
            <w:r w:rsidR="00D85CC8">
              <w:rPr>
                <w:rFonts w:asciiTheme="minorHAnsi" w:hAnsiTheme="minorHAnsi"/>
                <w:sz w:val="22"/>
                <w:szCs w:val="22"/>
              </w:rPr>
              <w:t>would</w:t>
            </w:r>
            <w:r>
              <w:rPr>
                <w:rFonts w:asciiTheme="minorHAnsi" w:hAnsiTheme="minorHAnsi"/>
                <w:sz w:val="22"/>
                <w:szCs w:val="22"/>
              </w:rPr>
              <w:t xml:space="preserve"> commence and conclude</w:t>
            </w:r>
            <w:r w:rsidR="007D6C72">
              <w:rPr>
                <w:rFonts w:asciiTheme="minorHAnsi" w:hAnsiTheme="minorHAnsi"/>
                <w:sz w:val="22"/>
                <w:szCs w:val="22"/>
              </w:rPr>
              <w:t>, subject to agreement by the state or territory concerned</w:t>
            </w:r>
            <w:r>
              <w:rPr>
                <w:rFonts w:asciiTheme="minorHAnsi" w:hAnsiTheme="minorHAnsi"/>
                <w:sz w:val="22"/>
                <w:szCs w:val="22"/>
              </w:rPr>
              <w:t>.  Such an instrument would be subject to Parliamentary scrutiny and would be disallowable.</w:t>
            </w:r>
          </w:p>
        </w:tc>
      </w:tr>
    </w:tbl>
    <w:p w:rsidR="00C0591F" w:rsidRPr="0088792D" w:rsidRDefault="00C0591F" w:rsidP="00C0591F">
      <w:pPr>
        <w:spacing w:after="120"/>
        <w:rPr>
          <w:rFonts w:asciiTheme="minorHAnsi" w:hAnsiTheme="minorHAnsi"/>
          <w:sz w:val="12"/>
          <w:szCs w:val="12"/>
        </w:rPr>
      </w:pPr>
    </w:p>
    <w:p w:rsidR="005D41F2" w:rsidRPr="005D41F2" w:rsidRDefault="0081490B" w:rsidP="007D4CD6">
      <w:pPr>
        <w:pStyle w:val="ListParagraph"/>
        <w:spacing w:after="120"/>
        <w:ind w:left="737"/>
        <w:contextualSpacing w:val="0"/>
        <w:rPr>
          <w:rFonts w:asciiTheme="minorHAnsi" w:hAnsiTheme="minorHAnsi"/>
          <w:sz w:val="22"/>
          <w:szCs w:val="22"/>
        </w:rPr>
      </w:pPr>
      <w:r>
        <w:rPr>
          <w:rFonts w:asciiTheme="minorHAnsi" w:hAnsiTheme="minorHAnsi"/>
          <w:sz w:val="22"/>
          <w:szCs w:val="22"/>
        </w:rPr>
        <w:t>I</w:t>
      </w:r>
      <w:r w:rsidR="009E5332">
        <w:rPr>
          <w:rFonts w:asciiTheme="minorHAnsi" w:hAnsiTheme="minorHAnsi"/>
          <w:sz w:val="22"/>
          <w:szCs w:val="22"/>
        </w:rPr>
        <w:t>f</w:t>
      </w:r>
      <w:r>
        <w:rPr>
          <w:rFonts w:asciiTheme="minorHAnsi" w:hAnsiTheme="minorHAnsi"/>
          <w:sz w:val="22"/>
          <w:szCs w:val="22"/>
        </w:rPr>
        <w:t xml:space="preserve">, following the trials, </w:t>
      </w:r>
      <w:r w:rsidR="005D41F2">
        <w:rPr>
          <w:rFonts w:asciiTheme="minorHAnsi" w:hAnsiTheme="minorHAnsi"/>
          <w:sz w:val="22"/>
          <w:szCs w:val="22"/>
        </w:rPr>
        <w:t xml:space="preserve">there </w:t>
      </w:r>
      <w:r w:rsidR="00C0591F">
        <w:rPr>
          <w:rFonts w:asciiTheme="minorHAnsi" w:hAnsiTheme="minorHAnsi"/>
          <w:sz w:val="22"/>
          <w:szCs w:val="22"/>
        </w:rPr>
        <w:t>is</w:t>
      </w:r>
      <w:r w:rsidR="005D41F2">
        <w:rPr>
          <w:rFonts w:asciiTheme="minorHAnsi" w:hAnsiTheme="minorHAnsi"/>
          <w:sz w:val="22"/>
          <w:szCs w:val="22"/>
        </w:rPr>
        <w:t xml:space="preserve"> a </w:t>
      </w:r>
      <w:r w:rsidR="009E5332">
        <w:rPr>
          <w:rFonts w:asciiTheme="minorHAnsi" w:hAnsiTheme="minorHAnsi"/>
          <w:sz w:val="22"/>
          <w:szCs w:val="22"/>
        </w:rPr>
        <w:t xml:space="preserve">subsequent </w:t>
      </w:r>
      <w:r w:rsidR="005D41F2">
        <w:rPr>
          <w:rFonts w:asciiTheme="minorHAnsi" w:hAnsiTheme="minorHAnsi"/>
          <w:sz w:val="22"/>
          <w:szCs w:val="22"/>
        </w:rPr>
        <w:t xml:space="preserve">Government decision to implement </w:t>
      </w:r>
      <w:r w:rsidR="00BE07E8">
        <w:rPr>
          <w:rFonts w:asciiTheme="minorHAnsi" w:hAnsiTheme="minorHAnsi"/>
          <w:sz w:val="22"/>
          <w:szCs w:val="22"/>
        </w:rPr>
        <w:t>an</w:t>
      </w:r>
      <w:r>
        <w:rPr>
          <w:rFonts w:asciiTheme="minorHAnsi" w:hAnsiTheme="minorHAnsi"/>
          <w:sz w:val="22"/>
          <w:szCs w:val="22"/>
        </w:rPr>
        <w:t xml:space="preserve"> </w:t>
      </w:r>
      <w:r w:rsidR="009E5332">
        <w:rPr>
          <w:rFonts w:asciiTheme="minorHAnsi" w:hAnsiTheme="minorHAnsi"/>
          <w:sz w:val="22"/>
          <w:szCs w:val="22"/>
        </w:rPr>
        <w:t>opt</w:t>
      </w:r>
      <w:r w:rsidR="009E5332">
        <w:rPr>
          <w:rFonts w:asciiTheme="minorHAnsi" w:hAnsiTheme="minorHAnsi"/>
          <w:sz w:val="22"/>
          <w:szCs w:val="22"/>
        </w:rPr>
        <w:noBreakHyphen/>
        <w:t xml:space="preserve">out </w:t>
      </w:r>
      <w:r w:rsidR="0002474F">
        <w:rPr>
          <w:rFonts w:asciiTheme="minorHAnsi" w:hAnsiTheme="minorHAnsi"/>
          <w:sz w:val="22"/>
          <w:szCs w:val="22"/>
        </w:rPr>
        <w:t xml:space="preserve">participation </w:t>
      </w:r>
      <w:r w:rsidR="009E5332">
        <w:rPr>
          <w:rFonts w:asciiTheme="minorHAnsi" w:hAnsiTheme="minorHAnsi"/>
          <w:sz w:val="22"/>
          <w:szCs w:val="22"/>
        </w:rPr>
        <w:t>model</w:t>
      </w:r>
      <w:r w:rsidR="005D41F2">
        <w:rPr>
          <w:rFonts w:asciiTheme="minorHAnsi" w:hAnsiTheme="minorHAnsi"/>
          <w:sz w:val="22"/>
          <w:szCs w:val="22"/>
        </w:rPr>
        <w:t xml:space="preserve"> nationally, th</w:t>
      </w:r>
      <w:r>
        <w:rPr>
          <w:rFonts w:asciiTheme="minorHAnsi" w:hAnsiTheme="minorHAnsi"/>
          <w:sz w:val="22"/>
          <w:szCs w:val="22"/>
        </w:rPr>
        <w:t xml:space="preserve">ere would be a </w:t>
      </w:r>
      <w:r w:rsidR="005D41F2">
        <w:rPr>
          <w:rFonts w:asciiTheme="minorHAnsi" w:hAnsiTheme="minorHAnsi"/>
          <w:sz w:val="22"/>
          <w:szCs w:val="22"/>
        </w:rPr>
        <w:t xml:space="preserve">mechanism </w:t>
      </w:r>
      <w:r>
        <w:rPr>
          <w:rFonts w:asciiTheme="minorHAnsi" w:hAnsiTheme="minorHAnsi"/>
          <w:sz w:val="22"/>
          <w:szCs w:val="22"/>
        </w:rPr>
        <w:t xml:space="preserve">to </w:t>
      </w:r>
      <w:r w:rsidR="005D41F2">
        <w:rPr>
          <w:rFonts w:asciiTheme="minorHAnsi" w:hAnsiTheme="minorHAnsi"/>
          <w:sz w:val="22"/>
          <w:szCs w:val="22"/>
        </w:rPr>
        <w:t>enable the Minister</w:t>
      </w:r>
      <w:r w:rsidR="00C0591F">
        <w:rPr>
          <w:rFonts w:asciiTheme="minorHAnsi" w:hAnsiTheme="minorHAnsi"/>
          <w:sz w:val="22"/>
          <w:szCs w:val="22"/>
        </w:rPr>
        <w:t xml:space="preserve"> or Governor</w:t>
      </w:r>
      <w:r w:rsidR="009E5332">
        <w:rPr>
          <w:rFonts w:asciiTheme="minorHAnsi" w:hAnsiTheme="minorHAnsi"/>
          <w:sz w:val="22"/>
          <w:szCs w:val="22"/>
        </w:rPr>
        <w:noBreakHyphen/>
      </w:r>
      <w:r w:rsidR="00C0591F">
        <w:rPr>
          <w:rFonts w:asciiTheme="minorHAnsi" w:hAnsiTheme="minorHAnsi"/>
          <w:sz w:val="22"/>
          <w:szCs w:val="22"/>
        </w:rPr>
        <w:t xml:space="preserve">General to </w:t>
      </w:r>
      <w:r>
        <w:rPr>
          <w:rFonts w:asciiTheme="minorHAnsi" w:hAnsiTheme="minorHAnsi"/>
          <w:sz w:val="22"/>
          <w:szCs w:val="22"/>
        </w:rPr>
        <w:t xml:space="preserve">expand the coverage of opt-out to cover all of </w:t>
      </w:r>
      <w:r w:rsidR="00C0591F">
        <w:rPr>
          <w:rFonts w:asciiTheme="minorHAnsi" w:hAnsiTheme="minorHAnsi"/>
          <w:sz w:val="22"/>
          <w:szCs w:val="22"/>
        </w:rPr>
        <w:t>Australia (and its external territories)</w:t>
      </w:r>
      <w:r>
        <w:rPr>
          <w:rFonts w:asciiTheme="minorHAnsi" w:hAnsiTheme="minorHAnsi"/>
          <w:sz w:val="22"/>
          <w:szCs w:val="22"/>
        </w:rPr>
        <w:t>.</w:t>
      </w:r>
      <w:r w:rsidR="00C0591F">
        <w:rPr>
          <w:rFonts w:asciiTheme="minorHAnsi" w:hAnsiTheme="minorHAnsi"/>
          <w:sz w:val="22"/>
          <w:szCs w:val="22"/>
        </w:rPr>
        <w:t xml:space="preserve">  This would include the date from which opt-out would commence</w:t>
      </w:r>
      <w:r w:rsidR="006B79A8">
        <w:rPr>
          <w:rFonts w:asciiTheme="minorHAnsi" w:hAnsiTheme="minorHAnsi"/>
          <w:sz w:val="22"/>
          <w:szCs w:val="22"/>
        </w:rPr>
        <w:t xml:space="preserve"> nationally</w:t>
      </w:r>
      <w:r w:rsidR="00C0591F">
        <w:rPr>
          <w:rFonts w:asciiTheme="minorHAnsi" w:hAnsiTheme="minorHAnsi"/>
          <w:sz w:val="22"/>
          <w:szCs w:val="22"/>
        </w:rPr>
        <w:t>.</w:t>
      </w:r>
    </w:p>
    <w:p w:rsidR="000B3D72" w:rsidRPr="000B3D72" w:rsidRDefault="000B3D72" w:rsidP="003C72D7">
      <w:pPr>
        <w:pStyle w:val="Heading4"/>
      </w:pPr>
      <w:bookmarkStart w:id="68" w:name="_Toc418763102"/>
      <w:bookmarkStart w:id="69" w:name="_Toc420394255"/>
      <w:r>
        <w:t>Opting out</w:t>
      </w:r>
      <w:r w:rsidR="00C0591F">
        <w:t xml:space="preserve"> in trial regions</w:t>
      </w:r>
      <w:bookmarkEnd w:id="68"/>
      <w:bookmarkEnd w:id="69"/>
    </w:p>
    <w:p w:rsidR="007D4CD6" w:rsidRDefault="00F72ED5" w:rsidP="007D4CD6">
      <w:pPr>
        <w:pStyle w:val="ListParagraph"/>
        <w:spacing w:after="120"/>
        <w:ind w:left="737"/>
        <w:contextualSpacing w:val="0"/>
        <w:rPr>
          <w:rStyle w:val="IntenseReference"/>
          <w:rFonts w:asciiTheme="minorHAnsi" w:hAnsiTheme="minorHAnsi" w:cs="Arial"/>
          <w:b w:val="0"/>
          <w:bCs w:val="0"/>
          <w:i w:val="0"/>
          <w:smallCaps w:val="0"/>
          <w:color w:val="auto"/>
          <w:spacing w:val="0"/>
          <w:sz w:val="22"/>
          <w:szCs w:val="22"/>
        </w:rPr>
      </w:pPr>
      <w:r>
        <w:rPr>
          <w:rFonts w:asciiTheme="minorHAnsi" w:hAnsiTheme="minorHAnsi"/>
          <w:sz w:val="22"/>
          <w:szCs w:val="22"/>
        </w:rPr>
        <w:t xml:space="preserve">Individuals </w:t>
      </w:r>
      <w:r w:rsidR="005A2907">
        <w:rPr>
          <w:rFonts w:asciiTheme="minorHAnsi" w:hAnsiTheme="minorHAnsi"/>
          <w:sz w:val="22"/>
          <w:szCs w:val="22"/>
        </w:rPr>
        <w:t xml:space="preserve">choosing to opt-out of the PCEHR system </w:t>
      </w:r>
      <w:r w:rsidR="00DB04F2">
        <w:rPr>
          <w:rFonts w:asciiTheme="minorHAnsi" w:hAnsiTheme="minorHAnsi"/>
          <w:sz w:val="22"/>
          <w:szCs w:val="22"/>
        </w:rPr>
        <w:t>would</w:t>
      </w:r>
      <w:r w:rsidR="005A2907">
        <w:rPr>
          <w:rFonts w:asciiTheme="minorHAnsi" w:hAnsiTheme="minorHAnsi"/>
          <w:sz w:val="22"/>
          <w:szCs w:val="22"/>
        </w:rPr>
        <w:t xml:space="preserve"> need to verify their identity with the System Operator.  </w:t>
      </w:r>
      <w:r w:rsidR="007605DD">
        <w:rPr>
          <w:rFonts w:asciiTheme="minorHAnsi" w:hAnsiTheme="minorHAnsi"/>
          <w:sz w:val="22"/>
          <w:szCs w:val="22"/>
        </w:rPr>
        <w:t xml:space="preserve">This is necessary so that </w:t>
      </w:r>
      <w:r w:rsidR="00756FFB">
        <w:rPr>
          <w:rFonts w:asciiTheme="minorHAnsi" w:hAnsiTheme="minorHAnsi"/>
          <w:sz w:val="22"/>
          <w:szCs w:val="22"/>
        </w:rPr>
        <w:t xml:space="preserve">the </w:t>
      </w:r>
      <w:r w:rsidR="007605DD">
        <w:rPr>
          <w:rFonts w:asciiTheme="minorHAnsi" w:hAnsiTheme="minorHAnsi"/>
          <w:sz w:val="22"/>
          <w:szCs w:val="22"/>
        </w:rPr>
        <w:t xml:space="preserve">System Operator can </w:t>
      </w:r>
      <w:r w:rsidR="00FF2039">
        <w:rPr>
          <w:rFonts w:asciiTheme="minorHAnsi" w:hAnsiTheme="minorHAnsi"/>
          <w:sz w:val="22"/>
          <w:szCs w:val="22"/>
        </w:rPr>
        <w:t xml:space="preserve">be certain that they are </w:t>
      </w:r>
      <w:proofErr w:type="gramStart"/>
      <w:r w:rsidR="00FF2039">
        <w:rPr>
          <w:rFonts w:asciiTheme="minorHAnsi" w:hAnsiTheme="minorHAnsi"/>
          <w:sz w:val="22"/>
          <w:szCs w:val="22"/>
        </w:rPr>
        <w:t>opting-</w:t>
      </w:r>
      <w:r w:rsidR="007605DD">
        <w:rPr>
          <w:rFonts w:asciiTheme="minorHAnsi" w:hAnsiTheme="minorHAnsi"/>
          <w:sz w:val="22"/>
          <w:szCs w:val="22"/>
        </w:rPr>
        <w:t>out</w:t>
      </w:r>
      <w:proofErr w:type="gramEnd"/>
      <w:r w:rsidR="007605DD">
        <w:rPr>
          <w:rFonts w:asciiTheme="minorHAnsi" w:hAnsiTheme="minorHAnsi"/>
          <w:sz w:val="22"/>
          <w:szCs w:val="22"/>
        </w:rPr>
        <w:t xml:space="preserve"> the correct person. </w:t>
      </w:r>
      <w:r w:rsidR="005A2907">
        <w:rPr>
          <w:rFonts w:asciiTheme="minorHAnsi" w:hAnsiTheme="minorHAnsi"/>
          <w:sz w:val="22"/>
          <w:szCs w:val="22"/>
        </w:rPr>
        <w:t xml:space="preserve">The System Operator </w:t>
      </w:r>
      <w:r w:rsidR="00D85CC8">
        <w:rPr>
          <w:rFonts w:asciiTheme="minorHAnsi" w:hAnsiTheme="minorHAnsi"/>
          <w:sz w:val="22"/>
          <w:szCs w:val="22"/>
        </w:rPr>
        <w:t>would</w:t>
      </w:r>
      <w:r w:rsidR="005A2907">
        <w:rPr>
          <w:rFonts w:asciiTheme="minorHAnsi" w:hAnsiTheme="minorHAnsi"/>
          <w:sz w:val="22"/>
          <w:szCs w:val="22"/>
        </w:rPr>
        <w:t xml:space="preserve"> subsequently write to that person</w:t>
      </w:r>
      <w:r w:rsidR="00DB04F2">
        <w:rPr>
          <w:rFonts w:asciiTheme="minorHAnsi" w:hAnsiTheme="minorHAnsi"/>
          <w:sz w:val="22"/>
          <w:szCs w:val="22"/>
        </w:rPr>
        <w:t xml:space="preserve"> at the latest address held by Medicare</w:t>
      </w:r>
      <w:r w:rsidR="005A2907">
        <w:rPr>
          <w:rFonts w:asciiTheme="minorHAnsi" w:hAnsiTheme="minorHAnsi"/>
          <w:sz w:val="22"/>
          <w:szCs w:val="22"/>
        </w:rPr>
        <w:t xml:space="preserve"> confirming that they have opted out.  This is designed to prevent third parties being able to </w:t>
      </w:r>
      <w:proofErr w:type="gramStart"/>
      <w:r w:rsidR="005A2907">
        <w:rPr>
          <w:rFonts w:asciiTheme="minorHAnsi" w:hAnsiTheme="minorHAnsi"/>
          <w:sz w:val="22"/>
          <w:szCs w:val="22"/>
        </w:rPr>
        <w:t>opt-out</w:t>
      </w:r>
      <w:proofErr w:type="gramEnd"/>
      <w:r w:rsidR="005A2907">
        <w:rPr>
          <w:rFonts w:asciiTheme="minorHAnsi" w:hAnsiTheme="minorHAnsi"/>
          <w:sz w:val="22"/>
          <w:szCs w:val="22"/>
        </w:rPr>
        <w:t xml:space="preserve"> </w:t>
      </w:r>
      <w:r>
        <w:rPr>
          <w:rFonts w:asciiTheme="minorHAnsi" w:hAnsiTheme="minorHAnsi"/>
          <w:sz w:val="22"/>
          <w:szCs w:val="22"/>
        </w:rPr>
        <w:t xml:space="preserve">individuals </w:t>
      </w:r>
      <w:r w:rsidR="005A2907">
        <w:rPr>
          <w:rFonts w:asciiTheme="minorHAnsi" w:hAnsiTheme="minorHAnsi"/>
          <w:sz w:val="22"/>
          <w:szCs w:val="22"/>
        </w:rPr>
        <w:t>when they have no authority to do so.</w:t>
      </w:r>
      <w:r w:rsidR="007D4CD6">
        <w:rPr>
          <w:rFonts w:asciiTheme="minorHAnsi" w:hAnsiTheme="minorHAnsi"/>
          <w:sz w:val="22"/>
          <w:szCs w:val="22"/>
        </w:rPr>
        <w:t xml:space="preserve">  </w:t>
      </w:r>
    </w:p>
    <w:p w:rsidR="00BE07E8" w:rsidRDefault="000B3D72" w:rsidP="000B3D72">
      <w:pPr>
        <w:pStyle w:val="ListParagraph"/>
        <w:spacing w:after="120"/>
        <w:ind w:left="737"/>
        <w:contextualSpacing w:val="0"/>
        <w:rPr>
          <w:rStyle w:val="IntenseReference"/>
          <w:rFonts w:asciiTheme="minorHAnsi" w:hAnsiTheme="minorHAnsi" w:cs="Arial"/>
          <w:b w:val="0"/>
          <w:bCs w:val="0"/>
          <w:i w:val="0"/>
          <w:smallCaps w:val="0"/>
          <w:color w:val="auto"/>
          <w:spacing w:val="0"/>
          <w:sz w:val="22"/>
          <w:szCs w:val="22"/>
        </w:rPr>
      </w:pPr>
      <w:r>
        <w:rPr>
          <w:rStyle w:val="IntenseReference"/>
          <w:rFonts w:asciiTheme="minorHAnsi" w:hAnsiTheme="minorHAnsi" w:cs="Arial"/>
          <w:b w:val="0"/>
          <w:bCs w:val="0"/>
          <w:i w:val="0"/>
          <w:smallCaps w:val="0"/>
          <w:color w:val="auto"/>
          <w:spacing w:val="0"/>
          <w:sz w:val="22"/>
          <w:szCs w:val="22"/>
        </w:rPr>
        <w:t xml:space="preserve">Minors and people with limited or no capacity to make their own decisions may be opted out by a representative.  </w:t>
      </w:r>
      <w:r w:rsidR="00FF2039">
        <w:rPr>
          <w:rStyle w:val="IntenseReference"/>
          <w:rFonts w:asciiTheme="minorHAnsi" w:hAnsiTheme="minorHAnsi" w:cs="Arial"/>
          <w:b w:val="0"/>
          <w:bCs w:val="0"/>
          <w:i w:val="0"/>
          <w:smallCaps w:val="0"/>
          <w:color w:val="auto"/>
          <w:spacing w:val="0"/>
          <w:sz w:val="22"/>
          <w:szCs w:val="22"/>
        </w:rPr>
        <w:t>T</w:t>
      </w:r>
      <w:r>
        <w:rPr>
          <w:rStyle w:val="IntenseReference"/>
          <w:rFonts w:asciiTheme="minorHAnsi" w:hAnsiTheme="minorHAnsi" w:cs="Arial"/>
          <w:b w:val="0"/>
          <w:bCs w:val="0"/>
          <w:i w:val="0"/>
          <w:smallCaps w:val="0"/>
          <w:color w:val="auto"/>
          <w:spacing w:val="0"/>
          <w:sz w:val="22"/>
          <w:szCs w:val="22"/>
        </w:rPr>
        <w:t xml:space="preserve">he </w:t>
      </w:r>
      <w:r w:rsidR="00FF2039">
        <w:rPr>
          <w:rStyle w:val="IntenseReference"/>
          <w:rFonts w:asciiTheme="minorHAnsi" w:hAnsiTheme="minorHAnsi" w:cs="Arial"/>
          <w:b w:val="0"/>
          <w:bCs w:val="0"/>
          <w:i w:val="0"/>
          <w:smallCaps w:val="0"/>
          <w:color w:val="auto"/>
          <w:spacing w:val="0"/>
          <w:sz w:val="22"/>
          <w:szCs w:val="22"/>
        </w:rPr>
        <w:t xml:space="preserve">representative </w:t>
      </w:r>
      <w:r w:rsidR="00D85CC8">
        <w:rPr>
          <w:rStyle w:val="IntenseReference"/>
          <w:rFonts w:asciiTheme="minorHAnsi" w:hAnsiTheme="minorHAnsi" w:cs="Arial"/>
          <w:b w:val="0"/>
          <w:bCs w:val="0"/>
          <w:i w:val="0"/>
          <w:smallCaps w:val="0"/>
          <w:color w:val="auto"/>
          <w:spacing w:val="0"/>
          <w:sz w:val="22"/>
          <w:szCs w:val="22"/>
        </w:rPr>
        <w:t>would</w:t>
      </w:r>
      <w:r>
        <w:rPr>
          <w:rStyle w:val="IntenseReference"/>
          <w:rFonts w:asciiTheme="minorHAnsi" w:hAnsiTheme="minorHAnsi" w:cs="Arial"/>
          <w:b w:val="0"/>
          <w:bCs w:val="0"/>
          <w:i w:val="0"/>
          <w:smallCaps w:val="0"/>
          <w:color w:val="auto"/>
          <w:spacing w:val="0"/>
          <w:sz w:val="22"/>
          <w:szCs w:val="22"/>
        </w:rPr>
        <w:t xml:space="preserve"> need to demonstrate to the System Operator that they have the authority to act on behalf of the </w:t>
      </w:r>
      <w:r w:rsidR="00F72ED5">
        <w:rPr>
          <w:rFonts w:asciiTheme="minorHAnsi" w:hAnsiTheme="minorHAnsi"/>
          <w:sz w:val="22"/>
          <w:szCs w:val="22"/>
        </w:rPr>
        <w:t xml:space="preserve">individual </w:t>
      </w:r>
      <w:r>
        <w:rPr>
          <w:rStyle w:val="IntenseReference"/>
          <w:rFonts w:asciiTheme="minorHAnsi" w:hAnsiTheme="minorHAnsi" w:cs="Arial"/>
          <w:b w:val="0"/>
          <w:bCs w:val="0"/>
          <w:i w:val="0"/>
          <w:smallCaps w:val="0"/>
          <w:color w:val="auto"/>
          <w:spacing w:val="0"/>
          <w:sz w:val="22"/>
          <w:szCs w:val="22"/>
        </w:rPr>
        <w:t>(e.g. they are a parent, guardian or have a power of attorney) and ha</w:t>
      </w:r>
      <w:r w:rsidR="00FF2039">
        <w:rPr>
          <w:rStyle w:val="IntenseReference"/>
          <w:rFonts w:asciiTheme="minorHAnsi" w:hAnsiTheme="minorHAnsi" w:cs="Arial"/>
          <w:b w:val="0"/>
          <w:bCs w:val="0"/>
          <w:i w:val="0"/>
          <w:smallCaps w:val="0"/>
          <w:color w:val="auto"/>
          <w:spacing w:val="0"/>
          <w:sz w:val="22"/>
          <w:szCs w:val="22"/>
        </w:rPr>
        <w:t>ve</w:t>
      </w:r>
      <w:r>
        <w:rPr>
          <w:rStyle w:val="IntenseReference"/>
          <w:rFonts w:asciiTheme="minorHAnsi" w:hAnsiTheme="minorHAnsi" w:cs="Arial"/>
          <w:b w:val="0"/>
          <w:bCs w:val="0"/>
          <w:i w:val="0"/>
          <w:smallCaps w:val="0"/>
          <w:color w:val="auto"/>
          <w:spacing w:val="0"/>
          <w:sz w:val="22"/>
          <w:szCs w:val="22"/>
        </w:rPr>
        <w:t xml:space="preserve"> their identity verified by the System Operator. </w:t>
      </w:r>
      <w:r w:rsidR="0088792D">
        <w:rPr>
          <w:rStyle w:val="IntenseReference"/>
          <w:rFonts w:asciiTheme="minorHAnsi" w:hAnsiTheme="minorHAnsi" w:cs="Arial"/>
          <w:b w:val="0"/>
          <w:bCs w:val="0"/>
          <w:i w:val="0"/>
          <w:smallCaps w:val="0"/>
          <w:color w:val="auto"/>
          <w:spacing w:val="0"/>
          <w:sz w:val="22"/>
          <w:szCs w:val="22"/>
        </w:rPr>
        <w:t xml:space="preserve"> </w:t>
      </w:r>
      <w:r w:rsidR="00747113">
        <w:rPr>
          <w:rStyle w:val="IntenseReference"/>
          <w:rFonts w:asciiTheme="minorHAnsi" w:hAnsiTheme="minorHAnsi" w:cs="Arial"/>
          <w:b w:val="0"/>
          <w:bCs w:val="0"/>
          <w:i w:val="0"/>
          <w:smallCaps w:val="0"/>
          <w:color w:val="auto"/>
          <w:spacing w:val="0"/>
          <w:sz w:val="22"/>
          <w:szCs w:val="22"/>
        </w:rPr>
        <w:t>T</w:t>
      </w:r>
      <w:r>
        <w:rPr>
          <w:rStyle w:val="IntenseReference"/>
          <w:rFonts w:asciiTheme="minorHAnsi" w:hAnsiTheme="minorHAnsi" w:cs="Arial"/>
          <w:b w:val="0"/>
          <w:bCs w:val="0"/>
          <w:i w:val="0"/>
          <w:smallCaps w:val="0"/>
          <w:color w:val="auto"/>
          <w:spacing w:val="0"/>
          <w:sz w:val="22"/>
          <w:szCs w:val="22"/>
        </w:rPr>
        <w:t xml:space="preserve">he person </w:t>
      </w:r>
      <w:r w:rsidR="00D85CC8">
        <w:rPr>
          <w:rStyle w:val="IntenseReference"/>
          <w:rFonts w:asciiTheme="minorHAnsi" w:hAnsiTheme="minorHAnsi" w:cs="Arial"/>
          <w:b w:val="0"/>
          <w:bCs w:val="0"/>
          <w:i w:val="0"/>
          <w:smallCaps w:val="0"/>
          <w:color w:val="auto"/>
          <w:spacing w:val="0"/>
          <w:sz w:val="22"/>
          <w:szCs w:val="22"/>
        </w:rPr>
        <w:t>would</w:t>
      </w:r>
      <w:r>
        <w:rPr>
          <w:rStyle w:val="IntenseReference"/>
          <w:rFonts w:asciiTheme="minorHAnsi" w:hAnsiTheme="minorHAnsi" w:cs="Arial"/>
          <w:b w:val="0"/>
          <w:bCs w:val="0"/>
          <w:i w:val="0"/>
          <w:smallCaps w:val="0"/>
          <w:color w:val="auto"/>
          <w:spacing w:val="0"/>
          <w:sz w:val="22"/>
          <w:szCs w:val="22"/>
        </w:rPr>
        <w:t xml:space="preserve"> </w:t>
      </w:r>
      <w:r w:rsidR="00747113">
        <w:rPr>
          <w:rStyle w:val="IntenseReference"/>
          <w:rFonts w:asciiTheme="minorHAnsi" w:hAnsiTheme="minorHAnsi" w:cs="Arial"/>
          <w:b w:val="0"/>
          <w:bCs w:val="0"/>
          <w:i w:val="0"/>
          <w:smallCaps w:val="0"/>
          <w:color w:val="auto"/>
          <w:spacing w:val="0"/>
          <w:sz w:val="22"/>
          <w:szCs w:val="22"/>
        </w:rPr>
        <w:t xml:space="preserve">then </w:t>
      </w:r>
      <w:r>
        <w:rPr>
          <w:rStyle w:val="IntenseReference"/>
          <w:rFonts w:asciiTheme="minorHAnsi" w:hAnsiTheme="minorHAnsi" w:cs="Arial"/>
          <w:b w:val="0"/>
          <w:bCs w:val="0"/>
          <w:i w:val="0"/>
          <w:smallCaps w:val="0"/>
          <w:color w:val="auto"/>
          <w:spacing w:val="0"/>
          <w:sz w:val="22"/>
          <w:szCs w:val="22"/>
        </w:rPr>
        <w:t xml:space="preserve">be recognised by the System Operator as the </w:t>
      </w:r>
      <w:r w:rsidR="00F72ED5">
        <w:rPr>
          <w:rFonts w:asciiTheme="minorHAnsi" w:hAnsiTheme="minorHAnsi"/>
          <w:sz w:val="22"/>
          <w:szCs w:val="22"/>
        </w:rPr>
        <w:t xml:space="preserve">individual’s </w:t>
      </w:r>
      <w:r>
        <w:rPr>
          <w:rStyle w:val="IntenseReference"/>
          <w:rFonts w:asciiTheme="minorHAnsi" w:hAnsiTheme="minorHAnsi" w:cs="Arial"/>
          <w:b w:val="0"/>
          <w:bCs w:val="0"/>
          <w:i w:val="0"/>
          <w:smallCaps w:val="0"/>
          <w:color w:val="auto"/>
          <w:spacing w:val="0"/>
          <w:sz w:val="22"/>
          <w:szCs w:val="22"/>
        </w:rPr>
        <w:t>representative</w:t>
      </w:r>
      <w:r w:rsidR="00A5116A">
        <w:rPr>
          <w:rStyle w:val="IntenseReference"/>
          <w:rFonts w:asciiTheme="minorHAnsi" w:hAnsiTheme="minorHAnsi" w:cs="Arial"/>
          <w:b w:val="0"/>
          <w:bCs w:val="0"/>
          <w:i w:val="0"/>
          <w:smallCaps w:val="0"/>
          <w:color w:val="auto"/>
          <w:spacing w:val="0"/>
          <w:sz w:val="22"/>
          <w:szCs w:val="22"/>
        </w:rPr>
        <w:t xml:space="preserve"> and </w:t>
      </w:r>
      <w:r w:rsidR="00D85CC8">
        <w:rPr>
          <w:rStyle w:val="IntenseReference"/>
          <w:rFonts w:asciiTheme="minorHAnsi" w:hAnsiTheme="minorHAnsi" w:cs="Arial"/>
          <w:b w:val="0"/>
          <w:bCs w:val="0"/>
          <w:i w:val="0"/>
          <w:smallCaps w:val="0"/>
          <w:color w:val="auto"/>
          <w:spacing w:val="0"/>
          <w:sz w:val="22"/>
          <w:szCs w:val="22"/>
        </w:rPr>
        <w:t>could</w:t>
      </w:r>
      <w:r w:rsidR="00A5116A">
        <w:rPr>
          <w:rStyle w:val="IntenseReference"/>
          <w:rFonts w:asciiTheme="minorHAnsi" w:hAnsiTheme="minorHAnsi" w:cs="Arial"/>
          <w:b w:val="0"/>
          <w:bCs w:val="0"/>
          <w:i w:val="0"/>
          <w:smallCaps w:val="0"/>
          <w:color w:val="auto"/>
          <w:spacing w:val="0"/>
          <w:sz w:val="22"/>
          <w:szCs w:val="22"/>
        </w:rPr>
        <w:t xml:space="preserve"> </w:t>
      </w:r>
      <w:proofErr w:type="gramStart"/>
      <w:r>
        <w:rPr>
          <w:rStyle w:val="IntenseReference"/>
          <w:rFonts w:asciiTheme="minorHAnsi" w:hAnsiTheme="minorHAnsi" w:cs="Arial"/>
          <w:b w:val="0"/>
          <w:bCs w:val="0"/>
          <w:i w:val="0"/>
          <w:smallCaps w:val="0"/>
          <w:color w:val="auto"/>
          <w:spacing w:val="0"/>
          <w:sz w:val="22"/>
          <w:szCs w:val="22"/>
        </w:rPr>
        <w:t>opt</w:t>
      </w:r>
      <w:proofErr w:type="gramEnd"/>
      <w:r>
        <w:rPr>
          <w:rStyle w:val="IntenseReference"/>
          <w:rFonts w:asciiTheme="minorHAnsi" w:hAnsiTheme="minorHAnsi" w:cs="Arial"/>
          <w:b w:val="0"/>
          <w:bCs w:val="0"/>
          <w:i w:val="0"/>
          <w:smallCaps w:val="0"/>
          <w:color w:val="auto"/>
          <w:spacing w:val="0"/>
          <w:sz w:val="22"/>
          <w:szCs w:val="22"/>
        </w:rPr>
        <w:t xml:space="preserve"> the individual out of registration.</w:t>
      </w:r>
    </w:p>
    <w:p w:rsidR="000B3D72" w:rsidRDefault="00BE07E8" w:rsidP="000B3D72">
      <w:pPr>
        <w:pStyle w:val="ListParagraph"/>
        <w:spacing w:after="120"/>
        <w:ind w:left="737"/>
        <w:contextualSpacing w:val="0"/>
        <w:rPr>
          <w:rStyle w:val="IntenseReference"/>
          <w:rFonts w:asciiTheme="minorHAnsi" w:hAnsiTheme="minorHAnsi" w:cs="Arial"/>
          <w:b w:val="0"/>
          <w:bCs w:val="0"/>
          <w:i w:val="0"/>
          <w:smallCaps w:val="0"/>
          <w:color w:val="auto"/>
          <w:spacing w:val="0"/>
          <w:sz w:val="22"/>
          <w:szCs w:val="22"/>
        </w:rPr>
      </w:pPr>
      <w:r>
        <w:rPr>
          <w:rStyle w:val="IntenseReference"/>
          <w:rFonts w:asciiTheme="minorHAnsi" w:hAnsiTheme="minorHAnsi" w:cs="Arial"/>
          <w:b w:val="0"/>
          <w:bCs w:val="0"/>
          <w:i w:val="0"/>
          <w:smallCaps w:val="0"/>
          <w:color w:val="auto"/>
          <w:spacing w:val="0"/>
          <w:sz w:val="22"/>
          <w:szCs w:val="22"/>
        </w:rPr>
        <w:t xml:space="preserve">Individuals who opt-out and later change their mind </w:t>
      </w:r>
      <w:r w:rsidR="00487A5E">
        <w:rPr>
          <w:rStyle w:val="IntenseReference"/>
          <w:rFonts w:asciiTheme="minorHAnsi" w:hAnsiTheme="minorHAnsi" w:cs="Arial"/>
          <w:b w:val="0"/>
          <w:bCs w:val="0"/>
          <w:i w:val="0"/>
          <w:smallCaps w:val="0"/>
          <w:color w:val="auto"/>
          <w:spacing w:val="0"/>
          <w:sz w:val="22"/>
          <w:szCs w:val="22"/>
        </w:rPr>
        <w:t xml:space="preserve">will </w:t>
      </w:r>
      <w:r>
        <w:rPr>
          <w:rStyle w:val="IntenseReference"/>
          <w:rFonts w:asciiTheme="minorHAnsi" w:hAnsiTheme="minorHAnsi" w:cs="Arial"/>
          <w:b w:val="0"/>
          <w:bCs w:val="0"/>
          <w:i w:val="0"/>
          <w:smallCaps w:val="0"/>
          <w:color w:val="auto"/>
          <w:spacing w:val="0"/>
          <w:sz w:val="22"/>
          <w:szCs w:val="22"/>
        </w:rPr>
        <w:t xml:space="preserve">be able to register for a PCEHR, and all people </w:t>
      </w:r>
      <w:r w:rsidR="00487A5E">
        <w:rPr>
          <w:rStyle w:val="IntenseReference"/>
          <w:rFonts w:asciiTheme="minorHAnsi" w:hAnsiTheme="minorHAnsi" w:cs="Arial"/>
          <w:b w:val="0"/>
          <w:bCs w:val="0"/>
          <w:i w:val="0"/>
          <w:smallCaps w:val="0"/>
          <w:color w:val="auto"/>
          <w:spacing w:val="0"/>
          <w:sz w:val="22"/>
          <w:szCs w:val="22"/>
        </w:rPr>
        <w:t xml:space="preserve">will </w:t>
      </w:r>
      <w:r>
        <w:rPr>
          <w:rStyle w:val="IntenseReference"/>
          <w:rFonts w:asciiTheme="minorHAnsi" w:hAnsiTheme="minorHAnsi" w:cs="Arial"/>
          <w:b w:val="0"/>
          <w:bCs w:val="0"/>
          <w:i w:val="0"/>
          <w:smallCaps w:val="0"/>
          <w:color w:val="auto"/>
          <w:spacing w:val="0"/>
          <w:sz w:val="22"/>
          <w:szCs w:val="22"/>
        </w:rPr>
        <w:t>retain the right to cancel their PCEHR at any time.</w:t>
      </w:r>
    </w:p>
    <w:p w:rsidR="007D4CD6" w:rsidRDefault="00B15153" w:rsidP="003C72D7">
      <w:pPr>
        <w:pStyle w:val="Heading4"/>
      </w:pPr>
      <w:bookmarkStart w:id="70" w:name="_Toc418763103"/>
      <w:bookmarkStart w:id="71" w:name="_Toc420394256"/>
      <w:r>
        <w:t>Opt-out transition in trial regions</w:t>
      </w:r>
      <w:bookmarkEnd w:id="70"/>
      <w:bookmarkEnd w:id="71"/>
    </w:p>
    <w:p w:rsidR="008C4738" w:rsidRDefault="006754D3" w:rsidP="008C4738">
      <w:pPr>
        <w:spacing w:before="120" w:after="120"/>
        <w:ind w:left="737"/>
        <w:rPr>
          <w:rStyle w:val="IntenseReference"/>
          <w:rFonts w:asciiTheme="minorHAnsi" w:hAnsiTheme="minorHAnsi" w:cs="Arial"/>
          <w:b w:val="0"/>
          <w:bCs w:val="0"/>
          <w:i w:val="0"/>
          <w:smallCaps w:val="0"/>
          <w:color w:val="auto"/>
          <w:spacing w:val="0"/>
          <w:sz w:val="22"/>
          <w:szCs w:val="22"/>
        </w:rPr>
      </w:pPr>
      <w:r>
        <w:rPr>
          <w:rStyle w:val="IntenseReference"/>
          <w:rFonts w:asciiTheme="minorHAnsi" w:hAnsiTheme="minorHAnsi" w:cs="Arial"/>
          <w:b w:val="0"/>
          <w:bCs w:val="0"/>
          <w:i w:val="0"/>
          <w:smallCaps w:val="0"/>
          <w:color w:val="auto"/>
          <w:spacing w:val="0"/>
          <w:sz w:val="22"/>
          <w:szCs w:val="22"/>
        </w:rPr>
        <w:t xml:space="preserve">There </w:t>
      </w:r>
      <w:r w:rsidR="00487A5E">
        <w:rPr>
          <w:rStyle w:val="IntenseReference"/>
          <w:rFonts w:asciiTheme="minorHAnsi" w:hAnsiTheme="minorHAnsi" w:cs="Arial"/>
          <w:b w:val="0"/>
          <w:bCs w:val="0"/>
          <w:i w:val="0"/>
          <w:smallCaps w:val="0"/>
          <w:color w:val="auto"/>
          <w:spacing w:val="0"/>
          <w:sz w:val="22"/>
          <w:szCs w:val="22"/>
        </w:rPr>
        <w:t xml:space="preserve">will </w:t>
      </w:r>
      <w:r>
        <w:rPr>
          <w:rStyle w:val="IntenseReference"/>
          <w:rFonts w:asciiTheme="minorHAnsi" w:hAnsiTheme="minorHAnsi" w:cs="Arial"/>
          <w:b w:val="0"/>
          <w:bCs w:val="0"/>
          <w:i w:val="0"/>
          <w:smallCaps w:val="0"/>
          <w:color w:val="auto"/>
          <w:spacing w:val="0"/>
          <w:sz w:val="22"/>
          <w:szCs w:val="22"/>
        </w:rPr>
        <w:t xml:space="preserve">be a period of </w:t>
      </w:r>
      <w:r w:rsidR="00F04B96">
        <w:rPr>
          <w:rStyle w:val="IntenseReference"/>
          <w:rFonts w:asciiTheme="minorHAnsi" w:hAnsiTheme="minorHAnsi" w:cs="Arial"/>
          <w:b w:val="0"/>
          <w:bCs w:val="0"/>
          <w:i w:val="0"/>
          <w:smallCaps w:val="0"/>
          <w:color w:val="auto"/>
          <w:spacing w:val="0"/>
          <w:sz w:val="22"/>
          <w:szCs w:val="22"/>
        </w:rPr>
        <w:t xml:space="preserve">two </w:t>
      </w:r>
      <w:r>
        <w:rPr>
          <w:rStyle w:val="IntenseReference"/>
          <w:rFonts w:asciiTheme="minorHAnsi" w:hAnsiTheme="minorHAnsi" w:cs="Arial"/>
          <w:b w:val="0"/>
          <w:bCs w:val="0"/>
          <w:i w:val="0"/>
          <w:smallCaps w:val="0"/>
          <w:color w:val="auto"/>
          <w:spacing w:val="0"/>
          <w:sz w:val="22"/>
          <w:szCs w:val="22"/>
        </w:rPr>
        <w:t xml:space="preserve">months in which </w:t>
      </w:r>
      <w:r w:rsidR="00F72ED5">
        <w:rPr>
          <w:rFonts w:asciiTheme="minorHAnsi" w:hAnsiTheme="minorHAnsi"/>
          <w:sz w:val="22"/>
          <w:szCs w:val="22"/>
        </w:rPr>
        <w:t xml:space="preserve">individuals </w:t>
      </w:r>
      <w:r w:rsidR="00C0591F">
        <w:rPr>
          <w:rStyle w:val="IntenseReference"/>
          <w:rFonts w:asciiTheme="minorHAnsi" w:hAnsiTheme="minorHAnsi" w:cs="Arial"/>
          <w:b w:val="0"/>
          <w:bCs w:val="0"/>
          <w:i w:val="0"/>
          <w:smallCaps w:val="0"/>
          <w:color w:val="auto"/>
          <w:spacing w:val="0"/>
          <w:sz w:val="22"/>
          <w:szCs w:val="22"/>
        </w:rPr>
        <w:t xml:space="preserve">in trial regions </w:t>
      </w:r>
      <w:r w:rsidR="00487A5E">
        <w:rPr>
          <w:rStyle w:val="IntenseReference"/>
          <w:rFonts w:asciiTheme="minorHAnsi" w:hAnsiTheme="minorHAnsi" w:cs="Arial"/>
          <w:b w:val="0"/>
          <w:bCs w:val="0"/>
          <w:i w:val="0"/>
          <w:smallCaps w:val="0"/>
          <w:color w:val="auto"/>
          <w:spacing w:val="0"/>
          <w:sz w:val="22"/>
          <w:szCs w:val="22"/>
        </w:rPr>
        <w:t xml:space="preserve">will </w:t>
      </w:r>
      <w:r>
        <w:rPr>
          <w:rStyle w:val="IntenseReference"/>
          <w:rFonts w:asciiTheme="minorHAnsi" w:hAnsiTheme="minorHAnsi" w:cs="Arial"/>
          <w:b w:val="0"/>
          <w:bCs w:val="0"/>
          <w:i w:val="0"/>
          <w:smallCaps w:val="0"/>
          <w:color w:val="auto"/>
          <w:spacing w:val="0"/>
          <w:sz w:val="22"/>
          <w:szCs w:val="22"/>
        </w:rPr>
        <w:t xml:space="preserve">be able to </w:t>
      </w:r>
      <w:r w:rsidR="00A5116A">
        <w:rPr>
          <w:rStyle w:val="IntenseReference"/>
          <w:rFonts w:asciiTheme="minorHAnsi" w:hAnsiTheme="minorHAnsi" w:cs="Arial"/>
          <w:b w:val="0"/>
          <w:bCs w:val="0"/>
          <w:i w:val="0"/>
          <w:smallCaps w:val="0"/>
          <w:color w:val="auto"/>
          <w:spacing w:val="0"/>
          <w:sz w:val="22"/>
          <w:szCs w:val="22"/>
        </w:rPr>
        <w:t>notify the System Operator that they do not want a PCEHR</w:t>
      </w:r>
      <w:r>
        <w:rPr>
          <w:rStyle w:val="IntenseReference"/>
          <w:rFonts w:asciiTheme="minorHAnsi" w:hAnsiTheme="minorHAnsi" w:cs="Arial"/>
          <w:b w:val="0"/>
          <w:bCs w:val="0"/>
          <w:i w:val="0"/>
          <w:smallCaps w:val="0"/>
          <w:color w:val="auto"/>
          <w:spacing w:val="0"/>
          <w:sz w:val="22"/>
          <w:szCs w:val="22"/>
        </w:rPr>
        <w:t xml:space="preserve">.  At the end of </w:t>
      </w:r>
      <w:r w:rsidR="00F04B96">
        <w:rPr>
          <w:rStyle w:val="IntenseReference"/>
          <w:rFonts w:asciiTheme="minorHAnsi" w:hAnsiTheme="minorHAnsi" w:cs="Arial"/>
          <w:b w:val="0"/>
          <w:bCs w:val="0"/>
          <w:i w:val="0"/>
          <w:smallCaps w:val="0"/>
          <w:color w:val="auto"/>
          <w:spacing w:val="0"/>
          <w:sz w:val="22"/>
          <w:szCs w:val="22"/>
        </w:rPr>
        <w:t>this</w:t>
      </w:r>
      <w:r>
        <w:rPr>
          <w:rStyle w:val="IntenseReference"/>
          <w:rFonts w:asciiTheme="minorHAnsi" w:hAnsiTheme="minorHAnsi" w:cs="Arial"/>
          <w:b w:val="0"/>
          <w:bCs w:val="0"/>
          <w:i w:val="0"/>
          <w:smallCaps w:val="0"/>
          <w:color w:val="auto"/>
          <w:spacing w:val="0"/>
          <w:sz w:val="22"/>
          <w:szCs w:val="22"/>
        </w:rPr>
        <w:t xml:space="preserve"> period, </w:t>
      </w:r>
      <w:proofErr w:type="spellStart"/>
      <w:r>
        <w:rPr>
          <w:rStyle w:val="IntenseReference"/>
          <w:rFonts w:asciiTheme="minorHAnsi" w:hAnsiTheme="minorHAnsi" w:cs="Arial"/>
          <w:b w:val="0"/>
          <w:bCs w:val="0"/>
          <w:i w:val="0"/>
          <w:smallCaps w:val="0"/>
          <w:color w:val="auto"/>
          <w:spacing w:val="0"/>
          <w:sz w:val="22"/>
          <w:szCs w:val="22"/>
        </w:rPr>
        <w:t>PCEHRs</w:t>
      </w:r>
      <w:proofErr w:type="spellEnd"/>
      <w:r w:rsidR="00F04B96">
        <w:rPr>
          <w:rStyle w:val="IntenseReference"/>
          <w:rFonts w:asciiTheme="minorHAnsi" w:hAnsiTheme="minorHAnsi" w:cs="Arial"/>
          <w:b w:val="0"/>
          <w:bCs w:val="0"/>
          <w:i w:val="0"/>
          <w:smallCaps w:val="0"/>
          <w:color w:val="auto"/>
          <w:spacing w:val="0"/>
          <w:sz w:val="22"/>
          <w:szCs w:val="22"/>
        </w:rPr>
        <w:t xml:space="preserve"> </w:t>
      </w:r>
      <w:r w:rsidR="00487A5E">
        <w:rPr>
          <w:rStyle w:val="IntenseReference"/>
          <w:rFonts w:asciiTheme="minorHAnsi" w:hAnsiTheme="minorHAnsi" w:cs="Arial"/>
          <w:b w:val="0"/>
          <w:bCs w:val="0"/>
          <w:i w:val="0"/>
          <w:smallCaps w:val="0"/>
          <w:color w:val="auto"/>
          <w:spacing w:val="0"/>
          <w:sz w:val="22"/>
          <w:szCs w:val="22"/>
        </w:rPr>
        <w:t xml:space="preserve">will </w:t>
      </w:r>
      <w:r w:rsidR="00F04B96">
        <w:rPr>
          <w:rStyle w:val="IntenseReference"/>
          <w:rFonts w:asciiTheme="minorHAnsi" w:hAnsiTheme="minorHAnsi" w:cs="Arial"/>
          <w:b w:val="0"/>
          <w:bCs w:val="0"/>
          <w:i w:val="0"/>
          <w:smallCaps w:val="0"/>
          <w:color w:val="auto"/>
          <w:spacing w:val="0"/>
          <w:sz w:val="22"/>
          <w:szCs w:val="22"/>
        </w:rPr>
        <w:t>be created for</w:t>
      </w:r>
      <w:r>
        <w:rPr>
          <w:rStyle w:val="IntenseReference"/>
          <w:rFonts w:asciiTheme="minorHAnsi" w:hAnsiTheme="minorHAnsi" w:cs="Arial"/>
          <w:b w:val="0"/>
          <w:bCs w:val="0"/>
          <w:i w:val="0"/>
          <w:smallCaps w:val="0"/>
          <w:color w:val="auto"/>
          <w:spacing w:val="0"/>
          <w:sz w:val="22"/>
          <w:szCs w:val="22"/>
        </w:rPr>
        <w:t xml:space="preserve"> </w:t>
      </w:r>
      <w:r w:rsidR="00C4202F">
        <w:rPr>
          <w:rStyle w:val="IntenseReference"/>
          <w:rFonts w:asciiTheme="minorHAnsi" w:hAnsiTheme="minorHAnsi" w:cs="Arial"/>
          <w:b w:val="0"/>
          <w:bCs w:val="0"/>
          <w:i w:val="0"/>
          <w:smallCaps w:val="0"/>
          <w:color w:val="auto"/>
          <w:spacing w:val="0"/>
          <w:sz w:val="22"/>
          <w:szCs w:val="22"/>
        </w:rPr>
        <w:t xml:space="preserve">everyone </w:t>
      </w:r>
      <w:r w:rsidR="009E5332">
        <w:rPr>
          <w:rStyle w:val="IntenseReference"/>
          <w:rFonts w:asciiTheme="minorHAnsi" w:hAnsiTheme="minorHAnsi" w:cs="Arial"/>
          <w:b w:val="0"/>
          <w:bCs w:val="0"/>
          <w:i w:val="0"/>
          <w:smallCaps w:val="0"/>
          <w:color w:val="auto"/>
          <w:spacing w:val="0"/>
          <w:sz w:val="22"/>
          <w:szCs w:val="22"/>
        </w:rPr>
        <w:t>in the trial regions</w:t>
      </w:r>
      <w:r w:rsidR="00C4202F">
        <w:rPr>
          <w:rStyle w:val="IntenseReference"/>
          <w:rFonts w:asciiTheme="minorHAnsi" w:hAnsiTheme="minorHAnsi" w:cs="Arial"/>
          <w:b w:val="0"/>
          <w:bCs w:val="0"/>
          <w:i w:val="0"/>
          <w:smallCaps w:val="0"/>
          <w:color w:val="auto"/>
          <w:spacing w:val="0"/>
          <w:sz w:val="22"/>
          <w:szCs w:val="22"/>
        </w:rPr>
        <w:t>, except those</w:t>
      </w:r>
      <w:r w:rsidR="009E5332">
        <w:rPr>
          <w:rStyle w:val="IntenseReference"/>
          <w:rFonts w:asciiTheme="minorHAnsi" w:hAnsiTheme="minorHAnsi" w:cs="Arial"/>
          <w:b w:val="0"/>
          <w:bCs w:val="0"/>
          <w:i w:val="0"/>
          <w:smallCaps w:val="0"/>
          <w:color w:val="auto"/>
          <w:spacing w:val="0"/>
          <w:sz w:val="22"/>
          <w:szCs w:val="22"/>
        </w:rPr>
        <w:t xml:space="preserve"> </w:t>
      </w:r>
      <w:r>
        <w:rPr>
          <w:rStyle w:val="IntenseReference"/>
          <w:rFonts w:asciiTheme="minorHAnsi" w:hAnsiTheme="minorHAnsi" w:cs="Arial"/>
          <w:b w:val="0"/>
          <w:bCs w:val="0"/>
          <w:i w:val="0"/>
          <w:smallCaps w:val="0"/>
          <w:color w:val="auto"/>
          <w:spacing w:val="0"/>
          <w:sz w:val="22"/>
          <w:szCs w:val="22"/>
        </w:rPr>
        <w:t>who opt</w:t>
      </w:r>
      <w:r w:rsidR="00C4202F">
        <w:rPr>
          <w:rStyle w:val="IntenseReference"/>
          <w:rFonts w:asciiTheme="minorHAnsi" w:hAnsiTheme="minorHAnsi" w:cs="Arial"/>
          <w:b w:val="0"/>
          <w:bCs w:val="0"/>
          <w:i w:val="0"/>
          <w:smallCaps w:val="0"/>
          <w:color w:val="auto"/>
          <w:spacing w:val="0"/>
          <w:sz w:val="22"/>
          <w:szCs w:val="22"/>
        </w:rPr>
        <w:t>ed</w:t>
      </w:r>
      <w:r>
        <w:rPr>
          <w:rStyle w:val="IntenseReference"/>
          <w:rFonts w:asciiTheme="minorHAnsi" w:hAnsiTheme="minorHAnsi" w:cs="Arial"/>
          <w:b w:val="0"/>
          <w:bCs w:val="0"/>
          <w:i w:val="0"/>
          <w:smallCaps w:val="0"/>
          <w:color w:val="auto"/>
          <w:spacing w:val="0"/>
          <w:sz w:val="22"/>
          <w:szCs w:val="22"/>
        </w:rPr>
        <w:t xml:space="preserve"> out </w:t>
      </w:r>
      <w:r w:rsidR="00C4202F">
        <w:rPr>
          <w:rStyle w:val="IntenseReference"/>
          <w:rFonts w:asciiTheme="minorHAnsi" w:hAnsiTheme="minorHAnsi" w:cs="Arial"/>
          <w:b w:val="0"/>
          <w:bCs w:val="0"/>
          <w:i w:val="0"/>
          <w:smallCaps w:val="0"/>
          <w:color w:val="auto"/>
          <w:spacing w:val="0"/>
          <w:sz w:val="22"/>
          <w:szCs w:val="22"/>
        </w:rPr>
        <w:t>(or were opted</w:t>
      </w:r>
      <w:r w:rsidR="00310A44">
        <w:rPr>
          <w:rStyle w:val="IntenseReference"/>
          <w:rFonts w:asciiTheme="minorHAnsi" w:hAnsiTheme="minorHAnsi" w:cs="Arial"/>
          <w:b w:val="0"/>
          <w:bCs w:val="0"/>
          <w:i w:val="0"/>
          <w:smallCaps w:val="0"/>
          <w:color w:val="auto"/>
          <w:spacing w:val="0"/>
          <w:sz w:val="22"/>
          <w:szCs w:val="22"/>
        </w:rPr>
        <w:t xml:space="preserve"> </w:t>
      </w:r>
      <w:r w:rsidR="00C4202F">
        <w:rPr>
          <w:rStyle w:val="IntenseReference"/>
          <w:rFonts w:asciiTheme="minorHAnsi" w:hAnsiTheme="minorHAnsi" w:cs="Arial"/>
          <w:b w:val="0"/>
          <w:bCs w:val="0"/>
          <w:i w:val="0"/>
          <w:smallCaps w:val="0"/>
          <w:color w:val="auto"/>
          <w:spacing w:val="0"/>
          <w:sz w:val="22"/>
          <w:szCs w:val="22"/>
        </w:rPr>
        <w:t>out b</w:t>
      </w:r>
      <w:r w:rsidR="00310A44">
        <w:rPr>
          <w:rStyle w:val="IntenseReference"/>
          <w:rFonts w:asciiTheme="minorHAnsi" w:hAnsiTheme="minorHAnsi" w:cs="Arial"/>
          <w:b w:val="0"/>
          <w:bCs w:val="0"/>
          <w:i w:val="0"/>
          <w:smallCaps w:val="0"/>
          <w:color w:val="auto"/>
          <w:spacing w:val="0"/>
          <w:sz w:val="22"/>
          <w:szCs w:val="22"/>
        </w:rPr>
        <w:t>y</w:t>
      </w:r>
      <w:r w:rsidR="00C4202F">
        <w:rPr>
          <w:rStyle w:val="IntenseReference"/>
          <w:rFonts w:asciiTheme="minorHAnsi" w:hAnsiTheme="minorHAnsi" w:cs="Arial"/>
          <w:b w:val="0"/>
          <w:bCs w:val="0"/>
          <w:i w:val="0"/>
          <w:smallCaps w:val="0"/>
          <w:color w:val="auto"/>
          <w:spacing w:val="0"/>
          <w:sz w:val="22"/>
          <w:szCs w:val="22"/>
        </w:rPr>
        <w:t xml:space="preserve"> a representative) </w:t>
      </w:r>
      <w:r>
        <w:rPr>
          <w:rStyle w:val="IntenseReference"/>
          <w:rFonts w:asciiTheme="minorHAnsi" w:hAnsiTheme="minorHAnsi" w:cs="Arial"/>
          <w:b w:val="0"/>
          <w:bCs w:val="0"/>
          <w:i w:val="0"/>
          <w:smallCaps w:val="0"/>
          <w:color w:val="auto"/>
          <w:spacing w:val="0"/>
          <w:sz w:val="22"/>
          <w:szCs w:val="22"/>
        </w:rPr>
        <w:t>during the transition period</w:t>
      </w:r>
      <w:r w:rsidR="00F04B96">
        <w:rPr>
          <w:rStyle w:val="IntenseReference"/>
          <w:rFonts w:asciiTheme="minorHAnsi" w:hAnsiTheme="minorHAnsi" w:cs="Arial"/>
          <w:b w:val="0"/>
          <w:bCs w:val="0"/>
          <w:i w:val="0"/>
          <w:smallCaps w:val="0"/>
          <w:color w:val="auto"/>
          <w:spacing w:val="0"/>
          <w:sz w:val="22"/>
          <w:szCs w:val="22"/>
        </w:rPr>
        <w:t xml:space="preserve"> </w:t>
      </w:r>
      <w:r w:rsidR="00C4202F">
        <w:rPr>
          <w:rStyle w:val="IntenseReference"/>
          <w:rFonts w:asciiTheme="minorHAnsi" w:hAnsiTheme="minorHAnsi" w:cs="Arial"/>
          <w:b w:val="0"/>
          <w:bCs w:val="0"/>
          <w:i w:val="0"/>
          <w:smallCaps w:val="0"/>
          <w:color w:val="auto"/>
          <w:spacing w:val="0"/>
          <w:sz w:val="22"/>
          <w:szCs w:val="22"/>
        </w:rPr>
        <w:t xml:space="preserve">and those who </w:t>
      </w:r>
      <w:r w:rsidR="00F04B96">
        <w:rPr>
          <w:rStyle w:val="IntenseReference"/>
          <w:rFonts w:asciiTheme="minorHAnsi" w:hAnsiTheme="minorHAnsi" w:cs="Arial"/>
          <w:b w:val="0"/>
          <w:bCs w:val="0"/>
          <w:i w:val="0"/>
          <w:smallCaps w:val="0"/>
          <w:color w:val="auto"/>
          <w:spacing w:val="0"/>
          <w:sz w:val="22"/>
          <w:szCs w:val="22"/>
        </w:rPr>
        <w:t>ha</w:t>
      </w:r>
      <w:r w:rsidR="00A5116A">
        <w:rPr>
          <w:rStyle w:val="IntenseReference"/>
          <w:rFonts w:asciiTheme="minorHAnsi" w:hAnsiTheme="minorHAnsi" w:cs="Arial"/>
          <w:b w:val="0"/>
          <w:bCs w:val="0"/>
          <w:i w:val="0"/>
          <w:smallCaps w:val="0"/>
          <w:color w:val="auto"/>
          <w:spacing w:val="0"/>
          <w:sz w:val="22"/>
          <w:szCs w:val="22"/>
        </w:rPr>
        <w:t>d</w:t>
      </w:r>
      <w:r w:rsidR="00F04B96">
        <w:rPr>
          <w:rStyle w:val="IntenseReference"/>
          <w:rFonts w:asciiTheme="minorHAnsi" w:hAnsiTheme="minorHAnsi" w:cs="Arial"/>
          <w:b w:val="0"/>
          <w:bCs w:val="0"/>
          <w:i w:val="0"/>
          <w:smallCaps w:val="0"/>
          <w:color w:val="auto"/>
          <w:spacing w:val="0"/>
          <w:sz w:val="22"/>
          <w:szCs w:val="22"/>
        </w:rPr>
        <w:t xml:space="preserve"> previously </w:t>
      </w:r>
      <w:r w:rsidR="00FC47BC">
        <w:rPr>
          <w:rStyle w:val="IntenseReference"/>
          <w:rFonts w:asciiTheme="minorHAnsi" w:hAnsiTheme="minorHAnsi" w:cs="Arial"/>
          <w:b w:val="0"/>
          <w:bCs w:val="0"/>
          <w:i w:val="0"/>
          <w:smallCaps w:val="0"/>
          <w:color w:val="auto"/>
          <w:spacing w:val="0"/>
          <w:sz w:val="22"/>
          <w:szCs w:val="22"/>
        </w:rPr>
        <w:t xml:space="preserve">been registered but who </w:t>
      </w:r>
      <w:r w:rsidR="00FC47BC">
        <w:rPr>
          <w:rStyle w:val="IntenseReference"/>
          <w:rFonts w:asciiTheme="minorHAnsi" w:hAnsiTheme="minorHAnsi" w:cs="Arial"/>
          <w:b w:val="0"/>
          <w:bCs w:val="0"/>
          <w:i w:val="0"/>
          <w:smallCaps w:val="0"/>
          <w:color w:val="auto"/>
          <w:spacing w:val="0"/>
          <w:sz w:val="22"/>
          <w:szCs w:val="22"/>
        </w:rPr>
        <w:lastRenderedPageBreak/>
        <w:t xml:space="preserve">have </w:t>
      </w:r>
      <w:r w:rsidR="00F04B96">
        <w:rPr>
          <w:rStyle w:val="IntenseReference"/>
          <w:rFonts w:asciiTheme="minorHAnsi" w:hAnsiTheme="minorHAnsi" w:cs="Arial"/>
          <w:b w:val="0"/>
          <w:bCs w:val="0"/>
          <w:i w:val="0"/>
          <w:smallCaps w:val="0"/>
          <w:color w:val="auto"/>
          <w:spacing w:val="0"/>
          <w:sz w:val="22"/>
          <w:szCs w:val="22"/>
        </w:rPr>
        <w:t>cancelled their PCEHR</w:t>
      </w:r>
      <w:r>
        <w:rPr>
          <w:rStyle w:val="IntenseReference"/>
          <w:rFonts w:asciiTheme="minorHAnsi" w:hAnsiTheme="minorHAnsi" w:cs="Arial"/>
          <w:b w:val="0"/>
          <w:bCs w:val="0"/>
          <w:i w:val="0"/>
          <w:smallCaps w:val="0"/>
          <w:color w:val="auto"/>
          <w:spacing w:val="0"/>
          <w:sz w:val="22"/>
          <w:szCs w:val="22"/>
        </w:rPr>
        <w:t xml:space="preserve">.  </w:t>
      </w:r>
      <w:r w:rsidR="007E253D">
        <w:rPr>
          <w:rStyle w:val="IntenseReference"/>
          <w:rFonts w:asciiTheme="minorHAnsi" w:hAnsiTheme="minorHAnsi" w:cs="Arial"/>
          <w:b w:val="0"/>
          <w:bCs w:val="0"/>
          <w:i w:val="0"/>
          <w:smallCaps w:val="0"/>
          <w:color w:val="auto"/>
          <w:spacing w:val="0"/>
          <w:sz w:val="22"/>
          <w:szCs w:val="22"/>
        </w:rPr>
        <w:t xml:space="preserve">Any person who becomes eligible for a PCEHR after this two month period, </w:t>
      </w:r>
      <w:r w:rsidR="00A5116A">
        <w:rPr>
          <w:rStyle w:val="IntenseReference"/>
          <w:rFonts w:asciiTheme="minorHAnsi" w:hAnsiTheme="minorHAnsi" w:cs="Arial"/>
          <w:b w:val="0"/>
          <w:bCs w:val="0"/>
          <w:i w:val="0"/>
          <w:smallCaps w:val="0"/>
          <w:color w:val="auto"/>
          <w:spacing w:val="0"/>
          <w:sz w:val="22"/>
          <w:szCs w:val="22"/>
        </w:rPr>
        <w:t xml:space="preserve">such as newborns, </w:t>
      </w:r>
      <w:r w:rsidR="00487A5E">
        <w:rPr>
          <w:rStyle w:val="IntenseReference"/>
          <w:rFonts w:asciiTheme="minorHAnsi" w:hAnsiTheme="minorHAnsi" w:cs="Arial"/>
          <w:b w:val="0"/>
          <w:bCs w:val="0"/>
          <w:i w:val="0"/>
          <w:smallCaps w:val="0"/>
          <w:color w:val="auto"/>
          <w:spacing w:val="0"/>
          <w:sz w:val="22"/>
          <w:szCs w:val="22"/>
        </w:rPr>
        <w:t xml:space="preserve">will </w:t>
      </w:r>
      <w:r w:rsidR="00A5116A">
        <w:rPr>
          <w:rStyle w:val="IntenseReference"/>
          <w:rFonts w:asciiTheme="minorHAnsi" w:hAnsiTheme="minorHAnsi" w:cs="Arial"/>
          <w:b w:val="0"/>
          <w:bCs w:val="0"/>
          <w:i w:val="0"/>
          <w:smallCaps w:val="0"/>
          <w:color w:val="auto"/>
          <w:spacing w:val="0"/>
          <w:sz w:val="22"/>
          <w:szCs w:val="22"/>
        </w:rPr>
        <w:t>not automatically get a PCEHR</w:t>
      </w:r>
      <w:r w:rsidR="007E253D">
        <w:rPr>
          <w:rStyle w:val="IntenseReference"/>
          <w:rFonts w:asciiTheme="minorHAnsi" w:hAnsiTheme="minorHAnsi" w:cs="Arial"/>
          <w:b w:val="0"/>
          <w:bCs w:val="0"/>
          <w:i w:val="0"/>
          <w:smallCaps w:val="0"/>
          <w:color w:val="auto"/>
          <w:spacing w:val="0"/>
          <w:sz w:val="22"/>
          <w:szCs w:val="22"/>
        </w:rPr>
        <w:t xml:space="preserve"> and if they want a PCEHR they </w:t>
      </w:r>
      <w:r w:rsidR="00487A5E">
        <w:rPr>
          <w:rStyle w:val="IntenseReference"/>
          <w:rFonts w:asciiTheme="minorHAnsi" w:hAnsiTheme="minorHAnsi" w:cs="Arial"/>
          <w:b w:val="0"/>
          <w:bCs w:val="0"/>
          <w:i w:val="0"/>
          <w:smallCaps w:val="0"/>
          <w:color w:val="auto"/>
          <w:spacing w:val="0"/>
          <w:sz w:val="22"/>
          <w:szCs w:val="22"/>
        </w:rPr>
        <w:t xml:space="preserve">will </w:t>
      </w:r>
      <w:r w:rsidR="007E253D">
        <w:rPr>
          <w:rStyle w:val="IntenseReference"/>
          <w:rFonts w:asciiTheme="minorHAnsi" w:hAnsiTheme="minorHAnsi" w:cs="Arial"/>
          <w:b w:val="0"/>
          <w:bCs w:val="0"/>
          <w:i w:val="0"/>
          <w:smallCaps w:val="0"/>
          <w:color w:val="auto"/>
          <w:spacing w:val="0"/>
          <w:sz w:val="22"/>
          <w:szCs w:val="22"/>
        </w:rPr>
        <w:t>need to apply to register under the opt-in process</w:t>
      </w:r>
      <w:r w:rsidR="00E21555">
        <w:rPr>
          <w:rStyle w:val="IntenseReference"/>
          <w:rFonts w:asciiTheme="minorHAnsi" w:hAnsiTheme="minorHAnsi" w:cs="Arial"/>
          <w:b w:val="0"/>
          <w:bCs w:val="0"/>
          <w:i w:val="0"/>
          <w:smallCaps w:val="0"/>
          <w:color w:val="auto"/>
          <w:spacing w:val="0"/>
          <w:sz w:val="22"/>
          <w:szCs w:val="22"/>
        </w:rPr>
        <w:t>.</w:t>
      </w:r>
    </w:p>
    <w:p w:rsidR="008C4738" w:rsidRDefault="007D4CD6" w:rsidP="008C4738">
      <w:pPr>
        <w:spacing w:before="120" w:after="120"/>
        <w:ind w:left="737"/>
        <w:rPr>
          <w:rStyle w:val="IntenseReference"/>
          <w:rFonts w:asciiTheme="minorHAnsi" w:hAnsiTheme="minorHAnsi" w:cs="Arial"/>
          <w:b w:val="0"/>
          <w:bCs w:val="0"/>
          <w:i w:val="0"/>
          <w:smallCaps w:val="0"/>
          <w:color w:val="auto"/>
          <w:spacing w:val="0"/>
          <w:sz w:val="22"/>
          <w:szCs w:val="22"/>
        </w:rPr>
      </w:pPr>
      <w:r>
        <w:rPr>
          <w:rStyle w:val="IntenseReference"/>
          <w:rFonts w:asciiTheme="minorHAnsi" w:hAnsiTheme="minorHAnsi" w:cs="Arial"/>
          <w:b w:val="0"/>
          <w:bCs w:val="0"/>
          <w:i w:val="0"/>
          <w:smallCaps w:val="0"/>
          <w:color w:val="auto"/>
          <w:spacing w:val="0"/>
          <w:sz w:val="22"/>
          <w:szCs w:val="22"/>
        </w:rPr>
        <w:t xml:space="preserve">The </w:t>
      </w:r>
      <w:r w:rsidR="008C4738">
        <w:rPr>
          <w:rStyle w:val="IntenseReference"/>
          <w:rFonts w:asciiTheme="minorHAnsi" w:hAnsiTheme="minorHAnsi" w:cs="Arial"/>
          <w:b w:val="0"/>
          <w:bCs w:val="0"/>
          <w:i w:val="0"/>
          <w:smallCaps w:val="0"/>
          <w:color w:val="auto"/>
          <w:spacing w:val="0"/>
          <w:sz w:val="22"/>
          <w:szCs w:val="22"/>
        </w:rPr>
        <w:t xml:space="preserve">proposed </w:t>
      </w:r>
      <w:r>
        <w:rPr>
          <w:rStyle w:val="IntenseReference"/>
          <w:rFonts w:asciiTheme="minorHAnsi" w:hAnsiTheme="minorHAnsi" w:cs="Arial"/>
          <w:b w:val="0"/>
          <w:bCs w:val="0"/>
          <w:i w:val="0"/>
          <w:smallCaps w:val="0"/>
          <w:color w:val="auto"/>
          <w:spacing w:val="0"/>
          <w:sz w:val="22"/>
          <w:szCs w:val="22"/>
        </w:rPr>
        <w:t>t</w:t>
      </w:r>
      <w:r w:rsidRPr="00095159">
        <w:rPr>
          <w:rStyle w:val="IntenseReference"/>
          <w:rFonts w:asciiTheme="minorHAnsi" w:hAnsiTheme="minorHAnsi" w:cs="Arial"/>
          <w:b w:val="0"/>
          <w:bCs w:val="0"/>
          <w:i w:val="0"/>
          <w:smallCaps w:val="0"/>
          <w:color w:val="auto"/>
          <w:spacing w:val="0"/>
          <w:sz w:val="22"/>
          <w:szCs w:val="22"/>
        </w:rPr>
        <w:t>iming</w:t>
      </w:r>
      <w:r>
        <w:rPr>
          <w:rStyle w:val="IntenseReference"/>
          <w:rFonts w:asciiTheme="minorHAnsi" w:hAnsiTheme="minorHAnsi" w:cs="Arial"/>
          <w:b w:val="0"/>
          <w:bCs w:val="0"/>
          <w:i w:val="0"/>
          <w:smallCaps w:val="0"/>
          <w:color w:val="auto"/>
          <w:spacing w:val="0"/>
          <w:sz w:val="22"/>
          <w:szCs w:val="22"/>
        </w:rPr>
        <w:t xml:space="preserve"> for </w:t>
      </w:r>
      <w:r w:rsidR="008C4738">
        <w:rPr>
          <w:rStyle w:val="IntenseReference"/>
          <w:rFonts w:asciiTheme="minorHAnsi" w:hAnsiTheme="minorHAnsi" w:cs="Arial"/>
          <w:b w:val="0"/>
          <w:bCs w:val="0"/>
          <w:i w:val="0"/>
          <w:smallCaps w:val="0"/>
          <w:color w:val="auto"/>
          <w:spacing w:val="0"/>
          <w:sz w:val="22"/>
          <w:szCs w:val="22"/>
        </w:rPr>
        <w:t xml:space="preserve">the </w:t>
      </w:r>
      <w:r>
        <w:rPr>
          <w:rStyle w:val="IntenseReference"/>
          <w:rFonts w:asciiTheme="minorHAnsi" w:hAnsiTheme="minorHAnsi" w:cs="Arial"/>
          <w:b w:val="0"/>
          <w:bCs w:val="0"/>
          <w:i w:val="0"/>
          <w:smallCaps w:val="0"/>
          <w:color w:val="auto"/>
          <w:spacing w:val="0"/>
          <w:sz w:val="22"/>
          <w:szCs w:val="22"/>
        </w:rPr>
        <w:t>opt-out</w:t>
      </w:r>
      <w:r w:rsidR="008C4738">
        <w:rPr>
          <w:rStyle w:val="IntenseReference"/>
          <w:rFonts w:asciiTheme="minorHAnsi" w:hAnsiTheme="minorHAnsi" w:cs="Arial"/>
          <w:b w:val="0"/>
          <w:bCs w:val="0"/>
          <w:i w:val="0"/>
          <w:smallCaps w:val="0"/>
          <w:color w:val="auto"/>
          <w:spacing w:val="0"/>
          <w:sz w:val="22"/>
          <w:szCs w:val="22"/>
        </w:rPr>
        <w:t xml:space="preserve"> </w:t>
      </w:r>
      <w:r w:rsidR="000F4403">
        <w:rPr>
          <w:rStyle w:val="IntenseReference"/>
          <w:rFonts w:asciiTheme="minorHAnsi" w:hAnsiTheme="minorHAnsi" w:cs="Arial"/>
          <w:b w:val="0"/>
          <w:bCs w:val="0"/>
          <w:i w:val="0"/>
          <w:smallCaps w:val="0"/>
          <w:color w:val="auto"/>
          <w:spacing w:val="0"/>
          <w:sz w:val="22"/>
          <w:szCs w:val="22"/>
        </w:rPr>
        <w:t xml:space="preserve">trials </w:t>
      </w:r>
      <w:r w:rsidR="008C4738">
        <w:rPr>
          <w:rStyle w:val="IntenseReference"/>
          <w:rFonts w:asciiTheme="minorHAnsi" w:hAnsiTheme="minorHAnsi" w:cs="Arial"/>
          <w:b w:val="0"/>
          <w:bCs w:val="0"/>
          <w:i w:val="0"/>
          <w:smallCaps w:val="0"/>
          <w:color w:val="auto"/>
          <w:spacing w:val="0"/>
          <w:sz w:val="22"/>
          <w:szCs w:val="22"/>
        </w:rPr>
        <w:t>is as follows:</w:t>
      </w:r>
    </w:p>
    <w:p w:rsidR="008C4738" w:rsidRPr="00E21555" w:rsidRDefault="00A4061F" w:rsidP="00A67B4E">
      <w:pPr>
        <w:pStyle w:val="ListParagraph"/>
        <w:numPr>
          <w:ilvl w:val="0"/>
          <w:numId w:val="13"/>
        </w:numPr>
        <w:spacing w:before="120" w:after="120"/>
        <w:contextualSpacing w:val="0"/>
        <w:rPr>
          <w:rStyle w:val="IntenseReference"/>
          <w:rFonts w:asciiTheme="minorHAnsi" w:hAnsiTheme="minorHAnsi" w:cs="Arial"/>
          <w:b w:val="0"/>
          <w:bCs w:val="0"/>
          <w:i w:val="0"/>
          <w:smallCaps w:val="0"/>
          <w:color w:val="auto"/>
          <w:spacing w:val="0"/>
          <w:sz w:val="22"/>
          <w:szCs w:val="22"/>
        </w:rPr>
      </w:pPr>
      <w:r>
        <w:rPr>
          <w:rStyle w:val="IntenseReference"/>
          <w:rFonts w:asciiTheme="minorHAnsi" w:hAnsiTheme="minorHAnsi" w:cs="Arial"/>
          <w:b w:val="0"/>
          <w:bCs w:val="0"/>
          <w:i w:val="0"/>
          <w:smallCaps w:val="0"/>
          <w:color w:val="auto"/>
          <w:spacing w:val="0"/>
          <w:sz w:val="22"/>
          <w:szCs w:val="22"/>
        </w:rPr>
        <w:t>opt-out period – two months</w:t>
      </w:r>
      <w:r w:rsidR="008C4738" w:rsidRPr="00E21555">
        <w:rPr>
          <w:rStyle w:val="IntenseReference"/>
          <w:rFonts w:asciiTheme="minorHAnsi" w:hAnsiTheme="minorHAnsi" w:cs="Arial"/>
          <w:b w:val="0"/>
          <w:bCs w:val="0"/>
          <w:i w:val="0"/>
          <w:smallCaps w:val="0"/>
          <w:color w:val="auto"/>
          <w:spacing w:val="0"/>
          <w:sz w:val="22"/>
          <w:szCs w:val="22"/>
        </w:rPr>
        <w:t>:</w:t>
      </w:r>
      <w:r w:rsidR="007D4CD6" w:rsidRPr="00E21555">
        <w:rPr>
          <w:rStyle w:val="IntenseReference"/>
          <w:rFonts w:asciiTheme="minorHAnsi" w:hAnsiTheme="minorHAnsi" w:cs="Arial"/>
          <w:b w:val="0"/>
          <w:bCs w:val="0"/>
          <w:i w:val="0"/>
          <w:smallCaps w:val="0"/>
          <w:color w:val="auto"/>
          <w:spacing w:val="0"/>
          <w:sz w:val="22"/>
          <w:szCs w:val="22"/>
        </w:rPr>
        <w:t xml:space="preserve"> individuals </w:t>
      </w:r>
      <w:r w:rsidR="00E21555">
        <w:rPr>
          <w:rStyle w:val="IntenseReference"/>
          <w:rFonts w:asciiTheme="minorHAnsi" w:hAnsiTheme="minorHAnsi" w:cs="Arial"/>
          <w:b w:val="0"/>
          <w:bCs w:val="0"/>
          <w:i w:val="0"/>
          <w:smallCaps w:val="0"/>
          <w:color w:val="auto"/>
          <w:spacing w:val="0"/>
          <w:sz w:val="22"/>
          <w:szCs w:val="22"/>
        </w:rPr>
        <w:t xml:space="preserve">in trial regions </w:t>
      </w:r>
      <w:r w:rsidR="007D4CD6" w:rsidRPr="00E21555">
        <w:rPr>
          <w:rStyle w:val="IntenseReference"/>
          <w:rFonts w:asciiTheme="minorHAnsi" w:hAnsiTheme="minorHAnsi" w:cs="Arial"/>
          <w:b w:val="0"/>
          <w:bCs w:val="0"/>
          <w:i w:val="0"/>
          <w:smallCaps w:val="0"/>
          <w:color w:val="auto"/>
          <w:spacing w:val="0"/>
          <w:sz w:val="22"/>
          <w:szCs w:val="22"/>
        </w:rPr>
        <w:t xml:space="preserve">may </w:t>
      </w:r>
      <w:r w:rsidR="008C4738" w:rsidRPr="00E21555">
        <w:rPr>
          <w:rStyle w:val="IntenseReference"/>
          <w:rFonts w:asciiTheme="minorHAnsi" w:hAnsiTheme="minorHAnsi" w:cs="Arial"/>
          <w:b w:val="0"/>
          <w:bCs w:val="0"/>
          <w:i w:val="0"/>
          <w:smallCaps w:val="0"/>
          <w:color w:val="auto"/>
          <w:spacing w:val="0"/>
          <w:sz w:val="22"/>
          <w:szCs w:val="22"/>
        </w:rPr>
        <w:t xml:space="preserve">choose to </w:t>
      </w:r>
      <w:r w:rsidR="007D4CD6" w:rsidRPr="00E21555">
        <w:rPr>
          <w:rStyle w:val="IntenseReference"/>
          <w:rFonts w:asciiTheme="minorHAnsi" w:hAnsiTheme="minorHAnsi" w:cs="Arial"/>
          <w:b w:val="0"/>
          <w:bCs w:val="0"/>
          <w:i w:val="0"/>
          <w:smallCaps w:val="0"/>
          <w:color w:val="auto"/>
          <w:spacing w:val="0"/>
          <w:sz w:val="22"/>
          <w:szCs w:val="22"/>
        </w:rPr>
        <w:t>opt</w:t>
      </w:r>
      <w:r w:rsidR="008C4738" w:rsidRPr="00E21555">
        <w:rPr>
          <w:rStyle w:val="IntenseReference"/>
          <w:rFonts w:asciiTheme="minorHAnsi" w:hAnsiTheme="minorHAnsi" w:cs="Arial"/>
          <w:b w:val="0"/>
          <w:bCs w:val="0"/>
          <w:i w:val="0"/>
          <w:smallCaps w:val="0"/>
          <w:color w:val="auto"/>
          <w:spacing w:val="0"/>
          <w:sz w:val="22"/>
          <w:szCs w:val="22"/>
        </w:rPr>
        <w:t>-</w:t>
      </w:r>
      <w:r w:rsidR="007D4CD6" w:rsidRPr="00E21555">
        <w:rPr>
          <w:rStyle w:val="IntenseReference"/>
          <w:rFonts w:asciiTheme="minorHAnsi" w:hAnsiTheme="minorHAnsi" w:cs="Arial"/>
          <w:b w:val="0"/>
          <w:bCs w:val="0"/>
          <w:i w:val="0"/>
          <w:smallCaps w:val="0"/>
          <w:color w:val="auto"/>
          <w:spacing w:val="0"/>
          <w:sz w:val="22"/>
          <w:szCs w:val="22"/>
        </w:rPr>
        <w:t>out</w:t>
      </w:r>
      <w:r w:rsidR="00FC47BC">
        <w:rPr>
          <w:rStyle w:val="IntenseReference"/>
          <w:rFonts w:asciiTheme="minorHAnsi" w:hAnsiTheme="minorHAnsi" w:cs="Arial"/>
          <w:b w:val="0"/>
          <w:bCs w:val="0"/>
          <w:i w:val="0"/>
          <w:smallCaps w:val="0"/>
          <w:color w:val="auto"/>
          <w:spacing w:val="0"/>
          <w:sz w:val="22"/>
          <w:szCs w:val="22"/>
        </w:rPr>
        <w:t>, or may be opted</w:t>
      </w:r>
      <w:r w:rsidR="00310A44">
        <w:rPr>
          <w:rStyle w:val="IntenseReference"/>
          <w:rFonts w:asciiTheme="minorHAnsi" w:hAnsiTheme="minorHAnsi" w:cs="Arial"/>
          <w:b w:val="0"/>
          <w:bCs w:val="0"/>
          <w:i w:val="0"/>
          <w:smallCaps w:val="0"/>
          <w:color w:val="auto"/>
          <w:spacing w:val="0"/>
          <w:sz w:val="22"/>
          <w:szCs w:val="22"/>
        </w:rPr>
        <w:t xml:space="preserve"> </w:t>
      </w:r>
      <w:r w:rsidR="00FC47BC">
        <w:rPr>
          <w:rStyle w:val="IntenseReference"/>
          <w:rFonts w:asciiTheme="minorHAnsi" w:hAnsiTheme="minorHAnsi" w:cs="Arial"/>
          <w:b w:val="0"/>
          <w:bCs w:val="0"/>
          <w:i w:val="0"/>
          <w:smallCaps w:val="0"/>
          <w:color w:val="auto"/>
          <w:spacing w:val="0"/>
          <w:sz w:val="22"/>
          <w:szCs w:val="22"/>
        </w:rPr>
        <w:t>out by a represen</w:t>
      </w:r>
      <w:r w:rsidR="00043266">
        <w:rPr>
          <w:rStyle w:val="IntenseReference"/>
          <w:rFonts w:asciiTheme="minorHAnsi" w:hAnsiTheme="minorHAnsi" w:cs="Arial"/>
          <w:b w:val="0"/>
          <w:bCs w:val="0"/>
          <w:i w:val="0"/>
          <w:smallCaps w:val="0"/>
          <w:color w:val="auto"/>
          <w:spacing w:val="0"/>
          <w:sz w:val="22"/>
          <w:szCs w:val="22"/>
        </w:rPr>
        <w:t>t</w:t>
      </w:r>
      <w:r w:rsidR="00FC47BC">
        <w:rPr>
          <w:rStyle w:val="IntenseReference"/>
          <w:rFonts w:asciiTheme="minorHAnsi" w:hAnsiTheme="minorHAnsi" w:cs="Arial"/>
          <w:b w:val="0"/>
          <w:bCs w:val="0"/>
          <w:i w:val="0"/>
          <w:smallCaps w:val="0"/>
          <w:color w:val="auto"/>
          <w:spacing w:val="0"/>
          <w:sz w:val="22"/>
          <w:szCs w:val="22"/>
        </w:rPr>
        <w:t>ative</w:t>
      </w:r>
      <w:r w:rsidR="008C4738" w:rsidRPr="00E21555">
        <w:rPr>
          <w:rStyle w:val="IntenseReference"/>
          <w:rFonts w:asciiTheme="minorHAnsi" w:hAnsiTheme="minorHAnsi" w:cs="Arial"/>
          <w:b w:val="0"/>
          <w:bCs w:val="0"/>
          <w:i w:val="0"/>
          <w:smallCaps w:val="0"/>
          <w:color w:val="auto"/>
          <w:spacing w:val="0"/>
          <w:sz w:val="22"/>
          <w:szCs w:val="22"/>
        </w:rPr>
        <w:t>;</w:t>
      </w:r>
    </w:p>
    <w:p w:rsidR="007D4CD6" w:rsidRPr="00E21555" w:rsidRDefault="00A4061F" w:rsidP="00A67B4E">
      <w:pPr>
        <w:pStyle w:val="ListParagraph"/>
        <w:numPr>
          <w:ilvl w:val="0"/>
          <w:numId w:val="13"/>
        </w:numPr>
        <w:spacing w:before="120" w:after="120"/>
        <w:contextualSpacing w:val="0"/>
        <w:rPr>
          <w:rStyle w:val="IntenseReference"/>
          <w:rFonts w:asciiTheme="minorHAnsi" w:hAnsiTheme="minorHAnsi" w:cs="Arial"/>
          <w:b w:val="0"/>
          <w:bCs w:val="0"/>
          <w:i w:val="0"/>
          <w:smallCaps w:val="0"/>
          <w:color w:val="auto"/>
          <w:spacing w:val="0"/>
          <w:sz w:val="22"/>
          <w:szCs w:val="22"/>
        </w:rPr>
      </w:pPr>
      <w:r>
        <w:rPr>
          <w:rStyle w:val="IntenseReference"/>
          <w:rFonts w:asciiTheme="minorHAnsi" w:hAnsiTheme="minorHAnsi" w:cs="Arial"/>
          <w:b w:val="0"/>
          <w:bCs w:val="0"/>
          <w:i w:val="0"/>
          <w:smallCaps w:val="0"/>
          <w:color w:val="auto"/>
          <w:spacing w:val="0"/>
          <w:sz w:val="22"/>
          <w:szCs w:val="22"/>
        </w:rPr>
        <w:t>trial registration period – two weeks:</w:t>
      </w:r>
      <w:r w:rsidR="007D4CD6" w:rsidRPr="00E21555">
        <w:rPr>
          <w:rStyle w:val="IntenseReference"/>
          <w:rFonts w:asciiTheme="minorHAnsi" w:hAnsiTheme="minorHAnsi" w:cs="Arial"/>
          <w:b w:val="0"/>
          <w:bCs w:val="0"/>
          <w:i w:val="0"/>
          <w:smallCaps w:val="0"/>
          <w:color w:val="auto"/>
          <w:spacing w:val="0"/>
          <w:sz w:val="22"/>
          <w:szCs w:val="22"/>
        </w:rPr>
        <w:t xml:space="preserve"> registration of eligible </w:t>
      </w:r>
      <w:r w:rsidR="00F72ED5">
        <w:rPr>
          <w:rFonts w:asciiTheme="minorHAnsi" w:hAnsiTheme="minorHAnsi"/>
          <w:sz w:val="22"/>
          <w:szCs w:val="22"/>
        </w:rPr>
        <w:t xml:space="preserve">individuals </w:t>
      </w:r>
      <w:r w:rsidR="00E21555">
        <w:rPr>
          <w:rStyle w:val="IntenseReference"/>
          <w:rFonts w:asciiTheme="minorHAnsi" w:hAnsiTheme="minorHAnsi" w:cs="Arial"/>
          <w:b w:val="0"/>
          <w:bCs w:val="0"/>
          <w:i w:val="0"/>
          <w:smallCaps w:val="0"/>
          <w:color w:val="auto"/>
          <w:spacing w:val="0"/>
          <w:sz w:val="22"/>
          <w:szCs w:val="22"/>
        </w:rPr>
        <w:t>in trial regions</w:t>
      </w:r>
      <w:r w:rsidR="007D4CD6" w:rsidRPr="00E21555">
        <w:rPr>
          <w:rStyle w:val="IntenseReference"/>
          <w:rFonts w:asciiTheme="minorHAnsi" w:hAnsiTheme="minorHAnsi" w:cs="Arial"/>
          <w:b w:val="0"/>
          <w:bCs w:val="0"/>
          <w:i w:val="0"/>
          <w:smallCaps w:val="0"/>
          <w:color w:val="auto"/>
          <w:spacing w:val="0"/>
          <w:sz w:val="22"/>
          <w:szCs w:val="22"/>
        </w:rPr>
        <w:t xml:space="preserve"> </w:t>
      </w:r>
      <w:r w:rsidR="00043266">
        <w:rPr>
          <w:rStyle w:val="IntenseReference"/>
          <w:rFonts w:asciiTheme="minorHAnsi" w:hAnsiTheme="minorHAnsi" w:cs="Arial"/>
          <w:b w:val="0"/>
          <w:bCs w:val="0"/>
          <w:i w:val="0"/>
          <w:smallCaps w:val="0"/>
          <w:color w:val="auto"/>
          <w:spacing w:val="0"/>
          <w:sz w:val="22"/>
          <w:szCs w:val="22"/>
        </w:rPr>
        <w:t xml:space="preserve">– </w:t>
      </w:r>
      <w:r w:rsidR="007D4CD6" w:rsidRPr="00E21555">
        <w:rPr>
          <w:rStyle w:val="IntenseReference"/>
          <w:rFonts w:asciiTheme="minorHAnsi" w:hAnsiTheme="minorHAnsi" w:cs="Arial"/>
          <w:b w:val="0"/>
          <w:bCs w:val="0"/>
          <w:i w:val="0"/>
          <w:smallCaps w:val="0"/>
          <w:color w:val="auto"/>
          <w:spacing w:val="0"/>
          <w:sz w:val="22"/>
          <w:szCs w:val="22"/>
        </w:rPr>
        <w:t xml:space="preserve">that is, </w:t>
      </w:r>
      <w:proofErr w:type="spellStart"/>
      <w:r w:rsidR="008C4738" w:rsidRPr="00E21555">
        <w:rPr>
          <w:rStyle w:val="IntenseReference"/>
          <w:rFonts w:asciiTheme="minorHAnsi" w:hAnsiTheme="minorHAnsi" w:cs="Arial"/>
          <w:b w:val="0"/>
          <w:bCs w:val="0"/>
          <w:i w:val="0"/>
          <w:smallCaps w:val="0"/>
          <w:color w:val="auto"/>
          <w:spacing w:val="0"/>
          <w:sz w:val="22"/>
          <w:szCs w:val="22"/>
        </w:rPr>
        <w:t>PCEHRs</w:t>
      </w:r>
      <w:proofErr w:type="spellEnd"/>
      <w:r w:rsidR="007D4CD6" w:rsidRPr="00E21555">
        <w:rPr>
          <w:rStyle w:val="IntenseReference"/>
          <w:rFonts w:asciiTheme="minorHAnsi" w:hAnsiTheme="minorHAnsi" w:cs="Arial"/>
          <w:b w:val="0"/>
          <w:bCs w:val="0"/>
          <w:i w:val="0"/>
          <w:smallCaps w:val="0"/>
          <w:color w:val="auto"/>
          <w:spacing w:val="0"/>
          <w:sz w:val="22"/>
          <w:szCs w:val="22"/>
        </w:rPr>
        <w:t xml:space="preserve"> are created; </w:t>
      </w:r>
    </w:p>
    <w:p w:rsidR="007D4CD6" w:rsidRPr="00E21555" w:rsidRDefault="00F50750" w:rsidP="00A67B4E">
      <w:pPr>
        <w:pStyle w:val="ListParagraph"/>
        <w:numPr>
          <w:ilvl w:val="0"/>
          <w:numId w:val="13"/>
        </w:numPr>
        <w:spacing w:before="120" w:after="120"/>
        <w:contextualSpacing w:val="0"/>
        <w:rPr>
          <w:rStyle w:val="IntenseReference"/>
          <w:rFonts w:asciiTheme="minorHAnsi" w:hAnsiTheme="minorHAnsi" w:cs="Arial"/>
          <w:b w:val="0"/>
          <w:bCs w:val="0"/>
          <w:i w:val="0"/>
          <w:smallCaps w:val="0"/>
          <w:color w:val="auto"/>
          <w:spacing w:val="0"/>
          <w:sz w:val="22"/>
          <w:szCs w:val="22"/>
        </w:rPr>
      </w:pPr>
      <w:proofErr w:type="gramStart"/>
      <w:r>
        <w:rPr>
          <w:rStyle w:val="IntenseReference"/>
          <w:rFonts w:asciiTheme="minorHAnsi" w:hAnsiTheme="minorHAnsi" w:cs="Arial"/>
          <w:b w:val="0"/>
          <w:bCs w:val="0"/>
          <w:i w:val="0"/>
          <w:smallCaps w:val="0"/>
          <w:color w:val="auto"/>
          <w:spacing w:val="0"/>
          <w:sz w:val="22"/>
          <w:szCs w:val="22"/>
        </w:rPr>
        <w:t>transition</w:t>
      </w:r>
      <w:proofErr w:type="gramEnd"/>
      <w:r>
        <w:rPr>
          <w:rStyle w:val="IntenseReference"/>
          <w:rFonts w:asciiTheme="minorHAnsi" w:hAnsiTheme="minorHAnsi" w:cs="Arial"/>
          <w:b w:val="0"/>
          <w:bCs w:val="0"/>
          <w:i w:val="0"/>
          <w:smallCaps w:val="0"/>
          <w:color w:val="auto"/>
          <w:spacing w:val="0"/>
          <w:sz w:val="22"/>
          <w:szCs w:val="22"/>
        </w:rPr>
        <w:t xml:space="preserve"> period – six week</w:t>
      </w:r>
      <w:r w:rsidR="006E0564">
        <w:rPr>
          <w:rStyle w:val="IntenseReference"/>
          <w:rFonts w:asciiTheme="minorHAnsi" w:hAnsiTheme="minorHAnsi" w:cs="Arial"/>
          <w:b w:val="0"/>
          <w:bCs w:val="0"/>
          <w:i w:val="0"/>
          <w:smallCaps w:val="0"/>
          <w:color w:val="auto"/>
          <w:spacing w:val="0"/>
          <w:sz w:val="22"/>
          <w:szCs w:val="22"/>
        </w:rPr>
        <w:t>s</w:t>
      </w:r>
      <w:r>
        <w:rPr>
          <w:rStyle w:val="IntenseReference"/>
          <w:rFonts w:asciiTheme="minorHAnsi" w:hAnsiTheme="minorHAnsi" w:cs="Arial"/>
          <w:b w:val="0"/>
          <w:bCs w:val="0"/>
          <w:i w:val="0"/>
          <w:smallCaps w:val="0"/>
          <w:color w:val="auto"/>
          <w:spacing w:val="0"/>
          <w:sz w:val="22"/>
          <w:szCs w:val="22"/>
        </w:rPr>
        <w:t>:</w:t>
      </w:r>
      <w:r w:rsidR="007D4CD6" w:rsidRPr="00E21555">
        <w:rPr>
          <w:rStyle w:val="IntenseReference"/>
          <w:rFonts w:asciiTheme="minorHAnsi" w:hAnsiTheme="minorHAnsi" w:cs="Arial"/>
          <w:b w:val="0"/>
          <w:bCs w:val="0"/>
          <w:i w:val="0"/>
          <w:smallCaps w:val="0"/>
          <w:color w:val="auto"/>
          <w:spacing w:val="0"/>
          <w:sz w:val="22"/>
          <w:szCs w:val="22"/>
        </w:rPr>
        <w:t xml:space="preserve"> records </w:t>
      </w:r>
      <w:r w:rsidR="00487A5E">
        <w:rPr>
          <w:rStyle w:val="IntenseReference"/>
          <w:rFonts w:asciiTheme="minorHAnsi" w:hAnsiTheme="minorHAnsi" w:cs="Arial"/>
          <w:b w:val="0"/>
          <w:bCs w:val="0"/>
          <w:i w:val="0"/>
          <w:smallCaps w:val="0"/>
          <w:color w:val="auto"/>
          <w:spacing w:val="0"/>
          <w:sz w:val="22"/>
          <w:szCs w:val="22"/>
        </w:rPr>
        <w:t>will</w:t>
      </w:r>
      <w:r w:rsidR="00487A5E" w:rsidRPr="00E21555">
        <w:rPr>
          <w:rStyle w:val="IntenseReference"/>
          <w:rFonts w:asciiTheme="minorHAnsi" w:hAnsiTheme="minorHAnsi" w:cs="Arial"/>
          <w:b w:val="0"/>
          <w:bCs w:val="0"/>
          <w:i w:val="0"/>
          <w:smallCaps w:val="0"/>
          <w:color w:val="auto"/>
          <w:spacing w:val="0"/>
          <w:sz w:val="22"/>
          <w:szCs w:val="22"/>
        </w:rPr>
        <w:t xml:space="preserve"> </w:t>
      </w:r>
      <w:r w:rsidR="007D4CD6" w:rsidRPr="00E21555">
        <w:rPr>
          <w:rStyle w:val="IntenseReference"/>
          <w:rFonts w:asciiTheme="minorHAnsi" w:hAnsiTheme="minorHAnsi" w:cs="Arial"/>
          <w:b w:val="0"/>
          <w:bCs w:val="0"/>
          <w:i w:val="0"/>
          <w:smallCaps w:val="0"/>
          <w:color w:val="auto"/>
          <w:spacing w:val="0"/>
          <w:sz w:val="22"/>
          <w:szCs w:val="22"/>
        </w:rPr>
        <w:t xml:space="preserve">be available to </w:t>
      </w:r>
      <w:r w:rsidR="00F72ED5">
        <w:rPr>
          <w:rFonts w:asciiTheme="minorHAnsi" w:hAnsiTheme="minorHAnsi"/>
          <w:sz w:val="22"/>
          <w:szCs w:val="22"/>
        </w:rPr>
        <w:t xml:space="preserve">individuals </w:t>
      </w:r>
      <w:r w:rsidR="007D4CD6" w:rsidRPr="00E21555">
        <w:rPr>
          <w:rStyle w:val="IntenseReference"/>
          <w:rFonts w:asciiTheme="minorHAnsi" w:hAnsiTheme="minorHAnsi" w:cs="Arial"/>
          <w:b w:val="0"/>
          <w:bCs w:val="0"/>
          <w:i w:val="0"/>
          <w:smallCaps w:val="0"/>
          <w:color w:val="auto"/>
          <w:spacing w:val="0"/>
          <w:sz w:val="22"/>
          <w:szCs w:val="22"/>
        </w:rPr>
        <w:t xml:space="preserve">(but not healthcare providers) and </w:t>
      </w:r>
      <w:r w:rsidR="00F72ED5">
        <w:rPr>
          <w:rFonts w:asciiTheme="minorHAnsi" w:hAnsiTheme="minorHAnsi"/>
          <w:sz w:val="22"/>
          <w:szCs w:val="22"/>
        </w:rPr>
        <w:t xml:space="preserve">individuals </w:t>
      </w:r>
      <w:r w:rsidR="00043266">
        <w:rPr>
          <w:rStyle w:val="IntenseReference"/>
          <w:rFonts w:asciiTheme="minorHAnsi" w:hAnsiTheme="minorHAnsi" w:cs="Arial"/>
          <w:b w:val="0"/>
          <w:bCs w:val="0"/>
          <w:i w:val="0"/>
          <w:smallCaps w:val="0"/>
          <w:color w:val="auto"/>
          <w:spacing w:val="0"/>
          <w:sz w:val="22"/>
          <w:szCs w:val="22"/>
        </w:rPr>
        <w:t xml:space="preserve">or representatives </w:t>
      </w:r>
      <w:r w:rsidR="00487A5E">
        <w:rPr>
          <w:rStyle w:val="IntenseReference"/>
          <w:rFonts w:asciiTheme="minorHAnsi" w:hAnsiTheme="minorHAnsi" w:cs="Arial"/>
          <w:b w:val="0"/>
          <w:bCs w:val="0"/>
          <w:i w:val="0"/>
          <w:smallCaps w:val="0"/>
          <w:color w:val="auto"/>
          <w:spacing w:val="0"/>
          <w:sz w:val="22"/>
          <w:szCs w:val="22"/>
        </w:rPr>
        <w:t>will</w:t>
      </w:r>
      <w:r w:rsidR="00487A5E" w:rsidRPr="00E21555">
        <w:rPr>
          <w:rStyle w:val="IntenseReference"/>
          <w:rFonts w:asciiTheme="minorHAnsi" w:hAnsiTheme="minorHAnsi" w:cs="Arial"/>
          <w:b w:val="0"/>
          <w:bCs w:val="0"/>
          <w:i w:val="0"/>
          <w:smallCaps w:val="0"/>
          <w:color w:val="auto"/>
          <w:spacing w:val="0"/>
          <w:sz w:val="22"/>
          <w:szCs w:val="22"/>
        </w:rPr>
        <w:t xml:space="preserve"> </w:t>
      </w:r>
      <w:r w:rsidR="007D4CD6" w:rsidRPr="00E21555">
        <w:rPr>
          <w:rStyle w:val="IntenseReference"/>
          <w:rFonts w:asciiTheme="minorHAnsi" w:hAnsiTheme="minorHAnsi" w:cs="Arial"/>
          <w:b w:val="0"/>
          <w:bCs w:val="0"/>
          <w:i w:val="0"/>
          <w:smallCaps w:val="0"/>
          <w:color w:val="auto"/>
          <w:spacing w:val="0"/>
          <w:sz w:val="22"/>
          <w:szCs w:val="22"/>
        </w:rPr>
        <w:t>be able to set access controls</w:t>
      </w:r>
      <w:r w:rsidR="000F4403" w:rsidRPr="00E21555">
        <w:rPr>
          <w:rStyle w:val="IntenseReference"/>
          <w:rFonts w:asciiTheme="minorHAnsi" w:hAnsiTheme="minorHAnsi" w:cs="Arial"/>
          <w:b w:val="0"/>
          <w:bCs w:val="0"/>
          <w:i w:val="0"/>
          <w:smallCaps w:val="0"/>
          <w:color w:val="auto"/>
          <w:spacing w:val="0"/>
          <w:sz w:val="22"/>
          <w:szCs w:val="22"/>
        </w:rPr>
        <w:t xml:space="preserve">.  This </w:t>
      </w:r>
      <w:r w:rsidR="00487A5E">
        <w:rPr>
          <w:rStyle w:val="IntenseReference"/>
          <w:rFonts w:asciiTheme="minorHAnsi" w:hAnsiTheme="minorHAnsi" w:cs="Arial"/>
          <w:b w:val="0"/>
          <w:bCs w:val="0"/>
          <w:i w:val="0"/>
          <w:smallCaps w:val="0"/>
          <w:color w:val="auto"/>
          <w:spacing w:val="0"/>
          <w:sz w:val="22"/>
          <w:szCs w:val="22"/>
        </w:rPr>
        <w:t>will</w:t>
      </w:r>
      <w:r w:rsidR="00487A5E" w:rsidRPr="00E21555">
        <w:rPr>
          <w:rStyle w:val="IntenseReference"/>
          <w:rFonts w:asciiTheme="minorHAnsi" w:hAnsiTheme="minorHAnsi" w:cs="Arial"/>
          <w:b w:val="0"/>
          <w:bCs w:val="0"/>
          <w:i w:val="0"/>
          <w:smallCaps w:val="0"/>
          <w:color w:val="auto"/>
          <w:spacing w:val="0"/>
          <w:sz w:val="22"/>
          <w:szCs w:val="22"/>
        </w:rPr>
        <w:t xml:space="preserve"> </w:t>
      </w:r>
      <w:r w:rsidR="000F4403" w:rsidRPr="00E21555">
        <w:rPr>
          <w:rStyle w:val="IntenseReference"/>
          <w:rFonts w:asciiTheme="minorHAnsi" w:hAnsiTheme="minorHAnsi" w:cs="Arial"/>
          <w:b w:val="0"/>
          <w:bCs w:val="0"/>
          <w:i w:val="0"/>
          <w:smallCaps w:val="0"/>
          <w:color w:val="auto"/>
          <w:spacing w:val="0"/>
          <w:sz w:val="22"/>
          <w:szCs w:val="22"/>
        </w:rPr>
        <w:t xml:space="preserve">ensure that </w:t>
      </w:r>
      <w:r w:rsidR="00F72ED5">
        <w:rPr>
          <w:rFonts w:asciiTheme="minorHAnsi" w:hAnsiTheme="minorHAnsi"/>
          <w:sz w:val="22"/>
          <w:szCs w:val="22"/>
        </w:rPr>
        <w:t xml:space="preserve">individuals </w:t>
      </w:r>
      <w:r w:rsidR="00043266">
        <w:rPr>
          <w:rStyle w:val="IntenseReference"/>
          <w:rFonts w:asciiTheme="minorHAnsi" w:hAnsiTheme="minorHAnsi" w:cs="Arial"/>
          <w:b w:val="0"/>
          <w:bCs w:val="0"/>
          <w:i w:val="0"/>
          <w:smallCaps w:val="0"/>
          <w:color w:val="auto"/>
          <w:spacing w:val="0"/>
          <w:sz w:val="22"/>
          <w:szCs w:val="22"/>
        </w:rPr>
        <w:t xml:space="preserve">and/or representatives </w:t>
      </w:r>
      <w:r w:rsidR="00E21555">
        <w:rPr>
          <w:rStyle w:val="IntenseReference"/>
          <w:rFonts w:asciiTheme="minorHAnsi" w:hAnsiTheme="minorHAnsi" w:cs="Arial"/>
          <w:b w:val="0"/>
          <w:bCs w:val="0"/>
          <w:i w:val="0"/>
          <w:smallCaps w:val="0"/>
          <w:color w:val="auto"/>
          <w:spacing w:val="0"/>
          <w:sz w:val="22"/>
          <w:szCs w:val="22"/>
        </w:rPr>
        <w:t>in trial regions</w:t>
      </w:r>
      <w:r w:rsidR="000F4403" w:rsidRPr="00E21555">
        <w:rPr>
          <w:rStyle w:val="IntenseReference"/>
          <w:rFonts w:asciiTheme="minorHAnsi" w:hAnsiTheme="minorHAnsi" w:cs="Arial"/>
          <w:b w:val="0"/>
          <w:bCs w:val="0"/>
          <w:i w:val="0"/>
          <w:smallCaps w:val="0"/>
          <w:color w:val="auto"/>
          <w:spacing w:val="0"/>
          <w:sz w:val="22"/>
          <w:szCs w:val="22"/>
        </w:rPr>
        <w:t xml:space="preserve"> are able to set access controls in relation to their PCEHR before documents start to be uploaded by the</w:t>
      </w:r>
      <w:r w:rsidR="00E21555">
        <w:rPr>
          <w:rStyle w:val="IntenseReference"/>
          <w:rFonts w:asciiTheme="minorHAnsi" w:hAnsiTheme="minorHAnsi" w:cs="Arial"/>
          <w:b w:val="0"/>
          <w:bCs w:val="0"/>
          <w:i w:val="0"/>
          <w:smallCaps w:val="0"/>
          <w:color w:val="auto"/>
          <w:spacing w:val="0"/>
          <w:sz w:val="22"/>
          <w:szCs w:val="22"/>
        </w:rPr>
        <w:t>ir</w:t>
      </w:r>
      <w:r w:rsidR="000F4403" w:rsidRPr="00E21555">
        <w:rPr>
          <w:rStyle w:val="IntenseReference"/>
          <w:rFonts w:asciiTheme="minorHAnsi" w:hAnsiTheme="minorHAnsi" w:cs="Arial"/>
          <w:b w:val="0"/>
          <w:bCs w:val="0"/>
          <w:i w:val="0"/>
          <w:smallCaps w:val="0"/>
          <w:color w:val="auto"/>
          <w:spacing w:val="0"/>
          <w:sz w:val="22"/>
          <w:szCs w:val="22"/>
        </w:rPr>
        <w:t xml:space="preserve"> healthcare providers</w:t>
      </w:r>
      <w:r w:rsidR="00043266">
        <w:rPr>
          <w:rStyle w:val="IntenseReference"/>
          <w:rFonts w:asciiTheme="minorHAnsi" w:hAnsiTheme="minorHAnsi" w:cs="Arial"/>
          <w:b w:val="0"/>
          <w:bCs w:val="0"/>
          <w:i w:val="0"/>
          <w:smallCaps w:val="0"/>
          <w:color w:val="auto"/>
          <w:spacing w:val="0"/>
          <w:sz w:val="22"/>
          <w:szCs w:val="22"/>
        </w:rPr>
        <w:t xml:space="preserve"> and before healthcare providers are able to access </w:t>
      </w:r>
      <w:proofErr w:type="spellStart"/>
      <w:r w:rsidR="00043266">
        <w:rPr>
          <w:rStyle w:val="IntenseReference"/>
          <w:rFonts w:asciiTheme="minorHAnsi" w:hAnsiTheme="minorHAnsi" w:cs="Arial"/>
          <w:b w:val="0"/>
          <w:bCs w:val="0"/>
          <w:i w:val="0"/>
          <w:smallCaps w:val="0"/>
          <w:color w:val="auto"/>
          <w:spacing w:val="0"/>
          <w:sz w:val="22"/>
          <w:szCs w:val="22"/>
        </w:rPr>
        <w:t>PCEHRs</w:t>
      </w:r>
      <w:proofErr w:type="spellEnd"/>
      <w:r w:rsidR="007D4CD6" w:rsidRPr="00E21555">
        <w:rPr>
          <w:rStyle w:val="IntenseReference"/>
          <w:rFonts w:asciiTheme="minorHAnsi" w:hAnsiTheme="minorHAnsi" w:cs="Arial"/>
          <w:b w:val="0"/>
          <w:bCs w:val="0"/>
          <w:i w:val="0"/>
          <w:smallCaps w:val="0"/>
          <w:color w:val="auto"/>
          <w:spacing w:val="0"/>
          <w:sz w:val="22"/>
          <w:szCs w:val="22"/>
        </w:rPr>
        <w:t xml:space="preserve">; </w:t>
      </w:r>
    </w:p>
    <w:p w:rsidR="008C4738" w:rsidRDefault="00F50750" w:rsidP="00A67B4E">
      <w:pPr>
        <w:pStyle w:val="ListParagraph"/>
        <w:numPr>
          <w:ilvl w:val="0"/>
          <w:numId w:val="13"/>
        </w:numPr>
        <w:spacing w:before="120" w:after="120"/>
        <w:contextualSpacing w:val="0"/>
        <w:rPr>
          <w:rStyle w:val="IntenseReference"/>
          <w:rFonts w:asciiTheme="minorHAnsi" w:hAnsiTheme="minorHAnsi" w:cs="Arial"/>
          <w:b w:val="0"/>
          <w:bCs w:val="0"/>
          <w:i w:val="0"/>
          <w:smallCaps w:val="0"/>
          <w:color w:val="auto"/>
          <w:spacing w:val="0"/>
          <w:sz w:val="22"/>
          <w:szCs w:val="22"/>
        </w:rPr>
      </w:pPr>
      <w:proofErr w:type="gramStart"/>
      <w:r>
        <w:rPr>
          <w:rStyle w:val="IntenseReference"/>
          <w:rFonts w:asciiTheme="minorHAnsi" w:hAnsiTheme="minorHAnsi" w:cs="Arial"/>
          <w:b w:val="0"/>
          <w:bCs w:val="0"/>
          <w:i w:val="0"/>
          <w:smallCaps w:val="0"/>
          <w:color w:val="auto"/>
          <w:spacing w:val="0"/>
          <w:sz w:val="22"/>
          <w:szCs w:val="22"/>
        </w:rPr>
        <w:t>provider</w:t>
      </w:r>
      <w:proofErr w:type="gramEnd"/>
      <w:r>
        <w:rPr>
          <w:rStyle w:val="IntenseReference"/>
          <w:rFonts w:asciiTheme="minorHAnsi" w:hAnsiTheme="minorHAnsi" w:cs="Arial"/>
          <w:b w:val="0"/>
          <w:bCs w:val="0"/>
          <w:i w:val="0"/>
          <w:smallCaps w:val="0"/>
          <w:color w:val="auto"/>
          <w:spacing w:val="0"/>
          <w:sz w:val="22"/>
          <w:szCs w:val="22"/>
        </w:rPr>
        <w:t xml:space="preserve"> access – around July 2016:</w:t>
      </w:r>
      <w:r w:rsidR="007D4CD6" w:rsidRPr="00E21555">
        <w:rPr>
          <w:rStyle w:val="IntenseReference"/>
          <w:rFonts w:asciiTheme="minorHAnsi" w:hAnsiTheme="minorHAnsi" w:cs="Arial"/>
          <w:b w:val="0"/>
          <w:bCs w:val="0"/>
          <w:i w:val="0"/>
          <w:smallCaps w:val="0"/>
          <w:color w:val="auto"/>
          <w:spacing w:val="0"/>
          <w:sz w:val="22"/>
          <w:szCs w:val="22"/>
        </w:rPr>
        <w:t xml:space="preserve"> healthcare providers can access </w:t>
      </w:r>
      <w:proofErr w:type="spellStart"/>
      <w:r w:rsidR="00E21555">
        <w:rPr>
          <w:rStyle w:val="IntenseReference"/>
          <w:rFonts w:asciiTheme="minorHAnsi" w:hAnsiTheme="minorHAnsi" w:cs="Arial"/>
          <w:b w:val="0"/>
          <w:bCs w:val="0"/>
          <w:i w:val="0"/>
          <w:smallCaps w:val="0"/>
          <w:color w:val="auto"/>
          <w:spacing w:val="0"/>
          <w:sz w:val="22"/>
          <w:szCs w:val="22"/>
        </w:rPr>
        <w:t>PCEHRs</w:t>
      </w:r>
      <w:proofErr w:type="spellEnd"/>
      <w:r w:rsidR="00E21555">
        <w:rPr>
          <w:rStyle w:val="IntenseReference"/>
          <w:rFonts w:asciiTheme="minorHAnsi" w:hAnsiTheme="minorHAnsi" w:cs="Arial"/>
          <w:b w:val="0"/>
          <w:bCs w:val="0"/>
          <w:i w:val="0"/>
          <w:smallCaps w:val="0"/>
          <w:color w:val="auto"/>
          <w:spacing w:val="0"/>
          <w:sz w:val="22"/>
          <w:szCs w:val="22"/>
        </w:rPr>
        <w:t xml:space="preserve"> created for </w:t>
      </w:r>
      <w:r w:rsidR="00F72ED5">
        <w:rPr>
          <w:rFonts w:asciiTheme="minorHAnsi" w:hAnsiTheme="minorHAnsi"/>
          <w:sz w:val="22"/>
          <w:szCs w:val="22"/>
        </w:rPr>
        <w:t xml:space="preserve">individuals </w:t>
      </w:r>
      <w:r w:rsidR="00E21555">
        <w:rPr>
          <w:rStyle w:val="IntenseReference"/>
          <w:rFonts w:asciiTheme="minorHAnsi" w:hAnsiTheme="minorHAnsi" w:cs="Arial"/>
          <w:b w:val="0"/>
          <w:bCs w:val="0"/>
          <w:i w:val="0"/>
          <w:smallCaps w:val="0"/>
          <w:color w:val="auto"/>
          <w:spacing w:val="0"/>
          <w:sz w:val="22"/>
          <w:szCs w:val="22"/>
        </w:rPr>
        <w:t>in the trial regions and</w:t>
      </w:r>
      <w:r w:rsidR="00043266">
        <w:rPr>
          <w:rStyle w:val="IntenseReference"/>
          <w:rFonts w:asciiTheme="minorHAnsi" w:hAnsiTheme="minorHAnsi" w:cs="Arial"/>
          <w:b w:val="0"/>
          <w:bCs w:val="0"/>
          <w:i w:val="0"/>
          <w:smallCaps w:val="0"/>
          <w:color w:val="auto"/>
          <w:spacing w:val="0"/>
          <w:sz w:val="22"/>
          <w:szCs w:val="22"/>
        </w:rPr>
        <w:t xml:space="preserve"> </w:t>
      </w:r>
      <w:r w:rsidR="00487A5E">
        <w:rPr>
          <w:rStyle w:val="IntenseReference"/>
          <w:rFonts w:asciiTheme="minorHAnsi" w:hAnsiTheme="minorHAnsi" w:cs="Arial"/>
          <w:b w:val="0"/>
          <w:bCs w:val="0"/>
          <w:i w:val="0"/>
          <w:smallCaps w:val="0"/>
          <w:color w:val="auto"/>
          <w:spacing w:val="0"/>
          <w:sz w:val="22"/>
          <w:szCs w:val="22"/>
        </w:rPr>
        <w:t xml:space="preserve">will </w:t>
      </w:r>
      <w:r w:rsidR="00E21555">
        <w:rPr>
          <w:rStyle w:val="IntenseReference"/>
          <w:rFonts w:asciiTheme="minorHAnsi" w:hAnsiTheme="minorHAnsi" w:cs="Arial"/>
          <w:b w:val="0"/>
          <w:bCs w:val="0"/>
          <w:i w:val="0"/>
          <w:smallCaps w:val="0"/>
          <w:color w:val="auto"/>
          <w:spacing w:val="0"/>
          <w:sz w:val="22"/>
          <w:szCs w:val="22"/>
        </w:rPr>
        <w:t>be able to upload records.</w:t>
      </w:r>
      <w:r w:rsidR="007D4CD6" w:rsidRPr="00E21555">
        <w:rPr>
          <w:rStyle w:val="IntenseReference"/>
          <w:rFonts w:asciiTheme="minorHAnsi" w:hAnsiTheme="minorHAnsi" w:cs="Arial"/>
          <w:b w:val="0"/>
          <w:bCs w:val="0"/>
          <w:i w:val="0"/>
          <w:smallCaps w:val="0"/>
          <w:color w:val="auto"/>
          <w:spacing w:val="0"/>
          <w:sz w:val="22"/>
          <w:szCs w:val="22"/>
        </w:rPr>
        <w:t xml:space="preserve">  </w:t>
      </w:r>
    </w:p>
    <w:p w:rsidR="007D4CD6" w:rsidRDefault="007D4CD6" w:rsidP="008C4738">
      <w:pPr>
        <w:spacing w:before="120" w:after="120"/>
        <w:ind w:left="737"/>
        <w:rPr>
          <w:rStyle w:val="IntenseReference"/>
          <w:rFonts w:asciiTheme="minorHAnsi" w:hAnsiTheme="minorHAnsi" w:cs="Arial"/>
          <w:b w:val="0"/>
          <w:bCs w:val="0"/>
          <w:i w:val="0"/>
          <w:smallCaps w:val="0"/>
          <w:color w:val="auto"/>
          <w:spacing w:val="0"/>
          <w:sz w:val="22"/>
          <w:szCs w:val="22"/>
        </w:rPr>
      </w:pPr>
      <w:r w:rsidRPr="008C4738">
        <w:rPr>
          <w:rStyle w:val="IntenseReference"/>
          <w:rFonts w:asciiTheme="minorHAnsi" w:hAnsiTheme="minorHAnsi" w:cs="Arial"/>
          <w:b w:val="0"/>
          <w:bCs w:val="0"/>
          <w:i w:val="0"/>
          <w:smallCaps w:val="0"/>
          <w:color w:val="auto"/>
          <w:spacing w:val="0"/>
          <w:sz w:val="22"/>
          <w:szCs w:val="22"/>
        </w:rPr>
        <w:t xml:space="preserve">It is envisaged that the legislation </w:t>
      </w:r>
      <w:r w:rsidR="00D85CC8">
        <w:rPr>
          <w:rStyle w:val="IntenseReference"/>
          <w:rFonts w:asciiTheme="minorHAnsi" w:hAnsiTheme="minorHAnsi" w:cs="Arial"/>
          <w:b w:val="0"/>
          <w:bCs w:val="0"/>
          <w:i w:val="0"/>
          <w:smallCaps w:val="0"/>
          <w:color w:val="auto"/>
          <w:spacing w:val="0"/>
          <w:sz w:val="22"/>
          <w:szCs w:val="22"/>
        </w:rPr>
        <w:t>would</w:t>
      </w:r>
      <w:r w:rsidRPr="008C4738">
        <w:rPr>
          <w:rStyle w:val="IntenseReference"/>
          <w:rFonts w:asciiTheme="minorHAnsi" w:hAnsiTheme="minorHAnsi" w:cs="Arial"/>
          <w:b w:val="0"/>
          <w:bCs w:val="0"/>
          <w:i w:val="0"/>
          <w:smallCaps w:val="0"/>
          <w:color w:val="auto"/>
          <w:spacing w:val="0"/>
          <w:sz w:val="22"/>
          <w:szCs w:val="22"/>
        </w:rPr>
        <w:t xml:space="preserve"> contain a mechanism allowing some changes to th</w:t>
      </w:r>
      <w:r w:rsidR="008C4738">
        <w:rPr>
          <w:rStyle w:val="IntenseReference"/>
          <w:rFonts w:asciiTheme="minorHAnsi" w:hAnsiTheme="minorHAnsi" w:cs="Arial"/>
          <w:b w:val="0"/>
          <w:bCs w:val="0"/>
          <w:i w:val="0"/>
          <w:smallCaps w:val="0"/>
          <w:color w:val="auto"/>
          <w:spacing w:val="0"/>
          <w:sz w:val="22"/>
          <w:szCs w:val="22"/>
        </w:rPr>
        <w:t>is</w:t>
      </w:r>
      <w:r w:rsidRPr="008C4738">
        <w:rPr>
          <w:rStyle w:val="IntenseReference"/>
          <w:rFonts w:asciiTheme="minorHAnsi" w:hAnsiTheme="minorHAnsi" w:cs="Arial"/>
          <w:b w:val="0"/>
          <w:bCs w:val="0"/>
          <w:i w:val="0"/>
          <w:smallCaps w:val="0"/>
          <w:color w:val="auto"/>
          <w:spacing w:val="0"/>
          <w:sz w:val="22"/>
          <w:szCs w:val="22"/>
        </w:rPr>
        <w:t xml:space="preserve"> timing if necessary</w:t>
      </w:r>
      <w:r w:rsidR="008C4738">
        <w:rPr>
          <w:rStyle w:val="IntenseReference"/>
          <w:rFonts w:asciiTheme="minorHAnsi" w:hAnsiTheme="minorHAnsi" w:cs="Arial"/>
          <w:b w:val="0"/>
          <w:bCs w:val="0"/>
          <w:i w:val="0"/>
          <w:smallCaps w:val="0"/>
          <w:color w:val="auto"/>
          <w:spacing w:val="0"/>
          <w:sz w:val="22"/>
          <w:szCs w:val="22"/>
        </w:rPr>
        <w:t xml:space="preserve">.  </w:t>
      </w:r>
      <w:r w:rsidR="00F72ED5">
        <w:rPr>
          <w:rFonts w:asciiTheme="minorHAnsi" w:hAnsiTheme="minorHAnsi"/>
          <w:sz w:val="22"/>
          <w:szCs w:val="22"/>
        </w:rPr>
        <w:t xml:space="preserve">Individuals </w:t>
      </w:r>
      <w:r w:rsidR="000F4403">
        <w:rPr>
          <w:rStyle w:val="IntenseReference"/>
          <w:rFonts w:asciiTheme="minorHAnsi" w:hAnsiTheme="minorHAnsi" w:cs="Arial"/>
          <w:b w:val="0"/>
          <w:bCs w:val="0"/>
          <w:i w:val="0"/>
          <w:smallCaps w:val="0"/>
          <w:color w:val="auto"/>
          <w:spacing w:val="0"/>
          <w:sz w:val="22"/>
          <w:szCs w:val="22"/>
        </w:rPr>
        <w:t>in trial regions</w:t>
      </w:r>
      <w:r>
        <w:rPr>
          <w:rStyle w:val="IntenseReference"/>
          <w:rFonts w:asciiTheme="minorHAnsi" w:hAnsiTheme="minorHAnsi" w:cs="Arial"/>
          <w:b w:val="0"/>
          <w:bCs w:val="0"/>
          <w:i w:val="0"/>
          <w:smallCaps w:val="0"/>
          <w:color w:val="auto"/>
          <w:spacing w:val="0"/>
          <w:sz w:val="22"/>
          <w:szCs w:val="22"/>
        </w:rPr>
        <w:t xml:space="preserve"> </w:t>
      </w:r>
      <w:r w:rsidR="00487A5E">
        <w:rPr>
          <w:rStyle w:val="IntenseReference"/>
          <w:rFonts w:asciiTheme="minorHAnsi" w:hAnsiTheme="minorHAnsi" w:cs="Arial"/>
          <w:b w:val="0"/>
          <w:bCs w:val="0"/>
          <w:i w:val="0"/>
          <w:smallCaps w:val="0"/>
          <w:color w:val="auto"/>
          <w:spacing w:val="0"/>
          <w:sz w:val="22"/>
          <w:szCs w:val="22"/>
        </w:rPr>
        <w:t xml:space="preserve">will </w:t>
      </w:r>
      <w:r>
        <w:rPr>
          <w:rStyle w:val="IntenseReference"/>
          <w:rFonts w:asciiTheme="minorHAnsi" w:hAnsiTheme="minorHAnsi" w:cs="Arial"/>
          <w:b w:val="0"/>
          <w:bCs w:val="0"/>
          <w:i w:val="0"/>
          <w:smallCaps w:val="0"/>
          <w:color w:val="auto"/>
          <w:spacing w:val="0"/>
          <w:sz w:val="22"/>
          <w:szCs w:val="22"/>
        </w:rPr>
        <w:t>be able to continue registering for a PCEHR</w:t>
      </w:r>
      <w:r w:rsidR="00F33525">
        <w:rPr>
          <w:rStyle w:val="IntenseReference"/>
          <w:rFonts w:asciiTheme="minorHAnsi" w:hAnsiTheme="minorHAnsi" w:cs="Arial"/>
          <w:b w:val="0"/>
          <w:bCs w:val="0"/>
          <w:i w:val="0"/>
          <w:smallCaps w:val="0"/>
          <w:color w:val="auto"/>
          <w:spacing w:val="0"/>
          <w:sz w:val="22"/>
          <w:szCs w:val="22"/>
        </w:rPr>
        <w:t xml:space="preserve"> </w:t>
      </w:r>
      <w:r w:rsidR="00043266">
        <w:rPr>
          <w:rStyle w:val="IntenseReference"/>
          <w:rFonts w:asciiTheme="minorHAnsi" w:hAnsiTheme="minorHAnsi" w:cs="Arial"/>
          <w:b w:val="0"/>
          <w:bCs w:val="0"/>
          <w:i w:val="0"/>
          <w:smallCaps w:val="0"/>
          <w:color w:val="auto"/>
          <w:spacing w:val="0"/>
          <w:sz w:val="22"/>
          <w:szCs w:val="22"/>
        </w:rPr>
        <w:t>leading up to the start of the trials</w:t>
      </w:r>
      <w:r>
        <w:rPr>
          <w:rStyle w:val="IntenseReference"/>
          <w:rFonts w:asciiTheme="minorHAnsi" w:hAnsiTheme="minorHAnsi" w:cs="Arial"/>
          <w:b w:val="0"/>
          <w:bCs w:val="0"/>
          <w:i w:val="0"/>
          <w:smallCaps w:val="0"/>
          <w:color w:val="auto"/>
          <w:spacing w:val="0"/>
          <w:sz w:val="22"/>
          <w:szCs w:val="22"/>
        </w:rPr>
        <w:t>.</w:t>
      </w:r>
      <w:r w:rsidR="00747454">
        <w:rPr>
          <w:rStyle w:val="IntenseReference"/>
          <w:rFonts w:asciiTheme="minorHAnsi" w:hAnsiTheme="minorHAnsi" w:cs="Arial"/>
          <w:b w:val="0"/>
          <w:bCs w:val="0"/>
          <w:i w:val="0"/>
          <w:smallCaps w:val="0"/>
          <w:color w:val="auto"/>
          <w:spacing w:val="0"/>
          <w:sz w:val="22"/>
          <w:szCs w:val="22"/>
        </w:rPr>
        <w:t xml:space="preserve">  </w:t>
      </w:r>
      <w:r w:rsidR="0031201B">
        <w:rPr>
          <w:rStyle w:val="IntenseReference"/>
          <w:rFonts w:asciiTheme="minorHAnsi" w:hAnsiTheme="minorHAnsi" w:cs="Arial"/>
          <w:b w:val="0"/>
          <w:bCs w:val="0"/>
          <w:i w:val="0"/>
          <w:smallCaps w:val="0"/>
          <w:color w:val="auto"/>
          <w:spacing w:val="0"/>
          <w:sz w:val="22"/>
          <w:szCs w:val="22"/>
        </w:rPr>
        <w:t xml:space="preserve">In areas outside of trial areas, opt-in registrations </w:t>
      </w:r>
      <w:r w:rsidR="00487A5E">
        <w:rPr>
          <w:rStyle w:val="IntenseReference"/>
          <w:rFonts w:asciiTheme="minorHAnsi" w:hAnsiTheme="minorHAnsi" w:cs="Arial"/>
          <w:b w:val="0"/>
          <w:bCs w:val="0"/>
          <w:i w:val="0"/>
          <w:smallCaps w:val="0"/>
          <w:color w:val="auto"/>
          <w:spacing w:val="0"/>
          <w:sz w:val="22"/>
          <w:szCs w:val="22"/>
        </w:rPr>
        <w:t xml:space="preserve">will </w:t>
      </w:r>
      <w:r w:rsidR="0031201B">
        <w:rPr>
          <w:rStyle w:val="IntenseReference"/>
          <w:rFonts w:asciiTheme="minorHAnsi" w:hAnsiTheme="minorHAnsi" w:cs="Arial"/>
          <w:b w:val="0"/>
          <w:bCs w:val="0"/>
          <w:i w:val="0"/>
          <w:smallCaps w:val="0"/>
          <w:color w:val="auto"/>
          <w:spacing w:val="0"/>
          <w:sz w:val="22"/>
          <w:szCs w:val="22"/>
        </w:rPr>
        <w:t>continue to be accepted by the System Operator.</w:t>
      </w:r>
    </w:p>
    <w:p w:rsidR="007D4CD6" w:rsidRPr="007D4CD6" w:rsidRDefault="00F72ED5" w:rsidP="003C72D7">
      <w:pPr>
        <w:pStyle w:val="Heading4"/>
      </w:pPr>
      <w:bookmarkStart w:id="72" w:name="_Toc418763104"/>
      <w:bookmarkStart w:id="73" w:name="_Toc420394257"/>
      <w:r>
        <w:t>Individual</w:t>
      </w:r>
      <w:r w:rsidR="007D4CD6">
        <w:t xml:space="preserve"> consent</w:t>
      </w:r>
      <w:bookmarkEnd w:id="72"/>
      <w:bookmarkEnd w:id="73"/>
    </w:p>
    <w:p w:rsidR="000F4403" w:rsidRDefault="000B3D72" w:rsidP="006F129E">
      <w:pPr>
        <w:pStyle w:val="ListParagraph"/>
        <w:spacing w:after="120"/>
        <w:ind w:left="737"/>
        <w:contextualSpacing w:val="0"/>
        <w:rPr>
          <w:rFonts w:asciiTheme="minorHAnsi" w:hAnsiTheme="minorHAnsi"/>
          <w:sz w:val="22"/>
          <w:szCs w:val="22"/>
        </w:rPr>
      </w:pPr>
      <w:r>
        <w:rPr>
          <w:rFonts w:asciiTheme="minorHAnsi" w:hAnsiTheme="minorHAnsi"/>
          <w:sz w:val="22"/>
          <w:szCs w:val="22"/>
        </w:rPr>
        <w:t xml:space="preserve">Under the current opt-in regime, </w:t>
      </w:r>
      <w:r w:rsidR="000F4403">
        <w:rPr>
          <w:rFonts w:asciiTheme="minorHAnsi" w:hAnsiTheme="minorHAnsi"/>
          <w:sz w:val="22"/>
          <w:szCs w:val="22"/>
        </w:rPr>
        <w:t>a</w:t>
      </w:r>
      <w:r w:rsidR="00F72ED5">
        <w:rPr>
          <w:rFonts w:asciiTheme="minorHAnsi" w:hAnsiTheme="minorHAnsi"/>
          <w:sz w:val="22"/>
          <w:szCs w:val="22"/>
        </w:rPr>
        <w:t>n</w:t>
      </w:r>
      <w:r w:rsidR="000F4403">
        <w:rPr>
          <w:rFonts w:asciiTheme="minorHAnsi" w:hAnsiTheme="minorHAnsi"/>
          <w:sz w:val="22"/>
          <w:szCs w:val="22"/>
        </w:rPr>
        <w:t xml:space="preserve"> </w:t>
      </w:r>
      <w:r w:rsidR="00F72ED5">
        <w:rPr>
          <w:rFonts w:asciiTheme="minorHAnsi" w:hAnsiTheme="minorHAnsi"/>
          <w:sz w:val="22"/>
          <w:szCs w:val="22"/>
        </w:rPr>
        <w:t xml:space="preserve">individual </w:t>
      </w:r>
      <w:r>
        <w:rPr>
          <w:rFonts w:asciiTheme="minorHAnsi" w:hAnsiTheme="minorHAnsi"/>
          <w:sz w:val="22"/>
          <w:szCs w:val="22"/>
        </w:rPr>
        <w:t xml:space="preserve">must give standing consent </w:t>
      </w:r>
      <w:r w:rsidR="00D10D84">
        <w:rPr>
          <w:rFonts w:asciiTheme="minorHAnsi" w:hAnsiTheme="minorHAnsi"/>
          <w:sz w:val="22"/>
          <w:szCs w:val="22"/>
        </w:rPr>
        <w:t xml:space="preserve">at the time of registering for a PCEHR </w:t>
      </w:r>
      <w:r>
        <w:rPr>
          <w:rFonts w:asciiTheme="minorHAnsi" w:hAnsiTheme="minorHAnsi"/>
          <w:sz w:val="22"/>
          <w:szCs w:val="22"/>
        </w:rPr>
        <w:t xml:space="preserve">for healthcare provider organisations to upload documents to their PCEHR, subject to </w:t>
      </w:r>
      <w:r w:rsidR="003A4C8A">
        <w:rPr>
          <w:rFonts w:asciiTheme="minorHAnsi" w:hAnsiTheme="minorHAnsi"/>
          <w:sz w:val="22"/>
          <w:szCs w:val="22"/>
        </w:rPr>
        <w:t>some</w:t>
      </w:r>
      <w:r>
        <w:rPr>
          <w:rFonts w:asciiTheme="minorHAnsi" w:hAnsiTheme="minorHAnsi"/>
          <w:sz w:val="22"/>
          <w:szCs w:val="22"/>
        </w:rPr>
        <w:t xml:space="preserve"> exceptions</w:t>
      </w:r>
      <w:r w:rsidR="006F129E">
        <w:rPr>
          <w:rStyle w:val="FootnoteReference"/>
          <w:rFonts w:asciiTheme="minorHAnsi" w:hAnsiTheme="minorHAnsi"/>
          <w:sz w:val="22"/>
          <w:szCs w:val="22"/>
        </w:rPr>
        <w:footnoteReference w:id="12"/>
      </w:r>
      <w:r w:rsidR="00A5116A">
        <w:rPr>
          <w:rFonts w:asciiTheme="minorHAnsi" w:hAnsiTheme="minorHAnsi"/>
          <w:sz w:val="22"/>
          <w:szCs w:val="22"/>
        </w:rPr>
        <w:t xml:space="preserve">, and can choose whether or not to consent to their Medicare </w:t>
      </w:r>
      <w:r w:rsidR="00E60250">
        <w:rPr>
          <w:rFonts w:asciiTheme="minorHAnsi" w:hAnsiTheme="minorHAnsi"/>
          <w:sz w:val="22"/>
          <w:szCs w:val="22"/>
        </w:rPr>
        <w:t>data</w:t>
      </w:r>
      <w:r w:rsidR="00A5116A">
        <w:rPr>
          <w:rFonts w:asciiTheme="minorHAnsi" w:hAnsiTheme="minorHAnsi"/>
          <w:sz w:val="22"/>
          <w:szCs w:val="22"/>
        </w:rPr>
        <w:t xml:space="preserve"> (</w:t>
      </w:r>
      <w:r w:rsidR="00A5116A">
        <w:rPr>
          <w:rStyle w:val="IntenseReference"/>
          <w:rFonts w:asciiTheme="minorHAnsi" w:hAnsiTheme="minorHAnsi" w:cs="Arial"/>
          <w:b w:val="0"/>
          <w:bCs w:val="0"/>
          <w:i w:val="0"/>
          <w:smallCaps w:val="0"/>
          <w:color w:val="auto"/>
          <w:spacing w:val="0"/>
          <w:sz w:val="22"/>
          <w:szCs w:val="22"/>
        </w:rPr>
        <w:t>Medicare Benefits Schedule (</w:t>
      </w:r>
      <w:proofErr w:type="spellStart"/>
      <w:r w:rsidR="00A5116A">
        <w:rPr>
          <w:rStyle w:val="IntenseReference"/>
          <w:rFonts w:asciiTheme="minorHAnsi" w:hAnsiTheme="minorHAnsi" w:cs="Arial"/>
          <w:b w:val="0"/>
          <w:bCs w:val="0"/>
          <w:i w:val="0"/>
          <w:smallCaps w:val="0"/>
          <w:color w:val="auto"/>
          <w:spacing w:val="0"/>
          <w:sz w:val="22"/>
          <w:szCs w:val="22"/>
        </w:rPr>
        <w:t>MBS</w:t>
      </w:r>
      <w:proofErr w:type="spellEnd"/>
      <w:r w:rsidR="00A5116A">
        <w:rPr>
          <w:rStyle w:val="IntenseReference"/>
          <w:rFonts w:asciiTheme="minorHAnsi" w:hAnsiTheme="minorHAnsi" w:cs="Arial"/>
          <w:b w:val="0"/>
          <w:bCs w:val="0"/>
          <w:i w:val="0"/>
          <w:smallCaps w:val="0"/>
          <w:color w:val="auto"/>
          <w:spacing w:val="0"/>
          <w:sz w:val="22"/>
          <w:szCs w:val="22"/>
        </w:rPr>
        <w:t>) claims information, Pharmaceutical Benefits Scheme (</w:t>
      </w:r>
      <w:proofErr w:type="spellStart"/>
      <w:r w:rsidR="00A5116A">
        <w:rPr>
          <w:rStyle w:val="IntenseReference"/>
          <w:rFonts w:asciiTheme="minorHAnsi" w:hAnsiTheme="minorHAnsi" w:cs="Arial"/>
          <w:b w:val="0"/>
          <w:bCs w:val="0"/>
          <w:i w:val="0"/>
          <w:smallCaps w:val="0"/>
          <w:color w:val="auto"/>
          <w:spacing w:val="0"/>
          <w:sz w:val="22"/>
          <w:szCs w:val="22"/>
        </w:rPr>
        <w:t>PBS</w:t>
      </w:r>
      <w:proofErr w:type="spellEnd"/>
      <w:r w:rsidR="00A5116A">
        <w:rPr>
          <w:rStyle w:val="IntenseReference"/>
          <w:rFonts w:asciiTheme="minorHAnsi" w:hAnsiTheme="minorHAnsi" w:cs="Arial"/>
          <w:b w:val="0"/>
          <w:bCs w:val="0"/>
          <w:i w:val="0"/>
          <w:smallCaps w:val="0"/>
          <w:color w:val="auto"/>
          <w:spacing w:val="0"/>
          <w:sz w:val="22"/>
          <w:szCs w:val="22"/>
        </w:rPr>
        <w:t>) claims information, Australian Childhood Immunisation Register (</w:t>
      </w:r>
      <w:proofErr w:type="spellStart"/>
      <w:r w:rsidR="00A5116A">
        <w:rPr>
          <w:rStyle w:val="IntenseReference"/>
          <w:rFonts w:asciiTheme="minorHAnsi" w:hAnsiTheme="minorHAnsi" w:cs="Arial"/>
          <w:b w:val="0"/>
          <w:bCs w:val="0"/>
          <w:i w:val="0"/>
          <w:smallCaps w:val="0"/>
          <w:color w:val="auto"/>
          <w:spacing w:val="0"/>
          <w:sz w:val="22"/>
          <w:szCs w:val="22"/>
        </w:rPr>
        <w:t>ACIR</w:t>
      </w:r>
      <w:proofErr w:type="spellEnd"/>
      <w:r w:rsidR="00A5116A">
        <w:rPr>
          <w:rStyle w:val="IntenseReference"/>
          <w:rFonts w:asciiTheme="minorHAnsi" w:hAnsiTheme="minorHAnsi" w:cs="Arial"/>
          <w:b w:val="0"/>
          <w:bCs w:val="0"/>
          <w:i w:val="0"/>
          <w:smallCaps w:val="0"/>
          <w:color w:val="auto"/>
          <w:spacing w:val="0"/>
          <w:sz w:val="22"/>
          <w:szCs w:val="22"/>
        </w:rPr>
        <w:t>) information and Australian Organ Donation Register (</w:t>
      </w:r>
      <w:proofErr w:type="spellStart"/>
      <w:r w:rsidR="00A5116A">
        <w:rPr>
          <w:rStyle w:val="IntenseReference"/>
          <w:rFonts w:asciiTheme="minorHAnsi" w:hAnsiTheme="minorHAnsi" w:cs="Arial"/>
          <w:b w:val="0"/>
          <w:bCs w:val="0"/>
          <w:i w:val="0"/>
          <w:smallCaps w:val="0"/>
          <w:color w:val="auto"/>
          <w:spacing w:val="0"/>
          <w:sz w:val="22"/>
          <w:szCs w:val="22"/>
        </w:rPr>
        <w:t>AODR</w:t>
      </w:r>
      <w:proofErr w:type="spellEnd"/>
      <w:r w:rsidR="00A5116A">
        <w:rPr>
          <w:rStyle w:val="IntenseReference"/>
          <w:rFonts w:asciiTheme="minorHAnsi" w:hAnsiTheme="minorHAnsi" w:cs="Arial"/>
          <w:b w:val="0"/>
          <w:bCs w:val="0"/>
          <w:i w:val="0"/>
          <w:smallCaps w:val="0"/>
          <w:color w:val="auto"/>
          <w:spacing w:val="0"/>
          <w:sz w:val="22"/>
          <w:szCs w:val="22"/>
        </w:rPr>
        <w:t>) details) being uploaded.</w:t>
      </w:r>
      <w:r w:rsidR="00A5116A">
        <w:rPr>
          <w:rFonts w:asciiTheme="minorHAnsi" w:hAnsiTheme="minorHAnsi"/>
          <w:sz w:val="22"/>
          <w:szCs w:val="22"/>
        </w:rPr>
        <w:t xml:space="preserve"> </w:t>
      </w:r>
      <w:r w:rsidR="000F4403">
        <w:rPr>
          <w:rFonts w:asciiTheme="minorHAnsi" w:hAnsiTheme="minorHAnsi"/>
          <w:sz w:val="22"/>
          <w:szCs w:val="22"/>
        </w:rPr>
        <w:t xml:space="preserve"> Outside the</w:t>
      </w:r>
      <w:r w:rsidR="00B15153">
        <w:rPr>
          <w:rFonts w:asciiTheme="minorHAnsi" w:hAnsiTheme="minorHAnsi"/>
          <w:sz w:val="22"/>
          <w:szCs w:val="22"/>
        </w:rPr>
        <w:t xml:space="preserve"> opt-out</w:t>
      </w:r>
      <w:r w:rsidR="000F4403">
        <w:rPr>
          <w:rFonts w:asciiTheme="minorHAnsi" w:hAnsiTheme="minorHAnsi"/>
          <w:sz w:val="22"/>
          <w:szCs w:val="22"/>
        </w:rPr>
        <w:t xml:space="preserve"> trial </w:t>
      </w:r>
      <w:r w:rsidR="00D10D84">
        <w:rPr>
          <w:rFonts w:asciiTheme="minorHAnsi" w:hAnsiTheme="minorHAnsi"/>
          <w:sz w:val="22"/>
          <w:szCs w:val="22"/>
        </w:rPr>
        <w:t xml:space="preserve">areas, </w:t>
      </w:r>
      <w:r w:rsidR="000F4403">
        <w:rPr>
          <w:rFonts w:asciiTheme="minorHAnsi" w:hAnsiTheme="minorHAnsi"/>
          <w:sz w:val="22"/>
          <w:szCs w:val="22"/>
        </w:rPr>
        <w:t>th</w:t>
      </w:r>
      <w:r w:rsidR="00D10D84">
        <w:rPr>
          <w:rFonts w:asciiTheme="minorHAnsi" w:hAnsiTheme="minorHAnsi"/>
          <w:sz w:val="22"/>
          <w:szCs w:val="22"/>
        </w:rPr>
        <w:t>e</w:t>
      </w:r>
      <w:r w:rsidR="000F4403">
        <w:rPr>
          <w:rFonts w:asciiTheme="minorHAnsi" w:hAnsiTheme="minorHAnsi"/>
          <w:sz w:val="22"/>
          <w:szCs w:val="22"/>
        </w:rPr>
        <w:t xml:space="preserve"> </w:t>
      </w:r>
      <w:r w:rsidR="001D7CEA">
        <w:rPr>
          <w:rFonts w:asciiTheme="minorHAnsi" w:hAnsiTheme="minorHAnsi"/>
          <w:sz w:val="22"/>
          <w:szCs w:val="22"/>
        </w:rPr>
        <w:t xml:space="preserve">need for </w:t>
      </w:r>
      <w:r w:rsidR="00F72ED5">
        <w:rPr>
          <w:rFonts w:asciiTheme="minorHAnsi" w:hAnsiTheme="minorHAnsi"/>
          <w:sz w:val="22"/>
          <w:szCs w:val="22"/>
        </w:rPr>
        <w:t xml:space="preserve">individual </w:t>
      </w:r>
      <w:r w:rsidR="001D7CEA">
        <w:rPr>
          <w:rFonts w:asciiTheme="minorHAnsi" w:hAnsiTheme="minorHAnsi"/>
          <w:sz w:val="22"/>
          <w:szCs w:val="22"/>
        </w:rPr>
        <w:t xml:space="preserve">consent </w:t>
      </w:r>
      <w:r w:rsidR="00D10D84">
        <w:rPr>
          <w:rFonts w:asciiTheme="minorHAnsi" w:hAnsiTheme="minorHAnsi"/>
          <w:sz w:val="22"/>
          <w:szCs w:val="22"/>
        </w:rPr>
        <w:t xml:space="preserve">at the time of registering </w:t>
      </w:r>
      <w:r w:rsidR="00487A5E">
        <w:rPr>
          <w:rFonts w:asciiTheme="minorHAnsi" w:hAnsiTheme="minorHAnsi"/>
          <w:sz w:val="22"/>
          <w:szCs w:val="22"/>
        </w:rPr>
        <w:t xml:space="preserve">will </w:t>
      </w:r>
      <w:r w:rsidR="000F4403">
        <w:rPr>
          <w:rFonts w:asciiTheme="minorHAnsi" w:hAnsiTheme="minorHAnsi"/>
          <w:sz w:val="22"/>
          <w:szCs w:val="22"/>
        </w:rPr>
        <w:t>continue.</w:t>
      </w:r>
    </w:p>
    <w:p w:rsidR="00E60250" w:rsidRDefault="000216A1" w:rsidP="006F129E">
      <w:pPr>
        <w:pStyle w:val="ListParagraph"/>
        <w:spacing w:after="120"/>
        <w:ind w:left="737"/>
        <w:contextualSpacing w:val="0"/>
        <w:rPr>
          <w:rStyle w:val="IntenseReference"/>
          <w:rFonts w:asciiTheme="minorHAnsi" w:hAnsiTheme="minorHAnsi" w:cs="Arial"/>
          <w:b w:val="0"/>
          <w:bCs w:val="0"/>
          <w:i w:val="0"/>
          <w:smallCaps w:val="0"/>
          <w:color w:val="auto"/>
          <w:spacing w:val="0"/>
          <w:sz w:val="22"/>
          <w:szCs w:val="22"/>
        </w:rPr>
      </w:pPr>
      <w:r>
        <w:rPr>
          <w:rFonts w:asciiTheme="minorHAnsi" w:hAnsiTheme="minorHAnsi"/>
          <w:sz w:val="22"/>
          <w:szCs w:val="22"/>
        </w:rPr>
        <w:t xml:space="preserve">It </w:t>
      </w:r>
      <w:r w:rsidR="00487A5E">
        <w:rPr>
          <w:rFonts w:asciiTheme="minorHAnsi" w:hAnsiTheme="minorHAnsi"/>
          <w:sz w:val="22"/>
          <w:szCs w:val="22"/>
        </w:rPr>
        <w:t xml:space="preserve">will </w:t>
      </w:r>
      <w:r>
        <w:rPr>
          <w:rFonts w:asciiTheme="minorHAnsi" w:hAnsiTheme="minorHAnsi"/>
          <w:sz w:val="22"/>
          <w:szCs w:val="22"/>
        </w:rPr>
        <w:t xml:space="preserve">not be practical for the System Operator to obtain the consent of all </w:t>
      </w:r>
      <w:r w:rsidR="00F72ED5">
        <w:rPr>
          <w:rFonts w:asciiTheme="minorHAnsi" w:hAnsiTheme="minorHAnsi"/>
          <w:sz w:val="22"/>
          <w:szCs w:val="22"/>
        </w:rPr>
        <w:t xml:space="preserve">individuals </w:t>
      </w:r>
      <w:r>
        <w:rPr>
          <w:rFonts w:asciiTheme="minorHAnsi" w:hAnsiTheme="minorHAnsi"/>
          <w:sz w:val="22"/>
          <w:szCs w:val="22"/>
        </w:rPr>
        <w:t>in trial areas who do not opt out.  Therefore, i</w:t>
      </w:r>
      <w:r w:rsidR="001D7CEA">
        <w:rPr>
          <w:rFonts w:asciiTheme="minorHAnsi" w:hAnsiTheme="minorHAnsi"/>
          <w:sz w:val="22"/>
          <w:szCs w:val="22"/>
        </w:rPr>
        <w:t xml:space="preserve">n </w:t>
      </w:r>
      <w:r w:rsidR="00B15153">
        <w:rPr>
          <w:rFonts w:asciiTheme="minorHAnsi" w:hAnsiTheme="minorHAnsi"/>
          <w:sz w:val="22"/>
          <w:szCs w:val="22"/>
        </w:rPr>
        <w:t>opt-out trial</w:t>
      </w:r>
      <w:r>
        <w:rPr>
          <w:rFonts w:asciiTheme="minorHAnsi" w:hAnsiTheme="minorHAnsi"/>
          <w:sz w:val="22"/>
          <w:szCs w:val="22"/>
        </w:rPr>
        <w:t xml:space="preserve"> area</w:t>
      </w:r>
      <w:r w:rsidR="001D7CEA">
        <w:rPr>
          <w:rFonts w:asciiTheme="minorHAnsi" w:hAnsiTheme="minorHAnsi"/>
          <w:sz w:val="22"/>
          <w:szCs w:val="22"/>
        </w:rPr>
        <w:t>s</w:t>
      </w:r>
      <w:r w:rsidR="00B15153">
        <w:rPr>
          <w:rFonts w:asciiTheme="minorHAnsi" w:hAnsiTheme="minorHAnsi"/>
          <w:sz w:val="22"/>
          <w:szCs w:val="22"/>
        </w:rPr>
        <w:t xml:space="preserve"> it is proposed that</w:t>
      </w:r>
      <w:r w:rsidR="004D3C03">
        <w:rPr>
          <w:rFonts w:asciiTheme="minorHAnsi" w:hAnsiTheme="minorHAnsi"/>
          <w:sz w:val="22"/>
          <w:szCs w:val="22"/>
        </w:rPr>
        <w:t>, in place of consent,</w:t>
      </w:r>
      <w:r w:rsidR="00B15153">
        <w:rPr>
          <w:rFonts w:asciiTheme="minorHAnsi" w:hAnsiTheme="minorHAnsi"/>
          <w:sz w:val="22"/>
          <w:szCs w:val="22"/>
        </w:rPr>
        <w:t xml:space="preserve"> </w:t>
      </w:r>
      <w:r w:rsidR="006E5B55">
        <w:rPr>
          <w:rFonts w:asciiTheme="minorHAnsi" w:hAnsiTheme="minorHAnsi"/>
          <w:sz w:val="22"/>
          <w:szCs w:val="22"/>
        </w:rPr>
        <w:t xml:space="preserve">for those who do not choose to opt-out, </w:t>
      </w:r>
      <w:r w:rsidR="00B15153">
        <w:rPr>
          <w:rFonts w:asciiTheme="minorHAnsi" w:hAnsiTheme="minorHAnsi"/>
          <w:sz w:val="22"/>
          <w:szCs w:val="22"/>
        </w:rPr>
        <w:t xml:space="preserve">the legislation </w:t>
      </w:r>
      <w:r w:rsidR="00D85CC8">
        <w:rPr>
          <w:rFonts w:asciiTheme="minorHAnsi" w:hAnsiTheme="minorHAnsi"/>
          <w:sz w:val="22"/>
          <w:szCs w:val="22"/>
        </w:rPr>
        <w:t>would</w:t>
      </w:r>
      <w:r w:rsidR="00B15153">
        <w:rPr>
          <w:rFonts w:asciiTheme="minorHAnsi" w:hAnsiTheme="minorHAnsi"/>
          <w:sz w:val="22"/>
          <w:szCs w:val="22"/>
        </w:rPr>
        <w:t xml:space="preserve"> </w:t>
      </w:r>
      <w:r w:rsidR="00DA0E58">
        <w:rPr>
          <w:rFonts w:asciiTheme="minorHAnsi" w:hAnsiTheme="minorHAnsi"/>
          <w:sz w:val="22"/>
          <w:szCs w:val="22"/>
        </w:rPr>
        <w:t>authoris</w:t>
      </w:r>
      <w:r w:rsidR="00B15153">
        <w:rPr>
          <w:rFonts w:asciiTheme="minorHAnsi" w:hAnsiTheme="minorHAnsi"/>
          <w:sz w:val="22"/>
          <w:szCs w:val="22"/>
        </w:rPr>
        <w:t>e</w:t>
      </w:r>
      <w:r w:rsidR="00DA0E58">
        <w:rPr>
          <w:rFonts w:asciiTheme="minorHAnsi" w:hAnsiTheme="minorHAnsi"/>
          <w:sz w:val="22"/>
          <w:szCs w:val="22"/>
        </w:rPr>
        <w:t xml:space="preserve"> t</w:t>
      </w:r>
      <w:r w:rsidR="006F129E">
        <w:rPr>
          <w:rFonts w:asciiTheme="minorHAnsi" w:hAnsiTheme="minorHAnsi"/>
          <w:sz w:val="22"/>
          <w:szCs w:val="22"/>
        </w:rPr>
        <w:t xml:space="preserve">he </w:t>
      </w:r>
      <w:r w:rsidR="00574755">
        <w:rPr>
          <w:rFonts w:asciiTheme="minorHAnsi" w:hAnsiTheme="minorHAnsi"/>
          <w:sz w:val="22"/>
          <w:szCs w:val="22"/>
        </w:rPr>
        <w:t xml:space="preserve">registration of </w:t>
      </w:r>
      <w:r w:rsidR="00F72ED5">
        <w:rPr>
          <w:rFonts w:asciiTheme="minorHAnsi" w:hAnsiTheme="minorHAnsi"/>
          <w:sz w:val="22"/>
          <w:szCs w:val="22"/>
        </w:rPr>
        <w:t xml:space="preserve">individuals </w:t>
      </w:r>
      <w:r w:rsidR="00574755">
        <w:rPr>
          <w:rFonts w:asciiTheme="minorHAnsi" w:hAnsiTheme="minorHAnsi"/>
          <w:sz w:val="22"/>
          <w:szCs w:val="22"/>
        </w:rPr>
        <w:t xml:space="preserve">and </w:t>
      </w:r>
      <w:r w:rsidR="000B3D72">
        <w:rPr>
          <w:rStyle w:val="IntenseReference"/>
          <w:rFonts w:asciiTheme="minorHAnsi" w:hAnsiTheme="minorHAnsi" w:cs="Arial"/>
          <w:b w:val="0"/>
          <w:bCs w:val="0"/>
          <w:i w:val="0"/>
          <w:smallCaps w:val="0"/>
          <w:color w:val="auto"/>
          <w:spacing w:val="0"/>
          <w:sz w:val="22"/>
          <w:szCs w:val="22"/>
        </w:rPr>
        <w:t>uploading of records by healthcare provider</w:t>
      </w:r>
      <w:r w:rsidR="006F129E">
        <w:rPr>
          <w:rStyle w:val="IntenseReference"/>
          <w:rFonts w:asciiTheme="minorHAnsi" w:hAnsiTheme="minorHAnsi" w:cs="Arial"/>
          <w:b w:val="0"/>
          <w:bCs w:val="0"/>
          <w:i w:val="0"/>
          <w:smallCaps w:val="0"/>
          <w:color w:val="auto"/>
          <w:spacing w:val="0"/>
          <w:sz w:val="22"/>
          <w:szCs w:val="22"/>
        </w:rPr>
        <w:t xml:space="preserve"> organisation</w:t>
      </w:r>
      <w:r w:rsidR="000B3D72">
        <w:rPr>
          <w:rStyle w:val="IntenseReference"/>
          <w:rFonts w:asciiTheme="minorHAnsi" w:hAnsiTheme="minorHAnsi" w:cs="Arial"/>
          <w:b w:val="0"/>
          <w:bCs w:val="0"/>
          <w:i w:val="0"/>
          <w:smallCaps w:val="0"/>
          <w:color w:val="auto"/>
          <w:spacing w:val="0"/>
          <w:sz w:val="22"/>
          <w:szCs w:val="22"/>
        </w:rPr>
        <w:t>s</w:t>
      </w:r>
      <w:r w:rsidR="00A5116A">
        <w:rPr>
          <w:rStyle w:val="IntenseReference"/>
          <w:rFonts w:asciiTheme="minorHAnsi" w:hAnsiTheme="minorHAnsi" w:cs="Arial"/>
          <w:b w:val="0"/>
          <w:bCs w:val="0"/>
          <w:i w:val="0"/>
          <w:smallCaps w:val="0"/>
          <w:color w:val="auto"/>
          <w:spacing w:val="0"/>
          <w:sz w:val="22"/>
          <w:szCs w:val="22"/>
        </w:rPr>
        <w:t xml:space="preserve"> and Medicare</w:t>
      </w:r>
      <w:r w:rsidR="00E60250">
        <w:rPr>
          <w:rStyle w:val="IntenseReference"/>
          <w:rFonts w:asciiTheme="minorHAnsi" w:hAnsiTheme="minorHAnsi" w:cs="Arial"/>
          <w:b w:val="0"/>
          <w:bCs w:val="0"/>
          <w:i w:val="0"/>
          <w:smallCaps w:val="0"/>
          <w:color w:val="auto"/>
          <w:spacing w:val="0"/>
          <w:sz w:val="22"/>
          <w:szCs w:val="22"/>
        </w:rPr>
        <w:t xml:space="preserve"> (including up to two years of historical Medicare data)</w:t>
      </w:r>
      <w:r w:rsidR="00574755">
        <w:rPr>
          <w:rStyle w:val="IntenseReference"/>
          <w:rFonts w:asciiTheme="minorHAnsi" w:hAnsiTheme="minorHAnsi" w:cs="Arial"/>
          <w:b w:val="0"/>
          <w:bCs w:val="0"/>
          <w:i w:val="0"/>
          <w:smallCaps w:val="0"/>
          <w:color w:val="auto"/>
          <w:spacing w:val="0"/>
          <w:sz w:val="22"/>
          <w:szCs w:val="22"/>
        </w:rPr>
        <w:t xml:space="preserve">.  The </w:t>
      </w:r>
      <w:r w:rsidR="006F129E">
        <w:rPr>
          <w:rStyle w:val="IntenseReference"/>
          <w:rFonts w:asciiTheme="minorHAnsi" w:hAnsiTheme="minorHAnsi" w:cs="Arial"/>
          <w:b w:val="0"/>
          <w:bCs w:val="0"/>
          <w:i w:val="0"/>
          <w:smallCaps w:val="0"/>
          <w:color w:val="auto"/>
          <w:spacing w:val="0"/>
          <w:sz w:val="22"/>
          <w:szCs w:val="22"/>
        </w:rPr>
        <w:t xml:space="preserve">authorisation </w:t>
      </w:r>
      <w:r w:rsidR="00574755">
        <w:rPr>
          <w:rStyle w:val="IntenseReference"/>
          <w:rFonts w:asciiTheme="minorHAnsi" w:hAnsiTheme="minorHAnsi" w:cs="Arial"/>
          <w:b w:val="0"/>
          <w:bCs w:val="0"/>
          <w:i w:val="0"/>
          <w:smallCaps w:val="0"/>
          <w:color w:val="auto"/>
          <w:spacing w:val="0"/>
          <w:sz w:val="22"/>
          <w:szCs w:val="22"/>
        </w:rPr>
        <w:t>in relation to uploading records to a</w:t>
      </w:r>
      <w:r w:rsidR="00F72ED5">
        <w:rPr>
          <w:rStyle w:val="IntenseReference"/>
          <w:rFonts w:asciiTheme="minorHAnsi" w:hAnsiTheme="minorHAnsi" w:cs="Arial"/>
          <w:b w:val="0"/>
          <w:bCs w:val="0"/>
          <w:i w:val="0"/>
          <w:smallCaps w:val="0"/>
          <w:color w:val="auto"/>
          <w:spacing w:val="0"/>
          <w:sz w:val="22"/>
          <w:szCs w:val="22"/>
        </w:rPr>
        <w:t>n</w:t>
      </w:r>
      <w:r w:rsidR="00574755">
        <w:rPr>
          <w:rStyle w:val="IntenseReference"/>
          <w:rFonts w:asciiTheme="minorHAnsi" w:hAnsiTheme="minorHAnsi" w:cs="Arial"/>
          <w:b w:val="0"/>
          <w:bCs w:val="0"/>
          <w:i w:val="0"/>
          <w:smallCaps w:val="0"/>
          <w:color w:val="auto"/>
          <w:spacing w:val="0"/>
          <w:sz w:val="22"/>
          <w:szCs w:val="22"/>
        </w:rPr>
        <w:t xml:space="preserve"> </w:t>
      </w:r>
      <w:r w:rsidR="00F72ED5">
        <w:rPr>
          <w:rFonts w:asciiTheme="minorHAnsi" w:hAnsiTheme="minorHAnsi"/>
          <w:sz w:val="22"/>
          <w:szCs w:val="22"/>
        </w:rPr>
        <w:t xml:space="preserve">individual’s </w:t>
      </w:r>
      <w:r w:rsidR="00574755">
        <w:rPr>
          <w:rStyle w:val="IntenseReference"/>
          <w:rFonts w:asciiTheme="minorHAnsi" w:hAnsiTheme="minorHAnsi" w:cs="Arial"/>
          <w:b w:val="0"/>
          <w:bCs w:val="0"/>
          <w:i w:val="0"/>
          <w:smallCaps w:val="0"/>
          <w:color w:val="auto"/>
          <w:spacing w:val="0"/>
          <w:sz w:val="22"/>
          <w:szCs w:val="22"/>
        </w:rPr>
        <w:t xml:space="preserve">PCEHR </w:t>
      </w:r>
      <w:r w:rsidR="00D85CC8">
        <w:rPr>
          <w:rStyle w:val="IntenseReference"/>
          <w:rFonts w:asciiTheme="minorHAnsi" w:hAnsiTheme="minorHAnsi" w:cs="Arial"/>
          <w:b w:val="0"/>
          <w:bCs w:val="0"/>
          <w:i w:val="0"/>
          <w:smallCaps w:val="0"/>
          <w:color w:val="auto"/>
          <w:spacing w:val="0"/>
          <w:sz w:val="22"/>
          <w:szCs w:val="22"/>
        </w:rPr>
        <w:t>would</w:t>
      </w:r>
      <w:r w:rsidR="006F129E">
        <w:rPr>
          <w:rStyle w:val="IntenseReference"/>
          <w:rFonts w:asciiTheme="minorHAnsi" w:hAnsiTheme="minorHAnsi" w:cs="Arial"/>
          <w:b w:val="0"/>
          <w:bCs w:val="0"/>
          <w:i w:val="0"/>
          <w:smallCaps w:val="0"/>
          <w:color w:val="auto"/>
          <w:spacing w:val="0"/>
          <w:sz w:val="22"/>
          <w:szCs w:val="22"/>
        </w:rPr>
        <w:t xml:space="preserve"> be subject to the same exceptions that currently exist</w:t>
      </w:r>
      <w:r w:rsidR="00574755">
        <w:rPr>
          <w:rStyle w:val="IntenseReference"/>
          <w:rFonts w:asciiTheme="minorHAnsi" w:hAnsiTheme="minorHAnsi" w:cs="Arial"/>
          <w:b w:val="0"/>
          <w:bCs w:val="0"/>
          <w:i w:val="0"/>
          <w:smallCaps w:val="0"/>
          <w:color w:val="auto"/>
          <w:spacing w:val="0"/>
          <w:sz w:val="22"/>
          <w:szCs w:val="22"/>
        </w:rPr>
        <w:t xml:space="preserve"> – for example, the </w:t>
      </w:r>
      <w:r w:rsidR="00F72ED5">
        <w:rPr>
          <w:rFonts w:asciiTheme="minorHAnsi" w:hAnsiTheme="minorHAnsi"/>
          <w:sz w:val="22"/>
          <w:szCs w:val="22"/>
        </w:rPr>
        <w:t xml:space="preserve">individual </w:t>
      </w:r>
      <w:r w:rsidR="00D85CC8">
        <w:rPr>
          <w:rStyle w:val="IntenseReference"/>
          <w:rFonts w:asciiTheme="minorHAnsi" w:hAnsiTheme="minorHAnsi" w:cs="Arial"/>
          <w:b w:val="0"/>
          <w:bCs w:val="0"/>
          <w:i w:val="0"/>
          <w:smallCaps w:val="0"/>
          <w:color w:val="auto"/>
          <w:spacing w:val="0"/>
          <w:sz w:val="22"/>
          <w:szCs w:val="22"/>
        </w:rPr>
        <w:t>would</w:t>
      </w:r>
      <w:r w:rsidR="00574755">
        <w:rPr>
          <w:rStyle w:val="IntenseReference"/>
          <w:rFonts w:asciiTheme="minorHAnsi" w:hAnsiTheme="minorHAnsi" w:cs="Arial"/>
          <w:b w:val="0"/>
          <w:bCs w:val="0"/>
          <w:i w:val="0"/>
          <w:smallCaps w:val="0"/>
          <w:color w:val="auto"/>
          <w:spacing w:val="0"/>
          <w:sz w:val="22"/>
          <w:szCs w:val="22"/>
        </w:rPr>
        <w:t xml:space="preserve"> still be able to tell a healthcare provider to not upload a particular record</w:t>
      </w:r>
      <w:r w:rsidR="00E60250">
        <w:rPr>
          <w:rStyle w:val="IntenseReference"/>
          <w:rFonts w:asciiTheme="minorHAnsi" w:hAnsiTheme="minorHAnsi" w:cs="Arial"/>
          <w:b w:val="0"/>
          <w:bCs w:val="0"/>
          <w:i w:val="0"/>
          <w:smallCaps w:val="0"/>
          <w:color w:val="auto"/>
          <w:spacing w:val="0"/>
          <w:sz w:val="22"/>
          <w:szCs w:val="22"/>
        </w:rPr>
        <w:t xml:space="preserve"> and </w:t>
      </w:r>
      <w:r w:rsidR="00D85CC8">
        <w:rPr>
          <w:rStyle w:val="IntenseReference"/>
          <w:rFonts w:asciiTheme="minorHAnsi" w:hAnsiTheme="minorHAnsi" w:cs="Arial"/>
          <w:b w:val="0"/>
          <w:bCs w:val="0"/>
          <w:i w:val="0"/>
          <w:smallCaps w:val="0"/>
          <w:color w:val="auto"/>
          <w:spacing w:val="0"/>
          <w:sz w:val="22"/>
          <w:szCs w:val="22"/>
        </w:rPr>
        <w:t>would</w:t>
      </w:r>
      <w:r w:rsidR="00E60250">
        <w:rPr>
          <w:rStyle w:val="IntenseReference"/>
          <w:rFonts w:asciiTheme="minorHAnsi" w:hAnsiTheme="minorHAnsi" w:cs="Arial"/>
          <w:b w:val="0"/>
          <w:bCs w:val="0"/>
          <w:i w:val="0"/>
          <w:smallCaps w:val="0"/>
          <w:color w:val="auto"/>
          <w:spacing w:val="0"/>
          <w:sz w:val="22"/>
          <w:szCs w:val="22"/>
        </w:rPr>
        <w:t xml:space="preserve"> still be able to stop their Medicare data being uploaded</w:t>
      </w:r>
      <w:r w:rsidR="000B3D72">
        <w:rPr>
          <w:rStyle w:val="IntenseReference"/>
          <w:rFonts w:asciiTheme="minorHAnsi" w:hAnsiTheme="minorHAnsi" w:cs="Arial"/>
          <w:b w:val="0"/>
          <w:bCs w:val="0"/>
          <w:i w:val="0"/>
          <w:smallCaps w:val="0"/>
          <w:color w:val="auto"/>
          <w:spacing w:val="0"/>
          <w:sz w:val="22"/>
          <w:szCs w:val="22"/>
        </w:rPr>
        <w:t xml:space="preserve">.  </w:t>
      </w:r>
      <w:r w:rsidR="00574755">
        <w:rPr>
          <w:rStyle w:val="IntenseReference"/>
          <w:rFonts w:asciiTheme="minorHAnsi" w:hAnsiTheme="minorHAnsi" w:cs="Arial"/>
          <w:b w:val="0"/>
          <w:bCs w:val="0"/>
          <w:i w:val="0"/>
          <w:smallCaps w:val="0"/>
          <w:color w:val="auto"/>
          <w:spacing w:val="0"/>
          <w:sz w:val="22"/>
          <w:szCs w:val="22"/>
        </w:rPr>
        <w:t>A</w:t>
      </w:r>
      <w:r w:rsidR="006F129E">
        <w:rPr>
          <w:rStyle w:val="IntenseReference"/>
          <w:rFonts w:asciiTheme="minorHAnsi" w:hAnsiTheme="minorHAnsi" w:cs="Arial"/>
          <w:b w:val="0"/>
          <w:bCs w:val="0"/>
          <w:i w:val="0"/>
          <w:smallCaps w:val="0"/>
          <w:color w:val="auto"/>
          <w:spacing w:val="0"/>
          <w:sz w:val="22"/>
          <w:szCs w:val="22"/>
        </w:rPr>
        <w:t>uthorisation is required bec</w:t>
      </w:r>
      <w:r w:rsidR="000B3D72">
        <w:rPr>
          <w:rStyle w:val="IntenseReference"/>
          <w:rFonts w:asciiTheme="minorHAnsi" w:hAnsiTheme="minorHAnsi" w:cs="Arial"/>
          <w:b w:val="0"/>
          <w:bCs w:val="0"/>
          <w:i w:val="0"/>
          <w:smallCaps w:val="0"/>
          <w:color w:val="auto"/>
          <w:spacing w:val="0"/>
          <w:sz w:val="22"/>
          <w:szCs w:val="22"/>
        </w:rPr>
        <w:t xml:space="preserve">ause </w:t>
      </w:r>
      <w:r w:rsidR="00F72ED5">
        <w:rPr>
          <w:rFonts w:asciiTheme="minorHAnsi" w:hAnsiTheme="minorHAnsi"/>
          <w:sz w:val="22"/>
          <w:szCs w:val="22"/>
        </w:rPr>
        <w:t xml:space="preserve">individuals </w:t>
      </w:r>
      <w:r w:rsidR="006F129E">
        <w:rPr>
          <w:rStyle w:val="IntenseReference"/>
          <w:rFonts w:asciiTheme="minorHAnsi" w:hAnsiTheme="minorHAnsi" w:cs="Arial"/>
          <w:b w:val="0"/>
          <w:bCs w:val="0"/>
          <w:i w:val="0"/>
          <w:smallCaps w:val="0"/>
          <w:color w:val="auto"/>
          <w:spacing w:val="0"/>
          <w:sz w:val="22"/>
          <w:szCs w:val="22"/>
        </w:rPr>
        <w:t>won’t have the opportunity to give consent</w:t>
      </w:r>
      <w:r w:rsidR="00A5116A">
        <w:rPr>
          <w:rStyle w:val="IntenseReference"/>
          <w:rFonts w:asciiTheme="minorHAnsi" w:hAnsiTheme="minorHAnsi" w:cs="Arial"/>
          <w:b w:val="0"/>
          <w:bCs w:val="0"/>
          <w:i w:val="0"/>
          <w:smallCaps w:val="0"/>
          <w:color w:val="auto"/>
          <w:spacing w:val="0"/>
          <w:sz w:val="22"/>
          <w:szCs w:val="22"/>
        </w:rPr>
        <w:t>.</w:t>
      </w:r>
    </w:p>
    <w:p w:rsidR="006F129E" w:rsidRDefault="00A5116A" w:rsidP="006F129E">
      <w:pPr>
        <w:pStyle w:val="ListParagraph"/>
        <w:spacing w:after="120"/>
        <w:ind w:left="737"/>
        <w:contextualSpacing w:val="0"/>
        <w:rPr>
          <w:rStyle w:val="IntenseReference"/>
          <w:rFonts w:asciiTheme="minorHAnsi" w:hAnsiTheme="minorHAnsi" w:cs="Arial"/>
          <w:b w:val="0"/>
          <w:bCs w:val="0"/>
          <w:i w:val="0"/>
          <w:smallCaps w:val="0"/>
          <w:color w:val="auto"/>
          <w:spacing w:val="0"/>
          <w:sz w:val="22"/>
          <w:szCs w:val="22"/>
        </w:rPr>
      </w:pPr>
      <w:r>
        <w:rPr>
          <w:rStyle w:val="IntenseReference"/>
          <w:rFonts w:asciiTheme="minorHAnsi" w:hAnsiTheme="minorHAnsi" w:cs="Arial"/>
          <w:b w:val="0"/>
          <w:bCs w:val="0"/>
          <w:i w:val="0"/>
          <w:smallCaps w:val="0"/>
          <w:color w:val="auto"/>
          <w:spacing w:val="0"/>
          <w:sz w:val="22"/>
          <w:szCs w:val="22"/>
        </w:rPr>
        <w:t>P</w:t>
      </w:r>
      <w:r w:rsidR="000B3D72">
        <w:rPr>
          <w:rStyle w:val="IntenseReference"/>
          <w:rFonts w:asciiTheme="minorHAnsi" w:hAnsiTheme="minorHAnsi" w:cs="Arial"/>
          <w:b w:val="0"/>
          <w:bCs w:val="0"/>
          <w:i w:val="0"/>
          <w:smallCaps w:val="0"/>
          <w:color w:val="auto"/>
          <w:spacing w:val="0"/>
          <w:sz w:val="22"/>
          <w:szCs w:val="22"/>
        </w:rPr>
        <w:t xml:space="preserve">rivacy concerns associated with </w:t>
      </w:r>
      <w:r w:rsidR="00574755">
        <w:rPr>
          <w:rStyle w:val="IntenseReference"/>
          <w:rFonts w:asciiTheme="minorHAnsi" w:hAnsiTheme="minorHAnsi" w:cs="Arial"/>
          <w:b w:val="0"/>
          <w:bCs w:val="0"/>
          <w:i w:val="0"/>
          <w:smallCaps w:val="0"/>
          <w:color w:val="auto"/>
          <w:spacing w:val="0"/>
          <w:sz w:val="22"/>
          <w:szCs w:val="22"/>
        </w:rPr>
        <w:t xml:space="preserve">registration of </w:t>
      </w:r>
      <w:r w:rsidR="00F72ED5">
        <w:rPr>
          <w:rFonts w:asciiTheme="minorHAnsi" w:hAnsiTheme="minorHAnsi"/>
          <w:sz w:val="22"/>
          <w:szCs w:val="22"/>
        </w:rPr>
        <w:t xml:space="preserve">individuals </w:t>
      </w:r>
      <w:r w:rsidR="00574755">
        <w:rPr>
          <w:rStyle w:val="IntenseReference"/>
          <w:rFonts w:asciiTheme="minorHAnsi" w:hAnsiTheme="minorHAnsi" w:cs="Arial"/>
          <w:b w:val="0"/>
          <w:bCs w:val="0"/>
          <w:i w:val="0"/>
          <w:smallCaps w:val="0"/>
          <w:color w:val="auto"/>
          <w:spacing w:val="0"/>
          <w:sz w:val="22"/>
          <w:szCs w:val="22"/>
        </w:rPr>
        <w:t>who don’t opt</w:t>
      </w:r>
      <w:r>
        <w:rPr>
          <w:rStyle w:val="IntenseReference"/>
          <w:rFonts w:asciiTheme="minorHAnsi" w:hAnsiTheme="minorHAnsi" w:cs="Arial"/>
          <w:b w:val="0"/>
          <w:bCs w:val="0"/>
          <w:i w:val="0"/>
          <w:smallCaps w:val="0"/>
          <w:color w:val="auto"/>
          <w:spacing w:val="0"/>
          <w:sz w:val="22"/>
          <w:szCs w:val="22"/>
        </w:rPr>
        <w:t>-</w:t>
      </w:r>
      <w:r w:rsidR="00574755">
        <w:rPr>
          <w:rStyle w:val="IntenseReference"/>
          <w:rFonts w:asciiTheme="minorHAnsi" w:hAnsiTheme="minorHAnsi" w:cs="Arial"/>
          <w:b w:val="0"/>
          <w:bCs w:val="0"/>
          <w:i w:val="0"/>
          <w:smallCaps w:val="0"/>
          <w:color w:val="auto"/>
          <w:spacing w:val="0"/>
          <w:sz w:val="22"/>
          <w:szCs w:val="22"/>
        </w:rPr>
        <w:t xml:space="preserve">out, and </w:t>
      </w:r>
      <w:r w:rsidR="000B3D72">
        <w:rPr>
          <w:rStyle w:val="IntenseReference"/>
          <w:rFonts w:asciiTheme="minorHAnsi" w:hAnsiTheme="minorHAnsi" w:cs="Arial"/>
          <w:b w:val="0"/>
          <w:bCs w:val="0"/>
          <w:i w:val="0"/>
          <w:smallCaps w:val="0"/>
          <w:color w:val="auto"/>
          <w:spacing w:val="0"/>
          <w:sz w:val="22"/>
          <w:szCs w:val="22"/>
        </w:rPr>
        <w:t xml:space="preserve">the uploading of documents </w:t>
      </w:r>
      <w:r w:rsidR="00574755">
        <w:rPr>
          <w:rStyle w:val="IntenseReference"/>
          <w:rFonts w:asciiTheme="minorHAnsi" w:hAnsiTheme="minorHAnsi" w:cs="Arial"/>
          <w:b w:val="0"/>
          <w:bCs w:val="0"/>
          <w:i w:val="0"/>
          <w:smallCaps w:val="0"/>
          <w:color w:val="auto"/>
          <w:spacing w:val="0"/>
          <w:sz w:val="22"/>
          <w:szCs w:val="22"/>
        </w:rPr>
        <w:t xml:space="preserve">to a registered </w:t>
      </w:r>
      <w:r w:rsidR="00F72ED5">
        <w:rPr>
          <w:rFonts w:asciiTheme="minorHAnsi" w:hAnsiTheme="minorHAnsi"/>
          <w:sz w:val="22"/>
          <w:szCs w:val="22"/>
        </w:rPr>
        <w:t xml:space="preserve">individual’s </w:t>
      </w:r>
      <w:r w:rsidR="00574755">
        <w:rPr>
          <w:rStyle w:val="IntenseReference"/>
          <w:rFonts w:asciiTheme="minorHAnsi" w:hAnsiTheme="minorHAnsi" w:cs="Arial"/>
          <w:b w:val="0"/>
          <w:bCs w:val="0"/>
          <w:i w:val="0"/>
          <w:smallCaps w:val="0"/>
          <w:color w:val="auto"/>
          <w:spacing w:val="0"/>
          <w:sz w:val="22"/>
          <w:szCs w:val="22"/>
        </w:rPr>
        <w:t xml:space="preserve">PCEHR, </w:t>
      </w:r>
      <w:r w:rsidR="00487A5E">
        <w:rPr>
          <w:rStyle w:val="IntenseReference"/>
          <w:rFonts w:asciiTheme="minorHAnsi" w:hAnsiTheme="minorHAnsi" w:cs="Arial"/>
          <w:b w:val="0"/>
          <w:bCs w:val="0"/>
          <w:i w:val="0"/>
          <w:smallCaps w:val="0"/>
          <w:color w:val="auto"/>
          <w:spacing w:val="0"/>
          <w:sz w:val="22"/>
          <w:szCs w:val="22"/>
        </w:rPr>
        <w:t xml:space="preserve">will </w:t>
      </w:r>
      <w:r w:rsidR="000B3D72">
        <w:rPr>
          <w:rStyle w:val="IntenseReference"/>
          <w:rFonts w:asciiTheme="minorHAnsi" w:hAnsiTheme="minorHAnsi" w:cs="Arial"/>
          <w:b w:val="0"/>
          <w:bCs w:val="0"/>
          <w:i w:val="0"/>
          <w:smallCaps w:val="0"/>
          <w:color w:val="auto"/>
          <w:spacing w:val="0"/>
          <w:sz w:val="22"/>
          <w:szCs w:val="22"/>
        </w:rPr>
        <w:t>be addressed by</w:t>
      </w:r>
      <w:r w:rsidR="000B3D72" w:rsidRPr="009057D9">
        <w:rPr>
          <w:rStyle w:val="IntenseReference"/>
          <w:rFonts w:asciiTheme="minorHAnsi" w:hAnsiTheme="minorHAnsi" w:cs="Arial"/>
          <w:b w:val="0"/>
          <w:bCs w:val="0"/>
          <w:i w:val="0"/>
          <w:smallCaps w:val="0"/>
          <w:color w:val="auto"/>
          <w:spacing w:val="0"/>
          <w:sz w:val="22"/>
          <w:szCs w:val="22"/>
        </w:rPr>
        <w:t xml:space="preserve"> </w:t>
      </w:r>
      <w:r w:rsidR="000B3D72">
        <w:rPr>
          <w:rStyle w:val="IntenseReference"/>
          <w:rFonts w:asciiTheme="minorHAnsi" w:hAnsiTheme="minorHAnsi" w:cs="Arial"/>
          <w:b w:val="0"/>
          <w:bCs w:val="0"/>
          <w:i w:val="0"/>
          <w:smallCaps w:val="0"/>
          <w:color w:val="auto"/>
          <w:spacing w:val="0"/>
          <w:sz w:val="22"/>
          <w:szCs w:val="22"/>
        </w:rPr>
        <w:t xml:space="preserve">allowing </w:t>
      </w:r>
      <w:r w:rsidR="00F72ED5">
        <w:rPr>
          <w:rFonts w:asciiTheme="minorHAnsi" w:hAnsiTheme="minorHAnsi"/>
          <w:sz w:val="22"/>
          <w:szCs w:val="22"/>
        </w:rPr>
        <w:t xml:space="preserve">individuals </w:t>
      </w:r>
      <w:r w:rsidR="006F129E">
        <w:rPr>
          <w:rStyle w:val="IntenseReference"/>
          <w:rFonts w:asciiTheme="minorHAnsi" w:hAnsiTheme="minorHAnsi" w:cs="Arial"/>
          <w:b w:val="0"/>
          <w:bCs w:val="0"/>
          <w:i w:val="0"/>
          <w:smallCaps w:val="0"/>
          <w:color w:val="auto"/>
          <w:spacing w:val="0"/>
          <w:sz w:val="22"/>
          <w:szCs w:val="22"/>
        </w:rPr>
        <w:t>to</w:t>
      </w:r>
      <w:r w:rsidR="000B3D72">
        <w:rPr>
          <w:rStyle w:val="IntenseReference"/>
          <w:rFonts w:asciiTheme="minorHAnsi" w:hAnsiTheme="minorHAnsi" w:cs="Arial"/>
          <w:b w:val="0"/>
          <w:bCs w:val="0"/>
          <w:i w:val="0"/>
          <w:smallCaps w:val="0"/>
          <w:color w:val="auto"/>
          <w:spacing w:val="0"/>
          <w:sz w:val="22"/>
          <w:szCs w:val="22"/>
        </w:rPr>
        <w:t>:</w:t>
      </w:r>
    </w:p>
    <w:p w:rsidR="006F129E" w:rsidRDefault="000B3D72" w:rsidP="00A67B4E">
      <w:pPr>
        <w:pStyle w:val="ListParagraph"/>
        <w:numPr>
          <w:ilvl w:val="0"/>
          <w:numId w:val="10"/>
        </w:numPr>
        <w:spacing w:after="120"/>
        <w:contextualSpacing w:val="0"/>
        <w:rPr>
          <w:rStyle w:val="IntenseReference"/>
          <w:rFonts w:asciiTheme="minorHAnsi" w:hAnsiTheme="minorHAnsi" w:cs="Arial"/>
          <w:b w:val="0"/>
          <w:bCs w:val="0"/>
          <w:i w:val="0"/>
          <w:smallCaps w:val="0"/>
          <w:color w:val="auto"/>
          <w:spacing w:val="0"/>
          <w:sz w:val="22"/>
          <w:szCs w:val="22"/>
        </w:rPr>
      </w:pPr>
      <w:r>
        <w:rPr>
          <w:rStyle w:val="IntenseReference"/>
          <w:rFonts w:asciiTheme="minorHAnsi" w:hAnsiTheme="minorHAnsi" w:cs="Arial"/>
          <w:b w:val="0"/>
          <w:bCs w:val="0"/>
          <w:i w:val="0"/>
          <w:smallCaps w:val="0"/>
          <w:color w:val="auto"/>
          <w:spacing w:val="0"/>
          <w:sz w:val="22"/>
          <w:szCs w:val="22"/>
        </w:rPr>
        <w:t>set access controls</w:t>
      </w:r>
      <w:r w:rsidR="006F129E">
        <w:rPr>
          <w:rStyle w:val="IntenseReference"/>
          <w:rFonts w:asciiTheme="minorHAnsi" w:hAnsiTheme="minorHAnsi" w:cs="Arial"/>
          <w:b w:val="0"/>
          <w:bCs w:val="0"/>
          <w:i w:val="0"/>
          <w:smallCaps w:val="0"/>
          <w:color w:val="auto"/>
          <w:spacing w:val="0"/>
          <w:sz w:val="22"/>
          <w:szCs w:val="22"/>
        </w:rPr>
        <w:t xml:space="preserve"> to control who can access what information in their PCEHR</w:t>
      </w:r>
      <w:r w:rsidR="00BC0F80">
        <w:rPr>
          <w:rStyle w:val="IntenseReference"/>
          <w:rFonts w:asciiTheme="minorHAnsi" w:hAnsiTheme="minorHAnsi" w:cs="Arial"/>
          <w:b w:val="0"/>
          <w:bCs w:val="0"/>
          <w:i w:val="0"/>
          <w:smallCaps w:val="0"/>
          <w:color w:val="auto"/>
          <w:spacing w:val="0"/>
          <w:sz w:val="22"/>
          <w:szCs w:val="22"/>
        </w:rPr>
        <w:t xml:space="preserve">, including </w:t>
      </w:r>
      <w:r w:rsidR="00E60250">
        <w:rPr>
          <w:rStyle w:val="IntenseReference"/>
          <w:rFonts w:asciiTheme="minorHAnsi" w:hAnsiTheme="minorHAnsi" w:cs="Arial"/>
          <w:b w:val="0"/>
          <w:bCs w:val="0"/>
          <w:i w:val="0"/>
          <w:smallCaps w:val="0"/>
          <w:color w:val="auto"/>
          <w:spacing w:val="0"/>
          <w:sz w:val="22"/>
          <w:szCs w:val="22"/>
        </w:rPr>
        <w:t xml:space="preserve">restricting access to their Medicare data and </w:t>
      </w:r>
      <w:r w:rsidR="00BC0F80">
        <w:rPr>
          <w:rStyle w:val="IntenseReference"/>
          <w:rFonts w:asciiTheme="minorHAnsi" w:hAnsiTheme="minorHAnsi" w:cs="Arial"/>
          <w:b w:val="0"/>
          <w:bCs w:val="0"/>
          <w:i w:val="0"/>
          <w:smallCaps w:val="0"/>
          <w:color w:val="auto"/>
          <w:spacing w:val="0"/>
          <w:sz w:val="22"/>
          <w:szCs w:val="22"/>
        </w:rPr>
        <w:t>removing documents</w:t>
      </w:r>
      <w:r>
        <w:rPr>
          <w:rStyle w:val="IntenseReference"/>
          <w:rFonts w:asciiTheme="minorHAnsi" w:hAnsiTheme="minorHAnsi" w:cs="Arial"/>
          <w:b w:val="0"/>
          <w:bCs w:val="0"/>
          <w:i w:val="0"/>
          <w:smallCaps w:val="0"/>
          <w:color w:val="auto"/>
          <w:spacing w:val="0"/>
          <w:sz w:val="22"/>
          <w:szCs w:val="22"/>
        </w:rPr>
        <w:t>;</w:t>
      </w:r>
    </w:p>
    <w:p w:rsidR="00A77234" w:rsidRDefault="000B3D72" w:rsidP="00A67B4E">
      <w:pPr>
        <w:pStyle w:val="ListParagraph"/>
        <w:numPr>
          <w:ilvl w:val="0"/>
          <w:numId w:val="10"/>
        </w:numPr>
        <w:spacing w:after="120"/>
        <w:contextualSpacing w:val="0"/>
        <w:rPr>
          <w:rStyle w:val="IntenseReference"/>
          <w:rFonts w:asciiTheme="minorHAnsi" w:hAnsiTheme="minorHAnsi" w:cs="Arial"/>
          <w:b w:val="0"/>
          <w:bCs w:val="0"/>
          <w:i w:val="0"/>
          <w:smallCaps w:val="0"/>
          <w:color w:val="auto"/>
          <w:spacing w:val="0"/>
          <w:sz w:val="22"/>
          <w:szCs w:val="22"/>
        </w:rPr>
      </w:pPr>
      <w:r>
        <w:rPr>
          <w:rStyle w:val="IntenseReference"/>
          <w:rFonts w:asciiTheme="minorHAnsi" w:hAnsiTheme="minorHAnsi" w:cs="Arial"/>
          <w:b w:val="0"/>
          <w:bCs w:val="0"/>
          <w:i w:val="0"/>
          <w:smallCaps w:val="0"/>
          <w:color w:val="auto"/>
          <w:spacing w:val="0"/>
          <w:sz w:val="22"/>
          <w:szCs w:val="22"/>
        </w:rPr>
        <w:lastRenderedPageBreak/>
        <w:t>tell healthcare providers on a case-by-case basis to not upload</w:t>
      </w:r>
      <w:r w:rsidR="00A5116A">
        <w:rPr>
          <w:rStyle w:val="IntenseReference"/>
          <w:rFonts w:asciiTheme="minorHAnsi" w:hAnsiTheme="minorHAnsi" w:cs="Arial"/>
          <w:b w:val="0"/>
          <w:bCs w:val="0"/>
          <w:i w:val="0"/>
          <w:smallCaps w:val="0"/>
          <w:color w:val="auto"/>
          <w:spacing w:val="0"/>
          <w:sz w:val="22"/>
          <w:szCs w:val="22"/>
        </w:rPr>
        <w:t xml:space="preserve"> certain</w:t>
      </w:r>
      <w:r>
        <w:rPr>
          <w:rStyle w:val="IntenseReference"/>
          <w:rFonts w:asciiTheme="minorHAnsi" w:hAnsiTheme="minorHAnsi" w:cs="Arial"/>
          <w:b w:val="0"/>
          <w:bCs w:val="0"/>
          <w:i w:val="0"/>
          <w:smallCaps w:val="0"/>
          <w:color w:val="auto"/>
          <w:spacing w:val="0"/>
          <w:sz w:val="22"/>
          <w:szCs w:val="22"/>
        </w:rPr>
        <w:t xml:space="preserve"> documents;</w:t>
      </w:r>
    </w:p>
    <w:p w:rsidR="00A77234" w:rsidRDefault="000B3D72" w:rsidP="00A67B4E">
      <w:pPr>
        <w:pStyle w:val="ListParagraph"/>
        <w:numPr>
          <w:ilvl w:val="0"/>
          <w:numId w:val="10"/>
        </w:numPr>
        <w:spacing w:after="120"/>
        <w:contextualSpacing w:val="0"/>
        <w:rPr>
          <w:rStyle w:val="IntenseReference"/>
          <w:rFonts w:asciiTheme="minorHAnsi" w:hAnsiTheme="minorHAnsi" w:cs="Arial"/>
          <w:b w:val="0"/>
          <w:bCs w:val="0"/>
          <w:i w:val="0"/>
          <w:smallCaps w:val="0"/>
          <w:color w:val="auto"/>
          <w:spacing w:val="0"/>
          <w:sz w:val="22"/>
          <w:szCs w:val="22"/>
        </w:rPr>
      </w:pPr>
      <w:r>
        <w:rPr>
          <w:rStyle w:val="IntenseReference"/>
          <w:rFonts w:asciiTheme="minorHAnsi" w:hAnsiTheme="minorHAnsi" w:cs="Arial"/>
          <w:b w:val="0"/>
          <w:bCs w:val="0"/>
          <w:i w:val="0"/>
          <w:smallCaps w:val="0"/>
          <w:color w:val="auto"/>
          <w:spacing w:val="0"/>
          <w:sz w:val="22"/>
          <w:szCs w:val="22"/>
        </w:rPr>
        <w:t>monitor activity in their PCEHR using the audit log or via messages alerting them that someone has viewed or used their PCEHR;</w:t>
      </w:r>
    </w:p>
    <w:p w:rsidR="00A77234" w:rsidRDefault="000B3D72" w:rsidP="00A67B4E">
      <w:pPr>
        <w:pStyle w:val="ListParagraph"/>
        <w:numPr>
          <w:ilvl w:val="0"/>
          <w:numId w:val="10"/>
        </w:numPr>
        <w:spacing w:after="120"/>
        <w:contextualSpacing w:val="0"/>
        <w:rPr>
          <w:rStyle w:val="IntenseReference"/>
          <w:rFonts w:asciiTheme="minorHAnsi" w:hAnsiTheme="minorHAnsi" w:cs="Arial"/>
          <w:b w:val="0"/>
          <w:bCs w:val="0"/>
          <w:i w:val="0"/>
          <w:smallCaps w:val="0"/>
          <w:color w:val="auto"/>
          <w:spacing w:val="0"/>
          <w:sz w:val="22"/>
          <w:szCs w:val="22"/>
        </w:rPr>
      </w:pPr>
      <w:r>
        <w:rPr>
          <w:rStyle w:val="IntenseReference"/>
          <w:rFonts w:asciiTheme="minorHAnsi" w:hAnsiTheme="minorHAnsi" w:cs="Arial"/>
          <w:b w:val="0"/>
          <w:bCs w:val="0"/>
          <w:i w:val="0"/>
          <w:smallCaps w:val="0"/>
          <w:color w:val="auto"/>
          <w:spacing w:val="0"/>
          <w:sz w:val="22"/>
          <w:szCs w:val="22"/>
        </w:rPr>
        <w:t xml:space="preserve">make a complaint if they consider that there has been a breach of </w:t>
      </w:r>
      <w:r w:rsidR="00A77234">
        <w:rPr>
          <w:rStyle w:val="IntenseReference"/>
          <w:rFonts w:asciiTheme="minorHAnsi" w:hAnsiTheme="minorHAnsi" w:cs="Arial"/>
          <w:b w:val="0"/>
          <w:bCs w:val="0"/>
          <w:i w:val="0"/>
          <w:smallCaps w:val="0"/>
          <w:color w:val="auto"/>
          <w:spacing w:val="0"/>
          <w:sz w:val="22"/>
          <w:szCs w:val="22"/>
        </w:rPr>
        <w:t>their privacy; and</w:t>
      </w:r>
    </w:p>
    <w:p w:rsidR="000B3D72" w:rsidRDefault="000B3D72" w:rsidP="00A67B4E">
      <w:pPr>
        <w:pStyle w:val="ListParagraph"/>
        <w:numPr>
          <w:ilvl w:val="0"/>
          <w:numId w:val="10"/>
        </w:numPr>
        <w:spacing w:after="120"/>
        <w:contextualSpacing w:val="0"/>
        <w:rPr>
          <w:rStyle w:val="IntenseReference"/>
          <w:rFonts w:asciiTheme="minorHAnsi" w:hAnsiTheme="minorHAnsi" w:cs="Arial"/>
          <w:b w:val="0"/>
          <w:bCs w:val="0"/>
          <w:i w:val="0"/>
          <w:smallCaps w:val="0"/>
          <w:color w:val="auto"/>
          <w:spacing w:val="0"/>
          <w:sz w:val="22"/>
          <w:szCs w:val="22"/>
        </w:rPr>
      </w:pPr>
      <w:proofErr w:type="gramStart"/>
      <w:r>
        <w:rPr>
          <w:rStyle w:val="IntenseReference"/>
          <w:rFonts w:asciiTheme="minorHAnsi" w:hAnsiTheme="minorHAnsi" w:cs="Arial"/>
          <w:b w:val="0"/>
          <w:bCs w:val="0"/>
          <w:i w:val="0"/>
          <w:smallCaps w:val="0"/>
          <w:color w:val="auto"/>
          <w:spacing w:val="0"/>
          <w:sz w:val="22"/>
          <w:szCs w:val="22"/>
        </w:rPr>
        <w:t>cancel</w:t>
      </w:r>
      <w:proofErr w:type="gramEnd"/>
      <w:r>
        <w:rPr>
          <w:rStyle w:val="IntenseReference"/>
          <w:rFonts w:asciiTheme="minorHAnsi" w:hAnsiTheme="minorHAnsi" w:cs="Arial"/>
          <w:b w:val="0"/>
          <w:bCs w:val="0"/>
          <w:i w:val="0"/>
          <w:smallCaps w:val="0"/>
          <w:color w:val="auto"/>
          <w:spacing w:val="0"/>
          <w:sz w:val="22"/>
          <w:szCs w:val="22"/>
        </w:rPr>
        <w:t xml:space="preserve"> t</w:t>
      </w:r>
      <w:r w:rsidR="00A77234">
        <w:rPr>
          <w:rStyle w:val="IntenseReference"/>
          <w:rFonts w:asciiTheme="minorHAnsi" w:hAnsiTheme="minorHAnsi" w:cs="Arial"/>
          <w:b w:val="0"/>
          <w:bCs w:val="0"/>
          <w:i w:val="0"/>
          <w:smallCaps w:val="0"/>
          <w:color w:val="auto"/>
          <w:spacing w:val="0"/>
          <w:sz w:val="22"/>
          <w:szCs w:val="22"/>
        </w:rPr>
        <w:t>heir registration</w:t>
      </w:r>
      <w:r w:rsidR="00A5116A">
        <w:rPr>
          <w:rStyle w:val="IntenseReference"/>
          <w:rFonts w:asciiTheme="minorHAnsi" w:hAnsiTheme="minorHAnsi" w:cs="Arial"/>
          <w:b w:val="0"/>
          <w:bCs w:val="0"/>
          <w:i w:val="0"/>
          <w:smallCaps w:val="0"/>
          <w:color w:val="auto"/>
          <w:spacing w:val="0"/>
          <w:sz w:val="22"/>
          <w:szCs w:val="22"/>
        </w:rPr>
        <w:t xml:space="preserve"> </w:t>
      </w:r>
      <w:r w:rsidR="00A77234">
        <w:rPr>
          <w:rStyle w:val="IntenseReference"/>
          <w:rFonts w:asciiTheme="minorHAnsi" w:hAnsiTheme="minorHAnsi" w:cs="Arial"/>
          <w:b w:val="0"/>
          <w:bCs w:val="0"/>
          <w:i w:val="0"/>
          <w:smallCaps w:val="0"/>
          <w:color w:val="auto"/>
          <w:spacing w:val="0"/>
          <w:sz w:val="22"/>
          <w:szCs w:val="22"/>
        </w:rPr>
        <w:t>if they wish</w:t>
      </w:r>
      <w:r w:rsidR="00A5116A">
        <w:rPr>
          <w:rStyle w:val="IntenseReference"/>
          <w:rFonts w:asciiTheme="minorHAnsi" w:hAnsiTheme="minorHAnsi" w:cs="Arial"/>
          <w:b w:val="0"/>
          <w:bCs w:val="0"/>
          <w:i w:val="0"/>
          <w:smallCaps w:val="0"/>
          <w:color w:val="auto"/>
          <w:spacing w:val="0"/>
          <w:sz w:val="22"/>
          <w:szCs w:val="22"/>
        </w:rPr>
        <w:t>, that is, cancelling their PCEHR</w:t>
      </w:r>
      <w:r w:rsidR="00A77234">
        <w:rPr>
          <w:rStyle w:val="IntenseReference"/>
          <w:rFonts w:asciiTheme="minorHAnsi" w:hAnsiTheme="minorHAnsi" w:cs="Arial"/>
          <w:b w:val="0"/>
          <w:bCs w:val="0"/>
          <w:i w:val="0"/>
          <w:smallCaps w:val="0"/>
          <w:color w:val="auto"/>
          <w:spacing w:val="0"/>
          <w:sz w:val="22"/>
          <w:szCs w:val="22"/>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hemeFill="accent2" w:themeFillTint="99"/>
        <w:tblCellMar>
          <w:top w:w="119" w:type="dxa"/>
        </w:tblCellMar>
        <w:tblLook w:val="04A0" w:firstRow="1" w:lastRow="0" w:firstColumn="1" w:lastColumn="0" w:noHBand="0" w:noVBand="1"/>
        <w:tblCaption w:val="A box for noting"/>
        <w:tblDescription w:val="As with the current arrangements, the Chief Executive Medicare would have the discretion not to upload or make available Medicare data – for example, in relation to children aged between 14 and 18 years.  "/>
      </w:tblPr>
      <w:tblGrid>
        <w:gridCol w:w="8153"/>
      </w:tblGrid>
      <w:tr w:rsidR="00E60250" w:rsidRPr="00396E21" w:rsidTr="0045440F">
        <w:trPr>
          <w:cantSplit/>
        </w:trPr>
        <w:tc>
          <w:tcPr>
            <w:tcW w:w="8153" w:type="dxa"/>
            <w:shd w:val="clear" w:color="auto" w:fill="D99594" w:themeFill="accent2" w:themeFillTint="99"/>
          </w:tcPr>
          <w:p w:rsidR="00E60250" w:rsidRPr="00396E21" w:rsidRDefault="00E60250" w:rsidP="00D85CC8">
            <w:pPr>
              <w:pStyle w:val="BodyText"/>
              <w:keepNext/>
              <w:rPr>
                <w:rFonts w:asciiTheme="minorHAnsi" w:hAnsiTheme="minorHAnsi"/>
                <w:b/>
                <w:sz w:val="22"/>
                <w:szCs w:val="22"/>
              </w:rPr>
            </w:pPr>
            <w:r>
              <w:rPr>
                <w:rFonts w:asciiTheme="minorHAnsi" w:hAnsiTheme="minorHAnsi"/>
                <w:b/>
                <w:sz w:val="22"/>
                <w:szCs w:val="22"/>
              </w:rPr>
              <w:t>Note</w:t>
            </w:r>
            <w:r w:rsidRPr="007C5475">
              <w:rPr>
                <w:rFonts w:asciiTheme="minorHAnsi" w:hAnsiTheme="minorHAnsi"/>
                <w:sz w:val="22"/>
                <w:szCs w:val="22"/>
              </w:rPr>
              <w:t xml:space="preserve">: </w:t>
            </w:r>
            <w:r>
              <w:rPr>
                <w:rStyle w:val="IntenseReference"/>
                <w:rFonts w:asciiTheme="minorHAnsi" w:hAnsiTheme="minorHAnsi" w:cs="Arial"/>
                <w:b w:val="0"/>
                <w:bCs w:val="0"/>
                <w:i w:val="0"/>
                <w:smallCaps w:val="0"/>
                <w:color w:val="auto"/>
                <w:spacing w:val="0"/>
                <w:sz w:val="22"/>
                <w:szCs w:val="22"/>
              </w:rPr>
              <w:t xml:space="preserve">As with the current arrangements, the Chief Executive Medicare </w:t>
            </w:r>
            <w:r w:rsidR="00D85CC8">
              <w:rPr>
                <w:rStyle w:val="IntenseReference"/>
                <w:rFonts w:asciiTheme="minorHAnsi" w:hAnsiTheme="minorHAnsi" w:cs="Arial"/>
                <w:b w:val="0"/>
                <w:bCs w:val="0"/>
                <w:i w:val="0"/>
                <w:smallCaps w:val="0"/>
                <w:color w:val="auto"/>
                <w:spacing w:val="0"/>
                <w:sz w:val="22"/>
                <w:szCs w:val="22"/>
              </w:rPr>
              <w:t>would</w:t>
            </w:r>
            <w:r>
              <w:rPr>
                <w:rStyle w:val="IntenseReference"/>
                <w:rFonts w:asciiTheme="minorHAnsi" w:hAnsiTheme="minorHAnsi" w:cs="Arial"/>
                <w:b w:val="0"/>
                <w:bCs w:val="0"/>
                <w:i w:val="0"/>
                <w:smallCaps w:val="0"/>
                <w:color w:val="auto"/>
                <w:spacing w:val="0"/>
                <w:sz w:val="22"/>
                <w:szCs w:val="22"/>
              </w:rPr>
              <w:t xml:space="preserve"> have the discretion not </w:t>
            </w:r>
            <w:r w:rsidR="00AD1186">
              <w:rPr>
                <w:rStyle w:val="IntenseReference"/>
                <w:rFonts w:asciiTheme="minorHAnsi" w:hAnsiTheme="minorHAnsi" w:cs="Arial"/>
                <w:b w:val="0"/>
                <w:bCs w:val="0"/>
                <w:i w:val="0"/>
                <w:smallCaps w:val="0"/>
                <w:color w:val="auto"/>
                <w:spacing w:val="0"/>
                <w:sz w:val="22"/>
                <w:szCs w:val="22"/>
              </w:rPr>
              <w:t xml:space="preserve">to </w:t>
            </w:r>
            <w:r>
              <w:rPr>
                <w:rStyle w:val="IntenseReference"/>
                <w:rFonts w:asciiTheme="minorHAnsi" w:hAnsiTheme="minorHAnsi" w:cs="Arial"/>
                <w:b w:val="0"/>
                <w:bCs w:val="0"/>
                <w:i w:val="0"/>
                <w:smallCaps w:val="0"/>
                <w:color w:val="auto"/>
                <w:spacing w:val="0"/>
                <w:sz w:val="22"/>
                <w:szCs w:val="22"/>
              </w:rPr>
              <w:t xml:space="preserve">upload or make available Medicare data – for example, in relation to children aged between 14 and 18 years.  </w:t>
            </w:r>
          </w:p>
        </w:tc>
      </w:tr>
    </w:tbl>
    <w:p w:rsidR="00E60250" w:rsidRPr="0088792D" w:rsidRDefault="00E60250" w:rsidP="00E60250">
      <w:pPr>
        <w:pStyle w:val="ListParagraph"/>
        <w:spacing w:after="120"/>
        <w:ind w:left="737"/>
        <w:contextualSpacing w:val="0"/>
        <w:rPr>
          <w:rFonts w:asciiTheme="minorHAnsi" w:hAnsiTheme="minorHAnsi"/>
          <w:sz w:val="12"/>
          <w:szCs w:val="12"/>
        </w:rPr>
      </w:pPr>
    </w:p>
    <w:p w:rsidR="00225BAB" w:rsidRPr="007D4CD6" w:rsidRDefault="00225BAB" w:rsidP="00225BAB">
      <w:pPr>
        <w:pStyle w:val="Heading4"/>
      </w:pPr>
      <w:bookmarkStart w:id="74" w:name="_Toc420394258"/>
      <w:bookmarkStart w:id="75" w:name="_Toc418763105"/>
      <w:r>
        <w:t>Secondary use of information</w:t>
      </w:r>
      <w:bookmarkEnd w:id="74"/>
    </w:p>
    <w:p w:rsidR="00A358A5" w:rsidRDefault="00A358A5" w:rsidP="00A358A5">
      <w:pPr>
        <w:pStyle w:val="ListParagraph"/>
        <w:spacing w:after="120"/>
        <w:ind w:left="737"/>
        <w:contextualSpacing w:val="0"/>
        <w:rPr>
          <w:rFonts w:asciiTheme="minorHAnsi" w:hAnsiTheme="minorHAnsi"/>
          <w:sz w:val="22"/>
          <w:szCs w:val="22"/>
        </w:rPr>
      </w:pPr>
      <w:r w:rsidRPr="00A358A5">
        <w:rPr>
          <w:rFonts w:asciiTheme="minorHAnsi" w:hAnsiTheme="minorHAnsi"/>
          <w:sz w:val="22"/>
          <w:szCs w:val="22"/>
        </w:rPr>
        <w:t>The PCEHR System Operator is currently authorised to prepare and provide de-identified information in the PCEHR system for research and public health purposes.  Information in the PCEHR system is not currently used for this purpose but as the volume of information grows, arrangements and capability will be implemented for this to occur.  Appropriate protections around the preparation and disclosure of de-identified information will be implemented to ensure individuals’ privacy is safeguarded.</w:t>
      </w:r>
    </w:p>
    <w:p w:rsidR="007A304A" w:rsidRPr="00A358A5" w:rsidRDefault="007A304A" w:rsidP="00A358A5">
      <w:pPr>
        <w:pStyle w:val="ListParagraph"/>
        <w:spacing w:after="120"/>
        <w:ind w:left="737"/>
        <w:contextualSpacing w:val="0"/>
        <w:rPr>
          <w:rFonts w:asciiTheme="minorHAnsi" w:eastAsiaTheme="minorHAnsi" w:hAnsiTheme="minorHAnsi"/>
          <w:sz w:val="22"/>
          <w:szCs w:val="22"/>
        </w:rPr>
      </w:pPr>
      <w:r>
        <w:rPr>
          <w:rFonts w:asciiTheme="minorHAnsi" w:hAnsiTheme="minorHAnsi"/>
          <w:sz w:val="22"/>
          <w:szCs w:val="22"/>
        </w:rPr>
        <w:t xml:space="preserve">The processes and systems to allow this to </w:t>
      </w:r>
      <w:proofErr w:type="gramStart"/>
      <w:r>
        <w:rPr>
          <w:rFonts w:asciiTheme="minorHAnsi" w:hAnsiTheme="minorHAnsi"/>
          <w:sz w:val="22"/>
          <w:szCs w:val="22"/>
        </w:rPr>
        <w:t>occur</w:t>
      </w:r>
      <w:proofErr w:type="gramEnd"/>
      <w:r>
        <w:rPr>
          <w:rFonts w:asciiTheme="minorHAnsi" w:hAnsiTheme="minorHAnsi"/>
          <w:sz w:val="22"/>
          <w:szCs w:val="22"/>
        </w:rPr>
        <w:t xml:space="preserve"> still need to be developed, subject to consultation.</w:t>
      </w:r>
    </w:p>
    <w:p w:rsidR="00A358A5" w:rsidRPr="00A358A5" w:rsidRDefault="00A358A5" w:rsidP="00A358A5">
      <w:pPr>
        <w:pStyle w:val="ListParagraph"/>
        <w:spacing w:after="120"/>
        <w:ind w:left="737"/>
        <w:contextualSpacing w:val="0"/>
        <w:rPr>
          <w:rFonts w:asciiTheme="minorHAnsi" w:hAnsiTheme="minorHAnsi"/>
          <w:sz w:val="22"/>
          <w:szCs w:val="22"/>
        </w:rPr>
      </w:pPr>
      <w:r w:rsidRPr="00A358A5">
        <w:rPr>
          <w:rFonts w:asciiTheme="minorHAnsi" w:hAnsiTheme="minorHAnsi"/>
          <w:sz w:val="22"/>
          <w:szCs w:val="22"/>
        </w:rPr>
        <w:t>An individual can also provide consent for a researcher to collect and use the information in their PCEHR.  The existing arrangements in place for such activities, such as ethics approval, apply to use of information in the PCEHR system.</w:t>
      </w:r>
    </w:p>
    <w:p w:rsidR="00A358A5" w:rsidRPr="00A358A5" w:rsidRDefault="00A358A5" w:rsidP="00A358A5">
      <w:pPr>
        <w:pStyle w:val="ListParagraph"/>
        <w:spacing w:after="120"/>
        <w:ind w:left="737"/>
        <w:contextualSpacing w:val="0"/>
        <w:rPr>
          <w:rFonts w:asciiTheme="minorHAnsi" w:hAnsiTheme="minorHAnsi"/>
          <w:sz w:val="22"/>
          <w:szCs w:val="22"/>
        </w:rPr>
      </w:pPr>
      <w:r w:rsidRPr="00A358A5">
        <w:rPr>
          <w:rFonts w:asciiTheme="minorHAnsi" w:hAnsiTheme="minorHAnsi"/>
          <w:sz w:val="22"/>
          <w:szCs w:val="22"/>
        </w:rPr>
        <w:t>There are no proposed changes to how information in the system can be used for secondary purposes.</w:t>
      </w:r>
    </w:p>
    <w:p w:rsidR="007D4CD6" w:rsidRPr="007D4CD6" w:rsidRDefault="007D4CD6" w:rsidP="003C72D7">
      <w:pPr>
        <w:pStyle w:val="Heading4"/>
      </w:pPr>
      <w:bookmarkStart w:id="76" w:name="_Toc420394259"/>
      <w:r>
        <w:t xml:space="preserve">Registering </w:t>
      </w:r>
      <w:r w:rsidR="00716DBB">
        <w:t>individuals</w:t>
      </w:r>
      <w:r>
        <w:t xml:space="preserve"> in opt-out </w:t>
      </w:r>
      <w:r w:rsidR="00C220D0">
        <w:t>trials</w:t>
      </w:r>
      <w:bookmarkEnd w:id="75"/>
      <w:bookmarkEnd w:id="76"/>
    </w:p>
    <w:p w:rsidR="006754D3" w:rsidRDefault="00C220D0" w:rsidP="000E521D">
      <w:pPr>
        <w:pStyle w:val="ListParagraph"/>
        <w:spacing w:after="120"/>
        <w:ind w:left="737"/>
        <w:contextualSpacing w:val="0"/>
        <w:rPr>
          <w:rFonts w:asciiTheme="minorHAnsi" w:hAnsiTheme="minorHAnsi"/>
          <w:sz w:val="22"/>
          <w:szCs w:val="22"/>
        </w:rPr>
      </w:pPr>
      <w:r>
        <w:rPr>
          <w:rFonts w:asciiTheme="minorHAnsi" w:hAnsiTheme="minorHAnsi"/>
          <w:sz w:val="22"/>
          <w:szCs w:val="22"/>
        </w:rPr>
        <w:t>In the opt-out trial</w:t>
      </w:r>
      <w:r w:rsidR="008E2BBE">
        <w:rPr>
          <w:rFonts w:asciiTheme="minorHAnsi" w:hAnsiTheme="minorHAnsi"/>
          <w:sz w:val="22"/>
          <w:szCs w:val="22"/>
        </w:rPr>
        <w:t xml:space="preserve"> area</w:t>
      </w:r>
      <w:r>
        <w:rPr>
          <w:rFonts w:asciiTheme="minorHAnsi" w:hAnsiTheme="minorHAnsi"/>
          <w:sz w:val="22"/>
          <w:szCs w:val="22"/>
        </w:rPr>
        <w:t>s, a</w:t>
      </w:r>
      <w:r w:rsidR="006754D3">
        <w:rPr>
          <w:rFonts w:asciiTheme="minorHAnsi" w:hAnsiTheme="minorHAnsi"/>
          <w:sz w:val="22"/>
          <w:szCs w:val="22"/>
        </w:rPr>
        <w:t xml:space="preserve">t the end of the </w:t>
      </w:r>
      <w:r w:rsidR="00754464">
        <w:rPr>
          <w:rFonts w:asciiTheme="minorHAnsi" w:hAnsiTheme="minorHAnsi"/>
          <w:sz w:val="22"/>
          <w:szCs w:val="22"/>
        </w:rPr>
        <w:t>opt-out</w:t>
      </w:r>
      <w:r w:rsidR="006754D3">
        <w:rPr>
          <w:rFonts w:asciiTheme="minorHAnsi" w:hAnsiTheme="minorHAnsi"/>
          <w:sz w:val="22"/>
          <w:szCs w:val="22"/>
        </w:rPr>
        <w:t xml:space="preserve"> period</w:t>
      </w:r>
      <w:r w:rsidR="00754464">
        <w:rPr>
          <w:rFonts w:asciiTheme="minorHAnsi" w:hAnsiTheme="minorHAnsi"/>
          <w:sz w:val="22"/>
          <w:szCs w:val="22"/>
        </w:rPr>
        <w:t>,</w:t>
      </w:r>
      <w:r w:rsidR="00BE3EB1">
        <w:rPr>
          <w:rFonts w:asciiTheme="minorHAnsi" w:hAnsiTheme="minorHAnsi"/>
          <w:sz w:val="22"/>
          <w:szCs w:val="22"/>
        </w:rPr>
        <w:t xml:space="preserve"> the System Operator </w:t>
      </w:r>
      <w:r w:rsidR="00487A5E">
        <w:rPr>
          <w:rFonts w:asciiTheme="minorHAnsi" w:hAnsiTheme="minorHAnsi"/>
          <w:sz w:val="22"/>
          <w:szCs w:val="22"/>
        </w:rPr>
        <w:t xml:space="preserve">will </w:t>
      </w:r>
      <w:r w:rsidR="00BE3EB1">
        <w:rPr>
          <w:rFonts w:asciiTheme="minorHAnsi" w:hAnsiTheme="minorHAnsi"/>
          <w:sz w:val="22"/>
          <w:szCs w:val="22"/>
        </w:rPr>
        <w:t xml:space="preserve">register </w:t>
      </w:r>
      <w:r w:rsidR="00E60250">
        <w:rPr>
          <w:rFonts w:asciiTheme="minorHAnsi" w:hAnsiTheme="minorHAnsi"/>
          <w:sz w:val="22"/>
          <w:szCs w:val="22"/>
        </w:rPr>
        <w:t xml:space="preserve">(that is, create a PCEHR for) </w:t>
      </w:r>
      <w:r w:rsidR="00BE3EB1">
        <w:rPr>
          <w:rFonts w:asciiTheme="minorHAnsi" w:hAnsiTheme="minorHAnsi"/>
          <w:sz w:val="22"/>
          <w:szCs w:val="22"/>
        </w:rPr>
        <w:t xml:space="preserve">all </w:t>
      </w:r>
      <w:r w:rsidR="00716DBB">
        <w:rPr>
          <w:rFonts w:asciiTheme="minorHAnsi" w:hAnsiTheme="minorHAnsi"/>
          <w:sz w:val="22"/>
          <w:szCs w:val="22"/>
        </w:rPr>
        <w:t xml:space="preserve">individuals </w:t>
      </w:r>
      <w:r w:rsidR="00BE3EB1">
        <w:rPr>
          <w:rFonts w:asciiTheme="minorHAnsi" w:hAnsiTheme="minorHAnsi"/>
          <w:sz w:val="22"/>
          <w:szCs w:val="22"/>
        </w:rPr>
        <w:t>who ha</w:t>
      </w:r>
      <w:r w:rsidR="006754D3">
        <w:rPr>
          <w:rFonts w:asciiTheme="minorHAnsi" w:hAnsiTheme="minorHAnsi"/>
          <w:sz w:val="22"/>
          <w:szCs w:val="22"/>
        </w:rPr>
        <w:t>ve</w:t>
      </w:r>
      <w:r w:rsidR="00BE3EB1">
        <w:rPr>
          <w:rFonts w:asciiTheme="minorHAnsi" w:hAnsiTheme="minorHAnsi"/>
          <w:sz w:val="22"/>
          <w:szCs w:val="22"/>
        </w:rPr>
        <w:t xml:space="preserve"> an active</w:t>
      </w:r>
      <w:r w:rsidR="00AD1186">
        <w:rPr>
          <w:rFonts w:asciiTheme="minorHAnsi" w:hAnsiTheme="minorHAnsi"/>
          <w:sz w:val="22"/>
          <w:szCs w:val="22"/>
        </w:rPr>
        <w:t xml:space="preserve"> and</w:t>
      </w:r>
      <w:r w:rsidR="00BE3EB1">
        <w:rPr>
          <w:rFonts w:asciiTheme="minorHAnsi" w:hAnsiTheme="minorHAnsi"/>
          <w:sz w:val="22"/>
          <w:szCs w:val="22"/>
        </w:rPr>
        <w:t xml:space="preserve"> verified Individual Healthcare Identifier </w:t>
      </w:r>
      <w:r w:rsidR="006F6262">
        <w:rPr>
          <w:rFonts w:asciiTheme="minorHAnsi" w:hAnsiTheme="minorHAnsi"/>
          <w:sz w:val="22"/>
          <w:szCs w:val="22"/>
        </w:rPr>
        <w:t>(</w:t>
      </w:r>
      <w:proofErr w:type="spellStart"/>
      <w:r w:rsidR="006F6262">
        <w:rPr>
          <w:rFonts w:asciiTheme="minorHAnsi" w:hAnsiTheme="minorHAnsi"/>
          <w:sz w:val="22"/>
          <w:szCs w:val="22"/>
        </w:rPr>
        <w:t>IHI</w:t>
      </w:r>
      <w:proofErr w:type="spellEnd"/>
      <w:r w:rsidR="006F6262">
        <w:rPr>
          <w:rFonts w:asciiTheme="minorHAnsi" w:hAnsiTheme="minorHAnsi"/>
          <w:sz w:val="22"/>
          <w:szCs w:val="22"/>
        </w:rPr>
        <w:t>)</w:t>
      </w:r>
      <w:r w:rsidR="006754D3">
        <w:rPr>
          <w:rFonts w:asciiTheme="minorHAnsi" w:hAnsiTheme="minorHAnsi"/>
          <w:sz w:val="22"/>
          <w:szCs w:val="22"/>
        </w:rPr>
        <w:t xml:space="preserve"> except:</w:t>
      </w:r>
    </w:p>
    <w:p w:rsidR="006754D3" w:rsidRDefault="00716DBB" w:rsidP="00A67B4E">
      <w:pPr>
        <w:pStyle w:val="ListParagraph"/>
        <w:numPr>
          <w:ilvl w:val="0"/>
          <w:numId w:val="8"/>
        </w:numPr>
        <w:spacing w:after="120"/>
        <w:contextualSpacing w:val="0"/>
        <w:rPr>
          <w:rFonts w:asciiTheme="minorHAnsi" w:hAnsiTheme="minorHAnsi"/>
          <w:sz w:val="22"/>
          <w:szCs w:val="22"/>
        </w:rPr>
      </w:pPr>
      <w:r>
        <w:rPr>
          <w:rFonts w:asciiTheme="minorHAnsi" w:hAnsiTheme="minorHAnsi"/>
          <w:sz w:val="22"/>
          <w:szCs w:val="22"/>
        </w:rPr>
        <w:t xml:space="preserve">individuals </w:t>
      </w:r>
      <w:r w:rsidR="006754D3">
        <w:rPr>
          <w:rFonts w:asciiTheme="minorHAnsi" w:hAnsiTheme="minorHAnsi"/>
          <w:sz w:val="22"/>
          <w:szCs w:val="22"/>
        </w:rPr>
        <w:t>who are already registered</w:t>
      </w:r>
      <w:r w:rsidR="008E2BBE">
        <w:rPr>
          <w:rFonts w:asciiTheme="minorHAnsi" w:hAnsiTheme="minorHAnsi"/>
          <w:sz w:val="22"/>
          <w:szCs w:val="22"/>
        </w:rPr>
        <w:t xml:space="preserve"> for a PCEHR</w:t>
      </w:r>
      <w:r w:rsidR="006754D3">
        <w:rPr>
          <w:rFonts w:asciiTheme="minorHAnsi" w:hAnsiTheme="minorHAnsi"/>
          <w:sz w:val="22"/>
          <w:szCs w:val="22"/>
        </w:rPr>
        <w:t>;</w:t>
      </w:r>
    </w:p>
    <w:p w:rsidR="006754D3" w:rsidRDefault="00716DBB" w:rsidP="00A67B4E">
      <w:pPr>
        <w:pStyle w:val="ListParagraph"/>
        <w:numPr>
          <w:ilvl w:val="0"/>
          <w:numId w:val="8"/>
        </w:numPr>
        <w:spacing w:after="120"/>
        <w:contextualSpacing w:val="0"/>
        <w:rPr>
          <w:rFonts w:asciiTheme="minorHAnsi" w:hAnsiTheme="minorHAnsi"/>
          <w:sz w:val="22"/>
          <w:szCs w:val="22"/>
        </w:rPr>
      </w:pPr>
      <w:r>
        <w:rPr>
          <w:rFonts w:asciiTheme="minorHAnsi" w:hAnsiTheme="minorHAnsi"/>
          <w:sz w:val="22"/>
          <w:szCs w:val="22"/>
        </w:rPr>
        <w:t xml:space="preserve">individuals </w:t>
      </w:r>
      <w:r w:rsidR="006754D3">
        <w:rPr>
          <w:rFonts w:asciiTheme="minorHAnsi" w:hAnsiTheme="minorHAnsi"/>
          <w:sz w:val="22"/>
          <w:szCs w:val="22"/>
        </w:rPr>
        <w:t>who opt</w:t>
      </w:r>
      <w:r w:rsidR="005405F4">
        <w:rPr>
          <w:rFonts w:asciiTheme="minorHAnsi" w:hAnsiTheme="minorHAnsi"/>
          <w:sz w:val="22"/>
          <w:szCs w:val="22"/>
        </w:rPr>
        <w:t>ed</w:t>
      </w:r>
      <w:r w:rsidR="00310A44">
        <w:rPr>
          <w:rFonts w:asciiTheme="minorHAnsi" w:hAnsiTheme="minorHAnsi"/>
          <w:sz w:val="22"/>
          <w:szCs w:val="22"/>
        </w:rPr>
        <w:t xml:space="preserve"> </w:t>
      </w:r>
      <w:r w:rsidR="006754D3">
        <w:rPr>
          <w:rFonts w:asciiTheme="minorHAnsi" w:hAnsiTheme="minorHAnsi"/>
          <w:sz w:val="22"/>
          <w:szCs w:val="22"/>
        </w:rPr>
        <w:t>out during the transition period;</w:t>
      </w:r>
      <w:r w:rsidR="005405F4">
        <w:rPr>
          <w:rFonts w:asciiTheme="minorHAnsi" w:hAnsiTheme="minorHAnsi"/>
          <w:sz w:val="22"/>
          <w:szCs w:val="22"/>
        </w:rPr>
        <w:t xml:space="preserve"> and</w:t>
      </w:r>
    </w:p>
    <w:p w:rsidR="006754D3" w:rsidRDefault="00716DBB" w:rsidP="00A67B4E">
      <w:pPr>
        <w:pStyle w:val="ListParagraph"/>
        <w:numPr>
          <w:ilvl w:val="0"/>
          <w:numId w:val="8"/>
        </w:numPr>
        <w:spacing w:after="120"/>
        <w:contextualSpacing w:val="0"/>
        <w:rPr>
          <w:rFonts w:asciiTheme="minorHAnsi" w:hAnsiTheme="minorHAnsi"/>
          <w:sz w:val="22"/>
          <w:szCs w:val="22"/>
        </w:rPr>
      </w:pPr>
      <w:proofErr w:type="gramStart"/>
      <w:r>
        <w:rPr>
          <w:rFonts w:asciiTheme="minorHAnsi" w:hAnsiTheme="minorHAnsi"/>
          <w:sz w:val="22"/>
          <w:szCs w:val="22"/>
        </w:rPr>
        <w:t>individuals</w:t>
      </w:r>
      <w:proofErr w:type="gramEnd"/>
      <w:r>
        <w:rPr>
          <w:rFonts w:asciiTheme="minorHAnsi" w:hAnsiTheme="minorHAnsi"/>
          <w:sz w:val="22"/>
          <w:szCs w:val="22"/>
        </w:rPr>
        <w:t xml:space="preserve"> </w:t>
      </w:r>
      <w:r w:rsidR="006754D3">
        <w:rPr>
          <w:rFonts w:asciiTheme="minorHAnsi" w:hAnsiTheme="minorHAnsi"/>
          <w:sz w:val="22"/>
          <w:szCs w:val="22"/>
        </w:rPr>
        <w:t xml:space="preserve">who had a PCEHR but </w:t>
      </w:r>
      <w:r w:rsidR="008E2BBE">
        <w:rPr>
          <w:rFonts w:asciiTheme="minorHAnsi" w:hAnsiTheme="minorHAnsi"/>
          <w:sz w:val="22"/>
          <w:szCs w:val="22"/>
        </w:rPr>
        <w:t xml:space="preserve">who have </w:t>
      </w:r>
      <w:r w:rsidR="006754D3">
        <w:rPr>
          <w:rFonts w:asciiTheme="minorHAnsi" w:hAnsiTheme="minorHAnsi"/>
          <w:sz w:val="22"/>
          <w:szCs w:val="22"/>
        </w:rPr>
        <w:t>cancelled it before the transition period.</w:t>
      </w:r>
    </w:p>
    <w:p w:rsidR="005405F4" w:rsidRDefault="00716DBB" w:rsidP="000E521D">
      <w:pPr>
        <w:pStyle w:val="ListParagraph"/>
        <w:spacing w:after="120"/>
        <w:ind w:left="737"/>
        <w:contextualSpacing w:val="0"/>
        <w:rPr>
          <w:rFonts w:asciiTheme="minorHAnsi" w:hAnsiTheme="minorHAnsi"/>
          <w:sz w:val="22"/>
          <w:szCs w:val="22"/>
        </w:rPr>
      </w:pPr>
      <w:r>
        <w:rPr>
          <w:rFonts w:asciiTheme="minorHAnsi" w:hAnsiTheme="minorHAnsi"/>
          <w:sz w:val="22"/>
          <w:szCs w:val="22"/>
        </w:rPr>
        <w:t xml:space="preserve">Individuals </w:t>
      </w:r>
      <w:r w:rsidR="005405F4">
        <w:rPr>
          <w:rFonts w:asciiTheme="minorHAnsi" w:hAnsiTheme="minorHAnsi"/>
          <w:sz w:val="22"/>
          <w:szCs w:val="22"/>
        </w:rPr>
        <w:t xml:space="preserve">who </w:t>
      </w:r>
      <w:r w:rsidR="00373AD0">
        <w:rPr>
          <w:rFonts w:asciiTheme="minorHAnsi" w:hAnsiTheme="minorHAnsi"/>
          <w:sz w:val="22"/>
          <w:szCs w:val="22"/>
        </w:rPr>
        <w:t xml:space="preserve">have </w:t>
      </w:r>
      <w:r w:rsidR="005405F4">
        <w:rPr>
          <w:rFonts w:asciiTheme="minorHAnsi" w:hAnsiTheme="minorHAnsi"/>
          <w:sz w:val="22"/>
          <w:szCs w:val="22"/>
        </w:rPr>
        <w:t>opt</w:t>
      </w:r>
      <w:r w:rsidR="00373AD0">
        <w:rPr>
          <w:rFonts w:asciiTheme="minorHAnsi" w:hAnsiTheme="minorHAnsi"/>
          <w:sz w:val="22"/>
          <w:szCs w:val="22"/>
        </w:rPr>
        <w:t>ed</w:t>
      </w:r>
      <w:r w:rsidR="00310A44">
        <w:rPr>
          <w:rFonts w:asciiTheme="minorHAnsi" w:hAnsiTheme="minorHAnsi"/>
          <w:sz w:val="22"/>
          <w:szCs w:val="22"/>
        </w:rPr>
        <w:t xml:space="preserve"> </w:t>
      </w:r>
      <w:r w:rsidR="005405F4">
        <w:rPr>
          <w:rFonts w:asciiTheme="minorHAnsi" w:hAnsiTheme="minorHAnsi"/>
          <w:sz w:val="22"/>
          <w:szCs w:val="22"/>
        </w:rPr>
        <w:t>out may subsequently decide they want a PCEHR</w:t>
      </w:r>
      <w:r w:rsidR="00373AD0">
        <w:rPr>
          <w:rFonts w:asciiTheme="minorHAnsi" w:hAnsiTheme="minorHAnsi"/>
          <w:sz w:val="22"/>
          <w:szCs w:val="22"/>
        </w:rPr>
        <w:t>.  If this occurs,</w:t>
      </w:r>
      <w:r w:rsidR="000B3D72">
        <w:rPr>
          <w:rFonts w:asciiTheme="minorHAnsi" w:hAnsiTheme="minorHAnsi"/>
          <w:sz w:val="22"/>
          <w:szCs w:val="22"/>
        </w:rPr>
        <w:t xml:space="preserve"> they</w:t>
      </w:r>
      <w:r w:rsidR="005405F4">
        <w:rPr>
          <w:rFonts w:asciiTheme="minorHAnsi" w:hAnsiTheme="minorHAnsi"/>
          <w:sz w:val="22"/>
          <w:szCs w:val="22"/>
        </w:rPr>
        <w:t xml:space="preserve"> </w:t>
      </w:r>
      <w:r w:rsidR="00487A5E">
        <w:rPr>
          <w:rFonts w:asciiTheme="minorHAnsi" w:hAnsiTheme="minorHAnsi"/>
          <w:sz w:val="22"/>
          <w:szCs w:val="22"/>
        </w:rPr>
        <w:t xml:space="preserve">will </w:t>
      </w:r>
      <w:r w:rsidR="00373AD0">
        <w:rPr>
          <w:rFonts w:asciiTheme="minorHAnsi" w:hAnsiTheme="minorHAnsi"/>
          <w:sz w:val="22"/>
          <w:szCs w:val="22"/>
        </w:rPr>
        <w:t xml:space="preserve">be able to </w:t>
      </w:r>
      <w:r w:rsidR="005405F4">
        <w:rPr>
          <w:rFonts w:asciiTheme="minorHAnsi" w:hAnsiTheme="minorHAnsi"/>
          <w:sz w:val="22"/>
          <w:szCs w:val="22"/>
        </w:rPr>
        <w:t>register</w:t>
      </w:r>
      <w:r w:rsidR="000B3D72">
        <w:rPr>
          <w:rFonts w:asciiTheme="minorHAnsi" w:hAnsiTheme="minorHAnsi"/>
          <w:sz w:val="22"/>
          <w:szCs w:val="22"/>
        </w:rPr>
        <w:t xml:space="preserve"> and have a PCEHR created</w:t>
      </w:r>
      <w:r w:rsidR="00373AD0">
        <w:rPr>
          <w:rFonts w:asciiTheme="minorHAnsi" w:hAnsiTheme="minorHAnsi"/>
          <w:sz w:val="22"/>
          <w:szCs w:val="22"/>
        </w:rPr>
        <w:t xml:space="preserve"> for them</w:t>
      </w:r>
      <w:r w:rsidR="000B3D72">
        <w:rPr>
          <w:rFonts w:asciiTheme="minorHAnsi" w:hAnsiTheme="minorHAnsi"/>
          <w:sz w:val="22"/>
          <w:szCs w:val="22"/>
        </w:rPr>
        <w:t>.  Th</w:t>
      </w:r>
      <w:r w:rsidR="00373AD0">
        <w:rPr>
          <w:rFonts w:asciiTheme="minorHAnsi" w:hAnsiTheme="minorHAnsi"/>
          <w:sz w:val="22"/>
          <w:szCs w:val="22"/>
        </w:rPr>
        <w:t>is</w:t>
      </w:r>
      <w:r w:rsidR="000B3D72">
        <w:rPr>
          <w:rFonts w:asciiTheme="minorHAnsi" w:hAnsiTheme="minorHAnsi"/>
          <w:sz w:val="22"/>
          <w:szCs w:val="22"/>
        </w:rPr>
        <w:t xml:space="preserve"> registration process </w:t>
      </w:r>
      <w:r w:rsidR="00487A5E">
        <w:rPr>
          <w:rFonts w:asciiTheme="minorHAnsi" w:hAnsiTheme="minorHAnsi"/>
          <w:sz w:val="22"/>
          <w:szCs w:val="22"/>
        </w:rPr>
        <w:t xml:space="preserve">will </w:t>
      </w:r>
      <w:r w:rsidR="000B3D72">
        <w:rPr>
          <w:rFonts w:asciiTheme="minorHAnsi" w:hAnsiTheme="minorHAnsi"/>
          <w:sz w:val="22"/>
          <w:szCs w:val="22"/>
        </w:rPr>
        <w:t>be the same as the current registration process under the PCEHR Act.</w:t>
      </w:r>
    </w:p>
    <w:p w:rsidR="005405F4" w:rsidRDefault="00716DBB" w:rsidP="000E521D">
      <w:pPr>
        <w:pStyle w:val="ListParagraph"/>
        <w:spacing w:after="120"/>
        <w:ind w:left="737"/>
        <w:contextualSpacing w:val="0"/>
        <w:rPr>
          <w:rFonts w:asciiTheme="minorHAnsi" w:hAnsiTheme="minorHAnsi"/>
          <w:sz w:val="22"/>
          <w:szCs w:val="22"/>
        </w:rPr>
      </w:pPr>
      <w:r>
        <w:rPr>
          <w:rFonts w:asciiTheme="minorHAnsi" w:hAnsiTheme="minorHAnsi"/>
          <w:sz w:val="22"/>
          <w:szCs w:val="22"/>
        </w:rPr>
        <w:t xml:space="preserve">An individual </w:t>
      </w:r>
      <w:r w:rsidR="005405F4">
        <w:rPr>
          <w:rFonts w:asciiTheme="minorHAnsi" w:hAnsiTheme="minorHAnsi"/>
          <w:sz w:val="22"/>
          <w:szCs w:val="22"/>
        </w:rPr>
        <w:t xml:space="preserve">(or their representative) </w:t>
      </w:r>
      <w:r w:rsidR="00487A5E">
        <w:rPr>
          <w:rFonts w:asciiTheme="minorHAnsi" w:hAnsiTheme="minorHAnsi"/>
          <w:sz w:val="22"/>
          <w:szCs w:val="22"/>
        </w:rPr>
        <w:t xml:space="preserve">will </w:t>
      </w:r>
      <w:r w:rsidR="005405F4">
        <w:rPr>
          <w:rFonts w:asciiTheme="minorHAnsi" w:hAnsiTheme="minorHAnsi"/>
          <w:sz w:val="22"/>
          <w:szCs w:val="22"/>
        </w:rPr>
        <w:t xml:space="preserve">continue to be able to cancel their registration at any time.  The System Operator </w:t>
      </w:r>
      <w:r w:rsidR="00D85CC8">
        <w:rPr>
          <w:rFonts w:asciiTheme="minorHAnsi" w:hAnsiTheme="minorHAnsi"/>
          <w:sz w:val="22"/>
          <w:szCs w:val="22"/>
        </w:rPr>
        <w:t>would</w:t>
      </w:r>
      <w:r w:rsidR="005405F4">
        <w:rPr>
          <w:rFonts w:asciiTheme="minorHAnsi" w:hAnsiTheme="minorHAnsi"/>
          <w:sz w:val="22"/>
          <w:szCs w:val="22"/>
        </w:rPr>
        <w:t xml:space="preserve"> write to the </w:t>
      </w:r>
      <w:r>
        <w:rPr>
          <w:rFonts w:asciiTheme="minorHAnsi" w:hAnsiTheme="minorHAnsi"/>
          <w:sz w:val="22"/>
          <w:szCs w:val="22"/>
        </w:rPr>
        <w:t xml:space="preserve">individual </w:t>
      </w:r>
      <w:r w:rsidR="005405F4">
        <w:rPr>
          <w:rFonts w:asciiTheme="minorHAnsi" w:hAnsiTheme="minorHAnsi"/>
          <w:sz w:val="22"/>
          <w:szCs w:val="22"/>
        </w:rPr>
        <w:t xml:space="preserve">to confirm that registration </w:t>
      </w:r>
      <w:r w:rsidR="00AD1186">
        <w:rPr>
          <w:rFonts w:asciiTheme="minorHAnsi" w:hAnsiTheme="minorHAnsi"/>
          <w:sz w:val="22"/>
          <w:szCs w:val="22"/>
        </w:rPr>
        <w:t>will</w:t>
      </w:r>
      <w:r w:rsidR="005405F4">
        <w:rPr>
          <w:rFonts w:asciiTheme="minorHAnsi" w:hAnsiTheme="minorHAnsi"/>
          <w:sz w:val="22"/>
          <w:szCs w:val="22"/>
        </w:rPr>
        <w:t xml:space="preserve"> be cancelled.  This is designed to prevent third parties from be</w:t>
      </w:r>
      <w:r w:rsidR="00310A44">
        <w:rPr>
          <w:rFonts w:asciiTheme="minorHAnsi" w:hAnsiTheme="minorHAnsi"/>
          <w:sz w:val="22"/>
          <w:szCs w:val="22"/>
        </w:rPr>
        <w:t>ing</w:t>
      </w:r>
      <w:r w:rsidR="005405F4">
        <w:rPr>
          <w:rFonts w:asciiTheme="minorHAnsi" w:hAnsiTheme="minorHAnsi"/>
          <w:sz w:val="22"/>
          <w:szCs w:val="22"/>
        </w:rPr>
        <w:t xml:space="preserve"> able to cancel other </w:t>
      </w:r>
      <w:r>
        <w:rPr>
          <w:rFonts w:asciiTheme="minorHAnsi" w:hAnsiTheme="minorHAnsi"/>
          <w:sz w:val="22"/>
          <w:szCs w:val="22"/>
        </w:rPr>
        <w:t xml:space="preserve">individuals’ </w:t>
      </w:r>
      <w:proofErr w:type="spellStart"/>
      <w:r w:rsidR="005405F4">
        <w:rPr>
          <w:rFonts w:asciiTheme="minorHAnsi" w:hAnsiTheme="minorHAnsi"/>
          <w:sz w:val="22"/>
          <w:szCs w:val="22"/>
        </w:rPr>
        <w:t>PCEHRs</w:t>
      </w:r>
      <w:proofErr w:type="spellEnd"/>
      <w:r w:rsidR="005405F4">
        <w:rPr>
          <w:rFonts w:asciiTheme="minorHAnsi" w:hAnsiTheme="minorHAnsi"/>
          <w:sz w:val="22"/>
          <w:szCs w:val="22"/>
        </w:rPr>
        <w:t xml:space="preserve">.  </w:t>
      </w:r>
    </w:p>
    <w:p w:rsidR="009F5FF3" w:rsidRPr="007D4CD6" w:rsidRDefault="009F5FF3" w:rsidP="009F5FF3">
      <w:pPr>
        <w:pStyle w:val="Heading4"/>
      </w:pPr>
      <w:bookmarkStart w:id="77" w:name="_Toc418763106"/>
      <w:bookmarkStart w:id="78" w:name="_Toc420394260"/>
      <w:r>
        <w:t>Registering healthcare provider organisations and other entities in opt-out trials</w:t>
      </w:r>
      <w:bookmarkEnd w:id="77"/>
      <w:bookmarkEnd w:id="78"/>
    </w:p>
    <w:p w:rsidR="009F5FF3" w:rsidRDefault="009F5FF3" w:rsidP="009F5FF3">
      <w:pPr>
        <w:pStyle w:val="ListParagraph"/>
        <w:spacing w:after="120"/>
        <w:ind w:left="737"/>
        <w:contextualSpacing w:val="0"/>
        <w:rPr>
          <w:rFonts w:asciiTheme="minorHAnsi" w:hAnsiTheme="minorHAnsi"/>
          <w:sz w:val="22"/>
          <w:szCs w:val="22"/>
        </w:rPr>
      </w:pPr>
      <w:r>
        <w:rPr>
          <w:rFonts w:asciiTheme="minorHAnsi" w:hAnsiTheme="minorHAnsi"/>
          <w:sz w:val="22"/>
          <w:szCs w:val="22"/>
        </w:rPr>
        <w:t xml:space="preserve">Healthcare provider organisations, contracted service providers, repository operators and portal operators </w:t>
      </w:r>
      <w:r w:rsidR="00487A5E">
        <w:rPr>
          <w:rFonts w:asciiTheme="minorHAnsi" w:hAnsiTheme="minorHAnsi"/>
          <w:sz w:val="22"/>
          <w:szCs w:val="22"/>
        </w:rPr>
        <w:t xml:space="preserve">will </w:t>
      </w:r>
      <w:r>
        <w:rPr>
          <w:rFonts w:asciiTheme="minorHAnsi" w:hAnsiTheme="minorHAnsi"/>
          <w:sz w:val="22"/>
          <w:szCs w:val="22"/>
        </w:rPr>
        <w:t>continue to participate on an opt-in basis</w:t>
      </w:r>
      <w:r w:rsidR="007A304A">
        <w:rPr>
          <w:rFonts w:asciiTheme="minorHAnsi" w:hAnsiTheme="minorHAnsi"/>
          <w:sz w:val="22"/>
          <w:szCs w:val="22"/>
        </w:rPr>
        <w:t>.  Healthcare provider organisations will be encouraged to use the system through revised incentives, and education and training services</w:t>
      </w:r>
      <w:r>
        <w:rPr>
          <w:rFonts w:asciiTheme="minorHAnsi" w:hAnsiTheme="minorHAnsi"/>
          <w:sz w:val="22"/>
          <w:szCs w:val="22"/>
        </w:rPr>
        <w:t xml:space="preserve">.  </w:t>
      </w:r>
    </w:p>
    <w:p w:rsidR="00D42FEC" w:rsidRDefault="00D42FEC">
      <w:pPr>
        <w:rPr>
          <w:rFonts w:asciiTheme="minorHAnsi" w:hAnsiTheme="minorHAnsi"/>
          <w:b/>
          <w:sz w:val="28"/>
          <w:szCs w:val="28"/>
          <w:lang w:eastAsia="en-US"/>
        </w:rPr>
      </w:pPr>
      <w:bookmarkStart w:id="79" w:name="_Toc418763107"/>
      <w:r>
        <w:br w:type="page"/>
      </w:r>
    </w:p>
    <w:p w:rsidR="00543BEF" w:rsidRPr="003C72D7" w:rsidRDefault="00205A8D" w:rsidP="00205A8D">
      <w:pPr>
        <w:pStyle w:val="Heading2"/>
        <w:numPr>
          <w:ilvl w:val="0"/>
          <w:numId w:val="0"/>
        </w:numPr>
        <w:ind w:left="737" w:hanging="737"/>
      </w:pPr>
      <w:bookmarkStart w:id="80" w:name="_Toc420394261"/>
      <w:r>
        <w:lastRenderedPageBreak/>
        <w:t>3.4</w:t>
      </w:r>
      <w:r>
        <w:tab/>
      </w:r>
      <w:r w:rsidR="00FC62D8" w:rsidRPr="003C72D7">
        <w:t>Obligations of parties</w:t>
      </w:r>
      <w:bookmarkEnd w:id="79"/>
      <w:bookmarkEnd w:id="80"/>
    </w:p>
    <w:p w:rsidR="003D6C23" w:rsidRPr="003D6C23" w:rsidRDefault="00205A8D" w:rsidP="00205A8D">
      <w:pPr>
        <w:pStyle w:val="Heading3"/>
        <w:numPr>
          <w:ilvl w:val="0"/>
          <w:numId w:val="0"/>
        </w:numPr>
        <w:ind w:left="720" w:hanging="720"/>
      </w:pPr>
      <w:bookmarkStart w:id="81" w:name="_Toc418763108"/>
      <w:bookmarkStart w:id="82" w:name="_Toc420394262"/>
      <w:r>
        <w:t>3.4.1</w:t>
      </w:r>
      <w:r>
        <w:tab/>
      </w:r>
      <w:r w:rsidR="00FC62D8">
        <w:t>Obligation to enter into participation agreement</w:t>
      </w:r>
      <w:bookmarkEnd w:id="81"/>
      <w:bookmarkEnd w:id="82"/>
    </w:p>
    <w:p w:rsidR="00557BA1" w:rsidRDefault="00557BA1" w:rsidP="00557BA1">
      <w:pPr>
        <w:pStyle w:val="ListParagraph"/>
        <w:spacing w:after="120"/>
        <w:ind w:left="737"/>
        <w:contextualSpacing w:val="0"/>
        <w:rPr>
          <w:rStyle w:val="IntenseReference"/>
          <w:rFonts w:asciiTheme="minorHAnsi" w:hAnsiTheme="minorHAnsi" w:cs="Arial"/>
          <w:b w:val="0"/>
          <w:bCs w:val="0"/>
          <w:i w:val="0"/>
          <w:smallCaps w:val="0"/>
          <w:color w:val="auto"/>
          <w:spacing w:val="0"/>
          <w:sz w:val="22"/>
          <w:szCs w:val="22"/>
        </w:rPr>
      </w:pPr>
      <w:r>
        <w:rPr>
          <w:rStyle w:val="IntenseReference"/>
          <w:rFonts w:asciiTheme="minorHAnsi" w:hAnsiTheme="minorHAnsi" w:cs="Arial"/>
          <w:b w:val="0"/>
          <w:bCs w:val="0"/>
          <w:i w:val="0"/>
          <w:smallCaps w:val="0"/>
          <w:color w:val="auto"/>
          <w:spacing w:val="0"/>
          <w:sz w:val="22"/>
          <w:szCs w:val="22"/>
        </w:rPr>
        <w:t xml:space="preserve">To help reduce red-tape and </w:t>
      </w:r>
      <w:r w:rsidR="00BE07E8">
        <w:rPr>
          <w:rStyle w:val="IntenseReference"/>
          <w:rFonts w:asciiTheme="minorHAnsi" w:hAnsiTheme="minorHAnsi" w:cs="Arial"/>
          <w:b w:val="0"/>
          <w:bCs w:val="0"/>
          <w:i w:val="0"/>
          <w:smallCaps w:val="0"/>
          <w:color w:val="auto"/>
          <w:spacing w:val="0"/>
          <w:sz w:val="22"/>
          <w:szCs w:val="22"/>
        </w:rPr>
        <w:t>rationalise</w:t>
      </w:r>
      <w:r>
        <w:rPr>
          <w:rStyle w:val="IntenseReference"/>
          <w:rFonts w:asciiTheme="minorHAnsi" w:hAnsiTheme="minorHAnsi" w:cs="Arial"/>
          <w:b w:val="0"/>
          <w:bCs w:val="0"/>
          <w:i w:val="0"/>
          <w:smallCaps w:val="0"/>
          <w:color w:val="auto"/>
          <w:spacing w:val="0"/>
          <w:sz w:val="22"/>
          <w:szCs w:val="22"/>
        </w:rPr>
        <w:t xml:space="preserve"> core obligations for participants in the PCEHR system, it is proposed t</w:t>
      </w:r>
      <w:r w:rsidR="00FF194A">
        <w:rPr>
          <w:rStyle w:val="IntenseReference"/>
          <w:rFonts w:asciiTheme="minorHAnsi" w:hAnsiTheme="minorHAnsi" w:cs="Arial"/>
          <w:b w:val="0"/>
          <w:bCs w:val="0"/>
          <w:i w:val="0"/>
          <w:smallCaps w:val="0"/>
          <w:color w:val="auto"/>
          <w:spacing w:val="0"/>
          <w:sz w:val="22"/>
          <w:szCs w:val="22"/>
        </w:rPr>
        <w:t xml:space="preserve">o remove </w:t>
      </w:r>
      <w:r>
        <w:rPr>
          <w:rStyle w:val="IntenseReference"/>
          <w:rFonts w:asciiTheme="minorHAnsi" w:hAnsiTheme="minorHAnsi" w:cs="Arial"/>
          <w:b w:val="0"/>
          <w:bCs w:val="0"/>
          <w:i w:val="0"/>
          <w:smallCaps w:val="0"/>
          <w:color w:val="auto"/>
          <w:spacing w:val="0"/>
          <w:sz w:val="22"/>
          <w:szCs w:val="22"/>
        </w:rPr>
        <w:t>the need for healthcare provider organisations, contracted service providers, repository operators and portal operators to enter into participation agreements</w:t>
      </w:r>
      <w:r w:rsidR="00FF194A">
        <w:rPr>
          <w:rStyle w:val="IntenseReference"/>
          <w:rFonts w:asciiTheme="minorHAnsi" w:hAnsiTheme="minorHAnsi" w:cs="Arial"/>
          <w:b w:val="0"/>
          <w:bCs w:val="0"/>
          <w:i w:val="0"/>
          <w:smallCaps w:val="0"/>
          <w:color w:val="auto"/>
          <w:spacing w:val="0"/>
          <w:sz w:val="22"/>
          <w:szCs w:val="22"/>
        </w:rPr>
        <w:t>.</w:t>
      </w:r>
      <w:r>
        <w:rPr>
          <w:rStyle w:val="IntenseReference"/>
          <w:rFonts w:asciiTheme="minorHAnsi" w:hAnsiTheme="minorHAnsi" w:cs="Arial"/>
          <w:b w:val="0"/>
          <w:bCs w:val="0"/>
          <w:i w:val="0"/>
          <w:smallCaps w:val="0"/>
          <w:color w:val="auto"/>
          <w:spacing w:val="0"/>
          <w:sz w:val="22"/>
          <w:szCs w:val="22"/>
        </w:rPr>
        <w:t xml:space="preserve">  </w:t>
      </w:r>
      <w:r w:rsidR="00FF194A">
        <w:rPr>
          <w:rStyle w:val="IntenseReference"/>
          <w:rFonts w:asciiTheme="minorHAnsi" w:hAnsiTheme="minorHAnsi" w:cs="Arial"/>
          <w:b w:val="0"/>
          <w:bCs w:val="0"/>
          <w:i w:val="0"/>
          <w:smallCaps w:val="0"/>
          <w:color w:val="auto"/>
          <w:spacing w:val="0"/>
          <w:sz w:val="22"/>
          <w:szCs w:val="22"/>
        </w:rPr>
        <w:t xml:space="preserve">Where necessary, requirements in </w:t>
      </w:r>
      <w:r w:rsidRPr="003D6C23">
        <w:rPr>
          <w:rStyle w:val="IntenseReference"/>
          <w:rFonts w:asciiTheme="minorHAnsi" w:hAnsiTheme="minorHAnsi" w:cs="Arial"/>
          <w:b w:val="0"/>
          <w:bCs w:val="0"/>
          <w:i w:val="0"/>
          <w:smallCaps w:val="0"/>
          <w:color w:val="auto"/>
          <w:spacing w:val="0"/>
          <w:sz w:val="22"/>
          <w:szCs w:val="22"/>
        </w:rPr>
        <w:t xml:space="preserve">participation agreements </w:t>
      </w:r>
      <w:r w:rsidR="00D85CC8">
        <w:rPr>
          <w:rStyle w:val="IntenseReference"/>
          <w:rFonts w:asciiTheme="minorHAnsi" w:hAnsiTheme="minorHAnsi" w:cs="Arial"/>
          <w:b w:val="0"/>
          <w:bCs w:val="0"/>
          <w:i w:val="0"/>
          <w:smallCaps w:val="0"/>
          <w:color w:val="auto"/>
          <w:spacing w:val="0"/>
          <w:sz w:val="22"/>
          <w:szCs w:val="22"/>
        </w:rPr>
        <w:t>would</w:t>
      </w:r>
      <w:r w:rsidR="00FF194A">
        <w:rPr>
          <w:rStyle w:val="IntenseReference"/>
          <w:rFonts w:asciiTheme="minorHAnsi" w:hAnsiTheme="minorHAnsi" w:cs="Arial"/>
          <w:b w:val="0"/>
          <w:bCs w:val="0"/>
          <w:i w:val="0"/>
          <w:smallCaps w:val="0"/>
          <w:color w:val="auto"/>
          <w:spacing w:val="0"/>
          <w:sz w:val="22"/>
          <w:szCs w:val="22"/>
        </w:rPr>
        <w:t xml:space="preserve"> be transferred into </w:t>
      </w:r>
      <w:r>
        <w:rPr>
          <w:rStyle w:val="IntenseReference"/>
          <w:rFonts w:asciiTheme="minorHAnsi" w:hAnsiTheme="minorHAnsi" w:cs="Arial"/>
          <w:b w:val="0"/>
          <w:bCs w:val="0"/>
          <w:i w:val="0"/>
          <w:smallCaps w:val="0"/>
          <w:color w:val="auto"/>
          <w:spacing w:val="0"/>
          <w:sz w:val="22"/>
          <w:szCs w:val="22"/>
        </w:rPr>
        <w:t>the legislation.</w:t>
      </w:r>
      <w:r w:rsidR="00BE2CD8">
        <w:rPr>
          <w:rStyle w:val="IntenseReference"/>
          <w:rFonts w:asciiTheme="minorHAnsi" w:hAnsiTheme="minorHAnsi" w:cs="Arial"/>
          <w:b w:val="0"/>
          <w:bCs w:val="0"/>
          <w:i w:val="0"/>
          <w:smallCaps w:val="0"/>
          <w:color w:val="auto"/>
          <w:spacing w:val="0"/>
          <w:sz w:val="22"/>
          <w:szCs w:val="22"/>
        </w:rPr>
        <w:t xml:space="preserve">  </w:t>
      </w:r>
      <w:r w:rsidR="00FF194A">
        <w:rPr>
          <w:rStyle w:val="IntenseReference"/>
          <w:rFonts w:asciiTheme="minorHAnsi" w:hAnsiTheme="minorHAnsi" w:cs="Arial"/>
          <w:b w:val="0"/>
          <w:bCs w:val="0"/>
          <w:i w:val="0"/>
          <w:smallCaps w:val="0"/>
          <w:color w:val="auto"/>
          <w:spacing w:val="0"/>
          <w:sz w:val="22"/>
          <w:szCs w:val="22"/>
        </w:rPr>
        <w:t xml:space="preserve">The proposed </w:t>
      </w:r>
      <w:r w:rsidR="00BE2CD8">
        <w:rPr>
          <w:rStyle w:val="IntenseReference"/>
          <w:rFonts w:asciiTheme="minorHAnsi" w:hAnsiTheme="minorHAnsi" w:cs="Arial"/>
          <w:b w:val="0"/>
          <w:bCs w:val="0"/>
          <w:i w:val="0"/>
          <w:smallCaps w:val="0"/>
          <w:color w:val="auto"/>
          <w:spacing w:val="0"/>
          <w:sz w:val="22"/>
          <w:szCs w:val="22"/>
        </w:rPr>
        <w:t xml:space="preserve">approach to handling key obligations </w:t>
      </w:r>
      <w:r w:rsidR="00FF194A">
        <w:rPr>
          <w:rStyle w:val="IntenseReference"/>
          <w:rFonts w:asciiTheme="minorHAnsi" w:hAnsiTheme="minorHAnsi" w:cs="Arial"/>
          <w:b w:val="0"/>
          <w:bCs w:val="0"/>
          <w:i w:val="0"/>
          <w:smallCaps w:val="0"/>
          <w:color w:val="auto"/>
          <w:spacing w:val="0"/>
          <w:sz w:val="22"/>
          <w:szCs w:val="22"/>
        </w:rPr>
        <w:t xml:space="preserve">currently in participation agreements </w:t>
      </w:r>
      <w:r w:rsidR="00BE2CD8">
        <w:rPr>
          <w:rStyle w:val="IntenseReference"/>
          <w:rFonts w:asciiTheme="minorHAnsi" w:hAnsiTheme="minorHAnsi" w:cs="Arial"/>
          <w:b w:val="0"/>
          <w:bCs w:val="0"/>
          <w:i w:val="0"/>
          <w:smallCaps w:val="0"/>
          <w:color w:val="auto"/>
          <w:spacing w:val="0"/>
          <w:sz w:val="22"/>
          <w:szCs w:val="22"/>
        </w:rPr>
        <w:t>are discussed below.</w:t>
      </w:r>
    </w:p>
    <w:p w:rsidR="00956EDE" w:rsidRDefault="00E07A91" w:rsidP="003C72D7">
      <w:pPr>
        <w:pStyle w:val="Heading4"/>
      </w:pPr>
      <w:bookmarkStart w:id="83" w:name="_Toc418763109"/>
      <w:bookmarkStart w:id="84" w:name="_Toc420394263"/>
      <w:r>
        <w:t>Intellectual property</w:t>
      </w:r>
      <w:bookmarkEnd w:id="83"/>
      <w:bookmarkEnd w:id="84"/>
    </w:p>
    <w:p w:rsidR="00E07A91" w:rsidRDefault="00FF194A" w:rsidP="00557BA1">
      <w:pPr>
        <w:pStyle w:val="ListParagraph"/>
        <w:spacing w:after="120"/>
        <w:ind w:left="737"/>
        <w:contextualSpacing w:val="0"/>
        <w:rPr>
          <w:rFonts w:asciiTheme="minorHAnsi" w:hAnsiTheme="minorHAnsi"/>
          <w:sz w:val="22"/>
          <w:szCs w:val="22"/>
        </w:rPr>
      </w:pPr>
      <w:r>
        <w:rPr>
          <w:rFonts w:asciiTheme="minorHAnsi" w:hAnsiTheme="minorHAnsi"/>
          <w:sz w:val="22"/>
          <w:szCs w:val="22"/>
        </w:rPr>
        <w:t>P</w:t>
      </w:r>
      <w:r w:rsidR="00E07A91">
        <w:rPr>
          <w:rFonts w:asciiTheme="minorHAnsi" w:hAnsiTheme="minorHAnsi"/>
          <w:sz w:val="22"/>
          <w:szCs w:val="22"/>
        </w:rPr>
        <w:t>articipation agreement</w:t>
      </w:r>
      <w:r>
        <w:rPr>
          <w:rFonts w:asciiTheme="minorHAnsi" w:hAnsiTheme="minorHAnsi"/>
          <w:sz w:val="22"/>
          <w:szCs w:val="22"/>
        </w:rPr>
        <w:t>s</w:t>
      </w:r>
      <w:r w:rsidR="00E07A91">
        <w:rPr>
          <w:rFonts w:asciiTheme="minorHAnsi" w:hAnsiTheme="minorHAnsi"/>
          <w:sz w:val="22"/>
          <w:szCs w:val="22"/>
        </w:rPr>
        <w:t xml:space="preserve"> currently contain licensing provisions which enable information uploaded by healthcare provider organisations</w:t>
      </w:r>
      <w:r w:rsidR="00BE07E8">
        <w:rPr>
          <w:rFonts w:asciiTheme="minorHAnsi" w:hAnsiTheme="minorHAnsi"/>
          <w:sz w:val="22"/>
          <w:szCs w:val="22"/>
        </w:rPr>
        <w:t xml:space="preserve"> to be shared</w:t>
      </w:r>
      <w:r>
        <w:rPr>
          <w:rFonts w:asciiTheme="minorHAnsi" w:hAnsiTheme="minorHAnsi"/>
          <w:sz w:val="22"/>
          <w:szCs w:val="22"/>
        </w:rPr>
        <w:t xml:space="preserve"> between participants in the PCEHR system (for example, as part of storing a record in a repository), </w:t>
      </w:r>
      <w:r w:rsidR="00352FE0">
        <w:rPr>
          <w:rFonts w:asciiTheme="minorHAnsi" w:hAnsiTheme="minorHAnsi"/>
          <w:sz w:val="22"/>
          <w:szCs w:val="22"/>
        </w:rPr>
        <w:t xml:space="preserve">and </w:t>
      </w:r>
      <w:r w:rsidR="00E07A91">
        <w:rPr>
          <w:rFonts w:asciiTheme="minorHAnsi" w:hAnsiTheme="minorHAnsi"/>
          <w:sz w:val="22"/>
          <w:szCs w:val="22"/>
        </w:rPr>
        <w:t xml:space="preserve">to be </w:t>
      </w:r>
      <w:r w:rsidR="00BE07E8">
        <w:rPr>
          <w:rFonts w:asciiTheme="minorHAnsi" w:hAnsiTheme="minorHAnsi"/>
          <w:sz w:val="22"/>
          <w:szCs w:val="22"/>
        </w:rPr>
        <w:t xml:space="preserve">supplied to and </w:t>
      </w:r>
      <w:r w:rsidR="00E07A91">
        <w:rPr>
          <w:rFonts w:asciiTheme="minorHAnsi" w:hAnsiTheme="minorHAnsi"/>
          <w:sz w:val="22"/>
          <w:szCs w:val="22"/>
        </w:rPr>
        <w:t>used by other healthcare provider organisations</w:t>
      </w:r>
      <w:r w:rsidR="00352FE0">
        <w:rPr>
          <w:rFonts w:asciiTheme="minorHAnsi" w:hAnsiTheme="minorHAnsi"/>
          <w:sz w:val="22"/>
          <w:szCs w:val="22"/>
        </w:rPr>
        <w:t>,</w:t>
      </w:r>
      <w:r w:rsidR="00E07A91">
        <w:rPr>
          <w:rFonts w:asciiTheme="minorHAnsi" w:hAnsiTheme="minorHAnsi"/>
          <w:sz w:val="22"/>
          <w:szCs w:val="22"/>
        </w:rPr>
        <w:t xml:space="preserve"> without infringing </w:t>
      </w:r>
      <w:r w:rsidR="00352FE0">
        <w:rPr>
          <w:rFonts w:asciiTheme="minorHAnsi" w:hAnsiTheme="minorHAnsi"/>
          <w:sz w:val="22"/>
          <w:szCs w:val="22"/>
        </w:rPr>
        <w:t xml:space="preserve">any </w:t>
      </w:r>
      <w:r w:rsidR="00E07A91">
        <w:rPr>
          <w:rFonts w:asciiTheme="minorHAnsi" w:hAnsiTheme="minorHAnsi"/>
          <w:sz w:val="22"/>
          <w:szCs w:val="22"/>
        </w:rPr>
        <w:t xml:space="preserve">copyright </w:t>
      </w:r>
      <w:r w:rsidR="00352FE0">
        <w:rPr>
          <w:rFonts w:asciiTheme="minorHAnsi" w:hAnsiTheme="minorHAnsi"/>
          <w:sz w:val="22"/>
          <w:szCs w:val="22"/>
        </w:rPr>
        <w:t>which might exist in the record</w:t>
      </w:r>
      <w:r w:rsidR="00E07A91">
        <w:rPr>
          <w:rFonts w:asciiTheme="minorHAnsi" w:hAnsiTheme="minorHAnsi"/>
          <w:sz w:val="22"/>
          <w:szCs w:val="22"/>
        </w:rPr>
        <w:t>.</w:t>
      </w:r>
      <w:r w:rsidR="002320DB">
        <w:rPr>
          <w:rStyle w:val="FootnoteReference"/>
          <w:rFonts w:asciiTheme="minorHAnsi" w:hAnsiTheme="minorHAnsi"/>
          <w:sz w:val="22"/>
          <w:szCs w:val="22"/>
        </w:rPr>
        <w:footnoteReference w:id="13"/>
      </w:r>
    </w:p>
    <w:p w:rsidR="00E07A91" w:rsidRDefault="00E07A91" w:rsidP="00557BA1">
      <w:pPr>
        <w:pStyle w:val="ListParagraph"/>
        <w:spacing w:after="120"/>
        <w:ind w:left="737"/>
        <w:contextualSpacing w:val="0"/>
        <w:rPr>
          <w:rFonts w:asciiTheme="minorHAnsi" w:hAnsiTheme="minorHAnsi"/>
          <w:sz w:val="22"/>
          <w:szCs w:val="22"/>
        </w:rPr>
      </w:pPr>
      <w:r w:rsidRPr="00754464">
        <w:rPr>
          <w:rFonts w:asciiTheme="minorHAnsi" w:hAnsiTheme="minorHAnsi"/>
          <w:sz w:val="22"/>
          <w:szCs w:val="22"/>
        </w:rPr>
        <w:t xml:space="preserve">With the </w:t>
      </w:r>
      <w:r w:rsidR="00352FE0">
        <w:rPr>
          <w:rFonts w:asciiTheme="minorHAnsi" w:hAnsiTheme="minorHAnsi"/>
          <w:sz w:val="22"/>
          <w:szCs w:val="22"/>
        </w:rPr>
        <w:t xml:space="preserve">proposed abolition </w:t>
      </w:r>
      <w:r w:rsidRPr="00754464">
        <w:rPr>
          <w:rFonts w:asciiTheme="minorHAnsi" w:hAnsiTheme="minorHAnsi"/>
          <w:sz w:val="22"/>
          <w:szCs w:val="22"/>
        </w:rPr>
        <w:t>of participation agreement</w:t>
      </w:r>
      <w:r w:rsidR="00B03A03" w:rsidRPr="00754464">
        <w:rPr>
          <w:rFonts w:asciiTheme="minorHAnsi" w:hAnsiTheme="minorHAnsi"/>
          <w:sz w:val="22"/>
          <w:szCs w:val="22"/>
        </w:rPr>
        <w:t>s</w:t>
      </w:r>
      <w:r w:rsidRPr="00754464">
        <w:rPr>
          <w:rFonts w:asciiTheme="minorHAnsi" w:hAnsiTheme="minorHAnsi"/>
          <w:sz w:val="22"/>
          <w:szCs w:val="22"/>
        </w:rPr>
        <w:t xml:space="preserve">, it is proposed that the PCEHR Act provide </w:t>
      </w:r>
      <w:r w:rsidR="002320DB" w:rsidRPr="00754464">
        <w:rPr>
          <w:rFonts w:asciiTheme="minorHAnsi" w:hAnsiTheme="minorHAnsi"/>
          <w:sz w:val="22"/>
          <w:szCs w:val="22"/>
        </w:rPr>
        <w:t xml:space="preserve">that any use of a document in the PCEHR system or downloaded from the PCEHR system </w:t>
      </w:r>
      <w:r w:rsidR="00352FE0">
        <w:rPr>
          <w:rFonts w:asciiTheme="minorHAnsi" w:hAnsiTheme="minorHAnsi"/>
          <w:sz w:val="22"/>
          <w:szCs w:val="22"/>
        </w:rPr>
        <w:t xml:space="preserve">does not </w:t>
      </w:r>
      <w:r w:rsidR="002320DB" w:rsidRPr="00754464">
        <w:rPr>
          <w:rFonts w:asciiTheme="minorHAnsi" w:hAnsiTheme="minorHAnsi"/>
          <w:sz w:val="22"/>
          <w:szCs w:val="22"/>
        </w:rPr>
        <w:t>infringe copyright.</w:t>
      </w:r>
    </w:p>
    <w:p w:rsidR="002320DB" w:rsidRDefault="002320DB" w:rsidP="00557BA1">
      <w:pPr>
        <w:pStyle w:val="ListParagraph"/>
        <w:spacing w:after="120"/>
        <w:ind w:left="737"/>
        <w:contextualSpacing w:val="0"/>
        <w:rPr>
          <w:rFonts w:asciiTheme="minorHAnsi" w:hAnsiTheme="minorHAnsi"/>
          <w:sz w:val="22"/>
          <w:szCs w:val="22"/>
        </w:rPr>
      </w:pPr>
      <w:r>
        <w:rPr>
          <w:rFonts w:asciiTheme="minorHAnsi" w:hAnsiTheme="minorHAnsi"/>
          <w:sz w:val="22"/>
          <w:szCs w:val="22"/>
        </w:rPr>
        <w:t>This would not affect ownership of the copyright.</w:t>
      </w:r>
      <w:r w:rsidR="00352FE0">
        <w:rPr>
          <w:rFonts w:asciiTheme="minorHAnsi" w:hAnsiTheme="minorHAnsi"/>
          <w:sz w:val="22"/>
          <w:szCs w:val="22"/>
        </w:rPr>
        <w:t xml:space="preserve">  It would merely allow health records to be appropriately shared between participants in the PCEHR system, as currently occurs in the normal course of providing healthcare to </w:t>
      </w:r>
      <w:r w:rsidR="00716DBB">
        <w:rPr>
          <w:rFonts w:asciiTheme="minorHAnsi" w:hAnsiTheme="minorHAnsi"/>
          <w:sz w:val="22"/>
          <w:szCs w:val="22"/>
        </w:rPr>
        <w:t>individuals</w:t>
      </w:r>
      <w:r w:rsidR="00352FE0">
        <w:rPr>
          <w:rFonts w:asciiTheme="minorHAnsi" w:hAnsiTheme="minorHAnsi"/>
          <w:sz w:val="22"/>
          <w:szCs w:val="22"/>
        </w:rPr>
        <w:t>.</w:t>
      </w:r>
    </w:p>
    <w:p w:rsidR="00E07A91" w:rsidRDefault="00E07A91" w:rsidP="003C72D7">
      <w:pPr>
        <w:pStyle w:val="Heading4"/>
      </w:pPr>
      <w:bookmarkStart w:id="85" w:name="_Toc418763110"/>
      <w:bookmarkStart w:id="86" w:name="_Toc420394264"/>
      <w:r>
        <w:t>Liability</w:t>
      </w:r>
      <w:bookmarkEnd w:id="85"/>
      <w:bookmarkEnd w:id="86"/>
    </w:p>
    <w:p w:rsidR="002320DB" w:rsidRDefault="00352FE0" w:rsidP="00557BA1">
      <w:pPr>
        <w:pStyle w:val="ListParagraph"/>
        <w:spacing w:after="120"/>
        <w:ind w:left="737"/>
        <w:contextualSpacing w:val="0"/>
        <w:rPr>
          <w:rFonts w:asciiTheme="minorHAnsi" w:hAnsiTheme="minorHAnsi"/>
          <w:sz w:val="22"/>
          <w:szCs w:val="22"/>
        </w:rPr>
      </w:pPr>
      <w:r>
        <w:rPr>
          <w:rFonts w:asciiTheme="minorHAnsi" w:hAnsiTheme="minorHAnsi"/>
          <w:sz w:val="22"/>
          <w:szCs w:val="22"/>
        </w:rPr>
        <w:t>P</w:t>
      </w:r>
      <w:r w:rsidR="002320DB">
        <w:rPr>
          <w:rFonts w:asciiTheme="minorHAnsi" w:hAnsiTheme="minorHAnsi"/>
          <w:sz w:val="22"/>
          <w:szCs w:val="22"/>
        </w:rPr>
        <w:t>articipation agreement</w:t>
      </w:r>
      <w:r w:rsidR="000725A3">
        <w:rPr>
          <w:rFonts w:asciiTheme="minorHAnsi" w:hAnsiTheme="minorHAnsi"/>
          <w:sz w:val="22"/>
          <w:szCs w:val="22"/>
        </w:rPr>
        <w:t>s</w:t>
      </w:r>
      <w:r w:rsidR="002320DB">
        <w:rPr>
          <w:rFonts w:asciiTheme="minorHAnsi" w:hAnsiTheme="minorHAnsi"/>
          <w:sz w:val="22"/>
          <w:szCs w:val="22"/>
        </w:rPr>
        <w:t xml:space="preserve"> for </w:t>
      </w:r>
      <w:r>
        <w:rPr>
          <w:rFonts w:asciiTheme="minorHAnsi" w:hAnsiTheme="minorHAnsi"/>
          <w:sz w:val="22"/>
          <w:szCs w:val="22"/>
        </w:rPr>
        <w:t xml:space="preserve">some types of participants in the PCEHR system </w:t>
      </w:r>
      <w:r w:rsidR="00124BB9">
        <w:rPr>
          <w:rFonts w:asciiTheme="minorHAnsi" w:hAnsiTheme="minorHAnsi"/>
          <w:sz w:val="22"/>
          <w:szCs w:val="22"/>
        </w:rPr>
        <w:t>currently include liability provisions.</w:t>
      </w:r>
      <w:r w:rsidR="00124BB9">
        <w:rPr>
          <w:rStyle w:val="FootnoteReference"/>
          <w:rFonts w:asciiTheme="minorHAnsi" w:hAnsiTheme="minorHAnsi"/>
          <w:sz w:val="22"/>
          <w:szCs w:val="22"/>
        </w:rPr>
        <w:footnoteReference w:id="14"/>
      </w:r>
      <w:r w:rsidR="00124BB9">
        <w:rPr>
          <w:rFonts w:asciiTheme="minorHAnsi" w:hAnsiTheme="minorHAnsi"/>
          <w:sz w:val="22"/>
          <w:szCs w:val="22"/>
        </w:rPr>
        <w:t xml:space="preserve">  Th</w:t>
      </w:r>
      <w:r w:rsidR="00901EFD">
        <w:rPr>
          <w:rFonts w:asciiTheme="minorHAnsi" w:hAnsiTheme="minorHAnsi"/>
          <w:sz w:val="22"/>
          <w:szCs w:val="22"/>
        </w:rPr>
        <w:t>ose provision</w:t>
      </w:r>
      <w:r w:rsidR="00310A44">
        <w:rPr>
          <w:rFonts w:asciiTheme="minorHAnsi" w:hAnsiTheme="minorHAnsi"/>
          <w:sz w:val="22"/>
          <w:szCs w:val="22"/>
        </w:rPr>
        <w:t>s</w:t>
      </w:r>
      <w:r w:rsidR="00901EFD">
        <w:rPr>
          <w:rFonts w:asciiTheme="minorHAnsi" w:hAnsiTheme="minorHAnsi"/>
          <w:sz w:val="22"/>
          <w:szCs w:val="22"/>
        </w:rPr>
        <w:t xml:space="preserve"> state </w:t>
      </w:r>
      <w:r w:rsidR="00124BB9">
        <w:rPr>
          <w:rFonts w:asciiTheme="minorHAnsi" w:hAnsiTheme="minorHAnsi"/>
          <w:sz w:val="22"/>
          <w:szCs w:val="22"/>
        </w:rPr>
        <w:t xml:space="preserve">that the System Operator is liable for any loss the entity suffers in using the </w:t>
      </w:r>
      <w:r w:rsidR="00901EFD">
        <w:rPr>
          <w:rFonts w:asciiTheme="minorHAnsi" w:hAnsiTheme="minorHAnsi"/>
          <w:sz w:val="22"/>
          <w:szCs w:val="22"/>
        </w:rPr>
        <w:t xml:space="preserve">PCEHR </w:t>
      </w:r>
      <w:r w:rsidR="00124BB9">
        <w:rPr>
          <w:rFonts w:asciiTheme="minorHAnsi" w:hAnsiTheme="minorHAnsi"/>
          <w:sz w:val="22"/>
          <w:szCs w:val="22"/>
        </w:rPr>
        <w:t>system</w:t>
      </w:r>
      <w:r w:rsidR="00901EFD">
        <w:rPr>
          <w:rFonts w:asciiTheme="minorHAnsi" w:hAnsiTheme="minorHAnsi"/>
          <w:sz w:val="22"/>
          <w:szCs w:val="22"/>
        </w:rPr>
        <w:t>, where that loss</w:t>
      </w:r>
      <w:r w:rsidR="00124BB9">
        <w:rPr>
          <w:rFonts w:asciiTheme="minorHAnsi" w:hAnsiTheme="minorHAnsi"/>
          <w:sz w:val="22"/>
          <w:szCs w:val="22"/>
        </w:rPr>
        <w:t xml:space="preserve"> is a direct result of the System Operator’s </w:t>
      </w:r>
      <w:r w:rsidR="00901EFD">
        <w:rPr>
          <w:rFonts w:asciiTheme="minorHAnsi" w:hAnsiTheme="minorHAnsi"/>
          <w:sz w:val="22"/>
          <w:szCs w:val="22"/>
        </w:rPr>
        <w:t xml:space="preserve">acts or omissions. The provisions currently exclude System Operator </w:t>
      </w:r>
      <w:r w:rsidR="00124BB9">
        <w:rPr>
          <w:rFonts w:asciiTheme="minorHAnsi" w:hAnsiTheme="minorHAnsi"/>
          <w:sz w:val="22"/>
          <w:szCs w:val="22"/>
        </w:rPr>
        <w:t>liability</w:t>
      </w:r>
      <w:r w:rsidR="00901EFD">
        <w:rPr>
          <w:rFonts w:asciiTheme="minorHAnsi" w:hAnsiTheme="minorHAnsi"/>
          <w:sz w:val="22"/>
          <w:szCs w:val="22"/>
        </w:rPr>
        <w:t xml:space="preserve"> </w:t>
      </w:r>
      <w:r w:rsidR="00124BB9">
        <w:rPr>
          <w:rFonts w:asciiTheme="minorHAnsi" w:hAnsiTheme="minorHAnsi"/>
          <w:sz w:val="22"/>
          <w:szCs w:val="22"/>
        </w:rPr>
        <w:t>for any indirect or consequential loss suffered.</w:t>
      </w:r>
    </w:p>
    <w:p w:rsidR="00124BB9" w:rsidRDefault="00B03A03" w:rsidP="00557BA1">
      <w:pPr>
        <w:pStyle w:val="ListParagraph"/>
        <w:spacing w:after="120"/>
        <w:ind w:left="737"/>
        <w:contextualSpacing w:val="0"/>
        <w:rPr>
          <w:rFonts w:asciiTheme="minorHAnsi" w:hAnsiTheme="minorHAnsi"/>
          <w:sz w:val="22"/>
          <w:szCs w:val="22"/>
        </w:rPr>
      </w:pPr>
      <w:r>
        <w:rPr>
          <w:rFonts w:asciiTheme="minorHAnsi" w:hAnsiTheme="minorHAnsi"/>
          <w:sz w:val="22"/>
          <w:szCs w:val="22"/>
        </w:rPr>
        <w:t>With the removal of the need for participation agreements, i</w:t>
      </w:r>
      <w:r w:rsidR="000725A3">
        <w:rPr>
          <w:rFonts w:asciiTheme="minorHAnsi" w:hAnsiTheme="minorHAnsi"/>
          <w:sz w:val="22"/>
          <w:szCs w:val="22"/>
        </w:rPr>
        <w:t xml:space="preserve">t is proposed that the liability provisions be disposed of rather than </w:t>
      </w:r>
      <w:r w:rsidR="00901EFD">
        <w:rPr>
          <w:rFonts w:asciiTheme="minorHAnsi" w:hAnsiTheme="minorHAnsi"/>
          <w:sz w:val="22"/>
          <w:szCs w:val="22"/>
        </w:rPr>
        <w:t xml:space="preserve">be transferred to </w:t>
      </w:r>
      <w:r w:rsidR="000725A3">
        <w:rPr>
          <w:rFonts w:asciiTheme="minorHAnsi" w:hAnsiTheme="minorHAnsi"/>
          <w:sz w:val="22"/>
          <w:szCs w:val="22"/>
        </w:rPr>
        <w:t xml:space="preserve">the legislation.  </w:t>
      </w:r>
      <w:r>
        <w:rPr>
          <w:rFonts w:asciiTheme="minorHAnsi" w:hAnsiTheme="minorHAnsi"/>
          <w:sz w:val="22"/>
          <w:szCs w:val="22"/>
        </w:rPr>
        <w:t>This would mean that the System Operator would be subject to the common law</w:t>
      </w:r>
      <w:r w:rsidR="00901EFD">
        <w:rPr>
          <w:rFonts w:asciiTheme="minorHAnsi" w:hAnsiTheme="minorHAnsi"/>
          <w:sz w:val="22"/>
          <w:szCs w:val="22"/>
        </w:rPr>
        <w:t xml:space="preserve"> and</w:t>
      </w:r>
      <w:r>
        <w:rPr>
          <w:rFonts w:asciiTheme="minorHAnsi" w:hAnsiTheme="minorHAnsi"/>
          <w:sz w:val="22"/>
          <w:szCs w:val="22"/>
        </w:rPr>
        <w:t xml:space="preserve"> w</w:t>
      </w:r>
      <w:r w:rsidR="00901EFD">
        <w:rPr>
          <w:rFonts w:asciiTheme="minorHAnsi" w:hAnsiTheme="minorHAnsi"/>
          <w:sz w:val="22"/>
          <w:szCs w:val="22"/>
        </w:rPr>
        <w:t xml:space="preserve">ould not expressly try </w:t>
      </w:r>
      <w:r>
        <w:rPr>
          <w:rFonts w:asciiTheme="minorHAnsi" w:hAnsiTheme="minorHAnsi"/>
          <w:sz w:val="22"/>
          <w:szCs w:val="22"/>
        </w:rPr>
        <w:t>to exclude any particular type of loss</w:t>
      </w:r>
      <w:r w:rsidR="00901EFD">
        <w:rPr>
          <w:rFonts w:asciiTheme="minorHAnsi" w:hAnsiTheme="minorHAnsi"/>
          <w:sz w:val="22"/>
          <w:szCs w:val="22"/>
        </w:rPr>
        <w:t xml:space="preserve"> in the PCEHR Act</w:t>
      </w:r>
      <w:r>
        <w:rPr>
          <w:rFonts w:asciiTheme="minorHAnsi" w:hAnsiTheme="minorHAnsi"/>
          <w:sz w:val="22"/>
          <w:szCs w:val="22"/>
        </w:rPr>
        <w:t>.</w:t>
      </w:r>
      <w:r w:rsidR="000725A3">
        <w:rPr>
          <w:rFonts w:asciiTheme="minorHAnsi" w:hAnsiTheme="minorHAnsi"/>
          <w:sz w:val="22"/>
          <w:szCs w:val="22"/>
        </w:rPr>
        <w:t xml:space="preserve"> </w:t>
      </w:r>
      <w:r>
        <w:rPr>
          <w:rFonts w:asciiTheme="minorHAnsi" w:hAnsiTheme="minorHAnsi"/>
          <w:sz w:val="22"/>
          <w:szCs w:val="22"/>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hemeFill="accent2" w:themeFillTint="99"/>
        <w:tblCellMar>
          <w:top w:w="119" w:type="dxa"/>
        </w:tblCellMar>
        <w:tblLook w:val="04A0" w:firstRow="1" w:lastRow="0" w:firstColumn="1" w:lastColumn="0" w:noHBand="0" w:noVBand="1"/>
        <w:tblCaption w:val="A box for noting"/>
        <w:tblDescription w:val="The common law applies limits to loss and damage that can be recovered."/>
      </w:tblPr>
      <w:tblGrid>
        <w:gridCol w:w="8153"/>
      </w:tblGrid>
      <w:tr w:rsidR="00DC53CF" w:rsidRPr="00396E21" w:rsidTr="0045440F">
        <w:trPr>
          <w:cantSplit/>
        </w:trPr>
        <w:tc>
          <w:tcPr>
            <w:tcW w:w="8153" w:type="dxa"/>
            <w:shd w:val="clear" w:color="auto" w:fill="D99594" w:themeFill="accent2" w:themeFillTint="99"/>
          </w:tcPr>
          <w:p w:rsidR="00DC53CF" w:rsidRPr="00396E21" w:rsidRDefault="00DC53CF" w:rsidP="00DC53CF">
            <w:pPr>
              <w:pStyle w:val="BodyText"/>
              <w:keepNext/>
              <w:rPr>
                <w:rFonts w:asciiTheme="minorHAnsi" w:hAnsiTheme="minorHAnsi"/>
                <w:b/>
                <w:sz w:val="22"/>
                <w:szCs w:val="22"/>
              </w:rPr>
            </w:pPr>
            <w:r>
              <w:rPr>
                <w:rFonts w:asciiTheme="minorHAnsi" w:hAnsiTheme="minorHAnsi"/>
                <w:b/>
                <w:sz w:val="22"/>
                <w:szCs w:val="22"/>
              </w:rPr>
              <w:t>Note</w:t>
            </w:r>
            <w:r w:rsidRPr="007C5475">
              <w:rPr>
                <w:rFonts w:asciiTheme="minorHAnsi" w:hAnsiTheme="minorHAnsi"/>
                <w:sz w:val="22"/>
                <w:szCs w:val="22"/>
              </w:rPr>
              <w:t xml:space="preserve">: </w:t>
            </w:r>
            <w:r>
              <w:rPr>
                <w:rFonts w:asciiTheme="minorHAnsi" w:hAnsiTheme="minorHAnsi"/>
                <w:sz w:val="22"/>
                <w:szCs w:val="22"/>
              </w:rPr>
              <w:t>The common law applies limits to loss and damage that can be recovered.</w:t>
            </w:r>
          </w:p>
        </w:tc>
      </w:tr>
    </w:tbl>
    <w:p w:rsidR="00DC53CF" w:rsidRPr="0088792D" w:rsidRDefault="00DC53CF" w:rsidP="000725A3">
      <w:pPr>
        <w:pStyle w:val="ListParagraph"/>
        <w:spacing w:after="120"/>
        <w:ind w:left="737"/>
        <w:contextualSpacing w:val="0"/>
        <w:rPr>
          <w:rFonts w:asciiTheme="minorHAnsi" w:hAnsiTheme="minorHAnsi"/>
          <w:b/>
          <w:sz w:val="12"/>
          <w:szCs w:val="12"/>
        </w:rPr>
      </w:pPr>
    </w:p>
    <w:p w:rsidR="000725A3" w:rsidRDefault="000725A3" w:rsidP="003C72D7">
      <w:pPr>
        <w:pStyle w:val="Heading4"/>
      </w:pPr>
      <w:bookmarkStart w:id="87" w:name="_Toc418763111"/>
      <w:bookmarkStart w:id="88" w:name="_Toc420394265"/>
      <w:r>
        <w:t>Data breach notifications</w:t>
      </w:r>
      <w:bookmarkEnd w:id="87"/>
      <w:bookmarkEnd w:id="88"/>
    </w:p>
    <w:p w:rsidR="001934B9" w:rsidRPr="001934B9" w:rsidRDefault="001934B9" w:rsidP="001934B9">
      <w:pPr>
        <w:pStyle w:val="ListParagraph"/>
        <w:spacing w:after="120"/>
        <w:ind w:left="737"/>
        <w:contextualSpacing w:val="0"/>
        <w:rPr>
          <w:rStyle w:val="IntenseReference"/>
          <w:rFonts w:asciiTheme="minorHAnsi" w:hAnsiTheme="minorHAnsi"/>
          <w:b w:val="0"/>
          <w:bCs w:val="0"/>
          <w:i w:val="0"/>
          <w:smallCaps w:val="0"/>
          <w:color w:val="auto"/>
          <w:spacing w:val="0"/>
          <w:sz w:val="22"/>
          <w:szCs w:val="22"/>
        </w:rPr>
      </w:pPr>
      <w:r w:rsidRPr="001934B9">
        <w:rPr>
          <w:rStyle w:val="IntenseReference"/>
          <w:rFonts w:asciiTheme="minorHAnsi" w:hAnsiTheme="minorHAnsi" w:cs="Arial"/>
          <w:b w:val="0"/>
          <w:bCs w:val="0"/>
          <w:i w:val="0"/>
          <w:smallCaps w:val="0"/>
          <w:color w:val="auto"/>
          <w:spacing w:val="0"/>
          <w:sz w:val="22"/>
          <w:szCs w:val="22"/>
        </w:rPr>
        <w:t xml:space="preserve">The PCEHR Act requires the System Operator, repository operators and portal operators </w:t>
      </w:r>
      <w:r w:rsidR="00901EFD">
        <w:rPr>
          <w:rStyle w:val="IntenseReference"/>
          <w:rFonts w:asciiTheme="minorHAnsi" w:hAnsiTheme="minorHAnsi" w:cs="Arial"/>
          <w:b w:val="0"/>
          <w:bCs w:val="0"/>
          <w:i w:val="0"/>
          <w:smallCaps w:val="0"/>
          <w:color w:val="auto"/>
          <w:spacing w:val="0"/>
          <w:sz w:val="22"/>
          <w:szCs w:val="22"/>
        </w:rPr>
        <w:t>to</w:t>
      </w:r>
      <w:r w:rsidR="00901EFD" w:rsidRPr="001934B9">
        <w:rPr>
          <w:rStyle w:val="IntenseReference"/>
          <w:rFonts w:asciiTheme="minorHAnsi" w:hAnsiTheme="minorHAnsi" w:cs="Arial"/>
          <w:b w:val="0"/>
          <w:bCs w:val="0"/>
          <w:i w:val="0"/>
          <w:smallCaps w:val="0"/>
          <w:color w:val="auto"/>
          <w:spacing w:val="0"/>
          <w:sz w:val="22"/>
          <w:szCs w:val="22"/>
        </w:rPr>
        <w:t xml:space="preserve"> </w:t>
      </w:r>
      <w:r w:rsidRPr="001934B9">
        <w:rPr>
          <w:rStyle w:val="IntenseReference"/>
          <w:rFonts w:asciiTheme="minorHAnsi" w:hAnsiTheme="minorHAnsi" w:cs="Arial"/>
          <w:b w:val="0"/>
          <w:bCs w:val="0"/>
          <w:i w:val="0"/>
          <w:smallCaps w:val="0"/>
          <w:color w:val="auto"/>
          <w:spacing w:val="0"/>
          <w:sz w:val="22"/>
          <w:szCs w:val="22"/>
        </w:rPr>
        <w:t xml:space="preserve">notify the Australian Information Commissioner if </w:t>
      </w:r>
      <w:r w:rsidR="00901EFD">
        <w:rPr>
          <w:rStyle w:val="IntenseReference"/>
          <w:rFonts w:asciiTheme="minorHAnsi" w:hAnsiTheme="minorHAnsi" w:cs="Arial"/>
          <w:b w:val="0"/>
          <w:bCs w:val="0"/>
          <w:i w:val="0"/>
          <w:smallCaps w:val="0"/>
          <w:color w:val="auto"/>
          <w:spacing w:val="0"/>
          <w:sz w:val="22"/>
          <w:szCs w:val="22"/>
        </w:rPr>
        <w:t>they</w:t>
      </w:r>
      <w:r w:rsidR="00901EFD" w:rsidRPr="001934B9">
        <w:rPr>
          <w:rStyle w:val="IntenseReference"/>
          <w:rFonts w:asciiTheme="minorHAnsi" w:hAnsiTheme="minorHAnsi" w:cs="Arial"/>
          <w:b w:val="0"/>
          <w:bCs w:val="0"/>
          <w:i w:val="0"/>
          <w:smallCaps w:val="0"/>
          <w:color w:val="auto"/>
          <w:spacing w:val="0"/>
          <w:sz w:val="22"/>
          <w:szCs w:val="22"/>
        </w:rPr>
        <w:t xml:space="preserve"> </w:t>
      </w:r>
      <w:r w:rsidRPr="001934B9">
        <w:rPr>
          <w:rStyle w:val="IntenseReference"/>
          <w:rFonts w:asciiTheme="minorHAnsi" w:hAnsiTheme="minorHAnsi" w:cs="Arial"/>
          <w:b w:val="0"/>
          <w:bCs w:val="0"/>
          <w:i w:val="0"/>
          <w:smallCaps w:val="0"/>
          <w:color w:val="auto"/>
          <w:spacing w:val="0"/>
          <w:sz w:val="22"/>
          <w:szCs w:val="22"/>
        </w:rPr>
        <w:t>become aware that:</w:t>
      </w:r>
    </w:p>
    <w:p w:rsidR="001934B9" w:rsidRDefault="001934B9" w:rsidP="00A67B4E">
      <w:pPr>
        <w:pStyle w:val="ListParagraph"/>
        <w:numPr>
          <w:ilvl w:val="0"/>
          <w:numId w:val="14"/>
        </w:numPr>
        <w:spacing w:after="120"/>
        <w:contextualSpacing w:val="0"/>
        <w:rPr>
          <w:rStyle w:val="IntenseReference"/>
          <w:rFonts w:asciiTheme="minorHAnsi" w:hAnsiTheme="minorHAnsi" w:cs="Arial"/>
          <w:b w:val="0"/>
          <w:bCs w:val="0"/>
          <w:i w:val="0"/>
          <w:smallCaps w:val="0"/>
          <w:color w:val="auto"/>
          <w:spacing w:val="0"/>
          <w:sz w:val="22"/>
          <w:szCs w:val="22"/>
        </w:rPr>
      </w:pPr>
      <w:r>
        <w:rPr>
          <w:rStyle w:val="IntenseReference"/>
          <w:rFonts w:asciiTheme="minorHAnsi" w:hAnsiTheme="minorHAnsi" w:cs="Arial"/>
          <w:b w:val="0"/>
          <w:bCs w:val="0"/>
          <w:i w:val="0"/>
          <w:smallCaps w:val="0"/>
          <w:color w:val="auto"/>
          <w:spacing w:val="0"/>
          <w:sz w:val="22"/>
          <w:szCs w:val="22"/>
        </w:rPr>
        <w:t>a person has, or may have, contravened the PCEHR Act in a manner involving the unauthorised collection, use or disclosure of health information included in a</w:t>
      </w:r>
      <w:r w:rsidR="00716DBB">
        <w:rPr>
          <w:rStyle w:val="IntenseReference"/>
          <w:rFonts w:asciiTheme="minorHAnsi" w:hAnsiTheme="minorHAnsi" w:cs="Arial"/>
          <w:b w:val="0"/>
          <w:bCs w:val="0"/>
          <w:i w:val="0"/>
          <w:smallCaps w:val="0"/>
          <w:color w:val="auto"/>
          <w:spacing w:val="0"/>
          <w:sz w:val="22"/>
          <w:szCs w:val="22"/>
        </w:rPr>
        <w:t>n</w:t>
      </w:r>
      <w:r>
        <w:rPr>
          <w:rStyle w:val="IntenseReference"/>
          <w:rFonts w:asciiTheme="minorHAnsi" w:hAnsiTheme="minorHAnsi" w:cs="Arial"/>
          <w:b w:val="0"/>
          <w:bCs w:val="0"/>
          <w:i w:val="0"/>
          <w:smallCaps w:val="0"/>
          <w:color w:val="auto"/>
          <w:spacing w:val="0"/>
          <w:sz w:val="22"/>
          <w:szCs w:val="22"/>
        </w:rPr>
        <w:t xml:space="preserve"> </w:t>
      </w:r>
      <w:r w:rsidR="00716DBB">
        <w:rPr>
          <w:rFonts w:asciiTheme="minorHAnsi" w:hAnsiTheme="minorHAnsi"/>
          <w:sz w:val="22"/>
          <w:szCs w:val="22"/>
        </w:rPr>
        <w:t xml:space="preserve">individual’s </w:t>
      </w:r>
      <w:r>
        <w:rPr>
          <w:rStyle w:val="IntenseReference"/>
          <w:rFonts w:asciiTheme="minorHAnsi" w:hAnsiTheme="minorHAnsi" w:cs="Arial"/>
          <w:b w:val="0"/>
          <w:bCs w:val="0"/>
          <w:i w:val="0"/>
          <w:smallCaps w:val="0"/>
          <w:color w:val="auto"/>
          <w:spacing w:val="0"/>
          <w:sz w:val="22"/>
          <w:szCs w:val="22"/>
        </w:rPr>
        <w:t>PCEHR; or</w:t>
      </w:r>
    </w:p>
    <w:p w:rsidR="001934B9" w:rsidRDefault="001934B9" w:rsidP="00A67B4E">
      <w:pPr>
        <w:pStyle w:val="ListParagraph"/>
        <w:numPr>
          <w:ilvl w:val="0"/>
          <w:numId w:val="14"/>
        </w:numPr>
        <w:spacing w:after="120"/>
        <w:contextualSpacing w:val="0"/>
        <w:rPr>
          <w:rStyle w:val="IntenseReference"/>
          <w:rFonts w:asciiTheme="minorHAnsi" w:hAnsiTheme="minorHAnsi" w:cs="Arial"/>
          <w:b w:val="0"/>
          <w:bCs w:val="0"/>
          <w:i w:val="0"/>
          <w:smallCaps w:val="0"/>
          <w:color w:val="auto"/>
          <w:spacing w:val="0"/>
          <w:sz w:val="22"/>
          <w:szCs w:val="22"/>
        </w:rPr>
      </w:pPr>
      <w:r>
        <w:rPr>
          <w:rStyle w:val="IntenseReference"/>
          <w:rFonts w:asciiTheme="minorHAnsi" w:hAnsiTheme="minorHAnsi" w:cs="Arial"/>
          <w:b w:val="0"/>
          <w:bCs w:val="0"/>
          <w:i w:val="0"/>
          <w:smallCaps w:val="0"/>
          <w:color w:val="auto"/>
          <w:spacing w:val="0"/>
          <w:sz w:val="22"/>
          <w:szCs w:val="22"/>
        </w:rPr>
        <w:t xml:space="preserve">an event has occurred or circumstances have arisen that compromise, or may compromise, the security or integrity of the PCEHR system; </w:t>
      </w:r>
    </w:p>
    <w:p w:rsidR="00AD48E1" w:rsidRDefault="001934B9" w:rsidP="001934B9">
      <w:pPr>
        <w:spacing w:after="120"/>
        <w:ind w:left="737"/>
        <w:rPr>
          <w:rStyle w:val="IntenseReference"/>
          <w:rFonts w:asciiTheme="minorHAnsi" w:hAnsiTheme="minorHAnsi" w:cs="Arial"/>
          <w:b w:val="0"/>
          <w:bCs w:val="0"/>
          <w:i w:val="0"/>
          <w:smallCaps w:val="0"/>
          <w:color w:val="auto"/>
          <w:spacing w:val="0"/>
          <w:sz w:val="22"/>
          <w:szCs w:val="22"/>
        </w:rPr>
      </w:pPr>
      <w:proofErr w:type="gramStart"/>
      <w:r>
        <w:rPr>
          <w:rStyle w:val="IntenseReference"/>
          <w:rFonts w:asciiTheme="minorHAnsi" w:hAnsiTheme="minorHAnsi" w:cs="Arial"/>
          <w:b w:val="0"/>
          <w:bCs w:val="0"/>
          <w:i w:val="0"/>
          <w:smallCaps w:val="0"/>
          <w:color w:val="auto"/>
          <w:spacing w:val="0"/>
          <w:sz w:val="22"/>
          <w:szCs w:val="22"/>
        </w:rPr>
        <w:t>and</w:t>
      </w:r>
      <w:proofErr w:type="gramEnd"/>
      <w:r>
        <w:rPr>
          <w:rStyle w:val="IntenseReference"/>
          <w:rFonts w:asciiTheme="minorHAnsi" w:hAnsiTheme="minorHAnsi" w:cs="Arial"/>
          <w:b w:val="0"/>
          <w:bCs w:val="0"/>
          <w:i w:val="0"/>
          <w:smallCaps w:val="0"/>
          <w:color w:val="auto"/>
          <w:spacing w:val="0"/>
          <w:sz w:val="22"/>
          <w:szCs w:val="22"/>
        </w:rPr>
        <w:t xml:space="preserve"> the contravention, event or circumstances directly involved, or may involve, the entity.</w:t>
      </w:r>
      <w:r w:rsidR="00901EFD">
        <w:rPr>
          <w:rStyle w:val="IntenseReference"/>
          <w:rFonts w:asciiTheme="minorHAnsi" w:hAnsiTheme="minorHAnsi" w:cs="Arial"/>
          <w:b w:val="0"/>
          <w:bCs w:val="0"/>
          <w:i w:val="0"/>
          <w:smallCaps w:val="0"/>
          <w:color w:val="auto"/>
          <w:spacing w:val="0"/>
          <w:sz w:val="22"/>
          <w:szCs w:val="22"/>
        </w:rPr>
        <w:t xml:space="preserve">  </w:t>
      </w:r>
    </w:p>
    <w:p w:rsidR="001934B9" w:rsidRPr="00273DCD" w:rsidRDefault="00901EFD" w:rsidP="001934B9">
      <w:pPr>
        <w:spacing w:after="120"/>
        <w:ind w:left="737"/>
        <w:rPr>
          <w:rStyle w:val="IntenseReference"/>
          <w:rFonts w:asciiTheme="minorHAnsi" w:hAnsiTheme="minorHAnsi" w:cs="Arial"/>
          <w:b w:val="0"/>
          <w:bCs w:val="0"/>
          <w:i w:val="0"/>
          <w:smallCaps w:val="0"/>
          <w:color w:val="auto"/>
          <w:spacing w:val="0"/>
          <w:sz w:val="22"/>
          <w:szCs w:val="22"/>
        </w:rPr>
      </w:pPr>
      <w:r>
        <w:rPr>
          <w:rStyle w:val="IntenseReference"/>
          <w:rFonts w:asciiTheme="minorHAnsi" w:hAnsiTheme="minorHAnsi" w:cs="Arial"/>
          <w:b w:val="0"/>
          <w:bCs w:val="0"/>
          <w:i w:val="0"/>
          <w:smallCaps w:val="0"/>
          <w:color w:val="auto"/>
          <w:spacing w:val="0"/>
          <w:sz w:val="22"/>
          <w:szCs w:val="22"/>
        </w:rPr>
        <w:lastRenderedPageBreak/>
        <w:t xml:space="preserve">Affected </w:t>
      </w:r>
      <w:r w:rsidR="00716DBB">
        <w:rPr>
          <w:rFonts w:asciiTheme="minorHAnsi" w:hAnsiTheme="minorHAnsi"/>
          <w:sz w:val="22"/>
          <w:szCs w:val="22"/>
        </w:rPr>
        <w:t xml:space="preserve">individuals </w:t>
      </w:r>
      <w:r>
        <w:rPr>
          <w:rStyle w:val="IntenseReference"/>
          <w:rFonts w:asciiTheme="minorHAnsi" w:hAnsiTheme="minorHAnsi" w:cs="Arial"/>
          <w:b w:val="0"/>
          <w:bCs w:val="0"/>
          <w:i w:val="0"/>
          <w:smallCaps w:val="0"/>
          <w:color w:val="auto"/>
          <w:spacing w:val="0"/>
          <w:sz w:val="22"/>
          <w:szCs w:val="22"/>
        </w:rPr>
        <w:t>must be notified of a breach, and affected participants in the PCEHR system must take steps to address the breach and to minimise the risk of it reoccurring.</w:t>
      </w:r>
    </w:p>
    <w:p w:rsidR="001934B9" w:rsidRDefault="001934B9" w:rsidP="001934B9">
      <w:pPr>
        <w:pStyle w:val="ListParagraph"/>
        <w:spacing w:after="120"/>
        <w:ind w:left="737"/>
        <w:contextualSpacing w:val="0"/>
        <w:rPr>
          <w:rStyle w:val="IntenseReference"/>
          <w:rFonts w:asciiTheme="minorHAnsi" w:hAnsiTheme="minorHAnsi" w:cs="Arial"/>
          <w:b w:val="0"/>
          <w:bCs w:val="0"/>
          <w:i w:val="0"/>
          <w:smallCaps w:val="0"/>
          <w:color w:val="auto"/>
          <w:spacing w:val="0"/>
          <w:sz w:val="22"/>
          <w:szCs w:val="22"/>
        </w:rPr>
      </w:pPr>
      <w:r w:rsidRPr="003D6C23">
        <w:rPr>
          <w:rStyle w:val="IntenseReference"/>
          <w:rFonts w:asciiTheme="minorHAnsi" w:hAnsiTheme="minorHAnsi" w:cs="Arial"/>
          <w:b w:val="0"/>
          <w:bCs w:val="0"/>
          <w:i w:val="0"/>
          <w:smallCaps w:val="0"/>
          <w:color w:val="auto"/>
          <w:spacing w:val="0"/>
          <w:sz w:val="22"/>
          <w:szCs w:val="22"/>
        </w:rPr>
        <w:t xml:space="preserve">The obligation to report data breaches is important for personal control as it allows </w:t>
      </w:r>
      <w:r w:rsidR="00716DBB">
        <w:rPr>
          <w:rFonts w:asciiTheme="minorHAnsi" w:hAnsiTheme="minorHAnsi"/>
          <w:sz w:val="22"/>
          <w:szCs w:val="22"/>
        </w:rPr>
        <w:t xml:space="preserve">individuals </w:t>
      </w:r>
      <w:r w:rsidRPr="003D6C23">
        <w:rPr>
          <w:rStyle w:val="IntenseReference"/>
          <w:rFonts w:asciiTheme="minorHAnsi" w:hAnsiTheme="minorHAnsi" w:cs="Arial"/>
          <w:b w:val="0"/>
          <w:bCs w:val="0"/>
          <w:i w:val="0"/>
          <w:smallCaps w:val="0"/>
          <w:color w:val="auto"/>
          <w:spacing w:val="0"/>
          <w:sz w:val="22"/>
          <w:szCs w:val="22"/>
        </w:rPr>
        <w:t xml:space="preserve">to take steps to protect themselves and their information if a breach occurs.  It is also important so the System Operator can address any security or integrity issues with the PCEHR system as quickly as possible.  Without notification, </w:t>
      </w:r>
      <w:r w:rsidR="00716DBB">
        <w:rPr>
          <w:rFonts w:asciiTheme="minorHAnsi" w:hAnsiTheme="minorHAnsi"/>
          <w:sz w:val="22"/>
          <w:szCs w:val="22"/>
        </w:rPr>
        <w:t xml:space="preserve">individuals </w:t>
      </w:r>
      <w:r w:rsidRPr="003D6C23">
        <w:rPr>
          <w:rStyle w:val="IntenseReference"/>
          <w:rFonts w:asciiTheme="minorHAnsi" w:hAnsiTheme="minorHAnsi" w:cs="Arial"/>
          <w:b w:val="0"/>
          <w:bCs w:val="0"/>
          <w:i w:val="0"/>
          <w:smallCaps w:val="0"/>
          <w:color w:val="auto"/>
          <w:spacing w:val="0"/>
          <w:sz w:val="22"/>
          <w:szCs w:val="22"/>
        </w:rPr>
        <w:t xml:space="preserve">and the System Operator </w:t>
      </w:r>
      <w:r w:rsidR="00D85CC8">
        <w:rPr>
          <w:rStyle w:val="IntenseReference"/>
          <w:rFonts w:asciiTheme="minorHAnsi" w:hAnsiTheme="minorHAnsi" w:cs="Arial"/>
          <w:b w:val="0"/>
          <w:bCs w:val="0"/>
          <w:i w:val="0"/>
          <w:smallCaps w:val="0"/>
          <w:color w:val="auto"/>
          <w:spacing w:val="0"/>
          <w:sz w:val="22"/>
          <w:szCs w:val="22"/>
        </w:rPr>
        <w:t>would</w:t>
      </w:r>
      <w:r w:rsidRPr="003D6C23">
        <w:rPr>
          <w:rStyle w:val="IntenseReference"/>
          <w:rFonts w:asciiTheme="minorHAnsi" w:hAnsiTheme="minorHAnsi" w:cs="Arial"/>
          <w:b w:val="0"/>
          <w:bCs w:val="0"/>
          <w:i w:val="0"/>
          <w:smallCaps w:val="0"/>
          <w:color w:val="auto"/>
          <w:spacing w:val="0"/>
          <w:sz w:val="22"/>
          <w:szCs w:val="22"/>
        </w:rPr>
        <w:t xml:space="preserve"> not know that they need to take action.  </w:t>
      </w:r>
    </w:p>
    <w:p w:rsidR="001934B9" w:rsidRDefault="001934B9" w:rsidP="001934B9">
      <w:pPr>
        <w:pStyle w:val="ListParagraph"/>
        <w:spacing w:after="120"/>
        <w:ind w:left="737"/>
        <w:contextualSpacing w:val="0"/>
        <w:rPr>
          <w:rStyle w:val="IntenseReference"/>
          <w:rFonts w:asciiTheme="minorHAnsi" w:hAnsiTheme="minorHAnsi" w:cs="Arial"/>
          <w:b w:val="0"/>
          <w:bCs w:val="0"/>
          <w:i w:val="0"/>
          <w:smallCaps w:val="0"/>
          <w:color w:val="auto"/>
          <w:spacing w:val="0"/>
          <w:sz w:val="22"/>
          <w:szCs w:val="22"/>
        </w:rPr>
      </w:pPr>
      <w:r>
        <w:rPr>
          <w:rStyle w:val="IntenseReference"/>
          <w:rFonts w:asciiTheme="minorHAnsi" w:hAnsiTheme="minorHAnsi" w:cs="Arial"/>
          <w:b w:val="0"/>
          <w:bCs w:val="0"/>
          <w:i w:val="0"/>
          <w:smallCaps w:val="0"/>
          <w:color w:val="auto"/>
          <w:spacing w:val="0"/>
          <w:sz w:val="22"/>
          <w:szCs w:val="22"/>
        </w:rPr>
        <w:t>While the PCEHR Act does not currently impose this obligation on healthcare provider organisations and contracted service providers, the participation agreements do.</w:t>
      </w:r>
      <w:r>
        <w:rPr>
          <w:rStyle w:val="FootnoteReference"/>
          <w:rFonts w:asciiTheme="minorHAnsi" w:hAnsiTheme="minorHAnsi"/>
          <w:sz w:val="22"/>
          <w:szCs w:val="22"/>
        </w:rPr>
        <w:footnoteReference w:id="15"/>
      </w:r>
      <w:r>
        <w:rPr>
          <w:rStyle w:val="IntenseReference"/>
          <w:rFonts w:asciiTheme="minorHAnsi" w:hAnsiTheme="minorHAnsi" w:cs="Arial"/>
          <w:b w:val="0"/>
          <w:bCs w:val="0"/>
          <w:i w:val="0"/>
          <w:smallCaps w:val="0"/>
          <w:color w:val="auto"/>
          <w:spacing w:val="0"/>
          <w:sz w:val="22"/>
          <w:szCs w:val="22"/>
        </w:rPr>
        <w:t xml:space="preserve">  </w:t>
      </w:r>
      <w:r w:rsidR="00D1015C">
        <w:rPr>
          <w:rStyle w:val="IntenseReference"/>
          <w:rFonts w:asciiTheme="minorHAnsi" w:hAnsiTheme="minorHAnsi" w:cs="Arial"/>
          <w:b w:val="0"/>
          <w:bCs w:val="0"/>
          <w:i w:val="0"/>
          <w:smallCaps w:val="0"/>
          <w:color w:val="auto"/>
          <w:spacing w:val="0"/>
          <w:sz w:val="22"/>
          <w:szCs w:val="22"/>
        </w:rPr>
        <w:t xml:space="preserve">Given the proposal to abolish </w:t>
      </w:r>
      <w:r>
        <w:rPr>
          <w:rStyle w:val="IntenseReference"/>
          <w:rFonts w:asciiTheme="minorHAnsi" w:hAnsiTheme="minorHAnsi" w:cs="Arial"/>
          <w:b w:val="0"/>
          <w:bCs w:val="0"/>
          <w:i w:val="0"/>
          <w:smallCaps w:val="0"/>
          <w:color w:val="auto"/>
          <w:spacing w:val="0"/>
          <w:sz w:val="22"/>
          <w:szCs w:val="22"/>
        </w:rPr>
        <w:t>participation agreements</w:t>
      </w:r>
      <w:r w:rsidR="00D1015C">
        <w:rPr>
          <w:rStyle w:val="IntenseReference"/>
          <w:rFonts w:asciiTheme="minorHAnsi" w:hAnsiTheme="minorHAnsi" w:cs="Arial"/>
          <w:b w:val="0"/>
          <w:bCs w:val="0"/>
          <w:i w:val="0"/>
          <w:smallCaps w:val="0"/>
          <w:color w:val="auto"/>
          <w:spacing w:val="0"/>
          <w:sz w:val="22"/>
          <w:szCs w:val="22"/>
        </w:rPr>
        <w:t>,</w:t>
      </w:r>
      <w:r>
        <w:rPr>
          <w:rStyle w:val="IntenseReference"/>
          <w:rFonts w:asciiTheme="minorHAnsi" w:hAnsiTheme="minorHAnsi" w:cs="Arial"/>
          <w:b w:val="0"/>
          <w:bCs w:val="0"/>
          <w:i w:val="0"/>
          <w:smallCaps w:val="0"/>
          <w:color w:val="auto"/>
          <w:spacing w:val="0"/>
          <w:sz w:val="22"/>
          <w:szCs w:val="22"/>
        </w:rPr>
        <w:t xml:space="preserve"> it is proposed to </w:t>
      </w:r>
      <w:r w:rsidR="0007334D">
        <w:rPr>
          <w:rStyle w:val="IntenseReference"/>
          <w:rFonts w:asciiTheme="minorHAnsi" w:hAnsiTheme="minorHAnsi" w:cs="Arial"/>
          <w:b w:val="0"/>
          <w:bCs w:val="0"/>
          <w:i w:val="0"/>
          <w:smallCaps w:val="0"/>
          <w:color w:val="auto"/>
          <w:spacing w:val="0"/>
          <w:sz w:val="22"/>
          <w:szCs w:val="22"/>
        </w:rPr>
        <w:t>amend</w:t>
      </w:r>
      <w:r>
        <w:rPr>
          <w:rStyle w:val="IntenseReference"/>
          <w:rFonts w:asciiTheme="minorHAnsi" w:hAnsiTheme="minorHAnsi" w:cs="Arial"/>
          <w:b w:val="0"/>
          <w:bCs w:val="0"/>
          <w:i w:val="0"/>
          <w:smallCaps w:val="0"/>
          <w:color w:val="auto"/>
          <w:spacing w:val="0"/>
          <w:sz w:val="22"/>
          <w:szCs w:val="22"/>
        </w:rPr>
        <w:t xml:space="preserve"> the </w:t>
      </w:r>
      <w:r w:rsidR="00D1015C">
        <w:rPr>
          <w:rStyle w:val="IntenseReference"/>
          <w:rFonts w:asciiTheme="minorHAnsi" w:hAnsiTheme="minorHAnsi" w:cs="Arial"/>
          <w:b w:val="0"/>
          <w:bCs w:val="0"/>
          <w:i w:val="0"/>
          <w:smallCaps w:val="0"/>
          <w:color w:val="auto"/>
          <w:spacing w:val="0"/>
          <w:sz w:val="22"/>
          <w:szCs w:val="22"/>
        </w:rPr>
        <w:t xml:space="preserve">PCEHR Act </w:t>
      </w:r>
      <w:r>
        <w:rPr>
          <w:rStyle w:val="IntenseReference"/>
          <w:rFonts w:asciiTheme="minorHAnsi" w:hAnsiTheme="minorHAnsi" w:cs="Arial"/>
          <w:b w:val="0"/>
          <w:bCs w:val="0"/>
          <w:i w:val="0"/>
          <w:smallCaps w:val="0"/>
          <w:color w:val="auto"/>
          <w:spacing w:val="0"/>
          <w:sz w:val="22"/>
          <w:szCs w:val="22"/>
        </w:rPr>
        <w:t xml:space="preserve">requirement </w:t>
      </w:r>
      <w:r w:rsidR="00D1015C">
        <w:rPr>
          <w:rStyle w:val="IntenseReference"/>
          <w:rFonts w:asciiTheme="minorHAnsi" w:hAnsiTheme="minorHAnsi" w:cs="Arial"/>
          <w:b w:val="0"/>
          <w:bCs w:val="0"/>
          <w:i w:val="0"/>
          <w:smallCaps w:val="0"/>
          <w:color w:val="auto"/>
          <w:spacing w:val="0"/>
          <w:sz w:val="22"/>
          <w:szCs w:val="22"/>
        </w:rPr>
        <w:t xml:space="preserve">to report data breaches </w:t>
      </w:r>
      <w:r>
        <w:rPr>
          <w:rStyle w:val="IntenseReference"/>
          <w:rFonts w:asciiTheme="minorHAnsi" w:hAnsiTheme="minorHAnsi" w:cs="Arial"/>
          <w:b w:val="0"/>
          <w:bCs w:val="0"/>
          <w:i w:val="0"/>
          <w:smallCaps w:val="0"/>
          <w:color w:val="auto"/>
          <w:spacing w:val="0"/>
          <w:sz w:val="22"/>
          <w:szCs w:val="22"/>
        </w:rPr>
        <w:t xml:space="preserve">to include healthcare provider organisations and contracted service providers.  This </w:t>
      </w:r>
      <w:r w:rsidR="00D85CC8">
        <w:rPr>
          <w:rStyle w:val="IntenseReference"/>
          <w:rFonts w:asciiTheme="minorHAnsi" w:hAnsiTheme="minorHAnsi" w:cs="Arial"/>
          <w:b w:val="0"/>
          <w:bCs w:val="0"/>
          <w:i w:val="0"/>
          <w:smallCaps w:val="0"/>
          <w:color w:val="auto"/>
          <w:spacing w:val="0"/>
          <w:sz w:val="22"/>
          <w:szCs w:val="22"/>
        </w:rPr>
        <w:t>would</w:t>
      </w:r>
      <w:r>
        <w:rPr>
          <w:rStyle w:val="IntenseReference"/>
          <w:rFonts w:asciiTheme="minorHAnsi" w:hAnsiTheme="minorHAnsi" w:cs="Arial"/>
          <w:b w:val="0"/>
          <w:bCs w:val="0"/>
          <w:i w:val="0"/>
          <w:smallCaps w:val="0"/>
          <w:color w:val="auto"/>
          <w:spacing w:val="0"/>
          <w:sz w:val="22"/>
          <w:szCs w:val="22"/>
        </w:rPr>
        <w:t xml:space="preserve"> </w:t>
      </w:r>
      <w:r w:rsidRPr="003D6C23">
        <w:rPr>
          <w:rStyle w:val="IntenseReference"/>
          <w:rFonts w:asciiTheme="minorHAnsi" w:hAnsiTheme="minorHAnsi" w:cs="Arial"/>
          <w:b w:val="0"/>
          <w:bCs w:val="0"/>
          <w:i w:val="0"/>
          <w:smallCaps w:val="0"/>
          <w:color w:val="auto"/>
          <w:spacing w:val="0"/>
          <w:sz w:val="22"/>
          <w:szCs w:val="22"/>
        </w:rPr>
        <w:t>help standardise the response of participants</w:t>
      </w:r>
      <w:r>
        <w:rPr>
          <w:rStyle w:val="IntenseReference"/>
          <w:rFonts w:asciiTheme="minorHAnsi" w:hAnsiTheme="minorHAnsi" w:cs="Arial"/>
          <w:b w:val="0"/>
          <w:bCs w:val="0"/>
          <w:i w:val="0"/>
          <w:smallCaps w:val="0"/>
          <w:color w:val="auto"/>
          <w:spacing w:val="0"/>
          <w:sz w:val="22"/>
          <w:szCs w:val="22"/>
        </w:rPr>
        <w:t xml:space="preserve"> in the PCEHR system</w:t>
      </w:r>
      <w:r w:rsidRPr="003D6C23">
        <w:rPr>
          <w:rStyle w:val="IntenseReference"/>
          <w:rFonts w:asciiTheme="minorHAnsi" w:hAnsiTheme="minorHAnsi" w:cs="Arial"/>
          <w:b w:val="0"/>
          <w:bCs w:val="0"/>
          <w:i w:val="0"/>
          <w:smallCaps w:val="0"/>
          <w:color w:val="auto"/>
          <w:spacing w:val="0"/>
          <w:sz w:val="22"/>
          <w:szCs w:val="22"/>
        </w:rPr>
        <w:t xml:space="preserve"> should there be a breach</w:t>
      </w:r>
      <w:r>
        <w:rPr>
          <w:rStyle w:val="IntenseReference"/>
          <w:rFonts w:asciiTheme="minorHAnsi" w:hAnsiTheme="minorHAnsi" w:cs="Arial"/>
          <w:b w:val="0"/>
          <w:bCs w:val="0"/>
          <w:i w:val="0"/>
          <w:smallCaps w:val="0"/>
          <w:color w:val="auto"/>
          <w:spacing w:val="0"/>
          <w:sz w:val="22"/>
          <w:szCs w:val="22"/>
        </w:rPr>
        <w:t xml:space="preserve"> and </w:t>
      </w:r>
      <w:r w:rsidR="00D85CC8">
        <w:rPr>
          <w:rStyle w:val="IntenseReference"/>
          <w:rFonts w:asciiTheme="minorHAnsi" w:hAnsiTheme="minorHAnsi" w:cs="Arial"/>
          <w:b w:val="0"/>
          <w:bCs w:val="0"/>
          <w:i w:val="0"/>
          <w:smallCaps w:val="0"/>
          <w:color w:val="auto"/>
          <w:spacing w:val="0"/>
          <w:sz w:val="22"/>
          <w:szCs w:val="22"/>
        </w:rPr>
        <w:t>would</w:t>
      </w:r>
      <w:r>
        <w:rPr>
          <w:rStyle w:val="IntenseReference"/>
          <w:rFonts w:asciiTheme="minorHAnsi" w:hAnsiTheme="minorHAnsi" w:cs="Arial"/>
          <w:b w:val="0"/>
          <w:bCs w:val="0"/>
          <w:i w:val="0"/>
          <w:smallCaps w:val="0"/>
          <w:color w:val="auto"/>
          <w:spacing w:val="0"/>
          <w:sz w:val="22"/>
          <w:szCs w:val="22"/>
        </w:rPr>
        <w:t xml:space="preserve"> </w:t>
      </w:r>
      <w:r w:rsidR="0007334D">
        <w:rPr>
          <w:rStyle w:val="IntenseReference"/>
          <w:rFonts w:asciiTheme="minorHAnsi" w:hAnsiTheme="minorHAnsi" w:cs="Arial"/>
          <w:b w:val="0"/>
          <w:bCs w:val="0"/>
          <w:i w:val="0"/>
          <w:smallCaps w:val="0"/>
          <w:color w:val="auto"/>
          <w:spacing w:val="0"/>
          <w:sz w:val="22"/>
          <w:szCs w:val="22"/>
        </w:rPr>
        <w:t>rationalise</w:t>
      </w:r>
      <w:r>
        <w:rPr>
          <w:rStyle w:val="IntenseReference"/>
          <w:rFonts w:asciiTheme="minorHAnsi" w:hAnsiTheme="minorHAnsi" w:cs="Arial"/>
          <w:b w:val="0"/>
          <w:bCs w:val="0"/>
          <w:i w:val="0"/>
          <w:smallCaps w:val="0"/>
          <w:color w:val="auto"/>
          <w:spacing w:val="0"/>
          <w:sz w:val="22"/>
          <w:szCs w:val="22"/>
        </w:rPr>
        <w:t xml:space="preserve"> obligations for healthcare provider organisations and contracted service providers. </w:t>
      </w:r>
    </w:p>
    <w:p w:rsidR="001934B9" w:rsidRDefault="004255C6" w:rsidP="00AD48E1">
      <w:pPr>
        <w:pStyle w:val="ListParagraph"/>
        <w:spacing w:after="120"/>
        <w:ind w:left="737"/>
        <w:contextualSpacing w:val="0"/>
        <w:rPr>
          <w:rStyle w:val="IntenseReference"/>
          <w:rFonts w:asciiTheme="minorHAnsi" w:hAnsiTheme="minorHAnsi" w:cs="Arial"/>
          <w:b w:val="0"/>
          <w:bCs w:val="0"/>
          <w:i w:val="0"/>
          <w:smallCaps w:val="0"/>
          <w:color w:val="auto"/>
          <w:spacing w:val="0"/>
          <w:sz w:val="22"/>
          <w:szCs w:val="22"/>
          <w:lang w:eastAsia="en-AU"/>
        </w:rPr>
      </w:pPr>
      <w:r>
        <w:rPr>
          <w:rStyle w:val="IntenseReference"/>
          <w:rFonts w:asciiTheme="minorHAnsi" w:hAnsiTheme="minorHAnsi" w:cs="Arial"/>
          <w:b w:val="0"/>
          <w:bCs w:val="0"/>
          <w:i w:val="0"/>
          <w:smallCaps w:val="0"/>
          <w:color w:val="auto"/>
          <w:spacing w:val="0"/>
          <w:sz w:val="22"/>
          <w:szCs w:val="22"/>
        </w:rPr>
        <w:t>A</w:t>
      </w:r>
      <w:r w:rsidR="001934B9" w:rsidRPr="003D6C23">
        <w:rPr>
          <w:rStyle w:val="IntenseReference"/>
          <w:rFonts w:asciiTheme="minorHAnsi" w:hAnsiTheme="minorHAnsi" w:cs="Arial"/>
          <w:b w:val="0"/>
          <w:bCs w:val="0"/>
          <w:i w:val="0"/>
          <w:smallCaps w:val="0"/>
          <w:color w:val="auto"/>
          <w:spacing w:val="0"/>
          <w:sz w:val="22"/>
          <w:szCs w:val="22"/>
        </w:rPr>
        <w:t xml:space="preserve">mendments </w:t>
      </w:r>
      <w:r w:rsidR="00D85CC8">
        <w:rPr>
          <w:rStyle w:val="IntenseReference"/>
          <w:rFonts w:asciiTheme="minorHAnsi" w:hAnsiTheme="minorHAnsi" w:cs="Arial"/>
          <w:b w:val="0"/>
          <w:bCs w:val="0"/>
          <w:i w:val="0"/>
          <w:smallCaps w:val="0"/>
          <w:color w:val="auto"/>
          <w:spacing w:val="0"/>
          <w:sz w:val="22"/>
          <w:szCs w:val="22"/>
        </w:rPr>
        <w:t>would</w:t>
      </w:r>
      <w:r w:rsidR="00D1015C">
        <w:rPr>
          <w:rStyle w:val="IntenseReference"/>
          <w:rFonts w:asciiTheme="minorHAnsi" w:hAnsiTheme="minorHAnsi" w:cs="Arial"/>
          <w:b w:val="0"/>
          <w:bCs w:val="0"/>
          <w:i w:val="0"/>
          <w:smallCaps w:val="0"/>
          <w:color w:val="auto"/>
          <w:spacing w:val="0"/>
          <w:sz w:val="22"/>
          <w:szCs w:val="22"/>
        </w:rPr>
        <w:t xml:space="preserve"> also be made to clarify when </w:t>
      </w:r>
      <w:r w:rsidR="001934B9" w:rsidRPr="003D6C23">
        <w:rPr>
          <w:rStyle w:val="IntenseReference"/>
          <w:rFonts w:asciiTheme="minorHAnsi" w:hAnsiTheme="minorHAnsi" w:cs="Arial"/>
          <w:b w:val="0"/>
          <w:bCs w:val="0"/>
          <w:i w:val="0"/>
          <w:smallCaps w:val="0"/>
          <w:color w:val="auto"/>
          <w:spacing w:val="0"/>
          <w:sz w:val="22"/>
          <w:szCs w:val="22"/>
        </w:rPr>
        <w:t xml:space="preserve">data breach notification </w:t>
      </w:r>
      <w:r w:rsidR="00D1015C">
        <w:rPr>
          <w:rStyle w:val="IntenseReference"/>
          <w:rFonts w:asciiTheme="minorHAnsi" w:hAnsiTheme="minorHAnsi" w:cs="Arial"/>
          <w:b w:val="0"/>
          <w:bCs w:val="0"/>
          <w:i w:val="0"/>
          <w:smallCaps w:val="0"/>
          <w:color w:val="auto"/>
          <w:spacing w:val="0"/>
          <w:sz w:val="22"/>
          <w:szCs w:val="22"/>
        </w:rPr>
        <w:t>must occur.</w:t>
      </w:r>
    </w:p>
    <w:p w:rsidR="00562001" w:rsidRPr="003D6C23" w:rsidRDefault="00820E8A" w:rsidP="00820E8A">
      <w:pPr>
        <w:pStyle w:val="Heading3"/>
        <w:numPr>
          <w:ilvl w:val="0"/>
          <w:numId w:val="0"/>
        </w:numPr>
        <w:ind w:left="720" w:hanging="720"/>
      </w:pPr>
      <w:bookmarkStart w:id="89" w:name="_Toc418763112"/>
      <w:bookmarkStart w:id="90" w:name="_Toc420394266"/>
      <w:r>
        <w:t>3.4.2</w:t>
      </w:r>
      <w:r>
        <w:tab/>
      </w:r>
      <w:r w:rsidR="001934B9">
        <w:t xml:space="preserve">Centralising </w:t>
      </w:r>
      <w:r w:rsidR="004D3C03">
        <w:t xml:space="preserve">and simplifying </w:t>
      </w:r>
      <w:r w:rsidR="001934B9">
        <w:t>participant</w:t>
      </w:r>
      <w:r w:rsidR="00562001">
        <w:t xml:space="preserve"> obligations</w:t>
      </w:r>
      <w:bookmarkEnd w:id="89"/>
      <w:bookmarkEnd w:id="90"/>
    </w:p>
    <w:p w:rsidR="001934B9" w:rsidRDefault="004255C6" w:rsidP="001934B9">
      <w:pPr>
        <w:spacing w:before="120" w:after="120"/>
        <w:ind w:left="737"/>
        <w:rPr>
          <w:rStyle w:val="IntenseReference"/>
          <w:rFonts w:asciiTheme="minorHAnsi" w:hAnsiTheme="minorHAnsi" w:cs="Arial"/>
          <w:b w:val="0"/>
          <w:bCs w:val="0"/>
          <w:i w:val="0"/>
          <w:smallCaps w:val="0"/>
          <w:color w:val="auto"/>
          <w:spacing w:val="0"/>
          <w:sz w:val="22"/>
          <w:szCs w:val="22"/>
        </w:rPr>
      </w:pPr>
      <w:r>
        <w:rPr>
          <w:rStyle w:val="IntenseReference"/>
          <w:rFonts w:asciiTheme="minorHAnsi" w:hAnsiTheme="minorHAnsi" w:cs="Arial"/>
          <w:b w:val="0"/>
          <w:bCs w:val="0"/>
          <w:i w:val="0"/>
          <w:smallCaps w:val="0"/>
          <w:color w:val="auto"/>
          <w:spacing w:val="0"/>
          <w:sz w:val="22"/>
          <w:szCs w:val="22"/>
        </w:rPr>
        <w:t>I</w:t>
      </w:r>
      <w:r w:rsidR="00562001">
        <w:rPr>
          <w:rStyle w:val="IntenseReference"/>
          <w:rFonts w:asciiTheme="minorHAnsi" w:hAnsiTheme="minorHAnsi" w:cs="Arial"/>
          <w:b w:val="0"/>
          <w:bCs w:val="0"/>
          <w:i w:val="0"/>
          <w:smallCaps w:val="0"/>
          <w:color w:val="auto"/>
          <w:spacing w:val="0"/>
          <w:sz w:val="22"/>
          <w:szCs w:val="22"/>
        </w:rPr>
        <w:t>t is important that the PCEHR Act apply equally to all participants in the PCEHR system</w:t>
      </w:r>
      <w:r w:rsidR="008F003A">
        <w:rPr>
          <w:rStyle w:val="IntenseReference"/>
          <w:rFonts w:asciiTheme="minorHAnsi" w:hAnsiTheme="minorHAnsi" w:cs="Arial"/>
          <w:b w:val="0"/>
          <w:bCs w:val="0"/>
          <w:i w:val="0"/>
          <w:smallCaps w:val="0"/>
          <w:color w:val="auto"/>
          <w:spacing w:val="0"/>
          <w:sz w:val="22"/>
          <w:szCs w:val="22"/>
        </w:rPr>
        <w:t>, particularly given the proposal to abolish participation agreements</w:t>
      </w:r>
      <w:r w:rsidR="00562001">
        <w:rPr>
          <w:rStyle w:val="IntenseReference"/>
          <w:rFonts w:asciiTheme="minorHAnsi" w:hAnsiTheme="minorHAnsi" w:cs="Arial"/>
          <w:b w:val="0"/>
          <w:bCs w:val="0"/>
          <w:i w:val="0"/>
          <w:smallCaps w:val="0"/>
          <w:color w:val="auto"/>
          <w:spacing w:val="0"/>
          <w:sz w:val="22"/>
          <w:szCs w:val="22"/>
        </w:rPr>
        <w:t xml:space="preserve">.  For example, section 78 of the PCEHR Act (which requires compliance with the PCEHR Rules) currently only applies to registered repository operators and registered portal operators.  It is proposed to </w:t>
      </w:r>
      <w:r w:rsidR="008F003A">
        <w:rPr>
          <w:rStyle w:val="IntenseReference"/>
          <w:rFonts w:asciiTheme="minorHAnsi" w:hAnsiTheme="minorHAnsi" w:cs="Arial"/>
          <w:b w:val="0"/>
          <w:bCs w:val="0"/>
          <w:i w:val="0"/>
          <w:smallCaps w:val="0"/>
          <w:color w:val="auto"/>
          <w:spacing w:val="0"/>
          <w:sz w:val="22"/>
          <w:szCs w:val="22"/>
        </w:rPr>
        <w:t xml:space="preserve">make a number of minor amendments, including to </w:t>
      </w:r>
      <w:r w:rsidR="004D3C03">
        <w:rPr>
          <w:rStyle w:val="IntenseReference"/>
          <w:rFonts w:asciiTheme="minorHAnsi" w:hAnsiTheme="minorHAnsi" w:cs="Arial"/>
          <w:b w:val="0"/>
          <w:bCs w:val="0"/>
          <w:i w:val="0"/>
          <w:smallCaps w:val="0"/>
          <w:color w:val="auto"/>
          <w:spacing w:val="0"/>
          <w:sz w:val="22"/>
          <w:szCs w:val="22"/>
        </w:rPr>
        <w:t>section 78</w:t>
      </w:r>
      <w:r w:rsidR="008F003A">
        <w:rPr>
          <w:rStyle w:val="IntenseReference"/>
          <w:rFonts w:asciiTheme="minorHAnsi" w:hAnsiTheme="minorHAnsi" w:cs="Arial"/>
          <w:b w:val="0"/>
          <w:bCs w:val="0"/>
          <w:i w:val="0"/>
          <w:smallCaps w:val="0"/>
          <w:color w:val="auto"/>
          <w:spacing w:val="0"/>
          <w:sz w:val="22"/>
          <w:szCs w:val="22"/>
        </w:rPr>
        <w:t xml:space="preserve">, </w:t>
      </w:r>
      <w:r w:rsidR="00562001">
        <w:rPr>
          <w:rStyle w:val="IntenseReference"/>
          <w:rFonts w:asciiTheme="minorHAnsi" w:hAnsiTheme="minorHAnsi" w:cs="Arial"/>
          <w:b w:val="0"/>
          <w:bCs w:val="0"/>
          <w:i w:val="0"/>
          <w:smallCaps w:val="0"/>
          <w:color w:val="auto"/>
          <w:spacing w:val="0"/>
          <w:sz w:val="22"/>
          <w:szCs w:val="22"/>
        </w:rPr>
        <w:t>so that the</w:t>
      </w:r>
      <w:r w:rsidR="008F003A">
        <w:rPr>
          <w:rStyle w:val="IntenseReference"/>
          <w:rFonts w:asciiTheme="minorHAnsi" w:hAnsiTheme="minorHAnsi" w:cs="Arial"/>
          <w:b w:val="0"/>
          <w:bCs w:val="0"/>
          <w:i w:val="0"/>
          <w:smallCaps w:val="0"/>
          <w:color w:val="auto"/>
          <w:spacing w:val="0"/>
          <w:sz w:val="22"/>
          <w:szCs w:val="22"/>
        </w:rPr>
        <w:t xml:space="preserve"> PCEHR legislation </w:t>
      </w:r>
      <w:r w:rsidR="00562001">
        <w:rPr>
          <w:rStyle w:val="IntenseReference"/>
          <w:rFonts w:asciiTheme="minorHAnsi" w:hAnsiTheme="minorHAnsi" w:cs="Arial"/>
          <w:b w:val="0"/>
          <w:bCs w:val="0"/>
          <w:i w:val="0"/>
          <w:smallCaps w:val="0"/>
          <w:color w:val="auto"/>
          <w:spacing w:val="0"/>
          <w:sz w:val="22"/>
          <w:szCs w:val="22"/>
        </w:rPr>
        <w:t>appl</w:t>
      </w:r>
      <w:r w:rsidR="008F003A">
        <w:rPr>
          <w:rStyle w:val="IntenseReference"/>
          <w:rFonts w:asciiTheme="minorHAnsi" w:hAnsiTheme="minorHAnsi" w:cs="Arial"/>
          <w:b w:val="0"/>
          <w:bCs w:val="0"/>
          <w:i w:val="0"/>
          <w:smallCaps w:val="0"/>
          <w:color w:val="auto"/>
          <w:spacing w:val="0"/>
          <w:sz w:val="22"/>
          <w:szCs w:val="22"/>
        </w:rPr>
        <w:t xml:space="preserve">ies appropriately </w:t>
      </w:r>
      <w:r w:rsidR="00562001">
        <w:rPr>
          <w:rStyle w:val="IntenseReference"/>
          <w:rFonts w:asciiTheme="minorHAnsi" w:hAnsiTheme="minorHAnsi" w:cs="Arial"/>
          <w:b w:val="0"/>
          <w:bCs w:val="0"/>
          <w:i w:val="0"/>
          <w:smallCaps w:val="0"/>
          <w:color w:val="auto"/>
          <w:spacing w:val="0"/>
          <w:sz w:val="22"/>
          <w:szCs w:val="22"/>
        </w:rPr>
        <w:t xml:space="preserve">to all participants in the PCEHR system.  </w:t>
      </w:r>
    </w:p>
    <w:p w:rsidR="004D3C03" w:rsidRPr="003D6C23" w:rsidRDefault="004D3C03" w:rsidP="004D3C03">
      <w:pPr>
        <w:pStyle w:val="Heading3"/>
        <w:numPr>
          <w:ilvl w:val="0"/>
          <w:numId w:val="0"/>
        </w:numPr>
        <w:ind w:left="720" w:hanging="720"/>
      </w:pPr>
      <w:bookmarkStart w:id="91" w:name="_Toc418763113"/>
      <w:bookmarkStart w:id="92" w:name="_Toc420394267"/>
      <w:r>
        <w:t>3.</w:t>
      </w:r>
      <w:r w:rsidR="00BD0F66">
        <w:t>4</w:t>
      </w:r>
      <w:r>
        <w:t>.</w:t>
      </w:r>
      <w:r w:rsidR="00BD0F66">
        <w:t>3</w:t>
      </w:r>
      <w:r>
        <w:tab/>
        <w:t>Obligation for organisations to have PCEHR policy</w:t>
      </w:r>
      <w:bookmarkEnd w:id="91"/>
      <w:bookmarkEnd w:id="92"/>
    </w:p>
    <w:p w:rsidR="004D3C03" w:rsidRDefault="004D3C03" w:rsidP="004D3C03">
      <w:pPr>
        <w:spacing w:after="120"/>
        <w:ind w:left="737"/>
        <w:rPr>
          <w:rStyle w:val="IntenseReference"/>
          <w:rFonts w:asciiTheme="minorHAnsi" w:hAnsiTheme="minorHAnsi" w:cs="Arial"/>
          <w:b w:val="0"/>
          <w:bCs w:val="0"/>
          <w:i w:val="0"/>
          <w:smallCaps w:val="0"/>
          <w:color w:val="auto"/>
          <w:spacing w:val="0"/>
          <w:sz w:val="22"/>
          <w:szCs w:val="22"/>
        </w:rPr>
      </w:pPr>
      <w:r>
        <w:rPr>
          <w:rStyle w:val="IntenseReference"/>
          <w:rFonts w:asciiTheme="minorHAnsi" w:hAnsiTheme="minorHAnsi" w:cs="Arial"/>
          <w:b w:val="0"/>
          <w:bCs w:val="0"/>
          <w:i w:val="0"/>
          <w:smallCaps w:val="0"/>
          <w:color w:val="auto"/>
          <w:spacing w:val="0"/>
          <w:sz w:val="22"/>
          <w:szCs w:val="22"/>
        </w:rPr>
        <w:t>The PCEHR Rules currently require registered healthcare provider organisations to have in place a policy that addresses certain PCEHR matters, such as security measures they will take and training they will provide to staff (rule 25).  However, there is no requirement for this policy to address how the organisation will ensure data quality so it is proposed that this requirement be included.</w:t>
      </w:r>
      <w:r w:rsidR="008F003A">
        <w:rPr>
          <w:rStyle w:val="IntenseReference"/>
          <w:rFonts w:asciiTheme="minorHAnsi" w:hAnsiTheme="minorHAnsi" w:cs="Arial"/>
          <w:b w:val="0"/>
          <w:bCs w:val="0"/>
          <w:i w:val="0"/>
          <w:smallCaps w:val="0"/>
          <w:color w:val="auto"/>
          <w:spacing w:val="0"/>
          <w:sz w:val="22"/>
          <w:szCs w:val="22"/>
        </w:rPr>
        <w:t xml:space="preserve">  Requirements for other participants in the PCEHR system to also have policies </w:t>
      </w:r>
      <w:r w:rsidR="00D85CC8">
        <w:rPr>
          <w:rStyle w:val="IntenseReference"/>
          <w:rFonts w:asciiTheme="minorHAnsi" w:hAnsiTheme="minorHAnsi" w:cs="Arial"/>
          <w:b w:val="0"/>
          <w:bCs w:val="0"/>
          <w:i w:val="0"/>
          <w:smallCaps w:val="0"/>
          <w:color w:val="auto"/>
          <w:spacing w:val="0"/>
          <w:sz w:val="22"/>
          <w:szCs w:val="22"/>
        </w:rPr>
        <w:t>would</w:t>
      </w:r>
      <w:r w:rsidR="008F003A">
        <w:rPr>
          <w:rStyle w:val="IntenseReference"/>
          <w:rFonts w:asciiTheme="minorHAnsi" w:hAnsiTheme="minorHAnsi" w:cs="Arial"/>
          <w:b w:val="0"/>
          <w:bCs w:val="0"/>
          <w:i w:val="0"/>
          <w:smallCaps w:val="0"/>
          <w:color w:val="auto"/>
          <w:spacing w:val="0"/>
          <w:sz w:val="22"/>
          <w:szCs w:val="22"/>
        </w:rPr>
        <w:t xml:space="preserve"> be introduced.  This is to ensure that all participants in the PCEHR system have </w:t>
      </w:r>
      <w:r w:rsidR="004255C6">
        <w:rPr>
          <w:rStyle w:val="IntenseReference"/>
          <w:rFonts w:asciiTheme="minorHAnsi" w:hAnsiTheme="minorHAnsi" w:cs="Arial"/>
          <w:b w:val="0"/>
          <w:bCs w:val="0"/>
          <w:i w:val="0"/>
          <w:smallCaps w:val="0"/>
          <w:color w:val="auto"/>
          <w:spacing w:val="0"/>
          <w:sz w:val="22"/>
          <w:szCs w:val="22"/>
        </w:rPr>
        <w:t>appropriate</w:t>
      </w:r>
      <w:r w:rsidR="008F003A">
        <w:rPr>
          <w:rStyle w:val="IntenseReference"/>
          <w:rFonts w:asciiTheme="minorHAnsi" w:hAnsiTheme="minorHAnsi" w:cs="Arial"/>
          <w:b w:val="0"/>
          <w:bCs w:val="0"/>
          <w:i w:val="0"/>
          <w:smallCaps w:val="0"/>
          <w:color w:val="auto"/>
          <w:spacing w:val="0"/>
          <w:sz w:val="22"/>
          <w:szCs w:val="22"/>
        </w:rPr>
        <w:t xml:space="preserve"> security and information handling practices in place.</w:t>
      </w:r>
    </w:p>
    <w:p w:rsidR="003D6C23" w:rsidRPr="003D6C23" w:rsidRDefault="00820E8A" w:rsidP="00820E8A">
      <w:pPr>
        <w:pStyle w:val="Heading3"/>
        <w:numPr>
          <w:ilvl w:val="0"/>
          <w:numId w:val="0"/>
        </w:numPr>
        <w:ind w:left="720" w:hanging="720"/>
      </w:pPr>
      <w:bookmarkStart w:id="93" w:name="_Toc418763114"/>
      <w:bookmarkStart w:id="94" w:name="_Toc420394268"/>
      <w:r>
        <w:t>3.4.</w:t>
      </w:r>
      <w:r w:rsidR="00BD0F66">
        <w:t>4</w:t>
      </w:r>
      <w:r>
        <w:tab/>
      </w:r>
      <w:r w:rsidR="003D6C23" w:rsidRPr="003D6C23">
        <w:t>Obligations on authorised and nominated representatives</w:t>
      </w:r>
      <w:bookmarkEnd w:id="93"/>
      <w:bookmarkEnd w:id="94"/>
    </w:p>
    <w:p w:rsidR="00FC62D8" w:rsidRDefault="003D6C23" w:rsidP="00FC62D8">
      <w:pPr>
        <w:pStyle w:val="ListParagraph"/>
        <w:spacing w:before="120" w:after="120"/>
        <w:ind w:left="737"/>
        <w:contextualSpacing w:val="0"/>
        <w:rPr>
          <w:rStyle w:val="IntenseReference"/>
          <w:rFonts w:asciiTheme="minorHAnsi" w:hAnsiTheme="minorHAnsi" w:cs="Arial"/>
          <w:b w:val="0"/>
          <w:bCs w:val="0"/>
          <w:i w:val="0"/>
          <w:smallCaps w:val="0"/>
          <w:color w:val="auto"/>
          <w:spacing w:val="0"/>
          <w:sz w:val="22"/>
          <w:szCs w:val="22"/>
        </w:rPr>
      </w:pPr>
      <w:r w:rsidRPr="003D6C23">
        <w:rPr>
          <w:rStyle w:val="IntenseReference"/>
          <w:rFonts w:asciiTheme="minorHAnsi" w:hAnsiTheme="minorHAnsi" w:cs="Arial"/>
          <w:b w:val="0"/>
          <w:bCs w:val="0"/>
          <w:i w:val="0"/>
          <w:smallCaps w:val="0"/>
          <w:color w:val="auto"/>
          <w:spacing w:val="0"/>
          <w:sz w:val="22"/>
          <w:szCs w:val="22"/>
        </w:rPr>
        <w:t xml:space="preserve">The PCEHR Act currently provides for authorised representatives and nominated representatives to assist </w:t>
      </w:r>
      <w:r w:rsidR="00716DBB">
        <w:rPr>
          <w:rFonts w:asciiTheme="minorHAnsi" w:hAnsiTheme="minorHAnsi"/>
          <w:sz w:val="22"/>
          <w:szCs w:val="22"/>
        </w:rPr>
        <w:t xml:space="preserve">individuals </w:t>
      </w:r>
      <w:r w:rsidR="008E779B">
        <w:rPr>
          <w:rStyle w:val="IntenseReference"/>
          <w:rFonts w:asciiTheme="minorHAnsi" w:hAnsiTheme="minorHAnsi" w:cs="Arial"/>
          <w:b w:val="0"/>
          <w:bCs w:val="0"/>
          <w:i w:val="0"/>
          <w:smallCaps w:val="0"/>
          <w:color w:val="auto"/>
          <w:spacing w:val="0"/>
          <w:sz w:val="22"/>
          <w:szCs w:val="22"/>
        </w:rPr>
        <w:t xml:space="preserve">to </w:t>
      </w:r>
      <w:r w:rsidRPr="003D6C23">
        <w:rPr>
          <w:rStyle w:val="IntenseReference"/>
          <w:rFonts w:asciiTheme="minorHAnsi" w:hAnsiTheme="minorHAnsi" w:cs="Arial"/>
          <w:b w:val="0"/>
          <w:bCs w:val="0"/>
          <w:i w:val="0"/>
          <w:smallCaps w:val="0"/>
          <w:color w:val="auto"/>
          <w:spacing w:val="0"/>
          <w:sz w:val="22"/>
          <w:szCs w:val="22"/>
        </w:rPr>
        <w:t xml:space="preserve">manage their PCEHR.  The responsibilities of authorised and nominated representatives </w:t>
      </w:r>
      <w:r w:rsidR="00D85CC8">
        <w:rPr>
          <w:rStyle w:val="IntenseReference"/>
          <w:rFonts w:asciiTheme="minorHAnsi" w:hAnsiTheme="minorHAnsi" w:cs="Arial"/>
          <w:b w:val="0"/>
          <w:bCs w:val="0"/>
          <w:i w:val="0"/>
          <w:smallCaps w:val="0"/>
          <w:color w:val="auto"/>
          <w:spacing w:val="0"/>
          <w:sz w:val="22"/>
          <w:szCs w:val="22"/>
        </w:rPr>
        <w:t>would</w:t>
      </w:r>
      <w:r w:rsidRPr="003D6C23">
        <w:rPr>
          <w:rStyle w:val="IntenseReference"/>
          <w:rFonts w:asciiTheme="minorHAnsi" w:hAnsiTheme="minorHAnsi" w:cs="Arial"/>
          <w:b w:val="0"/>
          <w:bCs w:val="0"/>
          <w:i w:val="0"/>
          <w:smallCaps w:val="0"/>
          <w:color w:val="auto"/>
          <w:spacing w:val="0"/>
          <w:sz w:val="22"/>
          <w:szCs w:val="22"/>
        </w:rPr>
        <w:t xml:space="preserve"> be clarified to align them with the proposed new Australian supported decision-making regime.</w:t>
      </w:r>
      <w:r w:rsidRPr="003D6C23">
        <w:rPr>
          <w:rStyle w:val="FootnoteReference"/>
          <w:rFonts w:asciiTheme="minorHAnsi" w:hAnsiTheme="minorHAnsi" w:cs="Arial"/>
          <w:sz w:val="22"/>
          <w:szCs w:val="22"/>
        </w:rPr>
        <w:footnoteReference w:id="16"/>
      </w:r>
      <w:r w:rsidRPr="003D6C23">
        <w:rPr>
          <w:rStyle w:val="IntenseReference"/>
          <w:rFonts w:asciiTheme="minorHAnsi" w:hAnsiTheme="minorHAnsi" w:cs="Arial"/>
          <w:b w:val="0"/>
          <w:bCs w:val="0"/>
          <w:i w:val="0"/>
          <w:smallCaps w:val="0"/>
          <w:color w:val="auto"/>
          <w:spacing w:val="0"/>
          <w:sz w:val="22"/>
          <w:szCs w:val="22"/>
        </w:rPr>
        <w:t xml:space="preserve">  These changes </w:t>
      </w:r>
      <w:r w:rsidR="00D85CC8">
        <w:rPr>
          <w:rStyle w:val="IntenseReference"/>
          <w:rFonts w:asciiTheme="minorHAnsi" w:hAnsiTheme="minorHAnsi" w:cs="Arial"/>
          <w:b w:val="0"/>
          <w:bCs w:val="0"/>
          <w:i w:val="0"/>
          <w:smallCaps w:val="0"/>
          <w:color w:val="auto"/>
          <w:spacing w:val="0"/>
          <w:sz w:val="22"/>
          <w:szCs w:val="22"/>
        </w:rPr>
        <w:t>would</w:t>
      </w:r>
      <w:r w:rsidRPr="003D6C23">
        <w:rPr>
          <w:rStyle w:val="IntenseReference"/>
          <w:rFonts w:asciiTheme="minorHAnsi" w:hAnsiTheme="minorHAnsi" w:cs="Arial"/>
          <w:b w:val="0"/>
          <w:bCs w:val="0"/>
          <w:i w:val="0"/>
          <w:smallCaps w:val="0"/>
          <w:color w:val="auto"/>
          <w:spacing w:val="0"/>
          <w:sz w:val="22"/>
          <w:szCs w:val="22"/>
        </w:rPr>
        <w:t xml:space="preserve"> include replacing the current obligation in the PCEHR Act for representatives to act in the best interests of the </w:t>
      </w:r>
      <w:r w:rsidR="00716DBB">
        <w:rPr>
          <w:rFonts w:asciiTheme="minorHAnsi" w:hAnsiTheme="minorHAnsi"/>
          <w:sz w:val="22"/>
          <w:szCs w:val="22"/>
        </w:rPr>
        <w:t xml:space="preserve">individual </w:t>
      </w:r>
      <w:r w:rsidRPr="003D6C23">
        <w:rPr>
          <w:rStyle w:val="IntenseReference"/>
          <w:rFonts w:asciiTheme="minorHAnsi" w:hAnsiTheme="minorHAnsi" w:cs="Arial"/>
          <w:b w:val="0"/>
          <w:bCs w:val="0"/>
          <w:i w:val="0"/>
          <w:smallCaps w:val="0"/>
          <w:color w:val="auto"/>
          <w:spacing w:val="0"/>
          <w:sz w:val="22"/>
          <w:szCs w:val="22"/>
        </w:rPr>
        <w:t xml:space="preserve">with obligations to: </w:t>
      </w:r>
    </w:p>
    <w:p w:rsidR="00FC62D8" w:rsidRDefault="003D6C23" w:rsidP="00A67B4E">
      <w:pPr>
        <w:pStyle w:val="ListParagraph"/>
        <w:numPr>
          <w:ilvl w:val="0"/>
          <w:numId w:val="17"/>
        </w:numPr>
        <w:spacing w:after="120"/>
        <w:contextualSpacing w:val="0"/>
        <w:rPr>
          <w:rStyle w:val="IntenseReference"/>
          <w:rFonts w:asciiTheme="minorHAnsi" w:hAnsiTheme="minorHAnsi" w:cs="Arial"/>
          <w:b w:val="0"/>
          <w:bCs w:val="0"/>
          <w:i w:val="0"/>
          <w:smallCaps w:val="0"/>
          <w:color w:val="auto"/>
          <w:spacing w:val="0"/>
          <w:sz w:val="22"/>
          <w:szCs w:val="22"/>
        </w:rPr>
      </w:pPr>
      <w:r w:rsidRPr="00FC62D8">
        <w:rPr>
          <w:rStyle w:val="IntenseReference"/>
          <w:rFonts w:asciiTheme="minorHAnsi" w:hAnsiTheme="minorHAnsi" w:cs="Arial"/>
          <w:b w:val="0"/>
          <w:bCs w:val="0"/>
          <w:i w:val="0"/>
          <w:smallCaps w:val="0"/>
          <w:color w:val="auto"/>
          <w:spacing w:val="0"/>
          <w:sz w:val="22"/>
          <w:szCs w:val="22"/>
        </w:rPr>
        <w:t xml:space="preserve">consider the will, preferences and rights of the </w:t>
      </w:r>
      <w:r w:rsidR="00716DBB">
        <w:rPr>
          <w:rFonts w:asciiTheme="minorHAnsi" w:hAnsiTheme="minorHAnsi"/>
          <w:sz w:val="22"/>
          <w:szCs w:val="22"/>
        </w:rPr>
        <w:t xml:space="preserve">individual </w:t>
      </w:r>
      <w:r w:rsidR="00FC62D8">
        <w:rPr>
          <w:rStyle w:val="IntenseReference"/>
          <w:rFonts w:asciiTheme="minorHAnsi" w:hAnsiTheme="minorHAnsi" w:cs="Arial"/>
          <w:b w:val="0"/>
          <w:bCs w:val="0"/>
          <w:i w:val="0"/>
          <w:smallCaps w:val="0"/>
          <w:color w:val="auto"/>
          <w:spacing w:val="0"/>
          <w:sz w:val="22"/>
          <w:szCs w:val="22"/>
        </w:rPr>
        <w:t>when making a decision; and</w:t>
      </w:r>
    </w:p>
    <w:p w:rsidR="003D6C23" w:rsidRDefault="003D6C23" w:rsidP="00A67B4E">
      <w:pPr>
        <w:pStyle w:val="ListParagraph"/>
        <w:numPr>
          <w:ilvl w:val="0"/>
          <w:numId w:val="17"/>
        </w:numPr>
        <w:spacing w:after="120"/>
        <w:contextualSpacing w:val="0"/>
        <w:rPr>
          <w:rStyle w:val="IntenseReference"/>
          <w:rFonts w:asciiTheme="minorHAnsi" w:hAnsiTheme="minorHAnsi" w:cs="Arial"/>
          <w:b w:val="0"/>
          <w:bCs w:val="0"/>
          <w:i w:val="0"/>
          <w:smallCaps w:val="0"/>
          <w:color w:val="auto"/>
          <w:spacing w:val="0"/>
          <w:sz w:val="22"/>
          <w:szCs w:val="22"/>
        </w:rPr>
      </w:pPr>
      <w:proofErr w:type="gramStart"/>
      <w:r w:rsidRPr="00FC62D8">
        <w:rPr>
          <w:rStyle w:val="IntenseReference"/>
          <w:rFonts w:asciiTheme="minorHAnsi" w:hAnsiTheme="minorHAnsi" w:cs="Arial"/>
          <w:b w:val="0"/>
          <w:bCs w:val="0"/>
          <w:i w:val="0"/>
          <w:smallCaps w:val="0"/>
          <w:color w:val="auto"/>
          <w:spacing w:val="0"/>
          <w:sz w:val="22"/>
          <w:szCs w:val="22"/>
        </w:rPr>
        <w:t>perform</w:t>
      </w:r>
      <w:proofErr w:type="gramEnd"/>
      <w:r w:rsidRPr="00FC62D8">
        <w:rPr>
          <w:rStyle w:val="IntenseReference"/>
          <w:rFonts w:asciiTheme="minorHAnsi" w:hAnsiTheme="minorHAnsi" w:cs="Arial"/>
          <w:b w:val="0"/>
          <w:bCs w:val="0"/>
          <w:i w:val="0"/>
          <w:smallCaps w:val="0"/>
          <w:color w:val="auto"/>
          <w:spacing w:val="0"/>
          <w:sz w:val="22"/>
          <w:szCs w:val="22"/>
        </w:rPr>
        <w:t xml:space="preserve"> the role of authorised representative or nominated representative diligently and in good faith</w:t>
      </w:r>
      <w:r w:rsidR="00FC62D8">
        <w:rPr>
          <w:rStyle w:val="IntenseReference"/>
          <w:rFonts w:asciiTheme="minorHAnsi" w:hAnsiTheme="minorHAnsi" w:cs="Arial"/>
          <w:b w:val="0"/>
          <w:bCs w:val="0"/>
          <w:i w:val="0"/>
          <w:smallCaps w:val="0"/>
          <w:color w:val="auto"/>
          <w:spacing w:val="0"/>
          <w:sz w:val="22"/>
          <w:szCs w:val="22"/>
        </w:rPr>
        <w:t>.</w:t>
      </w:r>
    </w:p>
    <w:p w:rsidR="00D42FEC" w:rsidRDefault="00D42FEC">
      <w:pPr>
        <w:rPr>
          <w:rFonts w:asciiTheme="minorHAnsi" w:hAnsiTheme="minorHAnsi"/>
          <w:b/>
          <w:szCs w:val="28"/>
          <w:lang w:eastAsia="en-US"/>
        </w:rPr>
      </w:pPr>
      <w:bookmarkStart w:id="95" w:name="_Toc418763115"/>
      <w:r>
        <w:br w:type="page"/>
      </w:r>
    </w:p>
    <w:p w:rsidR="00982450" w:rsidRPr="003D6C23" w:rsidRDefault="00820E8A" w:rsidP="00820E8A">
      <w:pPr>
        <w:pStyle w:val="Heading3"/>
        <w:numPr>
          <w:ilvl w:val="0"/>
          <w:numId w:val="0"/>
        </w:numPr>
        <w:ind w:left="720" w:hanging="720"/>
      </w:pPr>
      <w:bookmarkStart w:id="96" w:name="_Toc420394269"/>
      <w:r>
        <w:lastRenderedPageBreak/>
        <w:t>3.4.</w:t>
      </w:r>
      <w:r w:rsidR="00BD0F66">
        <w:t>5</w:t>
      </w:r>
      <w:r>
        <w:tab/>
      </w:r>
      <w:r w:rsidR="00982450">
        <w:t>Application of o</w:t>
      </w:r>
      <w:r w:rsidR="00982450" w:rsidRPr="003D6C23">
        <w:t xml:space="preserve">bligations </w:t>
      </w:r>
      <w:r w:rsidR="00982450">
        <w:t>on different types of entities</w:t>
      </w:r>
      <w:bookmarkEnd w:id="95"/>
      <w:bookmarkEnd w:id="96"/>
    </w:p>
    <w:p w:rsidR="001934B9" w:rsidRDefault="001934B9" w:rsidP="001934B9">
      <w:pPr>
        <w:spacing w:after="120"/>
        <w:ind w:left="737"/>
        <w:rPr>
          <w:rFonts w:ascii="Calibri" w:hAnsi="Calibri" w:cs="Calibri"/>
          <w:sz w:val="22"/>
          <w:szCs w:val="22"/>
        </w:rPr>
      </w:pPr>
      <w:r w:rsidRPr="001934B9">
        <w:rPr>
          <w:rFonts w:asciiTheme="minorHAnsi" w:hAnsiTheme="minorHAnsi"/>
          <w:sz w:val="22"/>
          <w:szCs w:val="22"/>
        </w:rPr>
        <w:t>The HI Review noted that there was some confusion around the legal status required of healthcare provider organisations.</w:t>
      </w:r>
      <w:r w:rsidRPr="001934B9">
        <w:rPr>
          <w:rStyle w:val="FootnoteReference"/>
          <w:rFonts w:asciiTheme="minorHAnsi" w:hAnsiTheme="minorHAnsi"/>
          <w:sz w:val="22"/>
          <w:szCs w:val="22"/>
        </w:rPr>
        <w:footnoteReference w:id="17"/>
      </w:r>
      <w:r w:rsidRPr="001934B9">
        <w:rPr>
          <w:rFonts w:asciiTheme="minorHAnsi" w:hAnsiTheme="minorHAnsi"/>
          <w:sz w:val="22"/>
          <w:szCs w:val="22"/>
        </w:rPr>
        <w:t xml:space="preserve">  Under the HI Act and the PCEHR Act, a healthcare provider organisation does not need to be a separate legal entity.  This is made clear by the definition of “entity” in each Act that encompasses “trusts”, “partnerships” and “unincorporated associations”, none of which are separate legal entities.</w:t>
      </w:r>
      <w:r w:rsidRPr="001934B9">
        <w:rPr>
          <w:rFonts w:ascii="Calibri" w:hAnsi="Calibri" w:cs="Calibri"/>
          <w:sz w:val="22"/>
          <w:szCs w:val="22"/>
        </w:rPr>
        <w:t xml:space="preserve">  </w:t>
      </w:r>
    </w:p>
    <w:p w:rsidR="00982450" w:rsidRPr="001934B9" w:rsidRDefault="00C737E3" w:rsidP="001934B9">
      <w:pPr>
        <w:spacing w:after="120"/>
        <w:ind w:left="737"/>
        <w:rPr>
          <w:rFonts w:ascii="Calibri" w:hAnsi="Calibri" w:cs="Calibri"/>
          <w:sz w:val="22"/>
          <w:szCs w:val="22"/>
        </w:rPr>
      </w:pPr>
      <w:r>
        <w:rPr>
          <w:rFonts w:ascii="Calibri" w:hAnsi="Calibri" w:cs="Calibri"/>
          <w:sz w:val="22"/>
          <w:szCs w:val="22"/>
        </w:rPr>
        <w:t>While the PCEHR Act specifies how obligations apply to organisations that are trusts, partnerships and unincorporated associations</w:t>
      </w:r>
      <w:r>
        <w:rPr>
          <w:rStyle w:val="FootnoteReference"/>
          <w:rFonts w:ascii="Calibri" w:hAnsi="Calibri" w:cs="Calibri"/>
          <w:sz w:val="22"/>
          <w:szCs w:val="22"/>
        </w:rPr>
        <w:footnoteReference w:id="18"/>
      </w:r>
      <w:r>
        <w:rPr>
          <w:rFonts w:ascii="Calibri" w:hAnsi="Calibri" w:cs="Calibri"/>
          <w:sz w:val="22"/>
          <w:szCs w:val="22"/>
        </w:rPr>
        <w:t xml:space="preserve">, the HI Act does not and this has caused some confusion.  </w:t>
      </w:r>
      <w:r w:rsidR="001934B9">
        <w:rPr>
          <w:rFonts w:ascii="Calibri" w:hAnsi="Calibri" w:cs="Calibri"/>
          <w:sz w:val="22"/>
          <w:szCs w:val="22"/>
        </w:rPr>
        <w:t xml:space="preserve">It is </w:t>
      </w:r>
      <w:r>
        <w:rPr>
          <w:rFonts w:ascii="Calibri" w:hAnsi="Calibri" w:cs="Calibri"/>
          <w:sz w:val="22"/>
          <w:szCs w:val="22"/>
        </w:rPr>
        <w:t xml:space="preserve">therefore </w:t>
      </w:r>
      <w:r w:rsidR="001934B9">
        <w:rPr>
          <w:rFonts w:ascii="Calibri" w:hAnsi="Calibri" w:cs="Calibri"/>
          <w:sz w:val="22"/>
          <w:szCs w:val="22"/>
        </w:rPr>
        <w:t xml:space="preserve">proposed to </w:t>
      </w:r>
      <w:r>
        <w:rPr>
          <w:rFonts w:ascii="Calibri" w:hAnsi="Calibri" w:cs="Calibri"/>
          <w:sz w:val="22"/>
          <w:szCs w:val="22"/>
        </w:rPr>
        <w:t>include in the HI Act application provisions along the lines of those in the PCEHR Act.</w:t>
      </w:r>
    </w:p>
    <w:p w:rsidR="00562001" w:rsidRPr="003D6C23" w:rsidRDefault="00820E8A" w:rsidP="00820E8A">
      <w:pPr>
        <w:pStyle w:val="Heading3"/>
        <w:numPr>
          <w:ilvl w:val="0"/>
          <w:numId w:val="0"/>
        </w:numPr>
        <w:ind w:left="720" w:hanging="720"/>
      </w:pPr>
      <w:bookmarkStart w:id="97" w:name="_Toc418763116"/>
      <w:bookmarkStart w:id="98" w:name="_Toc420394270"/>
      <w:r>
        <w:t>3.4.</w:t>
      </w:r>
      <w:r w:rsidR="00BD0F66">
        <w:t>6</w:t>
      </w:r>
      <w:r>
        <w:tab/>
      </w:r>
      <w:r w:rsidR="001663BC">
        <w:t xml:space="preserve">Obligations </w:t>
      </w:r>
      <w:r w:rsidR="00562001">
        <w:t>to use PCEHR system</w:t>
      </w:r>
      <w:bookmarkEnd w:id="97"/>
      <w:bookmarkEnd w:id="98"/>
    </w:p>
    <w:p w:rsidR="00562001" w:rsidRDefault="001663BC" w:rsidP="001663BC">
      <w:pPr>
        <w:spacing w:before="120" w:after="120"/>
        <w:ind w:left="737"/>
        <w:rPr>
          <w:rStyle w:val="IntenseReference"/>
          <w:rFonts w:asciiTheme="minorHAnsi" w:hAnsiTheme="minorHAnsi" w:cs="Arial"/>
          <w:b w:val="0"/>
          <w:bCs w:val="0"/>
          <w:i w:val="0"/>
          <w:smallCaps w:val="0"/>
          <w:color w:val="auto"/>
          <w:spacing w:val="0"/>
          <w:sz w:val="22"/>
          <w:szCs w:val="22"/>
        </w:rPr>
      </w:pPr>
      <w:r>
        <w:rPr>
          <w:rStyle w:val="IntenseReference"/>
          <w:rFonts w:asciiTheme="minorHAnsi" w:hAnsiTheme="minorHAnsi" w:cs="Arial"/>
          <w:b w:val="0"/>
          <w:bCs w:val="0"/>
          <w:i w:val="0"/>
          <w:smallCaps w:val="0"/>
          <w:color w:val="auto"/>
          <w:spacing w:val="0"/>
          <w:sz w:val="22"/>
          <w:szCs w:val="22"/>
        </w:rPr>
        <w:t>The PCEHR Review recommended that payment for Medicare items relating to health assessments, comprehensive assessments, mental healthcare plans, medication management reviews and chronic disease planning items depend on the uploading of specific documents to the PCEHR system.</w:t>
      </w:r>
      <w:r w:rsidR="00562001">
        <w:rPr>
          <w:rStyle w:val="FootnoteReference"/>
          <w:rFonts w:asciiTheme="minorHAnsi" w:hAnsiTheme="minorHAnsi" w:cs="Arial"/>
          <w:sz w:val="22"/>
          <w:szCs w:val="22"/>
        </w:rPr>
        <w:footnoteReference w:id="19"/>
      </w:r>
      <w:r w:rsidR="00562001">
        <w:rPr>
          <w:rStyle w:val="IntenseReference"/>
          <w:rFonts w:asciiTheme="minorHAnsi" w:hAnsiTheme="minorHAnsi" w:cs="Arial"/>
          <w:b w:val="0"/>
          <w:bCs w:val="0"/>
          <w:i w:val="0"/>
          <w:smallCaps w:val="0"/>
          <w:color w:val="auto"/>
          <w:spacing w:val="0"/>
          <w:sz w:val="22"/>
          <w:szCs w:val="22"/>
        </w:rPr>
        <w:t xml:space="preserve"> </w:t>
      </w:r>
      <w:r>
        <w:rPr>
          <w:rStyle w:val="IntenseReference"/>
          <w:rFonts w:asciiTheme="minorHAnsi" w:hAnsiTheme="minorHAnsi" w:cs="Arial"/>
          <w:b w:val="0"/>
          <w:bCs w:val="0"/>
          <w:i w:val="0"/>
          <w:smallCaps w:val="0"/>
          <w:color w:val="auto"/>
          <w:spacing w:val="0"/>
          <w:sz w:val="22"/>
          <w:szCs w:val="22"/>
        </w:rPr>
        <w:t xml:space="preserve"> </w:t>
      </w:r>
      <w:r w:rsidR="00562001">
        <w:rPr>
          <w:rStyle w:val="IntenseReference"/>
          <w:rFonts w:asciiTheme="minorHAnsi" w:hAnsiTheme="minorHAnsi" w:cs="Arial"/>
          <w:b w:val="0"/>
          <w:bCs w:val="0"/>
          <w:i w:val="0"/>
          <w:smallCaps w:val="0"/>
          <w:color w:val="auto"/>
          <w:spacing w:val="0"/>
          <w:sz w:val="22"/>
          <w:szCs w:val="22"/>
        </w:rPr>
        <w:t xml:space="preserve">It is </w:t>
      </w:r>
      <w:r>
        <w:rPr>
          <w:rStyle w:val="IntenseReference"/>
          <w:rFonts w:asciiTheme="minorHAnsi" w:hAnsiTheme="minorHAnsi" w:cs="Arial"/>
          <w:b w:val="0"/>
          <w:bCs w:val="0"/>
          <w:i w:val="0"/>
          <w:smallCaps w:val="0"/>
          <w:color w:val="auto"/>
          <w:spacing w:val="0"/>
          <w:sz w:val="22"/>
          <w:szCs w:val="22"/>
        </w:rPr>
        <w:t xml:space="preserve">therefore </w:t>
      </w:r>
      <w:r w:rsidR="00562001">
        <w:rPr>
          <w:rStyle w:val="IntenseReference"/>
          <w:rFonts w:asciiTheme="minorHAnsi" w:hAnsiTheme="minorHAnsi" w:cs="Arial"/>
          <w:b w:val="0"/>
          <w:bCs w:val="0"/>
          <w:i w:val="0"/>
          <w:smallCaps w:val="0"/>
          <w:color w:val="auto"/>
          <w:spacing w:val="0"/>
          <w:sz w:val="22"/>
          <w:szCs w:val="22"/>
        </w:rPr>
        <w:t xml:space="preserve">proposed that changes </w:t>
      </w:r>
      <w:r>
        <w:rPr>
          <w:rStyle w:val="IntenseReference"/>
          <w:rFonts w:asciiTheme="minorHAnsi" w:hAnsiTheme="minorHAnsi" w:cs="Arial"/>
          <w:b w:val="0"/>
          <w:bCs w:val="0"/>
          <w:i w:val="0"/>
          <w:smallCaps w:val="0"/>
          <w:color w:val="auto"/>
          <w:spacing w:val="0"/>
          <w:sz w:val="22"/>
          <w:szCs w:val="22"/>
        </w:rPr>
        <w:t xml:space="preserve">be made to the </w:t>
      </w:r>
      <w:r w:rsidR="00562001">
        <w:rPr>
          <w:rStyle w:val="IntenseReference"/>
          <w:rFonts w:asciiTheme="minorHAnsi" w:hAnsiTheme="minorHAnsi" w:cs="Arial"/>
          <w:b w:val="0"/>
          <w:bCs w:val="0"/>
          <w:smallCaps w:val="0"/>
          <w:color w:val="auto"/>
          <w:spacing w:val="0"/>
          <w:sz w:val="22"/>
          <w:szCs w:val="22"/>
        </w:rPr>
        <w:t>H</w:t>
      </w:r>
      <w:r w:rsidR="00562001" w:rsidRPr="007F59E8">
        <w:rPr>
          <w:rStyle w:val="IntenseReference"/>
          <w:rFonts w:asciiTheme="minorHAnsi" w:hAnsiTheme="minorHAnsi" w:cs="Arial"/>
          <w:b w:val="0"/>
          <w:bCs w:val="0"/>
          <w:smallCaps w:val="0"/>
          <w:color w:val="auto"/>
          <w:spacing w:val="0"/>
          <w:sz w:val="22"/>
          <w:szCs w:val="22"/>
        </w:rPr>
        <w:t>ealth Insurance Regulations 1975</w:t>
      </w:r>
      <w:r>
        <w:rPr>
          <w:rStyle w:val="IntenseReference"/>
          <w:rFonts w:asciiTheme="minorHAnsi" w:hAnsiTheme="minorHAnsi" w:cs="Arial"/>
          <w:b w:val="0"/>
          <w:bCs w:val="0"/>
          <w:i w:val="0"/>
          <w:smallCaps w:val="0"/>
          <w:color w:val="auto"/>
          <w:spacing w:val="0"/>
          <w:sz w:val="22"/>
          <w:szCs w:val="22"/>
        </w:rPr>
        <w:t xml:space="preserve"> to give effect to these requirements</w:t>
      </w:r>
      <w:r w:rsidR="00562001">
        <w:rPr>
          <w:rStyle w:val="IntenseReference"/>
          <w:rFonts w:asciiTheme="minorHAnsi" w:hAnsiTheme="minorHAnsi" w:cs="Arial"/>
          <w:b w:val="0"/>
          <w:bCs w:val="0"/>
          <w:i w:val="0"/>
          <w:smallCaps w:val="0"/>
          <w:color w:val="auto"/>
          <w:spacing w:val="0"/>
          <w:sz w:val="22"/>
          <w:szCs w:val="22"/>
        </w:rPr>
        <w:t>.</w:t>
      </w:r>
      <w:r w:rsidR="00820E8A">
        <w:rPr>
          <w:rStyle w:val="IntenseReference"/>
          <w:rFonts w:asciiTheme="minorHAnsi" w:hAnsiTheme="minorHAnsi" w:cs="Arial"/>
          <w:b w:val="0"/>
          <w:bCs w:val="0"/>
          <w:i w:val="0"/>
          <w:smallCaps w:val="0"/>
          <w:color w:val="auto"/>
          <w:spacing w:val="0"/>
          <w:sz w:val="22"/>
          <w:szCs w:val="22"/>
        </w:rPr>
        <w:t xml:space="preserve">  For example, a healthcare provider undertaking a medication review in a patient’s home may be required to upload to the </w:t>
      </w:r>
      <w:r w:rsidR="00716DBB">
        <w:rPr>
          <w:rFonts w:asciiTheme="minorHAnsi" w:hAnsiTheme="minorHAnsi"/>
          <w:sz w:val="22"/>
          <w:szCs w:val="22"/>
        </w:rPr>
        <w:t xml:space="preserve">individual’s </w:t>
      </w:r>
      <w:r w:rsidR="00820E8A">
        <w:rPr>
          <w:rStyle w:val="IntenseReference"/>
          <w:rFonts w:asciiTheme="minorHAnsi" w:hAnsiTheme="minorHAnsi" w:cs="Arial"/>
          <w:b w:val="0"/>
          <w:bCs w:val="0"/>
          <w:i w:val="0"/>
          <w:smallCaps w:val="0"/>
          <w:color w:val="auto"/>
          <w:spacing w:val="0"/>
          <w:sz w:val="22"/>
          <w:szCs w:val="22"/>
        </w:rPr>
        <w:t xml:space="preserve">PCEHR the report of that review.  Some exceptions </w:t>
      </w:r>
      <w:r w:rsidR="00D85CC8">
        <w:rPr>
          <w:rStyle w:val="IntenseReference"/>
          <w:rFonts w:asciiTheme="minorHAnsi" w:hAnsiTheme="minorHAnsi" w:cs="Arial"/>
          <w:b w:val="0"/>
          <w:bCs w:val="0"/>
          <w:i w:val="0"/>
          <w:smallCaps w:val="0"/>
          <w:color w:val="auto"/>
          <w:spacing w:val="0"/>
          <w:sz w:val="22"/>
          <w:szCs w:val="22"/>
        </w:rPr>
        <w:t>would</w:t>
      </w:r>
      <w:r w:rsidR="00820E8A">
        <w:rPr>
          <w:rStyle w:val="IntenseReference"/>
          <w:rFonts w:asciiTheme="minorHAnsi" w:hAnsiTheme="minorHAnsi" w:cs="Arial"/>
          <w:b w:val="0"/>
          <w:bCs w:val="0"/>
          <w:i w:val="0"/>
          <w:smallCaps w:val="0"/>
          <w:color w:val="auto"/>
          <w:spacing w:val="0"/>
          <w:sz w:val="22"/>
          <w:szCs w:val="22"/>
        </w:rPr>
        <w:t xml:space="preserve"> need to be provided, such as where the </w:t>
      </w:r>
      <w:r w:rsidR="00716DBB">
        <w:rPr>
          <w:rFonts w:asciiTheme="minorHAnsi" w:hAnsiTheme="minorHAnsi"/>
          <w:sz w:val="22"/>
          <w:szCs w:val="22"/>
        </w:rPr>
        <w:t xml:space="preserve">individual </w:t>
      </w:r>
      <w:r w:rsidR="00820E8A">
        <w:rPr>
          <w:rStyle w:val="IntenseReference"/>
          <w:rFonts w:asciiTheme="minorHAnsi" w:hAnsiTheme="minorHAnsi" w:cs="Arial"/>
          <w:b w:val="0"/>
          <w:bCs w:val="0"/>
          <w:i w:val="0"/>
          <w:smallCaps w:val="0"/>
          <w:color w:val="auto"/>
          <w:spacing w:val="0"/>
          <w:sz w:val="22"/>
          <w:szCs w:val="22"/>
        </w:rPr>
        <w:t xml:space="preserve">does not have a PCEHR </w:t>
      </w:r>
      <w:r w:rsidR="005E2190">
        <w:rPr>
          <w:rStyle w:val="IntenseReference"/>
          <w:rFonts w:asciiTheme="minorHAnsi" w:hAnsiTheme="minorHAnsi" w:cs="Arial"/>
          <w:b w:val="0"/>
          <w:bCs w:val="0"/>
          <w:i w:val="0"/>
          <w:smallCaps w:val="0"/>
          <w:color w:val="auto"/>
          <w:spacing w:val="0"/>
          <w:sz w:val="22"/>
          <w:szCs w:val="22"/>
        </w:rPr>
        <w:t xml:space="preserve">or </w:t>
      </w:r>
      <w:r w:rsidR="00820E8A">
        <w:rPr>
          <w:rStyle w:val="IntenseReference"/>
          <w:rFonts w:asciiTheme="minorHAnsi" w:hAnsiTheme="minorHAnsi" w:cs="Arial"/>
          <w:b w:val="0"/>
          <w:bCs w:val="0"/>
          <w:i w:val="0"/>
          <w:smallCaps w:val="0"/>
          <w:color w:val="auto"/>
          <w:spacing w:val="0"/>
          <w:sz w:val="22"/>
          <w:szCs w:val="22"/>
        </w:rPr>
        <w:t xml:space="preserve">has directed the </w:t>
      </w:r>
      <w:r w:rsidR="005E2190">
        <w:rPr>
          <w:rStyle w:val="IntenseReference"/>
          <w:rFonts w:asciiTheme="minorHAnsi" w:hAnsiTheme="minorHAnsi" w:cs="Arial"/>
          <w:b w:val="0"/>
          <w:bCs w:val="0"/>
          <w:i w:val="0"/>
          <w:smallCaps w:val="0"/>
          <w:color w:val="auto"/>
          <w:spacing w:val="0"/>
          <w:sz w:val="22"/>
          <w:szCs w:val="22"/>
        </w:rPr>
        <w:t xml:space="preserve">healthcare </w:t>
      </w:r>
      <w:r w:rsidR="00820E8A">
        <w:rPr>
          <w:rStyle w:val="IntenseReference"/>
          <w:rFonts w:asciiTheme="minorHAnsi" w:hAnsiTheme="minorHAnsi" w:cs="Arial"/>
          <w:b w:val="0"/>
          <w:bCs w:val="0"/>
          <w:i w:val="0"/>
          <w:smallCaps w:val="0"/>
          <w:color w:val="auto"/>
          <w:spacing w:val="0"/>
          <w:sz w:val="22"/>
          <w:szCs w:val="22"/>
        </w:rPr>
        <w:t>provider not to upload that document</w:t>
      </w:r>
      <w:r w:rsidR="00B26ACE">
        <w:rPr>
          <w:rStyle w:val="IntenseReference"/>
          <w:rFonts w:asciiTheme="minorHAnsi" w:hAnsiTheme="minorHAnsi" w:cs="Arial"/>
          <w:b w:val="0"/>
          <w:bCs w:val="0"/>
          <w:i w:val="0"/>
          <w:smallCaps w:val="0"/>
          <w:color w:val="auto"/>
          <w:spacing w:val="0"/>
          <w:sz w:val="22"/>
          <w:szCs w:val="22"/>
        </w:rPr>
        <w:t>.</w:t>
      </w:r>
    </w:p>
    <w:p w:rsidR="004451F6" w:rsidRDefault="004451F6" w:rsidP="004451F6">
      <w:pPr>
        <w:spacing w:after="120"/>
        <w:ind w:left="737"/>
        <w:rPr>
          <w:rStyle w:val="IntenseReference"/>
          <w:rFonts w:asciiTheme="minorHAnsi" w:hAnsiTheme="minorHAnsi" w:cs="Arial"/>
          <w:b w:val="0"/>
          <w:bCs w:val="0"/>
          <w:i w:val="0"/>
          <w:smallCaps w:val="0"/>
          <w:color w:val="auto"/>
          <w:spacing w:val="0"/>
          <w:sz w:val="22"/>
          <w:szCs w:val="22"/>
        </w:rPr>
      </w:pPr>
      <w:r>
        <w:rPr>
          <w:rFonts w:ascii="Calibri" w:hAnsi="Calibri" w:cs="Calibri"/>
          <w:sz w:val="22"/>
          <w:szCs w:val="22"/>
        </w:rPr>
        <w:t>These changes are not intended to have any adverse impact on individuals so care would need to be taken in the development of such changes.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CellMar>
          <w:top w:w="119" w:type="dxa"/>
        </w:tblCellMar>
        <w:tblLook w:val="04A0" w:firstRow="1" w:lastRow="0" w:firstColumn="1" w:lastColumn="0" w:noHBand="0" w:noVBand="1"/>
        <w:tblCaption w:val="A box for consideration"/>
        <w:tblDescription w:val="In what circumstances should healthcare providers not be required to upload a health assessment, comprehensive assessment, mental health plan, medication review report or chronic disease plan? "/>
      </w:tblPr>
      <w:tblGrid>
        <w:gridCol w:w="8153"/>
      </w:tblGrid>
      <w:tr w:rsidR="00820E8A" w:rsidRPr="00396E21" w:rsidTr="0045440F">
        <w:trPr>
          <w:cantSplit/>
        </w:trPr>
        <w:tc>
          <w:tcPr>
            <w:tcW w:w="8153" w:type="dxa"/>
            <w:shd w:val="clear" w:color="auto" w:fill="CCFFCC"/>
          </w:tcPr>
          <w:p w:rsidR="00820E8A" w:rsidRPr="00396E21" w:rsidRDefault="00820E8A" w:rsidP="00B26ACE">
            <w:pPr>
              <w:pStyle w:val="BodyText"/>
              <w:keepNext/>
              <w:rPr>
                <w:rFonts w:asciiTheme="minorHAnsi" w:hAnsiTheme="minorHAnsi"/>
                <w:b/>
                <w:sz w:val="22"/>
                <w:szCs w:val="22"/>
              </w:rPr>
            </w:pPr>
            <w:r w:rsidRPr="00396E21">
              <w:rPr>
                <w:rFonts w:asciiTheme="minorHAnsi" w:hAnsiTheme="minorHAnsi"/>
                <w:b/>
                <w:sz w:val="22"/>
                <w:szCs w:val="22"/>
              </w:rPr>
              <w:t>Consider:</w:t>
            </w:r>
            <w:r w:rsidRPr="00820E8A">
              <w:rPr>
                <w:rFonts w:asciiTheme="minorHAnsi" w:hAnsiTheme="minorHAnsi"/>
                <w:sz w:val="22"/>
                <w:szCs w:val="22"/>
              </w:rPr>
              <w:t xml:space="preserve"> In what circumstances </w:t>
            </w:r>
            <w:r>
              <w:rPr>
                <w:rFonts w:asciiTheme="minorHAnsi" w:hAnsiTheme="minorHAnsi"/>
                <w:sz w:val="22"/>
                <w:szCs w:val="22"/>
              </w:rPr>
              <w:t xml:space="preserve">should healthcare providers not be required to upload </w:t>
            </w:r>
            <w:r w:rsidR="00B26ACE">
              <w:rPr>
                <w:rFonts w:asciiTheme="minorHAnsi" w:hAnsiTheme="minorHAnsi"/>
                <w:sz w:val="22"/>
                <w:szCs w:val="22"/>
              </w:rPr>
              <w:t>a health assessment, comprehensive assessment, mental health plan, medication review report or chronic disease plan?</w:t>
            </w:r>
            <w:r>
              <w:rPr>
                <w:rFonts w:asciiTheme="minorHAnsi" w:hAnsiTheme="minorHAnsi"/>
                <w:sz w:val="22"/>
                <w:szCs w:val="22"/>
              </w:rPr>
              <w:t xml:space="preserve"> </w:t>
            </w:r>
          </w:p>
        </w:tc>
      </w:tr>
    </w:tbl>
    <w:p w:rsidR="00562001" w:rsidRPr="003D6C23" w:rsidRDefault="00BD0F66" w:rsidP="00820E8A">
      <w:pPr>
        <w:pStyle w:val="Heading3"/>
        <w:numPr>
          <w:ilvl w:val="0"/>
          <w:numId w:val="0"/>
        </w:numPr>
        <w:ind w:left="720" w:hanging="720"/>
      </w:pPr>
      <w:bookmarkStart w:id="99" w:name="_Toc418763117"/>
      <w:bookmarkStart w:id="100" w:name="_Toc420394271"/>
      <w:r>
        <w:t>3.4.</w:t>
      </w:r>
      <w:r w:rsidR="00AD48E1">
        <w:t>7</w:t>
      </w:r>
      <w:r w:rsidR="00820E8A">
        <w:tab/>
      </w:r>
      <w:r w:rsidR="00562001">
        <w:t>Obligation for System Operator to notify decisions</w:t>
      </w:r>
      <w:bookmarkEnd w:id="99"/>
      <w:bookmarkEnd w:id="100"/>
    </w:p>
    <w:p w:rsidR="00C901F8" w:rsidRDefault="00C901F8" w:rsidP="00C901F8">
      <w:pPr>
        <w:pStyle w:val="ListParagraph"/>
        <w:spacing w:after="120"/>
        <w:ind w:left="737"/>
        <w:contextualSpacing w:val="0"/>
        <w:rPr>
          <w:rStyle w:val="IntenseReference"/>
          <w:rFonts w:asciiTheme="minorHAnsi" w:hAnsiTheme="minorHAnsi" w:cs="Arial"/>
          <w:b w:val="0"/>
          <w:bCs w:val="0"/>
          <w:i w:val="0"/>
          <w:smallCaps w:val="0"/>
          <w:color w:val="auto"/>
          <w:spacing w:val="0"/>
          <w:sz w:val="22"/>
          <w:szCs w:val="22"/>
        </w:rPr>
      </w:pPr>
      <w:r>
        <w:rPr>
          <w:rStyle w:val="IntenseReference"/>
          <w:rFonts w:asciiTheme="minorHAnsi" w:hAnsiTheme="minorHAnsi" w:cs="Arial"/>
          <w:b w:val="0"/>
          <w:bCs w:val="0"/>
          <w:i w:val="0"/>
          <w:smallCaps w:val="0"/>
          <w:color w:val="auto"/>
          <w:spacing w:val="0"/>
          <w:sz w:val="22"/>
          <w:szCs w:val="22"/>
        </w:rPr>
        <w:t xml:space="preserve">The PCEHR Act currently requires the System Operator to notify </w:t>
      </w:r>
      <w:r w:rsidR="00716DBB">
        <w:rPr>
          <w:rFonts w:asciiTheme="minorHAnsi" w:hAnsiTheme="minorHAnsi"/>
          <w:sz w:val="22"/>
          <w:szCs w:val="22"/>
        </w:rPr>
        <w:t xml:space="preserve">individuals </w:t>
      </w:r>
      <w:r>
        <w:rPr>
          <w:rStyle w:val="IntenseReference"/>
          <w:rFonts w:asciiTheme="minorHAnsi" w:hAnsiTheme="minorHAnsi" w:cs="Arial"/>
          <w:b w:val="0"/>
          <w:bCs w:val="0"/>
          <w:i w:val="0"/>
          <w:smallCaps w:val="0"/>
          <w:color w:val="auto"/>
          <w:spacing w:val="0"/>
          <w:sz w:val="22"/>
          <w:szCs w:val="22"/>
        </w:rPr>
        <w:t xml:space="preserve">and entities about decisions to cancel, suspend or vary </w:t>
      </w:r>
      <w:r w:rsidR="008A4D6E">
        <w:rPr>
          <w:rStyle w:val="IntenseReference"/>
          <w:rFonts w:asciiTheme="minorHAnsi" w:hAnsiTheme="minorHAnsi" w:cs="Arial"/>
          <w:b w:val="0"/>
          <w:bCs w:val="0"/>
          <w:i w:val="0"/>
          <w:smallCaps w:val="0"/>
          <w:color w:val="auto"/>
          <w:spacing w:val="0"/>
          <w:sz w:val="22"/>
          <w:szCs w:val="22"/>
        </w:rPr>
        <w:t>a</w:t>
      </w:r>
      <w:r w:rsidR="00716DBB">
        <w:rPr>
          <w:rStyle w:val="IntenseReference"/>
          <w:rFonts w:asciiTheme="minorHAnsi" w:hAnsiTheme="minorHAnsi" w:cs="Arial"/>
          <w:b w:val="0"/>
          <w:bCs w:val="0"/>
          <w:i w:val="0"/>
          <w:smallCaps w:val="0"/>
          <w:color w:val="auto"/>
          <w:spacing w:val="0"/>
          <w:sz w:val="22"/>
          <w:szCs w:val="22"/>
        </w:rPr>
        <w:t>n</w:t>
      </w:r>
      <w:r w:rsidR="008A4D6E">
        <w:rPr>
          <w:rStyle w:val="IntenseReference"/>
          <w:rFonts w:asciiTheme="minorHAnsi" w:hAnsiTheme="minorHAnsi" w:cs="Arial"/>
          <w:b w:val="0"/>
          <w:bCs w:val="0"/>
          <w:i w:val="0"/>
          <w:smallCaps w:val="0"/>
          <w:color w:val="auto"/>
          <w:spacing w:val="0"/>
          <w:sz w:val="22"/>
          <w:szCs w:val="22"/>
        </w:rPr>
        <w:t xml:space="preserve"> </w:t>
      </w:r>
      <w:r w:rsidR="00716DBB">
        <w:rPr>
          <w:rFonts w:asciiTheme="minorHAnsi" w:hAnsiTheme="minorHAnsi"/>
          <w:sz w:val="22"/>
          <w:szCs w:val="22"/>
        </w:rPr>
        <w:t xml:space="preserve">individual’s </w:t>
      </w:r>
      <w:r>
        <w:rPr>
          <w:rStyle w:val="IntenseReference"/>
          <w:rFonts w:asciiTheme="minorHAnsi" w:hAnsiTheme="minorHAnsi" w:cs="Arial"/>
          <w:b w:val="0"/>
          <w:bCs w:val="0"/>
          <w:i w:val="0"/>
          <w:smallCaps w:val="0"/>
          <w:color w:val="auto"/>
          <w:spacing w:val="0"/>
          <w:sz w:val="22"/>
          <w:szCs w:val="22"/>
        </w:rPr>
        <w:t xml:space="preserve">or </w:t>
      </w:r>
      <w:r w:rsidR="008A4D6E">
        <w:rPr>
          <w:rStyle w:val="IntenseReference"/>
          <w:rFonts w:asciiTheme="minorHAnsi" w:hAnsiTheme="minorHAnsi" w:cs="Arial"/>
          <w:b w:val="0"/>
          <w:bCs w:val="0"/>
          <w:i w:val="0"/>
          <w:smallCaps w:val="0"/>
          <w:color w:val="auto"/>
          <w:spacing w:val="0"/>
          <w:sz w:val="22"/>
          <w:szCs w:val="22"/>
        </w:rPr>
        <w:t xml:space="preserve">an </w:t>
      </w:r>
      <w:r>
        <w:rPr>
          <w:rStyle w:val="IntenseReference"/>
          <w:rFonts w:asciiTheme="minorHAnsi" w:hAnsiTheme="minorHAnsi" w:cs="Arial"/>
          <w:b w:val="0"/>
          <w:bCs w:val="0"/>
          <w:i w:val="0"/>
          <w:smallCaps w:val="0"/>
          <w:color w:val="auto"/>
          <w:spacing w:val="0"/>
          <w:sz w:val="22"/>
          <w:szCs w:val="22"/>
        </w:rPr>
        <w:t>entity’s registration (section 51 and 53).  The PCEHR Act states that a</w:t>
      </w:r>
      <w:r w:rsidRPr="003D6C23">
        <w:rPr>
          <w:rStyle w:val="IntenseReference"/>
          <w:rFonts w:asciiTheme="minorHAnsi" w:hAnsiTheme="minorHAnsi" w:cs="Arial"/>
          <w:b w:val="0"/>
          <w:bCs w:val="0"/>
          <w:i w:val="0"/>
          <w:smallCaps w:val="0"/>
          <w:color w:val="auto"/>
          <w:spacing w:val="0"/>
          <w:sz w:val="22"/>
          <w:szCs w:val="22"/>
        </w:rPr>
        <w:t xml:space="preserve"> decision to cancel or suspend registration</w:t>
      </w:r>
      <w:r>
        <w:rPr>
          <w:rStyle w:val="IntenseReference"/>
          <w:rFonts w:asciiTheme="minorHAnsi" w:hAnsiTheme="minorHAnsi" w:cs="Arial"/>
          <w:b w:val="0"/>
          <w:bCs w:val="0"/>
          <w:i w:val="0"/>
          <w:smallCaps w:val="0"/>
          <w:color w:val="auto"/>
          <w:spacing w:val="0"/>
          <w:sz w:val="22"/>
          <w:szCs w:val="22"/>
        </w:rPr>
        <w:t xml:space="preserve"> of a</w:t>
      </w:r>
      <w:r w:rsidR="00716DBB">
        <w:rPr>
          <w:rStyle w:val="IntenseReference"/>
          <w:rFonts w:asciiTheme="minorHAnsi" w:hAnsiTheme="minorHAnsi" w:cs="Arial"/>
          <w:b w:val="0"/>
          <w:bCs w:val="0"/>
          <w:i w:val="0"/>
          <w:smallCaps w:val="0"/>
          <w:color w:val="auto"/>
          <w:spacing w:val="0"/>
          <w:sz w:val="22"/>
          <w:szCs w:val="22"/>
        </w:rPr>
        <w:t>n individual</w:t>
      </w:r>
      <w:r>
        <w:rPr>
          <w:rStyle w:val="IntenseReference"/>
          <w:rFonts w:asciiTheme="minorHAnsi" w:hAnsiTheme="minorHAnsi" w:cs="Arial"/>
          <w:b w:val="0"/>
          <w:bCs w:val="0"/>
          <w:i w:val="0"/>
          <w:smallCaps w:val="0"/>
          <w:color w:val="auto"/>
          <w:spacing w:val="0"/>
          <w:sz w:val="22"/>
          <w:szCs w:val="22"/>
        </w:rPr>
        <w:t xml:space="preserve"> or other entity </w:t>
      </w:r>
      <w:r w:rsidRPr="003D6C23">
        <w:rPr>
          <w:rStyle w:val="IntenseReference"/>
          <w:rFonts w:asciiTheme="minorHAnsi" w:hAnsiTheme="minorHAnsi" w:cs="Arial"/>
          <w:b w:val="0"/>
          <w:bCs w:val="0"/>
          <w:i w:val="0"/>
          <w:smallCaps w:val="0"/>
          <w:color w:val="auto"/>
          <w:spacing w:val="0"/>
          <w:sz w:val="22"/>
          <w:szCs w:val="22"/>
        </w:rPr>
        <w:t>takes effect when the decision is made</w:t>
      </w:r>
      <w:r>
        <w:rPr>
          <w:rStyle w:val="IntenseReference"/>
          <w:rFonts w:asciiTheme="minorHAnsi" w:hAnsiTheme="minorHAnsi" w:cs="Arial"/>
          <w:b w:val="0"/>
          <w:bCs w:val="0"/>
          <w:i w:val="0"/>
          <w:smallCaps w:val="0"/>
          <w:color w:val="auto"/>
          <w:spacing w:val="0"/>
          <w:sz w:val="22"/>
          <w:szCs w:val="22"/>
        </w:rPr>
        <w:t xml:space="preserve"> (subsection 571(7)), however it also </w:t>
      </w:r>
      <w:r w:rsidRPr="003D6C23">
        <w:rPr>
          <w:rStyle w:val="IntenseReference"/>
          <w:rFonts w:asciiTheme="minorHAnsi" w:hAnsiTheme="minorHAnsi" w:cs="Arial"/>
          <w:b w:val="0"/>
          <w:bCs w:val="0"/>
          <w:i w:val="0"/>
          <w:smallCaps w:val="0"/>
          <w:color w:val="auto"/>
          <w:spacing w:val="0"/>
          <w:sz w:val="22"/>
          <w:szCs w:val="22"/>
        </w:rPr>
        <w:t xml:space="preserve">states that the earliest time a suspension or cancellation can take effect is when the </w:t>
      </w:r>
      <w:r w:rsidR="00716DBB">
        <w:rPr>
          <w:rFonts w:asciiTheme="minorHAnsi" w:hAnsiTheme="minorHAnsi"/>
          <w:sz w:val="22"/>
          <w:szCs w:val="22"/>
        </w:rPr>
        <w:t xml:space="preserve">individual </w:t>
      </w:r>
      <w:r>
        <w:rPr>
          <w:rStyle w:val="IntenseReference"/>
          <w:rFonts w:asciiTheme="minorHAnsi" w:hAnsiTheme="minorHAnsi" w:cs="Arial"/>
          <w:b w:val="0"/>
          <w:bCs w:val="0"/>
          <w:i w:val="0"/>
          <w:smallCaps w:val="0"/>
          <w:color w:val="auto"/>
          <w:spacing w:val="0"/>
          <w:sz w:val="22"/>
          <w:szCs w:val="22"/>
        </w:rPr>
        <w:t xml:space="preserve">is notified by </w:t>
      </w:r>
      <w:r w:rsidRPr="003D6C23">
        <w:rPr>
          <w:rStyle w:val="IntenseReference"/>
          <w:rFonts w:asciiTheme="minorHAnsi" w:hAnsiTheme="minorHAnsi" w:cs="Arial"/>
          <w:b w:val="0"/>
          <w:bCs w:val="0"/>
          <w:i w:val="0"/>
          <w:smallCaps w:val="0"/>
          <w:color w:val="auto"/>
          <w:spacing w:val="0"/>
          <w:sz w:val="22"/>
          <w:szCs w:val="22"/>
        </w:rPr>
        <w:t xml:space="preserve">the System </w:t>
      </w:r>
      <w:r>
        <w:rPr>
          <w:rStyle w:val="IntenseReference"/>
          <w:rFonts w:asciiTheme="minorHAnsi" w:hAnsiTheme="minorHAnsi" w:cs="Arial"/>
          <w:b w:val="0"/>
          <w:bCs w:val="0"/>
          <w:i w:val="0"/>
          <w:smallCaps w:val="0"/>
          <w:color w:val="auto"/>
          <w:spacing w:val="0"/>
          <w:sz w:val="22"/>
          <w:szCs w:val="22"/>
        </w:rPr>
        <w:t>O</w:t>
      </w:r>
      <w:r w:rsidRPr="003D6C23">
        <w:rPr>
          <w:rStyle w:val="IntenseReference"/>
          <w:rFonts w:asciiTheme="minorHAnsi" w:hAnsiTheme="minorHAnsi" w:cs="Arial"/>
          <w:b w:val="0"/>
          <w:bCs w:val="0"/>
          <w:i w:val="0"/>
          <w:smallCaps w:val="0"/>
          <w:color w:val="auto"/>
          <w:spacing w:val="0"/>
          <w:sz w:val="22"/>
          <w:szCs w:val="22"/>
        </w:rPr>
        <w:t xml:space="preserve">perator </w:t>
      </w:r>
      <w:r>
        <w:rPr>
          <w:rStyle w:val="IntenseReference"/>
          <w:rFonts w:asciiTheme="minorHAnsi" w:hAnsiTheme="minorHAnsi" w:cs="Arial"/>
          <w:b w:val="0"/>
          <w:bCs w:val="0"/>
          <w:i w:val="0"/>
          <w:smallCaps w:val="0"/>
          <w:color w:val="auto"/>
          <w:spacing w:val="0"/>
          <w:sz w:val="22"/>
          <w:szCs w:val="22"/>
        </w:rPr>
        <w:t xml:space="preserve">of the decision (subsection 53(5)). </w:t>
      </w:r>
    </w:p>
    <w:p w:rsidR="00C901F8" w:rsidRDefault="00C901F8" w:rsidP="00C901F8">
      <w:pPr>
        <w:pStyle w:val="ListParagraph"/>
        <w:spacing w:after="120"/>
        <w:ind w:left="737"/>
        <w:contextualSpacing w:val="0"/>
        <w:rPr>
          <w:rStyle w:val="IntenseReference"/>
          <w:rFonts w:asciiTheme="minorHAnsi" w:hAnsiTheme="minorHAnsi" w:cs="Arial"/>
          <w:b w:val="0"/>
          <w:bCs w:val="0"/>
          <w:i w:val="0"/>
          <w:smallCaps w:val="0"/>
          <w:color w:val="auto"/>
          <w:spacing w:val="0"/>
          <w:sz w:val="22"/>
          <w:szCs w:val="22"/>
        </w:rPr>
      </w:pPr>
      <w:r w:rsidRPr="003D6C23">
        <w:rPr>
          <w:rStyle w:val="IntenseReference"/>
          <w:rFonts w:asciiTheme="minorHAnsi" w:hAnsiTheme="minorHAnsi" w:cs="Arial"/>
          <w:b w:val="0"/>
          <w:bCs w:val="0"/>
          <w:i w:val="0"/>
          <w:smallCaps w:val="0"/>
          <w:color w:val="auto"/>
          <w:spacing w:val="0"/>
          <w:sz w:val="22"/>
          <w:szCs w:val="22"/>
        </w:rPr>
        <w:t xml:space="preserve">It is proposed to amend the PCEHR Act to clarify </w:t>
      </w:r>
      <w:r>
        <w:rPr>
          <w:rStyle w:val="IntenseReference"/>
          <w:rFonts w:asciiTheme="minorHAnsi" w:hAnsiTheme="minorHAnsi" w:cs="Arial"/>
          <w:b w:val="0"/>
          <w:bCs w:val="0"/>
          <w:i w:val="0"/>
          <w:smallCaps w:val="0"/>
          <w:color w:val="auto"/>
          <w:spacing w:val="0"/>
          <w:sz w:val="22"/>
          <w:szCs w:val="22"/>
        </w:rPr>
        <w:t>when</w:t>
      </w:r>
      <w:r w:rsidRPr="003D6C23">
        <w:rPr>
          <w:rStyle w:val="IntenseReference"/>
          <w:rFonts w:asciiTheme="minorHAnsi" w:hAnsiTheme="minorHAnsi" w:cs="Arial"/>
          <w:b w:val="0"/>
          <w:bCs w:val="0"/>
          <w:i w:val="0"/>
          <w:smallCaps w:val="0"/>
          <w:color w:val="auto"/>
          <w:spacing w:val="0"/>
          <w:sz w:val="22"/>
          <w:szCs w:val="22"/>
        </w:rPr>
        <w:t xml:space="preserve"> a suspension</w:t>
      </w:r>
      <w:r>
        <w:rPr>
          <w:rStyle w:val="IntenseReference"/>
          <w:rFonts w:asciiTheme="minorHAnsi" w:hAnsiTheme="minorHAnsi" w:cs="Arial"/>
          <w:b w:val="0"/>
          <w:bCs w:val="0"/>
          <w:i w:val="0"/>
          <w:smallCaps w:val="0"/>
          <w:color w:val="auto"/>
          <w:spacing w:val="0"/>
          <w:sz w:val="22"/>
          <w:szCs w:val="22"/>
        </w:rPr>
        <w:t xml:space="preserve"> or cancellation takes effect.  </w:t>
      </w:r>
    </w:p>
    <w:p w:rsidR="00C901F8" w:rsidRDefault="00C901F8" w:rsidP="00C901F8">
      <w:pPr>
        <w:spacing w:after="120"/>
        <w:ind w:left="737"/>
        <w:rPr>
          <w:rStyle w:val="IntenseReference"/>
          <w:rFonts w:asciiTheme="minorHAnsi" w:hAnsiTheme="minorHAnsi" w:cs="Arial"/>
          <w:b w:val="0"/>
          <w:bCs w:val="0"/>
          <w:i w:val="0"/>
          <w:smallCaps w:val="0"/>
          <w:color w:val="auto"/>
          <w:spacing w:val="0"/>
          <w:sz w:val="22"/>
          <w:szCs w:val="22"/>
        </w:rPr>
      </w:pPr>
      <w:r>
        <w:rPr>
          <w:rStyle w:val="IntenseReference"/>
          <w:rFonts w:asciiTheme="minorHAnsi" w:hAnsiTheme="minorHAnsi" w:cs="Arial"/>
          <w:b w:val="0"/>
          <w:bCs w:val="0"/>
          <w:i w:val="0"/>
          <w:smallCaps w:val="0"/>
          <w:color w:val="auto"/>
          <w:spacing w:val="0"/>
          <w:sz w:val="22"/>
          <w:szCs w:val="22"/>
        </w:rPr>
        <w:t>Notification of these decisions must be given in writing.  Giving decisions in writing can take time which affects when the decision can take effect.  This is particularly problematic in urgent circumstances such as when ongoing registration of an entity could pose a risk to the PCEHR system.</w:t>
      </w:r>
    </w:p>
    <w:p w:rsidR="00C901F8" w:rsidRDefault="00C901F8" w:rsidP="00B26ACE">
      <w:pPr>
        <w:spacing w:after="120"/>
        <w:ind w:left="737"/>
        <w:rPr>
          <w:rStyle w:val="IntenseReference"/>
          <w:rFonts w:asciiTheme="minorHAnsi" w:hAnsiTheme="minorHAnsi" w:cs="Arial"/>
          <w:b w:val="0"/>
          <w:bCs w:val="0"/>
          <w:i w:val="0"/>
          <w:smallCaps w:val="0"/>
          <w:color w:val="auto"/>
          <w:spacing w:val="0"/>
          <w:sz w:val="22"/>
          <w:szCs w:val="22"/>
        </w:rPr>
      </w:pPr>
      <w:r>
        <w:rPr>
          <w:rStyle w:val="IntenseReference"/>
          <w:rFonts w:asciiTheme="minorHAnsi" w:hAnsiTheme="minorHAnsi" w:cs="Arial"/>
          <w:b w:val="0"/>
          <w:bCs w:val="0"/>
          <w:i w:val="0"/>
          <w:smallCaps w:val="0"/>
          <w:color w:val="auto"/>
          <w:spacing w:val="0"/>
          <w:sz w:val="22"/>
          <w:szCs w:val="22"/>
        </w:rPr>
        <w:t xml:space="preserve">It is proposed to give the System Operator greater flexibility by allowing the System Operator to choose how notifications </w:t>
      </w:r>
      <w:r w:rsidR="00D85CC8">
        <w:rPr>
          <w:rStyle w:val="IntenseReference"/>
          <w:rFonts w:asciiTheme="minorHAnsi" w:hAnsiTheme="minorHAnsi" w:cs="Arial"/>
          <w:b w:val="0"/>
          <w:bCs w:val="0"/>
          <w:i w:val="0"/>
          <w:smallCaps w:val="0"/>
          <w:color w:val="auto"/>
          <w:spacing w:val="0"/>
          <w:sz w:val="22"/>
          <w:szCs w:val="22"/>
        </w:rPr>
        <w:t>would</w:t>
      </w:r>
      <w:r>
        <w:rPr>
          <w:rStyle w:val="IntenseReference"/>
          <w:rFonts w:asciiTheme="minorHAnsi" w:hAnsiTheme="minorHAnsi" w:cs="Arial"/>
          <w:b w:val="0"/>
          <w:bCs w:val="0"/>
          <w:i w:val="0"/>
          <w:smallCaps w:val="0"/>
          <w:color w:val="auto"/>
          <w:spacing w:val="0"/>
          <w:sz w:val="22"/>
          <w:szCs w:val="22"/>
        </w:rPr>
        <w:t xml:space="preserve"> be made.  The System Operator </w:t>
      </w:r>
      <w:r w:rsidR="00D85CC8">
        <w:rPr>
          <w:rStyle w:val="IntenseReference"/>
          <w:rFonts w:asciiTheme="minorHAnsi" w:hAnsiTheme="minorHAnsi" w:cs="Arial"/>
          <w:b w:val="0"/>
          <w:bCs w:val="0"/>
          <w:i w:val="0"/>
          <w:smallCaps w:val="0"/>
          <w:color w:val="auto"/>
          <w:spacing w:val="0"/>
          <w:sz w:val="22"/>
          <w:szCs w:val="22"/>
        </w:rPr>
        <w:t>would</w:t>
      </w:r>
      <w:r>
        <w:rPr>
          <w:rStyle w:val="IntenseReference"/>
          <w:rFonts w:asciiTheme="minorHAnsi" w:hAnsiTheme="minorHAnsi" w:cs="Arial"/>
          <w:b w:val="0"/>
          <w:bCs w:val="0"/>
          <w:i w:val="0"/>
          <w:smallCaps w:val="0"/>
          <w:color w:val="auto"/>
          <w:spacing w:val="0"/>
          <w:sz w:val="22"/>
          <w:szCs w:val="22"/>
        </w:rPr>
        <w:t xml:space="preserve"> be obliged to notify </w:t>
      </w:r>
      <w:r w:rsidR="00716DBB">
        <w:rPr>
          <w:rFonts w:asciiTheme="minorHAnsi" w:hAnsiTheme="minorHAnsi"/>
          <w:sz w:val="22"/>
          <w:szCs w:val="22"/>
        </w:rPr>
        <w:t xml:space="preserve">individuals </w:t>
      </w:r>
      <w:r>
        <w:rPr>
          <w:rStyle w:val="IntenseReference"/>
          <w:rFonts w:asciiTheme="minorHAnsi" w:hAnsiTheme="minorHAnsi" w:cs="Arial"/>
          <w:b w:val="0"/>
          <w:bCs w:val="0"/>
          <w:i w:val="0"/>
          <w:smallCaps w:val="0"/>
          <w:color w:val="auto"/>
          <w:spacing w:val="0"/>
          <w:sz w:val="22"/>
          <w:szCs w:val="22"/>
        </w:rPr>
        <w:t xml:space="preserve">and entities about these decisions using the most appropriate form of communication.  </w:t>
      </w:r>
      <w:r w:rsidR="005F7CAE">
        <w:rPr>
          <w:rStyle w:val="IntenseReference"/>
          <w:rFonts w:asciiTheme="minorHAnsi" w:hAnsiTheme="minorHAnsi" w:cs="Arial"/>
          <w:b w:val="0"/>
          <w:bCs w:val="0"/>
          <w:i w:val="0"/>
          <w:smallCaps w:val="0"/>
          <w:color w:val="auto"/>
          <w:spacing w:val="0"/>
          <w:sz w:val="22"/>
          <w:szCs w:val="22"/>
        </w:rPr>
        <w:t>For example, e</w:t>
      </w:r>
      <w:r>
        <w:rPr>
          <w:rStyle w:val="IntenseReference"/>
          <w:rFonts w:asciiTheme="minorHAnsi" w:hAnsiTheme="minorHAnsi" w:cs="Arial"/>
          <w:b w:val="0"/>
          <w:bCs w:val="0"/>
          <w:i w:val="0"/>
          <w:smallCaps w:val="0"/>
          <w:color w:val="auto"/>
          <w:spacing w:val="0"/>
          <w:sz w:val="22"/>
          <w:szCs w:val="22"/>
        </w:rPr>
        <w:t>lectronic notification (</w:t>
      </w:r>
      <w:r w:rsidR="005F7CAE">
        <w:rPr>
          <w:rStyle w:val="IntenseReference"/>
          <w:rFonts w:asciiTheme="minorHAnsi" w:hAnsiTheme="minorHAnsi" w:cs="Arial"/>
          <w:b w:val="0"/>
          <w:bCs w:val="0"/>
          <w:i w:val="0"/>
          <w:smallCaps w:val="0"/>
          <w:color w:val="auto"/>
          <w:spacing w:val="0"/>
          <w:sz w:val="22"/>
          <w:szCs w:val="22"/>
        </w:rPr>
        <w:t xml:space="preserve">e.g. </w:t>
      </w:r>
      <w:r>
        <w:rPr>
          <w:rStyle w:val="IntenseReference"/>
          <w:rFonts w:asciiTheme="minorHAnsi" w:hAnsiTheme="minorHAnsi" w:cs="Arial"/>
          <w:b w:val="0"/>
          <w:bCs w:val="0"/>
          <w:i w:val="0"/>
          <w:smallCaps w:val="0"/>
          <w:color w:val="auto"/>
          <w:spacing w:val="0"/>
          <w:sz w:val="22"/>
          <w:szCs w:val="22"/>
        </w:rPr>
        <w:t xml:space="preserve">by email) would be the preferred method if it is practical and the System Operator </w:t>
      </w:r>
      <w:r w:rsidR="005F7CAE">
        <w:rPr>
          <w:rStyle w:val="IntenseReference"/>
          <w:rFonts w:asciiTheme="minorHAnsi" w:hAnsiTheme="minorHAnsi" w:cs="Arial"/>
          <w:b w:val="0"/>
          <w:bCs w:val="0"/>
          <w:i w:val="0"/>
          <w:smallCaps w:val="0"/>
          <w:color w:val="auto"/>
          <w:spacing w:val="0"/>
          <w:sz w:val="22"/>
          <w:szCs w:val="22"/>
        </w:rPr>
        <w:t xml:space="preserve">was </w:t>
      </w:r>
      <w:r>
        <w:rPr>
          <w:rStyle w:val="IntenseReference"/>
          <w:rFonts w:asciiTheme="minorHAnsi" w:hAnsiTheme="minorHAnsi" w:cs="Arial"/>
          <w:b w:val="0"/>
          <w:bCs w:val="0"/>
          <w:i w:val="0"/>
          <w:smallCaps w:val="0"/>
          <w:color w:val="auto"/>
          <w:spacing w:val="0"/>
          <w:sz w:val="22"/>
          <w:szCs w:val="22"/>
        </w:rPr>
        <w:t>authorised to communicate in this manner</w:t>
      </w:r>
      <w:r w:rsidR="005F7CAE">
        <w:rPr>
          <w:rStyle w:val="IntenseReference"/>
          <w:rFonts w:asciiTheme="minorHAnsi" w:hAnsiTheme="minorHAnsi" w:cs="Arial"/>
          <w:b w:val="0"/>
          <w:bCs w:val="0"/>
          <w:i w:val="0"/>
          <w:smallCaps w:val="0"/>
          <w:color w:val="auto"/>
          <w:spacing w:val="0"/>
          <w:sz w:val="22"/>
          <w:szCs w:val="22"/>
        </w:rPr>
        <w:t xml:space="preserve">.  In other cases, it may be </w:t>
      </w:r>
      <w:r w:rsidR="005F7CAE">
        <w:rPr>
          <w:rStyle w:val="IntenseReference"/>
          <w:rFonts w:asciiTheme="minorHAnsi" w:hAnsiTheme="minorHAnsi" w:cs="Arial"/>
          <w:b w:val="0"/>
          <w:bCs w:val="0"/>
          <w:i w:val="0"/>
          <w:smallCaps w:val="0"/>
          <w:color w:val="auto"/>
          <w:spacing w:val="0"/>
          <w:sz w:val="22"/>
          <w:szCs w:val="22"/>
        </w:rPr>
        <w:lastRenderedPageBreak/>
        <w:t>appropriate to communicate by phone.</w:t>
      </w:r>
      <w:r w:rsidR="005F42B4">
        <w:rPr>
          <w:rStyle w:val="IntenseReference"/>
          <w:rFonts w:asciiTheme="minorHAnsi" w:hAnsiTheme="minorHAnsi" w:cs="Arial"/>
          <w:b w:val="0"/>
          <w:bCs w:val="0"/>
          <w:i w:val="0"/>
          <w:smallCaps w:val="0"/>
          <w:color w:val="auto"/>
          <w:spacing w:val="0"/>
          <w:sz w:val="22"/>
          <w:szCs w:val="22"/>
        </w:rPr>
        <w:t xml:space="preserve"> </w:t>
      </w:r>
      <w:r w:rsidR="005F7CAE">
        <w:rPr>
          <w:rStyle w:val="IntenseReference"/>
          <w:rFonts w:asciiTheme="minorHAnsi" w:hAnsiTheme="minorHAnsi" w:cs="Arial"/>
          <w:b w:val="0"/>
          <w:bCs w:val="0"/>
          <w:i w:val="0"/>
          <w:smallCaps w:val="0"/>
          <w:color w:val="auto"/>
          <w:spacing w:val="0"/>
          <w:sz w:val="22"/>
          <w:szCs w:val="22"/>
        </w:rPr>
        <w:t xml:space="preserve"> </w:t>
      </w:r>
      <w:r>
        <w:rPr>
          <w:rStyle w:val="IntenseReference"/>
          <w:rFonts w:asciiTheme="minorHAnsi" w:hAnsiTheme="minorHAnsi" w:cs="Arial"/>
          <w:b w:val="0"/>
          <w:bCs w:val="0"/>
          <w:i w:val="0"/>
          <w:smallCaps w:val="0"/>
          <w:color w:val="auto"/>
          <w:spacing w:val="0"/>
          <w:sz w:val="22"/>
          <w:szCs w:val="22"/>
        </w:rPr>
        <w:t>Written notification (non-electronic) would only be used if no other forms of communication are practical or appropriate.</w:t>
      </w:r>
    </w:p>
    <w:p w:rsidR="006902EA" w:rsidRPr="003D6C23" w:rsidRDefault="006902EA" w:rsidP="006902EA">
      <w:pPr>
        <w:pStyle w:val="Heading3"/>
        <w:numPr>
          <w:ilvl w:val="0"/>
          <w:numId w:val="0"/>
        </w:numPr>
        <w:ind w:left="720" w:hanging="720"/>
      </w:pPr>
      <w:bookmarkStart w:id="101" w:name="_Toc418763118"/>
      <w:bookmarkStart w:id="102" w:name="_Toc420394272"/>
      <w:r>
        <w:t>3.4.</w:t>
      </w:r>
      <w:r w:rsidR="00AD7932">
        <w:t>8</w:t>
      </w:r>
      <w:r>
        <w:tab/>
        <w:t>Obligation for System Operator to retain records</w:t>
      </w:r>
      <w:bookmarkEnd w:id="101"/>
      <w:bookmarkEnd w:id="102"/>
    </w:p>
    <w:p w:rsidR="006902EA" w:rsidRDefault="006902EA" w:rsidP="006902EA">
      <w:pPr>
        <w:spacing w:after="120"/>
        <w:ind w:left="737"/>
        <w:rPr>
          <w:rStyle w:val="IntenseReference"/>
          <w:rFonts w:asciiTheme="minorHAnsi" w:hAnsiTheme="minorHAnsi" w:cs="Arial"/>
          <w:b w:val="0"/>
          <w:bCs w:val="0"/>
          <w:i w:val="0"/>
          <w:smallCaps w:val="0"/>
          <w:color w:val="auto"/>
          <w:spacing w:val="0"/>
          <w:sz w:val="22"/>
          <w:szCs w:val="22"/>
        </w:rPr>
      </w:pPr>
      <w:r>
        <w:rPr>
          <w:rStyle w:val="IntenseReference"/>
          <w:rFonts w:asciiTheme="minorHAnsi" w:hAnsiTheme="minorHAnsi" w:cs="Arial"/>
          <w:b w:val="0"/>
          <w:bCs w:val="0"/>
          <w:i w:val="0"/>
          <w:smallCaps w:val="0"/>
          <w:color w:val="auto"/>
          <w:spacing w:val="0"/>
          <w:sz w:val="22"/>
          <w:szCs w:val="22"/>
        </w:rPr>
        <w:t xml:space="preserve">The System Operator operates the National Repositories Service which stores a minimum critical set of health information about registered </w:t>
      </w:r>
      <w:r w:rsidR="00716DBB">
        <w:rPr>
          <w:rFonts w:asciiTheme="minorHAnsi" w:hAnsiTheme="minorHAnsi"/>
          <w:sz w:val="22"/>
          <w:szCs w:val="22"/>
        </w:rPr>
        <w:t>individuals</w:t>
      </w:r>
      <w:r>
        <w:rPr>
          <w:rStyle w:val="IntenseReference"/>
          <w:rFonts w:asciiTheme="minorHAnsi" w:hAnsiTheme="minorHAnsi" w:cs="Arial"/>
          <w:b w:val="0"/>
          <w:bCs w:val="0"/>
          <w:i w:val="0"/>
          <w:smallCaps w:val="0"/>
          <w:color w:val="auto"/>
          <w:spacing w:val="0"/>
          <w:sz w:val="22"/>
          <w:szCs w:val="22"/>
        </w:rPr>
        <w:t xml:space="preserve">, including shared health summaries, event summaries, discharge summaries, and consumer-only notes. </w:t>
      </w:r>
    </w:p>
    <w:p w:rsidR="006902EA" w:rsidRDefault="006902EA" w:rsidP="006902EA">
      <w:pPr>
        <w:spacing w:after="120"/>
        <w:ind w:left="737"/>
        <w:rPr>
          <w:rStyle w:val="IntenseReference"/>
          <w:rFonts w:asciiTheme="minorHAnsi" w:hAnsiTheme="minorHAnsi" w:cs="Arial"/>
          <w:b w:val="0"/>
          <w:bCs w:val="0"/>
          <w:i w:val="0"/>
          <w:smallCaps w:val="0"/>
          <w:color w:val="auto"/>
          <w:spacing w:val="0"/>
          <w:sz w:val="22"/>
          <w:szCs w:val="22"/>
        </w:rPr>
      </w:pPr>
      <w:r>
        <w:rPr>
          <w:rStyle w:val="IntenseReference"/>
          <w:rFonts w:asciiTheme="minorHAnsi" w:hAnsiTheme="minorHAnsi" w:cs="Arial"/>
          <w:b w:val="0"/>
          <w:bCs w:val="0"/>
          <w:i w:val="0"/>
          <w:smallCaps w:val="0"/>
          <w:color w:val="auto"/>
          <w:spacing w:val="0"/>
          <w:sz w:val="22"/>
          <w:szCs w:val="22"/>
        </w:rPr>
        <w:t>The PCEHR Act currently specifies that any record about a</w:t>
      </w:r>
      <w:r w:rsidR="00716DBB">
        <w:rPr>
          <w:rStyle w:val="IntenseReference"/>
          <w:rFonts w:asciiTheme="minorHAnsi" w:hAnsiTheme="minorHAnsi" w:cs="Arial"/>
          <w:b w:val="0"/>
          <w:bCs w:val="0"/>
          <w:i w:val="0"/>
          <w:smallCaps w:val="0"/>
          <w:color w:val="auto"/>
          <w:spacing w:val="0"/>
          <w:sz w:val="22"/>
          <w:szCs w:val="22"/>
        </w:rPr>
        <w:t>n individual</w:t>
      </w:r>
      <w:r>
        <w:rPr>
          <w:rStyle w:val="IntenseReference"/>
          <w:rFonts w:asciiTheme="minorHAnsi" w:hAnsiTheme="minorHAnsi" w:cs="Arial"/>
          <w:b w:val="0"/>
          <w:bCs w:val="0"/>
          <w:i w:val="0"/>
          <w:smallCaps w:val="0"/>
          <w:color w:val="auto"/>
          <w:spacing w:val="0"/>
          <w:sz w:val="22"/>
          <w:szCs w:val="22"/>
        </w:rPr>
        <w:t xml:space="preserve"> that is uploaded to the National Repositories Service (</w:t>
      </w:r>
      <w:proofErr w:type="spellStart"/>
      <w:r>
        <w:rPr>
          <w:rStyle w:val="IntenseReference"/>
          <w:rFonts w:asciiTheme="minorHAnsi" w:hAnsiTheme="minorHAnsi" w:cs="Arial"/>
          <w:b w:val="0"/>
          <w:bCs w:val="0"/>
          <w:i w:val="0"/>
          <w:smallCaps w:val="0"/>
          <w:color w:val="auto"/>
          <w:spacing w:val="0"/>
          <w:sz w:val="22"/>
          <w:szCs w:val="22"/>
        </w:rPr>
        <w:t>NRS</w:t>
      </w:r>
      <w:proofErr w:type="spellEnd"/>
      <w:r>
        <w:rPr>
          <w:rStyle w:val="IntenseReference"/>
          <w:rFonts w:asciiTheme="minorHAnsi" w:hAnsiTheme="minorHAnsi" w:cs="Arial"/>
          <w:b w:val="0"/>
          <w:bCs w:val="0"/>
          <w:i w:val="0"/>
          <w:smallCaps w:val="0"/>
          <w:color w:val="auto"/>
          <w:spacing w:val="0"/>
          <w:sz w:val="22"/>
          <w:szCs w:val="22"/>
        </w:rPr>
        <w:t xml:space="preserve">) must be retained for 30 years after the death of the </w:t>
      </w:r>
      <w:r w:rsidR="00716DBB">
        <w:rPr>
          <w:rFonts w:asciiTheme="minorHAnsi" w:hAnsiTheme="minorHAnsi"/>
          <w:sz w:val="22"/>
          <w:szCs w:val="22"/>
        </w:rPr>
        <w:t xml:space="preserve">individual </w:t>
      </w:r>
      <w:r>
        <w:rPr>
          <w:rStyle w:val="IntenseReference"/>
          <w:rFonts w:asciiTheme="minorHAnsi" w:hAnsiTheme="minorHAnsi" w:cs="Arial"/>
          <w:b w:val="0"/>
          <w:bCs w:val="0"/>
          <w:i w:val="0"/>
          <w:smallCaps w:val="0"/>
          <w:color w:val="auto"/>
          <w:spacing w:val="0"/>
          <w:sz w:val="22"/>
          <w:szCs w:val="22"/>
        </w:rPr>
        <w:t xml:space="preserve">or, if the date of death is not known, for 130 years after the record was uploaded (section 17). </w:t>
      </w:r>
    </w:p>
    <w:p w:rsidR="006902EA" w:rsidRDefault="006902EA" w:rsidP="006902EA">
      <w:pPr>
        <w:spacing w:after="120"/>
        <w:ind w:left="737"/>
        <w:rPr>
          <w:rStyle w:val="IntenseReference"/>
          <w:rFonts w:asciiTheme="minorHAnsi" w:hAnsiTheme="minorHAnsi" w:cs="Arial"/>
          <w:b w:val="0"/>
          <w:bCs w:val="0"/>
          <w:i w:val="0"/>
          <w:smallCaps w:val="0"/>
          <w:color w:val="auto"/>
          <w:spacing w:val="0"/>
          <w:sz w:val="22"/>
          <w:szCs w:val="22"/>
        </w:rPr>
      </w:pPr>
      <w:r>
        <w:rPr>
          <w:rStyle w:val="IntenseReference"/>
          <w:rFonts w:asciiTheme="minorHAnsi" w:hAnsiTheme="minorHAnsi" w:cs="Arial"/>
          <w:b w:val="0"/>
          <w:bCs w:val="0"/>
          <w:i w:val="0"/>
          <w:smallCaps w:val="0"/>
          <w:color w:val="auto"/>
          <w:spacing w:val="0"/>
          <w:sz w:val="22"/>
          <w:szCs w:val="22"/>
        </w:rPr>
        <w:t xml:space="preserve">In order to help minimise the volume of records retained by the </w:t>
      </w:r>
      <w:proofErr w:type="spellStart"/>
      <w:r>
        <w:rPr>
          <w:rStyle w:val="IntenseReference"/>
          <w:rFonts w:asciiTheme="minorHAnsi" w:hAnsiTheme="minorHAnsi" w:cs="Arial"/>
          <w:b w:val="0"/>
          <w:bCs w:val="0"/>
          <w:i w:val="0"/>
          <w:smallCaps w:val="0"/>
          <w:color w:val="auto"/>
          <w:spacing w:val="0"/>
          <w:sz w:val="22"/>
          <w:szCs w:val="22"/>
        </w:rPr>
        <w:t>NRS</w:t>
      </w:r>
      <w:proofErr w:type="spellEnd"/>
      <w:r w:rsidR="005F7CAE">
        <w:rPr>
          <w:rStyle w:val="IntenseReference"/>
          <w:rFonts w:asciiTheme="minorHAnsi" w:hAnsiTheme="minorHAnsi" w:cs="Arial"/>
          <w:b w:val="0"/>
          <w:bCs w:val="0"/>
          <w:i w:val="0"/>
          <w:smallCaps w:val="0"/>
          <w:color w:val="auto"/>
          <w:spacing w:val="0"/>
          <w:sz w:val="22"/>
          <w:szCs w:val="22"/>
        </w:rPr>
        <w:t>,</w:t>
      </w:r>
      <w:r>
        <w:rPr>
          <w:rStyle w:val="IntenseReference"/>
          <w:rFonts w:asciiTheme="minorHAnsi" w:hAnsiTheme="minorHAnsi" w:cs="Arial"/>
          <w:b w:val="0"/>
          <w:bCs w:val="0"/>
          <w:i w:val="0"/>
          <w:smallCaps w:val="0"/>
          <w:color w:val="auto"/>
          <w:spacing w:val="0"/>
          <w:sz w:val="22"/>
          <w:szCs w:val="22"/>
        </w:rPr>
        <w:t xml:space="preserve"> while still ensuring that records are retained for appropriate periods for clinical and other authorised purposes, it is proposed to amend this requirement so that records are retained </w:t>
      </w:r>
      <w:r w:rsidRPr="0051560D">
        <w:rPr>
          <w:rStyle w:val="IntenseReference"/>
          <w:rFonts w:asciiTheme="minorHAnsi" w:hAnsiTheme="minorHAnsi" w:cs="Arial"/>
          <w:b w:val="0"/>
          <w:bCs w:val="0"/>
          <w:i w:val="0"/>
          <w:smallCaps w:val="0"/>
          <w:color w:val="auto"/>
          <w:spacing w:val="0"/>
          <w:sz w:val="22"/>
          <w:szCs w:val="22"/>
        </w:rPr>
        <w:t>for the longer of:</w:t>
      </w:r>
    </w:p>
    <w:p w:rsidR="006902EA" w:rsidRDefault="006902EA" w:rsidP="00A67B4E">
      <w:pPr>
        <w:pStyle w:val="ListParagraph"/>
        <w:numPr>
          <w:ilvl w:val="0"/>
          <w:numId w:val="12"/>
        </w:numPr>
        <w:spacing w:after="120"/>
        <w:contextualSpacing w:val="0"/>
        <w:rPr>
          <w:rStyle w:val="IntenseReference"/>
          <w:rFonts w:asciiTheme="minorHAnsi" w:hAnsiTheme="minorHAnsi" w:cs="Arial"/>
          <w:b w:val="0"/>
          <w:bCs w:val="0"/>
          <w:i w:val="0"/>
          <w:smallCaps w:val="0"/>
          <w:color w:val="auto"/>
          <w:spacing w:val="0"/>
          <w:sz w:val="22"/>
          <w:szCs w:val="22"/>
        </w:rPr>
      </w:pPr>
      <w:r w:rsidRPr="00392D0F">
        <w:rPr>
          <w:rStyle w:val="IntenseReference"/>
          <w:rFonts w:asciiTheme="minorHAnsi" w:hAnsiTheme="minorHAnsi" w:cs="Arial"/>
          <w:b w:val="0"/>
          <w:bCs w:val="0"/>
          <w:i w:val="0"/>
          <w:smallCaps w:val="0"/>
          <w:color w:val="auto"/>
          <w:spacing w:val="0"/>
          <w:sz w:val="22"/>
          <w:szCs w:val="22"/>
        </w:rPr>
        <w:t xml:space="preserve">30 years after date of death; </w:t>
      </w:r>
      <w:r>
        <w:rPr>
          <w:rStyle w:val="IntenseReference"/>
          <w:rFonts w:asciiTheme="minorHAnsi" w:hAnsiTheme="minorHAnsi" w:cs="Arial"/>
          <w:b w:val="0"/>
          <w:bCs w:val="0"/>
          <w:i w:val="0"/>
          <w:smallCaps w:val="0"/>
          <w:color w:val="auto"/>
          <w:spacing w:val="0"/>
          <w:sz w:val="22"/>
          <w:szCs w:val="22"/>
        </w:rPr>
        <w:t>or</w:t>
      </w:r>
    </w:p>
    <w:p w:rsidR="006902EA" w:rsidRDefault="006902EA" w:rsidP="00A67B4E">
      <w:pPr>
        <w:pStyle w:val="ListParagraph"/>
        <w:numPr>
          <w:ilvl w:val="0"/>
          <w:numId w:val="12"/>
        </w:numPr>
        <w:spacing w:after="120"/>
        <w:contextualSpacing w:val="0"/>
        <w:rPr>
          <w:rStyle w:val="IntenseReference"/>
          <w:rFonts w:asciiTheme="minorHAnsi" w:hAnsiTheme="minorHAnsi" w:cs="Arial"/>
          <w:b w:val="0"/>
          <w:bCs w:val="0"/>
          <w:i w:val="0"/>
          <w:smallCaps w:val="0"/>
          <w:color w:val="auto"/>
          <w:spacing w:val="0"/>
          <w:sz w:val="22"/>
          <w:szCs w:val="22"/>
        </w:rPr>
      </w:pPr>
      <w:proofErr w:type="gramStart"/>
      <w:r w:rsidRPr="00392D0F">
        <w:rPr>
          <w:rStyle w:val="IntenseReference"/>
          <w:rFonts w:asciiTheme="minorHAnsi" w:hAnsiTheme="minorHAnsi" w:cs="Arial"/>
          <w:b w:val="0"/>
          <w:bCs w:val="0"/>
          <w:i w:val="0"/>
          <w:smallCaps w:val="0"/>
          <w:color w:val="auto"/>
          <w:spacing w:val="0"/>
          <w:sz w:val="22"/>
          <w:szCs w:val="22"/>
        </w:rPr>
        <w:t>if</w:t>
      </w:r>
      <w:proofErr w:type="gramEnd"/>
      <w:r w:rsidRPr="00392D0F">
        <w:rPr>
          <w:rStyle w:val="IntenseReference"/>
          <w:rFonts w:asciiTheme="minorHAnsi" w:hAnsiTheme="minorHAnsi" w:cs="Arial"/>
          <w:b w:val="0"/>
          <w:bCs w:val="0"/>
          <w:i w:val="0"/>
          <w:smallCaps w:val="0"/>
          <w:color w:val="auto"/>
          <w:spacing w:val="0"/>
          <w:sz w:val="22"/>
          <w:szCs w:val="22"/>
        </w:rPr>
        <w:t xml:space="preserve"> date of death not known, 130 years from </w:t>
      </w:r>
      <w:r w:rsidR="005F7CAE">
        <w:rPr>
          <w:rStyle w:val="IntenseReference"/>
          <w:rFonts w:asciiTheme="minorHAnsi" w:hAnsiTheme="minorHAnsi" w:cs="Arial"/>
          <w:b w:val="0"/>
          <w:bCs w:val="0"/>
          <w:i w:val="0"/>
          <w:smallCaps w:val="0"/>
          <w:color w:val="auto"/>
          <w:spacing w:val="0"/>
          <w:sz w:val="22"/>
          <w:szCs w:val="22"/>
        </w:rPr>
        <w:t xml:space="preserve">the </w:t>
      </w:r>
      <w:r w:rsidR="00716DBB">
        <w:rPr>
          <w:rFonts w:asciiTheme="minorHAnsi" w:hAnsiTheme="minorHAnsi"/>
          <w:sz w:val="22"/>
          <w:szCs w:val="22"/>
        </w:rPr>
        <w:t xml:space="preserve">individual’s </w:t>
      </w:r>
      <w:r w:rsidRPr="00392D0F">
        <w:rPr>
          <w:rStyle w:val="IntenseReference"/>
          <w:rFonts w:asciiTheme="minorHAnsi" w:hAnsiTheme="minorHAnsi" w:cs="Arial"/>
          <w:b w:val="0"/>
          <w:bCs w:val="0"/>
          <w:i w:val="0"/>
          <w:smallCaps w:val="0"/>
          <w:color w:val="auto"/>
          <w:spacing w:val="0"/>
          <w:sz w:val="22"/>
          <w:szCs w:val="22"/>
        </w:rPr>
        <w:t xml:space="preserve">date of birth.  </w:t>
      </w:r>
    </w:p>
    <w:p w:rsidR="00C901F8" w:rsidRPr="003D6C23" w:rsidRDefault="00C901F8" w:rsidP="00C901F8">
      <w:pPr>
        <w:pStyle w:val="Heading3"/>
        <w:numPr>
          <w:ilvl w:val="0"/>
          <w:numId w:val="0"/>
        </w:numPr>
        <w:ind w:left="720" w:hanging="720"/>
      </w:pPr>
      <w:bookmarkStart w:id="103" w:name="_Toc418763119"/>
      <w:bookmarkStart w:id="104" w:name="_Toc420394273"/>
      <w:r>
        <w:t>3.4.</w:t>
      </w:r>
      <w:r w:rsidR="00AD7932">
        <w:t>9</w:t>
      </w:r>
      <w:r>
        <w:tab/>
      </w:r>
      <w:r w:rsidR="00BD0F66">
        <w:t>Obligation for System Operator to provide</w:t>
      </w:r>
      <w:r w:rsidR="003A1B10">
        <w:t xml:space="preserve"> system testing</w:t>
      </w:r>
      <w:bookmarkEnd w:id="103"/>
      <w:bookmarkEnd w:id="104"/>
    </w:p>
    <w:p w:rsidR="003A1B10" w:rsidRDefault="00027547" w:rsidP="00C901F8">
      <w:pPr>
        <w:pStyle w:val="ListParagraph"/>
        <w:spacing w:after="120"/>
        <w:ind w:left="737"/>
        <w:contextualSpacing w:val="0"/>
        <w:rPr>
          <w:rStyle w:val="IntenseReference"/>
          <w:rFonts w:asciiTheme="minorHAnsi" w:hAnsiTheme="minorHAnsi" w:cs="Arial"/>
          <w:b w:val="0"/>
          <w:bCs w:val="0"/>
          <w:i w:val="0"/>
          <w:smallCaps w:val="0"/>
          <w:color w:val="auto"/>
          <w:spacing w:val="0"/>
          <w:sz w:val="22"/>
          <w:szCs w:val="22"/>
        </w:rPr>
      </w:pPr>
      <w:r>
        <w:rPr>
          <w:rStyle w:val="IntenseReference"/>
          <w:rFonts w:asciiTheme="minorHAnsi" w:hAnsiTheme="minorHAnsi" w:cs="Arial"/>
          <w:b w:val="0"/>
          <w:bCs w:val="0"/>
          <w:i w:val="0"/>
          <w:smallCaps w:val="0"/>
          <w:color w:val="auto"/>
          <w:spacing w:val="0"/>
          <w:sz w:val="22"/>
          <w:szCs w:val="22"/>
        </w:rPr>
        <w:t>It is helpful for</w:t>
      </w:r>
      <w:r w:rsidR="003A1B10">
        <w:rPr>
          <w:rStyle w:val="IntenseReference"/>
          <w:rFonts w:asciiTheme="minorHAnsi" w:hAnsiTheme="minorHAnsi" w:cs="Arial"/>
          <w:b w:val="0"/>
          <w:bCs w:val="0"/>
          <w:i w:val="0"/>
          <w:smallCaps w:val="0"/>
          <w:color w:val="auto"/>
          <w:spacing w:val="0"/>
          <w:sz w:val="22"/>
          <w:szCs w:val="22"/>
        </w:rPr>
        <w:t xml:space="preserve"> test environments </w:t>
      </w:r>
      <w:r>
        <w:rPr>
          <w:rStyle w:val="IntenseReference"/>
          <w:rFonts w:asciiTheme="minorHAnsi" w:hAnsiTheme="minorHAnsi" w:cs="Arial"/>
          <w:b w:val="0"/>
          <w:bCs w:val="0"/>
          <w:i w:val="0"/>
          <w:smallCaps w:val="0"/>
          <w:color w:val="auto"/>
          <w:spacing w:val="0"/>
          <w:sz w:val="22"/>
          <w:szCs w:val="22"/>
        </w:rPr>
        <w:t xml:space="preserve">to be available to vendors and other stakeholders so they </w:t>
      </w:r>
      <w:r w:rsidR="003A1B10">
        <w:rPr>
          <w:rStyle w:val="IntenseReference"/>
          <w:rFonts w:asciiTheme="minorHAnsi" w:hAnsiTheme="minorHAnsi" w:cs="Arial"/>
          <w:b w:val="0"/>
          <w:bCs w:val="0"/>
          <w:i w:val="0"/>
          <w:smallCaps w:val="0"/>
          <w:color w:val="auto"/>
          <w:spacing w:val="0"/>
          <w:sz w:val="22"/>
          <w:szCs w:val="22"/>
        </w:rPr>
        <w:t xml:space="preserve">have an opportunity to test how systems operate and interact before they are implemented.  </w:t>
      </w:r>
    </w:p>
    <w:p w:rsidR="00C901F8" w:rsidRDefault="003A1B10" w:rsidP="00C901F8">
      <w:pPr>
        <w:pStyle w:val="ListParagraph"/>
        <w:spacing w:after="120"/>
        <w:ind w:left="737"/>
        <w:contextualSpacing w:val="0"/>
        <w:rPr>
          <w:rStyle w:val="IntenseReference"/>
          <w:rFonts w:asciiTheme="minorHAnsi" w:hAnsiTheme="minorHAnsi" w:cs="Arial"/>
          <w:b w:val="0"/>
          <w:bCs w:val="0"/>
          <w:i w:val="0"/>
          <w:smallCaps w:val="0"/>
          <w:color w:val="auto"/>
          <w:spacing w:val="0"/>
          <w:sz w:val="22"/>
          <w:szCs w:val="22"/>
        </w:rPr>
      </w:pPr>
      <w:r>
        <w:rPr>
          <w:rStyle w:val="IntenseReference"/>
          <w:rFonts w:asciiTheme="minorHAnsi" w:hAnsiTheme="minorHAnsi" w:cs="Arial"/>
          <w:b w:val="0"/>
          <w:bCs w:val="0"/>
          <w:i w:val="0"/>
          <w:smallCaps w:val="0"/>
          <w:color w:val="auto"/>
          <w:spacing w:val="0"/>
          <w:sz w:val="22"/>
          <w:szCs w:val="22"/>
        </w:rPr>
        <w:t xml:space="preserve">It is proposed that the PCEHR System Operator be given a function to develop and implement a test environment.  </w:t>
      </w:r>
      <w:r w:rsidR="004D3C03">
        <w:rPr>
          <w:rStyle w:val="IntenseReference"/>
          <w:rFonts w:asciiTheme="minorHAnsi" w:hAnsiTheme="minorHAnsi" w:cs="Arial"/>
          <w:b w:val="0"/>
          <w:bCs w:val="0"/>
          <w:i w:val="0"/>
          <w:smallCaps w:val="0"/>
          <w:color w:val="auto"/>
          <w:spacing w:val="0"/>
          <w:sz w:val="22"/>
          <w:szCs w:val="22"/>
        </w:rPr>
        <w:t xml:space="preserve">The test environment </w:t>
      </w:r>
      <w:r w:rsidR="00D85CC8">
        <w:rPr>
          <w:rStyle w:val="IntenseReference"/>
          <w:rFonts w:asciiTheme="minorHAnsi" w:hAnsiTheme="minorHAnsi" w:cs="Arial"/>
          <w:b w:val="0"/>
          <w:bCs w:val="0"/>
          <w:i w:val="0"/>
          <w:smallCaps w:val="0"/>
          <w:color w:val="auto"/>
          <w:spacing w:val="0"/>
          <w:sz w:val="22"/>
          <w:szCs w:val="22"/>
        </w:rPr>
        <w:t>would</w:t>
      </w:r>
      <w:r w:rsidR="004D3C03">
        <w:rPr>
          <w:rStyle w:val="IntenseReference"/>
          <w:rFonts w:asciiTheme="minorHAnsi" w:hAnsiTheme="minorHAnsi" w:cs="Arial"/>
          <w:b w:val="0"/>
          <w:bCs w:val="0"/>
          <w:i w:val="0"/>
          <w:smallCaps w:val="0"/>
          <w:color w:val="auto"/>
          <w:spacing w:val="0"/>
          <w:sz w:val="22"/>
          <w:szCs w:val="22"/>
        </w:rPr>
        <w:t xml:space="preserve"> not use any real information and </w:t>
      </w:r>
      <w:r w:rsidR="00D85CC8">
        <w:rPr>
          <w:rStyle w:val="IntenseReference"/>
          <w:rFonts w:asciiTheme="minorHAnsi" w:hAnsiTheme="minorHAnsi" w:cs="Arial"/>
          <w:b w:val="0"/>
          <w:bCs w:val="0"/>
          <w:i w:val="0"/>
          <w:smallCaps w:val="0"/>
          <w:color w:val="auto"/>
          <w:spacing w:val="0"/>
          <w:sz w:val="22"/>
          <w:szCs w:val="22"/>
        </w:rPr>
        <w:t>would</w:t>
      </w:r>
      <w:r w:rsidR="004D3C03">
        <w:rPr>
          <w:rStyle w:val="IntenseReference"/>
          <w:rFonts w:asciiTheme="minorHAnsi" w:hAnsiTheme="minorHAnsi" w:cs="Arial"/>
          <w:b w:val="0"/>
          <w:bCs w:val="0"/>
          <w:i w:val="0"/>
          <w:smallCaps w:val="0"/>
          <w:color w:val="auto"/>
          <w:spacing w:val="0"/>
          <w:sz w:val="22"/>
          <w:szCs w:val="22"/>
        </w:rPr>
        <w:t xml:space="preserve"> be isolated from the live system</w:t>
      </w:r>
      <w:r w:rsidR="00027547">
        <w:rPr>
          <w:rStyle w:val="IntenseReference"/>
          <w:rFonts w:asciiTheme="minorHAnsi" w:hAnsiTheme="minorHAnsi" w:cs="Arial"/>
          <w:b w:val="0"/>
          <w:bCs w:val="0"/>
          <w:i w:val="0"/>
          <w:smallCaps w:val="0"/>
          <w:color w:val="auto"/>
          <w:spacing w:val="0"/>
          <w:sz w:val="22"/>
          <w:szCs w:val="22"/>
        </w:rPr>
        <w:t>.</w:t>
      </w:r>
      <w:r>
        <w:rPr>
          <w:rStyle w:val="IntenseReference"/>
          <w:rFonts w:asciiTheme="minorHAnsi" w:hAnsiTheme="minorHAnsi" w:cs="Arial"/>
          <w:b w:val="0"/>
          <w:bCs w:val="0"/>
          <w:i w:val="0"/>
          <w:smallCaps w:val="0"/>
          <w:color w:val="auto"/>
          <w:spacing w:val="0"/>
          <w:sz w:val="22"/>
          <w:szCs w:val="22"/>
        </w:rPr>
        <w:t xml:space="preserve"> </w:t>
      </w:r>
    </w:p>
    <w:p w:rsidR="00B55389" w:rsidRPr="003C72D7" w:rsidRDefault="00B55389" w:rsidP="00B55389">
      <w:pPr>
        <w:pStyle w:val="Heading2"/>
        <w:numPr>
          <w:ilvl w:val="0"/>
          <w:numId w:val="0"/>
        </w:numPr>
      </w:pPr>
      <w:bookmarkStart w:id="105" w:name="_Toc418763120"/>
      <w:bookmarkStart w:id="106" w:name="_Toc420394274"/>
      <w:r>
        <w:t>3.5</w:t>
      </w:r>
      <w:r>
        <w:tab/>
        <w:t>Privacy</w:t>
      </w:r>
      <w:bookmarkEnd w:id="105"/>
      <w:bookmarkEnd w:id="106"/>
      <w:r w:rsidRPr="003C72D7">
        <w:t xml:space="preserve"> </w:t>
      </w:r>
    </w:p>
    <w:p w:rsidR="00B55389" w:rsidRDefault="00B55389" w:rsidP="00B55389">
      <w:pPr>
        <w:pStyle w:val="Heading3"/>
        <w:numPr>
          <w:ilvl w:val="0"/>
          <w:numId w:val="0"/>
        </w:numPr>
        <w:ind w:left="720" w:hanging="720"/>
      </w:pPr>
      <w:bookmarkStart w:id="107" w:name="_Toc418763121"/>
      <w:bookmarkStart w:id="108" w:name="_Toc420394275"/>
      <w:r>
        <w:t>3.5.1</w:t>
      </w:r>
      <w:r>
        <w:tab/>
      </w:r>
      <w:r w:rsidR="006902EA">
        <w:t>Notification of PCEHR use</w:t>
      </w:r>
      <w:bookmarkEnd w:id="107"/>
      <w:bookmarkEnd w:id="108"/>
    </w:p>
    <w:p w:rsidR="00BC0F80" w:rsidRPr="003D6C23" w:rsidRDefault="00BC0F80" w:rsidP="002A1077">
      <w:pPr>
        <w:pStyle w:val="ListParagraph"/>
        <w:spacing w:after="120"/>
        <w:ind w:left="737"/>
        <w:contextualSpacing w:val="0"/>
        <w:rPr>
          <w:rStyle w:val="IntenseReference"/>
          <w:rFonts w:asciiTheme="minorHAnsi" w:hAnsiTheme="minorHAnsi" w:cs="Arial"/>
          <w:b w:val="0"/>
          <w:bCs w:val="0"/>
          <w:i w:val="0"/>
          <w:smallCaps w:val="0"/>
          <w:color w:val="auto"/>
          <w:spacing w:val="0"/>
          <w:sz w:val="22"/>
          <w:szCs w:val="22"/>
        </w:rPr>
      </w:pPr>
      <w:r w:rsidRPr="003D6C23">
        <w:rPr>
          <w:rStyle w:val="IntenseReference"/>
          <w:rFonts w:asciiTheme="minorHAnsi" w:hAnsiTheme="minorHAnsi" w:cs="Arial"/>
          <w:b w:val="0"/>
          <w:bCs w:val="0"/>
          <w:i w:val="0"/>
          <w:smallCaps w:val="0"/>
          <w:color w:val="auto"/>
          <w:spacing w:val="0"/>
          <w:sz w:val="22"/>
          <w:szCs w:val="22"/>
        </w:rPr>
        <w:t xml:space="preserve">A function of the System Operator is to provide access control mechanisms that enable registered </w:t>
      </w:r>
      <w:r w:rsidR="00716DBB">
        <w:rPr>
          <w:rFonts w:asciiTheme="minorHAnsi" w:hAnsiTheme="minorHAnsi"/>
          <w:sz w:val="22"/>
          <w:szCs w:val="22"/>
        </w:rPr>
        <w:t xml:space="preserve">individuals </w:t>
      </w:r>
      <w:r w:rsidR="0079177A" w:rsidRPr="003D6C23">
        <w:rPr>
          <w:rStyle w:val="IntenseReference"/>
          <w:rFonts w:asciiTheme="minorHAnsi" w:hAnsiTheme="minorHAnsi" w:cs="Arial"/>
          <w:b w:val="0"/>
          <w:bCs w:val="0"/>
          <w:i w:val="0"/>
          <w:smallCaps w:val="0"/>
          <w:color w:val="auto"/>
          <w:spacing w:val="0"/>
          <w:sz w:val="22"/>
          <w:szCs w:val="22"/>
        </w:rPr>
        <w:t>to set controls</w:t>
      </w:r>
      <w:r w:rsidR="00D76A61">
        <w:rPr>
          <w:rStyle w:val="IntenseReference"/>
          <w:rFonts w:asciiTheme="minorHAnsi" w:hAnsiTheme="minorHAnsi" w:cs="Arial"/>
          <w:b w:val="0"/>
          <w:bCs w:val="0"/>
          <w:i w:val="0"/>
          <w:smallCaps w:val="0"/>
          <w:color w:val="auto"/>
          <w:spacing w:val="0"/>
          <w:sz w:val="22"/>
          <w:szCs w:val="22"/>
        </w:rPr>
        <w:t>, regulating access by</w:t>
      </w:r>
      <w:r w:rsidR="0079177A" w:rsidRPr="003D6C23">
        <w:rPr>
          <w:rStyle w:val="IntenseReference"/>
          <w:rFonts w:asciiTheme="minorHAnsi" w:hAnsiTheme="minorHAnsi" w:cs="Arial"/>
          <w:b w:val="0"/>
          <w:bCs w:val="0"/>
          <w:i w:val="0"/>
          <w:smallCaps w:val="0"/>
          <w:color w:val="auto"/>
          <w:spacing w:val="0"/>
          <w:sz w:val="22"/>
          <w:szCs w:val="22"/>
        </w:rPr>
        <w:t xml:space="preserve"> healthcare provider organisations and nominated representatives who can access their PCEHR.  These access control mechani</w:t>
      </w:r>
      <w:r w:rsidR="00027547">
        <w:rPr>
          <w:rStyle w:val="IntenseReference"/>
          <w:rFonts w:asciiTheme="minorHAnsi" w:hAnsiTheme="minorHAnsi" w:cs="Arial"/>
          <w:b w:val="0"/>
          <w:bCs w:val="0"/>
          <w:i w:val="0"/>
          <w:smallCaps w:val="0"/>
          <w:color w:val="auto"/>
          <w:spacing w:val="0"/>
          <w:sz w:val="22"/>
          <w:szCs w:val="22"/>
        </w:rPr>
        <w:t>sms must provide defaults</w:t>
      </w:r>
      <w:r w:rsidR="0079177A" w:rsidRPr="003D6C23">
        <w:rPr>
          <w:rStyle w:val="IntenseReference"/>
          <w:rFonts w:asciiTheme="minorHAnsi" w:hAnsiTheme="minorHAnsi" w:cs="Arial"/>
          <w:b w:val="0"/>
          <w:bCs w:val="0"/>
          <w:i w:val="0"/>
          <w:smallCaps w:val="0"/>
          <w:color w:val="auto"/>
          <w:spacing w:val="0"/>
          <w:sz w:val="22"/>
          <w:szCs w:val="22"/>
        </w:rPr>
        <w:t xml:space="preserve"> settings if a</w:t>
      </w:r>
      <w:r w:rsidR="00716DBB">
        <w:rPr>
          <w:rStyle w:val="IntenseReference"/>
          <w:rFonts w:asciiTheme="minorHAnsi" w:hAnsiTheme="minorHAnsi" w:cs="Arial"/>
          <w:b w:val="0"/>
          <w:bCs w:val="0"/>
          <w:i w:val="0"/>
          <w:smallCaps w:val="0"/>
          <w:color w:val="auto"/>
          <w:spacing w:val="0"/>
          <w:sz w:val="22"/>
          <w:szCs w:val="22"/>
        </w:rPr>
        <w:t>n</w:t>
      </w:r>
      <w:r w:rsidR="0079177A" w:rsidRPr="003D6C23">
        <w:rPr>
          <w:rStyle w:val="IntenseReference"/>
          <w:rFonts w:asciiTheme="minorHAnsi" w:hAnsiTheme="minorHAnsi" w:cs="Arial"/>
          <w:b w:val="0"/>
          <w:bCs w:val="0"/>
          <w:i w:val="0"/>
          <w:smallCaps w:val="0"/>
          <w:color w:val="auto"/>
          <w:spacing w:val="0"/>
          <w:sz w:val="22"/>
          <w:szCs w:val="22"/>
        </w:rPr>
        <w:t xml:space="preserve"> </w:t>
      </w:r>
      <w:r w:rsidR="00716DBB">
        <w:rPr>
          <w:rFonts w:asciiTheme="minorHAnsi" w:hAnsiTheme="minorHAnsi"/>
          <w:sz w:val="22"/>
          <w:szCs w:val="22"/>
        </w:rPr>
        <w:t xml:space="preserve">individual </w:t>
      </w:r>
      <w:r w:rsidR="0079177A" w:rsidRPr="003D6C23">
        <w:rPr>
          <w:rStyle w:val="IntenseReference"/>
          <w:rFonts w:asciiTheme="minorHAnsi" w:hAnsiTheme="minorHAnsi" w:cs="Arial"/>
          <w:b w:val="0"/>
          <w:bCs w:val="0"/>
          <w:i w:val="0"/>
          <w:smallCaps w:val="0"/>
          <w:color w:val="auto"/>
          <w:spacing w:val="0"/>
          <w:sz w:val="22"/>
          <w:szCs w:val="22"/>
        </w:rPr>
        <w:t>chooses not to set any controls.  The access controls mechanisms are currently prescribed in the PCEHR Rules</w:t>
      </w:r>
      <w:r w:rsidR="00B833DE">
        <w:rPr>
          <w:rStyle w:val="IntenseReference"/>
          <w:rFonts w:asciiTheme="minorHAnsi" w:hAnsiTheme="minorHAnsi" w:cs="Arial"/>
          <w:b w:val="0"/>
          <w:bCs w:val="0"/>
          <w:i w:val="0"/>
          <w:smallCaps w:val="0"/>
          <w:color w:val="auto"/>
          <w:spacing w:val="0"/>
          <w:sz w:val="22"/>
          <w:szCs w:val="22"/>
        </w:rPr>
        <w:t xml:space="preserve"> (Part 2)</w:t>
      </w:r>
      <w:r w:rsidR="0079177A" w:rsidRPr="003D6C23">
        <w:rPr>
          <w:rStyle w:val="IntenseReference"/>
          <w:rFonts w:asciiTheme="minorHAnsi" w:hAnsiTheme="minorHAnsi" w:cs="Arial"/>
          <w:b w:val="0"/>
          <w:bCs w:val="0"/>
          <w:i w:val="0"/>
          <w:smallCaps w:val="0"/>
          <w:color w:val="auto"/>
          <w:spacing w:val="0"/>
          <w:sz w:val="22"/>
          <w:szCs w:val="22"/>
        </w:rPr>
        <w:t>.</w:t>
      </w:r>
    </w:p>
    <w:p w:rsidR="0079177A" w:rsidRPr="003D6C23" w:rsidRDefault="0079177A" w:rsidP="002A1077">
      <w:pPr>
        <w:pStyle w:val="ListParagraph"/>
        <w:spacing w:after="120"/>
        <w:ind w:left="737"/>
        <w:contextualSpacing w:val="0"/>
        <w:rPr>
          <w:rStyle w:val="IntenseReference"/>
          <w:rFonts w:asciiTheme="minorHAnsi" w:hAnsiTheme="minorHAnsi" w:cs="Arial"/>
          <w:b w:val="0"/>
          <w:bCs w:val="0"/>
          <w:i w:val="0"/>
          <w:smallCaps w:val="0"/>
          <w:color w:val="auto"/>
          <w:spacing w:val="0"/>
          <w:sz w:val="22"/>
          <w:szCs w:val="22"/>
        </w:rPr>
      </w:pPr>
      <w:r w:rsidRPr="003D6C23">
        <w:rPr>
          <w:rStyle w:val="IntenseReference"/>
          <w:rFonts w:asciiTheme="minorHAnsi" w:hAnsiTheme="minorHAnsi" w:cs="Arial"/>
          <w:b w:val="0"/>
          <w:bCs w:val="0"/>
          <w:i w:val="0"/>
          <w:smallCaps w:val="0"/>
          <w:color w:val="auto"/>
          <w:spacing w:val="0"/>
          <w:sz w:val="22"/>
          <w:szCs w:val="22"/>
        </w:rPr>
        <w:t xml:space="preserve">The PCEHR system also allows </w:t>
      </w:r>
      <w:r w:rsidR="00716DBB">
        <w:rPr>
          <w:rFonts w:asciiTheme="minorHAnsi" w:hAnsiTheme="minorHAnsi"/>
          <w:sz w:val="22"/>
          <w:szCs w:val="22"/>
        </w:rPr>
        <w:t xml:space="preserve">individuals </w:t>
      </w:r>
      <w:r w:rsidRPr="003D6C23">
        <w:rPr>
          <w:rStyle w:val="IntenseReference"/>
          <w:rFonts w:asciiTheme="minorHAnsi" w:hAnsiTheme="minorHAnsi" w:cs="Arial"/>
          <w:b w:val="0"/>
          <w:bCs w:val="0"/>
          <w:i w:val="0"/>
          <w:smallCaps w:val="0"/>
          <w:color w:val="auto"/>
          <w:spacing w:val="0"/>
          <w:sz w:val="22"/>
          <w:szCs w:val="22"/>
        </w:rPr>
        <w:t xml:space="preserve">to elect to be notified (by email or by </w:t>
      </w:r>
      <w:proofErr w:type="spellStart"/>
      <w:r w:rsidRPr="003D6C23">
        <w:rPr>
          <w:rStyle w:val="IntenseReference"/>
          <w:rFonts w:asciiTheme="minorHAnsi" w:hAnsiTheme="minorHAnsi" w:cs="Arial"/>
          <w:b w:val="0"/>
          <w:bCs w:val="0"/>
          <w:i w:val="0"/>
          <w:smallCaps w:val="0"/>
          <w:color w:val="auto"/>
          <w:spacing w:val="0"/>
          <w:sz w:val="22"/>
          <w:szCs w:val="22"/>
        </w:rPr>
        <w:t>SMS</w:t>
      </w:r>
      <w:proofErr w:type="spellEnd"/>
      <w:r w:rsidRPr="003D6C23">
        <w:rPr>
          <w:rStyle w:val="IntenseReference"/>
          <w:rFonts w:asciiTheme="minorHAnsi" w:hAnsiTheme="minorHAnsi" w:cs="Arial"/>
          <w:b w:val="0"/>
          <w:bCs w:val="0"/>
          <w:i w:val="0"/>
          <w:smallCaps w:val="0"/>
          <w:color w:val="auto"/>
          <w:spacing w:val="0"/>
          <w:sz w:val="22"/>
          <w:szCs w:val="22"/>
        </w:rPr>
        <w:t xml:space="preserve">) when certain activities occur in relation to their PCEHR, including when </w:t>
      </w:r>
      <w:r w:rsidR="00DD40F4" w:rsidRPr="003D6C23">
        <w:rPr>
          <w:rStyle w:val="IntenseReference"/>
          <w:rFonts w:asciiTheme="minorHAnsi" w:hAnsiTheme="minorHAnsi" w:cs="Arial"/>
          <w:b w:val="0"/>
          <w:bCs w:val="0"/>
          <w:i w:val="0"/>
          <w:smallCaps w:val="0"/>
          <w:color w:val="auto"/>
          <w:spacing w:val="0"/>
          <w:sz w:val="22"/>
          <w:szCs w:val="22"/>
        </w:rPr>
        <w:t>a healthcare provider</w:t>
      </w:r>
      <w:r w:rsidRPr="003D6C23">
        <w:rPr>
          <w:rStyle w:val="IntenseReference"/>
          <w:rFonts w:asciiTheme="minorHAnsi" w:hAnsiTheme="minorHAnsi" w:cs="Arial"/>
          <w:b w:val="0"/>
          <w:bCs w:val="0"/>
          <w:i w:val="0"/>
          <w:smallCaps w:val="0"/>
          <w:color w:val="auto"/>
          <w:spacing w:val="0"/>
          <w:sz w:val="22"/>
          <w:szCs w:val="22"/>
        </w:rPr>
        <w:t xml:space="preserve"> acce</w:t>
      </w:r>
      <w:r w:rsidR="00DD40F4" w:rsidRPr="003D6C23">
        <w:rPr>
          <w:rStyle w:val="IntenseReference"/>
          <w:rFonts w:asciiTheme="minorHAnsi" w:hAnsiTheme="minorHAnsi" w:cs="Arial"/>
          <w:b w:val="0"/>
          <w:bCs w:val="0"/>
          <w:i w:val="0"/>
          <w:smallCaps w:val="0"/>
          <w:color w:val="auto"/>
          <w:spacing w:val="0"/>
          <w:sz w:val="22"/>
          <w:szCs w:val="22"/>
        </w:rPr>
        <w:t>s</w:t>
      </w:r>
      <w:r w:rsidRPr="003D6C23">
        <w:rPr>
          <w:rStyle w:val="IntenseReference"/>
          <w:rFonts w:asciiTheme="minorHAnsi" w:hAnsiTheme="minorHAnsi" w:cs="Arial"/>
          <w:b w:val="0"/>
          <w:bCs w:val="0"/>
          <w:i w:val="0"/>
          <w:smallCaps w:val="0"/>
          <w:color w:val="auto"/>
          <w:spacing w:val="0"/>
          <w:sz w:val="22"/>
          <w:szCs w:val="22"/>
        </w:rPr>
        <w:t>s</w:t>
      </w:r>
      <w:r w:rsidR="00DD40F4" w:rsidRPr="003D6C23">
        <w:rPr>
          <w:rStyle w:val="IntenseReference"/>
          <w:rFonts w:asciiTheme="minorHAnsi" w:hAnsiTheme="minorHAnsi" w:cs="Arial"/>
          <w:b w:val="0"/>
          <w:bCs w:val="0"/>
          <w:i w:val="0"/>
          <w:smallCaps w:val="0"/>
          <w:color w:val="auto"/>
          <w:spacing w:val="0"/>
          <w:sz w:val="22"/>
          <w:szCs w:val="22"/>
        </w:rPr>
        <w:t>es</w:t>
      </w:r>
      <w:r w:rsidRPr="003D6C23">
        <w:rPr>
          <w:rStyle w:val="IntenseReference"/>
          <w:rFonts w:asciiTheme="minorHAnsi" w:hAnsiTheme="minorHAnsi" w:cs="Arial"/>
          <w:b w:val="0"/>
          <w:bCs w:val="0"/>
          <w:i w:val="0"/>
          <w:smallCaps w:val="0"/>
          <w:color w:val="auto"/>
          <w:spacing w:val="0"/>
          <w:sz w:val="22"/>
          <w:szCs w:val="22"/>
        </w:rPr>
        <w:t xml:space="preserve"> their PCEHR by asserting an emergency exists</w:t>
      </w:r>
      <w:r w:rsidR="00DD40F4" w:rsidRPr="003D6C23">
        <w:rPr>
          <w:rStyle w:val="IntenseReference"/>
          <w:rFonts w:asciiTheme="minorHAnsi" w:hAnsiTheme="minorHAnsi" w:cs="Arial"/>
          <w:b w:val="0"/>
          <w:bCs w:val="0"/>
          <w:i w:val="0"/>
          <w:smallCaps w:val="0"/>
          <w:color w:val="auto"/>
          <w:spacing w:val="0"/>
          <w:sz w:val="22"/>
          <w:szCs w:val="22"/>
        </w:rPr>
        <w:t xml:space="preserve"> or when their nominated healthcare provider uploads a new shared health summary.</w:t>
      </w:r>
    </w:p>
    <w:p w:rsidR="0079177A" w:rsidRPr="003D6C23" w:rsidRDefault="0079177A" w:rsidP="002A1077">
      <w:pPr>
        <w:pStyle w:val="ListParagraph"/>
        <w:spacing w:after="120"/>
        <w:ind w:left="737"/>
        <w:contextualSpacing w:val="0"/>
        <w:rPr>
          <w:rStyle w:val="IntenseReference"/>
          <w:rFonts w:asciiTheme="minorHAnsi" w:hAnsiTheme="minorHAnsi" w:cs="Arial"/>
          <w:b w:val="0"/>
          <w:bCs w:val="0"/>
          <w:i w:val="0"/>
          <w:smallCaps w:val="0"/>
          <w:color w:val="auto"/>
          <w:spacing w:val="0"/>
          <w:sz w:val="22"/>
          <w:szCs w:val="22"/>
        </w:rPr>
      </w:pPr>
      <w:r w:rsidRPr="003D6C23">
        <w:rPr>
          <w:rStyle w:val="IntenseReference"/>
          <w:rFonts w:asciiTheme="minorHAnsi" w:hAnsiTheme="minorHAnsi" w:cs="Arial"/>
          <w:b w:val="0"/>
          <w:bCs w:val="0"/>
          <w:i w:val="0"/>
          <w:smallCaps w:val="0"/>
          <w:color w:val="auto"/>
          <w:spacing w:val="0"/>
          <w:sz w:val="22"/>
          <w:szCs w:val="22"/>
        </w:rPr>
        <w:t xml:space="preserve">The PCEHR Review recommended that a new </w:t>
      </w:r>
      <w:r w:rsidR="00DD40F4" w:rsidRPr="003D6C23">
        <w:rPr>
          <w:rStyle w:val="IntenseReference"/>
          <w:rFonts w:asciiTheme="minorHAnsi" w:hAnsiTheme="minorHAnsi" w:cs="Arial"/>
          <w:b w:val="0"/>
          <w:bCs w:val="0"/>
          <w:i w:val="0"/>
          <w:smallCaps w:val="0"/>
          <w:color w:val="auto"/>
          <w:spacing w:val="0"/>
          <w:sz w:val="22"/>
          <w:szCs w:val="22"/>
        </w:rPr>
        <w:t>notification be provided that would allow a</w:t>
      </w:r>
      <w:r w:rsidR="00716DBB">
        <w:rPr>
          <w:rStyle w:val="IntenseReference"/>
          <w:rFonts w:asciiTheme="minorHAnsi" w:hAnsiTheme="minorHAnsi" w:cs="Arial"/>
          <w:b w:val="0"/>
          <w:bCs w:val="0"/>
          <w:i w:val="0"/>
          <w:smallCaps w:val="0"/>
          <w:color w:val="auto"/>
          <w:spacing w:val="0"/>
          <w:sz w:val="22"/>
          <w:szCs w:val="22"/>
        </w:rPr>
        <w:t>n</w:t>
      </w:r>
      <w:r w:rsidR="00DD40F4" w:rsidRPr="003D6C23">
        <w:rPr>
          <w:rStyle w:val="IntenseReference"/>
          <w:rFonts w:asciiTheme="minorHAnsi" w:hAnsiTheme="minorHAnsi" w:cs="Arial"/>
          <w:b w:val="0"/>
          <w:bCs w:val="0"/>
          <w:i w:val="0"/>
          <w:smallCaps w:val="0"/>
          <w:color w:val="auto"/>
          <w:spacing w:val="0"/>
          <w:sz w:val="22"/>
          <w:szCs w:val="22"/>
        </w:rPr>
        <w:t xml:space="preserve"> </w:t>
      </w:r>
      <w:r w:rsidR="00716DBB">
        <w:rPr>
          <w:rFonts w:asciiTheme="minorHAnsi" w:hAnsiTheme="minorHAnsi"/>
          <w:sz w:val="22"/>
          <w:szCs w:val="22"/>
        </w:rPr>
        <w:t xml:space="preserve">individual </w:t>
      </w:r>
      <w:r w:rsidR="00DD40F4" w:rsidRPr="003D6C23">
        <w:rPr>
          <w:rStyle w:val="IntenseReference"/>
          <w:rFonts w:asciiTheme="minorHAnsi" w:hAnsiTheme="minorHAnsi" w:cs="Arial"/>
          <w:b w:val="0"/>
          <w:bCs w:val="0"/>
          <w:i w:val="0"/>
          <w:smallCaps w:val="0"/>
          <w:color w:val="auto"/>
          <w:spacing w:val="0"/>
          <w:sz w:val="22"/>
          <w:szCs w:val="22"/>
        </w:rPr>
        <w:t>to be notified when their PCEHR is opened or used.</w:t>
      </w:r>
      <w:r w:rsidR="00DD40F4" w:rsidRPr="003D6C23">
        <w:rPr>
          <w:rStyle w:val="FootnoteReference"/>
          <w:rFonts w:asciiTheme="minorHAnsi" w:hAnsiTheme="minorHAnsi" w:cs="Arial"/>
          <w:sz w:val="22"/>
          <w:szCs w:val="22"/>
        </w:rPr>
        <w:footnoteReference w:id="20"/>
      </w:r>
    </w:p>
    <w:p w:rsidR="00BC0F80" w:rsidRDefault="00DD40F4" w:rsidP="002A1077">
      <w:pPr>
        <w:pStyle w:val="ListParagraph"/>
        <w:spacing w:after="120"/>
        <w:ind w:left="737"/>
        <w:contextualSpacing w:val="0"/>
        <w:rPr>
          <w:rStyle w:val="IntenseReference"/>
          <w:rFonts w:asciiTheme="minorHAnsi" w:hAnsiTheme="minorHAnsi" w:cs="Arial"/>
          <w:b w:val="0"/>
          <w:bCs w:val="0"/>
          <w:i w:val="0"/>
          <w:smallCaps w:val="0"/>
          <w:color w:val="auto"/>
          <w:spacing w:val="0"/>
          <w:sz w:val="22"/>
          <w:szCs w:val="22"/>
        </w:rPr>
      </w:pPr>
      <w:r w:rsidRPr="006902EA">
        <w:rPr>
          <w:rStyle w:val="IntenseReference"/>
          <w:rFonts w:asciiTheme="minorHAnsi" w:hAnsiTheme="minorHAnsi" w:cs="Arial"/>
          <w:b w:val="0"/>
          <w:bCs w:val="0"/>
          <w:i w:val="0"/>
          <w:smallCaps w:val="0"/>
          <w:color w:val="auto"/>
          <w:spacing w:val="0"/>
          <w:sz w:val="22"/>
          <w:szCs w:val="22"/>
        </w:rPr>
        <w:t>It is proposed to amend the</w:t>
      </w:r>
      <w:r w:rsidR="00BC0F80" w:rsidRPr="006902EA">
        <w:rPr>
          <w:rStyle w:val="IntenseReference"/>
          <w:rFonts w:asciiTheme="minorHAnsi" w:hAnsiTheme="minorHAnsi" w:cs="Arial"/>
          <w:b w:val="0"/>
          <w:bCs w:val="0"/>
          <w:i w:val="0"/>
          <w:smallCaps w:val="0"/>
          <w:color w:val="auto"/>
          <w:spacing w:val="0"/>
          <w:sz w:val="22"/>
          <w:szCs w:val="22"/>
        </w:rPr>
        <w:t xml:space="preserve"> legislation to require the System Operator to add an optional access control that alerts </w:t>
      </w:r>
      <w:r w:rsidR="00716DBB">
        <w:rPr>
          <w:rFonts w:asciiTheme="minorHAnsi" w:hAnsiTheme="minorHAnsi"/>
          <w:sz w:val="22"/>
          <w:szCs w:val="22"/>
        </w:rPr>
        <w:t xml:space="preserve">individuals </w:t>
      </w:r>
      <w:r w:rsidR="00BC0F80" w:rsidRPr="006902EA">
        <w:rPr>
          <w:rStyle w:val="IntenseReference"/>
          <w:rFonts w:asciiTheme="minorHAnsi" w:hAnsiTheme="minorHAnsi" w:cs="Arial"/>
          <w:b w:val="0"/>
          <w:bCs w:val="0"/>
          <w:i w:val="0"/>
          <w:smallCaps w:val="0"/>
          <w:color w:val="auto"/>
          <w:spacing w:val="0"/>
          <w:sz w:val="22"/>
          <w:szCs w:val="22"/>
        </w:rPr>
        <w:t xml:space="preserve">by </w:t>
      </w:r>
      <w:proofErr w:type="spellStart"/>
      <w:r w:rsidR="00BC0F80" w:rsidRPr="006902EA">
        <w:rPr>
          <w:rStyle w:val="IntenseReference"/>
          <w:rFonts w:asciiTheme="minorHAnsi" w:hAnsiTheme="minorHAnsi" w:cs="Arial"/>
          <w:b w:val="0"/>
          <w:bCs w:val="0"/>
          <w:i w:val="0"/>
          <w:smallCaps w:val="0"/>
          <w:color w:val="auto"/>
          <w:spacing w:val="0"/>
          <w:sz w:val="22"/>
          <w:szCs w:val="22"/>
        </w:rPr>
        <w:t>SMS</w:t>
      </w:r>
      <w:proofErr w:type="spellEnd"/>
      <w:r w:rsidRPr="006902EA">
        <w:rPr>
          <w:rStyle w:val="IntenseReference"/>
          <w:rFonts w:asciiTheme="minorHAnsi" w:hAnsiTheme="minorHAnsi" w:cs="Arial"/>
          <w:b w:val="0"/>
          <w:bCs w:val="0"/>
          <w:i w:val="0"/>
          <w:smallCaps w:val="0"/>
          <w:color w:val="auto"/>
          <w:spacing w:val="0"/>
          <w:sz w:val="22"/>
          <w:szCs w:val="22"/>
        </w:rPr>
        <w:t xml:space="preserve"> or</w:t>
      </w:r>
      <w:r w:rsidR="00BC0F80" w:rsidRPr="006902EA">
        <w:rPr>
          <w:rStyle w:val="IntenseReference"/>
          <w:rFonts w:asciiTheme="minorHAnsi" w:hAnsiTheme="minorHAnsi" w:cs="Arial"/>
          <w:b w:val="0"/>
          <w:bCs w:val="0"/>
          <w:i w:val="0"/>
          <w:smallCaps w:val="0"/>
          <w:color w:val="auto"/>
          <w:spacing w:val="0"/>
          <w:sz w:val="22"/>
          <w:szCs w:val="22"/>
        </w:rPr>
        <w:t xml:space="preserve"> email each time their PCEHR is opened.  This access control </w:t>
      </w:r>
      <w:r w:rsidR="00D85CC8">
        <w:rPr>
          <w:rStyle w:val="IntenseReference"/>
          <w:rFonts w:asciiTheme="minorHAnsi" w:hAnsiTheme="minorHAnsi" w:cs="Arial"/>
          <w:b w:val="0"/>
          <w:bCs w:val="0"/>
          <w:i w:val="0"/>
          <w:smallCaps w:val="0"/>
          <w:color w:val="auto"/>
          <w:spacing w:val="0"/>
          <w:sz w:val="22"/>
          <w:szCs w:val="22"/>
        </w:rPr>
        <w:t>would</w:t>
      </w:r>
      <w:r w:rsidR="00BC0F80" w:rsidRPr="006902EA">
        <w:rPr>
          <w:rStyle w:val="IntenseReference"/>
          <w:rFonts w:asciiTheme="minorHAnsi" w:hAnsiTheme="minorHAnsi" w:cs="Arial"/>
          <w:b w:val="0"/>
          <w:bCs w:val="0"/>
          <w:i w:val="0"/>
          <w:smallCaps w:val="0"/>
          <w:color w:val="auto"/>
          <w:spacing w:val="0"/>
          <w:sz w:val="22"/>
          <w:szCs w:val="22"/>
        </w:rPr>
        <w:t xml:space="preserve"> only be available to </w:t>
      </w:r>
      <w:r w:rsidR="00716DBB">
        <w:rPr>
          <w:rFonts w:asciiTheme="minorHAnsi" w:hAnsiTheme="minorHAnsi"/>
          <w:sz w:val="22"/>
          <w:szCs w:val="22"/>
        </w:rPr>
        <w:t xml:space="preserve">individuals </w:t>
      </w:r>
      <w:r w:rsidR="00BC0F80" w:rsidRPr="006902EA">
        <w:rPr>
          <w:rStyle w:val="IntenseReference"/>
          <w:rFonts w:asciiTheme="minorHAnsi" w:hAnsiTheme="minorHAnsi" w:cs="Arial"/>
          <w:b w:val="0"/>
          <w:bCs w:val="0"/>
          <w:i w:val="0"/>
          <w:smallCaps w:val="0"/>
          <w:color w:val="auto"/>
          <w:spacing w:val="0"/>
          <w:sz w:val="22"/>
          <w:szCs w:val="22"/>
        </w:rPr>
        <w:t>who wish to receive the alert and who have given their mobile number</w:t>
      </w:r>
      <w:r w:rsidR="000D1F6D" w:rsidRPr="006902EA">
        <w:rPr>
          <w:rStyle w:val="IntenseReference"/>
          <w:rFonts w:asciiTheme="minorHAnsi" w:hAnsiTheme="minorHAnsi" w:cs="Arial"/>
          <w:b w:val="0"/>
          <w:bCs w:val="0"/>
          <w:i w:val="0"/>
          <w:smallCaps w:val="0"/>
          <w:color w:val="auto"/>
          <w:spacing w:val="0"/>
          <w:sz w:val="22"/>
          <w:szCs w:val="22"/>
        </w:rPr>
        <w:t xml:space="preserve"> or</w:t>
      </w:r>
      <w:r w:rsidR="00BC0F80" w:rsidRPr="006902EA">
        <w:rPr>
          <w:rStyle w:val="IntenseReference"/>
          <w:rFonts w:asciiTheme="minorHAnsi" w:hAnsiTheme="minorHAnsi" w:cs="Arial"/>
          <w:b w:val="0"/>
          <w:bCs w:val="0"/>
          <w:i w:val="0"/>
          <w:smallCaps w:val="0"/>
          <w:color w:val="auto"/>
          <w:spacing w:val="0"/>
          <w:sz w:val="22"/>
          <w:szCs w:val="22"/>
        </w:rPr>
        <w:t xml:space="preserve"> email address to the System Operator.  The legislation </w:t>
      </w:r>
      <w:r w:rsidR="00D85CC8">
        <w:rPr>
          <w:rStyle w:val="IntenseReference"/>
          <w:rFonts w:asciiTheme="minorHAnsi" w:hAnsiTheme="minorHAnsi" w:cs="Arial"/>
          <w:b w:val="0"/>
          <w:bCs w:val="0"/>
          <w:i w:val="0"/>
          <w:smallCaps w:val="0"/>
          <w:color w:val="auto"/>
          <w:spacing w:val="0"/>
          <w:sz w:val="22"/>
          <w:szCs w:val="22"/>
        </w:rPr>
        <w:t>would</w:t>
      </w:r>
      <w:r w:rsidR="00BC0F80" w:rsidRPr="006902EA">
        <w:rPr>
          <w:rStyle w:val="IntenseReference"/>
          <w:rFonts w:asciiTheme="minorHAnsi" w:hAnsiTheme="minorHAnsi" w:cs="Arial"/>
          <w:b w:val="0"/>
          <w:bCs w:val="0"/>
          <w:i w:val="0"/>
          <w:smallCaps w:val="0"/>
          <w:color w:val="auto"/>
          <w:spacing w:val="0"/>
          <w:sz w:val="22"/>
          <w:szCs w:val="22"/>
        </w:rPr>
        <w:t xml:space="preserve"> be amended to allow this information to be collected, used and disclosed as necessary to give effect to this access control</w:t>
      </w:r>
      <w:r w:rsidRPr="006902EA">
        <w:rPr>
          <w:rStyle w:val="IntenseReference"/>
          <w:rFonts w:asciiTheme="minorHAnsi" w:hAnsiTheme="minorHAnsi" w:cs="Arial"/>
          <w:b w:val="0"/>
          <w:bCs w:val="0"/>
          <w:i w:val="0"/>
          <w:smallCaps w:val="0"/>
          <w:color w:val="auto"/>
          <w:spacing w:val="0"/>
          <w:sz w:val="22"/>
          <w:szCs w:val="22"/>
        </w:rPr>
        <w:t>.</w:t>
      </w:r>
    </w:p>
    <w:p w:rsidR="006E0564" w:rsidRDefault="006E0564">
      <w:pPr>
        <w:rPr>
          <w:rFonts w:asciiTheme="minorHAnsi" w:hAnsiTheme="minorHAnsi"/>
          <w:b/>
          <w:szCs w:val="28"/>
          <w:lang w:eastAsia="en-US"/>
        </w:rPr>
      </w:pPr>
      <w:bookmarkStart w:id="109" w:name="_Toc418763122"/>
      <w:r>
        <w:br w:type="page"/>
      </w:r>
    </w:p>
    <w:p w:rsidR="006902EA" w:rsidRDefault="006902EA" w:rsidP="00AC1598">
      <w:pPr>
        <w:pStyle w:val="Heading3"/>
        <w:numPr>
          <w:ilvl w:val="0"/>
          <w:numId w:val="0"/>
        </w:numPr>
        <w:ind w:left="720" w:hanging="720"/>
      </w:pPr>
      <w:bookmarkStart w:id="110" w:name="_Toc420394276"/>
      <w:r>
        <w:lastRenderedPageBreak/>
        <w:t>3.5.2</w:t>
      </w:r>
      <w:r>
        <w:tab/>
      </w:r>
      <w:r w:rsidRPr="003D6C23">
        <w:t>Temporary suspension of access to a PCEHR</w:t>
      </w:r>
      <w:bookmarkEnd w:id="109"/>
      <w:bookmarkEnd w:id="110"/>
    </w:p>
    <w:p w:rsidR="00AC1598" w:rsidRDefault="00AC1598" w:rsidP="00AC1598">
      <w:pPr>
        <w:spacing w:after="120"/>
        <w:rPr>
          <w:rFonts w:asciiTheme="minorHAnsi" w:hAnsiTheme="minorHAnsi"/>
          <w:sz w:val="22"/>
          <w:lang w:eastAsia="en-US"/>
        </w:rPr>
      </w:pPr>
      <w:r>
        <w:rPr>
          <w:lang w:eastAsia="en-US"/>
        </w:rPr>
        <w:tab/>
      </w:r>
      <w:r w:rsidRPr="00AC1598">
        <w:rPr>
          <w:rFonts w:asciiTheme="minorHAnsi" w:hAnsiTheme="minorHAnsi"/>
          <w:sz w:val="22"/>
          <w:lang w:eastAsia="en-US"/>
        </w:rPr>
        <w:t>While there are provisions allowing the System Operator</w:t>
      </w:r>
      <w:r>
        <w:rPr>
          <w:rFonts w:asciiTheme="minorHAnsi" w:hAnsiTheme="minorHAnsi"/>
          <w:sz w:val="22"/>
          <w:lang w:eastAsia="en-US"/>
        </w:rPr>
        <w:t xml:space="preserve"> to suspend access to a PCEHR in specified </w:t>
      </w:r>
      <w:r>
        <w:rPr>
          <w:rFonts w:asciiTheme="minorHAnsi" w:hAnsiTheme="minorHAnsi"/>
          <w:sz w:val="22"/>
          <w:lang w:eastAsia="en-US"/>
        </w:rPr>
        <w:tab/>
        <w:t>circumstances, the legislation does not currently allow this to occur immediately if:</w:t>
      </w:r>
    </w:p>
    <w:p w:rsidR="006902EA" w:rsidRPr="003D6C23" w:rsidRDefault="006902EA" w:rsidP="00AC1598">
      <w:pPr>
        <w:pStyle w:val="ListParagraph"/>
        <w:numPr>
          <w:ilvl w:val="0"/>
          <w:numId w:val="11"/>
        </w:numPr>
        <w:spacing w:after="120"/>
        <w:ind w:left="1451" w:hanging="357"/>
        <w:contextualSpacing w:val="0"/>
        <w:rPr>
          <w:rStyle w:val="IntenseReference"/>
          <w:rFonts w:asciiTheme="minorHAnsi" w:hAnsiTheme="minorHAnsi" w:cs="Arial"/>
          <w:b w:val="0"/>
          <w:bCs w:val="0"/>
          <w:i w:val="0"/>
          <w:smallCaps w:val="0"/>
          <w:color w:val="auto"/>
          <w:spacing w:val="0"/>
          <w:sz w:val="22"/>
          <w:szCs w:val="22"/>
        </w:rPr>
      </w:pPr>
      <w:proofErr w:type="gramStart"/>
      <w:r w:rsidRPr="003D6C23">
        <w:rPr>
          <w:rStyle w:val="IntenseReference"/>
          <w:rFonts w:asciiTheme="minorHAnsi" w:hAnsiTheme="minorHAnsi" w:cs="Arial"/>
          <w:b w:val="0"/>
          <w:bCs w:val="0"/>
          <w:i w:val="0"/>
          <w:smallCaps w:val="0"/>
          <w:color w:val="auto"/>
          <w:spacing w:val="0"/>
          <w:sz w:val="22"/>
          <w:szCs w:val="22"/>
        </w:rPr>
        <w:t>a</w:t>
      </w:r>
      <w:proofErr w:type="gramEnd"/>
      <w:r w:rsidRPr="003D6C23">
        <w:rPr>
          <w:rStyle w:val="IntenseReference"/>
          <w:rFonts w:asciiTheme="minorHAnsi" w:hAnsiTheme="minorHAnsi" w:cs="Arial"/>
          <w:b w:val="0"/>
          <w:bCs w:val="0"/>
          <w:i w:val="0"/>
          <w:smallCaps w:val="0"/>
          <w:color w:val="auto"/>
          <w:spacing w:val="0"/>
          <w:sz w:val="22"/>
          <w:szCs w:val="22"/>
        </w:rPr>
        <w:t xml:space="preserve"> threat to the security of the record or the PCEHR system or the System Operator is concerned that such a risk may exist.  This risk could occur, for example, where the System Operator becomes aware that a person </w:t>
      </w:r>
      <w:r>
        <w:rPr>
          <w:rStyle w:val="IntenseReference"/>
          <w:rFonts w:asciiTheme="minorHAnsi" w:hAnsiTheme="minorHAnsi" w:cs="Arial"/>
          <w:b w:val="0"/>
          <w:bCs w:val="0"/>
          <w:i w:val="0"/>
          <w:smallCaps w:val="0"/>
          <w:color w:val="auto"/>
          <w:spacing w:val="0"/>
          <w:sz w:val="22"/>
          <w:szCs w:val="22"/>
        </w:rPr>
        <w:t xml:space="preserve">(not the </w:t>
      </w:r>
      <w:r w:rsidR="00716DBB">
        <w:rPr>
          <w:rFonts w:asciiTheme="minorHAnsi" w:hAnsiTheme="minorHAnsi"/>
          <w:sz w:val="22"/>
          <w:szCs w:val="22"/>
        </w:rPr>
        <w:t>individual</w:t>
      </w:r>
      <w:r>
        <w:rPr>
          <w:rStyle w:val="IntenseReference"/>
          <w:rFonts w:asciiTheme="minorHAnsi" w:hAnsiTheme="minorHAnsi" w:cs="Arial"/>
          <w:b w:val="0"/>
          <w:bCs w:val="0"/>
          <w:i w:val="0"/>
          <w:smallCaps w:val="0"/>
          <w:color w:val="auto"/>
          <w:spacing w:val="0"/>
          <w:sz w:val="22"/>
          <w:szCs w:val="22"/>
        </w:rPr>
        <w:t xml:space="preserve">) </w:t>
      </w:r>
      <w:r w:rsidRPr="003D6C23">
        <w:rPr>
          <w:rStyle w:val="IntenseReference"/>
          <w:rFonts w:asciiTheme="minorHAnsi" w:hAnsiTheme="minorHAnsi" w:cs="Arial"/>
          <w:b w:val="0"/>
          <w:bCs w:val="0"/>
          <w:i w:val="0"/>
          <w:smallCaps w:val="0"/>
          <w:color w:val="auto"/>
          <w:spacing w:val="0"/>
          <w:sz w:val="22"/>
          <w:szCs w:val="22"/>
        </w:rPr>
        <w:t>is trying to cancel the registration of a</w:t>
      </w:r>
      <w:r w:rsidR="00716DBB">
        <w:rPr>
          <w:rStyle w:val="IntenseReference"/>
          <w:rFonts w:asciiTheme="minorHAnsi" w:hAnsiTheme="minorHAnsi" w:cs="Arial"/>
          <w:b w:val="0"/>
          <w:bCs w:val="0"/>
          <w:i w:val="0"/>
          <w:smallCaps w:val="0"/>
          <w:color w:val="auto"/>
          <w:spacing w:val="0"/>
          <w:sz w:val="22"/>
          <w:szCs w:val="22"/>
        </w:rPr>
        <w:t>n</w:t>
      </w:r>
      <w:r w:rsidRPr="003D6C23">
        <w:rPr>
          <w:rStyle w:val="IntenseReference"/>
          <w:rFonts w:asciiTheme="minorHAnsi" w:hAnsiTheme="minorHAnsi" w:cs="Arial"/>
          <w:b w:val="0"/>
          <w:bCs w:val="0"/>
          <w:i w:val="0"/>
          <w:smallCaps w:val="0"/>
          <w:color w:val="auto"/>
          <w:spacing w:val="0"/>
          <w:sz w:val="22"/>
          <w:szCs w:val="22"/>
        </w:rPr>
        <w:t xml:space="preserve"> </w:t>
      </w:r>
      <w:r w:rsidR="00716DBB">
        <w:rPr>
          <w:rFonts w:asciiTheme="minorHAnsi" w:hAnsiTheme="minorHAnsi"/>
          <w:sz w:val="22"/>
          <w:szCs w:val="22"/>
        </w:rPr>
        <w:t xml:space="preserve">individual’s </w:t>
      </w:r>
      <w:r w:rsidRPr="003D6C23">
        <w:rPr>
          <w:rStyle w:val="IntenseReference"/>
          <w:rFonts w:asciiTheme="minorHAnsi" w:hAnsiTheme="minorHAnsi" w:cs="Arial"/>
          <w:b w:val="0"/>
          <w:bCs w:val="0"/>
          <w:i w:val="0"/>
          <w:smallCaps w:val="0"/>
          <w:color w:val="auto"/>
          <w:spacing w:val="0"/>
          <w:sz w:val="22"/>
          <w:szCs w:val="22"/>
        </w:rPr>
        <w:t>registration, or access a</w:t>
      </w:r>
      <w:r w:rsidR="00716DBB">
        <w:rPr>
          <w:rStyle w:val="IntenseReference"/>
          <w:rFonts w:asciiTheme="minorHAnsi" w:hAnsiTheme="minorHAnsi" w:cs="Arial"/>
          <w:b w:val="0"/>
          <w:bCs w:val="0"/>
          <w:i w:val="0"/>
          <w:smallCaps w:val="0"/>
          <w:color w:val="auto"/>
          <w:spacing w:val="0"/>
          <w:sz w:val="22"/>
          <w:szCs w:val="22"/>
        </w:rPr>
        <w:t>n</w:t>
      </w:r>
      <w:r w:rsidRPr="003D6C23">
        <w:rPr>
          <w:rStyle w:val="IntenseReference"/>
          <w:rFonts w:asciiTheme="minorHAnsi" w:hAnsiTheme="minorHAnsi" w:cs="Arial"/>
          <w:b w:val="0"/>
          <w:bCs w:val="0"/>
          <w:i w:val="0"/>
          <w:smallCaps w:val="0"/>
          <w:color w:val="auto"/>
          <w:spacing w:val="0"/>
          <w:sz w:val="22"/>
          <w:szCs w:val="22"/>
        </w:rPr>
        <w:t xml:space="preserve"> </w:t>
      </w:r>
      <w:r w:rsidR="00716DBB">
        <w:rPr>
          <w:rFonts w:asciiTheme="minorHAnsi" w:hAnsiTheme="minorHAnsi"/>
          <w:sz w:val="22"/>
          <w:szCs w:val="22"/>
        </w:rPr>
        <w:t xml:space="preserve">individual’s </w:t>
      </w:r>
      <w:r w:rsidRPr="003D6C23">
        <w:rPr>
          <w:rStyle w:val="IntenseReference"/>
          <w:rFonts w:asciiTheme="minorHAnsi" w:hAnsiTheme="minorHAnsi" w:cs="Arial"/>
          <w:b w:val="0"/>
          <w:bCs w:val="0"/>
          <w:i w:val="0"/>
          <w:smallCaps w:val="0"/>
          <w:color w:val="auto"/>
          <w:spacing w:val="0"/>
          <w:sz w:val="22"/>
          <w:szCs w:val="22"/>
        </w:rPr>
        <w:t>PCEHR, without authority; or</w:t>
      </w:r>
    </w:p>
    <w:p w:rsidR="006902EA" w:rsidRPr="008972C7" w:rsidRDefault="006902EA" w:rsidP="00A67B4E">
      <w:pPr>
        <w:pStyle w:val="ListParagraph"/>
        <w:numPr>
          <w:ilvl w:val="0"/>
          <w:numId w:val="11"/>
        </w:numPr>
        <w:spacing w:after="120"/>
        <w:contextualSpacing w:val="0"/>
        <w:rPr>
          <w:rStyle w:val="IntenseReference"/>
          <w:rFonts w:asciiTheme="minorHAnsi" w:hAnsiTheme="minorHAnsi" w:cs="Arial"/>
          <w:b w:val="0"/>
          <w:bCs w:val="0"/>
          <w:i w:val="0"/>
          <w:smallCaps w:val="0"/>
          <w:color w:val="auto"/>
          <w:spacing w:val="0"/>
          <w:sz w:val="22"/>
          <w:szCs w:val="22"/>
        </w:rPr>
      </w:pPr>
      <w:proofErr w:type="gramStart"/>
      <w:r w:rsidRPr="003D6C23">
        <w:rPr>
          <w:rStyle w:val="IntenseReference"/>
          <w:rFonts w:asciiTheme="minorHAnsi" w:hAnsiTheme="minorHAnsi" w:cs="Arial"/>
          <w:b w:val="0"/>
          <w:bCs w:val="0"/>
          <w:i w:val="0"/>
          <w:smallCaps w:val="0"/>
          <w:color w:val="auto"/>
          <w:spacing w:val="0"/>
          <w:sz w:val="22"/>
          <w:szCs w:val="22"/>
        </w:rPr>
        <w:t>an</w:t>
      </w:r>
      <w:proofErr w:type="gramEnd"/>
      <w:r w:rsidRPr="003D6C23">
        <w:rPr>
          <w:rStyle w:val="IntenseReference"/>
          <w:rFonts w:asciiTheme="minorHAnsi" w:hAnsiTheme="minorHAnsi" w:cs="Arial"/>
          <w:b w:val="0"/>
          <w:bCs w:val="0"/>
          <w:i w:val="0"/>
          <w:smallCaps w:val="0"/>
          <w:color w:val="auto"/>
          <w:spacing w:val="0"/>
          <w:sz w:val="22"/>
          <w:szCs w:val="22"/>
        </w:rPr>
        <w:t xml:space="preserve"> issue or suspected issue with the </w:t>
      </w:r>
      <w:r w:rsidR="00716DBB">
        <w:rPr>
          <w:rFonts w:asciiTheme="minorHAnsi" w:hAnsiTheme="minorHAnsi"/>
          <w:sz w:val="22"/>
          <w:szCs w:val="22"/>
        </w:rPr>
        <w:t xml:space="preserve">individual’s </w:t>
      </w:r>
      <w:r w:rsidRPr="003D6C23">
        <w:rPr>
          <w:rStyle w:val="IntenseReference"/>
          <w:rFonts w:asciiTheme="minorHAnsi" w:hAnsiTheme="minorHAnsi" w:cs="Arial"/>
          <w:b w:val="0"/>
          <w:bCs w:val="0"/>
          <w:i w:val="0"/>
          <w:smallCaps w:val="0"/>
          <w:color w:val="auto"/>
          <w:spacing w:val="0"/>
          <w:sz w:val="22"/>
          <w:szCs w:val="22"/>
        </w:rPr>
        <w:t xml:space="preserve">(or their representatives’) identity or other </w:t>
      </w:r>
      <w:r w:rsidRPr="008972C7">
        <w:rPr>
          <w:rStyle w:val="IntenseReference"/>
          <w:rFonts w:asciiTheme="minorHAnsi" w:hAnsiTheme="minorHAnsi" w:cs="Arial"/>
          <w:b w:val="0"/>
          <w:bCs w:val="0"/>
          <w:i w:val="0"/>
          <w:smallCaps w:val="0"/>
          <w:color w:val="auto"/>
          <w:spacing w:val="0"/>
          <w:sz w:val="22"/>
          <w:szCs w:val="22"/>
        </w:rPr>
        <w:t xml:space="preserve">technical or operational issue.  </w:t>
      </w:r>
    </w:p>
    <w:p w:rsidR="006902EA" w:rsidRDefault="006902EA" w:rsidP="006902EA">
      <w:pPr>
        <w:spacing w:after="120"/>
        <w:ind w:left="737"/>
        <w:rPr>
          <w:rStyle w:val="IntenseReference"/>
          <w:rFonts w:asciiTheme="minorHAnsi" w:hAnsiTheme="minorHAnsi" w:cs="Arial"/>
          <w:b w:val="0"/>
          <w:bCs w:val="0"/>
          <w:i w:val="0"/>
          <w:smallCaps w:val="0"/>
          <w:color w:val="auto"/>
          <w:spacing w:val="0"/>
          <w:sz w:val="22"/>
          <w:szCs w:val="22"/>
        </w:rPr>
      </w:pPr>
      <w:r w:rsidRPr="003D6C23">
        <w:rPr>
          <w:rStyle w:val="IntenseReference"/>
          <w:rFonts w:asciiTheme="minorHAnsi" w:hAnsiTheme="minorHAnsi" w:cs="Arial"/>
          <w:b w:val="0"/>
          <w:bCs w:val="0"/>
          <w:i w:val="0"/>
          <w:smallCaps w:val="0"/>
          <w:color w:val="auto"/>
          <w:spacing w:val="0"/>
          <w:sz w:val="22"/>
          <w:szCs w:val="22"/>
        </w:rPr>
        <w:t xml:space="preserve">It is </w:t>
      </w:r>
      <w:r>
        <w:rPr>
          <w:rStyle w:val="IntenseReference"/>
          <w:rFonts w:asciiTheme="minorHAnsi" w:hAnsiTheme="minorHAnsi" w:cs="Arial"/>
          <w:b w:val="0"/>
          <w:bCs w:val="0"/>
          <w:i w:val="0"/>
          <w:smallCaps w:val="0"/>
          <w:color w:val="auto"/>
          <w:spacing w:val="0"/>
          <w:sz w:val="22"/>
          <w:szCs w:val="22"/>
        </w:rPr>
        <w:t xml:space="preserve">therefore </w:t>
      </w:r>
      <w:r w:rsidRPr="003D6C23">
        <w:rPr>
          <w:rStyle w:val="IntenseReference"/>
          <w:rFonts w:asciiTheme="minorHAnsi" w:hAnsiTheme="minorHAnsi" w:cs="Arial"/>
          <w:b w:val="0"/>
          <w:bCs w:val="0"/>
          <w:i w:val="0"/>
          <w:smallCaps w:val="0"/>
          <w:color w:val="auto"/>
          <w:spacing w:val="0"/>
          <w:sz w:val="22"/>
          <w:szCs w:val="22"/>
        </w:rPr>
        <w:t xml:space="preserve">proposed to allow suspension of access </w:t>
      </w:r>
      <w:r>
        <w:rPr>
          <w:rStyle w:val="IntenseReference"/>
          <w:rFonts w:asciiTheme="minorHAnsi" w:hAnsiTheme="minorHAnsi" w:cs="Arial"/>
          <w:b w:val="0"/>
          <w:bCs w:val="0"/>
          <w:i w:val="0"/>
          <w:smallCaps w:val="0"/>
          <w:color w:val="auto"/>
          <w:spacing w:val="0"/>
          <w:sz w:val="22"/>
          <w:szCs w:val="22"/>
        </w:rPr>
        <w:t xml:space="preserve">to a PCEHR </w:t>
      </w:r>
      <w:r w:rsidRPr="006902EA">
        <w:rPr>
          <w:rStyle w:val="IntenseReference"/>
          <w:rFonts w:asciiTheme="minorHAnsi" w:hAnsiTheme="minorHAnsi" w:cs="Arial"/>
          <w:b w:val="0"/>
          <w:bCs w:val="0"/>
          <w:i w:val="0"/>
          <w:smallCaps w:val="0"/>
          <w:color w:val="auto"/>
          <w:spacing w:val="0"/>
          <w:sz w:val="22"/>
          <w:szCs w:val="22"/>
        </w:rPr>
        <w:t xml:space="preserve">by representatives if there is a risk to the </w:t>
      </w:r>
      <w:r w:rsidR="00716DBB">
        <w:rPr>
          <w:rFonts w:asciiTheme="minorHAnsi" w:hAnsiTheme="minorHAnsi"/>
          <w:sz w:val="22"/>
          <w:szCs w:val="22"/>
        </w:rPr>
        <w:t>individual</w:t>
      </w:r>
      <w:r>
        <w:rPr>
          <w:rStyle w:val="IntenseReference"/>
          <w:rFonts w:asciiTheme="minorHAnsi" w:hAnsiTheme="minorHAnsi" w:cs="Arial"/>
          <w:b w:val="0"/>
          <w:bCs w:val="0"/>
          <w:i w:val="0"/>
          <w:smallCaps w:val="0"/>
          <w:color w:val="auto"/>
          <w:spacing w:val="0"/>
          <w:sz w:val="22"/>
          <w:szCs w:val="22"/>
        </w:rPr>
        <w:t>, a</w:t>
      </w:r>
      <w:r w:rsidRPr="006902EA">
        <w:rPr>
          <w:rStyle w:val="IntenseReference"/>
          <w:rFonts w:asciiTheme="minorHAnsi" w:hAnsiTheme="minorHAnsi" w:cs="Arial"/>
          <w:b w:val="0"/>
          <w:bCs w:val="0"/>
          <w:i w:val="0"/>
          <w:smallCaps w:val="0"/>
          <w:color w:val="auto"/>
          <w:spacing w:val="0"/>
          <w:sz w:val="22"/>
          <w:szCs w:val="22"/>
        </w:rPr>
        <w:t>nd</w:t>
      </w:r>
      <w:r>
        <w:rPr>
          <w:rStyle w:val="IntenseReference"/>
          <w:rFonts w:asciiTheme="minorHAnsi" w:hAnsiTheme="minorHAnsi" w:cs="Arial"/>
          <w:b w:val="0"/>
          <w:bCs w:val="0"/>
          <w:i w:val="0"/>
          <w:smallCaps w:val="0"/>
          <w:color w:val="auto"/>
          <w:spacing w:val="0"/>
          <w:sz w:val="22"/>
          <w:szCs w:val="22"/>
        </w:rPr>
        <w:t xml:space="preserve"> </w:t>
      </w:r>
      <w:r w:rsidRPr="006902EA">
        <w:rPr>
          <w:rStyle w:val="IntenseReference"/>
          <w:rFonts w:asciiTheme="minorHAnsi" w:hAnsiTheme="minorHAnsi" w:cs="Arial"/>
          <w:b w:val="0"/>
          <w:bCs w:val="0"/>
          <w:i w:val="0"/>
          <w:smallCaps w:val="0"/>
          <w:color w:val="auto"/>
          <w:spacing w:val="0"/>
          <w:sz w:val="22"/>
          <w:szCs w:val="22"/>
        </w:rPr>
        <w:t xml:space="preserve">by participants in the PCEHR system </w:t>
      </w:r>
      <w:r w:rsidR="001F6AC9">
        <w:rPr>
          <w:rStyle w:val="IntenseReference"/>
          <w:rFonts w:asciiTheme="minorHAnsi" w:hAnsiTheme="minorHAnsi" w:cs="Arial"/>
          <w:b w:val="0"/>
          <w:bCs w:val="0"/>
          <w:i w:val="0"/>
          <w:smallCaps w:val="0"/>
          <w:color w:val="auto"/>
          <w:spacing w:val="0"/>
          <w:sz w:val="22"/>
          <w:szCs w:val="22"/>
        </w:rPr>
        <w:t>in the circumstances outlined above.</w:t>
      </w:r>
      <w:r>
        <w:rPr>
          <w:rStyle w:val="IntenseReference"/>
          <w:rFonts w:asciiTheme="minorHAnsi" w:hAnsiTheme="minorHAnsi" w:cs="Arial"/>
          <w:b w:val="0"/>
          <w:bCs w:val="0"/>
          <w:i w:val="0"/>
          <w:smallCaps w:val="0"/>
          <w:color w:val="auto"/>
          <w:spacing w:val="0"/>
          <w:sz w:val="22"/>
          <w:szCs w:val="22"/>
        </w:rPr>
        <w:t xml:space="preserve">  This change would not </w:t>
      </w:r>
      <w:r w:rsidRPr="003D6C23">
        <w:rPr>
          <w:rStyle w:val="IntenseReference"/>
          <w:rFonts w:asciiTheme="minorHAnsi" w:hAnsiTheme="minorHAnsi" w:cs="Arial"/>
          <w:b w:val="0"/>
          <w:bCs w:val="0"/>
          <w:i w:val="0"/>
          <w:smallCaps w:val="0"/>
          <w:color w:val="auto"/>
          <w:spacing w:val="0"/>
          <w:sz w:val="22"/>
          <w:szCs w:val="22"/>
        </w:rPr>
        <w:t xml:space="preserve">affect </w:t>
      </w:r>
      <w:r>
        <w:rPr>
          <w:rStyle w:val="IntenseReference"/>
          <w:rFonts w:asciiTheme="minorHAnsi" w:hAnsiTheme="minorHAnsi" w:cs="Arial"/>
          <w:b w:val="0"/>
          <w:bCs w:val="0"/>
          <w:i w:val="0"/>
          <w:smallCaps w:val="0"/>
          <w:color w:val="auto"/>
          <w:spacing w:val="0"/>
          <w:sz w:val="22"/>
          <w:szCs w:val="22"/>
        </w:rPr>
        <w:t xml:space="preserve">the </w:t>
      </w:r>
      <w:r w:rsidRPr="003D6C23">
        <w:rPr>
          <w:rStyle w:val="IntenseReference"/>
          <w:rFonts w:asciiTheme="minorHAnsi" w:hAnsiTheme="minorHAnsi" w:cs="Arial"/>
          <w:b w:val="0"/>
          <w:bCs w:val="0"/>
          <w:i w:val="0"/>
          <w:smallCaps w:val="0"/>
          <w:color w:val="auto"/>
          <w:spacing w:val="0"/>
          <w:sz w:val="22"/>
          <w:szCs w:val="22"/>
        </w:rPr>
        <w:t>registration of a</w:t>
      </w:r>
      <w:r w:rsidR="00716DBB">
        <w:rPr>
          <w:rStyle w:val="IntenseReference"/>
          <w:rFonts w:asciiTheme="minorHAnsi" w:hAnsiTheme="minorHAnsi" w:cs="Arial"/>
          <w:b w:val="0"/>
          <w:bCs w:val="0"/>
          <w:i w:val="0"/>
          <w:smallCaps w:val="0"/>
          <w:color w:val="auto"/>
          <w:spacing w:val="0"/>
          <w:sz w:val="22"/>
          <w:szCs w:val="22"/>
        </w:rPr>
        <w:t>n</w:t>
      </w:r>
      <w:r w:rsidRPr="003D6C23">
        <w:rPr>
          <w:rStyle w:val="IntenseReference"/>
          <w:rFonts w:asciiTheme="minorHAnsi" w:hAnsiTheme="minorHAnsi" w:cs="Arial"/>
          <w:b w:val="0"/>
          <w:bCs w:val="0"/>
          <w:i w:val="0"/>
          <w:smallCaps w:val="0"/>
          <w:color w:val="auto"/>
          <w:spacing w:val="0"/>
          <w:sz w:val="22"/>
          <w:szCs w:val="22"/>
        </w:rPr>
        <w:t xml:space="preserve"> </w:t>
      </w:r>
      <w:r w:rsidR="00716DBB">
        <w:rPr>
          <w:rFonts w:asciiTheme="minorHAnsi" w:hAnsiTheme="minorHAnsi"/>
          <w:sz w:val="22"/>
          <w:szCs w:val="22"/>
        </w:rPr>
        <w:t xml:space="preserve">individual </w:t>
      </w:r>
      <w:r>
        <w:rPr>
          <w:rStyle w:val="IntenseReference"/>
          <w:rFonts w:asciiTheme="minorHAnsi" w:hAnsiTheme="minorHAnsi" w:cs="Arial"/>
          <w:b w:val="0"/>
          <w:bCs w:val="0"/>
          <w:i w:val="0"/>
          <w:smallCaps w:val="0"/>
          <w:color w:val="auto"/>
          <w:spacing w:val="0"/>
          <w:sz w:val="22"/>
          <w:szCs w:val="22"/>
        </w:rPr>
        <w:t>or a</w:t>
      </w:r>
      <w:r w:rsidR="00716DBB">
        <w:rPr>
          <w:rStyle w:val="IntenseReference"/>
          <w:rFonts w:asciiTheme="minorHAnsi" w:hAnsiTheme="minorHAnsi" w:cs="Arial"/>
          <w:b w:val="0"/>
          <w:bCs w:val="0"/>
          <w:i w:val="0"/>
          <w:smallCaps w:val="0"/>
          <w:color w:val="auto"/>
          <w:spacing w:val="0"/>
          <w:sz w:val="22"/>
          <w:szCs w:val="22"/>
        </w:rPr>
        <w:t>n</w:t>
      </w:r>
      <w:r>
        <w:rPr>
          <w:rStyle w:val="IntenseReference"/>
          <w:rFonts w:asciiTheme="minorHAnsi" w:hAnsiTheme="minorHAnsi" w:cs="Arial"/>
          <w:b w:val="0"/>
          <w:bCs w:val="0"/>
          <w:i w:val="0"/>
          <w:smallCaps w:val="0"/>
          <w:color w:val="auto"/>
          <w:spacing w:val="0"/>
          <w:sz w:val="22"/>
          <w:szCs w:val="22"/>
        </w:rPr>
        <w:t xml:space="preserve"> </w:t>
      </w:r>
      <w:r w:rsidR="00716DBB">
        <w:rPr>
          <w:rFonts w:asciiTheme="minorHAnsi" w:hAnsiTheme="minorHAnsi"/>
          <w:sz w:val="22"/>
          <w:szCs w:val="22"/>
        </w:rPr>
        <w:t xml:space="preserve">individual’s </w:t>
      </w:r>
      <w:r>
        <w:rPr>
          <w:rStyle w:val="IntenseReference"/>
          <w:rFonts w:asciiTheme="minorHAnsi" w:hAnsiTheme="minorHAnsi" w:cs="Arial"/>
          <w:b w:val="0"/>
          <w:bCs w:val="0"/>
          <w:i w:val="0"/>
          <w:smallCaps w:val="0"/>
          <w:color w:val="auto"/>
          <w:spacing w:val="0"/>
          <w:sz w:val="22"/>
          <w:szCs w:val="22"/>
        </w:rPr>
        <w:t>access to their PCEHR</w:t>
      </w:r>
      <w:r w:rsidRPr="003D6C23">
        <w:rPr>
          <w:rStyle w:val="IntenseReference"/>
          <w:rFonts w:asciiTheme="minorHAnsi" w:hAnsiTheme="minorHAnsi" w:cs="Arial"/>
          <w:b w:val="0"/>
          <w:bCs w:val="0"/>
          <w:i w:val="0"/>
          <w:smallCaps w:val="0"/>
          <w:color w:val="auto"/>
          <w:spacing w:val="0"/>
          <w:sz w:val="22"/>
          <w:szCs w:val="22"/>
        </w:rPr>
        <w:t>.</w:t>
      </w:r>
    </w:p>
    <w:p w:rsidR="00C87D86" w:rsidRDefault="00CB6A0B" w:rsidP="00CB6A0B">
      <w:pPr>
        <w:pStyle w:val="Heading3"/>
        <w:numPr>
          <w:ilvl w:val="0"/>
          <w:numId w:val="0"/>
        </w:numPr>
        <w:ind w:left="720" w:hanging="720"/>
      </w:pPr>
      <w:bookmarkStart w:id="111" w:name="_Toc418763123"/>
      <w:bookmarkStart w:id="112" w:name="_Toc420394277"/>
      <w:r>
        <w:t>3.5.</w:t>
      </w:r>
      <w:r w:rsidR="006902EA">
        <w:t>3</w:t>
      </w:r>
      <w:r>
        <w:tab/>
      </w:r>
      <w:r w:rsidR="00C87D86">
        <w:t>Collection, use and disclosure of information</w:t>
      </w:r>
      <w:bookmarkEnd w:id="111"/>
      <w:bookmarkEnd w:id="112"/>
    </w:p>
    <w:p w:rsidR="002A62B0" w:rsidRDefault="00C87D86" w:rsidP="00C87D86">
      <w:pPr>
        <w:spacing w:before="120" w:after="120"/>
        <w:ind w:left="737"/>
        <w:rPr>
          <w:rStyle w:val="IntenseReference"/>
          <w:rFonts w:asciiTheme="minorHAnsi" w:hAnsiTheme="minorHAnsi" w:cs="Arial"/>
          <w:b w:val="0"/>
          <w:bCs w:val="0"/>
          <w:i w:val="0"/>
          <w:smallCaps w:val="0"/>
          <w:color w:val="auto"/>
          <w:spacing w:val="0"/>
          <w:sz w:val="22"/>
          <w:szCs w:val="22"/>
        </w:rPr>
      </w:pPr>
      <w:r>
        <w:rPr>
          <w:rStyle w:val="IntenseReference"/>
          <w:rFonts w:asciiTheme="minorHAnsi" w:hAnsiTheme="minorHAnsi" w:cs="Arial"/>
          <w:b w:val="0"/>
          <w:bCs w:val="0"/>
          <w:i w:val="0"/>
          <w:smallCaps w:val="0"/>
          <w:color w:val="auto"/>
          <w:spacing w:val="0"/>
          <w:sz w:val="22"/>
          <w:szCs w:val="22"/>
        </w:rPr>
        <w:t xml:space="preserve">The HI Act and PCEHR Act are currently very prescriptive in specifying </w:t>
      </w:r>
      <w:r w:rsidR="000072F2">
        <w:rPr>
          <w:rStyle w:val="IntenseReference"/>
          <w:rFonts w:asciiTheme="minorHAnsi" w:hAnsiTheme="minorHAnsi" w:cs="Arial"/>
          <w:b w:val="0"/>
          <w:bCs w:val="0"/>
          <w:i w:val="0"/>
          <w:smallCaps w:val="0"/>
          <w:color w:val="auto"/>
          <w:spacing w:val="0"/>
          <w:sz w:val="22"/>
          <w:szCs w:val="22"/>
        </w:rPr>
        <w:t>the</w:t>
      </w:r>
      <w:r>
        <w:rPr>
          <w:rStyle w:val="IntenseReference"/>
          <w:rFonts w:asciiTheme="minorHAnsi" w:hAnsiTheme="minorHAnsi" w:cs="Arial"/>
          <w:b w:val="0"/>
          <w:bCs w:val="0"/>
          <w:i w:val="0"/>
          <w:smallCaps w:val="0"/>
          <w:color w:val="auto"/>
          <w:spacing w:val="0"/>
          <w:sz w:val="22"/>
          <w:szCs w:val="22"/>
        </w:rPr>
        <w:t xml:space="preserve"> particular entities</w:t>
      </w:r>
      <w:r w:rsidR="000072F2">
        <w:rPr>
          <w:rStyle w:val="IntenseReference"/>
          <w:rFonts w:asciiTheme="minorHAnsi" w:hAnsiTheme="minorHAnsi" w:cs="Arial"/>
          <w:b w:val="0"/>
          <w:bCs w:val="0"/>
          <w:i w:val="0"/>
          <w:smallCaps w:val="0"/>
          <w:color w:val="auto"/>
          <w:spacing w:val="0"/>
          <w:sz w:val="22"/>
          <w:szCs w:val="22"/>
        </w:rPr>
        <w:t xml:space="preserve"> th</w:t>
      </w:r>
      <w:r w:rsidR="001F6AC9">
        <w:rPr>
          <w:rStyle w:val="IntenseReference"/>
          <w:rFonts w:asciiTheme="minorHAnsi" w:hAnsiTheme="minorHAnsi" w:cs="Arial"/>
          <w:b w:val="0"/>
          <w:bCs w:val="0"/>
          <w:i w:val="0"/>
          <w:smallCaps w:val="0"/>
          <w:color w:val="auto"/>
          <w:spacing w:val="0"/>
          <w:sz w:val="22"/>
          <w:szCs w:val="22"/>
        </w:rPr>
        <w:t xml:space="preserve">at may </w:t>
      </w:r>
      <w:r>
        <w:rPr>
          <w:rStyle w:val="IntenseReference"/>
          <w:rFonts w:asciiTheme="minorHAnsi" w:hAnsiTheme="minorHAnsi" w:cs="Arial"/>
          <w:b w:val="0"/>
          <w:bCs w:val="0"/>
          <w:i w:val="0"/>
          <w:smallCaps w:val="0"/>
          <w:color w:val="auto"/>
          <w:spacing w:val="0"/>
          <w:sz w:val="22"/>
          <w:szCs w:val="22"/>
        </w:rPr>
        <w:t xml:space="preserve">collect, use or disclose information for </w:t>
      </w:r>
      <w:r w:rsidR="00AC1598">
        <w:rPr>
          <w:rStyle w:val="IntenseReference"/>
          <w:rFonts w:asciiTheme="minorHAnsi" w:hAnsiTheme="minorHAnsi" w:cs="Arial"/>
          <w:b w:val="0"/>
          <w:bCs w:val="0"/>
          <w:i w:val="0"/>
          <w:smallCaps w:val="0"/>
          <w:color w:val="auto"/>
          <w:spacing w:val="0"/>
          <w:sz w:val="22"/>
          <w:szCs w:val="22"/>
        </w:rPr>
        <w:t>and for what</w:t>
      </w:r>
      <w:r>
        <w:rPr>
          <w:rStyle w:val="IntenseReference"/>
          <w:rFonts w:asciiTheme="minorHAnsi" w:hAnsiTheme="minorHAnsi" w:cs="Arial"/>
          <w:b w:val="0"/>
          <w:bCs w:val="0"/>
          <w:i w:val="0"/>
          <w:smallCaps w:val="0"/>
          <w:color w:val="auto"/>
          <w:spacing w:val="0"/>
          <w:sz w:val="22"/>
          <w:szCs w:val="22"/>
        </w:rPr>
        <w:t xml:space="preserve"> purposes.</w:t>
      </w:r>
      <w:r w:rsidR="002A62B0">
        <w:rPr>
          <w:rStyle w:val="IntenseReference"/>
          <w:rFonts w:asciiTheme="minorHAnsi" w:hAnsiTheme="minorHAnsi" w:cs="Arial"/>
          <w:b w:val="0"/>
          <w:bCs w:val="0"/>
          <w:i w:val="0"/>
          <w:smallCaps w:val="0"/>
          <w:color w:val="auto"/>
          <w:spacing w:val="0"/>
          <w:sz w:val="22"/>
          <w:szCs w:val="22"/>
        </w:rPr>
        <w:t xml:space="preserve">  In some cases different steps in</w:t>
      </w:r>
      <w:r w:rsidR="000072F2">
        <w:rPr>
          <w:rStyle w:val="IntenseReference"/>
          <w:rFonts w:asciiTheme="minorHAnsi" w:hAnsiTheme="minorHAnsi" w:cs="Arial"/>
          <w:b w:val="0"/>
          <w:bCs w:val="0"/>
          <w:i w:val="0"/>
          <w:smallCaps w:val="0"/>
          <w:color w:val="auto"/>
          <w:spacing w:val="0"/>
          <w:sz w:val="22"/>
          <w:szCs w:val="22"/>
        </w:rPr>
        <w:t xml:space="preserve"> the HI or PCEHR</w:t>
      </w:r>
      <w:r w:rsidR="002A62B0">
        <w:rPr>
          <w:rStyle w:val="IntenseReference"/>
          <w:rFonts w:asciiTheme="minorHAnsi" w:hAnsiTheme="minorHAnsi" w:cs="Arial"/>
          <w:b w:val="0"/>
          <w:bCs w:val="0"/>
          <w:i w:val="0"/>
          <w:smallCaps w:val="0"/>
          <w:color w:val="auto"/>
          <w:spacing w:val="0"/>
          <w:sz w:val="22"/>
          <w:szCs w:val="22"/>
        </w:rPr>
        <w:t xml:space="preserve"> process are authorised by different provisions in different legislation.</w:t>
      </w:r>
      <w:r>
        <w:rPr>
          <w:rStyle w:val="IntenseReference"/>
          <w:rFonts w:asciiTheme="minorHAnsi" w:hAnsiTheme="minorHAnsi" w:cs="Arial"/>
          <w:b w:val="0"/>
          <w:bCs w:val="0"/>
          <w:i w:val="0"/>
          <w:smallCaps w:val="0"/>
          <w:color w:val="auto"/>
          <w:spacing w:val="0"/>
          <w:sz w:val="22"/>
          <w:szCs w:val="22"/>
        </w:rPr>
        <w:t xml:space="preserve">  </w:t>
      </w:r>
      <w:r w:rsidR="00AC1598">
        <w:rPr>
          <w:rStyle w:val="IntenseReference"/>
          <w:rFonts w:asciiTheme="minorHAnsi" w:hAnsiTheme="minorHAnsi" w:cs="Arial"/>
          <w:b w:val="0"/>
          <w:bCs w:val="0"/>
          <w:i w:val="0"/>
          <w:smallCaps w:val="0"/>
          <w:color w:val="auto"/>
          <w:spacing w:val="0"/>
          <w:sz w:val="22"/>
          <w:szCs w:val="22"/>
        </w:rPr>
        <w:t>Given the degree of complexity in the information flows in the PCEHR system and HI Service, this prescriptive approach has left some entities confused about what they can and can’t do, and has created barriers to the effective operation of the HI Service and PCEHR system.</w:t>
      </w:r>
    </w:p>
    <w:p w:rsidR="00C87D86" w:rsidRDefault="002A62B0" w:rsidP="00C87D86">
      <w:pPr>
        <w:spacing w:before="120" w:after="120"/>
        <w:ind w:left="737"/>
        <w:rPr>
          <w:rStyle w:val="IntenseReference"/>
          <w:rFonts w:asciiTheme="minorHAnsi" w:hAnsiTheme="minorHAnsi" w:cs="Arial"/>
          <w:b w:val="0"/>
          <w:bCs w:val="0"/>
          <w:i w:val="0"/>
          <w:smallCaps w:val="0"/>
          <w:color w:val="auto"/>
          <w:spacing w:val="0"/>
          <w:sz w:val="22"/>
          <w:szCs w:val="22"/>
        </w:rPr>
      </w:pPr>
      <w:r>
        <w:rPr>
          <w:rStyle w:val="IntenseReference"/>
          <w:rFonts w:asciiTheme="minorHAnsi" w:hAnsiTheme="minorHAnsi" w:cs="Arial"/>
          <w:b w:val="0"/>
          <w:bCs w:val="0"/>
          <w:i w:val="0"/>
          <w:smallCaps w:val="0"/>
          <w:color w:val="auto"/>
          <w:spacing w:val="0"/>
          <w:sz w:val="22"/>
          <w:szCs w:val="22"/>
        </w:rPr>
        <w:t>It is proposed to simplify these authorisations by moving from a prescriptive approach, which specifies how an entity carries out an activity, to a principles-based approach, which would list the information that is protected, the entities who are authorised to collect, use and disclose, and the purposes for which information can be collected, used and disclosed.</w:t>
      </w:r>
      <w:r w:rsidR="00AC1598">
        <w:rPr>
          <w:rStyle w:val="IntenseReference"/>
          <w:rFonts w:asciiTheme="minorHAnsi" w:hAnsiTheme="minorHAnsi" w:cs="Arial"/>
          <w:b w:val="0"/>
          <w:bCs w:val="0"/>
          <w:i w:val="0"/>
          <w:smallCaps w:val="0"/>
          <w:color w:val="auto"/>
          <w:spacing w:val="0"/>
          <w:sz w:val="22"/>
          <w:szCs w:val="22"/>
        </w:rPr>
        <w:t xml:space="preserve">  This will not change the nature of the authorisations simply their representation in legislation.</w:t>
      </w:r>
    </w:p>
    <w:p w:rsidR="000072F2" w:rsidRDefault="000072F2" w:rsidP="00C87D86">
      <w:pPr>
        <w:spacing w:before="120" w:after="120"/>
        <w:ind w:left="737"/>
        <w:rPr>
          <w:rStyle w:val="IntenseReference"/>
          <w:rFonts w:asciiTheme="minorHAnsi" w:hAnsiTheme="minorHAnsi" w:cs="Arial"/>
          <w:b w:val="0"/>
          <w:bCs w:val="0"/>
          <w:i w:val="0"/>
          <w:smallCaps w:val="0"/>
          <w:color w:val="auto"/>
          <w:spacing w:val="0"/>
          <w:sz w:val="22"/>
          <w:szCs w:val="22"/>
        </w:rPr>
      </w:pPr>
      <w:r>
        <w:rPr>
          <w:rStyle w:val="IntenseReference"/>
          <w:rFonts w:asciiTheme="minorHAnsi" w:hAnsiTheme="minorHAnsi" w:cs="Arial"/>
          <w:b w:val="0"/>
          <w:bCs w:val="0"/>
          <w:i w:val="0"/>
          <w:smallCaps w:val="0"/>
          <w:color w:val="auto"/>
          <w:spacing w:val="0"/>
          <w:sz w:val="22"/>
          <w:szCs w:val="22"/>
        </w:rPr>
        <w:t>It is also proposed to clarify certain authorisations that have been identified as ambiguous in the PCEHR Review, HI Review and in day-to-day management of the HI Service and PCEHR system, and to provide some new authorisations to improve the effectiveness of the PCEHR system and HI Service.  These other changes are described below.</w:t>
      </w:r>
    </w:p>
    <w:p w:rsidR="000072F2" w:rsidRDefault="000072F2" w:rsidP="00C87D86">
      <w:pPr>
        <w:spacing w:before="120" w:after="120"/>
        <w:ind w:left="737"/>
        <w:rPr>
          <w:rStyle w:val="IntenseReference"/>
          <w:rFonts w:asciiTheme="minorHAnsi" w:hAnsiTheme="minorHAnsi" w:cs="Arial"/>
          <w:b w:val="0"/>
          <w:bCs w:val="0"/>
          <w:i w:val="0"/>
          <w:smallCaps w:val="0"/>
          <w:color w:val="auto"/>
          <w:spacing w:val="0"/>
          <w:sz w:val="22"/>
          <w:szCs w:val="22"/>
        </w:rPr>
      </w:pPr>
      <w:r>
        <w:rPr>
          <w:rStyle w:val="IntenseReference"/>
          <w:rFonts w:asciiTheme="minorHAnsi" w:hAnsiTheme="minorHAnsi" w:cs="Arial"/>
          <w:b w:val="0"/>
          <w:bCs w:val="0"/>
          <w:i w:val="0"/>
          <w:smallCaps w:val="0"/>
          <w:color w:val="auto"/>
          <w:spacing w:val="0"/>
          <w:sz w:val="22"/>
          <w:szCs w:val="22"/>
        </w:rPr>
        <w:t>These changes do not relax the privacy framework for the PCEHR system or HI Service.  They provide clarity to help entities know what they can and cannot do with information</w:t>
      </w:r>
      <w:r w:rsidR="001F6AC9">
        <w:rPr>
          <w:rStyle w:val="IntenseReference"/>
          <w:rFonts w:asciiTheme="minorHAnsi" w:hAnsiTheme="minorHAnsi" w:cs="Arial"/>
          <w:b w:val="0"/>
          <w:bCs w:val="0"/>
          <w:i w:val="0"/>
          <w:smallCaps w:val="0"/>
          <w:color w:val="auto"/>
          <w:spacing w:val="0"/>
          <w:sz w:val="22"/>
          <w:szCs w:val="22"/>
        </w:rPr>
        <w:t xml:space="preserve"> and healthcare identifiers</w:t>
      </w:r>
      <w:r w:rsidR="0071466B">
        <w:rPr>
          <w:rStyle w:val="IntenseReference"/>
          <w:rFonts w:asciiTheme="minorHAnsi" w:hAnsiTheme="minorHAnsi" w:cs="Arial"/>
          <w:b w:val="0"/>
          <w:bCs w:val="0"/>
          <w:i w:val="0"/>
          <w:smallCaps w:val="0"/>
          <w:color w:val="auto"/>
          <w:spacing w:val="0"/>
          <w:sz w:val="22"/>
          <w:szCs w:val="22"/>
        </w:rPr>
        <w:t>,</w:t>
      </w:r>
      <w:r>
        <w:rPr>
          <w:rStyle w:val="IntenseReference"/>
          <w:rFonts w:asciiTheme="minorHAnsi" w:hAnsiTheme="minorHAnsi" w:cs="Arial"/>
          <w:b w:val="0"/>
          <w:bCs w:val="0"/>
          <w:i w:val="0"/>
          <w:smallCaps w:val="0"/>
          <w:color w:val="auto"/>
          <w:spacing w:val="0"/>
          <w:sz w:val="22"/>
          <w:szCs w:val="22"/>
        </w:rPr>
        <w:t xml:space="preserve"> and help the HI Service Operator and PCEHR System Operator to meet their obligations. </w:t>
      </w:r>
    </w:p>
    <w:p w:rsidR="00C87D86" w:rsidRDefault="00C87D86" w:rsidP="00C87D86">
      <w:pPr>
        <w:pStyle w:val="Heading4"/>
      </w:pPr>
      <w:bookmarkStart w:id="113" w:name="_Toc418763124"/>
      <w:bookmarkStart w:id="114" w:name="_Toc420394278"/>
      <w:r>
        <w:t>Third party information</w:t>
      </w:r>
      <w:bookmarkEnd w:id="113"/>
      <w:bookmarkEnd w:id="114"/>
    </w:p>
    <w:p w:rsidR="00410B3B" w:rsidRDefault="00410B3B" w:rsidP="00410B3B">
      <w:pPr>
        <w:spacing w:before="120" w:after="120"/>
        <w:ind w:left="737"/>
        <w:rPr>
          <w:rStyle w:val="IntenseReference"/>
          <w:rFonts w:asciiTheme="minorHAnsi" w:hAnsiTheme="minorHAnsi" w:cs="Arial"/>
          <w:b w:val="0"/>
          <w:bCs w:val="0"/>
          <w:i w:val="0"/>
          <w:smallCaps w:val="0"/>
          <w:color w:val="auto"/>
          <w:spacing w:val="0"/>
          <w:sz w:val="22"/>
          <w:szCs w:val="22"/>
        </w:rPr>
      </w:pPr>
      <w:r>
        <w:rPr>
          <w:rStyle w:val="IntenseReference"/>
          <w:rFonts w:asciiTheme="minorHAnsi" w:hAnsiTheme="minorHAnsi" w:cs="Arial"/>
          <w:b w:val="0"/>
          <w:bCs w:val="0"/>
          <w:i w:val="0"/>
          <w:smallCaps w:val="0"/>
          <w:color w:val="auto"/>
          <w:spacing w:val="0"/>
          <w:sz w:val="22"/>
          <w:szCs w:val="22"/>
        </w:rPr>
        <w:t xml:space="preserve">There is some question about </w:t>
      </w:r>
      <w:r w:rsidRPr="00410B3B">
        <w:rPr>
          <w:rStyle w:val="IntenseReference"/>
          <w:rFonts w:asciiTheme="minorHAnsi" w:hAnsiTheme="minorHAnsi" w:cs="Arial"/>
          <w:b w:val="0"/>
          <w:bCs w:val="0"/>
          <w:i w:val="0"/>
          <w:smallCaps w:val="0"/>
          <w:color w:val="auto"/>
          <w:spacing w:val="0"/>
          <w:sz w:val="22"/>
          <w:szCs w:val="22"/>
        </w:rPr>
        <w:t xml:space="preserve">whether healthcare providers are authorised to include third party personal information in a </w:t>
      </w:r>
      <w:r>
        <w:rPr>
          <w:rStyle w:val="IntenseReference"/>
          <w:rFonts w:asciiTheme="minorHAnsi" w:hAnsiTheme="minorHAnsi" w:cs="Arial"/>
          <w:b w:val="0"/>
          <w:bCs w:val="0"/>
          <w:i w:val="0"/>
          <w:smallCaps w:val="0"/>
          <w:color w:val="auto"/>
          <w:spacing w:val="0"/>
          <w:sz w:val="22"/>
          <w:szCs w:val="22"/>
        </w:rPr>
        <w:t>document</w:t>
      </w:r>
      <w:r w:rsidRPr="00410B3B">
        <w:rPr>
          <w:rStyle w:val="IntenseReference"/>
          <w:rFonts w:asciiTheme="minorHAnsi" w:hAnsiTheme="minorHAnsi" w:cs="Arial"/>
          <w:b w:val="0"/>
          <w:bCs w:val="0"/>
          <w:i w:val="0"/>
          <w:smallCaps w:val="0"/>
          <w:color w:val="auto"/>
          <w:spacing w:val="0"/>
          <w:sz w:val="22"/>
          <w:szCs w:val="22"/>
        </w:rPr>
        <w:t xml:space="preserve"> to be uploaded to the PCEHR system, and whether the System Operator is authorised to collect such records and include them in </w:t>
      </w:r>
      <w:proofErr w:type="spellStart"/>
      <w:r w:rsidRPr="00410B3B">
        <w:rPr>
          <w:rStyle w:val="IntenseReference"/>
          <w:rFonts w:asciiTheme="minorHAnsi" w:hAnsiTheme="minorHAnsi" w:cs="Arial"/>
          <w:b w:val="0"/>
          <w:bCs w:val="0"/>
          <w:i w:val="0"/>
          <w:smallCaps w:val="0"/>
          <w:color w:val="auto"/>
          <w:spacing w:val="0"/>
          <w:sz w:val="22"/>
          <w:szCs w:val="22"/>
        </w:rPr>
        <w:t>PCEHRs</w:t>
      </w:r>
      <w:proofErr w:type="spellEnd"/>
      <w:r w:rsidRPr="00410B3B">
        <w:rPr>
          <w:rStyle w:val="IntenseReference"/>
          <w:rFonts w:asciiTheme="minorHAnsi" w:hAnsiTheme="minorHAnsi" w:cs="Arial"/>
          <w:b w:val="0"/>
          <w:bCs w:val="0"/>
          <w:i w:val="0"/>
          <w:smallCaps w:val="0"/>
          <w:color w:val="auto"/>
          <w:spacing w:val="0"/>
          <w:sz w:val="22"/>
          <w:szCs w:val="22"/>
        </w:rPr>
        <w:t xml:space="preserve">.  </w:t>
      </w:r>
    </w:p>
    <w:p w:rsidR="00410B3B" w:rsidRDefault="00410B3B" w:rsidP="00410B3B">
      <w:pPr>
        <w:spacing w:before="120" w:after="120"/>
        <w:ind w:left="737"/>
        <w:rPr>
          <w:rStyle w:val="IntenseReference"/>
          <w:rFonts w:asciiTheme="minorHAnsi" w:hAnsiTheme="minorHAnsi" w:cs="Arial"/>
          <w:b w:val="0"/>
          <w:bCs w:val="0"/>
          <w:i w:val="0"/>
          <w:smallCaps w:val="0"/>
          <w:color w:val="auto"/>
          <w:spacing w:val="0"/>
          <w:sz w:val="22"/>
          <w:szCs w:val="22"/>
        </w:rPr>
      </w:pPr>
      <w:r>
        <w:rPr>
          <w:rStyle w:val="IntenseReference"/>
          <w:rFonts w:asciiTheme="minorHAnsi" w:hAnsiTheme="minorHAnsi" w:cs="Arial"/>
          <w:b w:val="0"/>
          <w:bCs w:val="0"/>
          <w:i w:val="0"/>
          <w:smallCaps w:val="0"/>
          <w:color w:val="auto"/>
          <w:spacing w:val="0"/>
          <w:sz w:val="22"/>
          <w:szCs w:val="22"/>
        </w:rPr>
        <w:t>It is proposed that the clarification be made through legislation</w:t>
      </w:r>
      <w:r w:rsidRPr="00410B3B">
        <w:rPr>
          <w:rStyle w:val="IntenseReference"/>
          <w:rFonts w:asciiTheme="minorHAnsi" w:hAnsiTheme="minorHAnsi" w:cs="Arial"/>
          <w:b w:val="0"/>
          <w:bCs w:val="0"/>
          <w:i w:val="0"/>
          <w:smallCaps w:val="0"/>
          <w:color w:val="auto"/>
          <w:spacing w:val="0"/>
          <w:sz w:val="22"/>
          <w:szCs w:val="22"/>
        </w:rPr>
        <w:t xml:space="preserve"> to remove any doubt that healthcare providers may include </w:t>
      </w:r>
      <w:r w:rsidR="00716DBB">
        <w:rPr>
          <w:rStyle w:val="IntenseReference"/>
          <w:rFonts w:asciiTheme="minorHAnsi" w:hAnsiTheme="minorHAnsi" w:cs="Arial"/>
          <w:b w:val="0"/>
          <w:bCs w:val="0"/>
          <w:i w:val="0"/>
          <w:smallCaps w:val="0"/>
          <w:color w:val="auto"/>
          <w:spacing w:val="0"/>
          <w:sz w:val="22"/>
          <w:szCs w:val="22"/>
        </w:rPr>
        <w:t>relevant</w:t>
      </w:r>
      <w:r w:rsidRPr="00410B3B">
        <w:rPr>
          <w:rStyle w:val="IntenseReference"/>
          <w:rFonts w:asciiTheme="minorHAnsi" w:hAnsiTheme="minorHAnsi" w:cs="Arial"/>
          <w:b w:val="0"/>
          <w:bCs w:val="0"/>
          <w:i w:val="0"/>
          <w:smallCaps w:val="0"/>
          <w:color w:val="auto"/>
          <w:spacing w:val="0"/>
          <w:sz w:val="22"/>
          <w:szCs w:val="22"/>
        </w:rPr>
        <w:t xml:space="preserve"> third party personal information in a record uploaded to the PCEHR system</w:t>
      </w:r>
      <w:r>
        <w:rPr>
          <w:rStyle w:val="IntenseReference"/>
          <w:rFonts w:asciiTheme="minorHAnsi" w:hAnsiTheme="minorHAnsi" w:cs="Arial"/>
          <w:b w:val="0"/>
          <w:bCs w:val="0"/>
          <w:i w:val="0"/>
          <w:smallCaps w:val="0"/>
          <w:color w:val="auto"/>
          <w:spacing w:val="0"/>
          <w:sz w:val="22"/>
          <w:szCs w:val="22"/>
        </w:rPr>
        <w:t>,</w:t>
      </w:r>
      <w:r w:rsidRPr="00410B3B">
        <w:rPr>
          <w:rStyle w:val="IntenseReference"/>
          <w:rFonts w:asciiTheme="minorHAnsi" w:hAnsiTheme="minorHAnsi" w:cs="Arial"/>
          <w:b w:val="0"/>
          <w:bCs w:val="0"/>
          <w:i w:val="0"/>
          <w:smallCaps w:val="0"/>
          <w:color w:val="auto"/>
          <w:spacing w:val="0"/>
          <w:sz w:val="22"/>
          <w:szCs w:val="22"/>
        </w:rPr>
        <w:t xml:space="preserve"> and that the System Operator is authorised to collect the information in the record for inclusion in the </w:t>
      </w:r>
      <w:r w:rsidR="00716DBB">
        <w:rPr>
          <w:rFonts w:asciiTheme="minorHAnsi" w:hAnsiTheme="minorHAnsi"/>
          <w:sz w:val="22"/>
          <w:szCs w:val="22"/>
        </w:rPr>
        <w:t xml:space="preserve">individual’s </w:t>
      </w:r>
      <w:r w:rsidRPr="00410B3B">
        <w:rPr>
          <w:rStyle w:val="IntenseReference"/>
          <w:rFonts w:asciiTheme="minorHAnsi" w:hAnsiTheme="minorHAnsi" w:cs="Arial"/>
          <w:b w:val="0"/>
          <w:bCs w:val="0"/>
          <w:i w:val="0"/>
          <w:smallCaps w:val="0"/>
          <w:color w:val="auto"/>
          <w:spacing w:val="0"/>
          <w:sz w:val="22"/>
          <w:szCs w:val="22"/>
        </w:rPr>
        <w:t>PCEHR.</w:t>
      </w:r>
    </w:p>
    <w:p w:rsidR="0071466B" w:rsidRDefault="0071466B" w:rsidP="0071466B">
      <w:pPr>
        <w:pStyle w:val="Heading4"/>
      </w:pPr>
      <w:bookmarkStart w:id="115" w:name="_Toc418763125"/>
      <w:bookmarkStart w:id="116" w:name="_Toc420394279"/>
      <w:r>
        <w:t>Healthcare Provider Directory</w:t>
      </w:r>
      <w:r w:rsidR="00A026C0">
        <w:t xml:space="preserve"> (</w:t>
      </w:r>
      <w:proofErr w:type="spellStart"/>
      <w:r w:rsidR="00A026C0">
        <w:t>HPD</w:t>
      </w:r>
      <w:proofErr w:type="spellEnd"/>
      <w:r w:rsidR="00A026C0">
        <w:t>)</w:t>
      </w:r>
      <w:bookmarkEnd w:id="115"/>
      <w:bookmarkEnd w:id="116"/>
    </w:p>
    <w:p w:rsidR="00A026C0" w:rsidRDefault="00A026C0" w:rsidP="00110FCC">
      <w:pPr>
        <w:spacing w:before="120" w:after="120"/>
        <w:ind w:left="737"/>
        <w:rPr>
          <w:rStyle w:val="IntenseReference"/>
          <w:rFonts w:asciiTheme="minorHAnsi" w:hAnsiTheme="minorHAnsi" w:cs="Arial"/>
          <w:b w:val="0"/>
          <w:bCs w:val="0"/>
          <w:i w:val="0"/>
          <w:smallCaps w:val="0"/>
          <w:color w:val="auto"/>
          <w:spacing w:val="0"/>
          <w:sz w:val="22"/>
          <w:szCs w:val="22"/>
        </w:rPr>
      </w:pPr>
      <w:r>
        <w:rPr>
          <w:rStyle w:val="IntenseReference"/>
          <w:rFonts w:asciiTheme="minorHAnsi" w:hAnsiTheme="minorHAnsi" w:cs="Arial"/>
          <w:b w:val="0"/>
          <w:bCs w:val="0"/>
          <w:i w:val="0"/>
          <w:smallCaps w:val="0"/>
          <w:color w:val="auto"/>
          <w:spacing w:val="0"/>
          <w:sz w:val="22"/>
          <w:szCs w:val="22"/>
        </w:rPr>
        <w:t xml:space="preserve">The HI Act established the </w:t>
      </w:r>
      <w:proofErr w:type="spellStart"/>
      <w:r>
        <w:rPr>
          <w:rStyle w:val="IntenseReference"/>
          <w:rFonts w:asciiTheme="minorHAnsi" w:hAnsiTheme="minorHAnsi" w:cs="Arial"/>
          <w:b w:val="0"/>
          <w:bCs w:val="0"/>
          <w:i w:val="0"/>
          <w:smallCaps w:val="0"/>
          <w:color w:val="auto"/>
          <w:spacing w:val="0"/>
          <w:sz w:val="22"/>
          <w:szCs w:val="22"/>
        </w:rPr>
        <w:t>HPD</w:t>
      </w:r>
      <w:proofErr w:type="spellEnd"/>
      <w:r>
        <w:rPr>
          <w:rStyle w:val="IntenseReference"/>
          <w:rFonts w:asciiTheme="minorHAnsi" w:hAnsiTheme="minorHAnsi" w:cs="Arial"/>
          <w:b w:val="0"/>
          <w:bCs w:val="0"/>
          <w:i w:val="0"/>
          <w:smallCaps w:val="0"/>
          <w:color w:val="auto"/>
          <w:spacing w:val="0"/>
          <w:sz w:val="22"/>
          <w:szCs w:val="22"/>
        </w:rPr>
        <w:t xml:space="preserve"> which lists the details of individual healthcare providers and healthcare provider organisations that have a healthcare identifier, with their consent</w:t>
      </w:r>
      <w:r w:rsidR="00EE4063">
        <w:rPr>
          <w:rStyle w:val="IntenseReference"/>
          <w:rFonts w:asciiTheme="minorHAnsi" w:hAnsiTheme="minorHAnsi" w:cs="Arial"/>
          <w:b w:val="0"/>
          <w:bCs w:val="0"/>
          <w:i w:val="0"/>
          <w:smallCaps w:val="0"/>
          <w:color w:val="auto"/>
          <w:spacing w:val="0"/>
          <w:sz w:val="22"/>
          <w:szCs w:val="22"/>
        </w:rPr>
        <w:t xml:space="preserve"> (section 31)</w:t>
      </w:r>
      <w:r>
        <w:rPr>
          <w:rStyle w:val="IntenseReference"/>
          <w:rFonts w:asciiTheme="minorHAnsi" w:hAnsiTheme="minorHAnsi" w:cs="Arial"/>
          <w:b w:val="0"/>
          <w:bCs w:val="0"/>
          <w:i w:val="0"/>
          <w:smallCaps w:val="0"/>
          <w:color w:val="auto"/>
          <w:spacing w:val="0"/>
          <w:sz w:val="22"/>
          <w:szCs w:val="22"/>
        </w:rPr>
        <w:t xml:space="preserve">.  The purpose of the </w:t>
      </w:r>
      <w:proofErr w:type="spellStart"/>
      <w:r>
        <w:rPr>
          <w:rStyle w:val="IntenseReference"/>
          <w:rFonts w:asciiTheme="minorHAnsi" w:hAnsiTheme="minorHAnsi" w:cs="Arial"/>
          <w:b w:val="0"/>
          <w:bCs w:val="0"/>
          <w:i w:val="0"/>
          <w:smallCaps w:val="0"/>
          <w:color w:val="auto"/>
          <w:spacing w:val="0"/>
          <w:sz w:val="22"/>
          <w:szCs w:val="22"/>
        </w:rPr>
        <w:t>HPD</w:t>
      </w:r>
      <w:proofErr w:type="spellEnd"/>
      <w:r>
        <w:rPr>
          <w:rStyle w:val="IntenseReference"/>
          <w:rFonts w:asciiTheme="minorHAnsi" w:hAnsiTheme="minorHAnsi" w:cs="Arial"/>
          <w:b w:val="0"/>
          <w:bCs w:val="0"/>
          <w:i w:val="0"/>
          <w:smallCaps w:val="0"/>
          <w:color w:val="auto"/>
          <w:spacing w:val="0"/>
          <w:sz w:val="22"/>
          <w:szCs w:val="22"/>
        </w:rPr>
        <w:t xml:space="preserve"> is to facilitate communication between providers by providing a reliable </w:t>
      </w:r>
      <w:r w:rsidR="001F6AC9">
        <w:rPr>
          <w:rStyle w:val="IntenseReference"/>
          <w:rFonts w:asciiTheme="minorHAnsi" w:hAnsiTheme="minorHAnsi" w:cs="Arial"/>
          <w:b w:val="0"/>
          <w:bCs w:val="0"/>
          <w:i w:val="0"/>
          <w:smallCaps w:val="0"/>
          <w:color w:val="auto"/>
          <w:spacing w:val="0"/>
          <w:sz w:val="22"/>
          <w:szCs w:val="22"/>
        </w:rPr>
        <w:t xml:space="preserve">way to </w:t>
      </w:r>
      <w:r>
        <w:rPr>
          <w:rStyle w:val="IntenseReference"/>
          <w:rFonts w:asciiTheme="minorHAnsi" w:hAnsiTheme="minorHAnsi" w:cs="Arial"/>
          <w:b w:val="0"/>
          <w:bCs w:val="0"/>
          <w:i w:val="0"/>
          <w:smallCaps w:val="0"/>
          <w:color w:val="auto"/>
          <w:spacing w:val="0"/>
          <w:sz w:val="22"/>
          <w:szCs w:val="22"/>
        </w:rPr>
        <w:t xml:space="preserve">identify </w:t>
      </w:r>
      <w:r w:rsidR="001F6AC9">
        <w:rPr>
          <w:rStyle w:val="IntenseReference"/>
          <w:rFonts w:asciiTheme="minorHAnsi" w:hAnsiTheme="minorHAnsi" w:cs="Arial"/>
          <w:b w:val="0"/>
          <w:bCs w:val="0"/>
          <w:i w:val="0"/>
          <w:smallCaps w:val="0"/>
          <w:color w:val="auto"/>
          <w:spacing w:val="0"/>
          <w:sz w:val="22"/>
          <w:szCs w:val="22"/>
        </w:rPr>
        <w:t xml:space="preserve">providers </w:t>
      </w:r>
      <w:r>
        <w:rPr>
          <w:rStyle w:val="IntenseReference"/>
          <w:rFonts w:asciiTheme="minorHAnsi" w:hAnsiTheme="minorHAnsi" w:cs="Arial"/>
          <w:b w:val="0"/>
          <w:bCs w:val="0"/>
          <w:i w:val="0"/>
          <w:smallCaps w:val="0"/>
          <w:color w:val="auto"/>
          <w:spacing w:val="0"/>
          <w:sz w:val="22"/>
          <w:szCs w:val="22"/>
        </w:rPr>
        <w:t xml:space="preserve">and </w:t>
      </w:r>
      <w:r w:rsidR="001F6AC9">
        <w:rPr>
          <w:rStyle w:val="IntenseReference"/>
          <w:rFonts w:asciiTheme="minorHAnsi" w:hAnsiTheme="minorHAnsi" w:cs="Arial"/>
          <w:b w:val="0"/>
          <w:bCs w:val="0"/>
          <w:i w:val="0"/>
          <w:smallCaps w:val="0"/>
          <w:color w:val="auto"/>
          <w:spacing w:val="0"/>
          <w:sz w:val="22"/>
          <w:szCs w:val="22"/>
        </w:rPr>
        <w:t xml:space="preserve">listing </w:t>
      </w:r>
      <w:r>
        <w:rPr>
          <w:rStyle w:val="IntenseReference"/>
          <w:rFonts w:asciiTheme="minorHAnsi" w:hAnsiTheme="minorHAnsi" w:cs="Arial"/>
          <w:b w:val="0"/>
          <w:bCs w:val="0"/>
          <w:i w:val="0"/>
          <w:smallCaps w:val="0"/>
          <w:color w:val="auto"/>
          <w:spacing w:val="0"/>
          <w:sz w:val="22"/>
          <w:szCs w:val="22"/>
        </w:rPr>
        <w:t>contact information.</w:t>
      </w:r>
    </w:p>
    <w:p w:rsidR="00A026C0" w:rsidRDefault="00A026C0" w:rsidP="00A026C0">
      <w:pPr>
        <w:spacing w:before="120" w:after="120"/>
        <w:ind w:left="737"/>
        <w:rPr>
          <w:rStyle w:val="IntenseReference"/>
          <w:rFonts w:asciiTheme="minorHAnsi" w:hAnsiTheme="minorHAnsi" w:cs="Arial"/>
          <w:b w:val="0"/>
          <w:bCs w:val="0"/>
          <w:i w:val="0"/>
          <w:smallCaps w:val="0"/>
          <w:color w:val="auto"/>
          <w:spacing w:val="0"/>
          <w:sz w:val="22"/>
          <w:szCs w:val="22"/>
        </w:rPr>
      </w:pPr>
      <w:r>
        <w:rPr>
          <w:rStyle w:val="IntenseReference"/>
          <w:rFonts w:asciiTheme="minorHAnsi" w:hAnsiTheme="minorHAnsi" w:cs="Arial"/>
          <w:b w:val="0"/>
          <w:bCs w:val="0"/>
          <w:i w:val="0"/>
          <w:smallCaps w:val="0"/>
          <w:color w:val="auto"/>
          <w:spacing w:val="0"/>
          <w:sz w:val="22"/>
          <w:szCs w:val="22"/>
        </w:rPr>
        <w:lastRenderedPageBreak/>
        <w:t xml:space="preserve">The HI Review found that the opt-in basis of the </w:t>
      </w:r>
      <w:proofErr w:type="spellStart"/>
      <w:r>
        <w:rPr>
          <w:rStyle w:val="IntenseReference"/>
          <w:rFonts w:asciiTheme="minorHAnsi" w:hAnsiTheme="minorHAnsi" w:cs="Arial"/>
          <w:b w:val="0"/>
          <w:bCs w:val="0"/>
          <w:i w:val="0"/>
          <w:smallCaps w:val="0"/>
          <w:color w:val="auto"/>
          <w:spacing w:val="0"/>
          <w:sz w:val="22"/>
          <w:szCs w:val="22"/>
        </w:rPr>
        <w:t>HP</w:t>
      </w:r>
      <w:r w:rsidR="001F6AC9">
        <w:rPr>
          <w:rStyle w:val="IntenseReference"/>
          <w:rFonts w:asciiTheme="minorHAnsi" w:hAnsiTheme="minorHAnsi" w:cs="Arial"/>
          <w:b w:val="0"/>
          <w:bCs w:val="0"/>
          <w:i w:val="0"/>
          <w:smallCaps w:val="0"/>
          <w:color w:val="auto"/>
          <w:spacing w:val="0"/>
          <w:sz w:val="22"/>
          <w:szCs w:val="22"/>
        </w:rPr>
        <w:t>D</w:t>
      </w:r>
      <w:proofErr w:type="spellEnd"/>
      <w:r>
        <w:rPr>
          <w:rStyle w:val="IntenseReference"/>
          <w:rFonts w:asciiTheme="minorHAnsi" w:hAnsiTheme="minorHAnsi" w:cs="Arial"/>
          <w:b w:val="0"/>
          <w:bCs w:val="0"/>
          <w:i w:val="0"/>
          <w:smallCaps w:val="0"/>
          <w:color w:val="auto"/>
          <w:spacing w:val="0"/>
          <w:sz w:val="22"/>
          <w:szCs w:val="22"/>
        </w:rPr>
        <w:t xml:space="preserve"> is a barrier to </w:t>
      </w:r>
      <w:r w:rsidR="001F6AC9">
        <w:rPr>
          <w:rStyle w:val="IntenseReference"/>
          <w:rFonts w:asciiTheme="minorHAnsi" w:hAnsiTheme="minorHAnsi" w:cs="Arial"/>
          <w:b w:val="0"/>
          <w:bCs w:val="0"/>
          <w:i w:val="0"/>
          <w:smallCaps w:val="0"/>
          <w:color w:val="auto"/>
          <w:spacing w:val="0"/>
          <w:sz w:val="22"/>
          <w:szCs w:val="22"/>
        </w:rPr>
        <w:t>effective communications</w:t>
      </w:r>
      <w:r>
        <w:rPr>
          <w:rStyle w:val="IntenseReference"/>
          <w:rFonts w:asciiTheme="minorHAnsi" w:hAnsiTheme="minorHAnsi" w:cs="Arial"/>
          <w:b w:val="0"/>
          <w:bCs w:val="0"/>
          <w:i w:val="0"/>
          <w:smallCaps w:val="0"/>
          <w:color w:val="auto"/>
          <w:spacing w:val="0"/>
          <w:sz w:val="22"/>
          <w:szCs w:val="22"/>
        </w:rPr>
        <w:t xml:space="preserve"> and this is adversely affecting other eHealth services that depend on the </w:t>
      </w:r>
      <w:proofErr w:type="spellStart"/>
      <w:r>
        <w:rPr>
          <w:rStyle w:val="IntenseReference"/>
          <w:rFonts w:asciiTheme="minorHAnsi" w:hAnsiTheme="minorHAnsi" w:cs="Arial"/>
          <w:b w:val="0"/>
          <w:bCs w:val="0"/>
          <w:i w:val="0"/>
          <w:smallCaps w:val="0"/>
          <w:color w:val="auto"/>
          <w:spacing w:val="0"/>
          <w:sz w:val="22"/>
          <w:szCs w:val="22"/>
        </w:rPr>
        <w:t>HPD</w:t>
      </w:r>
      <w:proofErr w:type="spellEnd"/>
      <w:r>
        <w:rPr>
          <w:rStyle w:val="IntenseReference"/>
          <w:rFonts w:asciiTheme="minorHAnsi" w:hAnsiTheme="minorHAnsi" w:cs="Arial"/>
          <w:b w:val="0"/>
          <w:bCs w:val="0"/>
          <w:i w:val="0"/>
          <w:smallCaps w:val="0"/>
          <w:color w:val="auto"/>
          <w:spacing w:val="0"/>
          <w:sz w:val="22"/>
          <w:szCs w:val="22"/>
        </w:rPr>
        <w:t>, such as secure messaging.</w:t>
      </w:r>
      <w:r w:rsidRPr="00A026C0">
        <w:rPr>
          <w:rStyle w:val="FootnoteReference"/>
          <w:rFonts w:asciiTheme="minorHAnsi" w:hAnsiTheme="minorHAnsi" w:cs="Arial"/>
          <w:sz w:val="22"/>
          <w:szCs w:val="22"/>
        </w:rPr>
        <w:footnoteReference w:id="21"/>
      </w:r>
    </w:p>
    <w:p w:rsidR="00A026C0" w:rsidRDefault="001F6AC9" w:rsidP="00A026C0">
      <w:pPr>
        <w:spacing w:before="120" w:after="120"/>
        <w:ind w:left="737"/>
        <w:rPr>
          <w:rStyle w:val="IntenseReference"/>
          <w:rFonts w:asciiTheme="minorHAnsi" w:hAnsiTheme="minorHAnsi" w:cs="Arial"/>
          <w:b w:val="0"/>
          <w:bCs w:val="0"/>
          <w:i w:val="0"/>
          <w:smallCaps w:val="0"/>
          <w:color w:val="auto"/>
          <w:spacing w:val="0"/>
          <w:sz w:val="22"/>
          <w:szCs w:val="22"/>
        </w:rPr>
      </w:pPr>
      <w:r>
        <w:rPr>
          <w:rStyle w:val="IntenseReference"/>
          <w:rFonts w:asciiTheme="minorHAnsi" w:hAnsiTheme="minorHAnsi" w:cs="Arial"/>
          <w:b w:val="0"/>
          <w:bCs w:val="0"/>
          <w:i w:val="0"/>
          <w:smallCaps w:val="0"/>
          <w:color w:val="auto"/>
          <w:spacing w:val="0"/>
          <w:sz w:val="22"/>
          <w:szCs w:val="22"/>
        </w:rPr>
        <w:t>Given that</w:t>
      </w:r>
      <w:r w:rsidR="00F8568B">
        <w:rPr>
          <w:rStyle w:val="IntenseReference"/>
          <w:rFonts w:asciiTheme="minorHAnsi" w:hAnsiTheme="minorHAnsi" w:cs="Arial"/>
          <w:b w:val="0"/>
          <w:bCs w:val="0"/>
          <w:i w:val="0"/>
          <w:smallCaps w:val="0"/>
          <w:color w:val="auto"/>
          <w:spacing w:val="0"/>
          <w:sz w:val="22"/>
          <w:szCs w:val="22"/>
        </w:rPr>
        <w:t xml:space="preserve"> the information about </w:t>
      </w:r>
      <w:r w:rsidR="005021A7">
        <w:rPr>
          <w:rStyle w:val="IntenseReference"/>
          <w:rFonts w:asciiTheme="minorHAnsi" w:hAnsiTheme="minorHAnsi" w:cs="Arial"/>
          <w:b w:val="0"/>
          <w:bCs w:val="0"/>
          <w:i w:val="0"/>
          <w:smallCaps w:val="0"/>
          <w:color w:val="auto"/>
          <w:spacing w:val="0"/>
          <w:sz w:val="22"/>
          <w:szCs w:val="22"/>
        </w:rPr>
        <w:t xml:space="preserve">a </w:t>
      </w:r>
      <w:r>
        <w:rPr>
          <w:rStyle w:val="IntenseReference"/>
          <w:rFonts w:asciiTheme="minorHAnsi" w:hAnsiTheme="minorHAnsi" w:cs="Arial"/>
          <w:b w:val="0"/>
          <w:bCs w:val="0"/>
          <w:i w:val="0"/>
          <w:smallCaps w:val="0"/>
          <w:color w:val="auto"/>
          <w:spacing w:val="0"/>
          <w:sz w:val="22"/>
          <w:szCs w:val="22"/>
        </w:rPr>
        <w:t xml:space="preserve">healthcare provider </w:t>
      </w:r>
      <w:r w:rsidR="00F8568B">
        <w:rPr>
          <w:rStyle w:val="IntenseReference"/>
          <w:rFonts w:asciiTheme="minorHAnsi" w:hAnsiTheme="minorHAnsi" w:cs="Arial"/>
          <w:b w:val="0"/>
          <w:bCs w:val="0"/>
          <w:i w:val="0"/>
          <w:smallCaps w:val="0"/>
          <w:color w:val="auto"/>
          <w:spacing w:val="0"/>
          <w:sz w:val="22"/>
          <w:szCs w:val="22"/>
        </w:rPr>
        <w:t xml:space="preserve">organisation is not personal information, </w:t>
      </w:r>
      <w:r w:rsidR="00211372">
        <w:rPr>
          <w:rStyle w:val="IntenseReference"/>
          <w:rFonts w:asciiTheme="minorHAnsi" w:hAnsiTheme="minorHAnsi" w:cs="Arial"/>
          <w:b w:val="0"/>
          <w:bCs w:val="0"/>
          <w:i w:val="0"/>
          <w:smallCaps w:val="0"/>
          <w:color w:val="auto"/>
          <w:spacing w:val="0"/>
          <w:sz w:val="22"/>
          <w:szCs w:val="22"/>
        </w:rPr>
        <w:t xml:space="preserve">it is proposed to remove </w:t>
      </w:r>
      <w:r w:rsidR="00A026C0">
        <w:rPr>
          <w:rStyle w:val="IntenseReference"/>
          <w:rFonts w:asciiTheme="minorHAnsi" w:hAnsiTheme="minorHAnsi" w:cs="Arial"/>
          <w:b w:val="0"/>
          <w:bCs w:val="0"/>
          <w:i w:val="0"/>
          <w:smallCaps w:val="0"/>
          <w:color w:val="auto"/>
          <w:spacing w:val="0"/>
          <w:sz w:val="22"/>
          <w:szCs w:val="22"/>
        </w:rPr>
        <w:t xml:space="preserve">the need for organisations to provide consent before they are listed in the </w:t>
      </w:r>
      <w:proofErr w:type="spellStart"/>
      <w:r w:rsidR="00A026C0">
        <w:rPr>
          <w:rStyle w:val="IntenseReference"/>
          <w:rFonts w:asciiTheme="minorHAnsi" w:hAnsiTheme="minorHAnsi" w:cs="Arial"/>
          <w:b w:val="0"/>
          <w:bCs w:val="0"/>
          <w:i w:val="0"/>
          <w:smallCaps w:val="0"/>
          <w:color w:val="auto"/>
          <w:spacing w:val="0"/>
          <w:sz w:val="22"/>
          <w:szCs w:val="22"/>
        </w:rPr>
        <w:t>HPD</w:t>
      </w:r>
      <w:proofErr w:type="spellEnd"/>
      <w:r w:rsidR="00A026C0">
        <w:rPr>
          <w:rStyle w:val="IntenseReference"/>
          <w:rFonts w:asciiTheme="minorHAnsi" w:hAnsiTheme="minorHAnsi" w:cs="Arial"/>
          <w:b w:val="0"/>
          <w:bCs w:val="0"/>
          <w:i w:val="0"/>
          <w:smallCaps w:val="0"/>
          <w:color w:val="auto"/>
          <w:spacing w:val="0"/>
          <w:sz w:val="22"/>
          <w:szCs w:val="22"/>
        </w:rPr>
        <w:t>.</w:t>
      </w:r>
      <w:r w:rsidR="00F8568B">
        <w:rPr>
          <w:rStyle w:val="IntenseReference"/>
          <w:rFonts w:asciiTheme="minorHAnsi" w:hAnsiTheme="minorHAnsi" w:cs="Arial"/>
          <w:b w:val="0"/>
          <w:bCs w:val="0"/>
          <w:i w:val="0"/>
          <w:smallCaps w:val="0"/>
          <w:color w:val="auto"/>
          <w:spacing w:val="0"/>
          <w:sz w:val="22"/>
          <w:szCs w:val="22"/>
        </w:rPr>
        <w:t xml:space="preserve">  </w:t>
      </w:r>
      <w:r w:rsidR="00A026C0">
        <w:rPr>
          <w:rStyle w:val="IntenseReference"/>
          <w:rFonts w:asciiTheme="minorHAnsi" w:hAnsiTheme="minorHAnsi" w:cs="Arial"/>
          <w:b w:val="0"/>
          <w:bCs w:val="0"/>
          <w:i w:val="0"/>
          <w:smallCaps w:val="0"/>
          <w:color w:val="auto"/>
          <w:spacing w:val="0"/>
          <w:sz w:val="22"/>
          <w:szCs w:val="22"/>
        </w:rPr>
        <w:t xml:space="preserve">Any organisation that has an HPI-O would automatically be listed in the </w:t>
      </w:r>
      <w:proofErr w:type="spellStart"/>
      <w:r w:rsidR="00A026C0">
        <w:rPr>
          <w:rStyle w:val="IntenseReference"/>
          <w:rFonts w:asciiTheme="minorHAnsi" w:hAnsiTheme="minorHAnsi" w:cs="Arial"/>
          <w:b w:val="0"/>
          <w:bCs w:val="0"/>
          <w:i w:val="0"/>
          <w:smallCaps w:val="0"/>
          <w:color w:val="auto"/>
          <w:spacing w:val="0"/>
          <w:sz w:val="22"/>
          <w:szCs w:val="22"/>
        </w:rPr>
        <w:t>HPD</w:t>
      </w:r>
      <w:proofErr w:type="spellEnd"/>
      <w:r w:rsidR="00A026C0">
        <w:rPr>
          <w:rStyle w:val="IntenseReference"/>
          <w:rFonts w:asciiTheme="minorHAnsi" w:hAnsiTheme="minorHAnsi" w:cs="Arial"/>
          <w:b w:val="0"/>
          <w:bCs w:val="0"/>
          <w:i w:val="0"/>
          <w:smallCaps w:val="0"/>
          <w:color w:val="auto"/>
          <w:spacing w:val="0"/>
          <w:sz w:val="22"/>
          <w:szCs w:val="22"/>
        </w:rPr>
        <w:t xml:space="preserve">.  Organisations would need to ensure their information is kept up to date.  </w:t>
      </w:r>
    </w:p>
    <w:p w:rsidR="00F8568B" w:rsidRDefault="00F8568B" w:rsidP="00A026C0">
      <w:pPr>
        <w:spacing w:before="120" w:after="120"/>
        <w:ind w:left="737"/>
        <w:rPr>
          <w:rStyle w:val="IntenseReference"/>
          <w:rFonts w:asciiTheme="minorHAnsi" w:hAnsiTheme="minorHAnsi" w:cs="Arial"/>
          <w:b w:val="0"/>
          <w:bCs w:val="0"/>
          <w:i w:val="0"/>
          <w:smallCaps w:val="0"/>
          <w:color w:val="auto"/>
          <w:spacing w:val="0"/>
          <w:sz w:val="22"/>
          <w:szCs w:val="22"/>
        </w:rPr>
      </w:pPr>
      <w:r>
        <w:rPr>
          <w:rStyle w:val="IntenseReference"/>
          <w:rFonts w:asciiTheme="minorHAnsi" w:hAnsiTheme="minorHAnsi" w:cs="Arial"/>
          <w:b w:val="0"/>
          <w:bCs w:val="0"/>
          <w:i w:val="0"/>
          <w:smallCaps w:val="0"/>
          <w:color w:val="auto"/>
          <w:spacing w:val="0"/>
          <w:sz w:val="22"/>
          <w:szCs w:val="22"/>
        </w:rPr>
        <w:t xml:space="preserve">Individual healthcare providers would continue to be listed in the </w:t>
      </w:r>
      <w:proofErr w:type="spellStart"/>
      <w:r>
        <w:rPr>
          <w:rStyle w:val="IntenseReference"/>
          <w:rFonts w:asciiTheme="minorHAnsi" w:hAnsiTheme="minorHAnsi" w:cs="Arial"/>
          <w:b w:val="0"/>
          <w:bCs w:val="0"/>
          <w:i w:val="0"/>
          <w:smallCaps w:val="0"/>
          <w:color w:val="auto"/>
          <w:spacing w:val="0"/>
          <w:sz w:val="22"/>
          <w:szCs w:val="22"/>
        </w:rPr>
        <w:t>HPD</w:t>
      </w:r>
      <w:proofErr w:type="spellEnd"/>
      <w:r>
        <w:rPr>
          <w:rStyle w:val="IntenseReference"/>
          <w:rFonts w:asciiTheme="minorHAnsi" w:hAnsiTheme="minorHAnsi" w:cs="Arial"/>
          <w:b w:val="0"/>
          <w:bCs w:val="0"/>
          <w:i w:val="0"/>
          <w:smallCaps w:val="0"/>
          <w:color w:val="auto"/>
          <w:spacing w:val="0"/>
          <w:sz w:val="22"/>
          <w:szCs w:val="22"/>
        </w:rPr>
        <w:t xml:space="preserve"> only if they give consent.</w:t>
      </w:r>
    </w:p>
    <w:p w:rsidR="005021A7" w:rsidRDefault="005021A7" w:rsidP="005021A7">
      <w:pPr>
        <w:pStyle w:val="Heading4"/>
      </w:pPr>
      <w:bookmarkStart w:id="117" w:name="_Toc418763126"/>
      <w:bookmarkStart w:id="118" w:name="_Toc420394280"/>
      <w:r>
        <w:t>Handling of healthcare identifiers by prescribed entities</w:t>
      </w:r>
      <w:bookmarkEnd w:id="117"/>
      <w:bookmarkEnd w:id="118"/>
    </w:p>
    <w:p w:rsidR="008D2A5C" w:rsidRPr="008D2A5C" w:rsidRDefault="008D2A5C" w:rsidP="005021A7">
      <w:pPr>
        <w:spacing w:after="120"/>
        <w:ind w:left="720"/>
        <w:rPr>
          <w:rFonts w:asciiTheme="minorHAnsi" w:hAnsiTheme="minorHAnsi"/>
          <w:iCs/>
          <w:sz w:val="22"/>
          <w:szCs w:val="22"/>
        </w:rPr>
      </w:pPr>
      <w:r>
        <w:rPr>
          <w:rFonts w:asciiTheme="minorHAnsi" w:hAnsiTheme="minorHAnsi"/>
          <w:iCs/>
          <w:sz w:val="22"/>
          <w:szCs w:val="22"/>
        </w:rPr>
        <w:t>As recommended by the HI Review, it is proposed to include a mechanism which would allow health-related organisations to be listed in Regulations so that they are permitted to handle healthcare identifiers and associated information as part of assisting organisations in their registration and participation in the PCEHR system.</w:t>
      </w:r>
      <w:r w:rsidR="00DF28F9">
        <w:rPr>
          <w:rStyle w:val="FootnoteReference"/>
          <w:rFonts w:asciiTheme="minorHAnsi" w:hAnsiTheme="minorHAnsi"/>
          <w:iCs/>
          <w:sz w:val="22"/>
          <w:szCs w:val="22"/>
        </w:rPr>
        <w:footnoteReference w:id="22"/>
      </w:r>
      <w:r w:rsidR="003D7F19">
        <w:rPr>
          <w:rFonts w:asciiTheme="minorHAnsi" w:hAnsiTheme="minorHAnsi"/>
          <w:iCs/>
          <w:sz w:val="22"/>
          <w:szCs w:val="22"/>
        </w:rPr>
        <w:t xml:space="preserve">  </w:t>
      </w:r>
      <w:r>
        <w:rPr>
          <w:rFonts w:asciiTheme="minorHAnsi" w:hAnsiTheme="minorHAnsi"/>
          <w:iCs/>
          <w:sz w:val="22"/>
          <w:szCs w:val="22"/>
        </w:rPr>
        <w:t>This was a function undertaken by Medicare Locals in the past and may be relevant to Primary Healthcare Networks.</w:t>
      </w:r>
    </w:p>
    <w:p w:rsidR="005021A7" w:rsidRPr="005021A7" w:rsidRDefault="005021A7" w:rsidP="005021A7">
      <w:pPr>
        <w:spacing w:after="120"/>
        <w:ind w:left="720"/>
        <w:rPr>
          <w:rFonts w:asciiTheme="minorHAnsi" w:hAnsiTheme="minorHAnsi"/>
          <w:iCs/>
          <w:sz w:val="22"/>
          <w:szCs w:val="22"/>
        </w:rPr>
      </w:pPr>
      <w:r w:rsidRPr="005021A7">
        <w:rPr>
          <w:rFonts w:asciiTheme="minorHAnsi" w:hAnsiTheme="minorHAnsi"/>
          <w:iCs/>
          <w:sz w:val="22"/>
          <w:szCs w:val="22"/>
        </w:rPr>
        <w:t xml:space="preserve">Recent changes to the HI Act have allowed healthcare identifiers to be associated with aged care records in certain limited circumstances.  This is to ensure that the aged care record is associated with the correct individual. </w:t>
      </w:r>
    </w:p>
    <w:p w:rsidR="005021A7" w:rsidRPr="005021A7" w:rsidRDefault="005021A7" w:rsidP="005021A7">
      <w:pPr>
        <w:spacing w:after="120"/>
        <w:ind w:left="720"/>
        <w:rPr>
          <w:rFonts w:asciiTheme="minorHAnsi" w:hAnsiTheme="minorHAnsi"/>
          <w:iCs/>
          <w:sz w:val="22"/>
          <w:szCs w:val="22"/>
        </w:rPr>
      </w:pPr>
      <w:r w:rsidRPr="005021A7">
        <w:rPr>
          <w:rFonts w:asciiTheme="minorHAnsi" w:hAnsiTheme="minorHAnsi"/>
          <w:iCs/>
          <w:sz w:val="22"/>
          <w:szCs w:val="22"/>
        </w:rPr>
        <w:t xml:space="preserve">Consideration is being given to allowing certain other records to use healthcare identifiers to ensure the owners of the records are accurately identified.  Any additional use of healthcare identifiers would be tightly restricted – for example, for use in records relating to the provision of healthcare or for closely-related purposes.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CellMar>
          <w:top w:w="119" w:type="dxa"/>
        </w:tblCellMar>
        <w:tblLook w:val="04A0" w:firstRow="1" w:lastRow="0" w:firstColumn="1" w:lastColumn="0" w:noHBand="0" w:noVBand="1"/>
        <w:tblCaption w:val="A box with an example"/>
        <w:tblDescription w:val=" The National Disability Insurance Scheme (NDIS) records could be allowed to make use of healthcare identifiers to ensure NDIS records are associated with the correct individual. This use would be consistent with the changes to the definition of “healthcare” to include “health-related disability, palliative care or aged care services” – see section 3.1.2 for further details."/>
      </w:tblPr>
      <w:tblGrid>
        <w:gridCol w:w="8153"/>
      </w:tblGrid>
      <w:tr w:rsidR="005021A7" w:rsidRPr="00396E21" w:rsidTr="0045440F">
        <w:trPr>
          <w:cantSplit/>
        </w:trPr>
        <w:tc>
          <w:tcPr>
            <w:tcW w:w="8153" w:type="dxa"/>
            <w:shd w:val="clear" w:color="auto" w:fill="FFFF99"/>
          </w:tcPr>
          <w:p w:rsidR="005021A7" w:rsidRPr="00396E21" w:rsidRDefault="005021A7" w:rsidP="008D2A5C">
            <w:pPr>
              <w:pStyle w:val="BodyText"/>
              <w:keepNext/>
              <w:rPr>
                <w:rFonts w:asciiTheme="minorHAnsi" w:hAnsiTheme="minorHAnsi"/>
                <w:b/>
                <w:sz w:val="22"/>
                <w:szCs w:val="22"/>
              </w:rPr>
            </w:pPr>
            <w:r>
              <w:rPr>
                <w:rFonts w:asciiTheme="minorHAnsi" w:hAnsiTheme="minorHAnsi"/>
                <w:b/>
                <w:sz w:val="22"/>
                <w:szCs w:val="22"/>
              </w:rPr>
              <w:t>Example:</w:t>
            </w:r>
            <w:r w:rsidRPr="00396E21">
              <w:rPr>
                <w:rFonts w:asciiTheme="minorHAnsi" w:hAnsiTheme="minorHAnsi"/>
                <w:b/>
                <w:sz w:val="22"/>
                <w:szCs w:val="22"/>
              </w:rPr>
              <w:t xml:space="preserve"> </w:t>
            </w:r>
            <w:r w:rsidRPr="005021A7">
              <w:rPr>
                <w:rFonts w:asciiTheme="minorHAnsi" w:hAnsiTheme="minorHAnsi"/>
                <w:sz w:val="22"/>
                <w:szCs w:val="22"/>
              </w:rPr>
              <w:t xml:space="preserve">The </w:t>
            </w:r>
            <w:r w:rsidRPr="005021A7">
              <w:rPr>
                <w:rFonts w:asciiTheme="minorHAnsi" w:hAnsiTheme="minorHAnsi"/>
                <w:iCs/>
                <w:sz w:val="22"/>
                <w:szCs w:val="22"/>
              </w:rPr>
              <w:t>National Disability In</w:t>
            </w:r>
            <w:r w:rsidR="008D2A5C">
              <w:rPr>
                <w:rFonts w:asciiTheme="minorHAnsi" w:hAnsiTheme="minorHAnsi"/>
                <w:iCs/>
                <w:sz w:val="22"/>
                <w:szCs w:val="22"/>
              </w:rPr>
              <w:t>surance Scheme (</w:t>
            </w:r>
            <w:proofErr w:type="spellStart"/>
            <w:r w:rsidR="008D2A5C">
              <w:rPr>
                <w:rFonts w:asciiTheme="minorHAnsi" w:hAnsiTheme="minorHAnsi"/>
                <w:iCs/>
                <w:sz w:val="22"/>
                <w:szCs w:val="22"/>
              </w:rPr>
              <w:t>NDIS</w:t>
            </w:r>
            <w:proofErr w:type="spellEnd"/>
            <w:r w:rsidR="008D2A5C">
              <w:rPr>
                <w:rFonts w:asciiTheme="minorHAnsi" w:hAnsiTheme="minorHAnsi"/>
                <w:iCs/>
                <w:sz w:val="22"/>
                <w:szCs w:val="22"/>
              </w:rPr>
              <w:t>) records c</w:t>
            </w:r>
            <w:r w:rsidRPr="005021A7">
              <w:rPr>
                <w:rFonts w:asciiTheme="minorHAnsi" w:hAnsiTheme="minorHAnsi"/>
                <w:iCs/>
                <w:sz w:val="22"/>
                <w:szCs w:val="22"/>
              </w:rPr>
              <w:t xml:space="preserve">ould be </w:t>
            </w:r>
            <w:r w:rsidR="008D2A5C">
              <w:rPr>
                <w:rFonts w:asciiTheme="minorHAnsi" w:hAnsiTheme="minorHAnsi"/>
                <w:iCs/>
                <w:sz w:val="22"/>
                <w:szCs w:val="22"/>
              </w:rPr>
              <w:t>allowed</w:t>
            </w:r>
            <w:r w:rsidRPr="005021A7">
              <w:rPr>
                <w:rFonts w:asciiTheme="minorHAnsi" w:hAnsiTheme="minorHAnsi"/>
                <w:iCs/>
                <w:sz w:val="22"/>
                <w:szCs w:val="22"/>
              </w:rPr>
              <w:t xml:space="preserve"> to make use of healthcare identifiers to ensure </w:t>
            </w:r>
            <w:proofErr w:type="spellStart"/>
            <w:r w:rsidRPr="005021A7">
              <w:rPr>
                <w:rFonts w:asciiTheme="minorHAnsi" w:hAnsiTheme="minorHAnsi"/>
                <w:iCs/>
                <w:sz w:val="22"/>
                <w:szCs w:val="22"/>
              </w:rPr>
              <w:t>NDIS</w:t>
            </w:r>
            <w:proofErr w:type="spellEnd"/>
            <w:r w:rsidRPr="005021A7">
              <w:rPr>
                <w:rFonts w:asciiTheme="minorHAnsi" w:hAnsiTheme="minorHAnsi"/>
                <w:iCs/>
                <w:sz w:val="22"/>
                <w:szCs w:val="22"/>
              </w:rPr>
              <w:t xml:space="preserve"> records are associated with the correct individual.  This use would be consistent with the changes to the definition of “healthcare” to include “health-related disability, palliative care or aged care services” – see section </w:t>
            </w:r>
            <w:r>
              <w:rPr>
                <w:rFonts w:asciiTheme="minorHAnsi" w:hAnsiTheme="minorHAnsi"/>
                <w:iCs/>
                <w:sz w:val="22"/>
                <w:szCs w:val="22"/>
              </w:rPr>
              <w:t>3.1.2</w:t>
            </w:r>
            <w:r w:rsidRPr="005021A7">
              <w:rPr>
                <w:rFonts w:asciiTheme="minorHAnsi" w:hAnsiTheme="minorHAnsi"/>
                <w:iCs/>
                <w:sz w:val="22"/>
                <w:szCs w:val="22"/>
              </w:rPr>
              <w:t xml:space="preserve"> for further details.</w:t>
            </w:r>
          </w:p>
        </w:tc>
      </w:tr>
    </w:tbl>
    <w:p w:rsidR="005021A7" w:rsidRPr="0088792D" w:rsidRDefault="005021A7" w:rsidP="005021A7">
      <w:pPr>
        <w:spacing w:after="120"/>
        <w:ind w:left="720"/>
        <w:rPr>
          <w:rFonts w:asciiTheme="minorHAnsi" w:hAnsiTheme="minorHAnsi"/>
          <w:iCs/>
          <w:sz w:val="12"/>
          <w:szCs w:val="12"/>
        </w:rPr>
      </w:pPr>
    </w:p>
    <w:p w:rsidR="005021A7" w:rsidRDefault="005021A7" w:rsidP="005021A7">
      <w:pPr>
        <w:spacing w:before="120" w:after="120"/>
        <w:ind w:left="737"/>
        <w:rPr>
          <w:rStyle w:val="IntenseReference"/>
          <w:rFonts w:asciiTheme="minorHAnsi" w:hAnsiTheme="minorHAnsi" w:cs="Arial"/>
          <w:b w:val="0"/>
          <w:bCs w:val="0"/>
          <w:i w:val="0"/>
          <w:smallCaps w:val="0"/>
          <w:color w:val="auto"/>
          <w:spacing w:val="0"/>
          <w:sz w:val="22"/>
          <w:szCs w:val="22"/>
        </w:rPr>
      </w:pPr>
      <w:r w:rsidRPr="005021A7">
        <w:rPr>
          <w:rFonts w:asciiTheme="minorHAnsi" w:hAnsiTheme="minorHAnsi"/>
          <w:iCs/>
          <w:sz w:val="22"/>
          <w:szCs w:val="22"/>
        </w:rPr>
        <w:t xml:space="preserve">It is proposed to allow regulations to be made prescribing additional uses </w:t>
      </w:r>
      <w:r>
        <w:rPr>
          <w:rFonts w:asciiTheme="minorHAnsi" w:hAnsiTheme="minorHAnsi"/>
          <w:iCs/>
          <w:sz w:val="22"/>
          <w:szCs w:val="22"/>
        </w:rPr>
        <w:t xml:space="preserve">of </w:t>
      </w:r>
      <w:r w:rsidRPr="005021A7">
        <w:rPr>
          <w:rFonts w:asciiTheme="minorHAnsi" w:hAnsiTheme="minorHAnsi"/>
          <w:iCs/>
          <w:sz w:val="22"/>
          <w:szCs w:val="22"/>
        </w:rPr>
        <w:t>healthcare identifiers in closely restricted areas.  Parliament would be able to disallow any proposed additional uses if it did not agree.</w:t>
      </w:r>
    </w:p>
    <w:p w:rsidR="00110FCC" w:rsidRPr="003D6C23" w:rsidRDefault="00110FCC" w:rsidP="00CB6A0B">
      <w:pPr>
        <w:pStyle w:val="Heading4"/>
      </w:pPr>
      <w:bookmarkStart w:id="119" w:name="_Toc418763127"/>
      <w:bookmarkStart w:id="120" w:name="_Toc420394281"/>
      <w:r>
        <w:t>Information Commissioner’s use of healthcare identifiers</w:t>
      </w:r>
      <w:bookmarkEnd w:id="119"/>
      <w:bookmarkEnd w:id="120"/>
    </w:p>
    <w:p w:rsidR="00EE4063" w:rsidRDefault="00EE4063" w:rsidP="00110FCC">
      <w:pPr>
        <w:spacing w:before="120" w:after="120"/>
        <w:ind w:left="737"/>
        <w:rPr>
          <w:rStyle w:val="IntenseReference"/>
          <w:rFonts w:asciiTheme="minorHAnsi" w:hAnsiTheme="minorHAnsi" w:cs="Arial"/>
          <w:b w:val="0"/>
          <w:bCs w:val="0"/>
          <w:i w:val="0"/>
          <w:smallCaps w:val="0"/>
          <w:color w:val="auto"/>
          <w:spacing w:val="0"/>
          <w:sz w:val="22"/>
          <w:szCs w:val="22"/>
        </w:rPr>
      </w:pPr>
      <w:r>
        <w:rPr>
          <w:rStyle w:val="IntenseReference"/>
          <w:rFonts w:asciiTheme="minorHAnsi" w:hAnsiTheme="minorHAnsi" w:cs="Arial"/>
          <w:b w:val="0"/>
          <w:bCs w:val="0"/>
          <w:i w:val="0"/>
          <w:smallCaps w:val="0"/>
          <w:color w:val="auto"/>
          <w:spacing w:val="0"/>
          <w:sz w:val="22"/>
          <w:szCs w:val="22"/>
        </w:rPr>
        <w:t xml:space="preserve">The Office of the Information Commissioner is the privacy regulator </w:t>
      </w:r>
      <w:r w:rsidR="0052086A">
        <w:rPr>
          <w:rStyle w:val="IntenseReference"/>
          <w:rFonts w:asciiTheme="minorHAnsi" w:hAnsiTheme="minorHAnsi" w:cs="Arial"/>
          <w:b w:val="0"/>
          <w:bCs w:val="0"/>
          <w:i w:val="0"/>
          <w:smallCaps w:val="0"/>
          <w:color w:val="auto"/>
          <w:spacing w:val="0"/>
          <w:sz w:val="22"/>
          <w:szCs w:val="22"/>
        </w:rPr>
        <w:t>for the HI Service</w:t>
      </w:r>
      <w:r>
        <w:rPr>
          <w:rStyle w:val="IntenseReference"/>
          <w:rFonts w:asciiTheme="minorHAnsi" w:hAnsiTheme="minorHAnsi" w:cs="Arial"/>
          <w:b w:val="0"/>
          <w:bCs w:val="0"/>
          <w:i w:val="0"/>
          <w:smallCaps w:val="0"/>
          <w:color w:val="auto"/>
          <w:spacing w:val="0"/>
          <w:sz w:val="22"/>
          <w:szCs w:val="22"/>
        </w:rPr>
        <w:t>.  Any breach of the HI Act or in relation to a</w:t>
      </w:r>
      <w:r w:rsidR="00716DBB">
        <w:rPr>
          <w:rStyle w:val="IntenseReference"/>
          <w:rFonts w:asciiTheme="minorHAnsi" w:hAnsiTheme="minorHAnsi" w:cs="Arial"/>
          <w:b w:val="0"/>
          <w:bCs w:val="0"/>
          <w:i w:val="0"/>
          <w:smallCaps w:val="0"/>
          <w:color w:val="auto"/>
          <w:spacing w:val="0"/>
          <w:sz w:val="22"/>
          <w:szCs w:val="22"/>
        </w:rPr>
        <w:t>n</w:t>
      </w:r>
      <w:r>
        <w:rPr>
          <w:rStyle w:val="IntenseReference"/>
          <w:rFonts w:asciiTheme="minorHAnsi" w:hAnsiTheme="minorHAnsi" w:cs="Arial"/>
          <w:b w:val="0"/>
          <w:bCs w:val="0"/>
          <w:i w:val="0"/>
          <w:smallCaps w:val="0"/>
          <w:color w:val="auto"/>
          <w:spacing w:val="0"/>
          <w:sz w:val="22"/>
          <w:szCs w:val="22"/>
        </w:rPr>
        <w:t xml:space="preserve"> </w:t>
      </w:r>
      <w:r w:rsidR="00716DBB">
        <w:rPr>
          <w:rFonts w:asciiTheme="minorHAnsi" w:hAnsiTheme="minorHAnsi"/>
          <w:sz w:val="22"/>
          <w:szCs w:val="22"/>
        </w:rPr>
        <w:t xml:space="preserve">individual’s </w:t>
      </w:r>
      <w:r>
        <w:rPr>
          <w:rStyle w:val="IntenseReference"/>
          <w:rFonts w:asciiTheme="minorHAnsi" w:hAnsiTheme="minorHAnsi" w:cs="Arial"/>
          <w:b w:val="0"/>
          <w:bCs w:val="0"/>
          <w:i w:val="0"/>
          <w:smallCaps w:val="0"/>
          <w:color w:val="auto"/>
          <w:spacing w:val="0"/>
          <w:sz w:val="22"/>
          <w:szCs w:val="22"/>
        </w:rPr>
        <w:t>or healthcare provider’s healthcare identifier is an interference with privacy (section 29</w:t>
      </w:r>
      <w:r w:rsidR="0052086A">
        <w:rPr>
          <w:rStyle w:val="IntenseReference"/>
          <w:rFonts w:asciiTheme="minorHAnsi" w:hAnsiTheme="minorHAnsi" w:cs="Arial"/>
          <w:b w:val="0"/>
          <w:bCs w:val="0"/>
          <w:i w:val="0"/>
          <w:smallCaps w:val="0"/>
          <w:color w:val="auto"/>
          <w:spacing w:val="0"/>
          <w:sz w:val="22"/>
          <w:szCs w:val="22"/>
        </w:rPr>
        <w:t xml:space="preserve"> of the HI Act</w:t>
      </w:r>
      <w:r>
        <w:rPr>
          <w:rStyle w:val="IntenseReference"/>
          <w:rFonts w:asciiTheme="minorHAnsi" w:hAnsiTheme="minorHAnsi" w:cs="Arial"/>
          <w:b w:val="0"/>
          <w:bCs w:val="0"/>
          <w:i w:val="0"/>
          <w:smallCaps w:val="0"/>
          <w:color w:val="auto"/>
          <w:spacing w:val="0"/>
          <w:sz w:val="22"/>
          <w:szCs w:val="22"/>
        </w:rPr>
        <w:t>), thereby triggering the powers of the Information Commissioner under the Privacy Act.</w:t>
      </w:r>
    </w:p>
    <w:p w:rsidR="007225F5" w:rsidRDefault="00EE4063" w:rsidP="00110FCC">
      <w:pPr>
        <w:spacing w:before="120" w:after="120"/>
        <w:ind w:left="737"/>
        <w:rPr>
          <w:rStyle w:val="IntenseReference"/>
          <w:rFonts w:asciiTheme="minorHAnsi" w:hAnsiTheme="minorHAnsi" w:cs="Arial"/>
          <w:b w:val="0"/>
          <w:bCs w:val="0"/>
          <w:i w:val="0"/>
          <w:smallCaps w:val="0"/>
          <w:color w:val="auto"/>
          <w:spacing w:val="0"/>
          <w:sz w:val="22"/>
          <w:szCs w:val="22"/>
        </w:rPr>
      </w:pPr>
      <w:r>
        <w:rPr>
          <w:rStyle w:val="IntenseReference"/>
          <w:rFonts w:asciiTheme="minorHAnsi" w:hAnsiTheme="minorHAnsi" w:cs="Arial"/>
          <w:b w:val="0"/>
          <w:bCs w:val="0"/>
          <w:i w:val="0"/>
          <w:smallCaps w:val="0"/>
          <w:color w:val="auto"/>
          <w:spacing w:val="0"/>
          <w:sz w:val="22"/>
          <w:szCs w:val="22"/>
        </w:rPr>
        <w:t xml:space="preserve">The HI Review found there is some </w:t>
      </w:r>
      <w:r w:rsidR="0052086A">
        <w:rPr>
          <w:rStyle w:val="IntenseReference"/>
          <w:rFonts w:asciiTheme="minorHAnsi" w:hAnsiTheme="minorHAnsi" w:cs="Arial"/>
          <w:b w:val="0"/>
          <w:bCs w:val="0"/>
          <w:i w:val="0"/>
          <w:smallCaps w:val="0"/>
          <w:color w:val="auto"/>
          <w:spacing w:val="0"/>
          <w:sz w:val="22"/>
          <w:szCs w:val="22"/>
        </w:rPr>
        <w:t xml:space="preserve">uncertainty about </w:t>
      </w:r>
      <w:r>
        <w:rPr>
          <w:rStyle w:val="IntenseReference"/>
          <w:rFonts w:asciiTheme="minorHAnsi" w:hAnsiTheme="minorHAnsi" w:cs="Arial"/>
          <w:b w:val="0"/>
          <w:bCs w:val="0"/>
          <w:i w:val="0"/>
          <w:smallCaps w:val="0"/>
          <w:color w:val="auto"/>
          <w:spacing w:val="0"/>
          <w:sz w:val="22"/>
          <w:szCs w:val="22"/>
        </w:rPr>
        <w:t xml:space="preserve">whether the Information Commissioner </w:t>
      </w:r>
      <w:r w:rsidR="0052086A">
        <w:rPr>
          <w:rStyle w:val="IntenseReference"/>
          <w:rFonts w:asciiTheme="minorHAnsi" w:hAnsiTheme="minorHAnsi" w:cs="Arial"/>
          <w:b w:val="0"/>
          <w:bCs w:val="0"/>
          <w:i w:val="0"/>
          <w:smallCaps w:val="0"/>
          <w:color w:val="auto"/>
          <w:spacing w:val="0"/>
          <w:sz w:val="22"/>
          <w:szCs w:val="22"/>
        </w:rPr>
        <w:t xml:space="preserve">is permitted to handle </w:t>
      </w:r>
      <w:r>
        <w:rPr>
          <w:rStyle w:val="IntenseReference"/>
          <w:rFonts w:asciiTheme="minorHAnsi" w:hAnsiTheme="minorHAnsi" w:cs="Arial"/>
          <w:b w:val="0"/>
          <w:bCs w:val="0"/>
          <w:i w:val="0"/>
          <w:smallCaps w:val="0"/>
          <w:color w:val="auto"/>
          <w:spacing w:val="0"/>
          <w:sz w:val="22"/>
          <w:szCs w:val="22"/>
        </w:rPr>
        <w:t xml:space="preserve">healthcare identifiers for the purpose of </w:t>
      </w:r>
      <w:r w:rsidR="0052086A">
        <w:rPr>
          <w:rStyle w:val="IntenseReference"/>
          <w:rFonts w:asciiTheme="minorHAnsi" w:hAnsiTheme="minorHAnsi" w:cs="Arial"/>
          <w:b w:val="0"/>
          <w:bCs w:val="0"/>
          <w:i w:val="0"/>
          <w:smallCaps w:val="0"/>
          <w:color w:val="auto"/>
          <w:spacing w:val="0"/>
          <w:sz w:val="22"/>
          <w:szCs w:val="22"/>
        </w:rPr>
        <w:t xml:space="preserve">investigating </w:t>
      </w:r>
      <w:r>
        <w:rPr>
          <w:rStyle w:val="IntenseReference"/>
          <w:rFonts w:asciiTheme="minorHAnsi" w:hAnsiTheme="minorHAnsi" w:cs="Arial"/>
          <w:b w:val="0"/>
          <w:bCs w:val="0"/>
          <w:i w:val="0"/>
          <w:smallCaps w:val="0"/>
          <w:color w:val="auto"/>
          <w:spacing w:val="0"/>
          <w:sz w:val="22"/>
          <w:szCs w:val="22"/>
        </w:rPr>
        <w:t>complaints.</w:t>
      </w:r>
      <w:r w:rsidRPr="00F8568B">
        <w:rPr>
          <w:rStyle w:val="FootnoteReference"/>
          <w:rFonts w:asciiTheme="minorHAnsi" w:hAnsiTheme="minorHAnsi" w:cs="Arial"/>
          <w:sz w:val="22"/>
          <w:szCs w:val="22"/>
        </w:rPr>
        <w:footnoteReference w:id="23"/>
      </w:r>
      <w:r>
        <w:rPr>
          <w:rStyle w:val="IntenseReference"/>
          <w:rFonts w:asciiTheme="minorHAnsi" w:hAnsiTheme="minorHAnsi" w:cs="Arial"/>
          <w:b w:val="0"/>
          <w:bCs w:val="0"/>
          <w:i w:val="0"/>
          <w:smallCaps w:val="0"/>
          <w:color w:val="auto"/>
          <w:spacing w:val="0"/>
          <w:sz w:val="22"/>
          <w:szCs w:val="22"/>
        </w:rPr>
        <w:t xml:space="preserve">  </w:t>
      </w:r>
      <w:r w:rsidR="00C457FE">
        <w:rPr>
          <w:rStyle w:val="IntenseReference"/>
          <w:rFonts w:asciiTheme="minorHAnsi" w:hAnsiTheme="minorHAnsi" w:cs="Arial"/>
          <w:b w:val="0"/>
          <w:bCs w:val="0"/>
          <w:i w:val="0"/>
          <w:smallCaps w:val="0"/>
          <w:color w:val="auto"/>
          <w:spacing w:val="0"/>
          <w:sz w:val="22"/>
          <w:szCs w:val="22"/>
        </w:rPr>
        <w:t xml:space="preserve">To remove any doubt that might exist, the Information Commissioner </w:t>
      </w:r>
      <w:r w:rsidR="00E7676A">
        <w:rPr>
          <w:rStyle w:val="IntenseReference"/>
          <w:rFonts w:asciiTheme="minorHAnsi" w:hAnsiTheme="minorHAnsi" w:cs="Arial"/>
          <w:b w:val="0"/>
          <w:bCs w:val="0"/>
          <w:i w:val="0"/>
          <w:smallCaps w:val="0"/>
          <w:color w:val="auto"/>
          <w:spacing w:val="0"/>
          <w:sz w:val="22"/>
          <w:szCs w:val="22"/>
        </w:rPr>
        <w:t>would</w:t>
      </w:r>
      <w:r w:rsidR="00C457FE">
        <w:rPr>
          <w:rStyle w:val="IntenseReference"/>
          <w:rFonts w:asciiTheme="minorHAnsi" w:hAnsiTheme="minorHAnsi" w:cs="Arial"/>
          <w:b w:val="0"/>
          <w:bCs w:val="0"/>
          <w:i w:val="0"/>
          <w:smallCaps w:val="0"/>
          <w:color w:val="auto"/>
          <w:spacing w:val="0"/>
          <w:sz w:val="22"/>
          <w:szCs w:val="22"/>
        </w:rPr>
        <w:t xml:space="preserve"> be expressly authorised to handle healthcare identifiers and associated information as part of carrying out her or his functions under the Privacy Act and the HI Act.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hemeFill="accent2" w:themeFillTint="99"/>
        <w:tblCellMar>
          <w:top w:w="119" w:type="dxa"/>
        </w:tblCellMar>
        <w:tblLook w:val="04A0" w:firstRow="1" w:lastRow="0" w:firstColumn="1" w:lastColumn="0" w:noHBand="0" w:noVBand="1"/>
        <w:tblCaption w:val="A box for noting"/>
        <w:tblDescription w:val="Legislation to disband the Office of the Information Commissioner is currently before Parliament. If that occurs, privacy functions under the Privacy Act will be performed by the Commonwealth Privacy Commissioner."/>
      </w:tblPr>
      <w:tblGrid>
        <w:gridCol w:w="8153"/>
      </w:tblGrid>
      <w:tr w:rsidR="00D17C9B" w:rsidRPr="00396E21" w:rsidTr="0045440F">
        <w:trPr>
          <w:cantSplit/>
        </w:trPr>
        <w:tc>
          <w:tcPr>
            <w:tcW w:w="8153" w:type="dxa"/>
            <w:shd w:val="clear" w:color="auto" w:fill="D99594" w:themeFill="accent2" w:themeFillTint="99"/>
          </w:tcPr>
          <w:p w:rsidR="00D17C9B" w:rsidRPr="00396E21" w:rsidRDefault="00D17C9B" w:rsidP="00D17C9B">
            <w:pPr>
              <w:pStyle w:val="BodyText"/>
              <w:keepNext/>
              <w:rPr>
                <w:rFonts w:asciiTheme="minorHAnsi" w:hAnsiTheme="minorHAnsi"/>
                <w:b/>
                <w:sz w:val="22"/>
                <w:szCs w:val="22"/>
              </w:rPr>
            </w:pPr>
            <w:r>
              <w:rPr>
                <w:rFonts w:asciiTheme="minorHAnsi" w:hAnsiTheme="minorHAnsi"/>
                <w:b/>
                <w:sz w:val="22"/>
                <w:szCs w:val="22"/>
              </w:rPr>
              <w:lastRenderedPageBreak/>
              <w:t>Note</w:t>
            </w:r>
            <w:r w:rsidRPr="007C5475">
              <w:rPr>
                <w:rFonts w:asciiTheme="minorHAnsi" w:hAnsiTheme="minorHAnsi"/>
                <w:sz w:val="22"/>
                <w:szCs w:val="22"/>
              </w:rPr>
              <w:t xml:space="preserve">: </w:t>
            </w:r>
            <w:r>
              <w:rPr>
                <w:rFonts w:asciiTheme="minorHAnsi" w:hAnsiTheme="minorHAnsi"/>
                <w:sz w:val="22"/>
                <w:szCs w:val="22"/>
              </w:rPr>
              <w:t>Legislation to disband the Office of the Information Commissioner is currently before Parliament.  If that occurs, privacy functions under the Privacy Act will be performed by the Commonwealth Privacy Commissioner.</w:t>
            </w:r>
          </w:p>
        </w:tc>
      </w:tr>
    </w:tbl>
    <w:p w:rsidR="002049C5" w:rsidRPr="0088792D" w:rsidRDefault="002049C5" w:rsidP="002049C5">
      <w:pPr>
        <w:pStyle w:val="Heading4"/>
        <w:rPr>
          <w:sz w:val="12"/>
          <w:szCs w:val="12"/>
        </w:rPr>
      </w:pPr>
    </w:p>
    <w:p w:rsidR="002049C5" w:rsidRPr="002049C5" w:rsidRDefault="002049C5" w:rsidP="002049C5">
      <w:pPr>
        <w:pStyle w:val="Heading4"/>
      </w:pPr>
      <w:bookmarkStart w:id="121" w:name="_Toc418763128"/>
      <w:bookmarkStart w:id="122" w:name="_Toc420394282"/>
      <w:r w:rsidRPr="002049C5">
        <w:t>Healthcare provider organisations’ use of healthcare identifiers</w:t>
      </w:r>
      <w:bookmarkEnd w:id="121"/>
      <w:bookmarkEnd w:id="122"/>
    </w:p>
    <w:p w:rsidR="002049C5" w:rsidRDefault="002049C5" w:rsidP="002049C5">
      <w:pPr>
        <w:spacing w:before="120" w:after="120"/>
        <w:ind w:left="737"/>
        <w:rPr>
          <w:rFonts w:asciiTheme="minorHAnsi" w:hAnsiTheme="minorHAnsi" w:cs="Calibri"/>
          <w:sz w:val="22"/>
        </w:rPr>
      </w:pPr>
      <w:r>
        <w:rPr>
          <w:rFonts w:asciiTheme="minorHAnsi" w:hAnsiTheme="minorHAnsi" w:cs="Calibri"/>
          <w:sz w:val="22"/>
        </w:rPr>
        <w:t xml:space="preserve">The HI Review identified limitations on the HI Service Operator </w:t>
      </w:r>
      <w:r w:rsidR="00C04CEF">
        <w:rPr>
          <w:rFonts w:asciiTheme="minorHAnsi" w:hAnsiTheme="minorHAnsi" w:cs="Calibri"/>
          <w:sz w:val="22"/>
        </w:rPr>
        <w:t>disclosing</w:t>
      </w:r>
      <w:r w:rsidR="00E90AF6">
        <w:rPr>
          <w:rFonts w:asciiTheme="minorHAnsi" w:hAnsiTheme="minorHAnsi" w:cs="Calibri"/>
          <w:sz w:val="22"/>
        </w:rPr>
        <w:t>,</w:t>
      </w:r>
      <w:r w:rsidR="00C04CEF">
        <w:rPr>
          <w:rFonts w:asciiTheme="minorHAnsi" w:hAnsiTheme="minorHAnsi" w:cs="Calibri"/>
          <w:sz w:val="22"/>
        </w:rPr>
        <w:t xml:space="preserve"> to a healthcare provider organisation,</w:t>
      </w:r>
      <w:r>
        <w:rPr>
          <w:rFonts w:asciiTheme="minorHAnsi" w:hAnsiTheme="minorHAnsi" w:cs="Calibri"/>
          <w:sz w:val="22"/>
        </w:rPr>
        <w:t xml:space="preserve"> healthcare identifiers and identifying information </w:t>
      </w:r>
      <w:r w:rsidR="00C04CEF">
        <w:rPr>
          <w:rFonts w:asciiTheme="minorHAnsi" w:hAnsiTheme="minorHAnsi" w:cs="Calibri"/>
          <w:sz w:val="22"/>
        </w:rPr>
        <w:t xml:space="preserve">of </w:t>
      </w:r>
      <w:r w:rsidR="00E90AF6">
        <w:rPr>
          <w:rFonts w:asciiTheme="minorHAnsi" w:hAnsiTheme="minorHAnsi" w:cs="Calibri"/>
          <w:sz w:val="22"/>
        </w:rPr>
        <w:t xml:space="preserve">individual healthcare </w:t>
      </w:r>
      <w:r w:rsidR="00C04CEF">
        <w:rPr>
          <w:rFonts w:asciiTheme="minorHAnsi" w:hAnsiTheme="minorHAnsi" w:cs="Calibri"/>
          <w:sz w:val="22"/>
        </w:rPr>
        <w:t>providers in that organisation.  This</w:t>
      </w:r>
      <w:r>
        <w:rPr>
          <w:rFonts w:asciiTheme="minorHAnsi" w:hAnsiTheme="minorHAnsi" w:cs="Calibri"/>
          <w:sz w:val="22"/>
        </w:rPr>
        <w:t xml:space="preserve"> is adversely affecting the utility of the HI Service.</w:t>
      </w:r>
      <w:r w:rsidR="00C04CEF" w:rsidRPr="002049C5">
        <w:rPr>
          <w:rStyle w:val="FootnoteReference"/>
          <w:rFonts w:ascii="Calibri" w:hAnsi="Calibri" w:cs="Calibri"/>
          <w:sz w:val="22"/>
        </w:rPr>
        <w:footnoteReference w:id="24"/>
      </w:r>
    </w:p>
    <w:p w:rsidR="00C04CEF" w:rsidRDefault="00E90AF6" w:rsidP="00C04CEF">
      <w:pPr>
        <w:spacing w:before="120" w:after="120"/>
        <w:ind w:left="737"/>
        <w:rPr>
          <w:rFonts w:ascii="Calibri" w:hAnsi="Calibri" w:cs="Calibri"/>
          <w:sz w:val="22"/>
        </w:rPr>
      </w:pPr>
      <w:r>
        <w:rPr>
          <w:rFonts w:ascii="Calibri" w:hAnsi="Calibri" w:cs="Calibri"/>
          <w:sz w:val="22"/>
        </w:rPr>
        <w:t>To clarify this situation,</w:t>
      </w:r>
      <w:r w:rsidR="00C04CEF">
        <w:rPr>
          <w:rFonts w:ascii="Calibri" w:hAnsi="Calibri" w:cs="Calibri"/>
          <w:sz w:val="22"/>
        </w:rPr>
        <w:t xml:space="preserve"> it is proposed</w:t>
      </w:r>
      <w:r>
        <w:rPr>
          <w:rFonts w:ascii="Calibri" w:hAnsi="Calibri" w:cs="Calibri"/>
          <w:sz w:val="22"/>
        </w:rPr>
        <w:t xml:space="preserve"> to authorise </w:t>
      </w:r>
      <w:r w:rsidR="00C04CEF">
        <w:rPr>
          <w:rFonts w:ascii="Calibri" w:hAnsi="Calibri" w:cs="Calibri"/>
          <w:sz w:val="22"/>
        </w:rPr>
        <w:t xml:space="preserve">the HI Service Operator to disclose the status of </w:t>
      </w:r>
      <w:r>
        <w:rPr>
          <w:rFonts w:ascii="Calibri" w:hAnsi="Calibri" w:cs="Calibri"/>
          <w:sz w:val="22"/>
        </w:rPr>
        <w:t xml:space="preserve">individual healthcare </w:t>
      </w:r>
      <w:r w:rsidR="00C04CEF">
        <w:rPr>
          <w:rFonts w:ascii="Calibri" w:hAnsi="Calibri" w:cs="Calibri"/>
          <w:sz w:val="22"/>
        </w:rPr>
        <w:t>provider</w:t>
      </w:r>
      <w:r w:rsidR="00176FA0">
        <w:rPr>
          <w:rFonts w:ascii="Calibri" w:hAnsi="Calibri" w:cs="Calibri"/>
          <w:sz w:val="22"/>
        </w:rPr>
        <w:t>s</w:t>
      </w:r>
      <w:r w:rsidR="005021A7">
        <w:rPr>
          <w:rFonts w:ascii="Calibri" w:hAnsi="Calibri" w:cs="Calibri"/>
          <w:sz w:val="22"/>
        </w:rPr>
        <w:t>’</w:t>
      </w:r>
      <w:r w:rsidR="00C04CEF">
        <w:rPr>
          <w:rFonts w:ascii="Calibri" w:hAnsi="Calibri" w:cs="Calibri"/>
          <w:sz w:val="22"/>
        </w:rPr>
        <w:t xml:space="preserve"> healthcare identifier</w:t>
      </w:r>
      <w:r>
        <w:rPr>
          <w:rFonts w:ascii="Calibri" w:hAnsi="Calibri" w:cs="Calibri"/>
          <w:sz w:val="22"/>
        </w:rPr>
        <w:t>s</w:t>
      </w:r>
      <w:r w:rsidR="00C04CEF">
        <w:rPr>
          <w:rFonts w:ascii="Calibri" w:hAnsi="Calibri" w:cs="Calibri"/>
          <w:sz w:val="22"/>
        </w:rPr>
        <w:t xml:space="preserve"> (</w:t>
      </w:r>
      <w:r w:rsidR="00176FA0">
        <w:rPr>
          <w:rFonts w:ascii="Calibri" w:hAnsi="Calibri" w:cs="Calibri"/>
          <w:sz w:val="22"/>
        </w:rPr>
        <w:t>such as whether it has been suspended)</w:t>
      </w:r>
      <w:r w:rsidR="006902EA">
        <w:rPr>
          <w:rFonts w:ascii="Calibri" w:hAnsi="Calibri" w:cs="Calibri"/>
          <w:sz w:val="22"/>
        </w:rPr>
        <w:t xml:space="preserve"> and the type of provider (such as whether they are a general practitioner).</w:t>
      </w:r>
    </w:p>
    <w:p w:rsidR="002049C5" w:rsidRDefault="002049C5" w:rsidP="002049C5">
      <w:pPr>
        <w:pStyle w:val="Heading4"/>
      </w:pPr>
      <w:bookmarkStart w:id="123" w:name="_Toc418763129"/>
      <w:bookmarkStart w:id="124" w:name="_Toc420394283"/>
      <w:r>
        <w:t>Healthcare identifier searching capabilities</w:t>
      </w:r>
      <w:bookmarkEnd w:id="123"/>
      <w:bookmarkEnd w:id="124"/>
    </w:p>
    <w:p w:rsidR="00854DF1" w:rsidRDefault="00854DF1" w:rsidP="00854DF1">
      <w:pPr>
        <w:spacing w:before="120" w:after="120"/>
        <w:ind w:left="737"/>
        <w:rPr>
          <w:rFonts w:ascii="Calibri" w:hAnsi="Calibri" w:cs="Calibri"/>
          <w:sz w:val="22"/>
        </w:rPr>
      </w:pPr>
      <w:r>
        <w:rPr>
          <w:rFonts w:ascii="Calibri" w:hAnsi="Calibri" w:cs="Calibri"/>
          <w:sz w:val="22"/>
        </w:rPr>
        <w:t>Healthcare providers can search the HI Service for a</w:t>
      </w:r>
      <w:r w:rsidR="00716DBB">
        <w:rPr>
          <w:rFonts w:ascii="Calibri" w:hAnsi="Calibri" w:cs="Calibri"/>
          <w:sz w:val="22"/>
        </w:rPr>
        <w:t>n</w:t>
      </w:r>
      <w:r>
        <w:rPr>
          <w:rFonts w:ascii="Calibri" w:hAnsi="Calibri" w:cs="Calibri"/>
          <w:sz w:val="22"/>
        </w:rPr>
        <w:t xml:space="preserve"> </w:t>
      </w:r>
      <w:r w:rsidR="00716DBB">
        <w:rPr>
          <w:rFonts w:asciiTheme="minorHAnsi" w:hAnsiTheme="minorHAnsi"/>
          <w:sz w:val="22"/>
          <w:szCs w:val="22"/>
        </w:rPr>
        <w:t xml:space="preserve">individual’s </w:t>
      </w:r>
      <w:r>
        <w:rPr>
          <w:rFonts w:ascii="Calibri" w:hAnsi="Calibri" w:cs="Calibri"/>
          <w:sz w:val="22"/>
        </w:rPr>
        <w:t xml:space="preserve">healthcare identifier when they </w:t>
      </w:r>
      <w:r w:rsidR="00E90AF6">
        <w:rPr>
          <w:rFonts w:ascii="Calibri" w:hAnsi="Calibri" w:cs="Calibri"/>
          <w:sz w:val="22"/>
        </w:rPr>
        <w:t xml:space="preserve">accurately </w:t>
      </w:r>
      <w:r>
        <w:rPr>
          <w:rFonts w:ascii="Calibri" w:hAnsi="Calibri" w:cs="Calibri"/>
          <w:sz w:val="22"/>
        </w:rPr>
        <w:t xml:space="preserve">provide certain key information about the </w:t>
      </w:r>
      <w:r w:rsidR="00716DBB">
        <w:rPr>
          <w:rFonts w:asciiTheme="minorHAnsi" w:hAnsiTheme="minorHAnsi"/>
          <w:sz w:val="22"/>
          <w:szCs w:val="22"/>
        </w:rPr>
        <w:t>individual</w:t>
      </w:r>
      <w:r>
        <w:rPr>
          <w:rFonts w:ascii="Calibri" w:hAnsi="Calibri" w:cs="Calibri"/>
          <w:sz w:val="22"/>
        </w:rPr>
        <w:t xml:space="preserve">.  When the information </w:t>
      </w:r>
      <w:r w:rsidR="00E90AF6">
        <w:rPr>
          <w:rFonts w:ascii="Calibri" w:hAnsi="Calibri" w:cs="Calibri"/>
          <w:sz w:val="22"/>
        </w:rPr>
        <w:t xml:space="preserve">submitted </w:t>
      </w:r>
      <w:r w:rsidR="00577988">
        <w:rPr>
          <w:rFonts w:ascii="Calibri" w:hAnsi="Calibri" w:cs="Calibri"/>
          <w:sz w:val="22"/>
        </w:rPr>
        <w:t xml:space="preserve">exactly </w:t>
      </w:r>
      <w:r>
        <w:rPr>
          <w:rFonts w:ascii="Calibri" w:hAnsi="Calibri" w:cs="Calibri"/>
          <w:sz w:val="22"/>
        </w:rPr>
        <w:t>matches th</w:t>
      </w:r>
      <w:r w:rsidR="00133C40">
        <w:rPr>
          <w:rFonts w:ascii="Calibri" w:hAnsi="Calibri" w:cs="Calibri"/>
          <w:sz w:val="22"/>
        </w:rPr>
        <w:t>e information</w:t>
      </w:r>
      <w:r>
        <w:rPr>
          <w:rFonts w:ascii="Calibri" w:hAnsi="Calibri" w:cs="Calibri"/>
          <w:sz w:val="22"/>
        </w:rPr>
        <w:t xml:space="preserve"> held by the HI Service</w:t>
      </w:r>
      <w:r w:rsidR="00E90AF6">
        <w:rPr>
          <w:rFonts w:ascii="Calibri" w:hAnsi="Calibri" w:cs="Calibri"/>
          <w:sz w:val="22"/>
        </w:rPr>
        <w:t>,</w:t>
      </w:r>
      <w:r>
        <w:rPr>
          <w:rFonts w:ascii="Calibri" w:hAnsi="Calibri" w:cs="Calibri"/>
          <w:sz w:val="22"/>
        </w:rPr>
        <w:t xml:space="preserve"> the </w:t>
      </w:r>
      <w:r w:rsidR="00716DBB">
        <w:rPr>
          <w:rFonts w:asciiTheme="minorHAnsi" w:hAnsiTheme="minorHAnsi"/>
          <w:sz w:val="22"/>
          <w:szCs w:val="22"/>
        </w:rPr>
        <w:t xml:space="preserve">individual’s </w:t>
      </w:r>
      <w:r>
        <w:rPr>
          <w:rFonts w:ascii="Calibri" w:hAnsi="Calibri" w:cs="Calibri"/>
          <w:sz w:val="22"/>
        </w:rPr>
        <w:t xml:space="preserve">healthcare identifier is disclosed to the healthcare provider.  Without a perfect match, the healthcare identifier is not disclosed.  </w:t>
      </w:r>
      <w:r w:rsidR="00133C40">
        <w:rPr>
          <w:rFonts w:ascii="Calibri" w:hAnsi="Calibri" w:cs="Calibri"/>
          <w:sz w:val="22"/>
        </w:rPr>
        <w:t>The HI Review found that t</w:t>
      </w:r>
      <w:r>
        <w:rPr>
          <w:rFonts w:ascii="Calibri" w:hAnsi="Calibri" w:cs="Calibri"/>
          <w:sz w:val="22"/>
        </w:rPr>
        <w:t xml:space="preserve">his is causing problems because very minor data quality issues, such as minor spelling or punctuation differences, cause a mismatch, and </w:t>
      </w:r>
      <w:r w:rsidR="00133C40">
        <w:rPr>
          <w:rFonts w:ascii="Calibri" w:hAnsi="Calibri" w:cs="Calibri"/>
          <w:sz w:val="22"/>
        </w:rPr>
        <w:t>thes</w:t>
      </w:r>
      <w:r>
        <w:rPr>
          <w:rFonts w:ascii="Calibri" w:hAnsi="Calibri" w:cs="Calibri"/>
          <w:sz w:val="22"/>
        </w:rPr>
        <w:t>e types of errors occur frequently.</w:t>
      </w:r>
      <w:r w:rsidR="00133C40" w:rsidRPr="00854DF1">
        <w:rPr>
          <w:rStyle w:val="FootnoteReference"/>
          <w:rFonts w:ascii="Calibri" w:hAnsi="Calibri" w:cs="Calibri"/>
          <w:sz w:val="22"/>
        </w:rPr>
        <w:footnoteReference w:id="25"/>
      </w:r>
      <w:r>
        <w:rPr>
          <w:rFonts w:ascii="Calibri" w:hAnsi="Calibri" w:cs="Calibri"/>
          <w:sz w:val="22"/>
        </w:rPr>
        <w:t xml:space="preserve"> </w:t>
      </w:r>
      <w:r w:rsidR="00133C40">
        <w:rPr>
          <w:rFonts w:ascii="Calibri" w:hAnsi="Calibri" w:cs="Calibri"/>
          <w:sz w:val="22"/>
        </w:rPr>
        <w:t xml:space="preserve"> </w:t>
      </w:r>
      <w:r>
        <w:rPr>
          <w:rFonts w:ascii="Calibri" w:hAnsi="Calibri" w:cs="Calibri"/>
          <w:sz w:val="22"/>
        </w:rPr>
        <w:t xml:space="preserve">This means the healthcare </w:t>
      </w:r>
      <w:r w:rsidR="00133C40">
        <w:rPr>
          <w:rFonts w:ascii="Calibri" w:hAnsi="Calibri" w:cs="Calibri"/>
          <w:sz w:val="22"/>
        </w:rPr>
        <w:t xml:space="preserve">provider cannot attach the </w:t>
      </w:r>
      <w:r w:rsidR="00716DBB">
        <w:rPr>
          <w:rFonts w:asciiTheme="minorHAnsi" w:hAnsiTheme="minorHAnsi"/>
          <w:sz w:val="22"/>
          <w:szCs w:val="22"/>
        </w:rPr>
        <w:t xml:space="preserve">individual’s </w:t>
      </w:r>
      <w:r w:rsidR="00133C40">
        <w:rPr>
          <w:rFonts w:ascii="Calibri" w:hAnsi="Calibri" w:cs="Calibri"/>
          <w:sz w:val="22"/>
        </w:rPr>
        <w:t xml:space="preserve">healthcare identifier to their records, undermining the objectives of the HI Service.  </w:t>
      </w:r>
    </w:p>
    <w:p w:rsidR="00577988" w:rsidRDefault="00133C40" w:rsidP="00854DF1">
      <w:pPr>
        <w:spacing w:before="120" w:after="120"/>
        <w:ind w:left="737"/>
        <w:rPr>
          <w:rFonts w:ascii="Calibri" w:hAnsi="Calibri" w:cs="Calibri"/>
          <w:sz w:val="22"/>
        </w:rPr>
      </w:pPr>
      <w:r>
        <w:rPr>
          <w:rFonts w:ascii="Calibri" w:hAnsi="Calibri" w:cs="Calibri"/>
          <w:sz w:val="22"/>
        </w:rPr>
        <w:t xml:space="preserve">It is proposed that, in instances of mismatches, the Hi Service Operator be permitted to </w:t>
      </w:r>
      <w:r w:rsidR="00577988">
        <w:rPr>
          <w:rFonts w:ascii="Calibri" w:hAnsi="Calibri" w:cs="Calibri"/>
          <w:sz w:val="22"/>
        </w:rPr>
        <w:t>undertake actions which would enable resolution of the identity without disclosing personal information about third parties. This would help the HI Service Operator verify the identity of the correct individual in order to disclose the healthcare identifier.</w:t>
      </w:r>
    </w:p>
    <w:p w:rsidR="000370EF" w:rsidRDefault="000370EF" w:rsidP="000370EF">
      <w:pPr>
        <w:pStyle w:val="Heading4"/>
      </w:pPr>
      <w:bookmarkStart w:id="125" w:name="_Toc418763130"/>
      <w:bookmarkStart w:id="126" w:name="_Toc420394284"/>
      <w:r>
        <w:t>Retaining information for security purposes</w:t>
      </w:r>
      <w:bookmarkEnd w:id="125"/>
      <w:bookmarkEnd w:id="126"/>
    </w:p>
    <w:p w:rsidR="007B5E1B" w:rsidRPr="007450CE" w:rsidRDefault="007B5E1B" w:rsidP="007450CE">
      <w:pPr>
        <w:pStyle w:val="ListParagraph"/>
        <w:spacing w:before="120" w:after="120"/>
        <w:ind w:left="737"/>
        <w:contextualSpacing w:val="0"/>
        <w:rPr>
          <w:rStyle w:val="IntenseReference"/>
          <w:rFonts w:asciiTheme="minorHAnsi" w:hAnsiTheme="minorHAnsi" w:cs="Arial"/>
          <w:b w:val="0"/>
          <w:bCs w:val="0"/>
          <w:i w:val="0"/>
          <w:smallCaps w:val="0"/>
          <w:color w:val="auto"/>
          <w:spacing w:val="0"/>
          <w:sz w:val="22"/>
          <w:szCs w:val="22"/>
        </w:rPr>
      </w:pPr>
      <w:r>
        <w:rPr>
          <w:rStyle w:val="IntenseReference"/>
          <w:rFonts w:asciiTheme="minorHAnsi" w:hAnsiTheme="minorHAnsi" w:cs="Arial"/>
          <w:b w:val="0"/>
          <w:bCs w:val="0"/>
          <w:i w:val="0"/>
          <w:smallCaps w:val="0"/>
          <w:color w:val="auto"/>
          <w:spacing w:val="0"/>
          <w:sz w:val="22"/>
          <w:szCs w:val="22"/>
        </w:rPr>
        <w:t>The PCEHR System Operator</w:t>
      </w:r>
      <w:r w:rsidR="007450CE">
        <w:rPr>
          <w:rStyle w:val="IntenseReference"/>
          <w:rFonts w:asciiTheme="minorHAnsi" w:hAnsiTheme="minorHAnsi" w:cs="Arial"/>
          <w:b w:val="0"/>
          <w:bCs w:val="0"/>
          <w:i w:val="0"/>
          <w:smallCaps w:val="0"/>
          <w:color w:val="auto"/>
          <w:spacing w:val="0"/>
          <w:sz w:val="22"/>
          <w:szCs w:val="22"/>
        </w:rPr>
        <w:t xml:space="preserve"> is only permitted to collect, use or disclose information that is necessary to carry out its functions.  </w:t>
      </w:r>
      <w:r w:rsidR="007450CE" w:rsidRPr="007450CE">
        <w:rPr>
          <w:rStyle w:val="IntenseReference"/>
          <w:rFonts w:asciiTheme="minorHAnsi" w:hAnsiTheme="minorHAnsi" w:cs="Arial"/>
          <w:b w:val="0"/>
          <w:bCs w:val="0"/>
          <w:i w:val="0"/>
          <w:smallCaps w:val="0"/>
          <w:color w:val="auto"/>
          <w:spacing w:val="0"/>
          <w:sz w:val="22"/>
          <w:szCs w:val="22"/>
        </w:rPr>
        <w:t>At present this means that there are certain security activities that the PCEHR System Operator cannot undertake.</w:t>
      </w:r>
      <w:r w:rsidR="007450CE">
        <w:rPr>
          <w:rStyle w:val="IntenseReference"/>
          <w:rFonts w:asciiTheme="minorHAnsi" w:hAnsiTheme="minorHAnsi" w:cs="Arial"/>
          <w:b w:val="0"/>
          <w:bCs w:val="0"/>
          <w:i w:val="0"/>
          <w:smallCaps w:val="0"/>
          <w:color w:val="auto"/>
          <w:spacing w:val="0"/>
          <w:sz w:val="22"/>
          <w:szCs w:val="22"/>
        </w:rPr>
        <w:t xml:space="preserve">  In order to improve its ability to detect fraudulent activity or activities that pose a risk to the security of the PCEHR system, it is proposed</w:t>
      </w:r>
      <w:r w:rsidR="007450CE" w:rsidRPr="007450CE">
        <w:rPr>
          <w:rStyle w:val="IntenseReference"/>
          <w:rFonts w:asciiTheme="minorHAnsi" w:hAnsiTheme="minorHAnsi" w:cs="Arial"/>
          <w:b w:val="0"/>
          <w:bCs w:val="0"/>
          <w:i w:val="0"/>
          <w:smallCaps w:val="0"/>
          <w:color w:val="auto"/>
          <w:spacing w:val="0"/>
          <w:sz w:val="22"/>
          <w:szCs w:val="22"/>
        </w:rPr>
        <w:t xml:space="preserve"> </w:t>
      </w:r>
      <w:r w:rsidR="007450CE">
        <w:rPr>
          <w:rStyle w:val="IntenseReference"/>
          <w:rFonts w:asciiTheme="minorHAnsi" w:hAnsiTheme="minorHAnsi" w:cs="Arial"/>
          <w:b w:val="0"/>
          <w:bCs w:val="0"/>
          <w:i w:val="0"/>
          <w:smallCaps w:val="0"/>
          <w:color w:val="auto"/>
          <w:spacing w:val="0"/>
          <w:sz w:val="22"/>
          <w:szCs w:val="22"/>
        </w:rPr>
        <w:t>to clarify that personal information can be collected, use</w:t>
      </w:r>
      <w:r w:rsidR="00A11EFF">
        <w:rPr>
          <w:rStyle w:val="IntenseReference"/>
          <w:rFonts w:asciiTheme="minorHAnsi" w:hAnsiTheme="minorHAnsi" w:cs="Arial"/>
          <w:b w:val="0"/>
          <w:bCs w:val="0"/>
          <w:i w:val="0"/>
          <w:smallCaps w:val="0"/>
          <w:color w:val="auto"/>
          <w:spacing w:val="0"/>
          <w:sz w:val="22"/>
          <w:szCs w:val="22"/>
        </w:rPr>
        <w:t>d</w:t>
      </w:r>
      <w:r w:rsidR="007450CE">
        <w:rPr>
          <w:rStyle w:val="IntenseReference"/>
          <w:rFonts w:asciiTheme="minorHAnsi" w:hAnsiTheme="minorHAnsi" w:cs="Arial"/>
          <w:b w:val="0"/>
          <w:bCs w:val="0"/>
          <w:i w:val="0"/>
          <w:smallCaps w:val="0"/>
          <w:color w:val="auto"/>
          <w:spacing w:val="0"/>
          <w:sz w:val="22"/>
          <w:szCs w:val="22"/>
        </w:rPr>
        <w:t xml:space="preserve"> and disclosed for the purposes of detection, prevention and enforcement activities for the PCEHR system.</w:t>
      </w:r>
      <w:r w:rsidR="007450CE" w:rsidRPr="007450CE">
        <w:rPr>
          <w:rStyle w:val="IntenseReference"/>
          <w:rFonts w:asciiTheme="minorHAnsi" w:hAnsiTheme="minorHAnsi" w:cs="Arial"/>
          <w:b w:val="0"/>
          <w:bCs w:val="0"/>
          <w:i w:val="0"/>
          <w:smallCaps w:val="0"/>
          <w:color w:val="auto"/>
          <w:spacing w:val="0"/>
          <w:sz w:val="22"/>
          <w:szCs w:val="22"/>
        </w:rPr>
        <w:t xml:space="preserve"> </w:t>
      </w:r>
    </w:p>
    <w:p w:rsidR="000370EF" w:rsidRDefault="00B44CA0" w:rsidP="000370EF">
      <w:pPr>
        <w:pStyle w:val="Heading4"/>
      </w:pPr>
      <w:bookmarkStart w:id="127" w:name="_Toc418763131"/>
      <w:bookmarkStart w:id="128" w:name="_Toc420394285"/>
      <w:r>
        <w:t>Handling by Australian Health Practitioner Regulation Agency (</w:t>
      </w:r>
      <w:proofErr w:type="spellStart"/>
      <w:r>
        <w:t>AHPRA</w:t>
      </w:r>
      <w:proofErr w:type="spellEnd"/>
      <w:r>
        <w:t>)</w:t>
      </w:r>
      <w:bookmarkEnd w:id="127"/>
      <w:bookmarkEnd w:id="128"/>
    </w:p>
    <w:p w:rsidR="00B44CA0" w:rsidRDefault="00B44CA0" w:rsidP="000370EF">
      <w:pPr>
        <w:pStyle w:val="ListParagraph"/>
        <w:spacing w:before="120" w:after="120"/>
        <w:ind w:left="737"/>
        <w:contextualSpacing w:val="0"/>
        <w:rPr>
          <w:rStyle w:val="IntenseReference"/>
          <w:rFonts w:asciiTheme="minorHAnsi" w:hAnsiTheme="minorHAnsi" w:cs="Arial"/>
          <w:b w:val="0"/>
          <w:bCs w:val="0"/>
          <w:i w:val="0"/>
          <w:smallCaps w:val="0"/>
          <w:color w:val="auto"/>
          <w:spacing w:val="0"/>
          <w:sz w:val="22"/>
          <w:szCs w:val="22"/>
        </w:rPr>
      </w:pPr>
      <w:proofErr w:type="spellStart"/>
      <w:r>
        <w:rPr>
          <w:rStyle w:val="IntenseReference"/>
          <w:rFonts w:asciiTheme="minorHAnsi" w:hAnsiTheme="minorHAnsi" w:cs="Arial"/>
          <w:b w:val="0"/>
          <w:bCs w:val="0"/>
          <w:i w:val="0"/>
          <w:smallCaps w:val="0"/>
          <w:color w:val="auto"/>
          <w:spacing w:val="0"/>
          <w:sz w:val="22"/>
          <w:szCs w:val="22"/>
        </w:rPr>
        <w:t>AHPRA</w:t>
      </w:r>
      <w:proofErr w:type="spellEnd"/>
      <w:r>
        <w:rPr>
          <w:rStyle w:val="IntenseReference"/>
          <w:rFonts w:asciiTheme="minorHAnsi" w:hAnsiTheme="minorHAnsi" w:cs="Arial"/>
          <w:b w:val="0"/>
          <w:bCs w:val="0"/>
          <w:i w:val="0"/>
          <w:smallCaps w:val="0"/>
          <w:color w:val="auto"/>
          <w:spacing w:val="0"/>
          <w:sz w:val="22"/>
          <w:szCs w:val="22"/>
        </w:rPr>
        <w:t xml:space="preserve"> is responsible for assigning healthcare identifiers to most individual healthcare providers</w:t>
      </w:r>
      <w:r w:rsidR="00A11EFF">
        <w:rPr>
          <w:rStyle w:val="IntenseReference"/>
          <w:rFonts w:asciiTheme="minorHAnsi" w:hAnsiTheme="minorHAnsi" w:cs="Arial"/>
          <w:b w:val="0"/>
          <w:bCs w:val="0"/>
          <w:i w:val="0"/>
          <w:smallCaps w:val="0"/>
          <w:color w:val="auto"/>
          <w:spacing w:val="0"/>
          <w:sz w:val="22"/>
          <w:szCs w:val="22"/>
        </w:rPr>
        <w:t>.</w:t>
      </w:r>
      <w:r>
        <w:rPr>
          <w:rStyle w:val="IntenseReference"/>
          <w:rFonts w:asciiTheme="minorHAnsi" w:hAnsiTheme="minorHAnsi" w:cs="Arial"/>
          <w:b w:val="0"/>
          <w:bCs w:val="0"/>
          <w:i w:val="0"/>
          <w:smallCaps w:val="0"/>
          <w:color w:val="auto"/>
          <w:spacing w:val="0"/>
          <w:sz w:val="22"/>
          <w:szCs w:val="22"/>
        </w:rPr>
        <w:t xml:space="preserve"> Once this </w:t>
      </w:r>
      <w:proofErr w:type="gramStart"/>
      <w:r>
        <w:rPr>
          <w:rStyle w:val="IntenseReference"/>
          <w:rFonts w:asciiTheme="minorHAnsi" w:hAnsiTheme="minorHAnsi" w:cs="Arial"/>
          <w:b w:val="0"/>
          <w:bCs w:val="0"/>
          <w:i w:val="0"/>
          <w:smallCaps w:val="0"/>
          <w:color w:val="auto"/>
          <w:spacing w:val="0"/>
          <w:sz w:val="22"/>
          <w:szCs w:val="22"/>
        </w:rPr>
        <w:t>occurs</w:t>
      </w:r>
      <w:proofErr w:type="gramEnd"/>
      <w:r>
        <w:rPr>
          <w:rStyle w:val="IntenseReference"/>
          <w:rFonts w:asciiTheme="minorHAnsi" w:hAnsiTheme="minorHAnsi" w:cs="Arial"/>
          <w:b w:val="0"/>
          <w:bCs w:val="0"/>
          <w:i w:val="0"/>
          <w:smallCaps w:val="0"/>
          <w:color w:val="auto"/>
          <w:spacing w:val="0"/>
          <w:sz w:val="22"/>
          <w:szCs w:val="22"/>
        </w:rPr>
        <w:t xml:space="preserve"> </w:t>
      </w:r>
      <w:r w:rsidR="007B5B70">
        <w:rPr>
          <w:rStyle w:val="IntenseReference"/>
          <w:rFonts w:asciiTheme="minorHAnsi" w:hAnsiTheme="minorHAnsi" w:cs="Arial"/>
          <w:b w:val="0"/>
          <w:bCs w:val="0"/>
          <w:i w:val="0"/>
          <w:smallCaps w:val="0"/>
          <w:color w:val="auto"/>
          <w:spacing w:val="0"/>
          <w:sz w:val="22"/>
          <w:szCs w:val="22"/>
        </w:rPr>
        <w:t>identifying</w:t>
      </w:r>
      <w:r>
        <w:rPr>
          <w:rStyle w:val="IntenseReference"/>
          <w:rFonts w:asciiTheme="minorHAnsi" w:hAnsiTheme="minorHAnsi" w:cs="Arial"/>
          <w:b w:val="0"/>
          <w:bCs w:val="0"/>
          <w:i w:val="0"/>
          <w:smallCaps w:val="0"/>
          <w:color w:val="auto"/>
          <w:spacing w:val="0"/>
          <w:sz w:val="22"/>
          <w:szCs w:val="22"/>
        </w:rPr>
        <w:t xml:space="preserve"> information </w:t>
      </w:r>
      <w:r w:rsidR="007B5B70">
        <w:rPr>
          <w:rStyle w:val="IntenseReference"/>
          <w:rFonts w:asciiTheme="minorHAnsi" w:hAnsiTheme="minorHAnsi" w:cs="Arial"/>
          <w:b w:val="0"/>
          <w:bCs w:val="0"/>
          <w:i w:val="0"/>
          <w:smallCaps w:val="0"/>
          <w:color w:val="auto"/>
          <w:spacing w:val="0"/>
          <w:sz w:val="22"/>
          <w:szCs w:val="22"/>
        </w:rPr>
        <w:t xml:space="preserve">about the provider and the healthcare identifier </w:t>
      </w:r>
      <w:r>
        <w:rPr>
          <w:rStyle w:val="IntenseReference"/>
          <w:rFonts w:asciiTheme="minorHAnsi" w:hAnsiTheme="minorHAnsi" w:cs="Arial"/>
          <w:b w:val="0"/>
          <w:bCs w:val="0"/>
          <w:i w:val="0"/>
          <w:smallCaps w:val="0"/>
          <w:color w:val="auto"/>
          <w:spacing w:val="0"/>
          <w:sz w:val="22"/>
          <w:szCs w:val="22"/>
        </w:rPr>
        <w:t>is provided to the HI Service Operator</w:t>
      </w:r>
      <w:r w:rsidR="007B5B70">
        <w:rPr>
          <w:rStyle w:val="IntenseReference"/>
          <w:rFonts w:asciiTheme="minorHAnsi" w:hAnsiTheme="minorHAnsi" w:cs="Arial"/>
          <w:b w:val="0"/>
          <w:bCs w:val="0"/>
          <w:i w:val="0"/>
          <w:smallCaps w:val="0"/>
          <w:color w:val="auto"/>
          <w:spacing w:val="0"/>
          <w:sz w:val="22"/>
          <w:szCs w:val="22"/>
        </w:rPr>
        <w:t xml:space="preserve"> in order to maintain the HI Service and inform the PCEHR system</w:t>
      </w:r>
      <w:r>
        <w:rPr>
          <w:rStyle w:val="IntenseReference"/>
          <w:rFonts w:asciiTheme="minorHAnsi" w:hAnsiTheme="minorHAnsi" w:cs="Arial"/>
          <w:b w:val="0"/>
          <w:bCs w:val="0"/>
          <w:i w:val="0"/>
          <w:smallCaps w:val="0"/>
          <w:color w:val="auto"/>
          <w:spacing w:val="0"/>
          <w:sz w:val="22"/>
          <w:szCs w:val="22"/>
        </w:rPr>
        <w:t xml:space="preserve">.  This information flow is one way which is problematic because sometimes the HI Service Operator identifies errors in this information and needs to notify </w:t>
      </w:r>
      <w:proofErr w:type="spellStart"/>
      <w:r>
        <w:rPr>
          <w:rStyle w:val="IntenseReference"/>
          <w:rFonts w:asciiTheme="minorHAnsi" w:hAnsiTheme="minorHAnsi" w:cs="Arial"/>
          <w:b w:val="0"/>
          <w:bCs w:val="0"/>
          <w:i w:val="0"/>
          <w:smallCaps w:val="0"/>
          <w:color w:val="auto"/>
          <w:spacing w:val="0"/>
          <w:sz w:val="22"/>
          <w:szCs w:val="22"/>
        </w:rPr>
        <w:t>AHPRA</w:t>
      </w:r>
      <w:proofErr w:type="spellEnd"/>
      <w:r>
        <w:rPr>
          <w:rStyle w:val="IntenseReference"/>
          <w:rFonts w:asciiTheme="minorHAnsi" w:hAnsiTheme="minorHAnsi" w:cs="Arial"/>
          <w:b w:val="0"/>
          <w:bCs w:val="0"/>
          <w:i w:val="0"/>
          <w:smallCaps w:val="0"/>
          <w:color w:val="auto"/>
          <w:spacing w:val="0"/>
          <w:sz w:val="22"/>
          <w:szCs w:val="22"/>
        </w:rPr>
        <w:t xml:space="preserve"> so the information can be corrected at its source.</w:t>
      </w:r>
      <w:r w:rsidR="00221E9F">
        <w:rPr>
          <w:rStyle w:val="IntenseReference"/>
          <w:rFonts w:asciiTheme="minorHAnsi" w:hAnsiTheme="minorHAnsi" w:cs="Arial"/>
          <w:b w:val="0"/>
          <w:bCs w:val="0"/>
          <w:i w:val="0"/>
          <w:smallCaps w:val="0"/>
          <w:color w:val="auto"/>
          <w:spacing w:val="0"/>
          <w:sz w:val="22"/>
          <w:szCs w:val="22"/>
        </w:rPr>
        <w:t xml:space="preserve">  I</w:t>
      </w:r>
      <w:r>
        <w:rPr>
          <w:rStyle w:val="IntenseReference"/>
          <w:rFonts w:asciiTheme="minorHAnsi" w:hAnsiTheme="minorHAnsi" w:cs="Arial"/>
          <w:b w:val="0"/>
          <w:bCs w:val="0"/>
          <w:i w:val="0"/>
          <w:smallCaps w:val="0"/>
          <w:color w:val="auto"/>
          <w:spacing w:val="0"/>
          <w:sz w:val="22"/>
          <w:szCs w:val="22"/>
        </w:rPr>
        <w:t>t is</w:t>
      </w:r>
      <w:r w:rsidR="00221E9F">
        <w:rPr>
          <w:rStyle w:val="IntenseReference"/>
          <w:rFonts w:asciiTheme="minorHAnsi" w:hAnsiTheme="minorHAnsi" w:cs="Arial"/>
          <w:b w:val="0"/>
          <w:bCs w:val="0"/>
          <w:i w:val="0"/>
          <w:smallCaps w:val="0"/>
          <w:color w:val="auto"/>
          <w:spacing w:val="0"/>
          <w:sz w:val="22"/>
          <w:szCs w:val="22"/>
        </w:rPr>
        <w:t xml:space="preserve"> therefore</w:t>
      </w:r>
      <w:r>
        <w:rPr>
          <w:rStyle w:val="IntenseReference"/>
          <w:rFonts w:asciiTheme="minorHAnsi" w:hAnsiTheme="minorHAnsi" w:cs="Arial"/>
          <w:b w:val="0"/>
          <w:bCs w:val="0"/>
          <w:i w:val="0"/>
          <w:smallCaps w:val="0"/>
          <w:color w:val="auto"/>
          <w:spacing w:val="0"/>
          <w:sz w:val="22"/>
          <w:szCs w:val="22"/>
        </w:rPr>
        <w:t xml:space="preserve"> proposed to allow </w:t>
      </w:r>
      <w:r w:rsidR="00A11EFF">
        <w:rPr>
          <w:rStyle w:val="IntenseReference"/>
          <w:rFonts w:asciiTheme="minorHAnsi" w:hAnsiTheme="minorHAnsi" w:cs="Arial"/>
          <w:b w:val="0"/>
          <w:bCs w:val="0"/>
          <w:i w:val="0"/>
          <w:smallCaps w:val="0"/>
          <w:color w:val="auto"/>
          <w:spacing w:val="0"/>
          <w:sz w:val="22"/>
          <w:szCs w:val="22"/>
        </w:rPr>
        <w:t xml:space="preserve">the HI Service Operator to disclose </w:t>
      </w:r>
      <w:r>
        <w:rPr>
          <w:rStyle w:val="IntenseReference"/>
          <w:rFonts w:asciiTheme="minorHAnsi" w:hAnsiTheme="minorHAnsi" w:cs="Arial"/>
          <w:b w:val="0"/>
          <w:bCs w:val="0"/>
          <w:i w:val="0"/>
          <w:smallCaps w:val="0"/>
          <w:color w:val="auto"/>
          <w:spacing w:val="0"/>
          <w:sz w:val="22"/>
          <w:szCs w:val="22"/>
        </w:rPr>
        <w:t xml:space="preserve">this information to </w:t>
      </w:r>
      <w:proofErr w:type="spellStart"/>
      <w:r w:rsidR="007B5B70">
        <w:rPr>
          <w:rStyle w:val="IntenseReference"/>
          <w:rFonts w:asciiTheme="minorHAnsi" w:hAnsiTheme="minorHAnsi" w:cs="Arial"/>
          <w:b w:val="0"/>
          <w:bCs w:val="0"/>
          <w:i w:val="0"/>
          <w:smallCaps w:val="0"/>
          <w:color w:val="auto"/>
          <w:spacing w:val="0"/>
          <w:sz w:val="22"/>
          <w:szCs w:val="22"/>
        </w:rPr>
        <w:t>AHPRA</w:t>
      </w:r>
      <w:proofErr w:type="spellEnd"/>
      <w:r w:rsidR="007B5B70">
        <w:rPr>
          <w:rStyle w:val="IntenseReference"/>
          <w:rFonts w:asciiTheme="minorHAnsi" w:hAnsiTheme="minorHAnsi" w:cs="Arial"/>
          <w:b w:val="0"/>
          <w:bCs w:val="0"/>
          <w:i w:val="0"/>
          <w:smallCaps w:val="0"/>
          <w:color w:val="auto"/>
          <w:spacing w:val="0"/>
          <w:sz w:val="22"/>
          <w:szCs w:val="22"/>
        </w:rPr>
        <w:t xml:space="preserve"> in order to ensure data quality and accuracy.</w:t>
      </w:r>
    </w:p>
    <w:p w:rsidR="00221E9F" w:rsidRDefault="00221E9F" w:rsidP="00221E9F">
      <w:pPr>
        <w:pStyle w:val="ListParagraph"/>
        <w:spacing w:before="120" w:after="120"/>
        <w:ind w:left="737"/>
        <w:contextualSpacing w:val="0"/>
        <w:rPr>
          <w:rStyle w:val="IntenseReference"/>
          <w:rFonts w:asciiTheme="minorHAnsi" w:hAnsiTheme="minorHAnsi" w:cs="Arial"/>
          <w:b w:val="0"/>
          <w:bCs w:val="0"/>
          <w:i w:val="0"/>
          <w:smallCaps w:val="0"/>
          <w:color w:val="auto"/>
          <w:spacing w:val="0"/>
          <w:sz w:val="22"/>
          <w:szCs w:val="22"/>
        </w:rPr>
      </w:pPr>
      <w:r>
        <w:rPr>
          <w:rStyle w:val="IntenseReference"/>
          <w:rFonts w:asciiTheme="minorHAnsi" w:hAnsiTheme="minorHAnsi" w:cs="Arial"/>
          <w:b w:val="0"/>
          <w:bCs w:val="0"/>
          <w:i w:val="0"/>
          <w:smallCaps w:val="0"/>
          <w:color w:val="auto"/>
          <w:spacing w:val="0"/>
          <w:sz w:val="22"/>
          <w:szCs w:val="22"/>
        </w:rPr>
        <w:t xml:space="preserve">In considering </w:t>
      </w:r>
      <w:proofErr w:type="spellStart"/>
      <w:r>
        <w:rPr>
          <w:rStyle w:val="IntenseReference"/>
          <w:rFonts w:asciiTheme="minorHAnsi" w:hAnsiTheme="minorHAnsi" w:cs="Arial"/>
          <w:b w:val="0"/>
          <w:bCs w:val="0"/>
          <w:i w:val="0"/>
          <w:smallCaps w:val="0"/>
          <w:color w:val="auto"/>
          <w:spacing w:val="0"/>
          <w:sz w:val="22"/>
          <w:szCs w:val="22"/>
        </w:rPr>
        <w:t>AHPRA’s</w:t>
      </w:r>
      <w:proofErr w:type="spellEnd"/>
      <w:r>
        <w:rPr>
          <w:rStyle w:val="IntenseReference"/>
          <w:rFonts w:asciiTheme="minorHAnsi" w:hAnsiTheme="minorHAnsi" w:cs="Arial"/>
          <w:b w:val="0"/>
          <w:bCs w:val="0"/>
          <w:i w:val="0"/>
          <w:smallCaps w:val="0"/>
          <w:color w:val="auto"/>
          <w:spacing w:val="0"/>
          <w:sz w:val="22"/>
          <w:szCs w:val="22"/>
        </w:rPr>
        <w:t xml:space="preserve"> role, the HI Review considered that </w:t>
      </w:r>
      <w:proofErr w:type="spellStart"/>
      <w:r>
        <w:rPr>
          <w:rStyle w:val="IntenseReference"/>
          <w:rFonts w:asciiTheme="minorHAnsi" w:hAnsiTheme="minorHAnsi" w:cs="Arial"/>
          <w:b w:val="0"/>
          <w:bCs w:val="0"/>
          <w:i w:val="0"/>
          <w:smallCaps w:val="0"/>
          <w:color w:val="auto"/>
          <w:spacing w:val="0"/>
          <w:sz w:val="22"/>
          <w:szCs w:val="22"/>
        </w:rPr>
        <w:t>AHPRA</w:t>
      </w:r>
      <w:proofErr w:type="spellEnd"/>
      <w:r>
        <w:rPr>
          <w:rStyle w:val="IntenseReference"/>
          <w:rFonts w:asciiTheme="minorHAnsi" w:hAnsiTheme="minorHAnsi" w:cs="Arial"/>
          <w:b w:val="0"/>
          <w:bCs w:val="0"/>
          <w:i w:val="0"/>
          <w:smallCaps w:val="0"/>
          <w:color w:val="auto"/>
          <w:spacing w:val="0"/>
          <w:sz w:val="22"/>
          <w:szCs w:val="22"/>
        </w:rPr>
        <w:t xml:space="preserve"> could play a role in improving healthcare providers’ adoption of healthcare identifiers, such as making it more accessible to providers and including it as part of regular professional registration renewal activities.</w:t>
      </w:r>
      <w:r>
        <w:rPr>
          <w:rStyle w:val="FootnoteReference"/>
          <w:rFonts w:asciiTheme="minorHAnsi" w:hAnsiTheme="minorHAnsi" w:cs="Arial"/>
          <w:sz w:val="22"/>
          <w:szCs w:val="22"/>
        </w:rPr>
        <w:footnoteReference w:id="26"/>
      </w:r>
      <w:r>
        <w:rPr>
          <w:rStyle w:val="IntenseReference"/>
          <w:rFonts w:asciiTheme="minorHAnsi" w:hAnsiTheme="minorHAnsi" w:cs="Arial"/>
          <w:b w:val="0"/>
          <w:bCs w:val="0"/>
          <w:i w:val="0"/>
          <w:smallCaps w:val="0"/>
          <w:color w:val="auto"/>
          <w:spacing w:val="0"/>
          <w:sz w:val="22"/>
          <w:szCs w:val="22"/>
        </w:rPr>
        <w:t xml:space="preserve">  It is proposed to ensure that </w:t>
      </w:r>
      <w:proofErr w:type="spellStart"/>
      <w:r>
        <w:rPr>
          <w:rStyle w:val="IntenseReference"/>
          <w:rFonts w:asciiTheme="minorHAnsi" w:hAnsiTheme="minorHAnsi" w:cs="Arial"/>
          <w:b w:val="0"/>
          <w:bCs w:val="0"/>
          <w:i w:val="0"/>
          <w:smallCaps w:val="0"/>
          <w:color w:val="auto"/>
          <w:spacing w:val="0"/>
          <w:sz w:val="22"/>
          <w:szCs w:val="22"/>
        </w:rPr>
        <w:t>AHPRA</w:t>
      </w:r>
      <w:proofErr w:type="spellEnd"/>
      <w:r>
        <w:rPr>
          <w:rStyle w:val="IntenseReference"/>
          <w:rFonts w:asciiTheme="minorHAnsi" w:hAnsiTheme="minorHAnsi" w:cs="Arial"/>
          <w:b w:val="0"/>
          <w:bCs w:val="0"/>
          <w:i w:val="0"/>
          <w:smallCaps w:val="0"/>
          <w:color w:val="auto"/>
          <w:spacing w:val="0"/>
          <w:sz w:val="22"/>
          <w:szCs w:val="22"/>
        </w:rPr>
        <w:t xml:space="preserve"> can disclose HPI-Is to healthcare providers to improve adoption</w:t>
      </w:r>
      <w:r w:rsidR="00A11EFF">
        <w:rPr>
          <w:rStyle w:val="IntenseReference"/>
          <w:rFonts w:asciiTheme="minorHAnsi" w:hAnsiTheme="minorHAnsi" w:cs="Arial"/>
          <w:b w:val="0"/>
          <w:bCs w:val="0"/>
          <w:i w:val="0"/>
          <w:smallCaps w:val="0"/>
          <w:color w:val="auto"/>
          <w:spacing w:val="0"/>
          <w:sz w:val="22"/>
          <w:szCs w:val="22"/>
        </w:rPr>
        <w:t xml:space="preserve"> and encourage greater uptake of eHealth</w:t>
      </w:r>
      <w:r>
        <w:rPr>
          <w:rStyle w:val="IntenseReference"/>
          <w:rFonts w:asciiTheme="minorHAnsi" w:hAnsiTheme="minorHAnsi" w:cs="Arial"/>
          <w:b w:val="0"/>
          <w:bCs w:val="0"/>
          <w:i w:val="0"/>
          <w:smallCaps w:val="0"/>
          <w:color w:val="auto"/>
          <w:spacing w:val="0"/>
          <w:sz w:val="22"/>
          <w:szCs w:val="22"/>
        </w:rPr>
        <w:t>.</w:t>
      </w:r>
    </w:p>
    <w:p w:rsidR="00831581" w:rsidRDefault="00831581" w:rsidP="00831581">
      <w:pPr>
        <w:pStyle w:val="Heading3"/>
        <w:numPr>
          <w:ilvl w:val="0"/>
          <w:numId w:val="0"/>
        </w:numPr>
        <w:ind w:left="720" w:hanging="720"/>
      </w:pPr>
      <w:bookmarkStart w:id="129" w:name="_Toc418763132"/>
      <w:bookmarkStart w:id="130" w:name="_Toc420394286"/>
      <w:r>
        <w:lastRenderedPageBreak/>
        <w:t>3.5.4</w:t>
      </w:r>
      <w:r>
        <w:tab/>
        <w:t>Penalties for misuse of information</w:t>
      </w:r>
      <w:bookmarkEnd w:id="129"/>
      <w:bookmarkEnd w:id="130"/>
    </w:p>
    <w:p w:rsidR="00692E07" w:rsidRPr="009850E0" w:rsidRDefault="00692E07" w:rsidP="00692E07">
      <w:pPr>
        <w:spacing w:before="120" w:after="120"/>
        <w:ind w:left="737"/>
        <w:rPr>
          <w:rFonts w:asciiTheme="minorHAnsi" w:eastAsiaTheme="minorHAnsi" w:hAnsiTheme="minorHAnsi"/>
          <w:sz w:val="22"/>
          <w:szCs w:val="22"/>
        </w:rPr>
      </w:pPr>
      <w:r w:rsidRPr="009850E0">
        <w:rPr>
          <w:rFonts w:asciiTheme="minorHAnsi" w:hAnsiTheme="minorHAnsi"/>
          <w:sz w:val="22"/>
          <w:szCs w:val="22"/>
        </w:rPr>
        <w:t>The HI Act and PCEHR Act, together with the Privacy Act, currently provide penalties for misuse of information</w:t>
      </w:r>
      <w:r w:rsidRPr="00FD0128">
        <w:rPr>
          <w:rFonts w:asciiTheme="minorHAnsi" w:hAnsiTheme="minorHAnsi"/>
          <w:sz w:val="22"/>
          <w:szCs w:val="22"/>
        </w:rPr>
        <w:t xml:space="preserve"> and healthcare identifiers</w:t>
      </w:r>
      <w:r w:rsidRPr="009850E0">
        <w:rPr>
          <w:rFonts w:asciiTheme="minorHAnsi" w:hAnsiTheme="minorHAnsi"/>
          <w:sz w:val="22"/>
          <w:szCs w:val="22"/>
        </w:rPr>
        <w:t xml:space="preserve">.  </w:t>
      </w:r>
    </w:p>
    <w:p w:rsidR="00692E07" w:rsidRPr="009850E0" w:rsidRDefault="00692E07" w:rsidP="00FD0128">
      <w:pPr>
        <w:pStyle w:val="ListParagraph"/>
        <w:numPr>
          <w:ilvl w:val="0"/>
          <w:numId w:val="33"/>
        </w:numPr>
        <w:spacing w:before="120" w:after="120"/>
        <w:ind w:left="1451" w:hanging="357"/>
        <w:contextualSpacing w:val="0"/>
        <w:rPr>
          <w:rFonts w:asciiTheme="minorHAnsi" w:hAnsiTheme="minorHAnsi"/>
          <w:sz w:val="22"/>
          <w:szCs w:val="22"/>
        </w:rPr>
      </w:pPr>
      <w:r w:rsidRPr="009850E0">
        <w:rPr>
          <w:rFonts w:asciiTheme="minorHAnsi" w:hAnsiTheme="minorHAnsi"/>
          <w:sz w:val="22"/>
          <w:szCs w:val="22"/>
        </w:rPr>
        <w:t xml:space="preserve">The HI Act imposes criminal penalties for unauthorised collection, use or disclosure of healthcare identifiers (imprisonment for up to two years or </w:t>
      </w:r>
      <w:r w:rsidRPr="00FD0128">
        <w:rPr>
          <w:rFonts w:asciiTheme="minorHAnsi" w:hAnsiTheme="minorHAnsi"/>
          <w:sz w:val="22"/>
          <w:szCs w:val="22"/>
        </w:rPr>
        <w:t xml:space="preserve">up to </w:t>
      </w:r>
      <w:r w:rsidRPr="009850E0">
        <w:rPr>
          <w:rFonts w:asciiTheme="minorHAnsi" w:hAnsiTheme="minorHAnsi"/>
          <w:sz w:val="22"/>
          <w:szCs w:val="22"/>
        </w:rPr>
        <w:t>120 penalty units (i.e. $20,</w:t>
      </w:r>
      <w:r w:rsidRPr="00FD0128">
        <w:rPr>
          <w:rFonts w:asciiTheme="minorHAnsi" w:hAnsiTheme="minorHAnsi"/>
          <w:sz w:val="22"/>
          <w:szCs w:val="22"/>
        </w:rPr>
        <w:t>4</w:t>
      </w:r>
      <w:r w:rsidRPr="009850E0">
        <w:rPr>
          <w:rFonts w:asciiTheme="minorHAnsi" w:hAnsiTheme="minorHAnsi"/>
          <w:sz w:val="22"/>
          <w:szCs w:val="22"/>
        </w:rPr>
        <w:t>00 for individuals and $102,000 for bodies corporate) or both).</w:t>
      </w:r>
    </w:p>
    <w:p w:rsidR="00692E07" w:rsidRPr="009850E0" w:rsidRDefault="00692E07" w:rsidP="00FD0128">
      <w:pPr>
        <w:pStyle w:val="ListParagraph"/>
        <w:numPr>
          <w:ilvl w:val="0"/>
          <w:numId w:val="33"/>
        </w:numPr>
        <w:spacing w:before="120" w:after="120"/>
        <w:ind w:left="1451" w:hanging="357"/>
        <w:contextualSpacing w:val="0"/>
        <w:rPr>
          <w:rFonts w:asciiTheme="minorHAnsi" w:hAnsiTheme="minorHAnsi"/>
          <w:sz w:val="22"/>
          <w:szCs w:val="22"/>
        </w:rPr>
      </w:pPr>
      <w:r w:rsidRPr="009850E0">
        <w:rPr>
          <w:rFonts w:asciiTheme="minorHAnsi" w:hAnsiTheme="minorHAnsi"/>
          <w:sz w:val="22"/>
          <w:szCs w:val="22"/>
        </w:rPr>
        <w:t>The PCEHR Act imposes civil penalties for unauthorised collection, use or disclosure of health information in a PCEHR</w:t>
      </w:r>
      <w:r w:rsidRPr="00FD0128">
        <w:rPr>
          <w:rFonts w:asciiTheme="minorHAnsi" w:hAnsiTheme="minorHAnsi"/>
          <w:sz w:val="22"/>
          <w:szCs w:val="22"/>
        </w:rPr>
        <w:t>, and for a range of other breaches of the Act such as taking PCEHR information outside Australia</w:t>
      </w:r>
      <w:r w:rsidRPr="009850E0">
        <w:rPr>
          <w:rFonts w:asciiTheme="minorHAnsi" w:hAnsiTheme="minorHAnsi"/>
          <w:sz w:val="22"/>
          <w:szCs w:val="22"/>
        </w:rPr>
        <w:t xml:space="preserve"> </w:t>
      </w:r>
      <w:r w:rsidRPr="00FD0128">
        <w:rPr>
          <w:rFonts w:asciiTheme="minorHAnsi" w:hAnsiTheme="minorHAnsi"/>
          <w:sz w:val="22"/>
          <w:szCs w:val="22"/>
        </w:rPr>
        <w:t xml:space="preserve">or failing to report data breaches </w:t>
      </w:r>
      <w:r w:rsidRPr="009850E0">
        <w:rPr>
          <w:rFonts w:asciiTheme="minorHAnsi" w:hAnsiTheme="minorHAnsi"/>
          <w:sz w:val="22"/>
          <w:szCs w:val="22"/>
        </w:rPr>
        <w:t>(</w:t>
      </w:r>
      <w:r w:rsidRPr="00FD0128">
        <w:rPr>
          <w:rFonts w:asciiTheme="minorHAnsi" w:hAnsiTheme="minorHAnsi"/>
          <w:sz w:val="22"/>
          <w:szCs w:val="22"/>
        </w:rPr>
        <w:t xml:space="preserve">penalties vary, but they range up to </w:t>
      </w:r>
      <w:r w:rsidRPr="009850E0">
        <w:rPr>
          <w:rFonts w:asciiTheme="minorHAnsi" w:hAnsiTheme="minorHAnsi"/>
          <w:sz w:val="22"/>
          <w:szCs w:val="22"/>
        </w:rPr>
        <w:t xml:space="preserve">120 penalty units (i.e. </w:t>
      </w:r>
      <w:r w:rsidRPr="00FD0128">
        <w:rPr>
          <w:rFonts w:asciiTheme="minorHAnsi" w:hAnsiTheme="minorHAnsi"/>
          <w:sz w:val="22"/>
          <w:szCs w:val="22"/>
        </w:rPr>
        <w:t xml:space="preserve">up to </w:t>
      </w:r>
      <w:r w:rsidRPr="009850E0">
        <w:rPr>
          <w:rFonts w:asciiTheme="minorHAnsi" w:hAnsiTheme="minorHAnsi"/>
          <w:sz w:val="22"/>
          <w:szCs w:val="22"/>
        </w:rPr>
        <w:t>$20,</w:t>
      </w:r>
      <w:r w:rsidRPr="00FD0128">
        <w:rPr>
          <w:rFonts w:asciiTheme="minorHAnsi" w:hAnsiTheme="minorHAnsi"/>
          <w:sz w:val="22"/>
          <w:szCs w:val="22"/>
        </w:rPr>
        <w:t>4</w:t>
      </w:r>
      <w:r w:rsidRPr="009850E0">
        <w:rPr>
          <w:rFonts w:asciiTheme="minorHAnsi" w:hAnsiTheme="minorHAnsi"/>
          <w:sz w:val="22"/>
          <w:szCs w:val="22"/>
        </w:rPr>
        <w:t>00 for individuals and $102,000 for bodies corporate).</w:t>
      </w:r>
      <w:r w:rsidRPr="00FD0128">
        <w:rPr>
          <w:rFonts w:asciiTheme="minorHAnsi" w:hAnsiTheme="minorHAnsi"/>
          <w:sz w:val="22"/>
          <w:szCs w:val="22"/>
        </w:rPr>
        <w:t xml:space="preserve">  </w:t>
      </w:r>
    </w:p>
    <w:p w:rsidR="00692E07" w:rsidRPr="009850E0" w:rsidRDefault="00692E07" w:rsidP="00FD0128">
      <w:pPr>
        <w:pStyle w:val="ListParagraph"/>
        <w:numPr>
          <w:ilvl w:val="0"/>
          <w:numId w:val="33"/>
        </w:numPr>
        <w:spacing w:before="120" w:after="120"/>
        <w:ind w:left="1451" w:hanging="357"/>
        <w:contextualSpacing w:val="0"/>
        <w:rPr>
          <w:rFonts w:asciiTheme="minorHAnsi" w:hAnsiTheme="minorHAnsi"/>
          <w:sz w:val="22"/>
          <w:szCs w:val="22"/>
        </w:rPr>
      </w:pPr>
      <w:r w:rsidRPr="009850E0">
        <w:rPr>
          <w:rFonts w:asciiTheme="minorHAnsi" w:hAnsiTheme="minorHAnsi"/>
          <w:sz w:val="22"/>
          <w:szCs w:val="22"/>
        </w:rPr>
        <w:t xml:space="preserve">The Privacy Act imposes civil penalties for interferences with privacy (up to 2,000 penalty units (i.e. </w:t>
      </w:r>
      <w:r w:rsidRPr="00FD0128">
        <w:rPr>
          <w:rFonts w:asciiTheme="minorHAnsi" w:hAnsiTheme="minorHAnsi"/>
          <w:sz w:val="22"/>
          <w:szCs w:val="22"/>
        </w:rPr>
        <w:t xml:space="preserve">up to </w:t>
      </w:r>
      <w:r w:rsidRPr="009850E0">
        <w:rPr>
          <w:rFonts w:asciiTheme="minorHAnsi" w:hAnsiTheme="minorHAnsi"/>
          <w:sz w:val="22"/>
          <w:szCs w:val="22"/>
        </w:rPr>
        <w:t>$340,000 for individuals and $1.7 million for bodies corporate)).</w:t>
      </w:r>
    </w:p>
    <w:p w:rsidR="00692E07" w:rsidRPr="009850E0" w:rsidRDefault="00692E07" w:rsidP="00692E07">
      <w:pPr>
        <w:spacing w:before="120" w:after="120"/>
        <w:ind w:left="737"/>
        <w:rPr>
          <w:rStyle w:val="IntenseReference"/>
          <w:rFonts w:asciiTheme="minorHAnsi" w:hAnsiTheme="minorHAnsi"/>
          <w:b w:val="0"/>
          <w:bCs w:val="0"/>
          <w:i w:val="0"/>
          <w:color w:val="auto"/>
          <w:sz w:val="22"/>
          <w:szCs w:val="22"/>
        </w:rPr>
      </w:pPr>
      <w:r w:rsidRPr="00FD0128">
        <w:rPr>
          <w:rFonts w:asciiTheme="minorHAnsi" w:hAnsiTheme="minorHAnsi"/>
          <w:sz w:val="22"/>
          <w:szCs w:val="22"/>
        </w:rPr>
        <w:t>Consideration is being given to increasing the range of enforcement and penalty options available should a person breach the PCEHR Act.  For example, consideration is being given to introducing</w:t>
      </w:r>
      <w:r w:rsidRPr="009850E0">
        <w:rPr>
          <w:rFonts w:asciiTheme="minorHAnsi" w:hAnsiTheme="minorHAnsi"/>
          <w:sz w:val="22"/>
          <w:szCs w:val="22"/>
        </w:rPr>
        <w:t xml:space="preserve"> criminal offen</w:t>
      </w:r>
      <w:r w:rsidR="00E31E80">
        <w:rPr>
          <w:rFonts w:asciiTheme="minorHAnsi" w:hAnsiTheme="minorHAnsi"/>
          <w:sz w:val="22"/>
          <w:szCs w:val="22"/>
        </w:rPr>
        <w:t>c</w:t>
      </w:r>
      <w:r w:rsidRPr="009850E0">
        <w:rPr>
          <w:rFonts w:asciiTheme="minorHAnsi" w:hAnsiTheme="minorHAnsi"/>
          <w:sz w:val="22"/>
          <w:szCs w:val="22"/>
        </w:rPr>
        <w:t>es in relation to the PCEHR system</w:t>
      </w:r>
      <w:r w:rsidRPr="00FD0128">
        <w:rPr>
          <w:rFonts w:asciiTheme="minorHAnsi" w:hAnsiTheme="minorHAnsi"/>
          <w:sz w:val="22"/>
          <w:szCs w:val="22"/>
        </w:rPr>
        <w:t xml:space="preserve"> for serious breaches</w:t>
      </w:r>
      <w:r w:rsidRPr="009850E0">
        <w:rPr>
          <w:rFonts w:asciiTheme="minorHAnsi" w:hAnsiTheme="minorHAnsi"/>
          <w:sz w:val="22"/>
          <w:szCs w:val="22"/>
        </w:rPr>
        <w:t xml:space="preserve">, while retaining the ability to impose civil penalties.  This would establish a more graduated framework for </w:t>
      </w:r>
      <w:r w:rsidRPr="00FD0128">
        <w:rPr>
          <w:rFonts w:asciiTheme="minorHAnsi" w:hAnsiTheme="minorHAnsi"/>
          <w:sz w:val="22"/>
          <w:szCs w:val="22"/>
        </w:rPr>
        <w:t xml:space="preserve">better </w:t>
      </w:r>
      <w:r w:rsidRPr="009850E0">
        <w:rPr>
          <w:rFonts w:asciiTheme="minorHAnsi" w:hAnsiTheme="minorHAnsi"/>
          <w:sz w:val="22"/>
          <w:szCs w:val="22"/>
        </w:rPr>
        <w:t xml:space="preserve">responding to inappropriate behaviour </w:t>
      </w:r>
      <w:r w:rsidRPr="00FD0128">
        <w:rPr>
          <w:rFonts w:asciiTheme="minorHAnsi" w:hAnsiTheme="minorHAnsi"/>
          <w:sz w:val="22"/>
          <w:szCs w:val="22"/>
        </w:rPr>
        <w:t xml:space="preserve">in a way </w:t>
      </w:r>
      <w:r w:rsidRPr="009850E0">
        <w:rPr>
          <w:rFonts w:asciiTheme="minorHAnsi" w:hAnsiTheme="minorHAnsi"/>
          <w:sz w:val="22"/>
          <w:szCs w:val="22"/>
        </w:rPr>
        <w:t xml:space="preserve">that is </w:t>
      </w:r>
      <w:r w:rsidRPr="00FD0128">
        <w:rPr>
          <w:rFonts w:asciiTheme="minorHAnsi" w:hAnsiTheme="minorHAnsi"/>
          <w:sz w:val="22"/>
          <w:szCs w:val="22"/>
        </w:rPr>
        <w:t xml:space="preserve">more </w:t>
      </w:r>
      <w:r w:rsidRPr="009850E0">
        <w:rPr>
          <w:rFonts w:asciiTheme="minorHAnsi" w:hAnsiTheme="minorHAnsi"/>
          <w:sz w:val="22"/>
          <w:szCs w:val="22"/>
        </w:rPr>
        <w:t xml:space="preserve">proportional to the severity of the </w:t>
      </w:r>
      <w:r w:rsidRPr="00FD0128">
        <w:rPr>
          <w:rFonts w:asciiTheme="minorHAnsi" w:hAnsiTheme="minorHAnsi"/>
          <w:sz w:val="22"/>
          <w:szCs w:val="22"/>
        </w:rPr>
        <w:t>breach</w:t>
      </w:r>
      <w:r w:rsidRPr="009850E0">
        <w:rPr>
          <w:rFonts w:asciiTheme="minorHAnsi" w:hAnsiTheme="minorHAnsi"/>
          <w:sz w:val="22"/>
          <w:szCs w:val="22"/>
        </w:rPr>
        <w:t>.</w:t>
      </w:r>
    </w:p>
    <w:tbl>
      <w:tblPr>
        <w:tblW w:w="0" w:type="auto"/>
        <w:tblInd w:w="817" w:type="dxa"/>
        <w:shd w:val="clear" w:color="auto" w:fill="C6F7C6"/>
        <w:tblCellMar>
          <w:left w:w="0" w:type="dxa"/>
          <w:right w:w="0" w:type="dxa"/>
        </w:tblCellMar>
        <w:tblLook w:val="04A0" w:firstRow="1" w:lastRow="0" w:firstColumn="1" w:lastColumn="0" w:noHBand="0" w:noVBand="1"/>
        <w:tblCaption w:val="A box for consideration"/>
        <w:tblDescription w:val="Iin relation to PCEHRs: A PCEHR contains sensitive information about an individual. &#10;Do you consider that more serious misuses of PCEHR information should be subject to criminal penalties (including the possibility of imprisonment), as well as retaining civil penalties (monetary fines, injunctions, etc.) for less serious breaches? &#10;Or should misuses of PCEHR information incur only civil penalties?"/>
      </w:tblPr>
      <w:tblGrid>
        <w:gridCol w:w="8153"/>
      </w:tblGrid>
      <w:tr w:rsidR="00692E07" w:rsidRPr="00692E07" w:rsidTr="00692E07">
        <w:trPr>
          <w:cantSplit/>
        </w:trPr>
        <w:tc>
          <w:tcPr>
            <w:tcW w:w="8153" w:type="dxa"/>
            <w:tcBorders>
              <w:top w:val="single" w:sz="8" w:space="0" w:color="auto"/>
              <w:left w:val="single" w:sz="8" w:space="0" w:color="auto"/>
              <w:bottom w:val="single" w:sz="8" w:space="0" w:color="auto"/>
              <w:right w:val="single" w:sz="8" w:space="0" w:color="auto"/>
            </w:tcBorders>
            <w:shd w:val="clear" w:color="auto" w:fill="C6F7C6"/>
            <w:tcMar>
              <w:top w:w="119" w:type="dxa"/>
              <w:left w:w="108" w:type="dxa"/>
              <w:bottom w:w="0" w:type="dxa"/>
              <w:right w:w="108" w:type="dxa"/>
            </w:tcMar>
            <w:hideMark/>
          </w:tcPr>
          <w:p w:rsidR="00692E07" w:rsidRPr="00FD0128" w:rsidRDefault="00692E07">
            <w:pPr>
              <w:pStyle w:val="BodyText"/>
              <w:keepNext/>
              <w:rPr>
                <w:rFonts w:asciiTheme="minorHAnsi" w:eastAsiaTheme="minorHAnsi" w:hAnsiTheme="minorHAnsi"/>
                <w:color w:val="auto"/>
                <w:sz w:val="22"/>
                <w:szCs w:val="22"/>
                <w:lang w:eastAsia="en-US"/>
              </w:rPr>
            </w:pPr>
            <w:r w:rsidRPr="00FD0128">
              <w:rPr>
                <w:rFonts w:asciiTheme="minorHAnsi" w:hAnsiTheme="minorHAnsi"/>
                <w:b/>
                <w:bCs/>
                <w:color w:val="auto"/>
                <w:sz w:val="22"/>
                <w:szCs w:val="22"/>
              </w:rPr>
              <w:t xml:space="preserve">Consider – in relation to </w:t>
            </w:r>
            <w:proofErr w:type="spellStart"/>
            <w:r w:rsidRPr="00FD0128">
              <w:rPr>
                <w:rFonts w:asciiTheme="minorHAnsi" w:hAnsiTheme="minorHAnsi"/>
                <w:b/>
                <w:bCs/>
                <w:color w:val="auto"/>
                <w:sz w:val="22"/>
                <w:szCs w:val="22"/>
              </w:rPr>
              <w:t>PCEHRs</w:t>
            </w:r>
            <w:proofErr w:type="spellEnd"/>
            <w:r w:rsidRPr="00FD0128">
              <w:rPr>
                <w:rFonts w:asciiTheme="minorHAnsi" w:hAnsiTheme="minorHAnsi"/>
                <w:b/>
                <w:bCs/>
                <w:color w:val="auto"/>
                <w:sz w:val="22"/>
                <w:szCs w:val="22"/>
              </w:rPr>
              <w:t xml:space="preserve">: </w:t>
            </w:r>
            <w:r w:rsidRPr="00FD0128">
              <w:rPr>
                <w:rFonts w:asciiTheme="minorHAnsi" w:hAnsiTheme="minorHAnsi"/>
                <w:color w:val="auto"/>
                <w:sz w:val="22"/>
                <w:szCs w:val="22"/>
              </w:rPr>
              <w:t>A PCEHR contains sensitive information about an individual. </w:t>
            </w:r>
          </w:p>
          <w:p w:rsidR="00692E07" w:rsidRPr="00FD0128" w:rsidRDefault="00692E07">
            <w:pPr>
              <w:pStyle w:val="BodyText"/>
              <w:keepNext/>
              <w:rPr>
                <w:rFonts w:asciiTheme="minorHAnsi" w:hAnsiTheme="minorHAnsi"/>
                <w:color w:val="auto"/>
                <w:sz w:val="22"/>
                <w:szCs w:val="22"/>
              </w:rPr>
            </w:pPr>
            <w:r w:rsidRPr="00FD0128">
              <w:rPr>
                <w:rFonts w:asciiTheme="minorHAnsi" w:hAnsiTheme="minorHAnsi"/>
                <w:color w:val="auto"/>
                <w:sz w:val="22"/>
                <w:szCs w:val="22"/>
              </w:rPr>
              <w:t xml:space="preserve">Do you consider that more serious misuses of PCEHR information should be subject to criminal penalties (including the possibility of imprisonment), as well as retaining civil penalties (monetary fines, injunctions, etc.) for less serious breaches? </w:t>
            </w:r>
          </w:p>
          <w:p w:rsidR="00692E07" w:rsidRPr="00FD0128" w:rsidRDefault="00692E07">
            <w:pPr>
              <w:pStyle w:val="BodyText"/>
              <w:keepNext/>
              <w:rPr>
                <w:rFonts w:asciiTheme="minorHAnsi" w:hAnsiTheme="minorHAnsi"/>
                <w:color w:val="auto"/>
                <w:sz w:val="22"/>
                <w:szCs w:val="22"/>
                <w:lang w:eastAsia="en-US"/>
              </w:rPr>
            </w:pPr>
            <w:r w:rsidRPr="00FD0128">
              <w:rPr>
                <w:rFonts w:asciiTheme="minorHAnsi" w:hAnsiTheme="minorHAnsi"/>
                <w:color w:val="auto"/>
                <w:sz w:val="22"/>
                <w:szCs w:val="22"/>
              </w:rPr>
              <w:t>Or should misuses of PCEHR information incur only civil penalties?</w:t>
            </w:r>
          </w:p>
        </w:tc>
      </w:tr>
    </w:tbl>
    <w:p w:rsidR="00692E07" w:rsidRPr="0088792D" w:rsidRDefault="00692E07" w:rsidP="0088792D">
      <w:pPr>
        <w:spacing w:before="120" w:after="120"/>
        <w:rPr>
          <w:rFonts w:asciiTheme="minorHAnsi" w:eastAsiaTheme="minorHAnsi" w:hAnsiTheme="minorHAnsi" w:cs="Arial"/>
          <w:sz w:val="12"/>
          <w:szCs w:val="12"/>
          <w:lang w:eastAsia="en-US"/>
        </w:rPr>
      </w:pPr>
    </w:p>
    <w:tbl>
      <w:tblPr>
        <w:tblW w:w="0" w:type="auto"/>
        <w:tblInd w:w="817" w:type="dxa"/>
        <w:shd w:val="clear" w:color="auto" w:fill="C6F7C6"/>
        <w:tblCellMar>
          <w:left w:w="0" w:type="dxa"/>
          <w:right w:w="0" w:type="dxa"/>
        </w:tblCellMar>
        <w:tblLook w:val="04A0" w:firstRow="1" w:lastRow="0" w:firstColumn="1" w:lastColumn="0" w:noHBand="0" w:noVBand="1"/>
        <w:tblCaption w:val="A box for consideration"/>
        <w:tblDescription w:val="In relation to healthcare identifiers: As well as health information, PCEHRs may also contain an individual’s healthcare identifier.&#10;Healthcare identifiers are simply a number.  They do not contain any health information.  At present, the HI Act imposes criminal offences only for misuse of healthcare identifiers.&#10;Do you consider that misuse of individuals’ healthcare identifiers should continue to be a criminal offense?  &#10;Would it be more useful to introduce civil penalties for less serious misuses of healthcare identifiers for individuals?  For example, to allow a more graduated range of enforcement options. "/>
      </w:tblPr>
      <w:tblGrid>
        <w:gridCol w:w="8153"/>
      </w:tblGrid>
      <w:tr w:rsidR="00692E07" w:rsidRPr="00692E07" w:rsidTr="00692E07">
        <w:trPr>
          <w:cantSplit/>
        </w:trPr>
        <w:tc>
          <w:tcPr>
            <w:tcW w:w="8153" w:type="dxa"/>
            <w:tcBorders>
              <w:top w:val="single" w:sz="8" w:space="0" w:color="auto"/>
              <w:left w:val="single" w:sz="8" w:space="0" w:color="auto"/>
              <w:bottom w:val="single" w:sz="8" w:space="0" w:color="auto"/>
              <w:right w:val="single" w:sz="8" w:space="0" w:color="auto"/>
            </w:tcBorders>
            <w:shd w:val="clear" w:color="auto" w:fill="C6F7C6"/>
            <w:tcMar>
              <w:top w:w="119" w:type="dxa"/>
              <w:left w:w="108" w:type="dxa"/>
              <w:bottom w:w="0" w:type="dxa"/>
              <w:right w:w="108" w:type="dxa"/>
            </w:tcMar>
            <w:hideMark/>
          </w:tcPr>
          <w:p w:rsidR="00692E07" w:rsidRPr="00FD0128" w:rsidRDefault="00692E07">
            <w:pPr>
              <w:pStyle w:val="BodyText"/>
              <w:keepNext/>
              <w:rPr>
                <w:rFonts w:asciiTheme="minorHAnsi" w:eastAsiaTheme="minorHAnsi" w:hAnsiTheme="minorHAnsi"/>
                <w:color w:val="auto"/>
                <w:sz w:val="22"/>
                <w:szCs w:val="22"/>
                <w:lang w:eastAsia="en-US"/>
              </w:rPr>
            </w:pPr>
            <w:r w:rsidRPr="00FD0128">
              <w:rPr>
                <w:rFonts w:asciiTheme="minorHAnsi" w:hAnsiTheme="minorHAnsi"/>
                <w:b/>
                <w:bCs/>
                <w:color w:val="auto"/>
                <w:sz w:val="22"/>
                <w:szCs w:val="22"/>
              </w:rPr>
              <w:t xml:space="preserve">Consider – in relation to healthcare identifiers: </w:t>
            </w:r>
            <w:r w:rsidRPr="00FD0128">
              <w:rPr>
                <w:rFonts w:asciiTheme="minorHAnsi" w:hAnsiTheme="minorHAnsi"/>
                <w:color w:val="auto"/>
                <w:sz w:val="22"/>
                <w:szCs w:val="22"/>
              </w:rPr>
              <w:t xml:space="preserve">As well as health information, </w:t>
            </w:r>
            <w:proofErr w:type="spellStart"/>
            <w:r w:rsidRPr="00FD0128">
              <w:rPr>
                <w:rFonts w:asciiTheme="minorHAnsi" w:hAnsiTheme="minorHAnsi"/>
                <w:color w:val="auto"/>
                <w:sz w:val="22"/>
                <w:szCs w:val="22"/>
              </w:rPr>
              <w:t>PCEHRs</w:t>
            </w:r>
            <w:proofErr w:type="spellEnd"/>
            <w:r w:rsidRPr="00FD0128">
              <w:rPr>
                <w:rFonts w:asciiTheme="minorHAnsi" w:hAnsiTheme="minorHAnsi"/>
                <w:color w:val="auto"/>
                <w:sz w:val="22"/>
                <w:szCs w:val="22"/>
              </w:rPr>
              <w:t xml:space="preserve"> may also contain an individual’s healthcare identifier.</w:t>
            </w:r>
          </w:p>
          <w:p w:rsidR="00692E07" w:rsidRPr="00FD0128" w:rsidRDefault="00692E07">
            <w:pPr>
              <w:pStyle w:val="BodyText"/>
              <w:keepNext/>
              <w:rPr>
                <w:rFonts w:asciiTheme="minorHAnsi" w:hAnsiTheme="minorHAnsi"/>
                <w:color w:val="auto"/>
                <w:sz w:val="22"/>
                <w:szCs w:val="22"/>
              </w:rPr>
            </w:pPr>
            <w:r w:rsidRPr="00FD0128">
              <w:rPr>
                <w:rFonts w:asciiTheme="minorHAnsi" w:hAnsiTheme="minorHAnsi"/>
                <w:color w:val="auto"/>
                <w:sz w:val="22"/>
                <w:szCs w:val="22"/>
              </w:rPr>
              <w:t>Healthcare identifiers are simply a number.  They do not contain any health information.  At present, the HI Act imposes criminal offences only for misuse of healthcare identifiers.</w:t>
            </w:r>
          </w:p>
          <w:p w:rsidR="00692E07" w:rsidRPr="00FD0128" w:rsidRDefault="00692E07">
            <w:pPr>
              <w:pStyle w:val="BodyText"/>
              <w:keepNext/>
              <w:rPr>
                <w:rFonts w:asciiTheme="minorHAnsi" w:hAnsiTheme="minorHAnsi"/>
                <w:color w:val="auto"/>
                <w:sz w:val="22"/>
                <w:szCs w:val="22"/>
              </w:rPr>
            </w:pPr>
            <w:r w:rsidRPr="00FD0128">
              <w:rPr>
                <w:rFonts w:asciiTheme="minorHAnsi" w:hAnsiTheme="minorHAnsi"/>
                <w:color w:val="auto"/>
                <w:sz w:val="22"/>
                <w:szCs w:val="22"/>
              </w:rPr>
              <w:t>Do you consider that misuse of individuals’ healthcare identifiers should continue to be a criminal offen</w:t>
            </w:r>
            <w:r w:rsidR="00E31E80">
              <w:rPr>
                <w:rFonts w:asciiTheme="minorHAnsi" w:hAnsiTheme="minorHAnsi"/>
                <w:color w:val="auto"/>
                <w:sz w:val="22"/>
                <w:szCs w:val="22"/>
              </w:rPr>
              <w:t>c</w:t>
            </w:r>
            <w:r w:rsidRPr="00FD0128">
              <w:rPr>
                <w:rFonts w:asciiTheme="minorHAnsi" w:hAnsiTheme="minorHAnsi"/>
                <w:color w:val="auto"/>
                <w:sz w:val="22"/>
                <w:szCs w:val="22"/>
              </w:rPr>
              <w:t>e?  </w:t>
            </w:r>
          </w:p>
          <w:p w:rsidR="00692E07" w:rsidRPr="00FD0128" w:rsidRDefault="00692E07">
            <w:pPr>
              <w:pStyle w:val="BodyText"/>
              <w:keepNext/>
              <w:rPr>
                <w:rFonts w:asciiTheme="minorHAnsi" w:hAnsiTheme="minorHAnsi"/>
                <w:color w:val="auto"/>
                <w:sz w:val="22"/>
                <w:szCs w:val="22"/>
                <w:lang w:eastAsia="en-US"/>
              </w:rPr>
            </w:pPr>
            <w:r w:rsidRPr="00FD0128">
              <w:rPr>
                <w:rFonts w:asciiTheme="minorHAnsi" w:hAnsiTheme="minorHAnsi"/>
                <w:color w:val="auto"/>
                <w:sz w:val="22"/>
                <w:szCs w:val="22"/>
              </w:rPr>
              <w:t xml:space="preserve">Would it be more useful to introduce civil penalties for less serious misuses of healthcare identifiers for individuals?  For example, to allow a more graduated range of enforcement options. </w:t>
            </w:r>
          </w:p>
        </w:tc>
      </w:tr>
    </w:tbl>
    <w:p w:rsidR="003D60B3" w:rsidRPr="003D6C23" w:rsidRDefault="00CB6A0B" w:rsidP="00C901F8">
      <w:pPr>
        <w:pStyle w:val="Heading2"/>
        <w:numPr>
          <w:ilvl w:val="0"/>
          <w:numId w:val="0"/>
        </w:numPr>
        <w:ind w:left="737" w:hanging="737"/>
      </w:pPr>
      <w:bookmarkStart w:id="131" w:name="_Toc418763133"/>
      <w:bookmarkStart w:id="132" w:name="_Toc420394287"/>
      <w:r>
        <w:t>3.6</w:t>
      </w:r>
      <w:r>
        <w:tab/>
      </w:r>
      <w:r w:rsidR="007B5E1B">
        <w:t>Reviews</w:t>
      </w:r>
      <w:bookmarkEnd w:id="131"/>
      <w:bookmarkEnd w:id="132"/>
    </w:p>
    <w:p w:rsidR="003D60B3" w:rsidRPr="003D6C23" w:rsidRDefault="00BD0F66" w:rsidP="00BD0F66">
      <w:pPr>
        <w:pStyle w:val="Heading3"/>
        <w:numPr>
          <w:ilvl w:val="0"/>
          <w:numId w:val="0"/>
        </w:numPr>
        <w:ind w:left="720" w:hanging="720"/>
      </w:pPr>
      <w:bookmarkStart w:id="133" w:name="_Toc418763134"/>
      <w:bookmarkStart w:id="134" w:name="_Toc420394288"/>
      <w:r>
        <w:t>3.6.1</w:t>
      </w:r>
      <w:r>
        <w:tab/>
      </w:r>
      <w:r w:rsidR="007B5E1B">
        <w:t>Review of the legislative changes</w:t>
      </w:r>
      <w:bookmarkEnd w:id="133"/>
      <w:bookmarkEnd w:id="134"/>
    </w:p>
    <w:p w:rsidR="004F735A" w:rsidRPr="00BD0F66" w:rsidRDefault="003D60B3" w:rsidP="00BD0F66">
      <w:pPr>
        <w:pStyle w:val="ListParagraph"/>
        <w:spacing w:after="120"/>
        <w:ind w:left="737"/>
        <w:contextualSpacing w:val="0"/>
        <w:rPr>
          <w:rStyle w:val="IntenseReference"/>
          <w:rFonts w:asciiTheme="minorHAnsi" w:hAnsiTheme="minorHAnsi" w:cs="Arial"/>
          <w:b w:val="0"/>
          <w:bCs w:val="0"/>
          <w:i w:val="0"/>
          <w:smallCaps w:val="0"/>
          <w:color w:val="auto"/>
          <w:spacing w:val="0"/>
          <w:sz w:val="22"/>
          <w:szCs w:val="22"/>
        </w:rPr>
      </w:pPr>
      <w:r>
        <w:rPr>
          <w:rStyle w:val="IntenseReference"/>
          <w:rFonts w:asciiTheme="minorHAnsi" w:hAnsiTheme="minorHAnsi" w:cs="Arial"/>
          <w:b w:val="0"/>
          <w:bCs w:val="0"/>
          <w:i w:val="0"/>
          <w:smallCaps w:val="0"/>
          <w:color w:val="auto"/>
          <w:spacing w:val="0"/>
          <w:sz w:val="22"/>
          <w:szCs w:val="22"/>
        </w:rPr>
        <w:t xml:space="preserve">Two years after the proposed changes to the </w:t>
      </w:r>
      <w:r w:rsidR="007B5E1B">
        <w:rPr>
          <w:rStyle w:val="IntenseReference"/>
          <w:rFonts w:asciiTheme="minorHAnsi" w:hAnsiTheme="minorHAnsi" w:cs="Arial"/>
          <w:b w:val="0"/>
          <w:bCs w:val="0"/>
          <w:i w:val="0"/>
          <w:smallCaps w:val="0"/>
          <w:color w:val="auto"/>
          <w:spacing w:val="0"/>
          <w:sz w:val="22"/>
          <w:szCs w:val="22"/>
        </w:rPr>
        <w:t>HI Act and PCEHR Act</w:t>
      </w:r>
      <w:r>
        <w:rPr>
          <w:rStyle w:val="IntenseReference"/>
          <w:rFonts w:asciiTheme="minorHAnsi" w:hAnsiTheme="minorHAnsi" w:cs="Arial"/>
          <w:b w:val="0"/>
          <w:bCs w:val="0"/>
          <w:i w:val="0"/>
          <w:smallCaps w:val="0"/>
          <w:color w:val="auto"/>
          <w:spacing w:val="0"/>
          <w:sz w:val="22"/>
          <w:szCs w:val="22"/>
        </w:rPr>
        <w:t xml:space="preserve"> are made, it is proposed that an independent review be conducted to ascertain whether the changes have achieved the desired results and to identify whether there are any</w:t>
      </w:r>
      <w:r w:rsidR="00BD0F66">
        <w:rPr>
          <w:rStyle w:val="IntenseReference"/>
          <w:rFonts w:asciiTheme="minorHAnsi" w:hAnsiTheme="minorHAnsi" w:cs="Arial"/>
          <w:b w:val="0"/>
          <w:bCs w:val="0"/>
          <w:i w:val="0"/>
          <w:smallCaps w:val="0"/>
          <w:color w:val="auto"/>
          <w:spacing w:val="0"/>
          <w:sz w:val="22"/>
          <w:szCs w:val="22"/>
        </w:rPr>
        <w:t xml:space="preserve"> other</w:t>
      </w:r>
      <w:r>
        <w:rPr>
          <w:rStyle w:val="IntenseReference"/>
          <w:rFonts w:asciiTheme="minorHAnsi" w:hAnsiTheme="minorHAnsi" w:cs="Arial"/>
          <w:b w:val="0"/>
          <w:bCs w:val="0"/>
          <w:i w:val="0"/>
          <w:smallCaps w:val="0"/>
          <w:color w:val="auto"/>
          <w:spacing w:val="0"/>
          <w:sz w:val="22"/>
          <w:szCs w:val="22"/>
        </w:rPr>
        <w:t xml:space="preserve"> issues that </w:t>
      </w:r>
      <w:r w:rsidR="00BD0F66">
        <w:rPr>
          <w:rStyle w:val="IntenseReference"/>
          <w:rFonts w:asciiTheme="minorHAnsi" w:hAnsiTheme="minorHAnsi" w:cs="Arial"/>
          <w:b w:val="0"/>
          <w:bCs w:val="0"/>
          <w:i w:val="0"/>
          <w:smallCaps w:val="0"/>
          <w:color w:val="auto"/>
          <w:spacing w:val="0"/>
          <w:sz w:val="22"/>
          <w:szCs w:val="22"/>
        </w:rPr>
        <w:t>need to be addressed.</w:t>
      </w:r>
      <w:r w:rsidR="007B5E1B">
        <w:rPr>
          <w:rStyle w:val="IntenseReference"/>
          <w:rFonts w:asciiTheme="minorHAnsi" w:hAnsiTheme="minorHAnsi" w:cs="Arial"/>
          <w:b w:val="0"/>
          <w:bCs w:val="0"/>
          <w:i w:val="0"/>
          <w:smallCaps w:val="0"/>
          <w:color w:val="auto"/>
          <w:spacing w:val="0"/>
          <w:sz w:val="22"/>
          <w:szCs w:val="22"/>
        </w:rPr>
        <w:t xml:space="preserve">  The report of this review would need to be provided to health ministers and be tabled in Parliament.</w:t>
      </w:r>
    </w:p>
    <w:p w:rsidR="00D42FEC" w:rsidRDefault="00D42FEC">
      <w:pPr>
        <w:rPr>
          <w:rFonts w:asciiTheme="minorHAnsi" w:hAnsiTheme="minorHAnsi"/>
          <w:b/>
          <w:szCs w:val="28"/>
          <w:lang w:eastAsia="en-US"/>
        </w:rPr>
      </w:pPr>
      <w:bookmarkStart w:id="135" w:name="_Toc418763135"/>
      <w:r>
        <w:br w:type="page"/>
      </w:r>
    </w:p>
    <w:p w:rsidR="001C7AF8" w:rsidRPr="003D6C23" w:rsidRDefault="00B833DE" w:rsidP="00B833DE">
      <w:pPr>
        <w:pStyle w:val="Heading3"/>
        <w:numPr>
          <w:ilvl w:val="0"/>
          <w:numId w:val="0"/>
        </w:numPr>
        <w:ind w:left="720" w:hanging="720"/>
      </w:pPr>
      <w:bookmarkStart w:id="136" w:name="_Toc420394289"/>
      <w:r>
        <w:lastRenderedPageBreak/>
        <w:t>3.6.2</w:t>
      </w:r>
      <w:r>
        <w:tab/>
      </w:r>
      <w:r w:rsidR="001C7AF8">
        <w:t xml:space="preserve">Privacy Assessments of </w:t>
      </w:r>
      <w:proofErr w:type="spellStart"/>
      <w:r w:rsidR="001C7AF8">
        <w:t>AHPRA</w:t>
      </w:r>
      <w:bookmarkEnd w:id="135"/>
      <w:bookmarkEnd w:id="136"/>
      <w:proofErr w:type="spellEnd"/>
    </w:p>
    <w:p w:rsidR="00BD0F66" w:rsidRPr="00BD0F66" w:rsidRDefault="00BD0F66" w:rsidP="00BD0F66">
      <w:pPr>
        <w:pStyle w:val="ListParagraph"/>
        <w:spacing w:after="120"/>
        <w:ind w:left="737"/>
        <w:contextualSpacing w:val="0"/>
        <w:rPr>
          <w:rStyle w:val="IntenseReference"/>
          <w:rFonts w:asciiTheme="minorHAnsi" w:hAnsiTheme="minorHAnsi" w:cs="Arial"/>
          <w:b w:val="0"/>
          <w:bCs w:val="0"/>
          <w:i w:val="0"/>
          <w:smallCaps w:val="0"/>
          <w:color w:val="auto"/>
          <w:spacing w:val="0"/>
          <w:sz w:val="22"/>
          <w:szCs w:val="22"/>
        </w:rPr>
      </w:pPr>
      <w:r>
        <w:rPr>
          <w:rStyle w:val="IntenseReference"/>
          <w:rFonts w:asciiTheme="minorHAnsi" w:hAnsiTheme="minorHAnsi" w:cs="Arial"/>
          <w:b w:val="0"/>
          <w:bCs w:val="0"/>
          <w:i w:val="0"/>
          <w:smallCaps w:val="0"/>
          <w:color w:val="auto"/>
          <w:spacing w:val="0"/>
          <w:sz w:val="22"/>
          <w:szCs w:val="22"/>
        </w:rPr>
        <w:t xml:space="preserve">The Privacy Act allows the Information Commissioner to assess </w:t>
      </w:r>
      <w:r w:rsidR="007B5E1B">
        <w:rPr>
          <w:rStyle w:val="IntenseReference"/>
          <w:rFonts w:asciiTheme="minorHAnsi" w:hAnsiTheme="minorHAnsi" w:cs="Arial"/>
          <w:b w:val="0"/>
          <w:bCs w:val="0"/>
          <w:i w:val="0"/>
          <w:smallCaps w:val="0"/>
          <w:color w:val="auto"/>
          <w:spacing w:val="0"/>
          <w:sz w:val="22"/>
          <w:szCs w:val="22"/>
        </w:rPr>
        <w:t xml:space="preserve">agencies’ and organisations’ handling of information in accordance with the Australian Privacy Principles (section 33C), however the HI Review identified that </w:t>
      </w:r>
      <w:proofErr w:type="spellStart"/>
      <w:r w:rsidR="007B5E1B">
        <w:rPr>
          <w:rStyle w:val="IntenseReference"/>
          <w:rFonts w:asciiTheme="minorHAnsi" w:hAnsiTheme="minorHAnsi" w:cs="Arial"/>
          <w:b w:val="0"/>
          <w:bCs w:val="0"/>
          <w:i w:val="0"/>
          <w:smallCaps w:val="0"/>
          <w:color w:val="auto"/>
          <w:spacing w:val="0"/>
          <w:sz w:val="22"/>
          <w:szCs w:val="22"/>
        </w:rPr>
        <w:t>AHPRA</w:t>
      </w:r>
      <w:proofErr w:type="spellEnd"/>
      <w:r w:rsidR="007B5E1B">
        <w:rPr>
          <w:rStyle w:val="IntenseReference"/>
          <w:rFonts w:asciiTheme="minorHAnsi" w:hAnsiTheme="minorHAnsi" w:cs="Arial"/>
          <w:b w:val="0"/>
          <w:bCs w:val="0"/>
          <w:i w:val="0"/>
          <w:smallCaps w:val="0"/>
          <w:color w:val="auto"/>
          <w:spacing w:val="0"/>
          <w:sz w:val="22"/>
          <w:szCs w:val="22"/>
        </w:rPr>
        <w:t xml:space="preserve"> is outside of the Commissioner’s jurisdiction because it is neither an agency nor an organisation.</w:t>
      </w:r>
      <w:r w:rsidR="007B5E1B">
        <w:rPr>
          <w:rStyle w:val="FootnoteReference"/>
          <w:rFonts w:asciiTheme="minorHAnsi" w:hAnsiTheme="minorHAnsi" w:cs="Arial"/>
          <w:sz w:val="22"/>
          <w:szCs w:val="22"/>
        </w:rPr>
        <w:footnoteReference w:id="27"/>
      </w:r>
      <w:r w:rsidR="007B5E1B">
        <w:rPr>
          <w:rStyle w:val="IntenseReference"/>
          <w:rFonts w:asciiTheme="minorHAnsi" w:hAnsiTheme="minorHAnsi" w:cs="Arial"/>
          <w:b w:val="0"/>
          <w:bCs w:val="0"/>
          <w:i w:val="0"/>
          <w:smallCaps w:val="0"/>
          <w:color w:val="auto"/>
          <w:spacing w:val="0"/>
          <w:sz w:val="22"/>
          <w:szCs w:val="22"/>
        </w:rPr>
        <w:t xml:space="preserve">  Given </w:t>
      </w:r>
      <w:proofErr w:type="spellStart"/>
      <w:r w:rsidR="007B5E1B">
        <w:rPr>
          <w:rStyle w:val="IntenseReference"/>
          <w:rFonts w:asciiTheme="minorHAnsi" w:hAnsiTheme="minorHAnsi" w:cs="Arial"/>
          <w:b w:val="0"/>
          <w:bCs w:val="0"/>
          <w:i w:val="0"/>
          <w:smallCaps w:val="0"/>
          <w:color w:val="auto"/>
          <w:spacing w:val="0"/>
          <w:sz w:val="22"/>
          <w:szCs w:val="22"/>
        </w:rPr>
        <w:t>AHPRA’s</w:t>
      </w:r>
      <w:proofErr w:type="spellEnd"/>
      <w:r w:rsidR="007B5E1B">
        <w:rPr>
          <w:rStyle w:val="IntenseReference"/>
          <w:rFonts w:asciiTheme="minorHAnsi" w:hAnsiTheme="minorHAnsi" w:cs="Arial"/>
          <w:b w:val="0"/>
          <w:bCs w:val="0"/>
          <w:i w:val="0"/>
          <w:smallCaps w:val="0"/>
          <w:color w:val="auto"/>
          <w:spacing w:val="0"/>
          <w:sz w:val="22"/>
          <w:szCs w:val="22"/>
        </w:rPr>
        <w:t xml:space="preserve"> role in assigning healthcare identifiers to individual healthcare providers and as a source of critical information for the HI Service Operator, it is proposed that changes be made to ensure that the Commissioner can conduct assessment</w:t>
      </w:r>
      <w:r w:rsidR="0034519D">
        <w:rPr>
          <w:rStyle w:val="IntenseReference"/>
          <w:rFonts w:asciiTheme="minorHAnsi" w:hAnsiTheme="minorHAnsi" w:cs="Arial"/>
          <w:b w:val="0"/>
          <w:bCs w:val="0"/>
          <w:i w:val="0"/>
          <w:smallCaps w:val="0"/>
          <w:color w:val="auto"/>
          <w:spacing w:val="0"/>
          <w:sz w:val="22"/>
          <w:szCs w:val="22"/>
        </w:rPr>
        <w:t>s and carry out investigations</w:t>
      </w:r>
      <w:r w:rsidR="007B5E1B">
        <w:rPr>
          <w:rStyle w:val="IntenseReference"/>
          <w:rFonts w:asciiTheme="minorHAnsi" w:hAnsiTheme="minorHAnsi" w:cs="Arial"/>
          <w:b w:val="0"/>
          <w:bCs w:val="0"/>
          <w:i w:val="0"/>
          <w:smallCaps w:val="0"/>
          <w:color w:val="auto"/>
          <w:spacing w:val="0"/>
          <w:sz w:val="22"/>
          <w:szCs w:val="22"/>
        </w:rPr>
        <w:t xml:space="preserve"> of </w:t>
      </w:r>
      <w:proofErr w:type="spellStart"/>
      <w:r w:rsidR="007B5E1B">
        <w:rPr>
          <w:rStyle w:val="IntenseReference"/>
          <w:rFonts w:asciiTheme="minorHAnsi" w:hAnsiTheme="minorHAnsi" w:cs="Arial"/>
          <w:b w:val="0"/>
          <w:bCs w:val="0"/>
          <w:i w:val="0"/>
          <w:smallCaps w:val="0"/>
          <w:color w:val="auto"/>
          <w:spacing w:val="0"/>
          <w:sz w:val="22"/>
          <w:szCs w:val="22"/>
        </w:rPr>
        <w:t>AHPRA</w:t>
      </w:r>
      <w:proofErr w:type="spellEnd"/>
      <w:r w:rsidR="007B5E1B">
        <w:rPr>
          <w:rStyle w:val="IntenseReference"/>
          <w:rFonts w:asciiTheme="minorHAnsi" w:hAnsiTheme="minorHAnsi" w:cs="Arial"/>
          <w:b w:val="0"/>
          <w:bCs w:val="0"/>
          <w:i w:val="0"/>
          <w:smallCaps w:val="0"/>
          <w:color w:val="auto"/>
          <w:spacing w:val="0"/>
          <w:sz w:val="22"/>
          <w:szCs w:val="22"/>
        </w:rPr>
        <w:t xml:space="preserve"> in respect of its handling of healthcare identifiers.</w:t>
      </w:r>
    </w:p>
    <w:p w:rsidR="005451F7" w:rsidRDefault="005451F7">
      <w:pPr>
        <w:rPr>
          <w:rFonts w:asciiTheme="minorHAnsi" w:hAnsiTheme="minorHAnsi"/>
          <w:b/>
          <w:sz w:val="36"/>
          <w:szCs w:val="36"/>
        </w:rPr>
      </w:pPr>
      <w:bookmarkStart w:id="137" w:name="_Toc418763136"/>
      <w:r>
        <w:br w:type="page"/>
      </w:r>
    </w:p>
    <w:p w:rsidR="00050FBF" w:rsidRDefault="00050FBF" w:rsidP="003C72D7">
      <w:pPr>
        <w:pStyle w:val="Heading1"/>
      </w:pPr>
      <w:bookmarkStart w:id="138" w:name="_Toc420394290"/>
      <w:r>
        <w:lastRenderedPageBreak/>
        <w:t>Next steps</w:t>
      </w:r>
      <w:bookmarkEnd w:id="137"/>
      <w:bookmarkEnd w:id="138"/>
    </w:p>
    <w:p w:rsidR="00614B83" w:rsidRDefault="00050FBF" w:rsidP="000E521D">
      <w:pPr>
        <w:pStyle w:val="ListParagraph"/>
        <w:spacing w:after="120"/>
        <w:ind w:left="737"/>
        <w:contextualSpacing w:val="0"/>
        <w:rPr>
          <w:rFonts w:asciiTheme="minorHAnsi" w:hAnsiTheme="minorHAnsi"/>
          <w:sz w:val="22"/>
          <w:szCs w:val="22"/>
        </w:rPr>
      </w:pPr>
      <w:r>
        <w:rPr>
          <w:rFonts w:asciiTheme="minorHAnsi" w:hAnsiTheme="minorHAnsi"/>
          <w:sz w:val="22"/>
          <w:szCs w:val="22"/>
        </w:rPr>
        <w:t>After consultation on this paper closes on 24 June 2015, submissions and all other forms of feedback</w:t>
      </w:r>
      <w:r w:rsidR="00614B83">
        <w:rPr>
          <w:rFonts w:asciiTheme="minorHAnsi" w:hAnsiTheme="minorHAnsi"/>
          <w:sz w:val="22"/>
          <w:szCs w:val="22"/>
        </w:rPr>
        <w:t xml:space="preserve"> received on the paper will be collated and considered.  All input will inform the drafting of legislative changes to the PCEHR system and HI Service.  </w:t>
      </w:r>
    </w:p>
    <w:p w:rsidR="00614B83" w:rsidRDefault="00614B83" w:rsidP="000E521D">
      <w:pPr>
        <w:pStyle w:val="ListParagraph"/>
        <w:spacing w:after="120"/>
        <w:ind w:left="737"/>
        <w:contextualSpacing w:val="0"/>
        <w:rPr>
          <w:rFonts w:asciiTheme="minorHAnsi" w:hAnsiTheme="minorHAnsi"/>
          <w:sz w:val="22"/>
          <w:szCs w:val="22"/>
        </w:rPr>
      </w:pPr>
      <w:r>
        <w:rPr>
          <w:rFonts w:asciiTheme="minorHAnsi" w:hAnsiTheme="minorHAnsi"/>
          <w:sz w:val="22"/>
          <w:szCs w:val="22"/>
        </w:rPr>
        <w:t xml:space="preserve">Legislation is proposed to be introduced </w:t>
      </w:r>
      <w:r w:rsidR="00C94050">
        <w:rPr>
          <w:rFonts w:asciiTheme="minorHAnsi" w:hAnsiTheme="minorHAnsi"/>
          <w:sz w:val="22"/>
          <w:szCs w:val="22"/>
        </w:rPr>
        <w:t>into Parliament in August 2015.</w:t>
      </w:r>
    </w:p>
    <w:p w:rsidR="00E07DC2" w:rsidRDefault="00614B83" w:rsidP="000E521D">
      <w:pPr>
        <w:pStyle w:val="ListParagraph"/>
        <w:spacing w:after="120"/>
        <w:ind w:left="737"/>
        <w:contextualSpacing w:val="0"/>
        <w:rPr>
          <w:rFonts w:asciiTheme="minorHAnsi" w:hAnsiTheme="minorHAnsi"/>
          <w:sz w:val="22"/>
          <w:szCs w:val="22"/>
        </w:rPr>
      </w:pPr>
      <w:r>
        <w:rPr>
          <w:rFonts w:asciiTheme="minorHAnsi" w:hAnsiTheme="minorHAnsi"/>
          <w:sz w:val="22"/>
          <w:szCs w:val="22"/>
        </w:rPr>
        <w:t xml:space="preserve">Further public consultation </w:t>
      </w:r>
      <w:r w:rsidR="00C94050">
        <w:rPr>
          <w:rFonts w:asciiTheme="minorHAnsi" w:hAnsiTheme="minorHAnsi"/>
          <w:sz w:val="22"/>
          <w:szCs w:val="22"/>
        </w:rPr>
        <w:t xml:space="preserve">on subordinate legislation (regulations and rules) </w:t>
      </w:r>
      <w:r>
        <w:rPr>
          <w:rFonts w:asciiTheme="minorHAnsi" w:hAnsiTheme="minorHAnsi"/>
          <w:sz w:val="22"/>
          <w:szCs w:val="22"/>
        </w:rPr>
        <w:t>may be undertaken after August 2015.</w:t>
      </w:r>
    </w:p>
    <w:p w:rsidR="00735610" w:rsidRPr="00EA42C3" w:rsidRDefault="00735610" w:rsidP="00EA42C3">
      <w:pPr>
        <w:rPr>
          <w:rFonts w:asciiTheme="minorHAnsi" w:hAnsiTheme="minorHAnsi"/>
          <w:sz w:val="22"/>
          <w:szCs w:val="22"/>
        </w:rPr>
        <w:sectPr w:rsidR="00735610" w:rsidRPr="00EA42C3" w:rsidSect="00C94050">
          <w:pgSz w:w="11906" w:h="16838"/>
          <w:pgMar w:top="1276" w:right="1134" w:bottom="851" w:left="1134" w:header="709" w:footer="709" w:gutter="0"/>
          <w:cols w:space="708"/>
          <w:docGrid w:linePitch="360"/>
        </w:sectPr>
      </w:pPr>
    </w:p>
    <w:p w:rsidR="00BE5F3F" w:rsidRDefault="00BE5F3F" w:rsidP="0027367C">
      <w:pPr>
        <w:pStyle w:val="Heading1"/>
        <w:numPr>
          <w:ilvl w:val="0"/>
          <w:numId w:val="0"/>
        </w:numPr>
        <w:ind w:left="737" w:hanging="737"/>
      </w:pPr>
      <w:bookmarkStart w:id="139" w:name="_Toc418763137"/>
      <w:bookmarkStart w:id="140" w:name="_Toc420394291"/>
      <w:r>
        <w:lastRenderedPageBreak/>
        <w:t>Appendix 1</w:t>
      </w:r>
      <w:r w:rsidR="00BF27DF">
        <w:t>: Acronyms and key definitions</w:t>
      </w:r>
      <w:bookmarkEnd w:id="139"/>
      <w:bookmarkEnd w:id="140"/>
    </w:p>
    <w:tbl>
      <w:tblPr>
        <w:tblStyle w:val="TableGrid"/>
        <w:tblW w:w="0" w:type="auto"/>
        <w:tblLook w:val="04A0" w:firstRow="1" w:lastRow="0" w:firstColumn="1" w:lastColumn="0" w:noHBand="0" w:noVBand="1"/>
        <w:tblCaption w:val="Table of acronyms and key definitions"/>
        <w:tblDescription w:val="This table explains the acronyms and key definitions used in the discussion paper."/>
      </w:tblPr>
      <w:tblGrid>
        <w:gridCol w:w="2660"/>
        <w:gridCol w:w="7194"/>
      </w:tblGrid>
      <w:tr w:rsidR="009F04D6" w:rsidRPr="009F04D6" w:rsidTr="0045440F">
        <w:trPr>
          <w:trHeight w:val="410"/>
          <w:tblHeader/>
        </w:trPr>
        <w:tc>
          <w:tcPr>
            <w:tcW w:w="2660" w:type="dxa"/>
            <w:shd w:val="clear" w:color="auto" w:fill="F2F2F2" w:themeFill="background1" w:themeFillShade="F2"/>
            <w:vAlign w:val="center"/>
          </w:tcPr>
          <w:p w:rsidR="009F04D6" w:rsidRPr="009F04D6" w:rsidRDefault="009F04D6" w:rsidP="00D77D6D">
            <w:pPr>
              <w:rPr>
                <w:rFonts w:asciiTheme="minorHAnsi" w:hAnsiTheme="minorHAnsi"/>
                <w:b/>
                <w:sz w:val="22"/>
                <w:szCs w:val="22"/>
              </w:rPr>
            </w:pPr>
            <w:r w:rsidRPr="009F04D6">
              <w:rPr>
                <w:rFonts w:asciiTheme="minorHAnsi" w:hAnsiTheme="minorHAnsi"/>
                <w:b/>
                <w:sz w:val="22"/>
                <w:szCs w:val="22"/>
              </w:rPr>
              <w:t>Acronym/term</w:t>
            </w:r>
          </w:p>
        </w:tc>
        <w:tc>
          <w:tcPr>
            <w:tcW w:w="7194" w:type="dxa"/>
            <w:shd w:val="clear" w:color="auto" w:fill="F2F2F2" w:themeFill="background1" w:themeFillShade="F2"/>
            <w:vAlign w:val="center"/>
          </w:tcPr>
          <w:p w:rsidR="009F04D6" w:rsidRPr="009F04D6" w:rsidRDefault="009F04D6" w:rsidP="00665BC5">
            <w:pPr>
              <w:rPr>
                <w:rFonts w:asciiTheme="minorHAnsi" w:hAnsiTheme="minorHAnsi"/>
                <w:b/>
                <w:sz w:val="22"/>
                <w:szCs w:val="22"/>
              </w:rPr>
            </w:pPr>
            <w:r w:rsidRPr="009F04D6">
              <w:rPr>
                <w:rFonts w:asciiTheme="minorHAnsi" w:hAnsiTheme="minorHAnsi"/>
                <w:b/>
                <w:sz w:val="22"/>
                <w:szCs w:val="22"/>
              </w:rPr>
              <w:t>Definition</w:t>
            </w:r>
          </w:p>
        </w:tc>
      </w:tr>
      <w:tr w:rsidR="00BF27DF" w:rsidRPr="00D77D6D" w:rsidTr="0045440F">
        <w:trPr>
          <w:trHeight w:val="410"/>
        </w:trPr>
        <w:tc>
          <w:tcPr>
            <w:tcW w:w="2660" w:type="dxa"/>
            <w:vAlign w:val="center"/>
          </w:tcPr>
          <w:p w:rsidR="00BF27DF" w:rsidRPr="00D77D6D" w:rsidRDefault="00CD400B" w:rsidP="00D77D6D">
            <w:pPr>
              <w:rPr>
                <w:rFonts w:asciiTheme="minorHAnsi" w:hAnsiTheme="minorHAnsi"/>
                <w:sz w:val="22"/>
                <w:szCs w:val="22"/>
              </w:rPr>
            </w:pPr>
            <w:proofErr w:type="spellStart"/>
            <w:r w:rsidRPr="00D77D6D">
              <w:rPr>
                <w:rFonts w:asciiTheme="minorHAnsi" w:hAnsiTheme="minorHAnsi"/>
                <w:sz w:val="22"/>
                <w:szCs w:val="22"/>
              </w:rPr>
              <w:t>ACeH</w:t>
            </w:r>
            <w:proofErr w:type="spellEnd"/>
          </w:p>
        </w:tc>
        <w:tc>
          <w:tcPr>
            <w:tcW w:w="7194" w:type="dxa"/>
            <w:vAlign w:val="center"/>
          </w:tcPr>
          <w:p w:rsidR="00BF27DF" w:rsidRPr="00D77D6D" w:rsidRDefault="00CD400B" w:rsidP="00665BC5">
            <w:pPr>
              <w:rPr>
                <w:rFonts w:asciiTheme="minorHAnsi" w:hAnsiTheme="minorHAnsi"/>
                <w:sz w:val="22"/>
                <w:szCs w:val="22"/>
              </w:rPr>
            </w:pPr>
            <w:r w:rsidRPr="00D77D6D">
              <w:rPr>
                <w:rFonts w:asciiTheme="minorHAnsi" w:hAnsiTheme="minorHAnsi"/>
                <w:sz w:val="22"/>
                <w:szCs w:val="22"/>
              </w:rPr>
              <w:t xml:space="preserve">Australian Commission </w:t>
            </w:r>
            <w:r w:rsidR="00665BC5">
              <w:rPr>
                <w:rFonts w:asciiTheme="minorHAnsi" w:hAnsiTheme="minorHAnsi"/>
                <w:sz w:val="22"/>
                <w:szCs w:val="22"/>
              </w:rPr>
              <w:t>for</w:t>
            </w:r>
            <w:r w:rsidR="00665BC5" w:rsidRPr="00D77D6D">
              <w:rPr>
                <w:rFonts w:asciiTheme="minorHAnsi" w:hAnsiTheme="minorHAnsi"/>
                <w:sz w:val="22"/>
                <w:szCs w:val="22"/>
              </w:rPr>
              <w:t xml:space="preserve"> </w:t>
            </w:r>
            <w:r w:rsidR="003D7F19">
              <w:rPr>
                <w:rFonts w:asciiTheme="minorHAnsi" w:hAnsiTheme="minorHAnsi"/>
                <w:sz w:val="22"/>
                <w:szCs w:val="22"/>
              </w:rPr>
              <w:t>Electronic Health</w:t>
            </w:r>
          </w:p>
        </w:tc>
      </w:tr>
      <w:tr w:rsidR="00BF27DF" w:rsidRPr="00D77D6D" w:rsidTr="0045440F">
        <w:trPr>
          <w:trHeight w:val="410"/>
        </w:trPr>
        <w:tc>
          <w:tcPr>
            <w:tcW w:w="2660" w:type="dxa"/>
            <w:vAlign w:val="center"/>
          </w:tcPr>
          <w:p w:rsidR="00BF27DF" w:rsidRPr="00D77D6D" w:rsidRDefault="007C490C" w:rsidP="00D77D6D">
            <w:pPr>
              <w:rPr>
                <w:rFonts w:asciiTheme="minorHAnsi" w:hAnsiTheme="minorHAnsi"/>
                <w:sz w:val="22"/>
                <w:szCs w:val="22"/>
              </w:rPr>
            </w:pPr>
            <w:proofErr w:type="spellStart"/>
            <w:r w:rsidRPr="00D77D6D">
              <w:rPr>
                <w:rFonts w:asciiTheme="minorHAnsi" w:hAnsiTheme="minorHAnsi"/>
                <w:sz w:val="22"/>
                <w:szCs w:val="22"/>
              </w:rPr>
              <w:t>ACIR</w:t>
            </w:r>
            <w:proofErr w:type="spellEnd"/>
          </w:p>
        </w:tc>
        <w:tc>
          <w:tcPr>
            <w:tcW w:w="7194" w:type="dxa"/>
            <w:vAlign w:val="center"/>
          </w:tcPr>
          <w:p w:rsidR="00BF27DF" w:rsidRPr="00D77D6D" w:rsidRDefault="007C490C" w:rsidP="00D77D6D">
            <w:pPr>
              <w:rPr>
                <w:rFonts w:asciiTheme="minorHAnsi" w:hAnsiTheme="minorHAnsi"/>
                <w:sz w:val="22"/>
                <w:szCs w:val="22"/>
              </w:rPr>
            </w:pPr>
            <w:r w:rsidRPr="00D77D6D">
              <w:rPr>
                <w:rFonts w:asciiTheme="minorHAnsi" w:hAnsiTheme="minorHAnsi"/>
                <w:sz w:val="22"/>
                <w:szCs w:val="22"/>
              </w:rPr>
              <w:t>Australian Childhood Immunisation Register</w:t>
            </w:r>
          </w:p>
        </w:tc>
      </w:tr>
      <w:tr w:rsidR="007C490C" w:rsidRPr="00D77D6D" w:rsidTr="0045440F">
        <w:trPr>
          <w:trHeight w:val="410"/>
        </w:trPr>
        <w:tc>
          <w:tcPr>
            <w:tcW w:w="2660" w:type="dxa"/>
            <w:vAlign w:val="center"/>
          </w:tcPr>
          <w:p w:rsidR="007C490C" w:rsidRPr="00D77D6D" w:rsidRDefault="007C490C" w:rsidP="00D77D6D">
            <w:pPr>
              <w:rPr>
                <w:rFonts w:asciiTheme="minorHAnsi" w:hAnsiTheme="minorHAnsi"/>
                <w:sz w:val="22"/>
                <w:szCs w:val="22"/>
              </w:rPr>
            </w:pPr>
            <w:proofErr w:type="spellStart"/>
            <w:r w:rsidRPr="00D77D6D">
              <w:rPr>
                <w:rFonts w:asciiTheme="minorHAnsi" w:hAnsiTheme="minorHAnsi"/>
                <w:sz w:val="22"/>
                <w:szCs w:val="22"/>
              </w:rPr>
              <w:t>AHPRA</w:t>
            </w:r>
            <w:proofErr w:type="spellEnd"/>
          </w:p>
        </w:tc>
        <w:tc>
          <w:tcPr>
            <w:tcW w:w="7194" w:type="dxa"/>
            <w:vAlign w:val="center"/>
          </w:tcPr>
          <w:p w:rsidR="007C490C" w:rsidRPr="00D77D6D" w:rsidRDefault="007C490C" w:rsidP="00D77D6D">
            <w:pPr>
              <w:rPr>
                <w:rFonts w:asciiTheme="minorHAnsi" w:hAnsiTheme="minorHAnsi"/>
                <w:sz w:val="22"/>
                <w:szCs w:val="22"/>
              </w:rPr>
            </w:pPr>
            <w:r w:rsidRPr="00D77D6D">
              <w:rPr>
                <w:rFonts w:asciiTheme="minorHAnsi" w:hAnsiTheme="minorHAnsi"/>
                <w:sz w:val="22"/>
                <w:szCs w:val="22"/>
              </w:rPr>
              <w:t>Australian Health Practitioner Regulation Agency</w:t>
            </w:r>
          </w:p>
        </w:tc>
      </w:tr>
      <w:tr w:rsidR="007C490C" w:rsidRPr="00D77D6D" w:rsidTr="0045440F">
        <w:trPr>
          <w:trHeight w:val="410"/>
        </w:trPr>
        <w:tc>
          <w:tcPr>
            <w:tcW w:w="2660" w:type="dxa"/>
            <w:vAlign w:val="center"/>
          </w:tcPr>
          <w:p w:rsidR="007C490C" w:rsidRPr="00D77D6D" w:rsidRDefault="007C490C" w:rsidP="00D77D6D">
            <w:pPr>
              <w:rPr>
                <w:rFonts w:asciiTheme="minorHAnsi" w:hAnsiTheme="minorHAnsi"/>
                <w:sz w:val="22"/>
                <w:szCs w:val="22"/>
              </w:rPr>
            </w:pPr>
            <w:proofErr w:type="spellStart"/>
            <w:r w:rsidRPr="00D77D6D">
              <w:rPr>
                <w:rFonts w:asciiTheme="minorHAnsi" w:hAnsiTheme="minorHAnsi"/>
                <w:sz w:val="22"/>
                <w:szCs w:val="22"/>
              </w:rPr>
              <w:t>ALRC</w:t>
            </w:r>
            <w:proofErr w:type="spellEnd"/>
          </w:p>
        </w:tc>
        <w:tc>
          <w:tcPr>
            <w:tcW w:w="7194" w:type="dxa"/>
            <w:vAlign w:val="center"/>
          </w:tcPr>
          <w:p w:rsidR="007C490C" w:rsidRPr="00D77D6D" w:rsidRDefault="007C490C" w:rsidP="00D77D6D">
            <w:pPr>
              <w:rPr>
                <w:rFonts w:asciiTheme="minorHAnsi" w:hAnsiTheme="minorHAnsi"/>
                <w:sz w:val="22"/>
                <w:szCs w:val="22"/>
              </w:rPr>
            </w:pPr>
            <w:r w:rsidRPr="00D77D6D">
              <w:rPr>
                <w:rFonts w:asciiTheme="minorHAnsi" w:hAnsiTheme="minorHAnsi"/>
                <w:sz w:val="22"/>
                <w:szCs w:val="22"/>
              </w:rPr>
              <w:t>Australian Law Reform Commission</w:t>
            </w:r>
          </w:p>
        </w:tc>
      </w:tr>
      <w:tr w:rsidR="00BF27DF" w:rsidRPr="00D77D6D" w:rsidTr="0045440F">
        <w:trPr>
          <w:trHeight w:val="410"/>
        </w:trPr>
        <w:tc>
          <w:tcPr>
            <w:tcW w:w="2660" w:type="dxa"/>
            <w:vAlign w:val="center"/>
          </w:tcPr>
          <w:p w:rsidR="00BF27DF" w:rsidRPr="00D77D6D" w:rsidRDefault="007C490C" w:rsidP="00D77D6D">
            <w:pPr>
              <w:rPr>
                <w:rFonts w:asciiTheme="minorHAnsi" w:hAnsiTheme="minorHAnsi"/>
                <w:sz w:val="22"/>
                <w:szCs w:val="22"/>
              </w:rPr>
            </w:pPr>
            <w:proofErr w:type="spellStart"/>
            <w:r w:rsidRPr="00D77D6D">
              <w:rPr>
                <w:rFonts w:asciiTheme="minorHAnsi" w:hAnsiTheme="minorHAnsi"/>
                <w:sz w:val="22"/>
                <w:szCs w:val="22"/>
              </w:rPr>
              <w:t>AODR</w:t>
            </w:r>
            <w:proofErr w:type="spellEnd"/>
          </w:p>
        </w:tc>
        <w:tc>
          <w:tcPr>
            <w:tcW w:w="7194" w:type="dxa"/>
            <w:vAlign w:val="center"/>
          </w:tcPr>
          <w:p w:rsidR="00BF27DF" w:rsidRPr="00D77D6D" w:rsidRDefault="007C490C" w:rsidP="00D77D6D">
            <w:pPr>
              <w:rPr>
                <w:rFonts w:asciiTheme="minorHAnsi" w:hAnsiTheme="minorHAnsi"/>
                <w:sz w:val="22"/>
                <w:szCs w:val="22"/>
              </w:rPr>
            </w:pPr>
            <w:r w:rsidRPr="00D77D6D">
              <w:rPr>
                <w:rFonts w:asciiTheme="minorHAnsi" w:hAnsiTheme="minorHAnsi"/>
                <w:sz w:val="22"/>
                <w:szCs w:val="22"/>
              </w:rPr>
              <w:t>Australian Organisation Donation Register</w:t>
            </w:r>
          </w:p>
        </w:tc>
      </w:tr>
      <w:tr w:rsidR="007C490C" w:rsidRPr="00D77D6D" w:rsidTr="0045440F">
        <w:trPr>
          <w:trHeight w:val="410"/>
        </w:trPr>
        <w:tc>
          <w:tcPr>
            <w:tcW w:w="2660" w:type="dxa"/>
            <w:vAlign w:val="center"/>
          </w:tcPr>
          <w:p w:rsidR="007C490C" w:rsidRPr="00D77D6D" w:rsidRDefault="007C490C" w:rsidP="00D77D6D">
            <w:pPr>
              <w:rPr>
                <w:rFonts w:asciiTheme="minorHAnsi" w:hAnsiTheme="minorHAnsi"/>
                <w:sz w:val="22"/>
                <w:szCs w:val="22"/>
              </w:rPr>
            </w:pPr>
            <w:r w:rsidRPr="00D77D6D">
              <w:rPr>
                <w:rFonts w:asciiTheme="minorHAnsi" w:hAnsiTheme="minorHAnsi"/>
                <w:sz w:val="22"/>
                <w:szCs w:val="22"/>
              </w:rPr>
              <w:t>APP</w:t>
            </w:r>
          </w:p>
        </w:tc>
        <w:tc>
          <w:tcPr>
            <w:tcW w:w="7194" w:type="dxa"/>
            <w:vAlign w:val="center"/>
          </w:tcPr>
          <w:p w:rsidR="007C490C" w:rsidRPr="00D77D6D" w:rsidRDefault="007C490C" w:rsidP="00D77D6D">
            <w:pPr>
              <w:rPr>
                <w:rFonts w:asciiTheme="minorHAnsi" w:hAnsiTheme="minorHAnsi"/>
                <w:sz w:val="22"/>
                <w:szCs w:val="22"/>
              </w:rPr>
            </w:pPr>
            <w:r w:rsidRPr="00D77D6D">
              <w:rPr>
                <w:rFonts w:asciiTheme="minorHAnsi" w:hAnsiTheme="minorHAnsi"/>
                <w:sz w:val="22"/>
                <w:szCs w:val="22"/>
              </w:rPr>
              <w:t>Australian Privacy Principle</w:t>
            </w:r>
          </w:p>
        </w:tc>
      </w:tr>
      <w:tr w:rsidR="003D7F19" w:rsidRPr="00D77D6D" w:rsidTr="0045440F">
        <w:trPr>
          <w:trHeight w:val="410"/>
        </w:trPr>
        <w:tc>
          <w:tcPr>
            <w:tcW w:w="2660" w:type="dxa"/>
            <w:vAlign w:val="center"/>
          </w:tcPr>
          <w:p w:rsidR="003D7F19" w:rsidRPr="00D77D6D" w:rsidRDefault="003D7F19" w:rsidP="00D77D6D">
            <w:pPr>
              <w:rPr>
                <w:rFonts w:asciiTheme="minorHAnsi" w:hAnsiTheme="minorHAnsi"/>
                <w:sz w:val="22"/>
                <w:szCs w:val="22"/>
              </w:rPr>
            </w:pPr>
            <w:r>
              <w:rPr>
                <w:rFonts w:asciiTheme="minorHAnsi" w:hAnsiTheme="minorHAnsi"/>
                <w:sz w:val="22"/>
                <w:szCs w:val="22"/>
              </w:rPr>
              <w:t>APS</w:t>
            </w:r>
          </w:p>
        </w:tc>
        <w:tc>
          <w:tcPr>
            <w:tcW w:w="7194" w:type="dxa"/>
            <w:vAlign w:val="center"/>
          </w:tcPr>
          <w:p w:rsidR="003D7F19" w:rsidRPr="00D77D6D" w:rsidRDefault="003D7F19" w:rsidP="00D77D6D">
            <w:pPr>
              <w:rPr>
                <w:rFonts w:asciiTheme="minorHAnsi" w:hAnsiTheme="minorHAnsi"/>
                <w:sz w:val="22"/>
                <w:szCs w:val="22"/>
              </w:rPr>
            </w:pPr>
            <w:r>
              <w:rPr>
                <w:rFonts w:asciiTheme="minorHAnsi" w:hAnsiTheme="minorHAnsi"/>
                <w:sz w:val="22"/>
                <w:szCs w:val="22"/>
              </w:rPr>
              <w:t>Australian Public Service</w:t>
            </w:r>
          </w:p>
        </w:tc>
      </w:tr>
      <w:tr w:rsidR="00EC1A54" w:rsidRPr="00D77D6D" w:rsidTr="0045440F">
        <w:trPr>
          <w:trHeight w:val="410"/>
        </w:trPr>
        <w:tc>
          <w:tcPr>
            <w:tcW w:w="2660" w:type="dxa"/>
            <w:vAlign w:val="center"/>
          </w:tcPr>
          <w:p w:rsidR="00EC1A54" w:rsidRPr="00D77D6D" w:rsidRDefault="00EC1A54" w:rsidP="00D77D6D">
            <w:pPr>
              <w:rPr>
                <w:rFonts w:asciiTheme="minorHAnsi" w:hAnsiTheme="minorHAnsi"/>
                <w:sz w:val="22"/>
                <w:szCs w:val="22"/>
              </w:rPr>
            </w:pPr>
            <w:proofErr w:type="spellStart"/>
            <w:r w:rsidRPr="00D77D6D">
              <w:rPr>
                <w:rFonts w:asciiTheme="minorHAnsi" w:hAnsiTheme="minorHAnsi"/>
                <w:sz w:val="22"/>
                <w:szCs w:val="22"/>
              </w:rPr>
              <w:t>ASQCHC</w:t>
            </w:r>
            <w:proofErr w:type="spellEnd"/>
          </w:p>
        </w:tc>
        <w:tc>
          <w:tcPr>
            <w:tcW w:w="7194" w:type="dxa"/>
            <w:vAlign w:val="center"/>
          </w:tcPr>
          <w:p w:rsidR="00EC1A54" w:rsidRPr="00D77D6D" w:rsidRDefault="00EC1A54" w:rsidP="00D77D6D">
            <w:pPr>
              <w:rPr>
                <w:rFonts w:asciiTheme="minorHAnsi" w:hAnsiTheme="minorHAnsi"/>
                <w:sz w:val="22"/>
                <w:szCs w:val="22"/>
              </w:rPr>
            </w:pPr>
            <w:r w:rsidRPr="00D77D6D">
              <w:rPr>
                <w:rFonts w:asciiTheme="minorHAnsi" w:hAnsiTheme="minorHAnsi"/>
                <w:sz w:val="22"/>
                <w:szCs w:val="22"/>
              </w:rPr>
              <w:t>Australian Safety and Quality Commission in Health Care</w:t>
            </w:r>
          </w:p>
        </w:tc>
      </w:tr>
      <w:tr w:rsidR="007D6C72" w:rsidRPr="00D77D6D" w:rsidTr="0045440F">
        <w:trPr>
          <w:trHeight w:val="410"/>
        </w:trPr>
        <w:tc>
          <w:tcPr>
            <w:tcW w:w="2660" w:type="dxa"/>
            <w:vAlign w:val="center"/>
          </w:tcPr>
          <w:p w:rsidR="007D6C72" w:rsidRPr="00D77D6D" w:rsidRDefault="007D6C72" w:rsidP="00D77D6D">
            <w:pPr>
              <w:rPr>
                <w:rFonts w:asciiTheme="minorHAnsi" w:hAnsiTheme="minorHAnsi"/>
                <w:sz w:val="22"/>
                <w:szCs w:val="22"/>
              </w:rPr>
            </w:pPr>
            <w:proofErr w:type="spellStart"/>
            <w:r>
              <w:rPr>
                <w:rFonts w:asciiTheme="minorHAnsi" w:hAnsiTheme="minorHAnsi"/>
                <w:sz w:val="22"/>
                <w:szCs w:val="22"/>
              </w:rPr>
              <w:t>COAG</w:t>
            </w:r>
            <w:proofErr w:type="spellEnd"/>
          </w:p>
        </w:tc>
        <w:tc>
          <w:tcPr>
            <w:tcW w:w="7194" w:type="dxa"/>
            <w:vAlign w:val="center"/>
          </w:tcPr>
          <w:p w:rsidR="007D6C72" w:rsidRPr="00D77D6D" w:rsidRDefault="007D6C72" w:rsidP="007D6C72">
            <w:pPr>
              <w:rPr>
                <w:rFonts w:asciiTheme="minorHAnsi" w:hAnsiTheme="minorHAnsi"/>
                <w:sz w:val="22"/>
                <w:szCs w:val="22"/>
              </w:rPr>
            </w:pPr>
            <w:r>
              <w:rPr>
                <w:rFonts w:asciiTheme="minorHAnsi" w:hAnsiTheme="minorHAnsi"/>
                <w:sz w:val="22"/>
                <w:szCs w:val="22"/>
              </w:rPr>
              <w:t>Council of Australian Governments</w:t>
            </w:r>
          </w:p>
        </w:tc>
      </w:tr>
      <w:tr w:rsidR="007C490C" w:rsidRPr="00D77D6D" w:rsidTr="0045440F">
        <w:trPr>
          <w:trHeight w:val="410"/>
        </w:trPr>
        <w:tc>
          <w:tcPr>
            <w:tcW w:w="2660" w:type="dxa"/>
            <w:vAlign w:val="center"/>
          </w:tcPr>
          <w:p w:rsidR="007C490C" w:rsidRPr="00D77D6D" w:rsidRDefault="007C490C" w:rsidP="00D77D6D">
            <w:pPr>
              <w:rPr>
                <w:rFonts w:asciiTheme="minorHAnsi" w:hAnsiTheme="minorHAnsi"/>
                <w:sz w:val="22"/>
                <w:szCs w:val="22"/>
              </w:rPr>
            </w:pPr>
            <w:proofErr w:type="spellStart"/>
            <w:r w:rsidRPr="00D77D6D">
              <w:rPr>
                <w:rFonts w:asciiTheme="minorHAnsi" w:hAnsiTheme="minorHAnsi"/>
                <w:sz w:val="22"/>
                <w:szCs w:val="22"/>
              </w:rPr>
              <w:t>DHS</w:t>
            </w:r>
            <w:proofErr w:type="spellEnd"/>
          </w:p>
        </w:tc>
        <w:tc>
          <w:tcPr>
            <w:tcW w:w="7194" w:type="dxa"/>
            <w:vAlign w:val="center"/>
          </w:tcPr>
          <w:p w:rsidR="007C490C" w:rsidRPr="00D77D6D" w:rsidRDefault="007C490C" w:rsidP="00D77D6D">
            <w:pPr>
              <w:rPr>
                <w:rFonts w:asciiTheme="minorHAnsi" w:hAnsiTheme="minorHAnsi"/>
                <w:sz w:val="22"/>
                <w:szCs w:val="22"/>
              </w:rPr>
            </w:pPr>
            <w:r w:rsidRPr="00D77D6D">
              <w:rPr>
                <w:rFonts w:asciiTheme="minorHAnsi" w:hAnsiTheme="minorHAnsi"/>
                <w:sz w:val="22"/>
                <w:szCs w:val="22"/>
              </w:rPr>
              <w:t>Department of Human Services</w:t>
            </w:r>
          </w:p>
        </w:tc>
      </w:tr>
      <w:tr w:rsidR="00B172AC" w:rsidRPr="00D77D6D" w:rsidTr="0045440F">
        <w:trPr>
          <w:trHeight w:val="410"/>
        </w:trPr>
        <w:tc>
          <w:tcPr>
            <w:tcW w:w="2660" w:type="dxa"/>
            <w:vAlign w:val="center"/>
          </w:tcPr>
          <w:p w:rsidR="00B172AC" w:rsidRPr="00D77D6D" w:rsidRDefault="00B172AC" w:rsidP="00D77D6D">
            <w:pPr>
              <w:rPr>
                <w:rFonts w:asciiTheme="minorHAnsi" w:hAnsiTheme="minorHAnsi"/>
                <w:sz w:val="22"/>
                <w:szCs w:val="22"/>
              </w:rPr>
            </w:pPr>
            <w:r>
              <w:rPr>
                <w:rFonts w:asciiTheme="minorHAnsi" w:hAnsiTheme="minorHAnsi"/>
                <w:sz w:val="22"/>
                <w:szCs w:val="22"/>
              </w:rPr>
              <w:t>Document Verification Service</w:t>
            </w:r>
          </w:p>
        </w:tc>
        <w:tc>
          <w:tcPr>
            <w:tcW w:w="7194" w:type="dxa"/>
            <w:vAlign w:val="center"/>
          </w:tcPr>
          <w:p w:rsidR="00B172AC" w:rsidRPr="00B172AC" w:rsidRDefault="00B172AC" w:rsidP="00313A55">
            <w:pPr>
              <w:rPr>
                <w:rFonts w:asciiTheme="minorHAnsi" w:hAnsiTheme="minorHAnsi"/>
                <w:sz w:val="22"/>
                <w:szCs w:val="22"/>
              </w:rPr>
            </w:pPr>
            <w:r>
              <w:rPr>
                <w:rFonts w:asciiTheme="minorHAnsi" w:hAnsiTheme="minorHAnsi"/>
                <w:sz w:val="22"/>
                <w:szCs w:val="22"/>
              </w:rPr>
              <w:t>The Document Verification Service is a national online system that allows organisations to compare a customer’s identifying information with a government record.  It is a secure system that operates 24 hours a day, seven days a week, and matches key details contained on Australian-issued identifying credentials to provide verification (or not) of a person’s identity.</w:t>
            </w:r>
            <w:r w:rsidR="00313A55">
              <w:rPr>
                <w:rFonts w:asciiTheme="minorHAnsi" w:hAnsiTheme="minorHAnsi"/>
                <w:sz w:val="22"/>
                <w:szCs w:val="22"/>
              </w:rPr>
              <w:t xml:space="preserve">  This service is managed by the Attorney-General’s Department.</w:t>
            </w:r>
          </w:p>
        </w:tc>
      </w:tr>
      <w:tr w:rsidR="007C490C" w:rsidRPr="00D77D6D" w:rsidTr="0045440F">
        <w:trPr>
          <w:trHeight w:val="410"/>
        </w:trPr>
        <w:tc>
          <w:tcPr>
            <w:tcW w:w="2660" w:type="dxa"/>
            <w:vAlign w:val="center"/>
          </w:tcPr>
          <w:p w:rsidR="007C490C" w:rsidRPr="00D77D6D" w:rsidRDefault="007C490C" w:rsidP="00D77D6D">
            <w:pPr>
              <w:rPr>
                <w:rFonts w:asciiTheme="minorHAnsi" w:hAnsiTheme="minorHAnsi"/>
                <w:sz w:val="22"/>
                <w:szCs w:val="22"/>
              </w:rPr>
            </w:pPr>
            <w:r w:rsidRPr="00D77D6D">
              <w:rPr>
                <w:rFonts w:asciiTheme="minorHAnsi" w:hAnsiTheme="minorHAnsi"/>
                <w:sz w:val="22"/>
                <w:szCs w:val="22"/>
              </w:rPr>
              <w:t>Health</w:t>
            </w:r>
          </w:p>
        </w:tc>
        <w:tc>
          <w:tcPr>
            <w:tcW w:w="7194" w:type="dxa"/>
            <w:vAlign w:val="center"/>
          </w:tcPr>
          <w:p w:rsidR="007C490C" w:rsidRPr="00D77D6D" w:rsidRDefault="007C490C" w:rsidP="00D77D6D">
            <w:pPr>
              <w:rPr>
                <w:rFonts w:asciiTheme="minorHAnsi" w:hAnsiTheme="minorHAnsi"/>
                <w:sz w:val="22"/>
                <w:szCs w:val="22"/>
              </w:rPr>
            </w:pPr>
            <w:r w:rsidRPr="00D77D6D">
              <w:rPr>
                <w:rFonts w:asciiTheme="minorHAnsi" w:hAnsiTheme="minorHAnsi"/>
                <w:sz w:val="22"/>
                <w:szCs w:val="22"/>
              </w:rPr>
              <w:t>Department of Health</w:t>
            </w:r>
          </w:p>
        </w:tc>
      </w:tr>
      <w:tr w:rsidR="00BF27DF" w:rsidRPr="00D77D6D" w:rsidTr="0045440F">
        <w:trPr>
          <w:trHeight w:val="410"/>
        </w:trPr>
        <w:tc>
          <w:tcPr>
            <w:tcW w:w="2660" w:type="dxa"/>
            <w:vAlign w:val="center"/>
          </w:tcPr>
          <w:p w:rsidR="00BF27DF" w:rsidRPr="00D77D6D" w:rsidRDefault="00C07CF5" w:rsidP="002022A5">
            <w:pPr>
              <w:rPr>
                <w:rFonts w:asciiTheme="minorHAnsi" w:hAnsiTheme="minorHAnsi"/>
                <w:sz w:val="22"/>
                <w:szCs w:val="22"/>
              </w:rPr>
            </w:pPr>
            <w:r w:rsidRPr="00D77D6D">
              <w:rPr>
                <w:rFonts w:asciiTheme="minorHAnsi" w:hAnsiTheme="minorHAnsi"/>
                <w:sz w:val="22"/>
                <w:szCs w:val="22"/>
              </w:rPr>
              <w:t>Healthcare identifier</w:t>
            </w:r>
          </w:p>
        </w:tc>
        <w:tc>
          <w:tcPr>
            <w:tcW w:w="7194" w:type="dxa"/>
            <w:vAlign w:val="center"/>
          </w:tcPr>
          <w:p w:rsidR="000549C4" w:rsidRPr="00D77D6D" w:rsidRDefault="000549C4" w:rsidP="00D77D6D">
            <w:pPr>
              <w:rPr>
                <w:rFonts w:asciiTheme="minorHAnsi" w:hAnsiTheme="minorHAnsi"/>
                <w:sz w:val="22"/>
                <w:szCs w:val="22"/>
              </w:rPr>
            </w:pPr>
            <w:r w:rsidRPr="00D77D6D">
              <w:rPr>
                <w:rFonts w:asciiTheme="minorHAnsi" w:hAnsiTheme="minorHAnsi"/>
                <w:sz w:val="22"/>
                <w:szCs w:val="22"/>
              </w:rPr>
              <w:t>A unique 16 digit number assigned by the HI Service Operator to individuals, healthcare providers and healthcare provider organisations.</w:t>
            </w:r>
          </w:p>
          <w:p w:rsidR="00BF27DF" w:rsidRPr="00D77D6D" w:rsidRDefault="000549C4" w:rsidP="00355B34">
            <w:pPr>
              <w:spacing w:before="120"/>
              <w:rPr>
                <w:rFonts w:asciiTheme="minorHAnsi" w:hAnsiTheme="minorHAnsi"/>
                <w:sz w:val="22"/>
                <w:szCs w:val="22"/>
              </w:rPr>
            </w:pPr>
            <w:r w:rsidRPr="00D77D6D">
              <w:rPr>
                <w:rFonts w:asciiTheme="minorHAnsi" w:hAnsiTheme="minorHAnsi"/>
                <w:sz w:val="22"/>
                <w:szCs w:val="22"/>
              </w:rPr>
              <w:t xml:space="preserve">It is a government related identifier for the purposes of the </w:t>
            </w:r>
            <w:r w:rsidRPr="00D77D6D">
              <w:rPr>
                <w:rFonts w:asciiTheme="minorHAnsi" w:hAnsiTheme="minorHAnsi"/>
                <w:i/>
                <w:sz w:val="22"/>
                <w:szCs w:val="22"/>
              </w:rPr>
              <w:t>Privacy Act 1988</w:t>
            </w:r>
            <w:r w:rsidRPr="00D77D6D">
              <w:rPr>
                <w:rFonts w:asciiTheme="minorHAnsi" w:hAnsiTheme="minorHAnsi"/>
                <w:sz w:val="22"/>
                <w:szCs w:val="22"/>
              </w:rPr>
              <w:t>.</w:t>
            </w:r>
          </w:p>
        </w:tc>
      </w:tr>
      <w:tr w:rsidR="00AD25B6" w:rsidRPr="00D77D6D" w:rsidTr="0045440F">
        <w:trPr>
          <w:trHeight w:val="410"/>
        </w:trPr>
        <w:tc>
          <w:tcPr>
            <w:tcW w:w="2660" w:type="dxa"/>
            <w:vAlign w:val="center"/>
          </w:tcPr>
          <w:p w:rsidR="00AD25B6" w:rsidRPr="00D77D6D" w:rsidRDefault="00AD25B6" w:rsidP="00D77D6D">
            <w:pPr>
              <w:rPr>
                <w:rFonts w:asciiTheme="minorHAnsi" w:hAnsiTheme="minorHAnsi"/>
                <w:sz w:val="22"/>
                <w:szCs w:val="22"/>
              </w:rPr>
            </w:pPr>
            <w:r w:rsidRPr="00D77D6D">
              <w:rPr>
                <w:rFonts w:asciiTheme="minorHAnsi" w:hAnsiTheme="minorHAnsi"/>
                <w:sz w:val="22"/>
                <w:szCs w:val="22"/>
              </w:rPr>
              <w:t>HI Act</w:t>
            </w:r>
          </w:p>
        </w:tc>
        <w:tc>
          <w:tcPr>
            <w:tcW w:w="7194" w:type="dxa"/>
            <w:vAlign w:val="center"/>
          </w:tcPr>
          <w:p w:rsidR="00AD25B6" w:rsidRPr="00D77D6D" w:rsidRDefault="00AD25B6" w:rsidP="00D77D6D">
            <w:pPr>
              <w:rPr>
                <w:rFonts w:asciiTheme="minorHAnsi" w:hAnsiTheme="minorHAnsi"/>
                <w:i/>
                <w:sz w:val="22"/>
                <w:szCs w:val="22"/>
              </w:rPr>
            </w:pPr>
            <w:r w:rsidRPr="00D77D6D">
              <w:rPr>
                <w:rFonts w:asciiTheme="minorHAnsi" w:hAnsiTheme="minorHAnsi"/>
                <w:i/>
                <w:sz w:val="22"/>
                <w:szCs w:val="22"/>
              </w:rPr>
              <w:t>Healthcare Identifiers Act 2010</w:t>
            </w:r>
          </w:p>
        </w:tc>
      </w:tr>
      <w:tr w:rsidR="00C948D3" w:rsidRPr="00D77D6D" w:rsidTr="0045440F">
        <w:trPr>
          <w:trHeight w:val="410"/>
        </w:trPr>
        <w:tc>
          <w:tcPr>
            <w:tcW w:w="2660" w:type="dxa"/>
            <w:vAlign w:val="center"/>
          </w:tcPr>
          <w:p w:rsidR="00C948D3" w:rsidRPr="00D77D6D" w:rsidRDefault="00C948D3" w:rsidP="00D77D6D">
            <w:pPr>
              <w:rPr>
                <w:rFonts w:asciiTheme="minorHAnsi" w:hAnsiTheme="minorHAnsi"/>
                <w:sz w:val="22"/>
                <w:szCs w:val="22"/>
              </w:rPr>
            </w:pPr>
            <w:r w:rsidRPr="00D77D6D">
              <w:rPr>
                <w:rFonts w:asciiTheme="minorHAnsi" w:hAnsiTheme="minorHAnsi"/>
                <w:sz w:val="22"/>
                <w:szCs w:val="22"/>
              </w:rPr>
              <w:t>HI Regulations</w:t>
            </w:r>
          </w:p>
        </w:tc>
        <w:tc>
          <w:tcPr>
            <w:tcW w:w="7194" w:type="dxa"/>
            <w:vAlign w:val="center"/>
          </w:tcPr>
          <w:p w:rsidR="00C948D3" w:rsidRPr="00D77D6D" w:rsidRDefault="00C948D3" w:rsidP="00D77D6D">
            <w:pPr>
              <w:rPr>
                <w:rFonts w:asciiTheme="minorHAnsi" w:hAnsiTheme="minorHAnsi"/>
                <w:sz w:val="22"/>
                <w:szCs w:val="22"/>
              </w:rPr>
            </w:pPr>
            <w:r w:rsidRPr="00D77D6D">
              <w:rPr>
                <w:rFonts w:asciiTheme="minorHAnsi" w:hAnsiTheme="minorHAnsi"/>
                <w:i/>
                <w:sz w:val="22"/>
                <w:szCs w:val="22"/>
              </w:rPr>
              <w:t>Healthcare Identifiers Regulations 2010</w:t>
            </w:r>
          </w:p>
        </w:tc>
      </w:tr>
      <w:tr w:rsidR="00F764EF" w:rsidRPr="00D77D6D" w:rsidTr="0045440F">
        <w:trPr>
          <w:trHeight w:val="410"/>
        </w:trPr>
        <w:tc>
          <w:tcPr>
            <w:tcW w:w="2660" w:type="dxa"/>
            <w:vAlign w:val="center"/>
          </w:tcPr>
          <w:p w:rsidR="00F764EF" w:rsidRPr="00D77D6D" w:rsidRDefault="00F764EF" w:rsidP="00D77D6D">
            <w:pPr>
              <w:rPr>
                <w:rFonts w:asciiTheme="minorHAnsi" w:hAnsiTheme="minorHAnsi"/>
                <w:sz w:val="22"/>
                <w:szCs w:val="22"/>
              </w:rPr>
            </w:pPr>
            <w:r>
              <w:rPr>
                <w:rFonts w:asciiTheme="minorHAnsi" w:hAnsiTheme="minorHAnsi"/>
                <w:sz w:val="22"/>
                <w:szCs w:val="22"/>
              </w:rPr>
              <w:t>HI Review</w:t>
            </w:r>
          </w:p>
        </w:tc>
        <w:tc>
          <w:tcPr>
            <w:tcW w:w="7194" w:type="dxa"/>
            <w:vAlign w:val="center"/>
          </w:tcPr>
          <w:p w:rsidR="00F764EF" w:rsidRPr="00D77D6D" w:rsidRDefault="00D02304" w:rsidP="00C06AC2">
            <w:pPr>
              <w:rPr>
                <w:rFonts w:asciiTheme="minorHAnsi" w:hAnsiTheme="minorHAnsi"/>
                <w:sz w:val="22"/>
                <w:szCs w:val="22"/>
              </w:rPr>
            </w:pPr>
            <w:r w:rsidRPr="00D77D6D">
              <w:rPr>
                <w:rFonts w:asciiTheme="minorHAnsi" w:hAnsiTheme="minorHAnsi"/>
                <w:sz w:val="22"/>
                <w:szCs w:val="22"/>
              </w:rPr>
              <w:t xml:space="preserve">A review of the </w:t>
            </w:r>
            <w:r>
              <w:rPr>
                <w:rFonts w:asciiTheme="minorHAnsi" w:hAnsiTheme="minorHAnsi"/>
                <w:sz w:val="22"/>
                <w:szCs w:val="22"/>
              </w:rPr>
              <w:t>HI Service was undertaken in accordance with section 35 of the HI Act and was delivered in June 2013</w:t>
            </w:r>
            <w:r w:rsidRPr="00D77D6D">
              <w:rPr>
                <w:rFonts w:asciiTheme="minorHAnsi" w:hAnsiTheme="minorHAnsi"/>
                <w:sz w:val="22"/>
                <w:szCs w:val="22"/>
              </w:rPr>
              <w:t xml:space="preserve">.  The report is available </w:t>
            </w:r>
            <w:r w:rsidR="00AB1151">
              <w:rPr>
                <w:rFonts w:asciiTheme="minorHAnsi" w:hAnsiTheme="minorHAnsi"/>
                <w:sz w:val="22"/>
                <w:szCs w:val="22"/>
              </w:rPr>
              <w:t xml:space="preserve">on the </w:t>
            </w:r>
            <w:hyperlink r:id="rId23" w:history="1">
              <w:r w:rsidR="00AB1151" w:rsidRPr="00AB1151">
                <w:rPr>
                  <w:rStyle w:val="Hyperlink"/>
                  <w:rFonts w:asciiTheme="minorHAnsi" w:hAnsiTheme="minorHAnsi"/>
                  <w:sz w:val="22"/>
                  <w:szCs w:val="22"/>
                </w:rPr>
                <w:t>Department of Health website</w:t>
              </w:r>
            </w:hyperlink>
            <w:r w:rsidRPr="00D77D6D">
              <w:rPr>
                <w:rFonts w:asciiTheme="minorHAnsi" w:hAnsiTheme="minorHAnsi"/>
                <w:sz w:val="22"/>
                <w:szCs w:val="22"/>
              </w:rPr>
              <w:t>.</w:t>
            </w:r>
          </w:p>
        </w:tc>
      </w:tr>
      <w:tr w:rsidR="00BF27DF" w:rsidRPr="00D77D6D" w:rsidTr="0045440F">
        <w:trPr>
          <w:trHeight w:val="410"/>
        </w:trPr>
        <w:tc>
          <w:tcPr>
            <w:tcW w:w="2660" w:type="dxa"/>
            <w:vAlign w:val="center"/>
          </w:tcPr>
          <w:p w:rsidR="00BF27DF" w:rsidRPr="00D77D6D" w:rsidRDefault="00C07CF5" w:rsidP="00D77D6D">
            <w:pPr>
              <w:rPr>
                <w:rFonts w:asciiTheme="minorHAnsi" w:hAnsiTheme="minorHAnsi"/>
                <w:sz w:val="22"/>
                <w:szCs w:val="22"/>
              </w:rPr>
            </w:pPr>
            <w:r w:rsidRPr="00D77D6D">
              <w:rPr>
                <w:rFonts w:asciiTheme="minorHAnsi" w:hAnsiTheme="minorHAnsi"/>
                <w:sz w:val="22"/>
                <w:szCs w:val="22"/>
              </w:rPr>
              <w:t>HI Service</w:t>
            </w:r>
          </w:p>
        </w:tc>
        <w:tc>
          <w:tcPr>
            <w:tcW w:w="7194" w:type="dxa"/>
            <w:vAlign w:val="center"/>
          </w:tcPr>
          <w:p w:rsidR="00BF27DF" w:rsidRPr="00D77D6D" w:rsidRDefault="00AD25B6" w:rsidP="00D77D6D">
            <w:pPr>
              <w:rPr>
                <w:rFonts w:asciiTheme="minorHAnsi" w:hAnsiTheme="minorHAnsi"/>
                <w:sz w:val="22"/>
                <w:szCs w:val="22"/>
              </w:rPr>
            </w:pPr>
            <w:r w:rsidRPr="00D77D6D">
              <w:rPr>
                <w:rFonts w:asciiTheme="minorHAnsi" w:hAnsiTheme="minorHAnsi"/>
                <w:sz w:val="22"/>
                <w:szCs w:val="22"/>
              </w:rPr>
              <w:t>Healthcare Identifiers Service</w:t>
            </w:r>
          </w:p>
        </w:tc>
      </w:tr>
      <w:tr w:rsidR="007C490C" w:rsidRPr="00D77D6D" w:rsidTr="0045440F">
        <w:trPr>
          <w:trHeight w:val="410"/>
        </w:trPr>
        <w:tc>
          <w:tcPr>
            <w:tcW w:w="2660" w:type="dxa"/>
            <w:vAlign w:val="center"/>
          </w:tcPr>
          <w:p w:rsidR="007C490C" w:rsidRPr="00D77D6D" w:rsidRDefault="007C490C" w:rsidP="00D77D6D">
            <w:pPr>
              <w:rPr>
                <w:rFonts w:asciiTheme="minorHAnsi" w:hAnsiTheme="minorHAnsi"/>
                <w:sz w:val="22"/>
                <w:szCs w:val="22"/>
              </w:rPr>
            </w:pPr>
            <w:proofErr w:type="spellStart"/>
            <w:r w:rsidRPr="00D77D6D">
              <w:rPr>
                <w:rFonts w:asciiTheme="minorHAnsi" w:hAnsiTheme="minorHAnsi"/>
                <w:sz w:val="22"/>
                <w:szCs w:val="22"/>
              </w:rPr>
              <w:t>HPD</w:t>
            </w:r>
            <w:proofErr w:type="spellEnd"/>
          </w:p>
        </w:tc>
        <w:tc>
          <w:tcPr>
            <w:tcW w:w="7194" w:type="dxa"/>
            <w:vAlign w:val="center"/>
          </w:tcPr>
          <w:p w:rsidR="007C490C" w:rsidRPr="00D77D6D" w:rsidRDefault="007C490C" w:rsidP="00D77D6D">
            <w:pPr>
              <w:rPr>
                <w:rFonts w:asciiTheme="minorHAnsi" w:hAnsiTheme="minorHAnsi"/>
                <w:sz w:val="22"/>
                <w:szCs w:val="22"/>
              </w:rPr>
            </w:pPr>
            <w:r w:rsidRPr="00D77D6D">
              <w:rPr>
                <w:rFonts w:asciiTheme="minorHAnsi" w:hAnsiTheme="minorHAnsi"/>
                <w:sz w:val="22"/>
                <w:szCs w:val="22"/>
              </w:rPr>
              <w:t>Healthcare Provider Directory</w:t>
            </w:r>
          </w:p>
        </w:tc>
      </w:tr>
      <w:tr w:rsidR="00C07CF5" w:rsidRPr="00D77D6D" w:rsidTr="0045440F">
        <w:trPr>
          <w:trHeight w:val="410"/>
        </w:trPr>
        <w:tc>
          <w:tcPr>
            <w:tcW w:w="2660" w:type="dxa"/>
            <w:vAlign w:val="center"/>
          </w:tcPr>
          <w:p w:rsidR="00C07CF5" w:rsidRPr="00D77D6D" w:rsidRDefault="00C07CF5" w:rsidP="00D77D6D">
            <w:pPr>
              <w:rPr>
                <w:rFonts w:asciiTheme="minorHAnsi" w:hAnsiTheme="minorHAnsi"/>
                <w:sz w:val="22"/>
                <w:szCs w:val="22"/>
              </w:rPr>
            </w:pPr>
            <w:r w:rsidRPr="00D77D6D">
              <w:rPr>
                <w:rFonts w:asciiTheme="minorHAnsi" w:hAnsiTheme="minorHAnsi"/>
                <w:sz w:val="22"/>
                <w:szCs w:val="22"/>
              </w:rPr>
              <w:t>HPI-I</w:t>
            </w:r>
          </w:p>
        </w:tc>
        <w:tc>
          <w:tcPr>
            <w:tcW w:w="7194" w:type="dxa"/>
            <w:vAlign w:val="center"/>
          </w:tcPr>
          <w:p w:rsidR="00C07CF5" w:rsidRPr="00D77D6D" w:rsidRDefault="00C07CF5" w:rsidP="00D77D6D">
            <w:pPr>
              <w:rPr>
                <w:rFonts w:asciiTheme="minorHAnsi" w:hAnsiTheme="minorHAnsi"/>
                <w:sz w:val="22"/>
                <w:szCs w:val="22"/>
              </w:rPr>
            </w:pPr>
            <w:r w:rsidRPr="00D77D6D">
              <w:rPr>
                <w:rFonts w:asciiTheme="minorHAnsi" w:hAnsiTheme="minorHAnsi"/>
                <w:sz w:val="22"/>
                <w:szCs w:val="22"/>
              </w:rPr>
              <w:t>Healthcare Provider Identifier―Individual</w:t>
            </w:r>
          </w:p>
          <w:p w:rsidR="00C07CF5" w:rsidRPr="00D77D6D" w:rsidRDefault="00C07CF5" w:rsidP="00355B34">
            <w:pPr>
              <w:spacing w:before="120"/>
              <w:rPr>
                <w:rFonts w:asciiTheme="minorHAnsi" w:hAnsiTheme="minorHAnsi"/>
                <w:sz w:val="22"/>
                <w:szCs w:val="22"/>
              </w:rPr>
            </w:pPr>
            <w:r w:rsidRPr="00D77D6D">
              <w:rPr>
                <w:rFonts w:asciiTheme="minorHAnsi" w:hAnsiTheme="minorHAnsi"/>
                <w:sz w:val="22"/>
                <w:szCs w:val="22"/>
              </w:rPr>
              <w:t>A healthcare identifier assigned to an individual healthcare provider who is registered as a member of a health profession</w:t>
            </w:r>
            <w:r w:rsidR="00AD25B6" w:rsidRPr="00D77D6D">
              <w:rPr>
                <w:rFonts w:asciiTheme="minorHAnsi" w:hAnsiTheme="minorHAnsi"/>
                <w:sz w:val="22"/>
                <w:szCs w:val="22"/>
              </w:rPr>
              <w:t>.</w:t>
            </w:r>
          </w:p>
        </w:tc>
      </w:tr>
      <w:tr w:rsidR="00C07CF5" w:rsidRPr="00D77D6D" w:rsidTr="0045440F">
        <w:trPr>
          <w:trHeight w:val="410"/>
        </w:trPr>
        <w:tc>
          <w:tcPr>
            <w:tcW w:w="2660" w:type="dxa"/>
            <w:vAlign w:val="center"/>
          </w:tcPr>
          <w:p w:rsidR="00C07CF5" w:rsidRPr="00D77D6D" w:rsidRDefault="00C07CF5" w:rsidP="00D77D6D">
            <w:pPr>
              <w:rPr>
                <w:rFonts w:asciiTheme="minorHAnsi" w:hAnsiTheme="minorHAnsi"/>
                <w:sz w:val="22"/>
                <w:szCs w:val="22"/>
              </w:rPr>
            </w:pPr>
            <w:r w:rsidRPr="00D77D6D">
              <w:rPr>
                <w:rFonts w:asciiTheme="minorHAnsi" w:hAnsiTheme="minorHAnsi"/>
                <w:sz w:val="22"/>
                <w:szCs w:val="22"/>
              </w:rPr>
              <w:t>HPI-O</w:t>
            </w:r>
          </w:p>
        </w:tc>
        <w:tc>
          <w:tcPr>
            <w:tcW w:w="7194" w:type="dxa"/>
            <w:vAlign w:val="center"/>
          </w:tcPr>
          <w:p w:rsidR="00C07CF5" w:rsidRPr="00D77D6D" w:rsidRDefault="00C07CF5" w:rsidP="00D77D6D">
            <w:pPr>
              <w:rPr>
                <w:rFonts w:asciiTheme="minorHAnsi" w:hAnsiTheme="minorHAnsi"/>
                <w:sz w:val="22"/>
                <w:szCs w:val="22"/>
              </w:rPr>
            </w:pPr>
            <w:r w:rsidRPr="00D77D6D">
              <w:rPr>
                <w:rFonts w:asciiTheme="minorHAnsi" w:hAnsiTheme="minorHAnsi"/>
                <w:sz w:val="22"/>
                <w:szCs w:val="22"/>
              </w:rPr>
              <w:t>Healthcare Provider Identifier―Organisation</w:t>
            </w:r>
          </w:p>
          <w:p w:rsidR="00C07CF5" w:rsidRPr="00D77D6D" w:rsidRDefault="00C07CF5" w:rsidP="00355B34">
            <w:pPr>
              <w:spacing w:before="120"/>
              <w:rPr>
                <w:rFonts w:asciiTheme="minorHAnsi" w:hAnsiTheme="minorHAnsi"/>
                <w:sz w:val="22"/>
                <w:szCs w:val="22"/>
              </w:rPr>
            </w:pPr>
            <w:r w:rsidRPr="00D77D6D">
              <w:rPr>
                <w:rFonts w:asciiTheme="minorHAnsi" w:hAnsiTheme="minorHAnsi"/>
                <w:sz w:val="22"/>
                <w:szCs w:val="22"/>
              </w:rPr>
              <w:t>A healthcare identifier assigned to an entity that provides healthcare and employs a healthcare provider with an HPI-I who provides healthcare as part of their duties</w:t>
            </w:r>
            <w:r w:rsidR="00AD25B6" w:rsidRPr="00D77D6D">
              <w:rPr>
                <w:rFonts w:asciiTheme="minorHAnsi" w:hAnsiTheme="minorHAnsi"/>
                <w:sz w:val="22"/>
                <w:szCs w:val="22"/>
              </w:rPr>
              <w:t>.</w:t>
            </w:r>
          </w:p>
        </w:tc>
      </w:tr>
      <w:tr w:rsidR="00CD400B" w:rsidRPr="00D77D6D" w:rsidTr="0045440F">
        <w:trPr>
          <w:trHeight w:val="410"/>
        </w:trPr>
        <w:tc>
          <w:tcPr>
            <w:tcW w:w="2660" w:type="dxa"/>
            <w:vAlign w:val="center"/>
          </w:tcPr>
          <w:p w:rsidR="00CD400B" w:rsidRPr="00D77D6D" w:rsidRDefault="00CD400B" w:rsidP="00D77D6D">
            <w:pPr>
              <w:rPr>
                <w:rFonts w:asciiTheme="minorHAnsi" w:hAnsiTheme="minorHAnsi"/>
                <w:sz w:val="22"/>
                <w:szCs w:val="22"/>
              </w:rPr>
            </w:pPr>
            <w:proofErr w:type="spellStart"/>
            <w:r w:rsidRPr="00D77D6D">
              <w:rPr>
                <w:rFonts w:asciiTheme="minorHAnsi" w:hAnsiTheme="minorHAnsi"/>
                <w:sz w:val="22"/>
                <w:szCs w:val="22"/>
              </w:rPr>
              <w:t>IAC</w:t>
            </w:r>
            <w:proofErr w:type="spellEnd"/>
          </w:p>
        </w:tc>
        <w:tc>
          <w:tcPr>
            <w:tcW w:w="7194" w:type="dxa"/>
            <w:vAlign w:val="center"/>
          </w:tcPr>
          <w:p w:rsidR="00CD400B" w:rsidRPr="00D77D6D" w:rsidRDefault="00CD400B" w:rsidP="00D77D6D">
            <w:pPr>
              <w:rPr>
                <w:rFonts w:asciiTheme="minorHAnsi" w:hAnsiTheme="minorHAnsi"/>
                <w:sz w:val="22"/>
                <w:szCs w:val="22"/>
              </w:rPr>
            </w:pPr>
            <w:r w:rsidRPr="00D77D6D">
              <w:rPr>
                <w:rFonts w:asciiTheme="minorHAnsi" w:hAnsiTheme="minorHAnsi"/>
                <w:sz w:val="22"/>
                <w:szCs w:val="22"/>
              </w:rPr>
              <w:t>Independent Advisory Council</w:t>
            </w:r>
          </w:p>
          <w:p w:rsidR="00CD400B" w:rsidRPr="00D77D6D" w:rsidRDefault="00CD400B" w:rsidP="00355B34">
            <w:pPr>
              <w:spacing w:before="120"/>
              <w:rPr>
                <w:rFonts w:asciiTheme="minorHAnsi" w:hAnsiTheme="minorHAnsi"/>
                <w:sz w:val="22"/>
                <w:szCs w:val="22"/>
              </w:rPr>
            </w:pPr>
            <w:r w:rsidRPr="00D77D6D">
              <w:rPr>
                <w:rFonts w:asciiTheme="minorHAnsi" w:hAnsiTheme="minorHAnsi"/>
                <w:sz w:val="22"/>
                <w:szCs w:val="22"/>
              </w:rPr>
              <w:t xml:space="preserve">An advisory body </w:t>
            </w:r>
            <w:r w:rsidR="003D11BF" w:rsidRPr="00D77D6D">
              <w:rPr>
                <w:rFonts w:asciiTheme="minorHAnsi" w:hAnsiTheme="minorHAnsi"/>
                <w:sz w:val="22"/>
                <w:szCs w:val="22"/>
              </w:rPr>
              <w:t>that co</w:t>
            </w:r>
            <w:r w:rsidRPr="00D77D6D">
              <w:rPr>
                <w:rFonts w:asciiTheme="minorHAnsi" w:hAnsiTheme="minorHAnsi"/>
                <w:sz w:val="22"/>
                <w:szCs w:val="22"/>
              </w:rPr>
              <w:t>mpris</w:t>
            </w:r>
            <w:r w:rsidR="003D11BF" w:rsidRPr="00D77D6D">
              <w:rPr>
                <w:rFonts w:asciiTheme="minorHAnsi" w:hAnsiTheme="minorHAnsi"/>
                <w:sz w:val="22"/>
                <w:szCs w:val="22"/>
              </w:rPr>
              <w:t>es</w:t>
            </w:r>
            <w:r w:rsidRPr="00D77D6D">
              <w:rPr>
                <w:rFonts w:asciiTheme="minorHAnsi" w:hAnsiTheme="minorHAnsi"/>
                <w:sz w:val="22"/>
                <w:szCs w:val="22"/>
              </w:rPr>
              <w:t xml:space="preserve"> individuals with specific expertise that makes recommendations to the System Operator in respect of the operation of, participation in, and clinical, privacy and security matters relating to, the PCEHR system. </w:t>
            </w:r>
          </w:p>
        </w:tc>
      </w:tr>
      <w:tr w:rsidR="009F04D6" w:rsidRPr="00D77D6D" w:rsidTr="009F04D6">
        <w:trPr>
          <w:trHeight w:val="410"/>
        </w:trPr>
        <w:tc>
          <w:tcPr>
            <w:tcW w:w="2660" w:type="dxa"/>
            <w:vAlign w:val="center"/>
          </w:tcPr>
          <w:p w:rsidR="009F04D6" w:rsidRPr="00D77D6D" w:rsidRDefault="009F04D6" w:rsidP="00AB1151">
            <w:pPr>
              <w:rPr>
                <w:rFonts w:asciiTheme="minorHAnsi" w:hAnsiTheme="minorHAnsi"/>
                <w:sz w:val="22"/>
                <w:szCs w:val="22"/>
              </w:rPr>
            </w:pPr>
            <w:proofErr w:type="spellStart"/>
            <w:r w:rsidRPr="00D77D6D">
              <w:rPr>
                <w:rFonts w:asciiTheme="minorHAnsi" w:hAnsiTheme="minorHAnsi"/>
                <w:sz w:val="22"/>
                <w:szCs w:val="22"/>
              </w:rPr>
              <w:t>IHI</w:t>
            </w:r>
            <w:proofErr w:type="spellEnd"/>
          </w:p>
        </w:tc>
        <w:tc>
          <w:tcPr>
            <w:tcW w:w="7194" w:type="dxa"/>
            <w:vAlign w:val="center"/>
          </w:tcPr>
          <w:p w:rsidR="009F04D6" w:rsidRPr="00D77D6D" w:rsidRDefault="009F04D6" w:rsidP="00AB1151">
            <w:pPr>
              <w:rPr>
                <w:rFonts w:asciiTheme="minorHAnsi" w:hAnsiTheme="minorHAnsi"/>
                <w:sz w:val="22"/>
                <w:szCs w:val="22"/>
              </w:rPr>
            </w:pPr>
            <w:r w:rsidRPr="00D77D6D">
              <w:rPr>
                <w:rFonts w:asciiTheme="minorHAnsi" w:hAnsiTheme="minorHAnsi"/>
                <w:sz w:val="22"/>
                <w:szCs w:val="22"/>
              </w:rPr>
              <w:t>Individual Healthcare Identifier</w:t>
            </w:r>
          </w:p>
          <w:p w:rsidR="009F04D6" w:rsidRPr="00D77D6D" w:rsidRDefault="009F04D6" w:rsidP="00AB1151">
            <w:pPr>
              <w:spacing w:before="120"/>
              <w:rPr>
                <w:rFonts w:asciiTheme="minorHAnsi" w:hAnsiTheme="minorHAnsi"/>
                <w:sz w:val="22"/>
                <w:szCs w:val="22"/>
              </w:rPr>
            </w:pPr>
            <w:r w:rsidRPr="00D77D6D">
              <w:rPr>
                <w:rFonts w:asciiTheme="minorHAnsi" w:hAnsiTheme="minorHAnsi"/>
                <w:sz w:val="22"/>
                <w:szCs w:val="22"/>
              </w:rPr>
              <w:lastRenderedPageBreak/>
              <w:t>A healthcare identifier assigned to an individual who has received, receives or may receive healthcare.</w:t>
            </w:r>
          </w:p>
        </w:tc>
      </w:tr>
      <w:tr w:rsidR="009F04D6" w:rsidRPr="00D77D6D" w:rsidTr="009F04D6">
        <w:trPr>
          <w:trHeight w:val="410"/>
        </w:trPr>
        <w:tc>
          <w:tcPr>
            <w:tcW w:w="2660" w:type="dxa"/>
            <w:vAlign w:val="center"/>
          </w:tcPr>
          <w:p w:rsidR="009F04D6" w:rsidRPr="00D77D6D" w:rsidRDefault="009F04D6" w:rsidP="00AB1151">
            <w:pPr>
              <w:rPr>
                <w:rFonts w:asciiTheme="minorHAnsi" w:hAnsiTheme="minorHAnsi"/>
                <w:sz w:val="22"/>
                <w:szCs w:val="22"/>
              </w:rPr>
            </w:pPr>
            <w:r w:rsidRPr="00D77D6D">
              <w:rPr>
                <w:rFonts w:asciiTheme="minorHAnsi" w:hAnsiTheme="minorHAnsi"/>
                <w:sz w:val="22"/>
                <w:szCs w:val="22"/>
              </w:rPr>
              <w:lastRenderedPageBreak/>
              <w:t>JAC</w:t>
            </w:r>
          </w:p>
        </w:tc>
        <w:tc>
          <w:tcPr>
            <w:tcW w:w="7194" w:type="dxa"/>
            <w:vAlign w:val="center"/>
          </w:tcPr>
          <w:p w:rsidR="009F04D6" w:rsidRPr="00D77D6D" w:rsidRDefault="009F04D6" w:rsidP="00AB1151">
            <w:pPr>
              <w:rPr>
                <w:rFonts w:asciiTheme="minorHAnsi" w:hAnsiTheme="minorHAnsi"/>
                <w:sz w:val="22"/>
                <w:szCs w:val="22"/>
              </w:rPr>
            </w:pPr>
            <w:r w:rsidRPr="00D77D6D">
              <w:rPr>
                <w:rFonts w:asciiTheme="minorHAnsi" w:hAnsiTheme="minorHAnsi"/>
                <w:sz w:val="22"/>
                <w:szCs w:val="22"/>
              </w:rPr>
              <w:t>Jurisdictional Advisory Committee</w:t>
            </w:r>
          </w:p>
          <w:p w:rsidR="009F04D6" w:rsidRPr="00D77D6D" w:rsidRDefault="009F04D6" w:rsidP="00AB1151">
            <w:pPr>
              <w:spacing w:before="120"/>
              <w:rPr>
                <w:rFonts w:asciiTheme="minorHAnsi" w:hAnsiTheme="minorHAnsi"/>
                <w:sz w:val="22"/>
                <w:szCs w:val="22"/>
              </w:rPr>
            </w:pPr>
            <w:r w:rsidRPr="00D77D6D">
              <w:rPr>
                <w:rFonts w:asciiTheme="minorHAnsi" w:hAnsiTheme="minorHAnsi"/>
                <w:sz w:val="22"/>
                <w:szCs w:val="22"/>
              </w:rPr>
              <w:t xml:space="preserve">An advisory body that comprises representatives from Commonwealth, state and territory health departments that makes recommendations to the System Operator in respect of matters relating to government interests in the PCEHR system. </w:t>
            </w:r>
          </w:p>
        </w:tc>
      </w:tr>
      <w:tr w:rsidR="009F04D6" w:rsidRPr="00D77D6D" w:rsidTr="009F04D6">
        <w:trPr>
          <w:trHeight w:val="410"/>
        </w:trPr>
        <w:tc>
          <w:tcPr>
            <w:tcW w:w="2660" w:type="dxa"/>
            <w:vAlign w:val="center"/>
          </w:tcPr>
          <w:p w:rsidR="009F04D6" w:rsidRPr="00D77D6D" w:rsidRDefault="009F04D6" w:rsidP="00AB1151">
            <w:pPr>
              <w:rPr>
                <w:rFonts w:asciiTheme="minorHAnsi" w:hAnsiTheme="minorHAnsi"/>
                <w:sz w:val="22"/>
                <w:szCs w:val="22"/>
              </w:rPr>
            </w:pPr>
            <w:proofErr w:type="spellStart"/>
            <w:r w:rsidRPr="00D77D6D">
              <w:rPr>
                <w:rFonts w:asciiTheme="minorHAnsi" w:hAnsiTheme="minorHAnsi"/>
                <w:sz w:val="22"/>
                <w:szCs w:val="22"/>
              </w:rPr>
              <w:t>MBS</w:t>
            </w:r>
            <w:proofErr w:type="spellEnd"/>
          </w:p>
        </w:tc>
        <w:tc>
          <w:tcPr>
            <w:tcW w:w="7194" w:type="dxa"/>
            <w:vAlign w:val="center"/>
          </w:tcPr>
          <w:p w:rsidR="009F04D6" w:rsidRPr="00D77D6D" w:rsidRDefault="009F04D6" w:rsidP="00AB1151">
            <w:pPr>
              <w:rPr>
                <w:rFonts w:asciiTheme="minorHAnsi" w:hAnsiTheme="minorHAnsi"/>
                <w:sz w:val="22"/>
                <w:szCs w:val="22"/>
              </w:rPr>
            </w:pPr>
            <w:r w:rsidRPr="00D77D6D">
              <w:rPr>
                <w:rFonts w:asciiTheme="minorHAnsi" w:hAnsiTheme="minorHAnsi"/>
                <w:sz w:val="22"/>
                <w:szCs w:val="22"/>
              </w:rPr>
              <w:t>Medicare Benefits Schedule</w:t>
            </w:r>
          </w:p>
        </w:tc>
      </w:tr>
      <w:tr w:rsidR="009F04D6" w:rsidRPr="00D77D6D" w:rsidTr="009F04D6">
        <w:trPr>
          <w:trHeight w:val="410"/>
        </w:trPr>
        <w:tc>
          <w:tcPr>
            <w:tcW w:w="2660" w:type="dxa"/>
            <w:vAlign w:val="center"/>
          </w:tcPr>
          <w:p w:rsidR="009F04D6" w:rsidRPr="00D77D6D" w:rsidRDefault="009F04D6" w:rsidP="00AB1151">
            <w:pPr>
              <w:rPr>
                <w:rFonts w:asciiTheme="minorHAnsi" w:hAnsiTheme="minorHAnsi"/>
                <w:sz w:val="22"/>
                <w:szCs w:val="22"/>
              </w:rPr>
            </w:pPr>
            <w:r w:rsidRPr="00D77D6D">
              <w:rPr>
                <w:rFonts w:asciiTheme="minorHAnsi" w:hAnsiTheme="minorHAnsi"/>
                <w:sz w:val="22"/>
                <w:szCs w:val="22"/>
              </w:rPr>
              <w:t>MHR</w:t>
            </w:r>
          </w:p>
        </w:tc>
        <w:tc>
          <w:tcPr>
            <w:tcW w:w="7194" w:type="dxa"/>
            <w:vAlign w:val="center"/>
          </w:tcPr>
          <w:p w:rsidR="009F04D6" w:rsidRPr="00D77D6D" w:rsidRDefault="009F04D6" w:rsidP="00AB1151">
            <w:pPr>
              <w:rPr>
                <w:rFonts w:asciiTheme="minorHAnsi" w:hAnsiTheme="minorHAnsi"/>
                <w:sz w:val="22"/>
                <w:szCs w:val="22"/>
              </w:rPr>
            </w:pPr>
            <w:r w:rsidRPr="00D77D6D">
              <w:rPr>
                <w:rFonts w:asciiTheme="minorHAnsi" w:hAnsiTheme="minorHAnsi"/>
                <w:sz w:val="22"/>
                <w:szCs w:val="22"/>
              </w:rPr>
              <w:t>My Health Record</w:t>
            </w:r>
          </w:p>
        </w:tc>
      </w:tr>
      <w:tr w:rsidR="009F04D6" w:rsidRPr="00D77D6D" w:rsidTr="009F04D6">
        <w:trPr>
          <w:trHeight w:val="410"/>
        </w:trPr>
        <w:tc>
          <w:tcPr>
            <w:tcW w:w="2660" w:type="dxa"/>
            <w:vAlign w:val="center"/>
          </w:tcPr>
          <w:p w:rsidR="009F04D6" w:rsidRPr="00D77D6D" w:rsidRDefault="009F04D6" w:rsidP="00AB1151">
            <w:pPr>
              <w:rPr>
                <w:rFonts w:asciiTheme="minorHAnsi" w:hAnsiTheme="minorHAnsi"/>
                <w:sz w:val="22"/>
                <w:szCs w:val="22"/>
              </w:rPr>
            </w:pPr>
            <w:r w:rsidRPr="00D77D6D">
              <w:rPr>
                <w:rFonts w:asciiTheme="minorHAnsi" w:hAnsiTheme="minorHAnsi"/>
                <w:sz w:val="22"/>
                <w:szCs w:val="22"/>
              </w:rPr>
              <w:t>Ministerial Council</w:t>
            </w:r>
          </w:p>
        </w:tc>
        <w:tc>
          <w:tcPr>
            <w:tcW w:w="7194" w:type="dxa"/>
            <w:vAlign w:val="center"/>
          </w:tcPr>
          <w:p w:rsidR="009F04D6" w:rsidRPr="00D77D6D" w:rsidRDefault="009F04D6" w:rsidP="00AB1151">
            <w:pPr>
              <w:rPr>
                <w:rFonts w:asciiTheme="minorHAnsi" w:hAnsiTheme="minorHAnsi"/>
                <w:sz w:val="22"/>
                <w:szCs w:val="22"/>
              </w:rPr>
            </w:pPr>
            <w:r w:rsidRPr="00D77D6D">
              <w:rPr>
                <w:rFonts w:asciiTheme="minorHAnsi" w:hAnsiTheme="minorHAnsi"/>
                <w:sz w:val="22"/>
                <w:szCs w:val="22"/>
              </w:rPr>
              <w:t xml:space="preserve">The Ministerial Council means the Council of Australian Governments council (however described) that is responsible for health matters.  At present this is the </w:t>
            </w:r>
            <w:proofErr w:type="spellStart"/>
            <w:r w:rsidRPr="00D77D6D">
              <w:rPr>
                <w:rFonts w:asciiTheme="minorHAnsi" w:hAnsiTheme="minorHAnsi"/>
                <w:sz w:val="22"/>
                <w:szCs w:val="22"/>
              </w:rPr>
              <w:t>COAG</w:t>
            </w:r>
            <w:proofErr w:type="spellEnd"/>
            <w:r w:rsidRPr="00D77D6D">
              <w:rPr>
                <w:rFonts w:asciiTheme="minorHAnsi" w:hAnsiTheme="minorHAnsi"/>
                <w:sz w:val="22"/>
                <w:szCs w:val="22"/>
              </w:rPr>
              <w:t xml:space="preserve"> Health Council, comprising the Commonwealth and state and territory health ministers.</w:t>
            </w:r>
          </w:p>
        </w:tc>
      </w:tr>
      <w:tr w:rsidR="009F04D6" w:rsidRPr="00D77D6D" w:rsidTr="009F04D6">
        <w:trPr>
          <w:trHeight w:val="410"/>
        </w:trPr>
        <w:tc>
          <w:tcPr>
            <w:tcW w:w="2660" w:type="dxa"/>
            <w:vAlign w:val="center"/>
          </w:tcPr>
          <w:p w:rsidR="009F04D6" w:rsidRPr="00D77D6D" w:rsidRDefault="009F04D6" w:rsidP="00AB1151">
            <w:pPr>
              <w:rPr>
                <w:rFonts w:asciiTheme="minorHAnsi" w:hAnsiTheme="minorHAnsi"/>
                <w:sz w:val="22"/>
                <w:szCs w:val="22"/>
              </w:rPr>
            </w:pPr>
            <w:r w:rsidRPr="00D77D6D">
              <w:rPr>
                <w:rFonts w:asciiTheme="minorHAnsi" w:hAnsiTheme="minorHAnsi"/>
                <w:sz w:val="22"/>
                <w:szCs w:val="22"/>
              </w:rPr>
              <w:t>NASH</w:t>
            </w:r>
          </w:p>
        </w:tc>
        <w:tc>
          <w:tcPr>
            <w:tcW w:w="7194" w:type="dxa"/>
            <w:vAlign w:val="center"/>
          </w:tcPr>
          <w:p w:rsidR="009F04D6" w:rsidRPr="00D77D6D" w:rsidRDefault="009F04D6" w:rsidP="00AB1151">
            <w:pPr>
              <w:rPr>
                <w:rFonts w:asciiTheme="minorHAnsi" w:hAnsiTheme="minorHAnsi"/>
                <w:sz w:val="22"/>
                <w:szCs w:val="22"/>
              </w:rPr>
            </w:pPr>
            <w:r w:rsidRPr="00D77D6D">
              <w:rPr>
                <w:rFonts w:asciiTheme="minorHAnsi" w:hAnsiTheme="minorHAnsi"/>
                <w:sz w:val="22"/>
                <w:szCs w:val="22"/>
              </w:rPr>
              <w:t>National Authentication Service for Health</w:t>
            </w:r>
          </w:p>
        </w:tc>
      </w:tr>
      <w:tr w:rsidR="009F04D6" w:rsidRPr="00D77D6D" w:rsidTr="009F04D6">
        <w:trPr>
          <w:trHeight w:val="410"/>
        </w:trPr>
        <w:tc>
          <w:tcPr>
            <w:tcW w:w="2660" w:type="dxa"/>
            <w:vAlign w:val="center"/>
          </w:tcPr>
          <w:p w:rsidR="009F04D6" w:rsidRPr="00D77D6D" w:rsidRDefault="009F04D6" w:rsidP="00AB1151">
            <w:pPr>
              <w:rPr>
                <w:rFonts w:asciiTheme="minorHAnsi" w:hAnsiTheme="minorHAnsi"/>
                <w:sz w:val="22"/>
                <w:szCs w:val="22"/>
              </w:rPr>
            </w:pPr>
            <w:proofErr w:type="spellStart"/>
            <w:r>
              <w:rPr>
                <w:rFonts w:asciiTheme="minorHAnsi" w:hAnsiTheme="minorHAnsi"/>
                <w:sz w:val="22"/>
                <w:szCs w:val="22"/>
              </w:rPr>
              <w:t>NDIS</w:t>
            </w:r>
            <w:proofErr w:type="spellEnd"/>
          </w:p>
        </w:tc>
        <w:tc>
          <w:tcPr>
            <w:tcW w:w="7194" w:type="dxa"/>
            <w:vAlign w:val="center"/>
          </w:tcPr>
          <w:p w:rsidR="009F04D6" w:rsidRPr="00D77D6D" w:rsidRDefault="009F04D6" w:rsidP="00AB1151">
            <w:pPr>
              <w:rPr>
                <w:rFonts w:asciiTheme="minorHAnsi" w:hAnsiTheme="minorHAnsi"/>
                <w:sz w:val="22"/>
                <w:szCs w:val="22"/>
              </w:rPr>
            </w:pPr>
            <w:r>
              <w:rPr>
                <w:rFonts w:asciiTheme="minorHAnsi" w:hAnsiTheme="minorHAnsi"/>
                <w:sz w:val="22"/>
                <w:szCs w:val="22"/>
              </w:rPr>
              <w:t>National Disability Insurance Scheme</w:t>
            </w:r>
          </w:p>
        </w:tc>
      </w:tr>
      <w:tr w:rsidR="009F04D6" w:rsidRPr="00D77D6D" w:rsidTr="009F04D6">
        <w:trPr>
          <w:trHeight w:val="410"/>
        </w:trPr>
        <w:tc>
          <w:tcPr>
            <w:tcW w:w="2660" w:type="dxa"/>
            <w:vAlign w:val="center"/>
          </w:tcPr>
          <w:p w:rsidR="009F04D6" w:rsidRPr="00D77D6D" w:rsidRDefault="009F04D6" w:rsidP="00AB1151">
            <w:pPr>
              <w:rPr>
                <w:rFonts w:asciiTheme="minorHAnsi" w:hAnsiTheme="minorHAnsi"/>
                <w:sz w:val="22"/>
                <w:szCs w:val="22"/>
              </w:rPr>
            </w:pPr>
            <w:r w:rsidRPr="00D77D6D">
              <w:rPr>
                <w:rFonts w:asciiTheme="minorHAnsi" w:hAnsiTheme="minorHAnsi"/>
                <w:sz w:val="22"/>
                <w:szCs w:val="22"/>
              </w:rPr>
              <w:t>NEHTA</w:t>
            </w:r>
          </w:p>
        </w:tc>
        <w:tc>
          <w:tcPr>
            <w:tcW w:w="7194" w:type="dxa"/>
            <w:vAlign w:val="center"/>
          </w:tcPr>
          <w:p w:rsidR="009F04D6" w:rsidRPr="00D77D6D" w:rsidRDefault="009F04D6" w:rsidP="00AB1151">
            <w:pPr>
              <w:rPr>
                <w:rFonts w:asciiTheme="minorHAnsi" w:hAnsiTheme="minorHAnsi"/>
                <w:sz w:val="22"/>
                <w:szCs w:val="22"/>
              </w:rPr>
            </w:pPr>
            <w:r w:rsidRPr="00D77D6D">
              <w:rPr>
                <w:rFonts w:asciiTheme="minorHAnsi" w:hAnsiTheme="minorHAnsi"/>
                <w:sz w:val="22"/>
                <w:szCs w:val="22"/>
              </w:rPr>
              <w:t>National E-Health Transition Authority</w:t>
            </w:r>
          </w:p>
        </w:tc>
      </w:tr>
      <w:tr w:rsidR="009F04D6" w:rsidRPr="00D77D6D" w:rsidTr="009F04D6">
        <w:trPr>
          <w:trHeight w:val="410"/>
        </w:trPr>
        <w:tc>
          <w:tcPr>
            <w:tcW w:w="2660" w:type="dxa"/>
            <w:vAlign w:val="center"/>
          </w:tcPr>
          <w:p w:rsidR="009F04D6" w:rsidRPr="00D77D6D" w:rsidRDefault="009F04D6" w:rsidP="00AB1151">
            <w:pPr>
              <w:rPr>
                <w:rFonts w:asciiTheme="minorHAnsi" w:hAnsiTheme="minorHAnsi"/>
                <w:sz w:val="22"/>
                <w:szCs w:val="22"/>
              </w:rPr>
            </w:pPr>
            <w:proofErr w:type="spellStart"/>
            <w:r w:rsidRPr="00D77D6D">
              <w:rPr>
                <w:rFonts w:asciiTheme="minorHAnsi" w:hAnsiTheme="minorHAnsi"/>
                <w:sz w:val="22"/>
                <w:szCs w:val="22"/>
              </w:rPr>
              <w:t>NRS</w:t>
            </w:r>
            <w:proofErr w:type="spellEnd"/>
          </w:p>
        </w:tc>
        <w:tc>
          <w:tcPr>
            <w:tcW w:w="7194" w:type="dxa"/>
            <w:vAlign w:val="center"/>
          </w:tcPr>
          <w:p w:rsidR="009F04D6" w:rsidRPr="00D77D6D" w:rsidRDefault="009F04D6" w:rsidP="00AB1151">
            <w:pPr>
              <w:rPr>
                <w:rFonts w:asciiTheme="minorHAnsi" w:hAnsiTheme="minorHAnsi"/>
                <w:sz w:val="22"/>
                <w:szCs w:val="22"/>
              </w:rPr>
            </w:pPr>
            <w:r w:rsidRPr="00D77D6D">
              <w:rPr>
                <w:rFonts w:asciiTheme="minorHAnsi" w:hAnsiTheme="minorHAnsi"/>
                <w:sz w:val="22"/>
                <w:szCs w:val="22"/>
              </w:rPr>
              <w:t>National Repositories Service</w:t>
            </w:r>
          </w:p>
        </w:tc>
      </w:tr>
      <w:tr w:rsidR="009F04D6" w:rsidRPr="00D77D6D" w:rsidTr="009F04D6">
        <w:trPr>
          <w:trHeight w:val="410"/>
        </w:trPr>
        <w:tc>
          <w:tcPr>
            <w:tcW w:w="2660" w:type="dxa"/>
            <w:vAlign w:val="center"/>
          </w:tcPr>
          <w:p w:rsidR="009F04D6" w:rsidRPr="00D77D6D" w:rsidRDefault="009F04D6" w:rsidP="00AB1151">
            <w:pPr>
              <w:rPr>
                <w:rFonts w:asciiTheme="minorHAnsi" w:hAnsiTheme="minorHAnsi"/>
                <w:sz w:val="22"/>
                <w:szCs w:val="22"/>
              </w:rPr>
            </w:pPr>
            <w:proofErr w:type="spellStart"/>
            <w:r w:rsidRPr="00D77D6D">
              <w:rPr>
                <w:rFonts w:asciiTheme="minorHAnsi" w:hAnsiTheme="minorHAnsi"/>
                <w:sz w:val="22"/>
                <w:szCs w:val="22"/>
              </w:rPr>
              <w:t>OAIC</w:t>
            </w:r>
            <w:proofErr w:type="spellEnd"/>
          </w:p>
        </w:tc>
        <w:tc>
          <w:tcPr>
            <w:tcW w:w="7194" w:type="dxa"/>
            <w:vAlign w:val="center"/>
          </w:tcPr>
          <w:p w:rsidR="009F04D6" w:rsidRPr="00D77D6D" w:rsidRDefault="009F04D6" w:rsidP="00AB1151">
            <w:pPr>
              <w:rPr>
                <w:rFonts w:asciiTheme="minorHAnsi" w:hAnsiTheme="minorHAnsi"/>
                <w:sz w:val="22"/>
                <w:szCs w:val="22"/>
              </w:rPr>
            </w:pPr>
            <w:r w:rsidRPr="00D77D6D">
              <w:rPr>
                <w:rFonts w:asciiTheme="minorHAnsi" w:hAnsiTheme="minorHAnsi"/>
                <w:sz w:val="22"/>
                <w:szCs w:val="22"/>
              </w:rPr>
              <w:t>Office of the Australian Information Commissioner</w:t>
            </w:r>
          </w:p>
        </w:tc>
      </w:tr>
      <w:tr w:rsidR="009F04D6" w:rsidRPr="00D77D6D" w:rsidTr="009F04D6">
        <w:trPr>
          <w:trHeight w:val="410"/>
        </w:trPr>
        <w:tc>
          <w:tcPr>
            <w:tcW w:w="2660" w:type="dxa"/>
            <w:vAlign w:val="center"/>
          </w:tcPr>
          <w:p w:rsidR="009F04D6" w:rsidRPr="00D77D6D" w:rsidRDefault="009F04D6" w:rsidP="00AB1151">
            <w:pPr>
              <w:rPr>
                <w:rFonts w:asciiTheme="minorHAnsi" w:hAnsiTheme="minorHAnsi"/>
                <w:sz w:val="22"/>
                <w:szCs w:val="22"/>
              </w:rPr>
            </w:pPr>
            <w:r w:rsidRPr="00D77D6D">
              <w:rPr>
                <w:rFonts w:asciiTheme="minorHAnsi" w:hAnsiTheme="minorHAnsi"/>
                <w:sz w:val="22"/>
                <w:szCs w:val="22"/>
              </w:rPr>
              <w:t>OMO</w:t>
            </w:r>
          </w:p>
        </w:tc>
        <w:tc>
          <w:tcPr>
            <w:tcW w:w="7194" w:type="dxa"/>
            <w:vAlign w:val="center"/>
          </w:tcPr>
          <w:p w:rsidR="009F04D6" w:rsidRPr="00D77D6D" w:rsidRDefault="009F04D6" w:rsidP="00AB1151">
            <w:pPr>
              <w:rPr>
                <w:rFonts w:asciiTheme="minorHAnsi" w:hAnsiTheme="minorHAnsi"/>
                <w:sz w:val="22"/>
                <w:szCs w:val="22"/>
              </w:rPr>
            </w:pPr>
            <w:r w:rsidRPr="00D77D6D">
              <w:rPr>
                <w:rFonts w:asciiTheme="minorHAnsi" w:hAnsiTheme="minorHAnsi"/>
                <w:sz w:val="22"/>
                <w:szCs w:val="22"/>
              </w:rPr>
              <w:t>Organisation Maintenance Officer</w:t>
            </w:r>
          </w:p>
          <w:p w:rsidR="009F04D6" w:rsidRPr="00D77D6D" w:rsidRDefault="009F04D6" w:rsidP="00AB1151">
            <w:pPr>
              <w:spacing w:before="120"/>
              <w:rPr>
                <w:rFonts w:asciiTheme="minorHAnsi" w:hAnsiTheme="minorHAnsi"/>
                <w:sz w:val="22"/>
                <w:szCs w:val="22"/>
              </w:rPr>
            </w:pPr>
            <w:r w:rsidRPr="00D77D6D">
              <w:rPr>
                <w:rFonts w:asciiTheme="minorHAnsi" w:hAnsiTheme="minorHAnsi"/>
                <w:sz w:val="22"/>
                <w:szCs w:val="22"/>
              </w:rPr>
              <w:t xml:space="preserve">The OMO of a healthcare provider organisation has responsibilities in the HI Service and the PCEHR system.  An OMO’s responsibilities include registering new seed organisations, maintaining a list of employees within their organisation who can access the HI Service and PCEHR system, and managing their organisation’s access flags. </w:t>
            </w:r>
          </w:p>
        </w:tc>
      </w:tr>
      <w:tr w:rsidR="009F04D6" w:rsidRPr="00D77D6D" w:rsidTr="009F04D6">
        <w:trPr>
          <w:trHeight w:val="410"/>
        </w:trPr>
        <w:tc>
          <w:tcPr>
            <w:tcW w:w="2660" w:type="dxa"/>
            <w:vAlign w:val="center"/>
          </w:tcPr>
          <w:p w:rsidR="009F04D6" w:rsidRPr="00D77D6D" w:rsidRDefault="009F04D6" w:rsidP="00AB1151">
            <w:pPr>
              <w:rPr>
                <w:rFonts w:asciiTheme="minorHAnsi" w:hAnsiTheme="minorHAnsi"/>
                <w:sz w:val="22"/>
                <w:szCs w:val="22"/>
              </w:rPr>
            </w:pPr>
            <w:proofErr w:type="spellStart"/>
            <w:r w:rsidRPr="00D77D6D">
              <w:rPr>
                <w:rFonts w:asciiTheme="minorHAnsi" w:hAnsiTheme="minorHAnsi"/>
                <w:sz w:val="22"/>
                <w:szCs w:val="22"/>
              </w:rPr>
              <w:t>PBS</w:t>
            </w:r>
            <w:proofErr w:type="spellEnd"/>
          </w:p>
        </w:tc>
        <w:tc>
          <w:tcPr>
            <w:tcW w:w="7194" w:type="dxa"/>
            <w:vAlign w:val="center"/>
          </w:tcPr>
          <w:p w:rsidR="009F04D6" w:rsidRPr="00D77D6D" w:rsidRDefault="009F04D6" w:rsidP="00AB1151">
            <w:pPr>
              <w:rPr>
                <w:rFonts w:asciiTheme="minorHAnsi" w:hAnsiTheme="minorHAnsi"/>
                <w:sz w:val="22"/>
                <w:szCs w:val="22"/>
              </w:rPr>
            </w:pPr>
            <w:r w:rsidRPr="00D77D6D">
              <w:rPr>
                <w:rFonts w:asciiTheme="minorHAnsi" w:hAnsiTheme="minorHAnsi"/>
                <w:sz w:val="22"/>
                <w:szCs w:val="22"/>
              </w:rPr>
              <w:t>Pharmaceutical Benefits Scheme</w:t>
            </w:r>
          </w:p>
        </w:tc>
      </w:tr>
      <w:tr w:rsidR="009F04D6" w:rsidRPr="00D77D6D" w:rsidTr="009F04D6">
        <w:trPr>
          <w:trHeight w:val="410"/>
        </w:trPr>
        <w:tc>
          <w:tcPr>
            <w:tcW w:w="2660" w:type="dxa"/>
            <w:vAlign w:val="center"/>
          </w:tcPr>
          <w:p w:rsidR="009F04D6" w:rsidRPr="00D77D6D" w:rsidRDefault="009F04D6" w:rsidP="00AB1151">
            <w:pPr>
              <w:rPr>
                <w:rFonts w:asciiTheme="minorHAnsi" w:hAnsiTheme="minorHAnsi"/>
                <w:sz w:val="22"/>
                <w:szCs w:val="22"/>
              </w:rPr>
            </w:pPr>
            <w:r w:rsidRPr="00D77D6D">
              <w:rPr>
                <w:rFonts w:asciiTheme="minorHAnsi" w:hAnsiTheme="minorHAnsi"/>
                <w:sz w:val="22"/>
                <w:szCs w:val="22"/>
              </w:rPr>
              <w:t xml:space="preserve">PCEHR </w:t>
            </w:r>
          </w:p>
        </w:tc>
        <w:tc>
          <w:tcPr>
            <w:tcW w:w="7194" w:type="dxa"/>
            <w:vAlign w:val="center"/>
          </w:tcPr>
          <w:p w:rsidR="009F04D6" w:rsidRPr="00D77D6D" w:rsidRDefault="009F04D6" w:rsidP="00AB1151">
            <w:pPr>
              <w:rPr>
                <w:rFonts w:asciiTheme="minorHAnsi" w:hAnsiTheme="minorHAnsi"/>
                <w:sz w:val="22"/>
                <w:szCs w:val="22"/>
              </w:rPr>
            </w:pPr>
            <w:r w:rsidRPr="00D77D6D">
              <w:rPr>
                <w:rFonts w:asciiTheme="minorHAnsi" w:hAnsiTheme="minorHAnsi"/>
                <w:sz w:val="22"/>
                <w:szCs w:val="22"/>
              </w:rPr>
              <w:t>Personally controlled electronic health record</w:t>
            </w:r>
          </w:p>
          <w:p w:rsidR="009F04D6" w:rsidRPr="00D77D6D" w:rsidRDefault="009F04D6" w:rsidP="00AB1151">
            <w:pPr>
              <w:spacing w:before="120"/>
              <w:rPr>
                <w:rFonts w:asciiTheme="minorHAnsi" w:hAnsiTheme="minorHAnsi"/>
                <w:sz w:val="22"/>
                <w:szCs w:val="22"/>
              </w:rPr>
            </w:pPr>
            <w:r w:rsidRPr="00D77D6D">
              <w:rPr>
                <w:rFonts w:asciiTheme="minorHAnsi" w:hAnsiTheme="minorHAnsi"/>
                <w:sz w:val="22"/>
                <w:szCs w:val="22"/>
              </w:rPr>
              <w:t>The PCEHR of an individual means the record of information that is created and maintained by the System Operator in relation to the individual, and information that can be obtained by means of that record, including health information associated with the individual and audit information associated with that record.</w:t>
            </w:r>
          </w:p>
        </w:tc>
      </w:tr>
      <w:tr w:rsidR="009F04D6" w:rsidRPr="00D77D6D" w:rsidTr="009F04D6">
        <w:trPr>
          <w:trHeight w:val="410"/>
        </w:trPr>
        <w:tc>
          <w:tcPr>
            <w:tcW w:w="2660" w:type="dxa"/>
            <w:vAlign w:val="center"/>
          </w:tcPr>
          <w:p w:rsidR="009F04D6" w:rsidRPr="00D77D6D" w:rsidRDefault="009F04D6" w:rsidP="00AB1151">
            <w:pPr>
              <w:rPr>
                <w:rFonts w:asciiTheme="minorHAnsi" w:hAnsiTheme="minorHAnsi"/>
                <w:sz w:val="22"/>
                <w:szCs w:val="22"/>
              </w:rPr>
            </w:pPr>
            <w:r w:rsidRPr="00D77D6D">
              <w:rPr>
                <w:rFonts w:asciiTheme="minorHAnsi" w:hAnsiTheme="minorHAnsi"/>
                <w:sz w:val="22"/>
                <w:szCs w:val="22"/>
              </w:rPr>
              <w:t>PCEHR Act</w:t>
            </w:r>
          </w:p>
        </w:tc>
        <w:tc>
          <w:tcPr>
            <w:tcW w:w="7194" w:type="dxa"/>
            <w:vAlign w:val="center"/>
          </w:tcPr>
          <w:p w:rsidR="009F04D6" w:rsidRPr="00D77D6D" w:rsidRDefault="009F04D6" w:rsidP="00AB1151">
            <w:pPr>
              <w:rPr>
                <w:rFonts w:asciiTheme="minorHAnsi" w:hAnsiTheme="minorHAnsi"/>
                <w:i/>
                <w:sz w:val="22"/>
                <w:szCs w:val="22"/>
              </w:rPr>
            </w:pPr>
            <w:r w:rsidRPr="00D77D6D">
              <w:rPr>
                <w:rFonts w:asciiTheme="minorHAnsi" w:hAnsiTheme="minorHAnsi"/>
                <w:i/>
                <w:sz w:val="22"/>
                <w:szCs w:val="22"/>
              </w:rPr>
              <w:t>Personally Controlled Electronic Health Records Act 2012</w:t>
            </w:r>
          </w:p>
        </w:tc>
      </w:tr>
      <w:tr w:rsidR="009F04D6" w:rsidRPr="00D77D6D" w:rsidTr="009F04D6">
        <w:trPr>
          <w:trHeight w:val="410"/>
        </w:trPr>
        <w:tc>
          <w:tcPr>
            <w:tcW w:w="2660" w:type="dxa"/>
            <w:vAlign w:val="center"/>
          </w:tcPr>
          <w:p w:rsidR="009F04D6" w:rsidRPr="00D77D6D" w:rsidRDefault="009F04D6" w:rsidP="00AB1151">
            <w:pPr>
              <w:rPr>
                <w:rFonts w:asciiTheme="minorHAnsi" w:hAnsiTheme="minorHAnsi"/>
                <w:sz w:val="22"/>
                <w:szCs w:val="22"/>
              </w:rPr>
            </w:pPr>
            <w:r w:rsidRPr="00D77D6D">
              <w:rPr>
                <w:rFonts w:asciiTheme="minorHAnsi" w:hAnsiTheme="minorHAnsi"/>
                <w:sz w:val="22"/>
                <w:szCs w:val="22"/>
              </w:rPr>
              <w:t>PCEHR system</w:t>
            </w:r>
          </w:p>
        </w:tc>
        <w:tc>
          <w:tcPr>
            <w:tcW w:w="7194" w:type="dxa"/>
            <w:vAlign w:val="center"/>
          </w:tcPr>
          <w:p w:rsidR="009F04D6" w:rsidRPr="00D77D6D" w:rsidRDefault="009F04D6" w:rsidP="00AB1151">
            <w:pPr>
              <w:rPr>
                <w:rFonts w:asciiTheme="minorHAnsi" w:hAnsiTheme="minorHAnsi"/>
                <w:sz w:val="22"/>
                <w:szCs w:val="22"/>
              </w:rPr>
            </w:pPr>
            <w:r w:rsidRPr="00D77D6D">
              <w:rPr>
                <w:rFonts w:asciiTheme="minorHAnsi" w:hAnsiTheme="minorHAnsi"/>
                <w:sz w:val="22"/>
                <w:szCs w:val="22"/>
              </w:rPr>
              <w:t xml:space="preserve">The personally controlled electronic health record system is operated by the Secretary </w:t>
            </w:r>
            <w:r w:rsidR="00FD705A">
              <w:rPr>
                <w:rFonts w:asciiTheme="minorHAnsi" w:hAnsiTheme="minorHAnsi"/>
                <w:sz w:val="22"/>
                <w:szCs w:val="22"/>
              </w:rPr>
              <w:t>t</w:t>
            </w:r>
            <w:r w:rsidRPr="00D77D6D">
              <w:rPr>
                <w:rFonts w:asciiTheme="minorHAnsi" w:hAnsiTheme="minorHAnsi"/>
                <w:sz w:val="22"/>
                <w:szCs w:val="22"/>
              </w:rPr>
              <w:t>o</w:t>
            </w:r>
            <w:bookmarkStart w:id="141" w:name="_GoBack"/>
            <w:bookmarkEnd w:id="141"/>
            <w:r w:rsidRPr="00D77D6D">
              <w:rPr>
                <w:rFonts w:asciiTheme="minorHAnsi" w:hAnsiTheme="minorHAnsi"/>
                <w:sz w:val="22"/>
                <w:szCs w:val="22"/>
              </w:rPr>
              <w:t xml:space="preserve"> the Department of Health for the:</w:t>
            </w:r>
          </w:p>
          <w:p w:rsidR="009F04D6" w:rsidRDefault="009F04D6" w:rsidP="00AB1151">
            <w:pPr>
              <w:pStyle w:val="ListParagraph"/>
              <w:numPr>
                <w:ilvl w:val="1"/>
                <w:numId w:val="1"/>
              </w:numPr>
              <w:ind w:left="357" w:hanging="357"/>
              <w:rPr>
                <w:rFonts w:asciiTheme="minorHAnsi" w:hAnsiTheme="minorHAnsi"/>
                <w:sz w:val="22"/>
                <w:szCs w:val="22"/>
              </w:rPr>
            </w:pPr>
            <w:r w:rsidRPr="00355B34">
              <w:rPr>
                <w:rFonts w:asciiTheme="minorHAnsi" w:hAnsiTheme="minorHAnsi"/>
                <w:sz w:val="22"/>
                <w:szCs w:val="22"/>
              </w:rPr>
              <w:t>collection, use and disclosure of information from many sources, and the holding of that information, in accordance with individuals’ or as required by law; and</w:t>
            </w:r>
          </w:p>
          <w:p w:rsidR="009F04D6" w:rsidRPr="00355B34" w:rsidRDefault="009F04D6" w:rsidP="00AB1151">
            <w:pPr>
              <w:pStyle w:val="ListParagraph"/>
              <w:numPr>
                <w:ilvl w:val="1"/>
                <w:numId w:val="1"/>
              </w:numPr>
              <w:ind w:left="357" w:hanging="357"/>
              <w:rPr>
                <w:rFonts w:asciiTheme="minorHAnsi" w:hAnsiTheme="minorHAnsi"/>
                <w:sz w:val="22"/>
                <w:szCs w:val="22"/>
              </w:rPr>
            </w:pPr>
            <w:r w:rsidRPr="00355B34">
              <w:rPr>
                <w:rFonts w:asciiTheme="minorHAnsi" w:hAnsiTheme="minorHAnsi"/>
                <w:sz w:val="22"/>
                <w:szCs w:val="22"/>
              </w:rPr>
              <w:t>assembly of that information as relevant to a particular individual so that it can be made available in accordance with the individual’s wishes or as required by law, to facilitate the provision of healthcare to the individual or for other lawful purposes.</w:t>
            </w:r>
          </w:p>
        </w:tc>
      </w:tr>
      <w:tr w:rsidR="009F04D6" w:rsidRPr="00D77D6D" w:rsidTr="009F04D6">
        <w:trPr>
          <w:trHeight w:val="410"/>
        </w:trPr>
        <w:tc>
          <w:tcPr>
            <w:tcW w:w="2660" w:type="dxa"/>
            <w:vAlign w:val="center"/>
          </w:tcPr>
          <w:p w:rsidR="009F04D6" w:rsidRPr="00D77D6D" w:rsidRDefault="009F04D6" w:rsidP="00AB1151">
            <w:pPr>
              <w:rPr>
                <w:rFonts w:asciiTheme="minorHAnsi" w:hAnsiTheme="minorHAnsi"/>
                <w:sz w:val="22"/>
                <w:szCs w:val="22"/>
              </w:rPr>
            </w:pPr>
            <w:r w:rsidRPr="00D77D6D">
              <w:rPr>
                <w:rFonts w:asciiTheme="minorHAnsi" w:hAnsiTheme="minorHAnsi"/>
                <w:sz w:val="22"/>
                <w:szCs w:val="22"/>
              </w:rPr>
              <w:t>PCEHR Review</w:t>
            </w:r>
          </w:p>
        </w:tc>
        <w:tc>
          <w:tcPr>
            <w:tcW w:w="7194" w:type="dxa"/>
            <w:vAlign w:val="center"/>
          </w:tcPr>
          <w:p w:rsidR="009F04D6" w:rsidRPr="00D77D6D" w:rsidRDefault="009F04D6" w:rsidP="00C06AC2">
            <w:pPr>
              <w:rPr>
                <w:rFonts w:asciiTheme="minorHAnsi" w:hAnsiTheme="minorHAnsi"/>
                <w:sz w:val="22"/>
                <w:szCs w:val="22"/>
              </w:rPr>
            </w:pPr>
            <w:r w:rsidRPr="00D77D6D">
              <w:rPr>
                <w:rFonts w:asciiTheme="minorHAnsi" w:hAnsiTheme="minorHAnsi"/>
                <w:sz w:val="22"/>
                <w:szCs w:val="22"/>
              </w:rPr>
              <w:t xml:space="preserve">A review of the PCEHR system was commissioned by the Government and was completed in December 2013.  The report is available </w:t>
            </w:r>
            <w:r w:rsidR="00C06AC2">
              <w:rPr>
                <w:rFonts w:asciiTheme="minorHAnsi" w:hAnsiTheme="minorHAnsi"/>
                <w:sz w:val="22"/>
                <w:szCs w:val="22"/>
              </w:rPr>
              <w:t xml:space="preserve">on the </w:t>
            </w:r>
            <w:hyperlink r:id="rId24" w:history="1">
              <w:r w:rsidR="00C06AC2" w:rsidRPr="00C06AC2">
                <w:rPr>
                  <w:rStyle w:val="Hyperlink"/>
                  <w:rFonts w:asciiTheme="minorHAnsi" w:hAnsiTheme="minorHAnsi"/>
                  <w:sz w:val="22"/>
                  <w:szCs w:val="22"/>
                </w:rPr>
                <w:t>Department of Health website</w:t>
              </w:r>
            </w:hyperlink>
            <w:r w:rsidRPr="00D77D6D">
              <w:rPr>
                <w:rFonts w:asciiTheme="minorHAnsi" w:hAnsiTheme="minorHAnsi"/>
                <w:sz w:val="22"/>
                <w:szCs w:val="22"/>
              </w:rPr>
              <w:t xml:space="preserve">. </w:t>
            </w:r>
          </w:p>
        </w:tc>
      </w:tr>
      <w:tr w:rsidR="009F04D6" w:rsidRPr="00D77D6D" w:rsidTr="009F04D6">
        <w:trPr>
          <w:trHeight w:val="410"/>
        </w:trPr>
        <w:tc>
          <w:tcPr>
            <w:tcW w:w="2660" w:type="dxa"/>
            <w:vAlign w:val="center"/>
          </w:tcPr>
          <w:p w:rsidR="009F04D6" w:rsidRPr="00D77D6D" w:rsidRDefault="009F04D6" w:rsidP="00AB1151">
            <w:pPr>
              <w:rPr>
                <w:rFonts w:asciiTheme="minorHAnsi" w:hAnsiTheme="minorHAnsi"/>
                <w:sz w:val="22"/>
                <w:szCs w:val="22"/>
              </w:rPr>
            </w:pPr>
            <w:proofErr w:type="spellStart"/>
            <w:r w:rsidRPr="00D77D6D">
              <w:rPr>
                <w:rFonts w:asciiTheme="minorHAnsi" w:hAnsiTheme="minorHAnsi"/>
                <w:sz w:val="22"/>
                <w:szCs w:val="22"/>
              </w:rPr>
              <w:t>PGPA</w:t>
            </w:r>
            <w:proofErr w:type="spellEnd"/>
            <w:r w:rsidRPr="00D77D6D">
              <w:rPr>
                <w:rFonts w:asciiTheme="minorHAnsi" w:hAnsiTheme="minorHAnsi"/>
                <w:sz w:val="22"/>
                <w:szCs w:val="22"/>
              </w:rPr>
              <w:t xml:space="preserve"> Act</w:t>
            </w:r>
          </w:p>
        </w:tc>
        <w:tc>
          <w:tcPr>
            <w:tcW w:w="7194" w:type="dxa"/>
            <w:vAlign w:val="center"/>
          </w:tcPr>
          <w:p w:rsidR="009F04D6" w:rsidRPr="00D77D6D" w:rsidRDefault="009F04D6" w:rsidP="00AB1151">
            <w:pPr>
              <w:rPr>
                <w:rFonts w:asciiTheme="minorHAnsi" w:hAnsiTheme="minorHAnsi"/>
                <w:i/>
                <w:sz w:val="22"/>
                <w:szCs w:val="22"/>
              </w:rPr>
            </w:pPr>
            <w:r w:rsidRPr="00D77D6D">
              <w:rPr>
                <w:rFonts w:asciiTheme="minorHAnsi" w:hAnsiTheme="minorHAnsi"/>
                <w:i/>
                <w:sz w:val="22"/>
                <w:szCs w:val="22"/>
              </w:rPr>
              <w:t>Public Governance, Performance and Accountability Act 2013</w:t>
            </w:r>
          </w:p>
        </w:tc>
      </w:tr>
      <w:tr w:rsidR="009F04D6" w:rsidRPr="00D77D6D" w:rsidTr="009F04D6">
        <w:trPr>
          <w:trHeight w:val="410"/>
        </w:trPr>
        <w:tc>
          <w:tcPr>
            <w:tcW w:w="2660" w:type="dxa"/>
            <w:vAlign w:val="center"/>
          </w:tcPr>
          <w:p w:rsidR="009F04D6" w:rsidRPr="00D77D6D" w:rsidRDefault="009F04D6" w:rsidP="00AB1151">
            <w:pPr>
              <w:rPr>
                <w:rFonts w:asciiTheme="minorHAnsi" w:hAnsiTheme="minorHAnsi"/>
                <w:sz w:val="22"/>
                <w:szCs w:val="22"/>
              </w:rPr>
            </w:pPr>
            <w:r w:rsidRPr="00D77D6D">
              <w:rPr>
                <w:rFonts w:asciiTheme="minorHAnsi" w:hAnsiTheme="minorHAnsi"/>
                <w:sz w:val="22"/>
                <w:szCs w:val="22"/>
              </w:rPr>
              <w:lastRenderedPageBreak/>
              <w:t>PIA</w:t>
            </w:r>
          </w:p>
        </w:tc>
        <w:tc>
          <w:tcPr>
            <w:tcW w:w="7194" w:type="dxa"/>
            <w:vAlign w:val="center"/>
          </w:tcPr>
          <w:p w:rsidR="009F04D6" w:rsidRPr="00D77D6D" w:rsidRDefault="009F04D6" w:rsidP="00AB1151">
            <w:pPr>
              <w:rPr>
                <w:rFonts w:asciiTheme="minorHAnsi" w:hAnsiTheme="minorHAnsi"/>
                <w:sz w:val="22"/>
                <w:szCs w:val="22"/>
              </w:rPr>
            </w:pPr>
            <w:r w:rsidRPr="00D77D6D">
              <w:rPr>
                <w:rFonts w:asciiTheme="minorHAnsi" w:hAnsiTheme="minorHAnsi"/>
                <w:sz w:val="22"/>
                <w:szCs w:val="22"/>
              </w:rPr>
              <w:t>Privacy impact assessment</w:t>
            </w:r>
          </w:p>
        </w:tc>
      </w:tr>
      <w:tr w:rsidR="009F04D6" w:rsidRPr="00D77D6D" w:rsidTr="009F04D6">
        <w:trPr>
          <w:trHeight w:val="410"/>
        </w:trPr>
        <w:tc>
          <w:tcPr>
            <w:tcW w:w="2660" w:type="dxa"/>
            <w:vAlign w:val="center"/>
          </w:tcPr>
          <w:p w:rsidR="009F04D6" w:rsidRPr="00D77D6D" w:rsidRDefault="009F04D6" w:rsidP="00AB1151">
            <w:pPr>
              <w:rPr>
                <w:rFonts w:asciiTheme="minorHAnsi" w:hAnsiTheme="minorHAnsi"/>
                <w:sz w:val="22"/>
                <w:szCs w:val="22"/>
              </w:rPr>
            </w:pPr>
            <w:r>
              <w:rPr>
                <w:rFonts w:asciiTheme="minorHAnsi" w:hAnsiTheme="minorHAnsi"/>
                <w:sz w:val="22"/>
                <w:szCs w:val="22"/>
              </w:rPr>
              <w:t>Privacy Act</w:t>
            </w:r>
          </w:p>
        </w:tc>
        <w:tc>
          <w:tcPr>
            <w:tcW w:w="7194" w:type="dxa"/>
            <w:vAlign w:val="center"/>
          </w:tcPr>
          <w:p w:rsidR="009F04D6" w:rsidRPr="003D7F19" w:rsidRDefault="009F04D6" w:rsidP="00AB1151">
            <w:pPr>
              <w:rPr>
                <w:rFonts w:asciiTheme="minorHAnsi" w:hAnsiTheme="minorHAnsi"/>
                <w:sz w:val="22"/>
                <w:szCs w:val="22"/>
              </w:rPr>
            </w:pPr>
            <w:r>
              <w:rPr>
                <w:rFonts w:asciiTheme="minorHAnsi" w:hAnsiTheme="minorHAnsi"/>
                <w:i/>
                <w:sz w:val="22"/>
                <w:szCs w:val="22"/>
              </w:rPr>
              <w:t>Privacy Act 1988</w:t>
            </w:r>
          </w:p>
        </w:tc>
      </w:tr>
      <w:tr w:rsidR="009F04D6" w:rsidRPr="00D77D6D" w:rsidTr="009F04D6">
        <w:trPr>
          <w:trHeight w:val="410"/>
        </w:trPr>
        <w:tc>
          <w:tcPr>
            <w:tcW w:w="2660" w:type="dxa"/>
            <w:vAlign w:val="center"/>
          </w:tcPr>
          <w:p w:rsidR="009F04D6" w:rsidRPr="00D77D6D" w:rsidRDefault="009F04D6" w:rsidP="00AB1151">
            <w:pPr>
              <w:rPr>
                <w:rFonts w:asciiTheme="minorHAnsi" w:hAnsiTheme="minorHAnsi"/>
                <w:sz w:val="22"/>
                <w:szCs w:val="22"/>
              </w:rPr>
            </w:pPr>
            <w:r w:rsidRPr="00D77D6D">
              <w:rPr>
                <w:rFonts w:asciiTheme="minorHAnsi" w:hAnsiTheme="minorHAnsi"/>
                <w:sz w:val="22"/>
                <w:szCs w:val="22"/>
              </w:rPr>
              <w:t>RO</w:t>
            </w:r>
          </w:p>
        </w:tc>
        <w:tc>
          <w:tcPr>
            <w:tcW w:w="7194" w:type="dxa"/>
            <w:vAlign w:val="center"/>
          </w:tcPr>
          <w:p w:rsidR="009F04D6" w:rsidRPr="00D77D6D" w:rsidRDefault="009F04D6" w:rsidP="00AB1151">
            <w:pPr>
              <w:rPr>
                <w:rFonts w:asciiTheme="minorHAnsi" w:hAnsiTheme="minorHAnsi"/>
                <w:sz w:val="22"/>
                <w:szCs w:val="22"/>
              </w:rPr>
            </w:pPr>
            <w:r w:rsidRPr="00D77D6D">
              <w:rPr>
                <w:rFonts w:asciiTheme="minorHAnsi" w:hAnsiTheme="minorHAnsi"/>
                <w:sz w:val="22"/>
                <w:szCs w:val="22"/>
              </w:rPr>
              <w:t>Responsible Officer</w:t>
            </w:r>
          </w:p>
          <w:p w:rsidR="009F04D6" w:rsidRPr="00D77D6D" w:rsidRDefault="009F04D6" w:rsidP="00AB1151">
            <w:pPr>
              <w:spacing w:before="120"/>
              <w:rPr>
                <w:rFonts w:asciiTheme="minorHAnsi" w:hAnsiTheme="minorHAnsi"/>
                <w:sz w:val="22"/>
                <w:szCs w:val="22"/>
              </w:rPr>
            </w:pPr>
            <w:r w:rsidRPr="00D77D6D">
              <w:rPr>
                <w:rFonts w:asciiTheme="minorHAnsi" w:hAnsiTheme="minorHAnsi"/>
                <w:sz w:val="22"/>
                <w:szCs w:val="22"/>
              </w:rPr>
              <w:t xml:space="preserve">The RO of a healthcare provider organisation has responsibilities in the HI Service and the PCEHR system.  An </w:t>
            </w:r>
            <w:proofErr w:type="spellStart"/>
            <w:r w:rsidRPr="00D77D6D">
              <w:rPr>
                <w:rFonts w:asciiTheme="minorHAnsi" w:hAnsiTheme="minorHAnsi"/>
                <w:sz w:val="22"/>
                <w:szCs w:val="22"/>
              </w:rPr>
              <w:t>RO’s</w:t>
            </w:r>
            <w:proofErr w:type="spellEnd"/>
            <w:r w:rsidRPr="00D77D6D">
              <w:rPr>
                <w:rFonts w:asciiTheme="minorHAnsi" w:hAnsiTheme="minorHAnsi"/>
                <w:sz w:val="22"/>
                <w:szCs w:val="22"/>
              </w:rPr>
              <w:t xml:space="preserve"> responsibilities include managing the registration of a seed organisations and notifying changes of ownership. </w:t>
            </w:r>
          </w:p>
        </w:tc>
      </w:tr>
      <w:tr w:rsidR="009F04D6" w:rsidRPr="00D77D6D" w:rsidTr="009F04D6">
        <w:trPr>
          <w:trHeight w:val="410"/>
        </w:trPr>
        <w:tc>
          <w:tcPr>
            <w:tcW w:w="2660" w:type="dxa"/>
            <w:vAlign w:val="center"/>
          </w:tcPr>
          <w:p w:rsidR="009F04D6" w:rsidRPr="00D77D6D" w:rsidRDefault="009F04D6" w:rsidP="00AB1151">
            <w:pPr>
              <w:rPr>
                <w:rFonts w:asciiTheme="minorHAnsi" w:hAnsiTheme="minorHAnsi"/>
                <w:sz w:val="22"/>
                <w:szCs w:val="22"/>
              </w:rPr>
            </w:pPr>
            <w:r w:rsidRPr="00D77D6D">
              <w:rPr>
                <w:rFonts w:asciiTheme="minorHAnsi" w:hAnsiTheme="minorHAnsi"/>
                <w:sz w:val="22"/>
                <w:szCs w:val="22"/>
              </w:rPr>
              <w:t>Service Operator</w:t>
            </w:r>
          </w:p>
        </w:tc>
        <w:tc>
          <w:tcPr>
            <w:tcW w:w="7194" w:type="dxa"/>
            <w:vAlign w:val="center"/>
          </w:tcPr>
          <w:p w:rsidR="009F04D6" w:rsidRPr="00D77D6D" w:rsidRDefault="009F04D6" w:rsidP="00AB1151">
            <w:pPr>
              <w:rPr>
                <w:rFonts w:asciiTheme="minorHAnsi" w:hAnsiTheme="minorHAnsi"/>
                <w:sz w:val="22"/>
                <w:szCs w:val="22"/>
              </w:rPr>
            </w:pPr>
            <w:r w:rsidRPr="00D77D6D">
              <w:rPr>
                <w:rFonts w:asciiTheme="minorHAnsi" w:hAnsiTheme="minorHAnsi"/>
                <w:sz w:val="22"/>
                <w:szCs w:val="22"/>
              </w:rPr>
              <w:t>The Chief Executive Medicare is specified by the HI Act to be the Service Operator</w:t>
            </w:r>
            <w:r>
              <w:rPr>
                <w:rFonts w:asciiTheme="minorHAnsi" w:hAnsiTheme="minorHAnsi"/>
                <w:sz w:val="22"/>
                <w:szCs w:val="22"/>
              </w:rPr>
              <w:t xml:space="preserve"> and she or he is responsible for</w:t>
            </w:r>
            <w:r w:rsidRPr="00D77D6D">
              <w:rPr>
                <w:rFonts w:asciiTheme="minorHAnsi" w:hAnsiTheme="minorHAnsi"/>
                <w:sz w:val="22"/>
                <w:szCs w:val="22"/>
              </w:rPr>
              <w:t xml:space="preserve"> operat</w:t>
            </w:r>
            <w:r>
              <w:rPr>
                <w:rFonts w:asciiTheme="minorHAnsi" w:hAnsiTheme="minorHAnsi"/>
                <w:sz w:val="22"/>
                <w:szCs w:val="22"/>
              </w:rPr>
              <w:t>ing</w:t>
            </w:r>
            <w:r w:rsidRPr="00D77D6D">
              <w:rPr>
                <w:rFonts w:asciiTheme="minorHAnsi" w:hAnsiTheme="minorHAnsi"/>
                <w:sz w:val="22"/>
                <w:szCs w:val="22"/>
              </w:rPr>
              <w:t xml:space="preserve"> the HI Service.</w:t>
            </w:r>
          </w:p>
        </w:tc>
      </w:tr>
      <w:tr w:rsidR="009F04D6" w:rsidRPr="00D77D6D" w:rsidTr="009F04D6">
        <w:trPr>
          <w:trHeight w:val="410"/>
        </w:trPr>
        <w:tc>
          <w:tcPr>
            <w:tcW w:w="2660" w:type="dxa"/>
            <w:vAlign w:val="center"/>
          </w:tcPr>
          <w:p w:rsidR="009F04D6" w:rsidRPr="00D77D6D" w:rsidRDefault="009F04D6" w:rsidP="00AB1151">
            <w:pPr>
              <w:rPr>
                <w:rFonts w:asciiTheme="minorHAnsi" w:hAnsiTheme="minorHAnsi"/>
                <w:sz w:val="22"/>
                <w:szCs w:val="22"/>
              </w:rPr>
            </w:pPr>
            <w:proofErr w:type="spellStart"/>
            <w:r>
              <w:rPr>
                <w:rFonts w:asciiTheme="minorHAnsi" w:hAnsiTheme="minorHAnsi"/>
                <w:sz w:val="22"/>
                <w:szCs w:val="22"/>
              </w:rPr>
              <w:t>SMS</w:t>
            </w:r>
            <w:proofErr w:type="spellEnd"/>
          </w:p>
        </w:tc>
        <w:tc>
          <w:tcPr>
            <w:tcW w:w="7194" w:type="dxa"/>
            <w:vAlign w:val="center"/>
          </w:tcPr>
          <w:p w:rsidR="009F04D6" w:rsidRPr="00D77D6D" w:rsidRDefault="009F04D6" w:rsidP="00AB1151">
            <w:pPr>
              <w:rPr>
                <w:rFonts w:asciiTheme="minorHAnsi" w:hAnsiTheme="minorHAnsi"/>
                <w:sz w:val="22"/>
                <w:szCs w:val="22"/>
              </w:rPr>
            </w:pPr>
            <w:r>
              <w:rPr>
                <w:rFonts w:asciiTheme="minorHAnsi" w:hAnsiTheme="minorHAnsi"/>
                <w:sz w:val="22"/>
                <w:szCs w:val="22"/>
              </w:rPr>
              <w:t>Short Message Service</w:t>
            </w:r>
          </w:p>
        </w:tc>
      </w:tr>
      <w:tr w:rsidR="009F04D6" w:rsidRPr="00D77D6D" w:rsidTr="009F04D6">
        <w:trPr>
          <w:trHeight w:val="410"/>
        </w:trPr>
        <w:tc>
          <w:tcPr>
            <w:tcW w:w="2660" w:type="dxa"/>
            <w:vAlign w:val="center"/>
          </w:tcPr>
          <w:p w:rsidR="009F04D6" w:rsidRPr="00D77D6D" w:rsidRDefault="009F04D6" w:rsidP="00AB1151">
            <w:pPr>
              <w:rPr>
                <w:rFonts w:asciiTheme="minorHAnsi" w:hAnsiTheme="minorHAnsi"/>
                <w:sz w:val="22"/>
                <w:szCs w:val="22"/>
              </w:rPr>
            </w:pPr>
            <w:r w:rsidRPr="00D77D6D">
              <w:rPr>
                <w:rFonts w:asciiTheme="minorHAnsi" w:hAnsiTheme="minorHAnsi"/>
                <w:sz w:val="22"/>
                <w:szCs w:val="22"/>
              </w:rPr>
              <w:t>System Operator</w:t>
            </w:r>
          </w:p>
        </w:tc>
        <w:tc>
          <w:tcPr>
            <w:tcW w:w="7194" w:type="dxa"/>
            <w:vAlign w:val="center"/>
          </w:tcPr>
          <w:p w:rsidR="009F04D6" w:rsidRPr="00D77D6D" w:rsidRDefault="009F04D6" w:rsidP="00AB1151">
            <w:pPr>
              <w:rPr>
                <w:rFonts w:asciiTheme="minorHAnsi" w:hAnsiTheme="minorHAnsi"/>
                <w:sz w:val="22"/>
                <w:szCs w:val="22"/>
              </w:rPr>
            </w:pPr>
            <w:r w:rsidRPr="00D77D6D">
              <w:rPr>
                <w:rFonts w:asciiTheme="minorHAnsi" w:hAnsiTheme="minorHAnsi"/>
                <w:sz w:val="22"/>
                <w:szCs w:val="22"/>
              </w:rPr>
              <w:t xml:space="preserve">The Secretary to the Department of Health is specified by the PCEHR Act to be the System Operator and </w:t>
            </w:r>
            <w:r>
              <w:rPr>
                <w:rFonts w:asciiTheme="minorHAnsi" w:hAnsiTheme="minorHAnsi"/>
                <w:sz w:val="22"/>
                <w:szCs w:val="22"/>
              </w:rPr>
              <w:t xml:space="preserve">he or she is responsible for </w:t>
            </w:r>
            <w:r w:rsidRPr="00D77D6D">
              <w:rPr>
                <w:rFonts w:asciiTheme="minorHAnsi" w:hAnsiTheme="minorHAnsi"/>
                <w:sz w:val="22"/>
                <w:szCs w:val="22"/>
              </w:rPr>
              <w:t>operat</w:t>
            </w:r>
            <w:r>
              <w:rPr>
                <w:rFonts w:asciiTheme="minorHAnsi" w:hAnsiTheme="minorHAnsi"/>
                <w:sz w:val="22"/>
                <w:szCs w:val="22"/>
              </w:rPr>
              <w:t>ing</w:t>
            </w:r>
            <w:r w:rsidRPr="00D77D6D">
              <w:rPr>
                <w:rFonts w:asciiTheme="minorHAnsi" w:hAnsiTheme="minorHAnsi"/>
                <w:sz w:val="22"/>
                <w:szCs w:val="22"/>
              </w:rPr>
              <w:t xml:space="preserve"> the PCEHR system.  Regulations may specify a different entity to be the System Operator, following consultation with the Ministerial Council.</w:t>
            </w:r>
          </w:p>
        </w:tc>
      </w:tr>
    </w:tbl>
    <w:p w:rsidR="00724B15" w:rsidRPr="00D02304" w:rsidRDefault="00724B15" w:rsidP="00C06AC2">
      <w:pPr>
        <w:spacing w:before="240"/>
        <w:rPr>
          <w:rFonts w:asciiTheme="minorHAnsi" w:hAnsiTheme="minorHAnsi" w:cs="Arial"/>
          <w:sz w:val="22"/>
          <w:szCs w:val="22"/>
        </w:rPr>
      </w:pPr>
      <w:bookmarkStart w:id="142" w:name="ENDOFDOCUMENTBEGIN"/>
      <w:bookmarkEnd w:id="142"/>
    </w:p>
    <w:sectPr w:rsidR="00724B15" w:rsidRPr="00D02304" w:rsidSect="00735610">
      <w:footerReference w:type="default" r:id="rId25"/>
      <w:footerReference w:type="first" r:id="rId26"/>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9B1" w:rsidRDefault="009F79B1" w:rsidP="00D356EE">
      <w:r>
        <w:separator/>
      </w:r>
    </w:p>
    <w:p w:rsidR="009F79B1" w:rsidRDefault="009F79B1"/>
  </w:endnote>
  <w:endnote w:type="continuationSeparator" w:id="0">
    <w:p w:rsidR="009F79B1" w:rsidRDefault="009F79B1" w:rsidP="00D356EE">
      <w:r>
        <w:continuationSeparator/>
      </w:r>
    </w:p>
    <w:p w:rsidR="009F79B1" w:rsidRDefault="009F79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113" w:rsidRDefault="007471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973646"/>
      <w:docPartObj>
        <w:docPartGallery w:val="Page Numbers (Bottom of Page)"/>
        <w:docPartUnique/>
      </w:docPartObj>
    </w:sdtPr>
    <w:sdtEndPr>
      <w:rPr>
        <w:rFonts w:asciiTheme="minorHAnsi" w:hAnsiTheme="minorHAnsi"/>
        <w:noProof/>
        <w:sz w:val="22"/>
        <w:szCs w:val="22"/>
      </w:rPr>
    </w:sdtEndPr>
    <w:sdtContent>
      <w:p w:rsidR="00747113" w:rsidRPr="00EA42C3" w:rsidRDefault="00747113" w:rsidP="00EA42C3">
        <w:pPr>
          <w:pStyle w:val="Footer"/>
          <w:rPr>
            <w:rFonts w:asciiTheme="minorHAnsi" w:hAnsiTheme="minorHAnsi"/>
            <w:sz w:val="22"/>
            <w:szCs w:val="22"/>
          </w:rPr>
        </w:pPr>
        <w:r w:rsidRPr="00EA42C3">
          <w:rPr>
            <w:rFonts w:asciiTheme="minorHAnsi" w:hAnsiTheme="minorHAnsi"/>
            <w:sz w:val="22"/>
            <w:szCs w:val="22"/>
          </w:rPr>
          <w:fldChar w:fldCharType="begin"/>
        </w:r>
        <w:r w:rsidRPr="00EA42C3">
          <w:rPr>
            <w:rFonts w:asciiTheme="minorHAnsi" w:hAnsiTheme="minorHAnsi"/>
            <w:sz w:val="22"/>
            <w:szCs w:val="22"/>
          </w:rPr>
          <w:instrText xml:space="preserve"> PAGE   \* MERGEFORMAT </w:instrText>
        </w:r>
        <w:r w:rsidRPr="00EA42C3">
          <w:rPr>
            <w:rFonts w:asciiTheme="minorHAnsi" w:hAnsiTheme="minorHAnsi"/>
            <w:sz w:val="22"/>
            <w:szCs w:val="22"/>
          </w:rPr>
          <w:fldChar w:fldCharType="separate"/>
        </w:r>
        <w:r w:rsidR="00E31E80">
          <w:rPr>
            <w:rFonts w:asciiTheme="minorHAnsi" w:hAnsiTheme="minorHAnsi"/>
            <w:noProof/>
            <w:sz w:val="22"/>
            <w:szCs w:val="22"/>
          </w:rPr>
          <w:t>iv</w:t>
        </w:r>
        <w:r w:rsidRPr="00EA42C3">
          <w:rPr>
            <w:rFonts w:asciiTheme="minorHAnsi" w:hAnsiTheme="minorHAnsi"/>
            <w:noProof/>
            <w:sz w:val="22"/>
            <w:szCs w:val="22"/>
          </w:rPr>
          <w:fldChar w:fldCharType="end"/>
        </w:r>
      </w:p>
    </w:sdtContent>
  </w:sdt>
  <w:p w:rsidR="00747113" w:rsidRPr="00EA42C3" w:rsidRDefault="00747113" w:rsidP="00EA42C3">
    <w:pPr>
      <w:pStyle w:val="Footer"/>
      <w:jc w:val="right"/>
      <w:rPr>
        <w:rFonts w:asciiTheme="minorHAnsi" w:hAnsiTheme="minorHAnsi"/>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113" w:rsidRDefault="0074711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954728"/>
      <w:docPartObj>
        <w:docPartGallery w:val="Page Numbers (Bottom of Page)"/>
        <w:docPartUnique/>
      </w:docPartObj>
    </w:sdtPr>
    <w:sdtEndPr>
      <w:rPr>
        <w:rFonts w:asciiTheme="minorHAnsi" w:hAnsiTheme="minorHAnsi"/>
        <w:noProof/>
        <w:sz w:val="22"/>
        <w:szCs w:val="22"/>
      </w:rPr>
    </w:sdtEndPr>
    <w:sdtContent>
      <w:p w:rsidR="00747113" w:rsidRPr="00735610" w:rsidRDefault="00747113" w:rsidP="00735610">
        <w:pPr>
          <w:pStyle w:val="Footer"/>
          <w:tabs>
            <w:tab w:val="clear" w:pos="4513"/>
            <w:tab w:val="clear" w:pos="9026"/>
            <w:tab w:val="left" w:pos="8647"/>
          </w:tabs>
          <w:rPr>
            <w:rFonts w:asciiTheme="minorHAnsi" w:hAnsiTheme="minorHAnsi"/>
            <w:sz w:val="22"/>
            <w:szCs w:val="22"/>
          </w:rPr>
        </w:pPr>
        <w:r w:rsidRPr="00EA42C3">
          <w:rPr>
            <w:rFonts w:asciiTheme="minorHAnsi" w:hAnsiTheme="minorHAnsi"/>
            <w:sz w:val="22"/>
            <w:szCs w:val="22"/>
          </w:rPr>
          <w:fldChar w:fldCharType="begin"/>
        </w:r>
        <w:r w:rsidRPr="00EA42C3">
          <w:rPr>
            <w:rFonts w:asciiTheme="minorHAnsi" w:hAnsiTheme="minorHAnsi"/>
            <w:sz w:val="22"/>
            <w:szCs w:val="22"/>
          </w:rPr>
          <w:instrText xml:space="preserve"> PAGE   \* MERGEFORMAT </w:instrText>
        </w:r>
        <w:r w:rsidRPr="00EA42C3">
          <w:rPr>
            <w:rFonts w:asciiTheme="minorHAnsi" w:hAnsiTheme="minorHAnsi"/>
            <w:sz w:val="22"/>
            <w:szCs w:val="22"/>
          </w:rPr>
          <w:fldChar w:fldCharType="separate"/>
        </w:r>
        <w:r w:rsidR="00E31E80">
          <w:rPr>
            <w:rFonts w:asciiTheme="minorHAnsi" w:hAnsiTheme="minorHAnsi"/>
            <w:noProof/>
            <w:sz w:val="22"/>
            <w:szCs w:val="22"/>
          </w:rPr>
          <w:t>iii</w:t>
        </w:r>
        <w:r w:rsidRPr="00EA42C3">
          <w:rPr>
            <w:rFonts w:asciiTheme="minorHAnsi" w:hAnsiTheme="minorHAnsi"/>
            <w:noProof/>
            <w:sz w:val="22"/>
            <w:szCs w:val="22"/>
          </w:rPr>
          <w:fldChar w:fldCharType="end"/>
        </w:r>
        <w:r>
          <w:rPr>
            <w:rFonts w:asciiTheme="minorHAnsi" w:hAnsiTheme="minorHAnsi"/>
            <w:noProof/>
            <w:sz w:val="22"/>
            <w:szCs w:val="22"/>
          </w:rPr>
          <w:tab/>
          <w:t>May 2015</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579717"/>
      <w:docPartObj>
        <w:docPartGallery w:val="Page Numbers (Bottom of Page)"/>
        <w:docPartUnique/>
      </w:docPartObj>
    </w:sdtPr>
    <w:sdtEndPr>
      <w:rPr>
        <w:rFonts w:asciiTheme="minorHAnsi" w:hAnsiTheme="minorHAnsi"/>
        <w:noProof/>
        <w:sz w:val="22"/>
        <w:szCs w:val="22"/>
      </w:rPr>
    </w:sdtEndPr>
    <w:sdtContent>
      <w:p w:rsidR="00747113" w:rsidRPr="00EA42C3" w:rsidRDefault="00747113" w:rsidP="00C94050">
        <w:pPr>
          <w:pStyle w:val="Footer"/>
          <w:tabs>
            <w:tab w:val="clear" w:pos="4513"/>
            <w:tab w:val="clear" w:pos="9026"/>
            <w:tab w:val="left" w:pos="8647"/>
          </w:tabs>
          <w:rPr>
            <w:rFonts w:asciiTheme="minorHAnsi" w:hAnsiTheme="minorHAnsi"/>
            <w:sz w:val="22"/>
            <w:szCs w:val="22"/>
          </w:rPr>
        </w:pPr>
        <w:r w:rsidRPr="00EA42C3">
          <w:rPr>
            <w:rFonts w:asciiTheme="minorHAnsi" w:hAnsiTheme="minorHAnsi"/>
            <w:sz w:val="22"/>
            <w:szCs w:val="22"/>
          </w:rPr>
          <w:fldChar w:fldCharType="begin"/>
        </w:r>
        <w:r w:rsidRPr="00EA42C3">
          <w:rPr>
            <w:rFonts w:asciiTheme="minorHAnsi" w:hAnsiTheme="minorHAnsi"/>
            <w:sz w:val="22"/>
            <w:szCs w:val="22"/>
          </w:rPr>
          <w:instrText xml:space="preserve"> PAGE   \* MERGEFORMAT </w:instrText>
        </w:r>
        <w:r w:rsidRPr="00EA42C3">
          <w:rPr>
            <w:rFonts w:asciiTheme="minorHAnsi" w:hAnsiTheme="minorHAnsi"/>
            <w:sz w:val="22"/>
            <w:szCs w:val="22"/>
          </w:rPr>
          <w:fldChar w:fldCharType="separate"/>
        </w:r>
        <w:r w:rsidR="00E31E80">
          <w:rPr>
            <w:rFonts w:asciiTheme="minorHAnsi" w:hAnsiTheme="minorHAnsi"/>
            <w:noProof/>
            <w:sz w:val="22"/>
            <w:szCs w:val="22"/>
          </w:rPr>
          <w:t>23</w:t>
        </w:r>
        <w:r w:rsidRPr="00EA42C3">
          <w:rPr>
            <w:rFonts w:asciiTheme="minorHAnsi" w:hAnsiTheme="minorHAnsi"/>
            <w:noProof/>
            <w:sz w:val="22"/>
            <w:szCs w:val="22"/>
          </w:rPr>
          <w:fldChar w:fldCharType="end"/>
        </w:r>
        <w:r>
          <w:rPr>
            <w:rFonts w:asciiTheme="minorHAnsi" w:hAnsiTheme="minorHAnsi"/>
            <w:noProof/>
            <w:sz w:val="22"/>
            <w:szCs w:val="22"/>
          </w:rPr>
          <w:tab/>
          <w:t>May 2015</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150405"/>
      <w:docPartObj>
        <w:docPartGallery w:val="Page Numbers (Bottom of Page)"/>
        <w:docPartUnique/>
      </w:docPartObj>
    </w:sdtPr>
    <w:sdtEndPr>
      <w:rPr>
        <w:rFonts w:asciiTheme="minorHAnsi" w:hAnsiTheme="minorHAnsi"/>
        <w:noProof/>
        <w:sz w:val="22"/>
        <w:szCs w:val="22"/>
      </w:rPr>
    </w:sdtEndPr>
    <w:sdtContent>
      <w:p w:rsidR="00747113" w:rsidRPr="00735610" w:rsidRDefault="00747113" w:rsidP="00735610">
        <w:pPr>
          <w:pStyle w:val="Footer"/>
          <w:tabs>
            <w:tab w:val="clear" w:pos="4513"/>
            <w:tab w:val="clear" w:pos="9026"/>
            <w:tab w:val="left" w:pos="8647"/>
          </w:tabs>
          <w:rPr>
            <w:rFonts w:asciiTheme="minorHAnsi" w:hAnsiTheme="minorHAnsi"/>
            <w:sz w:val="22"/>
            <w:szCs w:val="22"/>
          </w:rPr>
        </w:pPr>
        <w:r w:rsidRPr="00EA42C3">
          <w:rPr>
            <w:rFonts w:asciiTheme="minorHAnsi" w:hAnsiTheme="minorHAnsi"/>
            <w:sz w:val="22"/>
            <w:szCs w:val="22"/>
          </w:rPr>
          <w:fldChar w:fldCharType="begin"/>
        </w:r>
        <w:r w:rsidRPr="00EA42C3">
          <w:rPr>
            <w:rFonts w:asciiTheme="minorHAnsi" w:hAnsiTheme="minorHAnsi"/>
            <w:sz w:val="22"/>
            <w:szCs w:val="22"/>
          </w:rPr>
          <w:instrText xml:space="preserve"> PAGE   \* MERGEFORMAT </w:instrText>
        </w:r>
        <w:r w:rsidRPr="00EA42C3">
          <w:rPr>
            <w:rFonts w:asciiTheme="minorHAnsi" w:hAnsiTheme="minorHAnsi"/>
            <w:sz w:val="22"/>
            <w:szCs w:val="22"/>
          </w:rPr>
          <w:fldChar w:fldCharType="separate"/>
        </w:r>
        <w:r>
          <w:rPr>
            <w:rFonts w:asciiTheme="minorHAnsi" w:hAnsiTheme="minorHAnsi"/>
            <w:noProof/>
            <w:sz w:val="22"/>
            <w:szCs w:val="22"/>
          </w:rPr>
          <w:t>18</w:t>
        </w:r>
        <w:r w:rsidRPr="00EA42C3">
          <w:rPr>
            <w:rFonts w:asciiTheme="minorHAnsi" w:hAnsiTheme="minorHAnsi"/>
            <w:noProof/>
            <w:sz w:val="22"/>
            <w:szCs w:val="22"/>
          </w:rPr>
          <w:fldChar w:fldCharType="end"/>
        </w:r>
        <w:r>
          <w:rPr>
            <w:rFonts w:asciiTheme="minorHAnsi" w:hAnsiTheme="minorHAnsi"/>
            <w:noProof/>
            <w:sz w:val="22"/>
            <w:szCs w:val="22"/>
          </w:rPr>
          <w:tab/>
          <w:t>May 2015</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888300"/>
      <w:docPartObj>
        <w:docPartGallery w:val="Page Numbers (Bottom of Page)"/>
        <w:docPartUnique/>
      </w:docPartObj>
    </w:sdtPr>
    <w:sdtEndPr>
      <w:rPr>
        <w:rFonts w:asciiTheme="minorHAnsi" w:hAnsiTheme="minorHAnsi"/>
        <w:noProof/>
        <w:sz w:val="22"/>
        <w:szCs w:val="22"/>
      </w:rPr>
    </w:sdtEndPr>
    <w:sdtContent>
      <w:p w:rsidR="00747113" w:rsidRPr="00EA42C3" w:rsidRDefault="00747113" w:rsidP="00C94050">
        <w:pPr>
          <w:pStyle w:val="Footer"/>
          <w:tabs>
            <w:tab w:val="clear" w:pos="4513"/>
            <w:tab w:val="clear" w:pos="9026"/>
            <w:tab w:val="left" w:pos="8647"/>
          </w:tabs>
          <w:rPr>
            <w:rFonts w:asciiTheme="minorHAnsi" w:hAnsiTheme="minorHAnsi"/>
            <w:sz w:val="22"/>
            <w:szCs w:val="22"/>
          </w:rPr>
        </w:pPr>
        <w:r w:rsidRPr="00EA42C3">
          <w:rPr>
            <w:rFonts w:asciiTheme="minorHAnsi" w:hAnsiTheme="minorHAnsi"/>
            <w:sz w:val="22"/>
            <w:szCs w:val="22"/>
          </w:rPr>
          <w:fldChar w:fldCharType="begin"/>
        </w:r>
        <w:r w:rsidRPr="00EA42C3">
          <w:rPr>
            <w:rFonts w:asciiTheme="minorHAnsi" w:hAnsiTheme="minorHAnsi"/>
            <w:sz w:val="22"/>
            <w:szCs w:val="22"/>
          </w:rPr>
          <w:instrText xml:space="preserve"> PAGE   \* MERGEFORMAT </w:instrText>
        </w:r>
        <w:r w:rsidRPr="00EA42C3">
          <w:rPr>
            <w:rFonts w:asciiTheme="minorHAnsi" w:hAnsiTheme="minorHAnsi"/>
            <w:sz w:val="22"/>
            <w:szCs w:val="22"/>
          </w:rPr>
          <w:fldChar w:fldCharType="separate"/>
        </w:r>
        <w:r w:rsidR="00FD705A">
          <w:rPr>
            <w:rFonts w:asciiTheme="minorHAnsi" w:hAnsiTheme="minorHAnsi"/>
            <w:noProof/>
            <w:sz w:val="22"/>
            <w:szCs w:val="22"/>
          </w:rPr>
          <w:t>27</w:t>
        </w:r>
        <w:r w:rsidRPr="00EA42C3">
          <w:rPr>
            <w:rFonts w:asciiTheme="minorHAnsi" w:hAnsiTheme="minorHAnsi"/>
            <w:noProof/>
            <w:sz w:val="22"/>
            <w:szCs w:val="22"/>
          </w:rPr>
          <w:fldChar w:fldCharType="end"/>
        </w:r>
        <w:r>
          <w:rPr>
            <w:rFonts w:asciiTheme="minorHAnsi" w:hAnsiTheme="minorHAnsi"/>
            <w:noProof/>
            <w:sz w:val="22"/>
            <w:szCs w:val="22"/>
          </w:rPr>
          <w:tab/>
          <w:t>May 2015</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229837"/>
      <w:docPartObj>
        <w:docPartGallery w:val="Page Numbers (Bottom of Page)"/>
        <w:docPartUnique/>
      </w:docPartObj>
    </w:sdtPr>
    <w:sdtEndPr>
      <w:rPr>
        <w:rFonts w:asciiTheme="minorHAnsi" w:hAnsiTheme="minorHAnsi"/>
        <w:noProof/>
        <w:sz w:val="22"/>
        <w:szCs w:val="22"/>
      </w:rPr>
    </w:sdtEndPr>
    <w:sdtContent>
      <w:p w:rsidR="00747113" w:rsidRPr="00735610" w:rsidRDefault="00747113" w:rsidP="00735610">
        <w:pPr>
          <w:pStyle w:val="Footer"/>
          <w:tabs>
            <w:tab w:val="clear" w:pos="4513"/>
            <w:tab w:val="clear" w:pos="9026"/>
            <w:tab w:val="left" w:pos="8647"/>
          </w:tabs>
          <w:rPr>
            <w:rFonts w:asciiTheme="minorHAnsi" w:hAnsiTheme="minorHAnsi"/>
            <w:sz w:val="22"/>
            <w:szCs w:val="22"/>
          </w:rPr>
        </w:pPr>
        <w:r w:rsidRPr="00EA42C3">
          <w:rPr>
            <w:rFonts w:asciiTheme="minorHAnsi" w:hAnsiTheme="minorHAnsi"/>
            <w:sz w:val="22"/>
            <w:szCs w:val="22"/>
          </w:rPr>
          <w:fldChar w:fldCharType="begin"/>
        </w:r>
        <w:r w:rsidRPr="00EA42C3">
          <w:rPr>
            <w:rFonts w:asciiTheme="minorHAnsi" w:hAnsiTheme="minorHAnsi"/>
            <w:sz w:val="22"/>
            <w:szCs w:val="22"/>
          </w:rPr>
          <w:instrText xml:space="preserve"> PAGE   \* MERGEFORMAT </w:instrText>
        </w:r>
        <w:r w:rsidRPr="00EA42C3">
          <w:rPr>
            <w:rFonts w:asciiTheme="minorHAnsi" w:hAnsiTheme="minorHAnsi"/>
            <w:sz w:val="22"/>
            <w:szCs w:val="22"/>
          </w:rPr>
          <w:fldChar w:fldCharType="separate"/>
        </w:r>
        <w:r w:rsidR="00E31E80">
          <w:rPr>
            <w:rFonts w:asciiTheme="minorHAnsi" w:hAnsiTheme="minorHAnsi"/>
            <w:noProof/>
            <w:sz w:val="22"/>
            <w:szCs w:val="22"/>
          </w:rPr>
          <w:t>26</w:t>
        </w:r>
        <w:r w:rsidRPr="00EA42C3">
          <w:rPr>
            <w:rFonts w:asciiTheme="minorHAnsi" w:hAnsiTheme="minorHAnsi"/>
            <w:noProof/>
            <w:sz w:val="22"/>
            <w:szCs w:val="22"/>
          </w:rPr>
          <w:fldChar w:fldCharType="end"/>
        </w:r>
        <w:r>
          <w:rPr>
            <w:rFonts w:asciiTheme="minorHAnsi" w:hAnsiTheme="minorHAnsi"/>
            <w:noProof/>
            <w:sz w:val="22"/>
            <w:szCs w:val="22"/>
          </w:rPr>
          <w:tab/>
          <w:t>May 2015</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9B1" w:rsidRDefault="009F79B1" w:rsidP="00D356EE">
      <w:r>
        <w:separator/>
      </w:r>
    </w:p>
    <w:p w:rsidR="009F79B1" w:rsidRDefault="009F79B1"/>
  </w:footnote>
  <w:footnote w:type="continuationSeparator" w:id="0">
    <w:p w:rsidR="009F79B1" w:rsidRDefault="009F79B1" w:rsidP="00D356EE">
      <w:r>
        <w:continuationSeparator/>
      </w:r>
    </w:p>
    <w:p w:rsidR="009F79B1" w:rsidRDefault="009F79B1"/>
  </w:footnote>
  <w:footnote w:id="1">
    <w:p w:rsidR="00747113" w:rsidRPr="00E9556B" w:rsidRDefault="00747113" w:rsidP="003A7325">
      <w:pPr>
        <w:pStyle w:val="FootnoteText"/>
        <w:rPr>
          <w:rFonts w:asciiTheme="minorHAnsi" w:hAnsiTheme="minorHAnsi"/>
        </w:rPr>
      </w:pPr>
      <w:r w:rsidRPr="00E9556B">
        <w:rPr>
          <w:rStyle w:val="FootnoteReference"/>
          <w:rFonts w:asciiTheme="minorHAnsi" w:hAnsiTheme="minorHAnsi"/>
        </w:rPr>
        <w:footnoteRef/>
      </w:r>
      <w:r w:rsidRPr="00E9556B">
        <w:rPr>
          <w:rFonts w:asciiTheme="minorHAnsi" w:hAnsiTheme="minorHAnsi"/>
        </w:rPr>
        <w:t xml:space="preserve"> </w:t>
      </w:r>
      <w:r>
        <w:rPr>
          <w:rFonts w:asciiTheme="minorHAnsi" w:hAnsiTheme="minorHAnsi"/>
        </w:rPr>
        <w:t xml:space="preserve">The report is on the </w:t>
      </w:r>
      <w:hyperlink r:id="rId1" w:history="1">
        <w:r w:rsidRPr="00AB1151">
          <w:rPr>
            <w:rStyle w:val="Hyperlink"/>
            <w:rFonts w:asciiTheme="minorHAnsi" w:hAnsiTheme="minorHAnsi"/>
          </w:rPr>
          <w:t>Department of Health website</w:t>
        </w:r>
      </w:hyperlink>
    </w:p>
  </w:footnote>
  <w:footnote w:id="2">
    <w:p w:rsidR="00747113" w:rsidRPr="00E9556B" w:rsidRDefault="00747113" w:rsidP="005567B0">
      <w:pPr>
        <w:pStyle w:val="FootnoteText"/>
        <w:rPr>
          <w:rFonts w:asciiTheme="minorHAnsi" w:hAnsiTheme="minorHAnsi"/>
        </w:rPr>
      </w:pPr>
      <w:r w:rsidRPr="00E9556B">
        <w:rPr>
          <w:rStyle w:val="FootnoteReference"/>
          <w:rFonts w:asciiTheme="minorHAnsi" w:hAnsiTheme="minorHAnsi"/>
        </w:rPr>
        <w:footnoteRef/>
      </w:r>
      <w:r w:rsidRPr="00E9556B">
        <w:rPr>
          <w:rFonts w:asciiTheme="minorHAnsi" w:hAnsiTheme="minorHAnsi"/>
        </w:rPr>
        <w:t xml:space="preserve"> The report is </w:t>
      </w:r>
      <w:r>
        <w:rPr>
          <w:rFonts w:asciiTheme="minorHAnsi" w:hAnsiTheme="minorHAnsi"/>
        </w:rPr>
        <w:t xml:space="preserve">on the </w:t>
      </w:r>
      <w:hyperlink r:id="rId2" w:history="1">
        <w:r w:rsidRPr="00AB1151">
          <w:rPr>
            <w:rStyle w:val="Hyperlink"/>
            <w:rFonts w:asciiTheme="minorHAnsi" w:hAnsiTheme="minorHAnsi"/>
          </w:rPr>
          <w:t>Department of Health website</w:t>
        </w:r>
      </w:hyperlink>
    </w:p>
  </w:footnote>
  <w:footnote w:id="3">
    <w:p w:rsidR="00747113" w:rsidRPr="00E856A6" w:rsidRDefault="00747113" w:rsidP="003D1345">
      <w:pPr>
        <w:pStyle w:val="FootnoteText"/>
        <w:rPr>
          <w:rFonts w:asciiTheme="minorHAnsi" w:hAnsiTheme="minorHAnsi"/>
        </w:rPr>
      </w:pPr>
      <w:r w:rsidRPr="00E856A6">
        <w:rPr>
          <w:rStyle w:val="FootnoteReference"/>
          <w:rFonts w:asciiTheme="minorHAnsi" w:hAnsiTheme="minorHAnsi"/>
        </w:rPr>
        <w:footnoteRef/>
      </w:r>
      <w:r>
        <w:rPr>
          <w:rFonts w:asciiTheme="minorHAnsi" w:hAnsiTheme="minorHAnsi"/>
        </w:rPr>
        <w:t xml:space="preserve"> PCEHR Review, r</w:t>
      </w:r>
      <w:r w:rsidRPr="00E856A6">
        <w:rPr>
          <w:rFonts w:asciiTheme="minorHAnsi" w:hAnsiTheme="minorHAnsi"/>
        </w:rPr>
        <w:t>ecommendation 1</w:t>
      </w:r>
    </w:p>
  </w:footnote>
  <w:footnote w:id="4">
    <w:p w:rsidR="00747113" w:rsidRPr="002F5ABE" w:rsidRDefault="00747113" w:rsidP="006215B0">
      <w:pPr>
        <w:pStyle w:val="FootnoteText"/>
        <w:rPr>
          <w:rFonts w:asciiTheme="minorHAnsi" w:hAnsiTheme="minorHAnsi"/>
        </w:rPr>
      </w:pPr>
      <w:r w:rsidRPr="006215B0">
        <w:rPr>
          <w:rStyle w:val="FootnoteReference"/>
          <w:rFonts w:asciiTheme="minorHAnsi" w:hAnsiTheme="minorHAnsi"/>
        </w:rPr>
        <w:footnoteRef/>
      </w:r>
      <w:r w:rsidRPr="006215B0">
        <w:rPr>
          <w:rFonts w:asciiTheme="minorHAnsi" w:hAnsiTheme="minorHAnsi"/>
        </w:rPr>
        <w:t xml:space="preserve"> Recommendation 62-2, Australian Law Reform Commission Report 108, </w:t>
      </w:r>
      <w:r w:rsidRPr="006215B0">
        <w:rPr>
          <w:rFonts w:asciiTheme="minorHAnsi" w:hAnsiTheme="minorHAnsi"/>
          <w:i/>
        </w:rPr>
        <w:t xml:space="preserve">For Your Information: Australian Privacy Law </w:t>
      </w:r>
      <w:r w:rsidRPr="002F5ABE">
        <w:rPr>
          <w:rFonts w:asciiTheme="minorHAnsi" w:hAnsiTheme="minorHAnsi"/>
          <w:i/>
        </w:rPr>
        <w:t>and Practice</w:t>
      </w:r>
      <w:r>
        <w:rPr>
          <w:rFonts w:asciiTheme="minorHAnsi" w:hAnsiTheme="minorHAnsi"/>
        </w:rPr>
        <w:t>, May 2008</w:t>
      </w:r>
    </w:p>
  </w:footnote>
  <w:footnote w:id="5">
    <w:p w:rsidR="00747113" w:rsidRPr="002F5ABE" w:rsidRDefault="00747113" w:rsidP="002F5ABE">
      <w:pPr>
        <w:pStyle w:val="FootnoteText"/>
        <w:rPr>
          <w:rFonts w:asciiTheme="minorHAnsi" w:hAnsiTheme="minorHAnsi"/>
        </w:rPr>
      </w:pPr>
      <w:r w:rsidRPr="002F5ABE">
        <w:rPr>
          <w:rStyle w:val="FootnoteReference"/>
          <w:rFonts w:asciiTheme="minorHAnsi" w:hAnsiTheme="minorHAnsi"/>
        </w:rPr>
        <w:footnoteRef/>
      </w:r>
      <w:r w:rsidRPr="002F5ABE">
        <w:rPr>
          <w:rFonts w:asciiTheme="minorHAnsi" w:hAnsiTheme="minorHAnsi"/>
        </w:rPr>
        <w:t xml:space="preserve"> </w:t>
      </w:r>
      <w:r>
        <w:rPr>
          <w:rFonts w:asciiTheme="minorHAnsi" w:hAnsiTheme="minorHAnsi"/>
        </w:rPr>
        <w:t>HI Review, recommendation 14(h)</w:t>
      </w:r>
    </w:p>
  </w:footnote>
  <w:footnote w:id="6">
    <w:p w:rsidR="00747113" w:rsidRPr="002F5ABE" w:rsidRDefault="00747113" w:rsidP="001244B9">
      <w:pPr>
        <w:pStyle w:val="FootnoteText"/>
        <w:rPr>
          <w:rFonts w:asciiTheme="minorHAnsi" w:hAnsiTheme="minorHAnsi"/>
        </w:rPr>
      </w:pPr>
      <w:r w:rsidRPr="002F5ABE">
        <w:rPr>
          <w:rStyle w:val="FootnoteReference"/>
          <w:rFonts w:asciiTheme="minorHAnsi" w:hAnsiTheme="minorHAnsi"/>
        </w:rPr>
        <w:footnoteRef/>
      </w:r>
      <w:r w:rsidRPr="002F5ABE">
        <w:rPr>
          <w:rFonts w:asciiTheme="minorHAnsi" w:hAnsiTheme="minorHAnsi"/>
        </w:rPr>
        <w:t xml:space="preserve"> By qualifying “disability, palliative care or aged care services” with the words “health-related”, the </w:t>
      </w:r>
      <w:proofErr w:type="spellStart"/>
      <w:r w:rsidRPr="002F5ABE">
        <w:rPr>
          <w:rFonts w:asciiTheme="minorHAnsi" w:hAnsiTheme="minorHAnsi"/>
        </w:rPr>
        <w:t>ALRC</w:t>
      </w:r>
      <w:proofErr w:type="spellEnd"/>
      <w:r w:rsidRPr="002F5ABE">
        <w:rPr>
          <w:rFonts w:asciiTheme="minorHAnsi" w:hAnsiTheme="minorHAnsi"/>
        </w:rPr>
        <w:t xml:space="preserve"> accepted the Privacy Commissioner’s views that not all disability, palliative care or aged care services are concerned with an individual’s health, injury or disability and, as a result, only health-related services should fall within the definition of “health service” (or “healthcare” under the PCEHR Act and HI Act)</w:t>
      </w:r>
    </w:p>
  </w:footnote>
  <w:footnote w:id="7">
    <w:p w:rsidR="00747113" w:rsidRPr="000B56F9" w:rsidRDefault="00747113" w:rsidP="001244B9">
      <w:pPr>
        <w:pStyle w:val="FootnoteText"/>
        <w:rPr>
          <w:rFonts w:asciiTheme="minorHAnsi" w:hAnsiTheme="minorHAnsi"/>
        </w:rPr>
      </w:pPr>
      <w:r w:rsidRPr="000B56F9">
        <w:rPr>
          <w:rStyle w:val="FootnoteReference"/>
          <w:rFonts w:asciiTheme="minorHAnsi" w:hAnsiTheme="minorHAnsi"/>
        </w:rPr>
        <w:footnoteRef/>
      </w:r>
      <w:r w:rsidRPr="000B56F9">
        <w:rPr>
          <w:rFonts w:asciiTheme="minorHAnsi" w:hAnsiTheme="minorHAnsi"/>
        </w:rPr>
        <w:t xml:space="preserve"> This change </w:t>
      </w:r>
      <w:r>
        <w:rPr>
          <w:rFonts w:asciiTheme="minorHAnsi" w:hAnsiTheme="minorHAnsi"/>
        </w:rPr>
        <w:t xml:space="preserve">was also recommended by the </w:t>
      </w:r>
      <w:proofErr w:type="spellStart"/>
      <w:r>
        <w:rPr>
          <w:rFonts w:asciiTheme="minorHAnsi" w:hAnsiTheme="minorHAnsi"/>
        </w:rPr>
        <w:t>ALRC</w:t>
      </w:r>
      <w:proofErr w:type="spellEnd"/>
      <w:r>
        <w:rPr>
          <w:rFonts w:asciiTheme="minorHAnsi" w:hAnsiTheme="minorHAnsi"/>
        </w:rPr>
        <w:t xml:space="preserve"> and was accepted by the previous G</w:t>
      </w:r>
      <w:r w:rsidRPr="000B56F9">
        <w:rPr>
          <w:rFonts w:asciiTheme="minorHAnsi" w:hAnsiTheme="minorHAnsi"/>
        </w:rPr>
        <w:t xml:space="preserve">overnment </w:t>
      </w:r>
    </w:p>
  </w:footnote>
  <w:footnote w:id="8">
    <w:p w:rsidR="00747113" w:rsidRPr="009C5CB4" w:rsidRDefault="00747113">
      <w:pPr>
        <w:pStyle w:val="FootnoteText"/>
        <w:rPr>
          <w:rFonts w:asciiTheme="minorHAnsi" w:hAnsiTheme="minorHAnsi"/>
        </w:rPr>
      </w:pPr>
      <w:r w:rsidRPr="009C5CB4">
        <w:rPr>
          <w:rStyle w:val="FootnoteReference"/>
          <w:rFonts w:asciiTheme="minorHAnsi" w:hAnsiTheme="minorHAnsi"/>
        </w:rPr>
        <w:footnoteRef/>
      </w:r>
      <w:r w:rsidRPr="009C5CB4">
        <w:rPr>
          <w:rFonts w:asciiTheme="minorHAnsi" w:hAnsiTheme="minorHAnsi"/>
        </w:rPr>
        <w:t xml:space="preserve"> </w:t>
      </w:r>
      <w:r>
        <w:rPr>
          <w:rFonts w:asciiTheme="minorHAnsi" w:hAnsiTheme="minorHAnsi"/>
        </w:rPr>
        <w:t>HI Review, recommendations 12(a) and 14(f), respectively</w:t>
      </w:r>
    </w:p>
  </w:footnote>
  <w:footnote w:id="9">
    <w:p w:rsidR="00747113" w:rsidRPr="004643CB" w:rsidRDefault="00747113" w:rsidP="00756FFB">
      <w:pPr>
        <w:pStyle w:val="FootnoteText"/>
        <w:rPr>
          <w:rFonts w:asciiTheme="minorHAnsi" w:hAnsiTheme="minorHAnsi"/>
        </w:rPr>
      </w:pPr>
      <w:r w:rsidRPr="004643CB">
        <w:rPr>
          <w:rStyle w:val="FootnoteReference"/>
          <w:rFonts w:asciiTheme="minorHAnsi" w:hAnsiTheme="minorHAnsi"/>
        </w:rPr>
        <w:footnoteRef/>
      </w:r>
      <w:r w:rsidRPr="004643CB">
        <w:rPr>
          <w:rFonts w:asciiTheme="minorHAnsi" w:hAnsiTheme="minorHAnsi"/>
        </w:rPr>
        <w:t xml:space="preserve"> PCEHR Review, recommendations 3-6</w:t>
      </w:r>
    </w:p>
  </w:footnote>
  <w:footnote w:id="10">
    <w:p w:rsidR="00747113" w:rsidRPr="00756FFB" w:rsidRDefault="00747113">
      <w:pPr>
        <w:pStyle w:val="FootnoteText"/>
        <w:rPr>
          <w:rFonts w:asciiTheme="minorHAnsi" w:hAnsiTheme="minorHAnsi"/>
        </w:rPr>
      </w:pPr>
      <w:r w:rsidRPr="00756FFB">
        <w:rPr>
          <w:rStyle w:val="FootnoteReference"/>
          <w:rFonts w:asciiTheme="minorHAnsi" w:hAnsiTheme="minorHAnsi"/>
        </w:rPr>
        <w:footnoteRef/>
      </w:r>
      <w:r w:rsidRPr="00756FFB">
        <w:rPr>
          <w:rFonts w:asciiTheme="minorHAnsi" w:hAnsiTheme="minorHAnsi"/>
        </w:rPr>
        <w:t xml:space="preserve"> PCEHR Review, recommendation 7</w:t>
      </w:r>
    </w:p>
  </w:footnote>
  <w:footnote w:id="11">
    <w:p w:rsidR="00747113" w:rsidRPr="00C2417F" w:rsidRDefault="00747113">
      <w:pPr>
        <w:pStyle w:val="FootnoteText"/>
        <w:rPr>
          <w:rFonts w:asciiTheme="minorHAnsi" w:hAnsiTheme="minorHAnsi"/>
        </w:rPr>
      </w:pPr>
      <w:r w:rsidRPr="00C2417F">
        <w:rPr>
          <w:rStyle w:val="FootnoteReference"/>
          <w:rFonts w:asciiTheme="minorHAnsi" w:hAnsiTheme="minorHAnsi"/>
        </w:rPr>
        <w:footnoteRef/>
      </w:r>
      <w:r w:rsidRPr="00C2417F">
        <w:rPr>
          <w:rFonts w:asciiTheme="minorHAnsi" w:hAnsiTheme="minorHAnsi"/>
        </w:rPr>
        <w:t xml:space="preserve"> PCEHR Review, recommendation 13</w:t>
      </w:r>
    </w:p>
  </w:footnote>
  <w:footnote w:id="12">
    <w:p w:rsidR="00747113" w:rsidRPr="006F129E" w:rsidRDefault="00747113">
      <w:pPr>
        <w:pStyle w:val="FootnoteText"/>
        <w:rPr>
          <w:rFonts w:asciiTheme="minorHAnsi" w:hAnsiTheme="minorHAnsi"/>
        </w:rPr>
      </w:pPr>
      <w:r w:rsidRPr="006F129E">
        <w:rPr>
          <w:rStyle w:val="FootnoteReference"/>
          <w:rFonts w:asciiTheme="minorHAnsi" w:hAnsiTheme="minorHAnsi"/>
        </w:rPr>
        <w:footnoteRef/>
      </w:r>
      <w:r w:rsidRPr="006F129E">
        <w:rPr>
          <w:rFonts w:asciiTheme="minorHAnsi" w:hAnsiTheme="minorHAnsi"/>
        </w:rPr>
        <w:t xml:space="preserve"> The</w:t>
      </w:r>
      <w:r>
        <w:rPr>
          <w:rFonts w:asciiTheme="minorHAnsi" w:hAnsiTheme="minorHAnsi"/>
        </w:rPr>
        <w:t xml:space="preserve"> current exceptions to standing consent, set out in paragraphs 41(3)(a) and (b) of the PCEHR Act, </w:t>
      </w:r>
      <w:r w:rsidRPr="006F129E">
        <w:rPr>
          <w:rFonts w:asciiTheme="minorHAnsi" w:hAnsiTheme="minorHAnsi"/>
        </w:rPr>
        <w:t>are that:</w:t>
      </w:r>
    </w:p>
    <w:p w:rsidR="00747113" w:rsidRPr="00716DBB" w:rsidRDefault="00747113" w:rsidP="00A67B4E">
      <w:pPr>
        <w:pStyle w:val="FootnoteText"/>
        <w:numPr>
          <w:ilvl w:val="0"/>
          <w:numId w:val="9"/>
        </w:numPr>
        <w:rPr>
          <w:rFonts w:asciiTheme="minorHAnsi" w:hAnsiTheme="minorHAnsi"/>
        </w:rPr>
      </w:pPr>
      <w:r w:rsidRPr="00716DBB">
        <w:rPr>
          <w:rFonts w:asciiTheme="minorHAnsi" w:hAnsiTheme="minorHAnsi"/>
        </w:rPr>
        <w:t xml:space="preserve">the </w:t>
      </w:r>
      <w:r>
        <w:rPr>
          <w:rFonts w:asciiTheme="minorHAnsi" w:hAnsiTheme="minorHAnsi"/>
        </w:rPr>
        <w:t xml:space="preserve">individual </w:t>
      </w:r>
      <w:r w:rsidRPr="00716DBB">
        <w:rPr>
          <w:rFonts w:asciiTheme="minorHAnsi" w:hAnsiTheme="minorHAnsi"/>
        </w:rPr>
        <w:t>can tell a healthcare provider not to upload a document; and</w:t>
      </w:r>
    </w:p>
    <w:p w:rsidR="00747113" w:rsidRPr="00311BB0" w:rsidRDefault="00747113" w:rsidP="003A4C8A">
      <w:pPr>
        <w:pStyle w:val="FootnoteText"/>
        <w:numPr>
          <w:ilvl w:val="0"/>
          <w:numId w:val="9"/>
        </w:numPr>
        <w:rPr>
          <w:rFonts w:asciiTheme="minorHAnsi" w:hAnsiTheme="minorHAnsi"/>
        </w:rPr>
      </w:pPr>
      <w:proofErr w:type="gramStart"/>
      <w:r w:rsidRPr="006F129E">
        <w:rPr>
          <w:rFonts w:asciiTheme="minorHAnsi" w:hAnsiTheme="minorHAnsi"/>
        </w:rPr>
        <w:t>if</w:t>
      </w:r>
      <w:proofErr w:type="gramEnd"/>
      <w:r w:rsidRPr="006F129E">
        <w:rPr>
          <w:rFonts w:asciiTheme="minorHAnsi" w:hAnsiTheme="minorHAnsi"/>
        </w:rPr>
        <w:t xml:space="preserve"> the document to be uploaded relates to certain matters prescribed in state and territory laws</w:t>
      </w:r>
      <w:r>
        <w:rPr>
          <w:rFonts w:asciiTheme="minorHAnsi" w:hAnsiTheme="minorHAnsi"/>
        </w:rPr>
        <w:t xml:space="preserve"> that have been preserved by PCEHR Regulation 3.1.1 (known as preserved privacy laws).  For example laws relating to the disclosure of </w:t>
      </w:r>
      <w:r w:rsidRPr="006F129E">
        <w:rPr>
          <w:rFonts w:asciiTheme="minorHAnsi" w:hAnsiTheme="minorHAnsi"/>
        </w:rPr>
        <w:t>HIV/AIDS</w:t>
      </w:r>
      <w:r>
        <w:rPr>
          <w:rFonts w:asciiTheme="minorHAnsi" w:hAnsiTheme="minorHAnsi"/>
        </w:rPr>
        <w:t xml:space="preserve"> or communicable diseases information.  In these cases</w:t>
      </w:r>
      <w:r w:rsidRPr="006F129E">
        <w:rPr>
          <w:rFonts w:asciiTheme="minorHAnsi" w:hAnsiTheme="minorHAnsi"/>
        </w:rPr>
        <w:t xml:space="preserve">, the provider will still need to obtain consent from the </w:t>
      </w:r>
      <w:r>
        <w:rPr>
          <w:rFonts w:asciiTheme="minorHAnsi" w:hAnsiTheme="minorHAnsi"/>
        </w:rPr>
        <w:t>individual</w:t>
      </w:r>
      <w:r w:rsidRPr="006F129E">
        <w:rPr>
          <w:rFonts w:asciiTheme="minorHAnsi" w:hAnsiTheme="minorHAnsi"/>
        </w:rPr>
        <w:t xml:space="preserve"> before uploading </w:t>
      </w:r>
      <w:r>
        <w:rPr>
          <w:rFonts w:asciiTheme="minorHAnsi" w:hAnsiTheme="minorHAnsi"/>
        </w:rPr>
        <w:t>a record, in accordance with the relevant state or territory law.</w:t>
      </w:r>
    </w:p>
  </w:footnote>
  <w:footnote w:id="13">
    <w:p w:rsidR="00747113" w:rsidRPr="002320DB" w:rsidRDefault="00747113">
      <w:pPr>
        <w:pStyle w:val="FootnoteText"/>
        <w:rPr>
          <w:rFonts w:asciiTheme="minorHAnsi" w:hAnsiTheme="minorHAnsi"/>
        </w:rPr>
      </w:pPr>
      <w:r w:rsidRPr="002320DB">
        <w:rPr>
          <w:rStyle w:val="FootnoteReference"/>
          <w:rFonts w:asciiTheme="minorHAnsi" w:hAnsiTheme="minorHAnsi"/>
        </w:rPr>
        <w:footnoteRef/>
      </w:r>
      <w:r w:rsidRPr="002320DB">
        <w:rPr>
          <w:rFonts w:asciiTheme="minorHAnsi" w:hAnsiTheme="minorHAnsi"/>
        </w:rPr>
        <w:t xml:space="preserve"> </w:t>
      </w:r>
      <w:r>
        <w:rPr>
          <w:rFonts w:asciiTheme="minorHAnsi" w:hAnsiTheme="minorHAnsi"/>
        </w:rPr>
        <w:t>For example, see c</w:t>
      </w:r>
      <w:r w:rsidRPr="002320DB">
        <w:rPr>
          <w:rFonts w:asciiTheme="minorHAnsi" w:hAnsiTheme="minorHAnsi"/>
        </w:rPr>
        <w:t xml:space="preserve">lause 7 of the </w:t>
      </w:r>
      <w:r>
        <w:rPr>
          <w:rFonts w:asciiTheme="minorHAnsi" w:hAnsiTheme="minorHAnsi"/>
        </w:rPr>
        <w:t xml:space="preserve">healthcare provider organisation </w:t>
      </w:r>
      <w:r w:rsidRPr="002320DB">
        <w:rPr>
          <w:rFonts w:asciiTheme="minorHAnsi" w:hAnsiTheme="minorHAnsi"/>
        </w:rPr>
        <w:t>participation agreement</w:t>
      </w:r>
    </w:p>
  </w:footnote>
  <w:footnote w:id="14">
    <w:p w:rsidR="00747113" w:rsidRPr="00124BB9" w:rsidRDefault="00747113">
      <w:pPr>
        <w:pStyle w:val="FootnoteText"/>
        <w:rPr>
          <w:rFonts w:asciiTheme="minorHAnsi" w:hAnsiTheme="minorHAnsi"/>
        </w:rPr>
      </w:pPr>
      <w:r w:rsidRPr="00124BB9">
        <w:rPr>
          <w:rStyle w:val="FootnoteReference"/>
          <w:rFonts w:asciiTheme="minorHAnsi" w:hAnsiTheme="minorHAnsi"/>
        </w:rPr>
        <w:footnoteRef/>
      </w:r>
      <w:r w:rsidRPr="00124BB9">
        <w:rPr>
          <w:rFonts w:asciiTheme="minorHAnsi" w:hAnsiTheme="minorHAnsi"/>
        </w:rPr>
        <w:t xml:space="preserve"> </w:t>
      </w:r>
      <w:r>
        <w:rPr>
          <w:rFonts w:asciiTheme="minorHAnsi" w:hAnsiTheme="minorHAnsi"/>
        </w:rPr>
        <w:t>For example, see c</w:t>
      </w:r>
      <w:r w:rsidRPr="00124BB9">
        <w:rPr>
          <w:rFonts w:asciiTheme="minorHAnsi" w:hAnsiTheme="minorHAnsi"/>
        </w:rPr>
        <w:t>lause 11 of the healthcare provider organisation participation agreement and clause 13 of the contracted service provider participation agreement</w:t>
      </w:r>
    </w:p>
  </w:footnote>
  <w:footnote w:id="15">
    <w:p w:rsidR="00747113" w:rsidRPr="009B70B0" w:rsidRDefault="00747113" w:rsidP="001934B9">
      <w:pPr>
        <w:pStyle w:val="FootnoteText"/>
        <w:rPr>
          <w:rFonts w:asciiTheme="minorHAnsi" w:hAnsiTheme="minorHAnsi"/>
        </w:rPr>
      </w:pPr>
      <w:r w:rsidRPr="009B70B0">
        <w:rPr>
          <w:rStyle w:val="FootnoteReference"/>
          <w:rFonts w:asciiTheme="minorHAnsi" w:hAnsiTheme="minorHAnsi"/>
        </w:rPr>
        <w:footnoteRef/>
      </w:r>
      <w:r w:rsidRPr="009B70B0">
        <w:rPr>
          <w:rFonts w:asciiTheme="minorHAnsi" w:hAnsiTheme="minorHAnsi"/>
        </w:rPr>
        <w:t xml:space="preserve"> Clause 4</w:t>
      </w:r>
      <w:r>
        <w:rPr>
          <w:rFonts w:asciiTheme="minorHAnsi" w:hAnsiTheme="minorHAnsi"/>
        </w:rPr>
        <w:t>.4(ii)</w:t>
      </w:r>
      <w:r w:rsidRPr="009B70B0">
        <w:rPr>
          <w:rFonts w:asciiTheme="minorHAnsi" w:hAnsiTheme="minorHAnsi"/>
        </w:rPr>
        <w:t xml:space="preserve"> of the healthcare provider organisation participation agreement and clause 7</w:t>
      </w:r>
      <w:r>
        <w:rPr>
          <w:rFonts w:asciiTheme="minorHAnsi" w:hAnsiTheme="minorHAnsi"/>
        </w:rPr>
        <w:t>.2(b)</w:t>
      </w:r>
      <w:r w:rsidRPr="009B70B0">
        <w:rPr>
          <w:rFonts w:asciiTheme="minorHAnsi" w:hAnsiTheme="minorHAnsi"/>
        </w:rPr>
        <w:t xml:space="preserve"> of the contracted service provider participation agreement</w:t>
      </w:r>
    </w:p>
  </w:footnote>
  <w:footnote w:id="16">
    <w:p w:rsidR="00747113" w:rsidRPr="001A2324" w:rsidRDefault="00747113" w:rsidP="003D6C23">
      <w:pPr>
        <w:pStyle w:val="FootnoteText"/>
        <w:rPr>
          <w:rFonts w:asciiTheme="minorHAnsi" w:hAnsiTheme="minorHAnsi"/>
        </w:rPr>
      </w:pPr>
      <w:r w:rsidRPr="001A2324">
        <w:rPr>
          <w:rStyle w:val="FootnoteReference"/>
          <w:rFonts w:asciiTheme="minorHAnsi" w:hAnsiTheme="minorHAnsi"/>
        </w:rPr>
        <w:footnoteRef/>
      </w:r>
      <w:r w:rsidRPr="001A2324">
        <w:rPr>
          <w:rFonts w:asciiTheme="minorHAnsi" w:hAnsiTheme="minorHAnsi"/>
        </w:rPr>
        <w:t xml:space="preserve"> Recommendation </w:t>
      </w:r>
      <w:r>
        <w:rPr>
          <w:rFonts w:asciiTheme="minorHAnsi" w:hAnsiTheme="minorHAnsi"/>
        </w:rPr>
        <w:t>6-3</w:t>
      </w:r>
      <w:r w:rsidRPr="001A2324">
        <w:rPr>
          <w:rFonts w:asciiTheme="minorHAnsi" w:hAnsiTheme="minorHAnsi"/>
        </w:rPr>
        <w:t xml:space="preserve">, Australian Law Reform Commission Report 124, </w:t>
      </w:r>
      <w:r w:rsidRPr="001A2324">
        <w:rPr>
          <w:rFonts w:asciiTheme="minorHAnsi" w:hAnsiTheme="minorHAnsi"/>
          <w:i/>
        </w:rPr>
        <w:t>Equality, Capacity and Disability in Commonwealth Laws</w:t>
      </w:r>
      <w:r w:rsidRPr="001A2324">
        <w:rPr>
          <w:rFonts w:asciiTheme="minorHAnsi" w:hAnsiTheme="minorHAnsi"/>
        </w:rPr>
        <w:t>, August 2014</w:t>
      </w:r>
      <w:r w:rsidRPr="001A2324">
        <w:rPr>
          <w:rFonts w:asciiTheme="minorHAnsi" w:hAnsiTheme="minorHAnsi"/>
          <w:szCs w:val="24"/>
        </w:rPr>
        <w:t xml:space="preserve"> </w:t>
      </w:r>
    </w:p>
  </w:footnote>
  <w:footnote w:id="17">
    <w:p w:rsidR="00747113" w:rsidRPr="001934B9" w:rsidRDefault="00747113" w:rsidP="001934B9">
      <w:pPr>
        <w:pStyle w:val="FootnoteText"/>
        <w:rPr>
          <w:rFonts w:asciiTheme="minorHAnsi" w:hAnsiTheme="minorHAnsi"/>
        </w:rPr>
      </w:pPr>
      <w:r w:rsidRPr="001934B9">
        <w:rPr>
          <w:rStyle w:val="FootnoteReference"/>
          <w:rFonts w:asciiTheme="minorHAnsi" w:hAnsiTheme="minorHAnsi"/>
        </w:rPr>
        <w:footnoteRef/>
      </w:r>
      <w:r w:rsidRPr="001934B9">
        <w:rPr>
          <w:rFonts w:asciiTheme="minorHAnsi" w:hAnsiTheme="minorHAnsi"/>
        </w:rPr>
        <w:t xml:space="preserve"> </w:t>
      </w:r>
      <w:r>
        <w:rPr>
          <w:rFonts w:asciiTheme="minorHAnsi" w:hAnsiTheme="minorHAnsi"/>
        </w:rPr>
        <w:t>HI Review, s</w:t>
      </w:r>
      <w:r w:rsidRPr="001934B9">
        <w:rPr>
          <w:rFonts w:asciiTheme="minorHAnsi" w:hAnsiTheme="minorHAnsi"/>
        </w:rPr>
        <w:t>ection 3.4.2</w:t>
      </w:r>
      <w:r>
        <w:rPr>
          <w:rFonts w:asciiTheme="minorHAnsi" w:hAnsiTheme="minorHAnsi"/>
        </w:rPr>
        <w:t xml:space="preserve"> </w:t>
      </w:r>
    </w:p>
  </w:footnote>
  <w:footnote w:id="18">
    <w:p w:rsidR="00747113" w:rsidRPr="00C737E3" w:rsidRDefault="00747113">
      <w:pPr>
        <w:pStyle w:val="FootnoteText"/>
        <w:rPr>
          <w:rFonts w:asciiTheme="minorHAnsi" w:hAnsiTheme="minorHAnsi"/>
        </w:rPr>
      </w:pPr>
      <w:r w:rsidRPr="00C737E3">
        <w:rPr>
          <w:rStyle w:val="FootnoteReference"/>
          <w:rFonts w:asciiTheme="minorHAnsi" w:hAnsiTheme="minorHAnsi"/>
        </w:rPr>
        <w:footnoteRef/>
      </w:r>
      <w:r w:rsidRPr="00C737E3">
        <w:rPr>
          <w:rFonts w:asciiTheme="minorHAnsi" w:hAnsiTheme="minorHAnsi"/>
        </w:rPr>
        <w:t xml:space="preserve"> Sections 100-102 of the PCEHR Act</w:t>
      </w:r>
    </w:p>
  </w:footnote>
  <w:footnote w:id="19">
    <w:p w:rsidR="00747113" w:rsidRPr="007A3801" w:rsidRDefault="00747113" w:rsidP="00562001">
      <w:pPr>
        <w:pStyle w:val="FootnoteText"/>
        <w:rPr>
          <w:rFonts w:asciiTheme="minorHAnsi" w:hAnsiTheme="minorHAnsi"/>
        </w:rPr>
      </w:pPr>
      <w:r w:rsidRPr="007A3801">
        <w:rPr>
          <w:rStyle w:val="FootnoteReference"/>
          <w:rFonts w:asciiTheme="minorHAnsi" w:hAnsiTheme="minorHAnsi"/>
        </w:rPr>
        <w:footnoteRef/>
      </w:r>
      <w:r w:rsidRPr="007A3801">
        <w:rPr>
          <w:rFonts w:asciiTheme="minorHAnsi" w:hAnsiTheme="minorHAnsi"/>
        </w:rPr>
        <w:t xml:space="preserve"> PCEHR Review, recommendation 38</w:t>
      </w:r>
    </w:p>
  </w:footnote>
  <w:footnote w:id="20">
    <w:p w:rsidR="00747113" w:rsidRPr="0071466B" w:rsidRDefault="00747113">
      <w:pPr>
        <w:pStyle w:val="FootnoteText"/>
        <w:rPr>
          <w:rFonts w:asciiTheme="minorHAnsi" w:hAnsiTheme="minorHAnsi"/>
        </w:rPr>
      </w:pPr>
      <w:r w:rsidRPr="0071466B">
        <w:rPr>
          <w:rStyle w:val="FootnoteReference"/>
          <w:rFonts w:asciiTheme="minorHAnsi" w:hAnsiTheme="minorHAnsi"/>
        </w:rPr>
        <w:footnoteRef/>
      </w:r>
      <w:r w:rsidRPr="0071466B">
        <w:rPr>
          <w:rFonts w:asciiTheme="minorHAnsi" w:hAnsiTheme="minorHAnsi"/>
        </w:rPr>
        <w:t xml:space="preserve"> PCEHR Review, recommendation 28</w:t>
      </w:r>
    </w:p>
  </w:footnote>
  <w:footnote w:id="21">
    <w:p w:rsidR="00747113" w:rsidRPr="007A3801" w:rsidRDefault="00747113" w:rsidP="00A026C0">
      <w:pPr>
        <w:pStyle w:val="FootnoteText"/>
        <w:rPr>
          <w:rFonts w:asciiTheme="minorHAnsi" w:hAnsiTheme="minorHAnsi"/>
        </w:rPr>
      </w:pPr>
      <w:r w:rsidRPr="007A3801">
        <w:rPr>
          <w:rStyle w:val="FootnoteReference"/>
          <w:rFonts w:asciiTheme="minorHAnsi" w:hAnsiTheme="minorHAnsi"/>
        </w:rPr>
        <w:footnoteRef/>
      </w:r>
      <w:r w:rsidRPr="007A3801">
        <w:rPr>
          <w:rFonts w:asciiTheme="minorHAnsi" w:hAnsiTheme="minorHAnsi"/>
        </w:rPr>
        <w:t xml:space="preserve"> HI Review</w:t>
      </w:r>
      <w:r>
        <w:rPr>
          <w:rFonts w:asciiTheme="minorHAnsi" w:hAnsiTheme="minorHAnsi"/>
        </w:rPr>
        <w:t>, r</w:t>
      </w:r>
      <w:r w:rsidRPr="007A3801">
        <w:rPr>
          <w:rFonts w:asciiTheme="minorHAnsi" w:hAnsiTheme="minorHAnsi"/>
        </w:rPr>
        <w:t>ecommendation 12(b)</w:t>
      </w:r>
    </w:p>
  </w:footnote>
  <w:footnote w:id="22">
    <w:p w:rsidR="00747113" w:rsidRDefault="00747113">
      <w:pPr>
        <w:pStyle w:val="FootnoteText"/>
      </w:pPr>
      <w:r>
        <w:rPr>
          <w:rStyle w:val="FootnoteReference"/>
        </w:rPr>
        <w:footnoteRef/>
      </w:r>
      <w:r>
        <w:t xml:space="preserve"> </w:t>
      </w:r>
      <w:r w:rsidRPr="00DF28F9">
        <w:rPr>
          <w:rFonts w:asciiTheme="minorHAnsi" w:hAnsiTheme="minorHAnsi"/>
        </w:rPr>
        <w:t>HI Review, recommendation 14(a)</w:t>
      </w:r>
    </w:p>
  </w:footnote>
  <w:footnote w:id="23">
    <w:p w:rsidR="00747113" w:rsidRPr="007A3801" w:rsidRDefault="00747113" w:rsidP="00EE4063">
      <w:pPr>
        <w:pStyle w:val="FootnoteText"/>
        <w:rPr>
          <w:rFonts w:asciiTheme="minorHAnsi" w:hAnsiTheme="minorHAnsi"/>
        </w:rPr>
      </w:pPr>
      <w:r w:rsidRPr="007A3801">
        <w:rPr>
          <w:rStyle w:val="FootnoteReference"/>
          <w:rFonts w:asciiTheme="minorHAnsi" w:hAnsiTheme="minorHAnsi"/>
        </w:rPr>
        <w:footnoteRef/>
      </w:r>
      <w:r w:rsidRPr="007A3801">
        <w:rPr>
          <w:rFonts w:asciiTheme="minorHAnsi" w:hAnsiTheme="minorHAnsi"/>
        </w:rPr>
        <w:t xml:space="preserve"> HI Review, </w:t>
      </w:r>
      <w:r>
        <w:rPr>
          <w:rFonts w:asciiTheme="minorHAnsi" w:hAnsiTheme="minorHAnsi"/>
        </w:rPr>
        <w:t>recommendation 14(b)</w:t>
      </w:r>
    </w:p>
  </w:footnote>
  <w:footnote w:id="24">
    <w:p w:rsidR="00747113" w:rsidRPr="007A3801" w:rsidRDefault="00747113" w:rsidP="00C04CEF">
      <w:pPr>
        <w:pStyle w:val="FootnoteText"/>
        <w:rPr>
          <w:rFonts w:asciiTheme="minorHAnsi" w:hAnsiTheme="minorHAnsi"/>
        </w:rPr>
      </w:pPr>
      <w:r w:rsidRPr="007A3801">
        <w:rPr>
          <w:rStyle w:val="FootnoteReference"/>
          <w:rFonts w:asciiTheme="minorHAnsi" w:hAnsiTheme="minorHAnsi"/>
        </w:rPr>
        <w:footnoteRef/>
      </w:r>
      <w:r w:rsidRPr="007A3801">
        <w:rPr>
          <w:rFonts w:asciiTheme="minorHAnsi" w:hAnsiTheme="minorHAnsi"/>
        </w:rPr>
        <w:t xml:space="preserve"> </w:t>
      </w:r>
      <w:r>
        <w:rPr>
          <w:rFonts w:asciiTheme="minorHAnsi" w:hAnsiTheme="minorHAnsi"/>
        </w:rPr>
        <w:t xml:space="preserve">HI Review, </w:t>
      </w:r>
      <w:r w:rsidRPr="007A3801">
        <w:rPr>
          <w:rFonts w:asciiTheme="minorHAnsi" w:hAnsiTheme="minorHAnsi"/>
        </w:rPr>
        <w:t xml:space="preserve">recommendation 14(d) </w:t>
      </w:r>
    </w:p>
  </w:footnote>
  <w:footnote w:id="25">
    <w:p w:rsidR="00747113" w:rsidRPr="007A3801" w:rsidRDefault="00747113" w:rsidP="00133C40">
      <w:pPr>
        <w:pStyle w:val="FootnoteText"/>
        <w:rPr>
          <w:rFonts w:asciiTheme="minorHAnsi" w:hAnsiTheme="minorHAnsi"/>
        </w:rPr>
      </w:pPr>
      <w:r w:rsidRPr="007A3801">
        <w:rPr>
          <w:rStyle w:val="FootnoteReference"/>
          <w:rFonts w:asciiTheme="minorHAnsi" w:hAnsiTheme="minorHAnsi"/>
        </w:rPr>
        <w:footnoteRef/>
      </w:r>
      <w:r w:rsidRPr="007A3801">
        <w:rPr>
          <w:rFonts w:asciiTheme="minorHAnsi" w:hAnsiTheme="minorHAnsi"/>
        </w:rPr>
        <w:t xml:space="preserve"> </w:t>
      </w:r>
      <w:r>
        <w:rPr>
          <w:rFonts w:asciiTheme="minorHAnsi" w:hAnsiTheme="minorHAnsi"/>
        </w:rPr>
        <w:t>HI Review, recommendations 8(b) and 11</w:t>
      </w:r>
    </w:p>
  </w:footnote>
  <w:footnote w:id="26">
    <w:p w:rsidR="00747113" w:rsidRDefault="00747113">
      <w:pPr>
        <w:pStyle w:val="FootnoteText"/>
      </w:pPr>
      <w:r>
        <w:rPr>
          <w:rStyle w:val="FootnoteReference"/>
        </w:rPr>
        <w:footnoteRef/>
      </w:r>
      <w:r>
        <w:t xml:space="preserve"> </w:t>
      </w:r>
      <w:r w:rsidRPr="007A3801">
        <w:rPr>
          <w:rFonts w:asciiTheme="minorHAnsi" w:hAnsiTheme="minorHAnsi"/>
        </w:rPr>
        <w:t>HI Review, recommendation 14(c)</w:t>
      </w:r>
    </w:p>
  </w:footnote>
  <w:footnote w:id="27">
    <w:p w:rsidR="00747113" w:rsidRPr="007B5E1B" w:rsidRDefault="00747113">
      <w:pPr>
        <w:pStyle w:val="FootnoteText"/>
        <w:rPr>
          <w:rFonts w:ascii="Calibri" w:hAnsi="Calibri"/>
        </w:rPr>
      </w:pPr>
      <w:r w:rsidRPr="007B5E1B">
        <w:rPr>
          <w:rStyle w:val="FootnoteReference"/>
          <w:rFonts w:ascii="Calibri" w:hAnsi="Calibri"/>
        </w:rPr>
        <w:footnoteRef/>
      </w:r>
      <w:r w:rsidRPr="007B5E1B">
        <w:rPr>
          <w:rFonts w:ascii="Calibri" w:hAnsi="Calibri"/>
        </w:rPr>
        <w:t xml:space="preserve"> HI Review, recommendation 14(e)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113" w:rsidRDefault="007471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113" w:rsidRPr="00BE5F3F" w:rsidRDefault="00747113" w:rsidP="00BE5F3F">
    <w:pPr>
      <w:pStyle w:val="Header"/>
      <w:tabs>
        <w:tab w:val="clear" w:pos="4513"/>
        <w:tab w:val="left" w:pos="6946"/>
      </w:tabs>
      <w:rPr>
        <w:rFonts w:asciiTheme="minorHAnsi" w:hAnsiTheme="minorHAnsi"/>
        <w:sz w:val="22"/>
        <w:szCs w:val="22"/>
      </w:rPr>
    </w:pPr>
    <w:r w:rsidRPr="00EA42C3">
      <w:rPr>
        <w:rFonts w:asciiTheme="minorHAnsi" w:hAnsiTheme="minorHAnsi"/>
        <w:sz w:val="22"/>
        <w:szCs w:val="22"/>
      </w:rPr>
      <w:t>Legislation Discussion Paper</w:t>
    </w:r>
    <w:r w:rsidRPr="00EA42C3">
      <w:rPr>
        <w:rFonts w:asciiTheme="minorHAnsi" w:hAnsiTheme="minorHAnsi"/>
        <w:sz w:val="22"/>
        <w:szCs w:val="22"/>
      </w:rPr>
      <w:tab/>
    </w:r>
    <w:r w:rsidRPr="00EA42C3">
      <w:rPr>
        <w:rFonts w:asciiTheme="minorHAnsi" w:hAnsiTheme="minorHAnsi"/>
        <w:sz w:val="22"/>
        <w:szCs w:val="22"/>
      </w:rPr>
      <w:tab/>
      <w:t>PCEHR System and HI Service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113" w:rsidRDefault="0074711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113" w:rsidRPr="00735610" w:rsidRDefault="00747113" w:rsidP="00BE5F3F">
    <w:pPr>
      <w:pStyle w:val="Header"/>
      <w:tabs>
        <w:tab w:val="clear" w:pos="4513"/>
        <w:tab w:val="left" w:pos="6946"/>
      </w:tabs>
      <w:rPr>
        <w:rFonts w:asciiTheme="minorHAnsi" w:hAnsiTheme="minorHAnsi"/>
        <w:sz w:val="22"/>
        <w:szCs w:val="22"/>
      </w:rPr>
    </w:pPr>
    <w:r w:rsidRPr="00EA42C3">
      <w:rPr>
        <w:rFonts w:asciiTheme="minorHAnsi" w:hAnsiTheme="minorHAnsi"/>
        <w:sz w:val="22"/>
        <w:szCs w:val="22"/>
      </w:rPr>
      <w:t>Legislation Discussion Paper</w:t>
    </w:r>
    <w:r w:rsidRPr="00EA42C3">
      <w:rPr>
        <w:rFonts w:asciiTheme="minorHAnsi" w:hAnsiTheme="minorHAnsi"/>
        <w:sz w:val="22"/>
        <w:szCs w:val="22"/>
      </w:rPr>
      <w:tab/>
    </w:r>
    <w:r w:rsidRPr="00EA42C3">
      <w:rPr>
        <w:rFonts w:asciiTheme="minorHAnsi" w:hAnsiTheme="minorHAnsi"/>
        <w:sz w:val="22"/>
        <w:szCs w:val="22"/>
      </w:rPr>
      <w:tab/>
      <w:t>PCEHR System and HI Service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577E"/>
    <w:multiLevelType w:val="hybridMultilevel"/>
    <w:tmpl w:val="167ABE38"/>
    <w:lvl w:ilvl="0" w:tplc="748C812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1E74C0D0">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5606A11"/>
    <w:multiLevelType w:val="hybridMultilevel"/>
    <w:tmpl w:val="955A3E9E"/>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
    <w:nsid w:val="0B612BE1"/>
    <w:multiLevelType w:val="hybridMultilevel"/>
    <w:tmpl w:val="9822ED0E"/>
    <w:lvl w:ilvl="0" w:tplc="748C812A">
      <w:start w:val="1"/>
      <w:numFmt w:val="lowerLetter"/>
      <w:lvlText w:val="(%1)"/>
      <w:lvlJc w:val="left"/>
      <w:pPr>
        <w:ind w:left="1097" w:hanging="360"/>
      </w:pPr>
      <w:rPr>
        <w:rFonts w:hint="default"/>
      </w:rPr>
    </w:lvl>
    <w:lvl w:ilvl="1" w:tplc="748C812A">
      <w:start w:val="1"/>
      <w:numFmt w:val="lowerLetter"/>
      <w:lvlText w:val="(%2)"/>
      <w:lvlJc w:val="left"/>
      <w:pPr>
        <w:ind w:left="1817" w:hanging="360"/>
      </w:pPr>
      <w:rPr>
        <w:rFonts w:hint="default"/>
      </w:rPr>
    </w:lvl>
    <w:lvl w:ilvl="2" w:tplc="C3621556">
      <w:start w:val="1"/>
      <w:numFmt w:val="upperLetter"/>
      <w:lvlText w:val="(%3)"/>
      <w:lvlJc w:val="left"/>
      <w:pPr>
        <w:ind w:left="2927" w:hanging="570"/>
      </w:pPr>
      <w:rPr>
        <w:rFonts w:hint="default"/>
      </w:r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
    <w:nsid w:val="0BCA6DCF"/>
    <w:multiLevelType w:val="hybridMultilevel"/>
    <w:tmpl w:val="ECDE929A"/>
    <w:lvl w:ilvl="0" w:tplc="748C812A">
      <w:start w:val="1"/>
      <w:numFmt w:val="lowerLetter"/>
      <w:lvlText w:val="(%1)"/>
      <w:lvlJc w:val="left"/>
      <w:pPr>
        <w:ind w:left="1457" w:hanging="360"/>
      </w:pPr>
      <w:rPr>
        <w:rFonts w:hint="default"/>
      </w:r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4">
    <w:nsid w:val="0F206BA3"/>
    <w:multiLevelType w:val="hybridMultilevel"/>
    <w:tmpl w:val="3C70F236"/>
    <w:lvl w:ilvl="0" w:tplc="0C090001">
      <w:start w:val="1"/>
      <w:numFmt w:val="bullet"/>
      <w:lvlText w:val=""/>
      <w:lvlJc w:val="left"/>
      <w:pPr>
        <w:ind w:left="1559" w:hanging="360"/>
      </w:pPr>
      <w:rPr>
        <w:rFonts w:ascii="Symbol" w:hAnsi="Symbol" w:hint="default"/>
      </w:rPr>
    </w:lvl>
    <w:lvl w:ilvl="1" w:tplc="0C090003" w:tentative="1">
      <w:start w:val="1"/>
      <w:numFmt w:val="bullet"/>
      <w:lvlText w:val="o"/>
      <w:lvlJc w:val="left"/>
      <w:pPr>
        <w:ind w:left="2279" w:hanging="360"/>
      </w:pPr>
      <w:rPr>
        <w:rFonts w:ascii="Courier New" w:hAnsi="Courier New" w:cs="Courier New" w:hint="default"/>
      </w:rPr>
    </w:lvl>
    <w:lvl w:ilvl="2" w:tplc="0C090005" w:tentative="1">
      <w:start w:val="1"/>
      <w:numFmt w:val="bullet"/>
      <w:lvlText w:val=""/>
      <w:lvlJc w:val="left"/>
      <w:pPr>
        <w:ind w:left="2999" w:hanging="360"/>
      </w:pPr>
      <w:rPr>
        <w:rFonts w:ascii="Wingdings" w:hAnsi="Wingdings" w:hint="default"/>
      </w:rPr>
    </w:lvl>
    <w:lvl w:ilvl="3" w:tplc="0C090001" w:tentative="1">
      <w:start w:val="1"/>
      <w:numFmt w:val="bullet"/>
      <w:lvlText w:val=""/>
      <w:lvlJc w:val="left"/>
      <w:pPr>
        <w:ind w:left="3719" w:hanging="360"/>
      </w:pPr>
      <w:rPr>
        <w:rFonts w:ascii="Symbol" w:hAnsi="Symbol" w:hint="default"/>
      </w:rPr>
    </w:lvl>
    <w:lvl w:ilvl="4" w:tplc="0C090003" w:tentative="1">
      <w:start w:val="1"/>
      <w:numFmt w:val="bullet"/>
      <w:lvlText w:val="o"/>
      <w:lvlJc w:val="left"/>
      <w:pPr>
        <w:ind w:left="4439" w:hanging="360"/>
      </w:pPr>
      <w:rPr>
        <w:rFonts w:ascii="Courier New" w:hAnsi="Courier New" w:cs="Courier New" w:hint="default"/>
      </w:rPr>
    </w:lvl>
    <w:lvl w:ilvl="5" w:tplc="0C090005" w:tentative="1">
      <w:start w:val="1"/>
      <w:numFmt w:val="bullet"/>
      <w:lvlText w:val=""/>
      <w:lvlJc w:val="left"/>
      <w:pPr>
        <w:ind w:left="5159" w:hanging="360"/>
      </w:pPr>
      <w:rPr>
        <w:rFonts w:ascii="Wingdings" w:hAnsi="Wingdings" w:hint="default"/>
      </w:rPr>
    </w:lvl>
    <w:lvl w:ilvl="6" w:tplc="0C090001" w:tentative="1">
      <w:start w:val="1"/>
      <w:numFmt w:val="bullet"/>
      <w:lvlText w:val=""/>
      <w:lvlJc w:val="left"/>
      <w:pPr>
        <w:ind w:left="5879" w:hanging="360"/>
      </w:pPr>
      <w:rPr>
        <w:rFonts w:ascii="Symbol" w:hAnsi="Symbol" w:hint="default"/>
      </w:rPr>
    </w:lvl>
    <w:lvl w:ilvl="7" w:tplc="0C090003" w:tentative="1">
      <w:start w:val="1"/>
      <w:numFmt w:val="bullet"/>
      <w:lvlText w:val="o"/>
      <w:lvlJc w:val="left"/>
      <w:pPr>
        <w:ind w:left="6599" w:hanging="360"/>
      </w:pPr>
      <w:rPr>
        <w:rFonts w:ascii="Courier New" w:hAnsi="Courier New" w:cs="Courier New" w:hint="default"/>
      </w:rPr>
    </w:lvl>
    <w:lvl w:ilvl="8" w:tplc="0C090005" w:tentative="1">
      <w:start w:val="1"/>
      <w:numFmt w:val="bullet"/>
      <w:lvlText w:val=""/>
      <w:lvlJc w:val="left"/>
      <w:pPr>
        <w:ind w:left="7319" w:hanging="360"/>
      </w:pPr>
      <w:rPr>
        <w:rFonts w:ascii="Wingdings" w:hAnsi="Wingdings" w:hint="default"/>
      </w:rPr>
    </w:lvl>
  </w:abstractNum>
  <w:abstractNum w:abstractNumId="5">
    <w:nsid w:val="169504FC"/>
    <w:multiLevelType w:val="hybridMultilevel"/>
    <w:tmpl w:val="DD4096C2"/>
    <w:lvl w:ilvl="0" w:tplc="33EC6348">
      <w:start w:val="1"/>
      <w:numFmt w:val="lowerLetter"/>
      <w:lvlText w:val="(%1)"/>
      <w:lvlJc w:val="left"/>
      <w:pPr>
        <w:ind w:left="720" w:hanging="360"/>
      </w:pPr>
      <w:rPr>
        <w:rFonts w:asciiTheme="minorHAnsi" w:eastAsia="Verdana" w:hAnsiTheme="minorHAns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190579B7"/>
    <w:multiLevelType w:val="hybridMultilevel"/>
    <w:tmpl w:val="5E4CF76C"/>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7">
    <w:nsid w:val="191F5D21"/>
    <w:multiLevelType w:val="hybridMultilevel"/>
    <w:tmpl w:val="C39E196A"/>
    <w:lvl w:ilvl="0" w:tplc="A8F691FA">
      <w:start w:val="1"/>
      <w:numFmt w:val="decimal"/>
      <w:pStyle w:val="Heading2"/>
      <w:lvlText w:val="1.%1"/>
      <w:lvlJc w:val="left"/>
      <w:pPr>
        <w:ind w:left="360" w:hanging="360"/>
      </w:pPr>
      <w:rPr>
        <w:rFonts w:ascii="Calibri" w:hAnsi="Calibri" w:hint="default"/>
        <w:b/>
        <w:i w:val="0"/>
        <w:color w:val="auto"/>
        <w:sz w:val="28"/>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1CBA36AD"/>
    <w:multiLevelType w:val="hybridMultilevel"/>
    <w:tmpl w:val="A53EABEC"/>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9">
    <w:nsid w:val="1F750EAD"/>
    <w:multiLevelType w:val="hybridMultilevel"/>
    <w:tmpl w:val="8D8A5554"/>
    <w:lvl w:ilvl="0" w:tplc="77824BA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231B0293"/>
    <w:multiLevelType w:val="multilevel"/>
    <w:tmpl w:val="BEB80C72"/>
    <w:lvl w:ilvl="0">
      <w:start w:val="1"/>
      <w:numFmt w:val="decimal"/>
      <w:pStyle w:val="Heading1"/>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23D55D8A"/>
    <w:multiLevelType w:val="hybridMultilevel"/>
    <w:tmpl w:val="DD4096C2"/>
    <w:lvl w:ilvl="0" w:tplc="33EC6348">
      <w:start w:val="1"/>
      <w:numFmt w:val="lowerLetter"/>
      <w:lvlText w:val="(%1)"/>
      <w:lvlJc w:val="left"/>
      <w:pPr>
        <w:ind w:left="1080" w:hanging="360"/>
      </w:pPr>
      <w:rPr>
        <w:rFonts w:asciiTheme="minorHAnsi" w:eastAsia="Verdana" w:hAnsiTheme="minorHAnsi"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2">
    <w:nsid w:val="2400499B"/>
    <w:multiLevelType w:val="hybridMultilevel"/>
    <w:tmpl w:val="AA1A16DC"/>
    <w:lvl w:ilvl="0" w:tplc="38848A3A">
      <w:start w:val="1"/>
      <w:numFmt w:val="decimal"/>
      <w:lvlText w:val="%1."/>
      <w:lvlJc w:val="left"/>
      <w:pPr>
        <w:ind w:left="1080" w:hanging="360"/>
      </w:pPr>
      <w:rPr>
        <w:rFonts w:ascii="Calibri" w:hAnsi="Calibri" w:hint="default"/>
        <w:b/>
        <w:i w:val="0"/>
        <w:color w:val="auto"/>
        <w:sz w:val="22"/>
        <w:szCs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261D4F16"/>
    <w:multiLevelType w:val="hybridMultilevel"/>
    <w:tmpl w:val="9C805B56"/>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14">
    <w:nsid w:val="27D60010"/>
    <w:multiLevelType w:val="hybridMultilevel"/>
    <w:tmpl w:val="20ACDCC8"/>
    <w:lvl w:ilvl="0" w:tplc="0C09000F">
      <w:start w:val="1"/>
      <w:numFmt w:val="decimal"/>
      <w:lvlText w:val="%1."/>
      <w:lvlJc w:val="left"/>
      <w:pPr>
        <w:ind w:left="720" w:hanging="360"/>
      </w:pPr>
    </w:lvl>
    <w:lvl w:ilvl="1" w:tplc="748C812A">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8853939"/>
    <w:multiLevelType w:val="hybridMultilevel"/>
    <w:tmpl w:val="FF481FC8"/>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16">
    <w:nsid w:val="2B692152"/>
    <w:multiLevelType w:val="multilevel"/>
    <w:tmpl w:val="E5D6D3BC"/>
    <w:styleLink w:val="MELegal"/>
    <w:lvl w:ilvl="0">
      <w:start w:val="1"/>
      <w:numFmt w:val="decimal"/>
      <w:pStyle w:val="WarrantyL1"/>
      <w:lvlText w:val="Chapter %1"/>
      <w:lvlJc w:val="left"/>
      <w:pPr>
        <w:ind w:left="680" w:hanging="680"/>
      </w:pPr>
      <w:rPr>
        <w:rFonts w:hint="default"/>
      </w:rPr>
    </w:lvl>
    <w:lvl w:ilvl="1">
      <w:start w:val="1"/>
      <w:numFmt w:val="decimal"/>
      <w:pStyle w:val="MELegal1"/>
      <w:lvlText w:val="%1.%2"/>
      <w:lvlJc w:val="left"/>
      <w:pPr>
        <w:ind w:left="680" w:hanging="680"/>
      </w:pPr>
      <w:rPr>
        <w:rFonts w:hint="default"/>
      </w:rPr>
    </w:lvl>
    <w:lvl w:ilvl="2">
      <w:start w:val="1"/>
      <w:numFmt w:val="decimal"/>
      <w:pStyle w:val="MELegal2"/>
      <w:lvlText w:val="%1.%2.%3"/>
      <w:lvlJc w:val="left"/>
      <w:pPr>
        <w:ind w:left="680" w:hanging="680"/>
      </w:pPr>
      <w:rPr>
        <w:rFonts w:hint="default"/>
      </w:rPr>
    </w:lvl>
    <w:lvl w:ilvl="3">
      <w:start w:val="1"/>
      <w:numFmt w:val="lowerLetter"/>
      <w:pStyle w:val="MELegal3"/>
      <w:lvlText w:val="(%4)"/>
      <w:lvlJc w:val="left"/>
      <w:pPr>
        <w:ind w:left="1361" w:hanging="681"/>
      </w:pPr>
      <w:rPr>
        <w:rFonts w:hint="default"/>
      </w:rPr>
    </w:lvl>
    <w:lvl w:ilvl="4">
      <w:start w:val="1"/>
      <w:numFmt w:val="lowerRoman"/>
      <w:pStyle w:val="MELegal4"/>
      <w:lvlText w:val="(%5)"/>
      <w:lvlJc w:val="left"/>
      <w:pPr>
        <w:tabs>
          <w:tab w:val="num" w:pos="2041"/>
        </w:tabs>
        <w:ind w:left="2041" w:hanging="680"/>
      </w:pPr>
      <w:rPr>
        <w:rFonts w:hint="default"/>
      </w:rPr>
    </w:lvl>
    <w:lvl w:ilvl="5">
      <w:start w:val="1"/>
      <w:numFmt w:val="upperLetter"/>
      <w:pStyle w:val="MELegal5"/>
      <w:lvlText w:val="(%6)"/>
      <w:lvlJc w:val="left"/>
      <w:pPr>
        <w:tabs>
          <w:tab w:val="num" w:pos="2041"/>
        </w:tabs>
        <w:ind w:left="2722" w:hanging="681"/>
      </w:pPr>
      <w:rPr>
        <w:rFonts w:hint="default"/>
      </w:rPr>
    </w:lvl>
    <w:lvl w:ilvl="6">
      <w:start w:val="1"/>
      <w:numFmt w:val="upperRoman"/>
      <w:pStyle w:val="MELegal6"/>
      <w:lvlText w:val="(%7)"/>
      <w:lvlJc w:val="left"/>
      <w:pPr>
        <w:tabs>
          <w:tab w:val="num" w:pos="2722"/>
        </w:tabs>
        <w:ind w:left="3402" w:hanging="68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nsid w:val="2BDD088E"/>
    <w:multiLevelType w:val="hybridMultilevel"/>
    <w:tmpl w:val="AE36F610"/>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18">
    <w:nsid w:val="35A94F52"/>
    <w:multiLevelType w:val="multilevel"/>
    <w:tmpl w:val="2E1073DC"/>
    <w:lvl w:ilvl="0">
      <w:start w:val="1"/>
      <w:numFmt w:val="decimal"/>
      <w:lvlText w:val="%1"/>
      <w:lvlJc w:val="left"/>
      <w:pPr>
        <w:ind w:left="360" w:hanging="360"/>
      </w:pPr>
      <w:rPr>
        <w:rFonts w:ascii="Calibri" w:hAnsi="Calibri" w:hint="default"/>
        <w:b/>
        <w:i w:val="0"/>
        <w:color w:val="auto"/>
        <w:sz w:val="36"/>
      </w:rPr>
    </w:lvl>
    <w:lvl w:ilvl="1">
      <w:start w:val="1"/>
      <w:numFmt w:val="decimal"/>
      <w:isLgl/>
      <w:lvlText w:val="%1.%2"/>
      <w:lvlJc w:val="left"/>
      <w:pPr>
        <w:ind w:left="720" w:hanging="720"/>
      </w:pPr>
      <w:rPr>
        <w:rFonts w:hint="default"/>
      </w:rPr>
    </w:lvl>
    <w:lvl w:ilvl="2">
      <w:start w:val="1"/>
      <w:numFmt w:val="decimal"/>
      <w:pStyle w:val="Heading3"/>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9">
    <w:nsid w:val="35ED734D"/>
    <w:multiLevelType w:val="hybridMultilevel"/>
    <w:tmpl w:val="55B0D580"/>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0">
    <w:nsid w:val="36A811DC"/>
    <w:multiLevelType w:val="hybridMultilevel"/>
    <w:tmpl w:val="ACC6B452"/>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nsid w:val="37A14EE1"/>
    <w:multiLevelType w:val="hybridMultilevel"/>
    <w:tmpl w:val="CCCAE5F0"/>
    <w:lvl w:ilvl="0" w:tplc="C7049260">
      <w:start w:val="1"/>
      <w:numFmt w:val="lowerLetter"/>
      <w:lvlText w:val="(%1)"/>
      <w:lvlJc w:val="left"/>
      <w:pPr>
        <w:ind w:left="1080" w:hanging="360"/>
      </w:pPr>
      <w:rPr>
        <w:rFonts w:asciiTheme="minorHAnsi" w:eastAsia="Verdana" w:hAnsiTheme="minorHAnsi"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2">
    <w:nsid w:val="37A7484D"/>
    <w:multiLevelType w:val="multilevel"/>
    <w:tmpl w:val="E5D6D3BC"/>
    <w:numStyleLink w:val="MELegal"/>
  </w:abstractNum>
  <w:abstractNum w:abstractNumId="23">
    <w:nsid w:val="38C65195"/>
    <w:multiLevelType w:val="hybridMultilevel"/>
    <w:tmpl w:val="CEAC515E"/>
    <w:lvl w:ilvl="0" w:tplc="2382757E">
      <w:start w:val="1"/>
      <w:numFmt w:val="decimal"/>
      <w:lvlText w:val="%1."/>
      <w:lvlJc w:val="left"/>
      <w:pPr>
        <w:ind w:left="570" w:hanging="57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47AC60EF"/>
    <w:multiLevelType w:val="hybridMultilevel"/>
    <w:tmpl w:val="F2BA648E"/>
    <w:lvl w:ilvl="0" w:tplc="1E74C0D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DE7588D"/>
    <w:multiLevelType w:val="hybridMultilevel"/>
    <w:tmpl w:val="A7B676B4"/>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6">
    <w:nsid w:val="54161B51"/>
    <w:multiLevelType w:val="hybridMultilevel"/>
    <w:tmpl w:val="5120B53A"/>
    <w:lvl w:ilvl="0" w:tplc="748C812A">
      <w:start w:val="1"/>
      <w:numFmt w:val="lowerLetter"/>
      <w:lvlText w:val="(%1)"/>
      <w:lvlJc w:val="left"/>
      <w:pPr>
        <w:ind w:left="1457" w:hanging="360"/>
      </w:pPr>
      <w:rPr>
        <w:rFonts w:hint="default"/>
      </w:r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27">
    <w:nsid w:val="5E9A08DD"/>
    <w:multiLevelType w:val="hybridMultilevel"/>
    <w:tmpl w:val="6358B260"/>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nsid w:val="672C614B"/>
    <w:multiLevelType w:val="hybridMultilevel"/>
    <w:tmpl w:val="E2C664D2"/>
    <w:lvl w:ilvl="0" w:tplc="748C812A">
      <w:start w:val="1"/>
      <w:numFmt w:val="lowerLetter"/>
      <w:lvlText w:val="(%1)"/>
      <w:lvlJc w:val="left"/>
      <w:pPr>
        <w:ind w:left="1097" w:hanging="360"/>
      </w:pPr>
      <w:rPr>
        <w:rFonts w:hint="default"/>
      </w:rPr>
    </w:lvl>
    <w:lvl w:ilvl="1" w:tplc="748C812A">
      <w:start w:val="1"/>
      <w:numFmt w:val="lowerLetter"/>
      <w:lvlText w:val="(%2)"/>
      <w:lvlJc w:val="left"/>
      <w:pPr>
        <w:ind w:left="1817" w:hanging="360"/>
      </w:pPr>
      <w:rPr>
        <w:rFonts w:hint="default"/>
      </w:rPr>
    </w:lvl>
    <w:lvl w:ilvl="2" w:tplc="C3621556">
      <w:start w:val="1"/>
      <w:numFmt w:val="upperLetter"/>
      <w:lvlText w:val="(%3)"/>
      <w:lvlJc w:val="left"/>
      <w:pPr>
        <w:ind w:left="2927" w:hanging="570"/>
      </w:pPr>
      <w:rPr>
        <w:rFonts w:hint="default"/>
      </w:r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9">
    <w:nsid w:val="6A092625"/>
    <w:multiLevelType w:val="hybridMultilevel"/>
    <w:tmpl w:val="29EA726C"/>
    <w:lvl w:ilvl="0" w:tplc="748C812A">
      <w:start w:val="1"/>
      <w:numFmt w:val="lowerLetter"/>
      <w:lvlText w:val="(%1)"/>
      <w:lvlJc w:val="left"/>
      <w:pPr>
        <w:ind w:left="1457" w:hanging="360"/>
      </w:pPr>
      <w:rPr>
        <w:rFonts w:hint="default"/>
      </w:r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30">
    <w:nsid w:val="6CFD7F20"/>
    <w:multiLevelType w:val="hybridMultilevel"/>
    <w:tmpl w:val="80CC715A"/>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1">
    <w:nsid w:val="709C53FB"/>
    <w:multiLevelType w:val="hybridMultilevel"/>
    <w:tmpl w:val="FC06116E"/>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2">
    <w:nsid w:val="77C64363"/>
    <w:multiLevelType w:val="hybridMultilevel"/>
    <w:tmpl w:val="036C9EFE"/>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num w:numId="1">
    <w:abstractNumId w:val="14"/>
  </w:num>
  <w:num w:numId="2">
    <w:abstractNumId w:val="18"/>
  </w:num>
  <w:num w:numId="3">
    <w:abstractNumId w:val="7"/>
  </w:num>
  <w:num w:numId="4">
    <w:abstractNumId w:val="12"/>
  </w:num>
  <w:num w:numId="5">
    <w:abstractNumId w:val="15"/>
  </w:num>
  <w:num w:numId="6">
    <w:abstractNumId w:val="20"/>
  </w:num>
  <w:num w:numId="7">
    <w:abstractNumId w:val="27"/>
  </w:num>
  <w:num w:numId="8">
    <w:abstractNumId w:val="4"/>
  </w:num>
  <w:num w:numId="9">
    <w:abstractNumId w:val="24"/>
  </w:num>
  <w:num w:numId="10">
    <w:abstractNumId w:val="19"/>
  </w:num>
  <w:num w:numId="11">
    <w:abstractNumId w:val="8"/>
  </w:num>
  <w:num w:numId="12">
    <w:abstractNumId w:val="2"/>
  </w:num>
  <w:num w:numId="13">
    <w:abstractNumId w:val="28"/>
  </w:num>
  <w:num w:numId="14">
    <w:abstractNumId w:val="25"/>
  </w:num>
  <w:num w:numId="15">
    <w:abstractNumId w:val="31"/>
  </w:num>
  <w:num w:numId="16">
    <w:abstractNumId w:val="0"/>
  </w:num>
  <w:num w:numId="17">
    <w:abstractNumId w:val="30"/>
  </w:num>
  <w:num w:numId="18">
    <w:abstractNumId w:val="17"/>
  </w:num>
  <w:num w:numId="19">
    <w:abstractNumId w:val="6"/>
  </w:num>
  <w:num w:numId="20">
    <w:abstractNumId w:val="10"/>
  </w:num>
  <w:num w:numId="21">
    <w:abstractNumId w:val="1"/>
  </w:num>
  <w:num w:numId="22">
    <w:abstractNumId w:val="16"/>
  </w:num>
  <w:num w:numId="23">
    <w:abstractNumId w:val="22"/>
    <w:lvlOverride w:ilvl="0">
      <w:lvl w:ilvl="0">
        <w:start w:val="1"/>
        <w:numFmt w:val="decimal"/>
        <w:pStyle w:val="WarrantyL1"/>
        <w:lvlText w:val="Chapter %1"/>
        <w:lvlJc w:val="left"/>
        <w:pPr>
          <w:ind w:left="2524" w:hanging="680"/>
        </w:pPr>
        <w:rPr>
          <w:rFonts w:hint="default"/>
        </w:rPr>
      </w:lvl>
    </w:lvlOverride>
    <w:lvlOverride w:ilvl="1">
      <w:lvl w:ilvl="1">
        <w:start w:val="1"/>
        <w:numFmt w:val="decimal"/>
        <w:pStyle w:val="MELegal1"/>
        <w:lvlText w:val="%1.%2"/>
        <w:lvlJc w:val="left"/>
        <w:pPr>
          <w:ind w:left="680" w:hanging="680"/>
        </w:pPr>
        <w:rPr>
          <w:rFonts w:hint="default"/>
        </w:rPr>
      </w:lvl>
    </w:lvlOverride>
    <w:lvlOverride w:ilvl="2">
      <w:lvl w:ilvl="2">
        <w:start w:val="1"/>
        <w:numFmt w:val="decimal"/>
        <w:pStyle w:val="MELegal2"/>
        <w:lvlText w:val="%1.%2.%3"/>
        <w:lvlJc w:val="left"/>
        <w:pPr>
          <w:ind w:left="680" w:hanging="680"/>
        </w:pPr>
        <w:rPr>
          <w:rFonts w:hint="default"/>
          <w:i w:val="0"/>
        </w:rPr>
      </w:lvl>
    </w:lvlOverride>
    <w:lvlOverride w:ilvl="3">
      <w:lvl w:ilvl="3">
        <w:start w:val="1"/>
        <w:numFmt w:val="lowerLetter"/>
        <w:pStyle w:val="MELegal3"/>
        <w:lvlText w:val="(%4)"/>
        <w:lvlJc w:val="left"/>
        <w:pPr>
          <w:ind w:left="1361" w:hanging="681"/>
        </w:pPr>
        <w:rPr>
          <w:rFonts w:hint="default"/>
          <w:b w:val="0"/>
          <w:i w:val="0"/>
        </w:rPr>
      </w:lvl>
    </w:lvlOverride>
    <w:lvlOverride w:ilvl="4">
      <w:lvl w:ilvl="4">
        <w:start w:val="1"/>
        <w:numFmt w:val="lowerRoman"/>
        <w:pStyle w:val="MELegal4"/>
        <w:lvlText w:val="(%5)"/>
        <w:lvlJc w:val="left"/>
        <w:pPr>
          <w:tabs>
            <w:tab w:val="num" w:pos="2041"/>
          </w:tabs>
          <w:ind w:left="2041" w:hanging="680"/>
        </w:pPr>
        <w:rPr>
          <w:rFonts w:hint="default"/>
          <w:b w:val="0"/>
        </w:rPr>
      </w:lvl>
    </w:lvlOverride>
    <w:lvlOverride w:ilvl="5">
      <w:lvl w:ilvl="5">
        <w:start w:val="1"/>
        <w:numFmt w:val="upperLetter"/>
        <w:pStyle w:val="MELegal5"/>
        <w:lvlText w:val="(%6)"/>
        <w:lvlJc w:val="left"/>
        <w:pPr>
          <w:tabs>
            <w:tab w:val="num" w:pos="2041"/>
          </w:tabs>
          <w:ind w:left="2722" w:hanging="681"/>
        </w:pPr>
        <w:rPr>
          <w:rFonts w:hint="default"/>
        </w:rPr>
      </w:lvl>
    </w:lvlOverride>
    <w:lvlOverride w:ilvl="6">
      <w:lvl w:ilvl="6">
        <w:start w:val="1"/>
        <w:numFmt w:val="upperRoman"/>
        <w:pStyle w:val="MELegal6"/>
        <w:lvlText w:val="(%7)"/>
        <w:lvlJc w:val="left"/>
        <w:pPr>
          <w:tabs>
            <w:tab w:val="num" w:pos="2722"/>
          </w:tabs>
          <w:ind w:left="3402" w:hanging="68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4">
    <w:abstractNumId w:val="32"/>
  </w:num>
  <w:num w:numId="25">
    <w:abstractNumId w:val="11"/>
    <w:lvlOverride w:ilvl="0">
      <w:startOverride w:val="1"/>
    </w:lvlOverride>
    <w:lvlOverride w:ilvl="1"/>
    <w:lvlOverride w:ilvl="2"/>
    <w:lvlOverride w:ilvl="3"/>
    <w:lvlOverride w:ilvl="4"/>
    <w:lvlOverride w:ilvl="5"/>
    <w:lvlOverride w:ilvl="6"/>
    <w:lvlOverride w:ilvl="7"/>
    <w:lvlOverride w:ilvl="8"/>
  </w:num>
  <w:num w:numId="26">
    <w:abstractNumId w:val="5"/>
    <w:lvlOverride w:ilvl="0">
      <w:startOverride w:val="1"/>
    </w:lvlOverride>
    <w:lvlOverride w:ilvl="1"/>
    <w:lvlOverride w:ilvl="2"/>
    <w:lvlOverride w:ilvl="3"/>
    <w:lvlOverride w:ilvl="4"/>
    <w:lvlOverride w:ilvl="5"/>
    <w:lvlOverride w:ilvl="6"/>
    <w:lvlOverride w:ilvl="7"/>
    <w:lvlOverride w:ilvl="8"/>
  </w:num>
  <w:num w:numId="27">
    <w:abstractNumId w:val="21"/>
    <w:lvlOverride w:ilvl="0">
      <w:startOverride w:val="1"/>
    </w:lvlOverride>
    <w:lvlOverride w:ilvl="1"/>
    <w:lvlOverride w:ilvl="2"/>
    <w:lvlOverride w:ilvl="3"/>
    <w:lvlOverride w:ilvl="4"/>
    <w:lvlOverride w:ilvl="5"/>
    <w:lvlOverride w:ilvl="6"/>
    <w:lvlOverride w:ilvl="7"/>
    <w:lvlOverride w:ilvl="8"/>
  </w:num>
  <w:num w:numId="28">
    <w:abstractNumId w:val="3"/>
  </w:num>
  <w:num w:numId="29">
    <w:abstractNumId w:val="29"/>
  </w:num>
  <w:num w:numId="30">
    <w:abstractNumId w:val="26"/>
  </w:num>
  <w:num w:numId="31">
    <w:abstractNumId w:val="13"/>
  </w:num>
  <w:num w:numId="32">
    <w:abstractNumId w:val="23"/>
  </w:num>
  <w:num w:numId="33">
    <w:abstractNumId w:val="13"/>
  </w:num>
  <w:num w:numId="34">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6EE"/>
    <w:rsid w:val="000072F2"/>
    <w:rsid w:val="00011AA7"/>
    <w:rsid w:val="000216A1"/>
    <w:rsid w:val="0002186F"/>
    <w:rsid w:val="00023E07"/>
    <w:rsid w:val="0002474F"/>
    <w:rsid w:val="00027547"/>
    <w:rsid w:val="00031322"/>
    <w:rsid w:val="000370EF"/>
    <w:rsid w:val="00043266"/>
    <w:rsid w:val="00046796"/>
    <w:rsid w:val="00050FBF"/>
    <w:rsid w:val="000549C4"/>
    <w:rsid w:val="000602A4"/>
    <w:rsid w:val="000725A3"/>
    <w:rsid w:val="0007334D"/>
    <w:rsid w:val="000904C4"/>
    <w:rsid w:val="000A17ED"/>
    <w:rsid w:val="000A24E1"/>
    <w:rsid w:val="000A3033"/>
    <w:rsid w:val="000A4FA3"/>
    <w:rsid w:val="000B0736"/>
    <w:rsid w:val="000B3D72"/>
    <w:rsid w:val="000B56F9"/>
    <w:rsid w:val="000C02FB"/>
    <w:rsid w:val="000C1D4D"/>
    <w:rsid w:val="000D1B3C"/>
    <w:rsid w:val="000D1F6D"/>
    <w:rsid w:val="000E521D"/>
    <w:rsid w:val="000F4403"/>
    <w:rsid w:val="000F59CB"/>
    <w:rsid w:val="00110FCC"/>
    <w:rsid w:val="00123A57"/>
    <w:rsid w:val="001244B9"/>
    <w:rsid w:val="00124BB9"/>
    <w:rsid w:val="00130835"/>
    <w:rsid w:val="00133C40"/>
    <w:rsid w:val="00137695"/>
    <w:rsid w:val="0014271D"/>
    <w:rsid w:val="0015546E"/>
    <w:rsid w:val="00155765"/>
    <w:rsid w:val="0016082B"/>
    <w:rsid w:val="001663BC"/>
    <w:rsid w:val="0017685D"/>
    <w:rsid w:val="00176FA0"/>
    <w:rsid w:val="00182693"/>
    <w:rsid w:val="00186D02"/>
    <w:rsid w:val="0019079B"/>
    <w:rsid w:val="001934B9"/>
    <w:rsid w:val="00197CD7"/>
    <w:rsid w:val="001A2324"/>
    <w:rsid w:val="001A4C4D"/>
    <w:rsid w:val="001B3443"/>
    <w:rsid w:val="001B3528"/>
    <w:rsid w:val="001B7FE9"/>
    <w:rsid w:val="001C7AF8"/>
    <w:rsid w:val="001D7CEA"/>
    <w:rsid w:val="001F567D"/>
    <w:rsid w:val="001F6AC9"/>
    <w:rsid w:val="002022A5"/>
    <w:rsid w:val="002049C5"/>
    <w:rsid w:val="00205A8D"/>
    <w:rsid w:val="00205E1E"/>
    <w:rsid w:val="00210F71"/>
    <w:rsid w:val="00211372"/>
    <w:rsid w:val="00215AE2"/>
    <w:rsid w:val="00221E9F"/>
    <w:rsid w:val="00222D4B"/>
    <w:rsid w:val="002256D2"/>
    <w:rsid w:val="00225BAB"/>
    <w:rsid w:val="002260F6"/>
    <w:rsid w:val="002320DB"/>
    <w:rsid w:val="00241829"/>
    <w:rsid w:val="002440A6"/>
    <w:rsid w:val="00244603"/>
    <w:rsid w:val="00255E31"/>
    <w:rsid w:val="002701D5"/>
    <w:rsid w:val="0027367C"/>
    <w:rsid w:val="00273DCD"/>
    <w:rsid w:val="0028149E"/>
    <w:rsid w:val="002909A9"/>
    <w:rsid w:val="0029631C"/>
    <w:rsid w:val="002A1077"/>
    <w:rsid w:val="002A62B0"/>
    <w:rsid w:val="002C13C9"/>
    <w:rsid w:val="002E0087"/>
    <w:rsid w:val="002E0790"/>
    <w:rsid w:val="002E261A"/>
    <w:rsid w:val="002F5ABE"/>
    <w:rsid w:val="0030786C"/>
    <w:rsid w:val="00310A44"/>
    <w:rsid w:val="00311BB0"/>
    <w:rsid w:val="0031201B"/>
    <w:rsid w:val="00313A55"/>
    <w:rsid w:val="00336EB6"/>
    <w:rsid w:val="0034185C"/>
    <w:rsid w:val="0034519D"/>
    <w:rsid w:val="0034609E"/>
    <w:rsid w:val="003521D7"/>
    <w:rsid w:val="00352599"/>
    <w:rsid w:val="00352FE0"/>
    <w:rsid w:val="00355B34"/>
    <w:rsid w:val="00362746"/>
    <w:rsid w:val="00373AD0"/>
    <w:rsid w:val="00387F91"/>
    <w:rsid w:val="00392D0F"/>
    <w:rsid w:val="00396E21"/>
    <w:rsid w:val="003A04C9"/>
    <w:rsid w:val="003A1B10"/>
    <w:rsid w:val="003A37A5"/>
    <w:rsid w:val="003A4C8A"/>
    <w:rsid w:val="003A7325"/>
    <w:rsid w:val="003B3317"/>
    <w:rsid w:val="003B61E0"/>
    <w:rsid w:val="003C72D7"/>
    <w:rsid w:val="003D11BF"/>
    <w:rsid w:val="003D1345"/>
    <w:rsid w:val="003D60B3"/>
    <w:rsid w:val="003D6C23"/>
    <w:rsid w:val="003D7F19"/>
    <w:rsid w:val="003E6A5E"/>
    <w:rsid w:val="00410B3B"/>
    <w:rsid w:val="00414FA9"/>
    <w:rsid w:val="004255C6"/>
    <w:rsid w:val="004323AA"/>
    <w:rsid w:val="004451F6"/>
    <w:rsid w:val="00453188"/>
    <w:rsid w:val="0045440F"/>
    <w:rsid w:val="0045521B"/>
    <w:rsid w:val="00460075"/>
    <w:rsid w:val="004643CB"/>
    <w:rsid w:val="004649C1"/>
    <w:rsid w:val="0048625F"/>
    <w:rsid w:val="004867E2"/>
    <w:rsid w:val="00487A5E"/>
    <w:rsid w:val="004A38C7"/>
    <w:rsid w:val="004A6ED8"/>
    <w:rsid w:val="004B050A"/>
    <w:rsid w:val="004C17A7"/>
    <w:rsid w:val="004D3C03"/>
    <w:rsid w:val="004E06CD"/>
    <w:rsid w:val="004E785E"/>
    <w:rsid w:val="004F735A"/>
    <w:rsid w:val="005021A7"/>
    <w:rsid w:val="00510DE4"/>
    <w:rsid w:val="00515C6C"/>
    <w:rsid w:val="0051753D"/>
    <w:rsid w:val="0052086A"/>
    <w:rsid w:val="005212E9"/>
    <w:rsid w:val="005237A1"/>
    <w:rsid w:val="005405F4"/>
    <w:rsid w:val="0054329F"/>
    <w:rsid w:val="00543BEF"/>
    <w:rsid w:val="005450E6"/>
    <w:rsid w:val="005451F7"/>
    <w:rsid w:val="005472CB"/>
    <w:rsid w:val="00552F93"/>
    <w:rsid w:val="005567B0"/>
    <w:rsid w:val="00557BA1"/>
    <w:rsid w:val="00562001"/>
    <w:rsid w:val="00574755"/>
    <w:rsid w:val="00577988"/>
    <w:rsid w:val="005A2907"/>
    <w:rsid w:val="005B224B"/>
    <w:rsid w:val="005D2981"/>
    <w:rsid w:val="005D41F2"/>
    <w:rsid w:val="005D7702"/>
    <w:rsid w:val="005E2190"/>
    <w:rsid w:val="005F42B4"/>
    <w:rsid w:val="005F499A"/>
    <w:rsid w:val="005F7CAE"/>
    <w:rsid w:val="0060310A"/>
    <w:rsid w:val="006037D7"/>
    <w:rsid w:val="00603EB4"/>
    <w:rsid w:val="00614B83"/>
    <w:rsid w:val="00615F4A"/>
    <w:rsid w:val="00620B17"/>
    <w:rsid w:val="006215B0"/>
    <w:rsid w:val="00622AE6"/>
    <w:rsid w:val="00655B30"/>
    <w:rsid w:val="00660C13"/>
    <w:rsid w:val="00664FE2"/>
    <w:rsid w:val="00665BC5"/>
    <w:rsid w:val="006754D3"/>
    <w:rsid w:val="006902EA"/>
    <w:rsid w:val="00690DD7"/>
    <w:rsid w:val="00692E07"/>
    <w:rsid w:val="00694A64"/>
    <w:rsid w:val="006A1695"/>
    <w:rsid w:val="006A5E74"/>
    <w:rsid w:val="006B36BB"/>
    <w:rsid w:val="006B79A8"/>
    <w:rsid w:val="006C0571"/>
    <w:rsid w:val="006D3D05"/>
    <w:rsid w:val="006E0564"/>
    <w:rsid w:val="006E5B55"/>
    <w:rsid w:val="006F054F"/>
    <w:rsid w:val="006F129E"/>
    <w:rsid w:val="006F206F"/>
    <w:rsid w:val="006F6262"/>
    <w:rsid w:val="00701A6F"/>
    <w:rsid w:val="0070573B"/>
    <w:rsid w:val="0071466B"/>
    <w:rsid w:val="00716DBB"/>
    <w:rsid w:val="007225F5"/>
    <w:rsid w:val="00724B15"/>
    <w:rsid w:val="0073027E"/>
    <w:rsid w:val="007355DC"/>
    <w:rsid w:val="00735610"/>
    <w:rsid w:val="0074007A"/>
    <w:rsid w:val="007450CE"/>
    <w:rsid w:val="00747113"/>
    <w:rsid w:val="00747454"/>
    <w:rsid w:val="00754464"/>
    <w:rsid w:val="00756FFB"/>
    <w:rsid w:val="007605DD"/>
    <w:rsid w:val="00761147"/>
    <w:rsid w:val="007678A4"/>
    <w:rsid w:val="00770118"/>
    <w:rsid w:val="0077067C"/>
    <w:rsid w:val="00775E25"/>
    <w:rsid w:val="007817F4"/>
    <w:rsid w:val="00786B40"/>
    <w:rsid w:val="0079177A"/>
    <w:rsid w:val="00792381"/>
    <w:rsid w:val="00794009"/>
    <w:rsid w:val="007A304A"/>
    <w:rsid w:val="007A3801"/>
    <w:rsid w:val="007A7A1C"/>
    <w:rsid w:val="007B3D25"/>
    <w:rsid w:val="007B5B70"/>
    <w:rsid w:val="007B5E1B"/>
    <w:rsid w:val="007B74B6"/>
    <w:rsid w:val="007B7A0F"/>
    <w:rsid w:val="007C490C"/>
    <w:rsid w:val="007C5475"/>
    <w:rsid w:val="007D4CD6"/>
    <w:rsid w:val="007D6C72"/>
    <w:rsid w:val="007E253D"/>
    <w:rsid w:val="007E2A14"/>
    <w:rsid w:val="007E4306"/>
    <w:rsid w:val="007E6773"/>
    <w:rsid w:val="00800888"/>
    <w:rsid w:val="00805D7F"/>
    <w:rsid w:val="0081490B"/>
    <w:rsid w:val="00820E8A"/>
    <w:rsid w:val="008264EB"/>
    <w:rsid w:val="00831581"/>
    <w:rsid w:val="00852DE4"/>
    <w:rsid w:val="00854C4D"/>
    <w:rsid w:val="00854DF1"/>
    <w:rsid w:val="008711F6"/>
    <w:rsid w:val="00874531"/>
    <w:rsid w:val="00875C7C"/>
    <w:rsid w:val="0088324A"/>
    <w:rsid w:val="0088792D"/>
    <w:rsid w:val="00891AAC"/>
    <w:rsid w:val="008972C7"/>
    <w:rsid w:val="00897339"/>
    <w:rsid w:val="00897A6E"/>
    <w:rsid w:val="008A43DE"/>
    <w:rsid w:val="008A4D6E"/>
    <w:rsid w:val="008C29BE"/>
    <w:rsid w:val="008C4738"/>
    <w:rsid w:val="008C6A86"/>
    <w:rsid w:val="008D2A5C"/>
    <w:rsid w:val="008E2BBE"/>
    <w:rsid w:val="008E779B"/>
    <w:rsid w:val="008F003A"/>
    <w:rsid w:val="008F3BF1"/>
    <w:rsid w:val="008F7C7F"/>
    <w:rsid w:val="00901EFD"/>
    <w:rsid w:val="00904A0F"/>
    <w:rsid w:val="009136A0"/>
    <w:rsid w:val="00914F57"/>
    <w:rsid w:val="00917C38"/>
    <w:rsid w:val="00930339"/>
    <w:rsid w:val="00943694"/>
    <w:rsid w:val="00956EDE"/>
    <w:rsid w:val="00962259"/>
    <w:rsid w:val="00973077"/>
    <w:rsid w:val="00982450"/>
    <w:rsid w:val="009850E0"/>
    <w:rsid w:val="009934C1"/>
    <w:rsid w:val="00997F50"/>
    <w:rsid w:val="009B70B0"/>
    <w:rsid w:val="009C3817"/>
    <w:rsid w:val="009C5CB4"/>
    <w:rsid w:val="009D3AEA"/>
    <w:rsid w:val="009E1869"/>
    <w:rsid w:val="009E262D"/>
    <w:rsid w:val="009E5332"/>
    <w:rsid w:val="009E5949"/>
    <w:rsid w:val="009E65A5"/>
    <w:rsid w:val="009F04D6"/>
    <w:rsid w:val="009F5FF3"/>
    <w:rsid w:val="009F79B1"/>
    <w:rsid w:val="00A023CC"/>
    <w:rsid w:val="00A026C0"/>
    <w:rsid w:val="00A06193"/>
    <w:rsid w:val="00A0635E"/>
    <w:rsid w:val="00A07892"/>
    <w:rsid w:val="00A11EFF"/>
    <w:rsid w:val="00A12261"/>
    <w:rsid w:val="00A15C93"/>
    <w:rsid w:val="00A229C2"/>
    <w:rsid w:val="00A358A5"/>
    <w:rsid w:val="00A4061F"/>
    <w:rsid w:val="00A46B19"/>
    <w:rsid w:val="00A5116A"/>
    <w:rsid w:val="00A54B30"/>
    <w:rsid w:val="00A6439F"/>
    <w:rsid w:val="00A67B4E"/>
    <w:rsid w:val="00A77234"/>
    <w:rsid w:val="00AB1151"/>
    <w:rsid w:val="00AC1598"/>
    <w:rsid w:val="00AD1186"/>
    <w:rsid w:val="00AD25B6"/>
    <w:rsid w:val="00AD48E1"/>
    <w:rsid w:val="00AD7932"/>
    <w:rsid w:val="00AE4963"/>
    <w:rsid w:val="00AE4E46"/>
    <w:rsid w:val="00AE6060"/>
    <w:rsid w:val="00AE769B"/>
    <w:rsid w:val="00AE77CD"/>
    <w:rsid w:val="00AF1F63"/>
    <w:rsid w:val="00B03A03"/>
    <w:rsid w:val="00B149EB"/>
    <w:rsid w:val="00B15153"/>
    <w:rsid w:val="00B172AC"/>
    <w:rsid w:val="00B26ACE"/>
    <w:rsid w:val="00B3124A"/>
    <w:rsid w:val="00B425EB"/>
    <w:rsid w:val="00B42851"/>
    <w:rsid w:val="00B44CA0"/>
    <w:rsid w:val="00B472EA"/>
    <w:rsid w:val="00B5182C"/>
    <w:rsid w:val="00B55389"/>
    <w:rsid w:val="00B63642"/>
    <w:rsid w:val="00B70497"/>
    <w:rsid w:val="00B712E0"/>
    <w:rsid w:val="00B833DE"/>
    <w:rsid w:val="00BB0845"/>
    <w:rsid w:val="00BB5C8D"/>
    <w:rsid w:val="00BC0F80"/>
    <w:rsid w:val="00BD0C25"/>
    <w:rsid w:val="00BD0F66"/>
    <w:rsid w:val="00BD17E2"/>
    <w:rsid w:val="00BD7100"/>
    <w:rsid w:val="00BE07E8"/>
    <w:rsid w:val="00BE2CD8"/>
    <w:rsid w:val="00BE3EB1"/>
    <w:rsid w:val="00BE5F3F"/>
    <w:rsid w:val="00BF27DF"/>
    <w:rsid w:val="00C011C0"/>
    <w:rsid w:val="00C04CEF"/>
    <w:rsid w:val="00C0591F"/>
    <w:rsid w:val="00C06AC2"/>
    <w:rsid w:val="00C07CF5"/>
    <w:rsid w:val="00C13283"/>
    <w:rsid w:val="00C17008"/>
    <w:rsid w:val="00C20CB8"/>
    <w:rsid w:val="00C220D0"/>
    <w:rsid w:val="00C2417F"/>
    <w:rsid w:val="00C33C47"/>
    <w:rsid w:val="00C4202F"/>
    <w:rsid w:val="00C457FE"/>
    <w:rsid w:val="00C737E3"/>
    <w:rsid w:val="00C76926"/>
    <w:rsid w:val="00C8167D"/>
    <w:rsid w:val="00C87D86"/>
    <w:rsid w:val="00C901F8"/>
    <w:rsid w:val="00C94050"/>
    <w:rsid w:val="00C948D3"/>
    <w:rsid w:val="00CB3176"/>
    <w:rsid w:val="00CB3F19"/>
    <w:rsid w:val="00CB5B1A"/>
    <w:rsid w:val="00CB6A0B"/>
    <w:rsid w:val="00CD134C"/>
    <w:rsid w:val="00CD3BCD"/>
    <w:rsid w:val="00CD400B"/>
    <w:rsid w:val="00D02304"/>
    <w:rsid w:val="00D1015C"/>
    <w:rsid w:val="00D10D84"/>
    <w:rsid w:val="00D14F00"/>
    <w:rsid w:val="00D16D26"/>
    <w:rsid w:val="00D17C9B"/>
    <w:rsid w:val="00D25482"/>
    <w:rsid w:val="00D356EE"/>
    <w:rsid w:val="00D42FEC"/>
    <w:rsid w:val="00D52AEC"/>
    <w:rsid w:val="00D54B6C"/>
    <w:rsid w:val="00D57B42"/>
    <w:rsid w:val="00D66D06"/>
    <w:rsid w:val="00D76A61"/>
    <w:rsid w:val="00D77D6D"/>
    <w:rsid w:val="00D85CC8"/>
    <w:rsid w:val="00DA0E58"/>
    <w:rsid w:val="00DB04F2"/>
    <w:rsid w:val="00DB1482"/>
    <w:rsid w:val="00DB25F4"/>
    <w:rsid w:val="00DB5BB3"/>
    <w:rsid w:val="00DC0B04"/>
    <w:rsid w:val="00DC165B"/>
    <w:rsid w:val="00DC53CF"/>
    <w:rsid w:val="00DC6410"/>
    <w:rsid w:val="00DD40F4"/>
    <w:rsid w:val="00DD7BB7"/>
    <w:rsid w:val="00DF28F9"/>
    <w:rsid w:val="00DF2E93"/>
    <w:rsid w:val="00E07A91"/>
    <w:rsid w:val="00E07DC2"/>
    <w:rsid w:val="00E17941"/>
    <w:rsid w:val="00E21555"/>
    <w:rsid w:val="00E23E4C"/>
    <w:rsid w:val="00E30728"/>
    <w:rsid w:val="00E31E80"/>
    <w:rsid w:val="00E3267A"/>
    <w:rsid w:val="00E60250"/>
    <w:rsid w:val="00E65BA1"/>
    <w:rsid w:val="00E7676A"/>
    <w:rsid w:val="00E832C3"/>
    <w:rsid w:val="00E856A6"/>
    <w:rsid w:val="00E90AF6"/>
    <w:rsid w:val="00E9556B"/>
    <w:rsid w:val="00EA42C3"/>
    <w:rsid w:val="00EC08E7"/>
    <w:rsid w:val="00EC1A54"/>
    <w:rsid w:val="00EE0EE8"/>
    <w:rsid w:val="00EE4063"/>
    <w:rsid w:val="00F0085B"/>
    <w:rsid w:val="00F04B96"/>
    <w:rsid w:val="00F104F0"/>
    <w:rsid w:val="00F1550E"/>
    <w:rsid w:val="00F33525"/>
    <w:rsid w:val="00F344DB"/>
    <w:rsid w:val="00F35C15"/>
    <w:rsid w:val="00F37719"/>
    <w:rsid w:val="00F41937"/>
    <w:rsid w:val="00F50750"/>
    <w:rsid w:val="00F51EC3"/>
    <w:rsid w:val="00F55B75"/>
    <w:rsid w:val="00F72ED5"/>
    <w:rsid w:val="00F764EF"/>
    <w:rsid w:val="00F8568B"/>
    <w:rsid w:val="00FA5D6E"/>
    <w:rsid w:val="00FC18AC"/>
    <w:rsid w:val="00FC47BC"/>
    <w:rsid w:val="00FC5316"/>
    <w:rsid w:val="00FC62D8"/>
    <w:rsid w:val="00FC6BD3"/>
    <w:rsid w:val="00FC7E05"/>
    <w:rsid w:val="00FD0128"/>
    <w:rsid w:val="00FD705A"/>
    <w:rsid w:val="00FF00F3"/>
    <w:rsid w:val="00FF194A"/>
    <w:rsid w:val="00FF2039"/>
    <w:rsid w:val="00FF4A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74B6"/>
    <w:rPr>
      <w:sz w:val="24"/>
    </w:rPr>
  </w:style>
  <w:style w:type="paragraph" w:styleId="Heading1">
    <w:name w:val="heading 1"/>
    <w:basedOn w:val="Normal"/>
    <w:next w:val="Normal"/>
    <w:qFormat/>
    <w:rsid w:val="003C72D7"/>
    <w:pPr>
      <w:numPr>
        <w:numId w:val="20"/>
      </w:numPr>
      <w:spacing w:before="240"/>
      <w:ind w:left="737" w:hanging="737"/>
      <w:outlineLvl w:val="0"/>
    </w:pPr>
    <w:rPr>
      <w:rFonts w:asciiTheme="minorHAnsi" w:hAnsiTheme="minorHAnsi"/>
      <w:b/>
      <w:sz w:val="36"/>
      <w:szCs w:val="36"/>
    </w:rPr>
  </w:style>
  <w:style w:type="paragraph" w:styleId="Heading2">
    <w:name w:val="heading 2"/>
    <w:basedOn w:val="ListParagraph"/>
    <w:next w:val="Normal"/>
    <w:unhideWhenUsed/>
    <w:qFormat/>
    <w:rsid w:val="003C72D7"/>
    <w:pPr>
      <w:numPr>
        <w:numId w:val="3"/>
      </w:numPr>
      <w:spacing w:before="240" w:after="120"/>
      <w:ind w:left="737" w:hanging="737"/>
      <w:contextualSpacing w:val="0"/>
      <w:outlineLvl w:val="1"/>
    </w:pPr>
    <w:rPr>
      <w:rFonts w:asciiTheme="minorHAnsi" w:hAnsiTheme="minorHAnsi"/>
      <w:b/>
      <w:sz w:val="28"/>
      <w:szCs w:val="28"/>
    </w:rPr>
  </w:style>
  <w:style w:type="paragraph" w:styleId="Heading3">
    <w:name w:val="heading 3"/>
    <w:basedOn w:val="Heading2"/>
    <w:next w:val="Normal"/>
    <w:unhideWhenUsed/>
    <w:qFormat/>
    <w:rsid w:val="003C72D7"/>
    <w:pPr>
      <w:numPr>
        <w:ilvl w:val="2"/>
        <w:numId w:val="2"/>
      </w:numPr>
      <w:outlineLvl w:val="2"/>
    </w:pPr>
    <w:rPr>
      <w:sz w:val="24"/>
    </w:rPr>
  </w:style>
  <w:style w:type="paragraph" w:styleId="Heading4">
    <w:name w:val="heading 4"/>
    <w:basedOn w:val="Normal"/>
    <w:next w:val="Normal"/>
    <w:unhideWhenUsed/>
    <w:qFormat/>
    <w:rsid w:val="003C72D7"/>
    <w:pPr>
      <w:spacing w:after="120"/>
      <w:ind w:left="737"/>
      <w:outlineLvl w:val="3"/>
    </w:pPr>
    <w:rPr>
      <w:rFonts w:asciiTheme="minorHAnsi" w:hAnsiTheme="minorHAnsi"/>
      <w:b/>
      <w:sz w:val="22"/>
      <w:szCs w:val="22"/>
    </w:rPr>
  </w:style>
  <w:style w:type="paragraph" w:styleId="Heading5">
    <w:name w:val="heading 5"/>
    <w:basedOn w:val="Normal"/>
    <w:next w:val="Normal"/>
    <w:unhideWhenUsed/>
    <w:qFormat/>
    <w:rsid w:val="00CB5B1A"/>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unhideWhenUsed/>
    <w:qFormat/>
    <w:rsid w:val="00CB5B1A"/>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D356EE"/>
    <w:rPr>
      <w:i/>
      <w:iCs/>
    </w:rPr>
  </w:style>
  <w:style w:type="character" w:styleId="Strong">
    <w:name w:val="Strong"/>
    <w:basedOn w:val="DefaultParagraphFont"/>
    <w:uiPriority w:val="22"/>
    <w:qFormat/>
    <w:rsid w:val="00D356EE"/>
    <w:rPr>
      <w:b/>
      <w:bCs/>
    </w:rPr>
  </w:style>
  <w:style w:type="paragraph" w:styleId="Subtitle">
    <w:name w:val="Subtitle"/>
    <w:basedOn w:val="Normal"/>
    <w:next w:val="Normal"/>
    <w:link w:val="SubtitleChar"/>
    <w:qFormat/>
    <w:rsid w:val="00D356EE"/>
    <w:pPr>
      <w:numPr>
        <w:ilvl w:val="1"/>
      </w:numPr>
    </w:pPr>
    <w:rPr>
      <w:rFonts w:asciiTheme="majorHAnsi" w:eastAsiaTheme="majorEastAsia" w:hAnsiTheme="majorHAnsi" w:cstheme="majorBidi"/>
      <w:iCs/>
      <w:spacing w:val="15"/>
      <w:szCs w:val="24"/>
      <w:lang w:eastAsia="en-US"/>
    </w:rPr>
  </w:style>
  <w:style w:type="character" w:customStyle="1" w:styleId="SubtitleChar">
    <w:name w:val="Subtitle Char"/>
    <w:basedOn w:val="DefaultParagraphFont"/>
    <w:link w:val="Subtitle"/>
    <w:rsid w:val="00D356EE"/>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D356EE"/>
    <w:pPr>
      <w:pBdr>
        <w:bottom w:val="single" w:sz="8" w:space="4" w:color="4F81BD" w:themeColor="accent1"/>
      </w:pBdr>
      <w:spacing w:after="300"/>
      <w:contextualSpacing/>
      <w:jc w:val="center"/>
    </w:pPr>
    <w:rPr>
      <w:rFonts w:ascii="Arial" w:eastAsiaTheme="majorEastAsia" w:hAnsi="Arial" w:cstheme="majorBidi"/>
      <w:b/>
      <w:kern w:val="28"/>
      <w:sz w:val="32"/>
      <w:szCs w:val="52"/>
      <w:lang w:eastAsia="en-US"/>
    </w:rPr>
  </w:style>
  <w:style w:type="character" w:customStyle="1" w:styleId="TitleChar">
    <w:name w:val="Title Char"/>
    <w:basedOn w:val="DefaultParagraphFont"/>
    <w:link w:val="Title"/>
    <w:rsid w:val="00D356EE"/>
    <w:rPr>
      <w:rFonts w:ascii="Arial" w:eastAsiaTheme="majorEastAsia" w:hAnsi="Arial" w:cstheme="majorBidi"/>
      <w:b/>
      <w:kern w:val="28"/>
      <w:sz w:val="32"/>
      <w:szCs w:val="52"/>
      <w:lang w:eastAsia="en-US"/>
    </w:rPr>
  </w:style>
  <w:style w:type="paragraph" w:styleId="NoSpacing">
    <w:name w:val="No Spacing"/>
    <w:uiPriority w:val="1"/>
    <w:qFormat/>
    <w:rsid w:val="00D356EE"/>
    <w:rPr>
      <w:sz w:val="24"/>
      <w:szCs w:val="24"/>
      <w:lang w:eastAsia="en-US"/>
    </w:rPr>
  </w:style>
  <w:style w:type="character" w:styleId="SubtleEmphasis">
    <w:name w:val="Subtle Emphasis"/>
    <w:basedOn w:val="DefaultParagraphFont"/>
    <w:uiPriority w:val="19"/>
    <w:qFormat/>
    <w:rsid w:val="00D356EE"/>
    <w:rPr>
      <w:i/>
      <w:iCs/>
      <w:color w:val="808080" w:themeColor="text1" w:themeTint="7F"/>
    </w:rPr>
  </w:style>
  <w:style w:type="character" w:styleId="IntenseEmphasis">
    <w:name w:val="Intense Emphasis"/>
    <w:basedOn w:val="DefaultParagraphFont"/>
    <w:uiPriority w:val="21"/>
    <w:qFormat/>
    <w:rsid w:val="00D356EE"/>
    <w:rPr>
      <w:b/>
      <w:bCs/>
      <w:i/>
      <w:iCs/>
      <w:color w:val="4F81BD" w:themeColor="accent1"/>
    </w:rPr>
  </w:style>
  <w:style w:type="paragraph" w:styleId="Quote">
    <w:name w:val="Quote"/>
    <w:basedOn w:val="Normal"/>
    <w:next w:val="Normal"/>
    <w:link w:val="QuoteChar"/>
    <w:uiPriority w:val="29"/>
    <w:qFormat/>
    <w:rsid w:val="00D356EE"/>
    <w:rPr>
      <w:i/>
      <w:iCs/>
      <w:color w:val="000000" w:themeColor="text1"/>
      <w:szCs w:val="24"/>
      <w:lang w:eastAsia="en-US"/>
    </w:rPr>
  </w:style>
  <w:style w:type="character" w:customStyle="1" w:styleId="QuoteChar">
    <w:name w:val="Quote Char"/>
    <w:basedOn w:val="DefaultParagraphFont"/>
    <w:link w:val="Quote"/>
    <w:uiPriority w:val="29"/>
    <w:rsid w:val="00D356EE"/>
    <w:rPr>
      <w:i/>
      <w:iCs/>
      <w:color w:val="000000" w:themeColor="text1"/>
      <w:sz w:val="24"/>
      <w:szCs w:val="24"/>
      <w:lang w:eastAsia="en-US"/>
    </w:rPr>
  </w:style>
  <w:style w:type="paragraph" w:styleId="IntenseQuote">
    <w:name w:val="Intense Quote"/>
    <w:basedOn w:val="Normal"/>
    <w:next w:val="Normal"/>
    <w:link w:val="IntenseQuoteChar"/>
    <w:uiPriority w:val="30"/>
    <w:qFormat/>
    <w:rsid w:val="00D356EE"/>
    <w:pPr>
      <w:pBdr>
        <w:bottom w:val="single" w:sz="4" w:space="4" w:color="4F81BD" w:themeColor="accent1"/>
      </w:pBdr>
      <w:spacing w:before="200" w:after="280"/>
      <w:ind w:left="936" w:right="936"/>
    </w:pPr>
    <w:rPr>
      <w:b/>
      <w:bCs/>
      <w:i/>
      <w:iCs/>
      <w:color w:val="4F81BD" w:themeColor="accent1"/>
      <w:szCs w:val="24"/>
      <w:lang w:eastAsia="en-US"/>
    </w:rPr>
  </w:style>
  <w:style w:type="character" w:customStyle="1" w:styleId="IntenseQuoteChar">
    <w:name w:val="Intense Quote Char"/>
    <w:basedOn w:val="DefaultParagraphFont"/>
    <w:link w:val="IntenseQuote"/>
    <w:uiPriority w:val="30"/>
    <w:rsid w:val="00D356EE"/>
    <w:rPr>
      <w:b/>
      <w:bCs/>
      <w:i/>
      <w:iCs/>
      <w:color w:val="4F81BD" w:themeColor="accent1"/>
      <w:sz w:val="24"/>
      <w:szCs w:val="24"/>
      <w:lang w:eastAsia="en-US"/>
    </w:rPr>
  </w:style>
  <w:style w:type="character" w:styleId="SubtleReference">
    <w:name w:val="Subtle Reference"/>
    <w:basedOn w:val="DefaultParagraphFont"/>
    <w:uiPriority w:val="31"/>
    <w:qFormat/>
    <w:rsid w:val="00D356EE"/>
    <w:rPr>
      <w:smallCaps/>
      <w:color w:val="C0504D" w:themeColor="accent2"/>
      <w:u w:val="single"/>
    </w:rPr>
  </w:style>
  <w:style w:type="character" w:styleId="IntenseReference">
    <w:name w:val="Intense Reference"/>
    <w:basedOn w:val="DefaultParagraphFont"/>
    <w:uiPriority w:val="32"/>
    <w:qFormat/>
    <w:rsid w:val="00D356EE"/>
    <w:rPr>
      <w:b/>
      <w:bCs/>
      <w:i/>
      <w:smallCaps/>
      <w:color w:val="C0504D" w:themeColor="accent2"/>
      <w:spacing w:val="5"/>
      <w:u w:val="none"/>
    </w:rPr>
  </w:style>
  <w:style w:type="character" w:styleId="BookTitle">
    <w:name w:val="Book Title"/>
    <w:basedOn w:val="DefaultParagraphFont"/>
    <w:uiPriority w:val="33"/>
    <w:qFormat/>
    <w:rsid w:val="00D356EE"/>
    <w:rPr>
      <w:b/>
      <w:bCs/>
      <w:smallCaps/>
      <w:spacing w:val="5"/>
    </w:rPr>
  </w:style>
  <w:style w:type="paragraph" w:styleId="ListParagraph">
    <w:name w:val="List Paragraph"/>
    <w:basedOn w:val="Normal"/>
    <w:link w:val="ListParagraphChar"/>
    <w:uiPriority w:val="34"/>
    <w:qFormat/>
    <w:rsid w:val="00D356EE"/>
    <w:pPr>
      <w:ind w:left="720"/>
      <w:contextualSpacing/>
    </w:pPr>
    <w:rPr>
      <w:szCs w:val="24"/>
      <w:lang w:eastAsia="en-US"/>
    </w:rPr>
  </w:style>
  <w:style w:type="paragraph" w:styleId="Header">
    <w:name w:val="header"/>
    <w:basedOn w:val="Normal"/>
    <w:link w:val="HeaderChar"/>
    <w:rsid w:val="00D356EE"/>
    <w:pPr>
      <w:tabs>
        <w:tab w:val="center" w:pos="4513"/>
        <w:tab w:val="right" w:pos="9026"/>
      </w:tabs>
    </w:pPr>
    <w:rPr>
      <w:szCs w:val="24"/>
      <w:lang w:eastAsia="en-US"/>
    </w:rPr>
  </w:style>
  <w:style w:type="character" w:customStyle="1" w:styleId="HeaderChar">
    <w:name w:val="Header Char"/>
    <w:basedOn w:val="DefaultParagraphFont"/>
    <w:link w:val="Header"/>
    <w:rsid w:val="00D356EE"/>
    <w:rPr>
      <w:sz w:val="24"/>
      <w:szCs w:val="24"/>
      <w:lang w:eastAsia="en-US"/>
    </w:rPr>
  </w:style>
  <w:style w:type="paragraph" w:styleId="Footer">
    <w:name w:val="footer"/>
    <w:basedOn w:val="Normal"/>
    <w:link w:val="FooterChar"/>
    <w:uiPriority w:val="99"/>
    <w:rsid w:val="00D356EE"/>
    <w:pPr>
      <w:tabs>
        <w:tab w:val="center" w:pos="4513"/>
        <w:tab w:val="right" w:pos="9026"/>
      </w:tabs>
    </w:pPr>
    <w:rPr>
      <w:szCs w:val="24"/>
      <w:lang w:eastAsia="en-US"/>
    </w:rPr>
  </w:style>
  <w:style w:type="character" w:customStyle="1" w:styleId="FooterChar">
    <w:name w:val="Footer Char"/>
    <w:basedOn w:val="DefaultParagraphFont"/>
    <w:link w:val="Footer"/>
    <w:uiPriority w:val="99"/>
    <w:rsid w:val="00D356EE"/>
    <w:rPr>
      <w:sz w:val="24"/>
      <w:szCs w:val="24"/>
      <w:lang w:eastAsia="en-US"/>
    </w:rPr>
  </w:style>
  <w:style w:type="paragraph" w:styleId="FootnoteText">
    <w:name w:val="footnote text"/>
    <w:basedOn w:val="Normal"/>
    <w:link w:val="FootnoteTextChar"/>
    <w:rsid w:val="00D356EE"/>
    <w:rPr>
      <w:sz w:val="20"/>
      <w:lang w:eastAsia="en-US"/>
    </w:rPr>
  </w:style>
  <w:style w:type="character" w:customStyle="1" w:styleId="FootnoteTextChar">
    <w:name w:val="Footnote Text Char"/>
    <w:basedOn w:val="DefaultParagraphFont"/>
    <w:link w:val="FootnoteText"/>
    <w:rsid w:val="00D356EE"/>
    <w:rPr>
      <w:lang w:eastAsia="en-US"/>
    </w:rPr>
  </w:style>
  <w:style w:type="character" w:styleId="FootnoteReference">
    <w:name w:val="footnote reference"/>
    <w:basedOn w:val="DefaultParagraphFont"/>
    <w:rsid w:val="00D356EE"/>
    <w:rPr>
      <w:vertAlign w:val="superscript"/>
    </w:rPr>
  </w:style>
  <w:style w:type="paragraph" w:customStyle="1" w:styleId="Default">
    <w:name w:val="Default"/>
    <w:rsid w:val="00D356E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D356EE"/>
    <w:rPr>
      <w:sz w:val="16"/>
      <w:szCs w:val="16"/>
    </w:rPr>
  </w:style>
  <w:style w:type="paragraph" w:styleId="CommentText">
    <w:name w:val="annotation text"/>
    <w:basedOn w:val="Normal"/>
    <w:link w:val="CommentTextChar"/>
    <w:rsid w:val="00D356EE"/>
    <w:rPr>
      <w:sz w:val="20"/>
      <w:lang w:eastAsia="en-US"/>
    </w:rPr>
  </w:style>
  <w:style w:type="character" w:customStyle="1" w:styleId="CommentTextChar">
    <w:name w:val="Comment Text Char"/>
    <w:basedOn w:val="DefaultParagraphFont"/>
    <w:link w:val="CommentText"/>
    <w:rsid w:val="00D356EE"/>
    <w:rPr>
      <w:lang w:eastAsia="en-US"/>
    </w:rPr>
  </w:style>
  <w:style w:type="paragraph" w:styleId="CommentSubject">
    <w:name w:val="annotation subject"/>
    <w:basedOn w:val="CommentText"/>
    <w:next w:val="CommentText"/>
    <w:link w:val="CommentSubjectChar"/>
    <w:rsid w:val="00D356EE"/>
    <w:rPr>
      <w:b/>
      <w:bCs/>
    </w:rPr>
  </w:style>
  <w:style w:type="character" w:customStyle="1" w:styleId="CommentSubjectChar">
    <w:name w:val="Comment Subject Char"/>
    <w:basedOn w:val="CommentTextChar"/>
    <w:link w:val="CommentSubject"/>
    <w:rsid w:val="00D356EE"/>
    <w:rPr>
      <w:b/>
      <w:bCs/>
      <w:lang w:eastAsia="en-US"/>
    </w:rPr>
  </w:style>
  <w:style w:type="paragraph" w:styleId="BalloonText">
    <w:name w:val="Balloon Text"/>
    <w:basedOn w:val="Normal"/>
    <w:link w:val="BalloonTextChar"/>
    <w:rsid w:val="00D356EE"/>
    <w:rPr>
      <w:rFonts w:ascii="Tahoma" w:hAnsi="Tahoma" w:cs="Tahoma"/>
      <w:sz w:val="16"/>
      <w:szCs w:val="16"/>
      <w:lang w:eastAsia="en-US"/>
    </w:rPr>
  </w:style>
  <w:style w:type="character" w:customStyle="1" w:styleId="BalloonTextChar">
    <w:name w:val="Balloon Text Char"/>
    <w:basedOn w:val="DefaultParagraphFont"/>
    <w:link w:val="BalloonText"/>
    <w:rsid w:val="00D356EE"/>
    <w:rPr>
      <w:rFonts w:ascii="Tahoma" w:hAnsi="Tahoma" w:cs="Tahoma"/>
      <w:sz w:val="16"/>
      <w:szCs w:val="16"/>
      <w:lang w:eastAsia="en-US"/>
    </w:rPr>
  </w:style>
  <w:style w:type="character" w:styleId="Hyperlink">
    <w:name w:val="Hyperlink"/>
    <w:basedOn w:val="DefaultParagraphFont"/>
    <w:uiPriority w:val="99"/>
    <w:rsid w:val="00EA42C3"/>
    <w:rPr>
      <w:rFonts w:cs="Times New Roman"/>
      <w:color w:val="000080"/>
    </w:rPr>
  </w:style>
  <w:style w:type="paragraph" w:styleId="BodyText">
    <w:name w:val="Body Text"/>
    <w:aliases w:val="Body Text1,Body Text Char11,Body Text Char Char1,Body Text Char1 Char Char1,Body Text Char Char Char Char1,Body Text Char1 Char11,Body Text Char Char Char11,Body Text Char2 Char Char1,Body Text Char1 Char1 Char Char1,Body Text Char3"/>
    <w:basedOn w:val="Normal"/>
    <w:link w:val="BodyTextChar"/>
    <w:rsid w:val="00396E21"/>
    <w:pPr>
      <w:keepLines/>
      <w:spacing w:after="120"/>
    </w:pPr>
    <w:rPr>
      <w:rFonts w:ascii="Verdana" w:hAnsi="Verdana"/>
      <w:color w:val="000000"/>
      <w:sz w:val="20"/>
      <w:szCs w:val="24"/>
    </w:rPr>
  </w:style>
  <w:style w:type="character" w:customStyle="1" w:styleId="BodyTextChar">
    <w:name w:val="Body Text Char"/>
    <w:aliases w:val="Body Text1 Char,Body Text Char11 Char,Body Text Char Char1 Char,Body Text Char1 Char Char1 Char,Body Text Char Char Char Char1 Char,Body Text Char1 Char11 Char,Body Text Char Char Char11 Char,Body Text Char2 Char Char1 Char"/>
    <w:basedOn w:val="DefaultParagraphFont"/>
    <w:link w:val="BodyText"/>
    <w:rsid w:val="00396E21"/>
    <w:rPr>
      <w:rFonts w:ascii="Verdana" w:hAnsi="Verdana"/>
      <w:color w:val="000000"/>
      <w:szCs w:val="24"/>
    </w:rPr>
  </w:style>
  <w:style w:type="table" w:styleId="TableGrid">
    <w:name w:val="Table Grid"/>
    <w:basedOn w:val="TableNormal"/>
    <w:rsid w:val="00BF27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D11BF"/>
  </w:style>
  <w:style w:type="character" w:customStyle="1" w:styleId="ListParagraphChar">
    <w:name w:val="List Paragraph Char"/>
    <w:link w:val="ListParagraph"/>
    <w:uiPriority w:val="34"/>
    <w:locked/>
    <w:rsid w:val="00DA0E58"/>
    <w:rPr>
      <w:sz w:val="24"/>
      <w:szCs w:val="24"/>
      <w:lang w:eastAsia="en-US"/>
    </w:rPr>
  </w:style>
  <w:style w:type="character" w:styleId="FollowedHyperlink">
    <w:name w:val="FollowedHyperlink"/>
    <w:basedOn w:val="DefaultParagraphFont"/>
    <w:rsid w:val="005567B0"/>
    <w:rPr>
      <w:color w:val="800080" w:themeColor="followedHyperlink"/>
      <w:u w:val="single"/>
    </w:rPr>
  </w:style>
  <w:style w:type="paragraph" w:styleId="TOC3">
    <w:name w:val="toc 3"/>
    <w:basedOn w:val="Normal"/>
    <w:next w:val="Normal"/>
    <w:autoRedefine/>
    <w:uiPriority w:val="39"/>
    <w:rsid w:val="00D77D6D"/>
    <w:pPr>
      <w:spacing w:after="100"/>
      <w:ind w:left="480"/>
    </w:pPr>
  </w:style>
  <w:style w:type="paragraph" w:styleId="TOC2">
    <w:name w:val="toc 2"/>
    <w:basedOn w:val="Normal"/>
    <w:next w:val="Normal"/>
    <w:autoRedefine/>
    <w:uiPriority w:val="39"/>
    <w:rsid w:val="00D42FEC"/>
    <w:pPr>
      <w:tabs>
        <w:tab w:val="left" w:pos="880"/>
        <w:tab w:val="right" w:pos="9628"/>
      </w:tabs>
      <w:spacing w:after="80"/>
      <w:ind w:left="240"/>
    </w:pPr>
  </w:style>
  <w:style w:type="paragraph" w:styleId="TOC1">
    <w:name w:val="toc 1"/>
    <w:basedOn w:val="Normal"/>
    <w:next w:val="Normal"/>
    <w:autoRedefine/>
    <w:uiPriority w:val="39"/>
    <w:unhideWhenUsed/>
    <w:rsid w:val="00D77D6D"/>
    <w:pPr>
      <w:spacing w:after="100" w:line="276" w:lineRule="auto"/>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D77D6D"/>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77D6D"/>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77D6D"/>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77D6D"/>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77D6D"/>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77D6D"/>
    <w:pPr>
      <w:spacing w:after="100" w:line="276" w:lineRule="auto"/>
      <w:ind w:left="1760"/>
    </w:pPr>
    <w:rPr>
      <w:rFonts w:asciiTheme="minorHAnsi" w:eastAsiaTheme="minorEastAsia" w:hAnsiTheme="minorHAnsi" w:cstheme="minorBidi"/>
      <w:sz w:val="22"/>
      <w:szCs w:val="22"/>
    </w:rPr>
  </w:style>
  <w:style w:type="paragraph" w:customStyle="1" w:styleId="MELegal1">
    <w:name w:val="ME Legal 1"/>
    <w:basedOn w:val="Normal"/>
    <w:next w:val="Normal"/>
    <w:qFormat/>
    <w:rsid w:val="00414FA9"/>
    <w:pPr>
      <w:keepNext/>
      <w:numPr>
        <w:ilvl w:val="1"/>
        <w:numId w:val="23"/>
      </w:numPr>
      <w:spacing w:before="280" w:after="140" w:line="280" w:lineRule="atLeast"/>
      <w:outlineLvl w:val="0"/>
    </w:pPr>
    <w:rPr>
      <w:rFonts w:ascii="Arial" w:eastAsia="SimSun" w:hAnsi="Arial" w:cs="Angsana New"/>
      <w:spacing w:val="-10"/>
      <w:w w:val="95"/>
      <w:sz w:val="32"/>
      <w:szCs w:val="32"/>
      <w:lang w:eastAsia="zh-CN" w:bidi="th-TH"/>
    </w:rPr>
  </w:style>
  <w:style w:type="paragraph" w:customStyle="1" w:styleId="MELegal2">
    <w:name w:val="ME Legal 2"/>
    <w:basedOn w:val="Normal"/>
    <w:next w:val="Normal"/>
    <w:qFormat/>
    <w:rsid w:val="00414FA9"/>
    <w:pPr>
      <w:keepNext/>
      <w:numPr>
        <w:ilvl w:val="2"/>
        <w:numId w:val="23"/>
      </w:numPr>
      <w:spacing w:before="60" w:after="60" w:line="280" w:lineRule="atLeast"/>
      <w:outlineLvl w:val="1"/>
    </w:pPr>
    <w:rPr>
      <w:rFonts w:ascii="Arial" w:eastAsia="SimSun" w:hAnsi="Arial" w:cs="Angsana New"/>
      <w:b/>
      <w:bCs/>
      <w:w w:val="95"/>
      <w:szCs w:val="24"/>
      <w:lang w:eastAsia="zh-CN" w:bidi="th-TH"/>
    </w:rPr>
  </w:style>
  <w:style w:type="paragraph" w:customStyle="1" w:styleId="MELegal3">
    <w:name w:val="ME Legal 3"/>
    <w:basedOn w:val="Normal"/>
    <w:qFormat/>
    <w:rsid w:val="00414FA9"/>
    <w:pPr>
      <w:numPr>
        <w:ilvl w:val="3"/>
        <w:numId w:val="23"/>
      </w:numPr>
      <w:spacing w:after="140" w:line="280" w:lineRule="atLeast"/>
      <w:outlineLvl w:val="2"/>
    </w:pPr>
    <w:rPr>
      <w:rFonts w:eastAsia="SimSun" w:cs="Angsana New"/>
      <w:sz w:val="22"/>
      <w:szCs w:val="22"/>
      <w:lang w:eastAsia="zh-CN" w:bidi="th-TH"/>
    </w:rPr>
  </w:style>
  <w:style w:type="paragraph" w:customStyle="1" w:styleId="MELegal4">
    <w:name w:val="ME Legal 4"/>
    <w:basedOn w:val="Normal"/>
    <w:qFormat/>
    <w:rsid w:val="00414FA9"/>
    <w:pPr>
      <w:numPr>
        <w:ilvl w:val="4"/>
        <w:numId w:val="23"/>
      </w:numPr>
      <w:spacing w:after="140" w:line="280" w:lineRule="atLeast"/>
      <w:outlineLvl w:val="3"/>
    </w:pPr>
    <w:rPr>
      <w:rFonts w:eastAsia="SimSun" w:cs="Angsana New"/>
      <w:sz w:val="22"/>
      <w:szCs w:val="22"/>
      <w:lang w:eastAsia="zh-CN" w:bidi="th-TH"/>
    </w:rPr>
  </w:style>
  <w:style w:type="paragraph" w:customStyle="1" w:styleId="MELegal5">
    <w:name w:val="ME Legal 5"/>
    <w:basedOn w:val="Normal"/>
    <w:qFormat/>
    <w:rsid w:val="00414FA9"/>
    <w:pPr>
      <w:numPr>
        <w:ilvl w:val="5"/>
        <w:numId w:val="23"/>
      </w:numPr>
      <w:spacing w:after="140" w:line="280" w:lineRule="atLeast"/>
      <w:outlineLvl w:val="4"/>
    </w:pPr>
    <w:rPr>
      <w:rFonts w:eastAsia="SimSun" w:cs="Angsana New"/>
      <w:sz w:val="22"/>
      <w:szCs w:val="22"/>
      <w:lang w:eastAsia="zh-CN" w:bidi="th-TH"/>
    </w:rPr>
  </w:style>
  <w:style w:type="paragraph" w:customStyle="1" w:styleId="MELegal6">
    <w:name w:val="ME Legal 6"/>
    <w:basedOn w:val="Normal"/>
    <w:qFormat/>
    <w:rsid w:val="00414FA9"/>
    <w:pPr>
      <w:numPr>
        <w:ilvl w:val="6"/>
        <w:numId w:val="23"/>
      </w:numPr>
      <w:spacing w:after="140" w:line="280" w:lineRule="atLeast"/>
      <w:outlineLvl w:val="5"/>
    </w:pPr>
    <w:rPr>
      <w:rFonts w:eastAsia="SimSun" w:cs="Angsana New"/>
      <w:sz w:val="22"/>
      <w:szCs w:val="22"/>
      <w:lang w:eastAsia="zh-CN" w:bidi="th-TH"/>
    </w:rPr>
  </w:style>
  <w:style w:type="paragraph" w:customStyle="1" w:styleId="WarrantyL1">
    <w:name w:val="WarrantyL1"/>
    <w:basedOn w:val="Normal"/>
    <w:next w:val="Normal"/>
    <w:qFormat/>
    <w:rsid w:val="00414FA9"/>
    <w:pPr>
      <w:keepNext/>
      <w:numPr>
        <w:numId w:val="23"/>
      </w:numPr>
      <w:pBdr>
        <w:bottom w:val="single" w:sz="4" w:space="1" w:color="auto"/>
      </w:pBdr>
      <w:spacing w:before="280" w:after="140" w:line="280" w:lineRule="atLeast"/>
      <w:outlineLvl w:val="0"/>
    </w:pPr>
    <w:rPr>
      <w:rFonts w:ascii="Arial" w:eastAsia="SimSun" w:hAnsi="Arial" w:cs="Angsana New"/>
      <w:spacing w:val="-10"/>
      <w:w w:val="95"/>
      <w:sz w:val="48"/>
      <w:szCs w:val="32"/>
      <w:lang w:eastAsia="zh-CN" w:bidi="th-TH"/>
    </w:rPr>
  </w:style>
  <w:style w:type="numbering" w:customStyle="1" w:styleId="MELegal">
    <w:name w:val="ME Legal"/>
    <w:uiPriority w:val="99"/>
    <w:rsid w:val="00414FA9"/>
    <w:pPr>
      <w:numPr>
        <w:numId w:val="22"/>
      </w:numPr>
    </w:pPr>
  </w:style>
  <w:style w:type="paragraph" w:styleId="NormalWeb">
    <w:name w:val="Normal (Web)"/>
    <w:basedOn w:val="Normal"/>
    <w:uiPriority w:val="99"/>
    <w:unhideWhenUsed/>
    <w:rsid w:val="00B172AC"/>
    <w:pPr>
      <w:spacing w:before="100" w:beforeAutospacing="1" w:after="100" w:afterAutospacing="1"/>
    </w:pPr>
    <w:rPr>
      <w:szCs w:val="24"/>
    </w:rPr>
  </w:style>
  <w:style w:type="paragraph" w:customStyle="1" w:styleId="CharCharCharChar">
    <w:name w:val="Char Char Char Char"/>
    <w:basedOn w:val="Normal"/>
    <w:rsid w:val="004D3C03"/>
    <w:rPr>
      <w:rFonts w:ascii="Arial" w:hAnsi="Arial" w:cs="Arial"/>
      <w:sz w:val="22"/>
      <w:szCs w:val="22"/>
      <w:lang w:eastAsia="en-US"/>
    </w:rPr>
  </w:style>
  <w:style w:type="paragraph" w:customStyle="1" w:styleId="CABNETParagraph">
    <w:name w:val="CABNET Paragraph"/>
    <w:basedOn w:val="Normal"/>
    <w:link w:val="CABNETParagraphChar"/>
    <w:qFormat/>
    <w:rsid w:val="00786B40"/>
    <w:pPr>
      <w:spacing w:before="120" w:after="120"/>
    </w:pPr>
    <w:rPr>
      <w:rFonts w:eastAsiaTheme="minorHAnsi" w:cstheme="minorBidi"/>
      <w:szCs w:val="22"/>
      <w:lang w:eastAsia="en-US"/>
    </w:rPr>
  </w:style>
  <w:style w:type="character" w:customStyle="1" w:styleId="CABNETParagraphChar">
    <w:name w:val="CABNET Paragraph Char"/>
    <w:basedOn w:val="DefaultParagraphFont"/>
    <w:link w:val="CABNETParagraph"/>
    <w:rsid w:val="00786B40"/>
    <w:rPr>
      <w:rFonts w:eastAsiaTheme="minorHAnsi" w:cstheme="minorBidi"/>
      <w:sz w:val="24"/>
      <w:szCs w:val="22"/>
      <w:lang w:eastAsia="en-US"/>
    </w:rPr>
  </w:style>
  <w:style w:type="paragraph" w:styleId="Revision">
    <w:name w:val="Revision"/>
    <w:hidden/>
    <w:uiPriority w:val="99"/>
    <w:semiHidden/>
    <w:rsid w:val="00E3072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74B6"/>
    <w:rPr>
      <w:sz w:val="24"/>
    </w:rPr>
  </w:style>
  <w:style w:type="paragraph" w:styleId="Heading1">
    <w:name w:val="heading 1"/>
    <w:basedOn w:val="Normal"/>
    <w:next w:val="Normal"/>
    <w:qFormat/>
    <w:rsid w:val="003C72D7"/>
    <w:pPr>
      <w:numPr>
        <w:numId w:val="20"/>
      </w:numPr>
      <w:spacing w:before="240"/>
      <w:ind w:left="737" w:hanging="737"/>
      <w:outlineLvl w:val="0"/>
    </w:pPr>
    <w:rPr>
      <w:rFonts w:asciiTheme="minorHAnsi" w:hAnsiTheme="minorHAnsi"/>
      <w:b/>
      <w:sz w:val="36"/>
      <w:szCs w:val="36"/>
    </w:rPr>
  </w:style>
  <w:style w:type="paragraph" w:styleId="Heading2">
    <w:name w:val="heading 2"/>
    <w:basedOn w:val="ListParagraph"/>
    <w:next w:val="Normal"/>
    <w:unhideWhenUsed/>
    <w:qFormat/>
    <w:rsid w:val="003C72D7"/>
    <w:pPr>
      <w:numPr>
        <w:numId w:val="3"/>
      </w:numPr>
      <w:spacing w:before="240" w:after="120"/>
      <w:ind w:left="737" w:hanging="737"/>
      <w:contextualSpacing w:val="0"/>
      <w:outlineLvl w:val="1"/>
    </w:pPr>
    <w:rPr>
      <w:rFonts w:asciiTheme="minorHAnsi" w:hAnsiTheme="minorHAnsi"/>
      <w:b/>
      <w:sz w:val="28"/>
      <w:szCs w:val="28"/>
    </w:rPr>
  </w:style>
  <w:style w:type="paragraph" w:styleId="Heading3">
    <w:name w:val="heading 3"/>
    <w:basedOn w:val="Heading2"/>
    <w:next w:val="Normal"/>
    <w:unhideWhenUsed/>
    <w:qFormat/>
    <w:rsid w:val="003C72D7"/>
    <w:pPr>
      <w:numPr>
        <w:ilvl w:val="2"/>
        <w:numId w:val="2"/>
      </w:numPr>
      <w:outlineLvl w:val="2"/>
    </w:pPr>
    <w:rPr>
      <w:sz w:val="24"/>
    </w:rPr>
  </w:style>
  <w:style w:type="paragraph" w:styleId="Heading4">
    <w:name w:val="heading 4"/>
    <w:basedOn w:val="Normal"/>
    <w:next w:val="Normal"/>
    <w:unhideWhenUsed/>
    <w:qFormat/>
    <w:rsid w:val="003C72D7"/>
    <w:pPr>
      <w:spacing w:after="120"/>
      <w:ind w:left="737"/>
      <w:outlineLvl w:val="3"/>
    </w:pPr>
    <w:rPr>
      <w:rFonts w:asciiTheme="minorHAnsi" w:hAnsiTheme="minorHAnsi"/>
      <w:b/>
      <w:sz w:val="22"/>
      <w:szCs w:val="22"/>
    </w:rPr>
  </w:style>
  <w:style w:type="paragraph" w:styleId="Heading5">
    <w:name w:val="heading 5"/>
    <w:basedOn w:val="Normal"/>
    <w:next w:val="Normal"/>
    <w:unhideWhenUsed/>
    <w:qFormat/>
    <w:rsid w:val="00CB5B1A"/>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unhideWhenUsed/>
    <w:qFormat/>
    <w:rsid w:val="00CB5B1A"/>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D356EE"/>
    <w:rPr>
      <w:i/>
      <w:iCs/>
    </w:rPr>
  </w:style>
  <w:style w:type="character" w:styleId="Strong">
    <w:name w:val="Strong"/>
    <w:basedOn w:val="DefaultParagraphFont"/>
    <w:uiPriority w:val="22"/>
    <w:qFormat/>
    <w:rsid w:val="00D356EE"/>
    <w:rPr>
      <w:b/>
      <w:bCs/>
    </w:rPr>
  </w:style>
  <w:style w:type="paragraph" w:styleId="Subtitle">
    <w:name w:val="Subtitle"/>
    <w:basedOn w:val="Normal"/>
    <w:next w:val="Normal"/>
    <w:link w:val="SubtitleChar"/>
    <w:qFormat/>
    <w:rsid w:val="00D356EE"/>
    <w:pPr>
      <w:numPr>
        <w:ilvl w:val="1"/>
      </w:numPr>
    </w:pPr>
    <w:rPr>
      <w:rFonts w:asciiTheme="majorHAnsi" w:eastAsiaTheme="majorEastAsia" w:hAnsiTheme="majorHAnsi" w:cstheme="majorBidi"/>
      <w:iCs/>
      <w:spacing w:val="15"/>
      <w:szCs w:val="24"/>
      <w:lang w:eastAsia="en-US"/>
    </w:rPr>
  </w:style>
  <w:style w:type="character" w:customStyle="1" w:styleId="SubtitleChar">
    <w:name w:val="Subtitle Char"/>
    <w:basedOn w:val="DefaultParagraphFont"/>
    <w:link w:val="Subtitle"/>
    <w:rsid w:val="00D356EE"/>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D356EE"/>
    <w:pPr>
      <w:pBdr>
        <w:bottom w:val="single" w:sz="8" w:space="4" w:color="4F81BD" w:themeColor="accent1"/>
      </w:pBdr>
      <w:spacing w:after="300"/>
      <w:contextualSpacing/>
      <w:jc w:val="center"/>
    </w:pPr>
    <w:rPr>
      <w:rFonts w:ascii="Arial" w:eastAsiaTheme="majorEastAsia" w:hAnsi="Arial" w:cstheme="majorBidi"/>
      <w:b/>
      <w:kern w:val="28"/>
      <w:sz w:val="32"/>
      <w:szCs w:val="52"/>
      <w:lang w:eastAsia="en-US"/>
    </w:rPr>
  </w:style>
  <w:style w:type="character" w:customStyle="1" w:styleId="TitleChar">
    <w:name w:val="Title Char"/>
    <w:basedOn w:val="DefaultParagraphFont"/>
    <w:link w:val="Title"/>
    <w:rsid w:val="00D356EE"/>
    <w:rPr>
      <w:rFonts w:ascii="Arial" w:eastAsiaTheme="majorEastAsia" w:hAnsi="Arial" w:cstheme="majorBidi"/>
      <w:b/>
      <w:kern w:val="28"/>
      <w:sz w:val="32"/>
      <w:szCs w:val="52"/>
      <w:lang w:eastAsia="en-US"/>
    </w:rPr>
  </w:style>
  <w:style w:type="paragraph" w:styleId="NoSpacing">
    <w:name w:val="No Spacing"/>
    <w:uiPriority w:val="1"/>
    <w:qFormat/>
    <w:rsid w:val="00D356EE"/>
    <w:rPr>
      <w:sz w:val="24"/>
      <w:szCs w:val="24"/>
      <w:lang w:eastAsia="en-US"/>
    </w:rPr>
  </w:style>
  <w:style w:type="character" w:styleId="SubtleEmphasis">
    <w:name w:val="Subtle Emphasis"/>
    <w:basedOn w:val="DefaultParagraphFont"/>
    <w:uiPriority w:val="19"/>
    <w:qFormat/>
    <w:rsid w:val="00D356EE"/>
    <w:rPr>
      <w:i/>
      <w:iCs/>
      <w:color w:val="808080" w:themeColor="text1" w:themeTint="7F"/>
    </w:rPr>
  </w:style>
  <w:style w:type="character" w:styleId="IntenseEmphasis">
    <w:name w:val="Intense Emphasis"/>
    <w:basedOn w:val="DefaultParagraphFont"/>
    <w:uiPriority w:val="21"/>
    <w:qFormat/>
    <w:rsid w:val="00D356EE"/>
    <w:rPr>
      <w:b/>
      <w:bCs/>
      <w:i/>
      <w:iCs/>
      <w:color w:val="4F81BD" w:themeColor="accent1"/>
    </w:rPr>
  </w:style>
  <w:style w:type="paragraph" w:styleId="Quote">
    <w:name w:val="Quote"/>
    <w:basedOn w:val="Normal"/>
    <w:next w:val="Normal"/>
    <w:link w:val="QuoteChar"/>
    <w:uiPriority w:val="29"/>
    <w:qFormat/>
    <w:rsid w:val="00D356EE"/>
    <w:rPr>
      <w:i/>
      <w:iCs/>
      <w:color w:val="000000" w:themeColor="text1"/>
      <w:szCs w:val="24"/>
      <w:lang w:eastAsia="en-US"/>
    </w:rPr>
  </w:style>
  <w:style w:type="character" w:customStyle="1" w:styleId="QuoteChar">
    <w:name w:val="Quote Char"/>
    <w:basedOn w:val="DefaultParagraphFont"/>
    <w:link w:val="Quote"/>
    <w:uiPriority w:val="29"/>
    <w:rsid w:val="00D356EE"/>
    <w:rPr>
      <w:i/>
      <w:iCs/>
      <w:color w:val="000000" w:themeColor="text1"/>
      <w:sz w:val="24"/>
      <w:szCs w:val="24"/>
      <w:lang w:eastAsia="en-US"/>
    </w:rPr>
  </w:style>
  <w:style w:type="paragraph" w:styleId="IntenseQuote">
    <w:name w:val="Intense Quote"/>
    <w:basedOn w:val="Normal"/>
    <w:next w:val="Normal"/>
    <w:link w:val="IntenseQuoteChar"/>
    <w:uiPriority w:val="30"/>
    <w:qFormat/>
    <w:rsid w:val="00D356EE"/>
    <w:pPr>
      <w:pBdr>
        <w:bottom w:val="single" w:sz="4" w:space="4" w:color="4F81BD" w:themeColor="accent1"/>
      </w:pBdr>
      <w:spacing w:before="200" w:after="280"/>
      <w:ind w:left="936" w:right="936"/>
    </w:pPr>
    <w:rPr>
      <w:b/>
      <w:bCs/>
      <w:i/>
      <w:iCs/>
      <w:color w:val="4F81BD" w:themeColor="accent1"/>
      <w:szCs w:val="24"/>
      <w:lang w:eastAsia="en-US"/>
    </w:rPr>
  </w:style>
  <w:style w:type="character" w:customStyle="1" w:styleId="IntenseQuoteChar">
    <w:name w:val="Intense Quote Char"/>
    <w:basedOn w:val="DefaultParagraphFont"/>
    <w:link w:val="IntenseQuote"/>
    <w:uiPriority w:val="30"/>
    <w:rsid w:val="00D356EE"/>
    <w:rPr>
      <w:b/>
      <w:bCs/>
      <w:i/>
      <w:iCs/>
      <w:color w:val="4F81BD" w:themeColor="accent1"/>
      <w:sz w:val="24"/>
      <w:szCs w:val="24"/>
      <w:lang w:eastAsia="en-US"/>
    </w:rPr>
  </w:style>
  <w:style w:type="character" w:styleId="SubtleReference">
    <w:name w:val="Subtle Reference"/>
    <w:basedOn w:val="DefaultParagraphFont"/>
    <w:uiPriority w:val="31"/>
    <w:qFormat/>
    <w:rsid w:val="00D356EE"/>
    <w:rPr>
      <w:smallCaps/>
      <w:color w:val="C0504D" w:themeColor="accent2"/>
      <w:u w:val="single"/>
    </w:rPr>
  </w:style>
  <w:style w:type="character" w:styleId="IntenseReference">
    <w:name w:val="Intense Reference"/>
    <w:basedOn w:val="DefaultParagraphFont"/>
    <w:uiPriority w:val="32"/>
    <w:qFormat/>
    <w:rsid w:val="00D356EE"/>
    <w:rPr>
      <w:b/>
      <w:bCs/>
      <w:i/>
      <w:smallCaps/>
      <w:color w:val="C0504D" w:themeColor="accent2"/>
      <w:spacing w:val="5"/>
      <w:u w:val="none"/>
    </w:rPr>
  </w:style>
  <w:style w:type="character" w:styleId="BookTitle">
    <w:name w:val="Book Title"/>
    <w:basedOn w:val="DefaultParagraphFont"/>
    <w:uiPriority w:val="33"/>
    <w:qFormat/>
    <w:rsid w:val="00D356EE"/>
    <w:rPr>
      <w:b/>
      <w:bCs/>
      <w:smallCaps/>
      <w:spacing w:val="5"/>
    </w:rPr>
  </w:style>
  <w:style w:type="paragraph" w:styleId="ListParagraph">
    <w:name w:val="List Paragraph"/>
    <w:basedOn w:val="Normal"/>
    <w:link w:val="ListParagraphChar"/>
    <w:uiPriority w:val="34"/>
    <w:qFormat/>
    <w:rsid w:val="00D356EE"/>
    <w:pPr>
      <w:ind w:left="720"/>
      <w:contextualSpacing/>
    </w:pPr>
    <w:rPr>
      <w:szCs w:val="24"/>
      <w:lang w:eastAsia="en-US"/>
    </w:rPr>
  </w:style>
  <w:style w:type="paragraph" w:styleId="Header">
    <w:name w:val="header"/>
    <w:basedOn w:val="Normal"/>
    <w:link w:val="HeaderChar"/>
    <w:rsid w:val="00D356EE"/>
    <w:pPr>
      <w:tabs>
        <w:tab w:val="center" w:pos="4513"/>
        <w:tab w:val="right" w:pos="9026"/>
      </w:tabs>
    </w:pPr>
    <w:rPr>
      <w:szCs w:val="24"/>
      <w:lang w:eastAsia="en-US"/>
    </w:rPr>
  </w:style>
  <w:style w:type="character" w:customStyle="1" w:styleId="HeaderChar">
    <w:name w:val="Header Char"/>
    <w:basedOn w:val="DefaultParagraphFont"/>
    <w:link w:val="Header"/>
    <w:rsid w:val="00D356EE"/>
    <w:rPr>
      <w:sz w:val="24"/>
      <w:szCs w:val="24"/>
      <w:lang w:eastAsia="en-US"/>
    </w:rPr>
  </w:style>
  <w:style w:type="paragraph" w:styleId="Footer">
    <w:name w:val="footer"/>
    <w:basedOn w:val="Normal"/>
    <w:link w:val="FooterChar"/>
    <w:uiPriority w:val="99"/>
    <w:rsid w:val="00D356EE"/>
    <w:pPr>
      <w:tabs>
        <w:tab w:val="center" w:pos="4513"/>
        <w:tab w:val="right" w:pos="9026"/>
      </w:tabs>
    </w:pPr>
    <w:rPr>
      <w:szCs w:val="24"/>
      <w:lang w:eastAsia="en-US"/>
    </w:rPr>
  </w:style>
  <w:style w:type="character" w:customStyle="1" w:styleId="FooterChar">
    <w:name w:val="Footer Char"/>
    <w:basedOn w:val="DefaultParagraphFont"/>
    <w:link w:val="Footer"/>
    <w:uiPriority w:val="99"/>
    <w:rsid w:val="00D356EE"/>
    <w:rPr>
      <w:sz w:val="24"/>
      <w:szCs w:val="24"/>
      <w:lang w:eastAsia="en-US"/>
    </w:rPr>
  </w:style>
  <w:style w:type="paragraph" w:styleId="FootnoteText">
    <w:name w:val="footnote text"/>
    <w:basedOn w:val="Normal"/>
    <w:link w:val="FootnoteTextChar"/>
    <w:rsid w:val="00D356EE"/>
    <w:rPr>
      <w:sz w:val="20"/>
      <w:lang w:eastAsia="en-US"/>
    </w:rPr>
  </w:style>
  <w:style w:type="character" w:customStyle="1" w:styleId="FootnoteTextChar">
    <w:name w:val="Footnote Text Char"/>
    <w:basedOn w:val="DefaultParagraphFont"/>
    <w:link w:val="FootnoteText"/>
    <w:rsid w:val="00D356EE"/>
    <w:rPr>
      <w:lang w:eastAsia="en-US"/>
    </w:rPr>
  </w:style>
  <w:style w:type="character" w:styleId="FootnoteReference">
    <w:name w:val="footnote reference"/>
    <w:basedOn w:val="DefaultParagraphFont"/>
    <w:rsid w:val="00D356EE"/>
    <w:rPr>
      <w:vertAlign w:val="superscript"/>
    </w:rPr>
  </w:style>
  <w:style w:type="paragraph" w:customStyle="1" w:styleId="Default">
    <w:name w:val="Default"/>
    <w:rsid w:val="00D356E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D356EE"/>
    <w:rPr>
      <w:sz w:val="16"/>
      <w:szCs w:val="16"/>
    </w:rPr>
  </w:style>
  <w:style w:type="paragraph" w:styleId="CommentText">
    <w:name w:val="annotation text"/>
    <w:basedOn w:val="Normal"/>
    <w:link w:val="CommentTextChar"/>
    <w:rsid w:val="00D356EE"/>
    <w:rPr>
      <w:sz w:val="20"/>
      <w:lang w:eastAsia="en-US"/>
    </w:rPr>
  </w:style>
  <w:style w:type="character" w:customStyle="1" w:styleId="CommentTextChar">
    <w:name w:val="Comment Text Char"/>
    <w:basedOn w:val="DefaultParagraphFont"/>
    <w:link w:val="CommentText"/>
    <w:rsid w:val="00D356EE"/>
    <w:rPr>
      <w:lang w:eastAsia="en-US"/>
    </w:rPr>
  </w:style>
  <w:style w:type="paragraph" w:styleId="CommentSubject">
    <w:name w:val="annotation subject"/>
    <w:basedOn w:val="CommentText"/>
    <w:next w:val="CommentText"/>
    <w:link w:val="CommentSubjectChar"/>
    <w:rsid w:val="00D356EE"/>
    <w:rPr>
      <w:b/>
      <w:bCs/>
    </w:rPr>
  </w:style>
  <w:style w:type="character" w:customStyle="1" w:styleId="CommentSubjectChar">
    <w:name w:val="Comment Subject Char"/>
    <w:basedOn w:val="CommentTextChar"/>
    <w:link w:val="CommentSubject"/>
    <w:rsid w:val="00D356EE"/>
    <w:rPr>
      <w:b/>
      <w:bCs/>
      <w:lang w:eastAsia="en-US"/>
    </w:rPr>
  </w:style>
  <w:style w:type="paragraph" w:styleId="BalloonText">
    <w:name w:val="Balloon Text"/>
    <w:basedOn w:val="Normal"/>
    <w:link w:val="BalloonTextChar"/>
    <w:rsid w:val="00D356EE"/>
    <w:rPr>
      <w:rFonts w:ascii="Tahoma" w:hAnsi="Tahoma" w:cs="Tahoma"/>
      <w:sz w:val="16"/>
      <w:szCs w:val="16"/>
      <w:lang w:eastAsia="en-US"/>
    </w:rPr>
  </w:style>
  <w:style w:type="character" w:customStyle="1" w:styleId="BalloonTextChar">
    <w:name w:val="Balloon Text Char"/>
    <w:basedOn w:val="DefaultParagraphFont"/>
    <w:link w:val="BalloonText"/>
    <w:rsid w:val="00D356EE"/>
    <w:rPr>
      <w:rFonts w:ascii="Tahoma" w:hAnsi="Tahoma" w:cs="Tahoma"/>
      <w:sz w:val="16"/>
      <w:szCs w:val="16"/>
      <w:lang w:eastAsia="en-US"/>
    </w:rPr>
  </w:style>
  <w:style w:type="character" w:styleId="Hyperlink">
    <w:name w:val="Hyperlink"/>
    <w:basedOn w:val="DefaultParagraphFont"/>
    <w:uiPriority w:val="99"/>
    <w:rsid w:val="00EA42C3"/>
    <w:rPr>
      <w:rFonts w:cs="Times New Roman"/>
      <w:color w:val="000080"/>
    </w:rPr>
  </w:style>
  <w:style w:type="paragraph" w:styleId="BodyText">
    <w:name w:val="Body Text"/>
    <w:aliases w:val="Body Text1,Body Text Char11,Body Text Char Char1,Body Text Char1 Char Char1,Body Text Char Char Char Char1,Body Text Char1 Char11,Body Text Char Char Char11,Body Text Char2 Char Char1,Body Text Char1 Char1 Char Char1,Body Text Char3"/>
    <w:basedOn w:val="Normal"/>
    <w:link w:val="BodyTextChar"/>
    <w:rsid w:val="00396E21"/>
    <w:pPr>
      <w:keepLines/>
      <w:spacing w:after="120"/>
    </w:pPr>
    <w:rPr>
      <w:rFonts w:ascii="Verdana" w:hAnsi="Verdana"/>
      <w:color w:val="000000"/>
      <w:sz w:val="20"/>
      <w:szCs w:val="24"/>
    </w:rPr>
  </w:style>
  <w:style w:type="character" w:customStyle="1" w:styleId="BodyTextChar">
    <w:name w:val="Body Text Char"/>
    <w:aliases w:val="Body Text1 Char,Body Text Char11 Char,Body Text Char Char1 Char,Body Text Char1 Char Char1 Char,Body Text Char Char Char Char1 Char,Body Text Char1 Char11 Char,Body Text Char Char Char11 Char,Body Text Char2 Char Char1 Char"/>
    <w:basedOn w:val="DefaultParagraphFont"/>
    <w:link w:val="BodyText"/>
    <w:rsid w:val="00396E21"/>
    <w:rPr>
      <w:rFonts w:ascii="Verdana" w:hAnsi="Verdana"/>
      <w:color w:val="000000"/>
      <w:szCs w:val="24"/>
    </w:rPr>
  </w:style>
  <w:style w:type="table" w:styleId="TableGrid">
    <w:name w:val="Table Grid"/>
    <w:basedOn w:val="TableNormal"/>
    <w:rsid w:val="00BF27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D11BF"/>
  </w:style>
  <w:style w:type="character" w:customStyle="1" w:styleId="ListParagraphChar">
    <w:name w:val="List Paragraph Char"/>
    <w:link w:val="ListParagraph"/>
    <w:uiPriority w:val="34"/>
    <w:locked/>
    <w:rsid w:val="00DA0E58"/>
    <w:rPr>
      <w:sz w:val="24"/>
      <w:szCs w:val="24"/>
      <w:lang w:eastAsia="en-US"/>
    </w:rPr>
  </w:style>
  <w:style w:type="character" w:styleId="FollowedHyperlink">
    <w:name w:val="FollowedHyperlink"/>
    <w:basedOn w:val="DefaultParagraphFont"/>
    <w:rsid w:val="005567B0"/>
    <w:rPr>
      <w:color w:val="800080" w:themeColor="followedHyperlink"/>
      <w:u w:val="single"/>
    </w:rPr>
  </w:style>
  <w:style w:type="paragraph" w:styleId="TOC3">
    <w:name w:val="toc 3"/>
    <w:basedOn w:val="Normal"/>
    <w:next w:val="Normal"/>
    <w:autoRedefine/>
    <w:uiPriority w:val="39"/>
    <w:rsid w:val="00D77D6D"/>
    <w:pPr>
      <w:spacing w:after="100"/>
      <w:ind w:left="480"/>
    </w:pPr>
  </w:style>
  <w:style w:type="paragraph" w:styleId="TOC2">
    <w:name w:val="toc 2"/>
    <w:basedOn w:val="Normal"/>
    <w:next w:val="Normal"/>
    <w:autoRedefine/>
    <w:uiPriority w:val="39"/>
    <w:rsid w:val="00D42FEC"/>
    <w:pPr>
      <w:tabs>
        <w:tab w:val="left" w:pos="880"/>
        <w:tab w:val="right" w:pos="9628"/>
      </w:tabs>
      <w:spacing w:after="80"/>
      <w:ind w:left="240"/>
    </w:pPr>
  </w:style>
  <w:style w:type="paragraph" w:styleId="TOC1">
    <w:name w:val="toc 1"/>
    <w:basedOn w:val="Normal"/>
    <w:next w:val="Normal"/>
    <w:autoRedefine/>
    <w:uiPriority w:val="39"/>
    <w:unhideWhenUsed/>
    <w:rsid w:val="00D77D6D"/>
    <w:pPr>
      <w:spacing w:after="100" w:line="276" w:lineRule="auto"/>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D77D6D"/>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77D6D"/>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77D6D"/>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77D6D"/>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77D6D"/>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77D6D"/>
    <w:pPr>
      <w:spacing w:after="100" w:line="276" w:lineRule="auto"/>
      <w:ind w:left="1760"/>
    </w:pPr>
    <w:rPr>
      <w:rFonts w:asciiTheme="minorHAnsi" w:eastAsiaTheme="minorEastAsia" w:hAnsiTheme="minorHAnsi" w:cstheme="minorBidi"/>
      <w:sz w:val="22"/>
      <w:szCs w:val="22"/>
    </w:rPr>
  </w:style>
  <w:style w:type="paragraph" w:customStyle="1" w:styleId="MELegal1">
    <w:name w:val="ME Legal 1"/>
    <w:basedOn w:val="Normal"/>
    <w:next w:val="Normal"/>
    <w:qFormat/>
    <w:rsid w:val="00414FA9"/>
    <w:pPr>
      <w:keepNext/>
      <w:numPr>
        <w:ilvl w:val="1"/>
        <w:numId w:val="23"/>
      </w:numPr>
      <w:spacing w:before="280" w:after="140" w:line="280" w:lineRule="atLeast"/>
      <w:outlineLvl w:val="0"/>
    </w:pPr>
    <w:rPr>
      <w:rFonts w:ascii="Arial" w:eastAsia="SimSun" w:hAnsi="Arial" w:cs="Angsana New"/>
      <w:spacing w:val="-10"/>
      <w:w w:val="95"/>
      <w:sz w:val="32"/>
      <w:szCs w:val="32"/>
      <w:lang w:eastAsia="zh-CN" w:bidi="th-TH"/>
    </w:rPr>
  </w:style>
  <w:style w:type="paragraph" w:customStyle="1" w:styleId="MELegal2">
    <w:name w:val="ME Legal 2"/>
    <w:basedOn w:val="Normal"/>
    <w:next w:val="Normal"/>
    <w:qFormat/>
    <w:rsid w:val="00414FA9"/>
    <w:pPr>
      <w:keepNext/>
      <w:numPr>
        <w:ilvl w:val="2"/>
        <w:numId w:val="23"/>
      </w:numPr>
      <w:spacing w:before="60" w:after="60" w:line="280" w:lineRule="atLeast"/>
      <w:outlineLvl w:val="1"/>
    </w:pPr>
    <w:rPr>
      <w:rFonts w:ascii="Arial" w:eastAsia="SimSun" w:hAnsi="Arial" w:cs="Angsana New"/>
      <w:b/>
      <w:bCs/>
      <w:w w:val="95"/>
      <w:szCs w:val="24"/>
      <w:lang w:eastAsia="zh-CN" w:bidi="th-TH"/>
    </w:rPr>
  </w:style>
  <w:style w:type="paragraph" w:customStyle="1" w:styleId="MELegal3">
    <w:name w:val="ME Legal 3"/>
    <w:basedOn w:val="Normal"/>
    <w:qFormat/>
    <w:rsid w:val="00414FA9"/>
    <w:pPr>
      <w:numPr>
        <w:ilvl w:val="3"/>
        <w:numId w:val="23"/>
      </w:numPr>
      <w:spacing w:after="140" w:line="280" w:lineRule="atLeast"/>
      <w:outlineLvl w:val="2"/>
    </w:pPr>
    <w:rPr>
      <w:rFonts w:eastAsia="SimSun" w:cs="Angsana New"/>
      <w:sz w:val="22"/>
      <w:szCs w:val="22"/>
      <w:lang w:eastAsia="zh-CN" w:bidi="th-TH"/>
    </w:rPr>
  </w:style>
  <w:style w:type="paragraph" w:customStyle="1" w:styleId="MELegal4">
    <w:name w:val="ME Legal 4"/>
    <w:basedOn w:val="Normal"/>
    <w:qFormat/>
    <w:rsid w:val="00414FA9"/>
    <w:pPr>
      <w:numPr>
        <w:ilvl w:val="4"/>
        <w:numId w:val="23"/>
      </w:numPr>
      <w:spacing w:after="140" w:line="280" w:lineRule="atLeast"/>
      <w:outlineLvl w:val="3"/>
    </w:pPr>
    <w:rPr>
      <w:rFonts w:eastAsia="SimSun" w:cs="Angsana New"/>
      <w:sz w:val="22"/>
      <w:szCs w:val="22"/>
      <w:lang w:eastAsia="zh-CN" w:bidi="th-TH"/>
    </w:rPr>
  </w:style>
  <w:style w:type="paragraph" w:customStyle="1" w:styleId="MELegal5">
    <w:name w:val="ME Legal 5"/>
    <w:basedOn w:val="Normal"/>
    <w:qFormat/>
    <w:rsid w:val="00414FA9"/>
    <w:pPr>
      <w:numPr>
        <w:ilvl w:val="5"/>
        <w:numId w:val="23"/>
      </w:numPr>
      <w:spacing w:after="140" w:line="280" w:lineRule="atLeast"/>
      <w:outlineLvl w:val="4"/>
    </w:pPr>
    <w:rPr>
      <w:rFonts w:eastAsia="SimSun" w:cs="Angsana New"/>
      <w:sz w:val="22"/>
      <w:szCs w:val="22"/>
      <w:lang w:eastAsia="zh-CN" w:bidi="th-TH"/>
    </w:rPr>
  </w:style>
  <w:style w:type="paragraph" w:customStyle="1" w:styleId="MELegal6">
    <w:name w:val="ME Legal 6"/>
    <w:basedOn w:val="Normal"/>
    <w:qFormat/>
    <w:rsid w:val="00414FA9"/>
    <w:pPr>
      <w:numPr>
        <w:ilvl w:val="6"/>
        <w:numId w:val="23"/>
      </w:numPr>
      <w:spacing w:after="140" w:line="280" w:lineRule="atLeast"/>
      <w:outlineLvl w:val="5"/>
    </w:pPr>
    <w:rPr>
      <w:rFonts w:eastAsia="SimSun" w:cs="Angsana New"/>
      <w:sz w:val="22"/>
      <w:szCs w:val="22"/>
      <w:lang w:eastAsia="zh-CN" w:bidi="th-TH"/>
    </w:rPr>
  </w:style>
  <w:style w:type="paragraph" w:customStyle="1" w:styleId="WarrantyL1">
    <w:name w:val="WarrantyL1"/>
    <w:basedOn w:val="Normal"/>
    <w:next w:val="Normal"/>
    <w:qFormat/>
    <w:rsid w:val="00414FA9"/>
    <w:pPr>
      <w:keepNext/>
      <w:numPr>
        <w:numId w:val="23"/>
      </w:numPr>
      <w:pBdr>
        <w:bottom w:val="single" w:sz="4" w:space="1" w:color="auto"/>
      </w:pBdr>
      <w:spacing w:before="280" w:after="140" w:line="280" w:lineRule="atLeast"/>
      <w:outlineLvl w:val="0"/>
    </w:pPr>
    <w:rPr>
      <w:rFonts w:ascii="Arial" w:eastAsia="SimSun" w:hAnsi="Arial" w:cs="Angsana New"/>
      <w:spacing w:val="-10"/>
      <w:w w:val="95"/>
      <w:sz w:val="48"/>
      <w:szCs w:val="32"/>
      <w:lang w:eastAsia="zh-CN" w:bidi="th-TH"/>
    </w:rPr>
  </w:style>
  <w:style w:type="numbering" w:customStyle="1" w:styleId="MELegal">
    <w:name w:val="ME Legal"/>
    <w:uiPriority w:val="99"/>
    <w:rsid w:val="00414FA9"/>
    <w:pPr>
      <w:numPr>
        <w:numId w:val="22"/>
      </w:numPr>
    </w:pPr>
  </w:style>
  <w:style w:type="paragraph" w:styleId="NormalWeb">
    <w:name w:val="Normal (Web)"/>
    <w:basedOn w:val="Normal"/>
    <w:uiPriority w:val="99"/>
    <w:unhideWhenUsed/>
    <w:rsid w:val="00B172AC"/>
    <w:pPr>
      <w:spacing w:before="100" w:beforeAutospacing="1" w:after="100" w:afterAutospacing="1"/>
    </w:pPr>
    <w:rPr>
      <w:szCs w:val="24"/>
    </w:rPr>
  </w:style>
  <w:style w:type="paragraph" w:customStyle="1" w:styleId="CharCharCharChar">
    <w:name w:val="Char Char Char Char"/>
    <w:basedOn w:val="Normal"/>
    <w:rsid w:val="004D3C03"/>
    <w:rPr>
      <w:rFonts w:ascii="Arial" w:hAnsi="Arial" w:cs="Arial"/>
      <w:sz w:val="22"/>
      <w:szCs w:val="22"/>
      <w:lang w:eastAsia="en-US"/>
    </w:rPr>
  </w:style>
  <w:style w:type="paragraph" w:customStyle="1" w:styleId="CABNETParagraph">
    <w:name w:val="CABNET Paragraph"/>
    <w:basedOn w:val="Normal"/>
    <w:link w:val="CABNETParagraphChar"/>
    <w:qFormat/>
    <w:rsid w:val="00786B40"/>
    <w:pPr>
      <w:spacing w:before="120" w:after="120"/>
    </w:pPr>
    <w:rPr>
      <w:rFonts w:eastAsiaTheme="minorHAnsi" w:cstheme="minorBidi"/>
      <w:szCs w:val="22"/>
      <w:lang w:eastAsia="en-US"/>
    </w:rPr>
  </w:style>
  <w:style w:type="character" w:customStyle="1" w:styleId="CABNETParagraphChar">
    <w:name w:val="CABNET Paragraph Char"/>
    <w:basedOn w:val="DefaultParagraphFont"/>
    <w:link w:val="CABNETParagraph"/>
    <w:rsid w:val="00786B40"/>
    <w:rPr>
      <w:rFonts w:eastAsiaTheme="minorHAnsi" w:cstheme="minorBidi"/>
      <w:sz w:val="24"/>
      <w:szCs w:val="22"/>
      <w:lang w:eastAsia="en-US"/>
    </w:rPr>
  </w:style>
  <w:style w:type="paragraph" w:styleId="Revision">
    <w:name w:val="Revision"/>
    <w:hidden/>
    <w:uiPriority w:val="99"/>
    <w:semiHidden/>
    <w:rsid w:val="00E3072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2772">
      <w:bodyDiv w:val="1"/>
      <w:marLeft w:val="0"/>
      <w:marRight w:val="0"/>
      <w:marTop w:val="0"/>
      <w:marBottom w:val="0"/>
      <w:divBdr>
        <w:top w:val="none" w:sz="0" w:space="0" w:color="auto"/>
        <w:left w:val="none" w:sz="0" w:space="0" w:color="auto"/>
        <w:bottom w:val="none" w:sz="0" w:space="0" w:color="auto"/>
        <w:right w:val="none" w:sz="0" w:space="0" w:color="auto"/>
      </w:divBdr>
    </w:div>
    <w:div w:id="56780448">
      <w:bodyDiv w:val="1"/>
      <w:marLeft w:val="0"/>
      <w:marRight w:val="0"/>
      <w:marTop w:val="0"/>
      <w:marBottom w:val="0"/>
      <w:divBdr>
        <w:top w:val="none" w:sz="0" w:space="0" w:color="auto"/>
        <w:left w:val="none" w:sz="0" w:space="0" w:color="auto"/>
        <w:bottom w:val="none" w:sz="0" w:space="0" w:color="auto"/>
        <w:right w:val="none" w:sz="0" w:space="0" w:color="auto"/>
      </w:divBdr>
    </w:div>
    <w:div w:id="251092660">
      <w:bodyDiv w:val="1"/>
      <w:marLeft w:val="0"/>
      <w:marRight w:val="0"/>
      <w:marTop w:val="0"/>
      <w:marBottom w:val="0"/>
      <w:divBdr>
        <w:top w:val="none" w:sz="0" w:space="0" w:color="auto"/>
        <w:left w:val="none" w:sz="0" w:space="0" w:color="auto"/>
        <w:bottom w:val="none" w:sz="0" w:space="0" w:color="auto"/>
        <w:right w:val="none" w:sz="0" w:space="0" w:color="auto"/>
      </w:divBdr>
    </w:div>
    <w:div w:id="522061927">
      <w:bodyDiv w:val="1"/>
      <w:marLeft w:val="0"/>
      <w:marRight w:val="0"/>
      <w:marTop w:val="0"/>
      <w:marBottom w:val="0"/>
      <w:divBdr>
        <w:top w:val="none" w:sz="0" w:space="0" w:color="auto"/>
        <w:left w:val="none" w:sz="0" w:space="0" w:color="auto"/>
        <w:bottom w:val="none" w:sz="0" w:space="0" w:color="auto"/>
        <w:right w:val="none" w:sz="0" w:space="0" w:color="auto"/>
      </w:divBdr>
    </w:div>
    <w:div w:id="704670829">
      <w:bodyDiv w:val="1"/>
      <w:marLeft w:val="0"/>
      <w:marRight w:val="0"/>
      <w:marTop w:val="0"/>
      <w:marBottom w:val="0"/>
      <w:divBdr>
        <w:top w:val="none" w:sz="0" w:space="0" w:color="auto"/>
        <w:left w:val="none" w:sz="0" w:space="0" w:color="auto"/>
        <w:bottom w:val="none" w:sz="0" w:space="0" w:color="auto"/>
        <w:right w:val="none" w:sz="0" w:space="0" w:color="auto"/>
      </w:divBdr>
    </w:div>
    <w:div w:id="775757670">
      <w:bodyDiv w:val="1"/>
      <w:marLeft w:val="0"/>
      <w:marRight w:val="0"/>
      <w:marTop w:val="0"/>
      <w:marBottom w:val="0"/>
      <w:divBdr>
        <w:top w:val="none" w:sz="0" w:space="0" w:color="auto"/>
        <w:left w:val="none" w:sz="0" w:space="0" w:color="auto"/>
        <w:bottom w:val="none" w:sz="0" w:space="0" w:color="auto"/>
        <w:right w:val="none" w:sz="0" w:space="0" w:color="auto"/>
      </w:divBdr>
    </w:div>
    <w:div w:id="948925255">
      <w:bodyDiv w:val="1"/>
      <w:marLeft w:val="0"/>
      <w:marRight w:val="0"/>
      <w:marTop w:val="0"/>
      <w:marBottom w:val="0"/>
      <w:divBdr>
        <w:top w:val="none" w:sz="0" w:space="0" w:color="auto"/>
        <w:left w:val="none" w:sz="0" w:space="0" w:color="auto"/>
        <w:bottom w:val="none" w:sz="0" w:space="0" w:color="auto"/>
        <w:right w:val="none" w:sz="0" w:space="0" w:color="auto"/>
      </w:divBdr>
    </w:div>
    <w:div w:id="1177648123">
      <w:bodyDiv w:val="1"/>
      <w:marLeft w:val="0"/>
      <w:marRight w:val="0"/>
      <w:marTop w:val="0"/>
      <w:marBottom w:val="0"/>
      <w:divBdr>
        <w:top w:val="none" w:sz="0" w:space="0" w:color="auto"/>
        <w:left w:val="none" w:sz="0" w:space="0" w:color="auto"/>
        <w:bottom w:val="none" w:sz="0" w:space="0" w:color="auto"/>
        <w:right w:val="none" w:sz="0" w:space="0" w:color="auto"/>
      </w:divBdr>
    </w:div>
    <w:div w:id="1361975624">
      <w:bodyDiv w:val="1"/>
      <w:marLeft w:val="0"/>
      <w:marRight w:val="0"/>
      <w:marTop w:val="0"/>
      <w:marBottom w:val="0"/>
      <w:divBdr>
        <w:top w:val="none" w:sz="0" w:space="0" w:color="auto"/>
        <w:left w:val="none" w:sz="0" w:space="0" w:color="auto"/>
        <w:bottom w:val="none" w:sz="0" w:space="0" w:color="auto"/>
        <w:right w:val="none" w:sz="0" w:space="0" w:color="auto"/>
      </w:divBdr>
    </w:div>
    <w:div w:id="1415391607">
      <w:bodyDiv w:val="1"/>
      <w:marLeft w:val="0"/>
      <w:marRight w:val="0"/>
      <w:marTop w:val="0"/>
      <w:marBottom w:val="0"/>
      <w:divBdr>
        <w:top w:val="none" w:sz="0" w:space="0" w:color="auto"/>
        <w:left w:val="none" w:sz="0" w:space="0" w:color="auto"/>
        <w:bottom w:val="none" w:sz="0" w:space="0" w:color="auto"/>
        <w:right w:val="none" w:sz="0" w:space="0" w:color="auto"/>
      </w:divBdr>
    </w:div>
    <w:div w:id="1611232658">
      <w:bodyDiv w:val="1"/>
      <w:marLeft w:val="0"/>
      <w:marRight w:val="0"/>
      <w:marTop w:val="0"/>
      <w:marBottom w:val="0"/>
      <w:divBdr>
        <w:top w:val="none" w:sz="0" w:space="0" w:color="auto"/>
        <w:left w:val="none" w:sz="0" w:space="0" w:color="auto"/>
        <w:bottom w:val="none" w:sz="0" w:space="0" w:color="auto"/>
        <w:right w:val="none" w:sz="0" w:space="0" w:color="auto"/>
      </w:divBdr>
    </w:div>
    <w:div w:id="1834369614">
      <w:bodyDiv w:val="1"/>
      <w:marLeft w:val="0"/>
      <w:marRight w:val="0"/>
      <w:marTop w:val="0"/>
      <w:marBottom w:val="0"/>
      <w:divBdr>
        <w:top w:val="none" w:sz="0" w:space="0" w:color="auto"/>
        <w:left w:val="none" w:sz="0" w:space="0" w:color="auto"/>
        <w:bottom w:val="none" w:sz="0" w:space="0" w:color="auto"/>
        <w:right w:val="none" w:sz="0" w:space="0" w:color="auto"/>
      </w:divBdr>
    </w:div>
    <w:div w:id="2126999922">
      <w:bodyDiv w:val="1"/>
      <w:marLeft w:val="0"/>
      <w:marRight w:val="0"/>
      <w:marTop w:val="0"/>
      <w:marBottom w:val="0"/>
      <w:divBdr>
        <w:top w:val="none" w:sz="0" w:space="0" w:color="auto"/>
        <w:left w:val="none" w:sz="0" w:space="0" w:color="auto"/>
        <w:bottom w:val="none" w:sz="0" w:space="0" w:color="auto"/>
        <w:right w:val="none" w:sz="0" w:space="0" w:color="auto"/>
      </w:divBdr>
    </w:div>
    <w:div w:id="214369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yperlink" Target="mailto:ehealth.legislation@health.gov.au"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mailto:copyright@health.gov.au"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health.gov.au/internet/main/publishing.nsf/Content/PCEHR-Review"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health.gov.au/internet/main/publishing.nsf/Content/hlth-id-act-srvc-review-container"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s://consultations.health.gov.au/ehealth/ehr-and-hi-legislation-discussion-paper-1"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health.gov.au/internet/main/publishing.nsf/Content/hlth-id-act-srvc-review-container" TargetMode="External"/><Relationship Id="rId1" Type="http://schemas.openxmlformats.org/officeDocument/2006/relationships/hyperlink" Target="http://www.health.gov.au/internet/main/publishing.nsf/Content/PCEHR-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68DCD-0CBD-4790-9873-F884CB2EC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892</TotalTime>
  <Pages>32</Pages>
  <Words>12855</Words>
  <Characters>73277</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85961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Richter</dc:creator>
  <cp:lastModifiedBy>Kim Richter</cp:lastModifiedBy>
  <cp:revision>87</cp:revision>
  <cp:lastPrinted>2015-05-14T23:27:00Z</cp:lastPrinted>
  <dcterms:created xsi:type="dcterms:W3CDTF">2015-04-23T05:42:00Z</dcterms:created>
  <dcterms:modified xsi:type="dcterms:W3CDTF">2015-05-28T03:04:00Z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MATTER">
    <vt:lpwstr>1404007</vt:lpwstr>
  </property>
  <property fmtid="{D5CDD505-2E9C-101B-9397-08002B2CF9AE}" pid="3" name="DM_CLIENT">
    <vt:lpwstr>DEPA0006</vt:lpwstr>
  </property>
  <property fmtid="{D5CDD505-2E9C-101B-9397-08002B2CF9AE}" pid="4" name="DM_AUTHOR">
    <vt:lpwstr>GAD</vt:lpwstr>
  </property>
  <property fmtid="{D5CDD505-2E9C-101B-9397-08002B2CF9AE}" pid="5" name="DM_OPERATOR">
    <vt:lpwstr>GAD</vt:lpwstr>
  </property>
  <property fmtid="{D5CDD505-2E9C-101B-9397-08002B2CF9AE}" pid="6" name="DM_DESCRIPTION">
    <vt:lpwstr>PCEHR Legislation Discussion Paper - first draft - 20 April 2015 (GA comments)</vt:lpwstr>
  </property>
  <property fmtid="{D5CDD505-2E9C-101B-9397-08002B2CF9AE}" pid="7" name="DM_PRECEDENT">
    <vt:lpwstr/>
  </property>
  <property fmtid="{D5CDD505-2E9C-101B-9397-08002B2CF9AE}" pid="8" name="DM_INSERTFOOTER">
    <vt:i4>1</vt:i4>
  </property>
  <property fmtid="{D5CDD505-2E9C-101B-9397-08002B2CF9AE}" pid="9" name="DM_FOOTER1STPAGE">
    <vt:i4>1</vt:i4>
  </property>
  <property fmtid="{D5CDD505-2E9C-101B-9397-08002B2CF9AE}" pid="10" name="DM_DISPVERSIONINFOOTER">
    <vt:i4>0</vt:i4>
  </property>
  <property fmtid="{D5CDD505-2E9C-101B-9397-08002B2CF9AE}" pid="11" name="DM_PROMPTFORVERSION">
    <vt:i4>0</vt:i4>
  </property>
  <property fmtid="{D5CDD505-2E9C-101B-9397-08002B2CF9AE}" pid="12" name="DM_VERSION">
    <vt:i4>1</vt:i4>
  </property>
  <property fmtid="{D5CDD505-2E9C-101B-9397-08002B2CF9AE}" pid="13" name="DM_DISPFILENAMEINFOOTER">
    <vt:lpwstr>P018.docx</vt:lpwstr>
  </property>
  <property fmtid="{D5CDD505-2E9C-101B-9397-08002B2CF9AE}" pid="14" name="DM_PHONEBOOK">
    <vt:lpwstr>Department of Health</vt:lpwstr>
  </property>
  <property fmtid="{D5CDD505-2E9C-101B-9397-08002B2CF9AE}" pid="15" name="DM_AFTYDOCID">
    <vt:i4>1512778</vt:i4>
  </property>
</Properties>
</file>