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56" w:rsidRDefault="00190256">
      <w:pPr>
        <w:rPr>
          <w:rFonts w:ascii="Times New Roman" w:hAnsi="Times New Roman" w:cs="Times New Roman"/>
          <w:b/>
          <w:sz w:val="36"/>
          <w:szCs w:val="24"/>
        </w:rPr>
      </w:pPr>
      <w:r>
        <w:rPr>
          <w:noProof/>
          <w:lang w:eastAsia="en-AU"/>
        </w:rPr>
        <w:drawing>
          <wp:inline distT="0" distB="0" distL="0" distR="0" wp14:anchorId="3B522C42" wp14:editId="5A78A91B">
            <wp:extent cx="4170556" cy="996152"/>
            <wp:effectExtent l="0" t="0" r="1905" b="0"/>
            <wp:docPr id="3" name="Picture 6" descr="Crest of the Commonwealth Department of Health" title="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00" cy="1004976"/>
                    </a:xfrm>
                    <a:prstGeom prst="rect">
                      <a:avLst/>
                    </a:prstGeom>
                    <a:noFill/>
                  </pic:spPr>
                </pic:pic>
              </a:graphicData>
            </a:graphic>
          </wp:inline>
        </w:drawing>
      </w:r>
    </w:p>
    <w:p w:rsidR="00190256" w:rsidRDefault="00190256">
      <w:pPr>
        <w:rPr>
          <w:rFonts w:ascii="Times New Roman" w:hAnsi="Times New Roman" w:cs="Times New Roman"/>
          <w:b/>
          <w:sz w:val="36"/>
          <w:szCs w:val="24"/>
        </w:rPr>
      </w:pPr>
    </w:p>
    <w:p w:rsidR="00600049" w:rsidRDefault="00600049">
      <w:pPr>
        <w:rPr>
          <w:rFonts w:ascii="Times New Roman" w:hAnsi="Times New Roman" w:cs="Times New Roman"/>
          <w:b/>
          <w:sz w:val="36"/>
          <w:szCs w:val="24"/>
        </w:rPr>
      </w:pPr>
      <w:r>
        <w:rPr>
          <w:rFonts w:ascii="Times New Roman" w:hAnsi="Times New Roman" w:cs="Times New Roman"/>
          <w:b/>
          <w:sz w:val="36"/>
          <w:szCs w:val="24"/>
        </w:rPr>
        <w:t>FACTSHEET</w:t>
      </w:r>
      <w:r w:rsidR="008F627B">
        <w:rPr>
          <w:rFonts w:ascii="Times New Roman" w:hAnsi="Times New Roman" w:cs="Times New Roman"/>
          <w:b/>
          <w:sz w:val="36"/>
          <w:szCs w:val="24"/>
        </w:rPr>
        <w:t xml:space="preserve"> for Healthcare P</w:t>
      </w:r>
      <w:r w:rsidR="003D3655">
        <w:rPr>
          <w:rFonts w:ascii="Times New Roman" w:hAnsi="Times New Roman" w:cs="Times New Roman"/>
          <w:b/>
          <w:sz w:val="36"/>
          <w:szCs w:val="24"/>
        </w:rPr>
        <w:t>roviders</w:t>
      </w:r>
    </w:p>
    <w:p w:rsidR="004D51C8" w:rsidRDefault="00600049">
      <w:pPr>
        <w:rPr>
          <w:rFonts w:ascii="Times New Roman" w:hAnsi="Times New Roman" w:cs="Times New Roman"/>
          <w:b/>
          <w:sz w:val="36"/>
          <w:szCs w:val="24"/>
        </w:rPr>
      </w:pPr>
      <w:r>
        <w:rPr>
          <w:rFonts w:ascii="Times New Roman" w:hAnsi="Times New Roman" w:cs="Times New Roman"/>
          <w:b/>
          <w:sz w:val="36"/>
          <w:szCs w:val="24"/>
        </w:rPr>
        <w:t>E</w:t>
      </w:r>
      <w:r w:rsidR="005B546F" w:rsidRPr="005B546F">
        <w:rPr>
          <w:rFonts w:ascii="Times New Roman" w:hAnsi="Times New Roman" w:cs="Times New Roman"/>
          <w:b/>
          <w:sz w:val="36"/>
          <w:szCs w:val="24"/>
        </w:rPr>
        <w:t>lectronic Health Records and Healthcare Identifiers: Legislation Discussion Paper</w:t>
      </w:r>
      <w:r w:rsidR="0052686E">
        <w:rPr>
          <w:rFonts w:ascii="Times New Roman" w:hAnsi="Times New Roman" w:cs="Times New Roman"/>
          <w:b/>
          <w:sz w:val="36"/>
          <w:szCs w:val="24"/>
        </w:rPr>
        <w:t xml:space="preserve"> </w:t>
      </w:r>
      <w:r w:rsidR="003D3655">
        <w:rPr>
          <w:rFonts w:ascii="Times New Roman" w:hAnsi="Times New Roman" w:cs="Times New Roman"/>
          <w:b/>
          <w:sz w:val="36"/>
          <w:szCs w:val="24"/>
        </w:rPr>
        <w:t xml:space="preserve"> </w:t>
      </w:r>
    </w:p>
    <w:p w:rsidR="00BD6F9A" w:rsidRDefault="009F143D">
      <w:pPr>
        <w:rPr>
          <w:rFonts w:ascii="Times New Roman" w:hAnsi="Times New Roman" w:cs="Times New Roman"/>
        </w:rPr>
      </w:pPr>
      <w:r w:rsidRPr="000E4BB7">
        <w:rPr>
          <w:rFonts w:ascii="Times New Roman" w:hAnsi="Times New Roman" w:cs="Times New Roman"/>
        </w:rPr>
        <w:t>The Australian Government is proposing changes to the personally controlled electronic health record (PCEHR) system and the Healthcare Identifiers (HI) Service</w:t>
      </w:r>
      <w:r w:rsidR="005D1A19" w:rsidRPr="000E4BB7">
        <w:rPr>
          <w:rFonts w:ascii="Times New Roman" w:hAnsi="Times New Roman" w:cs="Times New Roman"/>
        </w:rPr>
        <w:t xml:space="preserve"> </w:t>
      </w:r>
      <w:r w:rsidR="00307B09" w:rsidRPr="000E4BB7">
        <w:rPr>
          <w:rFonts w:ascii="Times New Roman" w:hAnsi="Times New Roman" w:cs="Times New Roman"/>
        </w:rPr>
        <w:t xml:space="preserve">primarily </w:t>
      </w:r>
      <w:r w:rsidR="005D1A19" w:rsidRPr="000E4BB7">
        <w:rPr>
          <w:rFonts w:ascii="Times New Roman" w:hAnsi="Times New Roman" w:cs="Times New Roman"/>
        </w:rPr>
        <w:t xml:space="preserve">as a result of reviews undertaken </w:t>
      </w:r>
      <w:r w:rsidR="00307B09" w:rsidRPr="000E4BB7">
        <w:rPr>
          <w:rFonts w:ascii="Times New Roman" w:hAnsi="Times New Roman" w:cs="Times New Roman"/>
        </w:rPr>
        <w:t xml:space="preserve">on their operations and legislation. </w:t>
      </w:r>
    </w:p>
    <w:p w:rsidR="000309AF" w:rsidRDefault="000309AF">
      <w:pPr>
        <w:rPr>
          <w:rFonts w:ascii="Times New Roman" w:hAnsi="Times New Roman" w:cs="Times New Roman"/>
        </w:rPr>
      </w:pPr>
      <w:r>
        <w:rPr>
          <w:rFonts w:ascii="Times New Roman" w:hAnsi="Times New Roman" w:cs="Times New Roman"/>
        </w:rPr>
        <w:t>The PCEHR review found that there was overwhelming support for continuing the path of implementing a consistent eHealth record system for all Australians, but that a change in approach was needed to correct early implementation issues.  The HI Service review found that the core functionality of the HI Service is operating and working effectively, but since it is now impacting on clinical workflow</w:t>
      </w:r>
      <w:r w:rsidR="00600049">
        <w:rPr>
          <w:rFonts w:ascii="Times New Roman" w:hAnsi="Times New Roman" w:cs="Times New Roman"/>
        </w:rPr>
        <w:t>,</w:t>
      </w:r>
      <w:r>
        <w:rPr>
          <w:rFonts w:ascii="Times New Roman" w:hAnsi="Times New Roman" w:cs="Times New Roman"/>
        </w:rPr>
        <w:t xml:space="preserve"> there are some risks and issues emerging that may require enhancement and adjustment of processes and the legislative framework.</w:t>
      </w:r>
    </w:p>
    <w:p w:rsidR="008B0F9D" w:rsidRPr="000E4BB7" w:rsidRDefault="008B0F9D" w:rsidP="008B0F9D">
      <w:pPr>
        <w:rPr>
          <w:rFonts w:ascii="Times New Roman" w:hAnsi="Times New Roman" w:cs="Times New Roman"/>
        </w:rPr>
      </w:pPr>
      <w:r w:rsidRPr="000E4BB7">
        <w:rPr>
          <w:rFonts w:ascii="Times New Roman" w:hAnsi="Times New Roman" w:cs="Times New Roman"/>
        </w:rPr>
        <w:t xml:space="preserve">The proposed changes are aimed at </w:t>
      </w:r>
      <w:r>
        <w:rPr>
          <w:rFonts w:ascii="Times New Roman" w:hAnsi="Times New Roman" w:cs="Times New Roman"/>
        </w:rPr>
        <w:t>bringing forward the benefits including better health outcomes and a more efficient system, by</w:t>
      </w:r>
      <w:r w:rsidRPr="000E4BB7">
        <w:rPr>
          <w:rFonts w:ascii="Times New Roman" w:hAnsi="Times New Roman" w:cs="Times New Roman"/>
        </w:rPr>
        <w:t xml:space="preserve"> increasing the number of individuals and healthcare providers participating in the PCEHR system and making the system more user-friendly.  The changes will</w:t>
      </w:r>
      <w:r>
        <w:rPr>
          <w:rFonts w:ascii="Times New Roman" w:hAnsi="Times New Roman" w:cs="Times New Roman"/>
        </w:rPr>
        <w:t xml:space="preserve"> result in a system which </w:t>
      </w:r>
      <w:r w:rsidRPr="000E4BB7">
        <w:rPr>
          <w:rFonts w:ascii="Times New Roman" w:hAnsi="Times New Roman" w:cs="Times New Roman"/>
        </w:rPr>
        <w:t>better align</w:t>
      </w:r>
      <w:r>
        <w:rPr>
          <w:rFonts w:ascii="Times New Roman" w:hAnsi="Times New Roman" w:cs="Times New Roman"/>
        </w:rPr>
        <w:t>s</w:t>
      </w:r>
      <w:r w:rsidRPr="000E4BB7">
        <w:rPr>
          <w:rFonts w:ascii="Times New Roman" w:hAnsi="Times New Roman" w:cs="Times New Roman"/>
        </w:rPr>
        <w:t xml:space="preserve"> with existing clinical workflows in healthcare practices and ensure additional information, such as current medication lists and known adverse drug interactions are easily identified.</w:t>
      </w:r>
    </w:p>
    <w:p w:rsidR="009F143D" w:rsidRPr="000E4BB7" w:rsidRDefault="009F143D">
      <w:pPr>
        <w:rPr>
          <w:rFonts w:ascii="Times New Roman" w:hAnsi="Times New Roman" w:cs="Times New Roman"/>
        </w:rPr>
      </w:pPr>
      <w:r w:rsidRPr="000E4BB7">
        <w:rPr>
          <w:rFonts w:ascii="Times New Roman" w:hAnsi="Times New Roman" w:cs="Times New Roman"/>
        </w:rPr>
        <w:t xml:space="preserve">The </w:t>
      </w:r>
      <w:r w:rsidRPr="000E4BB7">
        <w:rPr>
          <w:rFonts w:ascii="Times New Roman" w:hAnsi="Times New Roman" w:cs="Times New Roman"/>
          <w:i/>
        </w:rPr>
        <w:t>Electronic Health Records and Healthcare Identifiers: Legislation Discussion Paper</w:t>
      </w:r>
      <w:r w:rsidRPr="000E4BB7">
        <w:rPr>
          <w:rFonts w:ascii="Times New Roman" w:hAnsi="Times New Roman" w:cs="Times New Roman"/>
        </w:rPr>
        <w:t xml:space="preserve"> is intended to promote discussion within the community about the proposed changes.</w:t>
      </w:r>
    </w:p>
    <w:p w:rsidR="00817533" w:rsidRDefault="00BA2D53" w:rsidP="00817533">
      <w:pPr>
        <w:rPr>
          <w:rFonts w:ascii="Times New Roman" w:hAnsi="Times New Roman" w:cs="Times New Roman"/>
        </w:rPr>
      </w:pPr>
      <w:r w:rsidRPr="000E4BB7">
        <w:rPr>
          <w:rFonts w:ascii="Times New Roman" w:hAnsi="Times New Roman" w:cs="Times New Roman"/>
        </w:rPr>
        <w:t>The discussion paper proposes changes to address important aspects of the PCEHR system including:</w:t>
      </w:r>
    </w:p>
    <w:p w:rsidR="00817533" w:rsidRDefault="00817533" w:rsidP="00BA2D53">
      <w:pPr>
        <w:pStyle w:val="ListParagraph"/>
        <w:numPr>
          <w:ilvl w:val="0"/>
          <w:numId w:val="1"/>
        </w:numPr>
        <w:rPr>
          <w:rFonts w:ascii="Times New Roman" w:hAnsi="Times New Roman" w:cs="Times New Roman"/>
        </w:rPr>
      </w:pPr>
      <w:r>
        <w:rPr>
          <w:rFonts w:ascii="Times New Roman" w:hAnsi="Times New Roman" w:cs="Times New Roman"/>
        </w:rPr>
        <w:t>preliminary matters;</w:t>
      </w:r>
    </w:p>
    <w:p w:rsidR="00817533" w:rsidRDefault="00817533" w:rsidP="00BA2D53">
      <w:pPr>
        <w:pStyle w:val="ListParagraph"/>
        <w:numPr>
          <w:ilvl w:val="0"/>
          <w:numId w:val="1"/>
        </w:numPr>
        <w:rPr>
          <w:rFonts w:ascii="Times New Roman" w:hAnsi="Times New Roman" w:cs="Times New Roman"/>
        </w:rPr>
      </w:pPr>
      <w:r>
        <w:rPr>
          <w:rFonts w:ascii="Times New Roman" w:hAnsi="Times New Roman" w:cs="Times New Roman"/>
        </w:rPr>
        <w:t>governance;</w:t>
      </w:r>
    </w:p>
    <w:p w:rsidR="00BA2D53" w:rsidRDefault="00B71907" w:rsidP="00BA2D53">
      <w:pPr>
        <w:pStyle w:val="ListParagraph"/>
        <w:numPr>
          <w:ilvl w:val="0"/>
          <w:numId w:val="1"/>
        </w:numPr>
        <w:rPr>
          <w:rFonts w:ascii="Times New Roman" w:hAnsi="Times New Roman" w:cs="Times New Roman"/>
        </w:rPr>
      </w:pPr>
      <w:r w:rsidRPr="000E4BB7">
        <w:rPr>
          <w:rFonts w:ascii="Times New Roman" w:hAnsi="Times New Roman" w:cs="Times New Roman"/>
        </w:rPr>
        <w:t>p</w:t>
      </w:r>
      <w:r w:rsidR="00BA2D53" w:rsidRPr="000E4BB7">
        <w:rPr>
          <w:rFonts w:ascii="Times New Roman" w:hAnsi="Times New Roman" w:cs="Times New Roman"/>
        </w:rPr>
        <w:t>articipation</w:t>
      </w:r>
      <w:r w:rsidRPr="000E4BB7">
        <w:rPr>
          <w:rFonts w:ascii="Times New Roman" w:hAnsi="Times New Roman" w:cs="Times New Roman"/>
        </w:rPr>
        <w:t>;</w:t>
      </w:r>
    </w:p>
    <w:p w:rsidR="00817533" w:rsidRPr="000E4BB7" w:rsidRDefault="00817533" w:rsidP="00BA2D53">
      <w:pPr>
        <w:pStyle w:val="ListParagraph"/>
        <w:numPr>
          <w:ilvl w:val="0"/>
          <w:numId w:val="1"/>
        </w:numPr>
        <w:rPr>
          <w:rFonts w:ascii="Times New Roman" w:hAnsi="Times New Roman" w:cs="Times New Roman"/>
        </w:rPr>
      </w:pPr>
      <w:r>
        <w:rPr>
          <w:rFonts w:ascii="Times New Roman" w:hAnsi="Times New Roman" w:cs="Times New Roman"/>
        </w:rPr>
        <w:t>obligations of parties;</w:t>
      </w:r>
      <w:r w:rsidR="00D52A12">
        <w:rPr>
          <w:rFonts w:ascii="Times New Roman" w:hAnsi="Times New Roman" w:cs="Times New Roman"/>
        </w:rPr>
        <w:t xml:space="preserve"> and</w:t>
      </w:r>
    </w:p>
    <w:p w:rsidR="00BA2D53" w:rsidRPr="000E4BB7" w:rsidRDefault="00B71907" w:rsidP="00BA2D53">
      <w:pPr>
        <w:pStyle w:val="ListParagraph"/>
        <w:numPr>
          <w:ilvl w:val="0"/>
          <w:numId w:val="1"/>
        </w:numPr>
        <w:rPr>
          <w:rFonts w:ascii="Times New Roman" w:hAnsi="Times New Roman" w:cs="Times New Roman"/>
        </w:rPr>
      </w:pPr>
      <w:proofErr w:type="gramStart"/>
      <w:r w:rsidRPr="000E4BB7">
        <w:rPr>
          <w:rFonts w:ascii="Times New Roman" w:hAnsi="Times New Roman" w:cs="Times New Roman"/>
        </w:rPr>
        <w:t>p</w:t>
      </w:r>
      <w:r w:rsidR="00BA2D53" w:rsidRPr="000E4BB7">
        <w:rPr>
          <w:rFonts w:ascii="Times New Roman" w:hAnsi="Times New Roman" w:cs="Times New Roman"/>
        </w:rPr>
        <w:t>rivacy</w:t>
      </w:r>
      <w:proofErr w:type="gramEnd"/>
      <w:r w:rsidR="00D52A12">
        <w:rPr>
          <w:rFonts w:ascii="Times New Roman" w:hAnsi="Times New Roman" w:cs="Times New Roman"/>
        </w:rPr>
        <w:t xml:space="preserve"> and</w:t>
      </w:r>
      <w:r w:rsidR="006748C4" w:rsidRPr="000E4BB7">
        <w:rPr>
          <w:rFonts w:ascii="Times New Roman" w:hAnsi="Times New Roman" w:cs="Times New Roman"/>
        </w:rPr>
        <w:t xml:space="preserve"> security.</w:t>
      </w:r>
    </w:p>
    <w:p w:rsidR="003571F5" w:rsidRDefault="003571F5" w:rsidP="00817533">
      <w:pPr>
        <w:spacing w:after="120"/>
        <w:rPr>
          <w:rFonts w:ascii="Times New Roman" w:hAnsi="Times New Roman" w:cs="Times New Roman"/>
          <w:b/>
        </w:rPr>
      </w:pPr>
      <w:r>
        <w:rPr>
          <w:rFonts w:ascii="Times New Roman" w:hAnsi="Times New Roman" w:cs="Times New Roman"/>
          <w:b/>
        </w:rPr>
        <w:t>Preliminary matters</w:t>
      </w:r>
    </w:p>
    <w:p w:rsidR="005F4EBD" w:rsidRDefault="005C2EE0" w:rsidP="00817533">
      <w:pPr>
        <w:spacing w:after="120"/>
        <w:rPr>
          <w:rFonts w:ascii="Times New Roman" w:hAnsi="Times New Roman" w:cs="Times New Roman"/>
        </w:rPr>
      </w:pPr>
      <w:r>
        <w:rPr>
          <w:rFonts w:ascii="Times New Roman" w:hAnsi="Times New Roman" w:cs="Times New Roman"/>
        </w:rPr>
        <w:t xml:space="preserve">It is proposed to change the name of the PCEHR </w:t>
      </w:r>
      <w:r w:rsidR="005F4EBD">
        <w:rPr>
          <w:rFonts w:ascii="Times New Roman" w:hAnsi="Times New Roman" w:cs="Times New Roman"/>
        </w:rPr>
        <w:t xml:space="preserve">to better reflect the partnership between individuals and their healthcare providers.  The Department of Health undertook consultations and focus group testing and the name </w:t>
      </w:r>
      <w:r w:rsidR="0052686E">
        <w:rPr>
          <w:rFonts w:ascii="Times New Roman" w:hAnsi="Times New Roman" w:cs="Times New Roman"/>
        </w:rPr>
        <w:t>‘</w:t>
      </w:r>
      <w:r w:rsidR="005F4EBD">
        <w:rPr>
          <w:rFonts w:ascii="Times New Roman" w:hAnsi="Times New Roman" w:cs="Times New Roman"/>
        </w:rPr>
        <w:t>My Health Record</w:t>
      </w:r>
      <w:r w:rsidR="0052686E">
        <w:rPr>
          <w:rFonts w:ascii="Times New Roman" w:hAnsi="Times New Roman" w:cs="Times New Roman"/>
        </w:rPr>
        <w:t>’</w:t>
      </w:r>
      <w:r w:rsidR="005F4EBD">
        <w:rPr>
          <w:rFonts w:ascii="Times New Roman" w:hAnsi="Times New Roman" w:cs="Times New Roman"/>
        </w:rPr>
        <w:t xml:space="preserve"> was considered to be a more suitable name.</w:t>
      </w:r>
    </w:p>
    <w:p w:rsidR="00BA4758" w:rsidRDefault="00D52A12" w:rsidP="00817533">
      <w:pPr>
        <w:spacing w:after="120"/>
        <w:rPr>
          <w:rFonts w:ascii="Times New Roman" w:hAnsi="Times New Roman" w:cs="Times New Roman"/>
        </w:rPr>
      </w:pPr>
      <w:r>
        <w:rPr>
          <w:rFonts w:ascii="Times New Roman" w:hAnsi="Times New Roman" w:cs="Times New Roman"/>
        </w:rPr>
        <w:lastRenderedPageBreak/>
        <w:t xml:space="preserve">There </w:t>
      </w:r>
      <w:r w:rsidR="00BA4758">
        <w:rPr>
          <w:rFonts w:ascii="Times New Roman" w:hAnsi="Times New Roman" w:cs="Times New Roman"/>
        </w:rPr>
        <w:t>is also a</w:t>
      </w:r>
      <w:r>
        <w:rPr>
          <w:rFonts w:ascii="Times New Roman" w:hAnsi="Times New Roman" w:cs="Times New Roman"/>
        </w:rPr>
        <w:t xml:space="preserve"> proposal to </w:t>
      </w:r>
      <w:r w:rsidR="00600049">
        <w:rPr>
          <w:rFonts w:ascii="Times New Roman" w:hAnsi="Times New Roman" w:cs="Times New Roman"/>
        </w:rPr>
        <w:t xml:space="preserve">clarify the term </w:t>
      </w:r>
      <w:r w:rsidR="008F627B">
        <w:rPr>
          <w:rFonts w:ascii="Times New Roman" w:hAnsi="Times New Roman" w:cs="Times New Roman"/>
        </w:rPr>
        <w:t>‘</w:t>
      </w:r>
      <w:r>
        <w:rPr>
          <w:rFonts w:ascii="Times New Roman" w:hAnsi="Times New Roman" w:cs="Times New Roman"/>
        </w:rPr>
        <w:t>healthcare</w:t>
      </w:r>
      <w:r w:rsidR="008F627B">
        <w:rPr>
          <w:rFonts w:ascii="Times New Roman" w:hAnsi="Times New Roman" w:cs="Times New Roman"/>
        </w:rPr>
        <w:t>’</w:t>
      </w:r>
      <w:r>
        <w:rPr>
          <w:rFonts w:ascii="Times New Roman" w:hAnsi="Times New Roman" w:cs="Times New Roman"/>
        </w:rPr>
        <w:t xml:space="preserve"> in the PCEHR Act and the HI Service Act to </w:t>
      </w:r>
      <w:r w:rsidR="00600049">
        <w:rPr>
          <w:rFonts w:ascii="Times New Roman" w:hAnsi="Times New Roman" w:cs="Times New Roman"/>
        </w:rPr>
        <w:t xml:space="preserve">explicitly </w:t>
      </w:r>
      <w:r>
        <w:rPr>
          <w:rFonts w:ascii="Times New Roman" w:hAnsi="Times New Roman" w:cs="Times New Roman"/>
        </w:rPr>
        <w:t xml:space="preserve">include health-related disability, palliative care </w:t>
      </w:r>
      <w:r w:rsidR="0052686E">
        <w:rPr>
          <w:rFonts w:ascii="Times New Roman" w:hAnsi="Times New Roman" w:cs="Times New Roman"/>
        </w:rPr>
        <w:t xml:space="preserve">and </w:t>
      </w:r>
      <w:r>
        <w:rPr>
          <w:rFonts w:ascii="Times New Roman" w:hAnsi="Times New Roman" w:cs="Times New Roman"/>
        </w:rPr>
        <w:t>aged service</w:t>
      </w:r>
      <w:r w:rsidR="0052686E">
        <w:rPr>
          <w:rFonts w:ascii="Times New Roman" w:hAnsi="Times New Roman" w:cs="Times New Roman"/>
        </w:rPr>
        <w:t>s</w:t>
      </w:r>
      <w:r w:rsidR="00BA4758">
        <w:rPr>
          <w:rFonts w:ascii="Times New Roman" w:hAnsi="Times New Roman" w:cs="Times New Roman"/>
        </w:rPr>
        <w:t>.   It is also intended t</w:t>
      </w:r>
      <w:r>
        <w:rPr>
          <w:rFonts w:ascii="Times New Roman" w:hAnsi="Times New Roman" w:cs="Times New Roman"/>
        </w:rPr>
        <w:t>o allow regulations to be made to</w:t>
      </w:r>
      <w:r w:rsidR="00600049">
        <w:rPr>
          <w:rFonts w:ascii="Times New Roman" w:hAnsi="Times New Roman" w:cs="Times New Roman"/>
        </w:rPr>
        <w:t xml:space="preserve"> exclude activities from being </w:t>
      </w:r>
      <w:r w:rsidR="0052686E">
        <w:rPr>
          <w:rFonts w:ascii="Times New Roman" w:hAnsi="Times New Roman" w:cs="Times New Roman"/>
        </w:rPr>
        <w:t>‘</w:t>
      </w:r>
      <w:r w:rsidR="00600049">
        <w:rPr>
          <w:rFonts w:ascii="Times New Roman" w:hAnsi="Times New Roman" w:cs="Times New Roman"/>
        </w:rPr>
        <w:t>healthcare</w:t>
      </w:r>
      <w:r w:rsidR="0052686E">
        <w:rPr>
          <w:rFonts w:ascii="Times New Roman" w:hAnsi="Times New Roman" w:cs="Times New Roman"/>
        </w:rPr>
        <w:t>’</w:t>
      </w:r>
      <w:r>
        <w:rPr>
          <w:rFonts w:ascii="Times New Roman" w:hAnsi="Times New Roman" w:cs="Times New Roman"/>
        </w:rPr>
        <w:t xml:space="preserve"> because they are performed for reaso</w:t>
      </w:r>
      <w:r w:rsidR="00BA4758">
        <w:rPr>
          <w:rFonts w:ascii="Times New Roman" w:hAnsi="Times New Roman" w:cs="Times New Roman"/>
        </w:rPr>
        <w:t xml:space="preserve">ns other than care or treatment (e.g. the purpose of life, health or other insurance).  </w:t>
      </w:r>
    </w:p>
    <w:p w:rsidR="00BA4758" w:rsidRPr="00BA4758" w:rsidRDefault="00BA4758" w:rsidP="00997D3D">
      <w:pPr>
        <w:spacing w:after="120"/>
        <w:rPr>
          <w:rStyle w:val="IntenseReference"/>
          <w:rFonts w:ascii="Times New Roman" w:hAnsi="Times New Roman" w:cs="Times New Roman"/>
          <w:b w:val="0"/>
          <w:bCs w:val="0"/>
          <w:i w:val="0"/>
          <w:smallCaps w:val="0"/>
          <w:color w:val="auto"/>
        </w:rPr>
      </w:pPr>
      <w:r w:rsidRPr="00BA4758">
        <w:rPr>
          <w:rFonts w:ascii="Times New Roman" w:hAnsi="Times New Roman" w:cs="Times New Roman"/>
        </w:rPr>
        <w:t>The HI Act currently defines</w:t>
      </w:r>
      <w:r w:rsidR="00600049">
        <w:rPr>
          <w:rFonts w:ascii="Times New Roman" w:hAnsi="Times New Roman" w:cs="Times New Roman"/>
        </w:rPr>
        <w:t xml:space="preserve"> </w:t>
      </w:r>
      <w:r w:rsidR="0052686E">
        <w:rPr>
          <w:rFonts w:ascii="Times New Roman" w:hAnsi="Times New Roman" w:cs="Times New Roman"/>
        </w:rPr>
        <w:t>‘</w:t>
      </w:r>
      <w:r w:rsidR="00600049">
        <w:rPr>
          <w:rFonts w:ascii="Times New Roman" w:hAnsi="Times New Roman" w:cs="Times New Roman"/>
        </w:rPr>
        <w:t>healthcare provider</w:t>
      </w:r>
      <w:r w:rsidR="0052686E">
        <w:rPr>
          <w:rFonts w:ascii="Times New Roman" w:hAnsi="Times New Roman" w:cs="Times New Roman"/>
        </w:rPr>
        <w:t>’</w:t>
      </w:r>
      <w:r w:rsidRPr="00BA4758">
        <w:rPr>
          <w:rFonts w:ascii="Times New Roman" w:hAnsi="Times New Roman" w:cs="Times New Roman"/>
        </w:rPr>
        <w:t xml:space="preserve"> to include both healthcare provider organisations and individual healthcare providers.   As a result both information and identifiers of organisations are given the same level of privacy protection as individuals</w:t>
      </w:r>
      <w:r w:rsidR="00600049">
        <w:rPr>
          <w:rFonts w:ascii="Times New Roman" w:hAnsi="Times New Roman" w:cs="Times New Roman"/>
        </w:rPr>
        <w:t xml:space="preserve"> even though they are not personal information</w:t>
      </w:r>
      <w:r w:rsidRPr="00BA4758">
        <w:rPr>
          <w:rFonts w:ascii="Times New Roman" w:hAnsi="Times New Roman" w:cs="Times New Roman"/>
        </w:rPr>
        <w:t>.</w:t>
      </w:r>
      <w:r w:rsidR="00770DF0">
        <w:rPr>
          <w:rFonts w:ascii="Times New Roman" w:hAnsi="Times New Roman" w:cs="Times New Roman"/>
        </w:rPr>
        <w:t xml:space="preserve">  </w:t>
      </w:r>
      <w:r w:rsidRPr="00BA4758">
        <w:rPr>
          <w:rStyle w:val="IntenseReference"/>
          <w:rFonts w:ascii="Times New Roman" w:hAnsi="Times New Roman" w:cs="Times New Roman"/>
          <w:b w:val="0"/>
          <w:i w:val="0"/>
          <w:smallCaps w:val="0"/>
          <w:color w:val="auto"/>
        </w:rPr>
        <w:t xml:space="preserve">The HI </w:t>
      </w:r>
      <w:r w:rsidR="0052686E">
        <w:rPr>
          <w:rStyle w:val="IntenseReference"/>
          <w:rFonts w:ascii="Times New Roman" w:hAnsi="Times New Roman" w:cs="Times New Roman"/>
          <w:b w:val="0"/>
          <w:i w:val="0"/>
          <w:smallCaps w:val="0"/>
          <w:color w:val="auto"/>
        </w:rPr>
        <w:t>r</w:t>
      </w:r>
      <w:r w:rsidRPr="00BA4758">
        <w:rPr>
          <w:rStyle w:val="IntenseReference"/>
          <w:rFonts w:ascii="Times New Roman" w:hAnsi="Times New Roman" w:cs="Times New Roman"/>
          <w:b w:val="0"/>
          <w:i w:val="0"/>
          <w:smallCaps w:val="0"/>
          <w:color w:val="auto"/>
        </w:rPr>
        <w:t>eview recommended that healthcare provider organisations be distinguished from i</w:t>
      </w:r>
      <w:r w:rsidR="00997D3D">
        <w:rPr>
          <w:rStyle w:val="IntenseReference"/>
          <w:rFonts w:ascii="Times New Roman" w:hAnsi="Times New Roman" w:cs="Times New Roman"/>
          <w:b w:val="0"/>
          <w:i w:val="0"/>
          <w:smallCaps w:val="0"/>
          <w:color w:val="auto"/>
        </w:rPr>
        <w:t>ndividual healthcare providers.</w:t>
      </w:r>
      <w:r w:rsidR="00600049">
        <w:rPr>
          <w:rStyle w:val="IntenseReference"/>
          <w:rFonts w:ascii="Times New Roman" w:hAnsi="Times New Roman" w:cs="Times New Roman"/>
          <w:b w:val="0"/>
          <w:i w:val="0"/>
          <w:smallCaps w:val="0"/>
          <w:color w:val="auto"/>
        </w:rPr>
        <w:t xml:space="preserve"> </w:t>
      </w:r>
      <w:r w:rsidR="00997D3D">
        <w:rPr>
          <w:rStyle w:val="IntenseReference"/>
          <w:rFonts w:ascii="Times New Roman" w:hAnsi="Times New Roman" w:cs="Times New Roman"/>
          <w:b w:val="0"/>
          <w:i w:val="0"/>
          <w:smallCaps w:val="0"/>
          <w:color w:val="auto"/>
        </w:rPr>
        <w:t xml:space="preserve"> </w:t>
      </w:r>
      <w:r w:rsidRPr="00BA4758">
        <w:rPr>
          <w:rStyle w:val="IntenseReference"/>
          <w:rFonts w:ascii="Times New Roman" w:hAnsi="Times New Roman" w:cs="Times New Roman"/>
          <w:b w:val="0"/>
          <w:i w:val="0"/>
          <w:smallCaps w:val="0"/>
          <w:color w:val="auto"/>
        </w:rPr>
        <w:t xml:space="preserve">It is proposed that all provisions make clear whether they apply to healthcare provider organisations and/or individual healthcare providers, and that information about healthcare provider organisations, including their healthcare identifier, no longer be treated as personal information. </w:t>
      </w:r>
    </w:p>
    <w:p w:rsidR="00817533" w:rsidRPr="00817533" w:rsidRDefault="00817533" w:rsidP="00817533">
      <w:pPr>
        <w:spacing w:after="120"/>
        <w:rPr>
          <w:rFonts w:ascii="Times New Roman" w:hAnsi="Times New Roman" w:cs="Times New Roman"/>
          <w:b/>
        </w:rPr>
      </w:pPr>
      <w:r w:rsidRPr="00817533">
        <w:rPr>
          <w:rFonts w:ascii="Times New Roman" w:hAnsi="Times New Roman" w:cs="Times New Roman"/>
          <w:b/>
        </w:rPr>
        <w:t>Governance</w:t>
      </w:r>
    </w:p>
    <w:p w:rsidR="008B0F9D" w:rsidRPr="006500F5" w:rsidRDefault="008B0F9D" w:rsidP="008B0F9D">
      <w:pPr>
        <w:rPr>
          <w:rFonts w:ascii="Times New Roman" w:hAnsi="Times New Roman" w:cs="Times New Roman"/>
          <w:szCs w:val="24"/>
        </w:rPr>
      </w:pPr>
      <w:r w:rsidRPr="006500F5">
        <w:rPr>
          <w:rFonts w:ascii="Times New Roman" w:hAnsi="Times New Roman" w:cs="Times New Roman"/>
          <w:szCs w:val="24"/>
        </w:rPr>
        <w:t xml:space="preserve">The PCEHR review identified concerns with the current eHealth governance arrangements.  </w:t>
      </w:r>
      <w:r>
        <w:rPr>
          <w:rFonts w:ascii="Times New Roman" w:hAnsi="Times New Roman" w:cs="Times New Roman"/>
          <w:szCs w:val="24"/>
        </w:rPr>
        <w:t>In response to these it is p</w:t>
      </w:r>
      <w:r w:rsidRPr="006500F5">
        <w:rPr>
          <w:rFonts w:ascii="Times New Roman" w:hAnsi="Times New Roman" w:cs="Times New Roman"/>
          <w:szCs w:val="24"/>
        </w:rPr>
        <w:t xml:space="preserve">roposed </w:t>
      </w:r>
      <w:r>
        <w:rPr>
          <w:rFonts w:ascii="Times New Roman" w:hAnsi="Times New Roman" w:cs="Times New Roman"/>
          <w:szCs w:val="24"/>
        </w:rPr>
        <w:t>to establish the</w:t>
      </w:r>
      <w:r w:rsidRPr="006500F5">
        <w:rPr>
          <w:rFonts w:ascii="Times New Roman" w:hAnsi="Times New Roman" w:cs="Times New Roman"/>
          <w:szCs w:val="24"/>
        </w:rPr>
        <w:t xml:space="preserve"> Commonwealth statutory authority, the Australian Commission for Electronic Health (</w:t>
      </w:r>
      <w:proofErr w:type="spellStart"/>
      <w:r w:rsidRPr="006500F5">
        <w:rPr>
          <w:rFonts w:ascii="Times New Roman" w:hAnsi="Times New Roman" w:cs="Times New Roman"/>
          <w:szCs w:val="24"/>
        </w:rPr>
        <w:t>ACeH</w:t>
      </w:r>
      <w:proofErr w:type="spellEnd"/>
      <w:r w:rsidRPr="006500F5">
        <w:rPr>
          <w:rFonts w:ascii="Times New Roman" w:hAnsi="Times New Roman" w:cs="Times New Roman"/>
          <w:szCs w:val="24"/>
        </w:rPr>
        <w:t>).</w:t>
      </w:r>
    </w:p>
    <w:p w:rsidR="008B0F9D" w:rsidRPr="006500F5" w:rsidRDefault="008B0F9D" w:rsidP="008B0F9D">
      <w:pPr>
        <w:rPr>
          <w:rFonts w:ascii="Times New Roman" w:hAnsi="Times New Roman" w:cs="Times New Roman"/>
          <w:szCs w:val="24"/>
        </w:rPr>
      </w:pPr>
      <w:r w:rsidRPr="006500F5">
        <w:rPr>
          <w:rFonts w:ascii="Times New Roman" w:hAnsi="Times New Roman" w:cs="Times New Roman"/>
          <w:szCs w:val="24"/>
        </w:rPr>
        <w:t xml:space="preserve">The establishment of </w:t>
      </w:r>
      <w:proofErr w:type="spellStart"/>
      <w:r w:rsidRPr="006500F5">
        <w:rPr>
          <w:rFonts w:ascii="Times New Roman" w:hAnsi="Times New Roman" w:cs="Times New Roman"/>
          <w:szCs w:val="24"/>
        </w:rPr>
        <w:t>ACeH</w:t>
      </w:r>
      <w:proofErr w:type="spellEnd"/>
      <w:r w:rsidRPr="006500F5">
        <w:rPr>
          <w:rFonts w:ascii="Times New Roman" w:hAnsi="Times New Roman" w:cs="Times New Roman"/>
          <w:szCs w:val="24"/>
        </w:rPr>
        <w:t xml:space="preserve"> will strengthen the governance and accountability arrangements across all national eHealth development and implementation and improve key stakeholder involvement.</w:t>
      </w:r>
      <w:r>
        <w:rPr>
          <w:rFonts w:ascii="Times New Roman" w:hAnsi="Times New Roman" w:cs="Times New Roman"/>
          <w:szCs w:val="24"/>
        </w:rPr>
        <w:t xml:space="preserve"> This will involve the transition of the work and functions of the </w:t>
      </w:r>
      <w:r w:rsidRPr="006500F5">
        <w:rPr>
          <w:rFonts w:ascii="Times New Roman" w:hAnsi="Times New Roman" w:cs="Times New Roman"/>
          <w:szCs w:val="24"/>
        </w:rPr>
        <w:t xml:space="preserve">National E-Health Transition Authority (NEHTA), a company owned by the Commonwealth and states and territories, </w:t>
      </w:r>
      <w:r>
        <w:rPr>
          <w:rFonts w:ascii="Times New Roman" w:hAnsi="Times New Roman" w:cs="Times New Roman"/>
          <w:szCs w:val="24"/>
        </w:rPr>
        <w:t xml:space="preserve">as well as the PCEHR governance and operations of the Department of Health to </w:t>
      </w:r>
      <w:proofErr w:type="spellStart"/>
      <w:r>
        <w:rPr>
          <w:rFonts w:ascii="Times New Roman" w:hAnsi="Times New Roman" w:cs="Times New Roman"/>
          <w:szCs w:val="24"/>
        </w:rPr>
        <w:t>ACeH</w:t>
      </w:r>
      <w:proofErr w:type="spellEnd"/>
      <w:r>
        <w:rPr>
          <w:rFonts w:ascii="Times New Roman" w:hAnsi="Times New Roman" w:cs="Times New Roman"/>
          <w:szCs w:val="24"/>
        </w:rPr>
        <w:t>.</w:t>
      </w:r>
    </w:p>
    <w:p w:rsidR="008B0F9D" w:rsidRDefault="008B0F9D" w:rsidP="008B0F9D">
      <w:pPr>
        <w:rPr>
          <w:rFonts w:ascii="Times New Roman" w:hAnsi="Times New Roman" w:cs="Times New Roman"/>
          <w:szCs w:val="24"/>
        </w:rPr>
      </w:pPr>
      <w:proofErr w:type="spellStart"/>
      <w:r>
        <w:rPr>
          <w:rFonts w:ascii="Times New Roman" w:hAnsi="Times New Roman" w:cs="Times New Roman"/>
          <w:szCs w:val="24"/>
        </w:rPr>
        <w:t>ACeH</w:t>
      </w:r>
      <w:proofErr w:type="spellEnd"/>
      <w:r>
        <w:rPr>
          <w:rFonts w:ascii="Times New Roman" w:hAnsi="Times New Roman" w:cs="Times New Roman"/>
          <w:szCs w:val="24"/>
        </w:rPr>
        <w:t xml:space="preserve"> would be a separate legal entity to the Commonwealth and would report to health ministers.  It will be governed by a skills-based board with an independent chair and supported by a number of advisory committees.  </w:t>
      </w:r>
    </w:p>
    <w:p w:rsidR="00817533" w:rsidRPr="00997D3D" w:rsidRDefault="008B0F9D" w:rsidP="008B0F9D">
      <w:pPr>
        <w:rPr>
          <w:rFonts w:ascii="Times New Roman" w:hAnsi="Times New Roman" w:cs="Times New Roman"/>
          <w:szCs w:val="24"/>
        </w:rPr>
      </w:pPr>
      <w:proofErr w:type="spellStart"/>
      <w:r>
        <w:rPr>
          <w:rFonts w:ascii="Times New Roman" w:hAnsi="Times New Roman" w:cs="Times New Roman"/>
          <w:szCs w:val="24"/>
        </w:rPr>
        <w:t>ACeH</w:t>
      </w:r>
      <w:proofErr w:type="spellEnd"/>
      <w:r>
        <w:rPr>
          <w:rFonts w:ascii="Times New Roman" w:hAnsi="Times New Roman" w:cs="Times New Roman"/>
          <w:szCs w:val="24"/>
        </w:rPr>
        <w:t xml:space="preserve"> would assume responsibility for the governance and operation of all national eHealth development and operations in Australia.</w:t>
      </w:r>
    </w:p>
    <w:p w:rsidR="00997D3D" w:rsidRPr="00997D3D" w:rsidRDefault="00997D3D" w:rsidP="00997D3D">
      <w:pPr>
        <w:spacing w:after="120"/>
        <w:rPr>
          <w:rFonts w:ascii="Times New Roman" w:hAnsi="Times New Roman" w:cs="Times New Roman"/>
        </w:rPr>
      </w:pPr>
      <w:r w:rsidRPr="00997D3D">
        <w:rPr>
          <w:rFonts w:ascii="Times New Roman" w:hAnsi="Times New Roman" w:cs="Times New Roman"/>
        </w:rPr>
        <w:t xml:space="preserve">To achieve broader eHealth end-user representation in the governance of eHealth, it is proposed the </w:t>
      </w:r>
      <w:proofErr w:type="spellStart"/>
      <w:r w:rsidRPr="00997D3D">
        <w:rPr>
          <w:rFonts w:ascii="Times New Roman" w:hAnsi="Times New Roman" w:cs="Times New Roman"/>
        </w:rPr>
        <w:t>ACeH</w:t>
      </w:r>
      <w:proofErr w:type="spellEnd"/>
      <w:r w:rsidRPr="00997D3D">
        <w:rPr>
          <w:rFonts w:ascii="Times New Roman" w:hAnsi="Times New Roman" w:cs="Times New Roman"/>
        </w:rPr>
        <w:t xml:space="preserve"> Board and its advisory committees would include individuals with expertise such as:  </w:t>
      </w:r>
    </w:p>
    <w:p w:rsidR="00997D3D" w:rsidRPr="00997D3D" w:rsidRDefault="00997D3D" w:rsidP="00997D3D">
      <w:pPr>
        <w:pStyle w:val="ListParagraph"/>
        <w:numPr>
          <w:ilvl w:val="0"/>
          <w:numId w:val="3"/>
        </w:numPr>
        <w:spacing w:after="120" w:line="240" w:lineRule="auto"/>
        <w:ind w:left="1094" w:hanging="357"/>
        <w:contextualSpacing w:val="0"/>
        <w:rPr>
          <w:rFonts w:ascii="Times New Roman" w:hAnsi="Times New Roman" w:cs="Times New Roman"/>
        </w:rPr>
      </w:pPr>
      <w:r w:rsidRPr="00997D3D">
        <w:rPr>
          <w:rFonts w:ascii="Times New Roman" w:hAnsi="Times New Roman" w:cs="Times New Roman"/>
        </w:rPr>
        <w:t>healthcare provision;</w:t>
      </w:r>
    </w:p>
    <w:p w:rsidR="00997D3D" w:rsidRPr="00997D3D" w:rsidRDefault="00997D3D" w:rsidP="00997D3D">
      <w:pPr>
        <w:pStyle w:val="ListParagraph"/>
        <w:numPr>
          <w:ilvl w:val="0"/>
          <w:numId w:val="3"/>
        </w:numPr>
        <w:spacing w:after="120" w:line="240" w:lineRule="auto"/>
        <w:ind w:left="1094" w:hanging="357"/>
        <w:contextualSpacing w:val="0"/>
        <w:rPr>
          <w:rFonts w:ascii="Times New Roman" w:hAnsi="Times New Roman" w:cs="Times New Roman"/>
        </w:rPr>
      </w:pPr>
      <w:r w:rsidRPr="00997D3D">
        <w:rPr>
          <w:rFonts w:ascii="Times New Roman" w:hAnsi="Times New Roman" w:cs="Times New Roman"/>
        </w:rPr>
        <w:t>consumer of health services;</w:t>
      </w:r>
    </w:p>
    <w:p w:rsidR="00997D3D" w:rsidRPr="00997D3D" w:rsidRDefault="00997D3D" w:rsidP="00997D3D">
      <w:pPr>
        <w:pStyle w:val="ListParagraph"/>
        <w:numPr>
          <w:ilvl w:val="0"/>
          <w:numId w:val="3"/>
        </w:numPr>
        <w:spacing w:after="120" w:line="240" w:lineRule="auto"/>
        <w:ind w:left="1094" w:hanging="357"/>
        <w:contextualSpacing w:val="0"/>
        <w:rPr>
          <w:rFonts w:ascii="Times New Roman" w:hAnsi="Times New Roman" w:cs="Times New Roman"/>
        </w:rPr>
      </w:pPr>
      <w:r w:rsidRPr="00997D3D">
        <w:rPr>
          <w:rFonts w:ascii="Times New Roman" w:hAnsi="Times New Roman" w:cs="Times New Roman"/>
        </w:rPr>
        <w:t>IT systems and innovation including health informatics;</w:t>
      </w:r>
    </w:p>
    <w:p w:rsidR="00997D3D" w:rsidRPr="00997D3D" w:rsidRDefault="00997D3D" w:rsidP="00997D3D">
      <w:pPr>
        <w:pStyle w:val="ListParagraph"/>
        <w:numPr>
          <w:ilvl w:val="0"/>
          <w:numId w:val="3"/>
        </w:numPr>
        <w:spacing w:after="120" w:line="240" w:lineRule="auto"/>
        <w:ind w:left="1094" w:hanging="357"/>
        <w:contextualSpacing w:val="0"/>
        <w:rPr>
          <w:rFonts w:ascii="Times New Roman" w:hAnsi="Times New Roman" w:cs="Times New Roman"/>
        </w:rPr>
      </w:pPr>
      <w:r w:rsidRPr="00997D3D">
        <w:rPr>
          <w:rFonts w:ascii="Times New Roman" w:hAnsi="Times New Roman" w:cs="Times New Roman"/>
        </w:rPr>
        <w:t xml:space="preserve">governance; </w:t>
      </w:r>
    </w:p>
    <w:p w:rsidR="00997D3D" w:rsidRPr="00997D3D" w:rsidRDefault="00997D3D" w:rsidP="00997D3D">
      <w:pPr>
        <w:pStyle w:val="ListParagraph"/>
        <w:numPr>
          <w:ilvl w:val="0"/>
          <w:numId w:val="3"/>
        </w:numPr>
        <w:spacing w:after="120" w:line="240" w:lineRule="auto"/>
        <w:ind w:left="1094" w:hanging="357"/>
        <w:contextualSpacing w:val="0"/>
        <w:rPr>
          <w:rFonts w:ascii="Times New Roman" w:hAnsi="Times New Roman" w:cs="Times New Roman"/>
        </w:rPr>
      </w:pPr>
      <w:r w:rsidRPr="00997D3D">
        <w:rPr>
          <w:rFonts w:ascii="Times New Roman" w:hAnsi="Times New Roman" w:cs="Times New Roman"/>
        </w:rPr>
        <w:t>clinical safety; and</w:t>
      </w:r>
    </w:p>
    <w:p w:rsidR="00997D3D" w:rsidRPr="00997D3D" w:rsidRDefault="00997D3D" w:rsidP="00997D3D">
      <w:pPr>
        <w:pStyle w:val="ListParagraph"/>
        <w:numPr>
          <w:ilvl w:val="0"/>
          <w:numId w:val="3"/>
        </w:numPr>
        <w:spacing w:after="120"/>
        <w:ind w:left="1094" w:hanging="357"/>
        <w:contextualSpacing w:val="0"/>
        <w:rPr>
          <w:rFonts w:ascii="Times New Roman" w:hAnsi="Times New Roman" w:cs="Times New Roman"/>
        </w:rPr>
      </w:pPr>
      <w:r w:rsidRPr="00997D3D">
        <w:rPr>
          <w:rFonts w:ascii="Times New Roman" w:hAnsi="Times New Roman" w:cs="Times New Roman"/>
        </w:rPr>
        <w:t xml:space="preserve">privacy and security.  </w:t>
      </w:r>
    </w:p>
    <w:p w:rsidR="00B71907" w:rsidRPr="00997D3D" w:rsidRDefault="00B71907" w:rsidP="00B71907">
      <w:pPr>
        <w:spacing w:after="120"/>
        <w:rPr>
          <w:rFonts w:ascii="Times New Roman" w:hAnsi="Times New Roman" w:cs="Times New Roman"/>
          <w:b/>
        </w:rPr>
      </w:pPr>
      <w:r w:rsidRPr="00997D3D">
        <w:rPr>
          <w:rFonts w:ascii="Times New Roman" w:hAnsi="Times New Roman" w:cs="Times New Roman"/>
          <w:b/>
        </w:rPr>
        <w:t>Participation</w:t>
      </w:r>
    </w:p>
    <w:p w:rsidR="009F143D" w:rsidRPr="00997D3D" w:rsidRDefault="009F143D">
      <w:pPr>
        <w:rPr>
          <w:rFonts w:ascii="Times New Roman" w:hAnsi="Times New Roman" w:cs="Times New Roman"/>
        </w:rPr>
      </w:pPr>
      <w:r w:rsidRPr="00997D3D">
        <w:rPr>
          <w:rFonts w:ascii="Times New Roman" w:hAnsi="Times New Roman" w:cs="Times New Roman"/>
        </w:rPr>
        <w:t xml:space="preserve">The primary change being considered is to the participation arrangements for individuals.  Currently the PCEHR system operates on an opt-in basis where individuals who want a </w:t>
      </w:r>
      <w:r w:rsidR="0052686E">
        <w:rPr>
          <w:rFonts w:ascii="Times New Roman" w:hAnsi="Times New Roman" w:cs="Times New Roman"/>
        </w:rPr>
        <w:t>PCEHR</w:t>
      </w:r>
      <w:r w:rsidRPr="00997D3D">
        <w:rPr>
          <w:rFonts w:ascii="Times New Roman" w:hAnsi="Times New Roman" w:cs="Times New Roman"/>
        </w:rPr>
        <w:t xml:space="preserve"> register for one.  From 2016, trials of different participation arrangements for individuals will occur in order to inform Government about future approaches to increasing individual participation in the system.  The trials </w:t>
      </w:r>
      <w:r w:rsidRPr="00997D3D">
        <w:rPr>
          <w:rFonts w:ascii="Times New Roman" w:hAnsi="Times New Roman" w:cs="Times New Roman"/>
        </w:rPr>
        <w:lastRenderedPageBreak/>
        <w:t xml:space="preserve">will include an opt-out </w:t>
      </w:r>
      <w:r w:rsidR="008B0F9D">
        <w:rPr>
          <w:rFonts w:ascii="Times New Roman" w:hAnsi="Times New Roman" w:cs="Times New Roman"/>
        </w:rPr>
        <w:t>approach</w:t>
      </w:r>
      <w:r w:rsidRPr="00997D3D">
        <w:rPr>
          <w:rFonts w:ascii="Times New Roman" w:hAnsi="Times New Roman" w:cs="Times New Roman"/>
        </w:rPr>
        <w:t xml:space="preserve"> where individuals in certain trial regions will be automatically registered for </w:t>
      </w:r>
      <w:r w:rsidR="000B05B5" w:rsidRPr="00997D3D">
        <w:rPr>
          <w:rFonts w:ascii="Times New Roman" w:hAnsi="Times New Roman" w:cs="Times New Roman"/>
        </w:rPr>
        <w:t>a PCEHR</w:t>
      </w:r>
      <w:r w:rsidRPr="00997D3D">
        <w:rPr>
          <w:rFonts w:ascii="Times New Roman" w:hAnsi="Times New Roman" w:cs="Times New Roman"/>
        </w:rPr>
        <w:t xml:space="preserve"> unless they advise that they do not want one.</w:t>
      </w:r>
    </w:p>
    <w:p w:rsidR="00B71907" w:rsidRPr="00997D3D" w:rsidRDefault="00B71907">
      <w:pPr>
        <w:rPr>
          <w:rFonts w:ascii="Times New Roman" w:hAnsi="Times New Roman" w:cs="Times New Roman"/>
        </w:rPr>
      </w:pPr>
      <w:r w:rsidRPr="00997D3D">
        <w:rPr>
          <w:rFonts w:ascii="Times New Roman" w:hAnsi="Times New Roman" w:cs="Times New Roman"/>
        </w:rPr>
        <w:t>While the trials are being undertaken the system will continue to operate on an opt-in basis across the rest of Australia.</w:t>
      </w:r>
    </w:p>
    <w:p w:rsidR="00556B24" w:rsidRDefault="00997D3D" w:rsidP="00556B24">
      <w:pPr>
        <w:pStyle w:val="ListParagraph"/>
        <w:spacing w:after="120"/>
        <w:ind w:left="0"/>
        <w:contextualSpacing w:val="0"/>
        <w:rPr>
          <w:rFonts w:ascii="Times New Roman" w:hAnsi="Times New Roman" w:cs="Times New Roman"/>
        </w:rPr>
      </w:pPr>
      <w:r w:rsidRPr="00997D3D">
        <w:rPr>
          <w:rFonts w:ascii="Times New Roman" w:hAnsi="Times New Roman" w:cs="Times New Roman"/>
        </w:rPr>
        <w:t>Healthcare provider organisations, contracted service providers, repository operators and portal operators would continue to p</w:t>
      </w:r>
      <w:r w:rsidR="00556B24">
        <w:rPr>
          <w:rFonts w:ascii="Times New Roman" w:hAnsi="Times New Roman" w:cs="Times New Roman"/>
        </w:rPr>
        <w:t>articipate on an opt-in basis.</w:t>
      </w:r>
    </w:p>
    <w:p w:rsidR="003571F5" w:rsidRDefault="003571F5" w:rsidP="00556B24">
      <w:pPr>
        <w:pStyle w:val="ListParagraph"/>
        <w:spacing w:after="120"/>
        <w:ind w:left="0"/>
        <w:contextualSpacing w:val="0"/>
        <w:rPr>
          <w:rFonts w:ascii="Times New Roman" w:hAnsi="Times New Roman" w:cs="Times New Roman"/>
          <w:b/>
        </w:rPr>
      </w:pPr>
      <w:r>
        <w:rPr>
          <w:rFonts w:ascii="Times New Roman" w:hAnsi="Times New Roman" w:cs="Times New Roman"/>
          <w:b/>
        </w:rPr>
        <w:t>O</w:t>
      </w:r>
      <w:r w:rsidRPr="003571F5">
        <w:rPr>
          <w:rFonts w:ascii="Times New Roman" w:hAnsi="Times New Roman" w:cs="Times New Roman"/>
          <w:b/>
        </w:rPr>
        <w:t>bligations of parties</w:t>
      </w:r>
    </w:p>
    <w:p w:rsidR="003571F5" w:rsidRPr="00F40BF9" w:rsidRDefault="00F40BF9" w:rsidP="00097181">
      <w:pPr>
        <w:spacing w:after="120"/>
        <w:rPr>
          <w:rFonts w:ascii="Times New Roman" w:hAnsi="Times New Roman" w:cs="Times New Roman"/>
          <w:b/>
          <w:i/>
          <w:smallCaps/>
          <w:szCs w:val="24"/>
        </w:rPr>
      </w:pPr>
      <w:r w:rsidRPr="00F40BF9">
        <w:rPr>
          <w:rStyle w:val="IntenseReference"/>
          <w:rFonts w:ascii="Times New Roman" w:hAnsi="Times New Roman" w:cs="Times New Roman"/>
          <w:b w:val="0"/>
          <w:i w:val="0"/>
          <w:smallCaps w:val="0"/>
          <w:color w:val="auto"/>
        </w:rPr>
        <w:t xml:space="preserve">To help reduce red-tape and rationalise core obligations for participants in the PCEHR system, it is proposed to remove the need for healthcare provider organisations, contracted service providers, repository operators and portal operators to enter into participation agreements.  Where necessary, requirements </w:t>
      </w:r>
      <w:r>
        <w:rPr>
          <w:rStyle w:val="IntenseReference"/>
          <w:rFonts w:ascii="Times New Roman" w:hAnsi="Times New Roman" w:cs="Times New Roman"/>
          <w:b w:val="0"/>
          <w:i w:val="0"/>
          <w:smallCaps w:val="0"/>
          <w:color w:val="auto"/>
        </w:rPr>
        <w:t>such as intellectual property</w:t>
      </w:r>
      <w:r w:rsidR="00901500">
        <w:rPr>
          <w:rStyle w:val="IntenseReference"/>
          <w:rFonts w:ascii="Times New Roman" w:hAnsi="Times New Roman" w:cs="Times New Roman"/>
          <w:b w:val="0"/>
          <w:i w:val="0"/>
          <w:smallCaps w:val="0"/>
          <w:color w:val="auto"/>
        </w:rPr>
        <w:t xml:space="preserve"> provisions</w:t>
      </w:r>
      <w:r>
        <w:rPr>
          <w:rStyle w:val="IntenseReference"/>
          <w:rFonts w:ascii="Times New Roman" w:hAnsi="Times New Roman" w:cs="Times New Roman"/>
          <w:b w:val="0"/>
          <w:i w:val="0"/>
          <w:smallCaps w:val="0"/>
          <w:color w:val="auto"/>
        </w:rPr>
        <w:t xml:space="preserve"> </w:t>
      </w:r>
      <w:r w:rsidRPr="00F40BF9">
        <w:rPr>
          <w:rStyle w:val="IntenseReference"/>
          <w:rFonts w:ascii="Times New Roman" w:hAnsi="Times New Roman" w:cs="Times New Roman"/>
          <w:b w:val="0"/>
          <w:i w:val="0"/>
          <w:smallCaps w:val="0"/>
          <w:color w:val="auto"/>
        </w:rPr>
        <w:t>in participation agreements would be transferred into the legislation.</w:t>
      </w:r>
      <w:r w:rsidR="00901500">
        <w:rPr>
          <w:rStyle w:val="IntenseReference"/>
          <w:rFonts w:ascii="Times New Roman" w:hAnsi="Times New Roman" w:cs="Times New Roman"/>
          <w:b w:val="0"/>
          <w:i w:val="0"/>
          <w:smallCaps w:val="0"/>
          <w:color w:val="auto"/>
        </w:rPr>
        <w:t xml:space="preserve">  </w:t>
      </w:r>
    </w:p>
    <w:p w:rsidR="00E77249" w:rsidRPr="000E4BB7" w:rsidRDefault="00097181" w:rsidP="00097181">
      <w:pPr>
        <w:spacing w:after="120"/>
        <w:rPr>
          <w:rFonts w:ascii="Times New Roman" w:hAnsi="Times New Roman" w:cs="Times New Roman"/>
          <w:b/>
          <w:szCs w:val="24"/>
        </w:rPr>
      </w:pPr>
      <w:r w:rsidRPr="000E4BB7">
        <w:rPr>
          <w:rFonts w:ascii="Times New Roman" w:hAnsi="Times New Roman" w:cs="Times New Roman"/>
          <w:b/>
          <w:szCs w:val="24"/>
        </w:rPr>
        <w:t>Privacy</w:t>
      </w:r>
      <w:r w:rsidR="006748C4" w:rsidRPr="000E4BB7">
        <w:rPr>
          <w:rFonts w:ascii="Times New Roman" w:hAnsi="Times New Roman" w:cs="Times New Roman"/>
          <w:b/>
          <w:szCs w:val="24"/>
        </w:rPr>
        <w:t xml:space="preserve"> </w:t>
      </w:r>
      <w:r w:rsidR="00D52A12">
        <w:rPr>
          <w:rFonts w:ascii="Times New Roman" w:hAnsi="Times New Roman" w:cs="Times New Roman"/>
          <w:b/>
          <w:szCs w:val="24"/>
        </w:rPr>
        <w:t>and</w:t>
      </w:r>
      <w:r w:rsidR="006748C4" w:rsidRPr="000E4BB7">
        <w:rPr>
          <w:rFonts w:ascii="Times New Roman" w:hAnsi="Times New Roman" w:cs="Times New Roman"/>
          <w:b/>
          <w:szCs w:val="24"/>
        </w:rPr>
        <w:t xml:space="preserve"> security</w:t>
      </w:r>
    </w:p>
    <w:p w:rsidR="00DC2C8C" w:rsidRDefault="009E62AF" w:rsidP="00CC4028">
      <w:pPr>
        <w:rPr>
          <w:rFonts w:ascii="Times New Roman" w:hAnsi="Times New Roman" w:cs="Times New Roman"/>
          <w:szCs w:val="24"/>
        </w:rPr>
      </w:pPr>
      <w:r w:rsidRPr="000E4BB7">
        <w:rPr>
          <w:rFonts w:ascii="Times New Roman" w:hAnsi="Times New Roman" w:cs="Times New Roman"/>
          <w:szCs w:val="24"/>
        </w:rPr>
        <w:t xml:space="preserve">The privacy framework of the PCEHR system and the HI Service is prescriptive in specifying </w:t>
      </w:r>
      <w:r w:rsidR="00901500">
        <w:rPr>
          <w:rFonts w:ascii="Times New Roman" w:hAnsi="Times New Roman" w:cs="Times New Roman"/>
          <w:szCs w:val="24"/>
        </w:rPr>
        <w:t>the entities who</w:t>
      </w:r>
      <w:r w:rsidRPr="000E4BB7">
        <w:rPr>
          <w:rFonts w:ascii="Times New Roman" w:hAnsi="Times New Roman" w:cs="Times New Roman"/>
          <w:szCs w:val="24"/>
        </w:rPr>
        <w:t xml:space="preserve"> may collect, use or disclose information and for what purposes.  It is proposed to change from this prescriptive approach</w:t>
      </w:r>
      <w:r w:rsidR="00901500">
        <w:rPr>
          <w:rFonts w:ascii="Times New Roman" w:hAnsi="Times New Roman" w:cs="Times New Roman"/>
          <w:szCs w:val="24"/>
        </w:rPr>
        <w:t xml:space="preserve">, which specifies how an entity carries out an activity, </w:t>
      </w:r>
      <w:r w:rsidRPr="000E4BB7">
        <w:rPr>
          <w:rFonts w:ascii="Times New Roman" w:hAnsi="Times New Roman" w:cs="Times New Roman"/>
          <w:szCs w:val="24"/>
        </w:rPr>
        <w:t>to a principles-based approach</w:t>
      </w:r>
      <w:r w:rsidR="00901500">
        <w:rPr>
          <w:rFonts w:ascii="Times New Roman" w:hAnsi="Times New Roman" w:cs="Times New Roman"/>
          <w:szCs w:val="24"/>
        </w:rPr>
        <w:t>, which would list</w:t>
      </w:r>
      <w:r w:rsidRPr="000E4BB7">
        <w:rPr>
          <w:rFonts w:ascii="Times New Roman" w:hAnsi="Times New Roman" w:cs="Times New Roman"/>
          <w:szCs w:val="24"/>
        </w:rPr>
        <w:t xml:space="preserve"> the information that is protected, </w:t>
      </w:r>
      <w:r w:rsidR="00901500">
        <w:rPr>
          <w:rFonts w:ascii="Times New Roman" w:hAnsi="Times New Roman" w:cs="Times New Roman"/>
          <w:szCs w:val="24"/>
        </w:rPr>
        <w:t>the entities who</w:t>
      </w:r>
      <w:r w:rsidRPr="000E4BB7">
        <w:rPr>
          <w:rFonts w:ascii="Times New Roman" w:hAnsi="Times New Roman" w:cs="Times New Roman"/>
          <w:szCs w:val="24"/>
        </w:rPr>
        <w:t xml:space="preserve"> may collect, use and disclose the </w:t>
      </w:r>
      <w:r w:rsidR="00901500">
        <w:rPr>
          <w:rFonts w:ascii="Times New Roman" w:hAnsi="Times New Roman" w:cs="Times New Roman"/>
          <w:szCs w:val="24"/>
        </w:rPr>
        <w:t>purpose for which information can be collected, used and disclosed.</w:t>
      </w:r>
      <w:r w:rsidRPr="000E4BB7">
        <w:rPr>
          <w:rFonts w:ascii="Times New Roman" w:hAnsi="Times New Roman" w:cs="Times New Roman"/>
          <w:szCs w:val="24"/>
        </w:rPr>
        <w:t xml:space="preserve">  This </w:t>
      </w:r>
      <w:r w:rsidR="00600049">
        <w:rPr>
          <w:rFonts w:ascii="Times New Roman" w:hAnsi="Times New Roman" w:cs="Times New Roman"/>
          <w:szCs w:val="24"/>
        </w:rPr>
        <w:t>will not</w:t>
      </w:r>
      <w:r w:rsidRPr="000E4BB7">
        <w:rPr>
          <w:rFonts w:ascii="Times New Roman" w:hAnsi="Times New Roman" w:cs="Times New Roman"/>
          <w:szCs w:val="24"/>
        </w:rPr>
        <w:t xml:space="preserve"> relax the privacy framework or change the nature of the authorisations but </w:t>
      </w:r>
      <w:r w:rsidR="009D3FC6">
        <w:rPr>
          <w:rFonts w:ascii="Times New Roman" w:hAnsi="Times New Roman" w:cs="Times New Roman"/>
          <w:szCs w:val="24"/>
        </w:rPr>
        <w:t>presents it in a simpler manner</w:t>
      </w:r>
      <w:r w:rsidRPr="000E4BB7">
        <w:rPr>
          <w:rFonts w:ascii="Times New Roman" w:hAnsi="Times New Roman" w:cs="Times New Roman"/>
          <w:szCs w:val="24"/>
        </w:rPr>
        <w:t xml:space="preserve"> and assists the HI Service Operator and the PCEHR System Operator to meet their obligations.</w:t>
      </w:r>
      <w:r w:rsidR="00DC2C8C">
        <w:rPr>
          <w:rFonts w:ascii="Times New Roman" w:hAnsi="Times New Roman" w:cs="Times New Roman"/>
          <w:szCs w:val="24"/>
        </w:rPr>
        <w:t xml:space="preserve">  </w:t>
      </w:r>
    </w:p>
    <w:p w:rsidR="00DC2C8C" w:rsidRDefault="00DC2C8C" w:rsidP="00CC4028">
      <w:pPr>
        <w:rPr>
          <w:rFonts w:ascii="Times New Roman" w:hAnsi="Times New Roman" w:cs="Times New Roman"/>
          <w:szCs w:val="24"/>
        </w:rPr>
      </w:pPr>
      <w:r>
        <w:rPr>
          <w:rFonts w:ascii="Times New Roman" w:hAnsi="Times New Roman" w:cs="Times New Roman"/>
          <w:szCs w:val="24"/>
        </w:rPr>
        <w:t>The discussion paper also proposes to clarify through legislation that healthcare prov</w:t>
      </w:r>
      <w:r w:rsidR="00600049">
        <w:rPr>
          <w:rFonts w:ascii="Times New Roman" w:hAnsi="Times New Roman" w:cs="Times New Roman"/>
          <w:szCs w:val="24"/>
        </w:rPr>
        <w:t>iders may include relevant third</w:t>
      </w:r>
      <w:r>
        <w:rPr>
          <w:rFonts w:ascii="Times New Roman" w:hAnsi="Times New Roman" w:cs="Times New Roman"/>
          <w:szCs w:val="24"/>
        </w:rPr>
        <w:t xml:space="preserve"> part</w:t>
      </w:r>
      <w:r w:rsidR="00600049">
        <w:rPr>
          <w:rFonts w:ascii="Times New Roman" w:hAnsi="Times New Roman" w:cs="Times New Roman"/>
          <w:szCs w:val="24"/>
        </w:rPr>
        <w:t>y</w:t>
      </w:r>
      <w:r>
        <w:rPr>
          <w:rFonts w:ascii="Times New Roman" w:hAnsi="Times New Roman" w:cs="Times New Roman"/>
          <w:szCs w:val="24"/>
        </w:rPr>
        <w:t xml:space="preserve"> personal information in a document to be uploaded to the PCEHR system, and that the System Operator is authorised to collect the information for inclusion in the individual’s PCEHR.</w:t>
      </w:r>
    </w:p>
    <w:p w:rsidR="00DC2C8C" w:rsidRDefault="00DC2C8C" w:rsidP="00DC2C8C">
      <w:pPr>
        <w:rPr>
          <w:rFonts w:ascii="Times New Roman" w:hAnsi="Times New Roman" w:cs="Times New Roman"/>
          <w:szCs w:val="24"/>
        </w:rPr>
      </w:pPr>
      <w:r>
        <w:rPr>
          <w:rFonts w:ascii="Times New Roman" w:hAnsi="Times New Roman" w:cs="Times New Roman"/>
          <w:szCs w:val="24"/>
        </w:rPr>
        <w:t xml:space="preserve">The HI review found that the opt-in basis of the Healthcare Provider Directory (HPD), which lists the details of individual healthcare providers and healthcare provider organisations, is a barrier to effective communications and is adversely affecting other eHealth services that depend on the HPD, such as secure messaging.  </w:t>
      </w:r>
      <w:r w:rsidRPr="00DC2C8C">
        <w:rPr>
          <w:rStyle w:val="IntenseReference"/>
          <w:rFonts w:ascii="Times New Roman" w:hAnsi="Times New Roman" w:cs="Times New Roman"/>
          <w:b w:val="0"/>
          <w:i w:val="0"/>
          <w:smallCaps w:val="0"/>
          <w:color w:val="auto"/>
        </w:rPr>
        <w:t>Given that information about a healthcare provider organisation is not personal information, it is proposed to remove the need for organisations to provide consent before they are listed in the HPD.  Any organisation that has an HPI-O would automatically be listed in the HPD.</w:t>
      </w:r>
      <w:r w:rsidRPr="00DC2C8C">
        <w:rPr>
          <w:rStyle w:val="IntenseReference"/>
          <w:rFonts w:cs="Arial"/>
          <w:color w:val="auto"/>
        </w:rPr>
        <w:t xml:space="preserve">  </w:t>
      </w:r>
    </w:p>
    <w:p w:rsidR="00C8515B" w:rsidRDefault="000E4BB7" w:rsidP="00C8515B">
      <w:pPr>
        <w:rPr>
          <w:rFonts w:ascii="Times New Roman" w:hAnsi="Times New Roman" w:cs="Times New Roman"/>
        </w:rPr>
      </w:pPr>
      <w:r w:rsidRPr="000E4BB7">
        <w:rPr>
          <w:rFonts w:ascii="Times New Roman" w:hAnsi="Times New Roman" w:cs="Times New Roman"/>
        </w:rPr>
        <w:t>The HI Act and PCEHR Act, together with the Privacy Act, currently provide penalties for misuse of information and healthcare identifiers</w:t>
      </w:r>
      <w:r>
        <w:rPr>
          <w:rFonts w:ascii="Times New Roman" w:hAnsi="Times New Roman" w:cs="Times New Roman"/>
        </w:rPr>
        <w:t>.  The discussion paper highlights that consideration is being given to increasing the range of enforcement and penalty options available for breach of the PCEHR Act.  This includes consideration of introducing criminal penalties for more serious misuses of PCEHR information while retaining the ability to impose civil penalties.  This would establish a more graduated framework and enable better response to inappropriate behaviour in a way that is proportional to the severity of the breach.</w:t>
      </w:r>
      <w:r w:rsidR="00556B24">
        <w:rPr>
          <w:rFonts w:ascii="Times New Roman" w:hAnsi="Times New Roman" w:cs="Times New Roman"/>
        </w:rPr>
        <w:t xml:space="preserve"> </w:t>
      </w:r>
    </w:p>
    <w:p w:rsidR="00C8515B" w:rsidRDefault="00C8515B">
      <w:pPr>
        <w:rPr>
          <w:rFonts w:ascii="Times New Roman" w:hAnsi="Times New Roman" w:cs="Times New Roman"/>
        </w:rPr>
      </w:pPr>
      <w:r>
        <w:rPr>
          <w:rFonts w:ascii="Times New Roman" w:hAnsi="Times New Roman" w:cs="Times New Roman"/>
        </w:rPr>
        <w:br w:type="page"/>
      </w:r>
    </w:p>
    <w:p w:rsidR="009E62AF" w:rsidRPr="00C8515B" w:rsidRDefault="000E4BB7" w:rsidP="00C8515B">
      <w:pPr>
        <w:rPr>
          <w:rFonts w:ascii="Times New Roman" w:hAnsi="Times New Roman" w:cs="Times New Roman"/>
        </w:rPr>
      </w:pPr>
      <w:r w:rsidRPr="000E4BB7">
        <w:rPr>
          <w:rFonts w:ascii="Times New Roman" w:hAnsi="Times New Roman" w:cs="Times New Roman"/>
          <w:b/>
          <w:szCs w:val="24"/>
        </w:rPr>
        <w:lastRenderedPageBreak/>
        <w:t>Feedback</w:t>
      </w:r>
    </w:p>
    <w:p w:rsidR="000E4BB7" w:rsidRDefault="000E4BB7" w:rsidP="00CC4028">
      <w:pPr>
        <w:rPr>
          <w:rFonts w:ascii="Times New Roman" w:hAnsi="Times New Roman" w:cs="Times New Roman"/>
          <w:szCs w:val="24"/>
        </w:rPr>
      </w:pPr>
      <w:r>
        <w:rPr>
          <w:rFonts w:ascii="Times New Roman" w:hAnsi="Times New Roman" w:cs="Times New Roman"/>
          <w:szCs w:val="24"/>
        </w:rPr>
        <w:t xml:space="preserve">Readers are invited to make a submission on the </w:t>
      </w:r>
      <w:r w:rsidR="00770DF0">
        <w:rPr>
          <w:rFonts w:ascii="Times New Roman" w:hAnsi="Times New Roman" w:cs="Times New Roman"/>
          <w:szCs w:val="24"/>
        </w:rPr>
        <w:t>d</w:t>
      </w:r>
      <w:r>
        <w:rPr>
          <w:rFonts w:ascii="Times New Roman" w:hAnsi="Times New Roman" w:cs="Times New Roman"/>
          <w:szCs w:val="24"/>
        </w:rPr>
        <w:t xml:space="preserve">iscussion </w:t>
      </w:r>
      <w:r w:rsidR="00770DF0">
        <w:rPr>
          <w:rFonts w:ascii="Times New Roman" w:hAnsi="Times New Roman" w:cs="Times New Roman"/>
          <w:szCs w:val="24"/>
        </w:rPr>
        <w:t>p</w:t>
      </w:r>
      <w:r>
        <w:rPr>
          <w:rFonts w:ascii="Times New Roman" w:hAnsi="Times New Roman" w:cs="Times New Roman"/>
          <w:szCs w:val="24"/>
        </w:rPr>
        <w:t>aper.  This</w:t>
      </w:r>
      <w:r w:rsidR="0061128E">
        <w:rPr>
          <w:rFonts w:ascii="Times New Roman" w:hAnsi="Times New Roman" w:cs="Times New Roman"/>
          <w:szCs w:val="24"/>
        </w:rPr>
        <w:t xml:space="preserve"> can be in the form of contributing ideas or responding to the issues and questions raised in the </w:t>
      </w:r>
      <w:r w:rsidR="00770DF0">
        <w:rPr>
          <w:rFonts w:ascii="Times New Roman" w:hAnsi="Times New Roman" w:cs="Times New Roman"/>
          <w:szCs w:val="24"/>
        </w:rPr>
        <w:t>p</w:t>
      </w:r>
      <w:r w:rsidR="0061128E">
        <w:rPr>
          <w:rFonts w:ascii="Times New Roman" w:hAnsi="Times New Roman" w:cs="Times New Roman"/>
          <w:szCs w:val="24"/>
        </w:rPr>
        <w:t>aper.</w:t>
      </w:r>
    </w:p>
    <w:p w:rsidR="0061128E" w:rsidRDefault="0061128E" w:rsidP="00CC4028">
      <w:pPr>
        <w:rPr>
          <w:rFonts w:ascii="Times New Roman" w:hAnsi="Times New Roman" w:cs="Times New Roman"/>
          <w:szCs w:val="24"/>
        </w:rPr>
      </w:pPr>
      <w:r w:rsidRPr="0061128E">
        <w:rPr>
          <w:rFonts w:ascii="Times New Roman" w:hAnsi="Times New Roman" w:cs="Times New Roman"/>
          <w:szCs w:val="24"/>
        </w:rPr>
        <w:t>Submissions must be in writing and identify the names of the parties and/or organisations they represent, as well as respective contact details.</w:t>
      </w:r>
    </w:p>
    <w:p w:rsidR="004F532D" w:rsidRDefault="004F532D" w:rsidP="004F532D">
      <w:pPr>
        <w:rPr>
          <w:rFonts w:ascii="Times New Roman" w:hAnsi="Times New Roman" w:cs="Times New Roman"/>
          <w:szCs w:val="24"/>
        </w:rPr>
      </w:pPr>
      <w:r>
        <w:rPr>
          <w:rFonts w:ascii="Times New Roman" w:hAnsi="Times New Roman" w:cs="Times New Roman"/>
          <w:szCs w:val="24"/>
        </w:rPr>
        <w:t>The period for making submissions closes 5:00 p.m. (Australian Eastern Standard Time) Wednesday 24 June 2015.</w:t>
      </w:r>
    </w:p>
    <w:p w:rsidR="0061128E" w:rsidRPr="0061128E" w:rsidRDefault="0061128E" w:rsidP="00CC4028">
      <w:pPr>
        <w:rPr>
          <w:rFonts w:ascii="Times New Roman" w:hAnsi="Times New Roman" w:cs="Times New Roman"/>
          <w:szCs w:val="24"/>
        </w:rPr>
      </w:pPr>
      <w:r w:rsidRPr="0061128E">
        <w:rPr>
          <w:rFonts w:ascii="Times New Roman" w:hAnsi="Times New Roman" w:cs="Times New Roman"/>
          <w:szCs w:val="24"/>
        </w:rPr>
        <w:t>Submissions can be made by any of the following ways:</w:t>
      </w:r>
    </w:p>
    <w:p w:rsidR="0061128E" w:rsidRPr="009D3FC6" w:rsidRDefault="0061128E" w:rsidP="0061128E">
      <w:pPr>
        <w:pStyle w:val="ListParagraph"/>
        <w:numPr>
          <w:ilvl w:val="0"/>
          <w:numId w:val="2"/>
        </w:numPr>
        <w:tabs>
          <w:tab w:val="left" w:pos="1985"/>
          <w:tab w:val="left" w:pos="2127"/>
        </w:tabs>
        <w:spacing w:after="120" w:line="240" w:lineRule="auto"/>
        <w:ind w:left="426" w:hanging="426"/>
        <w:rPr>
          <w:rFonts w:ascii="Times New Roman" w:hAnsi="Times New Roman" w:cs="Times New Roman"/>
        </w:rPr>
      </w:pPr>
      <w:r w:rsidRPr="009D3FC6">
        <w:rPr>
          <w:rFonts w:ascii="Times New Roman" w:hAnsi="Times New Roman" w:cs="Times New Roman"/>
        </w:rPr>
        <w:t>mail it to</w:t>
      </w:r>
      <w:r w:rsidRPr="009D3FC6">
        <w:rPr>
          <w:rFonts w:ascii="Times New Roman" w:hAnsi="Times New Roman" w:cs="Times New Roman"/>
        </w:rPr>
        <w:tab/>
      </w:r>
      <w:r w:rsidRPr="009D3FC6">
        <w:rPr>
          <w:rFonts w:ascii="Times New Roman" w:hAnsi="Times New Roman" w:cs="Times New Roman"/>
        </w:rPr>
        <w:tab/>
        <w:t>PCEHR/HI Discussion Paper Feedback</w:t>
      </w:r>
    </w:p>
    <w:p w:rsidR="0061128E" w:rsidRPr="009D3FC6" w:rsidRDefault="0061128E" w:rsidP="0061128E">
      <w:pPr>
        <w:pStyle w:val="ListParagraph"/>
        <w:spacing w:after="120"/>
        <w:ind w:left="2127"/>
        <w:rPr>
          <w:rFonts w:ascii="Times New Roman" w:hAnsi="Times New Roman" w:cs="Times New Roman"/>
        </w:rPr>
      </w:pPr>
      <w:r w:rsidRPr="009D3FC6">
        <w:rPr>
          <w:rFonts w:ascii="Times New Roman" w:hAnsi="Times New Roman" w:cs="Times New Roman"/>
        </w:rPr>
        <w:t xml:space="preserve">Department of Health </w:t>
      </w:r>
    </w:p>
    <w:p w:rsidR="00BD6F9A" w:rsidRPr="009D3FC6" w:rsidRDefault="00BD6F9A" w:rsidP="0061128E">
      <w:pPr>
        <w:pStyle w:val="ListParagraph"/>
        <w:spacing w:after="120"/>
        <w:ind w:left="2127"/>
        <w:rPr>
          <w:rFonts w:ascii="Times New Roman" w:hAnsi="Times New Roman" w:cs="Times New Roman"/>
        </w:rPr>
      </w:pPr>
      <w:r w:rsidRPr="009D3FC6">
        <w:rPr>
          <w:rFonts w:ascii="Times New Roman" w:hAnsi="Times New Roman" w:cs="Times New Roman"/>
        </w:rPr>
        <w:t>MDP 1003</w:t>
      </w:r>
    </w:p>
    <w:p w:rsidR="0061128E" w:rsidRPr="009D3FC6" w:rsidRDefault="0061128E" w:rsidP="0061128E">
      <w:pPr>
        <w:pStyle w:val="ListParagraph"/>
        <w:spacing w:after="120"/>
        <w:ind w:left="2268" w:hanging="141"/>
        <w:rPr>
          <w:rFonts w:ascii="Times New Roman" w:hAnsi="Times New Roman" w:cs="Times New Roman"/>
        </w:rPr>
      </w:pPr>
      <w:r w:rsidRPr="009D3FC6">
        <w:rPr>
          <w:rFonts w:ascii="Times New Roman" w:hAnsi="Times New Roman" w:cs="Times New Roman"/>
        </w:rPr>
        <w:t>GPO Box 9848</w:t>
      </w:r>
    </w:p>
    <w:p w:rsidR="0061128E" w:rsidRPr="009D3FC6" w:rsidRDefault="0061128E" w:rsidP="0061128E">
      <w:pPr>
        <w:pStyle w:val="ListParagraph"/>
        <w:spacing w:after="120"/>
        <w:ind w:left="2268" w:hanging="141"/>
        <w:rPr>
          <w:rFonts w:ascii="Times New Roman" w:hAnsi="Times New Roman" w:cs="Times New Roman"/>
        </w:rPr>
      </w:pPr>
      <w:r w:rsidRPr="009D3FC6">
        <w:rPr>
          <w:rFonts w:ascii="Times New Roman" w:hAnsi="Times New Roman" w:cs="Times New Roman"/>
        </w:rPr>
        <w:t>CANBERRA  ACT  2601</w:t>
      </w:r>
    </w:p>
    <w:p w:rsidR="0061128E" w:rsidRPr="009D3FC6" w:rsidRDefault="0061128E" w:rsidP="0061128E">
      <w:pPr>
        <w:pStyle w:val="ListParagraph"/>
        <w:spacing w:after="120"/>
        <w:ind w:left="1080"/>
        <w:rPr>
          <w:rFonts w:ascii="Times New Roman" w:hAnsi="Times New Roman" w:cs="Times New Roman"/>
          <w:sz w:val="12"/>
          <w:szCs w:val="12"/>
        </w:rPr>
      </w:pPr>
    </w:p>
    <w:p w:rsidR="0061128E" w:rsidRPr="009D3FC6" w:rsidRDefault="0061128E" w:rsidP="0061128E">
      <w:pPr>
        <w:pStyle w:val="ListParagraph"/>
        <w:numPr>
          <w:ilvl w:val="0"/>
          <w:numId w:val="2"/>
        </w:numPr>
        <w:spacing w:after="120" w:line="240" w:lineRule="auto"/>
        <w:ind w:left="426" w:hanging="426"/>
        <w:rPr>
          <w:rFonts w:ascii="Times New Roman" w:hAnsi="Times New Roman" w:cs="Times New Roman"/>
          <w:sz w:val="12"/>
          <w:szCs w:val="12"/>
        </w:rPr>
      </w:pPr>
      <w:r w:rsidRPr="009D3FC6">
        <w:rPr>
          <w:rFonts w:ascii="Times New Roman" w:hAnsi="Times New Roman" w:cs="Times New Roman"/>
        </w:rPr>
        <w:t>email it to</w:t>
      </w:r>
      <w:r w:rsidRPr="009D3FC6">
        <w:rPr>
          <w:rFonts w:ascii="Times New Roman" w:hAnsi="Times New Roman" w:cs="Times New Roman"/>
        </w:rPr>
        <w:tab/>
      </w:r>
      <w:r w:rsidRPr="009D3FC6">
        <w:rPr>
          <w:rFonts w:ascii="Times New Roman" w:hAnsi="Times New Roman" w:cs="Times New Roman"/>
        </w:rPr>
        <w:tab/>
      </w:r>
      <w:hyperlink r:id="rId9" w:history="1">
        <w:r w:rsidRPr="009D3FC6">
          <w:rPr>
            <w:rStyle w:val="Hyperlink"/>
            <w:rFonts w:ascii="Times New Roman" w:hAnsi="Times New Roman"/>
          </w:rPr>
          <w:t>ehealth.legislation@health.gov.au</w:t>
        </w:r>
      </w:hyperlink>
    </w:p>
    <w:p w:rsidR="0061128E" w:rsidRPr="009D3FC6" w:rsidRDefault="0061128E" w:rsidP="0061128E">
      <w:pPr>
        <w:pStyle w:val="ListParagraph"/>
        <w:spacing w:after="120"/>
        <w:ind w:left="1080"/>
        <w:rPr>
          <w:rFonts w:ascii="Times New Roman" w:hAnsi="Times New Roman" w:cs="Times New Roman"/>
          <w:sz w:val="12"/>
          <w:szCs w:val="12"/>
        </w:rPr>
      </w:pPr>
    </w:p>
    <w:p w:rsidR="0061128E" w:rsidRPr="009D3FC6" w:rsidRDefault="0061128E" w:rsidP="00CC4028">
      <w:pPr>
        <w:pStyle w:val="ListParagraph"/>
        <w:numPr>
          <w:ilvl w:val="0"/>
          <w:numId w:val="2"/>
        </w:numPr>
        <w:spacing w:after="120" w:line="240" w:lineRule="auto"/>
        <w:ind w:left="426" w:hanging="426"/>
        <w:rPr>
          <w:rFonts w:ascii="Times New Roman" w:hAnsi="Times New Roman" w:cs="Times New Roman"/>
          <w:sz w:val="12"/>
          <w:szCs w:val="12"/>
        </w:rPr>
      </w:pPr>
      <w:r w:rsidRPr="009D3FC6">
        <w:rPr>
          <w:rFonts w:ascii="Times New Roman" w:hAnsi="Times New Roman" w:cs="Times New Roman"/>
        </w:rPr>
        <w:t>upload it at</w:t>
      </w:r>
      <w:r w:rsidRPr="009D3FC6">
        <w:rPr>
          <w:rFonts w:ascii="Times New Roman" w:hAnsi="Times New Roman" w:cs="Times New Roman"/>
        </w:rPr>
        <w:tab/>
      </w:r>
      <w:r w:rsidRPr="009D3FC6">
        <w:rPr>
          <w:rFonts w:ascii="Times New Roman" w:hAnsi="Times New Roman" w:cs="Times New Roman"/>
        </w:rPr>
        <w:tab/>
      </w:r>
      <w:hyperlink r:id="rId10" w:history="1">
        <w:r w:rsidR="001F4594" w:rsidRPr="001F4594">
          <w:rPr>
            <w:rStyle w:val="Hyperlink"/>
            <w:rFonts w:ascii="Times New Roman" w:hAnsi="Times New Roman"/>
          </w:rPr>
          <w:t>the eHealth website</w:t>
        </w:r>
      </w:hyperlink>
      <w:bookmarkStart w:id="0" w:name="_GoBack"/>
      <w:bookmarkEnd w:id="0"/>
    </w:p>
    <w:p w:rsidR="009D3FC6" w:rsidRPr="009D3FC6" w:rsidRDefault="009D3FC6" w:rsidP="009D3FC6">
      <w:pPr>
        <w:pStyle w:val="ListParagraph"/>
        <w:rPr>
          <w:rFonts w:ascii="Times New Roman" w:hAnsi="Times New Roman" w:cs="Times New Roman"/>
          <w:sz w:val="12"/>
          <w:szCs w:val="12"/>
        </w:rPr>
      </w:pPr>
    </w:p>
    <w:p w:rsidR="009D3FC6" w:rsidRPr="009D3FC6" w:rsidRDefault="0069757B" w:rsidP="00CC4028">
      <w:pPr>
        <w:pStyle w:val="ListParagraph"/>
        <w:numPr>
          <w:ilvl w:val="0"/>
          <w:numId w:val="2"/>
        </w:numPr>
        <w:spacing w:after="120" w:line="240" w:lineRule="auto"/>
        <w:ind w:left="426" w:hanging="426"/>
        <w:rPr>
          <w:rFonts w:ascii="Times New Roman" w:hAnsi="Times New Roman" w:cs="Times New Roman"/>
          <w:szCs w:val="12"/>
        </w:rPr>
      </w:pPr>
      <w:r>
        <w:rPr>
          <w:rFonts w:ascii="Times New Roman" w:hAnsi="Times New Roman" w:cs="Times New Roman"/>
          <w:szCs w:val="12"/>
        </w:rPr>
        <w:t>f</w:t>
      </w:r>
      <w:r w:rsidR="009D3FC6" w:rsidRPr="009D3FC6">
        <w:rPr>
          <w:rFonts w:ascii="Times New Roman" w:hAnsi="Times New Roman" w:cs="Times New Roman"/>
          <w:szCs w:val="12"/>
        </w:rPr>
        <w:t>ax it to</w:t>
      </w:r>
      <w:r w:rsidR="009D3FC6" w:rsidRPr="009D3FC6">
        <w:rPr>
          <w:rFonts w:ascii="Times New Roman" w:hAnsi="Times New Roman" w:cs="Times New Roman"/>
          <w:szCs w:val="12"/>
        </w:rPr>
        <w:tab/>
      </w:r>
      <w:r w:rsidR="009D3FC6" w:rsidRPr="009D3FC6">
        <w:rPr>
          <w:rFonts w:ascii="Times New Roman" w:hAnsi="Times New Roman" w:cs="Times New Roman"/>
          <w:szCs w:val="12"/>
        </w:rPr>
        <w:tab/>
        <w:t>(02) 6289 5673</w:t>
      </w:r>
    </w:p>
    <w:sectPr w:rsidR="009D3FC6" w:rsidRPr="009D3F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E5" w:rsidRDefault="001E2CE5" w:rsidP="0061128E">
      <w:pPr>
        <w:spacing w:after="0" w:line="240" w:lineRule="auto"/>
      </w:pPr>
      <w:r>
        <w:separator/>
      </w:r>
    </w:p>
  </w:endnote>
  <w:endnote w:type="continuationSeparator" w:id="0">
    <w:p w:rsidR="001E2CE5" w:rsidRDefault="001E2CE5" w:rsidP="0061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F1" w:rsidRDefault="00744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8E" w:rsidRDefault="0061128E">
    <w:pPr>
      <w:ind w:right="260"/>
      <w:rPr>
        <w:color w:val="0F243E" w:themeColor="text2" w:themeShade="80"/>
        <w:sz w:val="26"/>
        <w:szCs w:val="26"/>
      </w:rPr>
    </w:pPr>
    <w:r>
      <w:rPr>
        <w:noProof/>
        <w:color w:val="1F497D" w:themeColor="text2"/>
        <w:sz w:val="26"/>
        <w:szCs w:val="26"/>
        <w:lang w:eastAsia="en-AU"/>
      </w:rPr>
      <mc:AlternateContent>
        <mc:Choice Requires="wps">
          <w:drawing>
            <wp:inline distT="0" distB="0" distL="0" distR="0">
              <wp:extent cx="388620" cy="313055"/>
              <wp:effectExtent l="0" t="0" r="0" b="0"/>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28E" w:rsidRPr="0061128E" w:rsidRDefault="0061128E">
                          <w:pPr>
                            <w:spacing w:after="0"/>
                            <w:jc w:val="center"/>
                            <w:rPr>
                              <w:color w:val="0F243E" w:themeColor="text2" w:themeShade="80"/>
                              <w:szCs w:val="26"/>
                            </w:rPr>
                          </w:pPr>
                          <w:r w:rsidRPr="0061128E">
                            <w:rPr>
                              <w:color w:val="0F243E" w:themeColor="text2" w:themeShade="80"/>
                              <w:szCs w:val="26"/>
                            </w:rPr>
                            <w:fldChar w:fldCharType="begin"/>
                          </w:r>
                          <w:r w:rsidRPr="0061128E">
                            <w:rPr>
                              <w:color w:val="0F243E" w:themeColor="text2" w:themeShade="80"/>
                              <w:szCs w:val="26"/>
                            </w:rPr>
                            <w:instrText xml:space="preserve"> PAGE  \* Arabic  \* MERGEFORMAT </w:instrText>
                          </w:r>
                          <w:r w:rsidRPr="0061128E">
                            <w:rPr>
                              <w:color w:val="0F243E" w:themeColor="text2" w:themeShade="80"/>
                              <w:szCs w:val="26"/>
                            </w:rPr>
                            <w:fldChar w:fldCharType="separate"/>
                          </w:r>
                          <w:r w:rsidR="004071AA">
                            <w:rPr>
                              <w:noProof/>
                              <w:color w:val="0F243E" w:themeColor="text2" w:themeShade="80"/>
                              <w:szCs w:val="26"/>
                            </w:rPr>
                            <w:t>4</w:t>
                          </w:r>
                          <w:r w:rsidRPr="0061128E">
                            <w:rPr>
                              <w:color w:val="0F243E"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30.6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ax8yTcAAAAAwEAAA8AAABkcnMvZG93bnJldi54bWxMj0FLw0AQhe+C/2EZwYvY&#10;TasGjdkUEQR7ERo9tLdpdppEs7Mxu03jv3f0opeBx3u8902+nFynRhpC69nAfJaAIq68bbk28Pb6&#10;dHkLKkRki51nMvBFAZbF6UmOmfVHXtNYxlpJCYcMDTQx9pnWoWrIYZj5nli8vR8cRpFDre2ARyl3&#10;nV4kSaodtiwLDfb02FD1UR6cgc1mpOd0f7EtP/sK0+37y81qRcacn00P96AiTfEvDD/4gg6FMO38&#10;gW1QnQF5JP5e8dL5AtTOwPXdFegi1//Zi28AAAD//wMAUEsBAi0AFAAGAAgAAAAhALaDOJL+AAAA&#10;4QEAABMAAAAAAAAAAAAAAAAAAAAAAFtDb250ZW50X1R5cGVzXS54bWxQSwECLQAUAAYACAAAACEA&#10;OP0h/9YAAACUAQAACwAAAAAAAAAAAAAAAAAvAQAAX3JlbHMvLnJlbHNQSwECLQAUAAYACAAAACEA&#10;9OwrXYgCAACFBQAADgAAAAAAAAAAAAAAAAAuAgAAZHJzL2Uyb0RvYy54bWxQSwECLQAUAAYACAAA&#10;ACEAxrHzJNwAAAADAQAADwAAAAAAAAAAAAAAAADiBAAAZHJzL2Rvd25yZXYueG1sUEsFBgAAAAAE&#10;AAQA8wAAAOsFAAAAAA==&#10;" fillcolor="white [3201]" stroked="f" strokeweight=".5pt">
              <v:textbox style="mso-fit-shape-to-text:t" inset="0,,0">
                <w:txbxContent>
                  <w:p w:rsidR="0061128E" w:rsidRPr="0061128E" w:rsidRDefault="0061128E">
                    <w:pPr>
                      <w:spacing w:after="0"/>
                      <w:jc w:val="center"/>
                      <w:rPr>
                        <w:color w:val="0F243E" w:themeColor="text2" w:themeShade="80"/>
                        <w:szCs w:val="26"/>
                      </w:rPr>
                    </w:pPr>
                    <w:r w:rsidRPr="0061128E">
                      <w:rPr>
                        <w:color w:val="0F243E" w:themeColor="text2" w:themeShade="80"/>
                        <w:szCs w:val="26"/>
                      </w:rPr>
                      <w:fldChar w:fldCharType="begin"/>
                    </w:r>
                    <w:r w:rsidRPr="0061128E">
                      <w:rPr>
                        <w:color w:val="0F243E" w:themeColor="text2" w:themeShade="80"/>
                        <w:szCs w:val="26"/>
                      </w:rPr>
                      <w:instrText xml:space="preserve"> PAGE  \* Arabic  \* MERGEFORMAT </w:instrText>
                    </w:r>
                    <w:r w:rsidRPr="0061128E">
                      <w:rPr>
                        <w:color w:val="0F243E" w:themeColor="text2" w:themeShade="80"/>
                        <w:szCs w:val="26"/>
                      </w:rPr>
                      <w:fldChar w:fldCharType="separate"/>
                    </w:r>
                    <w:r w:rsidR="004071AA">
                      <w:rPr>
                        <w:noProof/>
                        <w:color w:val="0F243E" w:themeColor="text2" w:themeShade="80"/>
                        <w:szCs w:val="26"/>
                      </w:rPr>
                      <w:t>4</w:t>
                    </w:r>
                    <w:r w:rsidRPr="0061128E">
                      <w:rPr>
                        <w:color w:val="0F243E" w:themeColor="text2" w:themeShade="80"/>
                        <w:szCs w:val="26"/>
                      </w:rPr>
                      <w:fldChar w:fldCharType="end"/>
                    </w:r>
                  </w:p>
                </w:txbxContent>
              </v:textbox>
              <w10:anchorlock/>
            </v:shape>
          </w:pict>
        </mc:Fallback>
      </mc:AlternateContent>
    </w:r>
  </w:p>
  <w:p w:rsidR="0061128E" w:rsidRDefault="00611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F1" w:rsidRDefault="0074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E5" w:rsidRDefault="001E2CE5" w:rsidP="0061128E">
      <w:pPr>
        <w:spacing w:after="0" w:line="240" w:lineRule="auto"/>
      </w:pPr>
      <w:r>
        <w:separator/>
      </w:r>
    </w:p>
  </w:footnote>
  <w:footnote w:type="continuationSeparator" w:id="0">
    <w:p w:rsidR="001E2CE5" w:rsidRDefault="001E2CE5" w:rsidP="0061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F1" w:rsidRDefault="00744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F1" w:rsidRDefault="00744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F1" w:rsidRDefault="00744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27FC"/>
    <w:multiLevelType w:val="hybridMultilevel"/>
    <w:tmpl w:val="5FD6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00499B"/>
    <w:multiLevelType w:val="hybridMultilevel"/>
    <w:tmpl w:val="AA1A16DC"/>
    <w:lvl w:ilvl="0" w:tplc="38848A3A">
      <w:start w:val="1"/>
      <w:numFmt w:val="decimal"/>
      <w:lvlText w:val="%1."/>
      <w:lvlJc w:val="left"/>
      <w:pPr>
        <w:ind w:left="1080" w:hanging="360"/>
      </w:pPr>
      <w:rPr>
        <w:rFonts w:ascii="Calibri" w:hAnsi="Calibri" w:hint="default"/>
        <w:b/>
        <w:i w:val="0"/>
        <w:color w:val="auto"/>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4161B51"/>
    <w:multiLevelType w:val="hybridMultilevel"/>
    <w:tmpl w:val="5120B53A"/>
    <w:lvl w:ilvl="0" w:tplc="748C812A">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6F"/>
    <w:rsid w:val="00030628"/>
    <w:rsid w:val="000309AF"/>
    <w:rsid w:val="00097181"/>
    <w:rsid w:val="000B05B5"/>
    <w:rsid w:val="000E4BB7"/>
    <w:rsid w:val="0010616B"/>
    <w:rsid w:val="00140196"/>
    <w:rsid w:val="00170749"/>
    <w:rsid w:val="00190256"/>
    <w:rsid w:val="001C58AD"/>
    <w:rsid w:val="001E2CE5"/>
    <w:rsid w:val="001F4594"/>
    <w:rsid w:val="00307B09"/>
    <w:rsid w:val="003571F5"/>
    <w:rsid w:val="00394620"/>
    <w:rsid w:val="003B1918"/>
    <w:rsid w:val="003C3570"/>
    <w:rsid w:val="003D3655"/>
    <w:rsid w:val="003F226D"/>
    <w:rsid w:val="003F36AD"/>
    <w:rsid w:val="004071AA"/>
    <w:rsid w:val="00464CDF"/>
    <w:rsid w:val="004A232A"/>
    <w:rsid w:val="004D51C8"/>
    <w:rsid w:val="004F532D"/>
    <w:rsid w:val="0052686E"/>
    <w:rsid w:val="00556B24"/>
    <w:rsid w:val="005B546F"/>
    <w:rsid w:val="005C2EE0"/>
    <w:rsid w:val="005D1A19"/>
    <w:rsid w:val="005F4EBD"/>
    <w:rsid w:val="00600049"/>
    <w:rsid w:val="00600D50"/>
    <w:rsid w:val="0061128E"/>
    <w:rsid w:val="00651396"/>
    <w:rsid w:val="006748C4"/>
    <w:rsid w:val="0069757B"/>
    <w:rsid w:val="006A152A"/>
    <w:rsid w:val="007447F1"/>
    <w:rsid w:val="00770DF0"/>
    <w:rsid w:val="007D28EF"/>
    <w:rsid w:val="00817533"/>
    <w:rsid w:val="008B0F9D"/>
    <w:rsid w:val="008D4ADF"/>
    <w:rsid w:val="008F627B"/>
    <w:rsid w:val="00901500"/>
    <w:rsid w:val="00910916"/>
    <w:rsid w:val="009954F1"/>
    <w:rsid w:val="00997D3D"/>
    <w:rsid w:val="009D3FC6"/>
    <w:rsid w:val="009E19E4"/>
    <w:rsid w:val="009E62AF"/>
    <w:rsid w:val="009F143D"/>
    <w:rsid w:val="00AE3D39"/>
    <w:rsid w:val="00B146B2"/>
    <w:rsid w:val="00B26DE3"/>
    <w:rsid w:val="00B71907"/>
    <w:rsid w:val="00BA2D53"/>
    <w:rsid w:val="00BA4758"/>
    <w:rsid w:val="00BD6F9A"/>
    <w:rsid w:val="00C540A8"/>
    <w:rsid w:val="00C62882"/>
    <w:rsid w:val="00C82AC5"/>
    <w:rsid w:val="00C8515B"/>
    <w:rsid w:val="00CB152B"/>
    <w:rsid w:val="00CC4028"/>
    <w:rsid w:val="00D47443"/>
    <w:rsid w:val="00D52A12"/>
    <w:rsid w:val="00D702D6"/>
    <w:rsid w:val="00DC2C8C"/>
    <w:rsid w:val="00E77249"/>
    <w:rsid w:val="00F2672D"/>
    <w:rsid w:val="00F40BF9"/>
    <w:rsid w:val="00FC3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53"/>
    <w:pPr>
      <w:ind w:left="720"/>
      <w:contextualSpacing/>
    </w:pPr>
  </w:style>
  <w:style w:type="character" w:styleId="IntenseReference">
    <w:name w:val="Intense Reference"/>
    <w:basedOn w:val="DefaultParagraphFont"/>
    <w:uiPriority w:val="32"/>
    <w:qFormat/>
    <w:rsid w:val="00CC4028"/>
    <w:rPr>
      <w:b/>
      <w:bCs/>
      <w:i/>
      <w:smallCaps/>
      <w:color w:val="C0504D" w:themeColor="accent2"/>
      <w:spacing w:val="5"/>
      <w:u w:val="none"/>
    </w:rPr>
  </w:style>
  <w:style w:type="character" w:customStyle="1" w:styleId="ListParagraphChar">
    <w:name w:val="List Paragraph Char"/>
    <w:link w:val="ListParagraph"/>
    <w:uiPriority w:val="34"/>
    <w:locked/>
    <w:rsid w:val="00CC4028"/>
  </w:style>
  <w:style w:type="character" w:styleId="Hyperlink">
    <w:name w:val="Hyperlink"/>
    <w:basedOn w:val="DefaultParagraphFont"/>
    <w:uiPriority w:val="99"/>
    <w:rsid w:val="0061128E"/>
    <w:rPr>
      <w:rFonts w:cs="Times New Roman"/>
      <w:color w:val="000080"/>
    </w:rPr>
  </w:style>
  <w:style w:type="paragraph" w:styleId="Header">
    <w:name w:val="header"/>
    <w:basedOn w:val="Normal"/>
    <w:link w:val="HeaderChar"/>
    <w:uiPriority w:val="99"/>
    <w:unhideWhenUsed/>
    <w:rsid w:val="0061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8E"/>
  </w:style>
  <w:style w:type="paragraph" w:styleId="Footer">
    <w:name w:val="footer"/>
    <w:basedOn w:val="Normal"/>
    <w:link w:val="FooterChar"/>
    <w:uiPriority w:val="99"/>
    <w:unhideWhenUsed/>
    <w:rsid w:val="0061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8E"/>
  </w:style>
  <w:style w:type="paragraph" w:styleId="BalloonText">
    <w:name w:val="Balloon Text"/>
    <w:basedOn w:val="Normal"/>
    <w:link w:val="BalloonTextChar"/>
    <w:uiPriority w:val="99"/>
    <w:semiHidden/>
    <w:unhideWhenUsed/>
    <w:rsid w:val="0061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8E"/>
    <w:rPr>
      <w:rFonts w:ascii="Tahoma" w:hAnsi="Tahoma" w:cs="Tahoma"/>
      <w:sz w:val="16"/>
      <w:szCs w:val="16"/>
    </w:rPr>
  </w:style>
  <w:style w:type="paragraph" w:styleId="FootnoteText">
    <w:name w:val="footnote text"/>
    <w:basedOn w:val="Normal"/>
    <w:link w:val="FootnoteTextChar"/>
    <w:rsid w:val="00BA475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A4758"/>
    <w:rPr>
      <w:rFonts w:ascii="Times New Roman" w:eastAsia="Times New Roman" w:hAnsi="Times New Roman" w:cs="Times New Roman"/>
      <w:sz w:val="20"/>
      <w:szCs w:val="20"/>
    </w:rPr>
  </w:style>
  <w:style w:type="character" w:styleId="FootnoteReference">
    <w:name w:val="footnote reference"/>
    <w:basedOn w:val="DefaultParagraphFont"/>
    <w:rsid w:val="00BA47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53"/>
    <w:pPr>
      <w:ind w:left="720"/>
      <w:contextualSpacing/>
    </w:pPr>
  </w:style>
  <w:style w:type="character" w:styleId="IntenseReference">
    <w:name w:val="Intense Reference"/>
    <w:basedOn w:val="DefaultParagraphFont"/>
    <w:uiPriority w:val="32"/>
    <w:qFormat/>
    <w:rsid w:val="00CC4028"/>
    <w:rPr>
      <w:b/>
      <w:bCs/>
      <w:i/>
      <w:smallCaps/>
      <w:color w:val="C0504D" w:themeColor="accent2"/>
      <w:spacing w:val="5"/>
      <w:u w:val="none"/>
    </w:rPr>
  </w:style>
  <w:style w:type="character" w:customStyle="1" w:styleId="ListParagraphChar">
    <w:name w:val="List Paragraph Char"/>
    <w:link w:val="ListParagraph"/>
    <w:uiPriority w:val="34"/>
    <w:locked/>
    <w:rsid w:val="00CC4028"/>
  </w:style>
  <w:style w:type="character" w:styleId="Hyperlink">
    <w:name w:val="Hyperlink"/>
    <w:basedOn w:val="DefaultParagraphFont"/>
    <w:uiPriority w:val="99"/>
    <w:rsid w:val="0061128E"/>
    <w:rPr>
      <w:rFonts w:cs="Times New Roman"/>
      <w:color w:val="000080"/>
    </w:rPr>
  </w:style>
  <w:style w:type="paragraph" w:styleId="Header">
    <w:name w:val="header"/>
    <w:basedOn w:val="Normal"/>
    <w:link w:val="HeaderChar"/>
    <w:uiPriority w:val="99"/>
    <w:unhideWhenUsed/>
    <w:rsid w:val="0061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8E"/>
  </w:style>
  <w:style w:type="paragraph" w:styleId="Footer">
    <w:name w:val="footer"/>
    <w:basedOn w:val="Normal"/>
    <w:link w:val="FooterChar"/>
    <w:uiPriority w:val="99"/>
    <w:unhideWhenUsed/>
    <w:rsid w:val="0061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8E"/>
  </w:style>
  <w:style w:type="paragraph" w:styleId="BalloonText">
    <w:name w:val="Balloon Text"/>
    <w:basedOn w:val="Normal"/>
    <w:link w:val="BalloonTextChar"/>
    <w:uiPriority w:val="99"/>
    <w:semiHidden/>
    <w:unhideWhenUsed/>
    <w:rsid w:val="0061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8E"/>
    <w:rPr>
      <w:rFonts w:ascii="Tahoma" w:hAnsi="Tahoma" w:cs="Tahoma"/>
      <w:sz w:val="16"/>
      <w:szCs w:val="16"/>
    </w:rPr>
  </w:style>
  <w:style w:type="paragraph" w:styleId="FootnoteText">
    <w:name w:val="footnote text"/>
    <w:basedOn w:val="Normal"/>
    <w:link w:val="FootnoteTextChar"/>
    <w:rsid w:val="00BA475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A4758"/>
    <w:rPr>
      <w:rFonts w:ascii="Times New Roman" w:eastAsia="Times New Roman" w:hAnsi="Times New Roman" w:cs="Times New Roman"/>
      <w:sz w:val="20"/>
      <w:szCs w:val="20"/>
    </w:rPr>
  </w:style>
  <w:style w:type="character" w:styleId="FootnoteReference">
    <w:name w:val="footnote reference"/>
    <w:basedOn w:val="DefaultParagraphFont"/>
    <w:rsid w:val="00BA4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nsultations.health.gov.au/ehealth/ehr-and-hi-legislation-discussion-paper-1" TargetMode="External"/><Relationship Id="rId4" Type="http://schemas.openxmlformats.org/officeDocument/2006/relationships/settings" Target="settings.xml"/><Relationship Id="rId9" Type="http://schemas.openxmlformats.org/officeDocument/2006/relationships/hyperlink" Target="mailto:ehealth.legislation@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 Pauline</dc:creator>
  <cp:lastModifiedBy>Kim Richter</cp:lastModifiedBy>
  <cp:revision>34</cp:revision>
  <cp:lastPrinted>2015-05-22T03:47:00Z</cp:lastPrinted>
  <dcterms:created xsi:type="dcterms:W3CDTF">2015-05-21T01:27:00Z</dcterms:created>
  <dcterms:modified xsi:type="dcterms:W3CDTF">2015-05-27T23:24:00Z</dcterms:modified>
</cp:coreProperties>
</file>