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80" w:rsidRDefault="00326480" w:rsidP="007113B8">
      <w:pPr>
        <w:rPr>
          <w:rFonts w:ascii="Times New Roman" w:hAnsi="Times New Roman" w:cs="Times New Roman"/>
          <w:b/>
          <w:sz w:val="36"/>
          <w:szCs w:val="24"/>
        </w:rPr>
      </w:pPr>
      <w:r>
        <w:rPr>
          <w:noProof/>
          <w:lang w:eastAsia="en-AU"/>
        </w:rPr>
        <w:drawing>
          <wp:inline distT="0" distB="0" distL="0" distR="0" wp14:anchorId="3B522C42" wp14:editId="5A78A91B">
            <wp:extent cx="4170556" cy="996152"/>
            <wp:effectExtent l="0" t="0" r="1905" b="0"/>
            <wp:docPr id="3" name="Picture 6" descr="Crest of the Commonwealth Department of Health" title="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7500" cy="1004976"/>
                    </a:xfrm>
                    <a:prstGeom prst="rect">
                      <a:avLst/>
                    </a:prstGeom>
                    <a:noFill/>
                  </pic:spPr>
                </pic:pic>
              </a:graphicData>
            </a:graphic>
          </wp:inline>
        </w:drawing>
      </w:r>
    </w:p>
    <w:p w:rsidR="00326480" w:rsidRDefault="00326480" w:rsidP="007113B8">
      <w:pPr>
        <w:rPr>
          <w:rFonts w:ascii="Times New Roman" w:hAnsi="Times New Roman" w:cs="Times New Roman"/>
          <w:b/>
          <w:sz w:val="36"/>
          <w:szCs w:val="24"/>
        </w:rPr>
      </w:pPr>
    </w:p>
    <w:p w:rsidR="00A33180" w:rsidRDefault="00A33180" w:rsidP="007113B8">
      <w:pPr>
        <w:rPr>
          <w:rFonts w:ascii="Times New Roman" w:hAnsi="Times New Roman" w:cs="Times New Roman"/>
          <w:b/>
          <w:sz w:val="36"/>
          <w:szCs w:val="24"/>
        </w:rPr>
      </w:pPr>
      <w:r>
        <w:rPr>
          <w:rFonts w:ascii="Times New Roman" w:hAnsi="Times New Roman" w:cs="Times New Roman"/>
          <w:b/>
          <w:sz w:val="36"/>
          <w:szCs w:val="24"/>
        </w:rPr>
        <w:t>FACTSHEET</w:t>
      </w:r>
      <w:r w:rsidR="00105D22">
        <w:rPr>
          <w:rFonts w:ascii="Times New Roman" w:hAnsi="Times New Roman" w:cs="Times New Roman"/>
          <w:b/>
          <w:sz w:val="36"/>
          <w:szCs w:val="24"/>
        </w:rPr>
        <w:t xml:space="preserve"> for Individuals</w:t>
      </w:r>
    </w:p>
    <w:p w:rsidR="007113B8" w:rsidRDefault="007113B8" w:rsidP="007113B8">
      <w:pPr>
        <w:rPr>
          <w:rFonts w:ascii="Times New Roman" w:hAnsi="Times New Roman" w:cs="Times New Roman"/>
          <w:b/>
          <w:sz w:val="36"/>
          <w:szCs w:val="24"/>
        </w:rPr>
      </w:pPr>
      <w:r>
        <w:rPr>
          <w:rFonts w:ascii="Times New Roman" w:hAnsi="Times New Roman" w:cs="Times New Roman"/>
          <w:b/>
          <w:sz w:val="36"/>
          <w:szCs w:val="24"/>
        </w:rPr>
        <w:t>Electronic Health Records and Healthcare Identifiers: Legislation Discussion Paper</w:t>
      </w:r>
      <w:r w:rsidR="00105D22">
        <w:rPr>
          <w:rFonts w:ascii="Times New Roman" w:hAnsi="Times New Roman" w:cs="Times New Roman"/>
          <w:b/>
          <w:sz w:val="36"/>
          <w:szCs w:val="24"/>
        </w:rPr>
        <w:t xml:space="preserve"> </w:t>
      </w:r>
    </w:p>
    <w:p w:rsidR="007113B8" w:rsidRDefault="007113B8" w:rsidP="007113B8">
      <w:pPr>
        <w:rPr>
          <w:rFonts w:ascii="Times New Roman" w:hAnsi="Times New Roman" w:cs="Times New Roman"/>
        </w:rPr>
      </w:pPr>
      <w:r>
        <w:rPr>
          <w:rFonts w:ascii="Times New Roman" w:hAnsi="Times New Roman" w:cs="Times New Roman"/>
        </w:rPr>
        <w:t xml:space="preserve">The Australian Government is proposing changes to the personally controlled electronic health record (PCEHR) system and the Healthcare Identifiers (HI) Service primarily as a result of reviews undertaken on their operations and legislation. </w:t>
      </w:r>
    </w:p>
    <w:p w:rsidR="007113B8" w:rsidRDefault="007113B8" w:rsidP="007113B8">
      <w:pPr>
        <w:rPr>
          <w:rFonts w:ascii="Times New Roman" w:hAnsi="Times New Roman" w:cs="Times New Roman"/>
        </w:rPr>
      </w:pPr>
      <w:r>
        <w:rPr>
          <w:rFonts w:ascii="Times New Roman" w:hAnsi="Times New Roman" w:cs="Times New Roman"/>
        </w:rPr>
        <w:t>The PCEHR review found that there was overwhelming support for continuing the path of implementing a consistent eHealth record system for all Australians, but that a change in approach was needed to correct early implementation issues.  The HI Service review found that the core functionality of the HI Service is operating and working effectively, but since it is now impacting on clinical workflow</w:t>
      </w:r>
      <w:r w:rsidR="00CE310C">
        <w:rPr>
          <w:rFonts w:ascii="Times New Roman" w:hAnsi="Times New Roman" w:cs="Times New Roman"/>
        </w:rPr>
        <w:t>,</w:t>
      </w:r>
      <w:r>
        <w:rPr>
          <w:rFonts w:ascii="Times New Roman" w:hAnsi="Times New Roman" w:cs="Times New Roman"/>
        </w:rPr>
        <w:t xml:space="preserve"> there are some risks and issues emerging that may require enhancement and adjustment of processes and the legislative framework.</w:t>
      </w:r>
    </w:p>
    <w:p w:rsidR="00553385" w:rsidRDefault="007113B8" w:rsidP="00553385">
      <w:pPr>
        <w:rPr>
          <w:rFonts w:ascii="Times New Roman" w:hAnsi="Times New Roman" w:cs="Times New Roman"/>
        </w:rPr>
      </w:pPr>
      <w:r>
        <w:rPr>
          <w:rFonts w:ascii="Times New Roman" w:hAnsi="Times New Roman" w:cs="Times New Roman"/>
        </w:rPr>
        <w:t xml:space="preserve">The proposed changes are aimed at </w:t>
      </w:r>
      <w:r w:rsidR="00553385">
        <w:rPr>
          <w:rFonts w:ascii="Times New Roman" w:hAnsi="Times New Roman" w:cs="Times New Roman"/>
        </w:rPr>
        <w:t>bringing forward the benefits including better health outcomes and a more efficient system, by increasing the number of individuals and healthcare providers</w:t>
      </w:r>
      <w:r w:rsidR="00561724">
        <w:rPr>
          <w:rFonts w:ascii="Times New Roman" w:hAnsi="Times New Roman" w:cs="Times New Roman"/>
        </w:rPr>
        <w:t xml:space="preserve"> </w:t>
      </w:r>
      <w:r w:rsidR="00553385">
        <w:rPr>
          <w:rFonts w:ascii="Times New Roman" w:hAnsi="Times New Roman" w:cs="Times New Roman"/>
        </w:rPr>
        <w:t xml:space="preserve"> participating in the PCEHR system and making the system more user-friendly.  The changes will result in a system that better aligns with existing clinical workflows in healthcare practices and ensure additional information, such as current medication lists and known adverse drug interactions are easily identified.</w:t>
      </w:r>
    </w:p>
    <w:p w:rsidR="007113B8" w:rsidRDefault="007113B8" w:rsidP="007113B8">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Electronic Health Records and Healthcare Identifiers: Legislation Discussion Paper</w:t>
      </w:r>
      <w:r>
        <w:rPr>
          <w:rFonts w:ascii="Times New Roman" w:hAnsi="Times New Roman" w:cs="Times New Roman"/>
        </w:rPr>
        <w:t xml:space="preserve"> is intended to promote discussion within the community about the proposed changes.</w:t>
      </w:r>
    </w:p>
    <w:p w:rsidR="007113B8" w:rsidRDefault="007113B8" w:rsidP="007113B8">
      <w:pPr>
        <w:rPr>
          <w:rFonts w:ascii="Times New Roman" w:hAnsi="Times New Roman" w:cs="Times New Roman"/>
        </w:rPr>
      </w:pPr>
      <w:r>
        <w:rPr>
          <w:rFonts w:ascii="Times New Roman" w:hAnsi="Times New Roman" w:cs="Times New Roman"/>
        </w:rPr>
        <w:t>The discussion paper proposes changes to address important aspects of the PCEHR system including:</w:t>
      </w:r>
    </w:p>
    <w:p w:rsidR="007113B8" w:rsidRDefault="007113B8" w:rsidP="007113B8">
      <w:pPr>
        <w:pStyle w:val="ListParagraph"/>
        <w:numPr>
          <w:ilvl w:val="0"/>
          <w:numId w:val="3"/>
        </w:numPr>
        <w:rPr>
          <w:rFonts w:ascii="Times New Roman" w:hAnsi="Times New Roman" w:cs="Times New Roman"/>
        </w:rPr>
      </w:pPr>
      <w:r>
        <w:rPr>
          <w:rFonts w:ascii="Times New Roman" w:hAnsi="Times New Roman" w:cs="Times New Roman"/>
        </w:rPr>
        <w:t>participation;</w:t>
      </w:r>
    </w:p>
    <w:p w:rsidR="007113B8" w:rsidRDefault="007113B8" w:rsidP="007113B8">
      <w:pPr>
        <w:pStyle w:val="ListParagraph"/>
        <w:numPr>
          <w:ilvl w:val="0"/>
          <w:numId w:val="3"/>
        </w:numPr>
        <w:rPr>
          <w:rFonts w:ascii="Times New Roman" w:hAnsi="Times New Roman" w:cs="Times New Roman"/>
        </w:rPr>
      </w:pPr>
      <w:r>
        <w:rPr>
          <w:rFonts w:ascii="Times New Roman" w:hAnsi="Times New Roman" w:cs="Times New Roman"/>
        </w:rPr>
        <w:t>governance; and</w:t>
      </w:r>
    </w:p>
    <w:p w:rsidR="007113B8" w:rsidRDefault="007113B8" w:rsidP="007113B8">
      <w:pPr>
        <w:pStyle w:val="ListParagraph"/>
        <w:numPr>
          <w:ilvl w:val="0"/>
          <w:numId w:val="3"/>
        </w:numPr>
        <w:rPr>
          <w:rFonts w:ascii="Times New Roman" w:hAnsi="Times New Roman" w:cs="Times New Roman"/>
        </w:rPr>
      </w:pPr>
      <w:proofErr w:type="gramStart"/>
      <w:r>
        <w:rPr>
          <w:rFonts w:ascii="Times New Roman" w:hAnsi="Times New Roman" w:cs="Times New Roman"/>
        </w:rPr>
        <w:t>privacy</w:t>
      </w:r>
      <w:proofErr w:type="gramEnd"/>
      <w:r>
        <w:rPr>
          <w:rFonts w:ascii="Times New Roman" w:hAnsi="Times New Roman" w:cs="Times New Roman"/>
        </w:rPr>
        <w:t xml:space="preserve"> </w:t>
      </w:r>
      <w:r w:rsidR="006351BE">
        <w:rPr>
          <w:rFonts w:ascii="Times New Roman" w:hAnsi="Times New Roman" w:cs="Times New Roman"/>
        </w:rPr>
        <w:t>and</w:t>
      </w:r>
      <w:r>
        <w:rPr>
          <w:rFonts w:ascii="Times New Roman" w:hAnsi="Times New Roman" w:cs="Times New Roman"/>
        </w:rPr>
        <w:t xml:space="preserve"> security.</w:t>
      </w:r>
    </w:p>
    <w:p w:rsidR="007113B8" w:rsidRDefault="007113B8" w:rsidP="007113B8">
      <w:pPr>
        <w:spacing w:after="120"/>
        <w:rPr>
          <w:rFonts w:ascii="Times New Roman" w:hAnsi="Times New Roman" w:cs="Times New Roman"/>
          <w:b/>
        </w:rPr>
      </w:pPr>
      <w:r>
        <w:rPr>
          <w:rFonts w:ascii="Times New Roman" w:hAnsi="Times New Roman" w:cs="Times New Roman"/>
          <w:b/>
        </w:rPr>
        <w:t>Participation</w:t>
      </w:r>
    </w:p>
    <w:p w:rsidR="007113B8" w:rsidRDefault="007113B8" w:rsidP="007113B8">
      <w:pPr>
        <w:rPr>
          <w:rFonts w:ascii="Times New Roman" w:hAnsi="Times New Roman" w:cs="Times New Roman"/>
        </w:rPr>
      </w:pPr>
      <w:r>
        <w:rPr>
          <w:rFonts w:ascii="Times New Roman" w:hAnsi="Times New Roman" w:cs="Times New Roman"/>
        </w:rPr>
        <w:t>The primary change being considered is to the participation arrangements for individuals.  Currently the PCEHR system operates on an opt-in bas</w:t>
      </w:r>
      <w:r w:rsidR="00EE7AA8">
        <w:rPr>
          <w:rFonts w:ascii="Times New Roman" w:hAnsi="Times New Roman" w:cs="Times New Roman"/>
        </w:rPr>
        <w:t>is where individuals who want a PCEHR</w:t>
      </w:r>
      <w:r>
        <w:rPr>
          <w:rFonts w:ascii="Times New Roman" w:hAnsi="Times New Roman" w:cs="Times New Roman"/>
        </w:rPr>
        <w:t xml:space="preserve"> register for one.  From 2016, trials of different participation arrangements for individuals will occur in order to inform Government about future approaches to increasing individual participation in the system.  The trials </w:t>
      </w:r>
      <w:r>
        <w:rPr>
          <w:rFonts w:ascii="Times New Roman" w:hAnsi="Times New Roman" w:cs="Times New Roman"/>
        </w:rPr>
        <w:lastRenderedPageBreak/>
        <w:t xml:space="preserve">will include an opt-out </w:t>
      </w:r>
      <w:r w:rsidR="00553385">
        <w:rPr>
          <w:rFonts w:ascii="Times New Roman" w:hAnsi="Times New Roman" w:cs="Times New Roman"/>
        </w:rPr>
        <w:t>approach</w:t>
      </w:r>
      <w:r>
        <w:rPr>
          <w:rFonts w:ascii="Times New Roman" w:hAnsi="Times New Roman" w:cs="Times New Roman"/>
        </w:rPr>
        <w:t xml:space="preserve"> where individuals in certain trial regions will be automatically registered for </w:t>
      </w:r>
      <w:r w:rsidR="00EE7AA8">
        <w:rPr>
          <w:rFonts w:ascii="Times New Roman" w:hAnsi="Times New Roman" w:cs="Times New Roman"/>
        </w:rPr>
        <w:t xml:space="preserve">a PCEHR </w:t>
      </w:r>
      <w:r>
        <w:rPr>
          <w:rFonts w:ascii="Times New Roman" w:hAnsi="Times New Roman" w:cs="Times New Roman"/>
        </w:rPr>
        <w:t>record unless they advise that they do not want one.</w:t>
      </w:r>
    </w:p>
    <w:p w:rsidR="007113B8" w:rsidRDefault="007113B8" w:rsidP="007113B8">
      <w:pPr>
        <w:rPr>
          <w:rFonts w:ascii="Times New Roman" w:hAnsi="Times New Roman" w:cs="Times New Roman"/>
        </w:rPr>
      </w:pPr>
      <w:r>
        <w:rPr>
          <w:rFonts w:ascii="Times New Roman" w:hAnsi="Times New Roman" w:cs="Times New Roman"/>
        </w:rPr>
        <w:t>While the trials are being undertaken the system will continue to operate on an opt-in basis across the rest of Australia.</w:t>
      </w:r>
    </w:p>
    <w:p w:rsidR="007113B8" w:rsidRDefault="007113B8" w:rsidP="007113B8">
      <w:pPr>
        <w:spacing w:after="120"/>
        <w:rPr>
          <w:rFonts w:ascii="Times New Roman" w:hAnsi="Times New Roman" w:cs="Times New Roman"/>
          <w:b/>
        </w:rPr>
      </w:pPr>
      <w:r>
        <w:rPr>
          <w:rFonts w:ascii="Times New Roman" w:hAnsi="Times New Roman" w:cs="Times New Roman"/>
          <w:b/>
        </w:rPr>
        <w:t>Governance</w:t>
      </w:r>
    </w:p>
    <w:p w:rsidR="00553385" w:rsidRPr="005D6226" w:rsidRDefault="00553385" w:rsidP="00553385">
      <w:pPr>
        <w:rPr>
          <w:rFonts w:ascii="Times New Roman" w:hAnsi="Times New Roman" w:cs="Times New Roman"/>
          <w:szCs w:val="24"/>
        </w:rPr>
      </w:pPr>
      <w:r w:rsidRPr="005D6226">
        <w:rPr>
          <w:rFonts w:ascii="Times New Roman" w:hAnsi="Times New Roman" w:cs="Times New Roman"/>
          <w:szCs w:val="24"/>
        </w:rPr>
        <w:t xml:space="preserve">The PCEHR review identified concerns with the current eHealth governance arrangements.  </w:t>
      </w:r>
      <w:r>
        <w:rPr>
          <w:rFonts w:ascii="Times New Roman" w:hAnsi="Times New Roman" w:cs="Times New Roman"/>
          <w:szCs w:val="24"/>
        </w:rPr>
        <w:t>In response to these it is p</w:t>
      </w:r>
      <w:r w:rsidRPr="005D6226">
        <w:rPr>
          <w:rFonts w:ascii="Times New Roman" w:hAnsi="Times New Roman" w:cs="Times New Roman"/>
          <w:szCs w:val="24"/>
        </w:rPr>
        <w:t xml:space="preserve">roposed </w:t>
      </w:r>
      <w:r>
        <w:rPr>
          <w:rFonts w:ascii="Times New Roman" w:hAnsi="Times New Roman" w:cs="Times New Roman"/>
          <w:szCs w:val="24"/>
        </w:rPr>
        <w:t>to establish the</w:t>
      </w:r>
      <w:r w:rsidRPr="005D6226">
        <w:rPr>
          <w:rFonts w:ascii="Times New Roman" w:hAnsi="Times New Roman" w:cs="Times New Roman"/>
          <w:szCs w:val="24"/>
        </w:rPr>
        <w:t xml:space="preserve"> Commonwealth statutory authority, the Australian Commission for Electronic Health (</w:t>
      </w:r>
      <w:proofErr w:type="spellStart"/>
      <w:r w:rsidRPr="005D6226">
        <w:rPr>
          <w:rFonts w:ascii="Times New Roman" w:hAnsi="Times New Roman" w:cs="Times New Roman"/>
          <w:szCs w:val="24"/>
        </w:rPr>
        <w:t>ACeH</w:t>
      </w:r>
      <w:proofErr w:type="spellEnd"/>
      <w:r w:rsidRPr="005D6226">
        <w:rPr>
          <w:rFonts w:ascii="Times New Roman" w:hAnsi="Times New Roman" w:cs="Times New Roman"/>
          <w:szCs w:val="24"/>
        </w:rPr>
        <w:t>).</w:t>
      </w:r>
    </w:p>
    <w:p w:rsidR="00553385" w:rsidRPr="005D6226" w:rsidRDefault="00553385" w:rsidP="00553385">
      <w:pPr>
        <w:rPr>
          <w:rFonts w:ascii="Times New Roman" w:hAnsi="Times New Roman" w:cs="Times New Roman"/>
          <w:szCs w:val="24"/>
        </w:rPr>
      </w:pPr>
      <w:r w:rsidRPr="005D6226">
        <w:rPr>
          <w:rFonts w:ascii="Times New Roman" w:hAnsi="Times New Roman" w:cs="Times New Roman"/>
          <w:szCs w:val="24"/>
        </w:rPr>
        <w:t xml:space="preserve">The establishment of </w:t>
      </w:r>
      <w:proofErr w:type="spellStart"/>
      <w:r w:rsidRPr="005D6226">
        <w:rPr>
          <w:rFonts w:ascii="Times New Roman" w:hAnsi="Times New Roman" w:cs="Times New Roman"/>
          <w:szCs w:val="24"/>
        </w:rPr>
        <w:t>ACeH</w:t>
      </w:r>
      <w:proofErr w:type="spellEnd"/>
      <w:r w:rsidRPr="005D6226">
        <w:rPr>
          <w:rFonts w:ascii="Times New Roman" w:hAnsi="Times New Roman" w:cs="Times New Roman"/>
          <w:szCs w:val="24"/>
        </w:rPr>
        <w:t xml:space="preserve"> will strengthen the governance and accountability arrangements across all national eHealth development and implementation and improve key stakeholder involvement.</w:t>
      </w:r>
      <w:r>
        <w:rPr>
          <w:rFonts w:ascii="Times New Roman" w:hAnsi="Times New Roman" w:cs="Times New Roman"/>
          <w:szCs w:val="24"/>
        </w:rPr>
        <w:t xml:space="preserve"> This will involve the transition of the work and functions of the </w:t>
      </w:r>
      <w:r w:rsidRPr="005D6226">
        <w:rPr>
          <w:rFonts w:ascii="Times New Roman" w:hAnsi="Times New Roman" w:cs="Times New Roman"/>
          <w:szCs w:val="24"/>
        </w:rPr>
        <w:t xml:space="preserve">National E-Health Transition Authority (NEHTA), a company owned by the Commonwealth and states and territories, </w:t>
      </w:r>
      <w:r>
        <w:rPr>
          <w:rFonts w:ascii="Times New Roman" w:hAnsi="Times New Roman" w:cs="Times New Roman"/>
          <w:szCs w:val="24"/>
        </w:rPr>
        <w:t xml:space="preserve">as well as the PCEHR governance and operations of the Department of Health to </w:t>
      </w:r>
      <w:proofErr w:type="spellStart"/>
      <w:r>
        <w:rPr>
          <w:rFonts w:ascii="Times New Roman" w:hAnsi="Times New Roman" w:cs="Times New Roman"/>
          <w:szCs w:val="24"/>
        </w:rPr>
        <w:t>ACeH</w:t>
      </w:r>
      <w:proofErr w:type="spellEnd"/>
      <w:r>
        <w:rPr>
          <w:rFonts w:ascii="Times New Roman" w:hAnsi="Times New Roman" w:cs="Times New Roman"/>
          <w:szCs w:val="24"/>
        </w:rPr>
        <w:t>.</w:t>
      </w:r>
    </w:p>
    <w:p w:rsidR="00553385" w:rsidRDefault="00553385" w:rsidP="00553385">
      <w:pPr>
        <w:rPr>
          <w:rFonts w:ascii="Times New Roman" w:hAnsi="Times New Roman" w:cs="Times New Roman"/>
          <w:szCs w:val="24"/>
        </w:rPr>
      </w:pPr>
      <w:proofErr w:type="spellStart"/>
      <w:r>
        <w:rPr>
          <w:rFonts w:ascii="Times New Roman" w:hAnsi="Times New Roman" w:cs="Times New Roman"/>
          <w:szCs w:val="24"/>
        </w:rPr>
        <w:t>ACeH</w:t>
      </w:r>
      <w:proofErr w:type="spellEnd"/>
      <w:r>
        <w:rPr>
          <w:rFonts w:ascii="Times New Roman" w:hAnsi="Times New Roman" w:cs="Times New Roman"/>
          <w:szCs w:val="24"/>
        </w:rPr>
        <w:t xml:space="preserve"> would be a separate legal entity to the Commonwealth and would report to health ministers.  It will be governed by a skills-based board with an independent chair and supported by a number of advisory committees.  </w:t>
      </w:r>
    </w:p>
    <w:p w:rsidR="00553385" w:rsidRDefault="00553385" w:rsidP="00553385">
      <w:pPr>
        <w:rPr>
          <w:rFonts w:ascii="Times New Roman" w:hAnsi="Times New Roman" w:cs="Times New Roman"/>
          <w:szCs w:val="24"/>
        </w:rPr>
      </w:pPr>
      <w:proofErr w:type="spellStart"/>
      <w:r>
        <w:rPr>
          <w:rFonts w:ascii="Times New Roman" w:hAnsi="Times New Roman" w:cs="Times New Roman"/>
          <w:szCs w:val="24"/>
        </w:rPr>
        <w:t>ACeH</w:t>
      </w:r>
      <w:proofErr w:type="spellEnd"/>
      <w:r>
        <w:rPr>
          <w:rFonts w:ascii="Times New Roman" w:hAnsi="Times New Roman" w:cs="Times New Roman"/>
          <w:szCs w:val="24"/>
        </w:rPr>
        <w:t xml:space="preserve"> would assume responsibility for the governance and operation of all national eHealth development and operations </w:t>
      </w:r>
      <w:proofErr w:type="gramStart"/>
      <w:r>
        <w:rPr>
          <w:rFonts w:ascii="Times New Roman" w:hAnsi="Times New Roman" w:cs="Times New Roman"/>
          <w:szCs w:val="24"/>
        </w:rPr>
        <w:t>in  Australia</w:t>
      </w:r>
      <w:proofErr w:type="gramEnd"/>
      <w:r>
        <w:rPr>
          <w:rFonts w:ascii="Times New Roman" w:hAnsi="Times New Roman" w:cs="Times New Roman"/>
          <w:szCs w:val="24"/>
        </w:rPr>
        <w:t>.</w:t>
      </w:r>
    </w:p>
    <w:p w:rsidR="007113B8" w:rsidRDefault="006351BE" w:rsidP="007113B8">
      <w:pPr>
        <w:spacing w:after="120"/>
        <w:rPr>
          <w:rFonts w:ascii="Times New Roman" w:hAnsi="Times New Roman" w:cs="Times New Roman"/>
          <w:b/>
          <w:szCs w:val="24"/>
        </w:rPr>
      </w:pPr>
      <w:r>
        <w:rPr>
          <w:rFonts w:ascii="Times New Roman" w:hAnsi="Times New Roman" w:cs="Times New Roman"/>
          <w:b/>
          <w:szCs w:val="24"/>
        </w:rPr>
        <w:t>Privacy and</w:t>
      </w:r>
      <w:r w:rsidR="007113B8">
        <w:rPr>
          <w:rFonts w:ascii="Times New Roman" w:hAnsi="Times New Roman" w:cs="Times New Roman"/>
          <w:b/>
          <w:szCs w:val="24"/>
        </w:rPr>
        <w:t xml:space="preserve"> security</w:t>
      </w:r>
    </w:p>
    <w:p w:rsidR="007113B8" w:rsidRDefault="000B67BF" w:rsidP="007113B8">
      <w:pPr>
        <w:rPr>
          <w:rFonts w:ascii="Times New Roman" w:hAnsi="Times New Roman" w:cs="Times New Roman"/>
          <w:szCs w:val="24"/>
        </w:rPr>
      </w:pPr>
      <w:r>
        <w:rPr>
          <w:rFonts w:ascii="Times New Roman" w:hAnsi="Times New Roman" w:cs="Times New Roman"/>
          <w:szCs w:val="24"/>
        </w:rPr>
        <w:t>The PCEHR s</w:t>
      </w:r>
      <w:r w:rsidR="007113B8">
        <w:rPr>
          <w:rFonts w:ascii="Times New Roman" w:hAnsi="Times New Roman" w:cs="Times New Roman"/>
          <w:szCs w:val="24"/>
        </w:rPr>
        <w:t>ystem provides access control mechanisms that enable registered individuals to set controls for the</w:t>
      </w:r>
      <w:r w:rsidR="00EE7AA8">
        <w:rPr>
          <w:rFonts w:ascii="Times New Roman" w:hAnsi="Times New Roman" w:cs="Times New Roman"/>
          <w:szCs w:val="24"/>
        </w:rPr>
        <w:t>ir PCEHR</w:t>
      </w:r>
      <w:r w:rsidR="007113B8">
        <w:rPr>
          <w:rFonts w:ascii="Times New Roman" w:hAnsi="Times New Roman" w:cs="Times New Roman"/>
          <w:szCs w:val="24"/>
        </w:rPr>
        <w:t xml:space="preserve"> if they wish to do so.  Individuals can grant access to their PCEHR to healthcare provider organisations as well as to other persons such as family members and carers.  If an individual chooses not to set any controls the default settings in the system apply.</w:t>
      </w:r>
    </w:p>
    <w:p w:rsidR="007113B8" w:rsidRDefault="007113B8" w:rsidP="007113B8">
      <w:pPr>
        <w:rPr>
          <w:rFonts w:ascii="Times New Roman" w:hAnsi="Times New Roman" w:cs="Times New Roman"/>
          <w:szCs w:val="24"/>
        </w:rPr>
      </w:pPr>
      <w:r>
        <w:rPr>
          <w:rFonts w:ascii="Times New Roman" w:hAnsi="Times New Roman" w:cs="Times New Roman"/>
          <w:szCs w:val="24"/>
        </w:rPr>
        <w:t xml:space="preserve">The technical settings in the PCEHR system ensures that </w:t>
      </w:r>
      <w:r w:rsidR="006351BE">
        <w:rPr>
          <w:rFonts w:ascii="Times New Roman" w:hAnsi="Times New Roman" w:cs="Times New Roman"/>
          <w:szCs w:val="24"/>
        </w:rPr>
        <w:t xml:space="preserve">a </w:t>
      </w:r>
      <w:r>
        <w:rPr>
          <w:rFonts w:ascii="Times New Roman" w:hAnsi="Times New Roman" w:cs="Times New Roman"/>
          <w:szCs w:val="24"/>
        </w:rPr>
        <w:t>healthcare provider or other authorised user can only access an individual’s PCEHR if the individual has granted them access, except in emergency circumstances.  Individuals cannot prohibit emergency access to their PCEHR</w:t>
      </w:r>
      <w:r w:rsidR="006E297B">
        <w:rPr>
          <w:rFonts w:ascii="Times New Roman" w:hAnsi="Times New Roman" w:cs="Times New Roman"/>
          <w:szCs w:val="24"/>
        </w:rPr>
        <w:t xml:space="preserve"> by healthcare providers</w:t>
      </w:r>
      <w:r>
        <w:rPr>
          <w:rFonts w:ascii="Times New Roman" w:hAnsi="Times New Roman" w:cs="Times New Roman"/>
          <w:szCs w:val="24"/>
        </w:rPr>
        <w:t>.</w:t>
      </w:r>
    </w:p>
    <w:p w:rsidR="006351BE" w:rsidRDefault="007113B8" w:rsidP="007113B8">
      <w:pPr>
        <w:rPr>
          <w:rStyle w:val="IntenseReference"/>
          <w:rFonts w:ascii="Times New Roman" w:hAnsi="Times New Roman" w:cs="Times New Roman"/>
          <w:b w:val="0"/>
          <w:bCs w:val="0"/>
          <w:i w:val="0"/>
          <w:smallCaps w:val="0"/>
          <w:color w:val="auto"/>
        </w:rPr>
      </w:pPr>
      <w:r>
        <w:rPr>
          <w:rFonts w:ascii="Times New Roman" w:hAnsi="Times New Roman" w:cs="Times New Roman"/>
          <w:szCs w:val="24"/>
        </w:rPr>
        <w:t>Individuals can elect to</w:t>
      </w:r>
      <w:r w:rsidRPr="007113B8">
        <w:rPr>
          <w:rFonts w:ascii="Times New Roman" w:hAnsi="Times New Roman" w:cs="Times New Roman"/>
          <w:szCs w:val="24"/>
        </w:rPr>
        <w:t xml:space="preserve"> </w:t>
      </w:r>
      <w:r w:rsidRPr="007113B8">
        <w:rPr>
          <w:rStyle w:val="IntenseReference"/>
          <w:rFonts w:ascii="Times New Roman" w:hAnsi="Times New Roman" w:cs="Times New Roman"/>
          <w:b w:val="0"/>
          <w:bCs w:val="0"/>
          <w:i w:val="0"/>
          <w:smallCaps w:val="0"/>
          <w:color w:val="auto"/>
        </w:rPr>
        <w:t>be notified (by email or by SMS) when certain activities occur in relation to their PCEHR, including when a healthcare provider accesses their PCEHR by asserting an emergency exists or when their nominated healthcare provider uploads a new shared healt</w:t>
      </w:r>
      <w:r w:rsidR="006351BE">
        <w:rPr>
          <w:rStyle w:val="IntenseReference"/>
          <w:rFonts w:ascii="Times New Roman" w:hAnsi="Times New Roman" w:cs="Times New Roman"/>
          <w:b w:val="0"/>
          <w:bCs w:val="0"/>
          <w:i w:val="0"/>
          <w:smallCaps w:val="0"/>
          <w:color w:val="auto"/>
        </w:rPr>
        <w:t>h summary</w:t>
      </w:r>
      <w:r w:rsidR="006E297B">
        <w:rPr>
          <w:rStyle w:val="IntenseReference"/>
          <w:rFonts w:ascii="Times New Roman" w:hAnsi="Times New Roman" w:cs="Times New Roman"/>
          <w:b w:val="0"/>
          <w:bCs w:val="0"/>
          <w:i w:val="0"/>
          <w:smallCaps w:val="0"/>
          <w:color w:val="auto"/>
        </w:rPr>
        <w:t>.</w:t>
      </w:r>
    </w:p>
    <w:p w:rsidR="007113B8" w:rsidRPr="007113B8" w:rsidRDefault="006351BE" w:rsidP="007113B8">
      <w:pPr>
        <w:rPr>
          <w:rStyle w:val="IntenseReference"/>
          <w:rFonts w:ascii="Times New Roman" w:hAnsi="Times New Roman" w:cs="Times New Roman"/>
          <w:b w:val="0"/>
          <w:bCs w:val="0"/>
          <w:i w:val="0"/>
          <w:smallCaps w:val="0"/>
          <w:color w:val="auto"/>
        </w:rPr>
      </w:pPr>
      <w:r>
        <w:rPr>
          <w:rStyle w:val="IntenseReference"/>
          <w:rFonts w:ascii="Times New Roman" w:hAnsi="Times New Roman" w:cs="Times New Roman"/>
          <w:b w:val="0"/>
          <w:bCs w:val="0"/>
          <w:i w:val="0"/>
          <w:smallCaps w:val="0"/>
          <w:color w:val="auto"/>
        </w:rPr>
        <w:t>T</w:t>
      </w:r>
      <w:r w:rsidR="007113B8" w:rsidRPr="007113B8">
        <w:rPr>
          <w:rStyle w:val="IntenseReference"/>
          <w:rFonts w:ascii="Times New Roman" w:hAnsi="Times New Roman" w:cs="Times New Roman"/>
          <w:b w:val="0"/>
          <w:bCs w:val="0"/>
          <w:i w:val="0"/>
          <w:smallCaps w:val="0"/>
          <w:color w:val="auto"/>
        </w:rPr>
        <w:t xml:space="preserve">he PCEHR </w:t>
      </w:r>
      <w:r>
        <w:rPr>
          <w:rStyle w:val="IntenseReference"/>
          <w:rFonts w:ascii="Times New Roman" w:hAnsi="Times New Roman" w:cs="Times New Roman"/>
          <w:b w:val="0"/>
          <w:bCs w:val="0"/>
          <w:i w:val="0"/>
          <w:smallCaps w:val="0"/>
          <w:color w:val="auto"/>
        </w:rPr>
        <w:t>r</w:t>
      </w:r>
      <w:r w:rsidR="007113B8" w:rsidRPr="007113B8">
        <w:rPr>
          <w:rStyle w:val="IntenseReference"/>
          <w:rFonts w:ascii="Times New Roman" w:hAnsi="Times New Roman" w:cs="Times New Roman"/>
          <w:b w:val="0"/>
          <w:bCs w:val="0"/>
          <w:i w:val="0"/>
          <w:smallCaps w:val="0"/>
          <w:color w:val="auto"/>
        </w:rPr>
        <w:t>eview recommended a new notification be provided that would allow individuals to be notified whenever their PCEHR is opened or used.</w:t>
      </w:r>
      <w:r>
        <w:rPr>
          <w:rStyle w:val="IntenseReference"/>
          <w:rFonts w:ascii="Times New Roman" w:hAnsi="Times New Roman" w:cs="Times New Roman"/>
          <w:b w:val="0"/>
          <w:bCs w:val="0"/>
          <w:i w:val="0"/>
          <w:smallCaps w:val="0"/>
          <w:color w:val="auto"/>
        </w:rPr>
        <w:t xml:space="preserve">  </w:t>
      </w:r>
      <w:r w:rsidR="007113B8" w:rsidRPr="007113B8">
        <w:rPr>
          <w:rStyle w:val="IntenseReference"/>
          <w:rFonts w:ascii="Times New Roman" w:hAnsi="Times New Roman" w:cs="Times New Roman"/>
          <w:b w:val="0"/>
          <w:bCs w:val="0"/>
          <w:i w:val="0"/>
          <w:smallCaps w:val="0"/>
          <w:color w:val="auto"/>
        </w:rPr>
        <w:t xml:space="preserve">It is proposed to amend the legislation to require the System Operator to add an optional access control that alerts </w:t>
      </w:r>
      <w:r w:rsidR="007113B8" w:rsidRPr="007113B8">
        <w:rPr>
          <w:rFonts w:ascii="Times New Roman" w:hAnsi="Times New Roman" w:cs="Times New Roman"/>
        </w:rPr>
        <w:t xml:space="preserve">individuals </w:t>
      </w:r>
      <w:r w:rsidR="007113B8" w:rsidRPr="007113B8">
        <w:rPr>
          <w:rStyle w:val="IntenseReference"/>
          <w:rFonts w:ascii="Times New Roman" w:hAnsi="Times New Roman" w:cs="Times New Roman"/>
          <w:b w:val="0"/>
          <w:bCs w:val="0"/>
          <w:i w:val="0"/>
          <w:smallCaps w:val="0"/>
          <w:color w:val="auto"/>
        </w:rPr>
        <w:t xml:space="preserve">by SMS or email each time their PCEHR is opened.  This access control would only be available to </w:t>
      </w:r>
      <w:r w:rsidR="007113B8" w:rsidRPr="007113B8">
        <w:rPr>
          <w:rFonts w:ascii="Times New Roman" w:hAnsi="Times New Roman" w:cs="Times New Roman"/>
        </w:rPr>
        <w:t xml:space="preserve">individuals </w:t>
      </w:r>
      <w:r w:rsidR="007113B8" w:rsidRPr="007113B8">
        <w:rPr>
          <w:rStyle w:val="IntenseReference"/>
          <w:rFonts w:ascii="Times New Roman" w:hAnsi="Times New Roman" w:cs="Times New Roman"/>
          <w:b w:val="0"/>
          <w:bCs w:val="0"/>
          <w:i w:val="0"/>
          <w:smallCaps w:val="0"/>
          <w:color w:val="auto"/>
        </w:rPr>
        <w:t xml:space="preserve">who request the alert and who have </w:t>
      </w:r>
      <w:r w:rsidR="006E297B">
        <w:rPr>
          <w:rStyle w:val="IntenseReference"/>
          <w:rFonts w:ascii="Times New Roman" w:hAnsi="Times New Roman" w:cs="Times New Roman"/>
          <w:b w:val="0"/>
          <w:bCs w:val="0"/>
          <w:i w:val="0"/>
          <w:smallCaps w:val="0"/>
          <w:color w:val="auto"/>
        </w:rPr>
        <w:t>provided</w:t>
      </w:r>
      <w:r w:rsidR="007113B8" w:rsidRPr="007113B8">
        <w:rPr>
          <w:rStyle w:val="IntenseReference"/>
          <w:rFonts w:ascii="Times New Roman" w:hAnsi="Times New Roman" w:cs="Times New Roman"/>
          <w:b w:val="0"/>
          <w:bCs w:val="0"/>
          <w:i w:val="0"/>
          <w:smallCaps w:val="0"/>
          <w:color w:val="auto"/>
        </w:rPr>
        <w:t xml:space="preserve"> their mobile number or email address to the System Operator.  The legislation would be amended to allow this information to be collected, used and disclosed</w:t>
      </w:r>
      <w:r w:rsidR="006E297B">
        <w:rPr>
          <w:rStyle w:val="IntenseReference"/>
          <w:rFonts w:ascii="Times New Roman" w:hAnsi="Times New Roman" w:cs="Times New Roman"/>
          <w:b w:val="0"/>
          <w:bCs w:val="0"/>
          <w:i w:val="0"/>
          <w:smallCaps w:val="0"/>
          <w:color w:val="auto"/>
        </w:rPr>
        <w:t>,</w:t>
      </w:r>
      <w:r w:rsidR="007113B8" w:rsidRPr="007113B8">
        <w:rPr>
          <w:rStyle w:val="IntenseReference"/>
          <w:rFonts w:ascii="Times New Roman" w:hAnsi="Times New Roman" w:cs="Times New Roman"/>
          <w:b w:val="0"/>
          <w:bCs w:val="0"/>
          <w:i w:val="0"/>
          <w:smallCaps w:val="0"/>
          <w:color w:val="auto"/>
        </w:rPr>
        <w:t xml:space="preserve"> as necessary</w:t>
      </w:r>
      <w:r w:rsidR="006E297B">
        <w:rPr>
          <w:rStyle w:val="IntenseReference"/>
          <w:rFonts w:ascii="Times New Roman" w:hAnsi="Times New Roman" w:cs="Times New Roman"/>
          <w:b w:val="0"/>
          <w:bCs w:val="0"/>
          <w:i w:val="0"/>
          <w:smallCaps w:val="0"/>
          <w:color w:val="auto"/>
        </w:rPr>
        <w:t>,</w:t>
      </w:r>
      <w:r w:rsidR="007113B8" w:rsidRPr="007113B8">
        <w:rPr>
          <w:rStyle w:val="IntenseReference"/>
          <w:rFonts w:ascii="Times New Roman" w:hAnsi="Times New Roman" w:cs="Times New Roman"/>
          <w:b w:val="0"/>
          <w:bCs w:val="0"/>
          <w:i w:val="0"/>
          <w:smallCaps w:val="0"/>
          <w:color w:val="auto"/>
        </w:rPr>
        <w:t xml:space="preserve"> to give effect to this access control.</w:t>
      </w:r>
    </w:p>
    <w:p w:rsidR="007113B8" w:rsidRDefault="007113B8" w:rsidP="007113B8">
      <w:pPr>
        <w:rPr>
          <w:rFonts w:ascii="Times New Roman" w:hAnsi="Times New Roman" w:cs="Times New Roman"/>
          <w:szCs w:val="24"/>
        </w:rPr>
      </w:pPr>
      <w:r>
        <w:rPr>
          <w:rFonts w:ascii="Times New Roman" w:hAnsi="Times New Roman" w:cs="Times New Roman"/>
          <w:szCs w:val="24"/>
        </w:rPr>
        <w:lastRenderedPageBreak/>
        <w:t>It is also proposed to allow the System Operator to suspend access to a</w:t>
      </w:r>
      <w:r w:rsidR="006E297B">
        <w:rPr>
          <w:rFonts w:ascii="Times New Roman" w:hAnsi="Times New Roman" w:cs="Times New Roman"/>
          <w:szCs w:val="24"/>
        </w:rPr>
        <w:t xml:space="preserve">n individual’s </w:t>
      </w:r>
      <w:r>
        <w:rPr>
          <w:rFonts w:ascii="Times New Roman" w:hAnsi="Times New Roman" w:cs="Times New Roman"/>
          <w:szCs w:val="24"/>
        </w:rPr>
        <w:t xml:space="preserve"> PCEHR in circumstances where there is a threat to the security of the</w:t>
      </w:r>
      <w:r w:rsidR="006E297B">
        <w:rPr>
          <w:rFonts w:ascii="Times New Roman" w:hAnsi="Times New Roman" w:cs="Times New Roman"/>
          <w:szCs w:val="24"/>
        </w:rPr>
        <w:t>ir</w:t>
      </w:r>
      <w:r>
        <w:rPr>
          <w:rFonts w:ascii="Times New Roman" w:hAnsi="Times New Roman" w:cs="Times New Roman"/>
          <w:szCs w:val="24"/>
        </w:rPr>
        <w:t xml:space="preserve"> record or the PCEHR system or there is an issue or suspected issue with an individual’s (or their representative’s) identity or other technical or operation issue.</w:t>
      </w:r>
      <w:r w:rsidR="006351BE">
        <w:rPr>
          <w:rFonts w:ascii="Times New Roman" w:hAnsi="Times New Roman" w:cs="Times New Roman"/>
          <w:szCs w:val="24"/>
        </w:rPr>
        <w:t xml:space="preserve">  </w:t>
      </w:r>
      <w:r>
        <w:rPr>
          <w:rFonts w:ascii="Times New Roman" w:hAnsi="Times New Roman" w:cs="Times New Roman"/>
          <w:szCs w:val="24"/>
        </w:rPr>
        <w:t>This change will not affect the registration of an individual or their access to their PCEHR but will provide an increased level of security for the record or the PCEHR system as a whole.</w:t>
      </w:r>
    </w:p>
    <w:p w:rsidR="007113B8" w:rsidRDefault="007113B8" w:rsidP="007113B8">
      <w:pPr>
        <w:rPr>
          <w:rFonts w:ascii="Times New Roman" w:hAnsi="Times New Roman" w:cs="Times New Roman"/>
          <w:szCs w:val="24"/>
        </w:rPr>
      </w:pPr>
      <w:r>
        <w:rPr>
          <w:rFonts w:ascii="Times New Roman" w:hAnsi="Times New Roman" w:cs="Times New Roman"/>
          <w:szCs w:val="24"/>
        </w:rPr>
        <w:t xml:space="preserve">The privacy framework of the PCEHR system and the HI Service is prescriptive in specifying who may collect, use or disclose information and for what purposes.  It is proposed to change from this prescriptive approach to a principles-based approach by listing the information that is protected, who may collect, use and disclose the information and for what purposes.  This </w:t>
      </w:r>
      <w:r w:rsidR="00CE310C">
        <w:rPr>
          <w:rFonts w:ascii="Times New Roman" w:hAnsi="Times New Roman" w:cs="Times New Roman"/>
          <w:szCs w:val="24"/>
        </w:rPr>
        <w:t>will not</w:t>
      </w:r>
      <w:r>
        <w:rPr>
          <w:rFonts w:ascii="Times New Roman" w:hAnsi="Times New Roman" w:cs="Times New Roman"/>
          <w:szCs w:val="24"/>
        </w:rPr>
        <w:t xml:space="preserve"> relax the privacy framework or change the nature of the authorisations but simply provides clarification and assists the HI Service Operator and the PCEHR System Operator to meet their obligations.</w:t>
      </w:r>
    </w:p>
    <w:p w:rsidR="007113B8" w:rsidRDefault="007113B8" w:rsidP="007113B8">
      <w:pPr>
        <w:rPr>
          <w:rFonts w:ascii="Times New Roman" w:hAnsi="Times New Roman" w:cs="Times New Roman"/>
        </w:rPr>
      </w:pPr>
      <w:r>
        <w:rPr>
          <w:rFonts w:ascii="Times New Roman" w:hAnsi="Times New Roman" w:cs="Times New Roman"/>
        </w:rPr>
        <w:t>The HI Act and PCEHR Act, together with the Privacy Act, currently provide penalties for misuse of information and healthcare identifiers.  The discussion paper highlights that consideration is being given to increasing the range of enforcement and penalty options available for breach of the PCEHR Act.  This includes consideration of introducing criminal penalties for more serious misuses of PCEHR information while retaining the ability to impose civil penalties.  This would establish a more graduated framework and enable better response to inappropriate behaviour in a way that is proportional to the severity of the breach.</w:t>
      </w:r>
      <w:r w:rsidR="00C33FCD">
        <w:rPr>
          <w:rFonts w:ascii="Times New Roman" w:hAnsi="Times New Roman" w:cs="Times New Roman"/>
        </w:rPr>
        <w:t xml:space="preserve"> </w:t>
      </w:r>
    </w:p>
    <w:p w:rsidR="007113B8" w:rsidRDefault="007113B8" w:rsidP="007113B8">
      <w:pPr>
        <w:spacing w:after="120"/>
        <w:rPr>
          <w:rFonts w:ascii="Times New Roman" w:hAnsi="Times New Roman" w:cs="Times New Roman"/>
          <w:b/>
          <w:szCs w:val="24"/>
        </w:rPr>
      </w:pPr>
      <w:r>
        <w:rPr>
          <w:rFonts w:ascii="Times New Roman" w:hAnsi="Times New Roman" w:cs="Times New Roman"/>
          <w:b/>
          <w:szCs w:val="24"/>
        </w:rPr>
        <w:t>Feedback</w:t>
      </w:r>
    </w:p>
    <w:p w:rsidR="007113B8" w:rsidRDefault="007113B8" w:rsidP="007113B8">
      <w:pPr>
        <w:rPr>
          <w:rFonts w:ascii="Times New Roman" w:hAnsi="Times New Roman" w:cs="Times New Roman"/>
          <w:szCs w:val="24"/>
        </w:rPr>
      </w:pPr>
      <w:r>
        <w:rPr>
          <w:rFonts w:ascii="Times New Roman" w:hAnsi="Times New Roman" w:cs="Times New Roman"/>
          <w:szCs w:val="24"/>
        </w:rPr>
        <w:t xml:space="preserve">Readers are invited to make a submission on the </w:t>
      </w:r>
      <w:r w:rsidR="006351BE">
        <w:rPr>
          <w:rFonts w:ascii="Times New Roman" w:hAnsi="Times New Roman" w:cs="Times New Roman"/>
          <w:szCs w:val="24"/>
        </w:rPr>
        <w:t>d</w:t>
      </w:r>
      <w:r>
        <w:rPr>
          <w:rFonts w:ascii="Times New Roman" w:hAnsi="Times New Roman" w:cs="Times New Roman"/>
          <w:szCs w:val="24"/>
        </w:rPr>
        <w:t xml:space="preserve">iscussion </w:t>
      </w:r>
      <w:r w:rsidR="006351BE">
        <w:rPr>
          <w:rFonts w:ascii="Times New Roman" w:hAnsi="Times New Roman" w:cs="Times New Roman"/>
          <w:szCs w:val="24"/>
        </w:rPr>
        <w:t>p</w:t>
      </w:r>
      <w:r>
        <w:rPr>
          <w:rFonts w:ascii="Times New Roman" w:hAnsi="Times New Roman" w:cs="Times New Roman"/>
          <w:szCs w:val="24"/>
        </w:rPr>
        <w:t xml:space="preserve">aper.  This can be in the form of contributing ideas or responding to the issues and questions raised in the </w:t>
      </w:r>
      <w:r w:rsidR="006351BE">
        <w:rPr>
          <w:rFonts w:ascii="Times New Roman" w:hAnsi="Times New Roman" w:cs="Times New Roman"/>
          <w:szCs w:val="24"/>
        </w:rPr>
        <w:t>p</w:t>
      </w:r>
      <w:r>
        <w:rPr>
          <w:rFonts w:ascii="Times New Roman" w:hAnsi="Times New Roman" w:cs="Times New Roman"/>
          <w:szCs w:val="24"/>
        </w:rPr>
        <w:t>aper.</w:t>
      </w:r>
    </w:p>
    <w:p w:rsidR="007113B8" w:rsidRDefault="007113B8" w:rsidP="007113B8">
      <w:pPr>
        <w:rPr>
          <w:rFonts w:ascii="Times New Roman" w:hAnsi="Times New Roman" w:cs="Times New Roman"/>
          <w:szCs w:val="24"/>
        </w:rPr>
      </w:pPr>
      <w:r>
        <w:rPr>
          <w:rFonts w:ascii="Times New Roman" w:hAnsi="Times New Roman" w:cs="Times New Roman"/>
          <w:szCs w:val="24"/>
        </w:rPr>
        <w:t>Submissions must be in writing and identify the names of the parties and/or organisations they represent, as well as respective contact details.</w:t>
      </w:r>
    </w:p>
    <w:p w:rsidR="006E297B" w:rsidRDefault="006E297B" w:rsidP="007113B8">
      <w:pPr>
        <w:rPr>
          <w:rFonts w:ascii="Times New Roman" w:hAnsi="Times New Roman" w:cs="Times New Roman"/>
          <w:szCs w:val="24"/>
        </w:rPr>
      </w:pPr>
      <w:r>
        <w:rPr>
          <w:rFonts w:ascii="Times New Roman" w:hAnsi="Times New Roman" w:cs="Times New Roman"/>
          <w:szCs w:val="24"/>
        </w:rPr>
        <w:t>The period for making submissions closes 5:00 p.m. (Australian Eastern Standard Time) Wednesday 24 June 2015.</w:t>
      </w:r>
    </w:p>
    <w:p w:rsidR="007113B8" w:rsidRDefault="007113B8" w:rsidP="007113B8">
      <w:pPr>
        <w:rPr>
          <w:rFonts w:ascii="Times New Roman" w:hAnsi="Times New Roman" w:cs="Times New Roman"/>
          <w:szCs w:val="24"/>
        </w:rPr>
      </w:pPr>
      <w:r>
        <w:rPr>
          <w:rFonts w:ascii="Times New Roman" w:hAnsi="Times New Roman" w:cs="Times New Roman"/>
          <w:szCs w:val="24"/>
        </w:rPr>
        <w:t>Submissions can be made by any of the following ways:</w:t>
      </w:r>
    </w:p>
    <w:p w:rsidR="007113B8" w:rsidRDefault="007113B8" w:rsidP="007113B8">
      <w:pPr>
        <w:pStyle w:val="ListParagraph"/>
        <w:numPr>
          <w:ilvl w:val="0"/>
          <w:numId w:val="4"/>
        </w:numPr>
        <w:tabs>
          <w:tab w:val="left" w:pos="1985"/>
          <w:tab w:val="left" w:pos="2127"/>
        </w:tabs>
        <w:spacing w:after="120" w:line="240" w:lineRule="auto"/>
        <w:ind w:left="426" w:hanging="426"/>
        <w:rPr>
          <w:rFonts w:ascii="Times New Roman" w:hAnsi="Times New Roman" w:cs="Times New Roman"/>
        </w:rPr>
      </w:pPr>
      <w:r>
        <w:rPr>
          <w:rFonts w:ascii="Times New Roman" w:hAnsi="Times New Roman" w:cs="Times New Roman"/>
        </w:rPr>
        <w:t>mail it to</w:t>
      </w:r>
      <w:r>
        <w:rPr>
          <w:rFonts w:ascii="Times New Roman" w:hAnsi="Times New Roman" w:cs="Times New Roman"/>
        </w:rPr>
        <w:tab/>
      </w:r>
      <w:r>
        <w:rPr>
          <w:rFonts w:ascii="Times New Roman" w:hAnsi="Times New Roman" w:cs="Times New Roman"/>
        </w:rPr>
        <w:tab/>
        <w:t>PCEHR/HI Discussion Paper Feedback</w:t>
      </w:r>
    </w:p>
    <w:p w:rsidR="007113B8" w:rsidRDefault="007113B8" w:rsidP="007113B8">
      <w:pPr>
        <w:pStyle w:val="ListParagraph"/>
        <w:spacing w:after="120"/>
        <w:ind w:left="2127"/>
        <w:rPr>
          <w:rFonts w:ascii="Times New Roman" w:hAnsi="Times New Roman" w:cs="Times New Roman"/>
        </w:rPr>
      </w:pPr>
      <w:r>
        <w:rPr>
          <w:rFonts w:ascii="Times New Roman" w:hAnsi="Times New Roman" w:cs="Times New Roman"/>
        </w:rPr>
        <w:t xml:space="preserve">Department of Health </w:t>
      </w:r>
    </w:p>
    <w:p w:rsidR="007113B8" w:rsidRDefault="007113B8" w:rsidP="007113B8">
      <w:pPr>
        <w:pStyle w:val="ListParagraph"/>
        <w:spacing w:after="120"/>
        <w:ind w:left="2127"/>
        <w:rPr>
          <w:rFonts w:ascii="Times New Roman" w:hAnsi="Times New Roman" w:cs="Times New Roman"/>
        </w:rPr>
      </w:pPr>
      <w:r>
        <w:rPr>
          <w:rFonts w:ascii="Times New Roman" w:hAnsi="Times New Roman" w:cs="Times New Roman"/>
        </w:rPr>
        <w:t>MDP 1003</w:t>
      </w:r>
    </w:p>
    <w:p w:rsidR="007113B8" w:rsidRDefault="007113B8" w:rsidP="007113B8">
      <w:pPr>
        <w:pStyle w:val="ListParagraph"/>
        <w:spacing w:after="120"/>
        <w:ind w:left="2268" w:hanging="141"/>
        <w:rPr>
          <w:rFonts w:ascii="Times New Roman" w:hAnsi="Times New Roman" w:cs="Times New Roman"/>
        </w:rPr>
      </w:pPr>
      <w:r>
        <w:rPr>
          <w:rFonts w:ascii="Times New Roman" w:hAnsi="Times New Roman" w:cs="Times New Roman"/>
        </w:rPr>
        <w:t>GPO Box 9848</w:t>
      </w:r>
    </w:p>
    <w:p w:rsidR="007113B8" w:rsidRDefault="007113B8" w:rsidP="007113B8">
      <w:pPr>
        <w:pStyle w:val="ListParagraph"/>
        <w:spacing w:after="120"/>
        <w:ind w:left="2268" w:hanging="141"/>
        <w:rPr>
          <w:rFonts w:ascii="Times New Roman" w:hAnsi="Times New Roman" w:cs="Times New Roman"/>
        </w:rPr>
      </w:pPr>
      <w:proofErr w:type="gramStart"/>
      <w:r>
        <w:rPr>
          <w:rFonts w:ascii="Times New Roman" w:hAnsi="Times New Roman" w:cs="Times New Roman"/>
        </w:rPr>
        <w:t>CANBERRA  ACT</w:t>
      </w:r>
      <w:proofErr w:type="gramEnd"/>
      <w:r>
        <w:rPr>
          <w:rFonts w:ascii="Times New Roman" w:hAnsi="Times New Roman" w:cs="Times New Roman"/>
        </w:rPr>
        <w:t xml:space="preserve">  2601</w:t>
      </w:r>
    </w:p>
    <w:p w:rsidR="007113B8" w:rsidRDefault="007113B8" w:rsidP="007113B8">
      <w:pPr>
        <w:pStyle w:val="ListParagraph"/>
        <w:spacing w:after="120"/>
        <w:ind w:left="1080"/>
        <w:rPr>
          <w:rFonts w:ascii="Times New Roman" w:hAnsi="Times New Roman" w:cs="Times New Roman"/>
          <w:sz w:val="12"/>
          <w:szCs w:val="12"/>
        </w:rPr>
      </w:pPr>
    </w:p>
    <w:p w:rsidR="007113B8" w:rsidRPr="000B67BF" w:rsidRDefault="007113B8" w:rsidP="007113B8">
      <w:pPr>
        <w:pStyle w:val="ListParagraph"/>
        <w:numPr>
          <w:ilvl w:val="0"/>
          <w:numId w:val="4"/>
        </w:numPr>
        <w:spacing w:after="120" w:line="240" w:lineRule="auto"/>
        <w:ind w:left="426" w:hanging="426"/>
        <w:rPr>
          <w:rFonts w:ascii="Times New Roman" w:hAnsi="Times New Roman" w:cs="Times New Roman"/>
          <w:sz w:val="12"/>
          <w:szCs w:val="12"/>
        </w:rPr>
      </w:pPr>
      <w:r w:rsidRPr="000B67BF">
        <w:rPr>
          <w:rFonts w:ascii="Times New Roman" w:hAnsi="Times New Roman" w:cs="Times New Roman"/>
        </w:rPr>
        <w:t>email it to</w:t>
      </w:r>
      <w:r w:rsidRPr="000B67BF">
        <w:rPr>
          <w:rFonts w:ascii="Times New Roman" w:hAnsi="Times New Roman" w:cs="Times New Roman"/>
        </w:rPr>
        <w:tab/>
      </w:r>
      <w:r w:rsidRPr="000B67BF">
        <w:rPr>
          <w:rFonts w:ascii="Times New Roman" w:hAnsi="Times New Roman" w:cs="Times New Roman"/>
        </w:rPr>
        <w:tab/>
      </w:r>
      <w:hyperlink r:id="rId9" w:history="1">
        <w:r w:rsidRPr="000B67BF">
          <w:rPr>
            <w:rStyle w:val="Hyperlink"/>
            <w:rFonts w:ascii="Times New Roman" w:hAnsi="Times New Roman"/>
            <w:u w:val="single"/>
          </w:rPr>
          <w:t>ehealth.legislation@health.gov.au</w:t>
        </w:r>
      </w:hyperlink>
    </w:p>
    <w:p w:rsidR="007113B8" w:rsidRPr="000B67BF" w:rsidRDefault="007113B8" w:rsidP="007113B8">
      <w:pPr>
        <w:pStyle w:val="ListParagraph"/>
        <w:spacing w:after="120"/>
        <w:ind w:left="1080"/>
        <w:rPr>
          <w:rFonts w:ascii="Times New Roman" w:hAnsi="Times New Roman" w:cs="Times New Roman"/>
          <w:sz w:val="12"/>
          <w:szCs w:val="12"/>
        </w:rPr>
      </w:pPr>
    </w:p>
    <w:p w:rsidR="00DE3E1B" w:rsidRPr="00DE3E1B" w:rsidRDefault="007113B8" w:rsidP="007113B8">
      <w:pPr>
        <w:pStyle w:val="ListParagraph"/>
        <w:numPr>
          <w:ilvl w:val="0"/>
          <w:numId w:val="4"/>
        </w:numPr>
        <w:spacing w:after="120" w:line="240" w:lineRule="auto"/>
        <w:ind w:left="426" w:hanging="426"/>
        <w:rPr>
          <w:rFonts w:ascii="Times New Roman" w:hAnsi="Times New Roman" w:cs="Times New Roman"/>
          <w:szCs w:val="12"/>
        </w:rPr>
      </w:pPr>
      <w:r w:rsidRPr="000B67BF">
        <w:rPr>
          <w:rFonts w:ascii="Times New Roman" w:hAnsi="Times New Roman" w:cs="Times New Roman"/>
        </w:rPr>
        <w:t>upload it at</w:t>
      </w:r>
      <w:r w:rsidRPr="000B67BF">
        <w:rPr>
          <w:rFonts w:ascii="Times New Roman" w:hAnsi="Times New Roman" w:cs="Times New Roman"/>
        </w:rPr>
        <w:tab/>
      </w:r>
      <w:r w:rsidRPr="000B67BF">
        <w:rPr>
          <w:rFonts w:ascii="Times New Roman" w:hAnsi="Times New Roman" w:cs="Times New Roman"/>
        </w:rPr>
        <w:tab/>
      </w:r>
      <w:hyperlink r:id="rId10" w:history="1">
        <w:r w:rsidR="00DE3E1B">
          <w:rPr>
            <w:rStyle w:val="Hyperlink"/>
            <w:rFonts w:ascii="Times New Roman" w:hAnsi="Times New Roman"/>
            <w:u w:val="single"/>
          </w:rPr>
          <w:t>the eHealth website</w:t>
        </w:r>
      </w:hyperlink>
      <w:bookmarkStart w:id="0" w:name="_GoBack"/>
      <w:bookmarkEnd w:id="0"/>
    </w:p>
    <w:p w:rsidR="00DE3E1B" w:rsidRPr="00DE3E1B" w:rsidRDefault="00DE3E1B" w:rsidP="00DE3E1B">
      <w:pPr>
        <w:pStyle w:val="ListParagraph"/>
        <w:rPr>
          <w:rFonts w:ascii="Times New Roman" w:hAnsi="Times New Roman" w:cs="Times New Roman"/>
          <w:sz w:val="12"/>
          <w:szCs w:val="12"/>
        </w:rPr>
      </w:pPr>
    </w:p>
    <w:p w:rsidR="00F42C19" w:rsidRPr="00F42C19" w:rsidRDefault="00F42C19" w:rsidP="007113B8">
      <w:pPr>
        <w:pStyle w:val="ListParagraph"/>
        <w:numPr>
          <w:ilvl w:val="0"/>
          <w:numId w:val="4"/>
        </w:numPr>
        <w:spacing w:after="120" w:line="240" w:lineRule="auto"/>
        <w:ind w:left="426" w:hanging="426"/>
        <w:rPr>
          <w:rFonts w:ascii="Times New Roman" w:hAnsi="Times New Roman" w:cs="Times New Roman"/>
          <w:szCs w:val="12"/>
        </w:rPr>
      </w:pPr>
      <w:r w:rsidRPr="00F42C19">
        <w:rPr>
          <w:rFonts w:ascii="Times New Roman" w:hAnsi="Times New Roman" w:cs="Times New Roman"/>
          <w:szCs w:val="12"/>
        </w:rPr>
        <w:t>fax it to</w:t>
      </w:r>
      <w:r>
        <w:rPr>
          <w:rFonts w:ascii="Times New Roman" w:hAnsi="Times New Roman" w:cs="Times New Roman"/>
          <w:szCs w:val="12"/>
        </w:rPr>
        <w:tab/>
      </w:r>
      <w:r>
        <w:rPr>
          <w:rFonts w:ascii="Times New Roman" w:hAnsi="Times New Roman" w:cs="Times New Roman"/>
          <w:szCs w:val="12"/>
        </w:rPr>
        <w:tab/>
        <w:t>(02) 6289 5673</w:t>
      </w:r>
    </w:p>
    <w:sectPr w:rsidR="00F42C19" w:rsidRPr="00F42C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88" w:rsidRDefault="00C14288" w:rsidP="0061128E">
      <w:pPr>
        <w:spacing w:after="0" w:line="240" w:lineRule="auto"/>
      </w:pPr>
      <w:r>
        <w:separator/>
      </w:r>
    </w:p>
  </w:endnote>
  <w:endnote w:type="continuationSeparator" w:id="0">
    <w:p w:rsidR="00C14288" w:rsidRDefault="00C14288" w:rsidP="0061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8E" w:rsidRDefault="0061128E">
    <w:pPr>
      <w:ind w:right="260"/>
      <w:rPr>
        <w:color w:val="0F243E" w:themeColor="text2" w:themeShade="80"/>
        <w:sz w:val="26"/>
        <w:szCs w:val="26"/>
      </w:rPr>
    </w:pPr>
    <w:r>
      <w:rPr>
        <w:noProof/>
        <w:color w:val="1F497D" w:themeColor="text2"/>
        <w:sz w:val="26"/>
        <w:szCs w:val="26"/>
        <w:lang w:eastAsia="en-AU"/>
      </w:rPr>
      <mc:AlternateContent>
        <mc:Choice Requires="wps">
          <w:drawing>
            <wp:inline distT="0" distB="0" distL="0" distR="0">
              <wp:extent cx="388620" cy="313055"/>
              <wp:effectExtent l="0" t="0" r="0" b="0"/>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128E" w:rsidRPr="0061128E" w:rsidRDefault="0061128E">
                          <w:pPr>
                            <w:spacing w:after="0"/>
                            <w:jc w:val="center"/>
                            <w:rPr>
                              <w:color w:val="0F243E" w:themeColor="text2" w:themeShade="80"/>
                              <w:szCs w:val="26"/>
                            </w:rPr>
                          </w:pPr>
                          <w:r w:rsidRPr="0061128E">
                            <w:rPr>
                              <w:color w:val="0F243E" w:themeColor="text2" w:themeShade="80"/>
                              <w:szCs w:val="26"/>
                            </w:rPr>
                            <w:fldChar w:fldCharType="begin"/>
                          </w:r>
                          <w:r w:rsidRPr="0061128E">
                            <w:rPr>
                              <w:color w:val="0F243E" w:themeColor="text2" w:themeShade="80"/>
                              <w:szCs w:val="26"/>
                            </w:rPr>
                            <w:instrText xml:space="preserve"> PAGE  \* Arabic  \* MERGEFORMAT </w:instrText>
                          </w:r>
                          <w:r w:rsidRPr="0061128E">
                            <w:rPr>
                              <w:color w:val="0F243E" w:themeColor="text2" w:themeShade="80"/>
                              <w:szCs w:val="26"/>
                            </w:rPr>
                            <w:fldChar w:fldCharType="separate"/>
                          </w:r>
                          <w:r w:rsidR="00FF4831">
                            <w:rPr>
                              <w:noProof/>
                              <w:color w:val="0F243E" w:themeColor="text2" w:themeShade="80"/>
                              <w:szCs w:val="26"/>
                            </w:rPr>
                            <w:t>3</w:t>
                          </w:r>
                          <w:r w:rsidRPr="0061128E">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49" o:spid="_x0000_s1026" type="#_x0000_t202" style="width:30.6pt;height:2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" fillcolor="white [3201]" stroked="f" strokeweight=".5pt">
              <v:textbox style="mso-fit-shape-to-text:t" inset="0,,0">
                <w:txbxContent>
                  <w:p w:rsidR="0061128E" w:rsidRPr="0061128E" w:rsidRDefault="0061128E">
                    <w:pPr>
                      <w:spacing w:after="0"/>
                      <w:jc w:val="center"/>
                      <w:rPr>
                        <w:color w:val="0F243E" w:themeColor="text2" w:themeShade="80"/>
                        <w:szCs w:val="26"/>
                      </w:rPr>
                    </w:pPr>
                    <w:r w:rsidRPr="0061128E">
                      <w:rPr>
                        <w:color w:val="0F243E" w:themeColor="text2" w:themeShade="80"/>
                        <w:szCs w:val="26"/>
                      </w:rPr>
                      <w:fldChar w:fldCharType="begin"/>
                    </w:r>
                    <w:r w:rsidRPr="0061128E">
                      <w:rPr>
                        <w:color w:val="0F243E" w:themeColor="text2" w:themeShade="80"/>
                        <w:szCs w:val="26"/>
                      </w:rPr>
                      <w:instrText xml:space="preserve"> PAGE  \* Arabic  \* MERGEFORMAT </w:instrText>
                    </w:r>
                    <w:r w:rsidRPr="0061128E">
                      <w:rPr>
                        <w:color w:val="0F243E" w:themeColor="text2" w:themeShade="80"/>
                        <w:szCs w:val="26"/>
                      </w:rPr>
                      <w:fldChar w:fldCharType="separate"/>
                    </w:r>
                    <w:r w:rsidR="00FF4831">
                      <w:rPr>
                        <w:noProof/>
                        <w:color w:val="0F243E" w:themeColor="text2" w:themeShade="80"/>
                        <w:szCs w:val="26"/>
                      </w:rPr>
                      <w:t>3</w:t>
                    </w:r>
                    <w:r w:rsidRPr="0061128E">
                      <w:rPr>
                        <w:color w:val="0F243E" w:themeColor="text2" w:themeShade="80"/>
                        <w:szCs w:val="26"/>
                      </w:rPr>
                      <w:fldChar w:fldCharType="end"/>
                    </w:r>
                  </w:p>
                </w:txbxContent>
              </v:textbox>
              <w10:anchorlock/>
            </v:shape>
          </w:pict>
        </mc:Fallback>
      </mc:AlternateContent>
    </w:r>
  </w:p>
  <w:p w:rsidR="0061128E" w:rsidRDefault="00611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88" w:rsidRDefault="00C14288" w:rsidP="0061128E">
      <w:pPr>
        <w:spacing w:after="0" w:line="240" w:lineRule="auto"/>
      </w:pPr>
      <w:r>
        <w:separator/>
      </w:r>
    </w:p>
  </w:footnote>
  <w:footnote w:type="continuationSeparator" w:id="0">
    <w:p w:rsidR="00C14288" w:rsidRDefault="00C14288" w:rsidP="00611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27FC"/>
    <w:multiLevelType w:val="hybridMultilevel"/>
    <w:tmpl w:val="5FD6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00499B"/>
    <w:multiLevelType w:val="hybridMultilevel"/>
    <w:tmpl w:val="AA1A16DC"/>
    <w:lvl w:ilvl="0" w:tplc="38848A3A">
      <w:start w:val="1"/>
      <w:numFmt w:val="decimal"/>
      <w:lvlText w:val="%1."/>
      <w:lvlJc w:val="left"/>
      <w:pPr>
        <w:ind w:left="1080" w:hanging="360"/>
      </w:pPr>
      <w:rPr>
        <w:rFonts w:ascii="Calibri" w:hAnsi="Calibri" w:hint="default"/>
        <w:b/>
        <w:i w:val="0"/>
        <w:color w:val="auto"/>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6F"/>
    <w:rsid w:val="00097181"/>
    <w:rsid w:val="000B67BF"/>
    <w:rsid w:val="000C0153"/>
    <w:rsid w:val="000E4BB7"/>
    <w:rsid w:val="00105D22"/>
    <w:rsid w:val="00170749"/>
    <w:rsid w:val="001C5C13"/>
    <w:rsid w:val="002D3225"/>
    <w:rsid w:val="00307B09"/>
    <w:rsid w:val="00326480"/>
    <w:rsid w:val="00365DC2"/>
    <w:rsid w:val="003F226D"/>
    <w:rsid w:val="00464CDF"/>
    <w:rsid w:val="004D51C8"/>
    <w:rsid w:val="00553385"/>
    <w:rsid w:val="00561724"/>
    <w:rsid w:val="005B546F"/>
    <w:rsid w:val="005D1A19"/>
    <w:rsid w:val="0061128E"/>
    <w:rsid w:val="00634057"/>
    <w:rsid w:val="006351BE"/>
    <w:rsid w:val="00651396"/>
    <w:rsid w:val="006748C4"/>
    <w:rsid w:val="006E297B"/>
    <w:rsid w:val="007113B8"/>
    <w:rsid w:val="007843DF"/>
    <w:rsid w:val="007F0B01"/>
    <w:rsid w:val="00885EF9"/>
    <w:rsid w:val="008E0E56"/>
    <w:rsid w:val="009954F1"/>
    <w:rsid w:val="009E62AF"/>
    <w:rsid w:val="009F143D"/>
    <w:rsid w:val="00A33180"/>
    <w:rsid w:val="00A7364C"/>
    <w:rsid w:val="00B26DE3"/>
    <w:rsid w:val="00B71907"/>
    <w:rsid w:val="00BA2D53"/>
    <w:rsid w:val="00BB5F00"/>
    <w:rsid w:val="00C14288"/>
    <w:rsid w:val="00C33FCD"/>
    <w:rsid w:val="00C540A8"/>
    <w:rsid w:val="00CC4028"/>
    <w:rsid w:val="00CE310C"/>
    <w:rsid w:val="00D32912"/>
    <w:rsid w:val="00D47443"/>
    <w:rsid w:val="00DE3E1B"/>
    <w:rsid w:val="00E14B82"/>
    <w:rsid w:val="00E77249"/>
    <w:rsid w:val="00E8230B"/>
    <w:rsid w:val="00EE0E18"/>
    <w:rsid w:val="00EE7AA8"/>
    <w:rsid w:val="00F42C19"/>
    <w:rsid w:val="00FF4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D53"/>
    <w:pPr>
      <w:ind w:left="720"/>
      <w:contextualSpacing/>
    </w:pPr>
  </w:style>
  <w:style w:type="character" w:styleId="IntenseReference">
    <w:name w:val="Intense Reference"/>
    <w:basedOn w:val="DefaultParagraphFont"/>
    <w:uiPriority w:val="32"/>
    <w:qFormat/>
    <w:rsid w:val="00CC4028"/>
    <w:rPr>
      <w:b/>
      <w:bCs/>
      <w:i/>
      <w:smallCaps/>
      <w:color w:val="C0504D" w:themeColor="accent2"/>
      <w:spacing w:val="5"/>
      <w:u w:val="none"/>
    </w:rPr>
  </w:style>
  <w:style w:type="character" w:customStyle="1" w:styleId="ListParagraphChar">
    <w:name w:val="List Paragraph Char"/>
    <w:link w:val="ListParagraph"/>
    <w:uiPriority w:val="34"/>
    <w:locked/>
    <w:rsid w:val="00CC4028"/>
  </w:style>
  <w:style w:type="character" w:styleId="Hyperlink">
    <w:name w:val="Hyperlink"/>
    <w:basedOn w:val="DefaultParagraphFont"/>
    <w:uiPriority w:val="99"/>
    <w:rsid w:val="0061128E"/>
    <w:rPr>
      <w:rFonts w:cs="Times New Roman"/>
      <w:color w:val="000080"/>
    </w:rPr>
  </w:style>
  <w:style w:type="paragraph" w:styleId="Header">
    <w:name w:val="header"/>
    <w:basedOn w:val="Normal"/>
    <w:link w:val="HeaderChar"/>
    <w:uiPriority w:val="99"/>
    <w:unhideWhenUsed/>
    <w:rsid w:val="00611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28E"/>
  </w:style>
  <w:style w:type="paragraph" w:styleId="Footer">
    <w:name w:val="footer"/>
    <w:basedOn w:val="Normal"/>
    <w:link w:val="FooterChar"/>
    <w:uiPriority w:val="99"/>
    <w:unhideWhenUsed/>
    <w:rsid w:val="00611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28E"/>
  </w:style>
  <w:style w:type="paragraph" w:styleId="BalloonText">
    <w:name w:val="Balloon Text"/>
    <w:basedOn w:val="Normal"/>
    <w:link w:val="BalloonTextChar"/>
    <w:uiPriority w:val="99"/>
    <w:semiHidden/>
    <w:unhideWhenUsed/>
    <w:rsid w:val="0061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8E"/>
    <w:rPr>
      <w:rFonts w:ascii="Tahoma" w:hAnsi="Tahoma" w:cs="Tahoma"/>
      <w:sz w:val="16"/>
      <w:szCs w:val="16"/>
    </w:rPr>
  </w:style>
  <w:style w:type="character" w:styleId="FollowedHyperlink">
    <w:name w:val="FollowedHyperlink"/>
    <w:basedOn w:val="DefaultParagraphFont"/>
    <w:uiPriority w:val="99"/>
    <w:semiHidden/>
    <w:unhideWhenUsed/>
    <w:rsid w:val="00DE3E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D53"/>
    <w:pPr>
      <w:ind w:left="720"/>
      <w:contextualSpacing/>
    </w:pPr>
  </w:style>
  <w:style w:type="character" w:styleId="IntenseReference">
    <w:name w:val="Intense Reference"/>
    <w:basedOn w:val="DefaultParagraphFont"/>
    <w:uiPriority w:val="32"/>
    <w:qFormat/>
    <w:rsid w:val="00CC4028"/>
    <w:rPr>
      <w:b/>
      <w:bCs/>
      <w:i/>
      <w:smallCaps/>
      <w:color w:val="C0504D" w:themeColor="accent2"/>
      <w:spacing w:val="5"/>
      <w:u w:val="none"/>
    </w:rPr>
  </w:style>
  <w:style w:type="character" w:customStyle="1" w:styleId="ListParagraphChar">
    <w:name w:val="List Paragraph Char"/>
    <w:link w:val="ListParagraph"/>
    <w:uiPriority w:val="34"/>
    <w:locked/>
    <w:rsid w:val="00CC4028"/>
  </w:style>
  <w:style w:type="character" w:styleId="Hyperlink">
    <w:name w:val="Hyperlink"/>
    <w:basedOn w:val="DefaultParagraphFont"/>
    <w:uiPriority w:val="99"/>
    <w:rsid w:val="0061128E"/>
    <w:rPr>
      <w:rFonts w:cs="Times New Roman"/>
      <w:color w:val="000080"/>
    </w:rPr>
  </w:style>
  <w:style w:type="paragraph" w:styleId="Header">
    <w:name w:val="header"/>
    <w:basedOn w:val="Normal"/>
    <w:link w:val="HeaderChar"/>
    <w:uiPriority w:val="99"/>
    <w:unhideWhenUsed/>
    <w:rsid w:val="00611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28E"/>
  </w:style>
  <w:style w:type="paragraph" w:styleId="Footer">
    <w:name w:val="footer"/>
    <w:basedOn w:val="Normal"/>
    <w:link w:val="FooterChar"/>
    <w:uiPriority w:val="99"/>
    <w:unhideWhenUsed/>
    <w:rsid w:val="00611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28E"/>
  </w:style>
  <w:style w:type="paragraph" w:styleId="BalloonText">
    <w:name w:val="Balloon Text"/>
    <w:basedOn w:val="Normal"/>
    <w:link w:val="BalloonTextChar"/>
    <w:uiPriority w:val="99"/>
    <w:semiHidden/>
    <w:unhideWhenUsed/>
    <w:rsid w:val="0061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8E"/>
    <w:rPr>
      <w:rFonts w:ascii="Tahoma" w:hAnsi="Tahoma" w:cs="Tahoma"/>
      <w:sz w:val="16"/>
      <w:szCs w:val="16"/>
    </w:rPr>
  </w:style>
  <w:style w:type="character" w:styleId="FollowedHyperlink">
    <w:name w:val="FollowedHyperlink"/>
    <w:basedOn w:val="DefaultParagraphFont"/>
    <w:uiPriority w:val="99"/>
    <w:semiHidden/>
    <w:unhideWhenUsed/>
    <w:rsid w:val="00DE3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nsultations.health.gov.au/ehealth/ehr-and-hi-legislation-discussion-paper-1" TargetMode="External"/><Relationship Id="rId4" Type="http://schemas.openxmlformats.org/officeDocument/2006/relationships/settings" Target="settings.xml"/><Relationship Id="rId9" Type="http://schemas.openxmlformats.org/officeDocument/2006/relationships/hyperlink" Target="mailto:ehealth.legislation@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Bazen Pauline</dc:creator>
  <cp:lastModifiedBy>Kim Richter</cp:lastModifiedBy>
  <cp:revision>37</cp:revision>
  <cp:lastPrinted>2015-05-22T03:50:00Z</cp:lastPrinted>
  <dcterms:created xsi:type="dcterms:W3CDTF">2015-05-18T22:51:00Z</dcterms:created>
  <dcterms:modified xsi:type="dcterms:W3CDTF">2015-05-27T23:24:00Z</dcterms:modified>
</cp:coreProperties>
</file>