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FE4" w:rsidRDefault="00EA6F40" w:rsidP="002652A1">
      <w:pPr>
        <w:pStyle w:val="Title"/>
      </w:pPr>
      <w:bookmarkStart w:id="0" w:name="_Toc257642983"/>
      <w:bookmarkStart w:id="1" w:name="_Toc257653108"/>
      <w:bookmarkStart w:id="2" w:name="_Toc257658225"/>
      <w:bookmarkStart w:id="3" w:name="_Toc257842334"/>
      <w:bookmarkStart w:id="4" w:name="_Toc279051561"/>
      <w:bookmarkStart w:id="5" w:name="_Toc279228011"/>
      <w:bookmarkStart w:id="6" w:name="_Toc279228328"/>
      <w:bookmarkStart w:id="7" w:name="_Toc282861842"/>
      <w:bookmarkStart w:id="8" w:name="_Toc282863217"/>
      <w:bookmarkStart w:id="9" w:name="_Toc282864131"/>
      <w:bookmarkStart w:id="10" w:name="_Toc286327707"/>
      <w:bookmarkStart w:id="11" w:name="_Toc294639078"/>
      <w:bookmarkStart w:id="12" w:name="_Toc294688277"/>
      <w:r w:rsidRPr="002652A1">
        <w:t>Australia</w:t>
      </w:r>
      <w:r w:rsidR="00D86322" w:rsidRPr="002652A1">
        <w:t>n</w:t>
      </w:r>
      <w:r w:rsidRPr="002652A1">
        <w:t xml:space="preserve"> and New Zealand </w:t>
      </w:r>
    </w:p>
    <w:p w:rsidR="00EA6F40" w:rsidRPr="002652A1" w:rsidRDefault="00EA6F40" w:rsidP="002652A1">
      <w:pPr>
        <w:pStyle w:val="Title"/>
      </w:pPr>
      <w:r w:rsidRPr="002652A1">
        <w:t>Nutrient Reference Values for Iodine</w:t>
      </w:r>
      <w:bookmarkEnd w:id="0"/>
      <w:bookmarkEnd w:id="1"/>
      <w:bookmarkEnd w:id="2"/>
      <w:bookmarkEnd w:id="3"/>
      <w:bookmarkEnd w:id="4"/>
      <w:bookmarkEnd w:id="5"/>
      <w:bookmarkEnd w:id="6"/>
      <w:bookmarkEnd w:id="7"/>
      <w:bookmarkEnd w:id="8"/>
      <w:bookmarkEnd w:id="9"/>
      <w:bookmarkEnd w:id="10"/>
      <w:bookmarkEnd w:id="11"/>
      <w:bookmarkEnd w:id="12"/>
    </w:p>
    <w:p w:rsidR="00EA6F40" w:rsidRPr="00955FE4" w:rsidRDefault="00EA6F40" w:rsidP="00955FE4">
      <w:pPr>
        <w:pStyle w:val="Subtitle"/>
      </w:pPr>
      <w:bookmarkStart w:id="13" w:name="_Toc286327708"/>
      <w:bookmarkStart w:id="14" w:name="_Toc294639079"/>
      <w:bookmarkStart w:id="15" w:name="_Toc294688278"/>
      <w:bookmarkStart w:id="16" w:name="_Toc257642984"/>
      <w:bookmarkStart w:id="17" w:name="_Toc257653109"/>
      <w:bookmarkStart w:id="18" w:name="_Toc257658226"/>
      <w:bookmarkStart w:id="19" w:name="_Toc257842335"/>
      <w:bookmarkStart w:id="20" w:name="_Toc279051562"/>
      <w:bookmarkStart w:id="21" w:name="_Toc279228012"/>
      <w:bookmarkStart w:id="22" w:name="_Toc279228329"/>
      <w:bookmarkStart w:id="23" w:name="_Toc282861843"/>
      <w:bookmarkStart w:id="24" w:name="_Toc282863218"/>
      <w:bookmarkStart w:id="25" w:name="_Toc282864132"/>
      <w:r w:rsidRPr="00955FE4">
        <w:t>A report prepared for the Australian Government</w:t>
      </w:r>
    </w:p>
    <w:p w:rsidR="00EA6F40" w:rsidRPr="00955FE4" w:rsidRDefault="00EA6F40" w:rsidP="00955FE4">
      <w:pPr>
        <w:pStyle w:val="Subtitle"/>
      </w:pPr>
      <w:r w:rsidRPr="00955FE4">
        <w:t>Department of Health</w:t>
      </w:r>
      <w:bookmarkEnd w:id="13"/>
      <w:bookmarkEnd w:id="14"/>
      <w:bookmarkEnd w:id="15"/>
      <w:bookmarkEnd w:id="16"/>
      <w:bookmarkEnd w:id="17"/>
      <w:bookmarkEnd w:id="18"/>
      <w:bookmarkEnd w:id="19"/>
      <w:bookmarkEnd w:id="20"/>
      <w:bookmarkEnd w:id="21"/>
      <w:bookmarkEnd w:id="22"/>
      <w:bookmarkEnd w:id="23"/>
      <w:bookmarkEnd w:id="24"/>
      <w:bookmarkEnd w:id="25"/>
    </w:p>
    <w:p w:rsidR="00EA6F40" w:rsidRPr="00955FE4" w:rsidRDefault="00EA6F40" w:rsidP="00955FE4">
      <w:pPr>
        <w:pStyle w:val="Subtitle"/>
      </w:pPr>
      <w:bookmarkStart w:id="26" w:name="_Toc257642985"/>
      <w:bookmarkStart w:id="27" w:name="_Toc257653110"/>
      <w:bookmarkStart w:id="28" w:name="_Toc257658227"/>
      <w:bookmarkStart w:id="29" w:name="_Toc257842336"/>
      <w:bookmarkStart w:id="30" w:name="_Toc279051563"/>
      <w:bookmarkStart w:id="31" w:name="_Toc279228013"/>
      <w:bookmarkStart w:id="32" w:name="_Toc279228330"/>
      <w:bookmarkStart w:id="33" w:name="_Toc282861844"/>
      <w:bookmarkStart w:id="34" w:name="_Toc282863219"/>
      <w:bookmarkStart w:id="35" w:name="_Toc282864133"/>
      <w:bookmarkStart w:id="36" w:name="_Toc286327709"/>
      <w:bookmarkStart w:id="37" w:name="_Toc294639080"/>
      <w:bookmarkStart w:id="38" w:name="_Toc294688279"/>
      <w:r w:rsidRPr="00955FE4">
        <w:t>By</w:t>
      </w:r>
      <w:bookmarkEnd w:id="26"/>
      <w:bookmarkEnd w:id="27"/>
      <w:bookmarkEnd w:id="28"/>
      <w:bookmarkEnd w:id="29"/>
      <w:bookmarkEnd w:id="30"/>
      <w:bookmarkEnd w:id="31"/>
      <w:bookmarkEnd w:id="32"/>
      <w:bookmarkEnd w:id="33"/>
      <w:bookmarkEnd w:id="34"/>
      <w:bookmarkEnd w:id="35"/>
      <w:bookmarkEnd w:id="36"/>
      <w:bookmarkEnd w:id="37"/>
      <w:bookmarkEnd w:id="38"/>
    </w:p>
    <w:p w:rsidR="00EA6F40" w:rsidRPr="00955FE4" w:rsidRDefault="00EA6F40" w:rsidP="00955FE4">
      <w:pPr>
        <w:pStyle w:val="Subtitle"/>
      </w:pPr>
      <w:bookmarkStart w:id="39" w:name="_Toc257642986"/>
      <w:bookmarkStart w:id="40" w:name="_Toc257653111"/>
      <w:bookmarkStart w:id="41" w:name="_Toc257658228"/>
      <w:bookmarkStart w:id="42" w:name="_Toc257842337"/>
      <w:bookmarkStart w:id="43" w:name="_Toc279051564"/>
      <w:bookmarkStart w:id="44" w:name="_Toc279228014"/>
      <w:bookmarkStart w:id="45" w:name="_Toc279228331"/>
      <w:bookmarkStart w:id="46" w:name="_Toc282861845"/>
      <w:bookmarkStart w:id="47" w:name="_Toc282863220"/>
      <w:bookmarkStart w:id="48" w:name="_Toc282864134"/>
      <w:bookmarkStart w:id="49" w:name="_Toc286327710"/>
      <w:bookmarkStart w:id="50" w:name="_Toc294639081"/>
      <w:bookmarkStart w:id="51" w:name="_Toc294688280"/>
      <w:r w:rsidRPr="00955FE4">
        <w:t>Expert Working Group for Iodine</w:t>
      </w:r>
      <w:bookmarkEnd w:id="39"/>
      <w:bookmarkEnd w:id="40"/>
      <w:bookmarkEnd w:id="41"/>
      <w:bookmarkEnd w:id="42"/>
      <w:bookmarkEnd w:id="43"/>
      <w:bookmarkEnd w:id="44"/>
      <w:bookmarkEnd w:id="45"/>
      <w:bookmarkEnd w:id="46"/>
      <w:bookmarkEnd w:id="47"/>
      <w:bookmarkEnd w:id="48"/>
      <w:bookmarkEnd w:id="49"/>
      <w:bookmarkEnd w:id="50"/>
      <w:bookmarkEnd w:id="51"/>
    </w:p>
    <w:p w:rsidR="00EA6F40" w:rsidRPr="00955FE4" w:rsidRDefault="00EA6F40" w:rsidP="002652A1">
      <w:pPr>
        <w:jc w:val="center"/>
        <w:rPr>
          <w:sz w:val="24"/>
        </w:rPr>
      </w:pPr>
      <w:bookmarkStart w:id="52" w:name="_Toc257642987"/>
      <w:bookmarkStart w:id="53" w:name="_Toc257653112"/>
      <w:bookmarkStart w:id="54" w:name="_Toc257658229"/>
      <w:bookmarkStart w:id="55" w:name="_Toc257842338"/>
      <w:bookmarkStart w:id="56" w:name="_Toc279051565"/>
      <w:bookmarkStart w:id="57" w:name="_Toc279228015"/>
      <w:bookmarkStart w:id="58" w:name="_Toc279228332"/>
      <w:bookmarkStart w:id="59" w:name="_Toc282861846"/>
      <w:bookmarkStart w:id="60" w:name="_Toc282863221"/>
      <w:bookmarkStart w:id="61" w:name="_Toc282864135"/>
      <w:bookmarkStart w:id="62" w:name="_Toc286327711"/>
      <w:bookmarkStart w:id="63" w:name="_Toc294639082"/>
      <w:bookmarkStart w:id="64" w:name="_Toc294688281"/>
      <w:r w:rsidRPr="00955FE4">
        <w:rPr>
          <w:sz w:val="24"/>
        </w:rPr>
        <w:t>Karen Charlton, Creswell Eastman, Gary Ma,</w:t>
      </w:r>
      <w:bookmarkEnd w:id="52"/>
      <w:bookmarkEnd w:id="53"/>
      <w:bookmarkEnd w:id="54"/>
      <w:bookmarkEnd w:id="55"/>
      <w:bookmarkEnd w:id="56"/>
      <w:bookmarkEnd w:id="57"/>
      <w:bookmarkEnd w:id="58"/>
      <w:bookmarkEnd w:id="59"/>
      <w:bookmarkEnd w:id="60"/>
      <w:bookmarkEnd w:id="61"/>
      <w:bookmarkEnd w:id="62"/>
      <w:r w:rsidRPr="00955FE4">
        <w:rPr>
          <w:sz w:val="24"/>
        </w:rPr>
        <w:t xml:space="preserve"> Judy Seal</w:t>
      </w:r>
      <w:bookmarkEnd w:id="63"/>
      <w:bookmarkEnd w:id="64"/>
    </w:p>
    <w:p w:rsidR="00EA6F40" w:rsidRPr="00955FE4" w:rsidRDefault="00EA6F40" w:rsidP="002652A1">
      <w:pPr>
        <w:jc w:val="center"/>
        <w:rPr>
          <w:sz w:val="24"/>
        </w:rPr>
      </w:pPr>
      <w:bookmarkStart w:id="65" w:name="_Toc282864136"/>
      <w:bookmarkStart w:id="66" w:name="_Toc286327712"/>
      <w:bookmarkStart w:id="67" w:name="_Toc294639083"/>
      <w:bookmarkStart w:id="68" w:name="_Toc294688282"/>
      <w:bookmarkStart w:id="69" w:name="_Toc257642988"/>
      <w:bookmarkStart w:id="70" w:name="_Toc257653113"/>
      <w:bookmarkStart w:id="71" w:name="_Toc257658230"/>
      <w:bookmarkStart w:id="72" w:name="_Toc257842339"/>
      <w:bookmarkStart w:id="73" w:name="_Toc279051566"/>
      <w:bookmarkStart w:id="74" w:name="_Toc279228016"/>
      <w:bookmarkStart w:id="75" w:name="_Toc279228333"/>
      <w:bookmarkStart w:id="76" w:name="_Toc282861847"/>
      <w:bookmarkStart w:id="77" w:name="_Toc282863222"/>
      <w:r w:rsidRPr="00955FE4">
        <w:rPr>
          <w:sz w:val="24"/>
        </w:rPr>
        <w:t>Sheila Skeaff, and</w:t>
      </w:r>
      <w:bookmarkEnd w:id="65"/>
      <w:bookmarkEnd w:id="66"/>
      <w:r w:rsidRPr="00955FE4">
        <w:rPr>
          <w:sz w:val="24"/>
        </w:rPr>
        <w:t xml:space="preserve"> </w:t>
      </w:r>
      <w:bookmarkStart w:id="78" w:name="_Toc282864137"/>
      <w:bookmarkStart w:id="79" w:name="_Toc286327713"/>
      <w:r w:rsidRPr="00955FE4">
        <w:rPr>
          <w:sz w:val="24"/>
        </w:rPr>
        <w:t>Christine Thomson</w:t>
      </w:r>
      <w:bookmarkEnd w:id="67"/>
      <w:bookmarkEnd w:id="68"/>
      <w:bookmarkEnd w:id="78"/>
      <w:bookmarkEnd w:id="79"/>
    </w:p>
    <w:p w:rsidR="00EA6F40" w:rsidRPr="002652A1" w:rsidRDefault="00EA6F40" w:rsidP="002652A1">
      <w:pPr>
        <w:jc w:val="center"/>
        <w:rPr>
          <w:rStyle w:val="IntenseEmphasis"/>
        </w:rPr>
      </w:pPr>
      <w:bookmarkStart w:id="80" w:name="_Toc294639084"/>
      <w:bookmarkStart w:id="81" w:name="_Toc294688283"/>
      <w:bookmarkEnd w:id="69"/>
      <w:bookmarkEnd w:id="70"/>
      <w:bookmarkEnd w:id="71"/>
      <w:bookmarkEnd w:id="72"/>
      <w:bookmarkEnd w:id="73"/>
      <w:bookmarkEnd w:id="74"/>
      <w:bookmarkEnd w:id="75"/>
      <w:bookmarkEnd w:id="76"/>
      <w:bookmarkEnd w:id="77"/>
      <w:r w:rsidRPr="002652A1">
        <w:rPr>
          <w:rStyle w:val="IntenseEmphasis"/>
        </w:rPr>
        <w:t>with Research Assistance from</w:t>
      </w:r>
      <w:bookmarkEnd w:id="80"/>
      <w:bookmarkEnd w:id="81"/>
    </w:p>
    <w:p w:rsidR="00EA6F40" w:rsidRPr="00955FE4" w:rsidRDefault="00EA6F40" w:rsidP="002652A1">
      <w:pPr>
        <w:jc w:val="center"/>
        <w:rPr>
          <w:sz w:val="24"/>
        </w:rPr>
      </w:pPr>
      <w:bookmarkStart w:id="82" w:name="_Toc294639085"/>
      <w:bookmarkStart w:id="83" w:name="_Toc294688284"/>
      <w:r w:rsidRPr="00955FE4">
        <w:rPr>
          <w:sz w:val="24"/>
        </w:rPr>
        <w:t>Sonya Cameron, Elizabeth Gray, Zheng Feei Ma, and Cecilia Sam</w:t>
      </w:r>
      <w:bookmarkEnd w:id="82"/>
      <w:bookmarkEnd w:id="83"/>
    </w:p>
    <w:p w:rsidR="00EA6F40" w:rsidRPr="002652A1" w:rsidRDefault="00EA6F40" w:rsidP="002652A1">
      <w:pPr>
        <w:jc w:val="center"/>
        <w:rPr>
          <w:rStyle w:val="IntenseEmphasis"/>
        </w:rPr>
      </w:pPr>
      <w:r w:rsidRPr="002652A1">
        <w:rPr>
          <w:rStyle w:val="IntenseEmphasis"/>
        </w:rPr>
        <w:t>May 2015</w:t>
      </w:r>
    </w:p>
    <w:p w:rsidR="00EA6F40" w:rsidRPr="002652A1" w:rsidRDefault="00EA6F40" w:rsidP="002652A1"/>
    <w:p w:rsidR="00EA6F40" w:rsidRPr="00C875F5" w:rsidRDefault="00EA6F40" w:rsidP="00EA6F40">
      <w:pPr>
        <w:sectPr w:rsidR="00EA6F40" w:rsidRPr="00C875F5" w:rsidSect="00DF5B59">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sectPr>
      </w:pPr>
      <w:bookmarkStart w:id="84" w:name="_GoBack"/>
      <w:bookmarkEnd w:id="84"/>
    </w:p>
    <w:p w:rsidR="00A629F1" w:rsidRDefault="00EA6F40">
      <w:pPr>
        <w:pStyle w:val="TOC1"/>
        <w:rPr>
          <w:b w:val="0"/>
          <w:caps w:val="0"/>
          <w:noProof/>
          <w:lang w:val="en-AU" w:eastAsia="en-AU"/>
        </w:rPr>
      </w:pPr>
      <w:r w:rsidRPr="00AC73C6">
        <w:rPr>
          <w:rFonts w:eastAsiaTheme="majorEastAsia" w:cstheme="majorBidi"/>
          <w:color w:val="000000" w:themeColor="text1"/>
          <w:sz w:val="32"/>
          <w:szCs w:val="26"/>
          <w:u w:val="single"/>
        </w:rPr>
        <w:lastRenderedPageBreak/>
        <w:fldChar w:fldCharType="begin"/>
      </w:r>
      <w:r w:rsidRPr="00AC73C6">
        <w:instrText xml:space="preserve"> TOC \o "1-3" </w:instrText>
      </w:r>
      <w:r w:rsidRPr="00AC73C6">
        <w:rPr>
          <w:rFonts w:eastAsiaTheme="majorEastAsia" w:cstheme="majorBidi"/>
          <w:color w:val="000000" w:themeColor="text1"/>
          <w:sz w:val="32"/>
          <w:szCs w:val="26"/>
          <w:u w:val="single"/>
        </w:rPr>
        <w:fldChar w:fldCharType="separate"/>
      </w:r>
      <w:r w:rsidR="00A629F1">
        <w:rPr>
          <w:noProof/>
        </w:rPr>
        <w:t>1</w:t>
      </w:r>
      <w:r w:rsidR="00A629F1">
        <w:rPr>
          <w:b w:val="0"/>
          <w:caps w:val="0"/>
          <w:noProof/>
          <w:lang w:val="en-AU" w:eastAsia="en-AU"/>
        </w:rPr>
        <w:tab/>
      </w:r>
      <w:r w:rsidR="00A629F1">
        <w:rPr>
          <w:noProof/>
        </w:rPr>
        <w:t>Executive Summary</w:t>
      </w:r>
      <w:r w:rsidR="00A629F1">
        <w:rPr>
          <w:noProof/>
        </w:rPr>
        <w:tab/>
      </w:r>
      <w:r w:rsidR="00A629F1">
        <w:rPr>
          <w:noProof/>
        </w:rPr>
        <w:fldChar w:fldCharType="begin"/>
      </w:r>
      <w:r w:rsidR="00A629F1">
        <w:rPr>
          <w:noProof/>
        </w:rPr>
        <w:instrText xml:space="preserve"> PAGEREF _Toc433621771 \h </w:instrText>
      </w:r>
      <w:r w:rsidR="00A629F1">
        <w:rPr>
          <w:noProof/>
        </w:rPr>
      </w:r>
      <w:r w:rsidR="00A629F1">
        <w:rPr>
          <w:noProof/>
        </w:rPr>
        <w:fldChar w:fldCharType="separate"/>
      </w:r>
      <w:r w:rsidR="00A629F1">
        <w:rPr>
          <w:noProof/>
        </w:rPr>
        <w:t>4</w:t>
      </w:r>
      <w:r w:rsidR="00A629F1">
        <w:rPr>
          <w:noProof/>
        </w:rPr>
        <w:fldChar w:fldCharType="end"/>
      </w:r>
    </w:p>
    <w:p w:rsidR="00A629F1" w:rsidRDefault="00A629F1">
      <w:pPr>
        <w:pStyle w:val="TOC1"/>
        <w:rPr>
          <w:b w:val="0"/>
          <w:caps w:val="0"/>
          <w:noProof/>
          <w:lang w:val="en-AU" w:eastAsia="en-AU"/>
        </w:rPr>
      </w:pPr>
      <w:r>
        <w:rPr>
          <w:noProof/>
        </w:rPr>
        <w:t>2</w:t>
      </w:r>
      <w:r>
        <w:rPr>
          <w:b w:val="0"/>
          <w:caps w:val="0"/>
          <w:noProof/>
          <w:lang w:val="en-AU" w:eastAsia="en-AU"/>
        </w:rPr>
        <w:tab/>
      </w:r>
      <w:r>
        <w:rPr>
          <w:noProof/>
        </w:rPr>
        <w:t>Summary of Recommendations</w:t>
      </w:r>
      <w:r>
        <w:rPr>
          <w:noProof/>
        </w:rPr>
        <w:tab/>
      </w:r>
      <w:r>
        <w:rPr>
          <w:noProof/>
        </w:rPr>
        <w:fldChar w:fldCharType="begin"/>
      </w:r>
      <w:r>
        <w:rPr>
          <w:noProof/>
        </w:rPr>
        <w:instrText xml:space="preserve"> PAGEREF _Toc433621772 \h </w:instrText>
      </w:r>
      <w:r>
        <w:rPr>
          <w:noProof/>
        </w:rPr>
      </w:r>
      <w:r>
        <w:rPr>
          <w:noProof/>
        </w:rPr>
        <w:fldChar w:fldCharType="separate"/>
      </w:r>
      <w:r>
        <w:rPr>
          <w:noProof/>
        </w:rPr>
        <w:t>7</w:t>
      </w:r>
      <w:r>
        <w:rPr>
          <w:noProof/>
        </w:rPr>
        <w:fldChar w:fldCharType="end"/>
      </w:r>
    </w:p>
    <w:p w:rsidR="00A629F1" w:rsidRDefault="00A629F1">
      <w:pPr>
        <w:pStyle w:val="TOC1"/>
        <w:rPr>
          <w:b w:val="0"/>
          <w:caps w:val="0"/>
          <w:noProof/>
          <w:lang w:val="en-AU" w:eastAsia="en-AU"/>
        </w:rPr>
      </w:pPr>
      <w:r>
        <w:rPr>
          <w:noProof/>
        </w:rPr>
        <w:t>3</w:t>
      </w:r>
      <w:r>
        <w:rPr>
          <w:b w:val="0"/>
          <w:caps w:val="0"/>
          <w:noProof/>
          <w:lang w:val="en-AU" w:eastAsia="en-AU"/>
        </w:rPr>
        <w:tab/>
      </w:r>
      <w:r>
        <w:rPr>
          <w:noProof/>
        </w:rPr>
        <w:t>Introduction</w:t>
      </w:r>
      <w:r>
        <w:rPr>
          <w:noProof/>
        </w:rPr>
        <w:tab/>
      </w:r>
      <w:r>
        <w:rPr>
          <w:noProof/>
        </w:rPr>
        <w:fldChar w:fldCharType="begin"/>
      </w:r>
      <w:r>
        <w:rPr>
          <w:noProof/>
        </w:rPr>
        <w:instrText xml:space="preserve"> PAGEREF _Toc433621773 \h </w:instrText>
      </w:r>
      <w:r>
        <w:rPr>
          <w:noProof/>
        </w:rPr>
      </w:r>
      <w:r>
        <w:rPr>
          <w:noProof/>
        </w:rPr>
        <w:fldChar w:fldCharType="separate"/>
      </w:r>
      <w:r>
        <w:rPr>
          <w:noProof/>
        </w:rPr>
        <w:t>8</w:t>
      </w:r>
      <w:r>
        <w:rPr>
          <w:noProof/>
        </w:rPr>
        <w:fldChar w:fldCharType="end"/>
      </w:r>
    </w:p>
    <w:p w:rsidR="00A629F1" w:rsidRDefault="00A629F1">
      <w:pPr>
        <w:pStyle w:val="TOC2"/>
        <w:tabs>
          <w:tab w:val="left" w:pos="502"/>
          <w:tab w:val="right" w:leader="dot" w:pos="8290"/>
        </w:tabs>
        <w:rPr>
          <w:b w:val="0"/>
          <w:smallCaps w:val="0"/>
          <w:noProof/>
          <w:lang w:val="en-AU" w:eastAsia="en-AU"/>
        </w:rPr>
      </w:pPr>
      <w:r>
        <w:rPr>
          <w:noProof/>
        </w:rPr>
        <w:t>3.1</w:t>
      </w:r>
      <w:r>
        <w:rPr>
          <w:b w:val="0"/>
          <w:smallCaps w:val="0"/>
          <w:noProof/>
          <w:lang w:val="en-AU" w:eastAsia="en-AU"/>
        </w:rPr>
        <w:tab/>
      </w:r>
      <w:r>
        <w:rPr>
          <w:noProof/>
        </w:rPr>
        <w:t>Background to Development of the Nutrient Reference Values</w:t>
      </w:r>
      <w:r>
        <w:rPr>
          <w:noProof/>
        </w:rPr>
        <w:tab/>
      </w:r>
      <w:r>
        <w:rPr>
          <w:noProof/>
        </w:rPr>
        <w:fldChar w:fldCharType="begin"/>
      </w:r>
      <w:r>
        <w:rPr>
          <w:noProof/>
        </w:rPr>
        <w:instrText xml:space="preserve"> PAGEREF _Toc433621774 \h </w:instrText>
      </w:r>
      <w:r>
        <w:rPr>
          <w:noProof/>
        </w:rPr>
      </w:r>
      <w:r>
        <w:rPr>
          <w:noProof/>
        </w:rPr>
        <w:fldChar w:fldCharType="separate"/>
      </w:r>
      <w:r>
        <w:rPr>
          <w:noProof/>
        </w:rPr>
        <w:t>8</w:t>
      </w:r>
      <w:r>
        <w:rPr>
          <w:noProof/>
        </w:rPr>
        <w:fldChar w:fldCharType="end"/>
      </w:r>
    </w:p>
    <w:p w:rsidR="00A629F1" w:rsidRDefault="00A629F1">
      <w:pPr>
        <w:pStyle w:val="TOC2"/>
        <w:tabs>
          <w:tab w:val="left" w:pos="502"/>
          <w:tab w:val="right" w:leader="dot" w:pos="8290"/>
        </w:tabs>
        <w:rPr>
          <w:b w:val="0"/>
          <w:smallCaps w:val="0"/>
          <w:noProof/>
          <w:lang w:val="en-AU" w:eastAsia="en-AU"/>
        </w:rPr>
      </w:pPr>
      <w:r>
        <w:rPr>
          <w:noProof/>
        </w:rPr>
        <w:t>3.2</w:t>
      </w:r>
      <w:r>
        <w:rPr>
          <w:b w:val="0"/>
          <w:smallCaps w:val="0"/>
          <w:noProof/>
          <w:lang w:val="en-AU" w:eastAsia="en-AU"/>
        </w:rPr>
        <w:tab/>
      </w:r>
      <w:r>
        <w:rPr>
          <w:noProof/>
        </w:rPr>
        <w:t>Nutrient Reference Values</w:t>
      </w:r>
      <w:r>
        <w:rPr>
          <w:noProof/>
        </w:rPr>
        <w:tab/>
      </w:r>
      <w:r>
        <w:rPr>
          <w:noProof/>
        </w:rPr>
        <w:fldChar w:fldCharType="begin"/>
      </w:r>
      <w:r>
        <w:rPr>
          <w:noProof/>
        </w:rPr>
        <w:instrText xml:space="preserve"> PAGEREF _Toc433621775 \h </w:instrText>
      </w:r>
      <w:r>
        <w:rPr>
          <w:noProof/>
        </w:rPr>
      </w:r>
      <w:r>
        <w:rPr>
          <w:noProof/>
        </w:rPr>
        <w:fldChar w:fldCharType="separate"/>
      </w:r>
      <w:r>
        <w:rPr>
          <w:noProof/>
        </w:rPr>
        <w:t>9</w:t>
      </w:r>
      <w:r>
        <w:rPr>
          <w:noProof/>
        </w:rPr>
        <w:fldChar w:fldCharType="end"/>
      </w:r>
    </w:p>
    <w:p w:rsidR="00A629F1" w:rsidRDefault="00A629F1">
      <w:pPr>
        <w:pStyle w:val="TOC3"/>
        <w:tabs>
          <w:tab w:val="left" w:pos="666"/>
          <w:tab w:val="right" w:leader="dot" w:pos="8290"/>
        </w:tabs>
        <w:rPr>
          <w:smallCaps w:val="0"/>
          <w:noProof/>
          <w:lang w:val="en-AU" w:eastAsia="en-AU"/>
        </w:rPr>
      </w:pPr>
      <w:r>
        <w:rPr>
          <w:noProof/>
        </w:rPr>
        <w:t>3.2.1</w:t>
      </w:r>
      <w:r>
        <w:rPr>
          <w:smallCaps w:val="0"/>
          <w:noProof/>
          <w:lang w:val="en-AU" w:eastAsia="en-AU"/>
        </w:rPr>
        <w:tab/>
      </w:r>
      <w:r>
        <w:rPr>
          <w:noProof/>
        </w:rPr>
        <w:t>Terminology</w:t>
      </w:r>
      <w:r>
        <w:rPr>
          <w:noProof/>
        </w:rPr>
        <w:tab/>
      </w:r>
      <w:r>
        <w:rPr>
          <w:noProof/>
        </w:rPr>
        <w:fldChar w:fldCharType="begin"/>
      </w:r>
      <w:r>
        <w:rPr>
          <w:noProof/>
        </w:rPr>
        <w:instrText xml:space="preserve"> PAGEREF _Toc433621776 \h </w:instrText>
      </w:r>
      <w:r>
        <w:rPr>
          <w:noProof/>
        </w:rPr>
      </w:r>
      <w:r>
        <w:rPr>
          <w:noProof/>
        </w:rPr>
        <w:fldChar w:fldCharType="separate"/>
      </w:r>
      <w:r>
        <w:rPr>
          <w:noProof/>
        </w:rPr>
        <w:t>9</w:t>
      </w:r>
      <w:r>
        <w:rPr>
          <w:noProof/>
        </w:rPr>
        <w:fldChar w:fldCharType="end"/>
      </w:r>
    </w:p>
    <w:p w:rsidR="00A629F1" w:rsidRDefault="00A629F1">
      <w:pPr>
        <w:pStyle w:val="TOC2"/>
        <w:tabs>
          <w:tab w:val="left" w:pos="502"/>
          <w:tab w:val="right" w:leader="dot" w:pos="8290"/>
        </w:tabs>
        <w:rPr>
          <w:b w:val="0"/>
          <w:smallCaps w:val="0"/>
          <w:noProof/>
          <w:lang w:val="en-AU" w:eastAsia="en-AU"/>
        </w:rPr>
      </w:pPr>
      <w:r>
        <w:rPr>
          <w:noProof/>
        </w:rPr>
        <w:t>3.3</w:t>
      </w:r>
      <w:r>
        <w:rPr>
          <w:b w:val="0"/>
          <w:smallCaps w:val="0"/>
          <w:noProof/>
          <w:lang w:val="en-AU" w:eastAsia="en-AU"/>
        </w:rPr>
        <w:tab/>
      </w:r>
      <w:r>
        <w:rPr>
          <w:noProof/>
        </w:rPr>
        <w:t>Nutrient Background Information</w:t>
      </w:r>
      <w:r>
        <w:rPr>
          <w:noProof/>
        </w:rPr>
        <w:tab/>
      </w:r>
      <w:r>
        <w:rPr>
          <w:noProof/>
        </w:rPr>
        <w:fldChar w:fldCharType="begin"/>
      </w:r>
      <w:r>
        <w:rPr>
          <w:noProof/>
        </w:rPr>
        <w:instrText xml:space="preserve"> PAGEREF _Toc433621777 \h </w:instrText>
      </w:r>
      <w:r>
        <w:rPr>
          <w:noProof/>
        </w:rPr>
      </w:r>
      <w:r>
        <w:rPr>
          <w:noProof/>
        </w:rPr>
        <w:fldChar w:fldCharType="separate"/>
      </w:r>
      <w:r>
        <w:rPr>
          <w:noProof/>
        </w:rPr>
        <w:t>10</w:t>
      </w:r>
      <w:r>
        <w:rPr>
          <w:noProof/>
        </w:rPr>
        <w:fldChar w:fldCharType="end"/>
      </w:r>
    </w:p>
    <w:p w:rsidR="00A629F1" w:rsidRDefault="00A629F1">
      <w:pPr>
        <w:pStyle w:val="TOC3"/>
        <w:tabs>
          <w:tab w:val="left" w:pos="666"/>
          <w:tab w:val="right" w:leader="dot" w:pos="8290"/>
        </w:tabs>
        <w:rPr>
          <w:smallCaps w:val="0"/>
          <w:noProof/>
          <w:lang w:val="en-AU" w:eastAsia="en-AU"/>
        </w:rPr>
      </w:pPr>
      <w:r>
        <w:rPr>
          <w:noProof/>
        </w:rPr>
        <w:t>3.3.1</w:t>
      </w:r>
      <w:r>
        <w:rPr>
          <w:smallCaps w:val="0"/>
          <w:noProof/>
          <w:lang w:val="en-AU" w:eastAsia="en-AU"/>
        </w:rPr>
        <w:tab/>
      </w:r>
      <w:r>
        <w:rPr>
          <w:noProof/>
        </w:rPr>
        <w:t>Iodine</w:t>
      </w:r>
      <w:r>
        <w:rPr>
          <w:noProof/>
        </w:rPr>
        <w:tab/>
      </w:r>
      <w:r>
        <w:rPr>
          <w:noProof/>
        </w:rPr>
        <w:fldChar w:fldCharType="begin"/>
      </w:r>
      <w:r>
        <w:rPr>
          <w:noProof/>
        </w:rPr>
        <w:instrText xml:space="preserve"> PAGEREF _Toc433621778 \h </w:instrText>
      </w:r>
      <w:r>
        <w:rPr>
          <w:noProof/>
        </w:rPr>
      </w:r>
      <w:r>
        <w:rPr>
          <w:noProof/>
        </w:rPr>
        <w:fldChar w:fldCharType="separate"/>
      </w:r>
      <w:r>
        <w:rPr>
          <w:noProof/>
        </w:rPr>
        <w:t>10</w:t>
      </w:r>
      <w:r>
        <w:rPr>
          <w:noProof/>
        </w:rPr>
        <w:fldChar w:fldCharType="end"/>
      </w:r>
    </w:p>
    <w:p w:rsidR="00A629F1" w:rsidRDefault="00A629F1">
      <w:pPr>
        <w:pStyle w:val="TOC3"/>
        <w:tabs>
          <w:tab w:val="left" w:pos="666"/>
          <w:tab w:val="right" w:leader="dot" w:pos="8290"/>
        </w:tabs>
        <w:rPr>
          <w:smallCaps w:val="0"/>
          <w:noProof/>
          <w:lang w:val="en-AU" w:eastAsia="en-AU"/>
        </w:rPr>
      </w:pPr>
      <w:r>
        <w:rPr>
          <w:noProof/>
        </w:rPr>
        <w:t>3.3.2</w:t>
      </w:r>
      <w:r>
        <w:rPr>
          <w:smallCaps w:val="0"/>
          <w:noProof/>
          <w:lang w:val="en-AU" w:eastAsia="en-AU"/>
        </w:rPr>
        <w:tab/>
      </w:r>
      <w:r>
        <w:rPr>
          <w:noProof/>
        </w:rPr>
        <w:t>Iodine status in Australia and New Zealand</w:t>
      </w:r>
      <w:r>
        <w:rPr>
          <w:noProof/>
        </w:rPr>
        <w:tab/>
      </w:r>
      <w:r>
        <w:rPr>
          <w:noProof/>
        </w:rPr>
        <w:fldChar w:fldCharType="begin"/>
      </w:r>
      <w:r>
        <w:rPr>
          <w:noProof/>
        </w:rPr>
        <w:instrText xml:space="preserve"> PAGEREF _Toc433621779 \h </w:instrText>
      </w:r>
      <w:r>
        <w:rPr>
          <w:noProof/>
        </w:rPr>
      </w:r>
      <w:r>
        <w:rPr>
          <w:noProof/>
        </w:rPr>
        <w:fldChar w:fldCharType="separate"/>
      </w:r>
      <w:r>
        <w:rPr>
          <w:noProof/>
        </w:rPr>
        <w:t>11</w:t>
      </w:r>
      <w:r>
        <w:rPr>
          <w:noProof/>
        </w:rPr>
        <w:fldChar w:fldCharType="end"/>
      </w:r>
    </w:p>
    <w:p w:rsidR="00A629F1" w:rsidRDefault="00A629F1">
      <w:pPr>
        <w:pStyle w:val="TOC2"/>
        <w:tabs>
          <w:tab w:val="left" w:pos="502"/>
          <w:tab w:val="right" w:leader="dot" w:pos="8290"/>
        </w:tabs>
        <w:rPr>
          <w:b w:val="0"/>
          <w:smallCaps w:val="0"/>
          <w:noProof/>
          <w:lang w:val="en-AU" w:eastAsia="en-AU"/>
        </w:rPr>
      </w:pPr>
      <w:r>
        <w:rPr>
          <w:noProof/>
        </w:rPr>
        <w:t>3.4</w:t>
      </w:r>
      <w:r>
        <w:rPr>
          <w:b w:val="0"/>
          <w:smallCaps w:val="0"/>
          <w:noProof/>
          <w:lang w:val="en-AU" w:eastAsia="en-AU"/>
        </w:rPr>
        <w:tab/>
      </w:r>
      <w:r>
        <w:rPr>
          <w:noProof/>
        </w:rPr>
        <w:t>Current Recommended Intakes of Iodine</w:t>
      </w:r>
      <w:r>
        <w:rPr>
          <w:noProof/>
        </w:rPr>
        <w:tab/>
      </w:r>
      <w:r>
        <w:rPr>
          <w:noProof/>
        </w:rPr>
        <w:fldChar w:fldCharType="begin"/>
      </w:r>
      <w:r>
        <w:rPr>
          <w:noProof/>
        </w:rPr>
        <w:instrText xml:space="preserve"> PAGEREF _Toc433621780 \h </w:instrText>
      </w:r>
      <w:r>
        <w:rPr>
          <w:noProof/>
        </w:rPr>
      </w:r>
      <w:r>
        <w:rPr>
          <w:noProof/>
        </w:rPr>
        <w:fldChar w:fldCharType="separate"/>
      </w:r>
      <w:r>
        <w:rPr>
          <w:noProof/>
        </w:rPr>
        <w:t>13</w:t>
      </w:r>
      <w:r>
        <w:rPr>
          <w:noProof/>
        </w:rPr>
        <w:fldChar w:fldCharType="end"/>
      </w:r>
    </w:p>
    <w:p w:rsidR="00A629F1" w:rsidRDefault="00A629F1">
      <w:pPr>
        <w:pStyle w:val="TOC1"/>
        <w:rPr>
          <w:b w:val="0"/>
          <w:caps w:val="0"/>
          <w:noProof/>
          <w:lang w:val="en-AU" w:eastAsia="en-AU"/>
        </w:rPr>
      </w:pPr>
      <w:r>
        <w:rPr>
          <w:noProof/>
        </w:rPr>
        <w:t>4</w:t>
      </w:r>
      <w:r>
        <w:rPr>
          <w:b w:val="0"/>
          <w:caps w:val="0"/>
          <w:noProof/>
          <w:lang w:val="en-AU" w:eastAsia="en-AU"/>
        </w:rPr>
        <w:tab/>
      </w:r>
      <w:r>
        <w:rPr>
          <w:noProof/>
        </w:rPr>
        <w:t>Scope and Purpose</w:t>
      </w:r>
      <w:r>
        <w:rPr>
          <w:noProof/>
        </w:rPr>
        <w:tab/>
      </w:r>
      <w:r>
        <w:rPr>
          <w:noProof/>
        </w:rPr>
        <w:fldChar w:fldCharType="begin"/>
      </w:r>
      <w:r>
        <w:rPr>
          <w:noProof/>
        </w:rPr>
        <w:instrText xml:space="preserve"> PAGEREF _Toc433621781 \h </w:instrText>
      </w:r>
      <w:r>
        <w:rPr>
          <w:noProof/>
        </w:rPr>
      </w:r>
      <w:r>
        <w:rPr>
          <w:noProof/>
        </w:rPr>
        <w:fldChar w:fldCharType="separate"/>
      </w:r>
      <w:r>
        <w:rPr>
          <w:noProof/>
        </w:rPr>
        <w:t>15</w:t>
      </w:r>
      <w:r>
        <w:rPr>
          <w:noProof/>
        </w:rPr>
        <w:fldChar w:fldCharType="end"/>
      </w:r>
    </w:p>
    <w:p w:rsidR="00A629F1" w:rsidRDefault="00A629F1">
      <w:pPr>
        <w:pStyle w:val="TOC1"/>
        <w:rPr>
          <w:b w:val="0"/>
          <w:caps w:val="0"/>
          <w:noProof/>
          <w:lang w:val="en-AU" w:eastAsia="en-AU"/>
        </w:rPr>
      </w:pPr>
      <w:r>
        <w:rPr>
          <w:noProof/>
        </w:rPr>
        <w:t>5</w:t>
      </w:r>
      <w:r>
        <w:rPr>
          <w:b w:val="0"/>
          <w:caps w:val="0"/>
          <w:noProof/>
          <w:lang w:val="en-AU" w:eastAsia="en-AU"/>
        </w:rPr>
        <w:tab/>
      </w:r>
      <w:r>
        <w:rPr>
          <w:noProof/>
        </w:rPr>
        <w:t>Evidence Review</w:t>
      </w:r>
      <w:r>
        <w:rPr>
          <w:noProof/>
        </w:rPr>
        <w:tab/>
      </w:r>
      <w:r>
        <w:rPr>
          <w:noProof/>
        </w:rPr>
        <w:fldChar w:fldCharType="begin"/>
      </w:r>
      <w:r>
        <w:rPr>
          <w:noProof/>
        </w:rPr>
        <w:instrText xml:space="preserve"> PAGEREF _Toc433621782 \h </w:instrText>
      </w:r>
      <w:r>
        <w:rPr>
          <w:noProof/>
        </w:rPr>
      </w:r>
      <w:r>
        <w:rPr>
          <w:noProof/>
        </w:rPr>
        <w:fldChar w:fldCharType="separate"/>
      </w:r>
      <w:r>
        <w:rPr>
          <w:noProof/>
        </w:rPr>
        <w:t>16</w:t>
      </w:r>
      <w:r>
        <w:rPr>
          <w:noProof/>
        </w:rPr>
        <w:fldChar w:fldCharType="end"/>
      </w:r>
    </w:p>
    <w:p w:rsidR="00A629F1" w:rsidRDefault="00A629F1">
      <w:pPr>
        <w:pStyle w:val="TOC2"/>
        <w:tabs>
          <w:tab w:val="left" w:pos="502"/>
          <w:tab w:val="right" w:leader="dot" w:pos="8290"/>
        </w:tabs>
        <w:rPr>
          <w:b w:val="0"/>
          <w:smallCaps w:val="0"/>
          <w:noProof/>
          <w:lang w:val="en-AU" w:eastAsia="en-AU"/>
        </w:rPr>
      </w:pPr>
      <w:r>
        <w:rPr>
          <w:noProof/>
        </w:rPr>
        <w:t>5.1</w:t>
      </w:r>
      <w:r>
        <w:rPr>
          <w:b w:val="0"/>
          <w:smallCaps w:val="0"/>
          <w:noProof/>
          <w:lang w:val="en-AU" w:eastAsia="en-AU"/>
        </w:rPr>
        <w:tab/>
      </w:r>
      <w:r>
        <w:rPr>
          <w:noProof/>
        </w:rPr>
        <w:t>Selection of Biomarkers</w:t>
      </w:r>
      <w:r>
        <w:rPr>
          <w:noProof/>
        </w:rPr>
        <w:tab/>
      </w:r>
      <w:r>
        <w:rPr>
          <w:noProof/>
        </w:rPr>
        <w:fldChar w:fldCharType="begin"/>
      </w:r>
      <w:r>
        <w:rPr>
          <w:noProof/>
        </w:rPr>
        <w:instrText xml:space="preserve"> PAGEREF _Toc433621783 \h </w:instrText>
      </w:r>
      <w:r>
        <w:rPr>
          <w:noProof/>
        </w:rPr>
      </w:r>
      <w:r>
        <w:rPr>
          <w:noProof/>
        </w:rPr>
        <w:fldChar w:fldCharType="separate"/>
      </w:r>
      <w:r>
        <w:rPr>
          <w:noProof/>
        </w:rPr>
        <w:t>16</w:t>
      </w:r>
      <w:r>
        <w:rPr>
          <w:noProof/>
        </w:rPr>
        <w:fldChar w:fldCharType="end"/>
      </w:r>
    </w:p>
    <w:p w:rsidR="00A629F1" w:rsidRDefault="00A629F1">
      <w:pPr>
        <w:pStyle w:val="TOC3"/>
        <w:tabs>
          <w:tab w:val="left" w:pos="666"/>
          <w:tab w:val="right" w:leader="dot" w:pos="8290"/>
        </w:tabs>
        <w:rPr>
          <w:smallCaps w:val="0"/>
          <w:noProof/>
          <w:lang w:val="en-AU" w:eastAsia="en-AU"/>
        </w:rPr>
      </w:pPr>
      <w:r>
        <w:rPr>
          <w:noProof/>
        </w:rPr>
        <w:t>5.1.1</w:t>
      </w:r>
      <w:r>
        <w:rPr>
          <w:smallCaps w:val="0"/>
          <w:noProof/>
          <w:lang w:val="en-AU" w:eastAsia="en-AU"/>
        </w:rPr>
        <w:tab/>
      </w:r>
      <w:r>
        <w:rPr>
          <w:noProof/>
        </w:rPr>
        <w:t>Urinary Iodine</w:t>
      </w:r>
      <w:r>
        <w:rPr>
          <w:noProof/>
        </w:rPr>
        <w:tab/>
      </w:r>
      <w:r>
        <w:rPr>
          <w:noProof/>
        </w:rPr>
        <w:fldChar w:fldCharType="begin"/>
      </w:r>
      <w:r>
        <w:rPr>
          <w:noProof/>
        </w:rPr>
        <w:instrText xml:space="preserve"> PAGEREF _Toc433621784 \h </w:instrText>
      </w:r>
      <w:r>
        <w:rPr>
          <w:noProof/>
        </w:rPr>
      </w:r>
      <w:r>
        <w:rPr>
          <w:noProof/>
        </w:rPr>
        <w:fldChar w:fldCharType="separate"/>
      </w:r>
      <w:r>
        <w:rPr>
          <w:noProof/>
        </w:rPr>
        <w:t>16</w:t>
      </w:r>
      <w:r>
        <w:rPr>
          <w:noProof/>
        </w:rPr>
        <w:fldChar w:fldCharType="end"/>
      </w:r>
    </w:p>
    <w:p w:rsidR="00A629F1" w:rsidRDefault="00A629F1">
      <w:pPr>
        <w:pStyle w:val="TOC3"/>
        <w:tabs>
          <w:tab w:val="left" w:pos="666"/>
          <w:tab w:val="right" w:leader="dot" w:pos="8290"/>
        </w:tabs>
        <w:rPr>
          <w:smallCaps w:val="0"/>
          <w:noProof/>
          <w:lang w:val="en-AU" w:eastAsia="en-AU"/>
        </w:rPr>
      </w:pPr>
      <w:r>
        <w:rPr>
          <w:noProof/>
        </w:rPr>
        <w:t>5.1.2</w:t>
      </w:r>
      <w:r>
        <w:rPr>
          <w:smallCaps w:val="0"/>
          <w:noProof/>
          <w:lang w:val="en-AU" w:eastAsia="en-AU"/>
        </w:rPr>
        <w:tab/>
      </w:r>
      <w:r>
        <w:rPr>
          <w:noProof/>
        </w:rPr>
        <w:t>Thyroid Status</w:t>
      </w:r>
      <w:r>
        <w:rPr>
          <w:noProof/>
        </w:rPr>
        <w:tab/>
      </w:r>
      <w:r>
        <w:rPr>
          <w:noProof/>
        </w:rPr>
        <w:fldChar w:fldCharType="begin"/>
      </w:r>
      <w:r>
        <w:rPr>
          <w:noProof/>
        </w:rPr>
        <w:instrText xml:space="preserve"> PAGEREF _Toc433621785 \h </w:instrText>
      </w:r>
      <w:r>
        <w:rPr>
          <w:noProof/>
        </w:rPr>
      </w:r>
      <w:r>
        <w:rPr>
          <w:noProof/>
        </w:rPr>
        <w:fldChar w:fldCharType="separate"/>
      </w:r>
      <w:r>
        <w:rPr>
          <w:noProof/>
        </w:rPr>
        <w:t>17</w:t>
      </w:r>
      <w:r>
        <w:rPr>
          <w:noProof/>
        </w:rPr>
        <w:fldChar w:fldCharType="end"/>
      </w:r>
    </w:p>
    <w:p w:rsidR="00A629F1" w:rsidRDefault="00A629F1">
      <w:pPr>
        <w:pStyle w:val="TOC3"/>
        <w:tabs>
          <w:tab w:val="left" w:pos="666"/>
          <w:tab w:val="right" w:leader="dot" w:pos="8290"/>
        </w:tabs>
        <w:rPr>
          <w:smallCaps w:val="0"/>
          <w:noProof/>
          <w:lang w:val="en-AU" w:eastAsia="en-AU"/>
        </w:rPr>
      </w:pPr>
      <w:r>
        <w:rPr>
          <w:noProof/>
        </w:rPr>
        <w:t>5.1.3</w:t>
      </w:r>
      <w:r>
        <w:rPr>
          <w:smallCaps w:val="0"/>
          <w:noProof/>
          <w:lang w:val="en-AU" w:eastAsia="en-AU"/>
        </w:rPr>
        <w:tab/>
      </w:r>
      <w:r>
        <w:rPr>
          <w:noProof/>
        </w:rPr>
        <w:t>Radioactive Iodine</w:t>
      </w:r>
      <w:r>
        <w:rPr>
          <w:noProof/>
        </w:rPr>
        <w:tab/>
      </w:r>
      <w:r>
        <w:rPr>
          <w:noProof/>
        </w:rPr>
        <w:fldChar w:fldCharType="begin"/>
      </w:r>
      <w:r>
        <w:rPr>
          <w:noProof/>
        </w:rPr>
        <w:instrText xml:space="preserve"> PAGEREF _Toc433621786 \h </w:instrText>
      </w:r>
      <w:r>
        <w:rPr>
          <w:noProof/>
        </w:rPr>
      </w:r>
      <w:r>
        <w:rPr>
          <w:noProof/>
        </w:rPr>
        <w:fldChar w:fldCharType="separate"/>
      </w:r>
      <w:r>
        <w:rPr>
          <w:noProof/>
        </w:rPr>
        <w:t>18</w:t>
      </w:r>
      <w:r>
        <w:rPr>
          <w:noProof/>
        </w:rPr>
        <w:fldChar w:fldCharType="end"/>
      </w:r>
    </w:p>
    <w:p w:rsidR="00A629F1" w:rsidRDefault="00A629F1">
      <w:pPr>
        <w:pStyle w:val="TOC3"/>
        <w:tabs>
          <w:tab w:val="left" w:pos="666"/>
          <w:tab w:val="right" w:leader="dot" w:pos="8290"/>
        </w:tabs>
        <w:rPr>
          <w:smallCaps w:val="0"/>
          <w:noProof/>
          <w:lang w:val="en-AU" w:eastAsia="en-AU"/>
        </w:rPr>
      </w:pPr>
      <w:r>
        <w:rPr>
          <w:noProof/>
        </w:rPr>
        <w:t>5.1.4</w:t>
      </w:r>
      <w:r>
        <w:rPr>
          <w:smallCaps w:val="0"/>
          <w:noProof/>
          <w:lang w:val="en-AU" w:eastAsia="en-AU"/>
        </w:rPr>
        <w:tab/>
      </w:r>
      <w:r>
        <w:rPr>
          <w:noProof/>
        </w:rPr>
        <w:t>Brain Function</w:t>
      </w:r>
      <w:r>
        <w:rPr>
          <w:noProof/>
        </w:rPr>
        <w:tab/>
      </w:r>
      <w:r>
        <w:rPr>
          <w:noProof/>
        </w:rPr>
        <w:fldChar w:fldCharType="begin"/>
      </w:r>
      <w:r>
        <w:rPr>
          <w:noProof/>
        </w:rPr>
        <w:instrText xml:space="preserve"> PAGEREF _Toc433621787 \h </w:instrText>
      </w:r>
      <w:r>
        <w:rPr>
          <w:noProof/>
        </w:rPr>
      </w:r>
      <w:r>
        <w:rPr>
          <w:noProof/>
        </w:rPr>
        <w:fldChar w:fldCharType="separate"/>
      </w:r>
      <w:r>
        <w:rPr>
          <w:noProof/>
        </w:rPr>
        <w:t>18</w:t>
      </w:r>
      <w:r>
        <w:rPr>
          <w:noProof/>
        </w:rPr>
        <w:fldChar w:fldCharType="end"/>
      </w:r>
    </w:p>
    <w:p w:rsidR="00A629F1" w:rsidRDefault="00A629F1">
      <w:pPr>
        <w:pStyle w:val="TOC2"/>
        <w:tabs>
          <w:tab w:val="left" w:pos="502"/>
          <w:tab w:val="right" w:leader="dot" w:pos="8290"/>
        </w:tabs>
        <w:rPr>
          <w:b w:val="0"/>
          <w:smallCaps w:val="0"/>
          <w:noProof/>
          <w:lang w:val="en-AU" w:eastAsia="en-AU"/>
        </w:rPr>
      </w:pPr>
      <w:r>
        <w:rPr>
          <w:noProof/>
        </w:rPr>
        <w:t>5.2</w:t>
      </w:r>
      <w:r>
        <w:rPr>
          <w:b w:val="0"/>
          <w:smallCaps w:val="0"/>
          <w:noProof/>
          <w:lang w:val="en-AU" w:eastAsia="en-AU"/>
        </w:rPr>
        <w:tab/>
      </w:r>
      <w:r>
        <w:rPr>
          <w:noProof/>
        </w:rPr>
        <w:t>Selection of evidence and data</w:t>
      </w:r>
      <w:r>
        <w:rPr>
          <w:noProof/>
        </w:rPr>
        <w:tab/>
      </w:r>
      <w:r>
        <w:rPr>
          <w:noProof/>
        </w:rPr>
        <w:fldChar w:fldCharType="begin"/>
      </w:r>
      <w:r>
        <w:rPr>
          <w:noProof/>
        </w:rPr>
        <w:instrText xml:space="preserve"> PAGEREF _Toc433621788 \h </w:instrText>
      </w:r>
      <w:r>
        <w:rPr>
          <w:noProof/>
        </w:rPr>
      </w:r>
      <w:r>
        <w:rPr>
          <w:noProof/>
        </w:rPr>
        <w:fldChar w:fldCharType="separate"/>
      </w:r>
      <w:r>
        <w:rPr>
          <w:noProof/>
        </w:rPr>
        <w:t>19</w:t>
      </w:r>
      <w:r>
        <w:rPr>
          <w:noProof/>
        </w:rPr>
        <w:fldChar w:fldCharType="end"/>
      </w:r>
    </w:p>
    <w:p w:rsidR="00A629F1" w:rsidRDefault="00A629F1">
      <w:pPr>
        <w:pStyle w:val="TOC3"/>
        <w:tabs>
          <w:tab w:val="left" w:pos="666"/>
          <w:tab w:val="right" w:leader="dot" w:pos="8290"/>
        </w:tabs>
        <w:rPr>
          <w:smallCaps w:val="0"/>
          <w:noProof/>
          <w:lang w:val="en-AU" w:eastAsia="en-AU"/>
        </w:rPr>
      </w:pPr>
      <w:r>
        <w:rPr>
          <w:noProof/>
        </w:rPr>
        <w:t>5.2.1</w:t>
      </w:r>
      <w:r>
        <w:rPr>
          <w:smallCaps w:val="0"/>
          <w:noProof/>
          <w:lang w:val="en-AU" w:eastAsia="en-AU"/>
        </w:rPr>
        <w:tab/>
      </w:r>
      <w:r>
        <w:rPr>
          <w:noProof/>
        </w:rPr>
        <w:t>Defining the question</w:t>
      </w:r>
      <w:r>
        <w:rPr>
          <w:noProof/>
        </w:rPr>
        <w:tab/>
      </w:r>
      <w:r>
        <w:rPr>
          <w:noProof/>
        </w:rPr>
        <w:fldChar w:fldCharType="begin"/>
      </w:r>
      <w:r>
        <w:rPr>
          <w:noProof/>
        </w:rPr>
        <w:instrText xml:space="preserve"> PAGEREF _Toc433621789 \h </w:instrText>
      </w:r>
      <w:r>
        <w:rPr>
          <w:noProof/>
        </w:rPr>
      </w:r>
      <w:r>
        <w:rPr>
          <w:noProof/>
        </w:rPr>
        <w:fldChar w:fldCharType="separate"/>
      </w:r>
      <w:r>
        <w:rPr>
          <w:noProof/>
        </w:rPr>
        <w:t>19</w:t>
      </w:r>
      <w:r>
        <w:rPr>
          <w:noProof/>
        </w:rPr>
        <w:fldChar w:fldCharType="end"/>
      </w:r>
    </w:p>
    <w:p w:rsidR="00A629F1" w:rsidRDefault="00A629F1">
      <w:pPr>
        <w:pStyle w:val="TOC3"/>
        <w:tabs>
          <w:tab w:val="left" w:pos="666"/>
          <w:tab w:val="right" w:leader="dot" w:pos="8290"/>
        </w:tabs>
        <w:rPr>
          <w:smallCaps w:val="0"/>
          <w:noProof/>
          <w:lang w:val="en-AU" w:eastAsia="en-AU"/>
        </w:rPr>
      </w:pPr>
      <w:r>
        <w:rPr>
          <w:noProof/>
        </w:rPr>
        <w:t>5.2.2</w:t>
      </w:r>
      <w:r>
        <w:rPr>
          <w:smallCaps w:val="0"/>
          <w:noProof/>
          <w:lang w:val="en-AU" w:eastAsia="en-AU"/>
        </w:rPr>
        <w:tab/>
      </w:r>
      <w:r>
        <w:rPr>
          <w:noProof/>
        </w:rPr>
        <w:t>Adults</w:t>
      </w:r>
      <w:r>
        <w:rPr>
          <w:noProof/>
        </w:rPr>
        <w:tab/>
      </w:r>
      <w:r>
        <w:rPr>
          <w:noProof/>
        </w:rPr>
        <w:fldChar w:fldCharType="begin"/>
      </w:r>
      <w:r>
        <w:rPr>
          <w:noProof/>
        </w:rPr>
        <w:instrText xml:space="preserve"> PAGEREF _Toc433621790 \h </w:instrText>
      </w:r>
      <w:r>
        <w:rPr>
          <w:noProof/>
        </w:rPr>
      </w:r>
      <w:r>
        <w:rPr>
          <w:noProof/>
        </w:rPr>
        <w:fldChar w:fldCharType="separate"/>
      </w:r>
      <w:r>
        <w:rPr>
          <w:noProof/>
        </w:rPr>
        <w:t>23</w:t>
      </w:r>
      <w:r>
        <w:rPr>
          <w:noProof/>
        </w:rPr>
        <w:fldChar w:fldCharType="end"/>
      </w:r>
    </w:p>
    <w:p w:rsidR="00A629F1" w:rsidRDefault="00A629F1">
      <w:pPr>
        <w:pStyle w:val="TOC3"/>
        <w:tabs>
          <w:tab w:val="left" w:pos="666"/>
          <w:tab w:val="right" w:leader="dot" w:pos="8290"/>
        </w:tabs>
        <w:rPr>
          <w:smallCaps w:val="0"/>
          <w:noProof/>
          <w:lang w:val="en-AU" w:eastAsia="en-AU"/>
        </w:rPr>
      </w:pPr>
      <w:r>
        <w:rPr>
          <w:noProof/>
        </w:rPr>
        <w:t>5.2.3</w:t>
      </w:r>
      <w:r>
        <w:rPr>
          <w:smallCaps w:val="0"/>
          <w:noProof/>
          <w:lang w:val="en-AU" w:eastAsia="en-AU"/>
        </w:rPr>
        <w:tab/>
      </w:r>
      <w:r>
        <w:rPr>
          <w:noProof/>
        </w:rPr>
        <w:t>Pregnancy</w:t>
      </w:r>
      <w:r>
        <w:rPr>
          <w:noProof/>
        </w:rPr>
        <w:tab/>
      </w:r>
      <w:r>
        <w:rPr>
          <w:noProof/>
        </w:rPr>
        <w:fldChar w:fldCharType="begin"/>
      </w:r>
      <w:r>
        <w:rPr>
          <w:noProof/>
        </w:rPr>
        <w:instrText xml:space="preserve"> PAGEREF _Toc433621791 \h </w:instrText>
      </w:r>
      <w:r>
        <w:rPr>
          <w:noProof/>
        </w:rPr>
      </w:r>
      <w:r>
        <w:rPr>
          <w:noProof/>
        </w:rPr>
        <w:fldChar w:fldCharType="separate"/>
      </w:r>
      <w:r>
        <w:rPr>
          <w:noProof/>
        </w:rPr>
        <w:t>24</w:t>
      </w:r>
      <w:r>
        <w:rPr>
          <w:noProof/>
        </w:rPr>
        <w:fldChar w:fldCharType="end"/>
      </w:r>
    </w:p>
    <w:p w:rsidR="00A629F1" w:rsidRDefault="00A629F1">
      <w:pPr>
        <w:pStyle w:val="TOC3"/>
        <w:tabs>
          <w:tab w:val="left" w:pos="666"/>
          <w:tab w:val="right" w:leader="dot" w:pos="8290"/>
        </w:tabs>
        <w:rPr>
          <w:smallCaps w:val="0"/>
          <w:noProof/>
          <w:lang w:val="en-AU" w:eastAsia="en-AU"/>
        </w:rPr>
      </w:pPr>
      <w:r>
        <w:rPr>
          <w:noProof/>
        </w:rPr>
        <w:t>5.2.4</w:t>
      </w:r>
      <w:r>
        <w:rPr>
          <w:smallCaps w:val="0"/>
          <w:noProof/>
          <w:lang w:val="en-AU" w:eastAsia="en-AU"/>
        </w:rPr>
        <w:tab/>
      </w:r>
      <w:r>
        <w:rPr>
          <w:noProof/>
        </w:rPr>
        <w:t>Children</w:t>
      </w:r>
      <w:r>
        <w:rPr>
          <w:noProof/>
        </w:rPr>
        <w:tab/>
      </w:r>
      <w:r>
        <w:rPr>
          <w:noProof/>
        </w:rPr>
        <w:fldChar w:fldCharType="begin"/>
      </w:r>
      <w:r>
        <w:rPr>
          <w:noProof/>
        </w:rPr>
        <w:instrText xml:space="preserve"> PAGEREF _Toc433621792 \h </w:instrText>
      </w:r>
      <w:r>
        <w:rPr>
          <w:noProof/>
        </w:rPr>
      </w:r>
      <w:r>
        <w:rPr>
          <w:noProof/>
        </w:rPr>
        <w:fldChar w:fldCharType="separate"/>
      </w:r>
      <w:r>
        <w:rPr>
          <w:noProof/>
        </w:rPr>
        <w:t>26</w:t>
      </w:r>
      <w:r>
        <w:rPr>
          <w:noProof/>
        </w:rPr>
        <w:fldChar w:fldCharType="end"/>
      </w:r>
    </w:p>
    <w:p w:rsidR="00A629F1" w:rsidRDefault="00A629F1">
      <w:pPr>
        <w:pStyle w:val="TOC2"/>
        <w:tabs>
          <w:tab w:val="left" w:pos="502"/>
          <w:tab w:val="right" w:leader="dot" w:pos="8290"/>
        </w:tabs>
        <w:rPr>
          <w:b w:val="0"/>
          <w:smallCaps w:val="0"/>
          <w:noProof/>
          <w:lang w:val="en-AU" w:eastAsia="en-AU"/>
        </w:rPr>
      </w:pPr>
      <w:r>
        <w:rPr>
          <w:noProof/>
        </w:rPr>
        <w:t>5.3</w:t>
      </w:r>
      <w:r>
        <w:rPr>
          <w:b w:val="0"/>
          <w:smallCaps w:val="0"/>
          <w:noProof/>
          <w:lang w:val="en-AU" w:eastAsia="en-AU"/>
        </w:rPr>
        <w:tab/>
      </w:r>
      <w:r>
        <w:rPr>
          <w:noProof/>
        </w:rPr>
        <w:t>Review of Evidence</w:t>
      </w:r>
      <w:r>
        <w:rPr>
          <w:noProof/>
        </w:rPr>
        <w:tab/>
      </w:r>
      <w:r>
        <w:rPr>
          <w:noProof/>
        </w:rPr>
        <w:fldChar w:fldCharType="begin"/>
      </w:r>
      <w:r>
        <w:rPr>
          <w:noProof/>
        </w:rPr>
        <w:instrText xml:space="preserve"> PAGEREF _Toc433621793 \h </w:instrText>
      </w:r>
      <w:r>
        <w:rPr>
          <w:noProof/>
        </w:rPr>
      </w:r>
      <w:r>
        <w:rPr>
          <w:noProof/>
        </w:rPr>
        <w:fldChar w:fldCharType="separate"/>
      </w:r>
      <w:r>
        <w:rPr>
          <w:noProof/>
        </w:rPr>
        <w:t>27</w:t>
      </w:r>
      <w:r>
        <w:rPr>
          <w:noProof/>
        </w:rPr>
        <w:fldChar w:fldCharType="end"/>
      </w:r>
    </w:p>
    <w:p w:rsidR="00A629F1" w:rsidRDefault="00A629F1">
      <w:pPr>
        <w:pStyle w:val="TOC3"/>
        <w:tabs>
          <w:tab w:val="left" w:pos="666"/>
          <w:tab w:val="right" w:leader="dot" w:pos="8290"/>
        </w:tabs>
        <w:rPr>
          <w:smallCaps w:val="0"/>
          <w:noProof/>
          <w:lang w:val="en-AU" w:eastAsia="en-AU"/>
        </w:rPr>
      </w:pPr>
      <w:r>
        <w:rPr>
          <w:noProof/>
        </w:rPr>
        <w:t>5.3.1</w:t>
      </w:r>
      <w:r>
        <w:rPr>
          <w:smallCaps w:val="0"/>
          <w:noProof/>
          <w:lang w:val="en-AU" w:eastAsia="en-AU"/>
        </w:rPr>
        <w:tab/>
      </w:r>
      <w:r>
        <w:rPr>
          <w:noProof/>
        </w:rPr>
        <w:t>Assessment of the quality of evidence</w:t>
      </w:r>
      <w:r>
        <w:rPr>
          <w:noProof/>
        </w:rPr>
        <w:tab/>
      </w:r>
      <w:r>
        <w:rPr>
          <w:noProof/>
        </w:rPr>
        <w:fldChar w:fldCharType="begin"/>
      </w:r>
      <w:r>
        <w:rPr>
          <w:noProof/>
        </w:rPr>
        <w:instrText xml:space="preserve"> PAGEREF _Toc433621794 \h </w:instrText>
      </w:r>
      <w:r>
        <w:rPr>
          <w:noProof/>
        </w:rPr>
      </w:r>
      <w:r>
        <w:rPr>
          <w:noProof/>
        </w:rPr>
        <w:fldChar w:fldCharType="separate"/>
      </w:r>
      <w:r>
        <w:rPr>
          <w:noProof/>
        </w:rPr>
        <w:t>27</w:t>
      </w:r>
      <w:r>
        <w:rPr>
          <w:noProof/>
        </w:rPr>
        <w:fldChar w:fldCharType="end"/>
      </w:r>
    </w:p>
    <w:p w:rsidR="00A629F1" w:rsidRDefault="00A629F1">
      <w:pPr>
        <w:pStyle w:val="TOC3"/>
        <w:tabs>
          <w:tab w:val="left" w:pos="666"/>
          <w:tab w:val="right" w:leader="dot" w:pos="8290"/>
        </w:tabs>
        <w:rPr>
          <w:smallCaps w:val="0"/>
          <w:noProof/>
          <w:lang w:val="en-AU" w:eastAsia="en-AU"/>
        </w:rPr>
      </w:pPr>
      <w:r>
        <w:rPr>
          <w:noProof/>
        </w:rPr>
        <w:t>5.3.2</w:t>
      </w:r>
      <w:r>
        <w:rPr>
          <w:smallCaps w:val="0"/>
          <w:noProof/>
          <w:lang w:val="en-AU" w:eastAsia="en-AU"/>
        </w:rPr>
        <w:tab/>
      </w:r>
      <w:r>
        <w:rPr>
          <w:noProof/>
        </w:rPr>
        <w:t>Evidence considered in estimating the EAR and RDI for Adults</w:t>
      </w:r>
      <w:r>
        <w:rPr>
          <w:noProof/>
        </w:rPr>
        <w:tab/>
      </w:r>
      <w:r>
        <w:rPr>
          <w:noProof/>
        </w:rPr>
        <w:fldChar w:fldCharType="begin"/>
      </w:r>
      <w:r>
        <w:rPr>
          <w:noProof/>
        </w:rPr>
        <w:instrText xml:space="preserve"> PAGEREF _Toc433621795 \h </w:instrText>
      </w:r>
      <w:r>
        <w:rPr>
          <w:noProof/>
        </w:rPr>
      </w:r>
      <w:r>
        <w:rPr>
          <w:noProof/>
        </w:rPr>
        <w:fldChar w:fldCharType="separate"/>
      </w:r>
      <w:r>
        <w:rPr>
          <w:noProof/>
        </w:rPr>
        <w:t>28</w:t>
      </w:r>
      <w:r>
        <w:rPr>
          <w:noProof/>
        </w:rPr>
        <w:fldChar w:fldCharType="end"/>
      </w:r>
    </w:p>
    <w:p w:rsidR="00A629F1" w:rsidRDefault="00A629F1">
      <w:pPr>
        <w:pStyle w:val="TOC3"/>
        <w:tabs>
          <w:tab w:val="left" w:pos="666"/>
          <w:tab w:val="right" w:leader="dot" w:pos="8290"/>
        </w:tabs>
        <w:rPr>
          <w:smallCaps w:val="0"/>
          <w:noProof/>
          <w:lang w:val="en-AU" w:eastAsia="en-AU"/>
        </w:rPr>
      </w:pPr>
      <w:r>
        <w:rPr>
          <w:noProof/>
        </w:rPr>
        <w:t>5.3.3</w:t>
      </w:r>
      <w:r>
        <w:rPr>
          <w:smallCaps w:val="0"/>
          <w:noProof/>
          <w:lang w:val="en-AU" w:eastAsia="en-AU"/>
        </w:rPr>
        <w:tab/>
      </w:r>
      <w:r>
        <w:rPr>
          <w:noProof/>
        </w:rPr>
        <w:t>Evidence considered in estimating the EAR and RDI for pregnant women</w:t>
      </w:r>
      <w:r>
        <w:rPr>
          <w:noProof/>
        </w:rPr>
        <w:tab/>
      </w:r>
      <w:r>
        <w:rPr>
          <w:noProof/>
        </w:rPr>
        <w:fldChar w:fldCharType="begin"/>
      </w:r>
      <w:r>
        <w:rPr>
          <w:noProof/>
        </w:rPr>
        <w:instrText xml:space="preserve"> PAGEREF _Toc433621796 \h </w:instrText>
      </w:r>
      <w:r>
        <w:rPr>
          <w:noProof/>
        </w:rPr>
      </w:r>
      <w:r>
        <w:rPr>
          <w:noProof/>
        </w:rPr>
        <w:fldChar w:fldCharType="separate"/>
      </w:r>
      <w:r>
        <w:rPr>
          <w:noProof/>
        </w:rPr>
        <w:t>29</w:t>
      </w:r>
      <w:r>
        <w:rPr>
          <w:noProof/>
        </w:rPr>
        <w:fldChar w:fldCharType="end"/>
      </w:r>
    </w:p>
    <w:p w:rsidR="00A629F1" w:rsidRDefault="00A629F1">
      <w:pPr>
        <w:pStyle w:val="TOC3"/>
        <w:tabs>
          <w:tab w:val="left" w:pos="666"/>
          <w:tab w:val="right" w:leader="dot" w:pos="8290"/>
        </w:tabs>
        <w:rPr>
          <w:smallCaps w:val="0"/>
          <w:noProof/>
          <w:lang w:val="en-AU" w:eastAsia="en-AU"/>
        </w:rPr>
      </w:pPr>
      <w:r>
        <w:rPr>
          <w:noProof/>
        </w:rPr>
        <w:t>5.3.4</w:t>
      </w:r>
      <w:r>
        <w:rPr>
          <w:smallCaps w:val="0"/>
          <w:noProof/>
          <w:lang w:val="en-AU" w:eastAsia="en-AU"/>
        </w:rPr>
        <w:tab/>
      </w:r>
      <w:r>
        <w:rPr>
          <w:noProof/>
        </w:rPr>
        <w:t>Evidence considered in estimating the UL for Children and Adolescents ages 1 through 18 years</w:t>
      </w:r>
      <w:r>
        <w:rPr>
          <w:noProof/>
        </w:rPr>
        <w:tab/>
      </w:r>
      <w:r>
        <w:rPr>
          <w:noProof/>
        </w:rPr>
        <w:fldChar w:fldCharType="begin"/>
      </w:r>
      <w:r>
        <w:rPr>
          <w:noProof/>
        </w:rPr>
        <w:instrText xml:space="preserve"> PAGEREF _Toc433621797 \h </w:instrText>
      </w:r>
      <w:r>
        <w:rPr>
          <w:noProof/>
        </w:rPr>
      </w:r>
      <w:r>
        <w:rPr>
          <w:noProof/>
        </w:rPr>
        <w:fldChar w:fldCharType="separate"/>
      </w:r>
      <w:r>
        <w:rPr>
          <w:noProof/>
        </w:rPr>
        <w:t>31</w:t>
      </w:r>
      <w:r>
        <w:rPr>
          <w:noProof/>
        </w:rPr>
        <w:fldChar w:fldCharType="end"/>
      </w:r>
    </w:p>
    <w:p w:rsidR="00A629F1" w:rsidRDefault="00A629F1">
      <w:pPr>
        <w:pStyle w:val="TOC1"/>
        <w:rPr>
          <w:b w:val="0"/>
          <w:caps w:val="0"/>
          <w:noProof/>
          <w:lang w:val="en-AU" w:eastAsia="en-AU"/>
        </w:rPr>
      </w:pPr>
      <w:r>
        <w:rPr>
          <w:noProof/>
        </w:rPr>
        <w:t>6</w:t>
      </w:r>
      <w:r>
        <w:rPr>
          <w:b w:val="0"/>
          <w:caps w:val="0"/>
          <w:noProof/>
          <w:lang w:val="en-AU" w:eastAsia="en-AU"/>
        </w:rPr>
        <w:tab/>
      </w:r>
      <w:r>
        <w:rPr>
          <w:noProof/>
        </w:rPr>
        <w:t>Guideline Recommendations</w:t>
      </w:r>
      <w:r>
        <w:rPr>
          <w:noProof/>
        </w:rPr>
        <w:tab/>
      </w:r>
      <w:r>
        <w:rPr>
          <w:noProof/>
        </w:rPr>
        <w:fldChar w:fldCharType="begin"/>
      </w:r>
      <w:r>
        <w:rPr>
          <w:noProof/>
        </w:rPr>
        <w:instrText xml:space="preserve"> PAGEREF _Toc433621798 \h </w:instrText>
      </w:r>
      <w:r>
        <w:rPr>
          <w:noProof/>
        </w:rPr>
      </w:r>
      <w:r>
        <w:rPr>
          <w:noProof/>
        </w:rPr>
        <w:fldChar w:fldCharType="separate"/>
      </w:r>
      <w:r>
        <w:rPr>
          <w:noProof/>
        </w:rPr>
        <w:t>35</w:t>
      </w:r>
      <w:r>
        <w:rPr>
          <w:noProof/>
        </w:rPr>
        <w:fldChar w:fldCharType="end"/>
      </w:r>
    </w:p>
    <w:p w:rsidR="00A629F1" w:rsidRDefault="00A629F1">
      <w:pPr>
        <w:pStyle w:val="TOC2"/>
        <w:tabs>
          <w:tab w:val="left" w:pos="502"/>
          <w:tab w:val="right" w:leader="dot" w:pos="8290"/>
        </w:tabs>
        <w:rPr>
          <w:b w:val="0"/>
          <w:smallCaps w:val="0"/>
          <w:noProof/>
          <w:lang w:val="en-AU" w:eastAsia="en-AU"/>
        </w:rPr>
      </w:pPr>
      <w:r>
        <w:rPr>
          <w:noProof/>
        </w:rPr>
        <w:t>6.1</w:t>
      </w:r>
      <w:r>
        <w:rPr>
          <w:b w:val="0"/>
          <w:smallCaps w:val="0"/>
          <w:noProof/>
          <w:lang w:val="en-AU" w:eastAsia="en-AU"/>
        </w:rPr>
        <w:tab/>
      </w:r>
      <w:r>
        <w:rPr>
          <w:noProof/>
        </w:rPr>
        <w:t>Proposed recommendations</w:t>
      </w:r>
      <w:r>
        <w:rPr>
          <w:noProof/>
        </w:rPr>
        <w:tab/>
      </w:r>
      <w:r>
        <w:rPr>
          <w:noProof/>
        </w:rPr>
        <w:fldChar w:fldCharType="begin"/>
      </w:r>
      <w:r>
        <w:rPr>
          <w:noProof/>
        </w:rPr>
        <w:instrText xml:space="preserve"> PAGEREF _Toc433621799 \h </w:instrText>
      </w:r>
      <w:r>
        <w:rPr>
          <w:noProof/>
        </w:rPr>
      </w:r>
      <w:r>
        <w:rPr>
          <w:noProof/>
        </w:rPr>
        <w:fldChar w:fldCharType="separate"/>
      </w:r>
      <w:r>
        <w:rPr>
          <w:noProof/>
        </w:rPr>
        <w:t>35</w:t>
      </w:r>
      <w:r>
        <w:rPr>
          <w:noProof/>
        </w:rPr>
        <w:fldChar w:fldCharType="end"/>
      </w:r>
    </w:p>
    <w:p w:rsidR="00A629F1" w:rsidRDefault="00A629F1">
      <w:pPr>
        <w:pStyle w:val="TOC2"/>
        <w:tabs>
          <w:tab w:val="left" w:pos="502"/>
          <w:tab w:val="right" w:leader="dot" w:pos="8290"/>
        </w:tabs>
        <w:rPr>
          <w:b w:val="0"/>
          <w:smallCaps w:val="0"/>
          <w:noProof/>
          <w:lang w:val="en-AU" w:eastAsia="en-AU"/>
        </w:rPr>
      </w:pPr>
      <w:r>
        <w:rPr>
          <w:noProof/>
        </w:rPr>
        <w:t>6.2</w:t>
      </w:r>
      <w:r>
        <w:rPr>
          <w:b w:val="0"/>
          <w:smallCaps w:val="0"/>
          <w:noProof/>
          <w:lang w:val="en-AU" w:eastAsia="en-AU"/>
        </w:rPr>
        <w:tab/>
      </w:r>
      <w:r>
        <w:rPr>
          <w:noProof/>
        </w:rPr>
        <w:t>Validity</w:t>
      </w:r>
      <w:r>
        <w:rPr>
          <w:noProof/>
        </w:rPr>
        <w:tab/>
      </w:r>
      <w:r>
        <w:rPr>
          <w:noProof/>
        </w:rPr>
        <w:fldChar w:fldCharType="begin"/>
      </w:r>
      <w:r>
        <w:rPr>
          <w:noProof/>
        </w:rPr>
        <w:instrText xml:space="preserve"> PAGEREF _Toc433621800 \h </w:instrText>
      </w:r>
      <w:r>
        <w:rPr>
          <w:noProof/>
        </w:rPr>
      </w:r>
      <w:r>
        <w:rPr>
          <w:noProof/>
        </w:rPr>
        <w:fldChar w:fldCharType="separate"/>
      </w:r>
      <w:r>
        <w:rPr>
          <w:noProof/>
        </w:rPr>
        <w:t>37</w:t>
      </w:r>
      <w:r>
        <w:rPr>
          <w:noProof/>
        </w:rPr>
        <w:fldChar w:fldCharType="end"/>
      </w:r>
    </w:p>
    <w:p w:rsidR="00A629F1" w:rsidRDefault="00A629F1">
      <w:pPr>
        <w:pStyle w:val="TOC3"/>
        <w:tabs>
          <w:tab w:val="left" w:pos="666"/>
          <w:tab w:val="right" w:leader="dot" w:pos="8290"/>
        </w:tabs>
        <w:rPr>
          <w:smallCaps w:val="0"/>
          <w:noProof/>
          <w:lang w:val="en-AU" w:eastAsia="en-AU"/>
        </w:rPr>
      </w:pPr>
      <w:r>
        <w:rPr>
          <w:noProof/>
        </w:rPr>
        <w:t>6.2.1</w:t>
      </w:r>
      <w:r>
        <w:rPr>
          <w:smallCaps w:val="0"/>
          <w:noProof/>
          <w:lang w:val="en-AU" w:eastAsia="en-AU"/>
        </w:rPr>
        <w:tab/>
      </w:r>
      <w:r>
        <w:rPr>
          <w:noProof/>
        </w:rPr>
        <w:t>UL for children</w:t>
      </w:r>
      <w:r>
        <w:rPr>
          <w:noProof/>
        </w:rPr>
        <w:tab/>
      </w:r>
      <w:r>
        <w:rPr>
          <w:noProof/>
        </w:rPr>
        <w:fldChar w:fldCharType="begin"/>
      </w:r>
      <w:r>
        <w:rPr>
          <w:noProof/>
        </w:rPr>
        <w:instrText xml:space="preserve"> PAGEREF _Toc433621801 \h </w:instrText>
      </w:r>
      <w:r>
        <w:rPr>
          <w:noProof/>
        </w:rPr>
      </w:r>
      <w:r>
        <w:rPr>
          <w:noProof/>
        </w:rPr>
        <w:fldChar w:fldCharType="separate"/>
      </w:r>
      <w:r>
        <w:rPr>
          <w:noProof/>
        </w:rPr>
        <w:t>37</w:t>
      </w:r>
      <w:r>
        <w:rPr>
          <w:noProof/>
        </w:rPr>
        <w:fldChar w:fldCharType="end"/>
      </w:r>
    </w:p>
    <w:p w:rsidR="00A629F1" w:rsidRDefault="00A629F1">
      <w:pPr>
        <w:pStyle w:val="TOC2"/>
        <w:tabs>
          <w:tab w:val="left" w:pos="502"/>
          <w:tab w:val="right" w:leader="dot" w:pos="8290"/>
        </w:tabs>
        <w:rPr>
          <w:b w:val="0"/>
          <w:smallCaps w:val="0"/>
          <w:noProof/>
          <w:lang w:val="en-AU" w:eastAsia="en-AU"/>
        </w:rPr>
      </w:pPr>
      <w:r>
        <w:rPr>
          <w:noProof/>
        </w:rPr>
        <w:t>6.3</w:t>
      </w:r>
      <w:r>
        <w:rPr>
          <w:b w:val="0"/>
          <w:smallCaps w:val="0"/>
          <w:noProof/>
          <w:lang w:val="en-AU" w:eastAsia="en-AU"/>
        </w:rPr>
        <w:tab/>
      </w:r>
      <w:r>
        <w:rPr>
          <w:noProof/>
        </w:rPr>
        <w:t>Implications and ongoing challenges</w:t>
      </w:r>
      <w:r>
        <w:rPr>
          <w:noProof/>
        </w:rPr>
        <w:tab/>
      </w:r>
      <w:r>
        <w:rPr>
          <w:noProof/>
        </w:rPr>
        <w:fldChar w:fldCharType="begin"/>
      </w:r>
      <w:r>
        <w:rPr>
          <w:noProof/>
        </w:rPr>
        <w:instrText xml:space="preserve"> PAGEREF _Toc433621802 \h </w:instrText>
      </w:r>
      <w:r>
        <w:rPr>
          <w:noProof/>
        </w:rPr>
      </w:r>
      <w:r>
        <w:rPr>
          <w:noProof/>
        </w:rPr>
        <w:fldChar w:fldCharType="separate"/>
      </w:r>
      <w:r>
        <w:rPr>
          <w:noProof/>
        </w:rPr>
        <w:t>37</w:t>
      </w:r>
      <w:r>
        <w:rPr>
          <w:noProof/>
        </w:rPr>
        <w:fldChar w:fldCharType="end"/>
      </w:r>
    </w:p>
    <w:p w:rsidR="00A629F1" w:rsidRDefault="00A629F1">
      <w:pPr>
        <w:pStyle w:val="TOC3"/>
        <w:tabs>
          <w:tab w:val="left" w:pos="666"/>
          <w:tab w:val="right" w:leader="dot" w:pos="8290"/>
        </w:tabs>
        <w:rPr>
          <w:smallCaps w:val="0"/>
          <w:noProof/>
          <w:lang w:val="en-AU" w:eastAsia="en-AU"/>
        </w:rPr>
      </w:pPr>
      <w:r>
        <w:rPr>
          <w:noProof/>
        </w:rPr>
        <w:lastRenderedPageBreak/>
        <w:t>6.3.1</w:t>
      </w:r>
      <w:r>
        <w:rPr>
          <w:smallCaps w:val="0"/>
          <w:noProof/>
          <w:lang w:val="en-AU" w:eastAsia="en-AU"/>
        </w:rPr>
        <w:tab/>
      </w:r>
      <w:r>
        <w:rPr>
          <w:noProof/>
        </w:rPr>
        <w:t>Implications of changes to the UL for children</w:t>
      </w:r>
      <w:r>
        <w:rPr>
          <w:noProof/>
        </w:rPr>
        <w:tab/>
      </w:r>
      <w:r>
        <w:rPr>
          <w:noProof/>
        </w:rPr>
        <w:fldChar w:fldCharType="begin"/>
      </w:r>
      <w:r>
        <w:rPr>
          <w:noProof/>
        </w:rPr>
        <w:instrText xml:space="preserve"> PAGEREF _Toc433621803 \h </w:instrText>
      </w:r>
      <w:r>
        <w:rPr>
          <w:noProof/>
        </w:rPr>
      </w:r>
      <w:r>
        <w:rPr>
          <w:noProof/>
        </w:rPr>
        <w:fldChar w:fldCharType="separate"/>
      </w:r>
      <w:r>
        <w:rPr>
          <w:noProof/>
        </w:rPr>
        <w:t>37</w:t>
      </w:r>
      <w:r>
        <w:rPr>
          <w:noProof/>
        </w:rPr>
        <w:fldChar w:fldCharType="end"/>
      </w:r>
    </w:p>
    <w:p w:rsidR="00A629F1" w:rsidRDefault="00A629F1">
      <w:pPr>
        <w:pStyle w:val="TOC3"/>
        <w:tabs>
          <w:tab w:val="left" w:pos="666"/>
          <w:tab w:val="right" w:leader="dot" w:pos="8290"/>
        </w:tabs>
        <w:rPr>
          <w:smallCaps w:val="0"/>
          <w:noProof/>
          <w:lang w:val="en-AU" w:eastAsia="en-AU"/>
        </w:rPr>
      </w:pPr>
      <w:r>
        <w:rPr>
          <w:noProof/>
        </w:rPr>
        <w:t>6.3.2</w:t>
      </w:r>
      <w:r>
        <w:rPr>
          <w:smallCaps w:val="0"/>
          <w:noProof/>
          <w:lang w:val="en-AU" w:eastAsia="en-AU"/>
        </w:rPr>
        <w:tab/>
      </w:r>
      <w:r>
        <w:rPr>
          <w:noProof/>
        </w:rPr>
        <w:t>Ongoing challenge of meeting pregnancy and lactation RDI</w:t>
      </w:r>
      <w:r>
        <w:rPr>
          <w:noProof/>
        </w:rPr>
        <w:tab/>
      </w:r>
      <w:r>
        <w:rPr>
          <w:noProof/>
        </w:rPr>
        <w:fldChar w:fldCharType="begin"/>
      </w:r>
      <w:r>
        <w:rPr>
          <w:noProof/>
        </w:rPr>
        <w:instrText xml:space="preserve"> PAGEREF _Toc433621804 \h </w:instrText>
      </w:r>
      <w:r>
        <w:rPr>
          <w:noProof/>
        </w:rPr>
      </w:r>
      <w:r>
        <w:rPr>
          <w:noProof/>
        </w:rPr>
        <w:fldChar w:fldCharType="separate"/>
      </w:r>
      <w:r>
        <w:rPr>
          <w:noProof/>
        </w:rPr>
        <w:t>38</w:t>
      </w:r>
      <w:r>
        <w:rPr>
          <w:noProof/>
        </w:rPr>
        <w:fldChar w:fldCharType="end"/>
      </w:r>
    </w:p>
    <w:p w:rsidR="00A629F1" w:rsidRDefault="00A629F1">
      <w:pPr>
        <w:pStyle w:val="TOC3"/>
        <w:tabs>
          <w:tab w:val="left" w:pos="666"/>
          <w:tab w:val="right" w:leader="dot" w:pos="8290"/>
        </w:tabs>
        <w:rPr>
          <w:smallCaps w:val="0"/>
          <w:noProof/>
          <w:lang w:val="en-AU" w:eastAsia="en-AU"/>
        </w:rPr>
      </w:pPr>
      <w:r>
        <w:rPr>
          <w:noProof/>
        </w:rPr>
        <w:t>6.3.3</w:t>
      </w:r>
      <w:r>
        <w:rPr>
          <w:smallCaps w:val="0"/>
          <w:noProof/>
          <w:lang w:val="en-AU" w:eastAsia="en-AU"/>
        </w:rPr>
        <w:tab/>
      </w:r>
      <w:r>
        <w:rPr>
          <w:noProof/>
        </w:rPr>
        <w:t>International consistency</w:t>
      </w:r>
      <w:r>
        <w:rPr>
          <w:noProof/>
        </w:rPr>
        <w:tab/>
      </w:r>
      <w:r>
        <w:rPr>
          <w:noProof/>
        </w:rPr>
        <w:fldChar w:fldCharType="begin"/>
      </w:r>
      <w:r>
        <w:rPr>
          <w:noProof/>
        </w:rPr>
        <w:instrText xml:space="preserve"> PAGEREF _Toc433621805 \h </w:instrText>
      </w:r>
      <w:r>
        <w:rPr>
          <w:noProof/>
        </w:rPr>
      </w:r>
      <w:r>
        <w:rPr>
          <w:noProof/>
        </w:rPr>
        <w:fldChar w:fldCharType="separate"/>
      </w:r>
      <w:r>
        <w:rPr>
          <w:noProof/>
        </w:rPr>
        <w:t>38</w:t>
      </w:r>
      <w:r>
        <w:rPr>
          <w:noProof/>
        </w:rPr>
        <w:fldChar w:fldCharType="end"/>
      </w:r>
    </w:p>
    <w:p w:rsidR="00A629F1" w:rsidRDefault="00A629F1">
      <w:pPr>
        <w:pStyle w:val="TOC3"/>
        <w:tabs>
          <w:tab w:val="left" w:pos="666"/>
          <w:tab w:val="right" w:leader="dot" w:pos="8290"/>
        </w:tabs>
        <w:rPr>
          <w:smallCaps w:val="0"/>
          <w:noProof/>
          <w:lang w:val="en-AU" w:eastAsia="en-AU"/>
        </w:rPr>
      </w:pPr>
      <w:r>
        <w:rPr>
          <w:noProof/>
        </w:rPr>
        <w:t>6.3.4</w:t>
      </w:r>
      <w:r>
        <w:rPr>
          <w:smallCaps w:val="0"/>
          <w:noProof/>
          <w:lang w:val="en-AU" w:eastAsia="en-AU"/>
        </w:rPr>
        <w:tab/>
      </w:r>
      <w:r>
        <w:rPr>
          <w:noProof/>
        </w:rPr>
        <w:t>Priorities for remaining questions</w:t>
      </w:r>
      <w:r>
        <w:rPr>
          <w:noProof/>
        </w:rPr>
        <w:tab/>
      </w:r>
      <w:r>
        <w:rPr>
          <w:noProof/>
        </w:rPr>
        <w:fldChar w:fldCharType="begin"/>
      </w:r>
      <w:r>
        <w:rPr>
          <w:noProof/>
        </w:rPr>
        <w:instrText xml:space="preserve"> PAGEREF _Toc433621806 \h </w:instrText>
      </w:r>
      <w:r>
        <w:rPr>
          <w:noProof/>
        </w:rPr>
      </w:r>
      <w:r>
        <w:rPr>
          <w:noProof/>
        </w:rPr>
        <w:fldChar w:fldCharType="separate"/>
      </w:r>
      <w:r>
        <w:rPr>
          <w:noProof/>
        </w:rPr>
        <w:t>38</w:t>
      </w:r>
      <w:r>
        <w:rPr>
          <w:noProof/>
        </w:rPr>
        <w:fldChar w:fldCharType="end"/>
      </w:r>
    </w:p>
    <w:p w:rsidR="00A629F1" w:rsidRDefault="00A629F1">
      <w:pPr>
        <w:pStyle w:val="TOC3"/>
        <w:tabs>
          <w:tab w:val="left" w:pos="666"/>
          <w:tab w:val="right" w:leader="dot" w:pos="8290"/>
        </w:tabs>
        <w:rPr>
          <w:smallCaps w:val="0"/>
          <w:noProof/>
          <w:lang w:val="en-AU" w:eastAsia="en-AU"/>
        </w:rPr>
      </w:pPr>
      <w:r>
        <w:rPr>
          <w:noProof/>
        </w:rPr>
        <w:t>6.3.5</w:t>
      </w:r>
      <w:r>
        <w:rPr>
          <w:smallCaps w:val="0"/>
          <w:noProof/>
          <w:lang w:val="en-AU" w:eastAsia="en-AU"/>
        </w:rPr>
        <w:tab/>
      </w:r>
      <w:r>
        <w:rPr>
          <w:noProof/>
        </w:rPr>
        <w:t>Research required to inform NRVs</w:t>
      </w:r>
      <w:r>
        <w:rPr>
          <w:noProof/>
        </w:rPr>
        <w:tab/>
      </w:r>
      <w:r>
        <w:rPr>
          <w:noProof/>
        </w:rPr>
        <w:fldChar w:fldCharType="begin"/>
      </w:r>
      <w:r>
        <w:rPr>
          <w:noProof/>
        </w:rPr>
        <w:instrText xml:space="preserve"> PAGEREF _Toc433621807 \h </w:instrText>
      </w:r>
      <w:r>
        <w:rPr>
          <w:noProof/>
        </w:rPr>
      </w:r>
      <w:r>
        <w:rPr>
          <w:noProof/>
        </w:rPr>
        <w:fldChar w:fldCharType="separate"/>
      </w:r>
      <w:r>
        <w:rPr>
          <w:noProof/>
        </w:rPr>
        <w:t>39</w:t>
      </w:r>
      <w:r>
        <w:rPr>
          <w:noProof/>
        </w:rPr>
        <w:fldChar w:fldCharType="end"/>
      </w:r>
    </w:p>
    <w:p w:rsidR="00A629F1" w:rsidRDefault="00A629F1">
      <w:pPr>
        <w:pStyle w:val="TOC1"/>
        <w:rPr>
          <w:b w:val="0"/>
          <w:caps w:val="0"/>
          <w:noProof/>
          <w:lang w:val="en-AU" w:eastAsia="en-AU"/>
        </w:rPr>
      </w:pPr>
      <w:r>
        <w:rPr>
          <w:noProof/>
        </w:rPr>
        <w:t>7</w:t>
      </w:r>
      <w:r>
        <w:rPr>
          <w:b w:val="0"/>
          <w:caps w:val="0"/>
          <w:noProof/>
          <w:lang w:val="en-AU" w:eastAsia="en-AU"/>
        </w:rPr>
        <w:tab/>
      </w:r>
      <w:r>
        <w:rPr>
          <w:noProof/>
        </w:rPr>
        <w:t>Appendices</w:t>
      </w:r>
      <w:r>
        <w:rPr>
          <w:noProof/>
        </w:rPr>
        <w:tab/>
      </w:r>
      <w:r>
        <w:rPr>
          <w:noProof/>
        </w:rPr>
        <w:fldChar w:fldCharType="begin"/>
      </w:r>
      <w:r>
        <w:rPr>
          <w:noProof/>
        </w:rPr>
        <w:instrText xml:space="preserve"> PAGEREF _Toc433621808 \h </w:instrText>
      </w:r>
      <w:r>
        <w:rPr>
          <w:noProof/>
        </w:rPr>
      </w:r>
      <w:r>
        <w:rPr>
          <w:noProof/>
        </w:rPr>
        <w:fldChar w:fldCharType="separate"/>
      </w:r>
      <w:r>
        <w:rPr>
          <w:noProof/>
        </w:rPr>
        <w:t>41</w:t>
      </w:r>
      <w:r>
        <w:rPr>
          <w:noProof/>
        </w:rPr>
        <w:fldChar w:fldCharType="end"/>
      </w:r>
    </w:p>
    <w:p w:rsidR="00A629F1" w:rsidRDefault="00A629F1">
      <w:pPr>
        <w:pStyle w:val="TOC2"/>
        <w:tabs>
          <w:tab w:val="left" w:pos="502"/>
          <w:tab w:val="right" w:leader="dot" w:pos="8290"/>
        </w:tabs>
        <w:rPr>
          <w:b w:val="0"/>
          <w:smallCaps w:val="0"/>
          <w:noProof/>
          <w:lang w:val="en-AU" w:eastAsia="en-AU"/>
        </w:rPr>
      </w:pPr>
      <w:r>
        <w:rPr>
          <w:noProof/>
        </w:rPr>
        <w:t>7.1</w:t>
      </w:r>
      <w:r>
        <w:rPr>
          <w:b w:val="0"/>
          <w:smallCaps w:val="0"/>
          <w:noProof/>
          <w:lang w:val="en-AU" w:eastAsia="en-AU"/>
        </w:rPr>
        <w:tab/>
      </w:r>
      <w:r>
        <w:rPr>
          <w:noProof/>
        </w:rPr>
        <w:t>Appendix 1: Studies relating to EAR for Adults</w:t>
      </w:r>
      <w:r>
        <w:rPr>
          <w:noProof/>
        </w:rPr>
        <w:tab/>
      </w:r>
      <w:r>
        <w:rPr>
          <w:noProof/>
        </w:rPr>
        <w:fldChar w:fldCharType="begin"/>
      </w:r>
      <w:r>
        <w:rPr>
          <w:noProof/>
        </w:rPr>
        <w:instrText xml:space="preserve"> PAGEREF _Toc433621809 \h </w:instrText>
      </w:r>
      <w:r>
        <w:rPr>
          <w:noProof/>
        </w:rPr>
      </w:r>
      <w:r>
        <w:rPr>
          <w:noProof/>
        </w:rPr>
        <w:fldChar w:fldCharType="separate"/>
      </w:r>
      <w:r>
        <w:rPr>
          <w:noProof/>
        </w:rPr>
        <w:t>42</w:t>
      </w:r>
      <w:r>
        <w:rPr>
          <w:noProof/>
        </w:rPr>
        <w:fldChar w:fldCharType="end"/>
      </w:r>
    </w:p>
    <w:p w:rsidR="00A629F1" w:rsidRDefault="00A629F1">
      <w:pPr>
        <w:pStyle w:val="TOC2"/>
        <w:tabs>
          <w:tab w:val="left" w:pos="502"/>
          <w:tab w:val="right" w:leader="dot" w:pos="8290"/>
        </w:tabs>
        <w:rPr>
          <w:b w:val="0"/>
          <w:smallCaps w:val="0"/>
          <w:noProof/>
          <w:lang w:val="en-AU" w:eastAsia="en-AU"/>
        </w:rPr>
      </w:pPr>
      <w:r>
        <w:rPr>
          <w:noProof/>
        </w:rPr>
        <w:t>7.2</w:t>
      </w:r>
      <w:r>
        <w:rPr>
          <w:b w:val="0"/>
          <w:smallCaps w:val="0"/>
          <w:noProof/>
          <w:lang w:val="en-AU" w:eastAsia="en-AU"/>
        </w:rPr>
        <w:tab/>
      </w:r>
      <w:r>
        <w:rPr>
          <w:noProof/>
        </w:rPr>
        <w:t>Appendix 2: Studies relating to EAR for Pregnancy</w:t>
      </w:r>
      <w:r>
        <w:rPr>
          <w:noProof/>
        </w:rPr>
        <w:tab/>
      </w:r>
      <w:r>
        <w:rPr>
          <w:noProof/>
        </w:rPr>
        <w:fldChar w:fldCharType="begin"/>
      </w:r>
      <w:r>
        <w:rPr>
          <w:noProof/>
        </w:rPr>
        <w:instrText xml:space="preserve"> PAGEREF _Toc433621810 \h </w:instrText>
      </w:r>
      <w:r>
        <w:rPr>
          <w:noProof/>
        </w:rPr>
      </w:r>
      <w:r>
        <w:rPr>
          <w:noProof/>
        </w:rPr>
        <w:fldChar w:fldCharType="separate"/>
      </w:r>
      <w:r>
        <w:rPr>
          <w:noProof/>
        </w:rPr>
        <w:t>56</w:t>
      </w:r>
      <w:r>
        <w:rPr>
          <w:noProof/>
        </w:rPr>
        <w:fldChar w:fldCharType="end"/>
      </w:r>
    </w:p>
    <w:p w:rsidR="00A629F1" w:rsidRDefault="00A629F1">
      <w:pPr>
        <w:pStyle w:val="TOC2"/>
        <w:tabs>
          <w:tab w:val="left" w:pos="502"/>
          <w:tab w:val="right" w:leader="dot" w:pos="8290"/>
        </w:tabs>
        <w:rPr>
          <w:b w:val="0"/>
          <w:smallCaps w:val="0"/>
          <w:noProof/>
          <w:lang w:val="en-AU" w:eastAsia="en-AU"/>
        </w:rPr>
      </w:pPr>
      <w:r>
        <w:rPr>
          <w:noProof/>
        </w:rPr>
        <w:t>7.3</w:t>
      </w:r>
      <w:r>
        <w:rPr>
          <w:b w:val="0"/>
          <w:smallCaps w:val="0"/>
          <w:noProof/>
          <w:lang w:val="en-AU" w:eastAsia="en-AU"/>
        </w:rPr>
        <w:tab/>
      </w:r>
      <w:r>
        <w:rPr>
          <w:noProof/>
        </w:rPr>
        <w:t>Appendix 3: Studies relating to UL for Children</w:t>
      </w:r>
      <w:r>
        <w:rPr>
          <w:noProof/>
        </w:rPr>
        <w:tab/>
      </w:r>
      <w:r>
        <w:rPr>
          <w:noProof/>
        </w:rPr>
        <w:fldChar w:fldCharType="begin"/>
      </w:r>
      <w:r>
        <w:rPr>
          <w:noProof/>
        </w:rPr>
        <w:instrText xml:space="preserve"> PAGEREF _Toc433621811 \h </w:instrText>
      </w:r>
      <w:r>
        <w:rPr>
          <w:noProof/>
        </w:rPr>
      </w:r>
      <w:r>
        <w:rPr>
          <w:noProof/>
        </w:rPr>
        <w:fldChar w:fldCharType="separate"/>
      </w:r>
      <w:r>
        <w:rPr>
          <w:noProof/>
        </w:rPr>
        <w:t>92</w:t>
      </w:r>
      <w:r>
        <w:rPr>
          <w:noProof/>
        </w:rPr>
        <w:fldChar w:fldCharType="end"/>
      </w:r>
    </w:p>
    <w:p w:rsidR="00A629F1" w:rsidRDefault="00A629F1">
      <w:pPr>
        <w:pStyle w:val="TOC2"/>
        <w:tabs>
          <w:tab w:val="left" w:pos="502"/>
          <w:tab w:val="right" w:leader="dot" w:pos="8290"/>
        </w:tabs>
        <w:rPr>
          <w:b w:val="0"/>
          <w:smallCaps w:val="0"/>
          <w:noProof/>
          <w:lang w:val="en-AU" w:eastAsia="en-AU"/>
        </w:rPr>
      </w:pPr>
      <w:r>
        <w:rPr>
          <w:noProof/>
        </w:rPr>
        <w:t>7.4</w:t>
      </w:r>
      <w:r>
        <w:rPr>
          <w:b w:val="0"/>
          <w:smallCaps w:val="0"/>
          <w:noProof/>
          <w:lang w:val="en-AU" w:eastAsia="en-AU"/>
        </w:rPr>
        <w:tab/>
      </w:r>
      <w:r>
        <w:rPr>
          <w:noProof/>
        </w:rPr>
        <w:t>Appendix 4: Membership of groups and committees involved in the development process</w:t>
      </w:r>
      <w:r>
        <w:rPr>
          <w:noProof/>
        </w:rPr>
        <w:tab/>
      </w:r>
      <w:r>
        <w:rPr>
          <w:noProof/>
        </w:rPr>
        <w:fldChar w:fldCharType="begin"/>
      </w:r>
      <w:r>
        <w:rPr>
          <w:noProof/>
        </w:rPr>
        <w:instrText xml:space="preserve"> PAGEREF _Toc433621812 \h </w:instrText>
      </w:r>
      <w:r>
        <w:rPr>
          <w:noProof/>
        </w:rPr>
      </w:r>
      <w:r>
        <w:rPr>
          <w:noProof/>
        </w:rPr>
        <w:fldChar w:fldCharType="separate"/>
      </w:r>
      <w:r>
        <w:rPr>
          <w:noProof/>
        </w:rPr>
        <w:t>111</w:t>
      </w:r>
      <w:r>
        <w:rPr>
          <w:noProof/>
        </w:rPr>
        <w:fldChar w:fldCharType="end"/>
      </w:r>
    </w:p>
    <w:p w:rsidR="00A629F1" w:rsidRDefault="00A629F1">
      <w:pPr>
        <w:pStyle w:val="TOC3"/>
        <w:tabs>
          <w:tab w:val="left" w:pos="666"/>
          <w:tab w:val="right" w:leader="dot" w:pos="8290"/>
        </w:tabs>
        <w:rPr>
          <w:smallCaps w:val="0"/>
          <w:noProof/>
          <w:lang w:val="en-AU" w:eastAsia="en-AU"/>
        </w:rPr>
      </w:pPr>
      <w:r>
        <w:rPr>
          <w:noProof/>
          <w:lang w:eastAsia="ar-SA"/>
        </w:rPr>
        <w:t>7.4.1</w:t>
      </w:r>
      <w:r>
        <w:rPr>
          <w:smallCaps w:val="0"/>
          <w:noProof/>
          <w:lang w:val="en-AU" w:eastAsia="en-AU"/>
        </w:rPr>
        <w:tab/>
      </w:r>
      <w:r>
        <w:rPr>
          <w:noProof/>
          <w:lang w:eastAsia="ar-SA"/>
        </w:rPr>
        <w:t>Membership of the Nutrient Reference Values Steering Group</w:t>
      </w:r>
      <w:r>
        <w:rPr>
          <w:noProof/>
        </w:rPr>
        <w:tab/>
      </w:r>
      <w:r>
        <w:rPr>
          <w:noProof/>
        </w:rPr>
        <w:fldChar w:fldCharType="begin"/>
      </w:r>
      <w:r>
        <w:rPr>
          <w:noProof/>
        </w:rPr>
        <w:instrText xml:space="preserve"> PAGEREF _Toc433621813 \h </w:instrText>
      </w:r>
      <w:r>
        <w:rPr>
          <w:noProof/>
        </w:rPr>
      </w:r>
      <w:r>
        <w:rPr>
          <w:noProof/>
        </w:rPr>
        <w:fldChar w:fldCharType="separate"/>
      </w:r>
      <w:r>
        <w:rPr>
          <w:noProof/>
        </w:rPr>
        <w:t>111</w:t>
      </w:r>
      <w:r>
        <w:rPr>
          <w:noProof/>
        </w:rPr>
        <w:fldChar w:fldCharType="end"/>
      </w:r>
    </w:p>
    <w:p w:rsidR="00A629F1" w:rsidRDefault="00A629F1">
      <w:pPr>
        <w:pStyle w:val="TOC3"/>
        <w:tabs>
          <w:tab w:val="left" w:pos="666"/>
          <w:tab w:val="right" w:leader="dot" w:pos="8290"/>
        </w:tabs>
        <w:rPr>
          <w:smallCaps w:val="0"/>
          <w:noProof/>
          <w:lang w:val="en-AU" w:eastAsia="en-AU"/>
        </w:rPr>
      </w:pPr>
      <w:r>
        <w:rPr>
          <w:noProof/>
          <w:lang w:eastAsia="ar-SA"/>
        </w:rPr>
        <w:t>7.4.2</w:t>
      </w:r>
      <w:r>
        <w:rPr>
          <w:smallCaps w:val="0"/>
          <w:noProof/>
          <w:lang w:val="en-AU" w:eastAsia="en-AU"/>
        </w:rPr>
        <w:tab/>
      </w:r>
      <w:r>
        <w:rPr>
          <w:noProof/>
          <w:lang w:eastAsia="ar-SA"/>
        </w:rPr>
        <w:t>Membership of the Nutrient Reference Values Advisory Committee</w:t>
      </w:r>
      <w:r>
        <w:rPr>
          <w:noProof/>
        </w:rPr>
        <w:tab/>
      </w:r>
      <w:r>
        <w:rPr>
          <w:noProof/>
        </w:rPr>
        <w:fldChar w:fldCharType="begin"/>
      </w:r>
      <w:r>
        <w:rPr>
          <w:noProof/>
        </w:rPr>
        <w:instrText xml:space="preserve"> PAGEREF _Toc433621814 \h </w:instrText>
      </w:r>
      <w:r>
        <w:rPr>
          <w:noProof/>
        </w:rPr>
      </w:r>
      <w:r>
        <w:rPr>
          <w:noProof/>
        </w:rPr>
        <w:fldChar w:fldCharType="separate"/>
      </w:r>
      <w:r>
        <w:rPr>
          <w:noProof/>
        </w:rPr>
        <w:t>111</w:t>
      </w:r>
      <w:r>
        <w:rPr>
          <w:noProof/>
        </w:rPr>
        <w:fldChar w:fldCharType="end"/>
      </w:r>
    </w:p>
    <w:p w:rsidR="00A629F1" w:rsidRDefault="00A629F1">
      <w:pPr>
        <w:pStyle w:val="TOC3"/>
        <w:tabs>
          <w:tab w:val="left" w:pos="666"/>
          <w:tab w:val="right" w:leader="dot" w:pos="8290"/>
        </w:tabs>
        <w:rPr>
          <w:smallCaps w:val="0"/>
          <w:noProof/>
          <w:lang w:val="en-AU" w:eastAsia="en-AU"/>
        </w:rPr>
      </w:pPr>
      <w:r>
        <w:rPr>
          <w:noProof/>
          <w:lang w:eastAsia="ar-SA"/>
        </w:rPr>
        <w:t>7.4.3</w:t>
      </w:r>
      <w:r>
        <w:rPr>
          <w:smallCaps w:val="0"/>
          <w:noProof/>
          <w:lang w:val="en-AU" w:eastAsia="en-AU"/>
        </w:rPr>
        <w:tab/>
      </w:r>
      <w:r>
        <w:rPr>
          <w:noProof/>
          <w:lang w:eastAsia="ar-SA"/>
        </w:rPr>
        <w:t>Membership of the Nutrient Reference Values Iodine Expert Working Group</w:t>
      </w:r>
      <w:r>
        <w:rPr>
          <w:noProof/>
        </w:rPr>
        <w:tab/>
      </w:r>
      <w:r>
        <w:rPr>
          <w:noProof/>
        </w:rPr>
        <w:fldChar w:fldCharType="begin"/>
      </w:r>
      <w:r>
        <w:rPr>
          <w:noProof/>
        </w:rPr>
        <w:instrText xml:space="preserve"> PAGEREF _Toc433621815 \h </w:instrText>
      </w:r>
      <w:r>
        <w:rPr>
          <w:noProof/>
        </w:rPr>
      </w:r>
      <w:r>
        <w:rPr>
          <w:noProof/>
        </w:rPr>
        <w:fldChar w:fldCharType="separate"/>
      </w:r>
      <w:r>
        <w:rPr>
          <w:noProof/>
        </w:rPr>
        <w:t>111</w:t>
      </w:r>
      <w:r>
        <w:rPr>
          <w:noProof/>
        </w:rPr>
        <w:fldChar w:fldCharType="end"/>
      </w:r>
    </w:p>
    <w:p w:rsidR="00A629F1" w:rsidRDefault="00A629F1">
      <w:pPr>
        <w:pStyle w:val="TOC1"/>
        <w:rPr>
          <w:b w:val="0"/>
          <w:caps w:val="0"/>
          <w:noProof/>
          <w:lang w:val="en-AU" w:eastAsia="en-AU"/>
        </w:rPr>
      </w:pPr>
      <w:r>
        <w:rPr>
          <w:noProof/>
        </w:rPr>
        <w:t>8</w:t>
      </w:r>
      <w:r>
        <w:rPr>
          <w:b w:val="0"/>
          <w:caps w:val="0"/>
          <w:noProof/>
          <w:lang w:val="en-AU" w:eastAsia="en-AU"/>
        </w:rPr>
        <w:tab/>
      </w:r>
      <w:r>
        <w:rPr>
          <w:noProof/>
        </w:rPr>
        <w:t>Abbreviations and Glossary</w:t>
      </w:r>
      <w:r>
        <w:rPr>
          <w:noProof/>
        </w:rPr>
        <w:tab/>
      </w:r>
      <w:r>
        <w:rPr>
          <w:noProof/>
        </w:rPr>
        <w:fldChar w:fldCharType="begin"/>
      </w:r>
      <w:r>
        <w:rPr>
          <w:noProof/>
        </w:rPr>
        <w:instrText xml:space="preserve"> PAGEREF _Toc433621816 \h </w:instrText>
      </w:r>
      <w:r>
        <w:rPr>
          <w:noProof/>
        </w:rPr>
      </w:r>
      <w:r>
        <w:rPr>
          <w:noProof/>
        </w:rPr>
        <w:fldChar w:fldCharType="separate"/>
      </w:r>
      <w:r>
        <w:rPr>
          <w:noProof/>
        </w:rPr>
        <w:t>113</w:t>
      </w:r>
      <w:r>
        <w:rPr>
          <w:noProof/>
        </w:rPr>
        <w:fldChar w:fldCharType="end"/>
      </w:r>
    </w:p>
    <w:p w:rsidR="00A629F1" w:rsidRDefault="00A629F1">
      <w:pPr>
        <w:pStyle w:val="TOC2"/>
        <w:tabs>
          <w:tab w:val="left" w:pos="502"/>
          <w:tab w:val="right" w:leader="dot" w:pos="8290"/>
        </w:tabs>
        <w:rPr>
          <w:b w:val="0"/>
          <w:smallCaps w:val="0"/>
          <w:noProof/>
          <w:lang w:val="en-AU" w:eastAsia="en-AU"/>
        </w:rPr>
      </w:pPr>
      <w:r>
        <w:rPr>
          <w:noProof/>
        </w:rPr>
        <w:t>8.1</w:t>
      </w:r>
      <w:r>
        <w:rPr>
          <w:b w:val="0"/>
          <w:smallCaps w:val="0"/>
          <w:noProof/>
          <w:lang w:val="en-AU" w:eastAsia="en-AU"/>
        </w:rPr>
        <w:tab/>
      </w:r>
      <w:r>
        <w:rPr>
          <w:noProof/>
        </w:rPr>
        <w:t>Abbreviations</w:t>
      </w:r>
      <w:r>
        <w:rPr>
          <w:noProof/>
        </w:rPr>
        <w:tab/>
      </w:r>
      <w:r>
        <w:rPr>
          <w:noProof/>
        </w:rPr>
        <w:fldChar w:fldCharType="begin"/>
      </w:r>
      <w:r>
        <w:rPr>
          <w:noProof/>
        </w:rPr>
        <w:instrText xml:space="preserve"> PAGEREF _Toc433621817 \h </w:instrText>
      </w:r>
      <w:r>
        <w:rPr>
          <w:noProof/>
        </w:rPr>
      </w:r>
      <w:r>
        <w:rPr>
          <w:noProof/>
        </w:rPr>
        <w:fldChar w:fldCharType="separate"/>
      </w:r>
      <w:r>
        <w:rPr>
          <w:noProof/>
        </w:rPr>
        <w:t>113</w:t>
      </w:r>
      <w:r>
        <w:rPr>
          <w:noProof/>
        </w:rPr>
        <w:fldChar w:fldCharType="end"/>
      </w:r>
    </w:p>
    <w:p w:rsidR="00A629F1" w:rsidRDefault="00A629F1">
      <w:pPr>
        <w:pStyle w:val="TOC2"/>
        <w:tabs>
          <w:tab w:val="left" w:pos="502"/>
          <w:tab w:val="right" w:leader="dot" w:pos="8290"/>
        </w:tabs>
        <w:rPr>
          <w:b w:val="0"/>
          <w:smallCaps w:val="0"/>
          <w:noProof/>
          <w:lang w:val="en-AU" w:eastAsia="en-AU"/>
        </w:rPr>
      </w:pPr>
      <w:r>
        <w:rPr>
          <w:noProof/>
        </w:rPr>
        <w:t>8.2</w:t>
      </w:r>
      <w:r>
        <w:rPr>
          <w:b w:val="0"/>
          <w:smallCaps w:val="0"/>
          <w:noProof/>
          <w:lang w:val="en-AU" w:eastAsia="en-AU"/>
        </w:rPr>
        <w:tab/>
      </w:r>
      <w:r>
        <w:rPr>
          <w:noProof/>
        </w:rPr>
        <w:t>Glossary</w:t>
      </w:r>
      <w:r>
        <w:rPr>
          <w:noProof/>
        </w:rPr>
        <w:tab/>
      </w:r>
      <w:r>
        <w:rPr>
          <w:noProof/>
        </w:rPr>
        <w:fldChar w:fldCharType="begin"/>
      </w:r>
      <w:r>
        <w:rPr>
          <w:noProof/>
        </w:rPr>
        <w:instrText xml:space="preserve"> PAGEREF _Toc433621818 \h </w:instrText>
      </w:r>
      <w:r>
        <w:rPr>
          <w:noProof/>
        </w:rPr>
      </w:r>
      <w:r>
        <w:rPr>
          <w:noProof/>
        </w:rPr>
        <w:fldChar w:fldCharType="separate"/>
      </w:r>
      <w:r>
        <w:rPr>
          <w:noProof/>
        </w:rPr>
        <w:t>114</w:t>
      </w:r>
      <w:r>
        <w:rPr>
          <w:noProof/>
        </w:rPr>
        <w:fldChar w:fldCharType="end"/>
      </w:r>
    </w:p>
    <w:p w:rsidR="00A629F1" w:rsidRDefault="00A629F1">
      <w:pPr>
        <w:pStyle w:val="TOC1"/>
        <w:rPr>
          <w:b w:val="0"/>
          <w:caps w:val="0"/>
          <w:noProof/>
          <w:lang w:val="en-AU" w:eastAsia="en-AU"/>
        </w:rPr>
      </w:pPr>
      <w:r>
        <w:rPr>
          <w:noProof/>
        </w:rPr>
        <w:t>9</w:t>
      </w:r>
      <w:r>
        <w:rPr>
          <w:b w:val="0"/>
          <w:caps w:val="0"/>
          <w:noProof/>
          <w:lang w:val="en-AU" w:eastAsia="en-AU"/>
        </w:rPr>
        <w:tab/>
      </w:r>
      <w:r>
        <w:rPr>
          <w:noProof/>
        </w:rPr>
        <w:t>References</w:t>
      </w:r>
      <w:r>
        <w:rPr>
          <w:noProof/>
        </w:rPr>
        <w:tab/>
      </w:r>
      <w:r>
        <w:rPr>
          <w:noProof/>
        </w:rPr>
        <w:fldChar w:fldCharType="begin"/>
      </w:r>
      <w:r>
        <w:rPr>
          <w:noProof/>
        </w:rPr>
        <w:instrText xml:space="preserve"> PAGEREF _Toc433621819 \h </w:instrText>
      </w:r>
      <w:r>
        <w:rPr>
          <w:noProof/>
        </w:rPr>
      </w:r>
      <w:r>
        <w:rPr>
          <w:noProof/>
        </w:rPr>
        <w:fldChar w:fldCharType="separate"/>
      </w:r>
      <w:r>
        <w:rPr>
          <w:noProof/>
        </w:rPr>
        <w:t>117</w:t>
      </w:r>
      <w:r>
        <w:rPr>
          <w:noProof/>
        </w:rPr>
        <w:fldChar w:fldCharType="end"/>
      </w:r>
    </w:p>
    <w:p w:rsidR="00383C19" w:rsidRDefault="00EA6F40" w:rsidP="00383C19">
      <w:r w:rsidRPr="00AC73C6">
        <w:fldChar w:fldCharType="end"/>
      </w:r>
      <w:r w:rsidR="00383C19">
        <w:br w:type="page"/>
      </w:r>
    </w:p>
    <w:p w:rsidR="00E912F8" w:rsidRDefault="00E912F8" w:rsidP="000A4E22">
      <w:pPr>
        <w:pStyle w:val="Heading1"/>
      </w:pPr>
      <w:bookmarkStart w:id="85" w:name="_Toc433621771"/>
      <w:r>
        <w:lastRenderedPageBreak/>
        <w:t>Executive Summary</w:t>
      </w:r>
      <w:bookmarkEnd w:id="85"/>
    </w:p>
    <w:p w:rsidR="00EA6F40" w:rsidRPr="00C875F5" w:rsidRDefault="00EA6F40" w:rsidP="0013546C">
      <w:pPr>
        <w:pStyle w:val="Thesisnormal0"/>
      </w:pPr>
      <w:r w:rsidRPr="005317D1">
        <w:t>The Nutrient Reference Values (NRVs) are a set of recommended nutrient intakes used to assess dietary requirements of individuals and population groups.  The current NRVs for Australia and New Zealand were published in 2006 (NHMRC 2006) after a comprehensive review process of the Recommended Dietary Intakes commissioned by the Australian Government Department of Health (Aus DoH) and the New Zealand Ministry of Health (NZ MoH). The National Health and Medical Research Council (NHMRC) who carried out the review recommended that these be reviewed every five years.  In 2011 Aus DoH, in consultation with the NZ MoH, commissioned a scoping study for undertaking a review of the NRVs, which resulted in the development of a Methodological Framework for the review by Nous and a consortium of experts (Nous Group 2013).  The purpose of the present review is to test this framework on three nutrients, sodium, fluoride, and iodine; the focus of this report is iodine</w:t>
      </w:r>
      <w:r>
        <w:t>.</w:t>
      </w:r>
    </w:p>
    <w:p w:rsidR="00EA6F40" w:rsidRPr="00C875F5" w:rsidRDefault="00EA6F40" w:rsidP="0013546C">
      <w:pPr>
        <w:pStyle w:val="Thesisnormal0"/>
      </w:pPr>
      <w:r w:rsidRPr="00C875F5">
        <w:t>Iodine is an essential nutrient for all mammals as an integral component of the pro-hormone thyroxine (T</w:t>
      </w:r>
      <w:r w:rsidRPr="00C875F5">
        <w:rPr>
          <w:vertAlign w:val="subscript"/>
        </w:rPr>
        <w:t>4</w:t>
      </w:r>
      <w:r w:rsidRPr="00C875F5">
        <w:t>) and the more potent active form 3,5,3’ tri-iodothyronine (T</w:t>
      </w:r>
      <w:r w:rsidRPr="00C875F5">
        <w:rPr>
          <w:vertAlign w:val="subscript"/>
        </w:rPr>
        <w:t>3</w:t>
      </w:r>
      <w:r w:rsidRPr="00C875F5">
        <w:t>), a key regulator of important cellular processes</w:t>
      </w:r>
      <w:r>
        <w:t xml:space="preserve">.  </w:t>
      </w:r>
      <w:r w:rsidRPr="00C875F5">
        <w:t>Iodine deficiency results in a wide range of disorders, collectively termed ‘iodine deficiency disorders’ (IDD), including goitre, hypothyroidism, impairment of mental and physical development, and cretinism.</w:t>
      </w:r>
    </w:p>
    <w:p w:rsidR="00EA6F40" w:rsidRPr="00C875F5" w:rsidRDefault="00EA6F40" w:rsidP="0013546C">
      <w:pPr>
        <w:pStyle w:val="Thesisnormal0"/>
      </w:pPr>
      <w:r w:rsidRPr="00C875F5">
        <w:t>In New Zealand and Australia</w:t>
      </w:r>
      <w:r>
        <w:t>,</w:t>
      </w:r>
      <w:r w:rsidRPr="00C875F5">
        <w:t xml:space="preserve"> endemic goitre in the early part of the 20</w:t>
      </w:r>
      <w:r w:rsidRPr="002652A1">
        <w:t>th</w:t>
      </w:r>
      <w:r w:rsidRPr="00C875F5">
        <w:t xml:space="preserve"> century was due to very low levels of iodine in the soils.</w:t>
      </w:r>
      <w:r>
        <w:t xml:space="preserve">  </w:t>
      </w:r>
      <w:r w:rsidRPr="00C875F5">
        <w:t>Iodisation of salt, assisted by iodine contamination of dairy products through the use of iodophors as cleaning agents in the dairy industry, resulted in a reduction of goitre incidence and adequate iodine status from the 1960s to 1980s.</w:t>
      </w:r>
      <w:r>
        <w:t xml:space="preserve">  </w:t>
      </w:r>
      <w:r w:rsidRPr="00C875F5">
        <w:t xml:space="preserve">A re-emergence of mild iodine deficiency in New Zealand and Australia was observed in the 1990s that coincided with </w:t>
      </w:r>
      <w:r>
        <w:t xml:space="preserve">a </w:t>
      </w:r>
      <w:r w:rsidRPr="00C875F5">
        <w:t>reduction in the use of iodophors and in the use of iodised salt. A new public policy on food fortification was developed to correct iodine deficiency, and mandatory fortification of bread with iodised salt in both Australia (October 2009) and New Zealand (September 2009) was implemented. Iodine status has increased in both countries as a result of fortification.</w:t>
      </w:r>
    </w:p>
    <w:p w:rsidR="00EA6F40" w:rsidRPr="00C875F5" w:rsidRDefault="00EA6F40" w:rsidP="0013546C">
      <w:pPr>
        <w:pStyle w:val="Thesisnormal0"/>
      </w:pPr>
      <w:r w:rsidRPr="00C875F5">
        <w:t xml:space="preserve">The Methodological Framework set out a number of steps to be followed in the process of the review including: </w:t>
      </w:r>
    </w:p>
    <w:p w:rsidR="00EA6F40" w:rsidRPr="00C875F5" w:rsidRDefault="00EA6F40" w:rsidP="002652A1">
      <w:pPr>
        <w:rPr>
          <w:sz w:val="24"/>
        </w:rPr>
      </w:pPr>
      <w:r w:rsidRPr="00E912F8">
        <w:rPr>
          <w:rStyle w:val="IntenseEmphasis"/>
        </w:rPr>
        <w:t>1. Define the question</w:t>
      </w:r>
      <w:r w:rsidRPr="00C875F5">
        <w:rPr>
          <w:i/>
          <w:sz w:val="24"/>
        </w:rPr>
        <w:t xml:space="preserve">: </w:t>
      </w:r>
      <w:r>
        <w:rPr>
          <w:i/>
          <w:sz w:val="24"/>
        </w:rPr>
        <w:t xml:space="preserve"> </w:t>
      </w:r>
      <w:r w:rsidRPr="00C875F5">
        <w:rPr>
          <w:sz w:val="24"/>
        </w:rPr>
        <w:t>The Expert Working Group (EWG) for iodine established a number of questions for the review of iodine NRVs.</w:t>
      </w:r>
      <w:r>
        <w:rPr>
          <w:sz w:val="24"/>
        </w:rPr>
        <w:t xml:space="preserve">  </w:t>
      </w:r>
      <w:r w:rsidRPr="00C875F5">
        <w:rPr>
          <w:sz w:val="24"/>
        </w:rPr>
        <w:t xml:space="preserve">Since the purpose of the review was primarily to test the methodological framework and the timeframe was limited, the EWG chose to review the following NRVs only: </w:t>
      </w:r>
    </w:p>
    <w:p w:rsidR="00EA6F40" w:rsidRPr="00C875F5" w:rsidRDefault="00EA6F40" w:rsidP="00EA6F40">
      <w:pPr>
        <w:pStyle w:val="ListParagraph"/>
        <w:numPr>
          <w:ilvl w:val="0"/>
          <w:numId w:val="20"/>
        </w:numPr>
        <w:spacing w:after="0" w:line="360" w:lineRule="auto"/>
        <w:rPr>
          <w:sz w:val="24"/>
        </w:rPr>
      </w:pPr>
      <w:r w:rsidRPr="00C875F5">
        <w:rPr>
          <w:sz w:val="24"/>
        </w:rPr>
        <w:t>Estimated Average Requirement (EAR) Recommended Dietary Intake (RDI) for healthy adults</w:t>
      </w:r>
      <w:r>
        <w:rPr>
          <w:sz w:val="24"/>
        </w:rPr>
        <w:t>.</w:t>
      </w:r>
    </w:p>
    <w:p w:rsidR="00EA6F40" w:rsidRPr="00C875F5" w:rsidRDefault="00EA6F40" w:rsidP="00EA6F40">
      <w:pPr>
        <w:pStyle w:val="ListParagraph"/>
        <w:numPr>
          <w:ilvl w:val="0"/>
          <w:numId w:val="20"/>
        </w:numPr>
        <w:spacing w:after="0" w:line="360" w:lineRule="auto"/>
        <w:rPr>
          <w:sz w:val="24"/>
        </w:rPr>
      </w:pPr>
      <w:r w:rsidRPr="00C875F5">
        <w:rPr>
          <w:sz w:val="24"/>
        </w:rPr>
        <w:t>EAR and RDI for healthy pregnant women</w:t>
      </w:r>
      <w:r>
        <w:rPr>
          <w:sz w:val="24"/>
        </w:rPr>
        <w:t>.</w:t>
      </w:r>
    </w:p>
    <w:p w:rsidR="00EA6F40" w:rsidRPr="00C875F5" w:rsidRDefault="00EA6F40" w:rsidP="00EA6F40">
      <w:pPr>
        <w:pStyle w:val="ListParagraph"/>
        <w:numPr>
          <w:ilvl w:val="0"/>
          <w:numId w:val="20"/>
        </w:numPr>
        <w:spacing w:after="0" w:line="360" w:lineRule="auto"/>
        <w:rPr>
          <w:sz w:val="24"/>
        </w:rPr>
      </w:pPr>
      <w:r w:rsidRPr="00C875F5">
        <w:rPr>
          <w:sz w:val="24"/>
        </w:rPr>
        <w:t>Upper Levels of Intake (UL) for children</w:t>
      </w:r>
      <w:r>
        <w:rPr>
          <w:sz w:val="24"/>
        </w:rPr>
        <w:t>.</w:t>
      </w:r>
      <w:r w:rsidRPr="00C875F5">
        <w:rPr>
          <w:sz w:val="24"/>
        </w:rPr>
        <w:t xml:space="preserve"> </w:t>
      </w:r>
    </w:p>
    <w:p w:rsidR="00EA6F40" w:rsidRPr="00C875F5" w:rsidRDefault="00EA6F40" w:rsidP="002652A1">
      <w:pPr>
        <w:rPr>
          <w:sz w:val="24"/>
        </w:rPr>
      </w:pPr>
      <w:r w:rsidRPr="00E912F8">
        <w:rPr>
          <w:rStyle w:val="IntenseEmphasis"/>
        </w:rPr>
        <w:lastRenderedPageBreak/>
        <w:t>2. Selection of biomarkers</w:t>
      </w:r>
      <w:r w:rsidRPr="002652A1">
        <w:rPr>
          <w:sz w:val="24"/>
        </w:rPr>
        <w:t xml:space="preserve">:  </w:t>
      </w:r>
      <w:r w:rsidRPr="00C875F5">
        <w:rPr>
          <w:sz w:val="24"/>
        </w:rPr>
        <w:t>Biomarkers included urinary iodine concentration (UIC), thyroid function (thyroid volume, thyroid hormones, thyroid stimulating hormone (TSH), thyroglobulin (Tg), radioactive iodine uptake), and brain function (development and cognition).</w:t>
      </w:r>
    </w:p>
    <w:p w:rsidR="00EA6F40" w:rsidRPr="00C875F5" w:rsidRDefault="00EA6F40" w:rsidP="002652A1">
      <w:pPr>
        <w:rPr>
          <w:sz w:val="24"/>
        </w:rPr>
      </w:pPr>
      <w:r w:rsidRPr="00E912F8">
        <w:rPr>
          <w:rStyle w:val="IntenseEmphasis"/>
        </w:rPr>
        <w:t>3. Selection of evidence</w:t>
      </w:r>
      <w:r w:rsidRPr="00C875F5">
        <w:rPr>
          <w:i/>
          <w:sz w:val="24"/>
        </w:rPr>
        <w:t>:</w:t>
      </w:r>
      <w:r>
        <w:rPr>
          <w:i/>
          <w:sz w:val="24"/>
        </w:rPr>
        <w:t xml:space="preserve"> </w:t>
      </w:r>
      <w:r w:rsidRPr="00C875F5">
        <w:rPr>
          <w:i/>
          <w:sz w:val="24"/>
        </w:rPr>
        <w:t xml:space="preserve"> </w:t>
      </w:r>
      <w:r w:rsidRPr="00C875F5">
        <w:rPr>
          <w:sz w:val="24"/>
        </w:rPr>
        <w:t xml:space="preserve">The NRVs for </w:t>
      </w:r>
      <w:r>
        <w:rPr>
          <w:sz w:val="24"/>
        </w:rPr>
        <w:t>i</w:t>
      </w:r>
      <w:r w:rsidRPr="00C875F5">
        <w:rPr>
          <w:sz w:val="24"/>
        </w:rPr>
        <w:t xml:space="preserve">odine were last reviewed by Thomson in 2002 (Thomson, 2003) (later incorporated into the 2006 NRVs (NHMRC 2006). Therefore </w:t>
      </w:r>
      <w:r>
        <w:rPr>
          <w:sz w:val="24"/>
        </w:rPr>
        <w:t xml:space="preserve">this report </w:t>
      </w:r>
      <w:r w:rsidRPr="00C875F5">
        <w:rPr>
          <w:sz w:val="24"/>
        </w:rPr>
        <w:t xml:space="preserve">only </w:t>
      </w:r>
      <w:r>
        <w:rPr>
          <w:sz w:val="24"/>
        </w:rPr>
        <w:t xml:space="preserve">includes </w:t>
      </w:r>
      <w:r w:rsidRPr="00C875F5">
        <w:rPr>
          <w:sz w:val="24"/>
        </w:rPr>
        <w:t>original studies published since 2002. International reviews and other expert group reports were also considered.</w:t>
      </w:r>
    </w:p>
    <w:p w:rsidR="00EA6F40" w:rsidRPr="00C875F5" w:rsidRDefault="00EA6F40" w:rsidP="0013546C">
      <w:pPr>
        <w:pStyle w:val="Thesisnormal0"/>
        <w:rPr>
          <w:lang w:val="en-GB"/>
        </w:rPr>
      </w:pPr>
      <w:r w:rsidRPr="00E912F8">
        <w:rPr>
          <w:rStyle w:val="IntenseEmphasis"/>
        </w:rPr>
        <w:t>4. Assessing the quality of evidence</w:t>
      </w:r>
      <w:r w:rsidRPr="00C875F5">
        <w:rPr>
          <w:i/>
        </w:rPr>
        <w:t xml:space="preserve">: </w:t>
      </w:r>
      <w:r>
        <w:rPr>
          <w:i/>
        </w:rPr>
        <w:t xml:space="preserve"> </w:t>
      </w:r>
      <w:r w:rsidRPr="00C875F5">
        <w:rPr>
          <w:lang w:val="en-GB"/>
        </w:rPr>
        <w:t xml:space="preserve">Evidence was assessed according to the </w:t>
      </w:r>
      <w:r>
        <w:rPr>
          <w:lang w:val="en-GB"/>
        </w:rPr>
        <w:t xml:space="preserve">guidelines of the </w:t>
      </w:r>
      <w:r w:rsidRPr="00C875F5">
        <w:rPr>
          <w:lang w:val="en-GB"/>
        </w:rPr>
        <w:t>NHMRC (2009) and the body of evidence given a grade of recommendation.</w:t>
      </w:r>
    </w:p>
    <w:p w:rsidR="00EA6F40" w:rsidRPr="00C875F5" w:rsidRDefault="00EA6F40" w:rsidP="0013546C">
      <w:pPr>
        <w:pStyle w:val="Thesisnormal0"/>
        <w:rPr>
          <w:lang w:val="en-GB"/>
        </w:rPr>
      </w:pPr>
      <w:r>
        <w:rPr>
          <w:lang w:val="en-GB"/>
        </w:rPr>
        <w:t xml:space="preserve">5. </w:t>
      </w:r>
      <w:r w:rsidRPr="00C875F5">
        <w:rPr>
          <w:lang w:val="en-GB"/>
        </w:rPr>
        <w:t>Derivation of the NRV recommendations:</w:t>
      </w:r>
    </w:p>
    <w:p w:rsidR="00EA6F40" w:rsidRPr="00F2754E" w:rsidRDefault="00EA6F40" w:rsidP="0013546C">
      <w:pPr>
        <w:pStyle w:val="Thesisnormal0"/>
      </w:pPr>
      <w:r w:rsidRPr="00E912F8">
        <w:rPr>
          <w:rStyle w:val="Strong"/>
        </w:rPr>
        <w:t>EAR and RDI for healthy adults</w:t>
      </w:r>
      <w:r w:rsidRPr="00C875F5">
        <w:rPr>
          <w:b/>
          <w:lang w:val="en-GB"/>
        </w:rPr>
        <w:t>:</w:t>
      </w:r>
      <w:r>
        <w:rPr>
          <w:b/>
          <w:lang w:val="en-GB"/>
        </w:rPr>
        <w:t xml:space="preserve"> </w:t>
      </w:r>
      <w:r>
        <w:rPr>
          <w:i/>
          <w:lang w:val="en-GB"/>
        </w:rPr>
        <w:t xml:space="preserve"> </w:t>
      </w:r>
      <w:r w:rsidRPr="00C875F5">
        <w:t>The EWG concluded that the most recent studies on iodine status and thyroid function in adults (i.e., published between 2002-201</w:t>
      </w:r>
      <w:r>
        <w:t>4</w:t>
      </w:r>
      <w:r w:rsidRPr="00C875F5">
        <w:t xml:space="preserve">) did not present any new evidence and </w:t>
      </w:r>
      <w:r>
        <w:t xml:space="preserve">that </w:t>
      </w:r>
      <w:r w:rsidRPr="00C875F5">
        <w:t>the current EAR (100 µg/day) and RDI (150 µg/day) should remain unchanged.</w:t>
      </w:r>
    </w:p>
    <w:p w:rsidR="00EA6F40" w:rsidRPr="00C875F5" w:rsidRDefault="00E912F8" w:rsidP="00AE0695">
      <w:pPr>
        <w:pStyle w:val="Caption"/>
      </w:pPr>
      <w:r>
        <w:t xml:space="preserve">Table </w:t>
      </w:r>
      <w:r w:rsidR="00CA2AA1">
        <w:fldChar w:fldCharType="begin"/>
      </w:r>
      <w:r w:rsidR="00CA2AA1">
        <w:instrText xml:space="preserve"> STYLEREF 1 \s </w:instrText>
      </w:r>
      <w:r w:rsidR="00CA2AA1">
        <w:fldChar w:fldCharType="separate"/>
      </w:r>
      <w:r w:rsidR="00CA2AA1">
        <w:rPr>
          <w:noProof/>
        </w:rPr>
        <w:t>1</w:t>
      </w:r>
      <w:r w:rsidR="00CA2AA1">
        <w:fldChar w:fldCharType="end"/>
      </w:r>
      <w:r w:rsidR="00CA2AA1">
        <w:t>:</w:t>
      </w:r>
      <w:r w:rsidR="00CA2AA1">
        <w:fldChar w:fldCharType="begin"/>
      </w:r>
      <w:r w:rsidR="00CA2AA1">
        <w:instrText xml:space="preserve"> SEQ Table \* ARABIC \s 1 </w:instrText>
      </w:r>
      <w:r w:rsidR="00CA2AA1">
        <w:fldChar w:fldCharType="separate"/>
      </w:r>
      <w:r w:rsidR="00CA2AA1">
        <w:rPr>
          <w:noProof/>
        </w:rPr>
        <w:t>1</w:t>
      </w:r>
      <w:r w:rsidR="00CA2AA1">
        <w:fldChar w:fldCharType="end"/>
      </w:r>
      <w:r>
        <w:t xml:space="preserve"> </w:t>
      </w:r>
      <w:r w:rsidR="00EA6F40" w:rsidRPr="00C875F5">
        <w:t>Recommended EAR and RDI for iodine for adults 19 years and older</w:t>
      </w:r>
      <w:r w:rsidR="00EA6F40">
        <w:t>.</w:t>
      </w:r>
    </w:p>
    <w:tbl>
      <w:tblPr>
        <w:tblStyle w:val="TableGrid"/>
        <w:tblW w:w="804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Description w:val="Table 1.1 contain 3 column headings; column 1. Men and Women (year groups), column 2. Estimated Average Requirement (EAR) and column 3. Recommended Dietary Intake  (RDI) against the recommended EAR and RDI for iodine for adults 19 years and older."/>
      </w:tblPr>
      <w:tblGrid>
        <w:gridCol w:w="2943"/>
        <w:gridCol w:w="2500"/>
        <w:gridCol w:w="2603"/>
      </w:tblGrid>
      <w:tr w:rsidR="00EA6F40" w:rsidRPr="00BA5093" w:rsidTr="0057015E">
        <w:trPr>
          <w:trHeight w:val="567"/>
          <w:tblHeader/>
        </w:trPr>
        <w:tc>
          <w:tcPr>
            <w:tcW w:w="0" w:type="auto"/>
            <w:vAlign w:val="center"/>
          </w:tcPr>
          <w:p w:rsidR="00EA6F40" w:rsidRPr="00BA5093" w:rsidRDefault="00EA6F40" w:rsidP="00EA6F40">
            <w:pPr>
              <w:rPr>
                <w:rStyle w:val="Strong"/>
              </w:rPr>
            </w:pPr>
            <w:r w:rsidRPr="00BA5093">
              <w:rPr>
                <w:rStyle w:val="Strong"/>
              </w:rPr>
              <w:t>Men and Women</w:t>
            </w:r>
          </w:p>
        </w:tc>
        <w:tc>
          <w:tcPr>
            <w:tcW w:w="0" w:type="auto"/>
            <w:vAlign w:val="center"/>
          </w:tcPr>
          <w:p w:rsidR="00EA6F40" w:rsidRPr="00BA5093" w:rsidRDefault="00EA6F40" w:rsidP="00EA6F40">
            <w:pPr>
              <w:rPr>
                <w:rStyle w:val="Strong"/>
              </w:rPr>
            </w:pPr>
            <w:r w:rsidRPr="00BA5093">
              <w:rPr>
                <w:rStyle w:val="Strong"/>
              </w:rPr>
              <w:t>EAR</w:t>
            </w:r>
          </w:p>
        </w:tc>
        <w:tc>
          <w:tcPr>
            <w:tcW w:w="0" w:type="auto"/>
            <w:vAlign w:val="center"/>
          </w:tcPr>
          <w:p w:rsidR="00EA6F40" w:rsidRPr="00BA5093" w:rsidRDefault="00EA6F40" w:rsidP="00EA6F40">
            <w:pPr>
              <w:rPr>
                <w:rStyle w:val="Strong"/>
              </w:rPr>
            </w:pPr>
            <w:r w:rsidRPr="00BA5093">
              <w:rPr>
                <w:rStyle w:val="Strong"/>
              </w:rPr>
              <w:t>RDI</w:t>
            </w:r>
          </w:p>
        </w:tc>
      </w:tr>
      <w:tr w:rsidR="00EA6F40" w:rsidRPr="00C875F5" w:rsidTr="00974F73">
        <w:trPr>
          <w:trHeight w:val="567"/>
        </w:trPr>
        <w:tc>
          <w:tcPr>
            <w:tcW w:w="2943" w:type="dxa"/>
            <w:vAlign w:val="center"/>
          </w:tcPr>
          <w:p w:rsidR="00EA6F40" w:rsidRPr="00C875F5" w:rsidRDefault="00EA6F40" w:rsidP="00BA5093">
            <w:pPr>
              <w:ind w:left="180"/>
              <w:rPr>
                <w:sz w:val="24"/>
              </w:rPr>
            </w:pPr>
            <w:r w:rsidRPr="00C875F5">
              <w:rPr>
                <w:sz w:val="24"/>
              </w:rPr>
              <w:t>19-30 years</w:t>
            </w:r>
          </w:p>
        </w:tc>
        <w:tc>
          <w:tcPr>
            <w:tcW w:w="2500" w:type="dxa"/>
            <w:vAlign w:val="center"/>
          </w:tcPr>
          <w:p w:rsidR="00EA6F40" w:rsidRPr="00C875F5" w:rsidRDefault="00EA6F40" w:rsidP="00DF4575">
            <w:pPr>
              <w:ind w:left="117"/>
              <w:rPr>
                <w:sz w:val="24"/>
              </w:rPr>
            </w:pPr>
            <w:r w:rsidRPr="00C875F5">
              <w:rPr>
                <w:sz w:val="24"/>
              </w:rPr>
              <w:t>100 μg/day</w:t>
            </w:r>
          </w:p>
        </w:tc>
        <w:tc>
          <w:tcPr>
            <w:tcW w:w="2603" w:type="dxa"/>
            <w:vAlign w:val="center"/>
          </w:tcPr>
          <w:p w:rsidR="00EA6F40" w:rsidRPr="00C875F5" w:rsidRDefault="00DF4575" w:rsidP="00BA5093">
            <w:pPr>
              <w:ind w:left="137"/>
              <w:rPr>
                <w:sz w:val="24"/>
              </w:rPr>
            </w:pPr>
            <w:r>
              <w:rPr>
                <w:sz w:val="24"/>
              </w:rPr>
              <w:t>150 μg/day</w:t>
            </w:r>
          </w:p>
        </w:tc>
      </w:tr>
      <w:tr w:rsidR="00EA6F40" w:rsidRPr="00C875F5" w:rsidTr="00974F73">
        <w:trPr>
          <w:trHeight w:val="567"/>
        </w:trPr>
        <w:tc>
          <w:tcPr>
            <w:tcW w:w="2943" w:type="dxa"/>
            <w:vAlign w:val="center"/>
          </w:tcPr>
          <w:p w:rsidR="00EA6F40" w:rsidRPr="00C875F5" w:rsidRDefault="00EA6F40" w:rsidP="00BA5093">
            <w:pPr>
              <w:ind w:left="180"/>
              <w:rPr>
                <w:sz w:val="24"/>
              </w:rPr>
            </w:pPr>
            <w:r w:rsidRPr="00C875F5">
              <w:rPr>
                <w:sz w:val="24"/>
              </w:rPr>
              <w:t>31-50 years</w:t>
            </w:r>
          </w:p>
        </w:tc>
        <w:tc>
          <w:tcPr>
            <w:tcW w:w="2500" w:type="dxa"/>
            <w:vAlign w:val="center"/>
          </w:tcPr>
          <w:p w:rsidR="00EA6F40" w:rsidRPr="00C875F5" w:rsidRDefault="00EA6F40" w:rsidP="00DF4575">
            <w:pPr>
              <w:ind w:left="117"/>
              <w:rPr>
                <w:sz w:val="24"/>
              </w:rPr>
            </w:pPr>
            <w:r w:rsidRPr="00C875F5">
              <w:rPr>
                <w:sz w:val="24"/>
              </w:rPr>
              <w:t>100 μg/day</w:t>
            </w:r>
          </w:p>
        </w:tc>
        <w:tc>
          <w:tcPr>
            <w:tcW w:w="2603" w:type="dxa"/>
            <w:vAlign w:val="center"/>
          </w:tcPr>
          <w:p w:rsidR="00EA6F40" w:rsidRPr="00C875F5" w:rsidRDefault="00EA6F40" w:rsidP="00DF4575">
            <w:pPr>
              <w:ind w:left="137"/>
              <w:rPr>
                <w:sz w:val="24"/>
              </w:rPr>
            </w:pPr>
            <w:r w:rsidRPr="00C875F5">
              <w:rPr>
                <w:sz w:val="24"/>
              </w:rPr>
              <w:t>150 μg/day</w:t>
            </w:r>
          </w:p>
        </w:tc>
      </w:tr>
      <w:tr w:rsidR="00EA6F40" w:rsidRPr="00C875F5" w:rsidTr="00974F73">
        <w:trPr>
          <w:trHeight w:val="567"/>
        </w:trPr>
        <w:tc>
          <w:tcPr>
            <w:tcW w:w="2943" w:type="dxa"/>
            <w:vAlign w:val="center"/>
          </w:tcPr>
          <w:p w:rsidR="00EA6F40" w:rsidRPr="00C875F5" w:rsidRDefault="00EA6F40" w:rsidP="00BA5093">
            <w:pPr>
              <w:ind w:left="180"/>
              <w:rPr>
                <w:sz w:val="24"/>
              </w:rPr>
            </w:pPr>
            <w:r w:rsidRPr="00C875F5">
              <w:rPr>
                <w:sz w:val="24"/>
              </w:rPr>
              <w:t>5</w:t>
            </w:r>
            <w:r>
              <w:rPr>
                <w:sz w:val="24"/>
              </w:rPr>
              <w:t>1</w:t>
            </w:r>
            <w:r w:rsidRPr="00C875F5">
              <w:rPr>
                <w:sz w:val="24"/>
              </w:rPr>
              <w:t>-70 years</w:t>
            </w:r>
          </w:p>
        </w:tc>
        <w:tc>
          <w:tcPr>
            <w:tcW w:w="2500" w:type="dxa"/>
            <w:vAlign w:val="center"/>
          </w:tcPr>
          <w:p w:rsidR="00EA6F40" w:rsidRPr="00C875F5" w:rsidRDefault="00EA6F40" w:rsidP="00DF4575">
            <w:pPr>
              <w:ind w:left="117"/>
              <w:rPr>
                <w:sz w:val="24"/>
              </w:rPr>
            </w:pPr>
            <w:r w:rsidRPr="00C875F5">
              <w:rPr>
                <w:sz w:val="24"/>
              </w:rPr>
              <w:t>100 μg/day</w:t>
            </w:r>
          </w:p>
        </w:tc>
        <w:tc>
          <w:tcPr>
            <w:tcW w:w="2603" w:type="dxa"/>
            <w:vAlign w:val="center"/>
          </w:tcPr>
          <w:p w:rsidR="00EA6F40" w:rsidRPr="00C875F5" w:rsidRDefault="00EA6F40" w:rsidP="00DF4575">
            <w:pPr>
              <w:ind w:left="137"/>
              <w:rPr>
                <w:sz w:val="24"/>
              </w:rPr>
            </w:pPr>
            <w:r w:rsidRPr="00C875F5">
              <w:rPr>
                <w:sz w:val="24"/>
              </w:rPr>
              <w:t>150 μg/day</w:t>
            </w:r>
          </w:p>
        </w:tc>
      </w:tr>
      <w:tr w:rsidR="00EA6F40" w:rsidRPr="00C875F5" w:rsidTr="00974F73">
        <w:trPr>
          <w:trHeight w:val="567"/>
        </w:trPr>
        <w:tc>
          <w:tcPr>
            <w:tcW w:w="2943" w:type="dxa"/>
            <w:vAlign w:val="center"/>
          </w:tcPr>
          <w:p w:rsidR="00EA6F40" w:rsidRPr="00C875F5" w:rsidRDefault="00EA6F40" w:rsidP="00BA5093">
            <w:pPr>
              <w:ind w:left="180"/>
              <w:rPr>
                <w:sz w:val="24"/>
              </w:rPr>
            </w:pPr>
            <w:r w:rsidRPr="00C875F5">
              <w:rPr>
                <w:sz w:val="24"/>
              </w:rPr>
              <w:t>&gt; 70 years</w:t>
            </w:r>
          </w:p>
        </w:tc>
        <w:tc>
          <w:tcPr>
            <w:tcW w:w="2500" w:type="dxa"/>
            <w:vAlign w:val="center"/>
          </w:tcPr>
          <w:p w:rsidR="00EA6F40" w:rsidRPr="00C875F5" w:rsidRDefault="00DF4575" w:rsidP="00BA5093">
            <w:pPr>
              <w:ind w:left="117"/>
              <w:rPr>
                <w:sz w:val="24"/>
              </w:rPr>
            </w:pPr>
            <w:r>
              <w:rPr>
                <w:sz w:val="24"/>
              </w:rPr>
              <w:t>100 μg/day</w:t>
            </w:r>
          </w:p>
        </w:tc>
        <w:tc>
          <w:tcPr>
            <w:tcW w:w="2603" w:type="dxa"/>
            <w:vAlign w:val="center"/>
          </w:tcPr>
          <w:p w:rsidR="00EA6F40" w:rsidRPr="00C875F5" w:rsidRDefault="00EA6F40" w:rsidP="00DF4575">
            <w:pPr>
              <w:ind w:left="137"/>
              <w:rPr>
                <w:sz w:val="24"/>
              </w:rPr>
            </w:pPr>
            <w:r w:rsidRPr="00C875F5">
              <w:rPr>
                <w:sz w:val="24"/>
              </w:rPr>
              <w:t>150 μg/day</w:t>
            </w:r>
          </w:p>
        </w:tc>
      </w:tr>
    </w:tbl>
    <w:p w:rsidR="00EA6F40" w:rsidRPr="00C875F5" w:rsidRDefault="00EA6F40" w:rsidP="0013546C">
      <w:pPr>
        <w:pStyle w:val="Thesisnormal0"/>
      </w:pPr>
      <w:r w:rsidRPr="00E912F8">
        <w:rPr>
          <w:rStyle w:val="Strong"/>
        </w:rPr>
        <w:t>EAR and RDI of healthy pregnant women</w:t>
      </w:r>
      <w:r w:rsidRPr="009C7EBC">
        <w:t>:</w:t>
      </w:r>
      <w:r>
        <w:rPr>
          <w:i/>
        </w:rPr>
        <w:t xml:space="preserve"> </w:t>
      </w:r>
      <w:r w:rsidRPr="00C875F5">
        <w:t>Studies relevant to cognitive outcomes in children, and maternal and infant biochemical indices that could be used to set or modify the EAR or RDI in pregnancy were considered. However</w:t>
      </w:r>
      <w:r>
        <w:t>,</w:t>
      </w:r>
      <w:r w:rsidRPr="00C875F5">
        <w:t xml:space="preserve"> the EWG concluded that there was insufficient new evidence to change the EAR and RDI set in 2006, and proposes to keep the current EAR (160 µg/day) and RDI (220 µg/day) for pregnant women.</w:t>
      </w:r>
    </w:p>
    <w:p w:rsidR="00EA6F40" w:rsidRPr="00C875F5" w:rsidRDefault="00E912F8" w:rsidP="00AE0695">
      <w:pPr>
        <w:pStyle w:val="Caption"/>
        <w:rPr>
          <w:sz w:val="24"/>
        </w:rPr>
      </w:pPr>
      <w:r>
        <w:t xml:space="preserve">Table </w:t>
      </w:r>
      <w:r w:rsidR="00CA2AA1">
        <w:fldChar w:fldCharType="begin"/>
      </w:r>
      <w:r w:rsidR="00CA2AA1">
        <w:instrText xml:space="preserve"> STYLEREF 1 \s </w:instrText>
      </w:r>
      <w:r w:rsidR="00CA2AA1">
        <w:fldChar w:fldCharType="separate"/>
      </w:r>
      <w:r w:rsidR="00CA2AA1">
        <w:rPr>
          <w:noProof/>
        </w:rPr>
        <w:t>1</w:t>
      </w:r>
      <w:r w:rsidR="00CA2AA1">
        <w:fldChar w:fldCharType="end"/>
      </w:r>
      <w:r w:rsidR="00CA2AA1">
        <w:t>:</w:t>
      </w:r>
      <w:r w:rsidR="00CA2AA1">
        <w:fldChar w:fldCharType="begin"/>
      </w:r>
      <w:r w:rsidR="00CA2AA1">
        <w:instrText xml:space="preserve"> SEQ Table \* ARABIC \s 1 </w:instrText>
      </w:r>
      <w:r w:rsidR="00CA2AA1">
        <w:fldChar w:fldCharType="separate"/>
      </w:r>
      <w:r w:rsidR="00CA2AA1">
        <w:rPr>
          <w:noProof/>
        </w:rPr>
        <w:t>2</w:t>
      </w:r>
      <w:r w:rsidR="00CA2AA1">
        <w:fldChar w:fldCharType="end"/>
      </w:r>
      <w:r w:rsidR="00EA6F40" w:rsidRPr="00C875F5">
        <w:rPr>
          <w:sz w:val="24"/>
        </w:rPr>
        <w:t xml:space="preserve"> Recommended EAR and RDI for pregnant women</w:t>
      </w:r>
    </w:p>
    <w:tbl>
      <w:tblPr>
        <w:tblStyle w:val="TableGrid"/>
        <w:tblW w:w="54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Description w:val="Table 1.2 contains 2 column headings; column 1. categories and coulmn 2. micrograms per day against the recommended Estimated Average Requirement (EAR) and Recommended Dietary Intake (RDI) for pregnant women."/>
      </w:tblPr>
      <w:tblGrid>
        <w:gridCol w:w="2943"/>
        <w:gridCol w:w="2500"/>
      </w:tblGrid>
      <w:tr w:rsidR="002652A1" w:rsidRPr="00BA5093" w:rsidTr="00E912F8">
        <w:trPr>
          <w:trHeight w:val="567"/>
          <w:tblHeader/>
        </w:trPr>
        <w:tc>
          <w:tcPr>
            <w:tcW w:w="2943" w:type="dxa"/>
            <w:vAlign w:val="center"/>
          </w:tcPr>
          <w:p w:rsidR="002652A1" w:rsidRPr="00BA5093" w:rsidRDefault="002652A1" w:rsidP="00BA5093">
            <w:pPr>
              <w:rPr>
                <w:rStyle w:val="Strong"/>
              </w:rPr>
            </w:pPr>
            <w:r w:rsidRPr="00BA5093">
              <w:rPr>
                <w:rStyle w:val="Strong"/>
              </w:rPr>
              <w:t>Category</w:t>
            </w:r>
          </w:p>
        </w:tc>
        <w:tc>
          <w:tcPr>
            <w:tcW w:w="2500" w:type="dxa"/>
            <w:vAlign w:val="center"/>
          </w:tcPr>
          <w:p w:rsidR="002652A1" w:rsidRPr="00BA5093" w:rsidRDefault="00BA5093" w:rsidP="00BA5093">
            <w:pPr>
              <w:rPr>
                <w:rStyle w:val="Strong"/>
              </w:rPr>
            </w:pPr>
            <w:r w:rsidRPr="00BA5093">
              <w:rPr>
                <w:rStyle w:val="Strong"/>
              </w:rPr>
              <w:t>Microgram (μg) per day</w:t>
            </w:r>
          </w:p>
        </w:tc>
      </w:tr>
      <w:tr w:rsidR="00EA6F40" w:rsidRPr="00C875F5" w:rsidTr="00E912F8">
        <w:trPr>
          <w:trHeight w:val="567"/>
        </w:trPr>
        <w:tc>
          <w:tcPr>
            <w:tcW w:w="2943" w:type="dxa"/>
            <w:vAlign w:val="center"/>
          </w:tcPr>
          <w:p w:rsidR="00EA6F40" w:rsidRPr="00BA5093" w:rsidRDefault="00EA6F40" w:rsidP="00BA5093">
            <w:pPr>
              <w:rPr>
                <w:rStyle w:val="Strong"/>
              </w:rPr>
            </w:pPr>
            <w:r w:rsidRPr="00BA5093">
              <w:rPr>
                <w:rStyle w:val="Strong"/>
              </w:rPr>
              <w:t>EAR</w:t>
            </w:r>
          </w:p>
        </w:tc>
        <w:tc>
          <w:tcPr>
            <w:tcW w:w="2500" w:type="dxa"/>
            <w:vAlign w:val="center"/>
          </w:tcPr>
          <w:p w:rsidR="00EA6F40" w:rsidRPr="00C875F5" w:rsidRDefault="00EA6F40" w:rsidP="00BA5093">
            <w:pPr>
              <w:ind w:firstLine="117"/>
              <w:rPr>
                <w:sz w:val="24"/>
              </w:rPr>
            </w:pPr>
            <w:r w:rsidRPr="00C875F5">
              <w:rPr>
                <w:sz w:val="24"/>
              </w:rPr>
              <w:t xml:space="preserve">160 μg/day  </w:t>
            </w:r>
          </w:p>
        </w:tc>
      </w:tr>
      <w:tr w:rsidR="00EA6F40" w:rsidRPr="00C875F5" w:rsidTr="00E912F8">
        <w:trPr>
          <w:trHeight w:val="567"/>
        </w:trPr>
        <w:tc>
          <w:tcPr>
            <w:tcW w:w="2943" w:type="dxa"/>
            <w:vAlign w:val="center"/>
          </w:tcPr>
          <w:p w:rsidR="00EA6F40" w:rsidRPr="00BA5093" w:rsidRDefault="00EA6F40" w:rsidP="00BA5093">
            <w:pPr>
              <w:rPr>
                <w:rStyle w:val="Strong"/>
              </w:rPr>
            </w:pPr>
            <w:r w:rsidRPr="00BA5093">
              <w:rPr>
                <w:rStyle w:val="Strong"/>
              </w:rPr>
              <w:t>RDI</w:t>
            </w:r>
          </w:p>
        </w:tc>
        <w:tc>
          <w:tcPr>
            <w:tcW w:w="2500" w:type="dxa"/>
            <w:vAlign w:val="center"/>
          </w:tcPr>
          <w:p w:rsidR="00EA6F40" w:rsidRPr="00C875F5" w:rsidRDefault="00EA6F40" w:rsidP="00BA5093">
            <w:pPr>
              <w:ind w:firstLine="117"/>
              <w:rPr>
                <w:sz w:val="24"/>
              </w:rPr>
            </w:pPr>
            <w:r w:rsidRPr="00C875F5">
              <w:rPr>
                <w:sz w:val="24"/>
              </w:rPr>
              <w:t xml:space="preserve">220 μg/day </w:t>
            </w:r>
          </w:p>
        </w:tc>
      </w:tr>
    </w:tbl>
    <w:p w:rsidR="00EA6F40" w:rsidRPr="00C875F5" w:rsidRDefault="00EA6F40" w:rsidP="0013546C">
      <w:pPr>
        <w:pStyle w:val="Thesisnormal0"/>
      </w:pPr>
      <w:r w:rsidRPr="00E912F8">
        <w:rPr>
          <w:rStyle w:val="Strong"/>
        </w:rPr>
        <w:lastRenderedPageBreak/>
        <w:t>UL for children aged 1-3, 4-8, 9-13, 14-18 years</w:t>
      </w:r>
      <w:r w:rsidRPr="00C875F5">
        <w:rPr>
          <w:b/>
        </w:rPr>
        <w:t>:</w:t>
      </w:r>
      <w:r w:rsidRPr="00C875F5">
        <w:rPr>
          <w:i/>
        </w:rPr>
        <w:t xml:space="preserve"> </w:t>
      </w:r>
      <w:r w:rsidRPr="00C875F5">
        <w:t xml:space="preserve"> In view of very limited suitable data to define a dietary intake that corresponds to an adverse effect in thyroid function, the EWG chose </w:t>
      </w:r>
      <w:r>
        <w:t xml:space="preserve">to </w:t>
      </w:r>
      <w:r w:rsidRPr="00C875F5">
        <w:t xml:space="preserve">establish a series of Provisional Upper Levels of Intake in children. </w:t>
      </w:r>
      <w:r>
        <w:t xml:space="preserve"> </w:t>
      </w:r>
      <w:r w:rsidRPr="00C875F5">
        <w:t xml:space="preserve">One study provided a sound basis to determine a threshold dose for an increase in thyroid volume in response to excess dietary iodine (Zimmermann et al 2005). </w:t>
      </w:r>
      <w:r>
        <w:t xml:space="preserve"> </w:t>
      </w:r>
      <w:r w:rsidRPr="00C875F5">
        <w:t>Data in children aged between 6 and 12 years were used to establish a provisional UL for the age group 9-13 years and those for the other age groups were extrapolated from this value using the metabolic weight formula specified in the Methodological Framework (Nous Group 2013) and used for the NRVs 2006 (NHMRC 2006).</w:t>
      </w:r>
      <w:r w:rsidRPr="00C875F5">
        <w:rPr>
          <w:i/>
        </w:rPr>
        <w:t xml:space="preserve"> </w:t>
      </w:r>
    </w:p>
    <w:p w:rsidR="00EA6F40" w:rsidRPr="00C875F5" w:rsidRDefault="00E912F8" w:rsidP="00AE0695">
      <w:pPr>
        <w:pStyle w:val="Caption"/>
        <w:rPr>
          <w:sz w:val="24"/>
        </w:rPr>
      </w:pPr>
      <w:r>
        <w:t xml:space="preserve">Table </w:t>
      </w:r>
      <w:r w:rsidR="00CA2AA1">
        <w:fldChar w:fldCharType="begin"/>
      </w:r>
      <w:r w:rsidR="00CA2AA1">
        <w:instrText xml:space="preserve"> STYLEREF 1 \s </w:instrText>
      </w:r>
      <w:r w:rsidR="00CA2AA1">
        <w:fldChar w:fldCharType="separate"/>
      </w:r>
      <w:r w:rsidR="00CA2AA1">
        <w:rPr>
          <w:noProof/>
        </w:rPr>
        <w:t>1</w:t>
      </w:r>
      <w:r w:rsidR="00CA2AA1">
        <w:fldChar w:fldCharType="end"/>
      </w:r>
      <w:r w:rsidR="00CA2AA1">
        <w:t>:</w:t>
      </w:r>
      <w:r w:rsidR="00CA2AA1">
        <w:fldChar w:fldCharType="begin"/>
      </w:r>
      <w:r w:rsidR="00CA2AA1">
        <w:instrText xml:space="preserve"> SEQ Table \* ARABIC \s 1 </w:instrText>
      </w:r>
      <w:r w:rsidR="00CA2AA1">
        <w:fldChar w:fldCharType="separate"/>
      </w:r>
      <w:r w:rsidR="00CA2AA1">
        <w:rPr>
          <w:noProof/>
        </w:rPr>
        <w:t>3</w:t>
      </w:r>
      <w:r w:rsidR="00CA2AA1">
        <w:fldChar w:fldCharType="end"/>
      </w:r>
      <w:r w:rsidR="00EA6F40" w:rsidRPr="00C875F5">
        <w:rPr>
          <w:sz w:val="24"/>
        </w:rPr>
        <w:t xml:space="preserve"> Recommended Provisional UL for children 1-18 years</w:t>
      </w:r>
    </w:p>
    <w:tbl>
      <w:tblPr>
        <w:tblStyle w:val="TableGrid"/>
        <w:tblW w:w="5443"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Description w:val="Table 1.3 contants 2 column headings; column 1. Children (year groups) and column 2. provisional Upper Levels of Intake (UL) against the recommended Provisional UL for children 1-18 years."/>
      </w:tblPr>
      <w:tblGrid>
        <w:gridCol w:w="2943"/>
        <w:gridCol w:w="2500"/>
      </w:tblGrid>
      <w:tr w:rsidR="00EA6F40" w:rsidRPr="00DF4575" w:rsidTr="0057015E">
        <w:trPr>
          <w:trHeight w:val="567"/>
          <w:tblHeader/>
        </w:trPr>
        <w:tc>
          <w:tcPr>
            <w:tcW w:w="2943" w:type="dxa"/>
            <w:vAlign w:val="center"/>
          </w:tcPr>
          <w:p w:rsidR="00EA6F40" w:rsidRPr="00DF4575" w:rsidRDefault="00EA6F40" w:rsidP="00EA6F40">
            <w:pPr>
              <w:rPr>
                <w:rStyle w:val="Strong"/>
              </w:rPr>
            </w:pPr>
            <w:r w:rsidRPr="00DF4575">
              <w:rPr>
                <w:rStyle w:val="Strong"/>
              </w:rPr>
              <w:t>Children</w:t>
            </w:r>
          </w:p>
        </w:tc>
        <w:tc>
          <w:tcPr>
            <w:tcW w:w="2500" w:type="dxa"/>
            <w:vAlign w:val="center"/>
          </w:tcPr>
          <w:p w:rsidR="00EA6F40" w:rsidRPr="00DF4575" w:rsidRDefault="00EA6F40" w:rsidP="00EA6F40">
            <w:pPr>
              <w:rPr>
                <w:rStyle w:val="Strong"/>
              </w:rPr>
            </w:pPr>
            <w:r w:rsidRPr="00DF4575">
              <w:rPr>
                <w:rStyle w:val="Strong"/>
              </w:rPr>
              <w:t>Provisional UL</w:t>
            </w:r>
          </w:p>
        </w:tc>
      </w:tr>
      <w:tr w:rsidR="00EA6F40" w:rsidRPr="00C875F5" w:rsidTr="00974F73">
        <w:trPr>
          <w:trHeight w:val="567"/>
        </w:trPr>
        <w:tc>
          <w:tcPr>
            <w:tcW w:w="2943" w:type="dxa"/>
            <w:vAlign w:val="center"/>
          </w:tcPr>
          <w:p w:rsidR="00EA6F40" w:rsidRPr="00C875F5" w:rsidRDefault="00EA6F40" w:rsidP="00DF4575">
            <w:pPr>
              <w:ind w:left="180"/>
              <w:rPr>
                <w:sz w:val="24"/>
              </w:rPr>
            </w:pPr>
            <w:r w:rsidRPr="00C875F5">
              <w:rPr>
                <w:sz w:val="24"/>
              </w:rPr>
              <w:t>1-3 years</w:t>
            </w:r>
          </w:p>
        </w:tc>
        <w:tc>
          <w:tcPr>
            <w:tcW w:w="2500" w:type="dxa"/>
            <w:vAlign w:val="center"/>
          </w:tcPr>
          <w:p w:rsidR="00EA6F40" w:rsidRPr="00C875F5" w:rsidRDefault="00EA6F40" w:rsidP="00DF4575">
            <w:pPr>
              <w:rPr>
                <w:sz w:val="24"/>
              </w:rPr>
            </w:pPr>
            <w:r>
              <w:rPr>
                <w:sz w:val="24"/>
              </w:rPr>
              <w:t>250</w:t>
            </w:r>
            <w:r w:rsidRPr="00C875F5">
              <w:rPr>
                <w:sz w:val="24"/>
              </w:rPr>
              <w:t xml:space="preserve"> μg/day  </w:t>
            </w:r>
          </w:p>
        </w:tc>
      </w:tr>
      <w:tr w:rsidR="00EA6F40" w:rsidRPr="00C875F5" w:rsidTr="00974F73">
        <w:trPr>
          <w:trHeight w:val="567"/>
        </w:trPr>
        <w:tc>
          <w:tcPr>
            <w:tcW w:w="2943" w:type="dxa"/>
            <w:vAlign w:val="center"/>
          </w:tcPr>
          <w:p w:rsidR="00EA6F40" w:rsidRPr="00C875F5" w:rsidRDefault="00EA6F40" w:rsidP="00DF4575">
            <w:pPr>
              <w:ind w:left="180"/>
              <w:rPr>
                <w:sz w:val="24"/>
              </w:rPr>
            </w:pPr>
            <w:r w:rsidRPr="00C875F5">
              <w:rPr>
                <w:sz w:val="24"/>
              </w:rPr>
              <w:t>4-8 years</w:t>
            </w:r>
          </w:p>
        </w:tc>
        <w:tc>
          <w:tcPr>
            <w:tcW w:w="2500" w:type="dxa"/>
            <w:vAlign w:val="center"/>
          </w:tcPr>
          <w:p w:rsidR="00EA6F40" w:rsidRPr="00C875F5" w:rsidRDefault="00EA6F40" w:rsidP="00DF4575">
            <w:pPr>
              <w:rPr>
                <w:sz w:val="24"/>
              </w:rPr>
            </w:pPr>
            <w:r>
              <w:rPr>
                <w:sz w:val="24"/>
              </w:rPr>
              <w:t>350</w:t>
            </w:r>
            <w:r w:rsidRPr="00C875F5">
              <w:rPr>
                <w:sz w:val="24"/>
              </w:rPr>
              <w:t xml:space="preserve"> μg/day </w:t>
            </w:r>
          </w:p>
        </w:tc>
      </w:tr>
      <w:tr w:rsidR="00EA6F40" w:rsidRPr="00C875F5" w:rsidTr="00974F73">
        <w:trPr>
          <w:trHeight w:val="567"/>
        </w:trPr>
        <w:tc>
          <w:tcPr>
            <w:tcW w:w="2943" w:type="dxa"/>
            <w:vAlign w:val="center"/>
          </w:tcPr>
          <w:p w:rsidR="00EA6F40" w:rsidRPr="00C875F5" w:rsidRDefault="00EA6F40" w:rsidP="00DF4575">
            <w:pPr>
              <w:ind w:left="180"/>
              <w:rPr>
                <w:sz w:val="24"/>
              </w:rPr>
            </w:pPr>
            <w:r w:rsidRPr="00C875F5">
              <w:rPr>
                <w:sz w:val="24"/>
              </w:rPr>
              <w:t>9-13 years</w:t>
            </w:r>
          </w:p>
        </w:tc>
        <w:tc>
          <w:tcPr>
            <w:tcW w:w="2500" w:type="dxa"/>
            <w:vAlign w:val="center"/>
          </w:tcPr>
          <w:p w:rsidR="00EA6F40" w:rsidRPr="00C875F5" w:rsidRDefault="00EA6F40" w:rsidP="00DF4575">
            <w:pPr>
              <w:rPr>
                <w:sz w:val="24"/>
              </w:rPr>
            </w:pPr>
            <w:r w:rsidRPr="00C875F5">
              <w:rPr>
                <w:sz w:val="24"/>
              </w:rPr>
              <w:t xml:space="preserve">550 μg/day </w:t>
            </w:r>
          </w:p>
        </w:tc>
      </w:tr>
      <w:tr w:rsidR="00EA6F40" w:rsidRPr="00C875F5" w:rsidTr="00974F73">
        <w:trPr>
          <w:trHeight w:val="567"/>
        </w:trPr>
        <w:tc>
          <w:tcPr>
            <w:tcW w:w="2943" w:type="dxa"/>
            <w:vAlign w:val="center"/>
          </w:tcPr>
          <w:p w:rsidR="00EA6F40" w:rsidRPr="00C875F5" w:rsidRDefault="00EA6F40" w:rsidP="00DF4575">
            <w:pPr>
              <w:ind w:left="180"/>
              <w:rPr>
                <w:sz w:val="24"/>
              </w:rPr>
            </w:pPr>
            <w:r>
              <w:rPr>
                <w:sz w:val="24"/>
              </w:rPr>
              <w:t>14-18</w:t>
            </w:r>
            <w:r w:rsidRPr="00C875F5">
              <w:rPr>
                <w:sz w:val="24"/>
              </w:rPr>
              <w:t xml:space="preserve"> years</w:t>
            </w:r>
          </w:p>
        </w:tc>
        <w:tc>
          <w:tcPr>
            <w:tcW w:w="2500" w:type="dxa"/>
            <w:vAlign w:val="center"/>
          </w:tcPr>
          <w:p w:rsidR="00EA6F40" w:rsidRPr="00C875F5" w:rsidRDefault="00DF4575" w:rsidP="00DF4575">
            <w:pPr>
              <w:rPr>
                <w:sz w:val="24"/>
              </w:rPr>
            </w:pPr>
            <w:r>
              <w:rPr>
                <w:sz w:val="24"/>
              </w:rPr>
              <w:t>-</w:t>
            </w:r>
          </w:p>
        </w:tc>
      </w:tr>
      <w:tr w:rsidR="00EA6F40" w:rsidRPr="00C875F5" w:rsidTr="00974F73">
        <w:trPr>
          <w:trHeight w:val="567"/>
        </w:trPr>
        <w:tc>
          <w:tcPr>
            <w:tcW w:w="2943" w:type="dxa"/>
            <w:vAlign w:val="center"/>
          </w:tcPr>
          <w:p w:rsidR="00EA6F40" w:rsidRDefault="00EA6F40" w:rsidP="00DF4575">
            <w:pPr>
              <w:ind w:left="360"/>
              <w:rPr>
                <w:sz w:val="24"/>
              </w:rPr>
            </w:pPr>
            <w:r>
              <w:rPr>
                <w:sz w:val="24"/>
              </w:rPr>
              <w:t>Male</w:t>
            </w:r>
          </w:p>
        </w:tc>
        <w:tc>
          <w:tcPr>
            <w:tcW w:w="2500" w:type="dxa"/>
            <w:vAlign w:val="center"/>
          </w:tcPr>
          <w:p w:rsidR="00EA6F40" w:rsidRPr="00C875F5" w:rsidRDefault="00EA6F40" w:rsidP="00DF4575">
            <w:pPr>
              <w:rPr>
                <w:sz w:val="24"/>
              </w:rPr>
            </w:pPr>
            <w:r>
              <w:rPr>
                <w:sz w:val="24"/>
              </w:rPr>
              <w:t>800</w:t>
            </w:r>
            <w:r w:rsidRPr="00C875F5">
              <w:rPr>
                <w:sz w:val="24"/>
              </w:rPr>
              <w:t xml:space="preserve"> μg/day</w:t>
            </w:r>
          </w:p>
        </w:tc>
      </w:tr>
      <w:tr w:rsidR="00EA6F40" w:rsidRPr="00C875F5" w:rsidTr="00974F73">
        <w:trPr>
          <w:trHeight w:val="567"/>
        </w:trPr>
        <w:tc>
          <w:tcPr>
            <w:tcW w:w="2943" w:type="dxa"/>
            <w:vAlign w:val="center"/>
          </w:tcPr>
          <w:p w:rsidR="00EA6F40" w:rsidRDefault="00EA6F40" w:rsidP="00DF4575">
            <w:pPr>
              <w:ind w:left="360"/>
              <w:rPr>
                <w:sz w:val="24"/>
              </w:rPr>
            </w:pPr>
            <w:r>
              <w:rPr>
                <w:sz w:val="24"/>
              </w:rPr>
              <w:t>Females</w:t>
            </w:r>
          </w:p>
        </w:tc>
        <w:tc>
          <w:tcPr>
            <w:tcW w:w="2500" w:type="dxa"/>
            <w:vAlign w:val="center"/>
          </w:tcPr>
          <w:p w:rsidR="00EA6F40" w:rsidRPr="00C875F5" w:rsidRDefault="00EA6F40" w:rsidP="00DF4575">
            <w:pPr>
              <w:rPr>
                <w:sz w:val="24"/>
              </w:rPr>
            </w:pPr>
            <w:r>
              <w:rPr>
                <w:sz w:val="24"/>
              </w:rPr>
              <w:t xml:space="preserve">700 </w:t>
            </w:r>
            <w:r w:rsidRPr="00C875F5">
              <w:rPr>
                <w:sz w:val="24"/>
              </w:rPr>
              <w:t>μg/day</w:t>
            </w:r>
          </w:p>
        </w:tc>
      </w:tr>
    </w:tbl>
    <w:p w:rsidR="00EA6F40" w:rsidRPr="00DF4575" w:rsidRDefault="00EA6F40" w:rsidP="00725D4D">
      <w:pPr>
        <w:rPr>
          <w:sz w:val="24"/>
        </w:rPr>
      </w:pPr>
      <w:r w:rsidRPr="00725D4D">
        <w:rPr>
          <w:rFonts w:cs="Arial"/>
          <w:sz w:val="24"/>
        </w:rPr>
        <w:t>The EWG strongly recommends that future work needs to consider the remaining research questions generated, with the next priorities being: EAR and RDI for children, EAR and RDI for lactation, and U</w:t>
      </w:r>
      <w:r w:rsidR="00DF4575" w:rsidRPr="00725D4D">
        <w:rPr>
          <w:rFonts w:cs="Arial"/>
          <w:sz w:val="24"/>
        </w:rPr>
        <w:t>L for pregnancy and lactation.</w:t>
      </w:r>
      <w:r w:rsidRPr="00C875F5">
        <w:rPr>
          <w:b/>
          <w:bCs/>
        </w:rPr>
        <w:br w:type="page"/>
      </w:r>
    </w:p>
    <w:p w:rsidR="00EA6F40" w:rsidRPr="00E912F8" w:rsidRDefault="00EA6F40" w:rsidP="000A4E22">
      <w:pPr>
        <w:pStyle w:val="Heading1"/>
      </w:pPr>
      <w:bookmarkStart w:id="86" w:name="_Toc279228336"/>
      <w:bookmarkStart w:id="87" w:name="_Toc433621772"/>
      <w:r w:rsidRPr="00E912F8">
        <w:lastRenderedPageBreak/>
        <w:t>Summary of Recommendations</w:t>
      </w:r>
      <w:bookmarkEnd w:id="86"/>
      <w:bookmarkEnd w:id="87"/>
    </w:p>
    <w:p w:rsidR="00EA6F40" w:rsidRPr="00725D4D" w:rsidRDefault="00EA6F40" w:rsidP="00DF4575">
      <w:pPr>
        <w:rPr>
          <w:rFonts w:cs="Arial"/>
          <w:sz w:val="24"/>
        </w:rPr>
      </w:pPr>
      <w:r w:rsidRPr="00725D4D">
        <w:rPr>
          <w:rFonts w:cs="Arial"/>
          <w:sz w:val="24"/>
        </w:rPr>
        <w:t>Iodine is an essential nutrient as part of thyroid hormones, which are required for normal growth and metabolism. These hormones are important during early growth and development, in particular in the brain where they are essential for normal development of cognitive function.  Iodine deficiency results in a wide range of disorders (coined iodine deficiency disorders or IDD), including goitre, hypothyroidism and impairment of mental and physical development.</w:t>
      </w:r>
    </w:p>
    <w:p w:rsidR="00EA6F40" w:rsidRPr="00725D4D" w:rsidRDefault="00EA6F40" w:rsidP="00DF4575">
      <w:pPr>
        <w:rPr>
          <w:rFonts w:cs="Arial"/>
          <w:sz w:val="24"/>
        </w:rPr>
      </w:pPr>
      <w:r w:rsidRPr="00725D4D">
        <w:rPr>
          <w:rFonts w:cs="Arial"/>
          <w:sz w:val="24"/>
        </w:rPr>
        <w:t xml:space="preserve">This guideline includes the review of the EAR and RDI for adults and pregnant women and the UL for children and adolescents aged 1 to 18 years. </w:t>
      </w:r>
    </w:p>
    <w:p w:rsidR="00EA6F40" w:rsidRPr="00725D4D" w:rsidRDefault="00EA6F40" w:rsidP="00DF4575">
      <w:pPr>
        <w:rPr>
          <w:rFonts w:cs="Arial"/>
          <w:sz w:val="24"/>
        </w:rPr>
      </w:pPr>
      <w:r w:rsidRPr="00725D4D">
        <w:rPr>
          <w:rFonts w:cs="Arial"/>
          <w:sz w:val="24"/>
        </w:rPr>
        <w:t>The Iodine Expert Working Group (EWG) concluded that the most recent studies on iodine status and thyroid function in adults (ie published between 2002-2014) did not present any new evidence and that the current EAR (100 µg/day) and RDI (150µg/day) should remain unchanged from that set in 2006.</w:t>
      </w:r>
    </w:p>
    <w:p w:rsidR="00EA6F40" w:rsidRPr="00725D4D" w:rsidRDefault="00EA6F40" w:rsidP="00DF4575">
      <w:pPr>
        <w:rPr>
          <w:rFonts w:cs="Arial"/>
          <w:sz w:val="24"/>
        </w:rPr>
      </w:pPr>
      <w:r w:rsidRPr="00725D4D">
        <w:rPr>
          <w:rFonts w:cs="Arial"/>
          <w:sz w:val="24"/>
        </w:rPr>
        <w:t>For the EAR and RDI of pregnant women, the EWG considered studies of cognitive outcomes in children as well as maternal and infant biochemical indices. The EWG again concluded that there was insufficient new evidence to change the EAR and RDI set in 2006 and proposed to keep the current EAR (160µg/day) and RDI (220 µg/day).</w:t>
      </w:r>
    </w:p>
    <w:p w:rsidR="00EA6F40" w:rsidRPr="00725D4D" w:rsidRDefault="00EA6F40" w:rsidP="00DF4575">
      <w:pPr>
        <w:rPr>
          <w:rFonts w:cs="Arial"/>
          <w:sz w:val="24"/>
        </w:rPr>
      </w:pPr>
      <w:r w:rsidRPr="00725D4D">
        <w:rPr>
          <w:rFonts w:cs="Arial"/>
          <w:sz w:val="24"/>
        </w:rPr>
        <w:t>For the UL for children and adolescents, only one study was found that provided evidence of an adverse effect as a result of excess intake of iodine. This study was used to calculate a Provisional UL for children and 1-3 years (250 g/day), 4-8 years (350 µg/day), 9-13 years 550 µg/day), 14-18 years (male, 8</w:t>
      </w:r>
      <w:r w:rsidR="00547656">
        <w:rPr>
          <w:rFonts w:cs="Arial"/>
          <w:sz w:val="24"/>
        </w:rPr>
        <w:t>00 µg/day; female, 700 µg/day).</w:t>
      </w:r>
    </w:p>
    <w:p w:rsidR="00EA6F40" w:rsidRPr="00DF4575" w:rsidRDefault="00EA6F40" w:rsidP="00DF4575">
      <w:r w:rsidRPr="00725D4D">
        <w:rPr>
          <w:rFonts w:cs="Arial"/>
          <w:sz w:val="24"/>
        </w:rPr>
        <w:t>The EWG strongly recommended that the other NRVs should be reviewed, with priority given to EAR and RDI for children, EAR and RDI for lactation and ULs for pregnancy and lactation.</w:t>
      </w:r>
      <w:r>
        <w:rPr>
          <w:sz w:val="28"/>
          <w:szCs w:val="28"/>
        </w:rPr>
        <w:br w:type="page"/>
      </w:r>
    </w:p>
    <w:p w:rsidR="00EA6F40" w:rsidRPr="00725D4D" w:rsidRDefault="00EA6F40" w:rsidP="000A4E22">
      <w:pPr>
        <w:pStyle w:val="Heading1"/>
      </w:pPr>
      <w:bookmarkStart w:id="88" w:name="_Toc279228337"/>
      <w:bookmarkStart w:id="89" w:name="_Toc433621773"/>
      <w:r w:rsidRPr="00725D4D">
        <w:lastRenderedPageBreak/>
        <w:t>Introduction</w:t>
      </w:r>
      <w:bookmarkEnd w:id="88"/>
      <w:bookmarkEnd w:id="89"/>
    </w:p>
    <w:p w:rsidR="00EA6F40" w:rsidRPr="005D1761" w:rsidRDefault="00EA6F40" w:rsidP="000A4E22">
      <w:pPr>
        <w:pStyle w:val="Heading2"/>
      </w:pPr>
      <w:bookmarkStart w:id="90" w:name="_Toc279228338"/>
      <w:bookmarkStart w:id="91" w:name="_Toc433621774"/>
      <w:r w:rsidRPr="005D1761">
        <w:t>Background to Development of the Nutrient Reference Values</w:t>
      </w:r>
      <w:bookmarkEnd w:id="90"/>
      <w:bookmarkEnd w:id="91"/>
    </w:p>
    <w:p w:rsidR="00EA6F40" w:rsidRPr="00725D4D" w:rsidRDefault="00EA6F40" w:rsidP="00725D4D">
      <w:pPr>
        <w:rPr>
          <w:rFonts w:cs="Arial"/>
          <w:sz w:val="24"/>
        </w:rPr>
      </w:pPr>
      <w:r w:rsidRPr="00725D4D">
        <w:rPr>
          <w:rFonts w:cs="Arial"/>
          <w:sz w:val="24"/>
        </w:rPr>
        <w:t xml:space="preserve">Nutrient Reference Values (NRVs) are a set of recommended nutrient intakes designed to assist nutrition and health professionals assess the dietary requirements of individuals and groups.  Public health nutritionists, food legislators and the food industry also use the NRVs for dietary modelling and/or food labelling and food formulation. </w:t>
      </w:r>
    </w:p>
    <w:p w:rsidR="00EA6F40" w:rsidRPr="00725D4D" w:rsidRDefault="00EA6F40" w:rsidP="00725D4D">
      <w:pPr>
        <w:rPr>
          <w:rFonts w:cs="Arial"/>
          <w:sz w:val="24"/>
        </w:rPr>
      </w:pPr>
      <w:r w:rsidRPr="00725D4D">
        <w:rPr>
          <w:rFonts w:cs="Arial"/>
          <w:sz w:val="24"/>
        </w:rPr>
        <w:t>The current NRVs for Australia and New Zealand were published in 2006 after a comprehensive review process of the Recommended Dietary Intakes (the only type of nutrient reference value that had been produced at the time), commissioned by the Australian Government Department of Health (DoH) in conjunction with the New Zealand Ministry of Health (NZ MoH).</w:t>
      </w:r>
    </w:p>
    <w:p w:rsidR="00EA6F40" w:rsidRPr="00725D4D" w:rsidRDefault="00EA6F40" w:rsidP="00725D4D">
      <w:pPr>
        <w:rPr>
          <w:rFonts w:cs="Arial"/>
          <w:sz w:val="24"/>
        </w:rPr>
      </w:pPr>
      <w:r w:rsidRPr="00725D4D">
        <w:rPr>
          <w:rFonts w:cs="Arial"/>
          <w:sz w:val="24"/>
        </w:rPr>
        <w:t xml:space="preserve">The review resulted in a new set of recommendations known as the Nutrient Reference Values (NRVs) for Australia and New Zealand (2006). The National Health and Medical Research Council (NHMRC) carried out the 2006 review and recommended that these guidelines be reviewed every five years to ensure values remain relevant, appropriate and useful. </w:t>
      </w:r>
    </w:p>
    <w:p w:rsidR="00EA6F40" w:rsidRPr="00725D4D" w:rsidRDefault="00EA6F40" w:rsidP="00725D4D">
      <w:pPr>
        <w:rPr>
          <w:rFonts w:cs="Arial"/>
          <w:sz w:val="24"/>
        </w:rPr>
      </w:pPr>
      <w:r w:rsidRPr="00725D4D">
        <w:rPr>
          <w:rFonts w:cs="Arial"/>
          <w:sz w:val="24"/>
        </w:rPr>
        <w:t>In 2011 Aus DOH, in consultation with the NZ MoH, commissioned a scoping study to determine the need and scope for a review of NRVs. The scoping study considered developments in comparable countries, expert opinions, stakeholder consultation and public submissions. The scoping study concluded there was sufficient justification for conducting a review and as a result, Aus DoH and the NZ MoH engaged the Nous Group and a technical team led by Baker IDI to develop a Methodological Framework to guide future NRV reviews.</w:t>
      </w:r>
    </w:p>
    <w:p w:rsidR="00EA6F40" w:rsidRPr="00B22C37" w:rsidRDefault="00EA6F40" w:rsidP="00725D4D">
      <w:pPr>
        <w:rPr>
          <w:rFonts w:cs="Arial"/>
          <w:sz w:val="24"/>
        </w:rPr>
      </w:pPr>
      <w:r w:rsidRPr="00B22C37">
        <w:rPr>
          <w:rFonts w:cs="Arial"/>
          <w:sz w:val="24"/>
        </w:rPr>
        <w:t>A Steering Group is overseeing the review process and is responsible for all strategic, funding and technical decisions of the review.</w:t>
      </w:r>
      <w:r>
        <w:rPr>
          <w:rFonts w:cs="Arial"/>
          <w:sz w:val="24"/>
        </w:rPr>
        <w:t xml:space="preserve">  </w:t>
      </w:r>
      <w:r w:rsidRPr="00B22C37">
        <w:rPr>
          <w:rFonts w:cs="Arial"/>
          <w:sz w:val="24"/>
        </w:rPr>
        <w:t xml:space="preserve"> It consists of representatives from both funding agencies, </w:t>
      </w:r>
      <w:r>
        <w:rPr>
          <w:rFonts w:cs="Arial"/>
          <w:sz w:val="24"/>
        </w:rPr>
        <w:t>Aus DoH</w:t>
      </w:r>
      <w:r w:rsidRPr="00B22C37">
        <w:rPr>
          <w:rFonts w:cs="Arial"/>
          <w:sz w:val="24"/>
        </w:rPr>
        <w:t xml:space="preserve"> and the NZ MoH. </w:t>
      </w:r>
      <w:r>
        <w:rPr>
          <w:rFonts w:cs="Arial"/>
          <w:sz w:val="24"/>
        </w:rPr>
        <w:t xml:space="preserve"> </w:t>
      </w:r>
      <w:r w:rsidRPr="00B22C37">
        <w:rPr>
          <w:rFonts w:cs="Arial"/>
          <w:sz w:val="24"/>
        </w:rPr>
        <w:t>The Steering Group is also responsible for the ongoing monitoring of triggers for a new review, and ensuring nutrient reviews are conducted in a timely manner. Reviews are being conducted on a rolling basis to ensure NRVs remain relevant and appropriate.</w:t>
      </w:r>
      <w:r>
        <w:rPr>
          <w:rFonts w:cs="Arial"/>
          <w:sz w:val="24"/>
        </w:rPr>
        <w:t xml:space="preserve">  </w:t>
      </w:r>
      <w:r w:rsidRPr="00B22C37">
        <w:rPr>
          <w:rFonts w:cs="Arial"/>
          <w:sz w:val="24"/>
        </w:rPr>
        <w:t xml:space="preserve">The process complies with the </w:t>
      </w:r>
      <w:r w:rsidRPr="00B22C37">
        <w:rPr>
          <w:rFonts w:cs="Arial"/>
          <w:i/>
          <w:sz w:val="24"/>
        </w:rPr>
        <w:t xml:space="preserve">2011 </w:t>
      </w:r>
      <w:r w:rsidRPr="008D087E">
        <w:rPr>
          <w:rStyle w:val="Emphasis"/>
        </w:rPr>
        <w:t>NHMRC Procedures and requirements for meeting the 2011 NHMRC standard for clinical practice guidelines</w:t>
      </w:r>
      <w:r w:rsidRPr="00B22C37">
        <w:rPr>
          <w:rFonts w:cs="Arial"/>
          <w:i/>
          <w:sz w:val="24"/>
        </w:rPr>
        <w:t>.</w:t>
      </w:r>
      <w:r>
        <w:rPr>
          <w:rFonts w:cs="Arial"/>
          <w:i/>
          <w:sz w:val="24"/>
        </w:rPr>
        <w:t xml:space="preserve">  </w:t>
      </w:r>
      <w:r w:rsidRPr="00B22C37">
        <w:rPr>
          <w:rFonts w:cs="Arial"/>
          <w:sz w:val="24"/>
        </w:rPr>
        <w:t xml:space="preserve">The scoping study also identified the rationale and triggers for reviewing specific nutrients including changes or developments to NRVs in comparable OECD countries, emergence of new evidence, impact on public health priorities and/or concerns regarding the strength of the underlying methodology or evidence. </w:t>
      </w:r>
      <w:r>
        <w:rPr>
          <w:rFonts w:cs="Arial"/>
          <w:sz w:val="24"/>
        </w:rPr>
        <w:t xml:space="preserve"> Iodine</w:t>
      </w:r>
      <w:r w:rsidRPr="00B22C37">
        <w:rPr>
          <w:rFonts w:cs="Arial"/>
          <w:sz w:val="24"/>
        </w:rPr>
        <w:t xml:space="preserve"> was identified as a priority nutrient for review.</w:t>
      </w:r>
    </w:p>
    <w:p w:rsidR="00EA6F40" w:rsidRPr="00B22C37" w:rsidRDefault="00EA6F40" w:rsidP="00547656">
      <w:pPr>
        <w:rPr>
          <w:rFonts w:cs="Arial"/>
          <w:sz w:val="24"/>
        </w:rPr>
      </w:pPr>
      <w:r w:rsidRPr="00B22C37">
        <w:rPr>
          <w:rFonts w:cs="Arial"/>
          <w:sz w:val="24"/>
        </w:rPr>
        <w:t xml:space="preserve">The Steering Group has appointed an Advisory Committee as an expert reference and advisory group </w:t>
      </w:r>
      <w:r>
        <w:rPr>
          <w:rFonts w:cs="Arial"/>
          <w:sz w:val="24"/>
        </w:rPr>
        <w:t>that</w:t>
      </w:r>
      <w:r w:rsidRPr="00B22C37">
        <w:rPr>
          <w:rFonts w:cs="Arial"/>
          <w:sz w:val="24"/>
        </w:rPr>
        <w:t xml:space="preserve"> also acts as an independent moderator of nutrient recommendations.</w:t>
      </w:r>
      <w:r>
        <w:rPr>
          <w:rFonts w:cs="Arial"/>
          <w:sz w:val="24"/>
        </w:rPr>
        <w:t xml:space="preserve">  </w:t>
      </w:r>
      <w:r w:rsidRPr="00B22C37">
        <w:rPr>
          <w:rFonts w:cs="Arial"/>
          <w:sz w:val="24"/>
        </w:rPr>
        <w:t xml:space="preserve">The Advisory Committee comprises members with a broad range </w:t>
      </w:r>
      <w:r w:rsidRPr="00B22C37">
        <w:rPr>
          <w:rFonts w:cs="Arial"/>
          <w:sz w:val="24"/>
        </w:rPr>
        <w:lastRenderedPageBreak/>
        <w:t>of expertise, including experts in the areas of micronutrients, toxicology, public health, end user needs, research, chronic disease, nutrition and macronutrients.</w:t>
      </w:r>
    </w:p>
    <w:p w:rsidR="00EA6F40" w:rsidRDefault="00EA6F40" w:rsidP="00547656">
      <w:pPr>
        <w:rPr>
          <w:rFonts w:cs="Arial"/>
          <w:sz w:val="24"/>
        </w:rPr>
      </w:pPr>
      <w:r w:rsidRPr="00B22C37">
        <w:rPr>
          <w:rFonts w:cs="Arial"/>
          <w:sz w:val="24"/>
        </w:rPr>
        <w:t xml:space="preserve">The Steering Group (with the advice of the Advisory Committee), established a group of experts to conduct this </w:t>
      </w:r>
      <w:r>
        <w:rPr>
          <w:rFonts w:cs="Arial"/>
          <w:sz w:val="24"/>
        </w:rPr>
        <w:t>iodine</w:t>
      </w:r>
      <w:r w:rsidRPr="00B22C37">
        <w:rPr>
          <w:rFonts w:cs="Arial"/>
          <w:sz w:val="24"/>
        </w:rPr>
        <w:t xml:space="preserve"> review. </w:t>
      </w:r>
      <w:r>
        <w:rPr>
          <w:rFonts w:cs="Arial"/>
          <w:sz w:val="24"/>
        </w:rPr>
        <w:t xml:space="preserve"> </w:t>
      </w:r>
      <w:r w:rsidRPr="00B22C37">
        <w:rPr>
          <w:rFonts w:cs="Arial"/>
          <w:sz w:val="24"/>
        </w:rPr>
        <w:t xml:space="preserve">The </w:t>
      </w:r>
      <w:r>
        <w:rPr>
          <w:rFonts w:cs="Arial"/>
          <w:sz w:val="24"/>
        </w:rPr>
        <w:t>E</w:t>
      </w:r>
      <w:r w:rsidRPr="00B22C37">
        <w:rPr>
          <w:rFonts w:cs="Arial"/>
          <w:sz w:val="24"/>
        </w:rPr>
        <w:t xml:space="preserve">xpert </w:t>
      </w:r>
      <w:r>
        <w:rPr>
          <w:rFonts w:cs="Arial"/>
          <w:sz w:val="24"/>
        </w:rPr>
        <w:t>W</w:t>
      </w:r>
      <w:r w:rsidRPr="00B22C37">
        <w:rPr>
          <w:rFonts w:cs="Arial"/>
          <w:sz w:val="24"/>
        </w:rPr>
        <w:t xml:space="preserve">orking </w:t>
      </w:r>
      <w:r>
        <w:rPr>
          <w:rFonts w:cs="Arial"/>
          <w:sz w:val="24"/>
        </w:rPr>
        <w:t>G</w:t>
      </w:r>
      <w:r w:rsidRPr="00B22C37">
        <w:rPr>
          <w:rFonts w:cs="Arial"/>
          <w:sz w:val="24"/>
        </w:rPr>
        <w:t xml:space="preserve">roup </w:t>
      </w:r>
      <w:r>
        <w:rPr>
          <w:rFonts w:cs="Arial"/>
          <w:sz w:val="24"/>
        </w:rPr>
        <w:t xml:space="preserve">(EWG) </w:t>
      </w:r>
      <w:r w:rsidRPr="00B22C37">
        <w:rPr>
          <w:rFonts w:cs="Arial"/>
          <w:sz w:val="24"/>
        </w:rPr>
        <w:t xml:space="preserve">was primarily responsible for examining scientific evidence and establishing nutrient values. </w:t>
      </w:r>
      <w:r>
        <w:rPr>
          <w:rFonts w:cs="Arial"/>
          <w:sz w:val="24"/>
        </w:rPr>
        <w:t xml:space="preserve"> </w:t>
      </w:r>
      <w:r w:rsidRPr="00B22C37">
        <w:rPr>
          <w:rFonts w:cs="Arial"/>
          <w:sz w:val="24"/>
        </w:rPr>
        <w:t xml:space="preserve">Membership of the groups involved in the development of the NRV guidelines can be found in </w:t>
      </w:r>
      <w:hyperlink w:anchor="_7.4_Appendix_4:" w:history="1">
        <w:r w:rsidRPr="00547656">
          <w:rPr>
            <w:rStyle w:val="Hyperlink"/>
            <w:rFonts w:cs="Arial"/>
            <w:sz w:val="24"/>
          </w:rPr>
          <w:t>Appendix 7.4</w:t>
        </w:r>
      </w:hyperlink>
      <w:r w:rsidRPr="00B22C37">
        <w:rPr>
          <w:rFonts w:cs="Arial"/>
          <w:sz w:val="24"/>
        </w:rPr>
        <w:t>.</w:t>
      </w:r>
    </w:p>
    <w:p w:rsidR="00EA6F40" w:rsidRPr="005D1761" w:rsidRDefault="00EA6F40" w:rsidP="000A4E22">
      <w:pPr>
        <w:pStyle w:val="Heading2"/>
      </w:pPr>
      <w:bookmarkStart w:id="92" w:name="_Toc279228339"/>
      <w:bookmarkStart w:id="93" w:name="_Toc433621775"/>
      <w:r w:rsidRPr="005D1761">
        <w:t>Nutrient Reference Values</w:t>
      </w:r>
      <w:bookmarkEnd w:id="92"/>
      <w:bookmarkEnd w:id="93"/>
    </w:p>
    <w:p w:rsidR="00EA6F40" w:rsidRPr="00C875F5" w:rsidRDefault="00EA6F40" w:rsidP="00AE509A">
      <w:pPr>
        <w:pStyle w:val="Heading3"/>
      </w:pPr>
      <w:bookmarkStart w:id="94" w:name="_Toc279228340"/>
      <w:bookmarkStart w:id="95" w:name="_Toc433621776"/>
      <w:r w:rsidRPr="00C875F5">
        <w:t>Terminology</w:t>
      </w:r>
      <w:bookmarkEnd w:id="94"/>
      <w:bookmarkEnd w:id="95"/>
    </w:p>
    <w:p w:rsidR="00EA6F40" w:rsidRDefault="00EA6F40" w:rsidP="0013546C">
      <w:pPr>
        <w:pStyle w:val="Thesisnormal0"/>
      </w:pPr>
      <w:r w:rsidRPr="00C875F5">
        <w:t>The suite of NRVs outlined in the 2006 document (NHMRC 2006), adapted from the US/Canadian D</w:t>
      </w:r>
      <w:r>
        <w:t xml:space="preserve">ietary </w:t>
      </w:r>
      <w:r w:rsidRPr="00C875F5">
        <w:t>R</w:t>
      </w:r>
      <w:r>
        <w:t xml:space="preserve">eference </w:t>
      </w:r>
      <w:r w:rsidRPr="00C875F5">
        <w:t>I</w:t>
      </w:r>
      <w:r>
        <w:t>ntake</w:t>
      </w:r>
      <w:r w:rsidRPr="00C875F5">
        <w:t>s</w:t>
      </w:r>
      <w:r>
        <w:t xml:space="preserve"> (DRI)</w:t>
      </w:r>
      <w:r w:rsidRPr="00C875F5">
        <w:t>, were considered to remain applicable for th</w:t>
      </w:r>
      <w:r>
        <w:t>is</w:t>
      </w:r>
      <w:r w:rsidRPr="00C875F5">
        <w:t xml:space="preserve"> NRV review with no change of name to the reference indicators</w:t>
      </w:r>
      <w:r>
        <w:t>, which are defined as follows</w:t>
      </w:r>
      <w:r w:rsidR="00547656">
        <w:t xml:space="preserve"> (NHMRC 2006, Nous Group 2013).</w:t>
      </w:r>
    </w:p>
    <w:p w:rsidR="00EA6F40" w:rsidRPr="008D087E" w:rsidRDefault="00EA6F40" w:rsidP="0013546C">
      <w:pPr>
        <w:pStyle w:val="Thesisnormal0"/>
        <w:rPr>
          <w:rStyle w:val="Strong"/>
        </w:rPr>
      </w:pPr>
      <w:r w:rsidRPr="008D087E">
        <w:rPr>
          <w:rStyle w:val="Strong"/>
        </w:rPr>
        <w:t xml:space="preserve">EAR </w:t>
      </w:r>
      <w:r w:rsidRPr="008D087E">
        <w:rPr>
          <w:rStyle w:val="Strong"/>
        </w:rPr>
        <w:tab/>
        <w:t>Estimated Average Requirement</w:t>
      </w:r>
    </w:p>
    <w:p w:rsidR="00EA6F40" w:rsidRPr="00C875F5" w:rsidRDefault="00EA6F40" w:rsidP="0013546C">
      <w:pPr>
        <w:pStyle w:val="Thesisnormal0"/>
      </w:pPr>
      <w:r w:rsidRPr="00C875F5">
        <w:t>A daily nutrient level estimated to meet the requirements of half the healthy individuals in a particular life stage and gender group.</w:t>
      </w:r>
    </w:p>
    <w:p w:rsidR="00EA6F40" w:rsidRPr="008D087E" w:rsidRDefault="00EA6F40" w:rsidP="0013546C">
      <w:pPr>
        <w:pStyle w:val="Thesisnormal0"/>
        <w:rPr>
          <w:rStyle w:val="Strong"/>
        </w:rPr>
      </w:pPr>
      <w:r w:rsidRPr="008D087E">
        <w:rPr>
          <w:rStyle w:val="Strong"/>
        </w:rPr>
        <w:t>RDI</w:t>
      </w:r>
      <w:r w:rsidRPr="008D087E">
        <w:rPr>
          <w:rStyle w:val="Strong"/>
        </w:rPr>
        <w:tab/>
        <w:t>Recommended Dietary Intake</w:t>
      </w:r>
    </w:p>
    <w:p w:rsidR="00EA6F40" w:rsidRPr="00C875F5" w:rsidRDefault="00EA6F40" w:rsidP="0013546C">
      <w:pPr>
        <w:pStyle w:val="Thesisnormal0"/>
      </w:pPr>
      <w:r w:rsidRPr="00C875F5">
        <w:t>The daily intake level that is sufficient to meet the requirements of nearly all (97-98%) healthy individuals in a particular life stage and gender group.</w:t>
      </w:r>
    </w:p>
    <w:p w:rsidR="00EA6F40" w:rsidRPr="008D087E" w:rsidRDefault="00EA6F40" w:rsidP="0013546C">
      <w:pPr>
        <w:pStyle w:val="Thesisnormal0"/>
        <w:rPr>
          <w:rStyle w:val="Strong"/>
        </w:rPr>
      </w:pPr>
      <w:r w:rsidRPr="008D087E">
        <w:rPr>
          <w:rStyle w:val="Strong"/>
        </w:rPr>
        <w:t>AI</w:t>
      </w:r>
      <w:r w:rsidRPr="008D087E">
        <w:rPr>
          <w:rStyle w:val="Strong"/>
        </w:rPr>
        <w:tab/>
        <w:t>Adequate Intake</w:t>
      </w:r>
    </w:p>
    <w:p w:rsidR="00EA6F40" w:rsidRPr="00C875F5" w:rsidRDefault="00EA6F40" w:rsidP="0013546C">
      <w:pPr>
        <w:pStyle w:val="Thesisnormal0"/>
      </w:pPr>
      <w:r w:rsidRPr="00C875F5">
        <w:t>The average daily nutrient intake level based on observed or experimentally determined approximations or estimates of nutrient intake by a group (or groups) of apparently healthy people that are assumed to be adequate.</w:t>
      </w:r>
    </w:p>
    <w:p w:rsidR="00EA6F40" w:rsidRPr="008D087E" w:rsidRDefault="00EA6F40" w:rsidP="0013546C">
      <w:pPr>
        <w:pStyle w:val="Thesisnormal0"/>
        <w:rPr>
          <w:rStyle w:val="Strong"/>
        </w:rPr>
      </w:pPr>
      <w:r w:rsidRPr="008D087E">
        <w:rPr>
          <w:rStyle w:val="Strong"/>
        </w:rPr>
        <w:t>EER</w:t>
      </w:r>
      <w:r w:rsidRPr="008D087E">
        <w:rPr>
          <w:rStyle w:val="Strong"/>
        </w:rPr>
        <w:tab/>
        <w:t>Estimated Energy Requirement</w:t>
      </w:r>
    </w:p>
    <w:p w:rsidR="00EA6F40" w:rsidRPr="00C875F5" w:rsidRDefault="00EA6F40" w:rsidP="0013546C">
      <w:pPr>
        <w:pStyle w:val="Thesisnormal0"/>
      </w:pPr>
      <w:r w:rsidRPr="00C875F5">
        <w:t xml:space="preserve">The average dietary energy intake that is predicted to maintain energy balance in a healthy adult of defined age, gender, weight, height and level of physical activity, consistent with good health. </w:t>
      </w:r>
      <w:r>
        <w:t xml:space="preserve"> </w:t>
      </w:r>
      <w:r w:rsidRPr="00C875F5">
        <w:t xml:space="preserve">In children and pregnant and lactating women, the EER is taken to include the needs associated with the deposition of tissues or the secretion of milk at rates consistent with good health. </w:t>
      </w:r>
    </w:p>
    <w:p w:rsidR="00EA6F40" w:rsidRPr="008D087E" w:rsidRDefault="00EA6F40" w:rsidP="0013546C">
      <w:pPr>
        <w:pStyle w:val="Thesisnormal0"/>
        <w:rPr>
          <w:rStyle w:val="Strong"/>
        </w:rPr>
      </w:pPr>
      <w:r w:rsidRPr="008D087E">
        <w:rPr>
          <w:rStyle w:val="Strong"/>
        </w:rPr>
        <w:t>UL</w:t>
      </w:r>
      <w:r w:rsidRPr="008D087E">
        <w:rPr>
          <w:rStyle w:val="Strong"/>
        </w:rPr>
        <w:tab/>
        <w:t>Upper Level of Intake</w:t>
      </w:r>
    </w:p>
    <w:p w:rsidR="00EA6F40" w:rsidRPr="00C875F5" w:rsidRDefault="00EA6F40" w:rsidP="0013546C">
      <w:pPr>
        <w:pStyle w:val="Thesisnormal0"/>
      </w:pPr>
      <w:r w:rsidRPr="00C875F5">
        <w:t xml:space="preserve">The highest level of nutrient intake level likely to pose no adverse health effects to almost all individuals in the general population. </w:t>
      </w:r>
      <w:r>
        <w:t xml:space="preserve"> </w:t>
      </w:r>
      <w:r w:rsidRPr="00C875F5">
        <w:t>As intake increases above the UL, the potential risk effect increases.</w:t>
      </w:r>
    </w:p>
    <w:p w:rsidR="00EA6F40" w:rsidRPr="008D087E" w:rsidRDefault="00EA6F40" w:rsidP="0013546C">
      <w:pPr>
        <w:pStyle w:val="Thesisnormal0"/>
        <w:rPr>
          <w:rStyle w:val="Strong"/>
        </w:rPr>
      </w:pPr>
      <w:r w:rsidRPr="008D087E">
        <w:rPr>
          <w:rStyle w:val="Strong"/>
        </w:rPr>
        <w:t>AMDR</w:t>
      </w:r>
      <w:r w:rsidRPr="008D087E">
        <w:rPr>
          <w:rStyle w:val="Strong"/>
        </w:rPr>
        <w:tab/>
        <w:t xml:space="preserve"> Acceptable Macronutrient Distribution Range</w:t>
      </w:r>
    </w:p>
    <w:p w:rsidR="00EA6F40" w:rsidRPr="00C875F5" w:rsidRDefault="00EA6F40" w:rsidP="0013546C">
      <w:pPr>
        <w:pStyle w:val="Thesisnormal0"/>
      </w:pPr>
      <w:r w:rsidRPr="00C875F5">
        <w:t>An estimate of the range of intake for each macronutrient for individuals (expressed as per cent contribution to energy), which would allow for an adequate intake of all the other nutrients whilst maximising general health outcome.</w:t>
      </w:r>
    </w:p>
    <w:p w:rsidR="00EA6F40" w:rsidRPr="008D087E" w:rsidRDefault="00EA6F40" w:rsidP="0013546C">
      <w:pPr>
        <w:pStyle w:val="Thesisnormal0"/>
        <w:rPr>
          <w:rStyle w:val="Strong"/>
        </w:rPr>
      </w:pPr>
      <w:r w:rsidRPr="008D087E">
        <w:rPr>
          <w:rStyle w:val="Strong"/>
        </w:rPr>
        <w:t>SDT</w:t>
      </w:r>
      <w:r w:rsidRPr="008D087E">
        <w:rPr>
          <w:rStyle w:val="Strong"/>
        </w:rPr>
        <w:tab/>
        <w:t>Suggested Dietary Target</w:t>
      </w:r>
    </w:p>
    <w:p w:rsidR="00EA6F40" w:rsidRDefault="00EA6F40" w:rsidP="0013546C">
      <w:pPr>
        <w:pStyle w:val="Thesisnormal0"/>
      </w:pPr>
      <w:r w:rsidRPr="00C875F5">
        <w:lastRenderedPageBreak/>
        <w:t>A daily average intake from food and beverages for certain nutrients that will help in prevention of chronic dis</w:t>
      </w:r>
      <w:r w:rsidR="00547656">
        <w:t>ease.</w:t>
      </w:r>
    </w:p>
    <w:p w:rsidR="00EA6F40" w:rsidRDefault="00EA6F40" w:rsidP="000A4E22">
      <w:pPr>
        <w:pStyle w:val="Heading2"/>
      </w:pPr>
      <w:bookmarkStart w:id="96" w:name="_Toc279228341"/>
      <w:bookmarkStart w:id="97" w:name="_Toc433621777"/>
      <w:r>
        <w:t>Nutrient Background Information</w:t>
      </w:r>
      <w:bookmarkEnd w:id="96"/>
      <w:bookmarkEnd w:id="97"/>
    </w:p>
    <w:p w:rsidR="00EA6F40" w:rsidRPr="006707A0" w:rsidRDefault="00EA6F40" w:rsidP="00CA2AA1">
      <w:pPr>
        <w:pStyle w:val="Heading3"/>
      </w:pPr>
      <w:bookmarkStart w:id="98" w:name="_Toc279228342"/>
      <w:bookmarkStart w:id="99" w:name="_Toc433621778"/>
      <w:r w:rsidRPr="006707A0">
        <w:t>Iodine</w:t>
      </w:r>
      <w:bookmarkEnd w:id="98"/>
      <w:bookmarkEnd w:id="99"/>
    </w:p>
    <w:p w:rsidR="00EA6F40" w:rsidRPr="00C875F5" w:rsidRDefault="00EA6F40" w:rsidP="0013546C">
      <w:pPr>
        <w:pStyle w:val="Thesisnormal0"/>
      </w:pPr>
      <w:r w:rsidRPr="00C875F5">
        <w:t>Iodine is an essential nutrient for all mammals as an integral component of the pro-hormone thyroxine (T</w:t>
      </w:r>
      <w:r w:rsidRPr="00C875F5">
        <w:rPr>
          <w:vertAlign w:val="subscript"/>
        </w:rPr>
        <w:t>4</w:t>
      </w:r>
      <w:r w:rsidRPr="00C875F5">
        <w:t>) and the more potent active form 3,5,3’ tri-iodothyronine (T</w:t>
      </w:r>
      <w:r w:rsidRPr="00C875F5">
        <w:rPr>
          <w:vertAlign w:val="subscript"/>
        </w:rPr>
        <w:t>3</w:t>
      </w:r>
      <w:r w:rsidRPr="00C875F5">
        <w:t xml:space="preserve">), a key regulator of important cellular processes. </w:t>
      </w:r>
      <w:r>
        <w:t xml:space="preserve"> </w:t>
      </w:r>
      <w:r w:rsidRPr="00C875F5">
        <w:t xml:space="preserve">The thyroid hormones are required for normal growth and metabolism and are particularly important during early growth, development and maturation of most organs. The developing brain is a key target organ of the thyroid hormones, which therefore play an essential role in the development of neurological and cognitive function. </w:t>
      </w:r>
      <w:r>
        <w:t xml:space="preserve"> </w:t>
      </w:r>
      <w:r w:rsidRPr="00C875F5">
        <w:t xml:space="preserve">The thyroid hormones are also important for energy production and oxygen consumption in cells, thereby maintaining the body’s metabolic rate (Zimmerman 2009). </w:t>
      </w:r>
    </w:p>
    <w:p w:rsidR="00EA6F40" w:rsidRDefault="00EA6F40" w:rsidP="0013546C">
      <w:pPr>
        <w:pStyle w:val="Thesisnormal0"/>
      </w:pPr>
      <w:r w:rsidRPr="00C875F5">
        <w:t xml:space="preserve">Iodine deficiency, resulting from inadequate intakes and consequently altered thyroid function, results in a wide range of disorders, collectively termed ‘iodine deficiency disorders’ (IDD). </w:t>
      </w:r>
      <w:r>
        <w:t xml:space="preserve"> </w:t>
      </w:r>
      <w:r w:rsidRPr="00C875F5">
        <w:t xml:space="preserve">These have been well documented in a number of excellent reviews (Zimmerman 2009, WHO/UNICEF/ICCIDD 2007, Hetzel 1983, Zimmerman et al 2008) and will be described briefly here. </w:t>
      </w:r>
      <w:r>
        <w:t xml:space="preserve"> </w:t>
      </w:r>
      <w:r w:rsidRPr="00C875F5">
        <w:t xml:space="preserve">The most damaging effect of iodine deficiency </w:t>
      </w:r>
      <w:r>
        <w:t>is during pregnancy when the</w:t>
      </w:r>
      <w:r w:rsidRPr="00C875F5">
        <w:t xml:space="preserve"> fetal brain</w:t>
      </w:r>
      <w:r>
        <w:t xml:space="preserve"> is developing and can</w:t>
      </w:r>
      <w:r w:rsidRPr="00C875F5">
        <w:t xml:space="preserve"> </w:t>
      </w:r>
      <w:r>
        <w:t>result in</w:t>
      </w:r>
      <w:r w:rsidRPr="00C875F5">
        <w:t xml:space="preserve"> adverse effects such as neurological cretinism with severe intellectual impairment, deafness, spastic paresis of the limbs and other psychomotor disorders.  Iodine deficiency during neonatal life, in children and adults can lead to goitre and hypothyroidism as well as impairment of mental and physical development. </w:t>
      </w:r>
      <w:r>
        <w:t xml:space="preserve"> </w:t>
      </w:r>
      <w:r w:rsidRPr="00C875F5">
        <w:t xml:space="preserve">While endemic goitre is the most visible consequence of IDD, the most significant and profound effects are on the brain. </w:t>
      </w:r>
      <w:r>
        <w:t xml:space="preserve"> </w:t>
      </w:r>
      <w:r w:rsidRPr="00C875F5">
        <w:t xml:space="preserve">Impaired intellectual development of people living in iodine deficient areas is of particular concern, especially when all of the adverse effects of iodine deficiency can be prevented by long-term, sustainable iodine prophylaxis. </w:t>
      </w:r>
    </w:p>
    <w:p w:rsidR="00EA6F40" w:rsidRPr="00C875F5" w:rsidRDefault="00EA6F40" w:rsidP="0013546C">
      <w:pPr>
        <w:pStyle w:val="Thesisnormal0"/>
      </w:pPr>
      <w:r w:rsidRPr="00C875F5">
        <w:t>In New Zealand and Australia endemic goitre in the early part of the 20</w:t>
      </w:r>
      <w:r w:rsidRPr="00C875F5">
        <w:rPr>
          <w:vertAlign w:val="superscript"/>
        </w:rPr>
        <w:t>th</w:t>
      </w:r>
      <w:r w:rsidRPr="00C875F5">
        <w:t xml:space="preserve"> century was due to very low levels of iodine in the soils. </w:t>
      </w:r>
      <w:r>
        <w:t xml:space="preserve"> </w:t>
      </w:r>
      <w:r w:rsidRPr="00C875F5">
        <w:t>Iodisation of salt, assisted by iodine contamination of dairy products through the use of iodophors as cleaning agents in the dairy industry, resulted in a reduction of goitre incidence and reports of adequate iodine status from the 1960s to 1980s.  A re-emergence of mild iodine deficiency in New Zealand was observed in the 1990s which coincided with replacement of iodophor</w:t>
      </w:r>
      <w:r>
        <w:t>s</w:t>
      </w:r>
      <w:r w:rsidRPr="00C875F5">
        <w:t xml:space="preserve"> use</w:t>
      </w:r>
      <w:r>
        <w:t>d</w:t>
      </w:r>
      <w:r w:rsidRPr="00C875F5">
        <w:t xml:space="preserve"> in the dairy industry with chlorine-based and organic sanitizers (Thomson 2004). </w:t>
      </w:r>
      <w:r>
        <w:t xml:space="preserve"> </w:t>
      </w:r>
      <w:r w:rsidRPr="00C875F5">
        <w:t xml:space="preserve">A similar situation pertains </w:t>
      </w:r>
      <w:r>
        <w:t>to</w:t>
      </w:r>
      <w:r w:rsidRPr="00C875F5">
        <w:t xml:space="preserve"> Australia where iodine deficiency was also recognized in the 1990s and later documented nationally in school children in the 2003-2004 National Iodine Nutrition Study (NINS) (Li et al 2006). These observations became the main driver for the development of new public policy on food fortification to correct iodine deficiency in Australia and New Zealand.</w:t>
      </w:r>
      <w:r>
        <w:t xml:space="preserve"> </w:t>
      </w:r>
      <w:r w:rsidRPr="00C875F5">
        <w:t xml:space="preserve">As a result, the mandatory fortification of bread with iodised salt in both </w:t>
      </w:r>
      <w:r w:rsidRPr="00C875F5">
        <w:lastRenderedPageBreak/>
        <w:t>Australia (October 2009) and New Zealand (September 2009) was fully implemented with the intention of correcting iodine deficiency in the population.</w:t>
      </w:r>
    </w:p>
    <w:p w:rsidR="00EA6F40" w:rsidRPr="00C875F5" w:rsidRDefault="00EA6F40" w:rsidP="0013546C">
      <w:pPr>
        <w:pStyle w:val="Thesisnormal0"/>
      </w:pPr>
      <w:r w:rsidRPr="00C875F5">
        <w:t xml:space="preserve">On the other hand, the effects of high iodine intake on thyroid function are variable depending chiefly on the magnitude of the excessive iodine intake and on the response of people with underlying thyroid disease, particularly autoimmune thyroid disease (Teng et al 2006, Prummel et al 2004). </w:t>
      </w:r>
      <w:r>
        <w:t xml:space="preserve"> </w:t>
      </w:r>
      <w:r w:rsidRPr="00C875F5">
        <w:t>Adverse effects of high intakes include both hyperthyroidism and hypothyroidism, with or without goitre, and an increased incidence of autoimmune thyroid disease (Thomson 2003).</w:t>
      </w:r>
    </w:p>
    <w:p w:rsidR="00EA6F40" w:rsidRPr="00D84A9E" w:rsidRDefault="00EA6F40" w:rsidP="00CA2AA1">
      <w:pPr>
        <w:pStyle w:val="Heading3"/>
      </w:pPr>
      <w:bookmarkStart w:id="100" w:name="_Toc279228343"/>
      <w:bookmarkStart w:id="101" w:name="_Toc433621779"/>
      <w:r w:rsidRPr="00D84A9E">
        <w:t>Iodine status in Australia and New Zealand</w:t>
      </w:r>
      <w:bookmarkEnd w:id="100"/>
      <w:bookmarkEnd w:id="101"/>
    </w:p>
    <w:p w:rsidR="00EA6F40" w:rsidRPr="00C875F5" w:rsidRDefault="00EA6F40" w:rsidP="0013546C">
      <w:pPr>
        <w:pStyle w:val="Thesisnormal0"/>
        <w:rPr>
          <w:b/>
        </w:rPr>
      </w:pPr>
      <w:r w:rsidRPr="00C875F5">
        <w:t>Information on dietary intakes of iodine in Australia and New Zealand is limited because of inadequate food composition data, and because of the difficulty in quantifying the use and intake of iodised salt at the table and in cooking. Iodine intake can be estimated from urinary iodine excretion as the majority of intake (approximately 90%) of dietary iodine is excreted in urine (Anderson et al 2009).</w:t>
      </w:r>
    </w:p>
    <w:p w:rsidR="00EA6F40" w:rsidRPr="00C875F5" w:rsidRDefault="00EA6F40" w:rsidP="0013546C">
      <w:pPr>
        <w:pStyle w:val="Thesisnormal0"/>
      </w:pPr>
      <w:r w:rsidRPr="00C875F5">
        <w:t>The most comprehensive and recent data on iodine status of Australians is provided by the 2011-12 Australian National Health Survey (NHS) (Australian Bureau of Statistics 2013), obtained after the mandatory fortification of bread with iodised salt in October 2009</w:t>
      </w:r>
      <w:r w:rsidRPr="00C875F5">
        <w:rPr>
          <w:i/>
        </w:rPr>
        <w:t>.</w:t>
      </w:r>
      <w:r w:rsidRPr="00C875F5">
        <w:t xml:space="preserve"> These results show that Australian adults had a population median urinary iodine concentration (UIC) of 124 µg/L, ranging from 113 to 144 µg/L across the states and territories, with 12.8% of the population having a UIC of less than 50µg/L.</w:t>
      </w:r>
      <w:r>
        <w:t xml:space="preserve"> </w:t>
      </w:r>
      <w:r w:rsidRPr="00C875F5">
        <w:t xml:space="preserve"> These values are well within the range of iodine sufficiency (ie UIC &gt;100 µg/L and no more than 20% of the population with UIC below 50 µg/L) (WHO/UNICEF/ICCIDD 2007). </w:t>
      </w:r>
      <w:r>
        <w:t xml:space="preserve"> </w:t>
      </w:r>
      <w:r w:rsidRPr="00C875F5">
        <w:t xml:space="preserve">There </w:t>
      </w:r>
      <w:r>
        <w:t xml:space="preserve">are </w:t>
      </w:r>
      <w:r w:rsidRPr="00C875F5">
        <w:t xml:space="preserve"> a lack of national data examining the iodine status of pregnant women.</w:t>
      </w:r>
      <w:r>
        <w:t xml:space="preserve"> </w:t>
      </w:r>
      <w:r w:rsidRPr="00C875F5">
        <w:t xml:space="preserve"> A pre-post comparison of surveys conducted in a regional area of New South Wales indicates that mandatory fortification has improved the overall median UIC of pregnant women but that non-users of </w:t>
      </w:r>
      <w:r>
        <w:t xml:space="preserve">iodine-containing </w:t>
      </w:r>
      <w:r w:rsidRPr="00C875F5">
        <w:t xml:space="preserve">supplements remain at risk of inadequacy (Charlton &amp; Eastman 2013).  </w:t>
      </w:r>
    </w:p>
    <w:p w:rsidR="00EA6F40" w:rsidRDefault="00EA6F40" w:rsidP="0013546C">
      <w:pPr>
        <w:pStyle w:val="Thesisnormal0"/>
      </w:pPr>
      <w:r w:rsidRPr="00C875F5">
        <w:t xml:space="preserve">Comparison between the 2003-04 NINS of school children 8-10 years in five </w:t>
      </w:r>
      <w:r>
        <w:t xml:space="preserve">Australian </w:t>
      </w:r>
      <w:r w:rsidRPr="00C875F5">
        <w:t xml:space="preserve">states prior to mandatory fortification (which showed that these children as a group were mildly iodine deficient) and the 2011-12 NHS after fortification, shows that the median UIC of 8-10 year old children has significantly increased in each of these states as indicated </w:t>
      </w:r>
      <w:r>
        <w:t>in</w:t>
      </w:r>
      <w:r w:rsidRPr="00C875F5">
        <w:t xml:space="preserve"> Table </w:t>
      </w:r>
      <w:r>
        <w:t>3</w:t>
      </w:r>
      <w:r w:rsidRPr="00C875F5">
        <w:t>.1</w:t>
      </w:r>
      <w:r>
        <w:t xml:space="preserve">.  </w:t>
      </w:r>
      <w:r w:rsidRPr="00C875F5">
        <w:t>Children generally had</w:t>
      </w:r>
      <w:r>
        <w:t xml:space="preserve"> a</w:t>
      </w:r>
      <w:r w:rsidRPr="00C875F5">
        <w:t xml:space="preserve"> higher median UIC than adults: those 5-11 years had the highest median UIC (177 µg/L), followed by those aged 12-17 years (149 µg/L). </w:t>
      </w:r>
    </w:p>
    <w:p w:rsidR="00EA6F40" w:rsidRPr="00C875F5" w:rsidRDefault="00547656" w:rsidP="00AE0695">
      <w:pPr>
        <w:pStyle w:val="Caption"/>
      </w:pPr>
      <w:r>
        <w:t xml:space="preserve">Table </w:t>
      </w:r>
      <w:r w:rsidR="00CA2AA1">
        <w:fldChar w:fldCharType="begin"/>
      </w:r>
      <w:r w:rsidR="00CA2AA1">
        <w:instrText xml:space="preserve"> STYLEREF 1 \s </w:instrText>
      </w:r>
      <w:r w:rsidR="00CA2AA1">
        <w:fldChar w:fldCharType="separate"/>
      </w:r>
      <w:r w:rsidR="00CA2AA1">
        <w:rPr>
          <w:noProof/>
        </w:rPr>
        <w:t>3</w:t>
      </w:r>
      <w:r w:rsidR="00CA2AA1">
        <w:fldChar w:fldCharType="end"/>
      </w:r>
      <w:r w:rsidR="00CA2AA1">
        <w:t>:</w:t>
      </w:r>
      <w:r w:rsidR="00CA2AA1">
        <w:fldChar w:fldCharType="begin"/>
      </w:r>
      <w:r w:rsidR="00CA2AA1">
        <w:instrText xml:space="preserve"> SEQ Table \* ARABIC \s 1 </w:instrText>
      </w:r>
      <w:r w:rsidR="00CA2AA1">
        <w:fldChar w:fldCharType="separate"/>
      </w:r>
      <w:r w:rsidR="00CA2AA1">
        <w:rPr>
          <w:noProof/>
        </w:rPr>
        <w:t>1</w:t>
      </w:r>
      <w:r w:rsidR="00CA2AA1">
        <w:fldChar w:fldCharType="end"/>
      </w:r>
      <w:r w:rsidR="00EA6F40" w:rsidRPr="00C875F5">
        <w:t xml:space="preserve"> Comparison of UIC in </w:t>
      </w:r>
      <w:r w:rsidR="00EA6F40">
        <w:t>adults</w:t>
      </w:r>
      <w:r w:rsidR="00EA6F40" w:rsidRPr="00C875F5">
        <w:t xml:space="preserve"> </w:t>
      </w:r>
      <w:r w:rsidR="00EA6F40">
        <w:t>pre-fortification and post-fortification</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Description w:val="Table 3.1 contain 3 column headings; column 1.Location/s, column 2. Pre-fortification and column 3. Post-fortification comparing Urinary iodine concentration (UIC)."/>
      </w:tblPr>
      <w:tblGrid>
        <w:gridCol w:w="2660"/>
        <w:gridCol w:w="2962"/>
        <w:gridCol w:w="2894"/>
      </w:tblGrid>
      <w:tr w:rsidR="00EA6F40" w:rsidRPr="003E718C" w:rsidTr="003E718C">
        <w:trPr>
          <w:trHeight w:hRule="exact" w:val="454"/>
          <w:tblHeader/>
          <w:jc w:val="center"/>
        </w:trPr>
        <w:tc>
          <w:tcPr>
            <w:tcW w:w="2660" w:type="dxa"/>
            <w:vAlign w:val="center"/>
          </w:tcPr>
          <w:p w:rsidR="00EA6F40" w:rsidRPr="003E718C" w:rsidRDefault="00EA6F40" w:rsidP="00EA6F40">
            <w:pPr>
              <w:spacing w:after="0"/>
              <w:jc w:val="both"/>
              <w:rPr>
                <w:rStyle w:val="Strong"/>
              </w:rPr>
            </w:pPr>
            <w:r w:rsidRPr="003E718C">
              <w:rPr>
                <w:rStyle w:val="Strong"/>
              </w:rPr>
              <w:t>Location</w:t>
            </w:r>
          </w:p>
        </w:tc>
        <w:tc>
          <w:tcPr>
            <w:tcW w:w="2962" w:type="dxa"/>
            <w:vAlign w:val="center"/>
          </w:tcPr>
          <w:p w:rsidR="00EA6F40" w:rsidRPr="003E718C" w:rsidRDefault="00EA6F40" w:rsidP="00EA6F40">
            <w:pPr>
              <w:spacing w:after="0"/>
              <w:jc w:val="center"/>
              <w:rPr>
                <w:rStyle w:val="Strong"/>
              </w:rPr>
            </w:pPr>
            <w:r w:rsidRPr="003E718C">
              <w:rPr>
                <w:rStyle w:val="Strong"/>
              </w:rPr>
              <w:t xml:space="preserve">Pre-fortification </w:t>
            </w:r>
          </w:p>
        </w:tc>
        <w:tc>
          <w:tcPr>
            <w:tcW w:w="2894" w:type="dxa"/>
            <w:vAlign w:val="center"/>
          </w:tcPr>
          <w:p w:rsidR="00EA6F40" w:rsidRPr="003E718C" w:rsidRDefault="00EA6F40" w:rsidP="00EA6F40">
            <w:pPr>
              <w:spacing w:after="0"/>
              <w:jc w:val="center"/>
              <w:rPr>
                <w:rStyle w:val="Strong"/>
              </w:rPr>
            </w:pPr>
            <w:r w:rsidRPr="003E718C">
              <w:rPr>
                <w:rStyle w:val="Strong"/>
              </w:rPr>
              <w:t>Post-fortification</w:t>
            </w:r>
          </w:p>
        </w:tc>
      </w:tr>
      <w:tr w:rsidR="00EA6F40" w:rsidRPr="003E718C" w:rsidTr="003E718C">
        <w:trPr>
          <w:trHeight w:val="454"/>
          <w:jc w:val="center"/>
        </w:trPr>
        <w:tc>
          <w:tcPr>
            <w:tcW w:w="2660" w:type="dxa"/>
            <w:vAlign w:val="center"/>
          </w:tcPr>
          <w:p w:rsidR="00EA6F40" w:rsidRPr="003E718C" w:rsidRDefault="00EA6F40" w:rsidP="00EA6F40">
            <w:pPr>
              <w:spacing w:after="0"/>
              <w:jc w:val="both"/>
              <w:rPr>
                <w:rStyle w:val="Strong"/>
              </w:rPr>
            </w:pPr>
            <w:r w:rsidRPr="003E718C">
              <w:rPr>
                <w:rStyle w:val="Strong"/>
              </w:rPr>
              <w:t>Australia</w:t>
            </w:r>
          </w:p>
        </w:tc>
        <w:tc>
          <w:tcPr>
            <w:tcW w:w="2962" w:type="dxa"/>
            <w:vAlign w:val="center"/>
          </w:tcPr>
          <w:p w:rsidR="00EA6F40" w:rsidRPr="003E718C" w:rsidRDefault="00EA6F40" w:rsidP="00EA6F40">
            <w:pPr>
              <w:spacing w:after="0"/>
              <w:jc w:val="center"/>
              <w:rPr>
                <w:rStyle w:val="Strong"/>
              </w:rPr>
            </w:pPr>
          </w:p>
        </w:tc>
        <w:tc>
          <w:tcPr>
            <w:tcW w:w="2894" w:type="dxa"/>
            <w:vAlign w:val="center"/>
          </w:tcPr>
          <w:p w:rsidR="00EA6F40" w:rsidRPr="003E718C" w:rsidRDefault="00EA6F40" w:rsidP="00EA6F40">
            <w:pPr>
              <w:spacing w:after="0"/>
              <w:jc w:val="center"/>
              <w:rPr>
                <w:rStyle w:val="Strong"/>
              </w:rPr>
            </w:pPr>
          </w:p>
        </w:tc>
      </w:tr>
      <w:tr w:rsidR="00EA6F40" w:rsidRPr="00C875F5" w:rsidTr="00974F73">
        <w:trPr>
          <w:trHeight w:val="567"/>
          <w:jc w:val="center"/>
        </w:trPr>
        <w:tc>
          <w:tcPr>
            <w:tcW w:w="2660" w:type="dxa"/>
            <w:vAlign w:val="center"/>
          </w:tcPr>
          <w:p w:rsidR="00EA6F40" w:rsidRPr="00C875F5" w:rsidRDefault="00EA6F40" w:rsidP="003E718C">
            <w:pPr>
              <w:spacing w:after="0"/>
              <w:ind w:left="180"/>
              <w:jc w:val="both"/>
              <w:rPr>
                <w:sz w:val="24"/>
              </w:rPr>
            </w:pPr>
            <w:r>
              <w:rPr>
                <w:sz w:val="24"/>
              </w:rPr>
              <w:t>Adults</w:t>
            </w:r>
          </w:p>
        </w:tc>
        <w:tc>
          <w:tcPr>
            <w:tcW w:w="2962" w:type="dxa"/>
            <w:vAlign w:val="center"/>
          </w:tcPr>
          <w:p w:rsidR="00EA6F40" w:rsidRPr="00C875F5" w:rsidRDefault="00EA6F40" w:rsidP="00EA6F40">
            <w:pPr>
              <w:spacing w:after="0"/>
              <w:jc w:val="center"/>
              <w:rPr>
                <w:sz w:val="24"/>
              </w:rPr>
            </w:pPr>
            <w:r>
              <w:rPr>
                <w:sz w:val="24"/>
              </w:rPr>
              <w:t>~</w:t>
            </w:r>
            <w:r w:rsidRPr="00C875F5">
              <w:rPr>
                <w:sz w:val="24"/>
              </w:rPr>
              <w:t>89</w:t>
            </w:r>
            <w:r>
              <w:rPr>
                <w:sz w:val="24"/>
              </w:rPr>
              <w:t>-110</w:t>
            </w:r>
            <w:r w:rsidRPr="00C875F5">
              <w:rPr>
                <w:sz w:val="24"/>
              </w:rPr>
              <w:t xml:space="preserve"> µg/L</w:t>
            </w:r>
          </w:p>
        </w:tc>
        <w:tc>
          <w:tcPr>
            <w:tcW w:w="2894" w:type="dxa"/>
            <w:vAlign w:val="center"/>
          </w:tcPr>
          <w:p w:rsidR="00EA6F40" w:rsidRPr="00C875F5" w:rsidRDefault="00EA6F40" w:rsidP="00EA6F40">
            <w:pPr>
              <w:spacing w:after="0"/>
              <w:jc w:val="center"/>
              <w:rPr>
                <w:sz w:val="24"/>
              </w:rPr>
            </w:pPr>
            <w:r>
              <w:rPr>
                <w:sz w:val="24"/>
              </w:rPr>
              <w:t>113-144</w:t>
            </w:r>
            <w:r w:rsidRPr="00C875F5">
              <w:rPr>
                <w:sz w:val="24"/>
              </w:rPr>
              <w:t xml:space="preserve"> µg/L</w:t>
            </w:r>
          </w:p>
        </w:tc>
      </w:tr>
      <w:tr w:rsidR="00EA6F40" w:rsidRPr="00C875F5" w:rsidTr="00974F73">
        <w:trPr>
          <w:trHeight w:val="567"/>
          <w:jc w:val="center"/>
        </w:trPr>
        <w:tc>
          <w:tcPr>
            <w:tcW w:w="2660" w:type="dxa"/>
            <w:vAlign w:val="center"/>
          </w:tcPr>
          <w:p w:rsidR="00EA6F40" w:rsidRPr="00C875F5" w:rsidRDefault="00EA6F40" w:rsidP="003E718C">
            <w:pPr>
              <w:spacing w:after="0"/>
              <w:ind w:left="180"/>
              <w:jc w:val="both"/>
              <w:rPr>
                <w:sz w:val="24"/>
              </w:rPr>
            </w:pPr>
            <w:r>
              <w:rPr>
                <w:sz w:val="24"/>
              </w:rPr>
              <w:t>Pregnant Women</w:t>
            </w:r>
          </w:p>
        </w:tc>
        <w:tc>
          <w:tcPr>
            <w:tcW w:w="2962" w:type="dxa"/>
            <w:vAlign w:val="center"/>
          </w:tcPr>
          <w:p w:rsidR="00EA6F40" w:rsidRPr="00C875F5" w:rsidRDefault="00EA6F40" w:rsidP="00EA6F40">
            <w:pPr>
              <w:spacing w:after="0"/>
              <w:jc w:val="center"/>
              <w:rPr>
                <w:sz w:val="24"/>
              </w:rPr>
            </w:pPr>
            <w:r>
              <w:rPr>
                <w:sz w:val="24"/>
              </w:rPr>
              <w:t xml:space="preserve">~74-110 </w:t>
            </w:r>
            <w:r w:rsidRPr="00C875F5">
              <w:rPr>
                <w:sz w:val="24"/>
              </w:rPr>
              <w:t>µg/L</w:t>
            </w:r>
          </w:p>
        </w:tc>
        <w:tc>
          <w:tcPr>
            <w:tcW w:w="2894" w:type="dxa"/>
            <w:vAlign w:val="center"/>
          </w:tcPr>
          <w:p w:rsidR="00EA6F40" w:rsidRPr="00C875F5" w:rsidRDefault="00EA6F40" w:rsidP="00EA6F40">
            <w:pPr>
              <w:spacing w:after="0"/>
              <w:jc w:val="center"/>
              <w:rPr>
                <w:sz w:val="24"/>
              </w:rPr>
            </w:pPr>
            <w:r w:rsidRPr="00C875F5">
              <w:rPr>
                <w:sz w:val="24"/>
              </w:rPr>
              <w:t>163 µg/L</w:t>
            </w:r>
          </w:p>
        </w:tc>
      </w:tr>
      <w:tr w:rsidR="00EA6F40" w:rsidRPr="003E718C" w:rsidTr="003E718C">
        <w:trPr>
          <w:trHeight w:val="454"/>
          <w:jc w:val="center"/>
        </w:trPr>
        <w:tc>
          <w:tcPr>
            <w:tcW w:w="2660" w:type="dxa"/>
            <w:vAlign w:val="center"/>
          </w:tcPr>
          <w:p w:rsidR="00EA6F40" w:rsidRPr="003E718C" w:rsidRDefault="00EA6F40" w:rsidP="00EA6F40">
            <w:pPr>
              <w:spacing w:after="0"/>
              <w:jc w:val="both"/>
              <w:rPr>
                <w:rStyle w:val="Strong"/>
              </w:rPr>
            </w:pPr>
            <w:r w:rsidRPr="003E718C">
              <w:rPr>
                <w:rStyle w:val="Strong"/>
              </w:rPr>
              <w:lastRenderedPageBreak/>
              <w:t>New Zealand</w:t>
            </w:r>
          </w:p>
        </w:tc>
        <w:tc>
          <w:tcPr>
            <w:tcW w:w="2962" w:type="dxa"/>
            <w:vAlign w:val="center"/>
          </w:tcPr>
          <w:p w:rsidR="00EA6F40" w:rsidRPr="003E718C" w:rsidRDefault="00EA6F40" w:rsidP="00EA6F40">
            <w:pPr>
              <w:spacing w:after="0"/>
              <w:jc w:val="center"/>
              <w:rPr>
                <w:rStyle w:val="Strong"/>
              </w:rPr>
            </w:pPr>
          </w:p>
        </w:tc>
        <w:tc>
          <w:tcPr>
            <w:tcW w:w="2894" w:type="dxa"/>
            <w:vAlign w:val="center"/>
          </w:tcPr>
          <w:p w:rsidR="00EA6F40" w:rsidRPr="003E718C" w:rsidRDefault="00EA6F40" w:rsidP="00EA6F40">
            <w:pPr>
              <w:spacing w:after="0"/>
              <w:jc w:val="center"/>
              <w:rPr>
                <w:rStyle w:val="Strong"/>
              </w:rPr>
            </w:pPr>
          </w:p>
        </w:tc>
      </w:tr>
      <w:tr w:rsidR="00EA6F40" w:rsidRPr="00C875F5" w:rsidTr="00974F73">
        <w:trPr>
          <w:trHeight w:val="567"/>
          <w:jc w:val="center"/>
        </w:trPr>
        <w:tc>
          <w:tcPr>
            <w:tcW w:w="2660" w:type="dxa"/>
            <w:vAlign w:val="center"/>
          </w:tcPr>
          <w:p w:rsidR="00EA6F40" w:rsidRPr="00C875F5" w:rsidRDefault="00EA6F40" w:rsidP="003E718C">
            <w:pPr>
              <w:spacing w:after="0"/>
              <w:ind w:left="180"/>
              <w:jc w:val="both"/>
              <w:rPr>
                <w:sz w:val="24"/>
              </w:rPr>
            </w:pPr>
            <w:r>
              <w:rPr>
                <w:sz w:val="24"/>
              </w:rPr>
              <w:t>Adults</w:t>
            </w:r>
          </w:p>
        </w:tc>
        <w:tc>
          <w:tcPr>
            <w:tcW w:w="2962" w:type="dxa"/>
            <w:vAlign w:val="center"/>
          </w:tcPr>
          <w:p w:rsidR="00EA6F40" w:rsidRPr="00C875F5" w:rsidRDefault="00EA6F40" w:rsidP="00EA6F40">
            <w:pPr>
              <w:spacing w:after="0"/>
              <w:jc w:val="center"/>
              <w:rPr>
                <w:sz w:val="24"/>
              </w:rPr>
            </w:pPr>
            <w:r>
              <w:rPr>
                <w:sz w:val="24"/>
              </w:rPr>
              <w:t xml:space="preserve">53 </w:t>
            </w:r>
            <w:r w:rsidRPr="00C875F5">
              <w:rPr>
                <w:sz w:val="24"/>
              </w:rPr>
              <w:t>µg/L</w:t>
            </w:r>
          </w:p>
        </w:tc>
        <w:tc>
          <w:tcPr>
            <w:tcW w:w="2894" w:type="dxa"/>
            <w:vAlign w:val="center"/>
          </w:tcPr>
          <w:p w:rsidR="00EA6F40" w:rsidRPr="00C875F5" w:rsidRDefault="00EA6F40" w:rsidP="00EA6F40">
            <w:pPr>
              <w:spacing w:after="0"/>
              <w:jc w:val="center"/>
              <w:rPr>
                <w:sz w:val="24"/>
              </w:rPr>
            </w:pPr>
            <w:r>
              <w:rPr>
                <w:sz w:val="24"/>
              </w:rPr>
              <w:t>73</w:t>
            </w:r>
            <w:r w:rsidRPr="00C875F5">
              <w:rPr>
                <w:sz w:val="24"/>
              </w:rPr>
              <w:t xml:space="preserve"> µg/L</w:t>
            </w:r>
          </w:p>
        </w:tc>
      </w:tr>
      <w:tr w:rsidR="00EA6F40" w:rsidRPr="00C875F5" w:rsidTr="00974F73">
        <w:trPr>
          <w:trHeight w:val="567"/>
          <w:jc w:val="center"/>
        </w:trPr>
        <w:tc>
          <w:tcPr>
            <w:tcW w:w="2660" w:type="dxa"/>
            <w:vAlign w:val="center"/>
          </w:tcPr>
          <w:p w:rsidR="00EA6F40" w:rsidRPr="00C875F5" w:rsidRDefault="00EA6F40" w:rsidP="003E718C">
            <w:pPr>
              <w:spacing w:after="0"/>
              <w:ind w:left="180"/>
              <w:jc w:val="both"/>
              <w:rPr>
                <w:sz w:val="24"/>
              </w:rPr>
            </w:pPr>
            <w:r>
              <w:rPr>
                <w:sz w:val="24"/>
              </w:rPr>
              <w:t>Pregnant Women</w:t>
            </w:r>
          </w:p>
        </w:tc>
        <w:tc>
          <w:tcPr>
            <w:tcW w:w="2962" w:type="dxa"/>
            <w:vAlign w:val="center"/>
          </w:tcPr>
          <w:p w:rsidR="00EA6F40" w:rsidRPr="00C875F5" w:rsidRDefault="00EA6F40" w:rsidP="00EA6F40">
            <w:pPr>
              <w:spacing w:after="0"/>
              <w:jc w:val="center"/>
              <w:rPr>
                <w:sz w:val="24"/>
              </w:rPr>
            </w:pPr>
            <w:r>
              <w:rPr>
                <w:sz w:val="24"/>
              </w:rPr>
              <w:t xml:space="preserve">35/47 </w:t>
            </w:r>
            <w:r w:rsidRPr="00C875F5">
              <w:rPr>
                <w:sz w:val="24"/>
              </w:rPr>
              <w:t>µg/L</w:t>
            </w:r>
          </w:p>
        </w:tc>
        <w:tc>
          <w:tcPr>
            <w:tcW w:w="2894" w:type="dxa"/>
            <w:vAlign w:val="center"/>
          </w:tcPr>
          <w:p w:rsidR="00EA6F40" w:rsidRPr="00C875F5" w:rsidRDefault="00EA6F40" w:rsidP="00EA6F40">
            <w:pPr>
              <w:spacing w:after="0"/>
              <w:jc w:val="center"/>
              <w:rPr>
                <w:sz w:val="24"/>
              </w:rPr>
            </w:pPr>
            <w:r>
              <w:rPr>
                <w:sz w:val="24"/>
              </w:rPr>
              <w:t xml:space="preserve">105/85 </w:t>
            </w:r>
            <w:r w:rsidRPr="00C875F5">
              <w:rPr>
                <w:sz w:val="24"/>
              </w:rPr>
              <w:t>µg/L</w:t>
            </w:r>
          </w:p>
        </w:tc>
      </w:tr>
    </w:tbl>
    <w:p w:rsidR="00EA6F40" w:rsidRPr="00C875F5" w:rsidRDefault="00EA6F40" w:rsidP="0013546C">
      <w:pPr>
        <w:pStyle w:val="Thesisnormal0"/>
      </w:pPr>
      <w:r w:rsidRPr="00D607B1">
        <w:t xml:space="preserve">A time series analysis of cross-sectional urinary iodine surveys of Tasmanian school-aged children shows a progressive and stepwise improvement in iodine status from pre-fortification (median UIC 73 µg/L; 16.9%&lt;50 µg/L), through a period of state-wide voluntary iodine fortification of bread from 2001 to 2009 (median UIC 108 µg/L; 9.6%&lt;50 µg/L), and following mandatory iodine fortification of bread in 2009 (median UIC 129 µg/L; 3.4%&lt;50 µg/L)  </w:t>
      </w:r>
      <w:r>
        <w:t>(</w:t>
      </w:r>
      <w:r w:rsidRPr="00D607B1">
        <w:t xml:space="preserve">DePaoli </w:t>
      </w:r>
      <w:r>
        <w:t xml:space="preserve">et al 2013). </w:t>
      </w:r>
    </w:p>
    <w:p w:rsidR="00EA6F40" w:rsidRPr="00C875F5" w:rsidRDefault="00EA6F40" w:rsidP="0013546C">
      <w:pPr>
        <w:pStyle w:val="Thesisnormal0"/>
      </w:pPr>
      <w:r w:rsidRPr="00C875F5">
        <w:t>National data for New Zealand are not as recent and come from the New Zealand Adult Nutrition Survey 2008/09 (ANS) and the New Zealand National Children’s Nutrition Survey 2002 (CNS), both of which were carried out before implementation of mandatory fortification of bread with iodised salt had any impact on iodine status (University of Otago &amp; NZ Ministry of Health 2011, Ministry of Health 2003).</w:t>
      </w:r>
    </w:p>
    <w:p w:rsidR="00EA6F40" w:rsidRPr="00C875F5" w:rsidRDefault="00EA6F40" w:rsidP="0013546C">
      <w:pPr>
        <w:pStyle w:val="Thesisnormal0"/>
      </w:pPr>
      <w:r w:rsidRPr="00C875F5">
        <w:t xml:space="preserve">In the ANS, the median UIC of New Zealanders aged ≥15 years was 53 µg/L (males 55 µg/L; females 50 µg/L) falling within 50-99 µg/L indicating mild iodine deficiency (University of Otago &amp; NZ Ministry of Health 2011). Of note </w:t>
      </w:r>
      <w:r>
        <w:t>wa</w:t>
      </w:r>
      <w:r w:rsidRPr="00C875F5">
        <w:t xml:space="preserve">s the high proportion of adults (47%) with UIC &lt;50 µg/L.  In 2012, a study to determine if the mandatory fortification of bread had improved iodine status chose a representative sample of 300 adults aged 18-74 years living in Wellington and Dunedin using 24-hour urine samples (Ministry for Primary Industries 2013). The median UIC was 73 µg/L, still falling in the mild iodine deficiency range, but significantly higher than that reported in the 2008/09 ANS (University of Otago &amp; NZ Ministry of Health 2011), showing that there has been an increase in iodine status probably as a result of mandatory fortification. Mean 24-hour urinary excretion, which is a better estimate of daily iodine intake, was 124 µg/L (males 147 µg/l, females 104 µg/L), which falls above the current Estimated Average Requirement (EAR) of 100 µg/day (NHMRC 2006). In a small study in Palmerston North of pregnant and lactating women before mandatory fortification in 2009 (n=25 and 32) and after fortification in 2011 (n=34 and 36), median UIC in 24-hour urine samples was higher in 2011 compared with 2009 in pregnant (85 and 47 µg/L) and breastfeeding (74 and 34 µg/L) women (Brough et al 2013). </w:t>
      </w:r>
    </w:p>
    <w:p w:rsidR="00EA6F40" w:rsidRPr="00C875F5" w:rsidRDefault="00EA6F40" w:rsidP="0013546C">
      <w:pPr>
        <w:pStyle w:val="Thesisnormal0"/>
      </w:pPr>
      <w:r w:rsidRPr="00C875F5">
        <w:t>In the 2002 CNS, the median UIC of 1153</w:t>
      </w:r>
      <w:r>
        <w:t xml:space="preserve"> New Zealand</w:t>
      </w:r>
      <w:r w:rsidRPr="00C875F5">
        <w:t xml:space="preserve"> schoolchildren 5-14 years was 68 µg/L indicating mild iodine deficiency, and 29% of children had UIC &lt;50 µg/L. In 2010-2011, a study to assess the impact of iodine fortification on 147 children aged 8-10 years found a median UIC of 113 µg/L and 12 % of children had a UIC &lt;50 µg/L (Skeaff &amp; Lonsdale-Cooper 2013). These results indicated adequate iodine status suggesting that fortification of bread has had a significant effect on iodine status of New Zealand children. The discrepancy between the current iodine status of the Australian and New Zealand populations two to three years following </w:t>
      </w:r>
      <w:r w:rsidRPr="00C875F5">
        <w:lastRenderedPageBreak/>
        <w:t>implementation of the same level of iodine fortification in both countries is likely to be a result of a number of different factors including the lower soil iodine content in New Zealand soil and differences between the two countries in farming practices and bread manufacturing.</w:t>
      </w:r>
    </w:p>
    <w:p w:rsidR="00EA6F40" w:rsidRPr="00C875F5" w:rsidRDefault="00EA6F40" w:rsidP="000A4E22">
      <w:pPr>
        <w:pStyle w:val="Heading2"/>
      </w:pPr>
      <w:bookmarkStart w:id="102" w:name="_Toc279228344"/>
      <w:bookmarkStart w:id="103" w:name="_Toc433621780"/>
      <w:r w:rsidRPr="00C875F5">
        <w:t>Current Recommended Intakes of Iodine</w:t>
      </w:r>
      <w:bookmarkEnd w:id="102"/>
      <w:bookmarkEnd w:id="103"/>
    </w:p>
    <w:p w:rsidR="00EA6F40" w:rsidRPr="00C875F5" w:rsidRDefault="00EA6F40" w:rsidP="0013546C">
      <w:pPr>
        <w:pStyle w:val="Thesisnormal0"/>
        <w:sectPr w:rsidR="00EA6F40" w:rsidRPr="00C875F5" w:rsidSect="00547656">
          <w:pgSz w:w="11900" w:h="16840"/>
          <w:pgMar w:top="1440" w:right="1800" w:bottom="1797" w:left="1800" w:header="708" w:footer="708" w:gutter="0"/>
          <w:cols w:space="708"/>
          <w:titlePg/>
          <w:docGrid w:linePitch="299"/>
        </w:sectPr>
      </w:pPr>
      <w:r w:rsidRPr="00C875F5">
        <w:t xml:space="preserve">The current Australian and New Zealand recommendations for iodine are an EAR of 100 µg/day and an RDI of 150 µg/day, and for pregnancy an EAR of 160 µg/day and RDI of 220 µg/day (NHMRC 2006). The recommended intakes of iodine for adults and pregnant and lactating women in various countries are summarised in </w:t>
      </w:r>
      <w:r w:rsidR="00547656">
        <w:fldChar w:fldCharType="begin"/>
      </w:r>
      <w:r w:rsidR="00547656">
        <w:instrText xml:space="preserve"> REF _Ref430934354 \h </w:instrText>
      </w:r>
      <w:r w:rsidR="00547656">
        <w:fldChar w:fldCharType="separate"/>
      </w:r>
      <w:r w:rsidR="00547656">
        <w:t xml:space="preserve">Table </w:t>
      </w:r>
      <w:r w:rsidR="00547656">
        <w:rPr>
          <w:noProof/>
        </w:rPr>
        <w:t>3</w:t>
      </w:r>
      <w:r w:rsidR="00547656">
        <w:t>:</w:t>
      </w:r>
      <w:r w:rsidR="00547656">
        <w:rPr>
          <w:noProof/>
        </w:rPr>
        <w:t>2</w:t>
      </w:r>
      <w:r w:rsidR="00547656">
        <w:fldChar w:fldCharType="end"/>
      </w:r>
      <w:r w:rsidRPr="00C875F5">
        <w:t>; most recommendations are for an EAR of 100 µg/day and RDI or equivalent of 150 µg/day.  There is more variation in the recommended intakes (RDI or equivalent) for pregnancy and lactation.</w:t>
      </w:r>
    </w:p>
    <w:p w:rsidR="00EA6F40" w:rsidRPr="00C875F5" w:rsidRDefault="00547656" w:rsidP="00AE0695">
      <w:pPr>
        <w:pStyle w:val="Caption"/>
      </w:pPr>
      <w:bookmarkStart w:id="104" w:name="_Ref430934354"/>
      <w:r>
        <w:lastRenderedPageBreak/>
        <w:t xml:space="preserve">Table </w:t>
      </w:r>
      <w:r w:rsidR="00CA2AA1">
        <w:fldChar w:fldCharType="begin"/>
      </w:r>
      <w:r w:rsidR="00CA2AA1">
        <w:instrText xml:space="preserve"> STYLEREF 1 \s </w:instrText>
      </w:r>
      <w:r w:rsidR="00CA2AA1">
        <w:fldChar w:fldCharType="separate"/>
      </w:r>
      <w:r w:rsidR="00CA2AA1">
        <w:rPr>
          <w:noProof/>
        </w:rPr>
        <w:t>3</w:t>
      </w:r>
      <w:r w:rsidR="00CA2AA1">
        <w:fldChar w:fldCharType="end"/>
      </w:r>
      <w:r w:rsidR="00CA2AA1">
        <w:t>:</w:t>
      </w:r>
      <w:r w:rsidR="00CA2AA1">
        <w:fldChar w:fldCharType="begin"/>
      </w:r>
      <w:r w:rsidR="00CA2AA1">
        <w:instrText xml:space="preserve"> SEQ Table \* ARABIC \s 1 </w:instrText>
      </w:r>
      <w:r w:rsidR="00CA2AA1">
        <w:fldChar w:fldCharType="separate"/>
      </w:r>
      <w:r w:rsidR="00CA2AA1">
        <w:rPr>
          <w:noProof/>
        </w:rPr>
        <w:t>2</w:t>
      </w:r>
      <w:r w:rsidR="00CA2AA1">
        <w:fldChar w:fldCharType="end"/>
      </w:r>
      <w:bookmarkEnd w:id="104"/>
      <w:r w:rsidR="003E718C">
        <w:t xml:space="preserve"> </w:t>
      </w:r>
      <w:r w:rsidR="00EA6F40" w:rsidRPr="00C875F5">
        <w:t>Overview of RDI for iodine</w:t>
      </w:r>
    </w:p>
    <w:tbl>
      <w:tblPr>
        <w:tblW w:w="12631" w:type="dxa"/>
        <w:tblInd w:w="93"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Description w:val="Table 3.2 shows an overview for the Recommended Daily Intake (RDI). This table contains 5 column headings; column 1. National Health and Medical Research Council (NHMRC) 2006, column 2. Food and Nutrition Board (FNB)/Institute of Medicine (IOM) 2001, column 3. World Health Organization (WHO) Secretariat et al  2007 and column 4. European Food Safety Authority (EFSA) 2014."/>
      </w:tblPr>
      <w:tblGrid>
        <w:gridCol w:w="1291"/>
        <w:gridCol w:w="1418"/>
        <w:gridCol w:w="1417"/>
        <w:gridCol w:w="1418"/>
        <w:gridCol w:w="1417"/>
        <w:gridCol w:w="1418"/>
        <w:gridCol w:w="1417"/>
        <w:gridCol w:w="1418"/>
        <w:gridCol w:w="1417"/>
      </w:tblGrid>
      <w:tr w:rsidR="00EA6F40" w:rsidRPr="003E718C" w:rsidTr="00974F73">
        <w:trPr>
          <w:trHeight w:val="617"/>
          <w:tblHeader/>
        </w:trPr>
        <w:tc>
          <w:tcPr>
            <w:tcW w:w="1291" w:type="dxa"/>
            <w:shd w:val="clear" w:color="auto" w:fill="auto"/>
            <w:vAlign w:val="center"/>
            <w:hideMark/>
          </w:tcPr>
          <w:p w:rsidR="00EA6F40" w:rsidRPr="003E718C" w:rsidRDefault="00EA6F40" w:rsidP="00EA6F40">
            <w:pPr>
              <w:spacing w:after="0"/>
              <w:jc w:val="center"/>
              <w:rPr>
                <w:rStyle w:val="Strong"/>
              </w:rPr>
            </w:pPr>
          </w:p>
        </w:tc>
        <w:tc>
          <w:tcPr>
            <w:tcW w:w="2835" w:type="dxa"/>
            <w:gridSpan w:val="2"/>
            <w:shd w:val="clear" w:color="auto" w:fill="auto"/>
            <w:vAlign w:val="center"/>
            <w:hideMark/>
          </w:tcPr>
          <w:p w:rsidR="00EA6F40" w:rsidRPr="003E718C" w:rsidRDefault="00EA6F40" w:rsidP="00EA6F40">
            <w:pPr>
              <w:spacing w:after="0"/>
              <w:jc w:val="center"/>
              <w:rPr>
                <w:rStyle w:val="Strong"/>
              </w:rPr>
            </w:pPr>
            <w:r w:rsidRPr="003E718C">
              <w:rPr>
                <w:rStyle w:val="Strong"/>
              </w:rPr>
              <w:t>NHMRC 2006</w:t>
            </w:r>
          </w:p>
        </w:tc>
        <w:tc>
          <w:tcPr>
            <w:tcW w:w="2835" w:type="dxa"/>
            <w:gridSpan w:val="2"/>
            <w:shd w:val="clear" w:color="auto" w:fill="auto"/>
            <w:vAlign w:val="center"/>
            <w:hideMark/>
          </w:tcPr>
          <w:p w:rsidR="00EA6F40" w:rsidRPr="003E718C" w:rsidRDefault="00EA6F40" w:rsidP="00EA6F40">
            <w:pPr>
              <w:spacing w:after="0"/>
              <w:jc w:val="center"/>
              <w:rPr>
                <w:rStyle w:val="Strong"/>
              </w:rPr>
            </w:pPr>
            <w:r w:rsidRPr="003E718C">
              <w:rPr>
                <w:rStyle w:val="Strong"/>
              </w:rPr>
              <w:t>FNB/IOM 2001</w:t>
            </w:r>
          </w:p>
        </w:tc>
        <w:tc>
          <w:tcPr>
            <w:tcW w:w="2835" w:type="dxa"/>
            <w:gridSpan w:val="2"/>
            <w:shd w:val="clear" w:color="auto" w:fill="auto"/>
            <w:vAlign w:val="center"/>
            <w:hideMark/>
          </w:tcPr>
          <w:p w:rsidR="00EA6F40" w:rsidRPr="003E718C" w:rsidRDefault="00EA6F40" w:rsidP="00EA6F40">
            <w:pPr>
              <w:spacing w:after="0"/>
              <w:ind w:right="-108" w:hanging="108"/>
              <w:jc w:val="center"/>
              <w:rPr>
                <w:rStyle w:val="Strong"/>
              </w:rPr>
            </w:pPr>
            <w:r w:rsidRPr="003E718C">
              <w:rPr>
                <w:rStyle w:val="Strong"/>
              </w:rPr>
              <w:t>WHO Secretariat et al  2007</w:t>
            </w:r>
          </w:p>
        </w:tc>
        <w:tc>
          <w:tcPr>
            <w:tcW w:w="2835" w:type="dxa"/>
            <w:gridSpan w:val="2"/>
            <w:shd w:val="clear" w:color="auto" w:fill="auto"/>
            <w:vAlign w:val="center"/>
            <w:hideMark/>
          </w:tcPr>
          <w:p w:rsidR="00EA6F40" w:rsidRPr="003E718C" w:rsidRDefault="00EA6F40" w:rsidP="00EA6F40">
            <w:pPr>
              <w:spacing w:after="0"/>
              <w:jc w:val="center"/>
              <w:rPr>
                <w:rStyle w:val="Strong"/>
              </w:rPr>
            </w:pPr>
            <w:r w:rsidRPr="003E718C">
              <w:rPr>
                <w:rStyle w:val="Strong"/>
              </w:rPr>
              <w:t xml:space="preserve">EFSA 2014 </w:t>
            </w:r>
          </w:p>
        </w:tc>
      </w:tr>
      <w:tr w:rsidR="00EA6F40" w:rsidRPr="00C875F5" w:rsidTr="00974F73">
        <w:trPr>
          <w:trHeight w:val="300"/>
        </w:trPr>
        <w:tc>
          <w:tcPr>
            <w:tcW w:w="1291" w:type="dxa"/>
            <w:shd w:val="clear" w:color="auto" w:fill="auto"/>
            <w:noWrap/>
            <w:vAlign w:val="center"/>
          </w:tcPr>
          <w:p w:rsidR="00EA6F40" w:rsidRPr="00C875F5" w:rsidRDefault="003E718C" w:rsidP="003E718C">
            <w:pPr>
              <w:spacing w:after="0"/>
              <w:jc w:val="center"/>
              <w:rPr>
                <w:rFonts w:eastAsia="Times New Roman" w:cs="Arial"/>
                <w:color w:val="000000"/>
                <w:szCs w:val="22"/>
                <w:lang w:val="en-GB"/>
              </w:rPr>
            </w:pPr>
            <w:r>
              <w:rPr>
                <w:rFonts w:eastAsia="Times New Roman" w:cs="Arial"/>
                <w:color w:val="000000"/>
                <w:szCs w:val="22"/>
                <w:lang w:val="en-GB"/>
              </w:rPr>
              <w:t>Children</w:t>
            </w:r>
          </w:p>
        </w:tc>
        <w:tc>
          <w:tcPr>
            <w:tcW w:w="1418" w:type="dxa"/>
            <w:shd w:val="clear" w:color="auto" w:fill="auto"/>
          </w:tcPr>
          <w:p w:rsidR="00EA6F40" w:rsidRPr="00C875F5" w:rsidRDefault="00EA6F40" w:rsidP="00EA6F40">
            <w:pPr>
              <w:spacing w:after="0"/>
              <w:rPr>
                <w:rFonts w:eastAsia="Times New Roman" w:cs="Arial"/>
                <w:color w:val="000000"/>
                <w:szCs w:val="22"/>
                <w:lang w:val="en-GB"/>
              </w:rPr>
            </w:pPr>
            <w:r w:rsidRPr="00C875F5">
              <w:rPr>
                <w:rFonts w:eastAsia="Times New Roman" w:cs="Arial"/>
                <w:color w:val="000000"/>
                <w:szCs w:val="22"/>
                <w:lang w:val="en-GB"/>
              </w:rPr>
              <w:t>0-6 mo</w:t>
            </w:r>
          </w:p>
          <w:p w:rsidR="00EA6F40" w:rsidRPr="00C875F5" w:rsidRDefault="00EA6F40" w:rsidP="00EA6F40">
            <w:pPr>
              <w:spacing w:after="0"/>
              <w:rPr>
                <w:rFonts w:eastAsia="Times New Roman" w:cs="Arial"/>
                <w:color w:val="000000"/>
                <w:szCs w:val="22"/>
                <w:lang w:val="en-GB"/>
              </w:rPr>
            </w:pPr>
            <w:r w:rsidRPr="00C875F5">
              <w:rPr>
                <w:rFonts w:eastAsia="Times New Roman" w:cs="Arial"/>
                <w:color w:val="000000"/>
                <w:szCs w:val="22"/>
                <w:lang w:val="en-GB"/>
              </w:rPr>
              <w:t>7-12 mo</w:t>
            </w:r>
          </w:p>
          <w:p w:rsidR="00EA6F40" w:rsidRPr="00C875F5" w:rsidRDefault="00EA6F40" w:rsidP="00EA6F40">
            <w:pPr>
              <w:spacing w:after="0"/>
              <w:rPr>
                <w:rFonts w:eastAsia="Times New Roman" w:cs="Arial"/>
                <w:color w:val="000000"/>
                <w:szCs w:val="22"/>
                <w:lang w:val="en-GB"/>
              </w:rPr>
            </w:pPr>
            <w:r w:rsidRPr="00C875F5">
              <w:rPr>
                <w:rFonts w:eastAsia="Times New Roman" w:cs="Arial"/>
                <w:color w:val="000000"/>
                <w:szCs w:val="22"/>
                <w:lang w:val="en-GB"/>
              </w:rPr>
              <w:t>1-3 years</w:t>
            </w:r>
          </w:p>
          <w:p w:rsidR="00EA6F40" w:rsidRPr="00C875F5" w:rsidRDefault="00EA6F40" w:rsidP="00EA6F40">
            <w:pPr>
              <w:spacing w:after="0"/>
              <w:rPr>
                <w:rFonts w:eastAsia="Times New Roman" w:cs="Arial"/>
                <w:color w:val="000000"/>
                <w:szCs w:val="22"/>
                <w:lang w:val="en-GB"/>
              </w:rPr>
            </w:pPr>
            <w:r w:rsidRPr="00C875F5">
              <w:rPr>
                <w:rFonts w:eastAsia="Times New Roman" w:cs="Arial"/>
                <w:color w:val="000000"/>
                <w:szCs w:val="22"/>
                <w:lang w:val="en-GB"/>
              </w:rPr>
              <w:t>4-8 years</w:t>
            </w:r>
          </w:p>
          <w:p w:rsidR="00EA6F40" w:rsidRPr="00C875F5" w:rsidRDefault="00EA6F40" w:rsidP="00EA6F40">
            <w:pPr>
              <w:spacing w:after="0"/>
              <w:rPr>
                <w:rFonts w:eastAsia="Times New Roman" w:cs="Arial"/>
                <w:color w:val="000000"/>
                <w:szCs w:val="22"/>
                <w:lang w:val="en-GB"/>
              </w:rPr>
            </w:pPr>
            <w:r w:rsidRPr="00C875F5">
              <w:rPr>
                <w:rFonts w:eastAsia="Times New Roman" w:cs="Arial"/>
                <w:color w:val="000000"/>
                <w:szCs w:val="22"/>
                <w:lang w:val="en-GB"/>
              </w:rPr>
              <w:t>9-13 years</w:t>
            </w:r>
          </w:p>
          <w:p w:rsidR="00EA6F40" w:rsidRPr="00C875F5" w:rsidRDefault="003E718C" w:rsidP="00EA6F40">
            <w:pPr>
              <w:spacing w:after="0"/>
              <w:rPr>
                <w:rFonts w:eastAsia="Times New Roman" w:cs="Arial"/>
                <w:color w:val="000000"/>
                <w:szCs w:val="22"/>
                <w:lang w:val="en-GB"/>
              </w:rPr>
            </w:pPr>
            <w:r>
              <w:rPr>
                <w:rFonts w:eastAsia="Times New Roman" w:cs="Arial"/>
                <w:color w:val="000000"/>
                <w:szCs w:val="22"/>
                <w:lang w:val="en-GB"/>
              </w:rPr>
              <w:t>14-18 years</w:t>
            </w:r>
          </w:p>
        </w:tc>
        <w:tc>
          <w:tcPr>
            <w:tcW w:w="1417" w:type="dxa"/>
            <w:shd w:val="clear" w:color="auto" w:fill="auto"/>
          </w:tcPr>
          <w:p w:rsidR="00EA6F40" w:rsidRPr="00C875F5" w:rsidRDefault="00EA6F40" w:rsidP="00EA6F40">
            <w:pPr>
              <w:spacing w:after="0"/>
              <w:rPr>
                <w:szCs w:val="22"/>
              </w:rPr>
            </w:pPr>
            <w:r w:rsidRPr="00C875F5">
              <w:rPr>
                <w:rFonts w:eastAsia="Times New Roman" w:cs="Arial"/>
                <w:color w:val="000000"/>
                <w:szCs w:val="22"/>
                <w:lang w:val="en-GB"/>
              </w:rPr>
              <w:t xml:space="preserve">90 </w:t>
            </w:r>
            <w:r w:rsidRPr="00C875F5">
              <w:rPr>
                <w:szCs w:val="22"/>
              </w:rPr>
              <w:t>μg/day</w:t>
            </w:r>
          </w:p>
          <w:p w:rsidR="00EA6F40" w:rsidRPr="00C875F5" w:rsidRDefault="00EA6F40" w:rsidP="00EA6F40">
            <w:pPr>
              <w:spacing w:after="0"/>
              <w:rPr>
                <w:szCs w:val="22"/>
              </w:rPr>
            </w:pPr>
            <w:r w:rsidRPr="00C875F5">
              <w:rPr>
                <w:rFonts w:eastAsia="Times New Roman" w:cs="Arial"/>
                <w:color w:val="000000"/>
                <w:szCs w:val="22"/>
                <w:lang w:val="en-GB"/>
              </w:rPr>
              <w:t xml:space="preserve">110 </w:t>
            </w:r>
            <w:r w:rsidRPr="00C875F5">
              <w:rPr>
                <w:szCs w:val="22"/>
              </w:rPr>
              <w:t>μg/day</w:t>
            </w:r>
          </w:p>
          <w:p w:rsidR="00EA6F40" w:rsidRPr="00C875F5" w:rsidRDefault="00EA6F40" w:rsidP="00EA6F40">
            <w:pPr>
              <w:spacing w:after="0"/>
              <w:rPr>
                <w:szCs w:val="22"/>
              </w:rPr>
            </w:pPr>
            <w:r w:rsidRPr="00C875F5">
              <w:rPr>
                <w:rFonts w:eastAsia="Times New Roman" w:cs="Arial"/>
                <w:color w:val="000000"/>
                <w:szCs w:val="22"/>
                <w:lang w:val="en-GB"/>
              </w:rPr>
              <w:t xml:space="preserve">90 </w:t>
            </w:r>
            <w:r w:rsidRPr="00C875F5">
              <w:rPr>
                <w:szCs w:val="22"/>
              </w:rPr>
              <w:t>μg/day</w:t>
            </w:r>
          </w:p>
          <w:p w:rsidR="00EA6F40" w:rsidRPr="00C875F5" w:rsidRDefault="00EA6F40" w:rsidP="00EA6F40">
            <w:pPr>
              <w:spacing w:after="0"/>
              <w:rPr>
                <w:szCs w:val="22"/>
              </w:rPr>
            </w:pPr>
            <w:r w:rsidRPr="00C875F5">
              <w:rPr>
                <w:rFonts w:eastAsia="Times New Roman" w:cs="Arial"/>
                <w:color w:val="000000"/>
                <w:szCs w:val="22"/>
                <w:lang w:val="en-GB"/>
              </w:rPr>
              <w:t xml:space="preserve">90 </w:t>
            </w:r>
            <w:r w:rsidRPr="00C875F5">
              <w:rPr>
                <w:szCs w:val="22"/>
              </w:rPr>
              <w:t>μg/day</w:t>
            </w:r>
          </w:p>
          <w:p w:rsidR="00EA6F40" w:rsidRPr="00C875F5" w:rsidRDefault="00EA6F40" w:rsidP="00EA6F40">
            <w:pPr>
              <w:spacing w:after="0"/>
              <w:rPr>
                <w:szCs w:val="22"/>
              </w:rPr>
            </w:pPr>
            <w:r w:rsidRPr="00C875F5">
              <w:rPr>
                <w:rFonts w:eastAsia="Times New Roman" w:cs="Arial"/>
                <w:color w:val="000000"/>
                <w:szCs w:val="22"/>
                <w:lang w:val="en-GB"/>
              </w:rPr>
              <w:t xml:space="preserve">120 </w:t>
            </w:r>
            <w:r w:rsidRPr="00C875F5">
              <w:rPr>
                <w:szCs w:val="22"/>
              </w:rPr>
              <w:t>μg/day</w:t>
            </w:r>
          </w:p>
          <w:p w:rsidR="00EA6F40" w:rsidRPr="003E718C" w:rsidRDefault="00EA6F40" w:rsidP="00EA6F40">
            <w:pPr>
              <w:spacing w:after="0"/>
              <w:rPr>
                <w:szCs w:val="22"/>
              </w:rPr>
            </w:pPr>
            <w:r w:rsidRPr="00C875F5">
              <w:rPr>
                <w:rFonts w:eastAsia="Times New Roman" w:cs="Arial"/>
                <w:color w:val="000000"/>
                <w:szCs w:val="22"/>
                <w:lang w:val="en-GB"/>
              </w:rPr>
              <w:t xml:space="preserve">150 </w:t>
            </w:r>
            <w:r w:rsidR="003E718C">
              <w:rPr>
                <w:szCs w:val="22"/>
              </w:rPr>
              <w:t>μg/day</w:t>
            </w:r>
          </w:p>
        </w:tc>
        <w:tc>
          <w:tcPr>
            <w:tcW w:w="1418" w:type="dxa"/>
            <w:shd w:val="clear" w:color="auto" w:fill="auto"/>
          </w:tcPr>
          <w:p w:rsidR="00EA6F40" w:rsidRPr="00C875F5" w:rsidRDefault="00EA6F40" w:rsidP="00EA6F40">
            <w:pPr>
              <w:spacing w:after="0"/>
              <w:rPr>
                <w:rFonts w:eastAsia="Times New Roman" w:cs="Arial"/>
                <w:color w:val="000000"/>
                <w:szCs w:val="22"/>
                <w:lang w:val="en-GB"/>
              </w:rPr>
            </w:pPr>
            <w:r w:rsidRPr="00C875F5">
              <w:rPr>
                <w:rFonts w:eastAsia="Times New Roman" w:cs="Arial"/>
                <w:color w:val="000000"/>
                <w:szCs w:val="22"/>
                <w:lang w:val="en-GB"/>
              </w:rPr>
              <w:t>0-6 mo</w:t>
            </w:r>
          </w:p>
          <w:p w:rsidR="00EA6F40" w:rsidRPr="00C875F5" w:rsidRDefault="00EA6F40" w:rsidP="00EA6F40">
            <w:pPr>
              <w:spacing w:after="0"/>
              <w:rPr>
                <w:rFonts w:eastAsia="Times New Roman" w:cs="Arial"/>
                <w:color w:val="000000"/>
                <w:szCs w:val="22"/>
                <w:lang w:val="en-GB"/>
              </w:rPr>
            </w:pPr>
            <w:r w:rsidRPr="00C875F5">
              <w:rPr>
                <w:rFonts w:eastAsia="Times New Roman" w:cs="Arial"/>
                <w:color w:val="000000"/>
                <w:szCs w:val="22"/>
                <w:lang w:val="en-GB"/>
              </w:rPr>
              <w:t>7-12 mo</w:t>
            </w:r>
          </w:p>
          <w:p w:rsidR="00EA6F40" w:rsidRPr="00C875F5" w:rsidRDefault="00EA6F40" w:rsidP="00EA6F40">
            <w:pPr>
              <w:spacing w:after="0"/>
              <w:rPr>
                <w:rFonts w:eastAsia="Times New Roman" w:cs="Arial"/>
                <w:color w:val="000000"/>
                <w:szCs w:val="22"/>
                <w:lang w:val="en-GB"/>
              </w:rPr>
            </w:pPr>
            <w:r w:rsidRPr="00C875F5">
              <w:rPr>
                <w:rFonts w:eastAsia="Times New Roman" w:cs="Arial"/>
                <w:color w:val="000000"/>
                <w:szCs w:val="22"/>
                <w:lang w:val="en-GB"/>
              </w:rPr>
              <w:t>1-3 years</w:t>
            </w:r>
          </w:p>
          <w:p w:rsidR="00EA6F40" w:rsidRPr="00C875F5" w:rsidRDefault="00EA6F40" w:rsidP="00EA6F40">
            <w:pPr>
              <w:spacing w:after="0"/>
              <w:rPr>
                <w:rFonts w:eastAsia="Times New Roman" w:cs="Arial"/>
                <w:color w:val="000000"/>
                <w:szCs w:val="22"/>
                <w:lang w:val="en-GB"/>
              </w:rPr>
            </w:pPr>
            <w:r w:rsidRPr="00C875F5">
              <w:rPr>
                <w:rFonts w:eastAsia="Times New Roman" w:cs="Arial"/>
                <w:color w:val="000000"/>
                <w:szCs w:val="22"/>
                <w:lang w:val="en-GB"/>
              </w:rPr>
              <w:t>4-8 years</w:t>
            </w:r>
          </w:p>
          <w:p w:rsidR="00EA6F40" w:rsidRPr="00C875F5" w:rsidRDefault="00EA6F40" w:rsidP="00EA6F40">
            <w:pPr>
              <w:spacing w:after="0"/>
              <w:rPr>
                <w:rFonts w:eastAsia="Times New Roman" w:cs="Arial"/>
                <w:color w:val="000000"/>
                <w:szCs w:val="22"/>
                <w:lang w:val="en-GB"/>
              </w:rPr>
            </w:pPr>
            <w:r w:rsidRPr="00C875F5">
              <w:rPr>
                <w:rFonts w:eastAsia="Times New Roman" w:cs="Arial"/>
                <w:color w:val="000000"/>
                <w:szCs w:val="22"/>
                <w:lang w:val="en-GB"/>
              </w:rPr>
              <w:t>9-13 years</w:t>
            </w:r>
          </w:p>
          <w:p w:rsidR="00EA6F40" w:rsidRPr="00C875F5" w:rsidRDefault="003E718C" w:rsidP="00EA6F40">
            <w:pPr>
              <w:spacing w:after="0"/>
              <w:rPr>
                <w:rFonts w:eastAsia="Times New Roman" w:cs="Arial"/>
                <w:color w:val="000000"/>
                <w:szCs w:val="22"/>
                <w:lang w:val="en-GB"/>
              </w:rPr>
            </w:pPr>
            <w:r>
              <w:rPr>
                <w:rFonts w:eastAsia="Times New Roman" w:cs="Arial"/>
                <w:color w:val="000000"/>
                <w:szCs w:val="22"/>
                <w:lang w:val="en-GB"/>
              </w:rPr>
              <w:t>14-18 years</w:t>
            </w:r>
          </w:p>
        </w:tc>
        <w:tc>
          <w:tcPr>
            <w:tcW w:w="1417" w:type="dxa"/>
            <w:shd w:val="clear" w:color="auto" w:fill="auto"/>
          </w:tcPr>
          <w:p w:rsidR="00EA6F40" w:rsidRPr="00C875F5" w:rsidRDefault="00EA6F40" w:rsidP="00EA6F40">
            <w:pPr>
              <w:spacing w:after="0"/>
              <w:rPr>
                <w:szCs w:val="22"/>
              </w:rPr>
            </w:pPr>
            <w:r w:rsidRPr="00C875F5">
              <w:rPr>
                <w:rFonts w:eastAsia="Times New Roman" w:cs="Arial"/>
                <w:color w:val="000000"/>
                <w:szCs w:val="22"/>
                <w:lang w:val="en-GB"/>
              </w:rPr>
              <w:t xml:space="preserve">90 </w:t>
            </w:r>
            <w:r w:rsidRPr="00C875F5">
              <w:rPr>
                <w:szCs w:val="22"/>
              </w:rPr>
              <w:t>μg/day</w:t>
            </w:r>
          </w:p>
          <w:p w:rsidR="00EA6F40" w:rsidRPr="00C875F5" w:rsidRDefault="00EA6F40" w:rsidP="00EA6F40">
            <w:pPr>
              <w:spacing w:after="0"/>
              <w:rPr>
                <w:szCs w:val="22"/>
              </w:rPr>
            </w:pPr>
            <w:r w:rsidRPr="00C875F5">
              <w:rPr>
                <w:rFonts w:eastAsia="Times New Roman" w:cs="Arial"/>
                <w:color w:val="000000"/>
                <w:szCs w:val="22"/>
                <w:lang w:val="en-GB"/>
              </w:rPr>
              <w:t xml:space="preserve">110 </w:t>
            </w:r>
            <w:r w:rsidRPr="00C875F5">
              <w:rPr>
                <w:szCs w:val="22"/>
              </w:rPr>
              <w:t>μg/day</w:t>
            </w:r>
          </w:p>
          <w:p w:rsidR="00EA6F40" w:rsidRPr="00C875F5" w:rsidRDefault="00EA6F40" w:rsidP="00EA6F40">
            <w:pPr>
              <w:spacing w:after="0"/>
              <w:rPr>
                <w:szCs w:val="22"/>
              </w:rPr>
            </w:pPr>
            <w:r w:rsidRPr="00C875F5">
              <w:rPr>
                <w:rFonts w:eastAsia="Times New Roman" w:cs="Arial"/>
                <w:color w:val="000000"/>
                <w:szCs w:val="22"/>
                <w:lang w:val="en-GB"/>
              </w:rPr>
              <w:t xml:space="preserve">90 </w:t>
            </w:r>
            <w:r w:rsidRPr="00C875F5">
              <w:rPr>
                <w:szCs w:val="22"/>
              </w:rPr>
              <w:t>μg/day</w:t>
            </w:r>
          </w:p>
          <w:p w:rsidR="00EA6F40" w:rsidRPr="00C875F5" w:rsidRDefault="00EA6F40" w:rsidP="00EA6F40">
            <w:pPr>
              <w:spacing w:after="0"/>
              <w:rPr>
                <w:szCs w:val="22"/>
              </w:rPr>
            </w:pPr>
            <w:r w:rsidRPr="00C875F5">
              <w:rPr>
                <w:rFonts w:eastAsia="Times New Roman" w:cs="Arial"/>
                <w:color w:val="000000"/>
                <w:szCs w:val="22"/>
                <w:lang w:val="en-GB"/>
              </w:rPr>
              <w:t xml:space="preserve">90 </w:t>
            </w:r>
            <w:r w:rsidRPr="00C875F5">
              <w:rPr>
                <w:szCs w:val="22"/>
              </w:rPr>
              <w:t>μg/day</w:t>
            </w:r>
          </w:p>
          <w:p w:rsidR="00EA6F40" w:rsidRPr="00C875F5" w:rsidRDefault="00EA6F40" w:rsidP="00EA6F40">
            <w:pPr>
              <w:spacing w:after="0"/>
              <w:rPr>
                <w:szCs w:val="22"/>
              </w:rPr>
            </w:pPr>
            <w:r w:rsidRPr="00C875F5">
              <w:rPr>
                <w:rFonts w:eastAsia="Times New Roman" w:cs="Arial"/>
                <w:color w:val="000000"/>
                <w:szCs w:val="22"/>
                <w:lang w:val="en-GB"/>
              </w:rPr>
              <w:t xml:space="preserve">120 </w:t>
            </w:r>
            <w:r w:rsidRPr="00C875F5">
              <w:rPr>
                <w:szCs w:val="22"/>
              </w:rPr>
              <w:t>μg/day</w:t>
            </w:r>
          </w:p>
          <w:p w:rsidR="00EA6F40" w:rsidRPr="003E718C" w:rsidRDefault="00EA6F40" w:rsidP="00EA6F40">
            <w:pPr>
              <w:spacing w:after="0"/>
              <w:rPr>
                <w:szCs w:val="22"/>
              </w:rPr>
            </w:pPr>
            <w:r w:rsidRPr="00C875F5">
              <w:rPr>
                <w:rFonts w:eastAsia="Times New Roman" w:cs="Arial"/>
                <w:color w:val="000000"/>
                <w:szCs w:val="22"/>
                <w:lang w:val="en-GB"/>
              </w:rPr>
              <w:t xml:space="preserve">150 </w:t>
            </w:r>
            <w:r w:rsidR="003E718C">
              <w:rPr>
                <w:szCs w:val="22"/>
              </w:rPr>
              <w:t>μg/day</w:t>
            </w:r>
          </w:p>
        </w:tc>
        <w:tc>
          <w:tcPr>
            <w:tcW w:w="1418" w:type="dxa"/>
            <w:shd w:val="clear" w:color="auto" w:fill="auto"/>
            <w:noWrap/>
          </w:tcPr>
          <w:p w:rsidR="00EA6F40" w:rsidRPr="00C875F5" w:rsidRDefault="00EA6F40" w:rsidP="00130B29">
            <w:pPr>
              <w:spacing w:before="840" w:after="0"/>
              <w:rPr>
                <w:rFonts w:eastAsia="Times New Roman" w:cs="Arial"/>
                <w:color w:val="000000"/>
                <w:szCs w:val="22"/>
                <w:lang w:val="en-GB"/>
              </w:rPr>
            </w:pPr>
            <w:r w:rsidRPr="00C875F5">
              <w:rPr>
                <w:rFonts w:eastAsia="Times New Roman" w:cs="Arial"/>
                <w:color w:val="000000"/>
                <w:szCs w:val="22"/>
                <w:lang w:val="en-GB"/>
              </w:rPr>
              <w:t xml:space="preserve">0-11 mo </w:t>
            </w:r>
          </w:p>
          <w:p w:rsidR="00EA6F40" w:rsidRPr="00C875F5" w:rsidRDefault="00EA6F40" w:rsidP="00EA6F40">
            <w:pPr>
              <w:spacing w:after="0"/>
              <w:rPr>
                <w:rFonts w:eastAsia="Times New Roman" w:cs="Arial"/>
                <w:color w:val="000000"/>
                <w:szCs w:val="22"/>
                <w:lang w:val="en-GB"/>
              </w:rPr>
            </w:pPr>
            <w:r w:rsidRPr="00C875F5">
              <w:rPr>
                <w:rFonts w:eastAsia="Times New Roman" w:cs="Arial"/>
                <w:color w:val="000000"/>
                <w:szCs w:val="22"/>
                <w:lang w:val="en-GB"/>
              </w:rPr>
              <w:t>1-5 years</w:t>
            </w:r>
          </w:p>
          <w:p w:rsidR="00EA6F40" w:rsidRPr="00C875F5" w:rsidRDefault="00EA6F40" w:rsidP="00EA6F40">
            <w:pPr>
              <w:spacing w:after="0"/>
              <w:rPr>
                <w:rFonts w:eastAsia="Times New Roman" w:cs="Arial"/>
                <w:color w:val="000000"/>
                <w:szCs w:val="22"/>
                <w:lang w:val="en-GB"/>
              </w:rPr>
            </w:pPr>
            <w:r w:rsidRPr="00C875F5">
              <w:rPr>
                <w:rFonts w:eastAsia="Times New Roman" w:cs="Arial"/>
                <w:color w:val="000000"/>
                <w:szCs w:val="22"/>
                <w:lang w:val="en-GB"/>
              </w:rPr>
              <w:t>6-12 years</w:t>
            </w:r>
          </w:p>
          <w:p w:rsidR="00EA6F40" w:rsidRPr="00C875F5" w:rsidRDefault="003E718C" w:rsidP="00EA6F40">
            <w:pPr>
              <w:spacing w:after="0"/>
              <w:rPr>
                <w:rFonts w:eastAsia="Times New Roman" w:cs="Arial"/>
                <w:color w:val="000000"/>
                <w:szCs w:val="22"/>
                <w:lang w:val="en-GB"/>
              </w:rPr>
            </w:pPr>
            <w:r>
              <w:rPr>
                <w:rFonts w:eastAsia="Times New Roman" w:cs="Arial"/>
                <w:color w:val="000000"/>
                <w:szCs w:val="22"/>
                <w:lang w:val="en-GB"/>
              </w:rPr>
              <w:t>&gt;13 years</w:t>
            </w:r>
          </w:p>
        </w:tc>
        <w:tc>
          <w:tcPr>
            <w:tcW w:w="1417" w:type="dxa"/>
            <w:shd w:val="clear" w:color="auto" w:fill="auto"/>
          </w:tcPr>
          <w:p w:rsidR="00EA6F40" w:rsidRPr="00C875F5" w:rsidRDefault="00EA6F40" w:rsidP="00130B29">
            <w:pPr>
              <w:spacing w:before="840" w:after="0"/>
              <w:rPr>
                <w:szCs w:val="22"/>
              </w:rPr>
            </w:pPr>
            <w:r w:rsidRPr="00C875F5">
              <w:rPr>
                <w:rFonts w:eastAsia="Times New Roman" w:cs="Arial"/>
                <w:color w:val="000000"/>
                <w:szCs w:val="22"/>
                <w:lang w:val="en-GB"/>
              </w:rPr>
              <w:t xml:space="preserve">90 </w:t>
            </w:r>
            <w:r w:rsidRPr="00C875F5">
              <w:rPr>
                <w:szCs w:val="22"/>
              </w:rPr>
              <w:t>μg/day</w:t>
            </w:r>
          </w:p>
          <w:p w:rsidR="00EA6F40" w:rsidRPr="00C875F5" w:rsidRDefault="00EA6F40" w:rsidP="00EA6F40">
            <w:pPr>
              <w:spacing w:after="0"/>
              <w:rPr>
                <w:szCs w:val="22"/>
              </w:rPr>
            </w:pPr>
            <w:r w:rsidRPr="00C875F5">
              <w:rPr>
                <w:rFonts w:eastAsia="Times New Roman" w:cs="Arial"/>
                <w:color w:val="000000"/>
                <w:szCs w:val="22"/>
                <w:lang w:val="en-GB"/>
              </w:rPr>
              <w:t xml:space="preserve">90 </w:t>
            </w:r>
            <w:r w:rsidRPr="00C875F5">
              <w:rPr>
                <w:szCs w:val="22"/>
              </w:rPr>
              <w:t>μg/day</w:t>
            </w:r>
          </w:p>
          <w:p w:rsidR="00EA6F40" w:rsidRPr="00C875F5" w:rsidRDefault="00EA6F40" w:rsidP="00EA6F40">
            <w:pPr>
              <w:spacing w:after="0"/>
              <w:rPr>
                <w:szCs w:val="22"/>
              </w:rPr>
            </w:pPr>
            <w:r w:rsidRPr="00C875F5">
              <w:rPr>
                <w:rFonts w:eastAsia="Times New Roman" w:cs="Arial"/>
                <w:color w:val="000000"/>
                <w:szCs w:val="22"/>
                <w:lang w:val="en-GB"/>
              </w:rPr>
              <w:t xml:space="preserve">120 </w:t>
            </w:r>
            <w:r w:rsidRPr="00C875F5">
              <w:rPr>
                <w:szCs w:val="22"/>
              </w:rPr>
              <w:t>μg/day</w:t>
            </w:r>
          </w:p>
          <w:p w:rsidR="00EA6F40" w:rsidRPr="003E718C" w:rsidRDefault="00EA6F40" w:rsidP="00EA6F40">
            <w:pPr>
              <w:spacing w:after="0"/>
              <w:rPr>
                <w:szCs w:val="22"/>
              </w:rPr>
            </w:pPr>
            <w:r w:rsidRPr="00C875F5">
              <w:rPr>
                <w:rFonts w:eastAsia="Times New Roman" w:cs="Arial"/>
                <w:color w:val="000000"/>
                <w:szCs w:val="22"/>
                <w:lang w:val="en-GB"/>
              </w:rPr>
              <w:t xml:space="preserve">150 </w:t>
            </w:r>
            <w:r w:rsidR="003E718C">
              <w:rPr>
                <w:szCs w:val="22"/>
              </w:rPr>
              <w:t>μg/day</w:t>
            </w:r>
          </w:p>
        </w:tc>
        <w:tc>
          <w:tcPr>
            <w:tcW w:w="1418" w:type="dxa"/>
            <w:shd w:val="clear" w:color="auto" w:fill="auto"/>
            <w:noWrap/>
          </w:tcPr>
          <w:p w:rsidR="00EA6F40" w:rsidRPr="00C875F5" w:rsidRDefault="00EA6F40" w:rsidP="00EA6F40">
            <w:pPr>
              <w:spacing w:after="0"/>
              <w:rPr>
                <w:rFonts w:eastAsia="Times New Roman" w:cs="Arial"/>
                <w:color w:val="000000"/>
                <w:szCs w:val="22"/>
                <w:lang w:val="en-GB"/>
              </w:rPr>
            </w:pPr>
            <w:r w:rsidRPr="00C875F5">
              <w:rPr>
                <w:rFonts w:eastAsia="Times New Roman" w:cs="Arial"/>
                <w:color w:val="000000"/>
                <w:szCs w:val="22"/>
                <w:lang w:val="en-GB"/>
              </w:rPr>
              <w:t>7-11 mo</w:t>
            </w:r>
          </w:p>
          <w:p w:rsidR="00EA6F40" w:rsidRPr="00C875F5" w:rsidRDefault="00EA6F40" w:rsidP="00EA6F40">
            <w:pPr>
              <w:spacing w:after="0"/>
              <w:rPr>
                <w:rFonts w:eastAsia="Times New Roman" w:cs="Arial"/>
                <w:color w:val="000000"/>
                <w:szCs w:val="22"/>
                <w:lang w:val="en-GB"/>
              </w:rPr>
            </w:pPr>
            <w:r w:rsidRPr="00C875F5">
              <w:rPr>
                <w:rFonts w:eastAsia="Times New Roman" w:cs="Arial"/>
                <w:color w:val="000000"/>
                <w:szCs w:val="22"/>
                <w:lang w:val="en-GB"/>
              </w:rPr>
              <w:t>1-3 years</w:t>
            </w:r>
          </w:p>
          <w:p w:rsidR="00EA6F40" w:rsidRPr="00C875F5" w:rsidRDefault="00EA6F40" w:rsidP="00EA6F40">
            <w:pPr>
              <w:spacing w:after="0"/>
              <w:rPr>
                <w:rFonts w:eastAsia="Times New Roman" w:cs="Arial"/>
                <w:color w:val="000000"/>
                <w:szCs w:val="22"/>
                <w:lang w:val="en-GB"/>
              </w:rPr>
            </w:pPr>
            <w:r w:rsidRPr="00C875F5">
              <w:rPr>
                <w:rFonts w:eastAsia="Times New Roman" w:cs="Arial"/>
                <w:color w:val="000000"/>
                <w:szCs w:val="22"/>
                <w:lang w:val="en-GB"/>
              </w:rPr>
              <w:t>4-6 years</w:t>
            </w:r>
          </w:p>
          <w:p w:rsidR="00EA6F40" w:rsidRPr="00C875F5" w:rsidRDefault="00EA6F40" w:rsidP="00EA6F40">
            <w:pPr>
              <w:spacing w:after="0"/>
              <w:rPr>
                <w:rFonts w:eastAsia="Times New Roman" w:cs="Arial"/>
                <w:color w:val="000000"/>
                <w:szCs w:val="22"/>
                <w:lang w:val="en-GB"/>
              </w:rPr>
            </w:pPr>
            <w:r w:rsidRPr="00C875F5">
              <w:rPr>
                <w:rFonts w:eastAsia="Times New Roman" w:cs="Arial"/>
                <w:color w:val="000000"/>
                <w:szCs w:val="22"/>
                <w:lang w:val="en-GB"/>
              </w:rPr>
              <w:t>7-10 years</w:t>
            </w:r>
          </w:p>
          <w:p w:rsidR="00EA6F40" w:rsidRPr="00C875F5" w:rsidRDefault="00EA6F40" w:rsidP="00EA6F40">
            <w:pPr>
              <w:spacing w:after="0"/>
              <w:rPr>
                <w:rFonts w:eastAsia="Times New Roman" w:cs="Arial"/>
                <w:color w:val="000000"/>
                <w:szCs w:val="22"/>
                <w:lang w:val="en-GB"/>
              </w:rPr>
            </w:pPr>
            <w:r w:rsidRPr="00C875F5">
              <w:rPr>
                <w:rFonts w:eastAsia="Times New Roman" w:cs="Arial"/>
                <w:color w:val="000000"/>
                <w:szCs w:val="22"/>
                <w:lang w:val="en-GB"/>
              </w:rPr>
              <w:t>11-14 years</w:t>
            </w:r>
          </w:p>
          <w:p w:rsidR="00EA6F40" w:rsidRPr="00C875F5" w:rsidRDefault="00EA6F40" w:rsidP="00EA6F40">
            <w:pPr>
              <w:spacing w:after="0"/>
              <w:rPr>
                <w:rFonts w:eastAsia="Times New Roman" w:cs="Arial"/>
                <w:color w:val="000000"/>
                <w:szCs w:val="22"/>
                <w:lang w:val="en-GB"/>
              </w:rPr>
            </w:pPr>
            <w:r w:rsidRPr="00C875F5">
              <w:rPr>
                <w:rFonts w:eastAsia="Times New Roman" w:cs="Arial"/>
                <w:color w:val="000000"/>
                <w:szCs w:val="22"/>
                <w:lang w:val="en-GB"/>
              </w:rPr>
              <w:t>15-17 years</w:t>
            </w:r>
          </w:p>
        </w:tc>
        <w:tc>
          <w:tcPr>
            <w:tcW w:w="1417" w:type="dxa"/>
            <w:shd w:val="clear" w:color="auto" w:fill="auto"/>
          </w:tcPr>
          <w:p w:rsidR="00EA6F40" w:rsidRPr="00C875F5" w:rsidRDefault="00EA6F40" w:rsidP="00EA6F40">
            <w:pPr>
              <w:spacing w:after="0"/>
              <w:rPr>
                <w:szCs w:val="22"/>
              </w:rPr>
            </w:pPr>
            <w:r w:rsidRPr="00C875F5">
              <w:rPr>
                <w:rFonts w:eastAsia="Times New Roman" w:cs="Arial"/>
                <w:color w:val="000000"/>
                <w:szCs w:val="22"/>
                <w:lang w:val="en-GB"/>
              </w:rPr>
              <w:t xml:space="preserve">70 </w:t>
            </w:r>
            <w:r w:rsidRPr="00C875F5">
              <w:rPr>
                <w:szCs w:val="22"/>
              </w:rPr>
              <w:t>μg/day</w:t>
            </w:r>
          </w:p>
          <w:p w:rsidR="00EA6F40" w:rsidRPr="00C875F5" w:rsidRDefault="00EA6F40" w:rsidP="00EA6F40">
            <w:pPr>
              <w:spacing w:after="0"/>
              <w:rPr>
                <w:szCs w:val="22"/>
              </w:rPr>
            </w:pPr>
            <w:r w:rsidRPr="00C875F5">
              <w:rPr>
                <w:rFonts w:eastAsia="Times New Roman" w:cs="Arial"/>
                <w:color w:val="000000"/>
                <w:szCs w:val="22"/>
                <w:lang w:val="en-GB"/>
              </w:rPr>
              <w:t xml:space="preserve">90 </w:t>
            </w:r>
            <w:r w:rsidRPr="00C875F5">
              <w:rPr>
                <w:szCs w:val="22"/>
              </w:rPr>
              <w:t>μg/day</w:t>
            </w:r>
          </w:p>
          <w:p w:rsidR="00EA6F40" w:rsidRPr="00C875F5" w:rsidRDefault="00EA6F40" w:rsidP="00EA6F40">
            <w:pPr>
              <w:spacing w:after="0"/>
              <w:rPr>
                <w:szCs w:val="22"/>
              </w:rPr>
            </w:pPr>
            <w:r w:rsidRPr="00C875F5">
              <w:rPr>
                <w:rFonts w:eastAsia="Times New Roman" w:cs="Arial"/>
                <w:color w:val="000000"/>
                <w:szCs w:val="22"/>
                <w:lang w:val="en-GB"/>
              </w:rPr>
              <w:t xml:space="preserve">90 </w:t>
            </w:r>
            <w:r w:rsidRPr="00C875F5">
              <w:rPr>
                <w:szCs w:val="22"/>
              </w:rPr>
              <w:t>μg/day</w:t>
            </w:r>
          </w:p>
          <w:p w:rsidR="00EA6F40" w:rsidRPr="00C875F5" w:rsidRDefault="00EA6F40" w:rsidP="00EA6F40">
            <w:pPr>
              <w:spacing w:after="0"/>
              <w:rPr>
                <w:szCs w:val="22"/>
              </w:rPr>
            </w:pPr>
            <w:r w:rsidRPr="00C875F5">
              <w:rPr>
                <w:rFonts w:eastAsia="Times New Roman" w:cs="Arial"/>
                <w:color w:val="000000"/>
                <w:szCs w:val="22"/>
                <w:lang w:val="en-GB"/>
              </w:rPr>
              <w:t xml:space="preserve">90 </w:t>
            </w:r>
            <w:r w:rsidRPr="00C875F5">
              <w:rPr>
                <w:szCs w:val="22"/>
              </w:rPr>
              <w:t>μg/day</w:t>
            </w:r>
          </w:p>
          <w:p w:rsidR="00EA6F40" w:rsidRPr="00C875F5" w:rsidRDefault="00EA6F40" w:rsidP="00EA6F40">
            <w:pPr>
              <w:spacing w:after="0"/>
              <w:rPr>
                <w:szCs w:val="22"/>
              </w:rPr>
            </w:pPr>
            <w:r w:rsidRPr="00C875F5">
              <w:rPr>
                <w:rFonts w:eastAsia="Times New Roman" w:cs="Arial"/>
                <w:color w:val="000000"/>
                <w:szCs w:val="22"/>
                <w:lang w:val="en-GB"/>
              </w:rPr>
              <w:t xml:space="preserve">120 </w:t>
            </w:r>
            <w:r w:rsidRPr="00C875F5">
              <w:rPr>
                <w:szCs w:val="22"/>
              </w:rPr>
              <w:t>μg/day</w:t>
            </w:r>
          </w:p>
          <w:p w:rsidR="00EA6F40" w:rsidRPr="00C875F5" w:rsidRDefault="00EA6F40" w:rsidP="00EA6F40">
            <w:pPr>
              <w:spacing w:after="0"/>
              <w:rPr>
                <w:rFonts w:eastAsia="Times New Roman" w:cs="Arial"/>
                <w:b/>
                <w:color w:val="000000"/>
                <w:szCs w:val="22"/>
                <w:lang w:val="en-GB"/>
              </w:rPr>
            </w:pPr>
            <w:r w:rsidRPr="00C875F5">
              <w:rPr>
                <w:rFonts w:eastAsia="Times New Roman" w:cs="Arial"/>
                <w:color w:val="000000"/>
                <w:szCs w:val="22"/>
                <w:lang w:val="en-GB"/>
              </w:rPr>
              <w:t xml:space="preserve">130 </w:t>
            </w:r>
            <w:r w:rsidRPr="00C875F5">
              <w:rPr>
                <w:szCs w:val="22"/>
              </w:rPr>
              <w:t>μg/day</w:t>
            </w:r>
          </w:p>
        </w:tc>
      </w:tr>
      <w:tr w:rsidR="00EA6F40" w:rsidRPr="00C875F5" w:rsidTr="00974F73">
        <w:trPr>
          <w:trHeight w:val="735"/>
        </w:trPr>
        <w:tc>
          <w:tcPr>
            <w:tcW w:w="1291" w:type="dxa"/>
            <w:shd w:val="clear" w:color="auto" w:fill="auto"/>
            <w:noWrap/>
            <w:vAlign w:val="center"/>
          </w:tcPr>
          <w:p w:rsidR="00EA6F40" w:rsidRPr="00C875F5" w:rsidRDefault="00EA6F40" w:rsidP="00EA6F40">
            <w:pPr>
              <w:spacing w:after="0"/>
              <w:jc w:val="center"/>
              <w:rPr>
                <w:rFonts w:cs="Arial"/>
                <w:szCs w:val="22"/>
              </w:rPr>
            </w:pPr>
            <w:r w:rsidRPr="00C875F5">
              <w:rPr>
                <w:rFonts w:cs="Arial"/>
                <w:szCs w:val="22"/>
              </w:rPr>
              <w:t>Adults</w:t>
            </w:r>
          </w:p>
        </w:tc>
        <w:tc>
          <w:tcPr>
            <w:tcW w:w="2835" w:type="dxa"/>
            <w:gridSpan w:val="2"/>
            <w:shd w:val="clear" w:color="auto" w:fill="auto"/>
            <w:vAlign w:val="center"/>
          </w:tcPr>
          <w:p w:rsidR="00EA6F40" w:rsidRPr="00C875F5" w:rsidRDefault="00EA6F40" w:rsidP="00EA6F40">
            <w:pPr>
              <w:spacing w:after="0"/>
              <w:jc w:val="center"/>
              <w:rPr>
                <w:rFonts w:eastAsia="Times New Roman" w:cs="Arial"/>
                <w:color w:val="000000"/>
                <w:szCs w:val="22"/>
                <w:lang w:val="en-GB"/>
              </w:rPr>
            </w:pPr>
            <w:r w:rsidRPr="00C875F5">
              <w:rPr>
                <w:rFonts w:eastAsia="Times New Roman" w:cs="Arial"/>
                <w:color w:val="000000"/>
                <w:szCs w:val="22"/>
                <w:lang w:val="en-GB"/>
              </w:rPr>
              <w:t xml:space="preserve">150 </w:t>
            </w:r>
            <w:r w:rsidRPr="00C875F5">
              <w:rPr>
                <w:szCs w:val="22"/>
              </w:rPr>
              <w:t>μg/day</w:t>
            </w:r>
          </w:p>
        </w:tc>
        <w:tc>
          <w:tcPr>
            <w:tcW w:w="2835" w:type="dxa"/>
            <w:gridSpan w:val="2"/>
            <w:shd w:val="clear" w:color="auto" w:fill="auto"/>
            <w:vAlign w:val="center"/>
          </w:tcPr>
          <w:p w:rsidR="00EA6F40" w:rsidRPr="00C875F5" w:rsidRDefault="00EA6F40" w:rsidP="00EA6F40">
            <w:pPr>
              <w:widowControl w:val="0"/>
              <w:autoSpaceDE w:val="0"/>
              <w:autoSpaceDN w:val="0"/>
              <w:adjustRightInd w:val="0"/>
              <w:spacing w:after="0"/>
              <w:jc w:val="center"/>
              <w:rPr>
                <w:rFonts w:cs="Arial"/>
                <w:szCs w:val="22"/>
              </w:rPr>
            </w:pPr>
            <w:r w:rsidRPr="00C875F5">
              <w:rPr>
                <w:rFonts w:eastAsia="Times New Roman" w:cs="Arial"/>
                <w:color w:val="000000"/>
                <w:szCs w:val="22"/>
                <w:lang w:val="en-GB"/>
              </w:rPr>
              <w:t xml:space="preserve">150 </w:t>
            </w:r>
            <w:r w:rsidRPr="00C875F5">
              <w:rPr>
                <w:szCs w:val="22"/>
              </w:rPr>
              <w:t>μg/day</w:t>
            </w:r>
          </w:p>
        </w:tc>
        <w:tc>
          <w:tcPr>
            <w:tcW w:w="2835" w:type="dxa"/>
            <w:gridSpan w:val="2"/>
            <w:shd w:val="clear" w:color="auto" w:fill="auto"/>
            <w:noWrap/>
            <w:vAlign w:val="center"/>
          </w:tcPr>
          <w:p w:rsidR="00EA6F40" w:rsidRPr="00C875F5" w:rsidRDefault="00EA6F40" w:rsidP="00EA6F40">
            <w:pPr>
              <w:widowControl w:val="0"/>
              <w:autoSpaceDE w:val="0"/>
              <w:autoSpaceDN w:val="0"/>
              <w:adjustRightInd w:val="0"/>
              <w:spacing w:after="0"/>
              <w:jc w:val="center"/>
              <w:rPr>
                <w:rFonts w:cs="Arial"/>
                <w:szCs w:val="22"/>
              </w:rPr>
            </w:pPr>
            <w:r w:rsidRPr="00C875F5">
              <w:rPr>
                <w:rFonts w:eastAsia="Times New Roman" w:cs="Arial"/>
                <w:color w:val="000000"/>
                <w:szCs w:val="22"/>
                <w:lang w:val="en-GB"/>
              </w:rPr>
              <w:t xml:space="preserve">150 </w:t>
            </w:r>
            <w:r w:rsidRPr="00C875F5">
              <w:rPr>
                <w:szCs w:val="22"/>
              </w:rPr>
              <w:t>μg/day</w:t>
            </w:r>
          </w:p>
        </w:tc>
        <w:tc>
          <w:tcPr>
            <w:tcW w:w="2835" w:type="dxa"/>
            <w:gridSpan w:val="2"/>
            <w:shd w:val="clear" w:color="auto" w:fill="auto"/>
            <w:noWrap/>
            <w:vAlign w:val="center"/>
          </w:tcPr>
          <w:p w:rsidR="00EA6F40" w:rsidRPr="00C875F5" w:rsidRDefault="00EA6F40" w:rsidP="00EA6F40">
            <w:pPr>
              <w:widowControl w:val="0"/>
              <w:autoSpaceDE w:val="0"/>
              <w:autoSpaceDN w:val="0"/>
              <w:adjustRightInd w:val="0"/>
              <w:spacing w:after="0"/>
              <w:jc w:val="center"/>
              <w:rPr>
                <w:rFonts w:cs="Arial"/>
                <w:szCs w:val="22"/>
              </w:rPr>
            </w:pPr>
            <w:r w:rsidRPr="00C875F5">
              <w:rPr>
                <w:rFonts w:eastAsia="Times New Roman" w:cs="Arial"/>
                <w:color w:val="000000"/>
                <w:szCs w:val="22"/>
                <w:lang w:val="en-GB"/>
              </w:rPr>
              <w:t xml:space="preserve">150 </w:t>
            </w:r>
            <w:r w:rsidRPr="00C875F5">
              <w:rPr>
                <w:szCs w:val="22"/>
              </w:rPr>
              <w:t>μg/day</w:t>
            </w:r>
          </w:p>
        </w:tc>
      </w:tr>
      <w:tr w:rsidR="00EA6F40" w:rsidRPr="00C875F5" w:rsidTr="00974F73">
        <w:trPr>
          <w:trHeight w:val="690"/>
        </w:trPr>
        <w:tc>
          <w:tcPr>
            <w:tcW w:w="1291" w:type="dxa"/>
            <w:shd w:val="clear" w:color="auto" w:fill="auto"/>
            <w:noWrap/>
            <w:vAlign w:val="center"/>
          </w:tcPr>
          <w:p w:rsidR="00EA6F40" w:rsidRPr="00C875F5" w:rsidRDefault="00EA6F40" w:rsidP="00EA6F40">
            <w:pPr>
              <w:spacing w:after="0"/>
              <w:jc w:val="center"/>
              <w:rPr>
                <w:rFonts w:cs="Arial"/>
                <w:szCs w:val="22"/>
              </w:rPr>
            </w:pPr>
            <w:r w:rsidRPr="00C875F5">
              <w:rPr>
                <w:rFonts w:cs="Arial"/>
                <w:szCs w:val="22"/>
              </w:rPr>
              <w:t>Pregnancy</w:t>
            </w:r>
          </w:p>
        </w:tc>
        <w:tc>
          <w:tcPr>
            <w:tcW w:w="2835" w:type="dxa"/>
            <w:gridSpan w:val="2"/>
            <w:shd w:val="clear" w:color="auto" w:fill="auto"/>
            <w:vAlign w:val="center"/>
          </w:tcPr>
          <w:p w:rsidR="00EA6F40" w:rsidRPr="00C875F5" w:rsidRDefault="00EA6F40" w:rsidP="00EA6F40">
            <w:pPr>
              <w:spacing w:after="0"/>
              <w:jc w:val="center"/>
              <w:rPr>
                <w:rFonts w:eastAsia="Times New Roman" w:cs="Arial"/>
                <w:color w:val="000000"/>
                <w:szCs w:val="22"/>
                <w:lang w:val="en-GB"/>
              </w:rPr>
            </w:pPr>
            <w:r w:rsidRPr="00C875F5">
              <w:rPr>
                <w:rFonts w:eastAsia="Times New Roman" w:cs="Arial"/>
                <w:color w:val="000000"/>
                <w:szCs w:val="22"/>
                <w:lang w:val="en-GB"/>
              </w:rPr>
              <w:t xml:space="preserve">220 </w:t>
            </w:r>
            <w:r w:rsidRPr="00C875F5">
              <w:rPr>
                <w:szCs w:val="22"/>
              </w:rPr>
              <w:t>μg/day</w:t>
            </w:r>
          </w:p>
        </w:tc>
        <w:tc>
          <w:tcPr>
            <w:tcW w:w="2835" w:type="dxa"/>
            <w:gridSpan w:val="2"/>
            <w:shd w:val="clear" w:color="auto" w:fill="auto"/>
            <w:vAlign w:val="center"/>
          </w:tcPr>
          <w:p w:rsidR="00EA6F40" w:rsidRPr="00C875F5" w:rsidRDefault="00EA6F40" w:rsidP="00EA6F40">
            <w:pPr>
              <w:widowControl w:val="0"/>
              <w:autoSpaceDE w:val="0"/>
              <w:autoSpaceDN w:val="0"/>
              <w:adjustRightInd w:val="0"/>
              <w:spacing w:after="0"/>
              <w:jc w:val="center"/>
              <w:rPr>
                <w:rFonts w:cs="Arial"/>
                <w:szCs w:val="22"/>
              </w:rPr>
            </w:pPr>
            <w:r w:rsidRPr="00C875F5">
              <w:rPr>
                <w:rFonts w:eastAsia="Times New Roman" w:cs="Arial"/>
                <w:color w:val="000000"/>
                <w:szCs w:val="22"/>
                <w:lang w:val="en-GB"/>
              </w:rPr>
              <w:t xml:space="preserve">220 </w:t>
            </w:r>
            <w:r w:rsidRPr="00C875F5">
              <w:rPr>
                <w:szCs w:val="22"/>
              </w:rPr>
              <w:t>μg/day</w:t>
            </w:r>
          </w:p>
        </w:tc>
        <w:tc>
          <w:tcPr>
            <w:tcW w:w="2835" w:type="dxa"/>
            <w:gridSpan w:val="2"/>
            <w:shd w:val="clear" w:color="auto" w:fill="auto"/>
            <w:noWrap/>
            <w:vAlign w:val="center"/>
          </w:tcPr>
          <w:p w:rsidR="00EA6F40" w:rsidRPr="00C875F5" w:rsidRDefault="00EA6F40" w:rsidP="00EA6F40">
            <w:pPr>
              <w:widowControl w:val="0"/>
              <w:autoSpaceDE w:val="0"/>
              <w:autoSpaceDN w:val="0"/>
              <w:adjustRightInd w:val="0"/>
              <w:spacing w:after="0"/>
              <w:jc w:val="center"/>
              <w:rPr>
                <w:rFonts w:cs="Arial"/>
                <w:szCs w:val="22"/>
              </w:rPr>
            </w:pPr>
            <w:r w:rsidRPr="00C875F5">
              <w:rPr>
                <w:rFonts w:eastAsia="Times New Roman" w:cs="Arial"/>
                <w:color w:val="000000"/>
                <w:szCs w:val="22"/>
                <w:lang w:val="en-GB"/>
              </w:rPr>
              <w:t>2</w:t>
            </w:r>
            <w:r>
              <w:rPr>
                <w:rFonts w:eastAsia="Times New Roman" w:cs="Arial"/>
                <w:color w:val="000000"/>
                <w:szCs w:val="22"/>
                <w:lang w:val="en-GB"/>
              </w:rPr>
              <w:t>50</w:t>
            </w:r>
            <w:r w:rsidRPr="00C875F5">
              <w:rPr>
                <w:rFonts w:eastAsia="Times New Roman" w:cs="Arial"/>
                <w:color w:val="000000"/>
                <w:szCs w:val="22"/>
                <w:lang w:val="en-GB"/>
              </w:rPr>
              <w:t xml:space="preserve"> </w:t>
            </w:r>
            <w:r w:rsidRPr="00C875F5">
              <w:rPr>
                <w:szCs w:val="22"/>
              </w:rPr>
              <w:t>μg/day</w:t>
            </w:r>
          </w:p>
        </w:tc>
        <w:tc>
          <w:tcPr>
            <w:tcW w:w="2835" w:type="dxa"/>
            <w:gridSpan w:val="2"/>
            <w:shd w:val="clear" w:color="auto" w:fill="auto"/>
            <w:noWrap/>
            <w:vAlign w:val="center"/>
          </w:tcPr>
          <w:p w:rsidR="00EA6F40" w:rsidRPr="00C875F5" w:rsidRDefault="00EA6F40" w:rsidP="00EA6F40">
            <w:pPr>
              <w:widowControl w:val="0"/>
              <w:autoSpaceDE w:val="0"/>
              <w:autoSpaceDN w:val="0"/>
              <w:adjustRightInd w:val="0"/>
              <w:spacing w:after="0"/>
              <w:jc w:val="center"/>
              <w:rPr>
                <w:rFonts w:cs="Arial"/>
                <w:szCs w:val="22"/>
              </w:rPr>
            </w:pPr>
            <w:r w:rsidRPr="00C875F5">
              <w:rPr>
                <w:rFonts w:eastAsia="Times New Roman" w:cs="Arial"/>
                <w:color w:val="000000"/>
                <w:szCs w:val="22"/>
                <w:lang w:val="en-GB"/>
              </w:rPr>
              <w:t xml:space="preserve">200 </w:t>
            </w:r>
            <w:r w:rsidRPr="00C875F5">
              <w:rPr>
                <w:szCs w:val="22"/>
              </w:rPr>
              <w:t>μg/day</w:t>
            </w:r>
          </w:p>
        </w:tc>
      </w:tr>
      <w:tr w:rsidR="00EA6F40" w:rsidRPr="00C875F5" w:rsidTr="00974F73">
        <w:trPr>
          <w:trHeight w:val="714"/>
        </w:trPr>
        <w:tc>
          <w:tcPr>
            <w:tcW w:w="1291" w:type="dxa"/>
            <w:shd w:val="clear" w:color="auto" w:fill="auto"/>
            <w:noWrap/>
            <w:vAlign w:val="center"/>
          </w:tcPr>
          <w:p w:rsidR="00EA6F40" w:rsidRPr="00C875F5" w:rsidRDefault="00EA6F40" w:rsidP="00EA6F40">
            <w:pPr>
              <w:spacing w:after="0"/>
              <w:jc w:val="center"/>
              <w:rPr>
                <w:rFonts w:cs="Arial"/>
                <w:szCs w:val="22"/>
              </w:rPr>
            </w:pPr>
            <w:r w:rsidRPr="00C875F5">
              <w:rPr>
                <w:rFonts w:cs="Arial"/>
                <w:szCs w:val="22"/>
              </w:rPr>
              <w:t>Lactation</w:t>
            </w:r>
          </w:p>
        </w:tc>
        <w:tc>
          <w:tcPr>
            <w:tcW w:w="2835" w:type="dxa"/>
            <w:gridSpan w:val="2"/>
            <w:shd w:val="clear" w:color="auto" w:fill="auto"/>
            <w:vAlign w:val="center"/>
          </w:tcPr>
          <w:p w:rsidR="00EA6F40" w:rsidRPr="00C875F5" w:rsidRDefault="00EA6F40" w:rsidP="00EA6F40">
            <w:pPr>
              <w:spacing w:after="0"/>
              <w:jc w:val="center"/>
              <w:rPr>
                <w:rFonts w:eastAsia="Times New Roman" w:cs="Arial"/>
                <w:color w:val="000000"/>
                <w:szCs w:val="22"/>
                <w:lang w:val="en-GB"/>
              </w:rPr>
            </w:pPr>
            <w:r w:rsidRPr="00C875F5">
              <w:rPr>
                <w:rFonts w:eastAsia="Times New Roman" w:cs="Arial"/>
                <w:color w:val="000000"/>
                <w:szCs w:val="22"/>
                <w:lang w:val="en-GB"/>
              </w:rPr>
              <w:t xml:space="preserve">270 </w:t>
            </w:r>
            <w:r w:rsidRPr="00C875F5">
              <w:rPr>
                <w:szCs w:val="22"/>
              </w:rPr>
              <w:t>μg/day</w:t>
            </w:r>
          </w:p>
        </w:tc>
        <w:tc>
          <w:tcPr>
            <w:tcW w:w="2835" w:type="dxa"/>
            <w:gridSpan w:val="2"/>
            <w:shd w:val="clear" w:color="auto" w:fill="auto"/>
            <w:vAlign w:val="center"/>
          </w:tcPr>
          <w:p w:rsidR="00EA6F40" w:rsidRPr="00C875F5" w:rsidRDefault="00EA6F40" w:rsidP="00EA6F40">
            <w:pPr>
              <w:widowControl w:val="0"/>
              <w:autoSpaceDE w:val="0"/>
              <w:autoSpaceDN w:val="0"/>
              <w:adjustRightInd w:val="0"/>
              <w:spacing w:after="0"/>
              <w:jc w:val="center"/>
              <w:rPr>
                <w:rFonts w:cs="Arial"/>
                <w:szCs w:val="22"/>
              </w:rPr>
            </w:pPr>
            <w:r w:rsidRPr="00C875F5">
              <w:rPr>
                <w:rFonts w:eastAsia="Times New Roman" w:cs="Arial"/>
                <w:color w:val="000000"/>
                <w:szCs w:val="22"/>
                <w:lang w:val="en-GB"/>
              </w:rPr>
              <w:t xml:space="preserve">290 </w:t>
            </w:r>
            <w:r w:rsidRPr="00C875F5">
              <w:rPr>
                <w:szCs w:val="22"/>
              </w:rPr>
              <w:t>μg/day</w:t>
            </w:r>
          </w:p>
        </w:tc>
        <w:tc>
          <w:tcPr>
            <w:tcW w:w="2835" w:type="dxa"/>
            <w:gridSpan w:val="2"/>
            <w:shd w:val="clear" w:color="auto" w:fill="auto"/>
            <w:noWrap/>
            <w:vAlign w:val="center"/>
          </w:tcPr>
          <w:p w:rsidR="00EA6F40" w:rsidRPr="00C875F5" w:rsidRDefault="00EA6F40" w:rsidP="00EA6F40">
            <w:pPr>
              <w:widowControl w:val="0"/>
              <w:autoSpaceDE w:val="0"/>
              <w:autoSpaceDN w:val="0"/>
              <w:adjustRightInd w:val="0"/>
              <w:spacing w:after="0"/>
              <w:jc w:val="center"/>
              <w:rPr>
                <w:rFonts w:cs="Arial"/>
                <w:szCs w:val="22"/>
              </w:rPr>
            </w:pPr>
            <w:r w:rsidRPr="00C875F5">
              <w:rPr>
                <w:rFonts w:eastAsia="Times New Roman" w:cs="Arial"/>
                <w:color w:val="000000"/>
                <w:szCs w:val="22"/>
                <w:lang w:val="en-GB"/>
              </w:rPr>
              <w:t>2</w:t>
            </w:r>
            <w:r>
              <w:rPr>
                <w:rFonts w:eastAsia="Times New Roman" w:cs="Arial"/>
                <w:color w:val="000000"/>
                <w:szCs w:val="22"/>
                <w:lang w:val="en-GB"/>
              </w:rPr>
              <w:t>50</w:t>
            </w:r>
            <w:r w:rsidRPr="00C875F5">
              <w:rPr>
                <w:rFonts w:eastAsia="Times New Roman" w:cs="Arial"/>
                <w:color w:val="000000"/>
                <w:szCs w:val="22"/>
                <w:lang w:val="en-GB"/>
              </w:rPr>
              <w:t xml:space="preserve"> </w:t>
            </w:r>
            <w:r w:rsidRPr="00C875F5">
              <w:rPr>
                <w:szCs w:val="22"/>
              </w:rPr>
              <w:t>μg/day</w:t>
            </w:r>
          </w:p>
        </w:tc>
        <w:tc>
          <w:tcPr>
            <w:tcW w:w="2835" w:type="dxa"/>
            <w:gridSpan w:val="2"/>
            <w:shd w:val="clear" w:color="auto" w:fill="auto"/>
            <w:noWrap/>
            <w:vAlign w:val="center"/>
          </w:tcPr>
          <w:p w:rsidR="00EA6F40" w:rsidRPr="00C875F5" w:rsidRDefault="00EA6F40" w:rsidP="00EA6F40">
            <w:pPr>
              <w:widowControl w:val="0"/>
              <w:autoSpaceDE w:val="0"/>
              <w:autoSpaceDN w:val="0"/>
              <w:adjustRightInd w:val="0"/>
              <w:spacing w:after="0"/>
              <w:jc w:val="center"/>
              <w:rPr>
                <w:rFonts w:cs="Arial"/>
                <w:szCs w:val="22"/>
              </w:rPr>
            </w:pPr>
            <w:r w:rsidRPr="00C875F5">
              <w:rPr>
                <w:rFonts w:eastAsia="Times New Roman" w:cs="Arial"/>
                <w:color w:val="000000"/>
                <w:szCs w:val="22"/>
                <w:lang w:val="en-GB"/>
              </w:rPr>
              <w:t xml:space="preserve">200 </w:t>
            </w:r>
            <w:r w:rsidRPr="00C875F5">
              <w:rPr>
                <w:szCs w:val="22"/>
              </w:rPr>
              <w:t>μg/day</w:t>
            </w:r>
          </w:p>
        </w:tc>
      </w:tr>
    </w:tbl>
    <w:p w:rsidR="00EA6F40" w:rsidRPr="00C875F5" w:rsidRDefault="00EA6F40" w:rsidP="00EA6F40">
      <w:pPr>
        <w:spacing w:after="0"/>
      </w:pPr>
    </w:p>
    <w:p w:rsidR="00EA6F40" w:rsidRPr="00C875F5" w:rsidRDefault="00EA6F40" w:rsidP="0013546C">
      <w:pPr>
        <w:pStyle w:val="Thesisnormal0"/>
        <w:sectPr w:rsidR="00EA6F40" w:rsidRPr="00C875F5" w:rsidSect="00DF5B59">
          <w:pgSz w:w="16840" w:h="11900" w:orient="landscape"/>
          <w:pgMar w:top="1797" w:right="1440" w:bottom="1797" w:left="1440" w:header="709" w:footer="709" w:gutter="0"/>
          <w:cols w:space="708"/>
        </w:sectPr>
      </w:pPr>
    </w:p>
    <w:p w:rsidR="00EA6F40" w:rsidRPr="00547656" w:rsidRDefault="00EA6F40" w:rsidP="000A4E22">
      <w:pPr>
        <w:pStyle w:val="Heading1"/>
      </w:pPr>
      <w:bookmarkStart w:id="105" w:name="_Toc279228345"/>
      <w:bookmarkStart w:id="106" w:name="_Toc433621781"/>
      <w:r w:rsidRPr="00547656">
        <w:lastRenderedPageBreak/>
        <w:t>Scope and Purpose</w:t>
      </w:r>
      <w:bookmarkEnd w:id="105"/>
      <w:bookmarkEnd w:id="106"/>
    </w:p>
    <w:p w:rsidR="00EA6F40" w:rsidRDefault="00EA6F40" w:rsidP="00130B29">
      <w:pPr>
        <w:rPr>
          <w:sz w:val="24"/>
        </w:rPr>
      </w:pPr>
      <w:r w:rsidRPr="00A17AB6">
        <w:rPr>
          <w:sz w:val="24"/>
        </w:rPr>
        <w:t xml:space="preserve">The Australia and New Zealand NRVs for Iodine were last reviewed by Thomson in 2002 (Thomson 2003) (and later incorporated into the Nutrient Reference Values for Australia and New Zealand (NHMRC 2006)). Therefore </w:t>
      </w:r>
      <w:r>
        <w:rPr>
          <w:sz w:val="24"/>
        </w:rPr>
        <w:t xml:space="preserve">this </w:t>
      </w:r>
      <w:r w:rsidRPr="00A17AB6">
        <w:rPr>
          <w:sz w:val="24"/>
        </w:rPr>
        <w:t xml:space="preserve">review </w:t>
      </w:r>
      <w:r>
        <w:rPr>
          <w:sz w:val="24"/>
        </w:rPr>
        <w:t xml:space="preserve">focuses on whether there is any new evidence </w:t>
      </w:r>
      <w:r w:rsidRPr="00A17AB6">
        <w:rPr>
          <w:sz w:val="24"/>
        </w:rPr>
        <w:t>since 2002</w:t>
      </w:r>
      <w:r>
        <w:rPr>
          <w:sz w:val="24"/>
        </w:rPr>
        <w:t xml:space="preserve"> that might change the 2006 NRVs</w:t>
      </w:r>
      <w:r w:rsidRPr="00A17AB6">
        <w:rPr>
          <w:sz w:val="24"/>
        </w:rPr>
        <w:t>.</w:t>
      </w:r>
    </w:p>
    <w:p w:rsidR="00EA6F40" w:rsidRPr="00130B29" w:rsidRDefault="00EA6F40" w:rsidP="00130B29">
      <w:pPr>
        <w:rPr>
          <w:sz w:val="24"/>
        </w:rPr>
      </w:pPr>
      <w:r w:rsidRPr="00130B29">
        <w:rPr>
          <w:sz w:val="24"/>
        </w:rPr>
        <w:t>It is important that NRVs are reviewed and updated regularly to reflect new research and knowledge of the nutrients. The purpose of this review was primarily to test the methodological framework and iodine was one of three nutrients chosen for this pilot. Iodine is of particular interest for Australia and New Zealand as, in response to the re-emergence of mild iodine deficiency in the two countries, mandatory fortification of bread with iodised salt was introduced in Australia (October 2009) and New Zealand (September 2009).</w:t>
      </w:r>
    </w:p>
    <w:p w:rsidR="00EA6F40" w:rsidRPr="00130B29" w:rsidRDefault="00EA6F40" w:rsidP="00130B29">
      <w:pPr>
        <w:rPr>
          <w:sz w:val="24"/>
        </w:rPr>
      </w:pPr>
      <w:r w:rsidRPr="00130B29">
        <w:rPr>
          <w:sz w:val="24"/>
        </w:rPr>
        <w:t>As the timeframe for the review was limited, this guideline includes the review of the EAR and RDI for adults and pregnant women and the UL for children and adolescents aged 1 to 18 years only. The NRVs for these groups were evaluated as follows:</w:t>
      </w:r>
    </w:p>
    <w:p w:rsidR="00EA6F40" w:rsidRPr="00C875F5" w:rsidRDefault="00EA6F40" w:rsidP="00EA6F40">
      <w:pPr>
        <w:pStyle w:val="ListParagraph"/>
        <w:numPr>
          <w:ilvl w:val="0"/>
          <w:numId w:val="20"/>
        </w:numPr>
        <w:spacing w:after="0" w:line="360" w:lineRule="auto"/>
        <w:rPr>
          <w:sz w:val="24"/>
        </w:rPr>
      </w:pPr>
      <w:r w:rsidRPr="00C875F5">
        <w:rPr>
          <w:sz w:val="24"/>
        </w:rPr>
        <w:t xml:space="preserve">Estimated Average Requirement (EAR) </w:t>
      </w:r>
      <w:r>
        <w:rPr>
          <w:sz w:val="24"/>
        </w:rPr>
        <w:t xml:space="preserve">and </w:t>
      </w:r>
      <w:r w:rsidRPr="00C875F5">
        <w:rPr>
          <w:sz w:val="24"/>
        </w:rPr>
        <w:t>Recommended Dietary Intake (RDI) for healthy adults</w:t>
      </w:r>
      <w:r>
        <w:rPr>
          <w:sz w:val="24"/>
        </w:rPr>
        <w:t xml:space="preserve"> for the maintenance of normal thyroid function, as measured by thyroid hormones and thyroid volume.</w:t>
      </w:r>
    </w:p>
    <w:p w:rsidR="00EA6F40" w:rsidRPr="00B87303" w:rsidRDefault="00EA6F40" w:rsidP="00EA6F40">
      <w:pPr>
        <w:pStyle w:val="ListParagraph"/>
        <w:numPr>
          <w:ilvl w:val="0"/>
          <w:numId w:val="20"/>
        </w:numPr>
        <w:spacing w:after="0" w:line="360" w:lineRule="auto"/>
        <w:rPr>
          <w:sz w:val="24"/>
        </w:rPr>
      </w:pPr>
      <w:r w:rsidRPr="00C875F5">
        <w:rPr>
          <w:sz w:val="24"/>
        </w:rPr>
        <w:t>EAR and RDI for healthy pregnant women</w:t>
      </w:r>
      <w:r>
        <w:rPr>
          <w:sz w:val="24"/>
        </w:rPr>
        <w:t xml:space="preserve"> to </w:t>
      </w:r>
      <w:r w:rsidRPr="00B87303">
        <w:rPr>
          <w:sz w:val="24"/>
        </w:rPr>
        <w:t>maintain normal thyroid function</w:t>
      </w:r>
      <w:r>
        <w:rPr>
          <w:sz w:val="24"/>
        </w:rPr>
        <w:t>,</w:t>
      </w:r>
      <w:r w:rsidRPr="00B87303">
        <w:rPr>
          <w:sz w:val="24"/>
        </w:rPr>
        <w:t xml:space="preserve"> as measured by maternal thyroid function and neurodevelopment in their children</w:t>
      </w:r>
      <w:r>
        <w:rPr>
          <w:sz w:val="24"/>
        </w:rPr>
        <w:t>.</w:t>
      </w:r>
    </w:p>
    <w:p w:rsidR="00EA6F40" w:rsidRPr="003A078E" w:rsidRDefault="00EA6F40" w:rsidP="00EA6F40">
      <w:pPr>
        <w:pStyle w:val="ListParagraph"/>
        <w:numPr>
          <w:ilvl w:val="0"/>
          <w:numId w:val="20"/>
        </w:numPr>
        <w:spacing w:after="0" w:line="360" w:lineRule="auto"/>
        <w:rPr>
          <w:sz w:val="24"/>
        </w:rPr>
      </w:pPr>
      <w:r w:rsidRPr="00C875F5">
        <w:rPr>
          <w:sz w:val="24"/>
        </w:rPr>
        <w:t xml:space="preserve">Upper Levels of Intake (UL) for children </w:t>
      </w:r>
      <w:r>
        <w:rPr>
          <w:rFonts w:cs="Times New Roman"/>
          <w:sz w:val="24"/>
        </w:rPr>
        <w:t>aged 1-18</w:t>
      </w:r>
      <w:r w:rsidRPr="00B87303">
        <w:rPr>
          <w:rFonts w:cs="Times New Roman"/>
          <w:sz w:val="24"/>
        </w:rPr>
        <w:t xml:space="preserve"> years above which adverse effects on thyroid function are observed, as indicated by increased thyroid volume and/or </w:t>
      </w:r>
      <w:r>
        <w:rPr>
          <w:rFonts w:cs="Times New Roman"/>
          <w:sz w:val="24"/>
        </w:rPr>
        <w:t>abnormal thyroid hormone levels.</w:t>
      </w:r>
    </w:p>
    <w:p w:rsidR="00EA6F40" w:rsidRPr="00C875F5" w:rsidRDefault="00EA6F40" w:rsidP="00130B29">
      <w:pPr>
        <w:ind w:left="357"/>
        <w:rPr>
          <w:sz w:val="24"/>
        </w:rPr>
      </w:pPr>
      <w:r w:rsidRPr="00C875F5">
        <w:rPr>
          <w:sz w:val="24"/>
        </w:rPr>
        <w:t xml:space="preserve">The </w:t>
      </w:r>
      <w:r>
        <w:rPr>
          <w:sz w:val="24"/>
        </w:rPr>
        <w:t xml:space="preserve">iodine </w:t>
      </w:r>
      <w:r w:rsidRPr="00C875F5">
        <w:rPr>
          <w:sz w:val="24"/>
        </w:rPr>
        <w:t xml:space="preserve">EWG strongly recommends that future work needs to consider the remaining </w:t>
      </w:r>
      <w:r>
        <w:rPr>
          <w:sz w:val="24"/>
        </w:rPr>
        <w:t>NRVs for iodine</w:t>
      </w:r>
      <w:r w:rsidRPr="00C875F5">
        <w:rPr>
          <w:sz w:val="24"/>
        </w:rPr>
        <w:t xml:space="preserve">, with the next priorities being: EAR and RDI for children, EAR and RDI for lactation and ULs for pregnancy and lactation. </w:t>
      </w:r>
    </w:p>
    <w:p w:rsidR="00EA6F40" w:rsidRPr="00C875F5" w:rsidRDefault="00EA6F40" w:rsidP="00EA6F40">
      <w:pPr>
        <w:pStyle w:val="ListParagraph"/>
        <w:suppressLineNumbers/>
        <w:spacing w:line="360" w:lineRule="auto"/>
        <w:ind w:left="0"/>
        <w:rPr>
          <w:szCs w:val="20"/>
        </w:rPr>
        <w:sectPr w:rsidR="00EA6F40" w:rsidRPr="00C875F5" w:rsidSect="00DF5B59">
          <w:pgSz w:w="11901" w:h="16840"/>
          <w:pgMar w:top="1440" w:right="1797" w:bottom="1440" w:left="1797" w:header="709" w:footer="709" w:gutter="0"/>
          <w:cols w:space="708"/>
        </w:sectPr>
      </w:pPr>
    </w:p>
    <w:p w:rsidR="00EA6F40" w:rsidRPr="00130B29" w:rsidRDefault="00EA6F40" w:rsidP="000A4E22">
      <w:pPr>
        <w:pStyle w:val="Heading1"/>
        <w:rPr>
          <w:rStyle w:val="Hyperlink"/>
          <w:color w:val="000000" w:themeColor="text1"/>
          <w:u w:val="none"/>
        </w:rPr>
      </w:pPr>
      <w:bookmarkStart w:id="107" w:name="_Toc279228346"/>
      <w:bookmarkStart w:id="108" w:name="_Toc433621782"/>
      <w:r w:rsidRPr="00130B29">
        <w:rPr>
          <w:rStyle w:val="Hyperlink"/>
          <w:color w:val="000000" w:themeColor="text1"/>
          <w:u w:val="none"/>
        </w:rPr>
        <w:lastRenderedPageBreak/>
        <w:t>Evidence Review</w:t>
      </w:r>
      <w:bookmarkEnd w:id="107"/>
      <w:bookmarkEnd w:id="108"/>
    </w:p>
    <w:p w:rsidR="00EA6F40" w:rsidRPr="00130B29" w:rsidRDefault="00EA6F40" w:rsidP="000A4E22">
      <w:pPr>
        <w:pStyle w:val="Heading2"/>
      </w:pPr>
      <w:bookmarkStart w:id="109" w:name="_Toc279228347"/>
      <w:bookmarkStart w:id="110" w:name="_Toc433621783"/>
      <w:r w:rsidRPr="00130B29">
        <w:t>Selection of Biomarkers</w:t>
      </w:r>
      <w:bookmarkEnd w:id="109"/>
      <w:bookmarkEnd w:id="110"/>
      <w:r w:rsidRPr="00130B29">
        <w:t xml:space="preserve"> </w:t>
      </w:r>
    </w:p>
    <w:p w:rsidR="00EA6F40" w:rsidRPr="00C875F5" w:rsidRDefault="00EA6F40" w:rsidP="0013546C">
      <w:pPr>
        <w:pStyle w:val="Thesisnormal0"/>
      </w:pPr>
      <w:r w:rsidRPr="00C875F5">
        <w:t xml:space="preserve">There </w:t>
      </w:r>
      <w:r>
        <w:t>are</w:t>
      </w:r>
      <w:r w:rsidRPr="00C875F5">
        <w:t xml:space="preserve"> a number of biomarkers that can be used to assess iodine status including urinary iodine concentration (UIC), thyroid function </w:t>
      </w:r>
      <w:r>
        <w:t>[</w:t>
      </w:r>
      <w:r w:rsidRPr="00C875F5">
        <w:t>thyroid volume, thyroid hormones, serum Thyroid Stimulating Hormone (TSH), serum thyroglobulin (Tg), thyroidal radioactive iodine uptake</w:t>
      </w:r>
      <w:r>
        <w:t>]</w:t>
      </w:r>
      <w:r w:rsidRPr="00C875F5">
        <w:t xml:space="preserve">, and brain function (development and cognition). Such data are typically collected in both observational and intervention studies. </w:t>
      </w:r>
    </w:p>
    <w:p w:rsidR="00EA6F40" w:rsidRPr="00C875F5" w:rsidRDefault="00EA6F40" w:rsidP="00CA2AA1">
      <w:pPr>
        <w:pStyle w:val="Heading3"/>
      </w:pPr>
      <w:bookmarkStart w:id="111" w:name="_Toc279228348"/>
      <w:bookmarkStart w:id="112" w:name="_Toc433621784"/>
      <w:r w:rsidRPr="00C875F5">
        <w:t>Urinary Iodine</w:t>
      </w:r>
      <w:bookmarkEnd w:id="111"/>
      <w:bookmarkEnd w:id="112"/>
      <w:r w:rsidRPr="00C875F5">
        <w:t xml:space="preserve"> </w:t>
      </w:r>
    </w:p>
    <w:p w:rsidR="00EA6F40" w:rsidRPr="00C875F5" w:rsidRDefault="00EA6F40" w:rsidP="0013546C">
      <w:pPr>
        <w:pStyle w:val="Thesisnormal0"/>
        <w:sectPr w:rsidR="00EA6F40" w:rsidRPr="00C875F5" w:rsidSect="00DF5B59">
          <w:pgSz w:w="11900" w:h="16840"/>
          <w:pgMar w:top="1440" w:right="1797" w:bottom="1440" w:left="1797" w:header="709" w:footer="709" w:gutter="0"/>
          <w:cols w:space="708"/>
        </w:sectPr>
      </w:pPr>
      <w:r w:rsidRPr="00C875F5">
        <w:t>Approximately 90% of dietary iodine is excreted in the urine (Andersen et al 2009; Zimmermann 2009), thus the most commonly used biomarker of iodine status is urinary iodine concentration (UIC). Because UIC has high intra- and inter-individual variation (K</w:t>
      </w:r>
      <w:r w:rsidRPr="00547656">
        <w:t>ö</w:t>
      </w:r>
      <w:r w:rsidRPr="00C875F5">
        <w:t xml:space="preserve">nig et al 2011), UIC should </w:t>
      </w:r>
      <w:r>
        <w:t xml:space="preserve">not </w:t>
      </w:r>
      <w:r w:rsidRPr="00C875F5">
        <w:t xml:space="preserve">be used to assess iodine status in individuals. WHO/UNICEF/ICCIDD state that a median UIC &lt;100 μg/L in groups of school aged children and non-pregnant adults and &lt;150 μg/L in groups of pregnant women including lactating mothers indicate iodine deficiency in that population (WHO/UNICEF/ICCIDD 2007). Table </w:t>
      </w:r>
      <w:r>
        <w:t>5.1</w:t>
      </w:r>
      <w:r w:rsidRPr="00C875F5">
        <w:t xml:space="preserve"> outlines the recommended cut-offs for UIC including ranges used to categorise the severity of iodine deficiency as well as iodine excess. Casual or spot urine samples are typically obtained from subjects although UIC can also be determined in 24-hour samples, but the higher respondent burden associated with such samples limits their practical use in many studies. One advantage of 24-hour urine samples is that they are able to provide an objective estimate of daily iodine intake (Zimmermann 2009). WHO/UNICEF/ICCIDD recommendations are based on UIC in spot samples; caution should be used when interpreting data obtained from 24-hour samples as urine volumes greater than 1.0 L, found in New Zealand adults (Ministry for Primary Industries 2013) may lower UIC resulting in an overestimation of iodine deficiency. </w:t>
      </w:r>
    </w:p>
    <w:p w:rsidR="00EA6F40" w:rsidRPr="00C875F5" w:rsidRDefault="00547656" w:rsidP="00AE0695">
      <w:pPr>
        <w:pStyle w:val="Caption"/>
      </w:pPr>
      <w:r>
        <w:lastRenderedPageBreak/>
        <w:t xml:space="preserve">Table </w:t>
      </w:r>
      <w:r w:rsidR="00CA2AA1">
        <w:fldChar w:fldCharType="begin"/>
      </w:r>
      <w:r w:rsidR="00CA2AA1">
        <w:instrText xml:space="preserve"> STYLEREF 1 \s </w:instrText>
      </w:r>
      <w:r w:rsidR="00CA2AA1">
        <w:fldChar w:fldCharType="separate"/>
      </w:r>
      <w:r w:rsidR="00CA2AA1">
        <w:rPr>
          <w:noProof/>
        </w:rPr>
        <w:t>5</w:t>
      </w:r>
      <w:r w:rsidR="00CA2AA1">
        <w:fldChar w:fldCharType="end"/>
      </w:r>
      <w:r w:rsidR="00CA2AA1">
        <w:t>:</w:t>
      </w:r>
      <w:r w:rsidR="00CA2AA1">
        <w:fldChar w:fldCharType="begin"/>
      </w:r>
      <w:r w:rsidR="00CA2AA1">
        <w:instrText xml:space="preserve"> SEQ Table \* ARABIC \s 1 </w:instrText>
      </w:r>
      <w:r w:rsidR="00CA2AA1">
        <w:fldChar w:fldCharType="separate"/>
      </w:r>
      <w:r w:rsidR="00CA2AA1">
        <w:rPr>
          <w:noProof/>
        </w:rPr>
        <w:t>1</w:t>
      </w:r>
      <w:r w:rsidR="00CA2AA1">
        <w:fldChar w:fldCharType="end"/>
      </w:r>
      <w:r w:rsidR="00EA6F40" w:rsidRPr="00C875F5">
        <w:t xml:space="preserve"> Recommended cut-offs for urinary iodine concentration (UIC)</w:t>
      </w:r>
    </w:p>
    <w:tbl>
      <w:tblPr>
        <w:tblStyle w:val="TableGrid"/>
        <w:tblW w:w="7763"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Description w:val="Tabler 5.1 list the recommended cut-offs for Urinary Iodine Concentration (UIC).  This table contains 3 column headings; column 1. Population group, column 2. UIC μg/L and column 3. Iodine Status."/>
      </w:tblPr>
      <w:tblGrid>
        <w:gridCol w:w="3794"/>
        <w:gridCol w:w="1559"/>
        <w:gridCol w:w="2410"/>
      </w:tblGrid>
      <w:tr w:rsidR="00EA6F40" w:rsidRPr="00130B29" w:rsidTr="0057015E">
        <w:trPr>
          <w:trHeight w:val="606"/>
          <w:tblHeader/>
        </w:trPr>
        <w:tc>
          <w:tcPr>
            <w:tcW w:w="3794" w:type="dxa"/>
            <w:vAlign w:val="center"/>
          </w:tcPr>
          <w:p w:rsidR="00EA6F40" w:rsidRPr="00130B29" w:rsidRDefault="00EA6F40" w:rsidP="0013546C">
            <w:pPr>
              <w:pStyle w:val="Thesisnormal0"/>
              <w:rPr>
                <w:rStyle w:val="Strong"/>
              </w:rPr>
            </w:pPr>
            <w:r w:rsidRPr="00130B29">
              <w:rPr>
                <w:rStyle w:val="Strong"/>
              </w:rPr>
              <w:t>Population Group</w:t>
            </w:r>
          </w:p>
        </w:tc>
        <w:tc>
          <w:tcPr>
            <w:tcW w:w="1559" w:type="dxa"/>
            <w:vAlign w:val="center"/>
          </w:tcPr>
          <w:p w:rsidR="00EA6F40" w:rsidRPr="00130B29" w:rsidRDefault="00EA6F40" w:rsidP="0013546C">
            <w:pPr>
              <w:pStyle w:val="Thesisnormal0"/>
              <w:rPr>
                <w:rStyle w:val="Strong"/>
              </w:rPr>
            </w:pPr>
            <w:r w:rsidRPr="00130B29">
              <w:rPr>
                <w:rStyle w:val="Strong"/>
              </w:rPr>
              <w:t>UIC μg/L</w:t>
            </w:r>
          </w:p>
        </w:tc>
        <w:tc>
          <w:tcPr>
            <w:tcW w:w="2410" w:type="dxa"/>
            <w:vAlign w:val="center"/>
          </w:tcPr>
          <w:p w:rsidR="00EA6F40" w:rsidRPr="00130B29" w:rsidRDefault="00EA6F40" w:rsidP="0013546C">
            <w:pPr>
              <w:pStyle w:val="Thesisnormal0"/>
              <w:rPr>
                <w:rStyle w:val="Strong"/>
              </w:rPr>
            </w:pPr>
            <w:r w:rsidRPr="00130B29">
              <w:rPr>
                <w:rStyle w:val="Strong"/>
              </w:rPr>
              <w:t>Iodine Status</w:t>
            </w:r>
          </w:p>
        </w:tc>
      </w:tr>
      <w:tr w:rsidR="00EA6F40" w:rsidRPr="00C875F5" w:rsidTr="00974F73">
        <w:tc>
          <w:tcPr>
            <w:tcW w:w="3794" w:type="dxa"/>
            <w:vAlign w:val="center"/>
          </w:tcPr>
          <w:p w:rsidR="00386B00" w:rsidRPr="00C875F5" w:rsidRDefault="00386B00" w:rsidP="00386B00">
            <w:pPr>
              <w:pStyle w:val="Thesisnormal0"/>
            </w:pPr>
            <w:r>
              <w:t>Children</w:t>
            </w:r>
          </w:p>
          <w:p w:rsidR="00386B00" w:rsidRPr="00C875F5" w:rsidRDefault="00386B00" w:rsidP="00386B00">
            <w:pPr>
              <w:pStyle w:val="Thesisnormal0"/>
            </w:pPr>
            <w:r w:rsidRPr="00C875F5">
              <w:t xml:space="preserve">Non-pregnant adults </w:t>
            </w:r>
          </w:p>
          <w:p w:rsidR="00EA6F40" w:rsidRPr="00C875F5" w:rsidRDefault="00386B00" w:rsidP="00386B00">
            <w:pPr>
              <w:pStyle w:val="Thesisnormal0"/>
            </w:pPr>
            <w:r w:rsidRPr="00C875F5">
              <w:t>Lactating women</w:t>
            </w:r>
          </w:p>
        </w:tc>
        <w:tc>
          <w:tcPr>
            <w:tcW w:w="1559" w:type="dxa"/>
          </w:tcPr>
          <w:p w:rsidR="00EA6F40" w:rsidRPr="00C875F5" w:rsidRDefault="00EA6F40" w:rsidP="0013546C">
            <w:pPr>
              <w:pStyle w:val="Thesisnormal0"/>
            </w:pPr>
            <w:r w:rsidRPr="00C875F5">
              <w:t>&lt;25</w:t>
            </w:r>
          </w:p>
        </w:tc>
        <w:tc>
          <w:tcPr>
            <w:tcW w:w="2410" w:type="dxa"/>
          </w:tcPr>
          <w:p w:rsidR="00EA6F40" w:rsidRPr="00C875F5" w:rsidRDefault="00EA6F40" w:rsidP="0013546C">
            <w:pPr>
              <w:pStyle w:val="Thesisnormal0"/>
            </w:pPr>
            <w:r w:rsidRPr="00C875F5">
              <w:t>Severe Deficiency</w:t>
            </w:r>
          </w:p>
        </w:tc>
      </w:tr>
      <w:tr w:rsidR="00EA6F40" w:rsidRPr="00C875F5" w:rsidTr="00974F73">
        <w:tc>
          <w:tcPr>
            <w:tcW w:w="3794" w:type="dxa"/>
          </w:tcPr>
          <w:p w:rsidR="00EA6F40" w:rsidRPr="00C875F5" w:rsidRDefault="00386B00" w:rsidP="00386B00">
            <w:pPr>
              <w:pStyle w:val="Thesisnormal0"/>
            </w:pPr>
            <w:r>
              <w:t>As listed in the first row</w:t>
            </w:r>
          </w:p>
        </w:tc>
        <w:tc>
          <w:tcPr>
            <w:tcW w:w="1559" w:type="dxa"/>
          </w:tcPr>
          <w:p w:rsidR="00EA6F40" w:rsidRPr="00C875F5" w:rsidRDefault="00EA6F40" w:rsidP="0013546C">
            <w:pPr>
              <w:pStyle w:val="Thesisnormal0"/>
            </w:pPr>
            <w:r w:rsidRPr="00C875F5">
              <w:t>25-49</w:t>
            </w:r>
          </w:p>
        </w:tc>
        <w:tc>
          <w:tcPr>
            <w:tcW w:w="2410" w:type="dxa"/>
          </w:tcPr>
          <w:p w:rsidR="00EA6F40" w:rsidRPr="00C875F5" w:rsidRDefault="00EA6F40" w:rsidP="0013546C">
            <w:pPr>
              <w:pStyle w:val="Thesisnormal0"/>
            </w:pPr>
            <w:r w:rsidRPr="00C875F5">
              <w:t>Moderate Deficiency</w:t>
            </w:r>
          </w:p>
        </w:tc>
      </w:tr>
      <w:tr w:rsidR="00EA6F40" w:rsidRPr="00C875F5" w:rsidTr="00974F73">
        <w:tc>
          <w:tcPr>
            <w:tcW w:w="3794" w:type="dxa"/>
          </w:tcPr>
          <w:p w:rsidR="00EA6F40" w:rsidRPr="00C875F5" w:rsidRDefault="00386B00" w:rsidP="0013546C">
            <w:pPr>
              <w:pStyle w:val="Thesisnormal0"/>
            </w:pPr>
            <w:r>
              <w:t>As listed in the first row</w:t>
            </w:r>
          </w:p>
        </w:tc>
        <w:tc>
          <w:tcPr>
            <w:tcW w:w="1559" w:type="dxa"/>
          </w:tcPr>
          <w:p w:rsidR="00EA6F40" w:rsidRPr="00C875F5" w:rsidRDefault="00EA6F40" w:rsidP="0013546C">
            <w:pPr>
              <w:pStyle w:val="Thesisnormal0"/>
            </w:pPr>
            <w:r w:rsidRPr="00C875F5">
              <w:t>50-99</w:t>
            </w:r>
          </w:p>
        </w:tc>
        <w:tc>
          <w:tcPr>
            <w:tcW w:w="2410" w:type="dxa"/>
          </w:tcPr>
          <w:p w:rsidR="00EA6F40" w:rsidRPr="00C875F5" w:rsidRDefault="00EA6F40" w:rsidP="0013546C">
            <w:pPr>
              <w:pStyle w:val="Thesisnormal0"/>
            </w:pPr>
            <w:r w:rsidRPr="00C875F5">
              <w:t>Mild Deficiency</w:t>
            </w:r>
          </w:p>
        </w:tc>
      </w:tr>
      <w:tr w:rsidR="00EA6F40" w:rsidRPr="00C875F5" w:rsidTr="00974F73">
        <w:tc>
          <w:tcPr>
            <w:tcW w:w="3794" w:type="dxa"/>
          </w:tcPr>
          <w:p w:rsidR="00EA6F40" w:rsidRPr="00C875F5" w:rsidRDefault="00386B00" w:rsidP="0013546C">
            <w:pPr>
              <w:pStyle w:val="Thesisnormal0"/>
            </w:pPr>
            <w:r>
              <w:t>As listed in the first row</w:t>
            </w:r>
          </w:p>
        </w:tc>
        <w:tc>
          <w:tcPr>
            <w:tcW w:w="1559" w:type="dxa"/>
          </w:tcPr>
          <w:p w:rsidR="00EA6F40" w:rsidRPr="00C875F5" w:rsidRDefault="00EA6F40" w:rsidP="0013546C">
            <w:pPr>
              <w:pStyle w:val="Thesisnormal0"/>
            </w:pPr>
            <w:r w:rsidRPr="00C875F5">
              <w:t>100-299</w:t>
            </w:r>
          </w:p>
        </w:tc>
        <w:tc>
          <w:tcPr>
            <w:tcW w:w="2410" w:type="dxa"/>
          </w:tcPr>
          <w:p w:rsidR="00EA6F40" w:rsidRPr="00C875F5" w:rsidRDefault="00EA6F40" w:rsidP="0013546C">
            <w:pPr>
              <w:pStyle w:val="Thesisnormal0"/>
            </w:pPr>
            <w:r w:rsidRPr="00C875F5">
              <w:t>Sufficiency</w:t>
            </w:r>
          </w:p>
        </w:tc>
      </w:tr>
      <w:tr w:rsidR="00EA6F40" w:rsidRPr="00C875F5" w:rsidTr="00974F73">
        <w:tc>
          <w:tcPr>
            <w:tcW w:w="3794" w:type="dxa"/>
          </w:tcPr>
          <w:p w:rsidR="00EA6F40" w:rsidRPr="00C875F5" w:rsidRDefault="00386B00" w:rsidP="0013546C">
            <w:pPr>
              <w:pStyle w:val="Thesisnormal0"/>
            </w:pPr>
            <w:r>
              <w:t>As listed in the first row</w:t>
            </w:r>
          </w:p>
        </w:tc>
        <w:tc>
          <w:tcPr>
            <w:tcW w:w="1559" w:type="dxa"/>
          </w:tcPr>
          <w:p w:rsidR="00EA6F40" w:rsidRPr="00C875F5" w:rsidRDefault="00EA6F40" w:rsidP="0013546C">
            <w:pPr>
              <w:pStyle w:val="Thesisnormal0"/>
            </w:pPr>
            <w:r w:rsidRPr="00C875F5">
              <w:t>&gt;300</w:t>
            </w:r>
          </w:p>
        </w:tc>
        <w:tc>
          <w:tcPr>
            <w:tcW w:w="2410" w:type="dxa"/>
          </w:tcPr>
          <w:p w:rsidR="00EA6F40" w:rsidRPr="00C875F5" w:rsidRDefault="00EA6F40" w:rsidP="0013546C">
            <w:pPr>
              <w:pStyle w:val="Thesisnormal0"/>
            </w:pPr>
            <w:r w:rsidRPr="00C875F5">
              <w:t>Excess</w:t>
            </w:r>
          </w:p>
        </w:tc>
      </w:tr>
      <w:tr w:rsidR="00EA6F40" w:rsidRPr="00C875F5" w:rsidTr="00974F73">
        <w:tc>
          <w:tcPr>
            <w:tcW w:w="3794" w:type="dxa"/>
          </w:tcPr>
          <w:p w:rsidR="00EA6F40" w:rsidRPr="00C875F5" w:rsidRDefault="00386B00" w:rsidP="0013546C">
            <w:pPr>
              <w:pStyle w:val="Thesisnormal0"/>
            </w:pPr>
            <w:r>
              <w:t>As listed in the first row</w:t>
            </w:r>
          </w:p>
        </w:tc>
        <w:tc>
          <w:tcPr>
            <w:tcW w:w="1559" w:type="dxa"/>
          </w:tcPr>
          <w:p w:rsidR="00EA6F40" w:rsidRPr="00C875F5" w:rsidRDefault="00EA6F40" w:rsidP="0013546C">
            <w:pPr>
              <w:pStyle w:val="Thesisnormal0"/>
            </w:pPr>
            <w:r w:rsidRPr="00C875F5">
              <w:t>&lt;150</w:t>
            </w:r>
          </w:p>
        </w:tc>
        <w:tc>
          <w:tcPr>
            <w:tcW w:w="2410" w:type="dxa"/>
          </w:tcPr>
          <w:p w:rsidR="00EA6F40" w:rsidRPr="00C875F5" w:rsidRDefault="00EA6F40" w:rsidP="0013546C">
            <w:pPr>
              <w:pStyle w:val="Thesisnormal0"/>
            </w:pPr>
            <w:r w:rsidRPr="00C875F5">
              <w:t>Deficiency</w:t>
            </w:r>
          </w:p>
        </w:tc>
      </w:tr>
      <w:tr w:rsidR="00EA6F40" w:rsidRPr="00C875F5" w:rsidTr="00974F73">
        <w:tc>
          <w:tcPr>
            <w:tcW w:w="3794" w:type="dxa"/>
          </w:tcPr>
          <w:p w:rsidR="00EA6F40" w:rsidRPr="00C875F5" w:rsidRDefault="00EA6F40" w:rsidP="0013546C">
            <w:pPr>
              <w:pStyle w:val="Thesisnormal0"/>
            </w:pPr>
            <w:r w:rsidRPr="00C875F5">
              <w:t>Pregnant Women</w:t>
            </w:r>
          </w:p>
        </w:tc>
        <w:tc>
          <w:tcPr>
            <w:tcW w:w="1559" w:type="dxa"/>
          </w:tcPr>
          <w:p w:rsidR="00EA6F40" w:rsidRPr="00C875F5" w:rsidRDefault="00EA6F40" w:rsidP="0013546C">
            <w:pPr>
              <w:pStyle w:val="Thesisnormal0"/>
            </w:pPr>
            <w:r w:rsidRPr="00C875F5">
              <w:t>150-250</w:t>
            </w:r>
          </w:p>
        </w:tc>
        <w:tc>
          <w:tcPr>
            <w:tcW w:w="2410" w:type="dxa"/>
          </w:tcPr>
          <w:p w:rsidR="00EA6F40" w:rsidRPr="00C875F5" w:rsidRDefault="00EA6F40" w:rsidP="0013546C">
            <w:pPr>
              <w:pStyle w:val="Thesisnormal0"/>
            </w:pPr>
            <w:r w:rsidRPr="00C875F5">
              <w:t>Sufficiency</w:t>
            </w:r>
          </w:p>
        </w:tc>
      </w:tr>
      <w:tr w:rsidR="00EA6F40" w:rsidRPr="00C875F5" w:rsidTr="00974F73">
        <w:trPr>
          <w:trHeight w:val="445"/>
        </w:trPr>
        <w:tc>
          <w:tcPr>
            <w:tcW w:w="3794" w:type="dxa"/>
          </w:tcPr>
          <w:p w:rsidR="00EA6F40" w:rsidRPr="00C875F5" w:rsidRDefault="00EA6F40" w:rsidP="0013546C">
            <w:pPr>
              <w:pStyle w:val="Thesisnormal0"/>
            </w:pPr>
          </w:p>
        </w:tc>
        <w:tc>
          <w:tcPr>
            <w:tcW w:w="1559" w:type="dxa"/>
          </w:tcPr>
          <w:p w:rsidR="00EA6F40" w:rsidRPr="00C875F5" w:rsidRDefault="00EA6F40" w:rsidP="0013546C">
            <w:pPr>
              <w:pStyle w:val="Thesisnormal0"/>
            </w:pPr>
            <w:r w:rsidRPr="00C875F5">
              <w:t>&gt;250</w:t>
            </w:r>
          </w:p>
        </w:tc>
        <w:tc>
          <w:tcPr>
            <w:tcW w:w="2410" w:type="dxa"/>
          </w:tcPr>
          <w:p w:rsidR="00EA6F40" w:rsidRPr="00C875F5" w:rsidRDefault="00EA6F40" w:rsidP="0013546C">
            <w:pPr>
              <w:pStyle w:val="Thesisnormal0"/>
            </w:pPr>
            <w:r w:rsidRPr="00C875F5">
              <w:t>Excess</w:t>
            </w:r>
          </w:p>
        </w:tc>
      </w:tr>
    </w:tbl>
    <w:p w:rsidR="00EA6F40" w:rsidRPr="00C875F5" w:rsidRDefault="00EA6F40" w:rsidP="0013546C">
      <w:pPr>
        <w:pStyle w:val="Thesisnormal0"/>
      </w:pPr>
      <w:r w:rsidRPr="00C875F5">
        <w:t>(WHO/UNICEF/ICCIDD 2007)</w:t>
      </w:r>
    </w:p>
    <w:p w:rsidR="00EA6F40" w:rsidRPr="00C875F5" w:rsidRDefault="00EA6F40" w:rsidP="00CA2AA1">
      <w:pPr>
        <w:pStyle w:val="Heading3"/>
      </w:pPr>
      <w:bookmarkStart w:id="113" w:name="_Toc279228349"/>
      <w:bookmarkStart w:id="114" w:name="_Toc433621785"/>
      <w:r w:rsidRPr="00C875F5">
        <w:t>Thyroid Status</w:t>
      </w:r>
      <w:bookmarkEnd w:id="113"/>
      <w:bookmarkEnd w:id="114"/>
    </w:p>
    <w:p w:rsidR="00EA6F40" w:rsidRPr="00C875F5" w:rsidRDefault="00EA6F40" w:rsidP="0013546C">
      <w:pPr>
        <w:pStyle w:val="Thesisnormal0"/>
      </w:pPr>
      <w:r w:rsidRPr="00C875F5">
        <w:t xml:space="preserve">An adequate intake of iodine is needed to maintain normal thyroid function. The thyroid </w:t>
      </w:r>
      <w:r>
        <w:t xml:space="preserve">gland </w:t>
      </w:r>
      <w:r w:rsidRPr="00C875F5">
        <w:t>undergoes a number of adaptive changes when iodine intake falls, which ensures that a continual supply of thyroid hormones, in particular T</w:t>
      </w:r>
      <w:r w:rsidRPr="00C875F5">
        <w:rPr>
          <w:vertAlign w:val="subscript"/>
        </w:rPr>
        <w:t>3</w:t>
      </w:r>
      <w:r w:rsidRPr="00C875F5">
        <w:t>, is available for normal growth and development. A fall in T</w:t>
      </w:r>
      <w:r w:rsidRPr="00C875F5">
        <w:rPr>
          <w:vertAlign w:val="subscript"/>
        </w:rPr>
        <w:t>4</w:t>
      </w:r>
      <w:r w:rsidRPr="00C875F5">
        <w:t xml:space="preserve"> stimulates the production of TSH, which subsequently causes an enlargement in the thyroid gland, increased uptake of iodine from the blood, increased synthesis of Tg, and a shift in the ratio of T</w:t>
      </w:r>
      <w:r w:rsidRPr="00C875F5">
        <w:rPr>
          <w:vertAlign w:val="subscript"/>
        </w:rPr>
        <w:t>4</w:t>
      </w:r>
      <w:r w:rsidRPr="00C875F5">
        <w:t xml:space="preserve"> to T</w:t>
      </w:r>
      <w:r w:rsidRPr="00C875F5">
        <w:rPr>
          <w:vertAlign w:val="subscript"/>
        </w:rPr>
        <w:t>3</w:t>
      </w:r>
      <w:r w:rsidRPr="00C875F5">
        <w:t xml:space="preserve"> (preferential T</w:t>
      </w:r>
      <w:r w:rsidRPr="00C875F5">
        <w:rPr>
          <w:vertAlign w:val="subscript"/>
        </w:rPr>
        <w:t xml:space="preserve">3 </w:t>
      </w:r>
      <w:r w:rsidRPr="00C875F5">
        <w:t>secretion)</w:t>
      </w:r>
      <w:r w:rsidRPr="00C875F5">
        <w:rPr>
          <w:vertAlign w:val="subscript"/>
        </w:rPr>
        <w:t xml:space="preserve"> </w:t>
      </w:r>
      <w:r w:rsidRPr="00C875F5">
        <w:t xml:space="preserve">released into the blood. </w:t>
      </w:r>
    </w:p>
    <w:p w:rsidR="00EA6F40" w:rsidRPr="00C875F5" w:rsidRDefault="00EA6F40" w:rsidP="0013546C">
      <w:pPr>
        <w:pStyle w:val="Thesisnormal0"/>
      </w:pPr>
      <w:r w:rsidRPr="00C875F5">
        <w:t>An increase in thyroid volume or goitre is a classic sign of iodine deficiency. Goitre can be measured by palpation by trained physicians and graded according to criteria of WHO/UNICEF/ICCIDD. This manual and highly labour intensive skill is now replaced by thyroid technique, which produces consistent and reproducible results with normal reference ranges published for school-aged children (Zimmerman et al 2000). The presence of goitre in &gt;5% of the population indicates iodine deficiency (WHO/UNICEF/ICCIDD 2007).</w:t>
      </w:r>
    </w:p>
    <w:p w:rsidR="00EA6F40" w:rsidRPr="00C875F5" w:rsidRDefault="00EA6F40" w:rsidP="0013546C">
      <w:pPr>
        <w:pStyle w:val="Thesisnormal0"/>
      </w:pPr>
      <w:r w:rsidRPr="00C875F5">
        <w:t>TSH, T</w:t>
      </w:r>
      <w:r w:rsidRPr="00C875F5">
        <w:rPr>
          <w:vertAlign w:val="subscript"/>
        </w:rPr>
        <w:t>4</w:t>
      </w:r>
      <w:r w:rsidRPr="00C875F5">
        <w:t>, and T</w:t>
      </w:r>
      <w:r w:rsidRPr="00C875F5">
        <w:rPr>
          <w:vertAlign w:val="subscript"/>
        </w:rPr>
        <w:t>3</w:t>
      </w:r>
      <w:r w:rsidRPr="00C875F5">
        <w:t xml:space="preserve">, although readily and routinely measured in many populations, are insensitive indices of iodine status except in severe iodine deficiency and in newborns.  Elevated neonatal TSH (i.e. &gt;5 IU/mL) in &gt;3% of newborns indicates iodine deficiency, however, despite routine assessment of neonatal TSH measurement in most countries for diagnosis of congenital hypothyroidism, its use in assessing iodine status in populations is not generally recommended because of </w:t>
      </w:r>
      <w:r w:rsidRPr="00C875F5">
        <w:lastRenderedPageBreak/>
        <w:t>many unresolved technical issues in the application of this technology Li &amp; Eastman 2010). In older children and adults, in milder forms of iodine deficiency the body maintains these hormones within normal reference ranges, leading WHO/UNICEF/ICCIDD to state that these blood parameters should not be used to assess iodine status (WHO/UNICEF/ICCIDD 2007).</w:t>
      </w:r>
    </w:p>
    <w:p w:rsidR="00EA6F40" w:rsidRPr="00C875F5" w:rsidRDefault="00EA6F40" w:rsidP="0013546C">
      <w:pPr>
        <w:pStyle w:val="Thesisnormal0"/>
      </w:pPr>
      <w:r w:rsidRPr="00C875F5">
        <w:t xml:space="preserve">The secretion of Tg from the thyroid gland increases in iodine deficiency and has been positively correlated with thyroid volume. The use of Tg as an index of iodine status is relatively new with the primary focus on school-aged children. Over the last six to seven years Zimmermann and colleagues have published a number of large studies of children living in a number of different countries, with varying degrees of iodine deficiency as assessed by UIC (Zimmerman et al 2013). These studies have determined the normal reference range for Tg as well as recently proposing that a median Tg &gt;13 μg/L indicates iodine deficiency in this age group (Zimmerman et al 2013). However, the usefulness of Tg in assessing iodine status in non-pregnant adults and pregnant women has yet to be confirmed. It should be emphasised that measurement of </w:t>
      </w:r>
      <w:r>
        <w:t xml:space="preserve">changes in </w:t>
      </w:r>
      <w:r w:rsidRPr="00C875F5">
        <w:t>serum Tg response to changing iodine intake is simply an index of adaptation by the thyroid but does not</w:t>
      </w:r>
      <w:r>
        <w:t xml:space="preserve"> necessarily</w:t>
      </w:r>
      <w:r w:rsidRPr="00C875F5">
        <w:t xml:space="preserve"> indicate thyroid dysfunction.</w:t>
      </w:r>
    </w:p>
    <w:p w:rsidR="00EA6F40" w:rsidRPr="00C875F5" w:rsidRDefault="00EA6F40" w:rsidP="00CA2AA1">
      <w:pPr>
        <w:pStyle w:val="Heading3"/>
      </w:pPr>
      <w:bookmarkStart w:id="115" w:name="_Toc279228350"/>
      <w:bookmarkStart w:id="116" w:name="_Toc433621786"/>
      <w:r w:rsidRPr="00C875F5">
        <w:t>Radioactive Iodine</w:t>
      </w:r>
      <w:bookmarkEnd w:id="115"/>
      <w:bookmarkEnd w:id="116"/>
      <w:r w:rsidRPr="00C875F5">
        <w:t xml:space="preserve"> </w:t>
      </w:r>
    </w:p>
    <w:p w:rsidR="00EA6F40" w:rsidRPr="00C875F5" w:rsidRDefault="00EA6F40" w:rsidP="0013546C">
      <w:pPr>
        <w:pStyle w:val="Thesisnormal0"/>
      </w:pPr>
      <w:r w:rsidRPr="00C875F5">
        <w:t xml:space="preserve">The uptake of radioactive </w:t>
      </w:r>
      <w:r w:rsidRPr="00C875F5">
        <w:rPr>
          <w:vertAlign w:val="superscript"/>
        </w:rPr>
        <w:t>131</w:t>
      </w:r>
      <w:r w:rsidRPr="00C875F5">
        <w:t xml:space="preserve">I is used as a test of thyroid function in clinical settings (Gibson 2005). This involves determining the fraction of an orally administered dose of </w:t>
      </w:r>
      <w:r w:rsidRPr="00C875F5">
        <w:rPr>
          <w:vertAlign w:val="superscript"/>
        </w:rPr>
        <w:t>131</w:t>
      </w:r>
      <w:r w:rsidRPr="00C875F5">
        <w:t xml:space="preserve">I that is concentrated in the thyroid gland; in iodine deficiency, a larger proportion of the radioactive iodine will be rapidly taken up by the thyroid gland compared with when the thyroid is replete with iodine. Due to radiation exposure, and its imprecision as a function of insufficient iodine intake, this method of determining iodine deficiency is no longer used. However, </w:t>
      </w:r>
      <w:r w:rsidRPr="00C875F5">
        <w:rPr>
          <w:vertAlign w:val="superscript"/>
        </w:rPr>
        <w:t>131</w:t>
      </w:r>
      <w:r w:rsidRPr="00C875F5">
        <w:t>I was used in the 1960s in a handful of iodine balance studies.</w:t>
      </w:r>
    </w:p>
    <w:p w:rsidR="00EA6F40" w:rsidRPr="00C875F5" w:rsidRDefault="00EA6F40" w:rsidP="00CA2AA1">
      <w:pPr>
        <w:pStyle w:val="Heading3"/>
      </w:pPr>
      <w:bookmarkStart w:id="117" w:name="_Toc279228351"/>
      <w:bookmarkStart w:id="118" w:name="_Toc433621787"/>
      <w:r w:rsidRPr="00C875F5">
        <w:t>Brain Function</w:t>
      </w:r>
      <w:bookmarkEnd w:id="117"/>
      <w:bookmarkEnd w:id="118"/>
    </w:p>
    <w:p w:rsidR="00EA6F40" w:rsidRPr="00C875F5" w:rsidRDefault="00EA6F40" w:rsidP="0013546C">
      <w:pPr>
        <w:pStyle w:val="Thesisnormal0"/>
      </w:pPr>
      <w:r w:rsidRPr="00C875F5">
        <w:t xml:space="preserve">The adverse effects of iodine deficiency on brain development and function are well accepted; neurological cretinism, characterised by classical neurological abnormalities and profound mental impairment, is only observed in regions with severe iodine deficiency. Over the last decade, a growing interest and appreciation that the relationship between iodine deficiency and brain function may be a continuum has resulted in an increasing number of studies attempting to assess </w:t>
      </w:r>
      <w:r>
        <w:t xml:space="preserve">the association between maternal </w:t>
      </w:r>
      <w:r w:rsidRPr="00C875F5">
        <w:t xml:space="preserve">iodine status and brain development. The measures used in such studies to assess brain function, however, vary widely depending on the age of the subjects but also in what aspect of brain function they measure. For example, some studies include tests of development (eg Bayley’s Infant Scales of Development, Brunet-Lezine) cognition (IQ measured by Weschler Intelligence Scale for Children, Stanford-Binet) and school achievement (eg reading ability). Data obtained from many of these studies using diverse testing methods in several different countries are well summarised in the online text “thyroidmanager.org” (Eastman &amp; Zimmerman, 2014). </w:t>
      </w:r>
    </w:p>
    <w:p w:rsidR="00EA6F40" w:rsidRPr="0095338B" w:rsidRDefault="00EA6F40" w:rsidP="000A4E22">
      <w:pPr>
        <w:pStyle w:val="Heading2"/>
      </w:pPr>
      <w:bookmarkStart w:id="119" w:name="_Toc279228352"/>
      <w:bookmarkStart w:id="120" w:name="_Toc433621788"/>
      <w:r w:rsidRPr="0095338B">
        <w:lastRenderedPageBreak/>
        <w:t>Selection of evidence and data</w:t>
      </w:r>
      <w:bookmarkEnd w:id="119"/>
      <w:bookmarkEnd w:id="120"/>
    </w:p>
    <w:p w:rsidR="00EA6F40" w:rsidRPr="00C875F5" w:rsidRDefault="00EA6F40" w:rsidP="00CA2AA1">
      <w:pPr>
        <w:pStyle w:val="Heading3"/>
      </w:pPr>
      <w:bookmarkStart w:id="121" w:name="_Toc279228353"/>
      <w:bookmarkStart w:id="122" w:name="_Toc433621789"/>
      <w:r w:rsidRPr="00C875F5">
        <w:t>Defining the question</w:t>
      </w:r>
      <w:bookmarkEnd w:id="121"/>
      <w:bookmarkEnd w:id="122"/>
    </w:p>
    <w:p w:rsidR="00EA6F40" w:rsidRPr="00C875F5" w:rsidRDefault="00EA6F40" w:rsidP="0013546C">
      <w:pPr>
        <w:pStyle w:val="Thesisnormal0"/>
      </w:pPr>
      <w:r w:rsidRPr="00C875F5">
        <w:t xml:space="preserve">A series of research questions for consideration as part of this review of the iodine NRVs </w:t>
      </w:r>
      <w:r>
        <w:t>was generated and are presented in Table 5.2</w:t>
      </w:r>
      <w:r w:rsidRPr="00C875F5">
        <w:t>. Given that the purpose of the review was primarily to test the methodological framework and that the timeframe for the review was limited, the EWG prioritised the following questions</w:t>
      </w:r>
      <w:r>
        <w:t>:</w:t>
      </w:r>
    </w:p>
    <w:p w:rsidR="00EA6F40" w:rsidRDefault="00EA6F40" w:rsidP="0013546C">
      <w:pPr>
        <w:pStyle w:val="Thesisnormal0"/>
      </w:pPr>
      <w:r w:rsidRPr="0095338B">
        <w:rPr>
          <w:rStyle w:val="Strong"/>
        </w:rPr>
        <w:t>Question 1. EAR and RDI for adults</w:t>
      </w:r>
      <w:r w:rsidRPr="00C875F5">
        <w:t>: What is the average intake required by healthy adults in a population to maintain normal thyroid function, as measured by thyroid hormones and thyroid volume?  This question was prioritised because the</w:t>
      </w:r>
      <w:r w:rsidRPr="00C875F5">
        <w:rPr>
          <w:rFonts w:cs="Times New Roman"/>
          <w:b/>
          <w:sz w:val="20"/>
          <w:szCs w:val="20"/>
        </w:rPr>
        <w:t xml:space="preserve"> </w:t>
      </w:r>
      <w:r w:rsidRPr="00C875F5">
        <w:t xml:space="preserve">adult EAR and RDI form the basis from which NRVs for other population groups, such as pregnant women, are derived. </w:t>
      </w:r>
    </w:p>
    <w:p w:rsidR="00EA6F40" w:rsidRPr="00C875F5" w:rsidRDefault="00EA6F40" w:rsidP="0013546C">
      <w:pPr>
        <w:pStyle w:val="Thesisnormal0"/>
      </w:pPr>
      <w:r w:rsidRPr="0095338B">
        <w:rPr>
          <w:rStyle w:val="Strong"/>
        </w:rPr>
        <w:t>Question 3 EAR and RDI for pregnant women</w:t>
      </w:r>
      <w:r w:rsidRPr="00C875F5">
        <w:t xml:space="preserve">: What is the average intake required by healthy pregnant women in a population to maintain normal thyroid function as measured by maternal thyroid function and neurodevelopment in their children?  This question was of highest priority as there is current concern about the iodine status of pregnant women in Australia and New Zealand (NHMRC 2010) as more studies suggest that inadequate iodine intakes in pregnancy may negatively affect neurodevelopment in offspring. </w:t>
      </w:r>
    </w:p>
    <w:p w:rsidR="00EA6F40" w:rsidRPr="00C875F5" w:rsidRDefault="00EA6F40" w:rsidP="0013546C">
      <w:pPr>
        <w:pStyle w:val="Thesisnormal0"/>
      </w:pPr>
      <w:r w:rsidRPr="0095338B">
        <w:rPr>
          <w:rStyle w:val="Strong"/>
        </w:rPr>
        <w:t>Questions 10-13 UL for young children aged 1-3 years, 4-8 years, 9-13 years, 14-18 years</w:t>
      </w:r>
      <w:r w:rsidRPr="00C875F5">
        <w:rPr>
          <w:b/>
        </w:rPr>
        <w:t>:</w:t>
      </w:r>
      <w:r w:rsidRPr="00C875F5">
        <w:t xml:space="preserve"> What is the average intake of normal healthy children [aged 1-3, 4-8; 9-13, 14-18 years] above which adverse effects on thyroid function are observed, as indicated by increased thyroid volume and/or abnormal thyroid hormone levels? These questions are particularly relevant to the current mandatory fortification of bread, as the </w:t>
      </w:r>
      <w:r>
        <w:t>2006</w:t>
      </w:r>
      <w:r w:rsidRPr="00C875F5">
        <w:t xml:space="preserve"> </w:t>
      </w:r>
      <w:r>
        <w:t>UL was a limiting factor</w:t>
      </w:r>
      <w:r w:rsidRPr="00C875F5">
        <w:t xml:space="preserve"> in achieving a higher level of iodine fortification </w:t>
      </w:r>
      <w:r>
        <w:t>in</w:t>
      </w:r>
      <w:r w:rsidRPr="00C875F5">
        <w:t xml:space="preserve"> the food supply (</w:t>
      </w:r>
      <w:r>
        <w:t xml:space="preserve">FSANZ 2007; </w:t>
      </w:r>
      <w:r w:rsidRPr="00C875F5">
        <w:t xml:space="preserve">FSANZ 2008). In addition, the previous UL were determined from extrapolation from the adult UL because of lack of research on adverse effects of high iodine intake in children. UL in all age groups for children were considered. The UL for infants (0-1 years) was judged not determinable at this stage because there </w:t>
      </w:r>
      <w:r w:rsidR="0095338B">
        <w:t>are</w:t>
      </w:r>
      <w:r w:rsidRPr="00C875F5">
        <w:t xml:space="preserve"> insufficient data on adverse effects.</w:t>
      </w:r>
    </w:p>
    <w:p w:rsidR="00EA6F40" w:rsidRDefault="00EA6F40" w:rsidP="0013546C">
      <w:pPr>
        <w:pStyle w:val="Thesisnormal0"/>
      </w:pPr>
      <w:r w:rsidRPr="00C875F5">
        <w:t xml:space="preserve">The EWG recommend that the remaining questions (see </w:t>
      </w:r>
      <w:r w:rsidR="0095338B">
        <w:fldChar w:fldCharType="begin"/>
      </w:r>
      <w:r w:rsidR="0095338B">
        <w:instrText xml:space="preserve"> REF _Ref430934836 \h </w:instrText>
      </w:r>
      <w:r w:rsidR="0095338B">
        <w:fldChar w:fldCharType="separate"/>
      </w:r>
      <w:r w:rsidR="0095338B">
        <w:t xml:space="preserve">Table </w:t>
      </w:r>
      <w:r w:rsidR="0095338B">
        <w:rPr>
          <w:noProof/>
        </w:rPr>
        <w:t>5</w:t>
      </w:r>
      <w:r w:rsidR="0095338B">
        <w:t>:</w:t>
      </w:r>
      <w:r w:rsidR="0095338B">
        <w:rPr>
          <w:noProof/>
        </w:rPr>
        <w:t>2</w:t>
      </w:r>
      <w:r w:rsidR="0095338B">
        <w:fldChar w:fldCharType="end"/>
      </w:r>
      <w:r w:rsidRPr="00C875F5">
        <w:t xml:space="preserve">) require consideration </w:t>
      </w:r>
      <w:r>
        <w:t xml:space="preserve">in the future </w:t>
      </w:r>
      <w:r w:rsidRPr="00C875F5">
        <w:t>as part of the overall review of iodine</w:t>
      </w:r>
      <w:r w:rsidR="0095338B">
        <w:t>.</w:t>
      </w:r>
    </w:p>
    <w:p w:rsidR="00EA6F40" w:rsidRDefault="00EA6F40" w:rsidP="0013546C">
      <w:pPr>
        <w:pStyle w:val="Thesisnormal0"/>
        <w:sectPr w:rsidR="00EA6F40" w:rsidSect="00DF5B59">
          <w:pgSz w:w="11901" w:h="16840"/>
          <w:pgMar w:top="1440" w:right="1797" w:bottom="1440" w:left="1797" w:header="709" w:footer="709" w:gutter="0"/>
          <w:cols w:space="708"/>
        </w:sectPr>
      </w:pPr>
    </w:p>
    <w:p w:rsidR="00EA6F40" w:rsidRPr="00C875F5" w:rsidRDefault="0095338B" w:rsidP="00AE0695">
      <w:pPr>
        <w:pStyle w:val="Caption"/>
      </w:pPr>
      <w:bookmarkStart w:id="123" w:name="_Ref430934836"/>
      <w:r>
        <w:lastRenderedPageBreak/>
        <w:t xml:space="preserve">Table </w:t>
      </w:r>
      <w:r w:rsidR="00CA2AA1">
        <w:fldChar w:fldCharType="begin"/>
      </w:r>
      <w:r w:rsidR="00CA2AA1">
        <w:instrText xml:space="preserve"> STYLEREF 1 \s </w:instrText>
      </w:r>
      <w:r w:rsidR="00CA2AA1">
        <w:fldChar w:fldCharType="separate"/>
      </w:r>
      <w:r w:rsidR="00CA2AA1">
        <w:rPr>
          <w:noProof/>
        </w:rPr>
        <w:t>5</w:t>
      </w:r>
      <w:r w:rsidR="00CA2AA1">
        <w:fldChar w:fldCharType="end"/>
      </w:r>
      <w:r w:rsidR="00CA2AA1">
        <w:t>:</w:t>
      </w:r>
      <w:r w:rsidR="00CA2AA1">
        <w:fldChar w:fldCharType="begin"/>
      </w:r>
      <w:r w:rsidR="00CA2AA1">
        <w:instrText xml:space="preserve"> SEQ Table \* ARABIC \s 1 </w:instrText>
      </w:r>
      <w:r w:rsidR="00CA2AA1">
        <w:fldChar w:fldCharType="separate"/>
      </w:r>
      <w:r w:rsidR="00CA2AA1">
        <w:rPr>
          <w:noProof/>
        </w:rPr>
        <w:t>2</w:t>
      </w:r>
      <w:r w:rsidR="00CA2AA1">
        <w:fldChar w:fldCharType="end"/>
      </w:r>
      <w:bookmarkEnd w:id="123"/>
      <w:r w:rsidR="00EA6F40" w:rsidRPr="00C875F5">
        <w:t xml:space="preserve"> Questions for the review of the iodine NRVs</w:t>
      </w:r>
    </w:p>
    <w:tbl>
      <w:tblPr>
        <w:tblStyle w:val="TableGrid"/>
        <w:tblW w:w="11991"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Description w:val="Table 5.2 is a list of questions for the review of the iodine Nutrient Reference Values (NRVs). This table contains 4 column headings; column 1. blank (numbered), column 2. population, column 2. questions and column 3. Outcome/s."/>
      </w:tblPr>
      <w:tblGrid>
        <w:gridCol w:w="539"/>
        <w:gridCol w:w="2004"/>
        <w:gridCol w:w="6155"/>
        <w:gridCol w:w="3293"/>
      </w:tblGrid>
      <w:tr w:rsidR="00EA6F40" w:rsidRPr="00263F77" w:rsidTr="00974F73">
        <w:trPr>
          <w:trHeight w:val="687"/>
          <w:tblHeader/>
        </w:trPr>
        <w:tc>
          <w:tcPr>
            <w:tcW w:w="539" w:type="dxa"/>
            <w:shd w:val="clear" w:color="auto" w:fill="BFBFBF" w:themeFill="background1" w:themeFillShade="BF"/>
            <w:vAlign w:val="center"/>
          </w:tcPr>
          <w:p w:rsidR="00EA6F40" w:rsidRPr="00263F77" w:rsidRDefault="00EA6F40" w:rsidP="00263F77"/>
        </w:tc>
        <w:tc>
          <w:tcPr>
            <w:tcW w:w="2004" w:type="dxa"/>
            <w:shd w:val="clear" w:color="auto" w:fill="BFBFBF" w:themeFill="background1" w:themeFillShade="BF"/>
            <w:vAlign w:val="center"/>
          </w:tcPr>
          <w:p w:rsidR="00EA6F40" w:rsidRPr="00263F77" w:rsidRDefault="00EA6F40" w:rsidP="00EA6F40">
            <w:pPr>
              <w:suppressLineNumbers/>
              <w:jc w:val="center"/>
              <w:rPr>
                <w:rStyle w:val="Strong"/>
              </w:rPr>
            </w:pPr>
            <w:r w:rsidRPr="00263F77">
              <w:rPr>
                <w:rStyle w:val="Strong"/>
              </w:rPr>
              <w:t>Population</w:t>
            </w:r>
          </w:p>
        </w:tc>
        <w:tc>
          <w:tcPr>
            <w:tcW w:w="6155" w:type="dxa"/>
            <w:shd w:val="clear" w:color="auto" w:fill="BFBFBF" w:themeFill="background1" w:themeFillShade="BF"/>
            <w:vAlign w:val="center"/>
          </w:tcPr>
          <w:p w:rsidR="00EA6F40" w:rsidRPr="00263F77" w:rsidRDefault="00EA6F40" w:rsidP="00EA6F40">
            <w:pPr>
              <w:suppressLineNumbers/>
              <w:jc w:val="center"/>
              <w:rPr>
                <w:rStyle w:val="Strong"/>
              </w:rPr>
            </w:pPr>
            <w:r w:rsidRPr="00263F77">
              <w:rPr>
                <w:rStyle w:val="Strong"/>
              </w:rPr>
              <w:t>Question</w:t>
            </w:r>
          </w:p>
        </w:tc>
        <w:tc>
          <w:tcPr>
            <w:tcW w:w="3293" w:type="dxa"/>
            <w:shd w:val="clear" w:color="auto" w:fill="BFBFBF" w:themeFill="background1" w:themeFillShade="BF"/>
            <w:vAlign w:val="center"/>
          </w:tcPr>
          <w:p w:rsidR="00EA6F40" w:rsidRPr="00263F77" w:rsidRDefault="00EA6F40" w:rsidP="00EA6F40">
            <w:pPr>
              <w:suppressLineNumbers/>
              <w:jc w:val="center"/>
              <w:rPr>
                <w:rStyle w:val="Strong"/>
              </w:rPr>
            </w:pPr>
            <w:r w:rsidRPr="00263F77">
              <w:rPr>
                <w:rStyle w:val="Strong"/>
              </w:rPr>
              <w:t>Outcome</w:t>
            </w:r>
          </w:p>
        </w:tc>
      </w:tr>
      <w:tr w:rsidR="00EA6F40" w:rsidRPr="00C875F5" w:rsidTr="00974F73">
        <w:trPr>
          <w:trHeight w:val="143"/>
        </w:trPr>
        <w:tc>
          <w:tcPr>
            <w:tcW w:w="539" w:type="dxa"/>
          </w:tcPr>
          <w:p w:rsidR="00EA6F40" w:rsidRPr="0095338B" w:rsidRDefault="00EA6F40" w:rsidP="00263F77">
            <w:pPr>
              <w:rPr>
                <w:rStyle w:val="Strong"/>
                <w:sz w:val="20"/>
                <w:szCs w:val="20"/>
              </w:rPr>
            </w:pPr>
            <w:r w:rsidRPr="0095338B">
              <w:rPr>
                <w:rStyle w:val="Strong"/>
                <w:sz w:val="20"/>
                <w:szCs w:val="20"/>
              </w:rPr>
              <w:t>1</w:t>
            </w:r>
          </w:p>
        </w:tc>
        <w:tc>
          <w:tcPr>
            <w:tcW w:w="2004" w:type="dxa"/>
          </w:tcPr>
          <w:p w:rsidR="00EA6F40" w:rsidRPr="0095338B" w:rsidRDefault="00EA6F40" w:rsidP="00EA6F40">
            <w:pPr>
              <w:suppressLineNumbers/>
              <w:rPr>
                <w:rStyle w:val="Strong"/>
                <w:sz w:val="20"/>
                <w:szCs w:val="20"/>
              </w:rPr>
            </w:pPr>
            <w:r w:rsidRPr="0095338B">
              <w:rPr>
                <w:rStyle w:val="Strong"/>
                <w:sz w:val="20"/>
                <w:szCs w:val="20"/>
              </w:rPr>
              <w:t>Adults</w:t>
            </w:r>
          </w:p>
        </w:tc>
        <w:tc>
          <w:tcPr>
            <w:tcW w:w="6155" w:type="dxa"/>
          </w:tcPr>
          <w:p w:rsidR="00EA6F40" w:rsidRPr="0095338B" w:rsidRDefault="00EA6F40" w:rsidP="00EA6F40">
            <w:pPr>
              <w:widowControl w:val="0"/>
              <w:autoSpaceDE w:val="0"/>
              <w:autoSpaceDN w:val="0"/>
              <w:adjustRightInd w:val="0"/>
              <w:rPr>
                <w:rStyle w:val="Strong"/>
                <w:sz w:val="20"/>
                <w:szCs w:val="20"/>
              </w:rPr>
            </w:pPr>
            <w:r w:rsidRPr="0095338B">
              <w:rPr>
                <w:rStyle w:val="Strong"/>
                <w:sz w:val="20"/>
                <w:szCs w:val="20"/>
              </w:rPr>
              <w:t>What is the average intake required by healthy adults in a population to maintain normal thyroid function, as measured by thyro</w:t>
            </w:r>
            <w:r w:rsidR="00263F77" w:rsidRPr="0095338B">
              <w:rPr>
                <w:rStyle w:val="Strong"/>
                <w:sz w:val="20"/>
                <w:szCs w:val="20"/>
              </w:rPr>
              <w:t>id hormones and thyroid volume?</w:t>
            </w:r>
          </w:p>
        </w:tc>
        <w:tc>
          <w:tcPr>
            <w:tcW w:w="3293" w:type="dxa"/>
          </w:tcPr>
          <w:p w:rsidR="00EA6F40" w:rsidRPr="00C875F5" w:rsidRDefault="00EA6F40" w:rsidP="00EA6F40">
            <w:pPr>
              <w:pStyle w:val="ListParagraph"/>
              <w:numPr>
                <w:ilvl w:val="0"/>
                <w:numId w:val="19"/>
              </w:numPr>
              <w:suppressLineNumbers/>
              <w:ind w:left="317" w:hanging="284"/>
              <w:rPr>
                <w:b/>
                <w:szCs w:val="20"/>
              </w:rPr>
            </w:pPr>
            <w:r w:rsidRPr="00C875F5">
              <w:rPr>
                <w:b/>
                <w:szCs w:val="20"/>
              </w:rPr>
              <w:t>thyroid volume</w:t>
            </w:r>
          </w:p>
          <w:p w:rsidR="00EA6F40" w:rsidRPr="00C875F5" w:rsidRDefault="00EA6F40" w:rsidP="00EA6F40">
            <w:pPr>
              <w:pStyle w:val="ListParagraph"/>
              <w:numPr>
                <w:ilvl w:val="0"/>
                <w:numId w:val="19"/>
              </w:numPr>
              <w:suppressLineNumbers/>
              <w:ind w:left="317" w:hanging="284"/>
              <w:rPr>
                <w:b/>
                <w:szCs w:val="20"/>
              </w:rPr>
            </w:pPr>
            <w:r w:rsidRPr="00C875F5">
              <w:rPr>
                <w:b/>
                <w:szCs w:val="20"/>
              </w:rPr>
              <w:t>thyroid hormone levels</w:t>
            </w:r>
          </w:p>
        </w:tc>
      </w:tr>
      <w:tr w:rsidR="00EA6F40" w:rsidRPr="00C875F5" w:rsidTr="00974F73">
        <w:trPr>
          <w:trHeight w:val="143"/>
        </w:trPr>
        <w:tc>
          <w:tcPr>
            <w:tcW w:w="539" w:type="dxa"/>
          </w:tcPr>
          <w:p w:rsidR="00EA6F40" w:rsidRPr="0095338B" w:rsidRDefault="00EA6F40" w:rsidP="00263F77">
            <w:pPr>
              <w:rPr>
                <w:rStyle w:val="Strong"/>
                <w:sz w:val="20"/>
                <w:szCs w:val="20"/>
              </w:rPr>
            </w:pPr>
            <w:r w:rsidRPr="0095338B">
              <w:rPr>
                <w:rStyle w:val="Strong"/>
                <w:sz w:val="20"/>
                <w:szCs w:val="20"/>
              </w:rPr>
              <w:t>2</w:t>
            </w:r>
          </w:p>
        </w:tc>
        <w:tc>
          <w:tcPr>
            <w:tcW w:w="2004" w:type="dxa"/>
          </w:tcPr>
          <w:p w:rsidR="00EA6F40" w:rsidRPr="00C875F5" w:rsidRDefault="00EA6F40" w:rsidP="00EA6F40">
            <w:pPr>
              <w:suppressLineNumbers/>
              <w:rPr>
                <w:sz w:val="20"/>
                <w:szCs w:val="20"/>
              </w:rPr>
            </w:pPr>
            <w:r w:rsidRPr="00C875F5">
              <w:rPr>
                <w:sz w:val="20"/>
              </w:rPr>
              <w:t xml:space="preserve">Adults </w:t>
            </w:r>
          </w:p>
        </w:tc>
        <w:tc>
          <w:tcPr>
            <w:tcW w:w="6155" w:type="dxa"/>
          </w:tcPr>
          <w:p w:rsidR="00EA6F40" w:rsidRPr="00263F77" w:rsidRDefault="00EA6F40" w:rsidP="00EA6F40">
            <w:pPr>
              <w:suppressLineNumbers/>
              <w:rPr>
                <w:rFonts w:cs="Times New Roman"/>
                <w:sz w:val="20"/>
                <w:szCs w:val="20"/>
              </w:rPr>
            </w:pPr>
            <w:r w:rsidRPr="00C875F5">
              <w:rPr>
                <w:rFonts w:cs="Times New Roman"/>
                <w:sz w:val="20"/>
                <w:szCs w:val="20"/>
              </w:rPr>
              <w:t>What is the average intake of healthy adults above which adverse effects on thyroid function are observed, as indicated by increased thyroid volume and/or a</w:t>
            </w:r>
            <w:r w:rsidR="00263F77">
              <w:rPr>
                <w:rFonts w:cs="Times New Roman"/>
                <w:sz w:val="20"/>
                <w:szCs w:val="20"/>
              </w:rPr>
              <w:t>bnormal thyroid hormone levels?</w:t>
            </w:r>
          </w:p>
        </w:tc>
        <w:tc>
          <w:tcPr>
            <w:tcW w:w="3293" w:type="dxa"/>
          </w:tcPr>
          <w:p w:rsidR="00EA6F40" w:rsidRPr="00C875F5" w:rsidRDefault="00EA6F40" w:rsidP="00EA6F40">
            <w:pPr>
              <w:pStyle w:val="ListParagraph"/>
              <w:numPr>
                <w:ilvl w:val="0"/>
                <w:numId w:val="19"/>
              </w:numPr>
              <w:suppressLineNumbers/>
              <w:ind w:left="317" w:hanging="284"/>
              <w:rPr>
                <w:szCs w:val="20"/>
              </w:rPr>
            </w:pPr>
            <w:r w:rsidRPr="00C875F5">
              <w:rPr>
                <w:szCs w:val="20"/>
              </w:rPr>
              <w:t>increased thyroid volume</w:t>
            </w:r>
          </w:p>
          <w:p w:rsidR="00EA6F40" w:rsidRPr="00C875F5" w:rsidRDefault="00EA6F40" w:rsidP="00EA6F40">
            <w:pPr>
              <w:pStyle w:val="ListParagraph"/>
              <w:widowControl w:val="0"/>
              <w:numPr>
                <w:ilvl w:val="0"/>
                <w:numId w:val="19"/>
              </w:numPr>
              <w:autoSpaceDE w:val="0"/>
              <w:autoSpaceDN w:val="0"/>
              <w:adjustRightInd w:val="0"/>
              <w:ind w:left="317" w:hanging="284"/>
              <w:rPr>
                <w:rFonts w:cs="Calibri"/>
                <w:szCs w:val="20"/>
              </w:rPr>
            </w:pPr>
            <w:r w:rsidRPr="00C875F5">
              <w:rPr>
                <w:szCs w:val="20"/>
              </w:rPr>
              <w:t>abnormal thyroid hormone levels</w:t>
            </w:r>
          </w:p>
        </w:tc>
      </w:tr>
      <w:tr w:rsidR="00EA6F40" w:rsidRPr="00C875F5" w:rsidTr="00974F73">
        <w:trPr>
          <w:trHeight w:val="143"/>
        </w:trPr>
        <w:tc>
          <w:tcPr>
            <w:tcW w:w="539" w:type="dxa"/>
          </w:tcPr>
          <w:p w:rsidR="00EA6F40" w:rsidRPr="0095338B" w:rsidRDefault="00EA6F40" w:rsidP="00263F77">
            <w:pPr>
              <w:rPr>
                <w:rStyle w:val="Strong"/>
                <w:sz w:val="20"/>
                <w:szCs w:val="20"/>
              </w:rPr>
            </w:pPr>
            <w:r w:rsidRPr="0095338B">
              <w:rPr>
                <w:rStyle w:val="Strong"/>
                <w:sz w:val="20"/>
                <w:szCs w:val="20"/>
              </w:rPr>
              <w:t>3</w:t>
            </w:r>
          </w:p>
        </w:tc>
        <w:tc>
          <w:tcPr>
            <w:tcW w:w="2004" w:type="dxa"/>
          </w:tcPr>
          <w:p w:rsidR="00EA6F40" w:rsidRPr="0095338B" w:rsidRDefault="00EA6F40" w:rsidP="00EA6F40">
            <w:pPr>
              <w:suppressLineNumbers/>
              <w:rPr>
                <w:rStyle w:val="Strong"/>
                <w:sz w:val="20"/>
                <w:szCs w:val="20"/>
              </w:rPr>
            </w:pPr>
            <w:r w:rsidRPr="0095338B">
              <w:rPr>
                <w:rStyle w:val="Strong"/>
                <w:sz w:val="20"/>
                <w:szCs w:val="20"/>
              </w:rPr>
              <w:t>Pregnant women</w:t>
            </w:r>
          </w:p>
        </w:tc>
        <w:tc>
          <w:tcPr>
            <w:tcW w:w="6155" w:type="dxa"/>
          </w:tcPr>
          <w:p w:rsidR="00EA6F40" w:rsidRPr="0095338B" w:rsidRDefault="00EA6F40" w:rsidP="00EA6F40">
            <w:pPr>
              <w:suppressLineNumbers/>
              <w:ind w:right="-108"/>
              <w:rPr>
                <w:rStyle w:val="Strong"/>
                <w:sz w:val="20"/>
                <w:szCs w:val="20"/>
              </w:rPr>
            </w:pPr>
            <w:r w:rsidRPr="0095338B">
              <w:rPr>
                <w:rStyle w:val="Strong"/>
                <w:sz w:val="20"/>
                <w:szCs w:val="20"/>
              </w:rPr>
              <w:t>What is the average intake required by healthy pregnant women in a population to maintain normal thyroid function as measured by maternal thyroid hormones and thyroid volume and neur</w:t>
            </w:r>
            <w:r w:rsidR="00263F77" w:rsidRPr="0095338B">
              <w:rPr>
                <w:rStyle w:val="Strong"/>
                <w:sz w:val="20"/>
                <w:szCs w:val="20"/>
              </w:rPr>
              <w:t>odevelopment in their children?</w:t>
            </w:r>
          </w:p>
        </w:tc>
        <w:tc>
          <w:tcPr>
            <w:tcW w:w="3293" w:type="dxa"/>
          </w:tcPr>
          <w:p w:rsidR="00EA6F40" w:rsidRPr="00C875F5" w:rsidRDefault="00EA6F40" w:rsidP="00EA6F40">
            <w:pPr>
              <w:pStyle w:val="ListParagraph"/>
              <w:numPr>
                <w:ilvl w:val="0"/>
                <w:numId w:val="9"/>
              </w:numPr>
              <w:suppressLineNumbers/>
              <w:ind w:left="317" w:hanging="284"/>
              <w:rPr>
                <w:b/>
                <w:szCs w:val="20"/>
              </w:rPr>
            </w:pPr>
            <w:r w:rsidRPr="00C875F5">
              <w:rPr>
                <w:b/>
                <w:szCs w:val="20"/>
              </w:rPr>
              <w:t>maternal thyroid volume</w:t>
            </w:r>
          </w:p>
          <w:p w:rsidR="00EA6F40" w:rsidRPr="00C875F5" w:rsidRDefault="00EA6F40" w:rsidP="00EA6F40">
            <w:pPr>
              <w:pStyle w:val="ListParagraph"/>
              <w:numPr>
                <w:ilvl w:val="0"/>
                <w:numId w:val="9"/>
              </w:numPr>
              <w:suppressLineNumbers/>
              <w:ind w:left="317" w:hanging="284"/>
              <w:rPr>
                <w:b/>
                <w:szCs w:val="20"/>
              </w:rPr>
            </w:pPr>
            <w:r w:rsidRPr="00C875F5">
              <w:rPr>
                <w:b/>
                <w:szCs w:val="20"/>
              </w:rPr>
              <w:t>maternal thyroid hormone levels</w:t>
            </w:r>
          </w:p>
          <w:p w:rsidR="00EA6F40" w:rsidRPr="00C875F5" w:rsidRDefault="00EA6F40" w:rsidP="00EA6F40">
            <w:pPr>
              <w:pStyle w:val="ListParagraph"/>
              <w:numPr>
                <w:ilvl w:val="0"/>
                <w:numId w:val="9"/>
              </w:numPr>
              <w:suppressLineNumbers/>
              <w:ind w:left="317" w:hanging="284"/>
              <w:rPr>
                <w:b/>
                <w:szCs w:val="20"/>
              </w:rPr>
            </w:pPr>
            <w:r w:rsidRPr="00C875F5">
              <w:rPr>
                <w:b/>
                <w:szCs w:val="20"/>
              </w:rPr>
              <w:t>neurodevelopment in their children</w:t>
            </w:r>
          </w:p>
        </w:tc>
      </w:tr>
      <w:tr w:rsidR="00EA6F40" w:rsidRPr="00C875F5" w:rsidTr="00974F73">
        <w:trPr>
          <w:trHeight w:val="143"/>
        </w:trPr>
        <w:tc>
          <w:tcPr>
            <w:tcW w:w="539" w:type="dxa"/>
          </w:tcPr>
          <w:p w:rsidR="00EA6F40" w:rsidRPr="0095338B" w:rsidRDefault="00EA6F40" w:rsidP="00263F77">
            <w:pPr>
              <w:rPr>
                <w:rStyle w:val="Strong"/>
                <w:sz w:val="20"/>
                <w:szCs w:val="20"/>
              </w:rPr>
            </w:pPr>
            <w:r w:rsidRPr="0095338B">
              <w:rPr>
                <w:rStyle w:val="Strong"/>
                <w:sz w:val="20"/>
                <w:szCs w:val="20"/>
              </w:rPr>
              <w:t>4</w:t>
            </w:r>
          </w:p>
        </w:tc>
        <w:tc>
          <w:tcPr>
            <w:tcW w:w="2004" w:type="dxa"/>
          </w:tcPr>
          <w:p w:rsidR="00EA6F40" w:rsidRPr="00C875F5" w:rsidRDefault="00EA6F40" w:rsidP="00EA6F40">
            <w:pPr>
              <w:suppressLineNumbers/>
              <w:rPr>
                <w:sz w:val="20"/>
                <w:szCs w:val="20"/>
              </w:rPr>
            </w:pPr>
            <w:r w:rsidRPr="00C875F5">
              <w:rPr>
                <w:sz w:val="20"/>
              </w:rPr>
              <w:t>Pregnant women</w:t>
            </w:r>
          </w:p>
        </w:tc>
        <w:tc>
          <w:tcPr>
            <w:tcW w:w="6155" w:type="dxa"/>
          </w:tcPr>
          <w:p w:rsidR="00EA6F40" w:rsidRPr="00263F77" w:rsidRDefault="00EA6F40" w:rsidP="00EA6F40">
            <w:pPr>
              <w:suppressLineNumbers/>
              <w:rPr>
                <w:rFonts w:cs="Times New Roman"/>
                <w:sz w:val="20"/>
                <w:szCs w:val="20"/>
              </w:rPr>
            </w:pPr>
            <w:r w:rsidRPr="00C875F5">
              <w:rPr>
                <w:rFonts w:cs="Times New Roman"/>
                <w:sz w:val="20"/>
                <w:szCs w:val="20"/>
              </w:rPr>
              <w:t>What is the average intake of healthy pregnant women above which adverse effects on thyroid function are observed, as indicated by increased thyroid volume and/or a</w:t>
            </w:r>
            <w:r w:rsidR="00263F77">
              <w:rPr>
                <w:rFonts w:cs="Times New Roman"/>
                <w:sz w:val="20"/>
                <w:szCs w:val="20"/>
              </w:rPr>
              <w:t>bnormal thyroid hormone levels?</w:t>
            </w:r>
          </w:p>
        </w:tc>
        <w:tc>
          <w:tcPr>
            <w:tcW w:w="3293" w:type="dxa"/>
          </w:tcPr>
          <w:p w:rsidR="00EA6F40" w:rsidRPr="00C875F5" w:rsidRDefault="00EA6F40" w:rsidP="00EA6F40">
            <w:pPr>
              <w:pStyle w:val="ListParagraph"/>
              <w:numPr>
                <w:ilvl w:val="0"/>
                <w:numId w:val="10"/>
              </w:numPr>
              <w:suppressLineNumbers/>
              <w:ind w:left="317" w:hanging="284"/>
              <w:rPr>
                <w:szCs w:val="20"/>
              </w:rPr>
            </w:pPr>
            <w:r w:rsidRPr="00C875F5">
              <w:rPr>
                <w:szCs w:val="20"/>
              </w:rPr>
              <w:t>increased thyroid volume</w:t>
            </w:r>
          </w:p>
          <w:p w:rsidR="00EA6F40" w:rsidRPr="00C875F5" w:rsidRDefault="00EA6F40" w:rsidP="00EA6F40">
            <w:pPr>
              <w:pStyle w:val="ListParagraph"/>
              <w:numPr>
                <w:ilvl w:val="0"/>
                <w:numId w:val="10"/>
              </w:numPr>
              <w:suppressLineNumbers/>
              <w:ind w:left="317" w:hanging="284"/>
              <w:rPr>
                <w:szCs w:val="20"/>
              </w:rPr>
            </w:pPr>
            <w:r w:rsidRPr="00C875F5">
              <w:rPr>
                <w:szCs w:val="20"/>
              </w:rPr>
              <w:t>abnormal thyroid hormone levels</w:t>
            </w:r>
          </w:p>
        </w:tc>
      </w:tr>
      <w:tr w:rsidR="00EA6F40" w:rsidRPr="00C875F5" w:rsidTr="00974F73">
        <w:trPr>
          <w:trHeight w:val="143"/>
        </w:trPr>
        <w:tc>
          <w:tcPr>
            <w:tcW w:w="539" w:type="dxa"/>
          </w:tcPr>
          <w:p w:rsidR="00EA6F40" w:rsidRPr="0095338B" w:rsidRDefault="00EA6F40" w:rsidP="00263F77">
            <w:pPr>
              <w:rPr>
                <w:rStyle w:val="Strong"/>
                <w:sz w:val="20"/>
                <w:szCs w:val="20"/>
              </w:rPr>
            </w:pPr>
            <w:r w:rsidRPr="0095338B">
              <w:rPr>
                <w:rStyle w:val="Strong"/>
                <w:sz w:val="20"/>
                <w:szCs w:val="20"/>
              </w:rPr>
              <w:t>5</w:t>
            </w:r>
          </w:p>
        </w:tc>
        <w:tc>
          <w:tcPr>
            <w:tcW w:w="2004" w:type="dxa"/>
          </w:tcPr>
          <w:p w:rsidR="00EA6F40" w:rsidRPr="00C875F5" w:rsidRDefault="00EA6F40" w:rsidP="00EA6F40">
            <w:pPr>
              <w:suppressLineNumbers/>
              <w:rPr>
                <w:sz w:val="20"/>
                <w:szCs w:val="20"/>
              </w:rPr>
            </w:pPr>
            <w:r w:rsidRPr="00C875F5">
              <w:rPr>
                <w:sz w:val="20"/>
              </w:rPr>
              <w:t>Lactating women</w:t>
            </w:r>
          </w:p>
        </w:tc>
        <w:tc>
          <w:tcPr>
            <w:tcW w:w="6155" w:type="dxa"/>
          </w:tcPr>
          <w:p w:rsidR="00EA6F40" w:rsidRPr="00263F77" w:rsidRDefault="00EA6F40" w:rsidP="00263F77">
            <w:pPr>
              <w:suppressLineNumbers/>
              <w:ind w:right="-108"/>
              <w:rPr>
                <w:sz w:val="20"/>
              </w:rPr>
            </w:pPr>
            <w:r w:rsidRPr="00C875F5">
              <w:rPr>
                <w:sz w:val="20"/>
              </w:rPr>
              <w:t>What is the average intake required by healthy lactating women in a population to maintain normal thyroid function as measured by maternal thyroid function, thyroid function in the infants, neur</w:t>
            </w:r>
            <w:r w:rsidR="00263F77">
              <w:rPr>
                <w:sz w:val="20"/>
              </w:rPr>
              <w:t>odevelopment in their children?</w:t>
            </w:r>
          </w:p>
        </w:tc>
        <w:tc>
          <w:tcPr>
            <w:tcW w:w="3293" w:type="dxa"/>
          </w:tcPr>
          <w:p w:rsidR="00EA6F40" w:rsidRPr="00C875F5" w:rsidRDefault="00EA6F40" w:rsidP="00EA6F40">
            <w:pPr>
              <w:pStyle w:val="ListParagraph"/>
              <w:numPr>
                <w:ilvl w:val="0"/>
                <w:numId w:val="11"/>
              </w:numPr>
              <w:suppressLineNumbers/>
              <w:ind w:left="317" w:hanging="284"/>
              <w:rPr>
                <w:szCs w:val="20"/>
              </w:rPr>
            </w:pPr>
            <w:r w:rsidRPr="00C875F5">
              <w:rPr>
                <w:szCs w:val="20"/>
              </w:rPr>
              <w:t>adequate iodine content of breast</w:t>
            </w:r>
            <w:r>
              <w:rPr>
                <w:szCs w:val="20"/>
              </w:rPr>
              <w:t xml:space="preserve"> </w:t>
            </w:r>
            <w:r w:rsidRPr="00C875F5">
              <w:rPr>
                <w:szCs w:val="20"/>
              </w:rPr>
              <w:t>milk</w:t>
            </w:r>
          </w:p>
          <w:p w:rsidR="00EA6F40" w:rsidRPr="00C875F5" w:rsidRDefault="00EA6F40" w:rsidP="00EA6F40">
            <w:pPr>
              <w:pStyle w:val="ListParagraph"/>
              <w:numPr>
                <w:ilvl w:val="0"/>
                <w:numId w:val="11"/>
              </w:numPr>
              <w:suppressLineNumbers/>
              <w:ind w:left="317" w:hanging="284"/>
            </w:pPr>
            <w:r w:rsidRPr="00C875F5">
              <w:t xml:space="preserve">maternal thyroid volume </w:t>
            </w:r>
          </w:p>
          <w:p w:rsidR="00EA6F40" w:rsidRPr="00C875F5" w:rsidRDefault="00EA6F40" w:rsidP="00EA6F40">
            <w:pPr>
              <w:pStyle w:val="ListParagraph"/>
              <w:numPr>
                <w:ilvl w:val="0"/>
                <w:numId w:val="11"/>
              </w:numPr>
              <w:suppressLineNumbers/>
              <w:ind w:left="317" w:hanging="284"/>
            </w:pPr>
            <w:r w:rsidRPr="00C875F5">
              <w:t>maternal thyroid hormone levels</w:t>
            </w:r>
          </w:p>
          <w:p w:rsidR="00EA6F40" w:rsidRPr="00C875F5" w:rsidRDefault="00EA6F40" w:rsidP="00EA6F40">
            <w:pPr>
              <w:pStyle w:val="ListParagraph"/>
              <w:numPr>
                <w:ilvl w:val="0"/>
                <w:numId w:val="11"/>
              </w:numPr>
              <w:suppressLineNumbers/>
              <w:ind w:left="317" w:hanging="284"/>
              <w:rPr>
                <w:szCs w:val="20"/>
              </w:rPr>
            </w:pPr>
            <w:r w:rsidRPr="00C875F5">
              <w:t>infant thyroid hormone levels</w:t>
            </w:r>
          </w:p>
          <w:p w:rsidR="00EA6F40" w:rsidRPr="00C875F5" w:rsidRDefault="00EA6F40" w:rsidP="00EA6F40">
            <w:pPr>
              <w:pStyle w:val="ListParagraph"/>
              <w:numPr>
                <w:ilvl w:val="0"/>
                <w:numId w:val="11"/>
              </w:numPr>
              <w:suppressLineNumbers/>
              <w:ind w:left="317" w:hanging="284"/>
              <w:rPr>
                <w:szCs w:val="20"/>
              </w:rPr>
            </w:pPr>
            <w:r w:rsidRPr="00C875F5">
              <w:t>infant neurodevelopment</w:t>
            </w:r>
            <w:r w:rsidRPr="00C875F5">
              <w:rPr>
                <w:i/>
                <w:szCs w:val="20"/>
              </w:rPr>
              <w:t xml:space="preserve"> </w:t>
            </w:r>
          </w:p>
        </w:tc>
      </w:tr>
      <w:tr w:rsidR="00EA6F40" w:rsidRPr="00C875F5" w:rsidTr="00974F73">
        <w:trPr>
          <w:trHeight w:val="143"/>
        </w:trPr>
        <w:tc>
          <w:tcPr>
            <w:tcW w:w="539" w:type="dxa"/>
          </w:tcPr>
          <w:p w:rsidR="00EA6F40" w:rsidRPr="0095338B" w:rsidRDefault="00EA6F40" w:rsidP="0095338B">
            <w:pPr>
              <w:rPr>
                <w:sz w:val="20"/>
                <w:szCs w:val="20"/>
              </w:rPr>
            </w:pPr>
            <w:r w:rsidRPr="0095338B">
              <w:rPr>
                <w:sz w:val="20"/>
                <w:szCs w:val="20"/>
              </w:rPr>
              <w:t>6</w:t>
            </w:r>
          </w:p>
        </w:tc>
        <w:tc>
          <w:tcPr>
            <w:tcW w:w="2004" w:type="dxa"/>
          </w:tcPr>
          <w:p w:rsidR="00EA6F40" w:rsidRPr="00C875F5" w:rsidRDefault="00EA6F40" w:rsidP="00EA6F40">
            <w:pPr>
              <w:suppressLineNumbers/>
              <w:rPr>
                <w:sz w:val="20"/>
                <w:szCs w:val="20"/>
              </w:rPr>
            </w:pPr>
            <w:r w:rsidRPr="00C875F5">
              <w:rPr>
                <w:sz w:val="20"/>
              </w:rPr>
              <w:t>Lactating women</w:t>
            </w:r>
          </w:p>
        </w:tc>
        <w:tc>
          <w:tcPr>
            <w:tcW w:w="6155" w:type="dxa"/>
          </w:tcPr>
          <w:p w:rsidR="00EA6F40" w:rsidRPr="00263F77" w:rsidRDefault="00EA6F40" w:rsidP="00EA6F40">
            <w:pPr>
              <w:suppressLineNumbers/>
              <w:rPr>
                <w:rFonts w:cs="Times New Roman"/>
                <w:sz w:val="20"/>
                <w:szCs w:val="20"/>
              </w:rPr>
            </w:pPr>
            <w:r w:rsidRPr="00C875F5">
              <w:rPr>
                <w:rFonts w:cs="Times New Roman"/>
                <w:sz w:val="20"/>
                <w:szCs w:val="20"/>
              </w:rPr>
              <w:t>What is the average intake of healthy lactating women above which adverse effects on thyroid function are observed, as indicated by increased thyroid volume and/or abnormal thyroid hormone levels in mothers and infants?</w:t>
            </w:r>
          </w:p>
        </w:tc>
        <w:tc>
          <w:tcPr>
            <w:tcW w:w="3293" w:type="dxa"/>
          </w:tcPr>
          <w:p w:rsidR="00EA6F40" w:rsidRPr="00C875F5" w:rsidRDefault="00EA6F40" w:rsidP="00EA6F40">
            <w:pPr>
              <w:pStyle w:val="ListParagraph"/>
              <w:numPr>
                <w:ilvl w:val="0"/>
                <w:numId w:val="8"/>
              </w:numPr>
              <w:suppressLineNumbers/>
              <w:ind w:left="317" w:hanging="284"/>
              <w:rPr>
                <w:szCs w:val="20"/>
              </w:rPr>
            </w:pPr>
            <w:r w:rsidRPr="00C875F5">
              <w:rPr>
                <w:szCs w:val="20"/>
              </w:rPr>
              <w:t>increased thyroid volume</w:t>
            </w:r>
          </w:p>
          <w:p w:rsidR="00EA6F40" w:rsidRPr="00C875F5" w:rsidRDefault="00EA6F40" w:rsidP="00EA6F40">
            <w:pPr>
              <w:pStyle w:val="ListParagraph"/>
              <w:numPr>
                <w:ilvl w:val="0"/>
                <w:numId w:val="8"/>
              </w:numPr>
              <w:suppressLineNumbers/>
              <w:ind w:left="317" w:hanging="284"/>
              <w:rPr>
                <w:szCs w:val="20"/>
              </w:rPr>
            </w:pPr>
            <w:r w:rsidRPr="00C875F5">
              <w:rPr>
                <w:szCs w:val="20"/>
              </w:rPr>
              <w:t>abnormal thyroid hormone levels in mothers</w:t>
            </w:r>
          </w:p>
          <w:p w:rsidR="00EA6F40" w:rsidRPr="00C875F5" w:rsidRDefault="00EA6F40" w:rsidP="00EA6F40">
            <w:pPr>
              <w:pStyle w:val="ListParagraph"/>
              <w:numPr>
                <w:ilvl w:val="0"/>
                <w:numId w:val="8"/>
              </w:numPr>
              <w:suppressLineNumbers/>
              <w:ind w:left="317" w:hanging="284"/>
              <w:rPr>
                <w:szCs w:val="20"/>
              </w:rPr>
            </w:pPr>
            <w:r w:rsidRPr="00C875F5">
              <w:rPr>
                <w:szCs w:val="20"/>
              </w:rPr>
              <w:t xml:space="preserve">abnormal thyroid hormone levels </w:t>
            </w:r>
            <w:r w:rsidRPr="00C875F5">
              <w:rPr>
                <w:szCs w:val="20"/>
              </w:rPr>
              <w:lastRenderedPageBreak/>
              <w:t>in infants</w:t>
            </w:r>
          </w:p>
        </w:tc>
      </w:tr>
      <w:tr w:rsidR="00EA6F40" w:rsidRPr="00C875F5" w:rsidTr="00974F73">
        <w:trPr>
          <w:trHeight w:val="693"/>
        </w:trPr>
        <w:tc>
          <w:tcPr>
            <w:tcW w:w="539" w:type="dxa"/>
          </w:tcPr>
          <w:p w:rsidR="00EA6F40" w:rsidRPr="0095338B" w:rsidRDefault="00EA6F40" w:rsidP="0095338B">
            <w:pPr>
              <w:rPr>
                <w:sz w:val="20"/>
                <w:szCs w:val="20"/>
              </w:rPr>
            </w:pPr>
            <w:r w:rsidRPr="0095338B">
              <w:rPr>
                <w:sz w:val="20"/>
                <w:szCs w:val="20"/>
              </w:rPr>
              <w:lastRenderedPageBreak/>
              <w:t>7</w:t>
            </w:r>
          </w:p>
        </w:tc>
        <w:tc>
          <w:tcPr>
            <w:tcW w:w="2004" w:type="dxa"/>
          </w:tcPr>
          <w:p w:rsidR="00EA6F40" w:rsidRPr="00C875F5" w:rsidRDefault="00EA6F40" w:rsidP="00EA6F40">
            <w:pPr>
              <w:suppressLineNumbers/>
              <w:rPr>
                <w:sz w:val="20"/>
                <w:szCs w:val="20"/>
              </w:rPr>
            </w:pPr>
            <w:r w:rsidRPr="00C875F5">
              <w:rPr>
                <w:sz w:val="20"/>
                <w:szCs w:val="20"/>
              </w:rPr>
              <w:t>Infants (0-1 years)</w:t>
            </w:r>
          </w:p>
        </w:tc>
        <w:tc>
          <w:tcPr>
            <w:tcW w:w="6155" w:type="dxa"/>
          </w:tcPr>
          <w:p w:rsidR="00EA6F40" w:rsidRPr="00C875F5" w:rsidRDefault="00EA6F40" w:rsidP="00EA6F40">
            <w:pPr>
              <w:suppressLineNumbers/>
              <w:rPr>
                <w:sz w:val="20"/>
                <w:szCs w:val="20"/>
              </w:rPr>
            </w:pPr>
            <w:r w:rsidRPr="00C875F5">
              <w:rPr>
                <w:rFonts w:cs="Times New Roman"/>
                <w:sz w:val="20"/>
                <w:szCs w:val="20"/>
              </w:rPr>
              <w:t>What is the average intake required by healthy infants</w:t>
            </w:r>
            <w:r w:rsidRPr="00C875F5">
              <w:rPr>
                <w:sz w:val="20"/>
                <w:szCs w:val="20"/>
              </w:rPr>
              <w:t xml:space="preserve">(0-1years) </w:t>
            </w:r>
            <w:r w:rsidRPr="00C875F5">
              <w:rPr>
                <w:rFonts w:cs="Times New Roman"/>
                <w:sz w:val="20"/>
                <w:szCs w:val="20"/>
              </w:rPr>
              <w:t>in a population to maintain normal thyroid function, as measured by thyroid hormones and thyroid volume?</w:t>
            </w:r>
          </w:p>
        </w:tc>
        <w:tc>
          <w:tcPr>
            <w:tcW w:w="3293" w:type="dxa"/>
          </w:tcPr>
          <w:p w:rsidR="00EA6F40" w:rsidRPr="00C875F5" w:rsidRDefault="00EA6F40" w:rsidP="00EA6F40">
            <w:pPr>
              <w:pStyle w:val="ListParagraph"/>
              <w:numPr>
                <w:ilvl w:val="0"/>
                <w:numId w:val="16"/>
              </w:numPr>
              <w:suppressLineNumbers/>
              <w:ind w:left="317" w:right="176" w:hanging="284"/>
              <w:rPr>
                <w:szCs w:val="20"/>
              </w:rPr>
            </w:pPr>
            <w:r w:rsidRPr="00C875F5">
              <w:rPr>
                <w:szCs w:val="20"/>
              </w:rPr>
              <w:t>thyroid volume</w:t>
            </w:r>
          </w:p>
          <w:p w:rsidR="00EA6F40" w:rsidRPr="00C875F5" w:rsidRDefault="00EA6F40" w:rsidP="00EA6F40">
            <w:pPr>
              <w:pStyle w:val="ListParagraph"/>
              <w:numPr>
                <w:ilvl w:val="0"/>
                <w:numId w:val="16"/>
              </w:numPr>
              <w:suppressLineNumbers/>
              <w:ind w:left="317" w:right="176" w:hanging="284"/>
              <w:rPr>
                <w:szCs w:val="20"/>
              </w:rPr>
            </w:pPr>
            <w:r w:rsidRPr="00C875F5">
              <w:rPr>
                <w:szCs w:val="20"/>
              </w:rPr>
              <w:t>thyroid hormone levels</w:t>
            </w:r>
          </w:p>
          <w:p w:rsidR="00EA6F40" w:rsidRPr="00C875F5" w:rsidRDefault="00EA6F40" w:rsidP="00EA6F40">
            <w:pPr>
              <w:pStyle w:val="ListParagraph"/>
              <w:numPr>
                <w:ilvl w:val="0"/>
                <w:numId w:val="16"/>
              </w:numPr>
              <w:suppressLineNumbers/>
              <w:ind w:left="317" w:right="176" w:hanging="284"/>
              <w:rPr>
                <w:i/>
                <w:szCs w:val="20"/>
              </w:rPr>
            </w:pPr>
            <w:r w:rsidRPr="00C875F5">
              <w:rPr>
                <w:szCs w:val="20"/>
              </w:rPr>
              <w:t>neurodevelopment</w:t>
            </w:r>
            <w:r w:rsidRPr="00C875F5">
              <w:rPr>
                <w:i/>
                <w:szCs w:val="20"/>
              </w:rPr>
              <w:t xml:space="preserve"> </w:t>
            </w:r>
          </w:p>
        </w:tc>
      </w:tr>
      <w:tr w:rsidR="00EA6F40" w:rsidRPr="00C875F5" w:rsidTr="00974F73">
        <w:trPr>
          <w:trHeight w:val="924"/>
        </w:trPr>
        <w:tc>
          <w:tcPr>
            <w:tcW w:w="539" w:type="dxa"/>
          </w:tcPr>
          <w:p w:rsidR="00EA6F40" w:rsidRPr="0095338B" w:rsidRDefault="00EA6F40" w:rsidP="0095338B">
            <w:pPr>
              <w:rPr>
                <w:sz w:val="20"/>
                <w:szCs w:val="20"/>
              </w:rPr>
            </w:pPr>
            <w:r w:rsidRPr="0095338B">
              <w:rPr>
                <w:sz w:val="20"/>
                <w:szCs w:val="20"/>
              </w:rPr>
              <w:t>8</w:t>
            </w:r>
          </w:p>
        </w:tc>
        <w:tc>
          <w:tcPr>
            <w:tcW w:w="2004" w:type="dxa"/>
          </w:tcPr>
          <w:p w:rsidR="00EA6F40" w:rsidRPr="00C875F5" w:rsidRDefault="00EA6F40" w:rsidP="00EA6F40">
            <w:pPr>
              <w:widowControl w:val="0"/>
              <w:autoSpaceDE w:val="0"/>
              <w:autoSpaceDN w:val="0"/>
              <w:adjustRightInd w:val="0"/>
              <w:rPr>
                <w:sz w:val="20"/>
              </w:rPr>
            </w:pPr>
            <w:r w:rsidRPr="00C875F5">
              <w:rPr>
                <w:sz w:val="20"/>
              </w:rPr>
              <w:t>Infants (0-1 years)</w:t>
            </w:r>
          </w:p>
        </w:tc>
        <w:tc>
          <w:tcPr>
            <w:tcW w:w="6155" w:type="dxa"/>
          </w:tcPr>
          <w:p w:rsidR="00EA6F40" w:rsidRPr="00C875F5" w:rsidRDefault="00EA6F40" w:rsidP="00EA6F40">
            <w:pPr>
              <w:widowControl w:val="0"/>
              <w:autoSpaceDE w:val="0"/>
              <w:autoSpaceDN w:val="0"/>
              <w:adjustRightInd w:val="0"/>
              <w:rPr>
                <w:rFonts w:cs="Times New Roman"/>
                <w:sz w:val="20"/>
                <w:szCs w:val="20"/>
              </w:rPr>
            </w:pPr>
            <w:r w:rsidRPr="00C875F5">
              <w:rPr>
                <w:rFonts w:cs="Times New Roman"/>
                <w:sz w:val="20"/>
                <w:szCs w:val="20"/>
              </w:rPr>
              <w:t>What is the average intake of normal healthy infants aged 0-1 years above which adverse effects on thyroid function are observed, as indicated by increased thyroid volume and/or abnormal thyroid hormone levels?</w:t>
            </w:r>
          </w:p>
        </w:tc>
        <w:tc>
          <w:tcPr>
            <w:tcW w:w="3293" w:type="dxa"/>
          </w:tcPr>
          <w:p w:rsidR="00EA6F40" w:rsidRPr="00C875F5" w:rsidRDefault="00EA6F40" w:rsidP="00EA6F40">
            <w:pPr>
              <w:pStyle w:val="ListParagraph"/>
              <w:widowControl w:val="0"/>
              <w:numPr>
                <w:ilvl w:val="0"/>
                <w:numId w:val="12"/>
              </w:numPr>
              <w:autoSpaceDE w:val="0"/>
              <w:autoSpaceDN w:val="0"/>
              <w:adjustRightInd w:val="0"/>
              <w:ind w:left="317" w:hanging="284"/>
              <w:rPr>
                <w:rFonts w:cs="Times New Roman"/>
                <w:szCs w:val="20"/>
              </w:rPr>
            </w:pPr>
            <w:r w:rsidRPr="00C875F5">
              <w:rPr>
                <w:rFonts w:cs="Times New Roman"/>
                <w:szCs w:val="20"/>
              </w:rPr>
              <w:t>increased thyroid volume</w:t>
            </w:r>
          </w:p>
          <w:p w:rsidR="00EA6F40" w:rsidRPr="00C875F5" w:rsidRDefault="00EA6F40" w:rsidP="00EA6F40">
            <w:pPr>
              <w:pStyle w:val="ListParagraph"/>
              <w:widowControl w:val="0"/>
              <w:numPr>
                <w:ilvl w:val="0"/>
                <w:numId w:val="12"/>
              </w:numPr>
              <w:autoSpaceDE w:val="0"/>
              <w:autoSpaceDN w:val="0"/>
              <w:adjustRightInd w:val="0"/>
              <w:ind w:left="317" w:hanging="284"/>
              <w:rPr>
                <w:rFonts w:cs="Times New Roman"/>
                <w:szCs w:val="20"/>
              </w:rPr>
            </w:pPr>
            <w:r w:rsidRPr="00C875F5">
              <w:rPr>
                <w:rFonts w:cs="Times New Roman"/>
                <w:szCs w:val="20"/>
              </w:rPr>
              <w:t>abnormal thyroid hormone levels</w:t>
            </w:r>
          </w:p>
        </w:tc>
      </w:tr>
      <w:tr w:rsidR="00EA6F40" w:rsidRPr="00C875F5" w:rsidTr="00974F73">
        <w:trPr>
          <w:trHeight w:val="872"/>
        </w:trPr>
        <w:tc>
          <w:tcPr>
            <w:tcW w:w="539" w:type="dxa"/>
          </w:tcPr>
          <w:p w:rsidR="00EA6F40" w:rsidRPr="0095338B" w:rsidRDefault="00EA6F40" w:rsidP="0095338B">
            <w:pPr>
              <w:rPr>
                <w:sz w:val="20"/>
                <w:szCs w:val="20"/>
              </w:rPr>
            </w:pPr>
            <w:r w:rsidRPr="0095338B">
              <w:rPr>
                <w:sz w:val="20"/>
                <w:szCs w:val="20"/>
              </w:rPr>
              <w:t>9</w:t>
            </w:r>
          </w:p>
        </w:tc>
        <w:tc>
          <w:tcPr>
            <w:tcW w:w="2004" w:type="dxa"/>
          </w:tcPr>
          <w:p w:rsidR="00EA6F40" w:rsidRPr="00C875F5" w:rsidRDefault="00EA6F40" w:rsidP="00EA6F40">
            <w:pPr>
              <w:widowControl w:val="0"/>
              <w:autoSpaceDE w:val="0"/>
              <w:autoSpaceDN w:val="0"/>
              <w:adjustRightInd w:val="0"/>
              <w:rPr>
                <w:sz w:val="20"/>
              </w:rPr>
            </w:pPr>
            <w:r w:rsidRPr="00C875F5">
              <w:rPr>
                <w:sz w:val="20"/>
                <w:szCs w:val="20"/>
              </w:rPr>
              <w:t>Children (1-3; 4-8; 9-13; 14-18 years)</w:t>
            </w:r>
          </w:p>
        </w:tc>
        <w:tc>
          <w:tcPr>
            <w:tcW w:w="6155" w:type="dxa"/>
          </w:tcPr>
          <w:p w:rsidR="00EA6F40" w:rsidRPr="00263F77" w:rsidRDefault="00EA6F40" w:rsidP="00EA6F40">
            <w:pPr>
              <w:widowControl w:val="0"/>
              <w:autoSpaceDE w:val="0"/>
              <w:autoSpaceDN w:val="0"/>
              <w:adjustRightInd w:val="0"/>
              <w:rPr>
                <w:rFonts w:cs="Times New Roman"/>
                <w:sz w:val="20"/>
                <w:szCs w:val="20"/>
              </w:rPr>
            </w:pPr>
            <w:r w:rsidRPr="00C875F5">
              <w:rPr>
                <w:rFonts w:cs="Times New Roman"/>
                <w:sz w:val="20"/>
                <w:szCs w:val="20"/>
              </w:rPr>
              <w:t xml:space="preserve">What is the average intake required by healthy children </w:t>
            </w:r>
            <w:r w:rsidRPr="00C875F5">
              <w:rPr>
                <w:sz w:val="20"/>
                <w:szCs w:val="20"/>
              </w:rPr>
              <w:t xml:space="preserve">(1-3; 4-8; 9-13; 14-18 years) </w:t>
            </w:r>
            <w:r w:rsidRPr="00C875F5">
              <w:rPr>
                <w:rFonts w:cs="Times New Roman"/>
                <w:sz w:val="20"/>
                <w:szCs w:val="20"/>
              </w:rPr>
              <w:t>in a population to maintain normal thyroid function, as measured by thyro</w:t>
            </w:r>
            <w:r w:rsidR="00263F77">
              <w:rPr>
                <w:rFonts w:cs="Times New Roman"/>
                <w:sz w:val="20"/>
                <w:szCs w:val="20"/>
              </w:rPr>
              <w:t>id hormones and thyroid volume?</w:t>
            </w:r>
          </w:p>
        </w:tc>
        <w:tc>
          <w:tcPr>
            <w:tcW w:w="3293" w:type="dxa"/>
          </w:tcPr>
          <w:p w:rsidR="00EA6F40" w:rsidRPr="00C875F5" w:rsidRDefault="00EA6F40" w:rsidP="00EA6F40">
            <w:pPr>
              <w:pStyle w:val="ListParagraph"/>
              <w:numPr>
                <w:ilvl w:val="0"/>
                <w:numId w:val="16"/>
              </w:numPr>
              <w:suppressLineNumbers/>
              <w:ind w:left="317" w:right="176" w:hanging="284"/>
              <w:rPr>
                <w:szCs w:val="20"/>
              </w:rPr>
            </w:pPr>
            <w:r w:rsidRPr="00C875F5">
              <w:rPr>
                <w:szCs w:val="20"/>
              </w:rPr>
              <w:t>thyroid volume</w:t>
            </w:r>
          </w:p>
          <w:p w:rsidR="00EA6F40" w:rsidRPr="00C875F5" w:rsidRDefault="00EA6F40" w:rsidP="00EA6F40">
            <w:pPr>
              <w:pStyle w:val="ListParagraph"/>
              <w:numPr>
                <w:ilvl w:val="0"/>
                <w:numId w:val="16"/>
              </w:numPr>
              <w:suppressLineNumbers/>
              <w:ind w:left="317" w:right="176" w:hanging="284"/>
              <w:rPr>
                <w:szCs w:val="20"/>
              </w:rPr>
            </w:pPr>
            <w:r w:rsidRPr="00C875F5">
              <w:rPr>
                <w:szCs w:val="20"/>
              </w:rPr>
              <w:t>thyroid hormone levels</w:t>
            </w:r>
          </w:p>
          <w:p w:rsidR="00EA6F40" w:rsidRPr="00C875F5" w:rsidRDefault="00EA6F40" w:rsidP="00EA6F40">
            <w:pPr>
              <w:pStyle w:val="ListParagraph"/>
              <w:widowControl w:val="0"/>
              <w:numPr>
                <w:ilvl w:val="0"/>
                <w:numId w:val="12"/>
              </w:numPr>
              <w:autoSpaceDE w:val="0"/>
              <w:autoSpaceDN w:val="0"/>
              <w:adjustRightInd w:val="0"/>
              <w:ind w:left="317" w:hanging="284"/>
              <w:rPr>
                <w:rFonts w:cs="Times New Roman"/>
                <w:szCs w:val="20"/>
              </w:rPr>
            </w:pPr>
            <w:r w:rsidRPr="00C875F5">
              <w:rPr>
                <w:szCs w:val="20"/>
              </w:rPr>
              <w:t>neurodevelopment</w:t>
            </w:r>
            <w:r w:rsidRPr="00C875F5">
              <w:rPr>
                <w:i/>
                <w:szCs w:val="20"/>
              </w:rPr>
              <w:t xml:space="preserve"> </w:t>
            </w:r>
          </w:p>
        </w:tc>
      </w:tr>
      <w:tr w:rsidR="00EA6F40" w:rsidRPr="00C875F5" w:rsidTr="00974F73">
        <w:trPr>
          <w:trHeight w:val="1110"/>
        </w:trPr>
        <w:tc>
          <w:tcPr>
            <w:tcW w:w="539" w:type="dxa"/>
          </w:tcPr>
          <w:p w:rsidR="00EA6F40" w:rsidRPr="0095338B" w:rsidRDefault="00EA6F40" w:rsidP="0095338B">
            <w:pPr>
              <w:rPr>
                <w:rStyle w:val="Strong"/>
                <w:sz w:val="20"/>
                <w:szCs w:val="20"/>
              </w:rPr>
            </w:pPr>
            <w:r w:rsidRPr="0095338B">
              <w:rPr>
                <w:rStyle w:val="Strong"/>
                <w:sz w:val="20"/>
                <w:szCs w:val="20"/>
              </w:rPr>
              <w:t>10</w:t>
            </w:r>
          </w:p>
        </w:tc>
        <w:tc>
          <w:tcPr>
            <w:tcW w:w="2004" w:type="dxa"/>
          </w:tcPr>
          <w:p w:rsidR="00EA6F40" w:rsidRPr="0095338B" w:rsidRDefault="00EA6F40" w:rsidP="00EA6F40">
            <w:pPr>
              <w:widowControl w:val="0"/>
              <w:autoSpaceDE w:val="0"/>
              <w:autoSpaceDN w:val="0"/>
              <w:adjustRightInd w:val="0"/>
              <w:rPr>
                <w:rStyle w:val="Strong"/>
                <w:sz w:val="20"/>
                <w:szCs w:val="20"/>
              </w:rPr>
            </w:pPr>
            <w:r w:rsidRPr="0095338B">
              <w:rPr>
                <w:rStyle w:val="Strong"/>
                <w:sz w:val="20"/>
                <w:szCs w:val="20"/>
              </w:rPr>
              <w:t>Children (1-3 years)</w:t>
            </w:r>
          </w:p>
        </w:tc>
        <w:tc>
          <w:tcPr>
            <w:tcW w:w="6155" w:type="dxa"/>
          </w:tcPr>
          <w:p w:rsidR="00EA6F40" w:rsidRPr="0095338B" w:rsidRDefault="00EA6F40" w:rsidP="00EA6F40">
            <w:pPr>
              <w:widowControl w:val="0"/>
              <w:autoSpaceDE w:val="0"/>
              <w:autoSpaceDN w:val="0"/>
              <w:adjustRightInd w:val="0"/>
              <w:rPr>
                <w:rStyle w:val="Strong"/>
                <w:sz w:val="20"/>
                <w:szCs w:val="20"/>
              </w:rPr>
            </w:pPr>
            <w:r w:rsidRPr="0095338B">
              <w:rPr>
                <w:rStyle w:val="Strong"/>
                <w:sz w:val="20"/>
                <w:szCs w:val="20"/>
              </w:rPr>
              <w:t>What is the average intake of normal healthy children aged 1-3 years above which adverse effects on thyroid function are observed, as indicated by increased thyroid volume and/or a</w:t>
            </w:r>
            <w:r w:rsidR="00263F77" w:rsidRPr="0095338B">
              <w:rPr>
                <w:rStyle w:val="Strong"/>
                <w:sz w:val="20"/>
                <w:szCs w:val="20"/>
              </w:rPr>
              <w:t>bnormal thyroid hormone levels?</w:t>
            </w:r>
          </w:p>
        </w:tc>
        <w:tc>
          <w:tcPr>
            <w:tcW w:w="3293" w:type="dxa"/>
          </w:tcPr>
          <w:p w:rsidR="00EA6F40" w:rsidRPr="00C875F5" w:rsidRDefault="00EA6F40" w:rsidP="00EA6F40">
            <w:pPr>
              <w:pStyle w:val="ListParagraph"/>
              <w:widowControl w:val="0"/>
              <w:numPr>
                <w:ilvl w:val="0"/>
                <w:numId w:val="12"/>
              </w:numPr>
              <w:autoSpaceDE w:val="0"/>
              <w:autoSpaceDN w:val="0"/>
              <w:adjustRightInd w:val="0"/>
              <w:ind w:left="317" w:hanging="284"/>
              <w:rPr>
                <w:rFonts w:cs="Times New Roman"/>
                <w:b/>
                <w:szCs w:val="20"/>
              </w:rPr>
            </w:pPr>
            <w:r w:rsidRPr="00C875F5">
              <w:rPr>
                <w:rFonts w:cs="Times New Roman"/>
                <w:b/>
                <w:szCs w:val="20"/>
              </w:rPr>
              <w:t>increased thyroid volume</w:t>
            </w:r>
          </w:p>
          <w:p w:rsidR="00EA6F40" w:rsidRPr="00C875F5" w:rsidRDefault="00EA6F40" w:rsidP="00EA6F40">
            <w:pPr>
              <w:pStyle w:val="ListParagraph"/>
              <w:widowControl w:val="0"/>
              <w:numPr>
                <w:ilvl w:val="0"/>
                <w:numId w:val="12"/>
              </w:numPr>
              <w:autoSpaceDE w:val="0"/>
              <w:autoSpaceDN w:val="0"/>
              <w:adjustRightInd w:val="0"/>
              <w:ind w:left="317" w:hanging="284"/>
              <w:rPr>
                <w:rFonts w:cs="Times New Roman"/>
                <w:b/>
                <w:szCs w:val="20"/>
              </w:rPr>
            </w:pPr>
            <w:r w:rsidRPr="00C875F5">
              <w:rPr>
                <w:rFonts w:cs="Times New Roman"/>
                <w:b/>
                <w:szCs w:val="20"/>
              </w:rPr>
              <w:t>abnormal thyroid hormone levels</w:t>
            </w:r>
          </w:p>
        </w:tc>
      </w:tr>
      <w:tr w:rsidR="00EA6F40" w:rsidRPr="00C875F5" w:rsidTr="00974F73">
        <w:trPr>
          <w:trHeight w:val="1123"/>
        </w:trPr>
        <w:tc>
          <w:tcPr>
            <w:tcW w:w="539" w:type="dxa"/>
          </w:tcPr>
          <w:p w:rsidR="00EA6F40" w:rsidRPr="0095338B" w:rsidRDefault="00EA6F40" w:rsidP="0095338B">
            <w:pPr>
              <w:rPr>
                <w:rStyle w:val="Strong"/>
                <w:sz w:val="20"/>
                <w:szCs w:val="20"/>
              </w:rPr>
            </w:pPr>
            <w:r w:rsidRPr="0095338B">
              <w:rPr>
                <w:rStyle w:val="Strong"/>
                <w:sz w:val="20"/>
                <w:szCs w:val="20"/>
              </w:rPr>
              <w:t>11</w:t>
            </w:r>
          </w:p>
        </w:tc>
        <w:tc>
          <w:tcPr>
            <w:tcW w:w="2004" w:type="dxa"/>
          </w:tcPr>
          <w:p w:rsidR="00EA6F40" w:rsidRPr="0095338B" w:rsidRDefault="00EA6F40" w:rsidP="00EA6F40">
            <w:pPr>
              <w:widowControl w:val="0"/>
              <w:autoSpaceDE w:val="0"/>
              <w:autoSpaceDN w:val="0"/>
              <w:adjustRightInd w:val="0"/>
              <w:rPr>
                <w:rStyle w:val="Strong"/>
                <w:sz w:val="20"/>
                <w:szCs w:val="20"/>
              </w:rPr>
            </w:pPr>
            <w:r w:rsidRPr="0095338B">
              <w:rPr>
                <w:rStyle w:val="Strong"/>
                <w:sz w:val="20"/>
                <w:szCs w:val="20"/>
              </w:rPr>
              <w:t>Children (4-8 years)</w:t>
            </w:r>
          </w:p>
        </w:tc>
        <w:tc>
          <w:tcPr>
            <w:tcW w:w="6155" w:type="dxa"/>
          </w:tcPr>
          <w:p w:rsidR="00EA6F40" w:rsidRPr="0095338B" w:rsidRDefault="00EA6F40" w:rsidP="00EA6F40">
            <w:pPr>
              <w:widowControl w:val="0"/>
              <w:autoSpaceDE w:val="0"/>
              <w:autoSpaceDN w:val="0"/>
              <w:adjustRightInd w:val="0"/>
              <w:rPr>
                <w:rStyle w:val="Strong"/>
                <w:sz w:val="20"/>
                <w:szCs w:val="20"/>
              </w:rPr>
            </w:pPr>
            <w:r w:rsidRPr="0095338B">
              <w:rPr>
                <w:rStyle w:val="Strong"/>
                <w:sz w:val="20"/>
                <w:szCs w:val="20"/>
              </w:rPr>
              <w:t>What is the average intake of normal healthy children aged 4-8 years above which adverse effects on thyroid function are observed, as indicated by increased thyroid volume and/or abnormal thyroid hormone levels</w:t>
            </w:r>
            <w:r w:rsidR="00263F77" w:rsidRPr="0095338B">
              <w:rPr>
                <w:rStyle w:val="Strong"/>
                <w:sz w:val="20"/>
                <w:szCs w:val="20"/>
              </w:rPr>
              <w:t>?</w:t>
            </w:r>
          </w:p>
        </w:tc>
        <w:tc>
          <w:tcPr>
            <w:tcW w:w="3293" w:type="dxa"/>
          </w:tcPr>
          <w:p w:rsidR="00EA6F40" w:rsidRPr="00C875F5" w:rsidRDefault="00EA6F40" w:rsidP="00EA6F40">
            <w:pPr>
              <w:pStyle w:val="ListParagraph"/>
              <w:widowControl w:val="0"/>
              <w:numPr>
                <w:ilvl w:val="0"/>
                <w:numId w:val="13"/>
              </w:numPr>
              <w:autoSpaceDE w:val="0"/>
              <w:autoSpaceDN w:val="0"/>
              <w:adjustRightInd w:val="0"/>
              <w:ind w:left="317" w:hanging="284"/>
              <w:rPr>
                <w:rFonts w:cs="Times New Roman"/>
                <w:b/>
                <w:szCs w:val="20"/>
              </w:rPr>
            </w:pPr>
            <w:r w:rsidRPr="00C875F5">
              <w:rPr>
                <w:rFonts w:cs="Times New Roman"/>
                <w:b/>
                <w:szCs w:val="20"/>
              </w:rPr>
              <w:t>increased thyroid volume</w:t>
            </w:r>
          </w:p>
          <w:p w:rsidR="00EA6F40" w:rsidRPr="00C875F5" w:rsidRDefault="00EA6F40" w:rsidP="00EA6F40">
            <w:pPr>
              <w:pStyle w:val="ListParagraph"/>
              <w:widowControl w:val="0"/>
              <w:numPr>
                <w:ilvl w:val="0"/>
                <w:numId w:val="13"/>
              </w:numPr>
              <w:autoSpaceDE w:val="0"/>
              <w:autoSpaceDN w:val="0"/>
              <w:adjustRightInd w:val="0"/>
              <w:ind w:left="317" w:hanging="284"/>
              <w:rPr>
                <w:rFonts w:cs="Calibri"/>
                <w:szCs w:val="20"/>
              </w:rPr>
            </w:pPr>
            <w:r w:rsidRPr="00C875F5">
              <w:rPr>
                <w:rFonts w:cs="Times New Roman"/>
                <w:b/>
                <w:szCs w:val="20"/>
              </w:rPr>
              <w:t>abnormal thyroid hormone levels</w:t>
            </w:r>
          </w:p>
        </w:tc>
      </w:tr>
      <w:tr w:rsidR="00EA6F40" w:rsidRPr="00C875F5" w:rsidTr="00974F73">
        <w:trPr>
          <w:trHeight w:val="1110"/>
        </w:trPr>
        <w:tc>
          <w:tcPr>
            <w:tcW w:w="539" w:type="dxa"/>
          </w:tcPr>
          <w:p w:rsidR="00EA6F40" w:rsidRPr="0095338B" w:rsidRDefault="00EA6F40" w:rsidP="0095338B">
            <w:pPr>
              <w:rPr>
                <w:rStyle w:val="Strong"/>
                <w:sz w:val="20"/>
                <w:szCs w:val="20"/>
              </w:rPr>
            </w:pPr>
            <w:r w:rsidRPr="0095338B">
              <w:rPr>
                <w:rStyle w:val="Strong"/>
                <w:sz w:val="20"/>
                <w:szCs w:val="20"/>
              </w:rPr>
              <w:t>12</w:t>
            </w:r>
          </w:p>
        </w:tc>
        <w:tc>
          <w:tcPr>
            <w:tcW w:w="2004" w:type="dxa"/>
          </w:tcPr>
          <w:p w:rsidR="00EA6F40" w:rsidRPr="0095338B" w:rsidRDefault="00EA6F40" w:rsidP="00EA6F40">
            <w:pPr>
              <w:widowControl w:val="0"/>
              <w:autoSpaceDE w:val="0"/>
              <w:autoSpaceDN w:val="0"/>
              <w:adjustRightInd w:val="0"/>
              <w:rPr>
                <w:rStyle w:val="Strong"/>
                <w:sz w:val="20"/>
                <w:szCs w:val="20"/>
              </w:rPr>
            </w:pPr>
            <w:r w:rsidRPr="0095338B">
              <w:rPr>
                <w:rStyle w:val="Strong"/>
                <w:sz w:val="20"/>
                <w:szCs w:val="20"/>
              </w:rPr>
              <w:t>Children (9-13 years)</w:t>
            </w:r>
          </w:p>
        </w:tc>
        <w:tc>
          <w:tcPr>
            <w:tcW w:w="6155" w:type="dxa"/>
          </w:tcPr>
          <w:p w:rsidR="00EA6F40" w:rsidRPr="0095338B" w:rsidRDefault="00EA6F40" w:rsidP="00EA6F40">
            <w:pPr>
              <w:widowControl w:val="0"/>
              <w:autoSpaceDE w:val="0"/>
              <w:autoSpaceDN w:val="0"/>
              <w:adjustRightInd w:val="0"/>
              <w:rPr>
                <w:rStyle w:val="Strong"/>
                <w:sz w:val="20"/>
                <w:szCs w:val="20"/>
              </w:rPr>
            </w:pPr>
            <w:r w:rsidRPr="0095338B">
              <w:rPr>
                <w:rStyle w:val="Strong"/>
                <w:sz w:val="20"/>
                <w:szCs w:val="20"/>
              </w:rPr>
              <w:t>What is the average intake of normal healthy children aged 9-13 years above which adverse effects on thyroid function are observed, as indicated by increased thyroid volume and/or a</w:t>
            </w:r>
            <w:r w:rsidR="00263F77" w:rsidRPr="0095338B">
              <w:rPr>
                <w:rStyle w:val="Strong"/>
                <w:sz w:val="20"/>
                <w:szCs w:val="20"/>
              </w:rPr>
              <w:t>bnormal thyroid hormone levels?</w:t>
            </w:r>
          </w:p>
        </w:tc>
        <w:tc>
          <w:tcPr>
            <w:tcW w:w="3293" w:type="dxa"/>
          </w:tcPr>
          <w:p w:rsidR="00EA6F40" w:rsidRPr="00C875F5" w:rsidRDefault="00EA6F40" w:rsidP="00EA6F40">
            <w:pPr>
              <w:pStyle w:val="ListParagraph"/>
              <w:widowControl w:val="0"/>
              <w:numPr>
                <w:ilvl w:val="0"/>
                <w:numId w:val="14"/>
              </w:numPr>
              <w:autoSpaceDE w:val="0"/>
              <w:autoSpaceDN w:val="0"/>
              <w:adjustRightInd w:val="0"/>
              <w:ind w:left="317" w:hanging="284"/>
              <w:rPr>
                <w:rFonts w:cs="Times New Roman"/>
                <w:b/>
                <w:szCs w:val="20"/>
              </w:rPr>
            </w:pPr>
            <w:r w:rsidRPr="00C875F5">
              <w:rPr>
                <w:rFonts w:cs="Times New Roman"/>
                <w:b/>
                <w:szCs w:val="20"/>
              </w:rPr>
              <w:t>increased thyroid volume</w:t>
            </w:r>
          </w:p>
          <w:p w:rsidR="00EA6F40" w:rsidRPr="00C875F5" w:rsidRDefault="00EA6F40" w:rsidP="00EA6F40">
            <w:pPr>
              <w:pStyle w:val="ListParagraph"/>
              <w:widowControl w:val="0"/>
              <w:numPr>
                <w:ilvl w:val="0"/>
                <w:numId w:val="14"/>
              </w:numPr>
              <w:autoSpaceDE w:val="0"/>
              <w:autoSpaceDN w:val="0"/>
              <w:adjustRightInd w:val="0"/>
              <w:ind w:left="317" w:hanging="284"/>
              <w:rPr>
                <w:rFonts w:cs="Calibri"/>
                <w:szCs w:val="20"/>
              </w:rPr>
            </w:pPr>
            <w:r w:rsidRPr="00C875F5">
              <w:rPr>
                <w:rFonts w:cs="Times New Roman"/>
                <w:b/>
                <w:szCs w:val="20"/>
              </w:rPr>
              <w:t>abnormal thyroid hormone levels</w:t>
            </w:r>
          </w:p>
        </w:tc>
      </w:tr>
      <w:tr w:rsidR="00EA6F40" w:rsidRPr="00C875F5" w:rsidTr="00974F73">
        <w:trPr>
          <w:trHeight w:val="1123"/>
        </w:trPr>
        <w:tc>
          <w:tcPr>
            <w:tcW w:w="539" w:type="dxa"/>
          </w:tcPr>
          <w:p w:rsidR="00EA6F40" w:rsidRPr="0095338B" w:rsidRDefault="00EA6F40" w:rsidP="0095338B">
            <w:pPr>
              <w:rPr>
                <w:rStyle w:val="Strong"/>
                <w:sz w:val="20"/>
                <w:szCs w:val="20"/>
              </w:rPr>
            </w:pPr>
            <w:r w:rsidRPr="0095338B">
              <w:rPr>
                <w:rStyle w:val="Strong"/>
                <w:sz w:val="20"/>
                <w:szCs w:val="20"/>
              </w:rPr>
              <w:lastRenderedPageBreak/>
              <w:t>13</w:t>
            </w:r>
          </w:p>
        </w:tc>
        <w:tc>
          <w:tcPr>
            <w:tcW w:w="2004" w:type="dxa"/>
          </w:tcPr>
          <w:p w:rsidR="00EA6F40" w:rsidRPr="0095338B" w:rsidRDefault="00EA6F40" w:rsidP="00EA6F40">
            <w:pPr>
              <w:widowControl w:val="0"/>
              <w:autoSpaceDE w:val="0"/>
              <w:autoSpaceDN w:val="0"/>
              <w:adjustRightInd w:val="0"/>
              <w:rPr>
                <w:rStyle w:val="Strong"/>
                <w:sz w:val="20"/>
                <w:szCs w:val="20"/>
              </w:rPr>
            </w:pPr>
            <w:r w:rsidRPr="0095338B">
              <w:rPr>
                <w:rStyle w:val="Strong"/>
                <w:sz w:val="20"/>
                <w:szCs w:val="20"/>
              </w:rPr>
              <w:t>Children (14-18 years)</w:t>
            </w:r>
          </w:p>
        </w:tc>
        <w:tc>
          <w:tcPr>
            <w:tcW w:w="6155" w:type="dxa"/>
          </w:tcPr>
          <w:p w:rsidR="00EA6F40" w:rsidRPr="0095338B" w:rsidRDefault="00EA6F40" w:rsidP="00EA6F40">
            <w:pPr>
              <w:widowControl w:val="0"/>
              <w:autoSpaceDE w:val="0"/>
              <w:autoSpaceDN w:val="0"/>
              <w:adjustRightInd w:val="0"/>
              <w:rPr>
                <w:rStyle w:val="Strong"/>
                <w:sz w:val="20"/>
                <w:szCs w:val="20"/>
              </w:rPr>
            </w:pPr>
            <w:r w:rsidRPr="0095338B">
              <w:rPr>
                <w:rStyle w:val="Strong"/>
                <w:sz w:val="20"/>
                <w:szCs w:val="20"/>
              </w:rPr>
              <w:t>What is the average intake of normal healthy children aged 14-18 years above which adverse effects on thyroid function are observed, as indicated by increased thyroid volume and/or a</w:t>
            </w:r>
            <w:r w:rsidR="00263F77" w:rsidRPr="0095338B">
              <w:rPr>
                <w:rStyle w:val="Strong"/>
                <w:sz w:val="20"/>
                <w:szCs w:val="20"/>
              </w:rPr>
              <w:t>bnormal thyroid hormone levels?</w:t>
            </w:r>
          </w:p>
        </w:tc>
        <w:tc>
          <w:tcPr>
            <w:tcW w:w="3293" w:type="dxa"/>
          </w:tcPr>
          <w:p w:rsidR="00EA6F40" w:rsidRPr="00C875F5" w:rsidRDefault="00EA6F40" w:rsidP="00EA6F40">
            <w:pPr>
              <w:pStyle w:val="ListParagraph"/>
              <w:widowControl w:val="0"/>
              <w:numPr>
                <w:ilvl w:val="0"/>
                <w:numId w:val="15"/>
              </w:numPr>
              <w:autoSpaceDE w:val="0"/>
              <w:autoSpaceDN w:val="0"/>
              <w:adjustRightInd w:val="0"/>
              <w:ind w:left="317" w:hanging="284"/>
              <w:rPr>
                <w:rFonts w:cs="Times New Roman"/>
                <w:b/>
                <w:szCs w:val="20"/>
              </w:rPr>
            </w:pPr>
            <w:r w:rsidRPr="00C875F5">
              <w:rPr>
                <w:rFonts w:cs="Times New Roman"/>
                <w:b/>
                <w:szCs w:val="20"/>
              </w:rPr>
              <w:t>increased thyroid volume</w:t>
            </w:r>
          </w:p>
          <w:p w:rsidR="00EA6F40" w:rsidRPr="00C875F5" w:rsidRDefault="00EA6F40" w:rsidP="00EA6F40">
            <w:pPr>
              <w:pStyle w:val="ListParagraph"/>
              <w:widowControl w:val="0"/>
              <w:numPr>
                <w:ilvl w:val="0"/>
                <w:numId w:val="15"/>
              </w:numPr>
              <w:autoSpaceDE w:val="0"/>
              <w:autoSpaceDN w:val="0"/>
              <w:adjustRightInd w:val="0"/>
              <w:ind w:left="317" w:hanging="284"/>
              <w:rPr>
                <w:rFonts w:cs="Calibri"/>
                <w:szCs w:val="20"/>
              </w:rPr>
            </w:pPr>
            <w:r w:rsidRPr="00C875F5">
              <w:rPr>
                <w:rFonts w:cs="Times New Roman"/>
                <w:b/>
                <w:szCs w:val="20"/>
              </w:rPr>
              <w:t>abnormal thyroid hormone levels</w:t>
            </w:r>
          </w:p>
        </w:tc>
      </w:tr>
    </w:tbl>
    <w:p w:rsidR="00EA6F40" w:rsidRDefault="00EA6F40" w:rsidP="0013546C">
      <w:pPr>
        <w:pStyle w:val="Thesisnormal0"/>
        <w:sectPr w:rsidR="00EA6F40" w:rsidSect="00DF5B59">
          <w:pgSz w:w="16840" w:h="11901" w:orient="landscape"/>
          <w:pgMar w:top="1797" w:right="1440" w:bottom="1797" w:left="1440" w:header="709" w:footer="709" w:gutter="0"/>
          <w:cols w:space="708"/>
        </w:sectPr>
      </w:pPr>
    </w:p>
    <w:p w:rsidR="00EA6F40" w:rsidRPr="00C875F5" w:rsidRDefault="00EA6F40" w:rsidP="00CA2AA1">
      <w:pPr>
        <w:pStyle w:val="Heading3"/>
      </w:pPr>
      <w:bookmarkStart w:id="124" w:name="_Toc279228354"/>
      <w:bookmarkStart w:id="125" w:name="_Toc433621790"/>
      <w:r w:rsidRPr="00C875F5">
        <w:lastRenderedPageBreak/>
        <w:t>Adults</w:t>
      </w:r>
      <w:bookmarkEnd w:id="124"/>
      <w:bookmarkEnd w:id="125"/>
    </w:p>
    <w:p w:rsidR="00EA6F40" w:rsidRDefault="00EA6F40" w:rsidP="0013546C">
      <w:pPr>
        <w:pStyle w:val="Thesisnormal0"/>
      </w:pPr>
      <w:r w:rsidRPr="00C875F5">
        <w:t xml:space="preserve">As the iodine NRVs for children and pregnant women are extrapolated from the values derived for adults, the first aim of the EWG was to confirm that no new evidence had been published since 2002 to suggest that the current EAR and RDI for adults should be revised. There are few data on </w:t>
      </w:r>
      <w:r>
        <w:t xml:space="preserve">the </w:t>
      </w:r>
      <w:r w:rsidRPr="00C875F5">
        <w:t>dietary intake of iodine</w:t>
      </w:r>
      <w:r>
        <w:t>, t</w:t>
      </w:r>
      <w:r w:rsidRPr="00C875F5">
        <w:t xml:space="preserve">herefore recommended iodine intakes for adults are based predominantly on iodine excretion. </w:t>
      </w:r>
    </w:p>
    <w:p w:rsidR="00263F77" w:rsidRPr="001A23AA" w:rsidRDefault="00263F77" w:rsidP="0013546C">
      <w:pPr>
        <w:pStyle w:val="Thesisnormal0"/>
      </w:pPr>
      <w:r w:rsidRPr="001A23AA">
        <w:t>Review Question</w:t>
      </w:r>
      <w:r>
        <w:t xml:space="preserve"> 1</w:t>
      </w:r>
      <w:r w:rsidRPr="001A23AA">
        <w:t>:</w:t>
      </w:r>
    </w:p>
    <w:p w:rsidR="00263F77" w:rsidRDefault="00263F77" w:rsidP="00263F77">
      <w:pPr>
        <w:pBdr>
          <w:top w:val="single" w:sz="4" w:space="1" w:color="auto"/>
          <w:left w:val="single" w:sz="4" w:space="4" w:color="auto"/>
          <w:bottom w:val="single" w:sz="4" w:space="1" w:color="auto"/>
          <w:right w:val="single" w:sz="4" w:space="4" w:color="auto"/>
        </w:pBdr>
        <w:shd w:val="clear" w:color="auto" w:fill="EEECE1" w:themeFill="background2"/>
        <w:rPr>
          <w:sz w:val="24"/>
        </w:rPr>
      </w:pPr>
      <w:r w:rsidRPr="001A23AA">
        <w:rPr>
          <w:sz w:val="24"/>
        </w:rPr>
        <w:t>What is the average intake required by healthy adults in a population to maintain normal thyroid function, as measured by thyroid hormones and thyroid volume?</w:t>
      </w:r>
    </w:p>
    <w:p w:rsidR="00263F77" w:rsidRDefault="00263F77" w:rsidP="00263F77">
      <w:pPr>
        <w:pBdr>
          <w:top w:val="single" w:sz="4" w:space="1" w:color="auto"/>
          <w:left w:val="single" w:sz="4" w:space="4" w:color="auto"/>
          <w:bottom w:val="single" w:sz="4" w:space="1" w:color="auto"/>
          <w:right w:val="single" w:sz="4" w:space="4" w:color="auto"/>
        </w:pBdr>
        <w:shd w:val="clear" w:color="auto" w:fill="EEECE1" w:themeFill="background2"/>
        <w:rPr>
          <w:sz w:val="24"/>
        </w:rPr>
      </w:pPr>
      <w:r>
        <w:rPr>
          <w:b/>
          <w:sz w:val="24"/>
        </w:rPr>
        <w:t>Review Q</w:t>
      </w:r>
      <w:r w:rsidRPr="00323302">
        <w:rPr>
          <w:b/>
          <w:sz w:val="24"/>
        </w:rPr>
        <w:t>uestion 1 reframed in PICO format</w:t>
      </w:r>
      <w:r>
        <w:rPr>
          <w:sz w:val="24"/>
        </w:rPr>
        <w:t>:</w:t>
      </w:r>
    </w:p>
    <w:p w:rsidR="00263F77" w:rsidRDefault="00263F77" w:rsidP="00263F77">
      <w:pPr>
        <w:pBdr>
          <w:top w:val="single" w:sz="4" w:space="1" w:color="auto"/>
          <w:left w:val="single" w:sz="4" w:space="4" w:color="auto"/>
          <w:bottom w:val="single" w:sz="4" w:space="1" w:color="auto"/>
          <w:right w:val="single" w:sz="4" w:space="4" w:color="auto"/>
        </w:pBdr>
        <w:shd w:val="clear" w:color="auto" w:fill="EEECE1" w:themeFill="background2"/>
        <w:rPr>
          <w:sz w:val="24"/>
        </w:rPr>
      </w:pPr>
      <w:r>
        <w:rPr>
          <w:sz w:val="24"/>
        </w:rPr>
        <w:t>Population:</w:t>
      </w:r>
      <w:r>
        <w:rPr>
          <w:sz w:val="24"/>
        </w:rPr>
        <w:tab/>
        <w:t>Adults 19 years and older</w:t>
      </w:r>
    </w:p>
    <w:p w:rsidR="00263F77" w:rsidRDefault="00263F77" w:rsidP="00263F77">
      <w:pPr>
        <w:pBdr>
          <w:top w:val="single" w:sz="4" w:space="1" w:color="auto"/>
          <w:left w:val="single" w:sz="4" w:space="4" w:color="auto"/>
          <w:bottom w:val="single" w:sz="4" w:space="1" w:color="auto"/>
          <w:right w:val="single" w:sz="4" w:space="4" w:color="auto"/>
        </w:pBdr>
        <w:shd w:val="clear" w:color="auto" w:fill="EEECE1" w:themeFill="background2"/>
        <w:rPr>
          <w:sz w:val="24"/>
        </w:rPr>
      </w:pPr>
      <w:r>
        <w:rPr>
          <w:sz w:val="24"/>
        </w:rPr>
        <w:t>Intervention:</w:t>
      </w:r>
      <w:r>
        <w:rPr>
          <w:sz w:val="24"/>
        </w:rPr>
        <w:tab/>
        <w:t>Iodine intake from all sources</w:t>
      </w:r>
    </w:p>
    <w:p w:rsidR="00263F77" w:rsidRDefault="00263F77" w:rsidP="00263F77">
      <w:pPr>
        <w:pBdr>
          <w:top w:val="single" w:sz="4" w:space="1" w:color="auto"/>
          <w:left w:val="single" w:sz="4" w:space="4" w:color="auto"/>
          <w:bottom w:val="single" w:sz="4" w:space="1" w:color="auto"/>
          <w:right w:val="single" w:sz="4" w:space="4" w:color="auto"/>
        </w:pBdr>
        <w:shd w:val="clear" w:color="auto" w:fill="EEECE1" w:themeFill="background2"/>
        <w:rPr>
          <w:sz w:val="24"/>
        </w:rPr>
      </w:pPr>
      <w:r>
        <w:rPr>
          <w:sz w:val="24"/>
        </w:rPr>
        <w:t>Comparator:</w:t>
      </w:r>
      <w:r>
        <w:rPr>
          <w:sz w:val="24"/>
        </w:rPr>
        <w:tab/>
        <w:t>None</w:t>
      </w:r>
    </w:p>
    <w:p w:rsidR="00263F77" w:rsidRPr="00951AA3" w:rsidRDefault="00263F77" w:rsidP="00263F77">
      <w:pPr>
        <w:pBdr>
          <w:top w:val="single" w:sz="4" w:space="1" w:color="auto"/>
          <w:left w:val="single" w:sz="4" w:space="4" w:color="auto"/>
          <w:bottom w:val="single" w:sz="4" w:space="1" w:color="auto"/>
          <w:right w:val="single" w:sz="4" w:space="4" w:color="auto"/>
        </w:pBdr>
        <w:shd w:val="clear" w:color="auto" w:fill="EEECE1" w:themeFill="background2"/>
        <w:ind w:left="1440" w:hanging="1440"/>
        <w:rPr>
          <w:sz w:val="24"/>
        </w:rPr>
      </w:pPr>
      <w:r>
        <w:rPr>
          <w:sz w:val="24"/>
        </w:rPr>
        <w:t>Outcome:</w:t>
      </w:r>
      <w:r>
        <w:rPr>
          <w:sz w:val="24"/>
        </w:rPr>
        <w:tab/>
        <w:t>Thyroid function as measured by thyroid hormones and thyroid volume</w:t>
      </w:r>
    </w:p>
    <w:p w:rsidR="00EA6F40" w:rsidRPr="0095338B" w:rsidRDefault="00EA6F40" w:rsidP="008D087E">
      <w:pPr>
        <w:pStyle w:val="Heading4"/>
      </w:pPr>
      <w:r w:rsidRPr="0095338B">
        <w:t xml:space="preserve">Search Strategy and Identification of Trials </w:t>
      </w:r>
    </w:p>
    <w:p w:rsidR="00EA6F40" w:rsidRPr="00C875F5" w:rsidRDefault="00EA6F40" w:rsidP="0013546C">
      <w:pPr>
        <w:pStyle w:val="Thesisnormal0"/>
      </w:pPr>
      <w:r w:rsidRPr="00C875F5">
        <w:t xml:space="preserve">The search strategy was developed with the assistance of the </w:t>
      </w:r>
      <w:r w:rsidRPr="00C875F5">
        <w:rPr>
          <w:rFonts w:eastAsia="Times New Roman" w:cs="Times New Roman"/>
          <w:shd w:val="clear" w:color="auto" w:fill="FFFFFF"/>
        </w:rPr>
        <w:t>Science Faculty Librarian at the University of Otago</w:t>
      </w:r>
      <w:r w:rsidRPr="00C875F5">
        <w:t>. The same search strategy was used for all questions.</w:t>
      </w:r>
    </w:p>
    <w:p w:rsidR="00EA6F40" w:rsidRDefault="00EA6F40" w:rsidP="0013546C">
      <w:pPr>
        <w:pStyle w:val="Thesisnormal0"/>
      </w:pPr>
      <w:r w:rsidRPr="00C875F5">
        <w:t>In December 2013 The Cochrane Central Register of Controlled Trials (CENTRAL), MEDLINE (1966 to December 2013), PubMed (1966 to December 2013)</w:t>
      </w:r>
      <w:r w:rsidRPr="00C875F5">
        <w:rPr>
          <w:rFonts w:eastAsia="Times New Roman" w:cs="Times New Roman"/>
          <w:shd w:val="clear" w:color="auto" w:fill="FFFFFF"/>
        </w:rPr>
        <w:t xml:space="preserve">, and </w:t>
      </w:r>
      <w:r w:rsidRPr="00C875F5">
        <w:t>Web of Science (1899–the week of 01 Dec 2013) were searched for relevant articles</w:t>
      </w:r>
      <w:r w:rsidRPr="00366028">
        <w:rPr>
          <w:rFonts w:eastAsia="Times New Roman" w:cs="Times New Roman"/>
          <w:shd w:val="clear" w:color="auto" w:fill="FFFFFF"/>
        </w:rPr>
        <w:t>; the same databases and search strategy was used in November 2014 to identify any papers published between December 2013 and November 2014.</w:t>
      </w:r>
      <w:r>
        <w:rPr>
          <w:rFonts w:eastAsia="Times New Roman" w:cs="Times New Roman"/>
          <w:shd w:val="clear" w:color="auto" w:fill="FFFFFF"/>
        </w:rPr>
        <w:t xml:space="preserve"> </w:t>
      </w:r>
      <w:r w:rsidRPr="00C875F5">
        <w:rPr>
          <w:rFonts w:cs="Times New Roman"/>
        </w:rPr>
        <w:t xml:space="preserve">This was complemented by other relevant material, and contacts with experts.  </w:t>
      </w:r>
      <w:r w:rsidRPr="00C875F5">
        <w:t xml:space="preserve">Trials were restricted to English-language citations only. The search was restricted to human studies and studies published after the earlier NRV reports (2001 onwards). Articles were rejected on initial screening if the reviewer could determine from the title and abstract that the study was not a relevant study, or if the study did not meet our selection criteria. When a paper could not be rejected with certainty from the title and abstract, the full text of the article was obtained for further evaluation. The terms used to search for relevant studies are listed in </w:t>
      </w:r>
      <w:r w:rsidR="0095338B">
        <w:fldChar w:fldCharType="begin"/>
      </w:r>
      <w:r w:rsidR="0095338B">
        <w:instrText xml:space="preserve"> REF _Ref430935178 \h </w:instrText>
      </w:r>
      <w:r w:rsidR="0095338B">
        <w:fldChar w:fldCharType="separate"/>
      </w:r>
      <w:r w:rsidR="0095338B">
        <w:t xml:space="preserve">Table </w:t>
      </w:r>
      <w:r w:rsidR="0095338B">
        <w:rPr>
          <w:noProof/>
        </w:rPr>
        <w:t>5</w:t>
      </w:r>
      <w:r w:rsidR="0095338B">
        <w:t>:</w:t>
      </w:r>
      <w:r w:rsidR="0095338B">
        <w:rPr>
          <w:noProof/>
        </w:rPr>
        <w:t>3</w:t>
      </w:r>
      <w:r w:rsidR="0095338B">
        <w:fldChar w:fldCharType="end"/>
      </w:r>
      <w:r w:rsidRPr="00C875F5">
        <w:t>.</w:t>
      </w:r>
    </w:p>
    <w:p w:rsidR="00263F77" w:rsidRPr="00C875F5" w:rsidRDefault="0095338B" w:rsidP="00AE0695">
      <w:pPr>
        <w:pStyle w:val="Caption"/>
      </w:pPr>
      <w:bookmarkStart w:id="126" w:name="_Ref430935178"/>
      <w:r>
        <w:t xml:space="preserve">Table </w:t>
      </w:r>
      <w:r w:rsidR="00CA2AA1">
        <w:fldChar w:fldCharType="begin"/>
      </w:r>
      <w:r w:rsidR="00CA2AA1">
        <w:instrText xml:space="preserve"> STYLEREF 1 \s </w:instrText>
      </w:r>
      <w:r w:rsidR="00CA2AA1">
        <w:fldChar w:fldCharType="separate"/>
      </w:r>
      <w:r w:rsidR="00CA2AA1">
        <w:rPr>
          <w:noProof/>
        </w:rPr>
        <w:t>5</w:t>
      </w:r>
      <w:r w:rsidR="00CA2AA1">
        <w:fldChar w:fldCharType="end"/>
      </w:r>
      <w:r w:rsidR="00CA2AA1">
        <w:t>:</w:t>
      </w:r>
      <w:r w:rsidR="00CA2AA1">
        <w:fldChar w:fldCharType="begin"/>
      </w:r>
      <w:r w:rsidR="00CA2AA1">
        <w:instrText xml:space="preserve"> SEQ Table \* ARABIC \s 1 </w:instrText>
      </w:r>
      <w:r w:rsidR="00CA2AA1">
        <w:fldChar w:fldCharType="separate"/>
      </w:r>
      <w:r w:rsidR="00CA2AA1">
        <w:rPr>
          <w:noProof/>
        </w:rPr>
        <w:t>3</w:t>
      </w:r>
      <w:r w:rsidR="00CA2AA1">
        <w:fldChar w:fldCharType="end"/>
      </w:r>
      <w:bookmarkEnd w:id="126"/>
      <w:r w:rsidR="00263F77">
        <w:t xml:space="preserve"> </w:t>
      </w:r>
      <w:r w:rsidR="00263F77" w:rsidRPr="00C875F5">
        <w:t xml:space="preserve">Search terms used to identify studies for relating the Iodine EAR and RDI for Adults </w:t>
      </w:r>
    </w:p>
    <w:tbl>
      <w:tblPr>
        <w:tblStyle w:val="TableGrid"/>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Description w:val="Table 5.3 list the search terms used to identify studies for relating the Iodine Estimated Average Requirement (EAR) and Recommended Daily Intake (RDI) for Adults."/>
      </w:tblPr>
      <w:tblGrid>
        <w:gridCol w:w="8516"/>
      </w:tblGrid>
      <w:tr w:rsidR="00EA6F40" w:rsidRPr="00263F77" w:rsidTr="0057015E">
        <w:trPr>
          <w:trHeight w:val="498"/>
          <w:tblHeader/>
          <w:jc w:val="center"/>
        </w:trPr>
        <w:tc>
          <w:tcPr>
            <w:tcW w:w="8516" w:type="dxa"/>
          </w:tcPr>
          <w:p w:rsidR="00EA6F40" w:rsidRPr="00263F77" w:rsidRDefault="00263F77" w:rsidP="00263F77">
            <w:pPr>
              <w:adjustRightInd w:val="0"/>
              <w:snapToGrid w:val="0"/>
              <w:rPr>
                <w:rStyle w:val="Strong"/>
              </w:rPr>
            </w:pPr>
            <w:r w:rsidRPr="00263F77">
              <w:rPr>
                <w:rStyle w:val="Strong"/>
              </w:rPr>
              <w:t>Search terms</w:t>
            </w:r>
          </w:p>
        </w:tc>
      </w:tr>
      <w:tr w:rsidR="00EA6F40" w:rsidRPr="00C875F5" w:rsidTr="00974F73">
        <w:trPr>
          <w:jc w:val="center"/>
        </w:trPr>
        <w:tc>
          <w:tcPr>
            <w:tcW w:w="8516" w:type="dxa"/>
          </w:tcPr>
          <w:p w:rsidR="00EA6F40" w:rsidRPr="00C875F5" w:rsidRDefault="00EA6F40" w:rsidP="00EA6F40">
            <w:pPr>
              <w:pStyle w:val="ListParagraph"/>
              <w:numPr>
                <w:ilvl w:val="0"/>
                <w:numId w:val="6"/>
              </w:numPr>
              <w:adjustRightInd w:val="0"/>
              <w:snapToGrid w:val="0"/>
              <w:ind w:left="142" w:firstLine="0"/>
              <w:contextualSpacing w:val="0"/>
              <w:rPr>
                <w:rFonts w:cs="Times New Roman"/>
                <w:szCs w:val="20"/>
              </w:rPr>
            </w:pPr>
            <w:r w:rsidRPr="00C875F5">
              <w:rPr>
                <w:rFonts w:cs="Times New Roman"/>
                <w:szCs w:val="20"/>
              </w:rPr>
              <w:t xml:space="preserve">Adult* </w:t>
            </w:r>
          </w:p>
          <w:p w:rsidR="00EA6F40" w:rsidRPr="00C875F5" w:rsidRDefault="00EA6F40" w:rsidP="00EA6F40">
            <w:pPr>
              <w:pStyle w:val="ListParagraph"/>
              <w:numPr>
                <w:ilvl w:val="0"/>
                <w:numId w:val="6"/>
              </w:numPr>
              <w:adjustRightInd w:val="0"/>
              <w:snapToGrid w:val="0"/>
              <w:ind w:left="142" w:firstLine="0"/>
              <w:contextualSpacing w:val="0"/>
              <w:rPr>
                <w:rFonts w:cs="Times New Roman"/>
                <w:szCs w:val="20"/>
              </w:rPr>
            </w:pPr>
            <w:r w:rsidRPr="00C875F5">
              <w:rPr>
                <w:rFonts w:eastAsia="Times New Roman" w:cs="Times New Roman"/>
                <w:szCs w:val="20"/>
                <w:shd w:val="clear" w:color="auto" w:fill="FFFFFF"/>
              </w:rPr>
              <w:t>normal human*</w:t>
            </w:r>
          </w:p>
          <w:p w:rsidR="00EA6F40" w:rsidRPr="00A35ED1" w:rsidRDefault="00EA6F40" w:rsidP="00EA6F40">
            <w:pPr>
              <w:pStyle w:val="ListParagraph"/>
              <w:numPr>
                <w:ilvl w:val="0"/>
                <w:numId w:val="6"/>
              </w:numPr>
              <w:adjustRightInd w:val="0"/>
              <w:snapToGrid w:val="0"/>
              <w:ind w:left="142" w:firstLine="0"/>
              <w:contextualSpacing w:val="0"/>
              <w:rPr>
                <w:rFonts w:cs="Times New Roman"/>
                <w:szCs w:val="20"/>
              </w:rPr>
            </w:pPr>
            <w:r w:rsidRPr="00C875F5">
              <w:rPr>
                <w:rFonts w:eastAsia="Times New Roman" w:cs="Times New Roman"/>
                <w:szCs w:val="20"/>
                <w:shd w:val="clear" w:color="auto" w:fill="FFFFFF"/>
              </w:rPr>
              <w:t>(1) AND (2)</w:t>
            </w:r>
          </w:p>
          <w:p w:rsidR="00A35ED1" w:rsidRPr="00C875F5" w:rsidRDefault="00A35ED1" w:rsidP="00A35ED1">
            <w:pPr>
              <w:pStyle w:val="ListParagraph"/>
              <w:numPr>
                <w:ilvl w:val="0"/>
                <w:numId w:val="6"/>
              </w:numPr>
              <w:adjustRightInd w:val="0"/>
              <w:snapToGrid w:val="0"/>
              <w:ind w:left="142" w:firstLine="0"/>
              <w:contextualSpacing w:val="0"/>
              <w:rPr>
                <w:rFonts w:cs="Times New Roman"/>
                <w:szCs w:val="20"/>
              </w:rPr>
            </w:pPr>
            <w:r w:rsidRPr="00C875F5">
              <w:rPr>
                <w:rFonts w:cs="Times New Roman"/>
                <w:szCs w:val="20"/>
              </w:rPr>
              <w:lastRenderedPageBreak/>
              <w:t>iodine deficien*</w:t>
            </w:r>
          </w:p>
          <w:p w:rsidR="00A35ED1" w:rsidRPr="00C875F5" w:rsidRDefault="00A35ED1" w:rsidP="00A35ED1">
            <w:pPr>
              <w:pStyle w:val="ListParagraph"/>
              <w:numPr>
                <w:ilvl w:val="0"/>
                <w:numId w:val="6"/>
              </w:numPr>
              <w:adjustRightInd w:val="0"/>
              <w:snapToGrid w:val="0"/>
              <w:ind w:left="142" w:firstLine="0"/>
              <w:contextualSpacing w:val="0"/>
              <w:rPr>
                <w:rFonts w:cs="Times New Roman"/>
                <w:szCs w:val="20"/>
              </w:rPr>
            </w:pPr>
            <w:r w:rsidRPr="00C875F5">
              <w:rPr>
                <w:rFonts w:cs="Times New Roman"/>
                <w:szCs w:val="20"/>
              </w:rPr>
              <w:t>iodine status*</w:t>
            </w:r>
          </w:p>
          <w:p w:rsidR="00A35ED1" w:rsidRPr="00C875F5" w:rsidRDefault="00A35ED1" w:rsidP="00A35ED1">
            <w:pPr>
              <w:pStyle w:val="ListParagraph"/>
              <w:numPr>
                <w:ilvl w:val="0"/>
                <w:numId w:val="6"/>
              </w:numPr>
              <w:adjustRightInd w:val="0"/>
              <w:snapToGrid w:val="0"/>
              <w:ind w:left="142" w:firstLine="0"/>
              <w:contextualSpacing w:val="0"/>
              <w:rPr>
                <w:rFonts w:cs="Times New Roman"/>
                <w:szCs w:val="20"/>
              </w:rPr>
            </w:pPr>
            <w:r w:rsidRPr="00C875F5">
              <w:rPr>
                <w:rFonts w:cs="Times New Roman"/>
                <w:szCs w:val="20"/>
              </w:rPr>
              <w:t>urinary iodine concentration</w:t>
            </w:r>
          </w:p>
          <w:p w:rsidR="00A35ED1" w:rsidRPr="00C875F5" w:rsidRDefault="00A35ED1" w:rsidP="00A35ED1">
            <w:pPr>
              <w:pStyle w:val="ListParagraph"/>
              <w:numPr>
                <w:ilvl w:val="0"/>
                <w:numId w:val="6"/>
              </w:numPr>
              <w:adjustRightInd w:val="0"/>
              <w:snapToGrid w:val="0"/>
              <w:ind w:left="142" w:firstLine="0"/>
              <w:contextualSpacing w:val="0"/>
              <w:rPr>
                <w:rFonts w:cs="Times New Roman"/>
                <w:szCs w:val="20"/>
              </w:rPr>
            </w:pPr>
            <w:r w:rsidRPr="00C875F5">
              <w:rPr>
                <w:rFonts w:cs="Times New Roman"/>
                <w:szCs w:val="20"/>
              </w:rPr>
              <w:t>UIC*</w:t>
            </w:r>
          </w:p>
          <w:p w:rsidR="00A35ED1" w:rsidRPr="00C875F5" w:rsidRDefault="00A35ED1" w:rsidP="00A35ED1">
            <w:pPr>
              <w:pStyle w:val="ListParagraph"/>
              <w:numPr>
                <w:ilvl w:val="0"/>
                <w:numId w:val="6"/>
              </w:numPr>
              <w:adjustRightInd w:val="0"/>
              <w:snapToGrid w:val="0"/>
              <w:ind w:left="142" w:firstLine="0"/>
              <w:contextualSpacing w:val="0"/>
              <w:rPr>
                <w:rFonts w:cs="Times New Roman"/>
                <w:szCs w:val="20"/>
              </w:rPr>
            </w:pPr>
            <w:r w:rsidRPr="00C875F5">
              <w:rPr>
                <w:rFonts w:cs="Times New Roman"/>
                <w:szCs w:val="20"/>
              </w:rPr>
              <w:t>iodine*</w:t>
            </w:r>
          </w:p>
          <w:p w:rsidR="00A35ED1" w:rsidRPr="00C875F5" w:rsidRDefault="00A35ED1" w:rsidP="00A35ED1">
            <w:pPr>
              <w:pStyle w:val="ListParagraph"/>
              <w:numPr>
                <w:ilvl w:val="0"/>
                <w:numId w:val="6"/>
              </w:numPr>
              <w:adjustRightInd w:val="0"/>
              <w:snapToGrid w:val="0"/>
              <w:ind w:left="142" w:firstLine="0"/>
              <w:contextualSpacing w:val="0"/>
              <w:rPr>
                <w:rFonts w:cs="Times New Roman"/>
                <w:szCs w:val="20"/>
              </w:rPr>
            </w:pPr>
            <w:r w:rsidRPr="00C875F5">
              <w:rPr>
                <w:rFonts w:cs="Times New Roman"/>
                <w:szCs w:val="20"/>
              </w:rPr>
              <w:t>iodide*</w:t>
            </w:r>
          </w:p>
          <w:p w:rsidR="00A35ED1" w:rsidRPr="00C875F5" w:rsidRDefault="00A35ED1" w:rsidP="00A35ED1">
            <w:pPr>
              <w:pStyle w:val="ListParagraph"/>
              <w:numPr>
                <w:ilvl w:val="0"/>
                <w:numId w:val="6"/>
              </w:numPr>
              <w:adjustRightInd w:val="0"/>
              <w:snapToGrid w:val="0"/>
              <w:ind w:left="142" w:firstLine="0"/>
              <w:contextualSpacing w:val="0"/>
              <w:rPr>
                <w:rFonts w:cs="Times New Roman"/>
                <w:szCs w:val="20"/>
              </w:rPr>
            </w:pPr>
            <w:r w:rsidRPr="00C875F5">
              <w:rPr>
                <w:rFonts w:cs="Times New Roman"/>
                <w:szCs w:val="20"/>
              </w:rPr>
              <w:t>iodate*</w:t>
            </w:r>
          </w:p>
          <w:p w:rsidR="00A35ED1" w:rsidRPr="00C875F5" w:rsidRDefault="00A35ED1" w:rsidP="00A35ED1">
            <w:pPr>
              <w:pStyle w:val="ListParagraph"/>
              <w:numPr>
                <w:ilvl w:val="0"/>
                <w:numId w:val="6"/>
              </w:numPr>
              <w:adjustRightInd w:val="0"/>
              <w:snapToGrid w:val="0"/>
              <w:ind w:left="142" w:firstLine="0"/>
              <w:contextualSpacing w:val="0"/>
              <w:rPr>
                <w:rFonts w:cs="Times New Roman"/>
                <w:szCs w:val="20"/>
              </w:rPr>
            </w:pPr>
            <w:r w:rsidRPr="00C875F5">
              <w:rPr>
                <w:rFonts w:cs="Times New Roman"/>
                <w:szCs w:val="20"/>
              </w:rPr>
              <w:t>iodized salt*</w:t>
            </w:r>
          </w:p>
          <w:p w:rsidR="00A35ED1" w:rsidRPr="00C875F5" w:rsidRDefault="00A35ED1" w:rsidP="00A35ED1">
            <w:pPr>
              <w:pStyle w:val="ListParagraph"/>
              <w:numPr>
                <w:ilvl w:val="0"/>
                <w:numId w:val="6"/>
              </w:numPr>
              <w:adjustRightInd w:val="0"/>
              <w:snapToGrid w:val="0"/>
              <w:ind w:left="142" w:firstLine="0"/>
              <w:contextualSpacing w:val="0"/>
              <w:rPr>
                <w:rFonts w:cs="Times New Roman"/>
                <w:szCs w:val="20"/>
              </w:rPr>
            </w:pPr>
            <w:r w:rsidRPr="00C875F5">
              <w:rPr>
                <w:rFonts w:cs="Times New Roman"/>
                <w:szCs w:val="20"/>
              </w:rPr>
              <w:t xml:space="preserve">iodized oil* </w:t>
            </w:r>
          </w:p>
          <w:p w:rsidR="00A35ED1" w:rsidRPr="00C875F5" w:rsidRDefault="00A35ED1" w:rsidP="00A35ED1">
            <w:pPr>
              <w:pStyle w:val="ListParagraph"/>
              <w:numPr>
                <w:ilvl w:val="0"/>
                <w:numId w:val="6"/>
              </w:numPr>
              <w:adjustRightInd w:val="0"/>
              <w:snapToGrid w:val="0"/>
              <w:ind w:left="709" w:hanging="567"/>
              <w:contextualSpacing w:val="0"/>
              <w:rPr>
                <w:rFonts w:cs="Times New Roman"/>
                <w:szCs w:val="20"/>
              </w:rPr>
            </w:pPr>
            <w:r w:rsidRPr="00C875F5">
              <w:rPr>
                <w:rFonts w:cs="Times New Roman"/>
                <w:szCs w:val="20"/>
              </w:rPr>
              <w:t xml:space="preserve"> (4) OR (5) OR (6) OR (7) OR (8) OR (9) OR (10) OR (11) OR (12) </w:t>
            </w:r>
          </w:p>
          <w:p w:rsidR="00A35ED1" w:rsidRPr="00C875F5" w:rsidRDefault="00A35ED1" w:rsidP="00A35ED1">
            <w:pPr>
              <w:pStyle w:val="ListParagraph"/>
              <w:numPr>
                <w:ilvl w:val="0"/>
                <w:numId w:val="6"/>
              </w:numPr>
              <w:adjustRightInd w:val="0"/>
              <w:snapToGrid w:val="0"/>
              <w:ind w:left="142" w:firstLine="0"/>
              <w:contextualSpacing w:val="0"/>
              <w:rPr>
                <w:rFonts w:cs="Times New Roman"/>
                <w:szCs w:val="20"/>
              </w:rPr>
            </w:pPr>
            <w:r w:rsidRPr="00C875F5">
              <w:rPr>
                <w:rFonts w:eastAsia="Times New Roman" w:cs="Times New Roman"/>
                <w:szCs w:val="20"/>
                <w:shd w:val="clear" w:color="auto" w:fill="FFFFFF"/>
                <w:lang w:val="en-GB"/>
              </w:rPr>
              <w:t>thyroid funct*</w:t>
            </w:r>
          </w:p>
          <w:p w:rsidR="00A35ED1" w:rsidRPr="00C875F5" w:rsidRDefault="00A35ED1" w:rsidP="00A35ED1">
            <w:pPr>
              <w:pStyle w:val="ListParagraph"/>
              <w:numPr>
                <w:ilvl w:val="0"/>
                <w:numId w:val="6"/>
              </w:numPr>
              <w:adjustRightInd w:val="0"/>
              <w:snapToGrid w:val="0"/>
              <w:ind w:left="142" w:firstLine="0"/>
              <w:contextualSpacing w:val="0"/>
              <w:rPr>
                <w:rFonts w:cs="Times New Roman"/>
                <w:szCs w:val="20"/>
              </w:rPr>
            </w:pPr>
            <w:r w:rsidRPr="00C875F5">
              <w:rPr>
                <w:rFonts w:cs="Times New Roman"/>
                <w:szCs w:val="20"/>
              </w:rPr>
              <w:t>T3*</w:t>
            </w:r>
          </w:p>
          <w:p w:rsidR="00A35ED1" w:rsidRPr="00C875F5" w:rsidRDefault="00A35ED1" w:rsidP="00A35ED1">
            <w:pPr>
              <w:pStyle w:val="ListParagraph"/>
              <w:numPr>
                <w:ilvl w:val="0"/>
                <w:numId w:val="6"/>
              </w:numPr>
              <w:adjustRightInd w:val="0"/>
              <w:snapToGrid w:val="0"/>
              <w:ind w:left="142" w:firstLine="0"/>
              <w:contextualSpacing w:val="0"/>
              <w:rPr>
                <w:rFonts w:cs="Times New Roman"/>
                <w:szCs w:val="20"/>
              </w:rPr>
            </w:pPr>
            <w:r w:rsidRPr="00C875F5">
              <w:rPr>
                <w:rFonts w:cs="Times New Roman"/>
                <w:szCs w:val="20"/>
              </w:rPr>
              <w:t>T4*</w:t>
            </w:r>
          </w:p>
          <w:p w:rsidR="00A35ED1" w:rsidRPr="00C875F5" w:rsidRDefault="00A35ED1" w:rsidP="00A35ED1">
            <w:pPr>
              <w:pStyle w:val="ListParagraph"/>
              <w:numPr>
                <w:ilvl w:val="0"/>
                <w:numId w:val="6"/>
              </w:numPr>
              <w:adjustRightInd w:val="0"/>
              <w:snapToGrid w:val="0"/>
              <w:ind w:left="142" w:firstLine="0"/>
              <w:contextualSpacing w:val="0"/>
              <w:rPr>
                <w:rFonts w:cs="Times New Roman"/>
                <w:szCs w:val="20"/>
              </w:rPr>
            </w:pPr>
            <w:r w:rsidRPr="00C875F5">
              <w:rPr>
                <w:rFonts w:cs="Times New Roman"/>
                <w:szCs w:val="20"/>
              </w:rPr>
              <w:t>TSH*</w:t>
            </w:r>
          </w:p>
          <w:p w:rsidR="00A35ED1" w:rsidRPr="00C875F5" w:rsidRDefault="00A35ED1" w:rsidP="00A35ED1">
            <w:pPr>
              <w:pStyle w:val="ListParagraph"/>
              <w:numPr>
                <w:ilvl w:val="0"/>
                <w:numId w:val="6"/>
              </w:numPr>
              <w:adjustRightInd w:val="0"/>
              <w:snapToGrid w:val="0"/>
              <w:ind w:left="142" w:firstLine="0"/>
              <w:contextualSpacing w:val="0"/>
              <w:rPr>
                <w:rFonts w:cs="Times New Roman"/>
                <w:szCs w:val="20"/>
              </w:rPr>
            </w:pPr>
            <w:r w:rsidRPr="00C875F5">
              <w:rPr>
                <w:rFonts w:cs="Times New Roman"/>
                <w:szCs w:val="20"/>
              </w:rPr>
              <w:t>Goitre</w:t>
            </w:r>
          </w:p>
          <w:p w:rsidR="00A35ED1" w:rsidRPr="00C875F5" w:rsidRDefault="00A35ED1" w:rsidP="00A35ED1">
            <w:pPr>
              <w:pStyle w:val="ListParagraph"/>
              <w:numPr>
                <w:ilvl w:val="0"/>
                <w:numId w:val="6"/>
              </w:numPr>
              <w:adjustRightInd w:val="0"/>
              <w:snapToGrid w:val="0"/>
              <w:ind w:left="142" w:firstLine="0"/>
              <w:contextualSpacing w:val="0"/>
              <w:rPr>
                <w:rFonts w:cs="Times New Roman"/>
                <w:szCs w:val="20"/>
              </w:rPr>
            </w:pPr>
            <w:r w:rsidRPr="00C875F5">
              <w:rPr>
                <w:rFonts w:cs="Times New Roman"/>
                <w:szCs w:val="20"/>
              </w:rPr>
              <w:t xml:space="preserve"> (14) OR (15) OR (16) OR (17) OR (18)</w:t>
            </w:r>
          </w:p>
          <w:p w:rsidR="00A35ED1" w:rsidRPr="00C875F5" w:rsidRDefault="00A35ED1" w:rsidP="00A35ED1">
            <w:pPr>
              <w:pStyle w:val="ListParagraph"/>
              <w:numPr>
                <w:ilvl w:val="0"/>
                <w:numId w:val="6"/>
              </w:numPr>
              <w:adjustRightInd w:val="0"/>
              <w:snapToGrid w:val="0"/>
              <w:ind w:left="142" w:firstLine="0"/>
              <w:contextualSpacing w:val="0"/>
              <w:rPr>
                <w:rFonts w:cs="Times New Roman"/>
                <w:szCs w:val="20"/>
              </w:rPr>
            </w:pPr>
            <w:r w:rsidRPr="00C875F5">
              <w:rPr>
                <w:rFonts w:cs="Times New Roman"/>
                <w:szCs w:val="20"/>
              </w:rPr>
              <w:t>(3) AND (13) AND (19)</w:t>
            </w:r>
          </w:p>
        </w:tc>
      </w:tr>
    </w:tbl>
    <w:p w:rsidR="00EA6F40" w:rsidRPr="00C875F5" w:rsidRDefault="00EA6F40" w:rsidP="008D087E">
      <w:pPr>
        <w:pStyle w:val="Heading4"/>
      </w:pPr>
      <w:r w:rsidRPr="00C875F5">
        <w:lastRenderedPageBreak/>
        <w:t>Search results:</w:t>
      </w:r>
    </w:p>
    <w:p w:rsidR="00EA6F40" w:rsidRPr="00C875F5" w:rsidRDefault="00EA6F40" w:rsidP="0013546C">
      <w:pPr>
        <w:pStyle w:val="Thesisnormal0"/>
      </w:pPr>
      <w:r w:rsidRPr="00C875F5">
        <w:t xml:space="preserve">At the conclusion of the search, </w:t>
      </w:r>
      <w:r>
        <w:t>19</w:t>
      </w:r>
      <w:r w:rsidRPr="00C875F5">
        <w:t xml:space="preserve"> studies were identified as being relevant to iodine status</w:t>
      </w:r>
      <w:r w:rsidR="00AE0695">
        <w:t xml:space="preserve"> in healthy adults (see </w:t>
      </w:r>
      <w:r w:rsidR="00AE0695">
        <w:fldChar w:fldCharType="begin"/>
      </w:r>
      <w:r w:rsidR="00AE0695">
        <w:instrText xml:space="preserve"> REF _Ref430950373 \h </w:instrText>
      </w:r>
      <w:r w:rsidR="00AE0695">
        <w:fldChar w:fldCharType="separate"/>
      </w:r>
      <w:r w:rsidR="00AE0695">
        <w:t xml:space="preserve">Table </w:t>
      </w:r>
      <w:r w:rsidR="00AE0695">
        <w:rPr>
          <w:noProof/>
        </w:rPr>
        <w:t>7</w:t>
      </w:r>
      <w:r w:rsidR="00AE0695">
        <w:t>:</w:t>
      </w:r>
      <w:r w:rsidR="00AE0695">
        <w:rPr>
          <w:noProof/>
        </w:rPr>
        <w:t>1</w:t>
      </w:r>
      <w:r w:rsidR="00AE0695">
        <w:fldChar w:fldCharType="end"/>
      </w:r>
      <w:r w:rsidRPr="00C875F5">
        <w:t xml:space="preserve"> in </w:t>
      </w:r>
      <w:hyperlink w:anchor="_Appendix_1:_Studies" w:history="1">
        <w:r w:rsidRPr="00AE0695">
          <w:rPr>
            <w:rStyle w:val="Hyperlink"/>
          </w:rPr>
          <w:t>Appendix 1</w:t>
        </w:r>
      </w:hyperlink>
      <w:r w:rsidRPr="00C875F5">
        <w:t xml:space="preserve"> for details of individual studies). In addition</w:t>
      </w:r>
      <w:r>
        <w:t xml:space="preserve"> </w:t>
      </w:r>
      <w:r w:rsidRPr="00C875F5">
        <w:t xml:space="preserve">two reports from international experts committees were considered by the EWG in the current report (EFSA, </w:t>
      </w:r>
      <w:r>
        <w:t>2014</w:t>
      </w:r>
      <w:r w:rsidRPr="00C875F5">
        <w:t xml:space="preserve">; Gunnarsdottir &amp; Dahl 2012). </w:t>
      </w:r>
    </w:p>
    <w:p w:rsidR="00EA6F40" w:rsidRPr="00C875F5" w:rsidRDefault="00EA6F40" w:rsidP="008D087E">
      <w:pPr>
        <w:pStyle w:val="Heading4"/>
      </w:pPr>
      <w:r w:rsidRPr="00C875F5">
        <w:t>Data extraction, (selection and coding)</w:t>
      </w:r>
    </w:p>
    <w:p w:rsidR="00EA6F40" w:rsidRPr="00C875F5" w:rsidRDefault="00EA6F40" w:rsidP="0013546C">
      <w:pPr>
        <w:pStyle w:val="Thesisnormal0"/>
        <w:rPr>
          <w:lang w:val="en-GB"/>
        </w:rPr>
      </w:pPr>
      <w:r>
        <w:rPr>
          <w:lang w:val="en-GB"/>
        </w:rPr>
        <w:t>Three</w:t>
      </w:r>
      <w:r w:rsidRPr="00C875F5">
        <w:rPr>
          <w:lang w:val="en-GB"/>
        </w:rPr>
        <w:t xml:space="preserve"> members of the research team (SC</w:t>
      </w:r>
      <w:r>
        <w:rPr>
          <w:lang w:val="en-GB"/>
        </w:rPr>
        <w:t xml:space="preserve">, ZFM, </w:t>
      </w:r>
      <w:r w:rsidRPr="00C875F5">
        <w:rPr>
          <w:lang w:val="en-GB"/>
        </w:rPr>
        <w:t xml:space="preserve">CS) independently reviewed titles and abstracts of the identified studies. </w:t>
      </w:r>
      <w:r w:rsidRPr="00C875F5">
        <w:t xml:space="preserve">The data extraction tables were used to extract the relevant data fields from each included study by </w:t>
      </w:r>
      <w:r>
        <w:t>a</w:t>
      </w:r>
      <w:r w:rsidRPr="00C875F5">
        <w:t xml:space="preserve"> research assistant.</w:t>
      </w:r>
    </w:p>
    <w:p w:rsidR="00EA6F40" w:rsidRPr="00C875F5" w:rsidRDefault="00EA6F40" w:rsidP="00CA2AA1">
      <w:pPr>
        <w:pStyle w:val="Heading3"/>
      </w:pPr>
      <w:bookmarkStart w:id="127" w:name="_Toc279228355"/>
      <w:bookmarkStart w:id="128" w:name="_Toc433621791"/>
      <w:r w:rsidRPr="00C875F5">
        <w:t>Pregnancy</w:t>
      </w:r>
      <w:bookmarkEnd w:id="127"/>
      <w:bookmarkEnd w:id="128"/>
    </w:p>
    <w:p w:rsidR="00EA6F40" w:rsidRPr="00C875F5" w:rsidRDefault="00EA6F40" w:rsidP="0013546C">
      <w:pPr>
        <w:pStyle w:val="Thesisnormal0"/>
      </w:pPr>
      <w:r w:rsidRPr="00C875F5">
        <w:t>The EWG examined the most recent (i.e., since 2002) evidence for iodine status during pregnancy. Effects of iodine status during pregnancy (as measured from UIC) were examined in relation to: maternal biochemical outcomes (e.g. thyroid function); and infant/childhood cognition.  The specific question executed in the search strategy was:</w:t>
      </w:r>
    </w:p>
    <w:p w:rsidR="00263F77" w:rsidRPr="00A32736" w:rsidRDefault="00263F77" w:rsidP="00263F77">
      <w:pPr>
        <w:pBdr>
          <w:top w:val="single" w:sz="4" w:space="1" w:color="auto"/>
          <w:left w:val="single" w:sz="4" w:space="4" w:color="auto"/>
          <w:bottom w:val="single" w:sz="4" w:space="1" w:color="auto"/>
          <w:right w:val="single" w:sz="4" w:space="4" w:color="auto"/>
        </w:pBdr>
        <w:shd w:val="clear" w:color="auto" w:fill="EEECE1" w:themeFill="background2"/>
        <w:rPr>
          <w:b/>
          <w:sz w:val="24"/>
        </w:rPr>
      </w:pPr>
      <w:r w:rsidRPr="00A32736">
        <w:rPr>
          <w:b/>
          <w:sz w:val="24"/>
        </w:rPr>
        <w:t>Review Question</w:t>
      </w:r>
      <w:r>
        <w:rPr>
          <w:b/>
          <w:sz w:val="24"/>
        </w:rPr>
        <w:t xml:space="preserve"> 3</w:t>
      </w:r>
      <w:r w:rsidRPr="00A32736">
        <w:rPr>
          <w:b/>
          <w:sz w:val="24"/>
        </w:rPr>
        <w:t>:</w:t>
      </w:r>
    </w:p>
    <w:p w:rsidR="00263F77" w:rsidRDefault="00263F77" w:rsidP="00263F77">
      <w:pPr>
        <w:pBdr>
          <w:top w:val="single" w:sz="4" w:space="1" w:color="auto"/>
          <w:left w:val="single" w:sz="4" w:space="4" w:color="auto"/>
          <w:bottom w:val="single" w:sz="4" w:space="1" w:color="auto"/>
          <w:right w:val="single" w:sz="4" w:space="4" w:color="auto"/>
        </w:pBdr>
        <w:shd w:val="clear" w:color="auto" w:fill="EEECE1" w:themeFill="background2"/>
        <w:rPr>
          <w:sz w:val="24"/>
        </w:rPr>
      </w:pPr>
      <w:r w:rsidRPr="00A32736">
        <w:rPr>
          <w:sz w:val="24"/>
        </w:rPr>
        <w:t xml:space="preserve">What is the average intake required by healthy pregnant women in a population to maintain normal thyroid function as measured by maternal </w:t>
      </w:r>
      <w:r>
        <w:rPr>
          <w:sz w:val="24"/>
        </w:rPr>
        <w:t xml:space="preserve">thyroid hormones and thyroid volume and </w:t>
      </w:r>
      <w:r w:rsidRPr="00A32736">
        <w:rPr>
          <w:sz w:val="24"/>
        </w:rPr>
        <w:t>neurodevel</w:t>
      </w:r>
      <w:r>
        <w:rPr>
          <w:sz w:val="24"/>
        </w:rPr>
        <w:t>opment in their children?</w:t>
      </w:r>
    </w:p>
    <w:p w:rsidR="00263F77" w:rsidRDefault="00263F77" w:rsidP="00263F77">
      <w:pPr>
        <w:pBdr>
          <w:top w:val="single" w:sz="4" w:space="1" w:color="auto"/>
          <w:left w:val="single" w:sz="4" w:space="4" w:color="auto"/>
          <w:bottom w:val="single" w:sz="4" w:space="1" w:color="auto"/>
          <w:right w:val="single" w:sz="4" w:space="4" w:color="auto"/>
        </w:pBdr>
        <w:shd w:val="clear" w:color="auto" w:fill="EEECE1" w:themeFill="background2"/>
        <w:rPr>
          <w:sz w:val="24"/>
        </w:rPr>
      </w:pPr>
      <w:r w:rsidRPr="00E5083C">
        <w:rPr>
          <w:b/>
          <w:sz w:val="24"/>
        </w:rPr>
        <w:t>Review Question 3 reframed in PICO format</w:t>
      </w:r>
      <w:r>
        <w:rPr>
          <w:sz w:val="24"/>
        </w:rPr>
        <w:t>:</w:t>
      </w:r>
    </w:p>
    <w:p w:rsidR="00263F77" w:rsidRDefault="00263F77" w:rsidP="00263F77">
      <w:pPr>
        <w:pBdr>
          <w:top w:val="single" w:sz="4" w:space="1" w:color="auto"/>
          <w:left w:val="single" w:sz="4" w:space="4" w:color="auto"/>
          <w:bottom w:val="single" w:sz="4" w:space="1" w:color="auto"/>
          <w:right w:val="single" w:sz="4" w:space="4" w:color="auto"/>
        </w:pBdr>
        <w:shd w:val="clear" w:color="auto" w:fill="EEECE1" w:themeFill="background2"/>
        <w:rPr>
          <w:sz w:val="24"/>
        </w:rPr>
      </w:pPr>
      <w:r>
        <w:rPr>
          <w:sz w:val="24"/>
        </w:rPr>
        <w:lastRenderedPageBreak/>
        <w:t>Population:</w:t>
      </w:r>
      <w:r>
        <w:rPr>
          <w:sz w:val="24"/>
        </w:rPr>
        <w:tab/>
        <w:t>Pregnant women</w:t>
      </w:r>
    </w:p>
    <w:p w:rsidR="00263F77" w:rsidRDefault="00263F77" w:rsidP="00263F77">
      <w:pPr>
        <w:pBdr>
          <w:top w:val="single" w:sz="4" w:space="1" w:color="auto"/>
          <w:left w:val="single" w:sz="4" w:space="4" w:color="auto"/>
          <w:bottom w:val="single" w:sz="4" w:space="1" w:color="auto"/>
          <w:right w:val="single" w:sz="4" w:space="4" w:color="auto"/>
        </w:pBdr>
        <w:shd w:val="clear" w:color="auto" w:fill="EEECE1" w:themeFill="background2"/>
        <w:rPr>
          <w:sz w:val="24"/>
        </w:rPr>
      </w:pPr>
      <w:r>
        <w:rPr>
          <w:sz w:val="24"/>
        </w:rPr>
        <w:t>Intervention:</w:t>
      </w:r>
      <w:r>
        <w:rPr>
          <w:sz w:val="24"/>
        </w:rPr>
        <w:tab/>
        <w:t>Iodine intake from all sources</w:t>
      </w:r>
    </w:p>
    <w:p w:rsidR="00263F77" w:rsidRDefault="00263F77" w:rsidP="00263F77">
      <w:pPr>
        <w:pBdr>
          <w:top w:val="single" w:sz="4" w:space="1" w:color="auto"/>
          <w:left w:val="single" w:sz="4" w:space="4" w:color="auto"/>
          <w:bottom w:val="single" w:sz="4" w:space="1" w:color="auto"/>
          <w:right w:val="single" w:sz="4" w:space="4" w:color="auto"/>
        </w:pBdr>
        <w:shd w:val="clear" w:color="auto" w:fill="EEECE1" w:themeFill="background2"/>
        <w:rPr>
          <w:sz w:val="24"/>
        </w:rPr>
      </w:pPr>
      <w:r>
        <w:rPr>
          <w:sz w:val="24"/>
        </w:rPr>
        <w:t>Comparator:</w:t>
      </w:r>
      <w:r>
        <w:rPr>
          <w:sz w:val="24"/>
        </w:rPr>
        <w:tab/>
        <w:t>None</w:t>
      </w:r>
    </w:p>
    <w:p w:rsidR="00263F77" w:rsidRPr="00951AA3" w:rsidRDefault="00263F77" w:rsidP="00263F77">
      <w:pPr>
        <w:pBdr>
          <w:top w:val="single" w:sz="4" w:space="1" w:color="auto"/>
          <w:left w:val="single" w:sz="4" w:space="4" w:color="auto"/>
          <w:bottom w:val="single" w:sz="4" w:space="1" w:color="auto"/>
          <w:right w:val="single" w:sz="4" w:space="4" w:color="auto"/>
        </w:pBdr>
        <w:shd w:val="clear" w:color="auto" w:fill="EEECE1" w:themeFill="background2"/>
        <w:ind w:left="1440" w:hanging="1440"/>
        <w:rPr>
          <w:sz w:val="24"/>
        </w:rPr>
      </w:pPr>
      <w:r>
        <w:rPr>
          <w:sz w:val="24"/>
        </w:rPr>
        <w:t>Outcome:</w:t>
      </w:r>
      <w:r>
        <w:rPr>
          <w:sz w:val="24"/>
        </w:rPr>
        <w:tab/>
        <w:t>Normal thyroid function as measured by maternal thyroid hormones, maternal thyroid volume, and neurodevelopment in the child</w:t>
      </w:r>
    </w:p>
    <w:p w:rsidR="00EA6F40" w:rsidRPr="00C875F5" w:rsidRDefault="00EA6F40" w:rsidP="008D087E">
      <w:pPr>
        <w:pStyle w:val="Heading4"/>
        <w:rPr>
          <w:rFonts w:cs="Times New Roman"/>
        </w:rPr>
      </w:pPr>
      <w:r w:rsidRPr="00C875F5">
        <w:t xml:space="preserve">Search Strategy and Identification of Trials </w:t>
      </w:r>
    </w:p>
    <w:p w:rsidR="00EA6F40" w:rsidRDefault="00484C07" w:rsidP="0013546C">
      <w:pPr>
        <w:pStyle w:val="Thesisnormal0"/>
      </w:pPr>
      <w:hyperlink w:anchor="_5.3.2.1_Previous_recommended" w:history="1">
        <w:r w:rsidR="00EA6F40" w:rsidRPr="0013546C">
          <w:rPr>
            <w:rStyle w:val="Hyperlink"/>
          </w:rPr>
          <w:t>Refer to section 5.2.2</w:t>
        </w:r>
        <w:r w:rsidR="00263F77" w:rsidRPr="0013546C">
          <w:rPr>
            <w:rStyle w:val="Hyperlink"/>
          </w:rPr>
          <w:t>.1</w:t>
        </w:r>
      </w:hyperlink>
    </w:p>
    <w:p w:rsidR="005A4B69" w:rsidRPr="00C875F5" w:rsidRDefault="0013546C" w:rsidP="00AE0695">
      <w:pPr>
        <w:pStyle w:val="Caption"/>
      </w:pPr>
      <w:r>
        <w:t xml:space="preserve">Table </w:t>
      </w:r>
      <w:r w:rsidR="00CA2AA1">
        <w:fldChar w:fldCharType="begin"/>
      </w:r>
      <w:r w:rsidR="00CA2AA1">
        <w:instrText xml:space="preserve"> STYLEREF 1 \s </w:instrText>
      </w:r>
      <w:r w:rsidR="00CA2AA1">
        <w:fldChar w:fldCharType="separate"/>
      </w:r>
      <w:r w:rsidR="00CA2AA1">
        <w:rPr>
          <w:noProof/>
        </w:rPr>
        <w:t>5</w:t>
      </w:r>
      <w:r w:rsidR="00CA2AA1">
        <w:fldChar w:fldCharType="end"/>
      </w:r>
      <w:r w:rsidR="00CA2AA1">
        <w:t>:</w:t>
      </w:r>
      <w:r w:rsidR="00CA2AA1">
        <w:fldChar w:fldCharType="begin"/>
      </w:r>
      <w:r w:rsidR="00CA2AA1">
        <w:instrText xml:space="preserve"> SEQ Table \* ARABIC \s 1 </w:instrText>
      </w:r>
      <w:r w:rsidR="00CA2AA1">
        <w:fldChar w:fldCharType="separate"/>
      </w:r>
      <w:r w:rsidR="00CA2AA1">
        <w:rPr>
          <w:noProof/>
        </w:rPr>
        <w:t>4</w:t>
      </w:r>
      <w:r w:rsidR="00CA2AA1">
        <w:fldChar w:fldCharType="end"/>
      </w:r>
      <w:r w:rsidR="005A4B69">
        <w:t xml:space="preserve"> </w:t>
      </w:r>
      <w:r w:rsidR="005A4B69" w:rsidRPr="00C875F5">
        <w:t>Search terms used to identify studies relating to EAR and RDI for pregnant women</w:t>
      </w:r>
    </w:p>
    <w:tbl>
      <w:tblPr>
        <w:tblStyle w:val="TableGrid"/>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Description w:val="Table 5.4 list the Search terms used to identify studies relating to  Estimated Average Requirement (EAR) and Recommended Daily Intake (RDI) for pregnant women."/>
      </w:tblPr>
      <w:tblGrid>
        <w:gridCol w:w="8516"/>
      </w:tblGrid>
      <w:tr w:rsidR="00EA6F40" w:rsidRPr="005A4B69" w:rsidTr="00D61633">
        <w:trPr>
          <w:trHeight w:val="498"/>
          <w:tblHeader/>
          <w:jc w:val="center"/>
        </w:trPr>
        <w:tc>
          <w:tcPr>
            <w:tcW w:w="8516" w:type="dxa"/>
          </w:tcPr>
          <w:p w:rsidR="00EA6F40" w:rsidRPr="005A4B69" w:rsidRDefault="005A4B69" w:rsidP="005A4B69">
            <w:pPr>
              <w:adjustRightInd w:val="0"/>
              <w:snapToGrid w:val="0"/>
              <w:rPr>
                <w:rStyle w:val="Strong"/>
              </w:rPr>
            </w:pPr>
            <w:r w:rsidRPr="005A4B69">
              <w:rPr>
                <w:rStyle w:val="Strong"/>
              </w:rPr>
              <w:t>Search Terms</w:t>
            </w:r>
          </w:p>
        </w:tc>
      </w:tr>
      <w:tr w:rsidR="00EA6F40" w:rsidRPr="00C875F5" w:rsidTr="00974F73">
        <w:trPr>
          <w:jc w:val="center"/>
        </w:trPr>
        <w:tc>
          <w:tcPr>
            <w:tcW w:w="8516" w:type="dxa"/>
          </w:tcPr>
          <w:p w:rsidR="00EA6F40" w:rsidRDefault="00EA6F40" w:rsidP="00EA6F40">
            <w:pPr>
              <w:pStyle w:val="ListParagraph"/>
              <w:numPr>
                <w:ilvl w:val="0"/>
                <w:numId w:val="5"/>
              </w:numPr>
              <w:adjustRightInd w:val="0"/>
              <w:snapToGrid w:val="0"/>
              <w:ind w:left="170" w:firstLine="0"/>
              <w:contextualSpacing w:val="0"/>
              <w:rPr>
                <w:rFonts w:cs="Times New Roman"/>
                <w:szCs w:val="20"/>
              </w:rPr>
            </w:pPr>
            <w:r w:rsidRPr="00C875F5">
              <w:rPr>
                <w:rFonts w:cs="Times New Roman"/>
                <w:szCs w:val="20"/>
              </w:rPr>
              <w:t>Pregnan*</w:t>
            </w:r>
          </w:p>
          <w:p w:rsidR="005A4B69" w:rsidRPr="00C875F5" w:rsidRDefault="005A4B69" w:rsidP="005A4B69">
            <w:pPr>
              <w:pStyle w:val="ListParagraph"/>
              <w:numPr>
                <w:ilvl w:val="0"/>
                <w:numId w:val="5"/>
              </w:numPr>
              <w:adjustRightInd w:val="0"/>
              <w:snapToGrid w:val="0"/>
              <w:ind w:left="170" w:firstLine="0"/>
              <w:contextualSpacing w:val="0"/>
              <w:rPr>
                <w:rFonts w:cs="Times New Roman"/>
                <w:szCs w:val="20"/>
              </w:rPr>
            </w:pPr>
            <w:r w:rsidRPr="00C875F5">
              <w:rPr>
                <w:rFonts w:cs="Times New Roman"/>
                <w:szCs w:val="20"/>
              </w:rPr>
              <w:t>iodine deficien*</w:t>
            </w:r>
          </w:p>
          <w:p w:rsidR="005A4B69" w:rsidRPr="00C875F5" w:rsidRDefault="005A4B69" w:rsidP="005A4B69">
            <w:pPr>
              <w:pStyle w:val="ListParagraph"/>
              <w:numPr>
                <w:ilvl w:val="0"/>
                <w:numId w:val="5"/>
              </w:numPr>
              <w:adjustRightInd w:val="0"/>
              <w:snapToGrid w:val="0"/>
              <w:ind w:left="170" w:firstLine="0"/>
              <w:contextualSpacing w:val="0"/>
              <w:rPr>
                <w:rFonts w:cs="Times New Roman"/>
                <w:szCs w:val="20"/>
              </w:rPr>
            </w:pPr>
            <w:r w:rsidRPr="00C875F5">
              <w:rPr>
                <w:rFonts w:cs="Times New Roman"/>
                <w:szCs w:val="20"/>
              </w:rPr>
              <w:t>iodine status*</w:t>
            </w:r>
          </w:p>
          <w:p w:rsidR="005A4B69" w:rsidRPr="00C875F5" w:rsidRDefault="005A4B69" w:rsidP="005A4B69">
            <w:pPr>
              <w:pStyle w:val="ListParagraph"/>
              <w:numPr>
                <w:ilvl w:val="0"/>
                <w:numId w:val="5"/>
              </w:numPr>
              <w:adjustRightInd w:val="0"/>
              <w:snapToGrid w:val="0"/>
              <w:ind w:left="170" w:firstLine="0"/>
              <w:contextualSpacing w:val="0"/>
              <w:rPr>
                <w:rFonts w:cs="Times New Roman"/>
                <w:szCs w:val="20"/>
              </w:rPr>
            </w:pPr>
            <w:r w:rsidRPr="00C875F5">
              <w:rPr>
                <w:rFonts w:cs="Times New Roman"/>
                <w:szCs w:val="20"/>
              </w:rPr>
              <w:t>urinary iodine concentration</w:t>
            </w:r>
          </w:p>
          <w:p w:rsidR="005A4B69" w:rsidRPr="00C875F5" w:rsidRDefault="005A4B69" w:rsidP="005A4B69">
            <w:pPr>
              <w:pStyle w:val="ListParagraph"/>
              <w:numPr>
                <w:ilvl w:val="0"/>
                <w:numId w:val="5"/>
              </w:numPr>
              <w:adjustRightInd w:val="0"/>
              <w:snapToGrid w:val="0"/>
              <w:ind w:left="170" w:firstLine="0"/>
              <w:contextualSpacing w:val="0"/>
              <w:rPr>
                <w:rFonts w:cs="Times New Roman"/>
                <w:szCs w:val="20"/>
              </w:rPr>
            </w:pPr>
            <w:r w:rsidRPr="00C875F5">
              <w:rPr>
                <w:rFonts w:cs="Times New Roman"/>
                <w:szCs w:val="20"/>
              </w:rPr>
              <w:t>UIC*</w:t>
            </w:r>
          </w:p>
          <w:p w:rsidR="005A4B69" w:rsidRPr="00C875F5" w:rsidRDefault="005A4B69" w:rsidP="005A4B69">
            <w:pPr>
              <w:pStyle w:val="ListParagraph"/>
              <w:numPr>
                <w:ilvl w:val="0"/>
                <w:numId w:val="5"/>
              </w:numPr>
              <w:adjustRightInd w:val="0"/>
              <w:snapToGrid w:val="0"/>
              <w:ind w:left="170" w:firstLine="0"/>
              <w:contextualSpacing w:val="0"/>
              <w:rPr>
                <w:rFonts w:cs="Times New Roman"/>
                <w:szCs w:val="20"/>
              </w:rPr>
            </w:pPr>
            <w:r w:rsidRPr="00C875F5">
              <w:rPr>
                <w:rFonts w:cs="Times New Roman"/>
                <w:szCs w:val="20"/>
              </w:rPr>
              <w:t>iodine*</w:t>
            </w:r>
          </w:p>
          <w:p w:rsidR="005A4B69" w:rsidRPr="00C875F5" w:rsidRDefault="005A4B69" w:rsidP="005A4B69">
            <w:pPr>
              <w:pStyle w:val="ListParagraph"/>
              <w:numPr>
                <w:ilvl w:val="0"/>
                <w:numId w:val="5"/>
              </w:numPr>
              <w:adjustRightInd w:val="0"/>
              <w:snapToGrid w:val="0"/>
              <w:ind w:left="170" w:firstLine="0"/>
              <w:contextualSpacing w:val="0"/>
              <w:rPr>
                <w:rFonts w:cs="Times New Roman"/>
                <w:szCs w:val="20"/>
              </w:rPr>
            </w:pPr>
            <w:r w:rsidRPr="00C875F5">
              <w:rPr>
                <w:rFonts w:cs="Times New Roman"/>
                <w:szCs w:val="20"/>
              </w:rPr>
              <w:t>iodide*</w:t>
            </w:r>
          </w:p>
          <w:p w:rsidR="005A4B69" w:rsidRPr="00C875F5" w:rsidRDefault="005A4B69" w:rsidP="005A4B69">
            <w:pPr>
              <w:pStyle w:val="ListParagraph"/>
              <w:numPr>
                <w:ilvl w:val="0"/>
                <w:numId w:val="5"/>
              </w:numPr>
              <w:adjustRightInd w:val="0"/>
              <w:snapToGrid w:val="0"/>
              <w:ind w:left="170" w:firstLine="0"/>
              <w:contextualSpacing w:val="0"/>
              <w:rPr>
                <w:rFonts w:cs="Times New Roman"/>
                <w:szCs w:val="20"/>
              </w:rPr>
            </w:pPr>
            <w:r w:rsidRPr="00C875F5">
              <w:rPr>
                <w:rFonts w:cs="Times New Roman"/>
                <w:szCs w:val="20"/>
              </w:rPr>
              <w:t>iodate*</w:t>
            </w:r>
          </w:p>
          <w:p w:rsidR="005A4B69" w:rsidRPr="00C875F5" w:rsidRDefault="005A4B69" w:rsidP="005A4B69">
            <w:pPr>
              <w:pStyle w:val="ListParagraph"/>
              <w:numPr>
                <w:ilvl w:val="0"/>
                <w:numId w:val="5"/>
              </w:numPr>
              <w:adjustRightInd w:val="0"/>
              <w:snapToGrid w:val="0"/>
              <w:ind w:left="170" w:firstLine="0"/>
              <w:contextualSpacing w:val="0"/>
              <w:rPr>
                <w:rFonts w:cs="Times New Roman"/>
                <w:szCs w:val="20"/>
              </w:rPr>
            </w:pPr>
            <w:r w:rsidRPr="00C875F5">
              <w:rPr>
                <w:rFonts w:cs="Times New Roman"/>
                <w:szCs w:val="20"/>
              </w:rPr>
              <w:t>iodized salt*</w:t>
            </w:r>
          </w:p>
          <w:p w:rsidR="005A4B69" w:rsidRPr="00C875F5" w:rsidRDefault="005A4B69" w:rsidP="005A4B69">
            <w:pPr>
              <w:pStyle w:val="ListParagraph"/>
              <w:numPr>
                <w:ilvl w:val="0"/>
                <w:numId w:val="5"/>
              </w:numPr>
              <w:adjustRightInd w:val="0"/>
              <w:snapToGrid w:val="0"/>
              <w:ind w:left="170" w:firstLine="0"/>
              <w:contextualSpacing w:val="0"/>
              <w:rPr>
                <w:rFonts w:cs="Times New Roman"/>
                <w:szCs w:val="20"/>
              </w:rPr>
            </w:pPr>
            <w:r w:rsidRPr="00C875F5">
              <w:rPr>
                <w:rFonts w:cs="Times New Roman"/>
                <w:szCs w:val="20"/>
              </w:rPr>
              <w:t xml:space="preserve">iodized oil* </w:t>
            </w:r>
          </w:p>
          <w:p w:rsidR="005A4B69" w:rsidRPr="00C875F5" w:rsidRDefault="005A4B69" w:rsidP="005A4B69">
            <w:pPr>
              <w:pStyle w:val="ListParagraph"/>
              <w:numPr>
                <w:ilvl w:val="0"/>
                <w:numId w:val="5"/>
              </w:numPr>
              <w:adjustRightInd w:val="0"/>
              <w:snapToGrid w:val="0"/>
              <w:ind w:left="170" w:firstLine="0"/>
              <w:contextualSpacing w:val="0"/>
              <w:rPr>
                <w:rFonts w:cs="Times New Roman"/>
                <w:szCs w:val="20"/>
              </w:rPr>
            </w:pPr>
            <w:r w:rsidRPr="00C875F5">
              <w:rPr>
                <w:rFonts w:cs="Times New Roman"/>
                <w:szCs w:val="20"/>
              </w:rPr>
              <w:t>(2) OR (3) OR (4) OR (5) OR (6) OR (7) OR (8) OR (9) OR (10)</w:t>
            </w:r>
          </w:p>
          <w:p w:rsidR="005A4B69" w:rsidRPr="00C875F5" w:rsidRDefault="005A4B69" w:rsidP="005A4B69">
            <w:pPr>
              <w:pStyle w:val="ListParagraph"/>
              <w:numPr>
                <w:ilvl w:val="0"/>
                <w:numId w:val="5"/>
              </w:numPr>
              <w:adjustRightInd w:val="0"/>
              <w:snapToGrid w:val="0"/>
              <w:ind w:left="170" w:firstLine="0"/>
              <w:contextualSpacing w:val="0"/>
              <w:rPr>
                <w:rFonts w:cs="Times New Roman"/>
                <w:szCs w:val="20"/>
              </w:rPr>
            </w:pPr>
            <w:r w:rsidRPr="00C875F5">
              <w:rPr>
                <w:rFonts w:eastAsia="Times New Roman" w:cs="Times New Roman"/>
                <w:szCs w:val="20"/>
                <w:shd w:val="clear" w:color="auto" w:fill="FFFFFF"/>
                <w:lang w:val="en-GB"/>
              </w:rPr>
              <w:t>thyroid funct*</w:t>
            </w:r>
          </w:p>
          <w:p w:rsidR="005A4B69" w:rsidRPr="00C875F5" w:rsidRDefault="005A4B69" w:rsidP="005A4B69">
            <w:pPr>
              <w:pStyle w:val="ListParagraph"/>
              <w:numPr>
                <w:ilvl w:val="0"/>
                <w:numId w:val="5"/>
              </w:numPr>
              <w:adjustRightInd w:val="0"/>
              <w:snapToGrid w:val="0"/>
              <w:ind w:left="170" w:firstLine="0"/>
              <w:contextualSpacing w:val="0"/>
              <w:rPr>
                <w:rFonts w:cs="Times New Roman"/>
                <w:szCs w:val="20"/>
              </w:rPr>
            </w:pPr>
            <w:r w:rsidRPr="00C875F5">
              <w:rPr>
                <w:rFonts w:eastAsia="Times New Roman" w:cs="Times New Roman"/>
                <w:szCs w:val="20"/>
                <w:shd w:val="clear" w:color="auto" w:fill="FFFFFF"/>
                <w:lang w:val="en-GB"/>
              </w:rPr>
              <w:t>T3*</w:t>
            </w:r>
          </w:p>
          <w:p w:rsidR="005A4B69" w:rsidRPr="00C875F5" w:rsidRDefault="005A4B69" w:rsidP="005A4B69">
            <w:pPr>
              <w:pStyle w:val="ListParagraph"/>
              <w:numPr>
                <w:ilvl w:val="0"/>
                <w:numId w:val="5"/>
              </w:numPr>
              <w:adjustRightInd w:val="0"/>
              <w:snapToGrid w:val="0"/>
              <w:ind w:left="170" w:firstLine="0"/>
              <w:contextualSpacing w:val="0"/>
              <w:rPr>
                <w:rFonts w:cs="Times New Roman"/>
                <w:szCs w:val="20"/>
              </w:rPr>
            </w:pPr>
            <w:r w:rsidRPr="00C875F5">
              <w:rPr>
                <w:rFonts w:eastAsia="Times New Roman" w:cs="Times New Roman"/>
                <w:szCs w:val="20"/>
                <w:shd w:val="clear" w:color="auto" w:fill="FFFFFF"/>
                <w:lang w:val="en-GB"/>
              </w:rPr>
              <w:t>T4*</w:t>
            </w:r>
          </w:p>
          <w:p w:rsidR="005A4B69" w:rsidRPr="00C875F5" w:rsidRDefault="005A4B69" w:rsidP="005A4B69">
            <w:pPr>
              <w:pStyle w:val="ListParagraph"/>
              <w:numPr>
                <w:ilvl w:val="0"/>
                <w:numId w:val="5"/>
              </w:numPr>
              <w:adjustRightInd w:val="0"/>
              <w:snapToGrid w:val="0"/>
              <w:ind w:left="170" w:firstLine="0"/>
              <w:contextualSpacing w:val="0"/>
              <w:rPr>
                <w:rFonts w:cs="Times New Roman"/>
                <w:szCs w:val="20"/>
              </w:rPr>
            </w:pPr>
            <w:r w:rsidRPr="00C875F5">
              <w:rPr>
                <w:rFonts w:eastAsia="Times New Roman" w:cs="Times New Roman"/>
                <w:szCs w:val="20"/>
                <w:shd w:val="clear" w:color="auto" w:fill="FFFFFF"/>
                <w:lang w:val="en-GB"/>
              </w:rPr>
              <w:t>TSH*</w:t>
            </w:r>
          </w:p>
          <w:p w:rsidR="005A4B69" w:rsidRPr="00C875F5" w:rsidRDefault="005A4B69" w:rsidP="005A4B69">
            <w:pPr>
              <w:pStyle w:val="ListParagraph"/>
              <w:numPr>
                <w:ilvl w:val="0"/>
                <w:numId w:val="5"/>
              </w:numPr>
              <w:adjustRightInd w:val="0"/>
              <w:snapToGrid w:val="0"/>
              <w:ind w:left="170" w:firstLine="0"/>
              <w:contextualSpacing w:val="0"/>
              <w:rPr>
                <w:rFonts w:cs="Times New Roman"/>
                <w:szCs w:val="20"/>
              </w:rPr>
            </w:pPr>
            <w:r w:rsidRPr="00C875F5">
              <w:rPr>
                <w:rFonts w:cs="Times New Roman"/>
                <w:szCs w:val="20"/>
              </w:rPr>
              <w:t xml:space="preserve"> (12) OR (13) OR (15) </w:t>
            </w:r>
          </w:p>
          <w:p w:rsidR="005A4B69" w:rsidRPr="00C875F5" w:rsidRDefault="005A4B69" w:rsidP="005A4B69">
            <w:pPr>
              <w:pStyle w:val="ListParagraph"/>
              <w:numPr>
                <w:ilvl w:val="0"/>
                <w:numId w:val="5"/>
              </w:numPr>
              <w:adjustRightInd w:val="0"/>
              <w:snapToGrid w:val="0"/>
              <w:ind w:left="170" w:firstLine="0"/>
              <w:contextualSpacing w:val="0"/>
              <w:rPr>
                <w:rFonts w:cs="Times New Roman"/>
                <w:szCs w:val="20"/>
              </w:rPr>
            </w:pPr>
            <w:r w:rsidRPr="00C875F5">
              <w:rPr>
                <w:rFonts w:cs="Times New Roman"/>
                <w:szCs w:val="20"/>
              </w:rPr>
              <w:t>(1) AND (11) AND (16)</w:t>
            </w:r>
          </w:p>
        </w:tc>
      </w:tr>
    </w:tbl>
    <w:p w:rsidR="00EA6F40" w:rsidRPr="00C875F5" w:rsidRDefault="00EA6F40" w:rsidP="008D087E">
      <w:pPr>
        <w:pStyle w:val="Heading4"/>
      </w:pPr>
      <w:r w:rsidRPr="00C875F5">
        <w:t>Search results:</w:t>
      </w:r>
    </w:p>
    <w:p w:rsidR="00EA6F40" w:rsidRPr="00C875F5" w:rsidRDefault="00EA6F40" w:rsidP="0013546C">
      <w:pPr>
        <w:pStyle w:val="Thesisnormal0"/>
      </w:pPr>
      <w:r w:rsidRPr="00C875F5">
        <w:t xml:space="preserve">At the completion of the search, 23 relevant original studies were identified. </w:t>
      </w:r>
      <w:r>
        <w:t>(see Tables A2.2 and A2.3</w:t>
      </w:r>
      <w:r w:rsidRPr="00C875F5">
        <w:t xml:space="preserve"> in Appendix 2 for details of individual studies). One meta-analysis and one systematic review studies were also included. No Cochrane Reviews were identified. In addition, two reports from international expert committees were considered by the EWG (EFSA</w:t>
      </w:r>
      <w:r>
        <w:t xml:space="preserve"> 2014</w:t>
      </w:r>
      <w:r w:rsidRPr="00C875F5">
        <w:t>; Gunnarsdottir &amp; Dahl 2012).</w:t>
      </w:r>
    </w:p>
    <w:p w:rsidR="00EA6F40" w:rsidRPr="00C875F5" w:rsidRDefault="00EA6F40" w:rsidP="0013546C">
      <w:pPr>
        <w:pStyle w:val="Thesisnormal0"/>
      </w:pPr>
      <w:r w:rsidRPr="00C875F5">
        <w:t>The EWG considered that the very recent systematic review assessing the effect of iodine supplementation during pregnancy on maternal iodine status and thyroid function by Zhou et al (2013) was</w:t>
      </w:r>
      <w:r>
        <w:t xml:space="preserve"> of</w:t>
      </w:r>
      <w:r w:rsidRPr="00C875F5">
        <w:t xml:space="preserve"> high quality because it only included randomised controlled trials (RCTs). After an extensive search no additional RCTs were found. Therefore, the supplementary table and data produced by Zhou et al (Zhou et al 2013) were used to inform the EWG.</w:t>
      </w:r>
    </w:p>
    <w:p w:rsidR="00EA6F40" w:rsidRPr="00C875F5" w:rsidRDefault="00EA6F40" w:rsidP="008D087E">
      <w:pPr>
        <w:pStyle w:val="Heading4"/>
      </w:pPr>
      <w:r w:rsidRPr="00C875F5">
        <w:lastRenderedPageBreak/>
        <w:t xml:space="preserve">Data abstraction </w:t>
      </w:r>
    </w:p>
    <w:p w:rsidR="00EA6F40" w:rsidRPr="00C875F5" w:rsidRDefault="00EA6F40" w:rsidP="0013546C">
      <w:pPr>
        <w:pStyle w:val="Thesisnormal0"/>
      </w:pPr>
      <w:r w:rsidRPr="00C875F5">
        <w:t xml:space="preserve">The research assistant used data extraction tables to extract the relevant data fields from each observational study. </w:t>
      </w:r>
    </w:p>
    <w:p w:rsidR="00EA6F40" w:rsidRPr="00C875F5" w:rsidRDefault="00EA6F40" w:rsidP="00CA2AA1">
      <w:pPr>
        <w:pStyle w:val="Heading3"/>
      </w:pPr>
      <w:bookmarkStart w:id="129" w:name="_Toc279228356"/>
      <w:bookmarkStart w:id="130" w:name="_Toc433621792"/>
      <w:r w:rsidRPr="00C875F5">
        <w:t>Children</w:t>
      </w:r>
      <w:bookmarkEnd w:id="129"/>
      <w:bookmarkEnd w:id="130"/>
      <w:r w:rsidRPr="00C875F5">
        <w:t xml:space="preserve"> </w:t>
      </w:r>
    </w:p>
    <w:p w:rsidR="00EA6F40" w:rsidRPr="00C875F5" w:rsidRDefault="00EA6F40" w:rsidP="0013546C">
      <w:pPr>
        <w:pStyle w:val="Thesisnormal0"/>
      </w:pPr>
      <w:r w:rsidRPr="00C875F5">
        <w:t xml:space="preserve">The EWG identified that the current UL for young children (1-3 years; 200 µg/day) was one of the limiting factors in achieving a higher level of fortification. Therefore the group investigated the most recent evidence that has examined iodine intake in young children in excess of the current UL compared to iodine intakes below and the effects on health outcomes (poorer cognition, abnormal thyroid function). </w:t>
      </w:r>
    </w:p>
    <w:p w:rsidR="005A4B69" w:rsidRPr="0013546C" w:rsidRDefault="005A4B69" w:rsidP="0013546C">
      <w:pPr>
        <w:pStyle w:val="Thesisnorm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EECE1" w:themeFill="background2"/>
        <w:rPr>
          <w:rStyle w:val="Strong"/>
        </w:rPr>
      </w:pPr>
      <w:r w:rsidRPr="0013546C">
        <w:rPr>
          <w:rStyle w:val="Strong"/>
        </w:rPr>
        <w:t>Review Questions 10-13:</w:t>
      </w:r>
    </w:p>
    <w:p w:rsidR="005A4B69" w:rsidRDefault="005A4B69" w:rsidP="0013546C">
      <w:pPr>
        <w:pStyle w:val="Thesisnorm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EECE1" w:themeFill="background2"/>
      </w:pPr>
      <w:r w:rsidRPr="00A32736">
        <w:rPr>
          <w:rFonts w:cs="Times New Roman"/>
        </w:rPr>
        <w:t xml:space="preserve">What is the average intake </w:t>
      </w:r>
      <w:r>
        <w:rPr>
          <w:rFonts w:cs="Times New Roman"/>
        </w:rPr>
        <w:t>of normal</w:t>
      </w:r>
      <w:r w:rsidRPr="00A32736">
        <w:rPr>
          <w:rFonts w:cs="Times New Roman"/>
        </w:rPr>
        <w:t xml:space="preserve"> healthy children </w:t>
      </w:r>
      <w:r w:rsidRPr="00A32736">
        <w:t>(1-3</w:t>
      </w:r>
      <w:r>
        <w:t xml:space="preserve"> </w:t>
      </w:r>
      <w:r w:rsidRPr="00A32736">
        <w:t>y</w:t>
      </w:r>
      <w:r>
        <w:t>ears</w:t>
      </w:r>
      <w:r w:rsidRPr="00A32736">
        <w:t>; 4-8</w:t>
      </w:r>
      <w:r>
        <w:t xml:space="preserve"> </w:t>
      </w:r>
      <w:r w:rsidRPr="00A32736">
        <w:t>y</w:t>
      </w:r>
      <w:r>
        <w:t>ears</w:t>
      </w:r>
      <w:r w:rsidRPr="00A32736">
        <w:t>; 9-13</w:t>
      </w:r>
      <w:r>
        <w:t xml:space="preserve"> </w:t>
      </w:r>
      <w:r w:rsidRPr="00A32736">
        <w:t>y</w:t>
      </w:r>
      <w:r>
        <w:t>ears</w:t>
      </w:r>
      <w:r w:rsidRPr="00A32736">
        <w:t>; 14-18 y</w:t>
      </w:r>
      <w:r>
        <w:t>ears</w:t>
      </w:r>
      <w:r w:rsidRPr="00A32736">
        <w:t xml:space="preserve">) </w:t>
      </w:r>
      <w:r>
        <w:t>above which adverse effects on thyroid function are observed, as indicated by increased thyroid volume and/or abnormal thyroid hormone levels</w:t>
      </w:r>
      <w:r w:rsidRPr="00A32736">
        <w:rPr>
          <w:rFonts w:cs="Times New Roman"/>
        </w:rPr>
        <w:t>?</w:t>
      </w:r>
    </w:p>
    <w:p w:rsidR="005A4B69" w:rsidRPr="0013546C" w:rsidRDefault="005A4B69" w:rsidP="0013546C">
      <w:pPr>
        <w:pStyle w:val="Thesisnorm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EECE1" w:themeFill="background2"/>
        <w:rPr>
          <w:rStyle w:val="Strong"/>
        </w:rPr>
      </w:pPr>
      <w:r w:rsidRPr="0013546C">
        <w:rPr>
          <w:rStyle w:val="Strong"/>
        </w:rPr>
        <w:t>Review Questions 10-13 reframed in PICO format:</w:t>
      </w:r>
    </w:p>
    <w:p w:rsidR="005A4B69" w:rsidRDefault="005A4B69" w:rsidP="0013546C">
      <w:pPr>
        <w:pStyle w:val="Thesisnorm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EECE1" w:themeFill="background2"/>
      </w:pPr>
      <w:r>
        <w:t>Population:</w:t>
      </w:r>
      <w:r>
        <w:tab/>
        <w:t>Children aged 1-18 years</w:t>
      </w:r>
    </w:p>
    <w:p w:rsidR="005A4B69" w:rsidRDefault="005A4B69" w:rsidP="0013546C">
      <w:pPr>
        <w:pStyle w:val="Thesisnorm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EECE1" w:themeFill="background2"/>
      </w:pPr>
      <w:r>
        <w:t>Intervention:</w:t>
      </w:r>
      <w:r>
        <w:tab/>
        <w:t>Iodine intake from all sources</w:t>
      </w:r>
    </w:p>
    <w:p w:rsidR="005A4B69" w:rsidRDefault="005A4B69" w:rsidP="0013546C">
      <w:pPr>
        <w:pStyle w:val="Thesisnorm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EECE1" w:themeFill="background2"/>
      </w:pPr>
      <w:r>
        <w:t>Comparator:</w:t>
      </w:r>
      <w:r>
        <w:tab/>
        <w:t>None</w:t>
      </w:r>
    </w:p>
    <w:p w:rsidR="005A4B69" w:rsidRDefault="005A4B69" w:rsidP="0013546C">
      <w:pPr>
        <w:pStyle w:val="Thesisnorm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EECE1" w:themeFill="background2"/>
        <w:tabs>
          <w:tab w:val="left" w:pos="1440"/>
        </w:tabs>
      </w:pPr>
      <w:r>
        <w:t xml:space="preserve">Outcomes: </w:t>
      </w:r>
      <w:r>
        <w:tab/>
        <w:t xml:space="preserve">Adverse effects on thyroid function indicated by increased </w:t>
      </w:r>
      <w:r>
        <w:tab/>
      </w:r>
      <w:r>
        <w:tab/>
        <w:t>thyroid volume and abnormal thyroid hormone levels</w:t>
      </w:r>
    </w:p>
    <w:p w:rsidR="00EA6F40" w:rsidRPr="00C875F5" w:rsidRDefault="00EA6F40" w:rsidP="008D087E">
      <w:pPr>
        <w:pStyle w:val="Heading4"/>
      </w:pPr>
      <w:r w:rsidRPr="00C875F5">
        <w:t xml:space="preserve">Search Strategy and Identification of Trials </w:t>
      </w:r>
    </w:p>
    <w:p w:rsidR="00EA6F40" w:rsidRPr="009E6B46" w:rsidRDefault="00484C07" w:rsidP="0013546C">
      <w:pPr>
        <w:pStyle w:val="Thesisnormal0"/>
      </w:pPr>
      <w:hyperlink w:anchor="_Additional_evidence_published" w:history="1">
        <w:r w:rsidR="00EA6F40" w:rsidRPr="0013546C">
          <w:rPr>
            <w:rStyle w:val="Hyperlink"/>
          </w:rPr>
          <w:t>Refer to section 5.2.2.1</w:t>
        </w:r>
      </w:hyperlink>
    </w:p>
    <w:p w:rsidR="00EA6F40" w:rsidRDefault="0013546C" w:rsidP="00AE0695">
      <w:pPr>
        <w:pStyle w:val="Caption"/>
      </w:pPr>
      <w:r>
        <w:t xml:space="preserve">Table </w:t>
      </w:r>
      <w:r w:rsidR="00CA2AA1">
        <w:fldChar w:fldCharType="begin"/>
      </w:r>
      <w:r w:rsidR="00CA2AA1">
        <w:instrText xml:space="preserve"> STYLEREF 1 \s </w:instrText>
      </w:r>
      <w:r w:rsidR="00CA2AA1">
        <w:fldChar w:fldCharType="separate"/>
      </w:r>
      <w:r w:rsidR="00CA2AA1">
        <w:rPr>
          <w:noProof/>
        </w:rPr>
        <w:t>5</w:t>
      </w:r>
      <w:r w:rsidR="00CA2AA1">
        <w:fldChar w:fldCharType="end"/>
      </w:r>
      <w:r w:rsidR="00CA2AA1">
        <w:t>:</w:t>
      </w:r>
      <w:r w:rsidR="00CA2AA1">
        <w:fldChar w:fldCharType="begin"/>
      </w:r>
      <w:r w:rsidR="00CA2AA1">
        <w:instrText xml:space="preserve"> SEQ Table \* ARABIC \s 1 </w:instrText>
      </w:r>
      <w:r w:rsidR="00CA2AA1">
        <w:fldChar w:fldCharType="separate"/>
      </w:r>
      <w:r w:rsidR="00CA2AA1">
        <w:rPr>
          <w:noProof/>
        </w:rPr>
        <w:t>5</w:t>
      </w:r>
      <w:r w:rsidR="00CA2AA1">
        <w:fldChar w:fldCharType="end"/>
      </w:r>
      <w:r w:rsidR="005A4B69">
        <w:t xml:space="preserve"> </w:t>
      </w:r>
      <w:r w:rsidR="005A4B69" w:rsidRPr="00C875F5">
        <w:t>Search terms used to identify studies relating to UL for children</w:t>
      </w:r>
    </w:p>
    <w:tbl>
      <w:tblPr>
        <w:tblStyle w:val="TableGrid"/>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Description w:val="Table 5.5 list the Search terms used to identify studies relating to Upper Levels of Intake (UL) for children."/>
      </w:tblPr>
      <w:tblGrid>
        <w:gridCol w:w="8516"/>
      </w:tblGrid>
      <w:tr w:rsidR="00EA6F40" w:rsidRPr="00C875F5" w:rsidTr="00D61633">
        <w:trPr>
          <w:trHeight w:val="498"/>
          <w:tblHeader/>
          <w:jc w:val="center"/>
        </w:trPr>
        <w:tc>
          <w:tcPr>
            <w:tcW w:w="8516" w:type="dxa"/>
          </w:tcPr>
          <w:p w:rsidR="00EA6F40" w:rsidRPr="005A4B69" w:rsidRDefault="005A4B69" w:rsidP="00EA6F40">
            <w:pPr>
              <w:adjustRightInd w:val="0"/>
              <w:snapToGrid w:val="0"/>
              <w:spacing w:line="480" w:lineRule="auto"/>
              <w:rPr>
                <w:rStyle w:val="Strong"/>
              </w:rPr>
            </w:pPr>
            <w:r w:rsidRPr="005A4B69">
              <w:rPr>
                <w:rStyle w:val="Strong"/>
              </w:rPr>
              <w:t>Search terms</w:t>
            </w:r>
          </w:p>
        </w:tc>
      </w:tr>
      <w:tr w:rsidR="00EA6F40" w:rsidRPr="00C875F5" w:rsidTr="00974F73">
        <w:trPr>
          <w:jc w:val="center"/>
        </w:trPr>
        <w:tc>
          <w:tcPr>
            <w:tcW w:w="8516" w:type="dxa"/>
          </w:tcPr>
          <w:p w:rsidR="00EA6F40" w:rsidRPr="00C875F5" w:rsidRDefault="00EA6F40" w:rsidP="00EA6F40">
            <w:pPr>
              <w:pStyle w:val="ListParagraph"/>
              <w:numPr>
                <w:ilvl w:val="0"/>
                <w:numId w:val="17"/>
              </w:numPr>
              <w:adjustRightInd w:val="0"/>
              <w:snapToGrid w:val="0"/>
              <w:ind w:left="709" w:hanging="567"/>
              <w:contextualSpacing w:val="0"/>
              <w:rPr>
                <w:rFonts w:cs="Times New Roman"/>
                <w:szCs w:val="20"/>
              </w:rPr>
            </w:pPr>
            <w:r w:rsidRPr="00C875F5">
              <w:rPr>
                <w:rFonts w:cs="Times New Roman"/>
                <w:szCs w:val="20"/>
                <w:lang w:eastAsia="zh-TW"/>
              </w:rPr>
              <w:t>children</w:t>
            </w:r>
          </w:p>
          <w:p w:rsidR="00EA6F40" w:rsidRPr="00C875F5" w:rsidRDefault="00EA6F40" w:rsidP="00EA6F40">
            <w:pPr>
              <w:pStyle w:val="ListParagraph"/>
              <w:numPr>
                <w:ilvl w:val="0"/>
                <w:numId w:val="17"/>
              </w:numPr>
              <w:adjustRightInd w:val="0"/>
              <w:snapToGrid w:val="0"/>
              <w:ind w:left="142" w:firstLine="0"/>
              <w:contextualSpacing w:val="0"/>
              <w:rPr>
                <w:rFonts w:cs="Times New Roman"/>
                <w:szCs w:val="20"/>
              </w:rPr>
            </w:pPr>
            <w:r w:rsidRPr="00C875F5">
              <w:rPr>
                <w:rFonts w:cs="Times New Roman"/>
                <w:szCs w:val="20"/>
                <w:lang w:eastAsia="zh-TW"/>
              </w:rPr>
              <w:t>adolescent*</w:t>
            </w:r>
          </w:p>
          <w:p w:rsidR="00EA6F40" w:rsidRPr="00C875F5" w:rsidRDefault="00EA6F40" w:rsidP="00EA6F40">
            <w:pPr>
              <w:pStyle w:val="ListParagraph"/>
              <w:numPr>
                <w:ilvl w:val="0"/>
                <w:numId w:val="17"/>
              </w:numPr>
              <w:adjustRightInd w:val="0"/>
              <w:snapToGrid w:val="0"/>
              <w:ind w:left="142" w:firstLine="0"/>
              <w:contextualSpacing w:val="0"/>
              <w:rPr>
                <w:rFonts w:cs="Times New Roman"/>
                <w:szCs w:val="20"/>
              </w:rPr>
            </w:pPr>
            <w:r w:rsidRPr="00C875F5">
              <w:rPr>
                <w:rFonts w:cs="Times New Roman"/>
                <w:szCs w:val="20"/>
                <w:lang w:eastAsia="zh-TW"/>
              </w:rPr>
              <w:t>infant*</w:t>
            </w:r>
          </w:p>
          <w:p w:rsidR="00EA6F40" w:rsidRPr="00C875F5" w:rsidRDefault="00EA6F40" w:rsidP="00EA6F40">
            <w:pPr>
              <w:pStyle w:val="ListParagraph"/>
              <w:numPr>
                <w:ilvl w:val="0"/>
                <w:numId w:val="17"/>
              </w:numPr>
              <w:adjustRightInd w:val="0"/>
              <w:snapToGrid w:val="0"/>
              <w:ind w:left="142" w:firstLine="0"/>
              <w:contextualSpacing w:val="0"/>
              <w:rPr>
                <w:rFonts w:cs="Times New Roman"/>
                <w:szCs w:val="20"/>
              </w:rPr>
            </w:pPr>
            <w:r w:rsidRPr="00C875F5">
              <w:rPr>
                <w:rFonts w:eastAsia="Times New Roman" w:cs="Times New Roman"/>
                <w:szCs w:val="20"/>
                <w:shd w:val="clear" w:color="auto" w:fill="FFFFFF"/>
              </w:rPr>
              <w:t xml:space="preserve"> (1) AND (2)</w:t>
            </w:r>
            <w:r w:rsidRPr="00C875F5">
              <w:rPr>
                <w:rFonts w:cs="Times New Roman"/>
                <w:szCs w:val="20"/>
                <w:shd w:val="clear" w:color="auto" w:fill="FFFFFF"/>
                <w:lang w:eastAsia="zh-TW"/>
              </w:rPr>
              <w:t xml:space="preserve"> AND (3) </w:t>
            </w:r>
          </w:p>
          <w:p w:rsidR="00EA6F40" w:rsidRPr="005A4B69" w:rsidRDefault="00EA6F40" w:rsidP="00EA6F40">
            <w:pPr>
              <w:pStyle w:val="ListParagraph"/>
              <w:numPr>
                <w:ilvl w:val="0"/>
                <w:numId w:val="17"/>
              </w:numPr>
              <w:adjustRightInd w:val="0"/>
              <w:snapToGrid w:val="0"/>
              <w:ind w:left="142" w:firstLine="0"/>
              <w:contextualSpacing w:val="0"/>
              <w:rPr>
                <w:rFonts w:cs="Times New Roman"/>
                <w:szCs w:val="20"/>
              </w:rPr>
            </w:pPr>
            <w:r w:rsidRPr="00C875F5">
              <w:rPr>
                <w:rFonts w:cs="Times New Roman"/>
                <w:szCs w:val="20"/>
                <w:shd w:val="clear" w:color="auto" w:fill="FFFFFF"/>
                <w:lang w:eastAsia="zh-TW"/>
              </w:rPr>
              <w:t xml:space="preserve">4 </w:t>
            </w:r>
            <w:r w:rsidRPr="00C875F5">
              <w:rPr>
                <w:color w:val="0A0905"/>
                <w:szCs w:val="20"/>
                <w:shd w:val="clear" w:color="auto" w:fill="FFFFFF"/>
              </w:rPr>
              <w:t>not premature* not pregnan*</w:t>
            </w:r>
          </w:p>
          <w:p w:rsidR="005A4B69" w:rsidRPr="00C875F5" w:rsidRDefault="005A4B69" w:rsidP="005A4B69">
            <w:pPr>
              <w:pStyle w:val="ListParagraph"/>
              <w:numPr>
                <w:ilvl w:val="0"/>
                <w:numId w:val="17"/>
              </w:numPr>
              <w:adjustRightInd w:val="0"/>
              <w:snapToGrid w:val="0"/>
              <w:ind w:left="142" w:firstLine="0"/>
              <w:contextualSpacing w:val="0"/>
              <w:rPr>
                <w:rFonts w:cs="Times New Roman"/>
                <w:szCs w:val="20"/>
              </w:rPr>
            </w:pPr>
            <w:r w:rsidRPr="00C875F5">
              <w:rPr>
                <w:rFonts w:cs="Times New Roman"/>
                <w:szCs w:val="20"/>
              </w:rPr>
              <w:t>iodine deficien*</w:t>
            </w:r>
          </w:p>
          <w:p w:rsidR="005A4B69" w:rsidRPr="00C875F5" w:rsidRDefault="005A4B69" w:rsidP="005A4B69">
            <w:pPr>
              <w:pStyle w:val="ListParagraph"/>
              <w:numPr>
                <w:ilvl w:val="0"/>
                <w:numId w:val="17"/>
              </w:numPr>
              <w:adjustRightInd w:val="0"/>
              <w:snapToGrid w:val="0"/>
              <w:ind w:left="142" w:firstLine="0"/>
              <w:contextualSpacing w:val="0"/>
              <w:rPr>
                <w:rFonts w:cs="Times New Roman"/>
                <w:szCs w:val="20"/>
              </w:rPr>
            </w:pPr>
            <w:r w:rsidRPr="00C875F5">
              <w:rPr>
                <w:rFonts w:cs="Times New Roman"/>
                <w:szCs w:val="20"/>
              </w:rPr>
              <w:t>iodine status*</w:t>
            </w:r>
          </w:p>
          <w:p w:rsidR="005A4B69" w:rsidRPr="00C875F5" w:rsidRDefault="005A4B69" w:rsidP="005A4B69">
            <w:pPr>
              <w:pStyle w:val="ListParagraph"/>
              <w:numPr>
                <w:ilvl w:val="0"/>
                <w:numId w:val="17"/>
              </w:numPr>
              <w:adjustRightInd w:val="0"/>
              <w:snapToGrid w:val="0"/>
              <w:ind w:left="142" w:firstLine="0"/>
              <w:contextualSpacing w:val="0"/>
              <w:rPr>
                <w:rFonts w:cs="Times New Roman"/>
                <w:szCs w:val="20"/>
              </w:rPr>
            </w:pPr>
            <w:r w:rsidRPr="00C875F5">
              <w:rPr>
                <w:rFonts w:cs="Times New Roman"/>
                <w:szCs w:val="20"/>
              </w:rPr>
              <w:t>urinary iodine concentration</w:t>
            </w:r>
          </w:p>
          <w:p w:rsidR="005A4B69" w:rsidRPr="00C875F5" w:rsidRDefault="005A4B69" w:rsidP="005A4B69">
            <w:pPr>
              <w:pStyle w:val="ListParagraph"/>
              <w:numPr>
                <w:ilvl w:val="0"/>
                <w:numId w:val="17"/>
              </w:numPr>
              <w:adjustRightInd w:val="0"/>
              <w:snapToGrid w:val="0"/>
              <w:ind w:left="142" w:firstLine="0"/>
              <w:contextualSpacing w:val="0"/>
              <w:rPr>
                <w:rFonts w:cs="Times New Roman"/>
                <w:szCs w:val="20"/>
              </w:rPr>
            </w:pPr>
            <w:r w:rsidRPr="00C875F5">
              <w:rPr>
                <w:rFonts w:cs="Times New Roman"/>
                <w:szCs w:val="20"/>
              </w:rPr>
              <w:t>UIC*</w:t>
            </w:r>
          </w:p>
          <w:p w:rsidR="005A4B69" w:rsidRPr="00C875F5" w:rsidRDefault="005A4B69" w:rsidP="005A4B69">
            <w:pPr>
              <w:pStyle w:val="ListParagraph"/>
              <w:numPr>
                <w:ilvl w:val="0"/>
                <w:numId w:val="17"/>
              </w:numPr>
              <w:adjustRightInd w:val="0"/>
              <w:snapToGrid w:val="0"/>
              <w:ind w:left="142" w:firstLine="0"/>
              <w:contextualSpacing w:val="0"/>
              <w:rPr>
                <w:rFonts w:cs="Times New Roman"/>
                <w:szCs w:val="20"/>
              </w:rPr>
            </w:pPr>
            <w:r w:rsidRPr="00C875F5">
              <w:rPr>
                <w:rFonts w:cs="Times New Roman"/>
                <w:szCs w:val="20"/>
              </w:rPr>
              <w:t>iodine*</w:t>
            </w:r>
          </w:p>
          <w:p w:rsidR="005A4B69" w:rsidRPr="00C875F5" w:rsidRDefault="005A4B69" w:rsidP="005A4B69">
            <w:pPr>
              <w:pStyle w:val="ListParagraph"/>
              <w:numPr>
                <w:ilvl w:val="0"/>
                <w:numId w:val="17"/>
              </w:numPr>
              <w:adjustRightInd w:val="0"/>
              <w:snapToGrid w:val="0"/>
              <w:ind w:left="142" w:firstLine="0"/>
              <w:contextualSpacing w:val="0"/>
              <w:rPr>
                <w:rFonts w:cs="Times New Roman"/>
                <w:szCs w:val="20"/>
              </w:rPr>
            </w:pPr>
            <w:r w:rsidRPr="00C875F5">
              <w:rPr>
                <w:rFonts w:cs="Times New Roman"/>
                <w:szCs w:val="20"/>
              </w:rPr>
              <w:t>iodide*</w:t>
            </w:r>
          </w:p>
          <w:p w:rsidR="005A4B69" w:rsidRPr="00C875F5" w:rsidRDefault="005A4B69" w:rsidP="005A4B69">
            <w:pPr>
              <w:pStyle w:val="ListParagraph"/>
              <w:numPr>
                <w:ilvl w:val="0"/>
                <w:numId w:val="17"/>
              </w:numPr>
              <w:adjustRightInd w:val="0"/>
              <w:snapToGrid w:val="0"/>
              <w:ind w:left="142" w:firstLine="0"/>
              <w:contextualSpacing w:val="0"/>
              <w:rPr>
                <w:rFonts w:cs="Times New Roman"/>
                <w:szCs w:val="20"/>
              </w:rPr>
            </w:pPr>
            <w:r w:rsidRPr="00C875F5">
              <w:rPr>
                <w:rFonts w:cs="Times New Roman"/>
                <w:szCs w:val="20"/>
              </w:rPr>
              <w:t>iodate*</w:t>
            </w:r>
          </w:p>
          <w:p w:rsidR="005A4B69" w:rsidRPr="00C875F5" w:rsidRDefault="005A4B69" w:rsidP="005A4B69">
            <w:pPr>
              <w:pStyle w:val="ListParagraph"/>
              <w:numPr>
                <w:ilvl w:val="0"/>
                <w:numId w:val="17"/>
              </w:numPr>
              <w:adjustRightInd w:val="0"/>
              <w:snapToGrid w:val="0"/>
              <w:ind w:left="142" w:firstLine="0"/>
              <w:contextualSpacing w:val="0"/>
              <w:rPr>
                <w:rFonts w:cs="Times New Roman"/>
                <w:szCs w:val="20"/>
              </w:rPr>
            </w:pPr>
            <w:r w:rsidRPr="00C875F5">
              <w:rPr>
                <w:rFonts w:cs="Times New Roman"/>
                <w:szCs w:val="20"/>
              </w:rPr>
              <w:t>iodized salt*</w:t>
            </w:r>
          </w:p>
          <w:p w:rsidR="005A4B69" w:rsidRPr="00C875F5" w:rsidRDefault="005A4B69" w:rsidP="005A4B69">
            <w:pPr>
              <w:pStyle w:val="ListParagraph"/>
              <w:numPr>
                <w:ilvl w:val="0"/>
                <w:numId w:val="17"/>
              </w:numPr>
              <w:adjustRightInd w:val="0"/>
              <w:snapToGrid w:val="0"/>
              <w:ind w:left="142" w:firstLine="0"/>
              <w:contextualSpacing w:val="0"/>
              <w:rPr>
                <w:rFonts w:cs="Times New Roman"/>
                <w:szCs w:val="20"/>
              </w:rPr>
            </w:pPr>
            <w:r w:rsidRPr="00C875F5">
              <w:rPr>
                <w:rFonts w:cs="Times New Roman"/>
                <w:szCs w:val="20"/>
              </w:rPr>
              <w:lastRenderedPageBreak/>
              <w:t xml:space="preserve">iodized oil* </w:t>
            </w:r>
          </w:p>
          <w:p w:rsidR="005A4B69" w:rsidRPr="00C875F5" w:rsidRDefault="005A4B69" w:rsidP="005A4B69">
            <w:pPr>
              <w:pStyle w:val="ListParagraph"/>
              <w:numPr>
                <w:ilvl w:val="0"/>
                <w:numId w:val="17"/>
              </w:numPr>
              <w:adjustRightInd w:val="0"/>
              <w:snapToGrid w:val="0"/>
              <w:ind w:left="709" w:hanging="567"/>
              <w:contextualSpacing w:val="0"/>
              <w:rPr>
                <w:rFonts w:cs="Times New Roman"/>
                <w:szCs w:val="20"/>
              </w:rPr>
            </w:pPr>
            <w:r w:rsidRPr="00C875F5">
              <w:rPr>
                <w:rFonts w:cs="Times New Roman"/>
                <w:szCs w:val="20"/>
              </w:rPr>
              <w:t xml:space="preserve">(6) OR (7) OR (8) OR (9) OR (10) OR (11) OR (12) </w:t>
            </w:r>
            <w:r w:rsidRPr="00C875F5">
              <w:rPr>
                <w:rFonts w:cs="Times New Roman"/>
                <w:szCs w:val="20"/>
                <w:lang w:eastAsia="zh-TW"/>
              </w:rPr>
              <w:t>OR (13) OR (14)</w:t>
            </w:r>
          </w:p>
          <w:p w:rsidR="005A4B69" w:rsidRPr="00C875F5" w:rsidRDefault="005A4B69" w:rsidP="005A4B69">
            <w:pPr>
              <w:pStyle w:val="ListParagraph"/>
              <w:numPr>
                <w:ilvl w:val="0"/>
                <w:numId w:val="17"/>
              </w:numPr>
              <w:adjustRightInd w:val="0"/>
              <w:snapToGrid w:val="0"/>
              <w:ind w:left="709" w:hanging="567"/>
              <w:contextualSpacing w:val="0"/>
              <w:rPr>
                <w:rFonts w:cs="Times New Roman"/>
                <w:szCs w:val="20"/>
              </w:rPr>
            </w:pPr>
            <w:r w:rsidRPr="00C875F5">
              <w:rPr>
                <w:rFonts w:cs="Times New Roman"/>
                <w:szCs w:val="20"/>
                <w:lang w:eastAsia="zh-TW"/>
              </w:rPr>
              <w:t>15 not zinc</w:t>
            </w:r>
          </w:p>
          <w:p w:rsidR="005A4B69" w:rsidRPr="00C875F5" w:rsidRDefault="005A4B69" w:rsidP="005A4B69">
            <w:pPr>
              <w:pStyle w:val="ListParagraph"/>
              <w:numPr>
                <w:ilvl w:val="0"/>
                <w:numId w:val="17"/>
              </w:numPr>
              <w:adjustRightInd w:val="0"/>
              <w:snapToGrid w:val="0"/>
              <w:ind w:left="142" w:firstLine="0"/>
              <w:contextualSpacing w:val="0"/>
              <w:rPr>
                <w:rFonts w:cs="Times New Roman"/>
                <w:szCs w:val="20"/>
              </w:rPr>
            </w:pPr>
            <w:r w:rsidRPr="00C875F5">
              <w:rPr>
                <w:rFonts w:eastAsia="Times New Roman" w:cs="Times New Roman"/>
                <w:szCs w:val="20"/>
                <w:shd w:val="clear" w:color="auto" w:fill="FFFFFF"/>
                <w:lang w:val="en-GB"/>
              </w:rPr>
              <w:t>thyroid funct*</w:t>
            </w:r>
          </w:p>
          <w:p w:rsidR="005A4B69" w:rsidRPr="00C875F5" w:rsidRDefault="005A4B69" w:rsidP="005A4B69">
            <w:pPr>
              <w:pStyle w:val="ListParagraph"/>
              <w:numPr>
                <w:ilvl w:val="0"/>
                <w:numId w:val="17"/>
              </w:numPr>
              <w:adjustRightInd w:val="0"/>
              <w:snapToGrid w:val="0"/>
              <w:ind w:left="142" w:firstLine="0"/>
              <w:contextualSpacing w:val="0"/>
              <w:rPr>
                <w:rFonts w:cs="Times New Roman"/>
                <w:szCs w:val="20"/>
              </w:rPr>
            </w:pPr>
            <w:r w:rsidRPr="00C875F5">
              <w:rPr>
                <w:rFonts w:cs="Times New Roman"/>
                <w:szCs w:val="20"/>
              </w:rPr>
              <w:t>T3*</w:t>
            </w:r>
          </w:p>
          <w:p w:rsidR="005A4B69" w:rsidRPr="00C875F5" w:rsidRDefault="005A4B69" w:rsidP="005A4B69">
            <w:pPr>
              <w:pStyle w:val="ListParagraph"/>
              <w:numPr>
                <w:ilvl w:val="0"/>
                <w:numId w:val="17"/>
              </w:numPr>
              <w:adjustRightInd w:val="0"/>
              <w:snapToGrid w:val="0"/>
              <w:ind w:left="142" w:firstLine="0"/>
              <w:contextualSpacing w:val="0"/>
              <w:rPr>
                <w:rFonts w:cs="Times New Roman"/>
                <w:szCs w:val="20"/>
              </w:rPr>
            </w:pPr>
            <w:r w:rsidRPr="00C875F5">
              <w:rPr>
                <w:rFonts w:cs="Times New Roman"/>
                <w:szCs w:val="20"/>
              </w:rPr>
              <w:t>T4*</w:t>
            </w:r>
          </w:p>
          <w:p w:rsidR="005A4B69" w:rsidRPr="00C875F5" w:rsidRDefault="005A4B69" w:rsidP="005A4B69">
            <w:pPr>
              <w:pStyle w:val="ListParagraph"/>
              <w:numPr>
                <w:ilvl w:val="0"/>
                <w:numId w:val="17"/>
              </w:numPr>
              <w:adjustRightInd w:val="0"/>
              <w:snapToGrid w:val="0"/>
              <w:ind w:left="142" w:firstLine="0"/>
              <w:contextualSpacing w:val="0"/>
              <w:rPr>
                <w:rFonts w:cs="Times New Roman"/>
                <w:szCs w:val="20"/>
              </w:rPr>
            </w:pPr>
            <w:r w:rsidRPr="00C875F5">
              <w:rPr>
                <w:rFonts w:cs="Times New Roman"/>
                <w:szCs w:val="20"/>
              </w:rPr>
              <w:t>TSH*</w:t>
            </w:r>
          </w:p>
          <w:p w:rsidR="005A4B69" w:rsidRPr="00C875F5" w:rsidRDefault="005A4B69" w:rsidP="005A4B69">
            <w:pPr>
              <w:pStyle w:val="ListParagraph"/>
              <w:numPr>
                <w:ilvl w:val="0"/>
                <w:numId w:val="17"/>
              </w:numPr>
              <w:adjustRightInd w:val="0"/>
              <w:snapToGrid w:val="0"/>
              <w:ind w:left="142" w:firstLine="0"/>
              <w:contextualSpacing w:val="0"/>
              <w:rPr>
                <w:rFonts w:cs="Times New Roman"/>
                <w:szCs w:val="20"/>
              </w:rPr>
            </w:pPr>
            <w:r w:rsidRPr="00C875F5">
              <w:rPr>
                <w:rFonts w:cs="Times New Roman"/>
                <w:szCs w:val="20"/>
              </w:rPr>
              <w:t>Goitre</w:t>
            </w:r>
          </w:p>
          <w:p w:rsidR="005A4B69" w:rsidRPr="00C875F5" w:rsidRDefault="005A4B69" w:rsidP="005A4B69">
            <w:pPr>
              <w:pStyle w:val="ListParagraph"/>
              <w:numPr>
                <w:ilvl w:val="0"/>
                <w:numId w:val="17"/>
              </w:numPr>
              <w:adjustRightInd w:val="0"/>
              <w:snapToGrid w:val="0"/>
              <w:ind w:left="142" w:firstLine="0"/>
              <w:contextualSpacing w:val="0"/>
              <w:rPr>
                <w:rFonts w:cs="Times New Roman"/>
                <w:szCs w:val="20"/>
              </w:rPr>
            </w:pPr>
            <w:r w:rsidRPr="00C875F5">
              <w:rPr>
                <w:rFonts w:cs="Times New Roman"/>
                <w:szCs w:val="20"/>
                <w:lang w:eastAsia="zh-TW"/>
              </w:rPr>
              <w:t>Physical grow*</w:t>
            </w:r>
          </w:p>
          <w:p w:rsidR="005A4B69" w:rsidRPr="00C875F5" w:rsidRDefault="005A4B69" w:rsidP="005A4B69">
            <w:pPr>
              <w:pStyle w:val="ListParagraph"/>
              <w:numPr>
                <w:ilvl w:val="0"/>
                <w:numId w:val="17"/>
              </w:numPr>
              <w:adjustRightInd w:val="0"/>
              <w:snapToGrid w:val="0"/>
              <w:ind w:left="142" w:firstLine="0"/>
              <w:contextualSpacing w:val="0"/>
              <w:rPr>
                <w:rFonts w:cs="Times New Roman"/>
                <w:szCs w:val="20"/>
              </w:rPr>
            </w:pPr>
            <w:r w:rsidRPr="00C875F5">
              <w:rPr>
                <w:rFonts w:cs="Times New Roman"/>
                <w:szCs w:val="20"/>
                <w:lang w:eastAsia="zh-TW"/>
              </w:rPr>
              <w:t>Cognitive disorder*</w:t>
            </w:r>
          </w:p>
          <w:p w:rsidR="005A4B69" w:rsidRPr="00C875F5" w:rsidRDefault="005A4B69" w:rsidP="005A4B69">
            <w:pPr>
              <w:pStyle w:val="ListParagraph"/>
              <w:numPr>
                <w:ilvl w:val="0"/>
                <w:numId w:val="17"/>
              </w:numPr>
              <w:adjustRightInd w:val="0"/>
              <w:snapToGrid w:val="0"/>
              <w:ind w:left="142" w:firstLine="0"/>
              <w:contextualSpacing w:val="0"/>
              <w:rPr>
                <w:rFonts w:cs="Times New Roman"/>
                <w:szCs w:val="20"/>
              </w:rPr>
            </w:pPr>
            <w:r w:rsidRPr="00C875F5">
              <w:rPr>
                <w:rFonts w:cs="Times New Roman"/>
                <w:szCs w:val="20"/>
                <w:lang w:eastAsia="zh-TW"/>
              </w:rPr>
              <w:t>Behavioral disorder*</w:t>
            </w:r>
          </w:p>
          <w:p w:rsidR="005A4B69" w:rsidRPr="00C875F5" w:rsidRDefault="005A4B69" w:rsidP="005A4B69">
            <w:pPr>
              <w:pStyle w:val="ListParagraph"/>
              <w:numPr>
                <w:ilvl w:val="0"/>
                <w:numId w:val="17"/>
              </w:numPr>
              <w:adjustRightInd w:val="0"/>
              <w:snapToGrid w:val="0"/>
              <w:ind w:left="142" w:firstLine="0"/>
              <w:contextualSpacing w:val="0"/>
              <w:rPr>
                <w:rFonts w:cs="Times New Roman"/>
                <w:szCs w:val="20"/>
              </w:rPr>
            </w:pPr>
            <w:r w:rsidRPr="00C875F5">
              <w:rPr>
                <w:rFonts w:cs="Times New Roman"/>
                <w:szCs w:val="20"/>
                <w:lang w:eastAsia="zh-TW"/>
              </w:rPr>
              <w:t xml:space="preserve">(15) OR </w:t>
            </w:r>
            <w:r w:rsidRPr="00C875F5">
              <w:rPr>
                <w:rFonts w:cs="Times New Roman"/>
                <w:szCs w:val="20"/>
              </w:rPr>
              <w:t>(16) OR (17) OR (18)</w:t>
            </w:r>
            <w:r w:rsidRPr="00C875F5">
              <w:rPr>
                <w:rFonts w:cs="Times New Roman"/>
                <w:szCs w:val="20"/>
                <w:lang w:eastAsia="zh-TW"/>
              </w:rPr>
              <w:t xml:space="preserve"> OR (19) OR (20) OR (21) OR (22) OR (23) OR (24)</w:t>
            </w:r>
          </w:p>
          <w:p w:rsidR="005A4B69" w:rsidRPr="00C875F5" w:rsidRDefault="005A4B69" w:rsidP="005A4B69">
            <w:pPr>
              <w:pStyle w:val="ListParagraph"/>
              <w:numPr>
                <w:ilvl w:val="0"/>
                <w:numId w:val="17"/>
              </w:numPr>
              <w:adjustRightInd w:val="0"/>
              <w:snapToGrid w:val="0"/>
              <w:ind w:left="142" w:firstLine="0"/>
              <w:contextualSpacing w:val="0"/>
              <w:rPr>
                <w:rFonts w:cs="Times New Roman"/>
                <w:szCs w:val="20"/>
              </w:rPr>
            </w:pPr>
            <w:r w:rsidRPr="00C875F5">
              <w:rPr>
                <w:rFonts w:cs="Times New Roman"/>
                <w:szCs w:val="20"/>
                <w:lang w:eastAsia="zh-TW"/>
              </w:rPr>
              <w:t xml:space="preserve">25 not </w:t>
            </w:r>
            <w:r w:rsidRPr="00C875F5">
              <w:rPr>
                <w:color w:val="0A0905"/>
                <w:szCs w:val="20"/>
                <w:shd w:val="clear" w:color="auto" w:fill="FFFFFF"/>
              </w:rPr>
              <w:t>cancer*</w:t>
            </w:r>
            <w:r w:rsidRPr="00C875F5">
              <w:rPr>
                <w:color w:val="0A0905"/>
                <w:szCs w:val="20"/>
                <w:shd w:val="clear" w:color="auto" w:fill="FFFFFF"/>
                <w:lang w:eastAsia="zh-TW"/>
              </w:rPr>
              <w:t xml:space="preserve"> </w:t>
            </w:r>
            <w:r w:rsidRPr="00C875F5">
              <w:rPr>
                <w:color w:val="0A0905"/>
                <w:szCs w:val="20"/>
                <w:shd w:val="clear" w:color="auto" w:fill="FFFFFF"/>
              </w:rPr>
              <w:t>not mutation* not thyroiditis* not carcinoma not hashimoto*</w:t>
            </w:r>
          </w:p>
          <w:p w:rsidR="005A4B69" w:rsidRPr="00C875F5" w:rsidRDefault="005A4B69" w:rsidP="005A4B69">
            <w:pPr>
              <w:pStyle w:val="ListParagraph"/>
              <w:numPr>
                <w:ilvl w:val="0"/>
                <w:numId w:val="17"/>
              </w:numPr>
              <w:adjustRightInd w:val="0"/>
              <w:snapToGrid w:val="0"/>
              <w:ind w:left="142" w:firstLine="0"/>
              <w:contextualSpacing w:val="0"/>
              <w:rPr>
                <w:rFonts w:cs="Times New Roman"/>
                <w:szCs w:val="20"/>
              </w:rPr>
            </w:pPr>
            <w:r w:rsidRPr="00C875F5">
              <w:rPr>
                <w:rFonts w:cs="Times New Roman"/>
                <w:szCs w:val="20"/>
              </w:rPr>
              <w:t>(</w:t>
            </w:r>
            <w:r w:rsidRPr="00C875F5">
              <w:rPr>
                <w:rFonts w:cs="Times New Roman"/>
                <w:szCs w:val="20"/>
                <w:lang w:eastAsia="zh-TW"/>
              </w:rPr>
              <w:t>5</w:t>
            </w:r>
            <w:r w:rsidRPr="00C875F5">
              <w:rPr>
                <w:rFonts w:cs="Times New Roman"/>
                <w:szCs w:val="20"/>
              </w:rPr>
              <w:t>) AND (1</w:t>
            </w:r>
            <w:r w:rsidRPr="00C875F5">
              <w:rPr>
                <w:rFonts w:cs="Times New Roman"/>
                <w:szCs w:val="20"/>
                <w:lang w:eastAsia="zh-TW"/>
              </w:rPr>
              <w:t>6</w:t>
            </w:r>
            <w:r w:rsidRPr="00C875F5">
              <w:rPr>
                <w:rFonts w:cs="Times New Roman"/>
                <w:szCs w:val="20"/>
              </w:rPr>
              <w:t>) AND (</w:t>
            </w:r>
            <w:r w:rsidRPr="00C875F5">
              <w:rPr>
                <w:rFonts w:cs="Times New Roman"/>
                <w:szCs w:val="20"/>
                <w:lang w:eastAsia="zh-TW"/>
              </w:rPr>
              <w:t>26</w:t>
            </w:r>
            <w:r w:rsidRPr="00C875F5">
              <w:rPr>
                <w:rFonts w:cs="Times New Roman"/>
                <w:szCs w:val="20"/>
              </w:rPr>
              <w:t xml:space="preserve">) </w:t>
            </w:r>
          </w:p>
          <w:p w:rsidR="005A4B69" w:rsidRPr="005A4B69" w:rsidRDefault="005A4B69" w:rsidP="005A4B69">
            <w:pPr>
              <w:adjustRightInd w:val="0"/>
              <w:snapToGrid w:val="0"/>
              <w:ind w:left="142"/>
              <w:rPr>
                <w:rFonts w:cs="Times New Roman"/>
                <w:sz w:val="20"/>
                <w:szCs w:val="20"/>
              </w:rPr>
            </w:pPr>
          </w:p>
        </w:tc>
      </w:tr>
    </w:tbl>
    <w:p w:rsidR="00EA6F40" w:rsidRPr="00C875F5" w:rsidRDefault="00EA6F40" w:rsidP="008D087E">
      <w:pPr>
        <w:pStyle w:val="Heading4"/>
      </w:pPr>
      <w:r w:rsidRPr="00C875F5">
        <w:lastRenderedPageBreak/>
        <w:t>Search results:</w:t>
      </w:r>
    </w:p>
    <w:p w:rsidR="00EA6F40" w:rsidRPr="0000426E" w:rsidRDefault="00EA6F40" w:rsidP="0013546C">
      <w:pPr>
        <w:pStyle w:val="Thesisnormal0"/>
        <w:rPr>
          <w:b/>
        </w:rPr>
      </w:pPr>
      <w:r w:rsidRPr="00C875F5">
        <w:t xml:space="preserve">At the completion of the search, 13 original studies were identified as being relevant to the upper level of iodine status in children (see </w:t>
      </w:r>
      <w:r w:rsidR="00AE0695">
        <w:fldChar w:fldCharType="begin"/>
      </w:r>
      <w:r w:rsidR="00AE0695">
        <w:instrText xml:space="preserve"> REF _Ref430950465 \h </w:instrText>
      </w:r>
      <w:r w:rsidR="00AE0695">
        <w:fldChar w:fldCharType="separate"/>
      </w:r>
      <w:r w:rsidR="00AE0695">
        <w:t xml:space="preserve">Table </w:t>
      </w:r>
      <w:r w:rsidR="00AE0695">
        <w:rPr>
          <w:noProof/>
        </w:rPr>
        <w:t>7</w:t>
      </w:r>
      <w:r w:rsidR="00AE0695">
        <w:t>:</w:t>
      </w:r>
      <w:r w:rsidR="00AE0695">
        <w:rPr>
          <w:noProof/>
        </w:rPr>
        <w:t>12</w:t>
      </w:r>
      <w:r w:rsidR="00AE0695">
        <w:fldChar w:fldCharType="end"/>
      </w:r>
      <w:r w:rsidRPr="00C875F5">
        <w:t xml:space="preserve"> in </w:t>
      </w:r>
      <w:hyperlink w:anchor="_Appendix_3:_Studies" w:history="1">
        <w:r w:rsidRPr="00AE0695">
          <w:rPr>
            <w:rStyle w:val="Hyperlink"/>
          </w:rPr>
          <w:t>Appendix 3</w:t>
        </w:r>
      </w:hyperlink>
      <w:r w:rsidRPr="00C875F5">
        <w:t xml:space="preserve"> for details of individual studies). One systematic review/meta-analysis was also found. In addition</w:t>
      </w:r>
      <w:r>
        <w:t xml:space="preserve">, </w:t>
      </w:r>
      <w:r w:rsidRPr="00C875F5">
        <w:t>two reports from international expert committees were considered by the EWG</w:t>
      </w:r>
      <w:r>
        <w:t xml:space="preserve"> </w:t>
      </w:r>
      <w:r w:rsidRPr="00C875F5">
        <w:t xml:space="preserve">(EFSA 2014; Gunnarsdottir &amp; Dahl 2012). </w:t>
      </w:r>
    </w:p>
    <w:p w:rsidR="00EA6F40" w:rsidRDefault="00EA6F40" w:rsidP="000A4E22">
      <w:pPr>
        <w:pStyle w:val="Heading2"/>
      </w:pPr>
      <w:bookmarkStart w:id="131" w:name="_Toc279228357"/>
      <w:bookmarkStart w:id="132" w:name="_Toc433621793"/>
      <w:r>
        <w:t>Review of Evidence</w:t>
      </w:r>
      <w:bookmarkEnd w:id="131"/>
      <w:bookmarkEnd w:id="132"/>
      <w:r w:rsidRPr="00C875F5">
        <w:t xml:space="preserve">  </w:t>
      </w:r>
    </w:p>
    <w:p w:rsidR="00EA6F40" w:rsidRDefault="00EA6F40" w:rsidP="00CA2AA1">
      <w:pPr>
        <w:pStyle w:val="Heading3"/>
      </w:pPr>
      <w:bookmarkStart w:id="133" w:name="_Toc279228358"/>
      <w:bookmarkStart w:id="134" w:name="_Toc433621794"/>
      <w:r>
        <w:t>Assessment of the quality of evidence</w:t>
      </w:r>
      <w:bookmarkEnd w:id="133"/>
      <w:bookmarkEnd w:id="134"/>
    </w:p>
    <w:p w:rsidR="00EA6F40" w:rsidRPr="00C875F5" w:rsidRDefault="00EA6F40" w:rsidP="0013546C">
      <w:pPr>
        <w:pStyle w:val="Thesisnormal0"/>
        <w:rPr>
          <w:lang w:val="en-GB"/>
        </w:rPr>
      </w:pPr>
      <w:r w:rsidRPr="00C875F5">
        <w:rPr>
          <w:lang w:val="en-GB"/>
        </w:rPr>
        <w:t>Evidence was assessed according to the NHMRC (NHMRC 2009). Studies were graded individually by one member of the EWG using the NHMRC (</w:t>
      </w:r>
      <w:r>
        <w:rPr>
          <w:lang w:val="en-GB"/>
        </w:rPr>
        <w:t>2009</w:t>
      </w:r>
      <w:r w:rsidRPr="00C875F5">
        <w:rPr>
          <w:lang w:val="en-GB"/>
        </w:rPr>
        <w:t>) criteria (NHMRC 2009). The quality rating of level of evidence for each study is presented in the final column of the data abstraction tables (Appendix Tables A1-A3)</w:t>
      </w:r>
      <w:r>
        <w:rPr>
          <w:lang w:val="en-GB"/>
        </w:rPr>
        <w:t>.</w:t>
      </w:r>
      <w:r w:rsidRPr="00C875F5">
        <w:rPr>
          <w:lang w:val="en-GB"/>
        </w:rPr>
        <w:t xml:space="preserve"> The overall assessment and critique of the body of evidence for each NRV evaluated in this report was </w:t>
      </w:r>
      <w:r>
        <w:rPr>
          <w:lang w:val="en-GB"/>
        </w:rPr>
        <w:t xml:space="preserve">first </w:t>
      </w:r>
      <w:r w:rsidRPr="00C875F5">
        <w:rPr>
          <w:lang w:val="en-GB"/>
        </w:rPr>
        <w:t>assessed according to the NHMRC</w:t>
      </w:r>
      <w:r>
        <w:rPr>
          <w:lang w:val="en-GB"/>
        </w:rPr>
        <w:t xml:space="preserve"> approach </w:t>
      </w:r>
      <w:r w:rsidRPr="00C875F5">
        <w:rPr>
          <w:lang w:val="en-GB"/>
        </w:rPr>
        <w:t xml:space="preserve"> (</w:t>
      </w:r>
      <w:r>
        <w:rPr>
          <w:lang w:val="en-GB"/>
        </w:rPr>
        <w:t>N</w:t>
      </w:r>
      <w:r w:rsidRPr="00C875F5">
        <w:rPr>
          <w:lang w:val="en-GB"/>
        </w:rPr>
        <w:t xml:space="preserve">HMRC 2009)  (Table </w:t>
      </w:r>
      <w:r>
        <w:rPr>
          <w:lang w:val="en-GB"/>
        </w:rPr>
        <w:t>5.6</w:t>
      </w:r>
      <w:r w:rsidRPr="00C875F5">
        <w:rPr>
          <w:lang w:val="en-GB"/>
        </w:rPr>
        <w:t>)</w:t>
      </w:r>
      <w:r>
        <w:rPr>
          <w:lang w:val="en-GB"/>
        </w:rPr>
        <w:t>;</w:t>
      </w:r>
      <w:r w:rsidRPr="00C875F5">
        <w:rPr>
          <w:lang w:val="en-GB"/>
        </w:rPr>
        <w:t xml:space="preserve"> Body of Evidence (BOE) statement table</w:t>
      </w:r>
      <w:r>
        <w:rPr>
          <w:lang w:val="en-GB"/>
        </w:rPr>
        <w:t>s summarising the studies</w:t>
      </w:r>
      <w:r w:rsidRPr="00C875F5">
        <w:rPr>
          <w:lang w:val="en-GB"/>
        </w:rPr>
        <w:t xml:space="preserve"> </w:t>
      </w:r>
      <w:r>
        <w:rPr>
          <w:lang w:val="en-GB"/>
        </w:rPr>
        <w:t>relevant to each review question can be found in the Appendices. (Tables A1.1, A2.1, A3.2-A3.5). Studies that were deemed of sufficient quality to be used to revise the NRV were evaluated using GRADE (</w:t>
      </w:r>
      <w:r w:rsidR="00AE0695">
        <w:rPr>
          <w:lang w:val="en-GB"/>
        </w:rPr>
        <w:fldChar w:fldCharType="begin"/>
      </w:r>
      <w:r w:rsidR="00AE0695">
        <w:rPr>
          <w:lang w:val="en-GB"/>
        </w:rPr>
        <w:instrText xml:space="preserve"> REF _Ref430950528 \h </w:instrText>
      </w:r>
      <w:r w:rsidR="00AE0695">
        <w:rPr>
          <w:lang w:val="en-GB"/>
        </w:rPr>
      </w:r>
      <w:r w:rsidR="00AE0695">
        <w:rPr>
          <w:lang w:val="en-GB"/>
        </w:rPr>
        <w:fldChar w:fldCharType="separate"/>
      </w:r>
      <w:r w:rsidR="00AE0695">
        <w:t xml:space="preserve">Table </w:t>
      </w:r>
      <w:r w:rsidR="00AE0695">
        <w:rPr>
          <w:noProof/>
        </w:rPr>
        <w:t>7</w:t>
      </w:r>
      <w:r w:rsidR="00AE0695">
        <w:t>:</w:t>
      </w:r>
      <w:r w:rsidR="00AE0695">
        <w:rPr>
          <w:noProof/>
        </w:rPr>
        <w:t>6</w:t>
      </w:r>
      <w:r w:rsidR="00AE0695">
        <w:rPr>
          <w:lang w:val="en-GB"/>
        </w:rPr>
        <w:fldChar w:fldCharType="end"/>
      </w:r>
      <w:r>
        <w:rPr>
          <w:lang w:val="en-GB"/>
        </w:rPr>
        <w:t>).</w:t>
      </w:r>
    </w:p>
    <w:p w:rsidR="00EA6F40" w:rsidRPr="00C875F5" w:rsidRDefault="00EA6F40" w:rsidP="0013546C">
      <w:pPr>
        <w:pStyle w:val="Thesisnormal0"/>
        <w:rPr>
          <w:lang w:val="en-GB"/>
        </w:rPr>
      </w:pPr>
      <w:r w:rsidRPr="00C875F5">
        <w:t>The components assessed in the quality rating process were:</w:t>
      </w:r>
    </w:p>
    <w:p w:rsidR="00EA6F40" w:rsidRPr="00C875F5" w:rsidRDefault="00EA6F40" w:rsidP="00EA6F40">
      <w:pPr>
        <w:pStyle w:val="Thesisnormal"/>
        <w:numPr>
          <w:ilvl w:val="0"/>
          <w:numId w:val="18"/>
        </w:numPr>
        <w:rPr>
          <w:rFonts w:asciiTheme="minorHAnsi" w:hAnsiTheme="minorHAnsi"/>
          <w:sz w:val="24"/>
        </w:rPr>
      </w:pPr>
      <w:r w:rsidRPr="00C875F5">
        <w:rPr>
          <w:rFonts w:asciiTheme="minorHAnsi" w:hAnsiTheme="minorHAnsi"/>
          <w:sz w:val="24"/>
        </w:rPr>
        <w:t xml:space="preserve">The </w:t>
      </w:r>
      <w:r w:rsidRPr="00773D8C">
        <w:rPr>
          <w:rStyle w:val="Strong"/>
        </w:rPr>
        <w:t>evidence base</w:t>
      </w:r>
      <w:r w:rsidRPr="00C875F5">
        <w:rPr>
          <w:rFonts w:asciiTheme="minorHAnsi" w:hAnsiTheme="minorHAnsi"/>
          <w:sz w:val="24"/>
        </w:rPr>
        <w:t>, in terms of the number of studies, level of evidence and quality of studies (risk of bias).</w:t>
      </w:r>
    </w:p>
    <w:p w:rsidR="00EA6F40" w:rsidRPr="00C875F5" w:rsidRDefault="00EA6F40" w:rsidP="00EA6F40">
      <w:pPr>
        <w:pStyle w:val="Thesisnormal"/>
        <w:numPr>
          <w:ilvl w:val="0"/>
          <w:numId w:val="18"/>
        </w:numPr>
        <w:rPr>
          <w:rFonts w:asciiTheme="minorHAnsi" w:hAnsiTheme="minorHAnsi"/>
          <w:sz w:val="24"/>
        </w:rPr>
      </w:pPr>
      <w:r w:rsidRPr="00C875F5">
        <w:rPr>
          <w:rFonts w:asciiTheme="minorHAnsi" w:hAnsiTheme="minorHAnsi"/>
          <w:sz w:val="24"/>
        </w:rPr>
        <w:t xml:space="preserve">The </w:t>
      </w:r>
      <w:r w:rsidRPr="00773D8C">
        <w:rPr>
          <w:rStyle w:val="Strong"/>
        </w:rPr>
        <w:t>consistency</w:t>
      </w:r>
      <w:r w:rsidRPr="00C875F5">
        <w:rPr>
          <w:rFonts w:asciiTheme="minorHAnsi" w:hAnsiTheme="minorHAnsi"/>
          <w:b/>
          <w:sz w:val="24"/>
        </w:rPr>
        <w:t xml:space="preserve"> </w:t>
      </w:r>
      <w:r w:rsidRPr="00C875F5">
        <w:rPr>
          <w:rFonts w:asciiTheme="minorHAnsi" w:hAnsiTheme="minorHAnsi"/>
          <w:sz w:val="24"/>
        </w:rPr>
        <w:t>of the study results.</w:t>
      </w:r>
    </w:p>
    <w:p w:rsidR="00EA6F40" w:rsidRPr="00C875F5" w:rsidRDefault="00EA6F40" w:rsidP="00EA6F40">
      <w:pPr>
        <w:pStyle w:val="Thesisnormal"/>
        <w:numPr>
          <w:ilvl w:val="0"/>
          <w:numId w:val="18"/>
        </w:numPr>
        <w:rPr>
          <w:rFonts w:asciiTheme="minorHAnsi" w:hAnsiTheme="minorHAnsi"/>
          <w:sz w:val="24"/>
        </w:rPr>
      </w:pPr>
      <w:r w:rsidRPr="00C875F5">
        <w:rPr>
          <w:rFonts w:asciiTheme="minorHAnsi" w:hAnsiTheme="minorHAnsi"/>
          <w:sz w:val="24"/>
        </w:rPr>
        <w:lastRenderedPageBreak/>
        <w:t xml:space="preserve">The potential </w:t>
      </w:r>
      <w:r w:rsidRPr="00773D8C">
        <w:rPr>
          <w:rStyle w:val="Strong"/>
        </w:rPr>
        <w:t>clinical impact</w:t>
      </w:r>
      <w:r w:rsidRPr="00C875F5">
        <w:rPr>
          <w:rFonts w:asciiTheme="minorHAnsi" w:hAnsiTheme="minorHAnsi"/>
          <w:sz w:val="24"/>
        </w:rPr>
        <w:t xml:space="preserve"> of the proposed recommendation.</w:t>
      </w:r>
    </w:p>
    <w:p w:rsidR="00EA6F40" w:rsidRPr="00C875F5" w:rsidRDefault="00EA6F40" w:rsidP="00EA6F40">
      <w:pPr>
        <w:pStyle w:val="Thesisnormal"/>
        <w:numPr>
          <w:ilvl w:val="0"/>
          <w:numId w:val="18"/>
        </w:numPr>
        <w:rPr>
          <w:rFonts w:asciiTheme="minorHAnsi" w:hAnsiTheme="minorHAnsi"/>
          <w:sz w:val="24"/>
        </w:rPr>
      </w:pPr>
      <w:r w:rsidRPr="00C875F5">
        <w:rPr>
          <w:rFonts w:asciiTheme="minorHAnsi" w:hAnsiTheme="minorHAnsi"/>
          <w:sz w:val="24"/>
        </w:rPr>
        <w:t xml:space="preserve">The </w:t>
      </w:r>
      <w:r w:rsidRPr="00773D8C">
        <w:rPr>
          <w:rStyle w:val="Strong"/>
        </w:rPr>
        <w:t>generalisability</w:t>
      </w:r>
      <w:r w:rsidRPr="00C875F5">
        <w:rPr>
          <w:rFonts w:asciiTheme="minorHAnsi" w:hAnsiTheme="minorHAnsi"/>
          <w:sz w:val="24"/>
        </w:rPr>
        <w:t xml:space="preserve"> of the body of evidence to the target population for the guideline.</w:t>
      </w:r>
    </w:p>
    <w:p w:rsidR="00EA6F40" w:rsidRPr="00CE3A36" w:rsidRDefault="00EA6F40" w:rsidP="00EA6F40">
      <w:pPr>
        <w:pStyle w:val="Thesisnormal"/>
        <w:numPr>
          <w:ilvl w:val="0"/>
          <w:numId w:val="18"/>
        </w:numPr>
        <w:rPr>
          <w:rFonts w:asciiTheme="minorHAnsi" w:hAnsiTheme="minorHAnsi"/>
          <w:sz w:val="24"/>
        </w:rPr>
      </w:pPr>
      <w:r w:rsidRPr="00C875F5">
        <w:rPr>
          <w:rFonts w:asciiTheme="minorHAnsi" w:hAnsiTheme="minorHAnsi"/>
          <w:sz w:val="24"/>
        </w:rPr>
        <w:t xml:space="preserve">The </w:t>
      </w:r>
      <w:r w:rsidRPr="00773D8C">
        <w:rPr>
          <w:rStyle w:val="Strong"/>
        </w:rPr>
        <w:t>applicability</w:t>
      </w:r>
      <w:r w:rsidRPr="00C875F5">
        <w:rPr>
          <w:rFonts w:asciiTheme="minorHAnsi" w:hAnsiTheme="minorHAnsi"/>
          <w:sz w:val="24"/>
        </w:rPr>
        <w:t xml:space="preserve"> of the body of evidence to the Australian</w:t>
      </w:r>
      <w:r>
        <w:rPr>
          <w:rFonts w:asciiTheme="minorHAnsi" w:hAnsiTheme="minorHAnsi"/>
          <w:sz w:val="24"/>
        </w:rPr>
        <w:t xml:space="preserve"> and New Zealand</w:t>
      </w:r>
      <w:r w:rsidRPr="00C875F5">
        <w:rPr>
          <w:rFonts w:asciiTheme="minorHAnsi" w:hAnsiTheme="minorHAnsi"/>
          <w:sz w:val="24"/>
        </w:rPr>
        <w:t xml:space="preserve"> healthcare context.</w:t>
      </w:r>
    </w:p>
    <w:p w:rsidR="00EA6F40" w:rsidRPr="00C875F5" w:rsidRDefault="00773D8C" w:rsidP="00AE0695">
      <w:pPr>
        <w:pStyle w:val="Caption"/>
        <w:rPr>
          <w:sz w:val="24"/>
        </w:rPr>
      </w:pPr>
      <w:r>
        <w:t xml:space="preserve">Table </w:t>
      </w:r>
      <w:r w:rsidR="00CA2AA1">
        <w:fldChar w:fldCharType="begin"/>
      </w:r>
      <w:r w:rsidR="00CA2AA1">
        <w:instrText xml:space="preserve"> STYLEREF 1 \s </w:instrText>
      </w:r>
      <w:r w:rsidR="00CA2AA1">
        <w:fldChar w:fldCharType="separate"/>
      </w:r>
      <w:r w:rsidR="00CA2AA1">
        <w:rPr>
          <w:noProof/>
        </w:rPr>
        <w:t>5</w:t>
      </w:r>
      <w:r w:rsidR="00CA2AA1">
        <w:fldChar w:fldCharType="end"/>
      </w:r>
      <w:r w:rsidR="00CA2AA1">
        <w:t>:</w:t>
      </w:r>
      <w:r w:rsidR="00CA2AA1">
        <w:fldChar w:fldCharType="begin"/>
      </w:r>
      <w:r w:rsidR="00CA2AA1">
        <w:instrText xml:space="preserve"> SEQ Table \* ARABIC \s 1 </w:instrText>
      </w:r>
      <w:r w:rsidR="00CA2AA1">
        <w:fldChar w:fldCharType="separate"/>
      </w:r>
      <w:r w:rsidR="00CA2AA1">
        <w:rPr>
          <w:noProof/>
        </w:rPr>
        <w:t>6</w:t>
      </w:r>
      <w:r w:rsidR="00CA2AA1">
        <w:fldChar w:fldCharType="end"/>
      </w:r>
      <w:r w:rsidR="005A4B69">
        <w:rPr>
          <w:sz w:val="24"/>
        </w:rPr>
        <w:t xml:space="preserve"> </w:t>
      </w:r>
      <w:r w:rsidR="00EA6F40" w:rsidRPr="00C875F5">
        <w:rPr>
          <w:sz w:val="24"/>
        </w:rPr>
        <w:t>Definition of NHMRC grades of recommendations</w:t>
      </w:r>
    </w:p>
    <w:tbl>
      <w:tblPr>
        <w:tblStyle w:val="LightGrid"/>
        <w:tblW w:w="0" w:type="auto"/>
        <w:tblLook w:val="04A0" w:firstRow="1" w:lastRow="0" w:firstColumn="1" w:lastColumn="0" w:noHBand="0" w:noVBand="1"/>
        <w:tblDescription w:val="Table 5.6 show the National Health and Medical Research Council (NHMRC) grades of recommendations.  This table contains 2 column headings; column 1. Grade of Recommendations and column 2. Descriptions against each grade."/>
      </w:tblPr>
      <w:tblGrid>
        <w:gridCol w:w="2235"/>
        <w:gridCol w:w="6281"/>
      </w:tblGrid>
      <w:tr w:rsidR="00EA6F40" w:rsidRPr="005A4B69" w:rsidTr="00D616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35" w:type="dxa"/>
            <w:vAlign w:val="center"/>
          </w:tcPr>
          <w:p w:rsidR="00EA6F40" w:rsidRPr="005A4B69" w:rsidRDefault="00EA6F40" w:rsidP="005A4B69">
            <w:pPr>
              <w:rPr>
                <w:rStyle w:val="Strong"/>
                <w:b/>
              </w:rPr>
            </w:pPr>
            <w:r w:rsidRPr="005A4B69">
              <w:rPr>
                <w:rStyle w:val="Strong"/>
                <w:b/>
              </w:rPr>
              <w:t>Grade of recommendation</w:t>
            </w:r>
          </w:p>
        </w:tc>
        <w:tc>
          <w:tcPr>
            <w:tcW w:w="6281" w:type="dxa"/>
            <w:vAlign w:val="center"/>
          </w:tcPr>
          <w:p w:rsidR="00EA6F40" w:rsidRPr="005A4B69" w:rsidRDefault="00EA6F40" w:rsidP="005A4B69">
            <w:pPr>
              <w:cnfStyle w:val="100000000000" w:firstRow="1" w:lastRow="0" w:firstColumn="0" w:lastColumn="0" w:oddVBand="0" w:evenVBand="0" w:oddHBand="0" w:evenHBand="0" w:firstRowFirstColumn="0" w:firstRowLastColumn="0" w:lastRowFirstColumn="0" w:lastRowLastColumn="0"/>
              <w:rPr>
                <w:rStyle w:val="Strong"/>
                <w:b/>
              </w:rPr>
            </w:pPr>
            <w:r w:rsidRPr="005A4B69">
              <w:rPr>
                <w:rStyle w:val="Strong"/>
                <w:b/>
              </w:rPr>
              <w:t>Description</w:t>
            </w:r>
          </w:p>
        </w:tc>
      </w:tr>
      <w:tr w:rsidR="00EA6F40" w:rsidRPr="00C875F5" w:rsidTr="00EA6F40">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vAlign w:val="center"/>
          </w:tcPr>
          <w:p w:rsidR="00EA6F40" w:rsidRPr="00C875F5" w:rsidRDefault="00EA6F40" w:rsidP="00EA6F40">
            <w:pPr>
              <w:jc w:val="center"/>
              <w:rPr>
                <w:sz w:val="28"/>
                <w:szCs w:val="28"/>
              </w:rPr>
            </w:pPr>
            <w:r w:rsidRPr="00C875F5">
              <w:rPr>
                <w:sz w:val="28"/>
                <w:szCs w:val="28"/>
              </w:rPr>
              <w:t>A</w:t>
            </w:r>
          </w:p>
        </w:tc>
        <w:tc>
          <w:tcPr>
            <w:tcW w:w="6281" w:type="dxa"/>
            <w:shd w:val="clear" w:color="auto" w:fill="auto"/>
            <w:vAlign w:val="center"/>
          </w:tcPr>
          <w:p w:rsidR="00EA6F40" w:rsidRPr="00C875F5" w:rsidRDefault="00EA6F40" w:rsidP="00EA6F40">
            <w:pPr>
              <w:cnfStyle w:val="000000100000" w:firstRow="0" w:lastRow="0" w:firstColumn="0" w:lastColumn="0" w:oddVBand="0" w:evenVBand="0" w:oddHBand="1" w:evenHBand="0" w:firstRowFirstColumn="0" w:firstRowLastColumn="0" w:lastRowFirstColumn="0" w:lastRowLastColumn="0"/>
            </w:pPr>
            <w:r w:rsidRPr="00C875F5">
              <w:t>Body of evidence can be trusted to guide evidence</w:t>
            </w:r>
          </w:p>
        </w:tc>
      </w:tr>
      <w:tr w:rsidR="00EA6F40" w:rsidRPr="00C875F5" w:rsidTr="00EA6F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vAlign w:val="center"/>
          </w:tcPr>
          <w:p w:rsidR="00EA6F40" w:rsidRPr="00C875F5" w:rsidRDefault="00EA6F40" w:rsidP="00EA6F40">
            <w:pPr>
              <w:jc w:val="center"/>
              <w:rPr>
                <w:sz w:val="28"/>
                <w:szCs w:val="28"/>
              </w:rPr>
            </w:pPr>
            <w:r w:rsidRPr="00C875F5">
              <w:rPr>
                <w:sz w:val="28"/>
                <w:szCs w:val="28"/>
              </w:rPr>
              <w:t>B</w:t>
            </w:r>
          </w:p>
        </w:tc>
        <w:tc>
          <w:tcPr>
            <w:tcW w:w="6281" w:type="dxa"/>
            <w:shd w:val="clear" w:color="auto" w:fill="auto"/>
            <w:vAlign w:val="center"/>
          </w:tcPr>
          <w:p w:rsidR="00EA6F40" w:rsidRPr="00C875F5" w:rsidRDefault="00EA6F40" w:rsidP="00EA6F40">
            <w:pPr>
              <w:cnfStyle w:val="000000010000" w:firstRow="0" w:lastRow="0" w:firstColumn="0" w:lastColumn="0" w:oddVBand="0" w:evenVBand="0" w:oddHBand="0" w:evenHBand="1" w:firstRowFirstColumn="0" w:firstRowLastColumn="0" w:lastRowFirstColumn="0" w:lastRowLastColumn="0"/>
            </w:pPr>
            <w:r w:rsidRPr="00C875F5">
              <w:t>Body of evidence can be trusted to guide evidence in most situations</w:t>
            </w:r>
          </w:p>
        </w:tc>
      </w:tr>
      <w:tr w:rsidR="00EA6F40" w:rsidRPr="00C875F5" w:rsidTr="00EA6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vAlign w:val="center"/>
          </w:tcPr>
          <w:p w:rsidR="00EA6F40" w:rsidRPr="00C875F5" w:rsidRDefault="00EA6F40" w:rsidP="00EA6F40">
            <w:pPr>
              <w:jc w:val="center"/>
              <w:rPr>
                <w:sz w:val="28"/>
                <w:szCs w:val="28"/>
              </w:rPr>
            </w:pPr>
            <w:r w:rsidRPr="00C875F5">
              <w:rPr>
                <w:sz w:val="28"/>
                <w:szCs w:val="28"/>
              </w:rPr>
              <w:t>C</w:t>
            </w:r>
          </w:p>
        </w:tc>
        <w:tc>
          <w:tcPr>
            <w:tcW w:w="6281" w:type="dxa"/>
            <w:shd w:val="clear" w:color="auto" w:fill="auto"/>
            <w:vAlign w:val="center"/>
          </w:tcPr>
          <w:p w:rsidR="00EA6F40" w:rsidRPr="00C875F5" w:rsidRDefault="00EA6F40" w:rsidP="00EA6F40">
            <w:pPr>
              <w:cnfStyle w:val="000000100000" w:firstRow="0" w:lastRow="0" w:firstColumn="0" w:lastColumn="0" w:oddVBand="0" w:evenVBand="0" w:oddHBand="1" w:evenHBand="0" w:firstRowFirstColumn="0" w:firstRowLastColumn="0" w:lastRowFirstColumn="0" w:lastRowLastColumn="0"/>
            </w:pPr>
            <w:r w:rsidRPr="00C875F5">
              <w:t xml:space="preserve">Body of evidence provides some support for recommendation(s) but care should be taken in its application </w:t>
            </w:r>
          </w:p>
        </w:tc>
      </w:tr>
      <w:tr w:rsidR="00EA6F40" w:rsidRPr="00C875F5" w:rsidTr="00EA6F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center"/>
          </w:tcPr>
          <w:p w:rsidR="00EA6F40" w:rsidRPr="00C875F5" w:rsidRDefault="00EA6F40" w:rsidP="00EA6F40">
            <w:pPr>
              <w:jc w:val="center"/>
              <w:rPr>
                <w:sz w:val="28"/>
                <w:szCs w:val="28"/>
              </w:rPr>
            </w:pPr>
            <w:r w:rsidRPr="00C875F5">
              <w:rPr>
                <w:sz w:val="28"/>
                <w:szCs w:val="28"/>
              </w:rPr>
              <w:t>D</w:t>
            </w:r>
          </w:p>
        </w:tc>
        <w:tc>
          <w:tcPr>
            <w:tcW w:w="6281" w:type="dxa"/>
            <w:vAlign w:val="center"/>
          </w:tcPr>
          <w:p w:rsidR="00EA6F40" w:rsidRPr="00C875F5" w:rsidRDefault="00EA6F40" w:rsidP="00EA6F40">
            <w:pPr>
              <w:cnfStyle w:val="000000010000" w:firstRow="0" w:lastRow="0" w:firstColumn="0" w:lastColumn="0" w:oddVBand="0" w:evenVBand="0" w:oddHBand="0" w:evenHBand="1" w:firstRowFirstColumn="0" w:firstRowLastColumn="0" w:lastRowFirstColumn="0" w:lastRowLastColumn="0"/>
            </w:pPr>
            <w:r w:rsidRPr="00C875F5">
              <w:t>Body of evidence is weak and recommendation must be applied with caution</w:t>
            </w:r>
          </w:p>
        </w:tc>
      </w:tr>
    </w:tbl>
    <w:p w:rsidR="00EA6F40" w:rsidRPr="00C875F5" w:rsidRDefault="00EA6F40" w:rsidP="00CA2AA1">
      <w:pPr>
        <w:pStyle w:val="Heading3"/>
      </w:pPr>
      <w:bookmarkStart w:id="135" w:name="_Toc279228359"/>
      <w:bookmarkStart w:id="136" w:name="_Toc433621795"/>
      <w:r w:rsidRPr="00C875F5">
        <w:t>Evidence considered in estimating the EAR and RDI for Adults</w:t>
      </w:r>
      <w:bookmarkEnd w:id="135"/>
      <w:bookmarkEnd w:id="136"/>
      <w:r w:rsidRPr="00C875F5">
        <w:t xml:space="preserve"> </w:t>
      </w:r>
    </w:p>
    <w:p w:rsidR="00EA6F40" w:rsidRPr="00C875F5" w:rsidRDefault="00EA6F40" w:rsidP="008D087E">
      <w:pPr>
        <w:pStyle w:val="Heading4"/>
      </w:pPr>
      <w:bookmarkStart w:id="137" w:name="_5.3.2.1_Previous_recommended"/>
      <w:bookmarkEnd w:id="137"/>
      <w:r w:rsidRPr="00C875F5">
        <w:t>Previous recommended intake levels for Australia and New Zealand.</w:t>
      </w:r>
    </w:p>
    <w:p w:rsidR="00EA6F40" w:rsidRPr="00C875F5" w:rsidRDefault="00EA6F40" w:rsidP="0013546C">
      <w:pPr>
        <w:pStyle w:val="Thesisnormal0"/>
      </w:pPr>
      <w:r w:rsidRPr="00C875F5">
        <w:t xml:space="preserve">In the 2003 report (Thomson 2003) later adopted into the Nutrient Reference Values for Australia and New Zealand (NHMRC 2006), Thomson derived an EAR for adults based on iodine balance studies (Vought &amp; London 1964, Vought &amp; London 1967, Hays et al 2001, Jahreis et al 2001) in accordance with the FMB:IOM (Food and Nutrition Board 2001). The balance studies indicated that iodine balance is achieved at intakes over 100 µg/day but not below 40 µg/day. In addition, Thomson considered a relevant New Zealand study in adults relating urinary iodide to thyroid volume that indicated physiological requirements of 85–100 µg/day (Thomson et al 2001). Therefore, these studies pointed to a value of 100 µg/day, which was adopted as the proposed EAR. The RDI was set assuming a CV of 20% for the EAR (Food and Nutrition Board 2001), and rounded up to reﬂect the possible inﬂuence of natural goitrogens, which gave an RDI of 150 µg/day. Although there is no scientific evidence to show that goitrogens in foods exert an effect on iodine requirements in a Western diet, goitrogens are found in foods commonly eaten in Australasia (i.e. cruciferous vegetables), thus an assumption of a small effect is not unreasonable. </w:t>
      </w:r>
    </w:p>
    <w:p w:rsidR="00EA6F40" w:rsidRPr="00773D8C" w:rsidRDefault="00EA6F40" w:rsidP="008D087E">
      <w:pPr>
        <w:pStyle w:val="Heading4"/>
      </w:pPr>
      <w:bookmarkStart w:id="138" w:name="_Additional_evidence_published"/>
      <w:bookmarkEnd w:id="138"/>
      <w:r w:rsidRPr="00773D8C">
        <w:t xml:space="preserve">Additional evidence published since 2002 and considered in this report </w:t>
      </w:r>
    </w:p>
    <w:p w:rsidR="00EA6F40" w:rsidRPr="002074F6" w:rsidRDefault="00EA6F40" w:rsidP="008D087E">
      <w:r w:rsidRPr="002074F6">
        <w:t>Original studies</w:t>
      </w:r>
      <w:r>
        <w:t>:</w:t>
      </w:r>
      <w:r w:rsidRPr="002074F6">
        <w:t xml:space="preserve"> </w:t>
      </w:r>
    </w:p>
    <w:p w:rsidR="00EA6F40" w:rsidRPr="00C875F5" w:rsidRDefault="00EA6F40" w:rsidP="0013546C">
      <w:pPr>
        <w:pStyle w:val="Thesisnormal0"/>
      </w:pPr>
      <w:r w:rsidRPr="00C875F5">
        <w:lastRenderedPageBreak/>
        <w:t>A total of 1</w:t>
      </w:r>
      <w:r>
        <w:t>8</w:t>
      </w:r>
      <w:r w:rsidRPr="00C875F5">
        <w:t xml:space="preserve"> studies published be</w:t>
      </w:r>
      <w:r>
        <w:t>tween 2002-2014</w:t>
      </w:r>
      <w:r w:rsidRPr="00C875F5">
        <w:t xml:space="preserve"> were identified, of which </w:t>
      </w:r>
      <w:r>
        <w:t>two</w:t>
      </w:r>
      <w:r w:rsidRPr="00C875F5">
        <w:t xml:space="preserve"> were level II, </w:t>
      </w:r>
      <w:r>
        <w:t xml:space="preserve">two were level III-2, </w:t>
      </w:r>
      <w:r w:rsidRPr="00C875F5">
        <w:t xml:space="preserve">one level III-3 and </w:t>
      </w:r>
      <w:r>
        <w:t xml:space="preserve">13 </w:t>
      </w:r>
      <w:r w:rsidRPr="00C875F5">
        <w:t>level IV. The EWG agreed that these studies did not provide evidence to change the current EAR (100 µg/day) and RDI (150 µg/day) (</w:t>
      </w:r>
      <w:r w:rsidR="00AE0695">
        <w:fldChar w:fldCharType="begin"/>
      </w:r>
      <w:r w:rsidR="00AE0695">
        <w:instrText xml:space="preserve"> REF _Ref430950373 \h </w:instrText>
      </w:r>
      <w:r w:rsidR="00AE0695">
        <w:fldChar w:fldCharType="separate"/>
      </w:r>
      <w:r w:rsidR="00AE0695">
        <w:t xml:space="preserve">Table </w:t>
      </w:r>
      <w:r w:rsidR="00AE0695">
        <w:rPr>
          <w:noProof/>
        </w:rPr>
        <w:t>7</w:t>
      </w:r>
      <w:r w:rsidR="00AE0695">
        <w:t>:</w:t>
      </w:r>
      <w:r w:rsidR="00AE0695">
        <w:rPr>
          <w:noProof/>
        </w:rPr>
        <w:t>1</w:t>
      </w:r>
      <w:r w:rsidR="00AE0695">
        <w:fldChar w:fldCharType="end"/>
      </w:r>
      <w:r w:rsidRPr="00C875F5">
        <w:t xml:space="preserve"> in </w:t>
      </w:r>
      <w:hyperlink w:anchor="_Appendix_1:_Studies" w:history="1">
        <w:r w:rsidRPr="00AE0695">
          <w:rPr>
            <w:rStyle w:val="Hyperlink"/>
          </w:rPr>
          <w:t>Appendix 1</w:t>
        </w:r>
      </w:hyperlink>
      <w:r w:rsidRPr="00C875F5">
        <w:t>).</w:t>
      </w:r>
    </w:p>
    <w:p w:rsidR="00EA6F40" w:rsidRPr="002074F6" w:rsidRDefault="00EA6F40" w:rsidP="008D087E">
      <w:r w:rsidRPr="002074F6">
        <w:t>International Reviews and other expert groups</w:t>
      </w:r>
      <w:r>
        <w:t>:</w:t>
      </w:r>
      <w:r w:rsidRPr="002074F6">
        <w:t xml:space="preserve"> </w:t>
      </w:r>
    </w:p>
    <w:p w:rsidR="00EA6F40" w:rsidRPr="00C875F5" w:rsidRDefault="00EA6F40" w:rsidP="0013546C">
      <w:pPr>
        <w:pStyle w:val="Thesisnormal0"/>
        <w:rPr>
          <w:b/>
        </w:rPr>
      </w:pPr>
      <w:r w:rsidRPr="00C875F5">
        <w:t>The EWG notes that the recent systematic review by Gunnarsdottir and Dahl (Gunnarsdottir &amp; Dahl 2012) and the Scientific Opinion on Dietary Reference Values for iodine produced</w:t>
      </w:r>
      <w:r w:rsidRPr="00C875F5">
        <w:rPr>
          <w:sz w:val="23"/>
          <w:szCs w:val="23"/>
        </w:rPr>
        <w:t xml:space="preserve"> by </w:t>
      </w:r>
      <w:r w:rsidRPr="00C875F5">
        <w:t>the European Food Safety Authority (EFSA</w:t>
      </w:r>
      <w:r>
        <w:t xml:space="preserve"> 2014 </w:t>
      </w:r>
      <w:r w:rsidRPr="00C875F5">
        <w:t>) supports the EWG’s conclusion that there is no new evidence to inform the EAR and RDI.</w:t>
      </w:r>
    </w:p>
    <w:p w:rsidR="00EA6F40" w:rsidRPr="00C875F5" w:rsidRDefault="00EA6F40" w:rsidP="0013546C">
      <w:pPr>
        <w:pStyle w:val="Thesisnormal0"/>
      </w:pPr>
      <w:r w:rsidRPr="00C875F5">
        <w:t>The RDI is determined from the EAR plus two SDs, or for iodine, two times the CV of 20% (i.e. RDI = EAR + (2x20%EAR)) (Food and Nutrition Board 2001).  The CV for iodine was calculated to be 20% in accordance with the 2003 report (Thomson 2003), which was guided by the US/Canadian DRIs (Food and Nutrition Board 2001).  This CV was based on data from Fisher and Oddie (Fisher &amp; Oddie 1969) who calculated from their data on thyroid radio-iodine turnover studies a CV of 40% (Fisher &amp; Oddie 1969), part of which was due to the complexity of the experimental design and calculations used to estimate turnover. Assuming that half of the variation was due to experimental design, a CV of 20% was chosen by Food and Nutrition Board (2001).</w:t>
      </w:r>
    </w:p>
    <w:p w:rsidR="00EA6F40" w:rsidRDefault="00EA6F40" w:rsidP="0013546C">
      <w:pPr>
        <w:pStyle w:val="Thesisnormal0"/>
      </w:pPr>
      <w:r w:rsidRPr="00C875F5">
        <w:t>The RDI has been rounded to the nearest 50 μg to reflect possible influence of natural goitrogens, giving 150 μg/day for males and females. From the data available, there is no indication that iodine requirement differs by sex.</w:t>
      </w:r>
      <w:bookmarkStart w:id="139" w:name="_Toc279228360"/>
      <w:r w:rsidRPr="005415FE">
        <w:t xml:space="preserve"> </w:t>
      </w:r>
    </w:p>
    <w:p w:rsidR="00EA6F40" w:rsidRPr="00CE3A36" w:rsidRDefault="00EA6F40" w:rsidP="00CA2AA1">
      <w:pPr>
        <w:pStyle w:val="Heading3"/>
      </w:pPr>
      <w:bookmarkStart w:id="140" w:name="_Toc433621796"/>
      <w:r w:rsidRPr="00CE3A36">
        <w:t>Evidence considered in estimating the EAR and RDI for pregnant women</w:t>
      </w:r>
      <w:bookmarkEnd w:id="139"/>
      <w:bookmarkEnd w:id="140"/>
      <w:r w:rsidRPr="00CE3A36">
        <w:t xml:space="preserve"> </w:t>
      </w:r>
    </w:p>
    <w:p w:rsidR="00EA6F40" w:rsidRPr="00C875F5" w:rsidRDefault="00EA6F40" w:rsidP="008D087E">
      <w:pPr>
        <w:pStyle w:val="Heading4"/>
      </w:pPr>
      <w:r w:rsidRPr="00C875F5">
        <w:t xml:space="preserve">Previous recommended intake levels for NZ and Australia </w:t>
      </w:r>
    </w:p>
    <w:p w:rsidR="00EA6F40" w:rsidRPr="00C875F5" w:rsidRDefault="00EA6F40" w:rsidP="0013546C">
      <w:pPr>
        <w:pStyle w:val="Thesisnormal0"/>
        <w:rPr>
          <w:rFonts w:cs="Times"/>
        </w:rPr>
      </w:pPr>
      <w:r w:rsidRPr="00C875F5">
        <w:t xml:space="preserve">The recommendation in 2006 considered several indicators for deriving the iodine requirement </w:t>
      </w:r>
      <w:r>
        <w:t xml:space="preserve">for pregnancy </w:t>
      </w:r>
      <w:r w:rsidRPr="00C875F5">
        <w:t>(Thomson 2003, NHMRC 2006). These included: 1) the additional requirements of iodine needed during pregnancy due to the hormonal changes and metabolic demands of pregnancy (Glinoer 2001); 2) the impaired cognitive outcomes in infants from mothers with impaired thyroid function (Glinoer &amp; Delange 2000, Morreale de Escobar et al 2000, Henrichs et al 2013, Pop et al 1999); 3) the thyroid iodine content of the newborn (Delange 1993); 4) iodine balance studies (Delange et al 1984); and 5) iodine supplementation during pregnancy (Dworkin et al 1966, Glinoer 1998, Pedersen et al 1993). Taken together, this body of evidence led</w:t>
      </w:r>
      <w:r w:rsidRPr="00C875F5">
        <w:rPr>
          <w:rFonts w:cs="Times"/>
        </w:rPr>
        <w:t xml:space="preserve"> to the establishment of an EAR of </w:t>
      </w:r>
      <w:r w:rsidRPr="00C875F5">
        <w:rPr>
          <w:rFonts w:cs="Lucida Grande"/>
          <w:bCs/>
        </w:rPr>
        <w:t>160 μg /day and - with the addition of twice the CV - an RDI of 220 μg /day (</w:t>
      </w:r>
      <w:r w:rsidRPr="00C875F5">
        <w:rPr>
          <w:rFonts w:cs="Times"/>
        </w:rPr>
        <w:t xml:space="preserve">NHMRC 2006). </w:t>
      </w:r>
    </w:p>
    <w:p w:rsidR="00EA6F40" w:rsidRPr="00C875F5" w:rsidRDefault="00EA6F40" w:rsidP="008D087E">
      <w:pPr>
        <w:pStyle w:val="Heading4"/>
      </w:pPr>
      <w:r w:rsidRPr="00C875F5">
        <w:t xml:space="preserve">Factorial approach </w:t>
      </w:r>
    </w:p>
    <w:p w:rsidR="00EA6F40" w:rsidRPr="00C875F5" w:rsidRDefault="00EA6F40" w:rsidP="0013546C">
      <w:pPr>
        <w:pStyle w:val="Thesisnormal0"/>
      </w:pPr>
      <w:r w:rsidRPr="00C875F5">
        <w:t xml:space="preserve">The factorial approach considers the main factors driving iodine requirements. The highest demand for iodine comes from the thyroid, for which it uses iodine to produce hormones maintaining the euthyroid state and to ensure an adequate level of iodine is stored in the thyroid. Added to this are basal losses from urine, faeces </w:t>
      </w:r>
      <w:r w:rsidRPr="00C875F5">
        <w:lastRenderedPageBreak/>
        <w:t xml:space="preserve">and sweat. In pregnancy there are additional demands for iodine, </w:t>
      </w:r>
      <w:r>
        <w:t xml:space="preserve">which </w:t>
      </w:r>
      <w:r w:rsidRPr="00C875F5">
        <w:t>include:  1) the total amount of iodine deposited in the placenta (18–100 μg); 2) amniotic fluid (15 μg); 3) fetal thyroid (100–300 μg); and 4) fetal blood (10 μg) (EFSA 2014). However, these contributions to the fetus are small compared with the daily maternal requirements and the fetal thyroid does not produce significant quantities of thyroid hormone until the third trimester. The EWG agreed that a revision of evidence used to inform values for the factorial approach was warranted. In particular, an examination of the evidence for increased iodine requirements due to losses in urine because of changes in the glomerular filtration rate (GFR) in pregnancy (Krutzen et al 1992)</w:t>
      </w:r>
      <w:r>
        <w:t xml:space="preserve"> is needed</w:t>
      </w:r>
      <w:r w:rsidRPr="00C875F5">
        <w:t>.</w:t>
      </w:r>
      <w:r>
        <w:t xml:space="preserve"> </w:t>
      </w:r>
      <w:r w:rsidRPr="00C875F5">
        <w:t xml:space="preserve"> It is possible that increased iodine clearance does occur in some but not all pregnant women and this should be accommodated in recommendations for iodine intake in pregnant women. An additional 10 μg/day has been included to account for increased GFR in pregnancy.</w:t>
      </w:r>
    </w:p>
    <w:p w:rsidR="00EA6F40" w:rsidRPr="00C875F5" w:rsidRDefault="00EA6F40" w:rsidP="0013546C">
      <w:pPr>
        <w:pStyle w:val="Thesisnormal0"/>
      </w:pPr>
      <w:r w:rsidRPr="00C875F5">
        <w:t>The main additional requirement during pregnancy results from the increased (~50%) synthesis of thyroid hormones by the mother, corresponding to a need for additional iodine capture by the thyroid of 25 μg/day. The equation of Fisher and Oddie (Fisher &amp; Oddie 1969) derived in non-pregnant</w:t>
      </w:r>
      <w:r>
        <w:t xml:space="preserve"> euthyroid </w:t>
      </w:r>
      <w:r w:rsidRPr="00C875F5">
        <w:t xml:space="preserve">adults has been used in pregnant women to suggest that an extra 25 μg/day can be accumulated in the thyroid by an additional iodine intake of 44 μg/day (EFSA </w:t>
      </w:r>
      <w:r>
        <w:t>2014</w:t>
      </w:r>
      <w:r w:rsidRPr="00C875F5">
        <w:t>). The iodine needed for synthesis of thyroid hormones in the fetus is estimated to be around 2–4 μg/day (Evans et al 1967).</w:t>
      </w:r>
      <w:r>
        <w:t xml:space="preserve"> </w:t>
      </w:r>
      <w:r w:rsidRPr="00C875F5">
        <w:t xml:space="preserve"> With the additional 10 µg/day for GFR this leads to a total additional iodine intake in pregnancy rounded to 60 μg/day. </w:t>
      </w:r>
    </w:p>
    <w:p w:rsidR="00EA6F40" w:rsidRPr="00027C16" w:rsidRDefault="00EA6F40" w:rsidP="008D087E">
      <w:pPr>
        <w:pStyle w:val="Heading4"/>
      </w:pPr>
      <w:r w:rsidRPr="00027C16">
        <w:t xml:space="preserve">Effect on maternal thyroid function </w:t>
      </w:r>
    </w:p>
    <w:p w:rsidR="00EA6F40" w:rsidRPr="005A4B69" w:rsidRDefault="00EA6F40" w:rsidP="005A4B69">
      <w:pPr>
        <w:widowControl w:val="0"/>
        <w:autoSpaceDE w:val="0"/>
        <w:autoSpaceDN w:val="0"/>
        <w:adjustRightInd w:val="0"/>
        <w:spacing w:after="0"/>
        <w:rPr>
          <w:sz w:val="24"/>
        </w:rPr>
      </w:pPr>
      <w:r w:rsidRPr="005A4B69">
        <w:rPr>
          <w:sz w:val="24"/>
        </w:rPr>
        <w:t>One Level I study with low risk of bias (this included eight supplementation randomised controlled trials (RCT) with two trials conducted in women living in an area of severe iodine deficiency and six trials in women living in areas of moderate to mild iodine deficiency), 10 Level III-2 (cohort) studies, and 19 Level IV studies suggests that despite low UIC observed in some populations thyroid hormone production remains normal in pregnancy. The use of pregnancy-appropriate reference values (i.e. TSH of &gt;2.5 mIU/L in first trimester and &gt; 3.0 mIU/L in trimesters 2 and 3) was not always considered. No obvious dose-response relation was seen. The effect of iodine supplementation on changes in thyroid hormone concentrations in mothers and infants was not consistent (Zhou et al 2013). WHO/UNICEF/ICCIDD do not recommend the use of TSH or thyroid hormones (</w:t>
      </w:r>
      <w:r w:rsidRPr="00C875F5">
        <w:rPr>
          <w:sz w:val="24"/>
        </w:rPr>
        <w:t>T</w:t>
      </w:r>
      <w:r w:rsidRPr="005A4B69">
        <w:rPr>
          <w:sz w:val="24"/>
        </w:rPr>
        <w:t xml:space="preserve">3 </w:t>
      </w:r>
      <w:r w:rsidRPr="00C875F5">
        <w:rPr>
          <w:sz w:val="24"/>
        </w:rPr>
        <w:t>and T</w:t>
      </w:r>
      <w:r w:rsidRPr="005A4B69">
        <w:rPr>
          <w:sz w:val="24"/>
        </w:rPr>
        <w:t xml:space="preserve">4) to routinely assess iodine status, particularly in populations of moderate to mild iodine deficiency, because these are not sensitive indicators of iodine status (WHO/UNICEF/ICCIDD 2007). Neonatal TSH from a heelprick blood sample could be used as an index of </w:t>
      </w:r>
      <w:r w:rsidR="00FA65FD">
        <w:rPr>
          <w:sz w:val="24"/>
        </w:rPr>
        <w:t xml:space="preserve">maternal iodine status but was </w:t>
      </w:r>
      <w:r w:rsidRPr="005A4B69">
        <w:rPr>
          <w:sz w:val="24"/>
        </w:rPr>
        <w:t>not considered in this report.</w:t>
      </w:r>
    </w:p>
    <w:p w:rsidR="00EA6F40" w:rsidRPr="00CE3A36" w:rsidRDefault="00EA6F40" w:rsidP="008D087E">
      <w:pPr>
        <w:pStyle w:val="Heading4"/>
      </w:pPr>
      <w:r w:rsidRPr="00CE3A36">
        <w:t>Effect on infant neurodevelopmental in their children</w:t>
      </w:r>
    </w:p>
    <w:p w:rsidR="00EA6F40" w:rsidRPr="00C875F5" w:rsidRDefault="00EA6F40" w:rsidP="0013546C">
      <w:pPr>
        <w:pStyle w:val="Thesisnormal0"/>
      </w:pPr>
      <w:r w:rsidRPr="00C875F5">
        <w:t xml:space="preserve">One meta-analysis of studies published between </w:t>
      </w:r>
      <w:r w:rsidRPr="00C875F5">
        <w:rPr>
          <w:rFonts w:eastAsia="Times New Roman"/>
          <w:lang w:val="en-GB"/>
        </w:rPr>
        <w:t xml:space="preserve">1980-2011 </w:t>
      </w:r>
      <w:r w:rsidRPr="00C875F5">
        <w:t xml:space="preserve">in children aged 5 years or younger found that </w:t>
      </w:r>
      <w:r w:rsidRPr="00C875F5">
        <w:rPr>
          <w:rFonts w:eastAsia="Times New Roman"/>
          <w:lang w:val="en-GB"/>
        </w:rPr>
        <w:t xml:space="preserve">iodine deficient children had 6.9-10.2 IQ points less than iodine replete children (Bougma et al 2013). However, of the </w:t>
      </w:r>
      <w:r w:rsidRPr="00C875F5">
        <w:t xml:space="preserve">24 </w:t>
      </w:r>
      <w:r>
        <w:t xml:space="preserve">studies </w:t>
      </w:r>
      <w:r w:rsidRPr="00C875F5">
        <w:t xml:space="preserve">included </w:t>
      </w:r>
      <w:r>
        <w:t>in this meta-analysis</w:t>
      </w:r>
      <w:r w:rsidRPr="00C875F5">
        <w:t xml:space="preserve">, only two were Level II </w:t>
      </w:r>
      <w:r w:rsidRPr="00C875F5">
        <w:rPr>
          <w:rFonts w:eastAsia="Times New Roman"/>
          <w:lang w:val="en-GB"/>
        </w:rPr>
        <w:t xml:space="preserve">(RCT), eight Level III-1, and 13 </w:t>
      </w:r>
      <w:r>
        <w:rPr>
          <w:rFonts w:eastAsia="Times New Roman"/>
          <w:lang w:val="en-GB"/>
        </w:rPr>
        <w:t xml:space="preserve">Level III-2 </w:t>
      </w:r>
      <w:r>
        <w:rPr>
          <w:rFonts w:eastAsia="Times New Roman"/>
          <w:lang w:val="en-GB"/>
        </w:rPr>
        <w:lastRenderedPageBreak/>
        <w:t>studies. T</w:t>
      </w:r>
      <w:r w:rsidRPr="00C875F5">
        <w:rPr>
          <w:rFonts w:eastAsia="Times New Roman"/>
          <w:lang w:val="en-GB"/>
        </w:rPr>
        <w:t xml:space="preserve">wo </w:t>
      </w:r>
      <w:r>
        <w:rPr>
          <w:rFonts w:eastAsia="Times New Roman"/>
          <w:lang w:val="en-GB"/>
        </w:rPr>
        <w:t xml:space="preserve">more recent </w:t>
      </w:r>
      <w:r w:rsidRPr="00C875F5">
        <w:rPr>
          <w:rFonts w:eastAsia="Times New Roman"/>
          <w:lang w:val="en-GB"/>
        </w:rPr>
        <w:t xml:space="preserve">Level II studies found no differences in child neurological development associated with iodine supplementation. </w:t>
      </w:r>
    </w:p>
    <w:p w:rsidR="00EA6F40" w:rsidRPr="00C875F5" w:rsidRDefault="00EA6F40" w:rsidP="0013546C">
      <w:pPr>
        <w:pStyle w:val="Thesisnormal0"/>
      </w:pPr>
      <w:r>
        <w:t>Seven</w:t>
      </w:r>
      <w:r w:rsidRPr="00C875F5">
        <w:t xml:space="preserve"> Level III-2 birth cohort studies were largely non-comparable due to the differing iodine status of the samples of pregnant women, both within and between countries.  In many cases, supplementation strategies were introduced in the geographical areas under study, but not at the same time during the study follow-up period, thus making measurement of exposure to supplementation unclear. </w:t>
      </w:r>
      <w:r w:rsidRPr="00C875F5">
        <w:rPr>
          <w:lang w:val="en-AU"/>
        </w:rPr>
        <w:t xml:space="preserve">The lack of consistency across studies regarding the use of instruments to measure infant development and cognitive functioning in young children poses additional difficulties in assessing the body of evidence. The most commonly used instruments in young children are </w:t>
      </w:r>
      <w:r w:rsidRPr="00C875F5">
        <w:rPr>
          <w:rFonts w:eastAsia="Times New Roman"/>
          <w:color w:val="000000"/>
          <w:lang w:val="en-GB"/>
        </w:rPr>
        <w:t xml:space="preserve">Bayley Scales of Infant Development and whereas in school-aged children (8–9 years), Intelligence Quotient </w:t>
      </w:r>
      <w:r>
        <w:rPr>
          <w:rFonts w:eastAsia="Times New Roman"/>
          <w:color w:val="000000"/>
          <w:lang w:val="en-GB"/>
        </w:rPr>
        <w:t xml:space="preserve">(IQ) </w:t>
      </w:r>
      <w:r w:rsidRPr="00C875F5">
        <w:rPr>
          <w:rFonts w:eastAsia="Times New Roman"/>
          <w:color w:val="000000"/>
          <w:lang w:val="en-GB"/>
        </w:rPr>
        <w:t xml:space="preserve">is measured, as well as literacy and numeracy skills. </w:t>
      </w:r>
      <w:r w:rsidRPr="00C875F5">
        <w:t>Various measures of maternal thyroid function were used across studies</w:t>
      </w:r>
      <w:r>
        <w:t>.  M</w:t>
      </w:r>
      <w:r w:rsidRPr="00C875F5">
        <w:t xml:space="preserve">ost studies obtained one first trimester urine sample for the determination of UIC, a measure that is known to have high day-to-day variability, and is unlikely to be a true reflection of habitual iodine status for the duration of pregnancy.  </w:t>
      </w:r>
      <w:r w:rsidRPr="00C875F5">
        <w:rPr>
          <w:lang w:val="en-AU"/>
        </w:rPr>
        <w:t xml:space="preserve">It is likely that future studies addressing the impact of iodine intake and thyroid function in pregnancy on neurocognitive </w:t>
      </w:r>
      <w:r w:rsidRPr="00C875F5">
        <w:t>development of children will include maternal measures of serum T</w:t>
      </w:r>
      <w:r w:rsidRPr="00C875F5">
        <w:rPr>
          <w:vertAlign w:val="subscript"/>
        </w:rPr>
        <w:t>4</w:t>
      </w:r>
      <w:r w:rsidRPr="00C875F5">
        <w:t xml:space="preserve"> levels, since virtually all the free T</w:t>
      </w:r>
      <w:r w:rsidRPr="00C875F5">
        <w:rPr>
          <w:vertAlign w:val="subscript"/>
        </w:rPr>
        <w:t>4</w:t>
      </w:r>
      <w:r w:rsidRPr="00C875F5">
        <w:t xml:space="preserve"> available to embryonic and fetal tissues, particularly the brain, comes from maternal serum during the first half of pregnancy and well into the last trimester.</w:t>
      </w:r>
    </w:p>
    <w:p w:rsidR="00EA6F40" w:rsidRDefault="00EA6F40" w:rsidP="0013546C">
      <w:pPr>
        <w:pStyle w:val="Thesisnormal0"/>
      </w:pPr>
      <w:r w:rsidRPr="00C875F5">
        <w:t>The EWG concludes that there was insufficient evidence with regard to maternal (</w:t>
      </w:r>
      <w:r w:rsidR="00AE0695">
        <w:fldChar w:fldCharType="begin"/>
      </w:r>
      <w:r w:rsidR="00AE0695">
        <w:instrText xml:space="preserve"> REF _Ref430950615 \h </w:instrText>
      </w:r>
      <w:r w:rsidR="00AE0695">
        <w:fldChar w:fldCharType="separate"/>
      </w:r>
      <w:r w:rsidR="00AE0695">
        <w:t xml:space="preserve">Table </w:t>
      </w:r>
      <w:r w:rsidR="00AE0695">
        <w:rPr>
          <w:noProof/>
        </w:rPr>
        <w:t>7</w:t>
      </w:r>
      <w:r w:rsidR="00AE0695">
        <w:t>:</w:t>
      </w:r>
      <w:r w:rsidR="00AE0695">
        <w:rPr>
          <w:noProof/>
        </w:rPr>
        <w:t>4</w:t>
      </w:r>
      <w:r w:rsidR="00AE0695">
        <w:fldChar w:fldCharType="end"/>
      </w:r>
      <w:r w:rsidRPr="00C875F5">
        <w:t>) and infant biochemical indices (</w:t>
      </w:r>
      <w:r w:rsidR="00AE0695">
        <w:fldChar w:fldCharType="begin"/>
      </w:r>
      <w:r w:rsidR="00AE0695">
        <w:instrText xml:space="preserve"> REF _Ref430950615 \h </w:instrText>
      </w:r>
      <w:r w:rsidR="00AE0695">
        <w:fldChar w:fldCharType="separate"/>
      </w:r>
      <w:r w:rsidR="00AE0695">
        <w:t xml:space="preserve">Table </w:t>
      </w:r>
      <w:r w:rsidR="00AE0695">
        <w:rPr>
          <w:noProof/>
        </w:rPr>
        <w:t>7</w:t>
      </w:r>
      <w:r w:rsidR="00AE0695">
        <w:t>:</w:t>
      </w:r>
      <w:r w:rsidR="00AE0695">
        <w:rPr>
          <w:noProof/>
        </w:rPr>
        <w:t>4</w:t>
      </w:r>
      <w:r w:rsidR="00AE0695">
        <w:fldChar w:fldCharType="end"/>
      </w:r>
      <w:r>
        <w:t xml:space="preserve">), or </w:t>
      </w:r>
      <w:r w:rsidRPr="00C875F5">
        <w:t>cognitive outcomes in children (</w:t>
      </w:r>
      <w:r w:rsidR="00AE0695">
        <w:fldChar w:fldCharType="begin"/>
      </w:r>
      <w:r w:rsidR="00AE0695">
        <w:instrText xml:space="preserve"> REF _Ref430950682 \h </w:instrText>
      </w:r>
      <w:r w:rsidR="00AE0695">
        <w:fldChar w:fldCharType="separate"/>
      </w:r>
      <w:r w:rsidR="00AE0695">
        <w:t xml:space="preserve">Table </w:t>
      </w:r>
      <w:r w:rsidR="00AE0695">
        <w:rPr>
          <w:noProof/>
        </w:rPr>
        <w:t>7</w:t>
      </w:r>
      <w:r w:rsidR="00AE0695">
        <w:t>:</w:t>
      </w:r>
      <w:r w:rsidR="00AE0695">
        <w:rPr>
          <w:noProof/>
        </w:rPr>
        <w:t>11</w:t>
      </w:r>
      <w:r w:rsidR="00AE0695">
        <w:fldChar w:fldCharType="end"/>
      </w:r>
      <w:r w:rsidRPr="00C875F5">
        <w:t xml:space="preserve"> in </w:t>
      </w:r>
      <w:hyperlink w:anchor="_Appendix_2:_Studies" w:history="1">
        <w:r w:rsidRPr="00AE0695">
          <w:rPr>
            <w:rStyle w:val="Hyperlink"/>
          </w:rPr>
          <w:t>Appendix 2</w:t>
        </w:r>
      </w:hyperlink>
      <w:r>
        <w:t xml:space="preserve">) that </w:t>
      </w:r>
      <w:r w:rsidRPr="00C875F5">
        <w:t>could be used to set or modify the EAR or RDI in pregnancy.</w:t>
      </w:r>
      <w:r w:rsidRPr="00C875F5" w:rsidDel="00F32170">
        <w:t xml:space="preserve"> </w:t>
      </w:r>
      <w:r w:rsidRPr="00C875F5">
        <w:t xml:space="preserve">Therefore the EWG found no new evidence that challenges the EAR and RDI set in 2006 and proposes to keep the current EAR and RDI for pregnancy. The two recent reviews from Europe (Gunnarsdottir &amp; Dahl 2012, EFSA 2014) also support the EWG's conclusion that there is no new evidence for iodine requirements and pregnancy. </w:t>
      </w:r>
      <w:r>
        <w:t xml:space="preserve">However, the EWG notes that in 2007 a WHO Secretariat increased the recommended intake of iodine in pregnancy to 250 </w:t>
      </w:r>
      <w:r w:rsidRPr="00C875F5">
        <w:t>μg/day</w:t>
      </w:r>
      <w:r>
        <w:t xml:space="preserve"> (Delange et al 2007) although they also acknowledge a lack of data in this area. </w:t>
      </w:r>
      <w:bookmarkStart w:id="141" w:name="_Toc279228361"/>
    </w:p>
    <w:p w:rsidR="00EA6F40" w:rsidRPr="00C01899" w:rsidRDefault="00EA6F40" w:rsidP="00CA2AA1">
      <w:pPr>
        <w:pStyle w:val="Heading3"/>
      </w:pPr>
      <w:bookmarkStart w:id="142" w:name="_Toc433621797"/>
      <w:r w:rsidRPr="00C01899">
        <w:t>Evidence considered in estimating the UL for Children</w:t>
      </w:r>
      <w:r>
        <w:t xml:space="preserve"> and </w:t>
      </w:r>
      <w:r w:rsidRPr="00C01899">
        <w:t>Adolescents ages 1 through 18 years</w:t>
      </w:r>
      <w:bookmarkEnd w:id="141"/>
      <w:bookmarkEnd w:id="142"/>
      <w:r w:rsidRPr="00C01899">
        <w:t xml:space="preserve"> </w:t>
      </w:r>
    </w:p>
    <w:p w:rsidR="00EA6F40" w:rsidRPr="00027C16" w:rsidRDefault="00EA6F40" w:rsidP="008D087E">
      <w:pPr>
        <w:pStyle w:val="Heading4"/>
        <w:numPr>
          <w:ilvl w:val="3"/>
          <w:numId w:val="31"/>
        </w:numPr>
      </w:pPr>
      <w:r w:rsidRPr="00027C16">
        <w:t>Previous recommended UL for Australia and New Zealand</w:t>
      </w:r>
    </w:p>
    <w:p w:rsidR="00EA6F40" w:rsidRPr="00C875F5" w:rsidRDefault="00EA6F40" w:rsidP="0013546C">
      <w:pPr>
        <w:pStyle w:val="Thesisnormal0"/>
      </w:pPr>
      <w:r w:rsidRPr="00C875F5">
        <w:t>In the 2003 report by Thomson, the UL</w:t>
      </w:r>
      <w:r>
        <w:t>s</w:t>
      </w:r>
      <w:r w:rsidRPr="00C875F5">
        <w:t xml:space="preserve"> for children and adolescents were extrapolated from the adult UL on the basis of metabolic weight </w:t>
      </w:r>
      <w:r>
        <w:t>[</w:t>
      </w:r>
      <w:r w:rsidRPr="00C875F5">
        <w:t>(bodyweight)</w:t>
      </w:r>
      <w:r w:rsidRPr="00C875F5">
        <w:rPr>
          <w:vertAlign w:val="superscript"/>
        </w:rPr>
        <w:t>0.75</w:t>
      </w:r>
      <w:r>
        <w:t>]</w:t>
      </w:r>
      <w:r w:rsidRPr="00C875F5">
        <w:t xml:space="preserve">.The adult UL was derived from the Lowest-Observed-Adverse-Effect level (LOAEL) of 1700 μg/day and an uncertainly factor of 1.5, giving a UL of 1,100 μg/day for adults greater than 19 years of age. This adult value was adjusted for children on the basis of body weight, but no UL was established for infants because of lack of evidence (Thomson 2003, NHMRC 2006). </w:t>
      </w:r>
    </w:p>
    <w:p w:rsidR="00EA6F40" w:rsidRPr="00C875F5" w:rsidRDefault="00EA6F40" w:rsidP="008D087E">
      <w:pPr>
        <w:pStyle w:val="Heading4"/>
        <w:numPr>
          <w:ilvl w:val="3"/>
          <w:numId w:val="31"/>
        </w:numPr>
      </w:pPr>
      <w:r w:rsidRPr="00C875F5">
        <w:lastRenderedPageBreak/>
        <w:t>Observational evidence</w:t>
      </w:r>
    </w:p>
    <w:p w:rsidR="00EA6F40" w:rsidRPr="00C875F5" w:rsidRDefault="00EA6F40" w:rsidP="0013546C">
      <w:pPr>
        <w:pStyle w:val="Thesisnormal0"/>
      </w:pPr>
      <w:r>
        <w:t>A total of 18</w:t>
      </w:r>
      <w:r w:rsidRPr="00C875F5">
        <w:t xml:space="preserve"> observational studies were identified (</w:t>
      </w:r>
      <w:r w:rsidR="008D087E">
        <w:fldChar w:fldCharType="begin"/>
      </w:r>
      <w:r w:rsidR="008D087E">
        <w:instrText xml:space="preserve"> REF _Ref430950682 \h </w:instrText>
      </w:r>
      <w:r w:rsidR="008D087E">
        <w:fldChar w:fldCharType="separate"/>
      </w:r>
      <w:r w:rsidR="008D087E">
        <w:t xml:space="preserve">Table </w:t>
      </w:r>
      <w:r w:rsidR="008D087E">
        <w:rPr>
          <w:noProof/>
        </w:rPr>
        <w:t>7</w:t>
      </w:r>
      <w:r w:rsidR="008D087E">
        <w:t>:</w:t>
      </w:r>
      <w:r w:rsidR="008D087E">
        <w:rPr>
          <w:noProof/>
        </w:rPr>
        <w:t>11</w:t>
      </w:r>
      <w:r w:rsidR="008D087E">
        <w:fldChar w:fldCharType="end"/>
      </w:r>
      <w:r w:rsidRPr="00C875F5">
        <w:t xml:space="preserve"> in </w:t>
      </w:r>
      <w:hyperlink w:anchor="_Appendix_3:_Studies" w:history="1">
        <w:r w:rsidRPr="008D087E">
          <w:rPr>
            <w:rStyle w:val="Hyperlink"/>
          </w:rPr>
          <w:t>Appendix 3</w:t>
        </w:r>
      </w:hyperlink>
      <w:r w:rsidRPr="00C875F5">
        <w:t xml:space="preserve">). The study by Zimmermann et al (2005) presented a dose response relationship with UIC and thyroid volume.  This was an observational study of an international sample of children aged 6–12-years (n = 3319) from 5 continents with iodine excretion ranging from adequate (116 μg/L) to excessive (728 μg/L).  In the combined sample, after adjustment for age, sex, and body surface area, log (thyroid volume) began to rise at a log (UI concentration) &gt;2.7, which, when back transformed to the linear scale, corresponds to a UIC of ~500 μg/L. The EWG noted that other thyroid function markers collected in this study were in the normal range, even at high levels of iodine intake. In addition the EWG considered the 2013 study also by Zimmerman et al (2013), which was similarly conducted in an international sample of 6-12 year old children. The results indicated that </w:t>
      </w:r>
      <w:r w:rsidRPr="00C875F5">
        <w:rPr>
          <w:rFonts w:cs="Lucida Grande"/>
        </w:rPr>
        <w:t xml:space="preserve">compared to iodine-sufficient children, those with iodine deficiency (UIC &lt;100 </w:t>
      </w:r>
      <w:r w:rsidRPr="00C875F5">
        <w:t>μg</w:t>
      </w:r>
      <w:r w:rsidRPr="00C875F5">
        <w:rPr>
          <w:rFonts w:cs="Lucida Grande"/>
        </w:rPr>
        <w:t xml:space="preserve"> /L) had a higher prevalence of elevated Tg values as did those with iodine excess (UIC &gt;300 </w:t>
      </w:r>
      <w:r w:rsidRPr="00C875F5">
        <w:t>μg</w:t>
      </w:r>
      <w:r w:rsidRPr="00C875F5">
        <w:rPr>
          <w:rFonts w:cs="Lucida Grande"/>
        </w:rPr>
        <w:t xml:space="preserve">/L). </w:t>
      </w:r>
    </w:p>
    <w:p w:rsidR="00EA6F40" w:rsidRPr="00C875F5" w:rsidRDefault="00EA6F40" w:rsidP="0013546C">
      <w:pPr>
        <w:pStyle w:val="Thesisnormal0"/>
      </w:pPr>
      <w:r w:rsidRPr="00C875F5">
        <w:t xml:space="preserve">Most of the studies combined the age group 6–12 years which is problematic for assessing the evidence for setting of ULs for the following NRV age categories: 4–8 years, 9–12 years, 13-18 years. For the 14– 18 years age groups, evidence was particularly sparse, with only three Level IV (cross sectional) studies with high risk of bias, two of which were conducted in refugee camps in Africa where iodine excess was related to very high iodine levels in tap water. The other study from Brazil had similar limited generalisability to the Australian and New Zealand situation.  </w:t>
      </w:r>
    </w:p>
    <w:p w:rsidR="00EA6F40" w:rsidRPr="00C875F5" w:rsidRDefault="00EA6F40" w:rsidP="0013546C">
      <w:pPr>
        <w:pStyle w:val="Thesisnormal0"/>
      </w:pPr>
      <w:r w:rsidRPr="00C875F5">
        <w:t>The previous ULs set for these age groups were calculated by extrapolation from the adult UL.  No direct experimental evidence was available then and little new evidence has emerged since.</w:t>
      </w:r>
    </w:p>
    <w:p w:rsidR="00EA6F40" w:rsidRPr="00C875F5" w:rsidRDefault="00EA6F40" w:rsidP="008D087E">
      <w:pPr>
        <w:pStyle w:val="Heading4"/>
        <w:numPr>
          <w:ilvl w:val="3"/>
          <w:numId w:val="31"/>
        </w:numPr>
      </w:pPr>
      <w:r w:rsidRPr="00C875F5">
        <w:t>Intervention studies</w:t>
      </w:r>
    </w:p>
    <w:p w:rsidR="00EA6F40" w:rsidRPr="00C875F5" w:rsidRDefault="00EA6F40" w:rsidP="0013546C">
      <w:pPr>
        <w:pStyle w:val="Thesisnormal0"/>
      </w:pPr>
      <w:r w:rsidRPr="00C875F5">
        <w:t>Two intervention studies (</w:t>
      </w:r>
      <w:r w:rsidRPr="00C875F5">
        <w:rPr>
          <w:rFonts w:cstheme="minorHAnsi"/>
        </w:rPr>
        <w:t xml:space="preserve">one Level II (RCT) and a Level III-2 study) </w:t>
      </w:r>
      <w:r w:rsidRPr="00C875F5">
        <w:t>were identified in the search for the UL in children (Huda et al 2001, Li et al 2012). However, due to the high risk of bias associated with these intervention studies, the EWG agreed these studies would not be used to set the UL in children.</w:t>
      </w:r>
    </w:p>
    <w:p w:rsidR="00EA6F40" w:rsidRPr="00C875F5" w:rsidRDefault="00EA6F40" w:rsidP="008D087E">
      <w:pPr>
        <w:pStyle w:val="Heading4"/>
        <w:numPr>
          <w:ilvl w:val="3"/>
          <w:numId w:val="31"/>
        </w:numPr>
      </w:pPr>
      <w:r w:rsidRPr="00C875F5">
        <w:t xml:space="preserve">Derivation of the Provisional UL </w:t>
      </w:r>
    </w:p>
    <w:p w:rsidR="00EA6F40" w:rsidRPr="00C875F5" w:rsidRDefault="00EA6F40" w:rsidP="005A4B69">
      <w:pPr>
        <w:widowControl w:val="0"/>
        <w:autoSpaceDE w:val="0"/>
        <w:autoSpaceDN w:val="0"/>
        <w:adjustRightInd w:val="0"/>
        <w:rPr>
          <w:sz w:val="24"/>
        </w:rPr>
      </w:pPr>
      <w:r w:rsidRPr="00C875F5">
        <w:rPr>
          <w:sz w:val="24"/>
        </w:rPr>
        <w:t>There are few studies that investigate the effects of excess dietary iodine in children for the purpose of establishing a UL. In view of the limited amount of suitable data to define a dietary intake, which corresponds to an adverse effect in thyroid function the EWG decided to establish a series of provisional upper levels of intake in children a</w:t>
      </w:r>
      <w:r w:rsidR="00FA65FD">
        <w:rPr>
          <w:sz w:val="24"/>
        </w:rPr>
        <w:t>ged between 1 and 18 years.</w:t>
      </w:r>
    </w:p>
    <w:p w:rsidR="00EA6F40" w:rsidRPr="00C875F5" w:rsidRDefault="00EA6F40" w:rsidP="005A4B69">
      <w:pPr>
        <w:widowControl w:val="0"/>
        <w:autoSpaceDE w:val="0"/>
        <w:autoSpaceDN w:val="0"/>
        <w:adjustRightInd w:val="0"/>
        <w:rPr>
          <w:sz w:val="24"/>
        </w:rPr>
      </w:pPr>
      <w:r w:rsidRPr="00C875F5">
        <w:rPr>
          <w:sz w:val="24"/>
        </w:rPr>
        <w:t>The Committee identified one study by Zimmermann et al (2005), which could provide a sound basis to determine a threshold dose for an increase in thyroid volume in response to excess dietary iodine</w:t>
      </w:r>
      <w:r>
        <w:rPr>
          <w:sz w:val="24"/>
        </w:rPr>
        <w:t>; this paper was evaluated using GRADE (Table 3.1)</w:t>
      </w:r>
      <w:r w:rsidRPr="00C875F5">
        <w:rPr>
          <w:sz w:val="24"/>
        </w:rPr>
        <w:t xml:space="preserve">. The EWG noted that an increase in thyroid volume could be considered to be an adaptation in response to high dietary iodine intake. In the absence of other indicators of thyroid dysfunction an increase in thyroid volume is not necessarily an </w:t>
      </w:r>
      <w:r w:rsidRPr="00C875F5">
        <w:rPr>
          <w:sz w:val="24"/>
        </w:rPr>
        <w:lastRenderedPageBreak/>
        <w:t>adverse effect. It is possible, given this, that the UL could be set higher.</w:t>
      </w:r>
    </w:p>
    <w:p w:rsidR="00EA6F40" w:rsidRPr="00C875F5" w:rsidRDefault="00EA6F40" w:rsidP="005A4B69">
      <w:pPr>
        <w:widowControl w:val="0"/>
        <w:autoSpaceDE w:val="0"/>
        <w:autoSpaceDN w:val="0"/>
        <w:adjustRightInd w:val="0"/>
        <w:rPr>
          <w:sz w:val="24"/>
        </w:rPr>
      </w:pPr>
      <w:r w:rsidRPr="00FA65FD">
        <w:rPr>
          <w:rStyle w:val="Emphasis"/>
        </w:rPr>
        <w:t>Uncertainty factor:</w:t>
      </w:r>
      <w:r w:rsidRPr="00C875F5">
        <w:rPr>
          <w:i/>
          <w:sz w:val="24"/>
        </w:rPr>
        <w:t xml:space="preserve"> </w:t>
      </w:r>
      <w:r w:rsidRPr="00C875F5">
        <w:rPr>
          <w:sz w:val="24"/>
        </w:rPr>
        <w:t xml:space="preserve">As this study which established a threshold dose between an enlarged thyroid gland and dietary iodine involved many children (n=3319) aged between 6 and 12 years across five continents, confidence that a daily iodine exposure resulting in a urinary excretion of 500 µg I/L will result in an enlarged thyroid gland in children is high. Accordingly, an uncertainty factor of 1 was considered appropriate because the data includes a sensitive endpoint in the most vulnerable subpopulation in humans. </w:t>
      </w:r>
    </w:p>
    <w:p w:rsidR="00EA6F40" w:rsidRPr="00C875F5" w:rsidRDefault="00EA6F40" w:rsidP="005A4B69">
      <w:pPr>
        <w:widowControl w:val="0"/>
        <w:autoSpaceDE w:val="0"/>
        <w:autoSpaceDN w:val="0"/>
        <w:adjustRightInd w:val="0"/>
        <w:rPr>
          <w:sz w:val="24"/>
        </w:rPr>
      </w:pPr>
      <w:r w:rsidRPr="00C875F5">
        <w:rPr>
          <w:sz w:val="24"/>
        </w:rPr>
        <w:t>The study by Zimmerman et al (2005) in children aged between 6 and 12 years was used to establish a provisional UL for the age group 9-13 years</w:t>
      </w:r>
      <w:r>
        <w:rPr>
          <w:sz w:val="24"/>
        </w:rPr>
        <w:t xml:space="preserve">. </w:t>
      </w:r>
      <w:r w:rsidRPr="00C875F5">
        <w:rPr>
          <w:sz w:val="24"/>
        </w:rPr>
        <w:t>Provisional ULs for the other age groups were extrapolated from this value using the metabolic weight formula</w:t>
      </w:r>
      <w:r w:rsidR="00FA65FD">
        <w:rPr>
          <w:sz w:val="24"/>
        </w:rPr>
        <w:t xml:space="preserve"> as for the NRVs (NHMRC 2006). </w:t>
      </w:r>
      <w:r w:rsidRPr="00C875F5">
        <w:rPr>
          <w:sz w:val="24"/>
        </w:rPr>
        <w:t xml:space="preserve">The daily median iodine intake was estimated by converting the UIC of 500 µg/L from </w:t>
      </w:r>
      <w:r>
        <w:rPr>
          <w:sz w:val="24"/>
        </w:rPr>
        <w:t xml:space="preserve">the </w:t>
      </w:r>
      <w:r w:rsidRPr="00C875F5">
        <w:rPr>
          <w:sz w:val="24"/>
        </w:rPr>
        <w:t>Zimmermann et al (2005)</w:t>
      </w:r>
      <w:r>
        <w:rPr>
          <w:sz w:val="24"/>
        </w:rPr>
        <w:t xml:space="preserve"> study.  This </w:t>
      </w:r>
      <w:r w:rsidRPr="00C875F5">
        <w:rPr>
          <w:sz w:val="24"/>
        </w:rPr>
        <w:t>was converted to 550 µg/day based on iodine excretion of 90% of dietary intake (Anderson et al 2009) and an assumed 24-hour urine volume for children of approximately 1 L (Mattson &amp; Lindstrom 1995).  These considerations result in a Provisional UL for children 9-13 years of 550 µg/day.</w:t>
      </w:r>
    </w:p>
    <w:p w:rsidR="00EA6F40" w:rsidRPr="00C875F5" w:rsidRDefault="00EA6F40" w:rsidP="005A4B69">
      <w:pPr>
        <w:widowControl w:val="0"/>
        <w:autoSpaceDE w:val="0"/>
        <w:autoSpaceDN w:val="0"/>
        <w:adjustRightInd w:val="0"/>
        <w:rPr>
          <w:sz w:val="24"/>
        </w:rPr>
      </w:pPr>
      <w:r w:rsidRPr="00C875F5">
        <w:rPr>
          <w:sz w:val="24"/>
        </w:rPr>
        <w:t xml:space="preserve">The formulae for extrapolating to other age groups were those specified in the Methodological Framework (Nous group 2013) and used for the NRVs 2006 (NHMRC 2006). </w:t>
      </w:r>
      <w:r>
        <w:rPr>
          <w:sz w:val="24"/>
        </w:rPr>
        <w:t xml:space="preserve"> </w:t>
      </w:r>
      <w:r w:rsidRPr="00C875F5">
        <w:rPr>
          <w:sz w:val="24"/>
        </w:rPr>
        <w:t>The formula for 1-3 year age group included an adjustment for the difference in growth rate between 9-13 year</w:t>
      </w:r>
      <w:r>
        <w:rPr>
          <w:sz w:val="24"/>
        </w:rPr>
        <w:t>s</w:t>
      </w:r>
      <w:r w:rsidRPr="00C875F5">
        <w:rPr>
          <w:sz w:val="24"/>
        </w:rPr>
        <w:t xml:space="preserve"> (0.15) and 1-3 year olds (0.3) </w:t>
      </w:r>
      <w:r w:rsidRPr="00C875F5">
        <w:rPr>
          <w:i/>
          <w:sz w:val="24"/>
        </w:rPr>
        <w:t>(</w:t>
      </w:r>
      <w:r w:rsidRPr="00C875F5">
        <w:rPr>
          <w:sz w:val="24"/>
        </w:rPr>
        <w:t xml:space="preserve">NHMRC 2006). </w:t>
      </w:r>
      <w:r>
        <w:rPr>
          <w:sz w:val="24"/>
        </w:rPr>
        <w:t xml:space="preserve"> </w:t>
      </w:r>
      <w:r w:rsidRPr="00C875F5">
        <w:rPr>
          <w:sz w:val="24"/>
        </w:rPr>
        <w:t>This was not a necessary consideration in calculating provisional UL for the other age groups because the growth factors for 4-8 and 14-18 year olds are the same as that for 9-13 year olds.</w:t>
      </w:r>
    </w:p>
    <w:p w:rsidR="00EA6F40" w:rsidRDefault="00EA6F40" w:rsidP="005A4B69">
      <w:pPr>
        <w:widowControl w:val="0"/>
        <w:autoSpaceDE w:val="0"/>
        <w:autoSpaceDN w:val="0"/>
        <w:adjustRightInd w:val="0"/>
        <w:rPr>
          <w:sz w:val="24"/>
        </w:rPr>
      </w:pPr>
      <w:r w:rsidRPr="00C875F5">
        <w:rPr>
          <w:sz w:val="24"/>
        </w:rPr>
        <w:t>The approximate proportional increase in protein requirements for growth (FAO/WHO/UNU 1985) was used as an estimate of the growth factor (</w:t>
      </w:r>
      <w:r w:rsidR="00C779C2">
        <w:rPr>
          <w:sz w:val="24"/>
        </w:rPr>
        <w:fldChar w:fldCharType="begin"/>
      </w:r>
      <w:r w:rsidR="00C779C2">
        <w:rPr>
          <w:sz w:val="24"/>
        </w:rPr>
        <w:instrText xml:space="preserve"> REF _Ref430937739 \h </w:instrText>
      </w:r>
      <w:r w:rsidR="00C779C2">
        <w:rPr>
          <w:sz w:val="24"/>
        </w:rPr>
      </w:r>
      <w:r w:rsidR="00C779C2">
        <w:rPr>
          <w:sz w:val="24"/>
        </w:rPr>
        <w:fldChar w:fldCharType="separate"/>
      </w:r>
      <w:r w:rsidR="00C779C2">
        <w:t xml:space="preserve">Table </w:t>
      </w:r>
      <w:r w:rsidR="00C779C2">
        <w:rPr>
          <w:noProof/>
        </w:rPr>
        <w:t>5</w:t>
      </w:r>
      <w:r w:rsidR="00C779C2">
        <w:t>:</w:t>
      </w:r>
      <w:r w:rsidR="00C779C2">
        <w:rPr>
          <w:noProof/>
        </w:rPr>
        <w:t>7</w:t>
      </w:r>
      <w:r w:rsidR="00C779C2">
        <w:rPr>
          <w:sz w:val="24"/>
        </w:rPr>
        <w:fldChar w:fldCharType="end"/>
      </w:r>
      <w:r w:rsidRPr="00C875F5">
        <w:rPr>
          <w:sz w:val="24"/>
        </w:rPr>
        <w:t xml:space="preserve">). </w:t>
      </w:r>
    </w:p>
    <w:p w:rsidR="00EA6F40" w:rsidRPr="00C875F5" w:rsidRDefault="00FA65FD" w:rsidP="00AE0695">
      <w:pPr>
        <w:pStyle w:val="Caption"/>
        <w:rPr>
          <w:rFonts w:cs="Times New Roman"/>
          <w:sz w:val="24"/>
        </w:rPr>
      </w:pPr>
      <w:bookmarkStart w:id="143" w:name="_Ref430937739"/>
      <w:r>
        <w:t xml:space="preserve">Table </w:t>
      </w:r>
      <w:r w:rsidR="00CA2AA1">
        <w:fldChar w:fldCharType="begin"/>
      </w:r>
      <w:r w:rsidR="00CA2AA1">
        <w:instrText xml:space="preserve"> STYLEREF 1 \s </w:instrText>
      </w:r>
      <w:r w:rsidR="00CA2AA1">
        <w:fldChar w:fldCharType="separate"/>
      </w:r>
      <w:r w:rsidR="00CA2AA1">
        <w:rPr>
          <w:noProof/>
        </w:rPr>
        <w:t>5</w:t>
      </w:r>
      <w:r w:rsidR="00CA2AA1">
        <w:fldChar w:fldCharType="end"/>
      </w:r>
      <w:r w:rsidR="00CA2AA1">
        <w:t>:</w:t>
      </w:r>
      <w:r w:rsidR="00CA2AA1">
        <w:fldChar w:fldCharType="begin"/>
      </w:r>
      <w:r w:rsidR="00CA2AA1">
        <w:instrText xml:space="preserve"> SEQ Table \* ARABIC \s 1 </w:instrText>
      </w:r>
      <w:r w:rsidR="00CA2AA1">
        <w:fldChar w:fldCharType="separate"/>
      </w:r>
      <w:r w:rsidR="00CA2AA1">
        <w:rPr>
          <w:noProof/>
        </w:rPr>
        <w:t>7</w:t>
      </w:r>
      <w:r w:rsidR="00CA2AA1">
        <w:fldChar w:fldCharType="end"/>
      </w:r>
      <w:bookmarkEnd w:id="143"/>
      <w:r w:rsidR="00EA6F40">
        <w:rPr>
          <w:rFonts w:cs="Times New Roman"/>
          <w:sz w:val="24"/>
        </w:rPr>
        <w:t xml:space="preserve"> </w:t>
      </w:r>
      <w:r w:rsidR="00EA6F40" w:rsidRPr="00C875F5">
        <w:rPr>
          <w:rFonts w:cs="Times New Roman"/>
          <w:sz w:val="24"/>
        </w:rPr>
        <w:t>Estimated growth factor by age group</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Description w:val="Table 5.7 contains 2 column headings; column 1. Age group and column 2. Growth factor which shows the Estimated growth factor by age group."/>
      </w:tblPr>
      <w:tblGrid>
        <w:gridCol w:w="2660"/>
        <w:gridCol w:w="4526"/>
      </w:tblGrid>
      <w:tr w:rsidR="00EA6F40" w:rsidRPr="005A4B69" w:rsidTr="00D61633">
        <w:trPr>
          <w:trHeight w:val="567"/>
          <w:tblHeader/>
        </w:trPr>
        <w:tc>
          <w:tcPr>
            <w:tcW w:w="2660" w:type="dxa"/>
            <w:vAlign w:val="center"/>
          </w:tcPr>
          <w:p w:rsidR="00EA6F40" w:rsidRPr="005A4B69" w:rsidRDefault="00EA6F40" w:rsidP="00EA6F40">
            <w:pPr>
              <w:widowControl w:val="0"/>
              <w:autoSpaceDE w:val="0"/>
              <w:autoSpaceDN w:val="0"/>
              <w:adjustRightInd w:val="0"/>
              <w:rPr>
                <w:rStyle w:val="Strong"/>
              </w:rPr>
            </w:pPr>
            <w:r w:rsidRPr="005A4B69">
              <w:rPr>
                <w:rStyle w:val="Strong"/>
              </w:rPr>
              <w:t>Age group</w:t>
            </w:r>
          </w:p>
        </w:tc>
        <w:tc>
          <w:tcPr>
            <w:tcW w:w="4526" w:type="dxa"/>
            <w:vAlign w:val="center"/>
          </w:tcPr>
          <w:p w:rsidR="00EA6F40" w:rsidRPr="005A4B69" w:rsidRDefault="00EA6F40" w:rsidP="00EA6F40">
            <w:pPr>
              <w:widowControl w:val="0"/>
              <w:autoSpaceDE w:val="0"/>
              <w:autoSpaceDN w:val="0"/>
              <w:adjustRightInd w:val="0"/>
              <w:ind w:right="1725"/>
              <w:rPr>
                <w:rStyle w:val="Strong"/>
              </w:rPr>
            </w:pPr>
            <w:r w:rsidRPr="005A4B69">
              <w:rPr>
                <w:rStyle w:val="Strong"/>
              </w:rPr>
              <w:t>Growth factor</w:t>
            </w:r>
          </w:p>
        </w:tc>
      </w:tr>
      <w:tr w:rsidR="00EA6F40" w:rsidRPr="00C875F5" w:rsidTr="008A1B34">
        <w:trPr>
          <w:trHeight w:val="567"/>
        </w:trPr>
        <w:tc>
          <w:tcPr>
            <w:tcW w:w="2660" w:type="dxa"/>
            <w:vAlign w:val="center"/>
          </w:tcPr>
          <w:p w:rsidR="00EA6F40" w:rsidRPr="00C875F5" w:rsidRDefault="00EA6F40" w:rsidP="00EA6F40">
            <w:pPr>
              <w:widowControl w:val="0"/>
              <w:autoSpaceDE w:val="0"/>
              <w:autoSpaceDN w:val="0"/>
              <w:adjustRightInd w:val="0"/>
              <w:rPr>
                <w:rFonts w:cs="Times New Roman"/>
                <w:sz w:val="24"/>
              </w:rPr>
            </w:pPr>
            <w:r w:rsidRPr="00C875F5">
              <w:rPr>
                <w:rFonts w:cs="Times New Roman"/>
                <w:sz w:val="24"/>
              </w:rPr>
              <w:t>7 mo – 3 years</w:t>
            </w:r>
          </w:p>
        </w:tc>
        <w:tc>
          <w:tcPr>
            <w:tcW w:w="4526" w:type="dxa"/>
            <w:vAlign w:val="center"/>
          </w:tcPr>
          <w:p w:rsidR="00EA6F40" w:rsidRPr="00C875F5" w:rsidRDefault="00EA6F40" w:rsidP="00EA6F40">
            <w:pPr>
              <w:widowControl w:val="0"/>
              <w:autoSpaceDE w:val="0"/>
              <w:autoSpaceDN w:val="0"/>
              <w:adjustRightInd w:val="0"/>
              <w:ind w:right="1725"/>
              <w:rPr>
                <w:rFonts w:cs="Times New Roman"/>
                <w:sz w:val="24"/>
              </w:rPr>
            </w:pPr>
            <w:r w:rsidRPr="00C875F5">
              <w:rPr>
                <w:rFonts w:cs="Times New Roman"/>
                <w:sz w:val="24"/>
              </w:rPr>
              <w:t>0.30</w:t>
            </w:r>
          </w:p>
        </w:tc>
      </w:tr>
      <w:tr w:rsidR="00EA6F40" w:rsidRPr="00C875F5" w:rsidTr="008A1B34">
        <w:trPr>
          <w:trHeight w:val="567"/>
        </w:trPr>
        <w:tc>
          <w:tcPr>
            <w:tcW w:w="2660" w:type="dxa"/>
            <w:vAlign w:val="center"/>
          </w:tcPr>
          <w:p w:rsidR="00EA6F40" w:rsidRPr="00C875F5" w:rsidRDefault="00EA6F40" w:rsidP="00EA6F40">
            <w:pPr>
              <w:widowControl w:val="0"/>
              <w:autoSpaceDE w:val="0"/>
              <w:autoSpaceDN w:val="0"/>
              <w:adjustRightInd w:val="0"/>
              <w:rPr>
                <w:rFonts w:cs="Times New Roman"/>
                <w:sz w:val="24"/>
              </w:rPr>
            </w:pPr>
            <w:r w:rsidRPr="00C875F5">
              <w:rPr>
                <w:rFonts w:cs="Times New Roman"/>
                <w:sz w:val="24"/>
              </w:rPr>
              <w:t>4-8 years</w:t>
            </w:r>
          </w:p>
        </w:tc>
        <w:tc>
          <w:tcPr>
            <w:tcW w:w="4526" w:type="dxa"/>
            <w:vAlign w:val="center"/>
          </w:tcPr>
          <w:p w:rsidR="00EA6F40" w:rsidRPr="00C875F5" w:rsidRDefault="00EA6F40" w:rsidP="00EA6F40">
            <w:pPr>
              <w:widowControl w:val="0"/>
              <w:autoSpaceDE w:val="0"/>
              <w:autoSpaceDN w:val="0"/>
              <w:adjustRightInd w:val="0"/>
              <w:ind w:right="1725"/>
              <w:rPr>
                <w:rFonts w:cs="Times New Roman"/>
                <w:sz w:val="24"/>
              </w:rPr>
            </w:pPr>
            <w:r w:rsidRPr="00C875F5">
              <w:rPr>
                <w:rFonts w:cs="Times New Roman"/>
                <w:sz w:val="24"/>
              </w:rPr>
              <w:t>0.15</w:t>
            </w:r>
          </w:p>
        </w:tc>
      </w:tr>
      <w:tr w:rsidR="00EA6F40" w:rsidRPr="00C875F5" w:rsidTr="008A1B34">
        <w:trPr>
          <w:trHeight w:val="567"/>
        </w:trPr>
        <w:tc>
          <w:tcPr>
            <w:tcW w:w="2660" w:type="dxa"/>
            <w:vAlign w:val="center"/>
          </w:tcPr>
          <w:p w:rsidR="00EA6F40" w:rsidRPr="00C875F5" w:rsidRDefault="00EA6F40" w:rsidP="00EA6F40">
            <w:pPr>
              <w:widowControl w:val="0"/>
              <w:autoSpaceDE w:val="0"/>
              <w:autoSpaceDN w:val="0"/>
              <w:adjustRightInd w:val="0"/>
              <w:rPr>
                <w:rFonts w:cs="Times New Roman"/>
                <w:sz w:val="24"/>
              </w:rPr>
            </w:pPr>
            <w:r w:rsidRPr="00C875F5">
              <w:rPr>
                <w:rFonts w:cs="Times New Roman"/>
                <w:sz w:val="24"/>
              </w:rPr>
              <w:t>9-13 years</w:t>
            </w:r>
          </w:p>
        </w:tc>
        <w:tc>
          <w:tcPr>
            <w:tcW w:w="4526" w:type="dxa"/>
            <w:vAlign w:val="center"/>
          </w:tcPr>
          <w:p w:rsidR="00EA6F40" w:rsidRPr="00C875F5" w:rsidRDefault="00EA6F40" w:rsidP="00EA6F40">
            <w:pPr>
              <w:widowControl w:val="0"/>
              <w:autoSpaceDE w:val="0"/>
              <w:autoSpaceDN w:val="0"/>
              <w:adjustRightInd w:val="0"/>
              <w:ind w:right="1725"/>
              <w:rPr>
                <w:rFonts w:cs="Times New Roman"/>
                <w:sz w:val="24"/>
              </w:rPr>
            </w:pPr>
            <w:r w:rsidRPr="00C875F5">
              <w:rPr>
                <w:rFonts w:cs="Times New Roman"/>
                <w:sz w:val="24"/>
              </w:rPr>
              <w:t>0.15</w:t>
            </w:r>
          </w:p>
        </w:tc>
      </w:tr>
      <w:tr w:rsidR="00EA6F40" w:rsidRPr="00C875F5" w:rsidTr="008A1B34">
        <w:trPr>
          <w:trHeight w:val="567"/>
        </w:trPr>
        <w:tc>
          <w:tcPr>
            <w:tcW w:w="2660" w:type="dxa"/>
            <w:vAlign w:val="center"/>
          </w:tcPr>
          <w:p w:rsidR="00EA6F40" w:rsidRPr="00C875F5" w:rsidRDefault="00EA6F40" w:rsidP="00EA6F40">
            <w:pPr>
              <w:widowControl w:val="0"/>
              <w:autoSpaceDE w:val="0"/>
              <w:autoSpaceDN w:val="0"/>
              <w:adjustRightInd w:val="0"/>
              <w:rPr>
                <w:rFonts w:cs="Times New Roman"/>
                <w:sz w:val="24"/>
              </w:rPr>
            </w:pPr>
            <w:r w:rsidRPr="00C875F5">
              <w:rPr>
                <w:rFonts w:cs="Times New Roman"/>
                <w:sz w:val="24"/>
              </w:rPr>
              <w:t>14-18 years males</w:t>
            </w:r>
          </w:p>
        </w:tc>
        <w:tc>
          <w:tcPr>
            <w:tcW w:w="4526" w:type="dxa"/>
            <w:vAlign w:val="center"/>
          </w:tcPr>
          <w:p w:rsidR="00EA6F40" w:rsidRPr="00C875F5" w:rsidRDefault="00EA6F40" w:rsidP="00EA6F40">
            <w:pPr>
              <w:widowControl w:val="0"/>
              <w:autoSpaceDE w:val="0"/>
              <w:autoSpaceDN w:val="0"/>
              <w:adjustRightInd w:val="0"/>
              <w:ind w:right="1725"/>
              <w:rPr>
                <w:rFonts w:cs="Times New Roman"/>
                <w:sz w:val="24"/>
              </w:rPr>
            </w:pPr>
            <w:r w:rsidRPr="00C875F5">
              <w:rPr>
                <w:rFonts w:cs="Times New Roman"/>
                <w:sz w:val="24"/>
              </w:rPr>
              <w:t>0.15</w:t>
            </w:r>
          </w:p>
        </w:tc>
      </w:tr>
    </w:tbl>
    <w:p w:rsidR="00EA6F40" w:rsidRPr="00C875F5" w:rsidRDefault="005A4B69" w:rsidP="00EA6F40">
      <w:pPr>
        <w:widowControl w:val="0"/>
        <w:autoSpaceDE w:val="0"/>
        <w:autoSpaceDN w:val="0"/>
        <w:adjustRightInd w:val="0"/>
        <w:rPr>
          <w:rFonts w:cs="Times New Roman"/>
          <w:sz w:val="24"/>
        </w:rPr>
      </w:pPr>
      <w:r>
        <w:rPr>
          <w:rFonts w:cs="Times New Roman"/>
          <w:sz w:val="24"/>
        </w:rPr>
        <w:t xml:space="preserve">FAO/WHO/UNU </w:t>
      </w:r>
      <w:r w:rsidR="00EA6F40" w:rsidRPr="00C875F5">
        <w:rPr>
          <w:rFonts w:cs="Times New Roman"/>
          <w:sz w:val="24"/>
        </w:rPr>
        <w:t>1985</w:t>
      </w:r>
    </w:p>
    <w:p w:rsidR="00EA6F40" w:rsidRPr="005A4B69" w:rsidRDefault="00EA6F40" w:rsidP="005A4B69">
      <w:pPr>
        <w:widowControl w:val="0"/>
        <w:autoSpaceDE w:val="0"/>
        <w:autoSpaceDN w:val="0"/>
        <w:adjustRightInd w:val="0"/>
        <w:rPr>
          <w:sz w:val="24"/>
        </w:rPr>
      </w:pPr>
      <w:r w:rsidRPr="00C875F5">
        <w:rPr>
          <w:sz w:val="24"/>
        </w:rPr>
        <w:t xml:space="preserve">The reference body </w:t>
      </w:r>
      <w:r w:rsidRPr="00B55A30">
        <w:rPr>
          <w:sz w:val="24"/>
        </w:rPr>
        <w:t xml:space="preserve">weights for children 4 years and older used in the calculation were those generated from data from the 2011-12 Australian Health Survey and ideal BMI for children; </w:t>
      </w:r>
      <w:r w:rsidRPr="00B55A30">
        <w:rPr>
          <w:sz w:val="24"/>
          <w:lang w:val="en-AU"/>
        </w:rPr>
        <w:t xml:space="preserve">the most recent US reference body weight data were used for infants and children aged 1-3 years as no suitable </w:t>
      </w:r>
      <w:r w:rsidRPr="00B55A30">
        <w:rPr>
          <w:sz w:val="24"/>
        </w:rPr>
        <w:t>Australian and New Zealand</w:t>
      </w:r>
      <w:r w:rsidRPr="00B55A30">
        <w:rPr>
          <w:sz w:val="24"/>
          <w:lang w:val="en-AU"/>
        </w:rPr>
        <w:t xml:space="preserve"> data were available for these age groups.</w:t>
      </w:r>
    </w:p>
    <w:p w:rsidR="00EA6F40" w:rsidRPr="00C875F5" w:rsidRDefault="00FA65FD" w:rsidP="00AE0695">
      <w:pPr>
        <w:pStyle w:val="Caption"/>
        <w:rPr>
          <w:rFonts w:cs="Times New Roman"/>
          <w:sz w:val="24"/>
        </w:rPr>
      </w:pPr>
      <w:r>
        <w:lastRenderedPageBreak/>
        <w:t xml:space="preserve">Table </w:t>
      </w:r>
      <w:r w:rsidR="00CA2AA1">
        <w:fldChar w:fldCharType="begin"/>
      </w:r>
      <w:r w:rsidR="00CA2AA1">
        <w:instrText xml:space="preserve"> STYLEREF 1 \s </w:instrText>
      </w:r>
      <w:r w:rsidR="00CA2AA1">
        <w:fldChar w:fldCharType="separate"/>
      </w:r>
      <w:r w:rsidR="00CA2AA1">
        <w:rPr>
          <w:noProof/>
        </w:rPr>
        <w:t>5</w:t>
      </w:r>
      <w:r w:rsidR="00CA2AA1">
        <w:fldChar w:fldCharType="end"/>
      </w:r>
      <w:r w:rsidR="00CA2AA1">
        <w:t>:</w:t>
      </w:r>
      <w:r w:rsidR="00CA2AA1">
        <w:fldChar w:fldCharType="begin"/>
      </w:r>
      <w:r w:rsidR="00CA2AA1">
        <w:instrText xml:space="preserve"> SEQ Table \* ARABIC \s 1 </w:instrText>
      </w:r>
      <w:r w:rsidR="00CA2AA1">
        <w:fldChar w:fldCharType="separate"/>
      </w:r>
      <w:r w:rsidR="00CA2AA1">
        <w:rPr>
          <w:noProof/>
        </w:rPr>
        <w:t>8</w:t>
      </w:r>
      <w:r w:rsidR="00CA2AA1">
        <w:fldChar w:fldCharType="end"/>
      </w:r>
      <w:r w:rsidR="00EA6F40" w:rsidRPr="00C875F5">
        <w:rPr>
          <w:rFonts w:cs="Times New Roman"/>
          <w:sz w:val="24"/>
        </w:rPr>
        <w:t xml:space="preserve"> </w:t>
      </w:r>
      <w:r w:rsidR="00EA6F40">
        <w:rPr>
          <w:rFonts w:cs="Times New Roman"/>
          <w:sz w:val="24"/>
        </w:rPr>
        <w:t xml:space="preserve">‘Ideal’ </w:t>
      </w:r>
      <w:r w:rsidR="00EA6F40" w:rsidRPr="00C875F5">
        <w:rPr>
          <w:rFonts w:cs="Times New Roman"/>
          <w:sz w:val="24"/>
        </w:rPr>
        <w:t>body weights</w:t>
      </w:r>
      <w:r w:rsidR="00EA6F40">
        <w:rPr>
          <w:rFonts w:cs="Times New Roman"/>
          <w:sz w:val="24"/>
        </w:rPr>
        <w:t xml:space="preserve"> for selected age and sex groups</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Description w:val="Table 5.8 contains 3 column headings. column 1. Gender, column 2. Age and column 3. Ideal’ body weights (in kilograms). "/>
      </w:tblPr>
      <w:tblGrid>
        <w:gridCol w:w="1809"/>
        <w:gridCol w:w="2127"/>
        <w:gridCol w:w="2879"/>
      </w:tblGrid>
      <w:tr w:rsidR="00EA6F40" w:rsidRPr="005A4B69" w:rsidTr="00D61633">
        <w:trPr>
          <w:trHeight w:val="567"/>
          <w:tblHeader/>
        </w:trPr>
        <w:tc>
          <w:tcPr>
            <w:tcW w:w="1809" w:type="dxa"/>
            <w:vAlign w:val="center"/>
          </w:tcPr>
          <w:p w:rsidR="00EA6F40" w:rsidRPr="005A4B69" w:rsidRDefault="00EA6F40" w:rsidP="00EA6F40">
            <w:pPr>
              <w:widowControl w:val="0"/>
              <w:autoSpaceDE w:val="0"/>
              <w:autoSpaceDN w:val="0"/>
              <w:adjustRightInd w:val="0"/>
              <w:rPr>
                <w:rStyle w:val="Strong"/>
              </w:rPr>
            </w:pPr>
            <w:r w:rsidRPr="005A4B69">
              <w:rPr>
                <w:rStyle w:val="Strong"/>
              </w:rPr>
              <w:t>Gender</w:t>
            </w:r>
          </w:p>
        </w:tc>
        <w:tc>
          <w:tcPr>
            <w:tcW w:w="2127" w:type="dxa"/>
            <w:vAlign w:val="center"/>
          </w:tcPr>
          <w:p w:rsidR="00EA6F40" w:rsidRPr="005A4B69" w:rsidRDefault="00EA6F40" w:rsidP="00EA6F40">
            <w:pPr>
              <w:widowControl w:val="0"/>
              <w:autoSpaceDE w:val="0"/>
              <w:autoSpaceDN w:val="0"/>
              <w:adjustRightInd w:val="0"/>
              <w:rPr>
                <w:rStyle w:val="Strong"/>
              </w:rPr>
            </w:pPr>
            <w:r w:rsidRPr="005A4B69">
              <w:rPr>
                <w:rStyle w:val="Strong"/>
              </w:rPr>
              <w:t>Age</w:t>
            </w:r>
          </w:p>
        </w:tc>
        <w:tc>
          <w:tcPr>
            <w:tcW w:w="2879" w:type="dxa"/>
            <w:vAlign w:val="center"/>
          </w:tcPr>
          <w:p w:rsidR="00EA6F40" w:rsidRPr="005A4B69" w:rsidRDefault="00EA6F40" w:rsidP="00EA6F40">
            <w:pPr>
              <w:widowControl w:val="0"/>
              <w:autoSpaceDE w:val="0"/>
              <w:autoSpaceDN w:val="0"/>
              <w:adjustRightInd w:val="0"/>
              <w:rPr>
                <w:rStyle w:val="Strong"/>
              </w:rPr>
            </w:pPr>
            <w:r w:rsidRPr="005A4B69">
              <w:rPr>
                <w:rStyle w:val="Strong"/>
              </w:rPr>
              <w:t>‘Ideal’ Body Weight (kg)</w:t>
            </w:r>
          </w:p>
        </w:tc>
      </w:tr>
      <w:tr w:rsidR="00EA6F40" w:rsidRPr="00C875F5" w:rsidTr="008A1B34">
        <w:trPr>
          <w:trHeight w:val="567"/>
        </w:trPr>
        <w:tc>
          <w:tcPr>
            <w:tcW w:w="1809" w:type="dxa"/>
            <w:vAlign w:val="center"/>
          </w:tcPr>
          <w:p w:rsidR="00EA6F40" w:rsidRPr="00C875F5" w:rsidRDefault="00EA6F40" w:rsidP="00EA6F40">
            <w:pPr>
              <w:widowControl w:val="0"/>
              <w:autoSpaceDE w:val="0"/>
              <w:autoSpaceDN w:val="0"/>
              <w:adjustRightInd w:val="0"/>
              <w:rPr>
                <w:rFonts w:cs="Times New Roman"/>
                <w:sz w:val="24"/>
              </w:rPr>
            </w:pPr>
            <w:r>
              <w:rPr>
                <w:rFonts w:cs="Times New Roman"/>
                <w:sz w:val="24"/>
              </w:rPr>
              <w:t>Children</w:t>
            </w:r>
          </w:p>
        </w:tc>
        <w:tc>
          <w:tcPr>
            <w:tcW w:w="2127" w:type="dxa"/>
            <w:vAlign w:val="center"/>
          </w:tcPr>
          <w:p w:rsidR="00EA6F40" w:rsidRPr="00C875F5" w:rsidRDefault="00EA6F40" w:rsidP="00EA6F40">
            <w:pPr>
              <w:widowControl w:val="0"/>
              <w:autoSpaceDE w:val="0"/>
              <w:autoSpaceDN w:val="0"/>
              <w:adjustRightInd w:val="0"/>
              <w:rPr>
                <w:rFonts w:cs="Times New Roman"/>
                <w:sz w:val="24"/>
              </w:rPr>
            </w:pPr>
            <w:r>
              <w:rPr>
                <w:rFonts w:cs="Times New Roman"/>
                <w:sz w:val="24"/>
              </w:rPr>
              <w:t>2</w:t>
            </w:r>
            <w:r w:rsidRPr="00C875F5">
              <w:rPr>
                <w:rFonts w:cs="Times New Roman"/>
                <w:sz w:val="24"/>
              </w:rPr>
              <w:t>-3 years</w:t>
            </w:r>
          </w:p>
        </w:tc>
        <w:tc>
          <w:tcPr>
            <w:tcW w:w="2879" w:type="dxa"/>
            <w:vAlign w:val="center"/>
          </w:tcPr>
          <w:p w:rsidR="00EA6F40" w:rsidRPr="00C875F5" w:rsidRDefault="00EA6F40" w:rsidP="00EA6F40">
            <w:pPr>
              <w:widowControl w:val="0"/>
              <w:autoSpaceDE w:val="0"/>
              <w:autoSpaceDN w:val="0"/>
              <w:adjustRightInd w:val="0"/>
              <w:rPr>
                <w:rFonts w:cs="Times New Roman"/>
                <w:sz w:val="24"/>
              </w:rPr>
            </w:pPr>
            <w:r w:rsidRPr="00C875F5">
              <w:rPr>
                <w:rFonts w:cs="Times New Roman"/>
                <w:sz w:val="24"/>
              </w:rPr>
              <w:t>1</w:t>
            </w:r>
            <w:r>
              <w:rPr>
                <w:rFonts w:cs="Times New Roman"/>
                <w:sz w:val="24"/>
              </w:rPr>
              <w:t>2</w:t>
            </w:r>
          </w:p>
        </w:tc>
      </w:tr>
      <w:tr w:rsidR="00EA6F40" w:rsidRPr="00C875F5" w:rsidTr="008A1B34">
        <w:trPr>
          <w:trHeight w:val="567"/>
        </w:trPr>
        <w:tc>
          <w:tcPr>
            <w:tcW w:w="1809" w:type="dxa"/>
            <w:vAlign w:val="center"/>
          </w:tcPr>
          <w:p w:rsidR="00EA6F40" w:rsidRPr="00C875F5" w:rsidRDefault="00EA6F40" w:rsidP="00EA6F40">
            <w:pPr>
              <w:widowControl w:val="0"/>
              <w:autoSpaceDE w:val="0"/>
              <w:autoSpaceDN w:val="0"/>
              <w:adjustRightInd w:val="0"/>
              <w:rPr>
                <w:rFonts w:cs="Times New Roman"/>
                <w:sz w:val="24"/>
              </w:rPr>
            </w:pPr>
          </w:p>
        </w:tc>
        <w:tc>
          <w:tcPr>
            <w:tcW w:w="2127" w:type="dxa"/>
            <w:vAlign w:val="center"/>
          </w:tcPr>
          <w:p w:rsidR="00EA6F40" w:rsidRPr="00C875F5" w:rsidRDefault="00EA6F40" w:rsidP="00EA6F40">
            <w:pPr>
              <w:widowControl w:val="0"/>
              <w:autoSpaceDE w:val="0"/>
              <w:autoSpaceDN w:val="0"/>
              <w:adjustRightInd w:val="0"/>
              <w:rPr>
                <w:rFonts w:cs="Times New Roman"/>
                <w:sz w:val="24"/>
              </w:rPr>
            </w:pPr>
            <w:r w:rsidRPr="00C875F5">
              <w:rPr>
                <w:rFonts w:cs="Times New Roman"/>
                <w:sz w:val="24"/>
              </w:rPr>
              <w:t>4-8 years</w:t>
            </w:r>
          </w:p>
        </w:tc>
        <w:tc>
          <w:tcPr>
            <w:tcW w:w="2879" w:type="dxa"/>
            <w:vAlign w:val="center"/>
          </w:tcPr>
          <w:p w:rsidR="00EA6F40" w:rsidRPr="00C875F5" w:rsidRDefault="00EA6F40" w:rsidP="00EA6F40">
            <w:pPr>
              <w:widowControl w:val="0"/>
              <w:autoSpaceDE w:val="0"/>
              <w:autoSpaceDN w:val="0"/>
              <w:adjustRightInd w:val="0"/>
              <w:rPr>
                <w:rFonts w:cs="Times New Roman"/>
                <w:sz w:val="24"/>
              </w:rPr>
            </w:pPr>
            <w:r w:rsidRPr="00C875F5">
              <w:rPr>
                <w:rFonts w:cs="Times New Roman"/>
                <w:sz w:val="24"/>
              </w:rPr>
              <w:t>2</w:t>
            </w:r>
            <w:r>
              <w:rPr>
                <w:rFonts w:cs="Times New Roman"/>
                <w:sz w:val="24"/>
              </w:rPr>
              <w:t>2</w:t>
            </w:r>
          </w:p>
        </w:tc>
      </w:tr>
      <w:tr w:rsidR="00EA6F40" w:rsidRPr="00C875F5" w:rsidTr="008A1B34">
        <w:trPr>
          <w:trHeight w:val="567"/>
        </w:trPr>
        <w:tc>
          <w:tcPr>
            <w:tcW w:w="1809" w:type="dxa"/>
            <w:vAlign w:val="center"/>
          </w:tcPr>
          <w:p w:rsidR="00EA6F40" w:rsidRPr="00C875F5" w:rsidRDefault="00EA6F40" w:rsidP="00EA6F40">
            <w:pPr>
              <w:widowControl w:val="0"/>
              <w:autoSpaceDE w:val="0"/>
              <w:autoSpaceDN w:val="0"/>
              <w:adjustRightInd w:val="0"/>
              <w:rPr>
                <w:rFonts w:cs="Times New Roman"/>
                <w:sz w:val="24"/>
              </w:rPr>
            </w:pPr>
            <w:r w:rsidRPr="00C875F5">
              <w:rPr>
                <w:rFonts w:cs="Times New Roman"/>
                <w:sz w:val="24"/>
              </w:rPr>
              <w:t>Males</w:t>
            </w:r>
          </w:p>
        </w:tc>
        <w:tc>
          <w:tcPr>
            <w:tcW w:w="2127" w:type="dxa"/>
            <w:vAlign w:val="center"/>
          </w:tcPr>
          <w:p w:rsidR="00EA6F40" w:rsidRPr="00C875F5" w:rsidRDefault="00EA6F40" w:rsidP="00EA6F40">
            <w:pPr>
              <w:widowControl w:val="0"/>
              <w:autoSpaceDE w:val="0"/>
              <w:autoSpaceDN w:val="0"/>
              <w:adjustRightInd w:val="0"/>
              <w:rPr>
                <w:rFonts w:cs="Times New Roman"/>
                <w:sz w:val="24"/>
              </w:rPr>
            </w:pPr>
            <w:r w:rsidRPr="00C875F5">
              <w:rPr>
                <w:rFonts w:cs="Times New Roman"/>
                <w:sz w:val="24"/>
              </w:rPr>
              <w:t>9-13 years</w:t>
            </w:r>
          </w:p>
        </w:tc>
        <w:tc>
          <w:tcPr>
            <w:tcW w:w="2879" w:type="dxa"/>
            <w:vAlign w:val="center"/>
          </w:tcPr>
          <w:p w:rsidR="00EA6F40" w:rsidRPr="00C875F5" w:rsidRDefault="00EA6F40" w:rsidP="00EA6F40">
            <w:pPr>
              <w:widowControl w:val="0"/>
              <w:autoSpaceDE w:val="0"/>
              <w:autoSpaceDN w:val="0"/>
              <w:adjustRightInd w:val="0"/>
              <w:rPr>
                <w:rFonts w:cs="Times New Roman"/>
                <w:sz w:val="24"/>
              </w:rPr>
            </w:pPr>
            <w:r w:rsidRPr="00C875F5">
              <w:rPr>
                <w:rFonts w:cs="Times New Roman"/>
                <w:sz w:val="24"/>
              </w:rPr>
              <w:t>3</w:t>
            </w:r>
            <w:r>
              <w:rPr>
                <w:rFonts w:cs="Times New Roman"/>
                <w:sz w:val="24"/>
              </w:rPr>
              <w:t>9</w:t>
            </w:r>
          </w:p>
        </w:tc>
      </w:tr>
      <w:tr w:rsidR="00EA6F40" w:rsidRPr="00C875F5" w:rsidTr="008A1B34">
        <w:trPr>
          <w:trHeight w:val="567"/>
        </w:trPr>
        <w:tc>
          <w:tcPr>
            <w:tcW w:w="1809" w:type="dxa"/>
            <w:vAlign w:val="center"/>
          </w:tcPr>
          <w:p w:rsidR="00EA6F40" w:rsidRPr="00C875F5" w:rsidRDefault="00EA6F40" w:rsidP="00EA6F40">
            <w:pPr>
              <w:widowControl w:val="0"/>
              <w:autoSpaceDE w:val="0"/>
              <w:autoSpaceDN w:val="0"/>
              <w:adjustRightInd w:val="0"/>
              <w:rPr>
                <w:rFonts w:cs="Times New Roman"/>
                <w:sz w:val="24"/>
              </w:rPr>
            </w:pPr>
          </w:p>
        </w:tc>
        <w:tc>
          <w:tcPr>
            <w:tcW w:w="2127" w:type="dxa"/>
            <w:vAlign w:val="center"/>
          </w:tcPr>
          <w:p w:rsidR="00EA6F40" w:rsidRPr="00C875F5" w:rsidRDefault="00EA6F40" w:rsidP="00EA6F40">
            <w:pPr>
              <w:widowControl w:val="0"/>
              <w:autoSpaceDE w:val="0"/>
              <w:autoSpaceDN w:val="0"/>
              <w:adjustRightInd w:val="0"/>
              <w:rPr>
                <w:rFonts w:cs="Times New Roman"/>
                <w:sz w:val="24"/>
              </w:rPr>
            </w:pPr>
            <w:r w:rsidRPr="00C875F5">
              <w:rPr>
                <w:rFonts w:cs="Times New Roman"/>
                <w:sz w:val="24"/>
              </w:rPr>
              <w:t>14-18 years</w:t>
            </w:r>
          </w:p>
        </w:tc>
        <w:tc>
          <w:tcPr>
            <w:tcW w:w="2879" w:type="dxa"/>
            <w:vAlign w:val="center"/>
          </w:tcPr>
          <w:p w:rsidR="00EA6F40" w:rsidRPr="00C875F5" w:rsidRDefault="00EA6F40" w:rsidP="00EA6F40">
            <w:pPr>
              <w:widowControl w:val="0"/>
              <w:autoSpaceDE w:val="0"/>
              <w:autoSpaceDN w:val="0"/>
              <w:adjustRightInd w:val="0"/>
              <w:rPr>
                <w:rFonts w:cs="Times New Roman"/>
                <w:sz w:val="24"/>
              </w:rPr>
            </w:pPr>
            <w:r w:rsidRPr="00C875F5">
              <w:rPr>
                <w:rFonts w:cs="Times New Roman"/>
                <w:sz w:val="24"/>
              </w:rPr>
              <w:t>6</w:t>
            </w:r>
            <w:r>
              <w:rPr>
                <w:rFonts w:cs="Times New Roman"/>
                <w:sz w:val="24"/>
              </w:rPr>
              <w:t>3</w:t>
            </w:r>
          </w:p>
        </w:tc>
      </w:tr>
      <w:tr w:rsidR="00EA6F40" w:rsidRPr="00C875F5" w:rsidTr="008A1B34">
        <w:trPr>
          <w:trHeight w:val="567"/>
        </w:trPr>
        <w:tc>
          <w:tcPr>
            <w:tcW w:w="1809" w:type="dxa"/>
            <w:vAlign w:val="center"/>
          </w:tcPr>
          <w:p w:rsidR="00EA6F40" w:rsidRPr="00C875F5" w:rsidRDefault="00EA6F40" w:rsidP="00EA6F40">
            <w:pPr>
              <w:widowControl w:val="0"/>
              <w:autoSpaceDE w:val="0"/>
              <w:autoSpaceDN w:val="0"/>
              <w:adjustRightInd w:val="0"/>
              <w:rPr>
                <w:rFonts w:cs="Times New Roman"/>
                <w:sz w:val="24"/>
              </w:rPr>
            </w:pPr>
          </w:p>
        </w:tc>
        <w:tc>
          <w:tcPr>
            <w:tcW w:w="2127" w:type="dxa"/>
            <w:vAlign w:val="center"/>
          </w:tcPr>
          <w:p w:rsidR="00EA6F40" w:rsidRPr="00C875F5" w:rsidRDefault="00EA6F40" w:rsidP="00EA6F40">
            <w:pPr>
              <w:widowControl w:val="0"/>
              <w:autoSpaceDE w:val="0"/>
              <w:autoSpaceDN w:val="0"/>
              <w:adjustRightInd w:val="0"/>
              <w:rPr>
                <w:rFonts w:cs="Times New Roman"/>
                <w:sz w:val="24"/>
              </w:rPr>
            </w:pPr>
            <w:r w:rsidRPr="00C875F5">
              <w:rPr>
                <w:rFonts w:cs="Times New Roman"/>
                <w:sz w:val="24"/>
              </w:rPr>
              <w:t>19+ years</w:t>
            </w:r>
          </w:p>
        </w:tc>
        <w:tc>
          <w:tcPr>
            <w:tcW w:w="2879" w:type="dxa"/>
            <w:vAlign w:val="center"/>
          </w:tcPr>
          <w:p w:rsidR="00EA6F40" w:rsidRPr="00C875F5" w:rsidRDefault="00EA6F40" w:rsidP="00EA6F40">
            <w:pPr>
              <w:widowControl w:val="0"/>
              <w:autoSpaceDE w:val="0"/>
              <w:autoSpaceDN w:val="0"/>
              <w:adjustRightInd w:val="0"/>
              <w:rPr>
                <w:rFonts w:cs="Times New Roman"/>
                <w:sz w:val="24"/>
              </w:rPr>
            </w:pPr>
            <w:r>
              <w:rPr>
                <w:rFonts w:cs="Times New Roman"/>
                <w:sz w:val="24"/>
              </w:rPr>
              <w:t>67</w:t>
            </w:r>
          </w:p>
        </w:tc>
      </w:tr>
      <w:tr w:rsidR="00EA6F40" w:rsidRPr="00C875F5" w:rsidTr="008A1B34">
        <w:trPr>
          <w:trHeight w:val="567"/>
        </w:trPr>
        <w:tc>
          <w:tcPr>
            <w:tcW w:w="1809" w:type="dxa"/>
            <w:vAlign w:val="center"/>
          </w:tcPr>
          <w:p w:rsidR="00EA6F40" w:rsidRPr="00C875F5" w:rsidRDefault="00EA6F40" w:rsidP="00EA6F40">
            <w:pPr>
              <w:widowControl w:val="0"/>
              <w:autoSpaceDE w:val="0"/>
              <w:autoSpaceDN w:val="0"/>
              <w:adjustRightInd w:val="0"/>
              <w:rPr>
                <w:rFonts w:cs="Times New Roman"/>
                <w:sz w:val="24"/>
              </w:rPr>
            </w:pPr>
            <w:r w:rsidRPr="00C875F5">
              <w:rPr>
                <w:rFonts w:cs="Times New Roman"/>
                <w:sz w:val="24"/>
              </w:rPr>
              <w:t>Females</w:t>
            </w:r>
          </w:p>
        </w:tc>
        <w:tc>
          <w:tcPr>
            <w:tcW w:w="2127" w:type="dxa"/>
            <w:vAlign w:val="center"/>
          </w:tcPr>
          <w:p w:rsidR="00EA6F40" w:rsidRPr="00C875F5" w:rsidRDefault="00EA6F40" w:rsidP="00EA6F40">
            <w:pPr>
              <w:widowControl w:val="0"/>
              <w:autoSpaceDE w:val="0"/>
              <w:autoSpaceDN w:val="0"/>
              <w:adjustRightInd w:val="0"/>
              <w:rPr>
                <w:rFonts w:cs="Times New Roman"/>
                <w:sz w:val="24"/>
              </w:rPr>
            </w:pPr>
            <w:r w:rsidRPr="00C875F5">
              <w:rPr>
                <w:rFonts w:cs="Times New Roman"/>
                <w:sz w:val="24"/>
              </w:rPr>
              <w:t>9-13 years</w:t>
            </w:r>
          </w:p>
        </w:tc>
        <w:tc>
          <w:tcPr>
            <w:tcW w:w="2879" w:type="dxa"/>
            <w:vAlign w:val="center"/>
          </w:tcPr>
          <w:p w:rsidR="00EA6F40" w:rsidRPr="00C875F5" w:rsidRDefault="00EA6F40" w:rsidP="00EA6F40">
            <w:pPr>
              <w:widowControl w:val="0"/>
              <w:autoSpaceDE w:val="0"/>
              <w:autoSpaceDN w:val="0"/>
              <w:adjustRightInd w:val="0"/>
              <w:rPr>
                <w:rFonts w:cs="Times New Roman"/>
                <w:sz w:val="24"/>
              </w:rPr>
            </w:pPr>
            <w:r>
              <w:rPr>
                <w:rFonts w:cs="Times New Roman"/>
                <w:sz w:val="24"/>
              </w:rPr>
              <w:t>40</w:t>
            </w:r>
          </w:p>
        </w:tc>
      </w:tr>
      <w:tr w:rsidR="00EA6F40" w:rsidRPr="00C875F5" w:rsidTr="008A1B34">
        <w:trPr>
          <w:trHeight w:val="567"/>
        </w:trPr>
        <w:tc>
          <w:tcPr>
            <w:tcW w:w="1809" w:type="dxa"/>
            <w:vAlign w:val="center"/>
          </w:tcPr>
          <w:p w:rsidR="00EA6F40" w:rsidRPr="00C875F5" w:rsidRDefault="00EA6F40" w:rsidP="00EA6F40">
            <w:pPr>
              <w:widowControl w:val="0"/>
              <w:autoSpaceDE w:val="0"/>
              <w:autoSpaceDN w:val="0"/>
              <w:adjustRightInd w:val="0"/>
              <w:rPr>
                <w:rFonts w:cs="Times New Roman"/>
                <w:sz w:val="24"/>
              </w:rPr>
            </w:pPr>
          </w:p>
        </w:tc>
        <w:tc>
          <w:tcPr>
            <w:tcW w:w="2127" w:type="dxa"/>
            <w:vAlign w:val="center"/>
          </w:tcPr>
          <w:p w:rsidR="00EA6F40" w:rsidRPr="00C875F5" w:rsidRDefault="00EA6F40" w:rsidP="00EA6F40">
            <w:pPr>
              <w:widowControl w:val="0"/>
              <w:autoSpaceDE w:val="0"/>
              <w:autoSpaceDN w:val="0"/>
              <w:adjustRightInd w:val="0"/>
              <w:rPr>
                <w:rFonts w:cs="Times New Roman"/>
                <w:sz w:val="24"/>
              </w:rPr>
            </w:pPr>
            <w:r w:rsidRPr="00C875F5">
              <w:rPr>
                <w:rFonts w:cs="Times New Roman"/>
                <w:sz w:val="24"/>
              </w:rPr>
              <w:t>14-18 years</w:t>
            </w:r>
          </w:p>
        </w:tc>
        <w:tc>
          <w:tcPr>
            <w:tcW w:w="2879" w:type="dxa"/>
            <w:vAlign w:val="center"/>
          </w:tcPr>
          <w:p w:rsidR="00EA6F40" w:rsidRPr="00C875F5" w:rsidRDefault="00EA6F40" w:rsidP="00EA6F40">
            <w:pPr>
              <w:widowControl w:val="0"/>
              <w:autoSpaceDE w:val="0"/>
              <w:autoSpaceDN w:val="0"/>
              <w:adjustRightInd w:val="0"/>
              <w:rPr>
                <w:rFonts w:cs="Times New Roman"/>
                <w:sz w:val="24"/>
              </w:rPr>
            </w:pPr>
            <w:r w:rsidRPr="00C875F5">
              <w:rPr>
                <w:rFonts w:cs="Times New Roman"/>
                <w:sz w:val="24"/>
              </w:rPr>
              <w:t>5</w:t>
            </w:r>
            <w:r>
              <w:rPr>
                <w:rFonts w:cs="Times New Roman"/>
                <w:sz w:val="24"/>
              </w:rPr>
              <w:t>7</w:t>
            </w:r>
          </w:p>
        </w:tc>
      </w:tr>
      <w:tr w:rsidR="00EA6F40" w:rsidRPr="00C875F5" w:rsidTr="008A1B34">
        <w:trPr>
          <w:trHeight w:val="567"/>
        </w:trPr>
        <w:tc>
          <w:tcPr>
            <w:tcW w:w="1809" w:type="dxa"/>
            <w:vAlign w:val="center"/>
          </w:tcPr>
          <w:p w:rsidR="00EA6F40" w:rsidRPr="00C875F5" w:rsidRDefault="00EA6F40" w:rsidP="00EA6F40">
            <w:pPr>
              <w:widowControl w:val="0"/>
              <w:autoSpaceDE w:val="0"/>
              <w:autoSpaceDN w:val="0"/>
              <w:adjustRightInd w:val="0"/>
              <w:rPr>
                <w:rFonts w:cs="Times New Roman"/>
                <w:sz w:val="24"/>
              </w:rPr>
            </w:pPr>
          </w:p>
        </w:tc>
        <w:tc>
          <w:tcPr>
            <w:tcW w:w="2127" w:type="dxa"/>
            <w:vAlign w:val="center"/>
          </w:tcPr>
          <w:p w:rsidR="00EA6F40" w:rsidRPr="00C875F5" w:rsidRDefault="00EA6F40" w:rsidP="00EA6F40">
            <w:pPr>
              <w:widowControl w:val="0"/>
              <w:autoSpaceDE w:val="0"/>
              <w:autoSpaceDN w:val="0"/>
              <w:adjustRightInd w:val="0"/>
              <w:rPr>
                <w:rFonts w:cs="Times New Roman"/>
                <w:sz w:val="24"/>
              </w:rPr>
            </w:pPr>
            <w:r w:rsidRPr="00C875F5">
              <w:rPr>
                <w:rFonts w:cs="Times New Roman"/>
                <w:sz w:val="24"/>
              </w:rPr>
              <w:t>19+ years</w:t>
            </w:r>
          </w:p>
        </w:tc>
        <w:tc>
          <w:tcPr>
            <w:tcW w:w="2879" w:type="dxa"/>
            <w:vAlign w:val="center"/>
          </w:tcPr>
          <w:p w:rsidR="00EA6F40" w:rsidRPr="00C875F5" w:rsidRDefault="00EA6F40" w:rsidP="00EA6F40">
            <w:pPr>
              <w:widowControl w:val="0"/>
              <w:autoSpaceDE w:val="0"/>
              <w:autoSpaceDN w:val="0"/>
              <w:adjustRightInd w:val="0"/>
              <w:rPr>
                <w:rFonts w:cs="Times New Roman"/>
                <w:sz w:val="24"/>
              </w:rPr>
            </w:pPr>
            <w:r w:rsidRPr="00C875F5">
              <w:rPr>
                <w:rFonts w:cs="Times New Roman"/>
                <w:sz w:val="24"/>
              </w:rPr>
              <w:t>57</w:t>
            </w:r>
          </w:p>
        </w:tc>
      </w:tr>
    </w:tbl>
    <w:p w:rsidR="00EA6F40" w:rsidRPr="00C875F5" w:rsidRDefault="00EA6F40" w:rsidP="00EA6F40">
      <w:pPr>
        <w:widowControl w:val="0"/>
        <w:autoSpaceDE w:val="0"/>
        <w:autoSpaceDN w:val="0"/>
        <w:adjustRightInd w:val="0"/>
        <w:rPr>
          <w:sz w:val="24"/>
        </w:rPr>
      </w:pPr>
      <w:r w:rsidRPr="00C875F5">
        <w:rPr>
          <w:sz w:val="24"/>
        </w:rPr>
        <w:t xml:space="preserve">Thus the Provisional UL (PUL) for the </w:t>
      </w:r>
      <w:r>
        <w:rPr>
          <w:sz w:val="24"/>
        </w:rPr>
        <w:t>2</w:t>
      </w:r>
      <w:r w:rsidRPr="00C875F5">
        <w:rPr>
          <w:sz w:val="24"/>
        </w:rPr>
        <w:t>-3 year, 4-8 year, 14-18 year age groups are as follows</w:t>
      </w:r>
      <w:r>
        <w:rPr>
          <w:sz w:val="24"/>
        </w:rPr>
        <w:t xml:space="preserve"> (calculated to the nearest 10µg)</w:t>
      </w:r>
      <w:r w:rsidRPr="00C875F5">
        <w:rPr>
          <w:sz w:val="24"/>
        </w:rPr>
        <w:t>:</w:t>
      </w:r>
    </w:p>
    <w:p w:rsidR="00EA6F40" w:rsidRPr="00C875F5" w:rsidRDefault="00EA6F40" w:rsidP="00EA6F40">
      <w:pPr>
        <w:widowControl w:val="0"/>
        <w:autoSpaceDE w:val="0"/>
        <w:autoSpaceDN w:val="0"/>
        <w:adjustRightInd w:val="0"/>
        <w:rPr>
          <w:sz w:val="24"/>
        </w:rPr>
      </w:pPr>
      <w:r w:rsidRPr="00C875F5">
        <w:rPr>
          <w:sz w:val="24"/>
        </w:rPr>
        <w:t>PUL</w:t>
      </w:r>
      <w:r w:rsidRPr="00C875F5">
        <w:rPr>
          <w:sz w:val="24"/>
          <w:vertAlign w:val="subscript"/>
        </w:rPr>
        <w:t xml:space="preserve">1-3 </w:t>
      </w:r>
      <w:r w:rsidRPr="00C875F5">
        <w:rPr>
          <w:sz w:val="24"/>
          <w:vertAlign w:val="subscript"/>
        </w:rPr>
        <w:tab/>
      </w:r>
      <w:r w:rsidRPr="00C875F5">
        <w:rPr>
          <w:sz w:val="24"/>
        </w:rPr>
        <w:t xml:space="preserve">= PUL </w:t>
      </w:r>
      <w:r w:rsidRPr="00C875F5">
        <w:rPr>
          <w:sz w:val="24"/>
          <w:vertAlign w:val="subscript"/>
        </w:rPr>
        <w:t>9-13</w:t>
      </w:r>
      <w:r w:rsidRPr="00C875F5">
        <w:rPr>
          <w:sz w:val="24"/>
        </w:rPr>
        <w:t xml:space="preserve"> * (weight </w:t>
      </w:r>
      <w:r w:rsidRPr="00C875F5">
        <w:rPr>
          <w:sz w:val="24"/>
          <w:vertAlign w:val="subscript"/>
        </w:rPr>
        <w:t>1-3</w:t>
      </w:r>
      <w:r w:rsidRPr="00C875F5">
        <w:rPr>
          <w:sz w:val="24"/>
        </w:rPr>
        <w:t xml:space="preserve">/weight </w:t>
      </w:r>
      <w:r w:rsidRPr="00C875F5">
        <w:rPr>
          <w:sz w:val="24"/>
          <w:vertAlign w:val="subscript"/>
        </w:rPr>
        <w:t>9-13</w:t>
      </w:r>
      <w:r w:rsidRPr="00C875F5">
        <w:rPr>
          <w:sz w:val="24"/>
        </w:rPr>
        <w:t>)</w:t>
      </w:r>
      <w:r w:rsidRPr="00C875F5">
        <w:rPr>
          <w:sz w:val="24"/>
          <w:vertAlign w:val="superscript"/>
        </w:rPr>
        <w:t xml:space="preserve"> 0.75 </w:t>
      </w:r>
      <w:r w:rsidRPr="00C875F5">
        <w:rPr>
          <w:sz w:val="24"/>
        </w:rPr>
        <w:t xml:space="preserve"> * (1+0.15)</w:t>
      </w:r>
    </w:p>
    <w:p w:rsidR="00EA6F40" w:rsidRPr="00C875F5" w:rsidRDefault="00EA6F40" w:rsidP="00FA65FD">
      <w:pPr>
        <w:widowControl w:val="0"/>
        <w:tabs>
          <w:tab w:val="left" w:pos="1440"/>
        </w:tabs>
        <w:autoSpaceDE w:val="0"/>
        <w:autoSpaceDN w:val="0"/>
        <w:adjustRightInd w:val="0"/>
        <w:ind w:firstLine="1440"/>
        <w:rPr>
          <w:sz w:val="24"/>
        </w:rPr>
      </w:pPr>
      <w:r>
        <w:rPr>
          <w:sz w:val="24"/>
        </w:rPr>
        <w:t>= (550 * (12/39</w:t>
      </w:r>
      <w:r w:rsidRPr="00C875F5">
        <w:rPr>
          <w:sz w:val="24"/>
        </w:rPr>
        <w:t>)</w:t>
      </w:r>
      <w:r w:rsidRPr="00C875F5">
        <w:rPr>
          <w:sz w:val="24"/>
          <w:vertAlign w:val="superscript"/>
        </w:rPr>
        <w:t xml:space="preserve"> 0.75 </w:t>
      </w:r>
      <w:r w:rsidRPr="00C875F5">
        <w:rPr>
          <w:sz w:val="24"/>
        </w:rPr>
        <w:t xml:space="preserve"> * 1.15)  µg/day</w:t>
      </w:r>
    </w:p>
    <w:p w:rsidR="00EA6F40" w:rsidRDefault="00EA6F40" w:rsidP="00EA6F40">
      <w:pPr>
        <w:widowControl w:val="0"/>
        <w:autoSpaceDE w:val="0"/>
        <w:autoSpaceDN w:val="0"/>
        <w:adjustRightInd w:val="0"/>
        <w:ind w:left="720" w:firstLine="720"/>
        <w:rPr>
          <w:b/>
          <w:sz w:val="24"/>
        </w:rPr>
      </w:pPr>
      <w:r w:rsidRPr="00C875F5">
        <w:rPr>
          <w:sz w:val="24"/>
        </w:rPr>
        <w:t xml:space="preserve">= </w:t>
      </w:r>
      <w:r w:rsidRPr="00FA65FD">
        <w:rPr>
          <w:rStyle w:val="Strong"/>
        </w:rPr>
        <w:t>260 µg/day</w:t>
      </w:r>
    </w:p>
    <w:p w:rsidR="00EA6F40" w:rsidRPr="00213D30" w:rsidRDefault="00EA6F40" w:rsidP="00EA6F40">
      <w:pPr>
        <w:widowControl w:val="0"/>
        <w:autoSpaceDE w:val="0"/>
        <w:autoSpaceDN w:val="0"/>
        <w:adjustRightInd w:val="0"/>
        <w:ind w:hanging="11"/>
        <w:rPr>
          <w:sz w:val="24"/>
        </w:rPr>
      </w:pPr>
      <w:r w:rsidRPr="00213D30">
        <w:rPr>
          <w:sz w:val="24"/>
        </w:rPr>
        <w:t>NB</w:t>
      </w:r>
      <w:r>
        <w:rPr>
          <w:sz w:val="24"/>
        </w:rPr>
        <w:t xml:space="preserve"> This calculation is based on ‘Ideal’ body weight for 1-3 year old children.</w:t>
      </w:r>
    </w:p>
    <w:p w:rsidR="00EA6F40" w:rsidRPr="00C875F5" w:rsidRDefault="00EA6F40" w:rsidP="00EA6F40">
      <w:pPr>
        <w:widowControl w:val="0"/>
        <w:autoSpaceDE w:val="0"/>
        <w:autoSpaceDN w:val="0"/>
        <w:adjustRightInd w:val="0"/>
        <w:rPr>
          <w:sz w:val="24"/>
        </w:rPr>
      </w:pPr>
      <w:r w:rsidRPr="00C875F5">
        <w:rPr>
          <w:sz w:val="24"/>
        </w:rPr>
        <w:t>PUL</w:t>
      </w:r>
      <w:r w:rsidRPr="00C875F5">
        <w:rPr>
          <w:sz w:val="24"/>
          <w:vertAlign w:val="subscript"/>
        </w:rPr>
        <w:t xml:space="preserve">4-8 </w:t>
      </w:r>
      <w:r w:rsidRPr="00C875F5">
        <w:rPr>
          <w:sz w:val="24"/>
          <w:vertAlign w:val="subscript"/>
        </w:rPr>
        <w:tab/>
      </w:r>
      <w:r w:rsidRPr="00C875F5">
        <w:rPr>
          <w:sz w:val="24"/>
        </w:rPr>
        <w:t xml:space="preserve">= PUL </w:t>
      </w:r>
      <w:r w:rsidRPr="00C875F5">
        <w:rPr>
          <w:sz w:val="24"/>
          <w:vertAlign w:val="subscript"/>
        </w:rPr>
        <w:t>9-13</w:t>
      </w:r>
      <w:r w:rsidRPr="00C875F5">
        <w:rPr>
          <w:sz w:val="24"/>
        </w:rPr>
        <w:t xml:space="preserve"> * (weight </w:t>
      </w:r>
      <w:r>
        <w:rPr>
          <w:sz w:val="24"/>
          <w:vertAlign w:val="subscript"/>
        </w:rPr>
        <w:t>4-8</w:t>
      </w:r>
      <w:r w:rsidRPr="00C875F5">
        <w:rPr>
          <w:sz w:val="24"/>
        </w:rPr>
        <w:t xml:space="preserve">/weight </w:t>
      </w:r>
      <w:r w:rsidRPr="00C875F5">
        <w:rPr>
          <w:sz w:val="24"/>
          <w:vertAlign w:val="subscript"/>
        </w:rPr>
        <w:t>9-13</w:t>
      </w:r>
      <w:r w:rsidRPr="00C875F5">
        <w:rPr>
          <w:sz w:val="24"/>
        </w:rPr>
        <w:t>)</w:t>
      </w:r>
      <w:r w:rsidRPr="00C875F5">
        <w:rPr>
          <w:sz w:val="24"/>
          <w:vertAlign w:val="superscript"/>
        </w:rPr>
        <w:t xml:space="preserve"> 0.75 </w:t>
      </w:r>
      <w:r w:rsidRPr="00C875F5">
        <w:rPr>
          <w:sz w:val="24"/>
        </w:rPr>
        <w:t xml:space="preserve"> </w:t>
      </w:r>
    </w:p>
    <w:p w:rsidR="00EA6F40" w:rsidRPr="00C875F5" w:rsidRDefault="00EA6F40" w:rsidP="00FA65FD">
      <w:pPr>
        <w:widowControl w:val="0"/>
        <w:autoSpaceDE w:val="0"/>
        <w:autoSpaceDN w:val="0"/>
        <w:adjustRightInd w:val="0"/>
        <w:ind w:firstLine="1440"/>
        <w:rPr>
          <w:sz w:val="24"/>
        </w:rPr>
      </w:pPr>
      <w:r>
        <w:rPr>
          <w:sz w:val="24"/>
        </w:rPr>
        <w:t>= (550 * (22/39</w:t>
      </w:r>
      <w:r w:rsidRPr="00C875F5">
        <w:rPr>
          <w:sz w:val="24"/>
        </w:rPr>
        <w:t>)</w:t>
      </w:r>
      <w:r w:rsidRPr="00C875F5">
        <w:rPr>
          <w:sz w:val="24"/>
          <w:vertAlign w:val="superscript"/>
        </w:rPr>
        <w:t>0.75</w:t>
      </w:r>
      <w:r w:rsidRPr="00C875F5">
        <w:rPr>
          <w:sz w:val="24"/>
        </w:rPr>
        <w:t>)</w:t>
      </w:r>
      <w:r w:rsidRPr="00C875F5">
        <w:rPr>
          <w:sz w:val="24"/>
          <w:vertAlign w:val="superscript"/>
        </w:rPr>
        <w:t xml:space="preserve"> </w:t>
      </w:r>
      <w:r w:rsidRPr="00C875F5">
        <w:rPr>
          <w:sz w:val="24"/>
        </w:rPr>
        <w:t>µg/day</w:t>
      </w:r>
    </w:p>
    <w:p w:rsidR="00EA6F40" w:rsidRPr="00C875F5" w:rsidRDefault="00EA6F40" w:rsidP="00FA65FD">
      <w:pPr>
        <w:widowControl w:val="0"/>
        <w:autoSpaceDE w:val="0"/>
        <w:autoSpaceDN w:val="0"/>
        <w:adjustRightInd w:val="0"/>
        <w:ind w:firstLine="1440"/>
        <w:rPr>
          <w:b/>
          <w:sz w:val="24"/>
        </w:rPr>
      </w:pPr>
      <w:r w:rsidRPr="00C875F5">
        <w:rPr>
          <w:sz w:val="24"/>
        </w:rPr>
        <w:t xml:space="preserve">= </w:t>
      </w:r>
      <w:r w:rsidRPr="00FA65FD">
        <w:rPr>
          <w:rStyle w:val="Strong"/>
        </w:rPr>
        <w:t>360 µg/day</w:t>
      </w:r>
      <w:r>
        <w:rPr>
          <w:b/>
          <w:sz w:val="24"/>
        </w:rPr>
        <w:t xml:space="preserve"> </w:t>
      </w:r>
    </w:p>
    <w:p w:rsidR="00EA6F40" w:rsidRPr="00C875F5" w:rsidRDefault="00EA6F40" w:rsidP="00EA6F40">
      <w:pPr>
        <w:widowControl w:val="0"/>
        <w:autoSpaceDE w:val="0"/>
        <w:autoSpaceDN w:val="0"/>
        <w:adjustRightInd w:val="0"/>
        <w:rPr>
          <w:b/>
          <w:sz w:val="24"/>
        </w:rPr>
      </w:pPr>
      <w:r w:rsidRPr="00C875F5">
        <w:rPr>
          <w:sz w:val="24"/>
        </w:rPr>
        <w:t>PUL</w:t>
      </w:r>
      <w:r w:rsidRPr="00C875F5">
        <w:rPr>
          <w:sz w:val="24"/>
          <w:vertAlign w:val="subscript"/>
        </w:rPr>
        <w:t>9-13</w:t>
      </w:r>
      <w:r w:rsidRPr="00C875F5">
        <w:rPr>
          <w:sz w:val="24"/>
          <w:vertAlign w:val="subscript"/>
        </w:rPr>
        <w:tab/>
        <w:t xml:space="preserve">= </w:t>
      </w:r>
      <w:r w:rsidRPr="00C875F5">
        <w:rPr>
          <w:b/>
          <w:sz w:val="24"/>
        </w:rPr>
        <w:t>550 µg/day</w:t>
      </w:r>
    </w:p>
    <w:p w:rsidR="00EA6F40" w:rsidRPr="00C875F5" w:rsidRDefault="00EA6F40" w:rsidP="00EA6F40">
      <w:pPr>
        <w:widowControl w:val="0"/>
        <w:autoSpaceDE w:val="0"/>
        <w:autoSpaceDN w:val="0"/>
        <w:adjustRightInd w:val="0"/>
        <w:rPr>
          <w:sz w:val="24"/>
        </w:rPr>
      </w:pPr>
      <w:r w:rsidRPr="00C875F5">
        <w:rPr>
          <w:sz w:val="24"/>
        </w:rPr>
        <w:t>PUL</w:t>
      </w:r>
      <w:r w:rsidRPr="00C875F5">
        <w:rPr>
          <w:sz w:val="24"/>
          <w:vertAlign w:val="subscript"/>
        </w:rPr>
        <w:t>14-18 males</w:t>
      </w:r>
      <w:r w:rsidRPr="00C875F5">
        <w:rPr>
          <w:sz w:val="24"/>
          <w:vertAlign w:val="subscript"/>
        </w:rPr>
        <w:tab/>
      </w:r>
      <w:r w:rsidRPr="00C875F5">
        <w:rPr>
          <w:sz w:val="24"/>
        </w:rPr>
        <w:t xml:space="preserve">= PUL </w:t>
      </w:r>
      <w:r w:rsidRPr="00C875F5">
        <w:rPr>
          <w:sz w:val="24"/>
          <w:vertAlign w:val="subscript"/>
        </w:rPr>
        <w:t>9-13</w:t>
      </w:r>
      <w:r w:rsidRPr="00C875F5">
        <w:rPr>
          <w:sz w:val="24"/>
        </w:rPr>
        <w:t xml:space="preserve"> * (weight </w:t>
      </w:r>
      <w:r w:rsidRPr="00C875F5">
        <w:rPr>
          <w:sz w:val="24"/>
          <w:vertAlign w:val="subscript"/>
        </w:rPr>
        <w:t>14-18</w:t>
      </w:r>
      <w:r w:rsidRPr="00C875F5">
        <w:rPr>
          <w:sz w:val="24"/>
        </w:rPr>
        <w:t xml:space="preserve">/weight </w:t>
      </w:r>
      <w:r w:rsidRPr="00C875F5">
        <w:rPr>
          <w:sz w:val="24"/>
          <w:vertAlign w:val="subscript"/>
        </w:rPr>
        <w:t>9-13</w:t>
      </w:r>
      <w:r w:rsidRPr="00C875F5">
        <w:rPr>
          <w:sz w:val="24"/>
        </w:rPr>
        <w:t>)</w:t>
      </w:r>
      <w:r w:rsidRPr="00C875F5">
        <w:rPr>
          <w:sz w:val="24"/>
          <w:vertAlign w:val="superscript"/>
        </w:rPr>
        <w:t xml:space="preserve"> 0.75 </w:t>
      </w:r>
      <w:r w:rsidRPr="00C875F5">
        <w:rPr>
          <w:sz w:val="24"/>
        </w:rPr>
        <w:t xml:space="preserve"> </w:t>
      </w:r>
    </w:p>
    <w:p w:rsidR="00EA6F40" w:rsidRPr="00C875F5" w:rsidRDefault="00EA6F40" w:rsidP="00FA65FD">
      <w:pPr>
        <w:widowControl w:val="0"/>
        <w:autoSpaceDE w:val="0"/>
        <w:autoSpaceDN w:val="0"/>
        <w:adjustRightInd w:val="0"/>
        <w:ind w:firstLine="1440"/>
        <w:rPr>
          <w:sz w:val="24"/>
        </w:rPr>
      </w:pPr>
      <w:r>
        <w:rPr>
          <w:sz w:val="24"/>
        </w:rPr>
        <w:t>= (550 * (63/39</w:t>
      </w:r>
      <w:r w:rsidRPr="00C875F5">
        <w:rPr>
          <w:sz w:val="24"/>
        </w:rPr>
        <w:t>)</w:t>
      </w:r>
      <w:r w:rsidRPr="00C875F5">
        <w:rPr>
          <w:sz w:val="24"/>
          <w:vertAlign w:val="superscript"/>
        </w:rPr>
        <w:t xml:space="preserve"> 0.75 </w:t>
      </w:r>
      <w:r w:rsidRPr="00C875F5">
        <w:rPr>
          <w:sz w:val="24"/>
        </w:rPr>
        <w:t xml:space="preserve"> ) µg/day</w:t>
      </w:r>
    </w:p>
    <w:p w:rsidR="00EA6F40" w:rsidRPr="00C875F5" w:rsidRDefault="00EA6F40" w:rsidP="00FA65FD">
      <w:pPr>
        <w:widowControl w:val="0"/>
        <w:autoSpaceDE w:val="0"/>
        <w:autoSpaceDN w:val="0"/>
        <w:adjustRightInd w:val="0"/>
        <w:ind w:firstLine="1440"/>
        <w:rPr>
          <w:b/>
          <w:sz w:val="24"/>
        </w:rPr>
      </w:pPr>
      <w:r>
        <w:rPr>
          <w:b/>
          <w:sz w:val="24"/>
        </w:rPr>
        <w:t xml:space="preserve">= </w:t>
      </w:r>
      <w:r w:rsidRPr="00FA65FD">
        <w:rPr>
          <w:rStyle w:val="Strong"/>
        </w:rPr>
        <w:t>790 µg/day</w:t>
      </w:r>
    </w:p>
    <w:p w:rsidR="00EA6F40" w:rsidRPr="00C875F5" w:rsidRDefault="00EA6F40" w:rsidP="00EA6F40">
      <w:pPr>
        <w:widowControl w:val="0"/>
        <w:autoSpaceDE w:val="0"/>
        <w:autoSpaceDN w:val="0"/>
        <w:adjustRightInd w:val="0"/>
        <w:rPr>
          <w:sz w:val="24"/>
        </w:rPr>
      </w:pPr>
      <w:r w:rsidRPr="00C875F5">
        <w:rPr>
          <w:sz w:val="24"/>
        </w:rPr>
        <w:t>PUL</w:t>
      </w:r>
      <w:r w:rsidRPr="00C875F5">
        <w:rPr>
          <w:sz w:val="24"/>
          <w:vertAlign w:val="subscript"/>
        </w:rPr>
        <w:t>14-18 females</w:t>
      </w:r>
      <w:r w:rsidRPr="00C875F5">
        <w:rPr>
          <w:sz w:val="24"/>
          <w:vertAlign w:val="subscript"/>
        </w:rPr>
        <w:tab/>
      </w:r>
      <w:r w:rsidRPr="00C875F5">
        <w:rPr>
          <w:sz w:val="24"/>
        </w:rPr>
        <w:t xml:space="preserve">= PUL </w:t>
      </w:r>
      <w:r w:rsidRPr="00C875F5">
        <w:rPr>
          <w:sz w:val="24"/>
          <w:vertAlign w:val="subscript"/>
        </w:rPr>
        <w:t>9-13</w:t>
      </w:r>
      <w:r w:rsidRPr="00C875F5">
        <w:rPr>
          <w:sz w:val="24"/>
        </w:rPr>
        <w:t xml:space="preserve"> * (weight </w:t>
      </w:r>
      <w:r w:rsidRPr="00C875F5">
        <w:rPr>
          <w:sz w:val="24"/>
          <w:vertAlign w:val="subscript"/>
        </w:rPr>
        <w:t>14-18</w:t>
      </w:r>
      <w:r w:rsidRPr="00C875F5">
        <w:rPr>
          <w:sz w:val="24"/>
        </w:rPr>
        <w:t xml:space="preserve">/weight </w:t>
      </w:r>
      <w:r w:rsidRPr="00C875F5">
        <w:rPr>
          <w:sz w:val="24"/>
          <w:vertAlign w:val="subscript"/>
        </w:rPr>
        <w:t>9-13</w:t>
      </w:r>
      <w:r w:rsidRPr="00C875F5">
        <w:rPr>
          <w:sz w:val="24"/>
        </w:rPr>
        <w:t>)</w:t>
      </w:r>
      <w:r w:rsidRPr="00C875F5">
        <w:rPr>
          <w:sz w:val="24"/>
          <w:vertAlign w:val="superscript"/>
        </w:rPr>
        <w:t xml:space="preserve"> 0.75 </w:t>
      </w:r>
      <w:r w:rsidRPr="00C875F5">
        <w:rPr>
          <w:sz w:val="24"/>
        </w:rPr>
        <w:t xml:space="preserve"> </w:t>
      </w:r>
    </w:p>
    <w:p w:rsidR="00EA6F40" w:rsidRPr="00C875F5" w:rsidRDefault="00EA6F40" w:rsidP="00FA65FD">
      <w:pPr>
        <w:widowControl w:val="0"/>
        <w:autoSpaceDE w:val="0"/>
        <w:autoSpaceDN w:val="0"/>
        <w:adjustRightInd w:val="0"/>
        <w:ind w:firstLine="1440"/>
        <w:rPr>
          <w:sz w:val="24"/>
        </w:rPr>
      </w:pPr>
      <w:r w:rsidRPr="00C875F5">
        <w:rPr>
          <w:sz w:val="24"/>
        </w:rPr>
        <w:t>= (550 * (</w:t>
      </w:r>
      <w:r>
        <w:rPr>
          <w:sz w:val="24"/>
        </w:rPr>
        <w:t>57</w:t>
      </w:r>
      <w:r w:rsidRPr="00C875F5">
        <w:rPr>
          <w:sz w:val="24"/>
        </w:rPr>
        <w:t>/</w:t>
      </w:r>
      <w:r>
        <w:rPr>
          <w:sz w:val="24"/>
        </w:rPr>
        <w:t>40</w:t>
      </w:r>
      <w:r w:rsidRPr="00C875F5">
        <w:rPr>
          <w:sz w:val="24"/>
        </w:rPr>
        <w:t>)</w:t>
      </w:r>
      <w:r w:rsidRPr="00C875F5">
        <w:rPr>
          <w:sz w:val="24"/>
          <w:vertAlign w:val="superscript"/>
        </w:rPr>
        <w:t xml:space="preserve"> 0.75 </w:t>
      </w:r>
      <w:r w:rsidRPr="00C875F5">
        <w:rPr>
          <w:sz w:val="24"/>
        </w:rPr>
        <w:t xml:space="preserve">) µg/day </w:t>
      </w:r>
    </w:p>
    <w:p w:rsidR="00EA6F40" w:rsidRPr="00C875F5" w:rsidRDefault="00EA6F40" w:rsidP="00FA65FD">
      <w:pPr>
        <w:widowControl w:val="0"/>
        <w:autoSpaceDE w:val="0"/>
        <w:autoSpaceDN w:val="0"/>
        <w:adjustRightInd w:val="0"/>
        <w:ind w:firstLine="1440"/>
        <w:rPr>
          <w:sz w:val="24"/>
        </w:rPr>
      </w:pPr>
      <w:r w:rsidRPr="00C875F5">
        <w:rPr>
          <w:sz w:val="24"/>
        </w:rPr>
        <w:t xml:space="preserve">= </w:t>
      </w:r>
      <w:r w:rsidRPr="00FA65FD">
        <w:rPr>
          <w:rStyle w:val="Strong"/>
        </w:rPr>
        <w:t>720 µg/day</w:t>
      </w:r>
    </w:p>
    <w:p w:rsidR="00EA6F40" w:rsidRDefault="00EA6F40" w:rsidP="005A4B69">
      <w:pPr>
        <w:widowControl w:val="0"/>
        <w:autoSpaceDE w:val="0"/>
        <w:autoSpaceDN w:val="0"/>
        <w:adjustRightInd w:val="0"/>
        <w:rPr>
          <w:rFonts w:cs="Times New Roman"/>
          <w:sz w:val="24"/>
        </w:rPr>
      </w:pPr>
      <w:r w:rsidRPr="00C875F5">
        <w:rPr>
          <w:rFonts w:cs="Times New Roman"/>
          <w:sz w:val="24"/>
        </w:rPr>
        <w:t>NB. It should be noted that this value for females 14-18 years applies only to those who are neither pregnant nor lactating.</w:t>
      </w:r>
      <w:r>
        <w:rPr>
          <w:rFonts w:cs="Times New Roman"/>
          <w:sz w:val="24"/>
        </w:rPr>
        <w:br w:type="page"/>
      </w:r>
    </w:p>
    <w:p w:rsidR="00EA6F40" w:rsidRPr="00FA65FD" w:rsidRDefault="00EA6F40" w:rsidP="000A4E22">
      <w:pPr>
        <w:pStyle w:val="Heading1"/>
      </w:pPr>
      <w:bookmarkStart w:id="144" w:name="_Toc279228362"/>
      <w:bookmarkStart w:id="145" w:name="_Toc433621798"/>
      <w:r w:rsidRPr="00FA65FD">
        <w:lastRenderedPageBreak/>
        <w:t>Guideline Recommendations</w:t>
      </w:r>
      <w:bookmarkEnd w:id="144"/>
      <w:bookmarkEnd w:id="145"/>
    </w:p>
    <w:p w:rsidR="00EA6F40" w:rsidRPr="002F33D3" w:rsidRDefault="00EA6F40" w:rsidP="00C779C2">
      <w:pPr>
        <w:rPr>
          <w:sz w:val="24"/>
        </w:rPr>
      </w:pPr>
      <w:r w:rsidRPr="006139F0">
        <w:rPr>
          <w:sz w:val="24"/>
        </w:rPr>
        <w:t>The Iodine Expert Working Group (EWG) concluded that the most recent studies on iodine status and thyroid function in adults (ie published between 2002-201</w:t>
      </w:r>
      <w:r>
        <w:rPr>
          <w:sz w:val="24"/>
        </w:rPr>
        <w:t>4</w:t>
      </w:r>
      <w:r w:rsidRPr="006139F0">
        <w:rPr>
          <w:sz w:val="24"/>
        </w:rPr>
        <w:t>) did not present any new evidence and</w:t>
      </w:r>
      <w:r w:rsidR="00C779C2">
        <w:rPr>
          <w:sz w:val="24"/>
        </w:rPr>
        <w:t xml:space="preserve"> that</w:t>
      </w:r>
      <w:r w:rsidRPr="006139F0">
        <w:rPr>
          <w:sz w:val="24"/>
        </w:rPr>
        <w:t xml:space="preserve"> the current EAR (100 µg/day) and RDI (150µg/day) should remain unchanged from that set in 2006</w:t>
      </w:r>
      <w:r>
        <w:rPr>
          <w:sz w:val="24"/>
        </w:rPr>
        <w:t xml:space="preserve"> (</w:t>
      </w:r>
      <w:r w:rsidR="00C779C2">
        <w:rPr>
          <w:sz w:val="24"/>
        </w:rPr>
        <w:fldChar w:fldCharType="begin"/>
      </w:r>
      <w:r w:rsidR="00C779C2">
        <w:rPr>
          <w:sz w:val="24"/>
        </w:rPr>
        <w:instrText xml:space="preserve"> REF _Ref430937778 \h </w:instrText>
      </w:r>
      <w:r w:rsidR="00C779C2">
        <w:rPr>
          <w:sz w:val="24"/>
        </w:rPr>
      </w:r>
      <w:r w:rsidR="00C779C2">
        <w:rPr>
          <w:sz w:val="24"/>
        </w:rPr>
        <w:fldChar w:fldCharType="separate"/>
      </w:r>
      <w:r w:rsidR="00C779C2">
        <w:t xml:space="preserve">Table </w:t>
      </w:r>
      <w:r w:rsidR="00C779C2">
        <w:rPr>
          <w:noProof/>
        </w:rPr>
        <w:t>6</w:t>
      </w:r>
      <w:r w:rsidR="00C779C2">
        <w:t>:</w:t>
      </w:r>
      <w:r w:rsidR="00C779C2">
        <w:rPr>
          <w:noProof/>
        </w:rPr>
        <w:t>1</w:t>
      </w:r>
      <w:r w:rsidR="00C779C2">
        <w:rPr>
          <w:sz w:val="24"/>
        </w:rPr>
        <w:fldChar w:fldCharType="end"/>
      </w:r>
      <w:r>
        <w:rPr>
          <w:sz w:val="24"/>
        </w:rPr>
        <w:t>;</w:t>
      </w:r>
      <w:r w:rsidR="00C779C2">
        <w:rPr>
          <w:sz w:val="24"/>
        </w:rPr>
        <w:t xml:space="preserve"> </w:t>
      </w:r>
      <w:r w:rsidR="00C779C2">
        <w:rPr>
          <w:sz w:val="24"/>
        </w:rPr>
        <w:fldChar w:fldCharType="begin"/>
      </w:r>
      <w:r w:rsidR="00C779C2">
        <w:rPr>
          <w:sz w:val="24"/>
        </w:rPr>
        <w:instrText xml:space="preserve"> REF _Ref430937793 \h </w:instrText>
      </w:r>
      <w:r w:rsidR="00C779C2">
        <w:rPr>
          <w:sz w:val="24"/>
        </w:rPr>
      </w:r>
      <w:r w:rsidR="00C779C2">
        <w:rPr>
          <w:sz w:val="24"/>
        </w:rPr>
        <w:fldChar w:fldCharType="separate"/>
      </w:r>
      <w:r w:rsidR="00C779C2">
        <w:t xml:space="preserve">Table </w:t>
      </w:r>
      <w:r w:rsidR="00C779C2">
        <w:rPr>
          <w:noProof/>
        </w:rPr>
        <w:t>6</w:t>
      </w:r>
      <w:r w:rsidR="00C779C2">
        <w:t>:</w:t>
      </w:r>
      <w:r w:rsidR="00C779C2">
        <w:rPr>
          <w:noProof/>
        </w:rPr>
        <w:t>2</w:t>
      </w:r>
      <w:r w:rsidR="00C779C2">
        <w:rPr>
          <w:sz w:val="24"/>
        </w:rPr>
        <w:fldChar w:fldCharType="end"/>
      </w:r>
      <w:r>
        <w:rPr>
          <w:sz w:val="24"/>
        </w:rPr>
        <w:t>)</w:t>
      </w:r>
      <w:r w:rsidRPr="006139F0">
        <w:rPr>
          <w:sz w:val="24"/>
        </w:rPr>
        <w:t>.</w:t>
      </w:r>
      <w:r>
        <w:rPr>
          <w:sz w:val="24"/>
        </w:rPr>
        <w:t xml:space="preserve"> Similarly there was no new evidence to change the EAR (160 µg/day) and RDI (220 µg/day) for pregnant women (</w:t>
      </w:r>
      <w:r w:rsidR="00C779C2">
        <w:rPr>
          <w:sz w:val="24"/>
        </w:rPr>
        <w:fldChar w:fldCharType="begin"/>
      </w:r>
      <w:r w:rsidR="00C779C2">
        <w:rPr>
          <w:sz w:val="24"/>
        </w:rPr>
        <w:instrText xml:space="preserve"> REF _Ref430937808 \h </w:instrText>
      </w:r>
      <w:r w:rsidR="00C779C2">
        <w:rPr>
          <w:sz w:val="24"/>
        </w:rPr>
      </w:r>
      <w:r w:rsidR="00C779C2">
        <w:rPr>
          <w:sz w:val="24"/>
        </w:rPr>
        <w:fldChar w:fldCharType="separate"/>
      </w:r>
      <w:r w:rsidR="00C779C2">
        <w:t xml:space="preserve">Table </w:t>
      </w:r>
      <w:r w:rsidR="00C779C2">
        <w:rPr>
          <w:noProof/>
        </w:rPr>
        <w:t>6</w:t>
      </w:r>
      <w:r w:rsidR="00C779C2">
        <w:t>:</w:t>
      </w:r>
      <w:r w:rsidR="00C779C2">
        <w:rPr>
          <w:noProof/>
        </w:rPr>
        <w:t>3</w:t>
      </w:r>
      <w:r w:rsidR="00C779C2">
        <w:rPr>
          <w:sz w:val="24"/>
        </w:rPr>
        <w:fldChar w:fldCharType="end"/>
      </w:r>
      <w:r>
        <w:rPr>
          <w:sz w:val="24"/>
        </w:rPr>
        <w:t>). On the other hand the EWG recommends changes to the ULs for children</w:t>
      </w:r>
      <w:r w:rsidRPr="002F33D3">
        <w:rPr>
          <w:sz w:val="24"/>
        </w:rPr>
        <w:t xml:space="preserve">, </w:t>
      </w:r>
      <w:r>
        <w:rPr>
          <w:sz w:val="24"/>
        </w:rPr>
        <w:t>based on o</w:t>
      </w:r>
      <w:r w:rsidRPr="002F33D3">
        <w:rPr>
          <w:sz w:val="24"/>
        </w:rPr>
        <w:t xml:space="preserve">ne study </w:t>
      </w:r>
      <w:r>
        <w:rPr>
          <w:sz w:val="24"/>
        </w:rPr>
        <w:t xml:space="preserve">which </w:t>
      </w:r>
      <w:r w:rsidRPr="002F33D3">
        <w:rPr>
          <w:sz w:val="24"/>
        </w:rPr>
        <w:t>provided a sound basis to determine a threshold dose for an increase in thyroid volume in response to excess dietary iodine (Zimmermann et al 2005).</w:t>
      </w:r>
      <w:r>
        <w:rPr>
          <w:sz w:val="24"/>
        </w:rPr>
        <w:t xml:space="preserve">  However, in view of the limited data, the EWG recommends that these be renamed Provisional ULs (</w:t>
      </w:r>
      <w:r w:rsidR="00C779C2">
        <w:rPr>
          <w:sz w:val="24"/>
        </w:rPr>
        <w:fldChar w:fldCharType="begin"/>
      </w:r>
      <w:r w:rsidR="00C779C2">
        <w:rPr>
          <w:sz w:val="24"/>
        </w:rPr>
        <w:instrText xml:space="preserve"> REF _Ref430937820 \h </w:instrText>
      </w:r>
      <w:r w:rsidR="00C779C2">
        <w:rPr>
          <w:sz w:val="24"/>
        </w:rPr>
      </w:r>
      <w:r w:rsidR="00C779C2">
        <w:rPr>
          <w:sz w:val="24"/>
        </w:rPr>
        <w:fldChar w:fldCharType="separate"/>
      </w:r>
      <w:r w:rsidR="00C779C2">
        <w:t xml:space="preserve">Table </w:t>
      </w:r>
      <w:r w:rsidR="00C779C2">
        <w:rPr>
          <w:noProof/>
        </w:rPr>
        <w:t>6</w:t>
      </w:r>
      <w:r w:rsidR="00C779C2">
        <w:t>:</w:t>
      </w:r>
      <w:r w:rsidR="00C779C2">
        <w:rPr>
          <w:noProof/>
        </w:rPr>
        <w:t>4</w:t>
      </w:r>
      <w:r w:rsidR="00C779C2">
        <w:rPr>
          <w:sz w:val="24"/>
        </w:rPr>
        <w:fldChar w:fldCharType="end"/>
      </w:r>
      <w:r>
        <w:rPr>
          <w:sz w:val="24"/>
        </w:rPr>
        <w:t>).  These are compared with the current ULs in</w:t>
      </w:r>
      <w:r w:rsidR="00C779C2">
        <w:rPr>
          <w:sz w:val="24"/>
        </w:rPr>
        <w:t xml:space="preserve"> </w:t>
      </w:r>
      <w:r w:rsidR="00C779C2">
        <w:rPr>
          <w:sz w:val="24"/>
        </w:rPr>
        <w:fldChar w:fldCharType="begin"/>
      </w:r>
      <w:r w:rsidR="00C779C2">
        <w:rPr>
          <w:sz w:val="24"/>
        </w:rPr>
        <w:instrText xml:space="preserve"> REF _Ref430937830 \h </w:instrText>
      </w:r>
      <w:r w:rsidR="00C779C2">
        <w:rPr>
          <w:sz w:val="24"/>
        </w:rPr>
      </w:r>
      <w:r w:rsidR="00C779C2">
        <w:rPr>
          <w:sz w:val="24"/>
        </w:rPr>
        <w:fldChar w:fldCharType="separate"/>
      </w:r>
      <w:r w:rsidR="00C779C2">
        <w:t xml:space="preserve">Table </w:t>
      </w:r>
      <w:r w:rsidR="00C779C2">
        <w:rPr>
          <w:noProof/>
        </w:rPr>
        <w:t>6</w:t>
      </w:r>
      <w:r w:rsidR="00C779C2">
        <w:t>:</w:t>
      </w:r>
      <w:r w:rsidR="00C779C2">
        <w:rPr>
          <w:noProof/>
        </w:rPr>
        <w:t>5</w:t>
      </w:r>
      <w:r w:rsidR="00C779C2">
        <w:rPr>
          <w:sz w:val="24"/>
        </w:rPr>
        <w:fldChar w:fldCharType="end"/>
      </w:r>
      <w:r>
        <w:rPr>
          <w:sz w:val="24"/>
        </w:rPr>
        <w:t>.</w:t>
      </w:r>
    </w:p>
    <w:p w:rsidR="00EA6F40" w:rsidRPr="004C7E70" w:rsidRDefault="00EA6F40" w:rsidP="000A4E22">
      <w:pPr>
        <w:pStyle w:val="Heading2"/>
      </w:pPr>
      <w:bookmarkStart w:id="146" w:name="_Toc433621799"/>
      <w:r w:rsidRPr="004C7E70">
        <w:t>Proposed recommendations</w:t>
      </w:r>
      <w:bookmarkEnd w:id="146"/>
    </w:p>
    <w:p w:rsidR="00EA6F40" w:rsidRPr="00C875F5" w:rsidRDefault="00FA65FD" w:rsidP="00AE0695">
      <w:pPr>
        <w:pStyle w:val="Caption"/>
      </w:pPr>
      <w:bookmarkStart w:id="147" w:name="_Ref430937778"/>
      <w:r>
        <w:t xml:space="preserve">Table </w:t>
      </w:r>
      <w:r w:rsidR="00CA2AA1">
        <w:fldChar w:fldCharType="begin"/>
      </w:r>
      <w:r w:rsidR="00CA2AA1">
        <w:instrText xml:space="preserve"> STYLEREF 1 \s </w:instrText>
      </w:r>
      <w:r w:rsidR="00CA2AA1">
        <w:fldChar w:fldCharType="separate"/>
      </w:r>
      <w:r w:rsidR="00CA2AA1">
        <w:rPr>
          <w:noProof/>
        </w:rPr>
        <w:t>6</w:t>
      </w:r>
      <w:r w:rsidR="00CA2AA1">
        <w:fldChar w:fldCharType="end"/>
      </w:r>
      <w:r w:rsidR="00CA2AA1">
        <w:t>:</w:t>
      </w:r>
      <w:r w:rsidR="00CA2AA1">
        <w:fldChar w:fldCharType="begin"/>
      </w:r>
      <w:r w:rsidR="00CA2AA1">
        <w:instrText xml:space="preserve"> SEQ Table \* ARABIC \s 1 </w:instrText>
      </w:r>
      <w:r w:rsidR="00CA2AA1">
        <w:fldChar w:fldCharType="separate"/>
      </w:r>
      <w:r w:rsidR="00CA2AA1">
        <w:rPr>
          <w:noProof/>
        </w:rPr>
        <w:t>1</w:t>
      </w:r>
      <w:r w:rsidR="00CA2AA1">
        <w:fldChar w:fldCharType="end"/>
      </w:r>
      <w:bookmarkEnd w:id="147"/>
      <w:r w:rsidR="005A4B69">
        <w:t xml:space="preserve"> </w:t>
      </w:r>
      <w:r w:rsidR="00EA6F40" w:rsidRPr="00C875F5">
        <w:t>Recommended Iodine EAR for adults aged 19 years and older</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Description w:val="Table 6.1 show the recommended Iodine Estimated Average Requirement (EAR) for adults aged 19 years and older. This table contains 2 column headings; column 1. Gender groups by age and column 2. Iodine measurements (μg/day). "/>
      </w:tblPr>
      <w:tblGrid>
        <w:gridCol w:w="4258"/>
        <w:gridCol w:w="4258"/>
      </w:tblGrid>
      <w:tr w:rsidR="005A4B69" w:rsidRPr="00C875F5" w:rsidTr="00C779C2">
        <w:trPr>
          <w:trHeight w:val="567"/>
          <w:tblHeader/>
        </w:trPr>
        <w:tc>
          <w:tcPr>
            <w:tcW w:w="4258" w:type="dxa"/>
            <w:vAlign w:val="center"/>
          </w:tcPr>
          <w:p w:rsidR="005A4B69" w:rsidRPr="005A4B69" w:rsidRDefault="005A4B69" w:rsidP="00EA6F40">
            <w:pPr>
              <w:rPr>
                <w:rStyle w:val="Strong"/>
              </w:rPr>
            </w:pPr>
            <w:r>
              <w:rPr>
                <w:rStyle w:val="Strong"/>
              </w:rPr>
              <w:t>Gender groups/age</w:t>
            </w:r>
          </w:p>
        </w:tc>
        <w:tc>
          <w:tcPr>
            <w:tcW w:w="4258" w:type="dxa"/>
            <w:vAlign w:val="center"/>
          </w:tcPr>
          <w:p w:rsidR="005A4B69" w:rsidRPr="005A4B69" w:rsidRDefault="005A4B69" w:rsidP="00EA6F40">
            <w:pPr>
              <w:rPr>
                <w:rStyle w:val="Strong"/>
              </w:rPr>
            </w:pPr>
            <w:r>
              <w:rPr>
                <w:rStyle w:val="Strong"/>
              </w:rPr>
              <w:t xml:space="preserve">Measurement of iodine </w:t>
            </w:r>
            <w:r w:rsidRPr="005A4B69">
              <w:rPr>
                <w:rStyle w:val="Strong"/>
              </w:rPr>
              <w:t>(μg/day)</w:t>
            </w:r>
          </w:p>
        </w:tc>
      </w:tr>
      <w:tr w:rsidR="00EA6F40" w:rsidRPr="00C875F5" w:rsidTr="005A4B69">
        <w:trPr>
          <w:trHeight w:val="567"/>
        </w:trPr>
        <w:tc>
          <w:tcPr>
            <w:tcW w:w="4258" w:type="dxa"/>
            <w:vAlign w:val="center"/>
          </w:tcPr>
          <w:p w:rsidR="00EA6F40" w:rsidRPr="00C875F5" w:rsidRDefault="00EA6F40" w:rsidP="00EA6F40">
            <w:pPr>
              <w:rPr>
                <w:b/>
                <w:sz w:val="24"/>
              </w:rPr>
            </w:pPr>
            <w:r w:rsidRPr="00C875F5">
              <w:rPr>
                <w:b/>
                <w:sz w:val="24"/>
              </w:rPr>
              <w:t xml:space="preserve">EAR for Men </w:t>
            </w:r>
          </w:p>
        </w:tc>
        <w:tc>
          <w:tcPr>
            <w:tcW w:w="4258" w:type="dxa"/>
            <w:vAlign w:val="center"/>
          </w:tcPr>
          <w:p w:rsidR="00EA6F40" w:rsidRPr="00C875F5" w:rsidRDefault="00EA6F40" w:rsidP="00EA6F40">
            <w:pPr>
              <w:rPr>
                <w:sz w:val="24"/>
              </w:rPr>
            </w:pPr>
          </w:p>
        </w:tc>
      </w:tr>
      <w:tr w:rsidR="00EA6F40" w:rsidRPr="00C875F5" w:rsidTr="005A4B69">
        <w:trPr>
          <w:trHeight w:val="567"/>
        </w:trPr>
        <w:tc>
          <w:tcPr>
            <w:tcW w:w="4258" w:type="dxa"/>
            <w:vAlign w:val="center"/>
          </w:tcPr>
          <w:p w:rsidR="00EA6F40" w:rsidRPr="00C875F5" w:rsidRDefault="00EA6F40" w:rsidP="00EA6F40">
            <w:pPr>
              <w:ind w:left="720"/>
              <w:rPr>
                <w:sz w:val="24"/>
              </w:rPr>
            </w:pPr>
            <w:r w:rsidRPr="00C875F5">
              <w:rPr>
                <w:sz w:val="24"/>
              </w:rPr>
              <w:t>19-30 years</w:t>
            </w:r>
          </w:p>
        </w:tc>
        <w:tc>
          <w:tcPr>
            <w:tcW w:w="4258" w:type="dxa"/>
            <w:vAlign w:val="center"/>
          </w:tcPr>
          <w:p w:rsidR="00EA6F40" w:rsidRPr="00C875F5" w:rsidRDefault="00EA6F40" w:rsidP="00EA6F40">
            <w:pPr>
              <w:rPr>
                <w:sz w:val="24"/>
              </w:rPr>
            </w:pPr>
            <w:r w:rsidRPr="00C875F5">
              <w:rPr>
                <w:sz w:val="24"/>
              </w:rPr>
              <w:t xml:space="preserve">100 μg/day of iodine </w:t>
            </w:r>
          </w:p>
        </w:tc>
      </w:tr>
      <w:tr w:rsidR="00EA6F40" w:rsidRPr="00C875F5" w:rsidTr="005A4B69">
        <w:trPr>
          <w:trHeight w:val="567"/>
        </w:trPr>
        <w:tc>
          <w:tcPr>
            <w:tcW w:w="4258" w:type="dxa"/>
            <w:vAlign w:val="center"/>
          </w:tcPr>
          <w:p w:rsidR="00EA6F40" w:rsidRPr="00C875F5" w:rsidRDefault="00EA6F40" w:rsidP="00EA6F40">
            <w:pPr>
              <w:ind w:left="720"/>
              <w:rPr>
                <w:sz w:val="24"/>
              </w:rPr>
            </w:pPr>
            <w:r w:rsidRPr="00C875F5">
              <w:rPr>
                <w:sz w:val="24"/>
              </w:rPr>
              <w:t>31-50 years</w:t>
            </w:r>
          </w:p>
        </w:tc>
        <w:tc>
          <w:tcPr>
            <w:tcW w:w="4258" w:type="dxa"/>
            <w:vAlign w:val="center"/>
          </w:tcPr>
          <w:p w:rsidR="00EA6F40" w:rsidRPr="00C875F5" w:rsidRDefault="00EA6F40" w:rsidP="00EA6F40">
            <w:pPr>
              <w:rPr>
                <w:sz w:val="24"/>
              </w:rPr>
            </w:pPr>
            <w:r w:rsidRPr="00C875F5">
              <w:rPr>
                <w:sz w:val="24"/>
              </w:rPr>
              <w:t>100 μg/day of iodine</w:t>
            </w:r>
          </w:p>
        </w:tc>
      </w:tr>
      <w:tr w:rsidR="00EA6F40" w:rsidRPr="00C875F5" w:rsidTr="005A4B69">
        <w:trPr>
          <w:trHeight w:val="567"/>
        </w:trPr>
        <w:tc>
          <w:tcPr>
            <w:tcW w:w="4258" w:type="dxa"/>
            <w:vAlign w:val="center"/>
          </w:tcPr>
          <w:p w:rsidR="00EA6F40" w:rsidRPr="00C875F5" w:rsidRDefault="00EA6F40" w:rsidP="00EA6F40">
            <w:pPr>
              <w:ind w:left="720"/>
              <w:rPr>
                <w:sz w:val="24"/>
              </w:rPr>
            </w:pPr>
            <w:r w:rsidRPr="00C875F5">
              <w:rPr>
                <w:sz w:val="24"/>
              </w:rPr>
              <w:t>5</w:t>
            </w:r>
            <w:r>
              <w:rPr>
                <w:sz w:val="24"/>
              </w:rPr>
              <w:t>1</w:t>
            </w:r>
            <w:r w:rsidRPr="00C875F5">
              <w:rPr>
                <w:sz w:val="24"/>
              </w:rPr>
              <w:t>-70 years</w:t>
            </w:r>
          </w:p>
        </w:tc>
        <w:tc>
          <w:tcPr>
            <w:tcW w:w="4258" w:type="dxa"/>
            <w:vAlign w:val="center"/>
          </w:tcPr>
          <w:p w:rsidR="00EA6F40" w:rsidRPr="00C875F5" w:rsidRDefault="00EA6F40" w:rsidP="00EA6F40">
            <w:pPr>
              <w:rPr>
                <w:sz w:val="24"/>
              </w:rPr>
            </w:pPr>
            <w:r w:rsidRPr="00C875F5">
              <w:rPr>
                <w:sz w:val="24"/>
              </w:rPr>
              <w:t>100 μg/day of iodine</w:t>
            </w:r>
          </w:p>
        </w:tc>
      </w:tr>
      <w:tr w:rsidR="00EA6F40" w:rsidRPr="00C875F5" w:rsidTr="005A4B69">
        <w:trPr>
          <w:trHeight w:val="567"/>
        </w:trPr>
        <w:tc>
          <w:tcPr>
            <w:tcW w:w="4258" w:type="dxa"/>
            <w:vAlign w:val="center"/>
          </w:tcPr>
          <w:p w:rsidR="00EA6F40" w:rsidRPr="00C875F5" w:rsidRDefault="00EA6F40" w:rsidP="00EA6F40">
            <w:pPr>
              <w:ind w:left="720"/>
              <w:rPr>
                <w:sz w:val="24"/>
              </w:rPr>
            </w:pPr>
            <w:r w:rsidRPr="00C875F5">
              <w:rPr>
                <w:sz w:val="24"/>
              </w:rPr>
              <w:t>&gt; 70 years</w:t>
            </w:r>
          </w:p>
        </w:tc>
        <w:tc>
          <w:tcPr>
            <w:tcW w:w="4258" w:type="dxa"/>
            <w:vAlign w:val="center"/>
          </w:tcPr>
          <w:p w:rsidR="00EA6F40" w:rsidRPr="00C875F5" w:rsidRDefault="00EA6F40" w:rsidP="00EA6F40">
            <w:pPr>
              <w:rPr>
                <w:sz w:val="24"/>
              </w:rPr>
            </w:pPr>
            <w:r w:rsidRPr="00C875F5">
              <w:rPr>
                <w:sz w:val="24"/>
              </w:rPr>
              <w:t>100 μg/day of iodine</w:t>
            </w:r>
          </w:p>
        </w:tc>
      </w:tr>
      <w:tr w:rsidR="00EA6F40" w:rsidRPr="00C875F5" w:rsidTr="005A4B69">
        <w:trPr>
          <w:trHeight w:val="567"/>
        </w:trPr>
        <w:tc>
          <w:tcPr>
            <w:tcW w:w="4258" w:type="dxa"/>
            <w:vAlign w:val="center"/>
          </w:tcPr>
          <w:p w:rsidR="00EA6F40" w:rsidRPr="00C875F5" w:rsidRDefault="00EA6F40" w:rsidP="00EA6F40">
            <w:pPr>
              <w:rPr>
                <w:b/>
                <w:sz w:val="24"/>
              </w:rPr>
            </w:pPr>
            <w:r w:rsidRPr="00C875F5">
              <w:rPr>
                <w:b/>
                <w:sz w:val="24"/>
              </w:rPr>
              <w:t xml:space="preserve">EAR for Women </w:t>
            </w:r>
          </w:p>
        </w:tc>
        <w:tc>
          <w:tcPr>
            <w:tcW w:w="4258" w:type="dxa"/>
            <w:vAlign w:val="center"/>
          </w:tcPr>
          <w:p w:rsidR="00EA6F40" w:rsidRPr="00C875F5" w:rsidRDefault="00EA6F40" w:rsidP="00EA6F40">
            <w:pPr>
              <w:rPr>
                <w:sz w:val="24"/>
              </w:rPr>
            </w:pPr>
          </w:p>
        </w:tc>
      </w:tr>
      <w:tr w:rsidR="00EA6F40" w:rsidRPr="00C875F5" w:rsidTr="005A4B69">
        <w:trPr>
          <w:trHeight w:val="567"/>
        </w:trPr>
        <w:tc>
          <w:tcPr>
            <w:tcW w:w="4258" w:type="dxa"/>
            <w:vAlign w:val="center"/>
          </w:tcPr>
          <w:p w:rsidR="00EA6F40" w:rsidRPr="00C875F5" w:rsidRDefault="00EA6F40" w:rsidP="00EA6F40">
            <w:pPr>
              <w:ind w:left="720"/>
              <w:rPr>
                <w:sz w:val="24"/>
              </w:rPr>
            </w:pPr>
            <w:r w:rsidRPr="00C875F5">
              <w:rPr>
                <w:sz w:val="24"/>
              </w:rPr>
              <w:t>19-30 years</w:t>
            </w:r>
          </w:p>
        </w:tc>
        <w:tc>
          <w:tcPr>
            <w:tcW w:w="4258" w:type="dxa"/>
            <w:vAlign w:val="center"/>
          </w:tcPr>
          <w:p w:rsidR="00EA6F40" w:rsidRPr="00C875F5" w:rsidRDefault="00EA6F40" w:rsidP="00EA6F40">
            <w:pPr>
              <w:rPr>
                <w:sz w:val="24"/>
              </w:rPr>
            </w:pPr>
            <w:r w:rsidRPr="00C875F5">
              <w:rPr>
                <w:sz w:val="24"/>
              </w:rPr>
              <w:t>100 μg/day of iodine</w:t>
            </w:r>
          </w:p>
        </w:tc>
      </w:tr>
      <w:tr w:rsidR="00EA6F40" w:rsidRPr="00C875F5" w:rsidTr="005A4B69">
        <w:trPr>
          <w:trHeight w:val="567"/>
        </w:trPr>
        <w:tc>
          <w:tcPr>
            <w:tcW w:w="4258" w:type="dxa"/>
            <w:vAlign w:val="center"/>
          </w:tcPr>
          <w:p w:rsidR="00EA6F40" w:rsidRPr="00C875F5" w:rsidRDefault="00EA6F40" w:rsidP="00EA6F40">
            <w:pPr>
              <w:ind w:left="720"/>
              <w:rPr>
                <w:sz w:val="24"/>
              </w:rPr>
            </w:pPr>
            <w:r w:rsidRPr="00C875F5">
              <w:rPr>
                <w:sz w:val="24"/>
              </w:rPr>
              <w:t>31-50 years</w:t>
            </w:r>
          </w:p>
        </w:tc>
        <w:tc>
          <w:tcPr>
            <w:tcW w:w="4258" w:type="dxa"/>
            <w:vAlign w:val="center"/>
          </w:tcPr>
          <w:p w:rsidR="00EA6F40" w:rsidRPr="00C875F5" w:rsidRDefault="00EA6F40" w:rsidP="00EA6F40">
            <w:pPr>
              <w:rPr>
                <w:sz w:val="24"/>
              </w:rPr>
            </w:pPr>
            <w:r w:rsidRPr="00C875F5">
              <w:rPr>
                <w:sz w:val="24"/>
              </w:rPr>
              <w:t>100 μg/day of iodine</w:t>
            </w:r>
          </w:p>
        </w:tc>
      </w:tr>
      <w:tr w:rsidR="00EA6F40" w:rsidRPr="00C875F5" w:rsidTr="005A4B69">
        <w:trPr>
          <w:trHeight w:val="567"/>
        </w:trPr>
        <w:tc>
          <w:tcPr>
            <w:tcW w:w="4258" w:type="dxa"/>
            <w:vAlign w:val="center"/>
          </w:tcPr>
          <w:p w:rsidR="00EA6F40" w:rsidRPr="00C875F5" w:rsidRDefault="00EA6F40" w:rsidP="00EA6F40">
            <w:pPr>
              <w:ind w:left="720"/>
              <w:rPr>
                <w:sz w:val="24"/>
              </w:rPr>
            </w:pPr>
            <w:r w:rsidRPr="00C875F5">
              <w:rPr>
                <w:sz w:val="24"/>
              </w:rPr>
              <w:t>5</w:t>
            </w:r>
            <w:r>
              <w:rPr>
                <w:sz w:val="24"/>
              </w:rPr>
              <w:t>1</w:t>
            </w:r>
            <w:r w:rsidRPr="00C875F5">
              <w:rPr>
                <w:sz w:val="24"/>
              </w:rPr>
              <w:t>-70 years</w:t>
            </w:r>
          </w:p>
        </w:tc>
        <w:tc>
          <w:tcPr>
            <w:tcW w:w="4258" w:type="dxa"/>
            <w:vAlign w:val="center"/>
          </w:tcPr>
          <w:p w:rsidR="00EA6F40" w:rsidRPr="00C875F5" w:rsidRDefault="00EA6F40" w:rsidP="00EA6F40">
            <w:pPr>
              <w:rPr>
                <w:sz w:val="24"/>
              </w:rPr>
            </w:pPr>
            <w:r w:rsidRPr="00C875F5">
              <w:rPr>
                <w:sz w:val="24"/>
              </w:rPr>
              <w:t>100 μg/day of iodine</w:t>
            </w:r>
          </w:p>
        </w:tc>
      </w:tr>
      <w:tr w:rsidR="00EA6F40" w:rsidRPr="00C875F5" w:rsidTr="005A4B69">
        <w:trPr>
          <w:trHeight w:val="567"/>
        </w:trPr>
        <w:tc>
          <w:tcPr>
            <w:tcW w:w="4258" w:type="dxa"/>
            <w:vAlign w:val="center"/>
          </w:tcPr>
          <w:p w:rsidR="00EA6F40" w:rsidRPr="00C875F5" w:rsidRDefault="00EA6F40" w:rsidP="00EA6F40">
            <w:pPr>
              <w:ind w:left="720"/>
              <w:rPr>
                <w:sz w:val="24"/>
              </w:rPr>
            </w:pPr>
            <w:r w:rsidRPr="00C875F5">
              <w:rPr>
                <w:sz w:val="24"/>
              </w:rPr>
              <w:t>&gt; 70 years</w:t>
            </w:r>
          </w:p>
        </w:tc>
        <w:tc>
          <w:tcPr>
            <w:tcW w:w="4258" w:type="dxa"/>
            <w:vAlign w:val="center"/>
          </w:tcPr>
          <w:p w:rsidR="00EA6F40" w:rsidRPr="00C875F5" w:rsidRDefault="00EA6F40" w:rsidP="00EA6F40">
            <w:pPr>
              <w:rPr>
                <w:sz w:val="24"/>
              </w:rPr>
            </w:pPr>
            <w:r w:rsidRPr="00C875F5">
              <w:rPr>
                <w:sz w:val="24"/>
              </w:rPr>
              <w:t>100 μg/day of iodine</w:t>
            </w:r>
          </w:p>
        </w:tc>
      </w:tr>
    </w:tbl>
    <w:p w:rsidR="00C779C2" w:rsidRPr="00C779C2" w:rsidRDefault="00C779C2" w:rsidP="00C779C2">
      <w:r w:rsidRPr="00C779C2">
        <w:br w:type="page"/>
      </w:r>
    </w:p>
    <w:p w:rsidR="00C779C2" w:rsidRDefault="00C779C2" w:rsidP="00AE0695">
      <w:pPr>
        <w:pStyle w:val="Caption"/>
      </w:pPr>
      <w:bookmarkStart w:id="148" w:name="_Ref430937793"/>
      <w:r>
        <w:lastRenderedPageBreak/>
        <w:t xml:space="preserve">Table </w:t>
      </w:r>
      <w:r w:rsidR="00CA2AA1">
        <w:fldChar w:fldCharType="begin"/>
      </w:r>
      <w:r w:rsidR="00CA2AA1">
        <w:instrText xml:space="preserve"> STYLEREF 1 \s </w:instrText>
      </w:r>
      <w:r w:rsidR="00CA2AA1">
        <w:fldChar w:fldCharType="separate"/>
      </w:r>
      <w:r w:rsidR="00CA2AA1">
        <w:rPr>
          <w:noProof/>
        </w:rPr>
        <w:t>6</w:t>
      </w:r>
      <w:r w:rsidR="00CA2AA1">
        <w:fldChar w:fldCharType="end"/>
      </w:r>
      <w:r w:rsidR="00CA2AA1">
        <w:t>:</w:t>
      </w:r>
      <w:r w:rsidR="00CA2AA1">
        <w:fldChar w:fldCharType="begin"/>
      </w:r>
      <w:r w:rsidR="00CA2AA1">
        <w:instrText xml:space="preserve"> SEQ Table \* ARABIC \s 1 </w:instrText>
      </w:r>
      <w:r w:rsidR="00CA2AA1">
        <w:fldChar w:fldCharType="separate"/>
      </w:r>
      <w:r w:rsidR="00CA2AA1">
        <w:rPr>
          <w:noProof/>
        </w:rPr>
        <w:t>2</w:t>
      </w:r>
      <w:r w:rsidR="00CA2AA1">
        <w:fldChar w:fldCharType="end"/>
      </w:r>
      <w:bookmarkEnd w:id="148"/>
      <w:r w:rsidRPr="00C779C2">
        <w:t xml:space="preserve"> </w:t>
      </w:r>
      <w:r w:rsidRPr="00C875F5">
        <w:t xml:space="preserve">Recommended </w:t>
      </w:r>
      <w:r>
        <w:t>Iodine RDI</w:t>
      </w:r>
      <w:r w:rsidRPr="00C875F5">
        <w:t xml:space="preserve"> for adults aged 19 years and older</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Description w:val="Table 6.2 show the recommended Iodine Recommended Daily Intake (RDI) for adults aged 19 years and older. This table contains 2 column headings; column 1. Gender groups by age and column 2. Iodine measurements (μg/day). "/>
      </w:tblPr>
      <w:tblGrid>
        <w:gridCol w:w="4258"/>
        <w:gridCol w:w="4258"/>
      </w:tblGrid>
      <w:tr w:rsidR="00EA6F40" w:rsidRPr="00C875F5" w:rsidTr="00AE509A">
        <w:trPr>
          <w:trHeight w:val="567"/>
          <w:tblHeader/>
        </w:trPr>
        <w:tc>
          <w:tcPr>
            <w:tcW w:w="4258" w:type="dxa"/>
            <w:vAlign w:val="center"/>
          </w:tcPr>
          <w:p w:rsidR="00EA6F40" w:rsidRPr="00C875F5" w:rsidRDefault="00EA6F40" w:rsidP="00EA6F40">
            <w:pPr>
              <w:rPr>
                <w:b/>
                <w:sz w:val="24"/>
              </w:rPr>
            </w:pPr>
            <w:r w:rsidRPr="00C875F5">
              <w:rPr>
                <w:b/>
                <w:sz w:val="24"/>
              </w:rPr>
              <w:t xml:space="preserve">RDI for Men </w:t>
            </w:r>
          </w:p>
        </w:tc>
        <w:tc>
          <w:tcPr>
            <w:tcW w:w="4258" w:type="dxa"/>
            <w:vAlign w:val="center"/>
          </w:tcPr>
          <w:p w:rsidR="00EA6F40" w:rsidRPr="00C875F5" w:rsidRDefault="00EA6F40" w:rsidP="00EA6F40">
            <w:pPr>
              <w:rPr>
                <w:sz w:val="24"/>
              </w:rPr>
            </w:pPr>
          </w:p>
        </w:tc>
      </w:tr>
      <w:tr w:rsidR="00EA6F40" w:rsidRPr="00C875F5" w:rsidTr="005A4B69">
        <w:trPr>
          <w:trHeight w:val="567"/>
        </w:trPr>
        <w:tc>
          <w:tcPr>
            <w:tcW w:w="4258" w:type="dxa"/>
            <w:vAlign w:val="center"/>
          </w:tcPr>
          <w:p w:rsidR="00EA6F40" w:rsidRPr="00C875F5" w:rsidRDefault="00EA6F40" w:rsidP="00EA6F40">
            <w:pPr>
              <w:ind w:left="720"/>
              <w:rPr>
                <w:sz w:val="24"/>
              </w:rPr>
            </w:pPr>
            <w:r w:rsidRPr="00C875F5">
              <w:rPr>
                <w:sz w:val="24"/>
              </w:rPr>
              <w:t>19-30 years</w:t>
            </w:r>
          </w:p>
        </w:tc>
        <w:tc>
          <w:tcPr>
            <w:tcW w:w="4258" w:type="dxa"/>
            <w:vAlign w:val="center"/>
          </w:tcPr>
          <w:p w:rsidR="00EA6F40" w:rsidRPr="00C875F5" w:rsidRDefault="00EA6F40" w:rsidP="00EA6F40">
            <w:pPr>
              <w:rPr>
                <w:sz w:val="24"/>
              </w:rPr>
            </w:pPr>
            <w:r w:rsidRPr="00C875F5">
              <w:rPr>
                <w:sz w:val="24"/>
              </w:rPr>
              <w:t xml:space="preserve">150 μg/day of iodine </w:t>
            </w:r>
          </w:p>
        </w:tc>
      </w:tr>
      <w:tr w:rsidR="00EA6F40" w:rsidRPr="00C875F5" w:rsidTr="005A4B69">
        <w:trPr>
          <w:trHeight w:val="567"/>
        </w:trPr>
        <w:tc>
          <w:tcPr>
            <w:tcW w:w="4258" w:type="dxa"/>
            <w:vAlign w:val="center"/>
          </w:tcPr>
          <w:p w:rsidR="00EA6F40" w:rsidRPr="00C875F5" w:rsidRDefault="00EA6F40" w:rsidP="00EA6F40">
            <w:pPr>
              <w:ind w:left="720"/>
              <w:rPr>
                <w:sz w:val="24"/>
              </w:rPr>
            </w:pPr>
            <w:r w:rsidRPr="00C875F5">
              <w:rPr>
                <w:sz w:val="24"/>
              </w:rPr>
              <w:t>31-50 years</w:t>
            </w:r>
          </w:p>
        </w:tc>
        <w:tc>
          <w:tcPr>
            <w:tcW w:w="4258" w:type="dxa"/>
            <w:vAlign w:val="center"/>
          </w:tcPr>
          <w:p w:rsidR="00EA6F40" w:rsidRPr="00C875F5" w:rsidRDefault="00EA6F40" w:rsidP="00EA6F40">
            <w:pPr>
              <w:rPr>
                <w:sz w:val="24"/>
              </w:rPr>
            </w:pPr>
            <w:r w:rsidRPr="00C875F5">
              <w:rPr>
                <w:sz w:val="24"/>
              </w:rPr>
              <w:t>150 μg/day of iodine</w:t>
            </w:r>
          </w:p>
        </w:tc>
      </w:tr>
      <w:tr w:rsidR="00EA6F40" w:rsidRPr="00C875F5" w:rsidTr="005A4B69">
        <w:trPr>
          <w:trHeight w:val="567"/>
        </w:trPr>
        <w:tc>
          <w:tcPr>
            <w:tcW w:w="4258" w:type="dxa"/>
            <w:vAlign w:val="center"/>
          </w:tcPr>
          <w:p w:rsidR="00EA6F40" w:rsidRPr="00C875F5" w:rsidRDefault="00EA6F40" w:rsidP="00EA6F40">
            <w:pPr>
              <w:ind w:left="720"/>
              <w:rPr>
                <w:sz w:val="24"/>
              </w:rPr>
            </w:pPr>
            <w:r w:rsidRPr="00C875F5">
              <w:rPr>
                <w:sz w:val="24"/>
              </w:rPr>
              <w:t>5</w:t>
            </w:r>
            <w:r>
              <w:rPr>
                <w:sz w:val="24"/>
              </w:rPr>
              <w:t>1</w:t>
            </w:r>
            <w:r w:rsidRPr="00C875F5">
              <w:rPr>
                <w:sz w:val="24"/>
              </w:rPr>
              <w:t>-70 years</w:t>
            </w:r>
          </w:p>
        </w:tc>
        <w:tc>
          <w:tcPr>
            <w:tcW w:w="4258" w:type="dxa"/>
            <w:vAlign w:val="center"/>
          </w:tcPr>
          <w:p w:rsidR="00EA6F40" w:rsidRPr="00C875F5" w:rsidRDefault="00EA6F40" w:rsidP="00EA6F40">
            <w:pPr>
              <w:rPr>
                <w:sz w:val="24"/>
              </w:rPr>
            </w:pPr>
            <w:r w:rsidRPr="00C875F5">
              <w:rPr>
                <w:sz w:val="24"/>
              </w:rPr>
              <w:t>150 μg/day of iodine</w:t>
            </w:r>
          </w:p>
        </w:tc>
      </w:tr>
      <w:tr w:rsidR="00EA6F40" w:rsidRPr="00C875F5" w:rsidTr="005A4B69">
        <w:trPr>
          <w:trHeight w:val="567"/>
        </w:trPr>
        <w:tc>
          <w:tcPr>
            <w:tcW w:w="4258" w:type="dxa"/>
            <w:vAlign w:val="center"/>
          </w:tcPr>
          <w:p w:rsidR="00EA6F40" w:rsidRPr="00C875F5" w:rsidRDefault="00EA6F40" w:rsidP="00EA6F40">
            <w:pPr>
              <w:ind w:left="720"/>
              <w:rPr>
                <w:sz w:val="24"/>
              </w:rPr>
            </w:pPr>
            <w:r w:rsidRPr="00C875F5">
              <w:rPr>
                <w:sz w:val="24"/>
              </w:rPr>
              <w:t>&gt; 70 years</w:t>
            </w:r>
          </w:p>
        </w:tc>
        <w:tc>
          <w:tcPr>
            <w:tcW w:w="4258" w:type="dxa"/>
            <w:vAlign w:val="center"/>
          </w:tcPr>
          <w:p w:rsidR="00EA6F40" w:rsidRPr="00C875F5" w:rsidRDefault="00EA6F40" w:rsidP="00EA6F40">
            <w:pPr>
              <w:rPr>
                <w:sz w:val="24"/>
              </w:rPr>
            </w:pPr>
            <w:r w:rsidRPr="00C875F5">
              <w:rPr>
                <w:sz w:val="24"/>
              </w:rPr>
              <w:t>150 μg/day of iodine</w:t>
            </w:r>
          </w:p>
        </w:tc>
      </w:tr>
      <w:tr w:rsidR="00EA6F40" w:rsidRPr="00C875F5" w:rsidTr="005A4B69">
        <w:trPr>
          <w:trHeight w:val="567"/>
        </w:trPr>
        <w:tc>
          <w:tcPr>
            <w:tcW w:w="4258" w:type="dxa"/>
            <w:vAlign w:val="center"/>
          </w:tcPr>
          <w:p w:rsidR="00EA6F40" w:rsidRPr="00C875F5" w:rsidRDefault="00EA6F40" w:rsidP="00EA6F40">
            <w:pPr>
              <w:rPr>
                <w:b/>
                <w:sz w:val="24"/>
              </w:rPr>
            </w:pPr>
            <w:r w:rsidRPr="00C875F5">
              <w:rPr>
                <w:b/>
                <w:sz w:val="24"/>
              </w:rPr>
              <w:t xml:space="preserve">RDI for Women </w:t>
            </w:r>
          </w:p>
        </w:tc>
        <w:tc>
          <w:tcPr>
            <w:tcW w:w="4258" w:type="dxa"/>
            <w:vAlign w:val="center"/>
          </w:tcPr>
          <w:p w:rsidR="00EA6F40" w:rsidRPr="00C875F5" w:rsidRDefault="00EA6F40" w:rsidP="00EA6F40">
            <w:pPr>
              <w:rPr>
                <w:sz w:val="24"/>
              </w:rPr>
            </w:pPr>
          </w:p>
        </w:tc>
      </w:tr>
      <w:tr w:rsidR="00EA6F40" w:rsidRPr="00C875F5" w:rsidTr="005A4B69">
        <w:trPr>
          <w:trHeight w:val="567"/>
        </w:trPr>
        <w:tc>
          <w:tcPr>
            <w:tcW w:w="4258" w:type="dxa"/>
            <w:vAlign w:val="center"/>
          </w:tcPr>
          <w:p w:rsidR="00EA6F40" w:rsidRPr="00C875F5" w:rsidRDefault="00EA6F40" w:rsidP="00EA6F40">
            <w:pPr>
              <w:ind w:left="720"/>
              <w:rPr>
                <w:sz w:val="24"/>
              </w:rPr>
            </w:pPr>
            <w:r w:rsidRPr="00C875F5">
              <w:rPr>
                <w:sz w:val="24"/>
              </w:rPr>
              <w:t>19-30 years</w:t>
            </w:r>
          </w:p>
        </w:tc>
        <w:tc>
          <w:tcPr>
            <w:tcW w:w="4258" w:type="dxa"/>
            <w:vAlign w:val="center"/>
          </w:tcPr>
          <w:p w:rsidR="00EA6F40" w:rsidRPr="00C875F5" w:rsidRDefault="00EA6F40" w:rsidP="00EA6F40">
            <w:pPr>
              <w:rPr>
                <w:sz w:val="24"/>
              </w:rPr>
            </w:pPr>
            <w:r w:rsidRPr="00C875F5">
              <w:rPr>
                <w:sz w:val="24"/>
              </w:rPr>
              <w:t>150 μg/day of iodine</w:t>
            </w:r>
          </w:p>
        </w:tc>
      </w:tr>
      <w:tr w:rsidR="00EA6F40" w:rsidRPr="00C875F5" w:rsidTr="005A4B69">
        <w:trPr>
          <w:trHeight w:val="567"/>
        </w:trPr>
        <w:tc>
          <w:tcPr>
            <w:tcW w:w="4258" w:type="dxa"/>
            <w:vAlign w:val="center"/>
          </w:tcPr>
          <w:p w:rsidR="00EA6F40" w:rsidRPr="00C875F5" w:rsidRDefault="00EA6F40" w:rsidP="00EA6F40">
            <w:pPr>
              <w:ind w:left="720"/>
              <w:rPr>
                <w:sz w:val="24"/>
              </w:rPr>
            </w:pPr>
            <w:r w:rsidRPr="00C875F5">
              <w:rPr>
                <w:sz w:val="24"/>
              </w:rPr>
              <w:t>31-50 years</w:t>
            </w:r>
          </w:p>
        </w:tc>
        <w:tc>
          <w:tcPr>
            <w:tcW w:w="4258" w:type="dxa"/>
            <w:vAlign w:val="center"/>
          </w:tcPr>
          <w:p w:rsidR="00EA6F40" w:rsidRPr="00C875F5" w:rsidRDefault="00EA6F40" w:rsidP="00EA6F40">
            <w:pPr>
              <w:rPr>
                <w:sz w:val="24"/>
              </w:rPr>
            </w:pPr>
            <w:r w:rsidRPr="00C875F5">
              <w:rPr>
                <w:sz w:val="24"/>
              </w:rPr>
              <w:t>150 μg/day of iodine</w:t>
            </w:r>
          </w:p>
        </w:tc>
      </w:tr>
      <w:tr w:rsidR="00EA6F40" w:rsidRPr="00C875F5" w:rsidTr="005A4B69">
        <w:trPr>
          <w:trHeight w:val="567"/>
        </w:trPr>
        <w:tc>
          <w:tcPr>
            <w:tcW w:w="4258" w:type="dxa"/>
            <w:vAlign w:val="center"/>
          </w:tcPr>
          <w:p w:rsidR="00EA6F40" w:rsidRPr="00C875F5" w:rsidRDefault="00EA6F40" w:rsidP="00EA6F40">
            <w:pPr>
              <w:ind w:left="720"/>
              <w:rPr>
                <w:sz w:val="24"/>
              </w:rPr>
            </w:pPr>
            <w:r w:rsidRPr="00C875F5">
              <w:rPr>
                <w:sz w:val="24"/>
              </w:rPr>
              <w:t>5</w:t>
            </w:r>
            <w:r>
              <w:rPr>
                <w:sz w:val="24"/>
              </w:rPr>
              <w:t>1</w:t>
            </w:r>
            <w:r w:rsidRPr="00C875F5">
              <w:rPr>
                <w:sz w:val="24"/>
              </w:rPr>
              <w:t>-70 years</w:t>
            </w:r>
          </w:p>
        </w:tc>
        <w:tc>
          <w:tcPr>
            <w:tcW w:w="4258" w:type="dxa"/>
            <w:vAlign w:val="center"/>
          </w:tcPr>
          <w:p w:rsidR="00EA6F40" w:rsidRPr="00C875F5" w:rsidRDefault="00EA6F40" w:rsidP="00EA6F40">
            <w:pPr>
              <w:rPr>
                <w:sz w:val="24"/>
              </w:rPr>
            </w:pPr>
            <w:r w:rsidRPr="00C875F5">
              <w:rPr>
                <w:sz w:val="24"/>
              </w:rPr>
              <w:t>150 μg/day of iodine</w:t>
            </w:r>
          </w:p>
        </w:tc>
      </w:tr>
      <w:tr w:rsidR="00EA6F40" w:rsidRPr="00C875F5" w:rsidTr="005A4B69">
        <w:trPr>
          <w:trHeight w:val="567"/>
        </w:trPr>
        <w:tc>
          <w:tcPr>
            <w:tcW w:w="4258" w:type="dxa"/>
            <w:vAlign w:val="center"/>
          </w:tcPr>
          <w:p w:rsidR="00EA6F40" w:rsidRPr="00C875F5" w:rsidRDefault="00EA6F40" w:rsidP="00EA6F40">
            <w:pPr>
              <w:ind w:left="720"/>
              <w:rPr>
                <w:sz w:val="24"/>
              </w:rPr>
            </w:pPr>
            <w:r w:rsidRPr="00C875F5">
              <w:rPr>
                <w:sz w:val="24"/>
              </w:rPr>
              <w:t>&gt; 70 years</w:t>
            </w:r>
          </w:p>
        </w:tc>
        <w:tc>
          <w:tcPr>
            <w:tcW w:w="4258" w:type="dxa"/>
            <w:vAlign w:val="center"/>
          </w:tcPr>
          <w:p w:rsidR="00EA6F40" w:rsidRPr="00C875F5" w:rsidRDefault="00EA6F40" w:rsidP="00EA6F40">
            <w:pPr>
              <w:rPr>
                <w:sz w:val="24"/>
              </w:rPr>
            </w:pPr>
            <w:r w:rsidRPr="00C875F5">
              <w:rPr>
                <w:sz w:val="24"/>
              </w:rPr>
              <w:t>150 μg/day of iodine</w:t>
            </w:r>
          </w:p>
        </w:tc>
      </w:tr>
    </w:tbl>
    <w:p w:rsidR="00EA6F40" w:rsidRPr="00C875F5" w:rsidRDefault="00C779C2" w:rsidP="00AE0695">
      <w:pPr>
        <w:pStyle w:val="Caption"/>
      </w:pPr>
      <w:bookmarkStart w:id="149" w:name="_Ref430937808"/>
      <w:r>
        <w:t xml:space="preserve">Table </w:t>
      </w:r>
      <w:r w:rsidR="00CA2AA1">
        <w:fldChar w:fldCharType="begin"/>
      </w:r>
      <w:r w:rsidR="00CA2AA1">
        <w:instrText xml:space="preserve"> STYLEREF 1 \s </w:instrText>
      </w:r>
      <w:r w:rsidR="00CA2AA1">
        <w:fldChar w:fldCharType="separate"/>
      </w:r>
      <w:r w:rsidR="00CA2AA1">
        <w:rPr>
          <w:noProof/>
        </w:rPr>
        <w:t>6</w:t>
      </w:r>
      <w:r w:rsidR="00CA2AA1">
        <w:fldChar w:fldCharType="end"/>
      </w:r>
      <w:r w:rsidR="00CA2AA1">
        <w:t>:</w:t>
      </w:r>
      <w:r w:rsidR="00CA2AA1">
        <w:fldChar w:fldCharType="begin"/>
      </w:r>
      <w:r w:rsidR="00CA2AA1">
        <w:instrText xml:space="preserve"> SEQ Table \* ARABIC \s 1 </w:instrText>
      </w:r>
      <w:r w:rsidR="00CA2AA1">
        <w:fldChar w:fldCharType="separate"/>
      </w:r>
      <w:r w:rsidR="00CA2AA1">
        <w:rPr>
          <w:noProof/>
        </w:rPr>
        <w:t>3</w:t>
      </w:r>
      <w:r w:rsidR="00CA2AA1">
        <w:fldChar w:fldCharType="end"/>
      </w:r>
      <w:bookmarkEnd w:id="149"/>
      <w:r>
        <w:t xml:space="preserve"> </w:t>
      </w:r>
      <w:r w:rsidR="00EA6F40" w:rsidRPr="00C875F5">
        <w:t>Recommended EAR and RDI for pregnant women</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Description w:val="Table 6.3 list the recommended Estimated Average Requirement (EAR) and Recommended Daily Intake (RDI) for pregnant women. This table contains 2 column headings; column 1. Pregnancy groups and column 2. Iodine measurements (μg/day). "/>
      </w:tblPr>
      <w:tblGrid>
        <w:gridCol w:w="4258"/>
        <w:gridCol w:w="4258"/>
      </w:tblGrid>
      <w:tr w:rsidR="005A4B69" w:rsidRPr="005A4B69" w:rsidTr="00C779C2">
        <w:trPr>
          <w:trHeight w:val="567"/>
          <w:tblHeader/>
        </w:trPr>
        <w:tc>
          <w:tcPr>
            <w:tcW w:w="4258" w:type="dxa"/>
            <w:vAlign w:val="center"/>
          </w:tcPr>
          <w:p w:rsidR="005A4B69" w:rsidRPr="005A4B69" w:rsidRDefault="00362D0E" w:rsidP="00EA6F40">
            <w:pPr>
              <w:rPr>
                <w:rStyle w:val="Strong"/>
              </w:rPr>
            </w:pPr>
            <w:r>
              <w:rPr>
                <w:rStyle w:val="Strong"/>
              </w:rPr>
              <w:t>Pregnancy</w:t>
            </w:r>
          </w:p>
        </w:tc>
        <w:tc>
          <w:tcPr>
            <w:tcW w:w="4258" w:type="dxa"/>
            <w:vAlign w:val="center"/>
          </w:tcPr>
          <w:p w:rsidR="005A4B69" w:rsidRPr="005A4B69" w:rsidRDefault="00362D0E" w:rsidP="00EA6F40">
            <w:pPr>
              <w:rPr>
                <w:rStyle w:val="Strong"/>
              </w:rPr>
            </w:pPr>
            <w:r>
              <w:rPr>
                <w:rStyle w:val="Strong"/>
              </w:rPr>
              <w:t xml:space="preserve">Measurement of iodine </w:t>
            </w:r>
            <w:r w:rsidRPr="005A4B69">
              <w:rPr>
                <w:rStyle w:val="Strong"/>
              </w:rPr>
              <w:t>(μg/day)</w:t>
            </w:r>
          </w:p>
        </w:tc>
      </w:tr>
      <w:tr w:rsidR="00EA6F40" w:rsidRPr="00C875F5" w:rsidTr="005A4B69">
        <w:trPr>
          <w:trHeight w:val="567"/>
        </w:trPr>
        <w:tc>
          <w:tcPr>
            <w:tcW w:w="4258" w:type="dxa"/>
            <w:vAlign w:val="center"/>
          </w:tcPr>
          <w:p w:rsidR="00EA6F40" w:rsidRPr="00C875F5" w:rsidRDefault="00EA6F40" w:rsidP="00EA6F40">
            <w:pPr>
              <w:rPr>
                <w:b/>
                <w:sz w:val="24"/>
              </w:rPr>
            </w:pPr>
            <w:r w:rsidRPr="00C875F5">
              <w:rPr>
                <w:b/>
                <w:sz w:val="24"/>
              </w:rPr>
              <w:t>EAR for Pregnancy</w:t>
            </w:r>
          </w:p>
        </w:tc>
        <w:tc>
          <w:tcPr>
            <w:tcW w:w="4258" w:type="dxa"/>
            <w:vAlign w:val="center"/>
          </w:tcPr>
          <w:p w:rsidR="00EA6F40" w:rsidRPr="00C875F5" w:rsidRDefault="00EA6F40" w:rsidP="00EA6F40">
            <w:pPr>
              <w:rPr>
                <w:sz w:val="24"/>
              </w:rPr>
            </w:pPr>
            <w:r w:rsidRPr="00C875F5">
              <w:rPr>
                <w:sz w:val="24"/>
              </w:rPr>
              <w:t xml:space="preserve">160 μg/day of iodine </w:t>
            </w:r>
          </w:p>
        </w:tc>
      </w:tr>
      <w:tr w:rsidR="00EA6F40" w:rsidRPr="00C875F5" w:rsidTr="005A4B69">
        <w:trPr>
          <w:trHeight w:val="567"/>
        </w:trPr>
        <w:tc>
          <w:tcPr>
            <w:tcW w:w="4258" w:type="dxa"/>
            <w:vAlign w:val="center"/>
          </w:tcPr>
          <w:p w:rsidR="00EA6F40" w:rsidRPr="00C875F5" w:rsidRDefault="00EA6F40" w:rsidP="00EA6F40">
            <w:pPr>
              <w:rPr>
                <w:b/>
                <w:sz w:val="24"/>
              </w:rPr>
            </w:pPr>
            <w:r w:rsidRPr="00C875F5">
              <w:rPr>
                <w:b/>
                <w:sz w:val="24"/>
              </w:rPr>
              <w:t xml:space="preserve">RDI for Pregnancy </w:t>
            </w:r>
          </w:p>
        </w:tc>
        <w:tc>
          <w:tcPr>
            <w:tcW w:w="4258" w:type="dxa"/>
            <w:vAlign w:val="center"/>
          </w:tcPr>
          <w:p w:rsidR="00EA6F40" w:rsidRPr="00C875F5" w:rsidRDefault="00EA6F40" w:rsidP="00EA6F40">
            <w:pPr>
              <w:rPr>
                <w:sz w:val="24"/>
              </w:rPr>
            </w:pPr>
            <w:r w:rsidRPr="00C875F5">
              <w:rPr>
                <w:sz w:val="24"/>
              </w:rPr>
              <w:t>220 μg/day of iodine</w:t>
            </w:r>
          </w:p>
        </w:tc>
      </w:tr>
    </w:tbl>
    <w:p w:rsidR="00EA6F40" w:rsidRPr="00C875F5" w:rsidRDefault="00C779C2" w:rsidP="00AE0695">
      <w:pPr>
        <w:pStyle w:val="Caption"/>
      </w:pPr>
      <w:bookmarkStart w:id="150" w:name="_Ref430937820"/>
      <w:r>
        <w:t xml:space="preserve">Table </w:t>
      </w:r>
      <w:r w:rsidR="00CA2AA1">
        <w:fldChar w:fldCharType="begin"/>
      </w:r>
      <w:r w:rsidR="00CA2AA1">
        <w:instrText xml:space="preserve"> STYLEREF 1 \s </w:instrText>
      </w:r>
      <w:r w:rsidR="00CA2AA1">
        <w:fldChar w:fldCharType="separate"/>
      </w:r>
      <w:r w:rsidR="00CA2AA1">
        <w:rPr>
          <w:noProof/>
        </w:rPr>
        <w:t>6</w:t>
      </w:r>
      <w:r w:rsidR="00CA2AA1">
        <w:fldChar w:fldCharType="end"/>
      </w:r>
      <w:r w:rsidR="00CA2AA1">
        <w:t>:</w:t>
      </w:r>
      <w:r w:rsidR="00CA2AA1">
        <w:fldChar w:fldCharType="begin"/>
      </w:r>
      <w:r w:rsidR="00CA2AA1">
        <w:instrText xml:space="preserve"> SEQ Table \* ARABIC \s 1 </w:instrText>
      </w:r>
      <w:r w:rsidR="00CA2AA1">
        <w:fldChar w:fldCharType="separate"/>
      </w:r>
      <w:r w:rsidR="00CA2AA1">
        <w:rPr>
          <w:noProof/>
        </w:rPr>
        <w:t>4</w:t>
      </w:r>
      <w:r w:rsidR="00CA2AA1">
        <w:fldChar w:fldCharType="end"/>
      </w:r>
      <w:bookmarkEnd w:id="150"/>
      <w:r>
        <w:t xml:space="preserve"> </w:t>
      </w:r>
      <w:r w:rsidR="00EA6F40" w:rsidRPr="00C875F5">
        <w:t xml:space="preserve">Recommended </w:t>
      </w:r>
      <w:r w:rsidR="00EA6F40">
        <w:t>P</w:t>
      </w:r>
      <w:r w:rsidR="00EA6F40" w:rsidRPr="00C875F5">
        <w:t>rovisional UL of intake for children</w:t>
      </w:r>
    </w:p>
    <w:tbl>
      <w:tblPr>
        <w:tblStyle w:val="TableGrid"/>
        <w:tblW w:w="5443"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Description w:val="Table 6.4 list the recommended Provisional Upper Levels of Intake (UL) of intake for children. This table contains 2 column headings; coliumn 1. children in age groups and column 2. provisional UL. "/>
      </w:tblPr>
      <w:tblGrid>
        <w:gridCol w:w="2943"/>
        <w:gridCol w:w="2500"/>
      </w:tblGrid>
      <w:tr w:rsidR="00EA6F40" w:rsidRPr="00362D0E" w:rsidTr="00D61633">
        <w:trPr>
          <w:trHeight w:val="567"/>
          <w:tblHeader/>
        </w:trPr>
        <w:tc>
          <w:tcPr>
            <w:tcW w:w="2943" w:type="dxa"/>
            <w:vAlign w:val="center"/>
          </w:tcPr>
          <w:p w:rsidR="00EA6F40" w:rsidRPr="00362D0E" w:rsidRDefault="00EA6F40" w:rsidP="00EA6F40">
            <w:pPr>
              <w:rPr>
                <w:rStyle w:val="Strong"/>
              </w:rPr>
            </w:pPr>
            <w:r w:rsidRPr="00362D0E">
              <w:rPr>
                <w:rStyle w:val="Strong"/>
              </w:rPr>
              <w:t>Children</w:t>
            </w:r>
          </w:p>
        </w:tc>
        <w:tc>
          <w:tcPr>
            <w:tcW w:w="2500" w:type="dxa"/>
            <w:vAlign w:val="center"/>
          </w:tcPr>
          <w:p w:rsidR="00EA6F40" w:rsidRPr="00362D0E" w:rsidRDefault="00EA6F40" w:rsidP="00EA6F40">
            <w:pPr>
              <w:rPr>
                <w:rStyle w:val="Strong"/>
              </w:rPr>
            </w:pPr>
            <w:r w:rsidRPr="00362D0E">
              <w:rPr>
                <w:rStyle w:val="Strong"/>
              </w:rPr>
              <w:t>Provisional UL</w:t>
            </w:r>
          </w:p>
        </w:tc>
      </w:tr>
      <w:tr w:rsidR="00EA6F40" w:rsidRPr="00C875F5" w:rsidTr="008A1B34">
        <w:trPr>
          <w:trHeight w:val="567"/>
        </w:trPr>
        <w:tc>
          <w:tcPr>
            <w:tcW w:w="2943" w:type="dxa"/>
            <w:vAlign w:val="center"/>
          </w:tcPr>
          <w:p w:rsidR="00EA6F40" w:rsidRPr="00C875F5" w:rsidRDefault="00EA6F40" w:rsidP="00EA6F40">
            <w:pPr>
              <w:ind w:left="720"/>
              <w:rPr>
                <w:sz w:val="24"/>
              </w:rPr>
            </w:pPr>
            <w:r w:rsidRPr="00C875F5">
              <w:rPr>
                <w:sz w:val="24"/>
              </w:rPr>
              <w:t>1-3 years</w:t>
            </w:r>
          </w:p>
        </w:tc>
        <w:tc>
          <w:tcPr>
            <w:tcW w:w="2500" w:type="dxa"/>
            <w:vAlign w:val="center"/>
          </w:tcPr>
          <w:p w:rsidR="00EA6F40" w:rsidRPr="00C875F5" w:rsidRDefault="00EA6F40" w:rsidP="00EA6F40">
            <w:pPr>
              <w:ind w:firstLine="318"/>
              <w:rPr>
                <w:sz w:val="24"/>
              </w:rPr>
            </w:pPr>
            <w:r>
              <w:rPr>
                <w:sz w:val="24"/>
              </w:rPr>
              <w:t>250</w:t>
            </w:r>
            <w:r w:rsidRPr="00C875F5">
              <w:rPr>
                <w:sz w:val="24"/>
              </w:rPr>
              <w:t xml:space="preserve"> μg/day  </w:t>
            </w:r>
          </w:p>
        </w:tc>
      </w:tr>
      <w:tr w:rsidR="00EA6F40" w:rsidRPr="00C875F5" w:rsidTr="008A1B34">
        <w:trPr>
          <w:trHeight w:val="567"/>
        </w:trPr>
        <w:tc>
          <w:tcPr>
            <w:tcW w:w="2943" w:type="dxa"/>
            <w:vAlign w:val="center"/>
          </w:tcPr>
          <w:p w:rsidR="00EA6F40" w:rsidRPr="00C875F5" w:rsidRDefault="00EA6F40" w:rsidP="00EA6F40">
            <w:pPr>
              <w:ind w:left="720"/>
              <w:rPr>
                <w:sz w:val="24"/>
              </w:rPr>
            </w:pPr>
            <w:r w:rsidRPr="00C875F5">
              <w:rPr>
                <w:sz w:val="24"/>
              </w:rPr>
              <w:t>4-8 years</w:t>
            </w:r>
          </w:p>
        </w:tc>
        <w:tc>
          <w:tcPr>
            <w:tcW w:w="2500" w:type="dxa"/>
            <w:vAlign w:val="center"/>
          </w:tcPr>
          <w:p w:rsidR="00EA6F40" w:rsidRPr="00C875F5" w:rsidRDefault="00EA6F40" w:rsidP="00EA6F40">
            <w:pPr>
              <w:ind w:firstLine="318"/>
              <w:rPr>
                <w:sz w:val="24"/>
              </w:rPr>
            </w:pPr>
            <w:r>
              <w:rPr>
                <w:sz w:val="24"/>
              </w:rPr>
              <w:t>35</w:t>
            </w:r>
            <w:r w:rsidRPr="00C875F5">
              <w:rPr>
                <w:sz w:val="24"/>
              </w:rPr>
              <w:t xml:space="preserve">0 μg/day </w:t>
            </w:r>
          </w:p>
        </w:tc>
      </w:tr>
      <w:tr w:rsidR="00EA6F40" w:rsidRPr="00C875F5" w:rsidTr="008A1B34">
        <w:trPr>
          <w:trHeight w:val="567"/>
        </w:trPr>
        <w:tc>
          <w:tcPr>
            <w:tcW w:w="2943" w:type="dxa"/>
            <w:vAlign w:val="center"/>
          </w:tcPr>
          <w:p w:rsidR="00EA6F40" w:rsidRPr="00C875F5" w:rsidRDefault="00EA6F40" w:rsidP="00EA6F40">
            <w:pPr>
              <w:ind w:left="720"/>
              <w:rPr>
                <w:sz w:val="24"/>
              </w:rPr>
            </w:pPr>
            <w:r w:rsidRPr="00C875F5">
              <w:rPr>
                <w:sz w:val="24"/>
              </w:rPr>
              <w:t>9-13 years</w:t>
            </w:r>
          </w:p>
        </w:tc>
        <w:tc>
          <w:tcPr>
            <w:tcW w:w="2500" w:type="dxa"/>
            <w:vAlign w:val="center"/>
          </w:tcPr>
          <w:p w:rsidR="00EA6F40" w:rsidRPr="00C875F5" w:rsidRDefault="00EA6F40" w:rsidP="00EA6F40">
            <w:pPr>
              <w:ind w:firstLine="318"/>
              <w:rPr>
                <w:sz w:val="24"/>
              </w:rPr>
            </w:pPr>
            <w:r w:rsidRPr="00C875F5">
              <w:rPr>
                <w:sz w:val="24"/>
              </w:rPr>
              <w:t xml:space="preserve">550 μg/day </w:t>
            </w:r>
          </w:p>
        </w:tc>
      </w:tr>
      <w:tr w:rsidR="00EA6F40" w:rsidRPr="00C875F5" w:rsidTr="008A1B34">
        <w:trPr>
          <w:trHeight w:val="567"/>
        </w:trPr>
        <w:tc>
          <w:tcPr>
            <w:tcW w:w="2943" w:type="dxa"/>
            <w:vAlign w:val="center"/>
          </w:tcPr>
          <w:p w:rsidR="00EA6F40" w:rsidRPr="00C875F5" w:rsidRDefault="00EA6F40" w:rsidP="00EA6F40">
            <w:pPr>
              <w:ind w:left="720"/>
              <w:rPr>
                <w:sz w:val="24"/>
              </w:rPr>
            </w:pPr>
            <w:r w:rsidRPr="00C875F5">
              <w:rPr>
                <w:sz w:val="24"/>
              </w:rPr>
              <w:t>14-18 years</w:t>
            </w:r>
          </w:p>
          <w:p w:rsidR="00EA6F40" w:rsidRPr="00C875F5" w:rsidRDefault="00EA6F40" w:rsidP="00362D0E">
            <w:pPr>
              <w:ind w:left="900"/>
              <w:rPr>
                <w:sz w:val="24"/>
              </w:rPr>
            </w:pPr>
            <w:r w:rsidRPr="00C875F5">
              <w:rPr>
                <w:sz w:val="24"/>
              </w:rPr>
              <w:t>Male</w:t>
            </w:r>
          </w:p>
          <w:p w:rsidR="00EA6F40" w:rsidRPr="00C875F5" w:rsidRDefault="00EA6F40" w:rsidP="00362D0E">
            <w:pPr>
              <w:ind w:left="900"/>
              <w:rPr>
                <w:sz w:val="24"/>
              </w:rPr>
            </w:pPr>
            <w:r w:rsidRPr="00C875F5">
              <w:rPr>
                <w:sz w:val="24"/>
              </w:rPr>
              <w:t>Female</w:t>
            </w:r>
          </w:p>
        </w:tc>
        <w:tc>
          <w:tcPr>
            <w:tcW w:w="2500" w:type="dxa"/>
            <w:vAlign w:val="center"/>
          </w:tcPr>
          <w:p w:rsidR="00EA6F40" w:rsidRPr="00C875F5" w:rsidRDefault="00EA6F40" w:rsidP="00362D0E">
            <w:pPr>
              <w:spacing w:before="360"/>
              <w:ind w:firstLine="318"/>
              <w:rPr>
                <w:sz w:val="24"/>
              </w:rPr>
            </w:pPr>
            <w:r>
              <w:rPr>
                <w:sz w:val="24"/>
              </w:rPr>
              <w:t xml:space="preserve">800 </w:t>
            </w:r>
            <w:r w:rsidRPr="00C875F5">
              <w:rPr>
                <w:sz w:val="24"/>
              </w:rPr>
              <w:t xml:space="preserve">μg/day </w:t>
            </w:r>
          </w:p>
          <w:p w:rsidR="00EA6F40" w:rsidRPr="00C875F5" w:rsidRDefault="00EA6F40" w:rsidP="00EA6F40">
            <w:pPr>
              <w:ind w:firstLine="318"/>
              <w:rPr>
                <w:sz w:val="24"/>
              </w:rPr>
            </w:pPr>
            <w:r>
              <w:rPr>
                <w:sz w:val="24"/>
              </w:rPr>
              <w:t>700</w:t>
            </w:r>
            <w:r w:rsidRPr="00C875F5">
              <w:rPr>
                <w:sz w:val="24"/>
              </w:rPr>
              <w:t xml:space="preserve"> μg/day</w:t>
            </w:r>
          </w:p>
        </w:tc>
      </w:tr>
    </w:tbl>
    <w:p w:rsidR="008D4787" w:rsidRPr="008D4787" w:rsidRDefault="008D4787" w:rsidP="008D4787">
      <w:bookmarkStart w:id="151" w:name="_Ref430937830"/>
      <w:r w:rsidRPr="008D4787">
        <w:br w:type="page"/>
      </w:r>
    </w:p>
    <w:p w:rsidR="00EA6F40" w:rsidRPr="00C875F5" w:rsidRDefault="00C779C2" w:rsidP="00AE0695">
      <w:pPr>
        <w:pStyle w:val="Caption"/>
      </w:pPr>
      <w:r>
        <w:lastRenderedPageBreak/>
        <w:t xml:space="preserve">Table </w:t>
      </w:r>
      <w:r w:rsidR="00CA2AA1">
        <w:fldChar w:fldCharType="begin"/>
      </w:r>
      <w:r w:rsidR="00CA2AA1">
        <w:instrText xml:space="preserve"> STYLEREF 1 \s </w:instrText>
      </w:r>
      <w:r w:rsidR="00CA2AA1">
        <w:fldChar w:fldCharType="separate"/>
      </w:r>
      <w:r w:rsidR="00CA2AA1">
        <w:rPr>
          <w:noProof/>
        </w:rPr>
        <w:t>6</w:t>
      </w:r>
      <w:r w:rsidR="00CA2AA1">
        <w:fldChar w:fldCharType="end"/>
      </w:r>
      <w:r w:rsidR="00CA2AA1">
        <w:t>:</w:t>
      </w:r>
      <w:r w:rsidR="00CA2AA1">
        <w:fldChar w:fldCharType="begin"/>
      </w:r>
      <w:r w:rsidR="00CA2AA1">
        <w:instrText xml:space="preserve"> SEQ Table \* ARABIC \s 1 </w:instrText>
      </w:r>
      <w:r w:rsidR="00CA2AA1">
        <w:fldChar w:fldCharType="separate"/>
      </w:r>
      <w:r w:rsidR="00CA2AA1">
        <w:rPr>
          <w:noProof/>
        </w:rPr>
        <w:t>5</w:t>
      </w:r>
      <w:r w:rsidR="00CA2AA1">
        <w:fldChar w:fldCharType="end"/>
      </w:r>
      <w:bookmarkEnd w:id="151"/>
      <w:r>
        <w:t xml:space="preserve"> </w:t>
      </w:r>
      <w:r w:rsidR="00EA6F40" w:rsidRPr="00C875F5">
        <w:t>Comparison of 2006 UL</w:t>
      </w:r>
      <w:r w:rsidR="00EA6F40">
        <w:t xml:space="preserve">s </w:t>
      </w:r>
      <w:r w:rsidR="00EA6F40" w:rsidRPr="00C875F5">
        <w:t xml:space="preserve">with recommended </w:t>
      </w:r>
      <w:r w:rsidR="00EA6F40">
        <w:t>P</w:t>
      </w:r>
      <w:r w:rsidR="00EA6F40" w:rsidRPr="00C875F5">
        <w:t>rovisional UL</w:t>
      </w:r>
      <w:r w:rsidR="00EA6F40">
        <w:t>s</w:t>
      </w:r>
      <w:r w:rsidR="00EA6F40" w:rsidRPr="00C875F5">
        <w:t xml:space="preserve"> for children </w:t>
      </w:r>
    </w:p>
    <w:tbl>
      <w:tblPr>
        <w:tblStyle w:val="TableGrid"/>
        <w:tblW w:w="804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Description w:val="Table 6.5 list the Comparison of 2006 Upper Levels of Intake (UL)  with recommended Provisional ULs for children. This table contains 3 column headings; coliumn 1. children in age groups, column 2. 2006 UL and Provisional UL. "/>
      </w:tblPr>
      <w:tblGrid>
        <w:gridCol w:w="2943"/>
        <w:gridCol w:w="2500"/>
        <w:gridCol w:w="2603"/>
      </w:tblGrid>
      <w:tr w:rsidR="00EA6F40" w:rsidRPr="00362D0E" w:rsidTr="00D61633">
        <w:trPr>
          <w:trHeight w:val="567"/>
          <w:tblHeader/>
        </w:trPr>
        <w:tc>
          <w:tcPr>
            <w:tcW w:w="0" w:type="auto"/>
            <w:vAlign w:val="center"/>
          </w:tcPr>
          <w:p w:rsidR="00EA6F40" w:rsidRPr="00362D0E" w:rsidRDefault="00EA6F40" w:rsidP="00EA6F40">
            <w:pPr>
              <w:rPr>
                <w:rStyle w:val="Strong"/>
              </w:rPr>
            </w:pPr>
            <w:r w:rsidRPr="00362D0E">
              <w:rPr>
                <w:rStyle w:val="Strong"/>
              </w:rPr>
              <w:t>Children</w:t>
            </w:r>
          </w:p>
        </w:tc>
        <w:tc>
          <w:tcPr>
            <w:tcW w:w="0" w:type="auto"/>
            <w:vAlign w:val="center"/>
          </w:tcPr>
          <w:p w:rsidR="00EA6F40" w:rsidRPr="00362D0E" w:rsidRDefault="00EA6F40" w:rsidP="00EA6F40">
            <w:pPr>
              <w:rPr>
                <w:rStyle w:val="Strong"/>
              </w:rPr>
            </w:pPr>
            <w:r w:rsidRPr="00362D0E">
              <w:rPr>
                <w:rStyle w:val="Strong"/>
              </w:rPr>
              <w:t>2006 UL</w:t>
            </w:r>
          </w:p>
        </w:tc>
        <w:tc>
          <w:tcPr>
            <w:tcW w:w="0" w:type="auto"/>
            <w:vAlign w:val="center"/>
          </w:tcPr>
          <w:p w:rsidR="00EA6F40" w:rsidRPr="00362D0E" w:rsidRDefault="00EA6F40" w:rsidP="00EA6F40">
            <w:pPr>
              <w:rPr>
                <w:rStyle w:val="Strong"/>
              </w:rPr>
            </w:pPr>
            <w:r w:rsidRPr="00362D0E">
              <w:rPr>
                <w:rStyle w:val="Strong"/>
              </w:rPr>
              <w:t>Provisional UL</w:t>
            </w:r>
          </w:p>
        </w:tc>
      </w:tr>
      <w:tr w:rsidR="00EA6F40" w:rsidRPr="00C875F5" w:rsidTr="008A1B34">
        <w:trPr>
          <w:trHeight w:val="567"/>
        </w:trPr>
        <w:tc>
          <w:tcPr>
            <w:tcW w:w="2943" w:type="dxa"/>
            <w:vAlign w:val="center"/>
          </w:tcPr>
          <w:p w:rsidR="00EA6F40" w:rsidRPr="00C875F5" w:rsidRDefault="00EA6F40" w:rsidP="00EA6F40">
            <w:pPr>
              <w:ind w:left="720"/>
              <w:rPr>
                <w:sz w:val="24"/>
              </w:rPr>
            </w:pPr>
            <w:r w:rsidRPr="00C875F5">
              <w:rPr>
                <w:sz w:val="24"/>
              </w:rPr>
              <w:t>1-3 years</w:t>
            </w:r>
          </w:p>
        </w:tc>
        <w:tc>
          <w:tcPr>
            <w:tcW w:w="2500" w:type="dxa"/>
            <w:vAlign w:val="center"/>
          </w:tcPr>
          <w:p w:rsidR="00EA6F40" w:rsidRPr="00C875F5" w:rsidRDefault="00EA6F40" w:rsidP="00EA6F40">
            <w:pPr>
              <w:ind w:left="601" w:hanging="318"/>
              <w:rPr>
                <w:sz w:val="24"/>
              </w:rPr>
            </w:pPr>
            <w:r w:rsidRPr="00C875F5">
              <w:rPr>
                <w:sz w:val="24"/>
              </w:rPr>
              <w:t xml:space="preserve">200 μg/day  </w:t>
            </w:r>
          </w:p>
        </w:tc>
        <w:tc>
          <w:tcPr>
            <w:tcW w:w="2603" w:type="dxa"/>
            <w:vAlign w:val="center"/>
          </w:tcPr>
          <w:p w:rsidR="00EA6F40" w:rsidRPr="00C875F5" w:rsidRDefault="00EA6F40" w:rsidP="00EA6F40">
            <w:pPr>
              <w:ind w:firstLine="369"/>
              <w:rPr>
                <w:sz w:val="24"/>
              </w:rPr>
            </w:pPr>
            <w:r>
              <w:rPr>
                <w:sz w:val="24"/>
              </w:rPr>
              <w:t>260</w:t>
            </w:r>
            <w:r w:rsidRPr="00C875F5">
              <w:rPr>
                <w:sz w:val="24"/>
              </w:rPr>
              <w:t xml:space="preserve"> </w:t>
            </w:r>
            <w:r>
              <w:rPr>
                <w:sz w:val="24"/>
              </w:rPr>
              <w:t xml:space="preserve"> (250) </w:t>
            </w:r>
            <w:r w:rsidRPr="00C875F5">
              <w:rPr>
                <w:sz w:val="24"/>
              </w:rPr>
              <w:t xml:space="preserve">μg/day  </w:t>
            </w:r>
          </w:p>
        </w:tc>
      </w:tr>
      <w:tr w:rsidR="00EA6F40" w:rsidRPr="00C875F5" w:rsidTr="008A1B34">
        <w:trPr>
          <w:trHeight w:val="567"/>
        </w:trPr>
        <w:tc>
          <w:tcPr>
            <w:tcW w:w="2943" w:type="dxa"/>
            <w:vAlign w:val="center"/>
          </w:tcPr>
          <w:p w:rsidR="00EA6F40" w:rsidRPr="00C875F5" w:rsidRDefault="00EA6F40" w:rsidP="00EA6F40">
            <w:pPr>
              <w:ind w:left="720"/>
              <w:rPr>
                <w:sz w:val="24"/>
              </w:rPr>
            </w:pPr>
            <w:r w:rsidRPr="00C875F5">
              <w:rPr>
                <w:sz w:val="24"/>
              </w:rPr>
              <w:t>4-8 years</w:t>
            </w:r>
          </w:p>
        </w:tc>
        <w:tc>
          <w:tcPr>
            <w:tcW w:w="2500" w:type="dxa"/>
            <w:vAlign w:val="center"/>
          </w:tcPr>
          <w:p w:rsidR="00EA6F40" w:rsidRPr="00C875F5" w:rsidRDefault="00EA6F40" w:rsidP="00EA6F40">
            <w:pPr>
              <w:ind w:left="601" w:hanging="318"/>
              <w:rPr>
                <w:sz w:val="24"/>
              </w:rPr>
            </w:pPr>
            <w:r w:rsidRPr="00C875F5">
              <w:rPr>
                <w:sz w:val="24"/>
              </w:rPr>
              <w:t xml:space="preserve">300 μg/day </w:t>
            </w:r>
          </w:p>
        </w:tc>
        <w:tc>
          <w:tcPr>
            <w:tcW w:w="2603" w:type="dxa"/>
            <w:vAlign w:val="center"/>
          </w:tcPr>
          <w:p w:rsidR="00EA6F40" w:rsidRPr="00C875F5" w:rsidRDefault="00EA6F40" w:rsidP="00EA6F40">
            <w:pPr>
              <w:ind w:firstLine="369"/>
              <w:rPr>
                <w:sz w:val="24"/>
              </w:rPr>
            </w:pPr>
            <w:r>
              <w:rPr>
                <w:sz w:val="24"/>
              </w:rPr>
              <w:t>360 (350)</w:t>
            </w:r>
            <w:r w:rsidRPr="00C875F5">
              <w:rPr>
                <w:sz w:val="24"/>
              </w:rPr>
              <w:t xml:space="preserve"> μg/day </w:t>
            </w:r>
          </w:p>
        </w:tc>
      </w:tr>
      <w:tr w:rsidR="00EA6F40" w:rsidRPr="00C875F5" w:rsidTr="008A1B34">
        <w:trPr>
          <w:trHeight w:val="567"/>
        </w:trPr>
        <w:tc>
          <w:tcPr>
            <w:tcW w:w="2943" w:type="dxa"/>
            <w:vAlign w:val="center"/>
          </w:tcPr>
          <w:p w:rsidR="00EA6F40" w:rsidRPr="00C875F5" w:rsidRDefault="00EA6F40" w:rsidP="00EA6F40">
            <w:pPr>
              <w:ind w:left="720"/>
              <w:rPr>
                <w:sz w:val="24"/>
              </w:rPr>
            </w:pPr>
            <w:r w:rsidRPr="00C875F5">
              <w:rPr>
                <w:sz w:val="24"/>
              </w:rPr>
              <w:t>9-13 years</w:t>
            </w:r>
          </w:p>
        </w:tc>
        <w:tc>
          <w:tcPr>
            <w:tcW w:w="2500" w:type="dxa"/>
            <w:vAlign w:val="center"/>
          </w:tcPr>
          <w:p w:rsidR="00EA6F40" w:rsidRPr="00C875F5" w:rsidRDefault="00EA6F40" w:rsidP="00EA6F40">
            <w:pPr>
              <w:ind w:left="601" w:hanging="318"/>
              <w:rPr>
                <w:sz w:val="24"/>
              </w:rPr>
            </w:pPr>
            <w:r w:rsidRPr="00C875F5">
              <w:rPr>
                <w:sz w:val="24"/>
              </w:rPr>
              <w:t xml:space="preserve">600 μg/day </w:t>
            </w:r>
          </w:p>
        </w:tc>
        <w:tc>
          <w:tcPr>
            <w:tcW w:w="2603" w:type="dxa"/>
            <w:vAlign w:val="center"/>
          </w:tcPr>
          <w:p w:rsidR="00EA6F40" w:rsidRPr="00C875F5" w:rsidRDefault="00EA6F40" w:rsidP="00EA6F40">
            <w:pPr>
              <w:ind w:firstLine="369"/>
              <w:rPr>
                <w:sz w:val="24"/>
              </w:rPr>
            </w:pPr>
            <w:r w:rsidRPr="00C875F5">
              <w:rPr>
                <w:sz w:val="24"/>
              </w:rPr>
              <w:t xml:space="preserve">550 </w:t>
            </w:r>
            <w:r>
              <w:rPr>
                <w:sz w:val="24"/>
              </w:rPr>
              <w:t xml:space="preserve"> (550) </w:t>
            </w:r>
            <w:r w:rsidRPr="00C875F5">
              <w:rPr>
                <w:sz w:val="24"/>
              </w:rPr>
              <w:t xml:space="preserve">μg/day </w:t>
            </w:r>
          </w:p>
        </w:tc>
      </w:tr>
      <w:tr w:rsidR="00EA6F40" w:rsidRPr="00C875F5" w:rsidTr="008A1B34">
        <w:trPr>
          <w:trHeight w:val="567"/>
        </w:trPr>
        <w:tc>
          <w:tcPr>
            <w:tcW w:w="2943" w:type="dxa"/>
            <w:vAlign w:val="center"/>
          </w:tcPr>
          <w:p w:rsidR="00EA6F40" w:rsidRPr="00C875F5" w:rsidRDefault="00EA6F40" w:rsidP="00EA6F40">
            <w:pPr>
              <w:ind w:left="720"/>
              <w:rPr>
                <w:sz w:val="24"/>
              </w:rPr>
            </w:pPr>
            <w:r w:rsidRPr="00C875F5">
              <w:rPr>
                <w:sz w:val="24"/>
              </w:rPr>
              <w:t>14-18 years</w:t>
            </w:r>
          </w:p>
          <w:p w:rsidR="00EA6F40" w:rsidRPr="00C875F5" w:rsidRDefault="00EA6F40" w:rsidP="00362D0E">
            <w:pPr>
              <w:ind w:left="900"/>
              <w:rPr>
                <w:sz w:val="24"/>
              </w:rPr>
            </w:pPr>
            <w:r w:rsidRPr="00C875F5">
              <w:rPr>
                <w:sz w:val="24"/>
              </w:rPr>
              <w:t>Male</w:t>
            </w:r>
          </w:p>
          <w:p w:rsidR="00EA6F40" w:rsidRPr="00C875F5" w:rsidRDefault="00EA6F40" w:rsidP="00362D0E">
            <w:pPr>
              <w:ind w:left="900"/>
              <w:rPr>
                <w:sz w:val="24"/>
              </w:rPr>
            </w:pPr>
            <w:r w:rsidRPr="00C875F5">
              <w:rPr>
                <w:sz w:val="24"/>
              </w:rPr>
              <w:t>Female</w:t>
            </w:r>
          </w:p>
        </w:tc>
        <w:tc>
          <w:tcPr>
            <w:tcW w:w="2500" w:type="dxa"/>
            <w:vAlign w:val="center"/>
          </w:tcPr>
          <w:p w:rsidR="00EA6F40" w:rsidRPr="00C875F5" w:rsidRDefault="00EA6F40" w:rsidP="00362D0E">
            <w:pPr>
              <w:spacing w:before="360"/>
              <w:ind w:left="602" w:hanging="318"/>
              <w:rPr>
                <w:sz w:val="24"/>
              </w:rPr>
            </w:pPr>
            <w:r w:rsidRPr="00C875F5">
              <w:rPr>
                <w:sz w:val="24"/>
              </w:rPr>
              <w:t xml:space="preserve">900 μg/day </w:t>
            </w:r>
          </w:p>
          <w:p w:rsidR="00EA6F40" w:rsidRPr="00C875F5" w:rsidRDefault="00EA6F40" w:rsidP="00EA6F40">
            <w:pPr>
              <w:ind w:left="601" w:hanging="318"/>
              <w:rPr>
                <w:sz w:val="24"/>
              </w:rPr>
            </w:pPr>
            <w:r w:rsidRPr="00C875F5">
              <w:rPr>
                <w:sz w:val="24"/>
              </w:rPr>
              <w:t xml:space="preserve">900 μg/day </w:t>
            </w:r>
          </w:p>
        </w:tc>
        <w:tc>
          <w:tcPr>
            <w:tcW w:w="2603" w:type="dxa"/>
            <w:vAlign w:val="center"/>
          </w:tcPr>
          <w:p w:rsidR="00EA6F40" w:rsidRPr="00C875F5" w:rsidRDefault="00EA6F40" w:rsidP="00362D0E">
            <w:pPr>
              <w:spacing w:before="360"/>
              <w:ind w:firstLine="369"/>
              <w:rPr>
                <w:sz w:val="24"/>
              </w:rPr>
            </w:pPr>
            <w:r>
              <w:rPr>
                <w:sz w:val="24"/>
              </w:rPr>
              <w:t xml:space="preserve">790 (800) </w:t>
            </w:r>
            <w:r w:rsidRPr="00C875F5">
              <w:rPr>
                <w:sz w:val="24"/>
              </w:rPr>
              <w:t xml:space="preserve">μg/day </w:t>
            </w:r>
          </w:p>
          <w:p w:rsidR="00EA6F40" w:rsidRPr="00C875F5" w:rsidRDefault="00EA6F40" w:rsidP="00EA6F40">
            <w:pPr>
              <w:ind w:firstLine="369"/>
              <w:rPr>
                <w:sz w:val="24"/>
              </w:rPr>
            </w:pPr>
            <w:r>
              <w:rPr>
                <w:sz w:val="24"/>
              </w:rPr>
              <w:t>720</w:t>
            </w:r>
            <w:r w:rsidRPr="00C875F5">
              <w:rPr>
                <w:sz w:val="24"/>
              </w:rPr>
              <w:t xml:space="preserve"> </w:t>
            </w:r>
            <w:r>
              <w:rPr>
                <w:sz w:val="24"/>
              </w:rPr>
              <w:t xml:space="preserve">(700) </w:t>
            </w:r>
            <w:r w:rsidRPr="00C875F5">
              <w:rPr>
                <w:sz w:val="24"/>
              </w:rPr>
              <w:t>μg/day</w:t>
            </w:r>
          </w:p>
        </w:tc>
      </w:tr>
    </w:tbl>
    <w:p w:rsidR="00EA6F40" w:rsidRDefault="00EA6F40" w:rsidP="000A4E22">
      <w:pPr>
        <w:pStyle w:val="Heading2"/>
      </w:pPr>
      <w:bookmarkStart w:id="152" w:name="_Toc279228363"/>
      <w:bookmarkStart w:id="153" w:name="_Toc433621800"/>
      <w:r>
        <w:t>Validity</w:t>
      </w:r>
      <w:bookmarkEnd w:id="152"/>
      <w:bookmarkEnd w:id="153"/>
    </w:p>
    <w:p w:rsidR="00EA6F40" w:rsidRDefault="00EA6F40" w:rsidP="00CA2AA1">
      <w:pPr>
        <w:pStyle w:val="Heading3"/>
      </w:pPr>
      <w:bookmarkStart w:id="154" w:name="_Toc433621801"/>
      <w:r w:rsidRPr="005F7262">
        <w:t xml:space="preserve">UL </w:t>
      </w:r>
      <w:r>
        <w:t>for children</w:t>
      </w:r>
      <w:bookmarkEnd w:id="154"/>
    </w:p>
    <w:p w:rsidR="00EA6F40" w:rsidRPr="009E6B46" w:rsidRDefault="00EA6F40" w:rsidP="00362D0E">
      <w:pPr>
        <w:rPr>
          <w:b/>
          <w:sz w:val="24"/>
        </w:rPr>
      </w:pPr>
      <w:r w:rsidRPr="005F7262">
        <w:rPr>
          <w:b/>
          <w:sz w:val="24"/>
        </w:rPr>
        <w:t xml:space="preserve"> </w:t>
      </w:r>
      <w:r w:rsidRPr="005F7262">
        <w:rPr>
          <w:rFonts w:cstheme="minorHAnsi"/>
          <w:sz w:val="24"/>
        </w:rPr>
        <w:t xml:space="preserve">In the previous </w:t>
      </w:r>
      <w:r>
        <w:rPr>
          <w:rFonts w:cstheme="minorHAnsi"/>
          <w:sz w:val="24"/>
        </w:rPr>
        <w:t>review</w:t>
      </w:r>
      <w:r w:rsidRPr="005F7262">
        <w:rPr>
          <w:rFonts w:cstheme="minorHAnsi"/>
          <w:sz w:val="24"/>
        </w:rPr>
        <w:t xml:space="preserve"> of the NRVs, ULs for children were extrapolated from relatively small (</w:t>
      </w:r>
      <w:r>
        <w:rPr>
          <w:rFonts w:cstheme="minorHAnsi"/>
          <w:sz w:val="24"/>
        </w:rPr>
        <w:t>n=</w:t>
      </w:r>
      <w:r w:rsidRPr="005F7262">
        <w:rPr>
          <w:rFonts w:cstheme="minorHAnsi"/>
          <w:sz w:val="24"/>
        </w:rPr>
        <w:t>30 adults) dose response studies</w:t>
      </w:r>
      <w:r>
        <w:rPr>
          <w:rFonts w:cstheme="minorHAnsi"/>
          <w:sz w:val="24"/>
        </w:rPr>
        <w:t xml:space="preserve"> </w:t>
      </w:r>
      <w:r w:rsidRPr="006707A0">
        <w:rPr>
          <w:sz w:val="24"/>
        </w:rPr>
        <w:t>(NHMRC 2006)</w:t>
      </w:r>
      <w:r>
        <w:rPr>
          <w:sz w:val="24"/>
        </w:rPr>
        <w:t xml:space="preserve">, </w:t>
      </w:r>
      <w:r>
        <w:rPr>
          <w:rFonts w:cstheme="minorHAnsi"/>
          <w:sz w:val="24"/>
        </w:rPr>
        <w:t>while in</w:t>
      </w:r>
      <w:r w:rsidRPr="005F7262">
        <w:rPr>
          <w:rFonts w:cstheme="minorHAnsi"/>
          <w:sz w:val="24"/>
        </w:rPr>
        <w:t xml:space="preserve"> this </w:t>
      </w:r>
      <w:r>
        <w:rPr>
          <w:rFonts w:cstheme="minorHAnsi"/>
          <w:sz w:val="24"/>
        </w:rPr>
        <w:t>review an attempt was made to derive</w:t>
      </w:r>
      <w:r w:rsidRPr="005F7262">
        <w:rPr>
          <w:rFonts w:cstheme="minorHAnsi"/>
          <w:sz w:val="24"/>
        </w:rPr>
        <w:t xml:space="preserve"> the ULs from studies on children. </w:t>
      </w:r>
      <w:r>
        <w:rPr>
          <w:rFonts w:cstheme="minorHAnsi"/>
          <w:sz w:val="24"/>
        </w:rPr>
        <w:t xml:space="preserve"> </w:t>
      </w:r>
      <w:r w:rsidRPr="005F7262">
        <w:rPr>
          <w:rFonts w:cstheme="minorHAnsi"/>
          <w:sz w:val="24"/>
        </w:rPr>
        <w:t xml:space="preserve">As iodine requirements are influenced by stages of growth, deriving </w:t>
      </w:r>
      <w:r>
        <w:rPr>
          <w:rFonts w:cstheme="minorHAnsi"/>
          <w:sz w:val="24"/>
        </w:rPr>
        <w:t xml:space="preserve">NRVs for children from studies of </w:t>
      </w:r>
      <w:r w:rsidRPr="005F7262">
        <w:rPr>
          <w:rFonts w:cstheme="minorHAnsi"/>
          <w:sz w:val="24"/>
        </w:rPr>
        <w:t xml:space="preserve">children </w:t>
      </w:r>
      <w:r>
        <w:rPr>
          <w:rFonts w:cstheme="minorHAnsi"/>
          <w:sz w:val="24"/>
        </w:rPr>
        <w:t>is</w:t>
      </w:r>
      <w:r w:rsidRPr="005F7262">
        <w:rPr>
          <w:rFonts w:cstheme="minorHAnsi"/>
          <w:sz w:val="24"/>
        </w:rPr>
        <w:t xml:space="preserve"> more likely to </w:t>
      </w:r>
      <w:r>
        <w:rPr>
          <w:rFonts w:cstheme="minorHAnsi"/>
          <w:sz w:val="24"/>
        </w:rPr>
        <w:t xml:space="preserve">better </w:t>
      </w:r>
      <w:r w:rsidRPr="005F7262">
        <w:rPr>
          <w:rFonts w:cstheme="minorHAnsi"/>
          <w:sz w:val="24"/>
        </w:rPr>
        <w:t>reflect nutrient requirements than extrapolating from adults.</w:t>
      </w:r>
      <w:r>
        <w:rPr>
          <w:rFonts w:cstheme="minorHAnsi"/>
          <w:sz w:val="24"/>
        </w:rPr>
        <w:t xml:space="preserve">  </w:t>
      </w:r>
      <w:r w:rsidRPr="005F7262">
        <w:rPr>
          <w:rFonts w:cstheme="minorHAnsi"/>
          <w:sz w:val="24"/>
        </w:rPr>
        <w:t>In determining the UL for children, heavy reliance was placed on evidence from one study</w:t>
      </w:r>
      <w:r>
        <w:rPr>
          <w:rFonts w:cstheme="minorHAnsi"/>
          <w:sz w:val="24"/>
        </w:rPr>
        <w:t xml:space="preserve"> by </w:t>
      </w:r>
      <w:r w:rsidRPr="006139F0">
        <w:rPr>
          <w:sz w:val="24"/>
        </w:rPr>
        <w:t>Zimmermann et al (2005)</w:t>
      </w:r>
      <w:r>
        <w:t xml:space="preserve">.  </w:t>
      </w:r>
      <w:r>
        <w:rPr>
          <w:rFonts w:cstheme="minorHAnsi"/>
          <w:sz w:val="24"/>
        </w:rPr>
        <w:t>For this</w:t>
      </w:r>
      <w:r w:rsidRPr="005F7262">
        <w:rPr>
          <w:rFonts w:cstheme="minorHAnsi"/>
          <w:sz w:val="24"/>
        </w:rPr>
        <w:t xml:space="preserve"> reason we chose to set Provisional ULs instead of ULs</w:t>
      </w:r>
      <w:r>
        <w:rPr>
          <w:rFonts w:cstheme="minorHAnsi"/>
          <w:sz w:val="24"/>
        </w:rPr>
        <w:t xml:space="preserve">.  </w:t>
      </w:r>
      <w:r w:rsidRPr="005F7262">
        <w:rPr>
          <w:rFonts w:cstheme="minorHAnsi"/>
          <w:sz w:val="24"/>
        </w:rPr>
        <w:t>However, the</w:t>
      </w:r>
      <w:r>
        <w:rPr>
          <w:rFonts w:cstheme="minorHAnsi"/>
          <w:sz w:val="24"/>
        </w:rPr>
        <w:t xml:space="preserve"> </w:t>
      </w:r>
      <w:r w:rsidRPr="005F7262">
        <w:rPr>
          <w:rFonts w:cstheme="minorHAnsi"/>
          <w:sz w:val="24"/>
        </w:rPr>
        <w:t xml:space="preserve">study in question included data for over 3000 children </w:t>
      </w:r>
      <w:r w:rsidRPr="009A5729">
        <w:rPr>
          <w:rFonts w:cstheme="minorHAnsi"/>
          <w:sz w:val="24"/>
        </w:rPr>
        <w:t>aged 6-12 years</w:t>
      </w:r>
      <w:r w:rsidRPr="005F7262">
        <w:rPr>
          <w:rFonts w:cstheme="minorHAnsi"/>
          <w:sz w:val="24"/>
        </w:rPr>
        <w:t xml:space="preserve"> from across five continents. </w:t>
      </w:r>
      <w:r>
        <w:rPr>
          <w:rFonts w:cstheme="minorHAnsi"/>
          <w:sz w:val="24"/>
        </w:rPr>
        <w:t xml:space="preserve"> These data were</w:t>
      </w:r>
      <w:r w:rsidRPr="009A5729">
        <w:rPr>
          <w:rFonts w:cstheme="minorHAnsi"/>
          <w:sz w:val="24"/>
        </w:rPr>
        <w:t xml:space="preserve"> used to estimat</w:t>
      </w:r>
      <w:r>
        <w:rPr>
          <w:rFonts w:cstheme="minorHAnsi"/>
          <w:sz w:val="24"/>
        </w:rPr>
        <w:t>e a provisional UL</w:t>
      </w:r>
      <w:r w:rsidRPr="009A5729">
        <w:rPr>
          <w:rFonts w:cstheme="minorHAnsi"/>
          <w:sz w:val="24"/>
        </w:rPr>
        <w:t xml:space="preserve"> for children </w:t>
      </w:r>
      <w:r>
        <w:rPr>
          <w:rFonts w:cstheme="minorHAnsi"/>
          <w:sz w:val="24"/>
        </w:rPr>
        <w:t xml:space="preserve">aged 9-13 years and ULs for the other </w:t>
      </w:r>
      <w:r w:rsidRPr="009A5729">
        <w:rPr>
          <w:rFonts w:cstheme="minorHAnsi"/>
          <w:sz w:val="24"/>
        </w:rPr>
        <w:t>1-3, 4-8</w:t>
      </w:r>
      <w:r>
        <w:rPr>
          <w:rFonts w:cstheme="minorHAnsi"/>
          <w:sz w:val="24"/>
        </w:rPr>
        <w:t xml:space="preserve"> and 14-18 </w:t>
      </w:r>
      <w:r w:rsidRPr="009A5729">
        <w:rPr>
          <w:rFonts w:cstheme="minorHAnsi"/>
          <w:sz w:val="24"/>
        </w:rPr>
        <w:t>years</w:t>
      </w:r>
      <w:r>
        <w:rPr>
          <w:rFonts w:cstheme="minorHAnsi"/>
          <w:sz w:val="24"/>
        </w:rPr>
        <w:t xml:space="preserve"> age groups were extrapolated using metabolic weight. </w:t>
      </w:r>
    </w:p>
    <w:p w:rsidR="00EA6F40" w:rsidRPr="00C875F5" w:rsidRDefault="00EA6F40" w:rsidP="000A4E22">
      <w:pPr>
        <w:pStyle w:val="Heading2"/>
      </w:pPr>
      <w:bookmarkStart w:id="155" w:name="_Toc279228364"/>
      <w:bookmarkStart w:id="156" w:name="_Toc433621802"/>
      <w:r w:rsidRPr="00C875F5">
        <w:t>Implications and ongoing challenges</w:t>
      </w:r>
      <w:bookmarkEnd w:id="155"/>
      <w:bookmarkEnd w:id="156"/>
    </w:p>
    <w:p w:rsidR="00EA6F40" w:rsidRPr="008D4787" w:rsidRDefault="00EA6F40" w:rsidP="00CA2AA1">
      <w:pPr>
        <w:pStyle w:val="Heading3"/>
      </w:pPr>
      <w:bookmarkStart w:id="157" w:name="_Toc279228365"/>
      <w:bookmarkStart w:id="158" w:name="_Toc433621803"/>
      <w:r w:rsidRPr="008D4787">
        <w:t>Implications of changes to the UL for children</w:t>
      </w:r>
      <w:bookmarkEnd w:id="157"/>
      <w:bookmarkEnd w:id="158"/>
    </w:p>
    <w:p w:rsidR="00EA6F40" w:rsidRPr="00C875F5" w:rsidRDefault="00EA6F40" w:rsidP="00362D0E">
      <w:pPr>
        <w:pStyle w:val="Thesisnormal"/>
        <w:jc w:val="left"/>
        <w:rPr>
          <w:rFonts w:asciiTheme="minorHAnsi" w:hAnsiTheme="minorHAnsi"/>
          <w:sz w:val="24"/>
        </w:rPr>
      </w:pPr>
      <w:r w:rsidRPr="00C875F5">
        <w:rPr>
          <w:rFonts w:asciiTheme="minorHAnsi" w:hAnsiTheme="minorHAnsi"/>
          <w:sz w:val="24"/>
        </w:rPr>
        <w:t>It is not anticipated that the recommended changes to the UL for children will have any significant implications for policy in Australia and New Zealand.  During the consideration of mandatory fortification with iodine for Australia and New Zealand in 2008, comprehensive di</w:t>
      </w:r>
      <w:r>
        <w:rPr>
          <w:rFonts w:asciiTheme="minorHAnsi" w:hAnsiTheme="minorHAnsi"/>
          <w:sz w:val="24"/>
        </w:rPr>
        <w:t xml:space="preserve">etary modelling was undertaken. </w:t>
      </w:r>
      <w:r w:rsidRPr="00C875F5">
        <w:rPr>
          <w:rFonts w:asciiTheme="minorHAnsi" w:hAnsiTheme="minorHAnsi"/>
          <w:sz w:val="24"/>
        </w:rPr>
        <w:t>This mode</w:t>
      </w:r>
      <w:r>
        <w:rPr>
          <w:rFonts w:asciiTheme="minorHAnsi" w:hAnsiTheme="minorHAnsi"/>
          <w:sz w:val="24"/>
        </w:rPr>
        <w:t>l</w:t>
      </w:r>
      <w:r w:rsidRPr="00C875F5">
        <w:rPr>
          <w:rFonts w:asciiTheme="minorHAnsi" w:hAnsiTheme="minorHAnsi"/>
          <w:sz w:val="24"/>
        </w:rPr>
        <w:t xml:space="preserve">ling showed that fortification of bread with iodised salt would result in iodine intakes that would exceed the UL in 6% of children aged 2-3 years (FSANZ 2008).  Whilst an increase in the UL for this age group from 200 to </w:t>
      </w:r>
      <w:r>
        <w:rPr>
          <w:rFonts w:asciiTheme="minorHAnsi" w:hAnsiTheme="minorHAnsi"/>
          <w:sz w:val="24"/>
        </w:rPr>
        <w:t>300</w:t>
      </w:r>
      <w:r w:rsidRPr="00C875F5">
        <w:rPr>
          <w:rFonts w:asciiTheme="minorHAnsi" w:hAnsiTheme="minorHAnsi"/>
          <w:sz w:val="24"/>
        </w:rPr>
        <w:t xml:space="preserve"> </w:t>
      </w:r>
      <w:r w:rsidRPr="00362D0E">
        <w:rPr>
          <w:rFonts w:asciiTheme="minorHAnsi" w:hAnsiTheme="minorHAnsi"/>
          <w:sz w:val="24"/>
        </w:rPr>
        <w:t>µ</w:t>
      </w:r>
      <w:r w:rsidRPr="00C875F5">
        <w:rPr>
          <w:rFonts w:asciiTheme="minorHAnsi" w:hAnsiTheme="minorHAnsi"/>
          <w:sz w:val="24"/>
        </w:rPr>
        <w:t>g is likely to reduce the proportion of 2-3 year olds who would exceed the UL, the magnitude of inc</w:t>
      </w:r>
      <w:r>
        <w:rPr>
          <w:rFonts w:asciiTheme="minorHAnsi" w:hAnsiTheme="minorHAnsi"/>
          <w:sz w:val="24"/>
        </w:rPr>
        <w:t>rease is unlikely to justify extending</w:t>
      </w:r>
      <w:r w:rsidRPr="00C875F5">
        <w:rPr>
          <w:rFonts w:asciiTheme="minorHAnsi" w:hAnsiTheme="minorHAnsi"/>
          <w:sz w:val="24"/>
        </w:rPr>
        <w:t xml:space="preserve"> fortification of the Australian </w:t>
      </w:r>
      <w:r w:rsidR="008D4787">
        <w:rPr>
          <w:rFonts w:asciiTheme="minorHAnsi" w:hAnsiTheme="minorHAnsi"/>
          <w:sz w:val="24"/>
        </w:rPr>
        <w:t>and New Zealand food supply.</w:t>
      </w:r>
    </w:p>
    <w:p w:rsidR="00EA6F40" w:rsidRPr="00C875F5" w:rsidRDefault="00EA6F40" w:rsidP="00CA2AA1">
      <w:pPr>
        <w:pStyle w:val="Heading3"/>
        <w:numPr>
          <w:ilvl w:val="2"/>
          <w:numId w:val="22"/>
        </w:numPr>
      </w:pPr>
      <w:bookmarkStart w:id="159" w:name="_Toc279228366"/>
      <w:bookmarkStart w:id="160" w:name="_Toc433621804"/>
      <w:r w:rsidRPr="00C875F5">
        <w:lastRenderedPageBreak/>
        <w:t>Ongoing challenge of meeting pregnancy and lactation RDI</w:t>
      </w:r>
      <w:bookmarkEnd w:id="159"/>
      <w:bookmarkEnd w:id="160"/>
    </w:p>
    <w:p w:rsidR="00EA6F40" w:rsidRPr="00C875F5" w:rsidRDefault="00EA6F40" w:rsidP="0013546C">
      <w:pPr>
        <w:pStyle w:val="Thesisnormal0"/>
      </w:pPr>
      <w:r w:rsidRPr="00C875F5">
        <w:t xml:space="preserve"> In 2010 the NHMRC </w:t>
      </w:r>
      <w:r>
        <w:t xml:space="preserve">and New Zealand MOH </w:t>
      </w:r>
      <w:r w:rsidRPr="00C875F5">
        <w:t>recommended that pregnant and lactating women require an iodine supplement of 150</w:t>
      </w:r>
      <w:r w:rsidRPr="00C875F5">
        <w:rPr>
          <w:rFonts w:cstheme="minorHAnsi"/>
        </w:rPr>
        <w:t xml:space="preserve"> µ</w:t>
      </w:r>
      <w:r w:rsidRPr="00C875F5">
        <w:t>g/day, in addition to their dietary intake, to meet the requirements for pregnancy and lactation.  This was in recognition that the mandatory iodine fortification of bread program, introduced in 2009, was designed to meet the needs of the general population but was insufficient to meet the needs of pregnant and lactating women (NHMRC 2010</w:t>
      </w:r>
      <w:r>
        <w:t>; MOH 2010</w:t>
      </w:r>
      <w:r w:rsidRPr="00C875F5">
        <w:t xml:space="preserve">).  Given that the EWG recommended </w:t>
      </w:r>
      <w:r>
        <w:t>no</w:t>
      </w:r>
      <w:r w:rsidRPr="00C875F5">
        <w:t xml:space="preserve"> change </w:t>
      </w:r>
      <w:r>
        <w:t xml:space="preserve">in </w:t>
      </w:r>
      <w:r w:rsidRPr="00C875F5">
        <w:t xml:space="preserve">the </w:t>
      </w:r>
      <w:r>
        <w:t xml:space="preserve">existing </w:t>
      </w:r>
      <w:r w:rsidRPr="00C875F5">
        <w:t>RDI for pregnancy, it may be necessary to continue to recommend iodine supplements for pregnant and lactating women in Australia and New Zealand in order for them to achieve recommended intakes.</w:t>
      </w:r>
    </w:p>
    <w:p w:rsidR="00EA6F40" w:rsidRPr="00C875F5" w:rsidRDefault="00EA6F40" w:rsidP="00CA2AA1">
      <w:pPr>
        <w:pStyle w:val="Heading3"/>
        <w:numPr>
          <w:ilvl w:val="2"/>
          <w:numId w:val="22"/>
        </w:numPr>
      </w:pPr>
      <w:bookmarkStart w:id="161" w:name="_Toc279228367"/>
      <w:bookmarkStart w:id="162" w:name="_Toc433621805"/>
      <w:r w:rsidRPr="00C875F5">
        <w:t>International consistency</w:t>
      </w:r>
      <w:bookmarkEnd w:id="161"/>
      <w:bookmarkEnd w:id="162"/>
    </w:p>
    <w:p w:rsidR="00EA6F40" w:rsidRPr="00C875F5" w:rsidRDefault="00EA6F40" w:rsidP="0013546C">
      <w:pPr>
        <w:pStyle w:val="Thesisnormal0"/>
      </w:pPr>
      <w:r w:rsidRPr="00C875F5">
        <w:t xml:space="preserve">The recommendations of the EWG are still consistent with the Institute of Medicine (Food and Nutrition Board 2001).  EFSA have recommended (not </w:t>
      </w:r>
      <w:r>
        <w:t>yet adopted</w:t>
      </w:r>
      <w:r w:rsidRPr="00C875F5">
        <w:t xml:space="preserve">) that an Adequate Intake be set rather than EAR and RDI because of the lack of evidence (EFSA 2014).  The WHO recommended intake in pregnancy is 250 </w:t>
      </w:r>
      <w:r w:rsidRPr="00C875F5">
        <w:rPr>
          <w:rFonts w:cstheme="minorHAnsi"/>
        </w:rPr>
        <w:t>µ</w:t>
      </w:r>
      <w:r w:rsidRPr="00C875F5">
        <w:t xml:space="preserve">g/day, (WHO Secretariat 2007) although </w:t>
      </w:r>
      <w:r>
        <w:t>some</w:t>
      </w:r>
      <w:r w:rsidRPr="00C875F5">
        <w:t xml:space="preserve"> WHO/FAO publications still list the RDI in pregnancy at 200 </w:t>
      </w:r>
      <w:r w:rsidRPr="00C875F5">
        <w:rPr>
          <w:rFonts w:cstheme="minorHAnsi"/>
        </w:rPr>
        <w:t>µ</w:t>
      </w:r>
      <w:r>
        <w:t xml:space="preserve">g/day. </w:t>
      </w:r>
      <w:r w:rsidRPr="00C875F5">
        <w:t xml:space="preserve">The recommendation of </w:t>
      </w:r>
      <w:r>
        <w:t>the EWG</w:t>
      </w:r>
      <w:r w:rsidRPr="00C875F5">
        <w:t xml:space="preserve"> of 220 </w:t>
      </w:r>
      <w:r w:rsidRPr="00C875F5">
        <w:rPr>
          <w:rFonts w:cstheme="minorHAnsi"/>
        </w:rPr>
        <w:t>µ</w:t>
      </w:r>
      <w:r w:rsidRPr="00C875F5">
        <w:t xml:space="preserve">g/day is less than the 250 </w:t>
      </w:r>
      <w:r w:rsidRPr="00C875F5">
        <w:rPr>
          <w:rFonts w:cstheme="minorHAnsi"/>
        </w:rPr>
        <w:t>µ</w:t>
      </w:r>
      <w:r w:rsidRPr="00C875F5">
        <w:t xml:space="preserve">g/day from WHO, but more than the EFSA adequate intake of 200 </w:t>
      </w:r>
      <w:r w:rsidRPr="00C875F5">
        <w:rPr>
          <w:rFonts w:cstheme="minorHAnsi"/>
        </w:rPr>
        <w:t>µ</w:t>
      </w:r>
      <w:r w:rsidRPr="00C875F5">
        <w:t>g/day (EFSA 2014).</w:t>
      </w:r>
      <w:r>
        <w:t xml:space="preserve"> Thus, across countries and expert bodies, the RDI for iodine in pregnancy currently ranges from 200 to 250 </w:t>
      </w:r>
      <w:r w:rsidRPr="00C875F5">
        <w:rPr>
          <w:rFonts w:cstheme="minorHAnsi"/>
        </w:rPr>
        <w:t>µ</w:t>
      </w:r>
      <w:r w:rsidRPr="00C875F5">
        <w:t>g/day</w:t>
      </w:r>
      <w:r>
        <w:t>.</w:t>
      </w:r>
    </w:p>
    <w:p w:rsidR="00EA6F40" w:rsidRPr="00C875F5" w:rsidRDefault="00EA6F40" w:rsidP="00CA2AA1">
      <w:pPr>
        <w:pStyle w:val="Heading3"/>
        <w:numPr>
          <w:ilvl w:val="2"/>
          <w:numId w:val="22"/>
        </w:numPr>
      </w:pPr>
      <w:bookmarkStart w:id="163" w:name="_Toc279228368"/>
      <w:bookmarkStart w:id="164" w:name="_Toc433621806"/>
      <w:r>
        <w:t>Priorities for r</w:t>
      </w:r>
      <w:r w:rsidRPr="00C875F5">
        <w:t>emaining questions</w:t>
      </w:r>
      <w:bookmarkEnd w:id="163"/>
      <w:bookmarkEnd w:id="164"/>
    </w:p>
    <w:p w:rsidR="00EA6F40" w:rsidRPr="00C875F5" w:rsidRDefault="00EA6F40" w:rsidP="0013546C">
      <w:pPr>
        <w:pStyle w:val="Thesisnormal0"/>
      </w:pPr>
      <w:r w:rsidRPr="00C875F5">
        <w:t>Due to time constraints the EWG was not able to consider all the research questions generated in T</w:t>
      </w:r>
      <w:r>
        <w:t>able 5</w:t>
      </w:r>
      <w:r w:rsidRPr="00C875F5">
        <w:t>.</w:t>
      </w:r>
      <w:r>
        <w:t>2</w:t>
      </w:r>
      <w:r w:rsidRPr="00C875F5">
        <w:t>.  Future work needs to consider the remaining questions with the next priorities being:</w:t>
      </w:r>
    </w:p>
    <w:p w:rsidR="00EA6F40" w:rsidRPr="00C875F5" w:rsidRDefault="00EA6F40" w:rsidP="0013546C">
      <w:pPr>
        <w:pStyle w:val="Thesisnormal0"/>
        <w:numPr>
          <w:ilvl w:val="0"/>
          <w:numId w:val="21"/>
        </w:numPr>
      </w:pPr>
      <w:r w:rsidRPr="008D4787">
        <w:rPr>
          <w:rStyle w:val="Strong"/>
        </w:rPr>
        <w:t>EAR/RDI for children</w:t>
      </w:r>
      <w:r w:rsidRPr="00C875F5">
        <w:rPr>
          <w:b/>
        </w:rPr>
        <w:t xml:space="preserve"> </w:t>
      </w:r>
      <w:r>
        <w:t xml:space="preserve">as there is </w:t>
      </w:r>
      <w:r w:rsidRPr="00C875F5">
        <w:t>emerging</w:t>
      </w:r>
      <w:r>
        <w:t xml:space="preserve"> evidence of</w:t>
      </w:r>
      <w:r w:rsidRPr="00C875F5">
        <w:t xml:space="preserve"> </w:t>
      </w:r>
      <w:r>
        <w:t xml:space="preserve">the adverse effects </w:t>
      </w:r>
      <w:r w:rsidRPr="00C875F5">
        <w:t>of mild iodine deficiency on cognitive development.</w:t>
      </w:r>
    </w:p>
    <w:p w:rsidR="00EA6F40" w:rsidRPr="00C875F5" w:rsidRDefault="00EA6F40" w:rsidP="0013546C">
      <w:pPr>
        <w:pStyle w:val="Thesisnormal0"/>
        <w:numPr>
          <w:ilvl w:val="0"/>
          <w:numId w:val="21"/>
        </w:numPr>
      </w:pPr>
      <w:r w:rsidRPr="008D4787">
        <w:rPr>
          <w:rStyle w:val="Strong"/>
        </w:rPr>
        <w:t>EAR/RDI for lactation</w:t>
      </w:r>
      <w:r w:rsidRPr="00C875F5">
        <w:t xml:space="preserve"> </w:t>
      </w:r>
      <w:r>
        <w:t xml:space="preserve">as there is </w:t>
      </w:r>
      <w:r w:rsidRPr="00C875F5">
        <w:t xml:space="preserve">emerging evidence of the effect of inadequate </w:t>
      </w:r>
      <w:r>
        <w:t xml:space="preserve">maternal </w:t>
      </w:r>
      <w:r w:rsidRPr="00C875F5">
        <w:t>iodine intake on early cognitive development.</w:t>
      </w:r>
    </w:p>
    <w:p w:rsidR="00EA6F40" w:rsidRDefault="00EA6F40" w:rsidP="0013546C">
      <w:pPr>
        <w:pStyle w:val="Thesisnormal0"/>
        <w:numPr>
          <w:ilvl w:val="0"/>
          <w:numId w:val="21"/>
        </w:numPr>
      </w:pPr>
      <w:r w:rsidRPr="008D4787">
        <w:rPr>
          <w:rStyle w:val="Strong"/>
        </w:rPr>
        <w:t>ULs for pregnancy and lactation</w:t>
      </w:r>
      <w:r w:rsidRPr="00C875F5">
        <w:t xml:space="preserve"> given </w:t>
      </w:r>
      <w:r>
        <w:t xml:space="preserve">that </w:t>
      </w:r>
      <w:r w:rsidRPr="00C875F5">
        <w:t>the NHMRC</w:t>
      </w:r>
      <w:r>
        <w:t xml:space="preserve"> and NZ MOH</w:t>
      </w:r>
      <w:r w:rsidRPr="00C875F5">
        <w:t xml:space="preserve"> </w:t>
      </w:r>
      <w:r>
        <w:t xml:space="preserve">recommend </w:t>
      </w:r>
      <w:r w:rsidRPr="00C875F5">
        <w:t>supplement</w:t>
      </w:r>
      <w:r>
        <w:t>ation</w:t>
      </w:r>
      <w:r w:rsidRPr="00C875F5">
        <w:t xml:space="preserve"> with an additional 150 </w:t>
      </w:r>
      <w:r w:rsidRPr="00C875F5">
        <w:rPr>
          <w:rFonts w:cstheme="minorHAnsi"/>
        </w:rPr>
        <w:t>µ</w:t>
      </w:r>
      <w:r w:rsidRPr="00C875F5">
        <w:t>g iodine/day during pregnancy and lactation (NHMRC 2010</w:t>
      </w:r>
      <w:r>
        <w:t>; MOH 2010</w:t>
      </w:r>
      <w:r w:rsidRPr="00C875F5">
        <w:t>)</w:t>
      </w:r>
      <w:r>
        <w:t xml:space="preserve">. In New Zealand there exists a single subsidised </w:t>
      </w:r>
      <w:r w:rsidRPr="00C875F5">
        <w:t xml:space="preserve">150 </w:t>
      </w:r>
      <w:r w:rsidRPr="00C875F5">
        <w:rPr>
          <w:rFonts w:cstheme="minorHAnsi"/>
        </w:rPr>
        <w:t>µ</w:t>
      </w:r>
      <w:r w:rsidRPr="00C875F5">
        <w:t xml:space="preserve">g iodine </w:t>
      </w:r>
      <w:r>
        <w:t>tablet which is a registered medicine and subject to appropriate quality controls. In Australia and New Zealand there also exists</w:t>
      </w:r>
      <w:r w:rsidRPr="00C875F5">
        <w:t xml:space="preserve"> </w:t>
      </w:r>
      <w:r>
        <w:t xml:space="preserve">a range of </w:t>
      </w:r>
      <w:r w:rsidRPr="00C875F5">
        <w:t xml:space="preserve">commercial supplements with </w:t>
      </w:r>
      <w:r>
        <w:t xml:space="preserve">varying </w:t>
      </w:r>
      <w:r w:rsidRPr="00C875F5">
        <w:t>io</w:t>
      </w:r>
      <w:r>
        <w:t>dine contents below, at and above 150 µg, that may also contain other nutrients.</w:t>
      </w:r>
    </w:p>
    <w:p w:rsidR="00EA6F40" w:rsidRPr="00C875F5" w:rsidRDefault="00EA6F40" w:rsidP="00CA2AA1">
      <w:pPr>
        <w:pStyle w:val="Heading3"/>
        <w:numPr>
          <w:ilvl w:val="2"/>
          <w:numId w:val="22"/>
        </w:numPr>
      </w:pPr>
      <w:bookmarkStart w:id="165" w:name="_Toc279228369"/>
      <w:bookmarkStart w:id="166" w:name="_Toc433621807"/>
      <w:r w:rsidRPr="00C875F5">
        <w:lastRenderedPageBreak/>
        <w:t>Research required to inform NRVs</w:t>
      </w:r>
      <w:bookmarkEnd w:id="165"/>
      <w:bookmarkEnd w:id="166"/>
    </w:p>
    <w:p w:rsidR="00EA6F40" w:rsidRPr="00C875F5" w:rsidRDefault="00EA6F40" w:rsidP="0013546C">
      <w:pPr>
        <w:pStyle w:val="Thesisnormal0"/>
      </w:pPr>
      <w:r w:rsidRPr="00C875F5">
        <w:t xml:space="preserve">Establishing NRVs relies on available published evidence. The following areas of research have been identified as priorities that would strengthen future work on NRVs. </w:t>
      </w:r>
    </w:p>
    <w:p w:rsidR="00EA6F40" w:rsidRPr="00C875F5" w:rsidRDefault="00EA6F40" w:rsidP="0013546C">
      <w:pPr>
        <w:pStyle w:val="Thesisnormal0"/>
      </w:pPr>
      <w:r w:rsidRPr="00C875F5">
        <w:t xml:space="preserve">Much of the evidence informing requirements for iodine has been drawn from natural experiments either resulting from geographical areas with varying iodine nutrition or from pre-post studies following iodine prophylaxis.  It is disappointing that there has been little new evidence upon which to base recommendations for iodine requirements. Focused research on dose-response studies in healthy populations would assist in providing clearer evidence for cut-points for NRVs.  However, it is acknowledged that this sort of research is both costly and ethically challenging. For example it may not be ethically acceptable to undertake </w:t>
      </w:r>
      <w:r>
        <w:t>RCTs</w:t>
      </w:r>
      <w:r w:rsidRPr="00C875F5">
        <w:t xml:space="preserve"> to determine the effect of iodine deficiency or excess intake in children or pregnant women. </w:t>
      </w:r>
    </w:p>
    <w:p w:rsidR="00EA6F40" w:rsidRDefault="00EA6F40" w:rsidP="0013546C">
      <w:pPr>
        <w:pStyle w:val="Thesisnormal0"/>
      </w:pPr>
      <w:r w:rsidRPr="00C875F5">
        <w:t xml:space="preserve">More research on </w:t>
      </w:r>
      <w:r>
        <w:t xml:space="preserve">identifying more robust </w:t>
      </w:r>
      <w:r w:rsidRPr="00C875F5">
        <w:t xml:space="preserve">biomarkers for </w:t>
      </w:r>
      <w:r>
        <w:t xml:space="preserve">assessing </w:t>
      </w:r>
      <w:r w:rsidRPr="00C875F5">
        <w:t xml:space="preserve">iodine status in healthy populations, such as Tg, is </w:t>
      </w:r>
      <w:r>
        <w:t>required</w:t>
      </w:r>
      <w:r w:rsidRPr="00C875F5">
        <w:t xml:space="preserve">.  </w:t>
      </w:r>
      <w:r>
        <w:t xml:space="preserve">There has been an over-reliance in many studies in using only UIC as an index of iodine status, despite the large intra- and inter-individual variation associated with UIC. This is of particular concern when assessing the iodine status of pregnant women, as </w:t>
      </w:r>
      <w:r w:rsidRPr="00C875F5">
        <w:t>many studies in pregnancy use UIC at a single time point as an indicator of iodine status</w:t>
      </w:r>
      <w:r>
        <w:t xml:space="preserve"> for the duration of pregnancy</w:t>
      </w:r>
      <w:r w:rsidRPr="00C875F5">
        <w:t xml:space="preserve">. </w:t>
      </w:r>
      <w:r>
        <w:t xml:space="preserve"> </w:t>
      </w:r>
      <w:r w:rsidRPr="00C875F5">
        <w:t xml:space="preserve">Another consideration is the relationship between the iodine content/stores in the thyroid and thyroid hormone synthesis. </w:t>
      </w:r>
      <w:r>
        <w:t xml:space="preserve"> </w:t>
      </w:r>
      <w:r w:rsidRPr="00C875F5">
        <w:t>While serum TSH is regarded as the best marker of thyroid function during pregnancy, th</w:t>
      </w:r>
      <w:r>
        <w:t>e value and appropriateness of f</w:t>
      </w:r>
      <w:r w:rsidRPr="00C875F5">
        <w:t>ree T</w:t>
      </w:r>
      <w:r w:rsidRPr="00C875F5">
        <w:rPr>
          <w:vertAlign w:val="subscript"/>
        </w:rPr>
        <w:t>4</w:t>
      </w:r>
      <w:r w:rsidRPr="00C875F5">
        <w:t xml:space="preserve"> levels remains unresolved (De Groot et al 2012).</w:t>
      </w:r>
    </w:p>
    <w:p w:rsidR="00EA6F40" w:rsidRPr="00C875F5" w:rsidRDefault="00EA6F40" w:rsidP="0013546C">
      <w:pPr>
        <w:pStyle w:val="Thesisnormal0"/>
      </w:pPr>
      <w:r>
        <w:t>There are very few studies that provide data on dietary iodine intakes, including national surveys.  This means that iodine intakes are estimated from UIC; the assumption that 90% of dietary iodine is excreted in the urine has yet to be validated over a range of physiological conditions (i.e. pregnancy, various states of hydration, and over nutrition) and genetic factors (i.e. ethnicity).</w:t>
      </w:r>
    </w:p>
    <w:p w:rsidR="00EA6F40" w:rsidRPr="00C875F5" w:rsidRDefault="00EA6F40" w:rsidP="0013546C">
      <w:pPr>
        <w:pStyle w:val="Thesisnormal0"/>
      </w:pPr>
      <w:r w:rsidRPr="00C875F5">
        <w:t xml:space="preserve">There </w:t>
      </w:r>
      <w:r>
        <w:t xml:space="preserve">are </w:t>
      </w:r>
      <w:r w:rsidRPr="00C875F5">
        <w:t xml:space="preserve"> a lack of data on obstetric/pregnancy complications and outcomes from maternal iodine deficiency. </w:t>
      </w:r>
      <w:r>
        <w:t xml:space="preserve"> </w:t>
      </w:r>
      <w:r w:rsidRPr="00C875F5">
        <w:t xml:space="preserve">Studies examining the effects of changes in thyroid function, but ignoring the effects of iodine nutrition, show that suboptimal maternal thyroid hormone production may produce profound adverse obstetrical events such as miscarriage, gestational hypertension, pre-eclampsia and premature labour (De Groot et al 2012). </w:t>
      </w:r>
    </w:p>
    <w:p w:rsidR="00EA6F40" w:rsidRPr="00C875F5" w:rsidRDefault="00EA6F40" w:rsidP="0013546C">
      <w:pPr>
        <w:pStyle w:val="Thesisnormal0"/>
      </w:pPr>
      <w:r w:rsidRPr="00C875F5">
        <w:t>The Provisional UL</w:t>
      </w:r>
      <w:r>
        <w:t xml:space="preserve">s for children were </w:t>
      </w:r>
      <w:r w:rsidRPr="00C875F5">
        <w:t xml:space="preserve">determined using extrapolations with metabolic weights and an assumption that there is a positive and linear association between body weight and iodine requirements. Research underpinning this association is needed.  </w:t>
      </w:r>
    </w:p>
    <w:p w:rsidR="00EA6F40" w:rsidRPr="00C875F5" w:rsidRDefault="00EA6F40" w:rsidP="0013546C">
      <w:pPr>
        <w:pStyle w:val="Thesisnormal0"/>
      </w:pPr>
      <w:r w:rsidRPr="00C875F5">
        <w:t xml:space="preserve">More research is needed on the adverse effects of iodine deficiency on cognitive function in children.  Focusing research on specific aspects of cognition that are most likely to be affected and developing a consistent approach to measuring the size of the effect will be invaluable for future nutrient reference value work. Agreement needs to be reached in deciding upon specific, standardised tools used to undertake </w:t>
      </w:r>
      <w:r w:rsidRPr="00C875F5">
        <w:lastRenderedPageBreak/>
        <w:t xml:space="preserve">these behavioral studies in children as comparisons of results from different methods are often difficult and have not been validated. A complication associated with research into adverse effects of iodine relate to the fact that populations exposed to long term iodine deficiency are at greater risk of responding adversely to increasing iodine nutrition </w:t>
      </w:r>
      <w:r>
        <w:t>than</w:t>
      </w:r>
      <w:r w:rsidRPr="00C875F5">
        <w:t xml:space="preserve"> iodine replete populations (Teng et al 2006). </w:t>
      </w:r>
    </w:p>
    <w:p w:rsidR="00EA6F40" w:rsidRPr="00C875F5" w:rsidRDefault="00EA6F40" w:rsidP="0013546C">
      <w:pPr>
        <w:pStyle w:val="Thesisnormal0"/>
      </w:pPr>
    </w:p>
    <w:p w:rsidR="00EA6F40" w:rsidRPr="00C875F5" w:rsidRDefault="00EA6F40" w:rsidP="0013546C">
      <w:pPr>
        <w:pStyle w:val="Thesisnormal0"/>
        <w:sectPr w:rsidR="00EA6F40" w:rsidRPr="00C875F5" w:rsidSect="00DF5B59">
          <w:pgSz w:w="11900" w:h="16840"/>
          <w:pgMar w:top="1440" w:right="1797" w:bottom="1440" w:left="1797" w:header="709" w:footer="709" w:gutter="0"/>
          <w:cols w:space="708"/>
        </w:sectPr>
      </w:pPr>
    </w:p>
    <w:p w:rsidR="00EA6F40" w:rsidRPr="008D4787" w:rsidRDefault="00EA6F40" w:rsidP="000A4E22">
      <w:pPr>
        <w:pStyle w:val="Heading1"/>
        <w:sectPr w:rsidR="00EA6F40" w:rsidRPr="008D4787" w:rsidSect="00DF5B59">
          <w:pgSz w:w="11900" w:h="16840"/>
          <w:pgMar w:top="1440" w:right="1800" w:bottom="1440" w:left="1800" w:header="708" w:footer="708" w:gutter="0"/>
          <w:cols w:space="708"/>
        </w:sectPr>
      </w:pPr>
      <w:bookmarkStart w:id="167" w:name="_Toc279228370"/>
      <w:bookmarkStart w:id="168" w:name="_Toc433621808"/>
      <w:r w:rsidRPr="008D4787">
        <w:lastRenderedPageBreak/>
        <w:t>Appendices</w:t>
      </w:r>
      <w:bookmarkEnd w:id="167"/>
      <w:bookmarkEnd w:id="168"/>
    </w:p>
    <w:p w:rsidR="00EA6F40" w:rsidRPr="00C875F5" w:rsidRDefault="00EA6F40" w:rsidP="000A4E22">
      <w:pPr>
        <w:pStyle w:val="Heading2"/>
      </w:pPr>
      <w:bookmarkStart w:id="169" w:name="_Appendix_1:_Studies"/>
      <w:bookmarkStart w:id="170" w:name="_Toc433621809"/>
      <w:bookmarkEnd w:id="169"/>
      <w:r>
        <w:lastRenderedPageBreak/>
        <w:t xml:space="preserve">Appendix 1: </w:t>
      </w:r>
      <w:r w:rsidRPr="00C875F5">
        <w:t>Studies relating to EAR for Adults</w:t>
      </w:r>
      <w:bookmarkEnd w:id="170"/>
      <w:r w:rsidRPr="00C875F5">
        <w:t xml:space="preserve"> </w:t>
      </w:r>
    </w:p>
    <w:p w:rsidR="00EA6F40" w:rsidRPr="00D73D06" w:rsidRDefault="007F0430" w:rsidP="00AE0695">
      <w:pPr>
        <w:pStyle w:val="Caption"/>
      </w:pPr>
      <w:bookmarkStart w:id="171" w:name="_Ref430950373"/>
      <w:r>
        <w:t xml:space="preserve">Table </w:t>
      </w:r>
      <w:r w:rsidR="00CA2AA1">
        <w:fldChar w:fldCharType="begin"/>
      </w:r>
      <w:r w:rsidR="00CA2AA1">
        <w:instrText xml:space="preserve"> STYLEREF 1 \s </w:instrText>
      </w:r>
      <w:r w:rsidR="00CA2AA1">
        <w:fldChar w:fldCharType="separate"/>
      </w:r>
      <w:r w:rsidR="00CA2AA1">
        <w:rPr>
          <w:noProof/>
        </w:rPr>
        <w:t>7</w:t>
      </w:r>
      <w:r w:rsidR="00CA2AA1">
        <w:fldChar w:fldCharType="end"/>
      </w:r>
      <w:r w:rsidR="00CA2AA1">
        <w:t>:</w:t>
      </w:r>
      <w:r w:rsidR="00CA2AA1">
        <w:fldChar w:fldCharType="begin"/>
      </w:r>
      <w:r w:rsidR="00CA2AA1">
        <w:instrText xml:space="preserve"> SEQ Table \* ARABIC \s 1 </w:instrText>
      </w:r>
      <w:r w:rsidR="00CA2AA1">
        <w:fldChar w:fldCharType="separate"/>
      </w:r>
      <w:r w:rsidR="00CA2AA1">
        <w:rPr>
          <w:noProof/>
        </w:rPr>
        <w:t>1</w:t>
      </w:r>
      <w:r w:rsidR="00CA2AA1">
        <w:fldChar w:fldCharType="end"/>
      </w:r>
      <w:bookmarkEnd w:id="171"/>
      <w:r w:rsidR="00362D0E">
        <w:t xml:space="preserve"> </w:t>
      </w:r>
      <w:r w:rsidR="00EA6F40" w:rsidRPr="00D73D06">
        <w:t>Body of Evidence for EAR and RDI for adults 19 years and older</w:t>
      </w:r>
    </w:p>
    <w:p w:rsidR="00362D0E" w:rsidRDefault="00362D0E">
      <w:r w:rsidRPr="008D4787">
        <w:rPr>
          <w:rStyle w:val="Strong"/>
        </w:rPr>
        <w:t xml:space="preserve">Review Question 1 </w:t>
      </w:r>
      <w:r w:rsidRPr="008D4787">
        <w:rPr>
          <w:rStyle w:val="IntenseEmphasis"/>
        </w:rPr>
        <w:t>What is the average intake required by healthy adults in a population to maintain normal thyroid function, as measured by thyroid hormones and thyroid volume?</w:t>
      </w:r>
    </w:p>
    <w:tbl>
      <w:tblPr>
        <w:tblStyle w:val="TableGrid1"/>
        <w:tblW w:w="14992" w:type="dxa"/>
        <w:tblLayout w:type="fixed"/>
        <w:tblLook w:val="04A0" w:firstRow="1" w:lastRow="0" w:firstColumn="1" w:lastColumn="0" w:noHBand="0" w:noVBand="1"/>
        <w:tblDescription w:val="Table 7.1 list the Body of Evidence for Estimated Average Requirement (EAR) and Recommended Daily Intake (RDI) for adults 19 years and older. This table contains 3 column headings; column 1. Component/s, column 2. Rating and column 3. Notes."/>
      </w:tblPr>
      <w:tblGrid>
        <w:gridCol w:w="2235"/>
        <w:gridCol w:w="1417"/>
        <w:gridCol w:w="11340"/>
      </w:tblGrid>
      <w:tr w:rsidR="00EA6F40" w:rsidRPr="00362D0E" w:rsidTr="00362D0E">
        <w:trPr>
          <w:trHeight w:val="363"/>
          <w:tblHeader/>
        </w:trPr>
        <w:tc>
          <w:tcPr>
            <w:tcW w:w="2235" w:type="dxa"/>
            <w:vAlign w:val="center"/>
          </w:tcPr>
          <w:p w:rsidR="00EA6F40" w:rsidRPr="00362D0E" w:rsidRDefault="00EA6F40" w:rsidP="00EA6F40">
            <w:pPr>
              <w:rPr>
                <w:rStyle w:val="Strong"/>
              </w:rPr>
            </w:pPr>
            <w:r w:rsidRPr="00362D0E">
              <w:rPr>
                <w:rStyle w:val="Strong"/>
              </w:rPr>
              <w:t>Component</w:t>
            </w:r>
          </w:p>
        </w:tc>
        <w:tc>
          <w:tcPr>
            <w:tcW w:w="1417" w:type="dxa"/>
            <w:vAlign w:val="center"/>
          </w:tcPr>
          <w:p w:rsidR="00EA6F40" w:rsidRPr="00362D0E" w:rsidRDefault="00EA6F40" w:rsidP="00EA6F40">
            <w:pPr>
              <w:rPr>
                <w:rStyle w:val="Strong"/>
              </w:rPr>
            </w:pPr>
            <w:r w:rsidRPr="00362D0E">
              <w:rPr>
                <w:rStyle w:val="Strong"/>
              </w:rPr>
              <w:t>Rating</w:t>
            </w:r>
          </w:p>
        </w:tc>
        <w:tc>
          <w:tcPr>
            <w:tcW w:w="11340" w:type="dxa"/>
            <w:vAlign w:val="center"/>
          </w:tcPr>
          <w:p w:rsidR="00EA6F40" w:rsidRPr="00362D0E" w:rsidRDefault="00EA6F40" w:rsidP="00EA6F40">
            <w:pPr>
              <w:rPr>
                <w:rStyle w:val="Strong"/>
              </w:rPr>
            </w:pPr>
            <w:r w:rsidRPr="00362D0E">
              <w:rPr>
                <w:rStyle w:val="Strong"/>
              </w:rPr>
              <w:t>Notes</w:t>
            </w:r>
          </w:p>
        </w:tc>
      </w:tr>
      <w:tr w:rsidR="00EA6F40" w:rsidRPr="00C875F5" w:rsidTr="00EA6F40">
        <w:trPr>
          <w:trHeight w:val="411"/>
        </w:trPr>
        <w:tc>
          <w:tcPr>
            <w:tcW w:w="2235" w:type="dxa"/>
            <w:vAlign w:val="center"/>
          </w:tcPr>
          <w:p w:rsidR="00EA6F40" w:rsidRPr="00C875F5" w:rsidRDefault="00EA6F40" w:rsidP="00EA6F40">
            <w:pPr>
              <w:rPr>
                <w:rFonts w:cs="Calibri"/>
                <w:color w:val="000000"/>
                <w:sz w:val="20"/>
                <w:szCs w:val="20"/>
              </w:rPr>
            </w:pPr>
            <w:r w:rsidRPr="00C875F5">
              <w:rPr>
                <w:rFonts w:cs="Calibri"/>
                <w:color w:val="000000"/>
                <w:sz w:val="20"/>
                <w:szCs w:val="20"/>
              </w:rPr>
              <w:t>Evidence Base</w:t>
            </w:r>
          </w:p>
        </w:tc>
        <w:tc>
          <w:tcPr>
            <w:tcW w:w="1417" w:type="dxa"/>
            <w:vAlign w:val="center"/>
          </w:tcPr>
          <w:p w:rsidR="00EA6F40" w:rsidRPr="00C875F5" w:rsidRDefault="00EA6F40" w:rsidP="00EA6F40">
            <w:pPr>
              <w:rPr>
                <w:rFonts w:cs="Calibri"/>
                <w:color w:val="000000"/>
                <w:sz w:val="20"/>
                <w:szCs w:val="20"/>
              </w:rPr>
            </w:pPr>
            <w:r w:rsidRPr="00C875F5">
              <w:rPr>
                <w:rFonts w:cs="Calibri"/>
                <w:color w:val="000000"/>
                <w:sz w:val="20"/>
                <w:szCs w:val="20"/>
              </w:rPr>
              <w:t>Good</w:t>
            </w:r>
          </w:p>
        </w:tc>
        <w:tc>
          <w:tcPr>
            <w:tcW w:w="11340" w:type="dxa"/>
            <w:vAlign w:val="center"/>
          </w:tcPr>
          <w:p w:rsidR="00EA6F40" w:rsidRPr="00C875F5" w:rsidRDefault="00EA6F40" w:rsidP="00EA6F40">
            <w:pPr>
              <w:rPr>
                <w:rFonts w:cstheme="minorHAnsi"/>
                <w:color w:val="000000"/>
                <w:sz w:val="20"/>
                <w:szCs w:val="20"/>
              </w:rPr>
            </w:pPr>
            <w:r>
              <w:rPr>
                <w:rFonts w:cstheme="minorHAnsi"/>
                <w:color w:val="000000"/>
                <w:sz w:val="20"/>
                <w:szCs w:val="20"/>
              </w:rPr>
              <w:t>2 L</w:t>
            </w:r>
            <w:r w:rsidRPr="00C875F5">
              <w:rPr>
                <w:rFonts w:cstheme="minorHAnsi"/>
                <w:color w:val="000000"/>
                <w:sz w:val="20"/>
                <w:szCs w:val="20"/>
              </w:rPr>
              <w:t>evel II</w:t>
            </w:r>
            <w:r>
              <w:rPr>
                <w:rFonts w:cstheme="minorHAnsi"/>
                <w:color w:val="000000"/>
                <w:sz w:val="20"/>
                <w:szCs w:val="20"/>
              </w:rPr>
              <w:t xml:space="preserve"> + 2 Level III-2 </w:t>
            </w:r>
            <w:r w:rsidRPr="00C875F5">
              <w:rPr>
                <w:rFonts w:cstheme="minorHAnsi"/>
                <w:color w:val="000000"/>
                <w:sz w:val="20"/>
                <w:szCs w:val="20"/>
              </w:rPr>
              <w:t>+ 1 Level III-</w:t>
            </w:r>
            <w:r>
              <w:rPr>
                <w:rFonts w:cstheme="minorHAnsi"/>
                <w:color w:val="000000"/>
                <w:sz w:val="20"/>
                <w:szCs w:val="20"/>
              </w:rPr>
              <w:t>3 + 13</w:t>
            </w:r>
            <w:r w:rsidRPr="00C875F5">
              <w:rPr>
                <w:rFonts w:cstheme="minorHAnsi"/>
                <w:color w:val="000000"/>
                <w:sz w:val="20"/>
                <w:szCs w:val="20"/>
              </w:rPr>
              <w:t xml:space="preserve"> Level IV studies </w:t>
            </w:r>
          </w:p>
        </w:tc>
      </w:tr>
      <w:tr w:rsidR="00EA6F40" w:rsidRPr="00C875F5" w:rsidTr="00EA6F40">
        <w:trPr>
          <w:trHeight w:val="572"/>
        </w:trPr>
        <w:tc>
          <w:tcPr>
            <w:tcW w:w="2235" w:type="dxa"/>
            <w:vAlign w:val="center"/>
          </w:tcPr>
          <w:p w:rsidR="00EA6F40" w:rsidRPr="00C875F5" w:rsidRDefault="00EA6F40" w:rsidP="00EA6F40">
            <w:pPr>
              <w:rPr>
                <w:rFonts w:cs="Calibri"/>
                <w:color w:val="000000"/>
                <w:sz w:val="20"/>
                <w:szCs w:val="20"/>
              </w:rPr>
            </w:pPr>
            <w:r w:rsidRPr="00C875F5">
              <w:rPr>
                <w:rFonts w:cs="Calibri"/>
                <w:color w:val="000000"/>
                <w:sz w:val="20"/>
                <w:szCs w:val="20"/>
              </w:rPr>
              <w:t>Consistency</w:t>
            </w:r>
          </w:p>
        </w:tc>
        <w:tc>
          <w:tcPr>
            <w:tcW w:w="1417" w:type="dxa"/>
            <w:vAlign w:val="center"/>
          </w:tcPr>
          <w:p w:rsidR="00EA6F40" w:rsidRPr="00C875F5" w:rsidRDefault="00EA6F40" w:rsidP="00EA6F40">
            <w:pPr>
              <w:rPr>
                <w:rFonts w:cs="Calibri"/>
                <w:color w:val="000000"/>
                <w:sz w:val="20"/>
                <w:szCs w:val="20"/>
              </w:rPr>
            </w:pPr>
            <w:r w:rsidRPr="00C875F5">
              <w:rPr>
                <w:rFonts w:cs="Calibri"/>
                <w:color w:val="000000"/>
                <w:sz w:val="20"/>
                <w:szCs w:val="20"/>
              </w:rPr>
              <w:t>Excellent</w:t>
            </w:r>
          </w:p>
        </w:tc>
        <w:tc>
          <w:tcPr>
            <w:tcW w:w="11340" w:type="dxa"/>
            <w:vAlign w:val="center"/>
          </w:tcPr>
          <w:p w:rsidR="00EA6F40" w:rsidRPr="00C875F5" w:rsidRDefault="00EA6F40" w:rsidP="00EA6F40">
            <w:pPr>
              <w:rPr>
                <w:rFonts w:cstheme="minorHAnsi"/>
                <w:color w:val="000000"/>
                <w:sz w:val="20"/>
                <w:szCs w:val="20"/>
              </w:rPr>
            </w:pPr>
            <w:r w:rsidRPr="00C875F5">
              <w:rPr>
                <w:rFonts w:cstheme="minorHAnsi"/>
                <w:color w:val="000000"/>
                <w:sz w:val="20"/>
                <w:szCs w:val="20"/>
              </w:rPr>
              <w:t xml:space="preserve">Consistent results for UIC with increasing iodine intake for varying reported intakes/excretion of iodine (UIC). Consistent results for normal thyroid function (TSH, thyroid volume and thyroid antibodies) across a range of UIC  </w:t>
            </w:r>
          </w:p>
        </w:tc>
      </w:tr>
      <w:tr w:rsidR="00EA6F40" w:rsidRPr="00C875F5" w:rsidTr="00EA6F40">
        <w:trPr>
          <w:trHeight w:val="680"/>
        </w:trPr>
        <w:tc>
          <w:tcPr>
            <w:tcW w:w="2235" w:type="dxa"/>
            <w:vAlign w:val="center"/>
          </w:tcPr>
          <w:p w:rsidR="00EA6F40" w:rsidRPr="00C875F5" w:rsidRDefault="00EA6F40" w:rsidP="00EA6F40">
            <w:pPr>
              <w:rPr>
                <w:rFonts w:cs="Calibri"/>
                <w:color w:val="000000"/>
                <w:sz w:val="20"/>
                <w:szCs w:val="20"/>
              </w:rPr>
            </w:pPr>
            <w:r w:rsidRPr="00C875F5">
              <w:rPr>
                <w:rFonts w:cs="Calibri"/>
                <w:color w:val="000000"/>
                <w:sz w:val="20"/>
                <w:szCs w:val="20"/>
              </w:rPr>
              <w:t>Clinical impact</w:t>
            </w:r>
          </w:p>
        </w:tc>
        <w:tc>
          <w:tcPr>
            <w:tcW w:w="1417" w:type="dxa"/>
            <w:vAlign w:val="center"/>
          </w:tcPr>
          <w:p w:rsidR="00EA6F40" w:rsidRPr="00C875F5" w:rsidRDefault="00EA6F40" w:rsidP="00EA6F40">
            <w:pPr>
              <w:rPr>
                <w:rFonts w:cs="Calibri"/>
                <w:color w:val="000000"/>
                <w:sz w:val="20"/>
                <w:szCs w:val="20"/>
              </w:rPr>
            </w:pPr>
            <w:r w:rsidRPr="00C875F5">
              <w:rPr>
                <w:rFonts w:cs="Calibri"/>
                <w:color w:val="000000"/>
                <w:sz w:val="20"/>
                <w:szCs w:val="20"/>
              </w:rPr>
              <w:t>Good</w:t>
            </w:r>
          </w:p>
        </w:tc>
        <w:tc>
          <w:tcPr>
            <w:tcW w:w="11340" w:type="dxa"/>
            <w:vAlign w:val="center"/>
          </w:tcPr>
          <w:p w:rsidR="00EA6F40" w:rsidRPr="00C875F5" w:rsidRDefault="00EA6F40" w:rsidP="00EA6F40">
            <w:pPr>
              <w:rPr>
                <w:rFonts w:cstheme="minorHAnsi"/>
                <w:color w:val="000000"/>
                <w:sz w:val="20"/>
                <w:szCs w:val="20"/>
              </w:rPr>
            </w:pPr>
            <w:r w:rsidRPr="00C875F5">
              <w:rPr>
                <w:sz w:val="20"/>
                <w:szCs w:val="20"/>
              </w:rPr>
              <w:t>The earlier balance studies indicated that iodine balance is achieved at intakes over 100 µg/day but not below 40 µg/day.</w:t>
            </w:r>
            <w:r w:rsidRPr="00C875F5">
              <w:rPr>
                <w:rFonts w:cstheme="minorHAnsi"/>
                <w:color w:val="000000"/>
                <w:sz w:val="20"/>
                <w:szCs w:val="20"/>
              </w:rPr>
              <w:t xml:space="preserve"> Studies support normalising of thyroid function with UIC above </w:t>
            </w:r>
            <w:r w:rsidRPr="00C875F5">
              <w:rPr>
                <w:sz w:val="20"/>
                <w:szCs w:val="20"/>
              </w:rPr>
              <w:t>100 µg/</w:t>
            </w:r>
            <w:r w:rsidRPr="00C875F5">
              <w:rPr>
                <w:rFonts w:eastAsia="Times New Roman" w:cstheme="minorHAnsi"/>
                <w:color w:val="000000"/>
                <w:sz w:val="20"/>
                <w:szCs w:val="20"/>
                <w:shd w:val="clear" w:color="auto" w:fill="FFFFFF"/>
                <w:lang w:val="en-GB"/>
              </w:rPr>
              <w:t>L</w:t>
            </w:r>
            <w:r w:rsidRPr="00C875F5">
              <w:rPr>
                <w:rFonts w:cstheme="minorHAnsi"/>
                <w:color w:val="000000"/>
                <w:sz w:val="20"/>
                <w:szCs w:val="20"/>
              </w:rPr>
              <w:t>.</w:t>
            </w:r>
          </w:p>
        </w:tc>
      </w:tr>
      <w:tr w:rsidR="00EA6F40" w:rsidRPr="00C875F5" w:rsidTr="00EA6F40">
        <w:trPr>
          <w:trHeight w:val="847"/>
        </w:trPr>
        <w:tc>
          <w:tcPr>
            <w:tcW w:w="2235" w:type="dxa"/>
            <w:vAlign w:val="center"/>
          </w:tcPr>
          <w:p w:rsidR="00EA6F40" w:rsidRPr="00C875F5" w:rsidRDefault="00EA6F40" w:rsidP="00EA6F40">
            <w:pPr>
              <w:rPr>
                <w:rFonts w:cs="Calibri"/>
                <w:color w:val="000000"/>
                <w:sz w:val="20"/>
                <w:szCs w:val="20"/>
              </w:rPr>
            </w:pPr>
            <w:r w:rsidRPr="00C875F5">
              <w:rPr>
                <w:rFonts w:cs="Calibri"/>
                <w:color w:val="000000"/>
                <w:sz w:val="20"/>
                <w:szCs w:val="20"/>
              </w:rPr>
              <w:t>Generalisability</w:t>
            </w:r>
          </w:p>
        </w:tc>
        <w:tc>
          <w:tcPr>
            <w:tcW w:w="1417" w:type="dxa"/>
            <w:vAlign w:val="center"/>
          </w:tcPr>
          <w:p w:rsidR="00EA6F40" w:rsidRPr="00C875F5" w:rsidRDefault="00EA6F40" w:rsidP="00EA6F40">
            <w:pPr>
              <w:rPr>
                <w:rFonts w:cs="Calibri"/>
                <w:color w:val="000000"/>
                <w:sz w:val="20"/>
                <w:szCs w:val="20"/>
              </w:rPr>
            </w:pPr>
            <w:r w:rsidRPr="00C875F5">
              <w:rPr>
                <w:rFonts w:cs="Calibri"/>
                <w:color w:val="000000"/>
                <w:sz w:val="20"/>
                <w:szCs w:val="20"/>
              </w:rPr>
              <w:t>Satisfactory</w:t>
            </w:r>
          </w:p>
        </w:tc>
        <w:tc>
          <w:tcPr>
            <w:tcW w:w="11340" w:type="dxa"/>
            <w:vAlign w:val="center"/>
          </w:tcPr>
          <w:p w:rsidR="00EA6F40" w:rsidRPr="00C875F5" w:rsidRDefault="00EA6F40" w:rsidP="00EA6F40">
            <w:pPr>
              <w:rPr>
                <w:rFonts w:cstheme="minorHAnsi"/>
                <w:color w:val="000000"/>
                <w:sz w:val="20"/>
                <w:szCs w:val="20"/>
              </w:rPr>
            </w:pPr>
            <w:r w:rsidRPr="00C875F5">
              <w:rPr>
                <w:rFonts w:cstheme="minorHAnsi"/>
                <w:color w:val="000000"/>
                <w:sz w:val="20"/>
                <w:szCs w:val="20"/>
              </w:rPr>
              <w:t>P</w:t>
            </w:r>
            <w:r w:rsidRPr="00C875F5">
              <w:rPr>
                <w:rFonts w:cstheme="minorHAnsi"/>
                <w:sz w:val="20"/>
                <w:szCs w:val="20"/>
              </w:rPr>
              <w:t>opulation/s studied in body of evidence differ to target population for guideline but it is clinically sensible to apply this evidence to target population. Countries with severe I deficiency may have more adverse outcomes related to high I intakes compared to replete or mild-moderate I defici</w:t>
            </w:r>
            <w:r>
              <w:rPr>
                <w:rFonts w:cstheme="minorHAnsi"/>
                <w:sz w:val="20"/>
                <w:szCs w:val="20"/>
              </w:rPr>
              <w:t>ent countries such as Australia and New Zealand.</w:t>
            </w:r>
          </w:p>
        </w:tc>
      </w:tr>
      <w:tr w:rsidR="00EA6F40" w:rsidRPr="00C875F5" w:rsidTr="00EA6F40">
        <w:trPr>
          <w:trHeight w:val="421"/>
        </w:trPr>
        <w:tc>
          <w:tcPr>
            <w:tcW w:w="2235" w:type="dxa"/>
            <w:vAlign w:val="center"/>
          </w:tcPr>
          <w:p w:rsidR="00EA6F40" w:rsidRPr="00C875F5" w:rsidRDefault="00EA6F40" w:rsidP="00EA6F40">
            <w:pPr>
              <w:rPr>
                <w:rFonts w:cs="Calibri"/>
                <w:color w:val="000000"/>
                <w:sz w:val="20"/>
                <w:szCs w:val="20"/>
              </w:rPr>
            </w:pPr>
            <w:r w:rsidRPr="00C875F5">
              <w:rPr>
                <w:rFonts w:cs="Calibri"/>
                <w:color w:val="000000"/>
                <w:sz w:val="20"/>
                <w:szCs w:val="20"/>
              </w:rPr>
              <w:t>Applicability</w:t>
            </w:r>
          </w:p>
        </w:tc>
        <w:tc>
          <w:tcPr>
            <w:tcW w:w="1417" w:type="dxa"/>
            <w:vAlign w:val="center"/>
          </w:tcPr>
          <w:p w:rsidR="00EA6F40" w:rsidRPr="00C875F5" w:rsidRDefault="00EA6F40" w:rsidP="00EA6F40">
            <w:pPr>
              <w:rPr>
                <w:rFonts w:cs="Calibri"/>
                <w:color w:val="000000"/>
                <w:sz w:val="20"/>
                <w:szCs w:val="20"/>
              </w:rPr>
            </w:pPr>
            <w:r w:rsidRPr="00C875F5">
              <w:rPr>
                <w:rFonts w:cs="Calibri"/>
                <w:color w:val="000000"/>
                <w:sz w:val="20"/>
                <w:szCs w:val="20"/>
              </w:rPr>
              <w:t>Good</w:t>
            </w:r>
          </w:p>
        </w:tc>
        <w:tc>
          <w:tcPr>
            <w:tcW w:w="11340" w:type="dxa"/>
            <w:vAlign w:val="center"/>
          </w:tcPr>
          <w:p w:rsidR="00EA6F40" w:rsidRPr="00C875F5" w:rsidRDefault="00EA6F40" w:rsidP="00EA6F40">
            <w:pPr>
              <w:pStyle w:val="Default"/>
              <w:rPr>
                <w:rFonts w:cstheme="minorHAnsi"/>
                <w:sz w:val="20"/>
                <w:szCs w:val="20"/>
              </w:rPr>
            </w:pPr>
            <w:r w:rsidRPr="00C875F5">
              <w:rPr>
                <w:rFonts w:cstheme="minorHAnsi"/>
                <w:sz w:val="20"/>
                <w:szCs w:val="20"/>
              </w:rPr>
              <w:t>Applicable to Australian and New Zealand healthcare context with few caveats.</w:t>
            </w:r>
          </w:p>
        </w:tc>
      </w:tr>
      <w:tr w:rsidR="00EA6F40" w:rsidRPr="00C875F5" w:rsidTr="00EA6F40">
        <w:trPr>
          <w:trHeight w:val="600"/>
        </w:trPr>
        <w:tc>
          <w:tcPr>
            <w:tcW w:w="2235" w:type="dxa"/>
            <w:vAlign w:val="center"/>
            <w:hideMark/>
          </w:tcPr>
          <w:p w:rsidR="00EA6F40" w:rsidRPr="00C875F5" w:rsidRDefault="00EA6F40" w:rsidP="00EA6F40">
            <w:pPr>
              <w:rPr>
                <w:rFonts w:eastAsia="Times New Roman" w:cs="Calibri"/>
                <w:bCs/>
                <w:color w:val="000000"/>
                <w:sz w:val="20"/>
                <w:szCs w:val="20"/>
                <w:lang w:eastAsia="en-AU"/>
              </w:rPr>
            </w:pPr>
            <w:r w:rsidRPr="00C875F5">
              <w:rPr>
                <w:rFonts w:eastAsia="Times New Roman" w:cs="Calibri"/>
                <w:bCs/>
                <w:color w:val="000000"/>
                <w:sz w:val="20"/>
                <w:szCs w:val="20"/>
                <w:lang w:eastAsia="en-AU"/>
              </w:rPr>
              <w:t>Draft Recommendation</w:t>
            </w:r>
          </w:p>
        </w:tc>
        <w:tc>
          <w:tcPr>
            <w:tcW w:w="1417" w:type="dxa"/>
            <w:vAlign w:val="center"/>
            <w:hideMark/>
          </w:tcPr>
          <w:p w:rsidR="00EA6F40" w:rsidRPr="00C875F5" w:rsidRDefault="00EA6F40" w:rsidP="00EA6F40">
            <w:pPr>
              <w:rPr>
                <w:rFonts w:eastAsia="Times New Roman" w:cs="Calibri"/>
                <w:color w:val="000000"/>
                <w:sz w:val="20"/>
                <w:szCs w:val="20"/>
                <w:lang w:eastAsia="en-AU"/>
              </w:rPr>
            </w:pPr>
          </w:p>
        </w:tc>
        <w:tc>
          <w:tcPr>
            <w:tcW w:w="11340" w:type="dxa"/>
            <w:vAlign w:val="center"/>
          </w:tcPr>
          <w:p w:rsidR="00EA6F40" w:rsidRPr="00C875F5" w:rsidRDefault="00EA6F40" w:rsidP="00EA6F40">
            <w:pPr>
              <w:rPr>
                <w:rFonts w:eastAsia="Times New Roman" w:cs="Calibri"/>
                <w:b/>
                <w:bCs/>
                <w:color w:val="000000"/>
                <w:sz w:val="20"/>
                <w:szCs w:val="20"/>
                <w:lang w:eastAsia="en-AU"/>
              </w:rPr>
            </w:pPr>
            <w:r w:rsidRPr="00C875F5">
              <w:rPr>
                <w:sz w:val="20"/>
                <w:szCs w:val="20"/>
              </w:rPr>
              <w:t xml:space="preserve">Reviewed studies do not provide evidence to change the current EAR (100 µg/day) and RDI (150 µg/day) for adults. </w:t>
            </w:r>
          </w:p>
        </w:tc>
      </w:tr>
      <w:tr w:rsidR="00EA6F40" w:rsidRPr="00C875F5" w:rsidTr="00EA6F40">
        <w:trPr>
          <w:trHeight w:val="600"/>
        </w:trPr>
        <w:tc>
          <w:tcPr>
            <w:tcW w:w="2235" w:type="dxa"/>
            <w:vAlign w:val="center"/>
            <w:hideMark/>
          </w:tcPr>
          <w:p w:rsidR="00EA6F40" w:rsidRPr="00C875F5" w:rsidRDefault="00EA6F40" w:rsidP="00EA6F40">
            <w:pPr>
              <w:rPr>
                <w:rFonts w:eastAsia="Times New Roman" w:cs="Calibri"/>
                <w:bCs/>
                <w:color w:val="000000"/>
                <w:sz w:val="20"/>
                <w:szCs w:val="20"/>
                <w:lang w:eastAsia="en-AU"/>
              </w:rPr>
            </w:pPr>
            <w:r>
              <w:rPr>
                <w:rFonts w:eastAsia="Times New Roman" w:cs="Calibri"/>
                <w:bCs/>
                <w:color w:val="000000"/>
                <w:sz w:val="20"/>
                <w:szCs w:val="20"/>
                <w:lang w:eastAsia="en-AU"/>
              </w:rPr>
              <w:t>R</w:t>
            </w:r>
            <w:r w:rsidRPr="00C875F5">
              <w:rPr>
                <w:rFonts w:eastAsia="Times New Roman" w:cs="Calibri"/>
                <w:bCs/>
                <w:color w:val="000000"/>
                <w:sz w:val="20"/>
                <w:szCs w:val="20"/>
                <w:lang w:eastAsia="en-AU"/>
              </w:rPr>
              <w:t>ecommendation</w:t>
            </w:r>
          </w:p>
        </w:tc>
        <w:tc>
          <w:tcPr>
            <w:tcW w:w="1417" w:type="dxa"/>
            <w:noWrap/>
            <w:vAlign w:val="center"/>
            <w:hideMark/>
          </w:tcPr>
          <w:p w:rsidR="00EA6F40" w:rsidRPr="00C875F5" w:rsidRDefault="00EA6F40" w:rsidP="00EA6F40">
            <w:pPr>
              <w:rPr>
                <w:rFonts w:eastAsia="Times New Roman" w:cs="Calibri"/>
                <w:color w:val="000000"/>
                <w:sz w:val="20"/>
                <w:szCs w:val="20"/>
                <w:lang w:eastAsia="en-AU"/>
              </w:rPr>
            </w:pPr>
            <w:r w:rsidRPr="00C875F5">
              <w:rPr>
                <w:rFonts w:eastAsia="Times New Roman" w:cs="Calibri"/>
                <w:color w:val="000000"/>
                <w:sz w:val="20"/>
                <w:szCs w:val="20"/>
                <w:lang w:eastAsia="en-AU"/>
              </w:rPr>
              <w:t>B</w:t>
            </w:r>
          </w:p>
        </w:tc>
        <w:tc>
          <w:tcPr>
            <w:tcW w:w="11340" w:type="dxa"/>
            <w:noWrap/>
            <w:vAlign w:val="center"/>
          </w:tcPr>
          <w:p w:rsidR="00EA6F40" w:rsidRPr="00C875F5" w:rsidRDefault="00EA6F40" w:rsidP="00EA6F40">
            <w:pPr>
              <w:pStyle w:val="Default"/>
              <w:rPr>
                <w:rFonts w:eastAsia="Times New Roman" w:cs="Calibri"/>
                <w:sz w:val="20"/>
                <w:szCs w:val="20"/>
                <w:lang w:eastAsia="en-AU"/>
              </w:rPr>
            </w:pPr>
            <w:r w:rsidRPr="00C875F5">
              <w:rPr>
                <w:rFonts w:cstheme="minorHAnsi"/>
                <w:sz w:val="20"/>
                <w:szCs w:val="20"/>
              </w:rPr>
              <w:t>Body of evidence can be trusted to guide practice in most situations.</w:t>
            </w:r>
          </w:p>
        </w:tc>
      </w:tr>
    </w:tbl>
    <w:p w:rsidR="00EA6F40" w:rsidRPr="008D4787" w:rsidRDefault="00EA6F40" w:rsidP="008D4787">
      <w:r w:rsidRPr="008D4787">
        <w:br w:type="page"/>
      </w:r>
    </w:p>
    <w:p w:rsidR="00EA6F40" w:rsidRPr="007F0430" w:rsidRDefault="007F0430" w:rsidP="00AE0695">
      <w:pPr>
        <w:pStyle w:val="Caption"/>
      </w:pPr>
      <w:r>
        <w:lastRenderedPageBreak/>
        <w:t xml:space="preserve">Table </w:t>
      </w:r>
      <w:r w:rsidR="00CA2AA1">
        <w:fldChar w:fldCharType="begin"/>
      </w:r>
      <w:r w:rsidR="00CA2AA1">
        <w:instrText xml:space="preserve"> STYLEREF 1 \s </w:instrText>
      </w:r>
      <w:r w:rsidR="00CA2AA1">
        <w:fldChar w:fldCharType="separate"/>
      </w:r>
      <w:r w:rsidR="00CA2AA1">
        <w:rPr>
          <w:noProof/>
        </w:rPr>
        <w:t>7</w:t>
      </w:r>
      <w:r w:rsidR="00CA2AA1">
        <w:fldChar w:fldCharType="end"/>
      </w:r>
      <w:r w:rsidR="00CA2AA1">
        <w:t>:</w:t>
      </w:r>
      <w:r w:rsidR="00CA2AA1">
        <w:fldChar w:fldCharType="begin"/>
      </w:r>
      <w:r w:rsidR="00CA2AA1">
        <w:instrText xml:space="preserve"> SEQ Table \* ARABIC \s 1 </w:instrText>
      </w:r>
      <w:r w:rsidR="00CA2AA1">
        <w:fldChar w:fldCharType="separate"/>
      </w:r>
      <w:r w:rsidR="00CA2AA1">
        <w:rPr>
          <w:noProof/>
        </w:rPr>
        <w:t>2</w:t>
      </w:r>
      <w:r w:rsidR="00CA2AA1">
        <w:fldChar w:fldCharType="end"/>
      </w:r>
      <w:r w:rsidR="00EA6F40" w:rsidRPr="007F0430">
        <w:t xml:space="preserve"> Studies relating to the EAR for Adults (Review question 1)</w:t>
      </w:r>
    </w:p>
    <w:tbl>
      <w:tblPr>
        <w:tblStyle w:val="TableGrid1"/>
        <w:tblW w:w="14472" w:type="dxa"/>
        <w:tblLayout w:type="fixed"/>
        <w:tblLook w:val="04A0" w:firstRow="1" w:lastRow="0" w:firstColumn="1" w:lastColumn="0" w:noHBand="0" w:noVBand="1"/>
        <w:tblDescription w:val="Table 7.2 Studies Estimated Average Requirement (EAR) for Adults (Review question 1). This table consists of 8 column heading; column 1. First Author /year or Area, column 2. Study design, column 3. Population, participants, iodine status of area, column 4. Outcome measures, column 5. Dietary assessment method, column 6. Results, column 7.Confounders adjusted for/sensitivity analysis and column 8. Study quality and comments."/>
      </w:tblPr>
      <w:tblGrid>
        <w:gridCol w:w="1575"/>
        <w:gridCol w:w="1418"/>
        <w:gridCol w:w="1842"/>
        <w:gridCol w:w="1559"/>
        <w:gridCol w:w="1701"/>
        <w:gridCol w:w="3401"/>
        <w:gridCol w:w="1419"/>
        <w:gridCol w:w="1557"/>
      </w:tblGrid>
      <w:tr w:rsidR="00EA6F40" w:rsidRPr="00362D0E" w:rsidTr="00D61633">
        <w:trPr>
          <w:trHeight w:val="320"/>
          <w:tblHeader/>
        </w:trPr>
        <w:tc>
          <w:tcPr>
            <w:tcW w:w="1575" w:type="dxa"/>
            <w:hideMark/>
          </w:tcPr>
          <w:p w:rsidR="00EA6F40" w:rsidRPr="00362D0E" w:rsidRDefault="00EA6F40" w:rsidP="00EA6F40">
            <w:pPr>
              <w:widowControl w:val="0"/>
              <w:autoSpaceDE w:val="0"/>
              <w:autoSpaceDN w:val="0"/>
              <w:adjustRightInd w:val="0"/>
              <w:rPr>
                <w:rStyle w:val="Strong"/>
              </w:rPr>
            </w:pPr>
            <w:r w:rsidRPr="00362D0E">
              <w:rPr>
                <w:rStyle w:val="Strong"/>
              </w:rPr>
              <w:t xml:space="preserve">First author year, </w:t>
            </w:r>
          </w:p>
          <w:p w:rsidR="00EA6F40" w:rsidRPr="00362D0E" w:rsidRDefault="00EA6F40" w:rsidP="00EA6F40">
            <w:pPr>
              <w:rPr>
                <w:rStyle w:val="Strong"/>
              </w:rPr>
            </w:pPr>
            <w:r w:rsidRPr="00362D0E">
              <w:rPr>
                <w:rStyle w:val="Strong"/>
              </w:rPr>
              <w:t xml:space="preserve">Area </w:t>
            </w:r>
          </w:p>
        </w:tc>
        <w:tc>
          <w:tcPr>
            <w:tcW w:w="1418" w:type="dxa"/>
            <w:hideMark/>
          </w:tcPr>
          <w:p w:rsidR="00EA6F40" w:rsidRPr="00362D0E" w:rsidRDefault="00EA6F40" w:rsidP="00EA6F40">
            <w:pPr>
              <w:rPr>
                <w:rStyle w:val="Strong"/>
              </w:rPr>
            </w:pPr>
            <w:r w:rsidRPr="00362D0E">
              <w:rPr>
                <w:rStyle w:val="Strong"/>
              </w:rPr>
              <w:t>Study design</w:t>
            </w:r>
          </w:p>
        </w:tc>
        <w:tc>
          <w:tcPr>
            <w:tcW w:w="1842" w:type="dxa"/>
            <w:hideMark/>
          </w:tcPr>
          <w:p w:rsidR="00EA6F40" w:rsidRPr="00362D0E" w:rsidRDefault="00EA6F40" w:rsidP="00EA6F40">
            <w:pPr>
              <w:rPr>
                <w:rStyle w:val="Strong"/>
              </w:rPr>
            </w:pPr>
            <w:r w:rsidRPr="00362D0E">
              <w:rPr>
                <w:rStyle w:val="Strong"/>
              </w:rPr>
              <w:t xml:space="preserve">Population, participants, iodine status of area </w:t>
            </w:r>
          </w:p>
        </w:tc>
        <w:tc>
          <w:tcPr>
            <w:tcW w:w="1559" w:type="dxa"/>
            <w:hideMark/>
          </w:tcPr>
          <w:p w:rsidR="00EA6F40" w:rsidRPr="00362D0E" w:rsidRDefault="00EA6F40" w:rsidP="00EA6F40">
            <w:pPr>
              <w:rPr>
                <w:rStyle w:val="Strong"/>
              </w:rPr>
            </w:pPr>
            <w:r w:rsidRPr="00362D0E">
              <w:rPr>
                <w:rStyle w:val="Strong"/>
              </w:rPr>
              <w:t>Outcome measures</w:t>
            </w:r>
          </w:p>
        </w:tc>
        <w:tc>
          <w:tcPr>
            <w:tcW w:w="1701" w:type="dxa"/>
            <w:hideMark/>
          </w:tcPr>
          <w:p w:rsidR="00EA6F40" w:rsidRPr="00362D0E" w:rsidRDefault="00EA6F40" w:rsidP="00EA6F40">
            <w:pPr>
              <w:rPr>
                <w:rStyle w:val="Strong"/>
              </w:rPr>
            </w:pPr>
            <w:r w:rsidRPr="00362D0E">
              <w:rPr>
                <w:rStyle w:val="Strong"/>
              </w:rPr>
              <w:t>Dietary assessment method</w:t>
            </w:r>
          </w:p>
        </w:tc>
        <w:tc>
          <w:tcPr>
            <w:tcW w:w="3401" w:type="dxa"/>
          </w:tcPr>
          <w:p w:rsidR="00EA6F40" w:rsidRPr="00362D0E" w:rsidRDefault="00EA6F40" w:rsidP="00EA6F40">
            <w:pPr>
              <w:rPr>
                <w:rStyle w:val="Strong"/>
              </w:rPr>
            </w:pPr>
            <w:r w:rsidRPr="00362D0E">
              <w:rPr>
                <w:rStyle w:val="Strong"/>
              </w:rPr>
              <w:t>Results</w:t>
            </w:r>
          </w:p>
        </w:tc>
        <w:tc>
          <w:tcPr>
            <w:tcW w:w="1419" w:type="dxa"/>
          </w:tcPr>
          <w:p w:rsidR="00EA6F40" w:rsidRPr="00362D0E" w:rsidRDefault="00EA6F40" w:rsidP="00EA6F40">
            <w:pPr>
              <w:rPr>
                <w:rStyle w:val="Strong"/>
              </w:rPr>
            </w:pPr>
            <w:r w:rsidRPr="00362D0E">
              <w:rPr>
                <w:rStyle w:val="Strong"/>
              </w:rPr>
              <w:t>Confounders adjusted for/sensitivity analysis</w:t>
            </w:r>
          </w:p>
        </w:tc>
        <w:tc>
          <w:tcPr>
            <w:tcW w:w="1557" w:type="dxa"/>
          </w:tcPr>
          <w:p w:rsidR="00EA6F40" w:rsidRPr="00362D0E" w:rsidRDefault="00EA6F40" w:rsidP="00EA6F40">
            <w:pPr>
              <w:rPr>
                <w:rStyle w:val="Strong"/>
              </w:rPr>
            </w:pPr>
            <w:r w:rsidRPr="00362D0E">
              <w:rPr>
                <w:rStyle w:val="Strong"/>
              </w:rPr>
              <w:t>Study quality and comments*</w:t>
            </w:r>
          </w:p>
        </w:tc>
      </w:tr>
      <w:tr w:rsidR="00EA6F40" w:rsidRPr="00C875F5" w:rsidTr="00EA6F40">
        <w:trPr>
          <w:trHeight w:val="300"/>
        </w:trPr>
        <w:tc>
          <w:tcPr>
            <w:tcW w:w="1575" w:type="dxa"/>
            <w:noWrap/>
            <w:hideMark/>
          </w:tcPr>
          <w:p w:rsidR="00EA6F40" w:rsidRPr="00362D0E" w:rsidRDefault="00EA6F40" w:rsidP="00362D0E">
            <w:pPr>
              <w:rPr>
                <w:lang w:val="en-GB"/>
              </w:rPr>
            </w:pPr>
            <w:r w:rsidRPr="00362D0E">
              <w:rPr>
                <w:lang w:val="en-GB"/>
              </w:rPr>
              <w:t xml:space="preserve">Aghini Lombardi et al 2013 </w:t>
            </w:r>
          </w:p>
          <w:p w:rsidR="00EA6F40" w:rsidRPr="00362D0E" w:rsidRDefault="00362D0E" w:rsidP="00362D0E">
            <w:pPr>
              <w:rPr>
                <w:shd w:val="clear" w:color="auto" w:fill="FFFFFF"/>
                <w:lang w:val="en-GB"/>
              </w:rPr>
            </w:pPr>
            <w:r w:rsidRPr="00362D0E">
              <w:rPr>
                <w:shd w:val="clear" w:color="auto" w:fill="FFFFFF"/>
                <w:lang w:val="en-GB"/>
              </w:rPr>
              <w:t xml:space="preserve">Pescopagano, Italy </w:t>
            </w:r>
          </w:p>
        </w:tc>
        <w:tc>
          <w:tcPr>
            <w:tcW w:w="1418" w:type="dxa"/>
            <w:hideMark/>
          </w:tcPr>
          <w:p w:rsidR="00EA6F40" w:rsidRPr="00362D0E" w:rsidRDefault="00EA6F40" w:rsidP="00362D0E">
            <w:pPr>
              <w:rPr>
                <w:lang w:val="en-GB"/>
              </w:rPr>
            </w:pPr>
            <w:r w:rsidRPr="00362D0E">
              <w:rPr>
                <w:lang w:val="en-GB"/>
              </w:rPr>
              <w:t>Cross-sectional survey in 1995 &amp; 2010</w:t>
            </w:r>
          </w:p>
        </w:tc>
        <w:tc>
          <w:tcPr>
            <w:tcW w:w="1842" w:type="dxa"/>
            <w:hideMark/>
          </w:tcPr>
          <w:p w:rsidR="00EA6F40" w:rsidRPr="00362D0E" w:rsidRDefault="00EA6F40" w:rsidP="00362D0E">
            <w:pPr>
              <w:rPr>
                <w:lang w:val="en-GB"/>
              </w:rPr>
            </w:pPr>
            <w:r w:rsidRPr="00362D0E">
              <w:rPr>
                <w:shd w:val="clear" w:color="auto" w:fill="FFFFFF"/>
                <w:lang w:val="en-GB"/>
              </w:rPr>
              <w:t>N=1148 in 2010 &amp; n= 1411 in 1995</w:t>
            </w:r>
          </w:p>
        </w:tc>
        <w:tc>
          <w:tcPr>
            <w:tcW w:w="1559" w:type="dxa"/>
            <w:noWrap/>
            <w:hideMark/>
          </w:tcPr>
          <w:p w:rsidR="00EA6F40" w:rsidRPr="00362D0E" w:rsidRDefault="00EA6F40" w:rsidP="00362D0E">
            <w:pPr>
              <w:rPr>
                <w:lang w:val="en-GB"/>
              </w:rPr>
            </w:pPr>
            <w:r w:rsidRPr="00362D0E">
              <w:rPr>
                <w:lang w:val="en-GB"/>
              </w:rPr>
              <w:t>TV, TSH, FT3, FT4, TgAb, TPOAb,UIE</w:t>
            </w:r>
          </w:p>
        </w:tc>
        <w:tc>
          <w:tcPr>
            <w:tcW w:w="1701" w:type="dxa"/>
            <w:noWrap/>
            <w:hideMark/>
          </w:tcPr>
          <w:p w:rsidR="00EA6F40" w:rsidRPr="00362D0E" w:rsidRDefault="00EA6F40" w:rsidP="00362D0E">
            <w:pPr>
              <w:rPr>
                <w:lang w:val="en-GB"/>
              </w:rPr>
            </w:pPr>
            <w:r w:rsidRPr="00362D0E">
              <w:rPr>
                <w:lang w:val="en-GB"/>
              </w:rPr>
              <w:t>Use of iodized salt</w:t>
            </w:r>
          </w:p>
        </w:tc>
        <w:tc>
          <w:tcPr>
            <w:tcW w:w="3401" w:type="dxa"/>
          </w:tcPr>
          <w:p w:rsidR="00EA6F40" w:rsidRPr="00362D0E" w:rsidRDefault="00EA6F40" w:rsidP="00362D0E">
            <w:pPr>
              <w:rPr>
                <w:shd w:val="clear" w:color="auto" w:fill="FFFFFF"/>
                <w:lang w:val="en-GB"/>
              </w:rPr>
            </w:pPr>
            <w:r w:rsidRPr="00362D0E">
              <w:rPr>
                <w:shd w:val="clear" w:color="auto" w:fill="FFFFFF"/>
                <w:lang w:val="en-GB"/>
              </w:rPr>
              <w:t xml:space="preserve">Goitre rate was lower in 2010 than in 1995 (25.8% vs 46.1%, P&lt;0.0001). In 2010 vs. 1995, thyroid autonomy in subjects younger than 45 yrs (3 of 579, 0.5% vs. 25 of 1010, 2.5% P = .004) &amp; non-autoimmune hyperthyroidism in subjects older than 45 yrs old (8 of 569, 1.4% vs. 18 of 401, 4.5%, P = .03) were less frequent. The rate of hypothyroidism was higher in 2010 vs. 1995 (5.0% vs. 2.8%, P =0.005), mainly because of an increased frequency of subclinical hypothyroidism in subjects younger than 15 yrs (7 of 83, 8.4% vs. 0 of 419, 0.0%, P &lt; .0001). </w:t>
            </w:r>
          </w:p>
          <w:p w:rsidR="00EA6F40" w:rsidRPr="00362D0E" w:rsidRDefault="00EA6F40" w:rsidP="00362D0E">
            <w:pPr>
              <w:rPr>
                <w:lang w:val="en-GB"/>
              </w:rPr>
            </w:pPr>
            <w:r w:rsidRPr="00362D0E">
              <w:rPr>
                <w:shd w:val="clear" w:color="auto" w:fill="FFFFFF"/>
                <w:lang w:val="en-GB"/>
              </w:rPr>
              <w:t>Serum thyroid autoantibodies (19.5% vs. 12.6%; P&lt;0.0001) &amp; Hashimoto's thyroiditis (14.5% vs. 3.5%; P&lt;0.0001) were more frequent in 2010 than in 1995</w:t>
            </w:r>
          </w:p>
        </w:tc>
        <w:tc>
          <w:tcPr>
            <w:tcW w:w="1419" w:type="dxa"/>
          </w:tcPr>
          <w:p w:rsidR="00EA6F40" w:rsidRPr="00362D0E" w:rsidRDefault="00EA6F40" w:rsidP="00362D0E">
            <w:pPr>
              <w:rPr>
                <w:lang w:val="en-GB"/>
              </w:rPr>
            </w:pPr>
            <w:r w:rsidRPr="00362D0E">
              <w:rPr>
                <w:lang w:val="en-GB"/>
              </w:rPr>
              <w:t>N/A</w:t>
            </w:r>
          </w:p>
        </w:tc>
        <w:tc>
          <w:tcPr>
            <w:tcW w:w="1557" w:type="dxa"/>
          </w:tcPr>
          <w:p w:rsidR="00EA6F40" w:rsidRPr="00362D0E" w:rsidRDefault="00EA6F40" w:rsidP="00362D0E">
            <w:pPr>
              <w:rPr>
                <w:lang w:val="en-GB"/>
              </w:rPr>
            </w:pPr>
            <w:r w:rsidRPr="00362D0E">
              <w:rPr>
                <w:lang w:val="en-GB"/>
              </w:rPr>
              <w:t>Level</w:t>
            </w:r>
            <w:r w:rsidR="00362D0E" w:rsidRPr="00362D0E">
              <w:rPr>
                <w:lang w:val="en-GB"/>
              </w:rPr>
              <w:t xml:space="preserve"> IV </w:t>
            </w:r>
          </w:p>
          <w:p w:rsidR="00EA6F40" w:rsidRPr="00362D0E" w:rsidRDefault="00EA6F40" w:rsidP="00362D0E">
            <w:pPr>
              <w:rPr>
                <w:lang w:val="en-GB"/>
              </w:rPr>
            </w:pPr>
            <w:r w:rsidRPr="00362D0E">
              <w:rPr>
                <w:lang w:val="en-GB"/>
              </w:rPr>
              <w:t xml:space="preserve">Effect </w:t>
            </w:r>
            <w:r w:rsidR="00362D0E" w:rsidRPr="00362D0E">
              <w:rPr>
                <w:lang w:val="en-GB"/>
              </w:rPr>
              <w:t>of voluntary iodine prophylaxis</w:t>
            </w:r>
          </w:p>
        </w:tc>
      </w:tr>
      <w:tr w:rsidR="00EA6F40" w:rsidRPr="00C875F5" w:rsidTr="00EA6F40">
        <w:trPr>
          <w:trHeight w:val="300"/>
        </w:trPr>
        <w:tc>
          <w:tcPr>
            <w:tcW w:w="1575" w:type="dxa"/>
            <w:noWrap/>
          </w:tcPr>
          <w:p w:rsidR="00EA6F40" w:rsidRPr="00362D0E" w:rsidRDefault="00EA6F40" w:rsidP="00362D0E">
            <w:r w:rsidRPr="00362D0E">
              <w:lastRenderedPageBreak/>
              <w:t xml:space="preserve">Ayturk et al, 2009 </w:t>
            </w:r>
          </w:p>
          <w:p w:rsidR="00EA6F40" w:rsidRPr="00362D0E" w:rsidRDefault="00362D0E" w:rsidP="00362D0E">
            <w:r w:rsidRPr="00362D0E">
              <w:t>Turkey</w:t>
            </w:r>
          </w:p>
        </w:tc>
        <w:tc>
          <w:tcPr>
            <w:tcW w:w="1418" w:type="dxa"/>
          </w:tcPr>
          <w:p w:rsidR="00EA6F40" w:rsidRPr="00362D0E" w:rsidRDefault="00EA6F40" w:rsidP="00362D0E">
            <w:pPr>
              <w:rPr>
                <w:color w:val="000000"/>
                <w:lang w:val="en-GB"/>
              </w:rPr>
            </w:pPr>
            <w:r w:rsidRPr="00362D0E">
              <w:rPr>
                <w:color w:val="000000"/>
                <w:lang w:val="en-GB"/>
              </w:rPr>
              <w:t>Case-control study</w:t>
            </w:r>
          </w:p>
        </w:tc>
        <w:tc>
          <w:tcPr>
            <w:tcW w:w="1842" w:type="dxa"/>
          </w:tcPr>
          <w:p w:rsidR="00EA6F40" w:rsidRPr="00362D0E" w:rsidRDefault="00EA6F40" w:rsidP="00362D0E">
            <w:r w:rsidRPr="00362D0E">
              <w:t>N=539 (total)</w:t>
            </w:r>
          </w:p>
          <w:p w:rsidR="00EA6F40" w:rsidRPr="00362D0E" w:rsidRDefault="00EA6F40" w:rsidP="00362D0E">
            <w:r w:rsidRPr="00362D0E">
              <w:t>n=278 in the metabolic syndrome group (33.1% male) &amp; n=261 in the control group</w:t>
            </w:r>
          </w:p>
          <w:p w:rsidR="00EA6F40" w:rsidRPr="00362D0E" w:rsidRDefault="00EA6F40" w:rsidP="00362D0E">
            <w:r w:rsidRPr="00362D0E">
              <w:t>(30.7% male)</w:t>
            </w:r>
          </w:p>
          <w:p w:rsidR="00EA6F40" w:rsidRPr="00362D0E" w:rsidRDefault="00EA6F40" w:rsidP="00362D0E">
            <w:r w:rsidRPr="00362D0E">
              <w:t>Newly diagnosed patients with metabolic syndrome</w:t>
            </w:r>
          </w:p>
          <w:p w:rsidR="00EA6F40" w:rsidRPr="00362D0E" w:rsidRDefault="00EA6F40" w:rsidP="00362D0E">
            <w:r w:rsidRPr="00362D0E">
              <w:t xml:space="preserve">(18-74 yrs) &amp; controls </w:t>
            </w:r>
          </w:p>
          <w:p w:rsidR="00EA6F40" w:rsidRPr="00362D0E" w:rsidRDefault="00362D0E" w:rsidP="00362D0E">
            <w:r w:rsidRPr="00362D0E">
              <w:t>Mild-to moderate ID</w:t>
            </w:r>
          </w:p>
        </w:tc>
        <w:tc>
          <w:tcPr>
            <w:tcW w:w="1559" w:type="dxa"/>
            <w:noWrap/>
          </w:tcPr>
          <w:p w:rsidR="00EA6F40" w:rsidRPr="00362D0E" w:rsidRDefault="00EA6F40" w:rsidP="00362D0E">
            <w:r w:rsidRPr="00362D0E">
              <w:t>TV, TSH,</w:t>
            </w:r>
          </w:p>
          <w:p w:rsidR="00EA6F40" w:rsidRPr="00362D0E" w:rsidRDefault="00EA6F40" w:rsidP="00362D0E">
            <w:r w:rsidRPr="00362D0E">
              <w:t>&amp; nodule prevalence, anthropometry, FT3, FT4, TSH .</w:t>
            </w:r>
          </w:p>
        </w:tc>
        <w:tc>
          <w:tcPr>
            <w:tcW w:w="1701" w:type="dxa"/>
            <w:noWrap/>
          </w:tcPr>
          <w:p w:rsidR="00EA6F40" w:rsidRPr="00362D0E" w:rsidRDefault="00EA6F40" w:rsidP="00362D0E">
            <w:r w:rsidRPr="00362D0E">
              <w:t>No information on iodine nutrition (neither urine iodine nor iodine intake)</w:t>
            </w:r>
          </w:p>
        </w:tc>
        <w:tc>
          <w:tcPr>
            <w:tcW w:w="3401" w:type="dxa"/>
          </w:tcPr>
          <w:p w:rsidR="00EA6F40" w:rsidRPr="00362D0E" w:rsidRDefault="00EA6F40" w:rsidP="00362D0E">
            <w:r w:rsidRPr="00362D0E">
              <w:t>TSH was correlated with the presence of metabolic syndrome.</w:t>
            </w:r>
          </w:p>
          <w:p w:rsidR="00EA6F40" w:rsidRPr="00362D0E" w:rsidRDefault="00EA6F40" w:rsidP="00362D0E">
            <w:r w:rsidRPr="00362D0E">
              <w:t>Insulin resistance, waist circumference &amp; triglycerides independent predictors of</w:t>
            </w:r>
          </w:p>
          <w:p w:rsidR="00EA6F40" w:rsidRPr="00362D0E" w:rsidRDefault="00EA6F40" w:rsidP="00362D0E">
            <w:r w:rsidRPr="00362D0E">
              <w:t xml:space="preserve"> TV. TSH was significantly correlated with the presence of MetS. In a multiple linear regression analysis, independent predictors of TV (mL) were (B, 95% CI); waist circumference</w:t>
            </w:r>
          </w:p>
          <w:p w:rsidR="00EA6F40" w:rsidRPr="00362D0E" w:rsidRDefault="00EA6F40" w:rsidP="00362D0E">
            <w:r w:rsidRPr="00362D0E">
              <w:t>(cm) 0.335 (0.089- 0.161), triglycerides</w:t>
            </w:r>
          </w:p>
          <w:p w:rsidR="00EA6F40" w:rsidRPr="00362D0E" w:rsidRDefault="00EA6F40" w:rsidP="00362D0E">
            <w:r w:rsidRPr="00362D0E">
              <w:t>(mg/dL) 0.136 (0.003-0.016), &amp; insulin resistance 0.143 (0.512-2.731).</w:t>
            </w:r>
          </w:p>
        </w:tc>
        <w:tc>
          <w:tcPr>
            <w:tcW w:w="1419" w:type="dxa"/>
          </w:tcPr>
          <w:p w:rsidR="00EA6F40" w:rsidRPr="00362D0E" w:rsidRDefault="00EA6F40" w:rsidP="00362D0E">
            <w:pPr>
              <w:rPr>
                <w:color w:val="000000"/>
                <w:lang w:val="en-GB"/>
              </w:rPr>
            </w:pPr>
            <w:r w:rsidRPr="00362D0E">
              <w:t>BMI, smoking, fatmass</w:t>
            </w:r>
          </w:p>
        </w:tc>
        <w:tc>
          <w:tcPr>
            <w:tcW w:w="1557" w:type="dxa"/>
          </w:tcPr>
          <w:p w:rsidR="00EA6F40" w:rsidRPr="00362D0E" w:rsidRDefault="00362D0E" w:rsidP="00362D0E">
            <w:pPr>
              <w:rPr>
                <w:color w:val="000000"/>
                <w:lang w:val="en-GB"/>
              </w:rPr>
            </w:pPr>
            <w:r w:rsidRPr="00362D0E">
              <w:rPr>
                <w:color w:val="000000"/>
                <w:lang w:val="en-GB"/>
              </w:rPr>
              <w:t xml:space="preserve">Level III-3 </w:t>
            </w:r>
          </w:p>
          <w:p w:rsidR="00EA6F40" w:rsidRPr="00362D0E" w:rsidRDefault="00EA6F40" w:rsidP="00362D0E">
            <w:pPr>
              <w:rPr>
                <w:color w:val="000000"/>
                <w:lang w:val="en-GB"/>
              </w:rPr>
            </w:pPr>
            <w:r w:rsidRPr="00362D0E">
              <w:rPr>
                <w:color w:val="000000"/>
                <w:lang w:val="en-GB"/>
              </w:rPr>
              <w:t>No measure of iodine status based on the area bei</w:t>
            </w:r>
            <w:r w:rsidR="00362D0E" w:rsidRPr="00362D0E">
              <w:rPr>
                <w:color w:val="000000"/>
                <w:lang w:val="en-GB"/>
              </w:rPr>
              <w:t>ng mild to moderately deficient</w:t>
            </w:r>
          </w:p>
        </w:tc>
      </w:tr>
      <w:tr w:rsidR="00EA6F40" w:rsidRPr="00C875F5" w:rsidTr="00EA6F40">
        <w:trPr>
          <w:trHeight w:val="300"/>
        </w:trPr>
        <w:tc>
          <w:tcPr>
            <w:tcW w:w="1575" w:type="dxa"/>
            <w:noWrap/>
          </w:tcPr>
          <w:p w:rsidR="00EA6F40" w:rsidRPr="00362D0E" w:rsidRDefault="00EA6F40" w:rsidP="00362D0E">
            <w:pPr>
              <w:rPr>
                <w:lang w:val="en-GB"/>
              </w:rPr>
            </w:pPr>
            <w:r w:rsidRPr="00362D0E">
              <w:rPr>
                <w:lang w:val="en-GB"/>
              </w:rPr>
              <w:t xml:space="preserve">Bulow Pedersen et al, 2011 </w:t>
            </w:r>
          </w:p>
        </w:tc>
        <w:tc>
          <w:tcPr>
            <w:tcW w:w="1418" w:type="dxa"/>
          </w:tcPr>
          <w:p w:rsidR="00EA6F40" w:rsidRPr="00362D0E" w:rsidRDefault="00EA6F40" w:rsidP="00362D0E">
            <w:pPr>
              <w:rPr>
                <w:lang w:val="en-GB"/>
              </w:rPr>
            </w:pPr>
            <w:r w:rsidRPr="00362D0E">
              <w:rPr>
                <w:lang w:val="en-GB"/>
              </w:rPr>
              <w:t xml:space="preserve">Denmark </w:t>
            </w:r>
          </w:p>
          <w:p w:rsidR="00EA6F40" w:rsidRPr="00362D0E" w:rsidRDefault="00EA6F40" w:rsidP="00362D0E">
            <w:pPr>
              <w:rPr>
                <w:lang w:val="en-GB"/>
              </w:rPr>
            </w:pPr>
            <w:r w:rsidRPr="00362D0E">
              <w:rPr>
                <w:lang w:val="en-GB"/>
              </w:rPr>
              <w:t>Two cros</w:t>
            </w:r>
            <w:r w:rsidR="00362D0E" w:rsidRPr="00362D0E">
              <w:rPr>
                <w:lang w:val="en-GB"/>
              </w:rPr>
              <w:t>s-sectional population studies.</w:t>
            </w:r>
          </w:p>
        </w:tc>
        <w:tc>
          <w:tcPr>
            <w:tcW w:w="1842" w:type="dxa"/>
          </w:tcPr>
          <w:p w:rsidR="00EA6F40" w:rsidRPr="00362D0E" w:rsidRDefault="00EA6F40" w:rsidP="00362D0E">
            <w:pPr>
              <w:rPr>
                <w:lang w:val="en-GB"/>
              </w:rPr>
            </w:pPr>
            <w:r w:rsidRPr="00362D0E">
              <w:rPr>
                <w:lang w:val="en-GB"/>
              </w:rPr>
              <w:t xml:space="preserve">Group 1: n= 4649 (median UI 61 </w:t>
            </w:r>
            <w:r w:rsidRPr="00362D0E">
              <w:rPr>
                <w:shd w:val="clear" w:color="auto" w:fill="FFFFFF"/>
                <w:lang w:val="en-GB"/>
              </w:rPr>
              <w:t>μg/liter</w:t>
            </w:r>
            <w:r w:rsidRPr="00362D0E">
              <w:rPr>
                <w:lang w:val="en-GB"/>
              </w:rPr>
              <w:t xml:space="preserve">) </w:t>
            </w:r>
          </w:p>
          <w:p w:rsidR="00EA6F40" w:rsidRPr="00362D0E" w:rsidRDefault="00EA6F40" w:rsidP="00362D0E">
            <w:pPr>
              <w:rPr>
                <w:lang w:val="en-GB"/>
              </w:rPr>
            </w:pPr>
            <w:r w:rsidRPr="00362D0E">
              <w:rPr>
                <w:lang w:val="en-GB"/>
              </w:rPr>
              <w:t>group 2: n= 3570 (median UI 101</w:t>
            </w:r>
            <w:r w:rsidRPr="00362D0E">
              <w:rPr>
                <w:shd w:val="clear" w:color="auto" w:fill="FFFFFF"/>
                <w:lang w:val="en-GB"/>
              </w:rPr>
              <w:t xml:space="preserve"> </w:t>
            </w:r>
            <w:r w:rsidRPr="00362D0E">
              <w:rPr>
                <w:shd w:val="clear" w:color="auto" w:fill="FFFFFF"/>
                <w:lang w:val="en-GB"/>
              </w:rPr>
              <w:lastRenderedPageBreak/>
              <w:t>μg/litre</w:t>
            </w:r>
            <w:r w:rsidR="00362D0E" w:rsidRPr="00362D0E">
              <w:rPr>
                <w:lang w:val="en-GB"/>
              </w:rPr>
              <w:t>)</w:t>
            </w:r>
          </w:p>
        </w:tc>
        <w:tc>
          <w:tcPr>
            <w:tcW w:w="1559" w:type="dxa"/>
            <w:noWrap/>
          </w:tcPr>
          <w:p w:rsidR="00EA6F40" w:rsidRPr="00362D0E" w:rsidRDefault="00EA6F40" w:rsidP="00362D0E">
            <w:pPr>
              <w:rPr>
                <w:lang w:val="en-GB"/>
              </w:rPr>
            </w:pPr>
            <w:r w:rsidRPr="00362D0E">
              <w:rPr>
                <w:lang w:val="en-GB"/>
              </w:rPr>
              <w:lastRenderedPageBreak/>
              <w:t>TPO-Ab &amp; Tg-Ab</w:t>
            </w:r>
          </w:p>
        </w:tc>
        <w:tc>
          <w:tcPr>
            <w:tcW w:w="1701" w:type="dxa"/>
            <w:noWrap/>
          </w:tcPr>
          <w:p w:rsidR="00EA6F40" w:rsidRPr="00362D0E" w:rsidRDefault="00EA6F40" w:rsidP="00362D0E">
            <w:pPr>
              <w:rPr>
                <w:lang w:val="en-GB"/>
              </w:rPr>
            </w:pPr>
            <w:r w:rsidRPr="00362D0E">
              <w:rPr>
                <w:lang w:val="en-GB"/>
              </w:rPr>
              <w:t xml:space="preserve">Not assessed </w:t>
            </w:r>
          </w:p>
        </w:tc>
        <w:tc>
          <w:tcPr>
            <w:tcW w:w="3401" w:type="dxa"/>
          </w:tcPr>
          <w:p w:rsidR="00EA6F40" w:rsidRPr="00362D0E" w:rsidRDefault="00EA6F40" w:rsidP="00362D0E">
            <w:pPr>
              <w:rPr>
                <w:shd w:val="clear" w:color="auto" w:fill="FFFFFF"/>
              </w:rPr>
            </w:pPr>
            <w:r w:rsidRPr="00362D0E">
              <w:rPr>
                <w:lang w:val="en-GB"/>
              </w:rPr>
              <w:t xml:space="preserve">Antibodies were more common in group 2. Than group 1: </w:t>
            </w:r>
            <w:r w:rsidRPr="00362D0E">
              <w:rPr>
                <w:shd w:val="clear" w:color="auto" w:fill="FFFFFF"/>
              </w:rPr>
              <w:t xml:space="preserve">TPO-Ab &gt; 30 U/ml, group1 vs. group2: 14.3 vs. 23.8% (p &lt; 0.001); Tg-Ab &gt; 20 U/ml, group1 vs. group2: 13.7 vs. 19.9% (p &lt; 0.001). The group2 vs. </w:t>
            </w:r>
            <w:r w:rsidRPr="00362D0E">
              <w:rPr>
                <w:shd w:val="clear" w:color="auto" w:fill="FFFFFF"/>
              </w:rPr>
              <w:lastRenderedPageBreak/>
              <w:t>group1 effect was confirmed in multivariate regression models (group1 reference): TPO-Ab: OR (95% CI): 1.80 (1.59-2.04); Tg-Ab: 1.49 (1.31-1.69). The increase in frequency of thyroid antibodies was most pronounced in young females &amp; especially observed at low concentrations of antibodies.</w:t>
            </w:r>
            <w:r w:rsidRPr="00362D0E">
              <w:rPr>
                <w:rStyle w:val="apple-converted-space"/>
                <w:rFonts w:cs="Arial"/>
                <w:color w:val="000000"/>
                <w:sz w:val="16"/>
                <w:szCs w:val="16"/>
                <w:shd w:val="clear" w:color="auto" w:fill="FFFFFF"/>
              </w:rPr>
              <w:t> </w:t>
            </w:r>
          </w:p>
        </w:tc>
        <w:tc>
          <w:tcPr>
            <w:tcW w:w="1419" w:type="dxa"/>
          </w:tcPr>
          <w:p w:rsidR="00EA6F40" w:rsidRPr="00362D0E" w:rsidRDefault="00EA6F40" w:rsidP="00362D0E">
            <w:pPr>
              <w:rPr>
                <w:lang w:val="en-GB"/>
              </w:rPr>
            </w:pPr>
            <w:r w:rsidRPr="00362D0E">
              <w:rPr>
                <w:lang w:val="en-GB"/>
              </w:rPr>
              <w:lastRenderedPageBreak/>
              <w:t xml:space="preserve">Bread, fish, water &amp; milk intake, estimated salt intake, iodine </w:t>
            </w:r>
            <w:r w:rsidRPr="00362D0E">
              <w:rPr>
                <w:lang w:val="en-GB"/>
              </w:rPr>
              <w:lastRenderedPageBreak/>
              <w:t>supplements</w:t>
            </w:r>
            <w:r w:rsidRPr="00362D0E">
              <w:rPr>
                <w:shd w:val="clear" w:color="auto" w:fill="FFFFFF"/>
                <w:lang w:val="en-GB"/>
              </w:rPr>
              <w:t>, education, self-rated health, smoking, alcohol intake &amp; physical activity</w:t>
            </w:r>
          </w:p>
        </w:tc>
        <w:tc>
          <w:tcPr>
            <w:tcW w:w="1557" w:type="dxa"/>
          </w:tcPr>
          <w:p w:rsidR="00EA6F40" w:rsidRPr="00362D0E" w:rsidRDefault="00EA6F40" w:rsidP="00362D0E">
            <w:pPr>
              <w:rPr>
                <w:lang w:val="en-GB"/>
              </w:rPr>
            </w:pPr>
            <w:r w:rsidRPr="00362D0E">
              <w:rPr>
                <w:lang w:val="en-GB"/>
              </w:rPr>
              <w:lastRenderedPageBreak/>
              <w:t>Level IV</w:t>
            </w:r>
          </w:p>
        </w:tc>
      </w:tr>
      <w:tr w:rsidR="00EA6F40" w:rsidRPr="00C875F5" w:rsidTr="00EA6F40">
        <w:trPr>
          <w:trHeight w:val="300"/>
        </w:trPr>
        <w:tc>
          <w:tcPr>
            <w:tcW w:w="1575" w:type="dxa"/>
            <w:noWrap/>
          </w:tcPr>
          <w:p w:rsidR="00EA6F40" w:rsidRPr="00362D0E" w:rsidRDefault="00EA6F40" w:rsidP="00362D0E">
            <w:pPr>
              <w:rPr>
                <w:lang w:val="en-GB"/>
              </w:rPr>
            </w:pPr>
            <w:r w:rsidRPr="00362D0E">
              <w:rPr>
                <w:lang w:val="en-GB"/>
              </w:rPr>
              <w:lastRenderedPageBreak/>
              <w:t xml:space="preserve">Camargo et al, 2008 </w:t>
            </w:r>
          </w:p>
          <w:p w:rsidR="00EA6F40" w:rsidRPr="00362D0E" w:rsidRDefault="00EA6F40" w:rsidP="00362D0E">
            <w:pPr>
              <w:rPr>
                <w:lang w:val="en-GB"/>
              </w:rPr>
            </w:pPr>
            <w:r w:rsidRPr="00362D0E">
              <w:rPr>
                <w:lang w:val="en-GB"/>
              </w:rPr>
              <w:t xml:space="preserve">Sao Paulo, </w:t>
            </w:r>
            <w:r w:rsidR="00362D0E" w:rsidRPr="00362D0E">
              <w:rPr>
                <w:lang w:val="en-GB"/>
              </w:rPr>
              <w:t xml:space="preserve">Brazil </w:t>
            </w:r>
          </w:p>
        </w:tc>
        <w:tc>
          <w:tcPr>
            <w:tcW w:w="1418" w:type="dxa"/>
          </w:tcPr>
          <w:p w:rsidR="00EA6F40" w:rsidRPr="00362D0E" w:rsidRDefault="00EA6F40" w:rsidP="00362D0E">
            <w:pPr>
              <w:rPr>
                <w:lang w:val="en-GB"/>
              </w:rPr>
            </w:pPr>
            <w:r w:rsidRPr="00362D0E">
              <w:rPr>
                <w:lang w:val="en-GB"/>
              </w:rPr>
              <w:t>Populati</w:t>
            </w:r>
            <w:r w:rsidR="00362D0E" w:rsidRPr="00362D0E">
              <w:rPr>
                <w:lang w:val="en-GB"/>
              </w:rPr>
              <w:t>on based, cross-sectional study</w:t>
            </w:r>
          </w:p>
        </w:tc>
        <w:tc>
          <w:tcPr>
            <w:tcW w:w="1842" w:type="dxa"/>
          </w:tcPr>
          <w:p w:rsidR="00EA6F40" w:rsidRPr="00362D0E" w:rsidRDefault="00EA6F40" w:rsidP="00362D0E">
            <w:pPr>
              <w:rPr>
                <w:lang w:val="en-GB"/>
              </w:rPr>
            </w:pPr>
            <w:r w:rsidRPr="00362D0E">
              <w:rPr>
                <w:lang w:val="en-GB"/>
              </w:rPr>
              <w:t>N= 1085</w:t>
            </w:r>
          </w:p>
          <w:p w:rsidR="00EA6F40" w:rsidRPr="00362D0E" w:rsidRDefault="00EA6F40" w:rsidP="00362D0E">
            <w:pPr>
              <w:rPr>
                <w:lang w:val="en-GB"/>
              </w:rPr>
            </w:pPr>
            <w:r w:rsidRPr="00362D0E">
              <w:rPr>
                <w:lang w:val="en-GB"/>
              </w:rPr>
              <w:t>Population exposed to excessive iodine intake for 5 yrs (table salt iodine c</w:t>
            </w:r>
            <w:r w:rsidR="00362D0E" w:rsidRPr="00362D0E">
              <w:rPr>
                <w:lang w:val="en-GB"/>
              </w:rPr>
              <w:t>oncentration 40-100mg/kg salt).</w:t>
            </w:r>
          </w:p>
        </w:tc>
        <w:tc>
          <w:tcPr>
            <w:tcW w:w="1559" w:type="dxa"/>
            <w:noWrap/>
          </w:tcPr>
          <w:p w:rsidR="00EA6F40" w:rsidRPr="00362D0E" w:rsidRDefault="00EA6F40" w:rsidP="00362D0E">
            <w:pPr>
              <w:rPr>
                <w:lang w:val="en-GB"/>
              </w:rPr>
            </w:pPr>
            <w:r w:rsidRPr="00362D0E">
              <w:rPr>
                <w:lang w:val="en-GB"/>
              </w:rPr>
              <w:t xml:space="preserve">TV, TSH, FT4, UIC, TPO, thyroid echogenicity, </w:t>
            </w:r>
          </w:p>
        </w:tc>
        <w:tc>
          <w:tcPr>
            <w:tcW w:w="1701" w:type="dxa"/>
            <w:noWrap/>
          </w:tcPr>
          <w:p w:rsidR="00EA6F40" w:rsidRPr="00362D0E" w:rsidRDefault="00EA6F40" w:rsidP="00362D0E">
            <w:pPr>
              <w:rPr>
                <w:lang w:val="en-GB"/>
              </w:rPr>
            </w:pPr>
            <w:r w:rsidRPr="00362D0E">
              <w:rPr>
                <w:lang w:val="en-GB"/>
              </w:rPr>
              <w:t xml:space="preserve">Sample of salt consumed in the home were taken </w:t>
            </w:r>
          </w:p>
        </w:tc>
        <w:tc>
          <w:tcPr>
            <w:tcW w:w="3401" w:type="dxa"/>
          </w:tcPr>
          <w:p w:rsidR="00EA6F40" w:rsidRPr="00362D0E" w:rsidRDefault="00EA6F40" w:rsidP="00362D0E">
            <w:pPr>
              <w:rPr>
                <w:shd w:val="clear" w:color="auto" w:fill="EEEEEE"/>
                <w:lang w:val="en-GB"/>
              </w:rPr>
            </w:pPr>
            <w:r w:rsidRPr="00362D0E">
              <w:rPr>
                <w:lang w:val="en-GB"/>
              </w:rPr>
              <w:t>Table salt at the time of the study was 20-60 mg/kg salt. In 45% UI excretion was above 300 μg/l &amp; in 14.1 above 400 μg/l.</w:t>
            </w:r>
            <w:r w:rsidRPr="00362D0E">
              <w:rPr>
                <w:shd w:val="clear" w:color="auto" w:fill="EEEEEE"/>
                <w:lang w:val="en-GB"/>
              </w:rPr>
              <w:t xml:space="preserve">  </w:t>
            </w:r>
          </w:p>
          <w:p w:rsidR="00EA6F40" w:rsidRPr="00362D0E" w:rsidRDefault="00EA6F40" w:rsidP="00362D0E">
            <w:pPr>
              <w:rPr>
                <w:lang w:val="en-GB"/>
              </w:rPr>
            </w:pPr>
            <w:r w:rsidRPr="00362D0E">
              <w:rPr>
                <w:lang w:val="en-GB"/>
              </w:rPr>
              <w:t xml:space="preserve">Prevalence of Chronic autoimmune thyroiditis (CAT) was 16.9%. </w:t>
            </w:r>
          </w:p>
          <w:p w:rsidR="00EA6F40" w:rsidRPr="00362D0E" w:rsidRDefault="00EA6F40" w:rsidP="00362D0E">
            <w:pPr>
              <w:rPr>
                <w:lang w:val="en-GB"/>
              </w:rPr>
            </w:pPr>
            <w:r w:rsidRPr="00362D0E">
              <w:rPr>
                <w:lang w:val="en-GB"/>
              </w:rPr>
              <w:t>8% of population with CAT had hypothyroidism. Hyperthyroidism was diagnosed in 3.3% &amp; Goitre in 3.1% of population.</w:t>
            </w:r>
          </w:p>
        </w:tc>
        <w:tc>
          <w:tcPr>
            <w:tcW w:w="1419" w:type="dxa"/>
          </w:tcPr>
          <w:p w:rsidR="00EA6F40" w:rsidRPr="00362D0E" w:rsidRDefault="00EA6F40" w:rsidP="00362D0E">
            <w:pPr>
              <w:rPr>
                <w:lang w:val="en-GB"/>
              </w:rPr>
            </w:pPr>
          </w:p>
        </w:tc>
        <w:tc>
          <w:tcPr>
            <w:tcW w:w="1557" w:type="dxa"/>
          </w:tcPr>
          <w:p w:rsidR="00EA6F40" w:rsidRPr="00362D0E" w:rsidRDefault="00EA6F40" w:rsidP="00362D0E">
            <w:pPr>
              <w:rPr>
                <w:lang w:val="en-GB"/>
              </w:rPr>
            </w:pPr>
            <w:r w:rsidRPr="00362D0E">
              <w:rPr>
                <w:lang w:val="en-GB"/>
              </w:rPr>
              <w:t>Level IV</w:t>
            </w:r>
          </w:p>
        </w:tc>
      </w:tr>
      <w:tr w:rsidR="00EA6F40" w:rsidRPr="00C875F5" w:rsidTr="00EA6F40">
        <w:trPr>
          <w:trHeight w:val="1835"/>
        </w:trPr>
        <w:tc>
          <w:tcPr>
            <w:tcW w:w="1575" w:type="dxa"/>
            <w:noWrap/>
          </w:tcPr>
          <w:p w:rsidR="00EA6F40" w:rsidRPr="00362D0E" w:rsidRDefault="00EA6F40" w:rsidP="00362D0E">
            <w:r w:rsidRPr="00362D0E">
              <w:rPr>
                <w:noProof/>
              </w:rPr>
              <w:lastRenderedPageBreak/>
              <w:t>Combet et al, 2014</w:t>
            </w:r>
          </w:p>
          <w:p w:rsidR="00EA6F40" w:rsidRPr="00362D0E" w:rsidRDefault="00EA6F40" w:rsidP="00362D0E">
            <w:pPr>
              <w:rPr>
                <w:lang w:val="en-GB"/>
              </w:rPr>
            </w:pPr>
            <w:r w:rsidRPr="00362D0E">
              <w:t>Glasgow, UK</w:t>
            </w:r>
          </w:p>
        </w:tc>
        <w:tc>
          <w:tcPr>
            <w:tcW w:w="1418" w:type="dxa"/>
          </w:tcPr>
          <w:p w:rsidR="00EA6F40" w:rsidRPr="00362D0E" w:rsidRDefault="00EA6F40" w:rsidP="00362D0E">
            <w:pPr>
              <w:rPr>
                <w:rFonts w:eastAsia="Times New Roman"/>
                <w:lang w:val="en-GB"/>
              </w:rPr>
            </w:pPr>
            <w:r w:rsidRPr="00362D0E">
              <w:rPr>
                <w:rFonts w:eastAsia="Times New Roman"/>
                <w:lang w:val="en-GB"/>
              </w:rPr>
              <w:t>A</w:t>
            </w:r>
            <w:r w:rsidR="00362D0E" w:rsidRPr="00362D0E">
              <w:rPr>
                <w:rFonts w:eastAsia="Times New Roman"/>
                <w:lang w:val="en-GB"/>
              </w:rPr>
              <w:t xml:space="preserve"> 14-day intervention study</w:t>
            </w:r>
          </w:p>
          <w:p w:rsidR="00EA6F40" w:rsidRPr="00362D0E" w:rsidRDefault="00EA6F40" w:rsidP="00362D0E">
            <w:pPr>
              <w:rPr>
                <w:rFonts w:eastAsia="Times New Roman"/>
                <w:lang w:val="en-GB"/>
              </w:rPr>
            </w:pPr>
            <w:r w:rsidRPr="00362D0E">
              <w:rPr>
                <w:rFonts w:eastAsia="Times New Roman"/>
                <w:lang w:val="en-GB"/>
              </w:rPr>
              <w:t>Subjects took 356 μg iodine daily</w:t>
            </w:r>
          </w:p>
        </w:tc>
        <w:tc>
          <w:tcPr>
            <w:tcW w:w="1842" w:type="dxa"/>
          </w:tcPr>
          <w:p w:rsidR="00EA6F40" w:rsidRPr="00362D0E" w:rsidRDefault="00362D0E" w:rsidP="00362D0E">
            <w:r w:rsidRPr="00362D0E">
              <w:t>N=42</w:t>
            </w:r>
          </w:p>
          <w:p w:rsidR="00EA6F40" w:rsidRPr="00362D0E" w:rsidRDefault="00EA6F40" w:rsidP="00362D0E">
            <w:pPr>
              <w:rPr>
                <w:lang w:val="en-GB"/>
              </w:rPr>
            </w:pPr>
            <w:r w:rsidRPr="00362D0E">
              <w:t>Mildly iodine deficient</w:t>
            </w:r>
          </w:p>
        </w:tc>
        <w:tc>
          <w:tcPr>
            <w:tcW w:w="1559" w:type="dxa"/>
            <w:noWrap/>
          </w:tcPr>
          <w:p w:rsidR="00EA6F40" w:rsidRPr="00362D0E" w:rsidRDefault="00EA6F40" w:rsidP="00362D0E">
            <w:pPr>
              <w:rPr>
                <w:lang w:val="en-GB"/>
              </w:rPr>
            </w:pPr>
            <w:r w:rsidRPr="00362D0E">
              <w:t>UIC, TSH, TT3, FT3, TT4, FT4 &amp; Tg</w:t>
            </w:r>
          </w:p>
        </w:tc>
        <w:tc>
          <w:tcPr>
            <w:tcW w:w="1701" w:type="dxa"/>
            <w:noWrap/>
          </w:tcPr>
          <w:p w:rsidR="00EA6F40" w:rsidRPr="00362D0E" w:rsidRDefault="00EA6F40" w:rsidP="00362D0E">
            <w:pPr>
              <w:rPr>
                <w:lang w:val="en-GB"/>
              </w:rPr>
            </w:pPr>
            <w:r w:rsidRPr="00362D0E">
              <w:t>Iodine-specific FFQ &amp; 4-day weighed food diary</w:t>
            </w:r>
          </w:p>
        </w:tc>
        <w:tc>
          <w:tcPr>
            <w:tcW w:w="3401" w:type="dxa"/>
          </w:tcPr>
          <w:p w:rsidR="00EA6F40" w:rsidRPr="00362D0E" w:rsidRDefault="00EA6F40" w:rsidP="00362D0E">
            <w:pPr>
              <w:rPr>
                <w:lang w:val="en-GB"/>
              </w:rPr>
            </w:pPr>
            <w:r w:rsidRPr="00362D0E">
              <w:t xml:space="preserve">Median UIC at baseline and 14-day were 78 &amp; 140 </w:t>
            </w:r>
            <w:r w:rsidRPr="00362D0E">
              <w:rPr>
                <w:rFonts w:eastAsia="Times New Roman"/>
                <w:lang w:val="en-GB"/>
              </w:rPr>
              <w:t xml:space="preserve">μg/L respectively; TSH at 14-day was significantly higher (p˂0.001) after supplementation. </w:t>
            </w:r>
            <w:r w:rsidRPr="00362D0E">
              <w:t>No significant difference was observed in TT3, TT3, TT4, FT4 and Tg after supplementation.</w:t>
            </w:r>
          </w:p>
        </w:tc>
        <w:tc>
          <w:tcPr>
            <w:tcW w:w="1419" w:type="dxa"/>
          </w:tcPr>
          <w:p w:rsidR="00EA6F40" w:rsidRPr="00362D0E" w:rsidRDefault="00EA6F40" w:rsidP="00362D0E">
            <w:pPr>
              <w:rPr>
                <w:lang w:val="en-GB"/>
              </w:rPr>
            </w:pPr>
          </w:p>
        </w:tc>
        <w:tc>
          <w:tcPr>
            <w:tcW w:w="1557" w:type="dxa"/>
          </w:tcPr>
          <w:p w:rsidR="00EA6F40" w:rsidRPr="00362D0E" w:rsidRDefault="00EA6F40" w:rsidP="00362D0E">
            <w:pPr>
              <w:rPr>
                <w:lang w:val="en-GB"/>
              </w:rPr>
            </w:pPr>
            <w:r w:rsidRPr="00362D0E">
              <w:rPr>
                <w:lang w:val="en-GB"/>
              </w:rPr>
              <w:t>Level II</w:t>
            </w:r>
          </w:p>
        </w:tc>
      </w:tr>
      <w:tr w:rsidR="00EA6F40" w:rsidRPr="00C875F5" w:rsidTr="00EA6F40">
        <w:trPr>
          <w:trHeight w:val="300"/>
        </w:trPr>
        <w:tc>
          <w:tcPr>
            <w:tcW w:w="1575" w:type="dxa"/>
            <w:noWrap/>
          </w:tcPr>
          <w:p w:rsidR="00EA6F40" w:rsidRPr="00362D0E" w:rsidRDefault="00EA6F40" w:rsidP="00362D0E">
            <w:r w:rsidRPr="00362D0E">
              <w:rPr>
                <w:noProof/>
              </w:rPr>
              <w:t>Du et al, 2014</w:t>
            </w:r>
          </w:p>
          <w:p w:rsidR="00EA6F40" w:rsidRPr="00362D0E" w:rsidRDefault="00EA6F40" w:rsidP="00362D0E">
            <w:r w:rsidRPr="00362D0E">
              <w:t>Caizhuang, Dongwenzhuang, Fengrun, Yangfang, Xicuan, Shuangzhai, Houhuangtai, Lizhuang, Anrong, Hutong &amp; Tieshangang,</w:t>
            </w:r>
          </w:p>
          <w:p w:rsidR="00EA6F40" w:rsidRPr="00362D0E" w:rsidRDefault="00EA6F40" w:rsidP="00362D0E">
            <w:pPr>
              <w:rPr>
                <w:noProof/>
              </w:rPr>
            </w:pPr>
            <w:r w:rsidRPr="00362D0E">
              <w:t>China</w:t>
            </w:r>
          </w:p>
        </w:tc>
        <w:tc>
          <w:tcPr>
            <w:tcW w:w="1418" w:type="dxa"/>
          </w:tcPr>
          <w:p w:rsidR="00EA6F40" w:rsidRPr="00362D0E" w:rsidRDefault="00EA6F40" w:rsidP="00362D0E">
            <w:pPr>
              <w:rPr>
                <w:rFonts w:eastAsia="Times New Roman"/>
                <w:lang w:val="en-GB"/>
              </w:rPr>
            </w:pPr>
            <w:r w:rsidRPr="00362D0E">
              <w:t>Cross sectional study</w:t>
            </w:r>
          </w:p>
        </w:tc>
        <w:tc>
          <w:tcPr>
            <w:tcW w:w="1842" w:type="dxa"/>
          </w:tcPr>
          <w:p w:rsidR="00EA6F40" w:rsidRPr="00362D0E" w:rsidRDefault="00EA6F40" w:rsidP="00362D0E">
            <w:r w:rsidRPr="00362D0E">
              <w:t>N=2147</w:t>
            </w:r>
          </w:p>
          <w:p w:rsidR="00EA6F40" w:rsidRPr="00362D0E" w:rsidRDefault="00EA6F40" w:rsidP="00362D0E">
            <w:r w:rsidRPr="00362D0E">
              <w:t>Tieshangang (iodine deficient area), Xicuan, Shuangzhai, Houhuangtai, Lizhuang, Anrong &amp; Hutong (iodine sufficient areas) , Caizhuang, Dongwenizhuang, Fengrun &amp; Yangfang (iodine excess areas)</w:t>
            </w:r>
          </w:p>
          <w:p w:rsidR="00EA6F40" w:rsidRPr="00362D0E" w:rsidRDefault="00EA6F40" w:rsidP="00362D0E"/>
        </w:tc>
        <w:tc>
          <w:tcPr>
            <w:tcW w:w="1559" w:type="dxa"/>
            <w:noWrap/>
          </w:tcPr>
          <w:p w:rsidR="00EA6F40" w:rsidRPr="00362D0E" w:rsidRDefault="00EA6F40" w:rsidP="00362D0E">
            <w:r w:rsidRPr="00362D0E">
              <w:t>UIC, TSH, FT3, FT4, TgAb,TPOAb, TRAb &amp; TV</w:t>
            </w:r>
          </w:p>
        </w:tc>
        <w:tc>
          <w:tcPr>
            <w:tcW w:w="1701" w:type="dxa"/>
            <w:noWrap/>
          </w:tcPr>
          <w:p w:rsidR="00EA6F40" w:rsidRPr="00362D0E" w:rsidRDefault="00EA6F40" w:rsidP="00362D0E">
            <w:r w:rsidRPr="00362D0E">
              <w:t xml:space="preserve">Questionnaire on smoking and drinking habits; sample of iodized salt &amp; drinking water taken in preselected iodine deficient area </w:t>
            </w:r>
          </w:p>
        </w:tc>
        <w:tc>
          <w:tcPr>
            <w:tcW w:w="3401" w:type="dxa"/>
          </w:tcPr>
          <w:p w:rsidR="00EA6F40" w:rsidRPr="00362D0E" w:rsidRDefault="00EA6F40" w:rsidP="00362D0E">
            <w:r w:rsidRPr="00362D0E">
              <w:t xml:space="preserve">Median UICs for iodine deficient, iodine sufficient and iodine excess areas were 62, 229 &amp; 750 </w:t>
            </w:r>
            <w:bookmarkStart w:id="172" w:name="OLE_LINK3"/>
            <w:r w:rsidRPr="00362D0E">
              <w:t>μg/L</w:t>
            </w:r>
            <w:bookmarkEnd w:id="172"/>
            <w:r w:rsidRPr="00362D0E">
              <w:t>, respectively. TSH was significantly correlated with deficient iodine intake (β =-1.219, p=0.028) &amp; excess iodine intake (β =1.764, p=0.001).</w:t>
            </w:r>
          </w:p>
        </w:tc>
        <w:tc>
          <w:tcPr>
            <w:tcW w:w="1419" w:type="dxa"/>
          </w:tcPr>
          <w:p w:rsidR="00EA6F40" w:rsidRPr="00362D0E" w:rsidRDefault="00EA6F40" w:rsidP="00362D0E">
            <w:pPr>
              <w:rPr>
                <w:lang w:val="en-GB"/>
              </w:rPr>
            </w:pPr>
          </w:p>
        </w:tc>
        <w:tc>
          <w:tcPr>
            <w:tcW w:w="1557" w:type="dxa"/>
          </w:tcPr>
          <w:p w:rsidR="00EA6F40" w:rsidRPr="00362D0E" w:rsidRDefault="00EA6F40" w:rsidP="00362D0E">
            <w:pPr>
              <w:rPr>
                <w:lang w:val="en-GB"/>
              </w:rPr>
            </w:pPr>
            <w:r w:rsidRPr="00362D0E">
              <w:rPr>
                <w:lang w:val="en-GB"/>
              </w:rPr>
              <w:t>Level IV</w:t>
            </w:r>
          </w:p>
        </w:tc>
      </w:tr>
      <w:tr w:rsidR="00EA6F40" w:rsidRPr="00C875F5" w:rsidTr="00EA6F40">
        <w:trPr>
          <w:trHeight w:val="300"/>
        </w:trPr>
        <w:tc>
          <w:tcPr>
            <w:tcW w:w="1575" w:type="dxa"/>
            <w:noWrap/>
            <w:hideMark/>
          </w:tcPr>
          <w:p w:rsidR="00EA6F40" w:rsidRPr="00362D0E" w:rsidRDefault="00EA6F40" w:rsidP="00362D0E">
            <w:r w:rsidRPr="00362D0E">
              <w:rPr>
                <w:noProof/>
              </w:rPr>
              <w:lastRenderedPageBreak/>
              <w:t>Elahi &amp; Hussain, 2013</w:t>
            </w:r>
          </w:p>
          <w:p w:rsidR="00EA6F40" w:rsidRPr="00362D0E" w:rsidRDefault="00EA6F40" w:rsidP="00362D0E">
            <w:pPr>
              <w:rPr>
                <w:color w:val="000000"/>
                <w:lang w:val="en-GB"/>
              </w:rPr>
            </w:pPr>
            <w:r w:rsidRPr="00362D0E">
              <w:t>Lahore, Pakistan</w:t>
            </w:r>
          </w:p>
        </w:tc>
        <w:tc>
          <w:tcPr>
            <w:tcW w:w="1418" w:type="dxa"/>
            <w:hideMark/>
          </w:tcPr>
          <w:p w:rsidR="00EA6F40" w:rsidRPr="00362D0E" w:rsidRDefault="00EA6F40" w:rsidP="00362D0E">
            <w:r w:rsidRPr="00362D0E">
              <w:t>Cross-sectional study</w:t>
            </w:r>
          </w:p>
          <w:p w:rsidR="00EA6F40" w:rsidRPr="00362D0E" w:rsidRDefault="00EA6F40" w:rsidP="00362D0E">
            <w:pPr>
              <w:rPr>
                <w:color w:val="000000"/>
                <w:shd w:val="clear" w:color="auto" w:fill="FFFFFF"/>
                <w:lang w:val="en-GB"/>
              </w:rPr>
            </w:pPr>
            <w:r w:rsidRPr="00362D0E">
              <w:t>Severely iodine deficient area</w:t>
            </w:r>
          </w:p>
        </w:tc>
        <w:tc>
          <w:tcPr>
            <w:tcW w:w="1842" w:type="dxa"/>
            <w:hideMark/>
          </w:tcPr>
          <w:p w:rsidR="00EA6F40" w:rsidRPr="00362D0E" w:rsidRDefault="00EA6F40" w:rsidP="00362D0E">
            <w:pPr>
              <w:rPr>
                <w:color w:val="000000"/>
                <w:lang w:val="en-GB"/>
              </w:rPr>
            </w:pPr>
            <w:r w:rsidRPr="00362D0E">
              <w:t>N=110</w:t>
            </w:r>
          </w:p>
        </w:tc>
        <w:tc>
          <w:tcPr>
            <w:tcW w:w="1559" w:type="dxa"/>
            <w:noWrap/>
            <w:hideMark/>
          </w:tcPr>
          <w:p w:rsidR="00EA6F40" w:rsidRPr="00362D0E" w:rsidRDefault="00EA6F40" w:rsidP="00362D0E">
            <w:pPr>
              <w:rPr>
                <w:color w:val="000000"/>
                <w:shd w:val="clear" w:color="auto" w:fill="FFFFFF"/>
                <w:lang w:val="en-GB"/>
              </w:rPr>
            </w:pPr>
            <w:r w:rsidRPr="00362D0E">
              <w:t>TSH, FT3 &amp; FT4</w:t>
            </w:r>
          </w:p>
        </w:tc>
        <w:tc>
          <w:tcPr>
            <w:tcW w:w="1701" w:type="dxa"/>
            <w:noWrap/>
            <w:hideMark/>
          </w:tcPr>
          <w:p w:rsidR="00EA6F40" w:rsidRPr="00362D0E" w:rsidRDefault="00EA6F40" w:rsidP="00362D0E">
            <w:pPr>
              <w:rPr>
                <w:color w:val="000000"/>
                <w:lang w:val="en-GB"/>
              </w:rPr>
            </w:pPr>
            <w:r w:rsidRPr="00362D0E">
              <w:t>Use of iodized salt</w:t>
            </w:r>
          </w:p>
        </w:tc>
        <w:tc>
          <w:tcPr>
            <w:tcW w:w="3401" w:type="dxa"/>
          </w:tcPr>
          <w:p w:rsidR="00EA6F40" w:rsidRPr="00362D0E" w:rsidRDefault="00EA6F40" w:rsidP="00362D0E">
            <w:r w:rsidRPr="00362D0E">
              <w:t>Mean TSH, FT3 and FT4 were 1.4 mU/L, 3.2 pmol/L &amp; 15.6 pmol/L, respectively.</w:t>
            </w:r>
          </w:p>
          <w:p w:rsidR="00EA6F40" w:rsidRPr="00362D0E" w:rsidRDefault="00EA6F40" w:rsidP="00362D0E">
            <w:pPr>
              <w:rPr>
                <w:color w:val="000000"/>
                <w:shd w:val="clear" w:color="auto" w:fill="FFFFFF"/>
                <w:lang w:val="en-GB"/>
              </w:rPr>
            </w:pPr>
            <w:r w:rsidRPr="00362D0E">
              <w:t>28% of the subjects used iodised salt</w:t>
            </w:r>
          </w:p>
        </w:tc>
        <w:tc>
          <w:tcPr>
            <w:tcW w:w="1419" w:type="dxa"/>
          </w:tcPr>
          <w:p w:rsidR="00EA6F40" w:rsidRPr="00362D0E" w:rsidRDefault="00EA6F40" w:rsidP="00362D0E">
            <w:pPr>
              <w:rPr>
                <w:color w:val="000000"/>
                <w:lang w:val="en-GB"/>
              </w:rPr>
            </w:pPr>
          </w:p>
        </w:tc>
        <w:tc>
          <w:tcPr>
            <w:tcW w:w="1557" w:type="dxa"/>
          </w:tcPr>
          <w:p w:rsidR="00EA6F40" w:rsidRPr="00362D0E" w:rsidRDefault="00362D0E" w:rsidP="00362D0E">
            <w:pPr>
              <w:rPr>
                <w:color w:val="000000"/>
                <w:lang w:val="en-GB"/>
              </w:rPr>
            </w:pPr>
            <w:r w:rsidRPr="00362D0E">
              <w:rPr>
                <w:color w:val="000000"/>
                <w:lang w:val="en-GB"/>
              </w:rPr>
              <w:t>Level IV</w:t>
            </w:r>
          </w:p>
        </w:tc>
      </w:tr>
      <w:tr w:rsidR="00EA6F40" w:rsidRPr="00C875F5" w:rsidTr="00EA6F40">
        <w:trPr>
          <w:trHeight w:val="300"/>
        </w:trPr>
        <w:tc>
          <w:tcPr>
            <w:tcW w:w="1575" w:type="dxa"/>
            <w:noWrap/>
            <w:hideMark/>
          </w:tcPr>
          <w:p w:rsidR="00EA6F40" w:rsidRPr="00362D0E" w:rsidRDefault="00EA6F40" w:rsidP="00362D0E">
            <w:pPr>
              <w:rPr>
                <w:color w:val="000000"/>
                <w:lang w:val="en-GB"/>
              </w:rPr>
            </w:pPr>
            <w:r w:rsidRPr="00362D0E">
              <w:rPr>
                <w:color w:val="000000"/>
                <w:lang w:val="en-GB"/>
              </w:rPr>
              <w:t xml:space="preserve">Leung et al, 2011 </w:t>
            </w:r>
          </w:p>
          <w:p w:rsidR="00EA6F40" w:rsidRPr="00362D0E" w:rsidRDefault="00BE3943" w:rsidP="00362D0E">
            <w:pPr>
              <w:rPr>
                <w:color w:val="000000"/>
                <w:lang w:val="en-GB"/>
              </w:rPr>
            </w:pPr>
            <w:r>
              <w:rPr>
                <w:color w:val="000000"/>
                <w:lang w:val="en-GB"/>
              </w:rPr>
              <w:t>Boston, USA</w:t>
            </w:r>
          </w:p>
        </w:tc>
        <w:tc>
          <w:tcPr>
            <w:tcW w:w="1418" w:type="dxa"/>
            <w:hideMark/>
          </w:tcPr>
          <w:p w:rsidR="00EA6F40" w:rsidRPr="00BE3943" w:rsidRDefault="00BE3943" w:rsidP="00362D0E">
            <w:pPr>
              <w:rPr>
                <w:color w:val="000000"/>
                <w:shd w:val="clear" w:color="auto" w:fill="FFFFFF"/>
                <w:lang w:val="en-GB"/>
              </w:rPr>
            </w:pPr>
            <w:r>
              <w:rPr>
                <w:color w:val="000000"/>
                <w:shd w:val="clear" w:color="auto" w:fill="FFFFFF"/>
                <w:lang w:val="en-GB"/>
              </w:rPr>
              <w:t xml:space="preserve">Cross-sectional </w:t>
            </w:r>
          </w:p>
        </w:tc>
        <w:tc>
          <w:tcPr>
            <w:tcW w:w="1842" w:type="dxa"/>
            <w:hideMark/>
          </w:tcPr>
          <w:p w:rsidR="00EA6F40" w:rsidRPr="00362D0E" w:rsidRDefault="00EA6F40" w:rsidP="00362D0E">
            <w:pPr>
              <w:rPr>
                <w:color w:val="000000"/>
                <w:shd w:val="clear" w:color="auto" w:fill="FFFFFF"/>
                <w:lang w:val="en-GB"/>
              </w:rPr>
            </w:pPr>
            <w:r w:rsidRPr="00362D0E">
              <w:rPr>
                <w:color w:val="000000"/>
                <w:lang w:val="en-GB"/>
              </w:rPr>
              <w:t>n=</w:t>
            </w:r>
            <w:r w:rsidRPr="00362D0E">
              <w:rPr>
                <w:color w:val="000000"/>
                <w:shd w:val="clear" w:color="auto" w:fill="FFFFFF"/>
                <w:lang w:val="en-GB"/>
              </w:rPr>
              <w:t>78  vegetarians, n=63 vegans</w:t>
            </w:r>
          </w:p>
          <w:p w:rsidR="00EA6F40" w:rsidRPr="00362D0E" w:rsidRDefault="00EA6F40" w:rsidP="00362D0E">
            <w:pPr>
              <w:rPr>
                <w:lang w:val="en-GB"/>
              </w:rPr>
            </w:pPr>
            <w:r w:rsidRPr="00362D0E">
              <w:rPr>
                <w:lang w:val="en-GB"/>
              </w:rPr>
              <w:t>Without thyroid disease &amp; not pregnant</w:t>
            </w:r>
          </w:p>
          <w:p w:rsidR="00EA6F40" w:rsidRPr="00362D0E" w:rsidRDefault="00EA6F40" w:rsidP="00362D0E">
            <w:pPr>
              <w:rPr>
                <w:color w:val="000000"/>
                <w:lang w:val="en-GB"/>
              </w:rPr>
            </w:pPr>
            <w:r w:rsidRPr="00362D0E">
              <w:rPr>
                <w:color w:val="000000"/>
                <w:lang w:val="en-GB"/>
              </w:rPr>
              <w:t xml:space="preserve">Iodine sufficient </w:t>
            </w:r>
          </w:p>
        </w:tc>
        <w:tc>
          <w:tcPr>
            <w:tcW w:w="1559" w:type="dxa"/>
            <w:noWrap/>
            <w:hideMark/>
          </w:tcPr>
          <w:p w:rsidR="00EA6F40" w:rsidRPr="00362D0E" w:rsidRDefault="00EA6F40" w:rsidP="00362D0E">
            <w:pPr>
              <w:rPr>
                <w:color w:val="000000"/>
                <w:lang w:val="en-GB"/>
              </w:rPr>
            </w:pPr>
            <w:r w:rsidRPr="00362D0E">
              <w:rPr>
                <w:color w:val="000000"/>
                <w:shd w:val="clear" w:color="auto" w:fill="FFFFFF"/>
                <w:lang w:val="en-GB"/>
              </w:rPr>
              <w:t>UIC, T4, TSH, perchlorate &amp; thiocyanate concentrations</w:t>
            </w:r>
          </w:p>
        </w:tc>
        <w:tc>
          <w:tcPr>
            <w:tcW w:w="1701" w:type="dxa"/>
            <w:noWrap/>
            <w:hideMark/>
          </w:tcPr>
          <w:p w:rsidR="00EA6F40" w:rsidRPr="00362D0E" w:rsidRDefault="00EA6F40" w:rsidP="00362D0E">
            <w:pPr>
              <w:rPr>
                <w:color w:val="000000"/>
                <w:lang w:val="en-GB"/>
              </w:rPr>
            </w:pPr>
            <w:r w:rsidRPr="00362D0E">
              <w:rPr>
                <w:color w:val="000000"/>
                <w:lang w:val="en-GB"/>
              </w:rPr>
              <w:t>Soy FFQ &amp; questionnaire on iodine supplement use</w:t>
            </w:r>
          </w:p>
        </w:tc>
        <w:tc>
          <w:tcPr>
            <w:tcW w:w="3401" w:type="dxa"/>
          </w:tcPr>
          <w:p w:rsidR="00EA6F40" w:rsidRPr="00362D0E" w:rsidRDefault="00EA6F40" w:rsidP="00362D0E">
            <w:pPr>
              <w:rPr>
                <w:color w:val="000000"/>
                <w:shd w:val="clear" w:color="auto" w:fill="FFFFFF"/>
                <w:lang w:val="en-GB"/>
              </w:rPr>
            </w:pPr>
            <w:r w:rsidRPr="00362D0E">
              <w:rPr>
                <w:color w:val="000000"/>
                <w:shd w:val="clear" w:color="auto" w:fill="FFFFFF"/>
                <w:lang w:val="en-GB"/>
              </w:rPr>
              <w:t xml:space="preserve">Median UIC of vegans (78.5 μg/litre; range 6.8-964.7 μg/litre) was lower than vegetarians (147.0 μg/L; range 9.3-778.6 μg/L) (P &lt; 0.01). </w:t>
            </w:r>
          </w:p>
          <w:p w:rsidR="00EA6F40" w:rsidRPr="00362D0E" w:rsidRDefault="00EA6F40" w:rsidP="00362D0E">
            <w:pPr>
              <w:rPr>
                <w:color w:val="000000"/>
                <w:shd w:val="clear" w:color="auto" w:fill="FFFFFF"/>
                <w:lang w:val="en-GB"/>
              </w:rPr>
            </w:pPr>
            <w:r w:rsidRPr="00362D0E">
              <w:rPr>
                <w:color w:val="000000"/>
                <w:shd w:val="clear" w:color="auto" w:fill="FFFFFF"/>
                <w:lang w:val="en-GB"/>
              </w:rPr>
              <w:t xml:space="preserve">Median urinary thiocyanate concentration of vegans (630 μg/L; range 108-3085 μg/L) was higher than vegetarians (341 μg/L; range 31-1963 μg/litre) (P &lt; 0.01). </w:t>
            </w:r>
          </w:p>
          <w:p w:rsidR="00EA6F40" w:rsidRPr="00362D0E" w:rsidRDefault="00EA6F40" w:rsidP="00362D0E">
            <w:pPr>
              <w:rPr>
                <w:color w:val="000000"/>
                <w:shd w:val="clear" w:color="auto" w:fill="FFFFFF"/>
                <w:lang w:val="en-GB"/>
              </w:rPr>
            </w:pPr>
            <w:r w:rsidRPr="00362D0E">
              <w:rPr>
                <w:color w:val="000000"/>
                <w:shd w:val="clear" w:color="auto" w:fill="FFFFFF"/>
                <w:lang w:val="en-GB"/>
              </w:rPr>
              <w:t xml:space="preserve">No between-group differences in urinary perchlorate concentrations (P = 0.75), TSH (P = 0.46), &amp; FT4 (P = 0.77).  Urinary iodine, perchlorate, &amp; thiocyanate levels were not associated with TSH (P = </w:t>
            </w:r>
            <w:r w:rsidRPr="00362D0E">
              <w:rPr>
                <w:color w:val="000000"/>
                <w:shd w:val="clear" w:color="auto" w:fill="FFFFFF"/>
                <w:lang w:val="en-GB"/>
              </w:rPr>
              <w:lastRenderedPageBreak/>
              <w:t>0.59) or FT4 (P = 0.14), even when adjusted for multiple variables.</w:t>
            </w:r>
          </w:p>
        </w:tc>
        <w:tc>
          <w:tcPr>
            <w:tcW w:w="1419" w:type="dxa"/>
          </w:tcPr>
          <w:p w:rsidR="00EA6F40" w:rsidRPr="00362D0E" w:rsidRDefault="00EA6F40" w:rsidP="00362D0E">
            <w:pPr>
              <w:rPr>
                <w:color w:val="000000"/>
                <w:lang w:val="en-GB"/>
              </w:rPr>
            </w:pPr>
            <w:r w:rsidRPr="00362D0E">
              <w:rPr>
                <w:color w:val="000000"/>
                <w:lang w:val="en-GB"/>
              </w:rPr>
              <w:lastRenderedPageBreak/>
              <w:t xml:space="preserve">Smoking, </w:t>
            </w:r>
            <w:r w:rsidRPr="00362D0E">
              <w:rPr>
                <w:color w:val="000000"/>
                <w:shd w:val="clear" w:color="auto" w:fill="FFFFFF"/>
              </w:rPr>
              <w:t>thiocyanate-rich food consumption</w:t>
            </w:r>
            <w:r w:rsidRPr="00362D0E">
              <w:rPr>
                <w:color w:val="000000"/>
                <w:lang w:val="en-GB"/>
              </w:rPr>
              <w:t xml:space="preserve"> </w:t>
            </w:r>
          </w:p>
        </w:tc>
        <w:tc>
          <w:tcPr>
            <w:tcW w:w="1557" w:type="dxa"/>
          </w:tcPr>
          <w:p w:rsidR="00EA6F40" w:rsidRPr="00362D0E" w:rsidRDefault="00EA6F40" w:rsidP="00362D0E">
            <w:pPr>
              <w:rPr>
                <w:color w:val="000000"/>
                <w:lang w:val="en-GB"/>
              </w:rPr>
            </w:pPr>
            <w:r w:rsidRPr="00362D0E">
              <w:rPr>
                <w:color w:val="000000"/>
                <w:lang w:val="en-GB"/>
              </w:rPr>
              <w:t>Level IV</w:t>
            </w:r>
          </w:p>
          <w:p w:rsidR="00EA6F40" w:rsidRPr="00362D0E" w:rsidRDefault="00EA6F40" w:rsidP="00362D0E">
            <w:pPr>
              <w:rPr>
                <w:color w:val="000000"/>
                <w:lang w:val="en-GB"/>
              </w:rPr>
            </w:pPr>
            <w:r w:rsidRPr="00362D0E">
              <w:rPr>
                <w:color w:val="000000"/>
                <w:lang w:val="en-GB"/>
              </w:rPr>
              <w:t>Low Generaliza</w:t>
            </w:r>
            <w:r w:rsidR="00362D0E" w:rsidRPr="00362D0E">
              <w:rPr>
                <w:color w:val="000000"/>
                <w:lang w:val="en-GB"/>
              </w:rPr>
              <w:t>bility to Australian population</w:t>
            </w:r>
          </w:p>
        </w:tc>
      </w:tr>
      <w:tr w:rsidR="00EA6F40" w:rsidRPr="00C875F5" w:rsidTr="00EA6F40">
        <w:trPr>
          <w:trHeight w:val="2642"/>
        </w:trPr>
        <w:tc>
          <w:tcPr>
            <w:tcW w:w="1575" w:type="dxa"/>
            <w:noWrap/>
            <w:hideMark/>
          </w:tcPr>
          <w:p w:rsidR="00EA6F40" w:rsidRPr="00362D0E" w:rsidRDefault="00EA6F40" w:rsidP="00362D0E">
            <w:r w:rsidRPr="00362D0E">
              <w:rPr>
                <w:noProof/>
              </w:rPr>
              <w:lastRenderedPageBreak/>
              <w:t>Krejbjerg et al, 2014</w:t>
            </w:r>
          </w:p>
          <w:p w:rsidR="00EA6F40" w:rsidRPr="00362D0E" w:rsidRDefault="00EA6F40" w:rsidP="00362D0E">
            <w:pPr>
              <w:rPr>
                <w:color w:val="000000"/>
                <w:lang w:val="en-GB"/>
              </w:rPr>
            </w:pPr>
            <w:r w:rsidRPr="00362D0E">
              <w:t>Copenhagen &amp; Aalborg, Denmark</w:t>
            </w:r>
          </w:p>
        </w:tc>
        <w:tc>
          <w:tcPr>
            <w:tcW w:w="1418" w:type="dxa"/>
            <w:hideMark/>
          </w:tcPr>
          <w:p w:rsidR="00EA6F40" w:rsidRPr="00362D0E" w:rsidRDefault="00EA6F40" w:rsidP="00362D0E">
            <w:pPr>
              <w:rPr>
                <w:color w:val="000000"/>
                <w:lang w:val="en-GB"/>
              </w:rPr>
            </w:pPr>
            <w:r w:rsidRPr="00362D0E">
              <w:t>Longitudinal population-based study</w:t>
            </w:r>
          </w:p>
        </w:tc>
        <w:tc>
          <w:tcPr>
            <w:tcW w:w="1842" w:type="dxa"/>
            <w:hideMark/>
          </w:tcPr>
          <w:p w:rsidR="00EA6F40" w:rsidRPr="00362D0E" w:rsidRDefault="00EA6F40" w:rsidP="00362D0E">
            <w:r w:rsidRPr="00362D0E">
              <w:t>N=2208</w:t>
            </w:r>
          </w:p>
          <w:p w:rsidR="00EA6F40" w:rsidRPr="00362D0E" w:rsidRDefault="00EA6F40" w:rsidP="00362D0E">
            <w:pPr>
              <w:rPr>
                <w:color w:val="000000"/>
                <w:lang w:val="en-GB"/>
              </w:rPr>
            </w:pPr>
            <w:r w:rsidRPr="00362D0E">
              <w:t>Copenhagen (mild iodine deficiency) &amp; Aalborg (moderate iodine deficiency)</w:t>
            </w:r>
          </w:p>
        </w:tc>
        <w:tc>
          <w:tcPr>
            <w:tcW w:w="1559" w:type="dxa"/>
            <w:hideMark/>
          </w:tcPr>
          <w:p w:rsidR="00EA6F40" w:rsidRPr="00362D0E" w:rsidRDefault="00EA6F40" w:rsidP="00362D0E">
            <w:pPr>
              <w:rPr>
                <w:color w:val="000000"/>
                <w:lang w:val="en-GB"/>
              </w:rPr>
            </w:pPr>
            <w:r w:rsidRPr="00362D0E">
              <w:t>UIC &amp; TV</w:t>
            </w:r>
          </w:p>
        </w:tc>
        <w:tc>
          <w:tcPr>
            <w:tcW w:w="1701" w:type="dxa"/>
            <w:hideMark/>
          </w:tcPr>
          <w:p w:rsidR="00EA6F40" w:rsidRPr="00362D0E" w:rsidRDefault="00EA6F40" w:rsidP="00362D0E">
            <w:pPr>
              <w:rPr>
                <w:color w:val="000000"/>
                <w:lang w:val="en-GB"/>
              </w:rPr>
            </w:pPr>
            <w:r w:rsidRPr="00362D0E">
              <w:t>FFQ</w:t>
            </w:r>
          </w:p>
        </w:tc>
        <w:tc>
          <w:tcPr>
            <w:tcW w:w="3401" w:type="dxa"/>
          </w:tcPr>
          <w:p w:rsidR="00EA6F40" w:rsidRPr="00362D0E" w:rsidRDefault="00EA6F40" w:rsidP="00362D0E">
            <w:pPr>
              <w:rPr>
                <w:color w:val="000000"/>
                <w:lang w:val="en-GB"/>
              </w:rPr>
            </w:pPr>
            <w:r w:rsidRPr="00362D0E">
              <w:t>At follow-up, the median UIC in Copenhagen increased from 61 to 73 μg/L &amp; in Aalborg from 45 to 76 μg/L respectively. At follow-up, median thyroid volume increased significantly in Copenhagen (p=0.001), whereas median thyroid volume in Aalborg decreased (p=0.07).</w:t>
            </w:r>
          </w:p>
        </w:tc>
        <w:tc>
          <w:tcPr>
            <w:tcW w:w="1419" w:type="dxa"/>
          </w:tcPr>
          <w:p w:rsidR="00EA6F40" w:rsidRPr="00362D0E" w:rsidRDefault="00EA6F40" w:rsidP="00362D0E">
            <w:pPr>
              <w:rPr>
                <w:color w:val="000000"/>
                <w:lang w:val="en-GB"/>
              </w:rPr>
            </w:pPr>
            <w:r w:rsidRPr="00362D0E">
              <w:t>Age, gender, smoking status, familial disposition, region,  baseline BMI,  baseline TSH, baseline TPOAb, baseline hypoechogenicity, baseline thyroid enalrgement  &amp; baseline multinodularity</w:t>
            </w:r>
          </w:p>
        </w:tc>
        <w:tc>
          <w:tcPr>
            <w:tcW w:w="1557" w:type="dxa"/>
          </w:tcPr>
          <w:p w:rsidR="00EA6F40" w:rsidRPr="00362D0E" w:rsidRDefault="00EA6F40" w:rsidP="00362D0E">
            <w:pPr>
              <w:rPr>
                <w:color w:val="000000"/>
                <w:lang w:val="en-GB"/>
              </w:rPr>
            </w:pPr>
            <w:r w:rsidRPr="00362D0E">
              <w:rPr>
                <w:color w:val="000000"/>
                <w:lang w:val="en-GB"/>
              </w:rPr>
              <w:t>Level IV</w:t>
            </w:r>
          </w:p>
          <w:p w:rsidR="00EA6F40" w:rsidRPr="00362D0E" w:rsidRDefault="00EA6F40" w:rsidP="00362D0E">
            <w:pPr>
              <w:rPr>
                <w:color w:val="000000"/>
                <w:lang w:val="en-GB"/>
              </w:rPr>
            </w:pPr>
          </w:p>
        </w:tc>
      </w:tr>
      <w:tr w:rsidR="00EA6F40" w:rsidRPr="00C875F5" w:rsidTr="00EA6F40">
        <w:trPr>
          <w:trHeight w:val="1251"/>
        </w:trPr>
        <w:tc>
          <w:tcPr>
            <w:tcW w:w="1575" w:type="dxa"/>
            <w:noWrap/>
            <w:hideMark/>
          </w:tcPr>
          <w:p w:rsidR="00EA6F40" w:rsidRPr="00362D0E" w:rsidRDefault="00EA6F40" w:rsidP="00362D0E">
            <w:r w:rsidRPr="00362D0E">
              <w:rPr>
                <w:noProof/>
              </w:rPr>
              <w:lastRenderedPageBreak/>
              <w:t>Kocak et al, 2014</w:t>
            </w:r>
          </w:p>
          <w:p w:rsidR="00EA6F40" w:rsidRPr="00362D0E" w:rsidRDefault="00EA6F40" w:rsidP="00362D0E">
            <w:r w:rsidRPr="00362D0E">
              <w:t>Trabzon,</w:t>
            </w:r>
          </w:p>
          <w:p w:rsidR="00EA6F40" w:rsidRPr="00362D0E" w:rsidRDefault="00EA6F40" w:rsidP="00362D0E">
            <w:pPr>
              <w:rPr>
                <w:color w:val="000000"/>
                <w:lang w:val="en-GB"/>
              </w:rPr>
            </w:pPr>
            <w:r w:rsidRPr="00362D0E">
              <w:t>Turkey</w:t>
            </w:r>
          </w:p>
        </w:tc>
        <w:tc>
          <w:tcPr>
            <w:tcW w:w="1418" w:type="dxa"/>
            <w:hideMark/>
          </w:tcPr>
          <w:p w:rsidR="00EA6F40" w:rsidRPr="00362D0E" w:rsidRDefault="00EA6F40" w:rsidP="00362D0E">
            <w:pPr>
              <w:rPr>
                <w:color w:val="000000"/>
                <w:lang w:val="en-GB"/>
              </w:rPr>
            </w:pPr>
            <w:r w:rsidRPr="00362D0E">
              <w:t>Cross-sectional study</w:t>
            </w:r>
          </w:p>
        </w:tc>
        <w:tc>
          <w:tcPr>
            <w:tcW w:w="1842" w:type="dxa"/>
            <w:hideMark/>
          </w:tcPr>
          <w:p w:rsidR="00EA6F40" w:rsidRPr="00362D0E" w:rsidRDefault="00EA6F40" w:rsidP="00362D0E">
            <w:pPr>
              <w:rPr>
                <w:color w:val="000000"/>
                <w:lang w:val="en-GB"/>
              </w:rPr>
            </w:pPr>
            <w:r w:rsidRPr="00362D0E">
              <w:t>N=2500</w:t>
            </w:r>
          </w:p>
        </w:tc>
        <w:tc>
          <w:tcPr>
            <w:tcW w:w="1559" w:type="dxa"/>
            <w:hideMark/>
          </w:tcPr>
          <w:p w:rsidR="00EA6F40" w:rsidRPr="00362D0E" w:rsidRDefault="00EA6F40" w:rsidP="00362D0E">
            <w:pPr>
              <w:rPr>
                <w:color w:val="000000"/>
                <w:lang w:val="en-GB"/>
              </w:rPr>
            </w:pPr>
            <w:r w:rsidRPr="00362D0E">
              <w:t>UIC, TSH, FT3, TPOAb, TgAb, Tg &amp; TV</w:t>
            </w:r>
          </w:p>
        </w:tc>
        <w:tc>
          <w:tcPr>
            <w:tcW w:w="1701" w:type="dxa"/>
            <w:hideMark/>
          </w:tcPr>
          <w:p w:rsidR="00EA6F40" w:rsidRPr="00362D0E" w:rsidRDefault="00EA6F40" w:rsidP="00362D0E">
            <w:pPr>
              <w:rPr>
                <w:color w:val="000000"/>
                <w:lang w:val="en-GB"/>
              </w:rPr>
            </w:pPr>
            <w:r w:rsidRPr="00362D0E">
              <w:t>Questionnaire including the type of salt used.</w:t>
            </w:r>
          </w:p>
        </w:tc>
        <w:tc>
          <w:tcPr>
            <w:tcW w:w="3401" w:type="dxa"/>
          </w:tcPr>
          <w:p w:rsidR="00EA6F40" w:rsidRPr="00362D0E" w:rsidRDefault="00EA6F40" w:rsidP="00362D0E">
            <w:r w:rsidRPr="00362D0E">
              <w:t>Median UICs for adults with no go</w:t>
            </w:r>
            <w:r w:rsidRPr="00362D0E">
              <w:rPr>
                <w:lang w:eastAsia="zh-CN"/>
              </w:rPr>
              <w:t xml:space="preserve">itre and a goitre were 123 and 123 respectively. </w:t>
            </w:r>
            <w:r w:rsidRPr="00362D0E">
              <w:t>Mean TSH was significantly higher in adults with no goitre (p˂0.0005) than adults with a goitre. Mean FT3 was significantly lower in adults with no goitre (p=0.002) than adults with a goitre. Mean FT4 was significantly lower in adults with no goitre (p=0.008) than adults with a goitre.</w:t>
            </w:r>
          </w:p>
        </w:tc>
        <w:tc>
          <w:tcPr>
            <w:tcW w:w="1419" w:type="dxa"/>
          </w:tcPr>
          <w:p w:rsidR="00EA6F40" w:rsidRPr="00C875F5" w:rsidRDefault="00EA6F40" w:rsidP="00EA6F40">
            <w:pPr>
              <w:rPr>
                <w:rFonts w:cs="Arial"/>
                <w:color w:val="000000"/>
                <w:sz w:val="16"/>
                <w:szCs w:val="16"/>
                <w:lang w:val="en-GB"/>
              </w:rPr>
            </w:pPr>
          </w:p>
        </w:tc>
        <w:tc>
          <w:tcPr>
            <w:tcW w:w="1557" w:type="dxa"/>
          </w:tcPr>
          <w:p w:rsidR="00EA6F40" w:rsidRPr="004F57B3" w:rsidRDefault="00EA6F40" w:rsidP="00EA6F40">
            <w:pPr>
              <w:rPr>
                <w:rFonts w:cs="Arial"/>
                <w:color w:val="000000"/>
                <w:sz w:val="16"/>
                <w:szCs w:val="16"/>
                <w:lang w:val="en-GB"/>
              </w:rPr>
            </w:pPr>
          </w:p>
        </w:tc>
      </w:tr>
      <w:tr w:rsidR="00EA6F40" w:rsidRPr="00C875F5" w:rsidTr="00EA6F40">
        <w:trPr>
          <w:trHeight w:val="2933"/>
        </w:trPr>
        <w:tc>
          <w:tcPr>
            <w:tcW w:w="1575" w:type="dxa"/>
            <w:noWrap/>
            <w:hideMark/>
          </w:tcPr>
          <w:p w:rsidR="00EA6F40" w:rsidRPr="00362D0E" w:rsidRDefault="00EA6F40" w:rsidP="00362D0E">
            <w:pPr>
              <w:rPr>
                <w:lang w:val="en-GB"/>
              </w:rPr>
            </w:pPr>
            <w:r w:rsidRPr="00362D0E">
              <w:rPr>
                <w:lang w:val="en-GB"/>
              </w:rPr>
              <w:t>Meisinger et al, 2012</w:t>
            </w:r>
          </w:p>
          <w:p w:rsidR="00EA6F40" w:rsidRPr="00362D0E" w:rsidRDefault="00EA6F40" w:rsidP="00362D0E">
            <w:pPr>
              <w:rPr>
                <w:lang w:val="en-GB"/>
              </w:rPr>
            </w:pPr>
            <w:r w:rsidRPr="00362D0E">
              <w:rPr>
                <w:lang w:val="en-GB"/>
              </w:rPr>
              <w:t>Ger</w:t>
            </w:r>
            <w:r w:rsidR="00362D0E" w:rsidRPr="00362D0E">
              <w:rPr>
                <w:lang w:val="en-GB"/>
              </w:rPr>
              <w:t>many (South vs. Northeast (NE))</w:t>
            </w:r>
          </w:p>
        </w:tc>
        <w:tc>
          <w:tcPr>
            <w:tcW w:w="1418" w:type="dxa"/>
            <w:hideMark/>
          </w:tcPr>
          <w:p w:rsidR="00EA6F40" w:rsidRPr="00362D0E" w:rsidRDefault="00EA6F40" w:rsidP="00362D0E">
            <w:pPr>
              <w:rPr>
                <w:lang w:val="en-GB"/>
              </w:rPr>
            </w:pPr>
            <w:r w:rsidRPr="00362D0E">
              <w:rPr>
                <w:lang w:val="en-GB"/>
              </w:rPr>
              <w:t>2 population-based surveys using standardised protocol: the study of health Pomerania (NE) &amp; Kooperati</w:t>
            </w:r>
            <w:r w:rsidR="00362D0E" w:rsidRPr="00362D0E">
              <w:rPr>
                <w:lang w:val="en-GB"/>
              </w:rPr>
              <w:t xml:space="preserve">ve Gesundheitdforschung </w:t>
            </w:r>
            <w:r w:rsidR="00362D0E" w:rsidRPr="00362D0E">
              <w:rPr>
                <w:lang w:val="en-GB"/>
              </w:rPr>
              <w:lastRenderedPageBreak/>
              <w:t>(South)</w:t>
            </w:r>
          </w:p>
        </w:tc>
        <w:tc>
          <w:tcPr>
            <w:tcW w:w="1842" w:type="dxa"/>
            <w:hideMark/>
          </w:tcPr>
          <w:p w:rsidR="00EA6F40" w:rsidRPr="00362D0E" w:rsidRDefault="00EA6F40" w:rsidP="00362D0E">
            <w:pPr>
              <w:rPr>
                <w:lang w:val="en-GB"/>
              </w:rPr>
            </w:pPr>
            <w:r w:rsidRPr="00362D0E">
              <w:rPr>
                <w:lang w:val="en-GB"/>
              </w:rPr>
              <w:lastRenderedPageBreak/>
              <w:t>n=2505 (south) &amp; n=2316 (NE)</w:t>
            </w:r>
          </w:p>
          <w:p w:rsidR="00EA6F40" w:rsidRPr="00362D0E" w:rsidRDefault="00EA6F40" w:rsidP="00362D0E">
            <w:pPr>
              <w:rPr>
                <w:lang w:val="en-GB"/>
              </w:rPr>
            </w:pPr>
            <w:r w:rsidRPr="00362D0E">
              <w:rPr>
                <w:lang w:val="en-GB"/>
              </w:rPr>
              <w:t>(Age 25-74 yrs), no known thyroid disease</w:t>
            </w:r>
          </w:p>
          <w:p w:rsidR="00EA6F40" w:rsidRPr="00362D0E" w:rsidRDefault="00EA6F40" w:rsidP="00362D0E">
            <w:pPr>
              <w:rPr>
                <w:lang w:val="en-GB"/>
              </w:rPr>
            </w:pPr>
            <w:r w:rsidRPr="00362D0E">
              <w:rPr>
                <w:lang w:val="en-GB"/>
              </w:rPr>
              <w:t>Moderate (NE), moderate-severe (south) ID</w:t>
            </w:r>
          </w:p>
        </w:tc>
        <w:tc>
          <w:tcPr>
            <w:tcW w:w="1559" w:type="dxa"/>
            <w:hideMark/>
          </w:tcPr>
          <w:p w:rsidR="00EA6F40" w:rsidRPr="00362D0E" w:rsidRDefault="00EA6F40" w:rsidP="00362D0E">
            <w:pPr>
              <w:rPr>
                <w:lang w:val="en-GB"/>
              </w:rPr>
            </w:pPr>
            <w:r w:rsidRPr="00362D0E">
              <w:rPr>
                <w:lang w:val="en-GB"/>
              </w:rPr>
              <w:t>UIC, TSH, TV</w:t>
            </w:r>
          </w:p>
        </w:tc>
        <w:tc>
          <w:tcPr>
            <w:tcW w:w="1701" w:type="dxa"/>
            <w:hideMark/>
          </w:tcPr>
          <w:p w:rsidR="00EA6F40" w:rsidRPr="00362D0E" w:rsidRDefault="00EA6F40" w:rsidP="00362D0E">
            <w:pPr>
              <w:rPr>
                <w:lang w:val="en-GB"/>
              </w:rPr>
            </w:pPr>
            <w:r w:rsidRPr="00362D0E">
              <w:rPr>
                <w:lang w:val="en-GB"/>
              </w:rPr>
              <w:t>No assessment</w:t>
            </w:r>
          </w:p>
        </w:tc>
        <w:tc>
          <w:tcPr>
            <w:tcW w:w="3401" w:type="dxa"/>
          </w:tcPr>
          <w:p w:rsidR="00EA6F40" w:rsidRPr="00362D0E" w:rsidRDefault="00EA6F40" w:rsidP="00362D0E">
            <w:pPr>
              <w:rPr>
                <w:lang w:val="en-GB"/>
              </w:rPr>
            </w:pPr>
            <w:r w:rsidRPr="00362D0E">
              <w:rPr>
                <w:lang w:val="en-GB"/>
              </w:rPr>
              <w:t xml:space="preserve">Median UIC was 110 mg/l (64; 169 mg/l) in NE &amp; 151 mg/l (97; 214 mg/l) in South. </w:t>
            </w:r>
            <w:r w:rsidRPr="00362D0E">
              <w:rPr>
                <w:lang w:val="en-GB"/>
              </w:rPr>
              <w:br/>
              <w:t xml:space="preserve">Median TSH was 0.81 mIU/l (0.56; 1.15 mIU/l) in NE &amp; 1.22 mIU/l (0.84; 1.80 mIU/l) in South. </w:t>
            </w:r>
          </w:p>
          <w:p w:rsidR="00EA6F40" w:rsidRPr="00362D0E" w:rsidRDefault="00EA6F40" w:rsidP="00362D0E">
            <w:pPr>
              <w:rPr>
                <w:lang w:val="en-GB"/>
              </w:rPr>
            </w:pPr>
            <w:r w:rsidRPr="00362D0E">
              <w:rPr>
                <w:lang w:val="en-GB"/>
              </w:rPr>
              <w:t xml:space="preserve">Frequency of elevated TSH (TSH ≥2.12 mIU/l) was 4.3% in NE &amp; 14.1% in South (P&lt;0.001). Suppressed TSH (&lt;0.25 mIU/l) was seen in 3.5 (NE) &amp; 1.7% (south)(P&lt;0.001). </w:t>
            </w:r>
          </w:p>
          <w:p w:rsidR="00EA6F40" w:rsidRPr="00362D0E" w:rsidRDefault="00EA6F40" w:rsidP="00362D0E">
            <w:pPr>
              <w:rPr>
                <w:lang w:val="en-GB"/>
              </w:rPr>
            </w:pPr>
            <w:r w:rsidRPr="00362D0E">
              <w:rPr>
                <w:lang w:val="en-GB"/>
              </w:rPr>
              <w:lastRenderedPageBreak/>
              <w:t>The proportion of ultrasonographic findings was 55.5% in NE &amp; 68.0% in South.</w:t>
            </w:r>
            <w:r w:rsidRPr="00362D0E">
              <w:rPr>
                <w:lang w:val="en-GB"/>
              </w:rPr>
              <w:br/>
              <w:t>The frequency of serum TPO-Abs did not differ between NE &amp; South</w:t>
            </w:r>
          </w:p>
        </w:tc>
        <w:tc>
          <w:tcPr>
            <w:tcW w:w="1419" w:type="dxa"/>
          </w:tcPr>
          <w:p w:rsidR="00EA6F40" w:rsidRPr="00362D0E" w:rsidRDefault="00EA6F40" w:rsidP="00362D0E">
            <w:pPr>
              <w:rPr>
                <w:lang w:val="en-GB"/>
              </w:rPr>
            </w:pPr>
            <w:r w:rsidRPr="00362D0E">
              <w:rPr>
                <w:lang w:val="en-GB"/>
              </w:rPr>
              <w:lastRenderedPageBreak/>
              <w:t xml:space="preserve">Study region, age and sex. </w:t>
            </w:r>
          </w:p>
          <w:p w:rsidR="00EA6F40" w:rsidRPr="00362D0E" w:rsidRDefault="00362D0E" w:rsidP="00362D0E">
            <w:pPr>
              <w:rPr>
                <w:lang w:val="en-GB"/>
              </w:rPr>
            </w:pPr>
            <w:r w:rsidRPr="00362D0E">
              <w:rPr>
                <w:lang w:val="en-GB"/>
              </w:rPr>
              <w:t>Smoking habit</w:t>
            </w:r>
          </w:p>
        </w:tc>
        <w:tc>
          <w:tcPr>
            <w:tcW w:w="1557" w:type="dxa"/>
          </w:tcPr>
          <w:p w:rsidR="00EA6F40" w:rsidRPr="00362D0E" w:rsidRDefault="00EA6F40" w:rsidP="00362D0E">
            <w:pPr>
              <w:rPr>
                <w:lang w:val="en-GB"/>
              </w:rPr>
            </w:pPr>
            <w:r w:rsidRPr="00362D0E">
              <w:rPr>
                <w:lang w:val="en-GB"/>
              </w:rPr>
              <w:t>Level IV</w:t>
            </w:r>
          </w:p>
        </w:tc>
      </w:tr>
      <w:tr w:rsidR="00EA6F40" w:rsidRPr="00C875F5" w:rsidTr="00EA6F40">
        <w:trPr>
          <w:trHeight w:val="1393"/>
        </w:trPr>
        <w:tc>
          <w:tcPr>
            <w:tcW w:w="1575" w:type="dxa"/>
            <w:noWrap/>
            <w:hideMark/>
          </w:tcPr>
          <w:p w:rsidR="00EA6F40" w:rsidRPr="00362D0E" w:rsidRDefault="00EA6F40" w:rsidP="00362D0E">
            <w:r w:rsidRPr="00362D0E">
              <w:rPr>
                <w:noProof/>
              </w:rPr>
              <w:lastRenderedPageBreak/>
              <w:t>Meng et al, 2013</w:t>
            </w:r>
          </w:p>
          <w:p w:rsidR="00EA6F40" w:rsidRPr="00362D0E" w:rsidRDefault="00EA6F40" w:rsidP="00362D0E">
            <w:r w:rsidRPr="00362D0E">
              <w:t>Gansu, Shandong, Fujian, Jilin, Anh</w:t>
            </w:r>
            <w:r w:rsidR="00362D0E" w:rsidRPr="00362D0E">
              <w:t>ui &amp; Chongqing provinces, China</w:t>
            </w:r>
          </w:p>
        </w:tc>
        <w:tc>
          <w:tcPr>
            <w:tcW w:w="1418" w:type="dxa"/>
            <w:hideMark/>
          </w:tcPr>
          <w:p w:rsidR="00EA6F40" w:rsidRPr="00362D0E" w:rsidRDefault="00EA6F40" w:rsidP="00362D0E">
            <w:pPr>
              <w:rPr>
                <w:lang w:val="en-GB"/>
              </w:rPr>
            </w:pPr>
            <w:r w:rsidRPr="00362D0E">
              <w:t>Cross sectional study</w:t>
            </w:r>
          </w:p>
        </w:tc>
        <w:tc>
          <w:tcPr>
            <w:tcW w:w="1842" w:type="dxa"/>
            <w:hideMark/>
          </w:tcPr>
          <w:p w:rsidR="00EA6F40" w:rsidRPr="00362D0E" w:rsidRDefault="00EA6F40" w:rsidP="00362D0E">
            <w:pPr>
              <w:rPr>
                <w:lang w:val="en-GB"/>
              </w:rPr>
            </w:pPr>
            <w:r w:rsidRPr="00362D0E">
              <w:t>N=699</w:t>
            </w:r>
          </w:p>
        </w:tc>
        <w:tc>
          <w:tcPr>
            <w:tcW w:w="1559" w:type="dxa"/>
            <w:hideMark/>
          </w:tcPr>
          <w:p w:rsidR="00EA6F40" w:rsidRPr="00362D0E" w:rsidRDefault="00EA6F40" w:rsidP="00362D0E">
            <w:pPr>
              <w:rPr>
                <w:lang w:val="en-GB"/>
              </w:rPr>
            </w:pPr>
            <w:r w:rsidRPr="00362D0E">
              <w:t xml:space="preserve">UIC, TSH,FT4,Tg, TgAb &amp; TPOAb </w:t>
            </w:r>
          </w:p>
        </w:tc>
        <w:tc>
          <w:tcPr>
            <w:tcW w:w="1701" w:type="dxa"/>
            <w:hideMark/>
          </w:tcPr>
          <w:p w:rsidR="00EA6F40" w:rsidRPr="00362D0E" w:rsidRDefault="00EA6F40" w:rsidP="00362D0E">
            <w:pPr>
              <w:rPr>
                <w:lang w:val="en-GB"/>
              </w:rPr>
            </w:pPr>
            <w:r w:rsidRPr="00362D0E">
              <w:t>Household salt samples</w:t>
            </w:r>
          </w:p>
        </w:tc>
        <w:tc>
          <w:tcPr>
            <w:tcW w:w="3401" w:type="dxa"/>
          </w:tcPr>
          <w:p w:rsidR="00EA6F40" w:rsidRPr="00362D0E" w:rsidRDefault="00EA6F40" w:rsidP="00362D0E">
            <w:pPr>
              <w:rPr>
                <w:lang w:val="en-GB"/>
              </w:rPr>
            </w:pPr>
            <w:r w:rsidRPr="00362D0E">
              <w:t xml:space="preserve">Median UIC, TSH, FT4 and Tg were 260 μg/L, 1.8 mU/L, 16.6 pmol/L &amp; 7.0 μg/L, respectively. TSH decreased from ~ UIC 50 to 300 μg/L and increase from UIC 300 to 550 </w:t>
            </w:r>
            <w:bookmarkStart w:id="173" w:name="OLE_LINK1"/>
            <w:bookmarkStart w:id="174" w:name="OLE_LINK2"/>
            <w:r w:rsidRPr="00362D0E">
              <w:t>μg/L.</w:t>
            </w:r>
            <w:bookmarkEnd w:id="173"/>
            <w:bookmarkEnd w:id="174"/>
          </w:p>
        </w:tc>
        <w:tc>
          <w:tcPr>
            <w:tcW w:w="1419" w:type="dxa"/>
          </w:tcPr>
          <w:p w:rsidR="00EA6F40" w:rsidRPr="00362D0E" w:rsidRDefault="00EA6F40" w:rsidP="00362D0E">
            <w:pPr>
              <w:rPr>
                <w:lang w:val="en-GB"/>
              </w:rPr>
            </w:pPr>
          </w:p>
        </w:tc>
        <w:tc>
          <w:tcPr>
            <w:tcW w:w="1557" w:type="dxa"/>
          </w:tcPr>
          <w:p w:rsidR="00EA6F40" w:rsidRPr="00362D0E" w:rsidRDefault="00EA6F40" w:rsidP="00362D0E">
            <w:pPr>
              <w:rPr>
                <w:lang w:val="en-GB"/>
              </w:rPr>
            </w:pPr>
            <w:r w:rsidRPr="00362D0E">
              <w:rPr>
                <w:lang w:val="en-GB"/>
              </w:rPr>
              <w:t>Level IV</w:t>
            </w:r>
          </w:p>
          <w:p w:rsidR="00EA6F40" w:rsidRPr="00362D0E" w:rsidRDefault="00EA6F40" w:rsidP="00362D0E">
            <w:pPr>
              <w:rPr>
                <w:lang w:val="en-GB"/>
              </w:rPr>
            </w:pPr>
          </w:p>
        </w:tc>
      </w:tr>
      <w:tr w:rsidR="00EA6F40" w:rsidRPr="00C875F5" w:rsidTr="00EA6F40">
        <w:trPr>
          <w:trHeight w:val="300"/>
        </w:trPr>
        <w:tc>
          <w:tcPr>
            <w:tcW w:w="1575" w:type="dxa"/>
            <w:noWrap/>
          </w:tcPr>
          <w:p w:rsidR="00EA6F40" w:rsidRPr="00362D0E" w:rsidRDefault="00362D0E" w:rsidP="00362D0E">
            <w:pPr>
              <w:rPr>
                <w:lang w:val="en-GB"/>
              </w:rPr>
            </w:pPr>
            <w:r w:rsidRPr="00362D0E">
              <w:rPr>
                <w:lang w:val="en-GB"/>
              </w:rPr>
              <w:t xml:space="preserve">Rasmussen et al, 2008 </w:t>
            </w:r>
          </w:p>
          <w:p w:rsidR="00EA6F40" w:rsidRPr="00362D0E" w:rsidRDefault="00362D0E" w:rsidP="00362D0E">
            <w:pPr>
              <w:rPr>
                <w:lang w:val="en-GB"/>
              </w:rPr>
            </w:pPr>
            <w:r w:rsidRPr="00362D0E">
              <w:rPr>
                <w:lang w:val="en-GB"/>
              </w:rPr>
              <w:t>Denmark</w:t>
            </w:r>
          </w:p>
        </w:tc>
        <w:tc>
          <w:tcPr>
            <w:tcW w:w="1418" w:type="dxa"/>
          </w:tcPr>
          <w:p w:rsidR="00EA6F40" w:rsidRPr="00362D0E" w:rsidRDefault="00EA6F40" w:rsidP="00362D0E">
            <w:r w:rsidRPr="00362D0E">
              <w:t xml:space="preserve">Two cross-sectional studies before &amp; </w:t>
            </w:r>
            <w:r w:rsidRPr="00362D0E">
              <w:lastRenderedPageBreak/>
              <w:t>after mandatory fortification</w:t>
            </w:r>
          </w:p>
        </w:tc>
        <w:tc>
          <w:tcPr>
            <w:tcW w:w="1842" w:type="dxa"/>
          </w:tcPr>
          <w:p w:rsidR="00EA6F40" w:rsidRPr="00362D0E" w:rsidRDefault="00EA6F40" w:rsidP="00362D0E">
            <w:pPr>
              <w:rPr>
                <w:lang w:val="en-GB"/>
              </w:rPr>
            </w:pPr>
            <w:r w:rsidRPr="00362D0E">
              <w:rPr>
                <w:lang w:val="en-GB"/>
              </w:rPr>
              <w:lastRenderedPageBreak/>
              <w:t xml:space="preserve">Group 1: n= 4649 (median UI 61 </w:t>
            </w:r>
            <w:r w:rsidRPr="00362D0E">
              <w:rPr>
                <w:shd w:val="clear" w:color="auto" w:fill="FFFFFF"/>
                <w:lang w:val="en-GB"/>
              </w:rPr>
              <w:t>μg/liter</w:t>
            </w:r>
            <w:r w:rsidRPr="00362D0E">
              <w:rPr>
                <w:lang w:val="en-GB"/>
              </w:rPr>
              <w:t>) (</w:t>
            </w:r>
            <w:r w:rsidRPr="00362D0E">
              <w:t xml:space="preserve">before fortification was </w:t>
            </w:r>
            <w:r w:rsidRPr="00362D0E">
              <w:lastRenderedPageBreak/>
              <w:t>introduced)</w:t>
            </w:r>
          </w:p>
          <w:p w:rsidR="00EA6F40" w:rsidRPr="00362D0E" w:rsidRDefault="00EA6F40" w:rsidP="00362D0E">
            <w:pPr>
              <w:rPr>
                <w:lang w:val="en-GB"/>
              </w:rPr>
            </w:pPr>
            <w:r w:rsidRPr="00362D0E">
              <w:rPr>
                <w:lang w:val="en-GB"/>
              </w:rPr>
              <w:t>Group  2: n= 3570 (median UI 101</w:t>
            </w:r>
            <w:r w:rsidRPr="00362D0E">
              <w:rPr>
                <w:shd w:val="clear" w:color="auto" w:fill="FFFFFF"/>
                <w:lang w:val="en-GB"/>
              </w:rPr>
              <w:t xml:space="preserve"> μg/liter</w:t>
            </w:r>
            <w:r w:rsidRPr="00362D0E">
              <w:rPr>
                <w:lang w:val="en-GB"/>
              </w:rPr>
              <w:t xml:space="preserve"> )</w:t>
            </w:r>
            <w:r w:rsidRPr="00362D0E">
              <w:t>(after mandatory iodization of salt)</w:t>
            </w:r>
          </w:p>
        </w:tc>
        <w:tc>
          <w:tcPr>
            <w:tcW w:w="1559" w:type="dxa"/>
            <w:noWrap/>
          </w:tcPr>
          <w:p w:rsidR="00EA6F40" w:rsidRPr="00362D0E" w:rsidRDefault="00EA6F40" w:rsidP="00362D0E">
            <w:pPr>
              <w:rPr>
                <w:lang w:val="en-GB"/>
              </w:rPr>
            </w:pPr>
          </w:p>
        </w:tc>
        <w:tc>
          <w:tcPr>
            <w:tcW w:w="1701" w:type="dxa"/>
            <w:noWrap/>
          </w:tcPr>
          <w:p w:rsidR="00EA6F40" w:rsidRPr="00362D0E" w:rsidRDefault="00EA6F40" w:rsidP="00362D0E">
            <w:pPr>
              <w:rPr>
                <w:lang w:val="en-GB"/>
              </w:rPr>
            </w:pPr>
            <w:r w:rsidRPr="00362D0E">
              <w:rPr>
                <w:lang w:val="en-GB"/>
              </w:rPr>
              <w:t>FFQ</w:t>
            </w:r>
          </w:p>
        </w:tc>
        <w:tc>
          <w:tcPr>
            <w:tcW w:w="3401" w:type="dxa"/>
          </w:tcPr>
          <w:p w:rsidR="00EA6F40" w:rsidRPr="00362D0E" w:rsidRDefault="00EA6F40" w:rsidP="00362D0E">
            <w:r w:rsidRPr="00362D0E">
              <w:t xml:space="preserve">UIC increased in all age &amp; sex groups after fortification. However, the iodine intake was still below the recommended in the youngest </w:t>
            </w:r>
            <w:r w:rsidRPr="00362D0E">
              <w:lastRenderedPageBreak/>
              <w:t xml:space="preserve">age groups in both cities &amp; in women 40–45 yrs of age living in Aalborg. </w:t>
            </w:r>
          </w:p>
          <w:p w:rsidR="00EA6F40" w:rsidRPr="00362D0E" w:rsidRDefault="00EA6F40" w:rsidP="00362D0E">
            <w:r w:rsidRPr="00362D0E">
              <w:t>Intake of milk &amp; salt had strong significant direct associations with iodine excretion (</w:t>
            </w:r>
            <w:r w:rsidRPr="00362D0E">
              <w:rPr>
                <w:b/>
                <w:bCs/>
              </w:rPr>
              <w:t>P &lt;</w:t>
            </w:r>
            <w:r w:rsidRPr="00362D0E">
              <w:t>0·001).</w:t>
            </w:r>
          </w:p>
        </w:tc>
        <w:tc>
          <w:tcPr>
            <w:tcW w:w="1419" w:type="dxa"/>
          </w:tcPr>
          <w:p w:rsidR="00EA6F40" w:rsidRPr="00362D0E" w:rsidRDefault="00EA6F40" w:rsidP="00362D0E">
            <w:pPr>
              <w:rPr>
                <w:lang w:val="en-GB"/>
              </w:rPr>
            </w:pPr>
            <w:r w:rsidRPr="00362D0E">
              <w:rPr>
                <w:lang w:val="en-GB"/>
              </w:rPr>
              <w:lastRenderedPageBreak/>
              <w:t xml:space="preserve">Bread, fish, water &amp; milk intake, estimated </w:t>
            </w:r>
            <w:r w:rsidRPr="00362D0E">
              <w:rPr>
                <w:lang w:val="en-GB"/>
              </w:rPr>
              <w:lastRenderedPageBreak/>
              <w:t>salt intake, iodine supplements</w:t>
            </w:r>
            <w:r w:rsidRPr="00362D0E">
              <w:rPr>
                <w:shd w:val="clear" w:color="auto" w:fill="FFFFFF"/>
                <w:lang w:val="en-GB"/>
              </w:rPr>
              <w:t>, education, self-rated health, smoking, alcohol &amp; physical activity</w:t>
            </w:r>
          </w:p>
        </w:tc>
        <w:tc>
          <w:tcPr>
            <w:tcW w:w="1557" w:type="dxa"/>
          </w:tcPr>
          <w:p w:rsidR="00EA6F40" w:rsidRPr="00362D0E" w:rsidRDefault="00EA6F40" w:rsidP="00362D0E">
            <w:pPr>
              <w:rPr>
                <w:lang w:val="en-GB"/>
              </w:rPr>
            </w:pPr>
            <w:r w:rsidRPr="00362D0E">
              <w:rPr>
                <w:lang w:val="en-GB"/>
              </w:rPr>
              <w:lastRenderedPageBreak/>
              <w:t>Level IV</w:t>
            </w:r>
          </w:p>
          <w:p w:rsidR="00EA6F40" w:rsidRPr="00362D0E" w:rsidRDefault="00EA6F40" w:rsidP="00362D0E">
            <w:pPr>
              <w:rPr>
                <w:lang w:val="en-GB"/>
              </w:rPr>
            </w:pPr>
          </w:p>
          <w:p w:rsidR="00EA6F40" w:rsidRPr="00362D0E" w:rsidRDefault="00EA6F40" w:rsidP="00362D0E">
            <w:pPr>
              <w:rPr>
                <w:lang w:val="en-GB"/>
              </w:rPr>
            </w:pPr>
            <w:r w:rsidRPr="00362D0E">
              <w:rPr>
                <w:lang w:val="en-GB"/>
              </w:rPr>
              <w:t xml:space="preserve">Large groups, </w:t>
            </w:r>
            <w:r w:rsidRPr="00362D0E">
              <w:rPr>
                <w:lang w:val="en-GB"/>
              </w:rPr>
              <w:lastRenderedPageBreak/>
              <w:t>but different samples (pre and post)</w:t>
            </w:r>
          </w:p>
          <w:p w:rsidR="00EA6F40" w:rsidRPr="00362D0E" w:rsidRDefault="00EA6F40" w:rsidP="00362D0E">
            <w:pPr>
              <w:rPr>
                <w:lang w:val="en-GB"/>
              </w:rPr>
            </w:pPr>
            <w:r w:rsidRPr="00362D0E">
              <w:rPr>
                <w:lang w:val="en-GB"/>
              </w:rPr>
              <w:t xml:space="preserve">Same participants in Bulow Pedersen </w:t>
            </w:r>
            <w:r w:rsidRPr="00362D0E">
              <w:rPr>
                <w:lang w:val="en-GB"/>
              </w:rPr>
              <w:fldChar w:fldCharType="begin"/>
            </w:r>
            <w:r w:rsidRPr="00362D0E">
              <w:rPr>
                <w:lang w:val="en-GB"/>
              </w:rPr>
              <w:instrText xml:space="preserve"> ADDIN EN.CITE &lt;EndNote&gt;&lt;Cite&gt;&lt;Author&gt;Bulow Pedersen&lt;/Author&gt;&lt;Year&gt;2011&lt;/Year&gt;&lt;RecNum&gt;41&lt;/RecNum&gt;&lt;DisplayText&gt;[59]&lt;/DisplayText&gt;&lt;record&gt;&lt;rec-number&gt;41&lt;/rec-number&gt;&lt;foreign-keys&gt;&lt;key app="EN" db-id="p2s2xd2thp5wd2efdeovw295prpvf5vpre22"&gt;41&lt;/key&gt;&lt;/foreign-keys&gt;&lt;ref-type name="Journal Article"&gt;17&lt;/ref-type&gt;&lt;contributors&gt;&lt;authors&gt;&lt;author&gt;Bulow Pedersen, I.&lt;/author&gt;&lt;author&gt;Knudsen, N.&lt;/author&gt;&lt;author&gt;Carle, A.&lt;/author&gt;&lt;author&gt;Vejbjerg, P.&lt;/author&gt;&lt;author&gt;Jorgensen, T.&lt;/author&gt;&lt;author&gt;Perrild, H.&lt;/author&gt;&lt;author&gt;Ovesen, L.&lt;/author&gt;&lt;author&gt;Banke Rasmussen, L.&lt;/author&gt;&lt;author&gt;Laurberg, P.&lt;/author&gt;&lt;/authors&gt;&lt;/contributors&gt;&lt;auth-address&gt;Department of Endocrinology and Medicine, Aalborg Hospital, Aarhus University HospitalEndocrine Unit, Medical Clinic I, Bispebjerg HospitalResearch Centre for Prevention and Health, Glostrup University HospitalDepartment of Gastroenterology, Slagelse HospitalDivision of Nutrition, National Food InstituteFaculty of Health Science, University of Copenhagen.&lt;/auth-address&gt;&lt;titles&gt;&lt;title&gt;A cautious iodization program bringing iodine intake to a low recommended level is associated with an increase in the prevalence of thyroid autoantibodies in the population&lt;/title&gt;&lt;secondary-title&gt;Clin Endocrinol (Oxf)&lt;/secondary-title&gt;&lt;alt-title&gt;Clinical endocrinology&lt;/alt-title&gt;&lt;/titles&gt;&lt;periodical&gt;&lt;full-title&gt;Clin Endocrinol (Oxf)&lt;/full-title&gt;&lt;abbr-1&gt;Clinical endocrinology&lt;/abbr-1&gt;&lt;/periodical&gt;&lt;alt-periodical&gt;&lt;full-title&gt;Clin Endocrinol (Oxf)&lt;/full-title&gt;&lt;abbr-1&gt;Clinical endocrinology&lt;/abbr-1&gt;&lt;/alt-periodical&gt;&lt;edition&gt;2011/04/28&lt;/edition&gt;&lt;dates&gt;&lt;year&gt;2011&lt;/year&gt;&lt;pub-dates&gt;&lt;date&gt;Feb 15&lt;/date&gt;&lt;/pub-dates&gt;&lt;/dates&gt;&lt;isbn&gt;1365-2265 (Electronic)&amp;#xD;0300-0664 (Linking)&lt;/isbn&gt;&lt;accession-num&gt;21521277&lt;/accession-num&gt;&lt;urls&gt;&lt;/urls&gt;&lt;electronic-resource-num&gt;10.1111/j.1365-2265.2011.04008.x&lt;/electronic-resource-num&gt;&lt;remote-database-provider&gt;NLM&lt;/remote-database-provider&gt;&lt;language&gt;Eng&lt;/language&gt;&lt;/record&gt;&lt;/Cite&gt;&lt;/EndNote&gt;</w:instrText>
            </w:r>
            <w:r w:rsidRPr="00362D0E">
              <w:rPr>
                <w:lang w:val="en-GB"/>
              </w:rPr>
              <w:fldChar w:fldCharType="separate"/>
            </w:r>
            <w:r w:rsidRPr="00362D0E">
              <w:rPr>
                <w:noProof/>
                <w:lang w:val="en-GB"/>
              </w:rPr>
              <w:t>[</w:t>
            </w:r>
            <w:hyperlink w:anchor="_ENREF_59" w:tooltip="Bulow Pedersen, 2011 #41" w:history="1">
              <w:r w:rsidRPr="00362D0E">
                <w:rPr>
                  <w:noProof/>
                  <w:lang w:val="en-GB"/>
                </w:rPr>
                <w:t>59</w:t>
              </w:r>
            </w:hyperlink>
            <w:r w:rsidRPr="00362D0E">
              <w:rPr>
                <w:noProof/>
                <w:lang w:val="en-GB"/>
              </w:rPr>
              <w:t>]</w:t>
            </w:r>
            <w:r w:rsidRPr="00362D0E">
              <w:rPr>
                <w:lang w:val="en-GB"/>
              </w:rPr>
              <w:fldChar w:fldCharType="end"/>
            </w:r>
          </w:p>
        </w:tc>
      </w:tr>
      <w:tr w:rsidR="00EA6F40" w:rsidRPr="00C875F5" w:rsidTr="00EA6F40">
        <w:trPr>
          <w:trHeight w:val="300"/>
        </w:trPr>
        <w:tc>
          <w:tcPr>
            <w:tcW w:w="1575" w:type="dxa"/>
            <w:noWrap/>
          </w:tcPr>
          <w:p w:rsidR="00EA6F40" w:rsidRPr="002C66F1" w:rsidRDefault="00362D0E" w:rsidP="002C66F1">
            <w:r w:rsidRPr="002C66F1">
              <w:lastRenderedPageBreak/>
              <w:t xml:space="preserve">Rasmussen et al, 2013 </w:t>
            </w:r>
          </w:p>
          <w:p w:rsidR="00EA6F40" w:rsidRPr="002C66F1" w:rsidRDefault="00EA6F40" w:rsidP="002C66F1">
            <w:r w:rsidRPr="002C66F1">
              <w:t>Denmark</w:t>
            </w:r>
            <w:r w:rsidRPr="002C66F1">
              <w:fldChar w:fldCharType="begin"/>
            </w:r>
            <w:r w:rsidRPr="002C66F1">
              <w:instrText xml:space="preserve"> ADDIN EN.CITE &lt;EndNote&gt;&lt;Cite&gt;&lt;Author&gt;Rasmussen&lt;/Author&gt;&lt;Year&gt;2013&lt;/Year&gt;&lt;RecNum&gt;37&lt;/RecNum&gt;&lt;DisplayText&gt;[64]&lt;/DisplayText&gt;&lt;record&gt;&lt;rec-number&gt;37&lt;/rec-number&gt;&lt;foreign-keys&gt;&lt;key app="EN" db-id="p2s2xd2thp5wd2efdeovw295prpvf5vpre22"&gt;37&lt;/key&gt;&lt;/foreign-keys&gt;&lt;ref-type name="Journal Article"&gt;17&lt;/ref-type&gt;&lt;contributors&gt;&lt;authors&gt;&lt;author&gt;Rasmussen, L. B.&lt;/author&gt;&lt;author&gt;Jorgensen, T.&lt;/author&gt;&lt;author&gt;Perrild, H.&lt;/author&gt;&lt;author&gt;Knudsen, N.&lt;/author&gt;&lt;author&gt;Krejbjerg, A.&lt;/author&gt;&lt;author&gt;Laurberg, P.&lt;/author&gt;&lt;author&gt;Pedersen, I. B.&lt;/author&gt;&lt;author&gt;Bjergved, L.&lt;/author&gt;&lt;author&gt;Ovesen, L.&lt;/author&gt;&lt;/authors&gt;&lt;/contributors&gt;&lt;auth-address&gt;Division of Nutrition, National Food Institute, Technical University of Denmark, Soborg, Denmark. Electronic address: lbra@food.dtu.dk.&lt;/auth-address&gt;&lt;titles&gt;&lt;title&gt;Mandatory iodine fortification of bread and salt increases iodine excretion in adults in Denmark - A 11-year follow-up study&lt;/title&gt;&lt;secondary-title&gt;Clin Nutr&lt;/secondary-title&gt;&lt;alt-title&gt;Clinical nutrition (Edinburgh, Scotland)&lt;/alt-title&gt;&lt;/titles&gt;&lt;periodical&gt;&lt;full-title&gt;Clin Nutr&lt;/full-title&gt;&lt;abbr-1&gt;Clinical nutrition (Edinburgh, Scotland)&lt;/abbr-1&gt;&lt;/periodical&gt;&lt;alt-periodical&gt;&lt;full-title&gt;Clin Nutr&lt;/full-title&gt;&lt;abbr-1&gt;Clinical nutrition (Edinburgh, Scotland)&lt;/abbr-1&gt;&lt;/alt-periodical&gt;&lt;edition&gt;2013/11/26&lt;/edition&gt;&lt;dates&gt;&lt;year&gt;2013&lt;/year&gt;&lt;pub-dates&gt;&lt;date&gt;Nov 9&lt;/date&gt;&lt;/pub-dates&gt;&lt;/dates&gt;&lt;isbn&gt;1532-1983 (Electronic)&amp;#xD;0261-5614 (Linking)&lt;/isbn&gt;&lt;accession-num&gt;24268678&lt;/accession-num&gt;&lt;urls&gt;&lt;/urls&gt;&lt;electronic-resource-num&gt;10.1016/j.clnu.2013.10.024&lt;/electronic-resource-num&gt;&lt;remote-database-provider&gt;NLM&lt;/remote-database-provider&gt;&lt;language&gt;Eng&lt;/language&gt;&lt;/record&gt;&lt;/Cite&gt;&lt;/EndNote&gt;</w:instrText>
            </w:r>
            <w:r w:rsidRPr="002C66F1">
              <w:fldChar w:fldCharType="end"/>
            </w:r>
          </w:p>
        </w:tc>
        <w:tc>
          <w:tcPr>
            <w:tcW w:w="1418" w:type="dxa"/>
          </w:tcPr>
          <w:p w:rsidR="00EA6F40" w:rsidRPr="002C66F1" w:rsidRDefault="00EA6F40" w:rsidP="002C66F1">
            <w:pPr>
              <w:rPr>
                <w:color w:val="000000"/>
                <w:lang w:val="en-GB"/>
              </w:rPr>
            </w:pPr>
            <w:r w:rsidRPr="002C66F1">
              <w:rPr>
                <w:color w:val="000000"/>
                <w:lang w:val="en-GB"/>
              </w:rPr>
              <w:t>Prospective cohort</w:t>
            </w:r>
          </w:p>
          <w:p w:rsidR="00EA6F40" w:rsidRPr="002C66F1" w:rsidRDefault="00EA6F40" w:rsidP="002C66F1">
            <w:pPr>
              <w:rPr>
                <w:color w:val="000000"/>
                <w:lang w:val="en-GB"/>
              </w:rPr>
            </w:pPr>
            <w:r w:rsidRPr="002C66F1">
              <w:rPr>
                <w:color w:val="000000"/>
                <w:lang w:val="en-GB"/>
              </w:rPr>
              <w:t xml:space="preserve"> (Danish DanThyr cohort)</w:t>
            </w:r>
          </w:p>
          <w:p w:rsidR="00EA6F40" w:rsidRPr="002C66F1" w:rsidRDefault="00362D0E" w:rsidP="002C66F1">
            <w:r w:rsidRPr="002C66F1">
              <w:t>Followed up at 11 yrs</w:t>
            </w:r>
          </w:p>
        </w:tc>
        <w:tc>
          <w:tcPr>
            <w:tcW w:w="1842" w:type="dxa"/>
          </w:tcPr>
          <w:p w:rsidR="00EA6F40" w:rsidRPr="002C66F1" w:rsidRDefault="00362D0E" w:rsidP="002C66F1">
            <w:pPr>
              <w:rPr>
                <w:color w:val="000000"/>
                <w:lang w:val="en-GB"/>
              </w:rPr>
            </w:pPr>
            <w:r w:rsidRPr="002C66F1">
              <w:rPr>
                <w:color w:val="000000"/>
                <w:lang w:val="en-GB"/>
              </w:rPr>
              <w:t>N= 2465</w:t>
            </w:r>
          </w:p>
        </w:tc>
        <w:tc>
          <w:tcPr>
            <w:tcW w:w="1559" w:type="dxa"/>
            <w:noWrap/>
          </w:tcPr>
          <w:p w:rsidR="00EA6F40" w:rsidRPr="002C66F1" w:rsidRDefault="00EA6F40" w:rsidP="002C66F1">
            <w:pPr>
              <w:rPr>
                <w:lang w:val="en-GB"/>
              </w:rPr>
            </w:pPr>
            <w:r w:rsidRPr="002C66F1">
              <w:t>UIC, Iodine intake, Bodyweight &amp; height, supplement use</w:t>
            </w:r>
          </w:p>
        </w:tc>
        <w:tc>
          <w:tcPr>
            <w:tcW w:w="1701" w:type="dxa"/>
            <w:noWrap/>
          </w:tcPr>
          <w:p w:rsidR="00EA6F40" w:rsidRPr="002C66F1" w:rsidRDefault="00EA6F40" w:rsidP="002C66F1">
            <w:pPr>
              <w:rPr>
                <w:color w:val="000000"/>
                <w:lang w:val="en-GB"/>
              </w:rPr>
            </w:pPr>
            <w:r w:rsidRPr="002C66F1">
              <w:rPr>
                <w:color w:val="000000"/>
                <w:lang w:val="en-GB"/>
              </w:rPr>
              <w:t>FFQ &amp;</w:t>
            </w:r>
            <w:r w:rsidRPr="002C66F1">
              <w:t xml:space="preserve"> supplement questionnaire</w:t>
            </w:r>
          </w:p>
        </w:tc>
        <w:tc>
          <w:tcPr>
            <w:tcW w:w="3401" w:type="dxa"/>
          </w:tcPr>
          <w:p w:rsidR="00EA6F40" w:rsidRPr="002C66F1" w:rsidRDefault="00EA6F40" w:rsidP="002C66F1">
            <w:pPr>
              <w:rPr>
                <w:color w:val="000000"/>
                <w:shd w:val="clear" w:color="auto" w:fill="FFFFFF"/>
                <w:lang w:val="en-GB"/>
              </w:rPr>
            </w:pPr>
            <w:r w:rsidRPr="002C66F1">
              <w:rPr>
                <w:color w:val="000000"/>
                <w:shd w:val="clear" w:color="auto" w:fill="FFFFFF"/>
                <w:lang w:val="en-GB"/>
              </w:rPr>
              <w:t xml:space="preserve">Median (IQR) UIC increased by 19 (-25-68) μg/L to 83 (47-133) μg/L. Estimated 24-h iodine excretion increased by 36 (-21-95) μg/24-h to 134 (93-206), &amp; calculated total iodine intake (diet plus supplements) increased by 16 (-18-48) μg/day. Iodine excretion increased in all age &amp; gender groups, but was still below the recommended amount at follow-up. </w:t>
            </w:r>
          </w:p>
          <w:p w:rsidR="00EA6F40" w:rsidRPr="002C66F1" w:rsidRDefault="00EA6F40" w:rsidP="002C66F1">
            <w:pPr>
              <w:rPr>
                <w:color w:val="000000"/>
                <w:shd w:val="clear" w:color="auto" w:fill="FFFFFF"/>
                <w:lang w:val="en-GB"/>
              </w:rPr>
            </w:pPr>
            <w:r w:rsidRPr="002C66F1">
              <w:rPr>
                <w:color w:val="000000"/>
                <w:shd w:val="clear" w:color="auto" w:fill="FFFFFF"/>
                <w:lang w:val="en-GB"/>
              </w:rPr>
              <w:t xml:space="preserve">Increase in iodine excretion was positively associated with milk </w:t>
            </w:r>
            <w:r w:rsidRPr="002C66F1">
              <w:rPr>
                <w:color w:val="000000"/>
                <w:shd w:val="clear" w:color="auto" w:fill="FFFFFF"/>
                <w:lang w:val="en-GB"/>
              </w:rPr>
              <w:lastRenderedPageBreak/>
              <w:t>intake, supplement use &amp; bread intake at follow-up. Salt intake, education, self-rated health, smoking, alcohol &amp; physical activity were not associated with th</w:t>
            </w:r>
            <w:r w:rsidR="00362D0E" w:rsidRPr="002C66F1">
              <w:rPr>
                <w:color w:val="000000"/>
                <w:shd w:val="clear" w:color="auto" w:fill="FFFFFF"/>
                <w:lang w:val="en-GB"/>
              </w:rPr>
              <w:t>e increase in iodine excretion.</w:t>
            </w:r>
          </w:p>
        </w:tc>
        <w:tc>
          <w:tcPr>
            <w:tcW w:w="1419" w:type="dxa"/>
          </w:tcPr>
          <w:p w:rsidR="00EA6F40" w:rsidRPr="002C66F1" w:rsidRDefault="00EA6F40" w:rsidP="002C66F1">
            <w:pPr>
              <w:rPr>
                <w:color w:val="000000"/>
                <w:lang w:val="en-GB"/>
              </w:rPr>
            </w:pPr>
            <w:r w:rsidRPr="002C66F1">
              <w:rPr>
                <w:color w:val="000000"/>
                <w:lang w:val="en-GB"/>
              </w:rPr>
              <w:lastRenderedPageBreak/>
              <w:t>Bread, fish, water &amp; milk intake, estimated salt intake, iodine supplements</w:t>
            </w:r>
            <w:r w:rsidRPr="002C66F1">
              <w:rPr>
                <w:color w:val="000000"/>
                <w:shd w:val="clear" w:color="auto" w:fill="FFFFFF"/>
                <w:lang w:val="en-GB"/>
              </w:rPr>
              <w:t xml:space="preserve">, education, self-rated health, smoking, alcohol intake &amp; physical </w:t>
            </w:r>
            <w:r w:rsidRPr="002C66F1">
              <w:rPr>
                <w:color w:val="000000"/>
                <w:shd w:val="clear" w:color="auto" w:fill="FFFFFF"/>
                <w:lang w:val="en-GB"/>
              </w:rPr>
              <w:lastRenderedPageBreak/>
              <w:t>activity</w:t>
            </w:r>
            <w:r w:rsidRPr="002C66F1">
              <w:rPr>
                <w:color w:val="000000"/>
                <w:lang w:val="en-GB"/>
              </w:rPr>
              <w:t xml:space="preserve"> </w:t>
            </w:r>
          </w:p>
        </w:tc>
        <w:tc>
          <w:tcPr>
            <w:tcW w:w="1557" w:type="dxa"/>
          </w:tcPr>
          <w:p w:rsidR="00EA6F40" w:rsidRPr="002C66F1" w:rsidRDefault="00EA6F40" w:rsidP="002C66F1">
            <w:pPr>
              <w:rPr>
                <w:color w:val="000000"/>
                <w:lang w:val="en-GB"/>
              </w:rPr>
            </w:pPr>
            <w:r w:rsidRPr="002C66F1">
              <w:rPr>
                <w:color w:val="000000"/>
                <w:lang w:val="en-GB"/>
              </w:rPr>
              <w:lastRenderedPageBreak/>
              <w:t>Level III-2</w:t>
            </w:r>
          </w:p>
        </w:tc>
      </w:tr>
      <w:tr w:rsidR="00EA6F40" w:rsidRPr="00C875F5" w:rsidTr="00EA6F40">
        <w:trPr>
          <w:trHeight w:val="300"/>
        </w:trPr>
        <w:tc>
          <w:tcPr>
            <w:tcW w:w="1575" w:type="dxa"/>
            <w:noWrap/>
          </w:tcPr>
          <w:p w:rsidR="00EA6F40" w:rsidRPr="002C66F1" w:rsidRDefault="00362D0E" w:rsidP="002C66F1">
            <w:r w:rsidRPr="002C66F1">
              <w:lastRenderedPageBreak/>
              <w:t xml:space="preserve">Sang et al 2012 </w:t>
            </w:r>
          </w:p>
          <w:p w:rsidR="00EA6F40" w:rsidRPr="002C66F1" w:rsidRDefault="00EA6F40" w:rsidP="002C66F1">
            <w:r w:rsidRPr="002C66F1">
              <w:t xml:space="preserve">Tianjin China </w:t>
            </w:r>
          </w:p>
        </w:tc>
        <w:tc>
          <w:tcPr>
            <w:tcW w:w="1418" w:type="dxa"/>
          </w:tcPr>
          <w:p w:rsidR="00EA6F40" w:rsidRPr="002C66F1" w:rsidRDefault="00EA6F40" w:rsidP="002C66F1">
            <w:pPr>
              <w:rPr>
                <w:color w:val="000000"/>
                <w:shd w:val="clear" w:color="auto" w:fill="FFFFFF"/>
                <w:lang w:val="en-GB"/>
              </w:rPr>
            </w:pPr>
            <w:r w:rsidRPr="002C66F1">
              <w:rPr>
                <w:color w:val="000000"/>
                <w:shd w:val="clear" w:color="auto" w:fill="FFFFFF"/>
                <w:lang w:val="en-GB"/>
              </w:rPr>
              <w:t xml:space="preserve">A 4-wk, double-blind, placebo-controlled, RCT </w:t>
            </w:r>
          </w:p>
          <w:p w:rsidR="00EA6F40" w:rsidRPr="002C66F1" w:rsidRDefault="00EA6F40" w:rsidP="002C66F1">
            <w:pPr>
              <w:rPr>
                <w:color w:val="000000"/>
                <w:shd w:val="clear" w:color="auto" w:fill="FFFFFF"/>
                <w:lang w:val="en-GB"/>
              </w:rPr>
            </w:pPr>
            <w:r w:rsidRPr="002C66F1">
              <w:rPr>
                <w:color w:val="000000"/>
                <w:shd w:val="clear" w:color="auto" w:fill="FFFFFF"/>
                <w:lang w:val="en-GB"/>
              </w:rPr>
              <w:t>Randomly assigned to 1 of 12 intervention groups with various </w:t>
            </w:r>
          </w:p>
          <w:p w:rsidR="00EA6F40" w:rsidRPr="002C66F1" w:rsidRDefault="00EA6F40" w:rsidP="002C66F1">
            <w:pPr>
              <w:rPr>
                <w:lang w:val="en-GB"/>
              </w:rPr>
            </w:pPr>
            <w:r w:rsidRPr="002C66F1">
              <w:rPr>
                <w:color w:val="000000"/>
                <w:shd w:val="clear" w:color="auto" w:fill="FFFFFF"/>
                <w:lang w:val="en-GB"/>
              </w:rPr>
              <w:t>iodine supplement doses ranging from 0 to 2000 μg/d</w:t>
            </w:r>
          </w:p>
        </w:tc>
        <w:tc>
          <w:tcPr>
            <w:tcW w:w="1842" w:type="dxa"/>
          </w:tcPr>
          <w:p w:rsidR="00EA6F40" w:rsidRPr="002C66F1" w:rsidRDefault="00362D0E" w:rsidP="002C66F1">
            <w:pPr>
              <w:rPr>
                <w:color w:val="000000"/>
                <w:shd w:val="clear" w:color="auto" w:fill="FFFFFF"/>
                <w:lang w:val="en-GB"/>
              </w:rPr>
            </w:pPr>
            <w:r w:rsidRPr="002C66F1">
              <w:rPr>
                <w:color w:val="000000"/>
                <w:shd w:val="clear" w:color="auto" w:fill="FFFFFF"/>
                <w:lang w:val="en-GB"/>
              </w:rPr>
              <w:t>N= 256 euthyroid adults</w:t>
            </w:r>
          </w:p>
          <w:p w:rsidR="00EA6F40" w:rsidRPr="002C66F1" w:rsidRDefault="00EA6F40" w:rsidP="002C66F1">
            <w:r w:rsidRPr="002C66F1">
              <w:rPr>
                <w:color w:val="000000"/>
                <w:shd w:val="clear" w:color="auto" w:fill="FFFFFF"/>
                <w:lang w:val="en-GB"/>
              </w:rPr>
              <w:t xml:space="preserve">Iodine sufficient </w:t>
            </w:r>
          </w:p>
        </w:tc>
        <w:tc>
          <w:tcPr>
            <w:tcW w:w="1559" w:type="dxa"/>
            <w:noWrap/>
          </w:tcPr>
          <w:p w:rsidR="00EA6F40" w:rsidRPr="002C66F1" w:rsidRDefault="00EA6F40" w:rsidP="002C66F1">
            <w:pPr>
              <w:rPr>
                <w:color w:val="000000"/>
                <w:shd w:val="clear" w:color="auto" w:fill="FFFFFF"/>
                <w:lang w:val="en-GB"/>
              </w:rPr>
            </w:pPr>
            <w:r w:rsidRPr="002C66F1">
              <w:rPr>
                <w:color w:val="000000"/>
                <w:shd w:val="clear" w:color="auto" w:fill="FFFFFF"/>
                <w:lang w:val="en-GB"/>
              </w:rPr>
              <w:t>Total iodine intake, FT4, FT3, UIC, TSH, TPOAb, TGAb, TV</w:t>
            </w:r>
          </w:p>
        </w:tc>
        <w:tc>
          <w:tcPr>
            <w:tcW w:w="1701" w:type="dxa"/>
            <w:noWrap/>
          </w:tcPr>
          <w:p w:rsidR="00EA6F40" w:rsidRPr="002C66F1" w:rsidRDefault="00EA6F40" w:rsidP="002C66F1">
            <w:pPr>
              <w:rPr>
                <w:color w:val="000000"/>
                <w:lang w:val="en-GB"/>
              </w:rPr>
            </w:pPr>
            <w:r w:rsidRPr="002C66F1">
              <w:rPr>
                <w:color w:val="000000"/>
                <w:lang w:val="en-GB"/>
              </w:rPr>
              <w:t>24-hr recall</w:t>
            </w:r>
          </w:p>
        </w:tc>
        <w:tc>
          <w:tcPr>
            <w:tcW w:w="3401" w:type="dxa"/>
          </w:tcPr>
          <w:p w:rsidR="00EA6F40" w:rsidRPr="002C66F1" w:rsidRDefault="00EA6F40" w:rsidP="002C66F1">
            <w:pPr>
              <w:rPr>
                <w:lang w:val="en-GB"/>
              </w:rPr>
            </w:pPr>
            <w:r w:rsidRPr="002C66F1">
              <w:rPr>
                <w:color w:val="000000"/>
                <w:shd w:val="clear" w:color="auto" w:fill="FFFFFF"/>
                <w:lang w:val="en-GB"/>
              </w:rPr>
              <w:t>The mean iodine intake from the diets &amp; salt intake were 105 ± 25 &amp; 258 ± 101 μg/d, respectively. In comparison with the placebo group, all iodide-supplemented groups responded with significant increases in median UIC (P &lt; 0.05) &amp; in TSH concentration (P &lt; 0.05). TV decreased after 4 wk in the high-iodine intervention groups (1500-2000 μg). Subclinical hypothyroidism appeared in the groups that received 400μg iodine suppl (giving total intake of 800 μg/day)  (5%) &amp; 500-2000 μg Iodine suppl (15-47%).</w:t>
            </w:r>
          </w:p>
        </w:tc>
        <w:tc>
          <w:tcPr>
            <w:tcW w:w="1419" w:type="dxa"/>
          </w:tcPr>
          <w:p w:rsidR="00EA6F40" w:rsidRPr="002C66F1" w:rsidRDefault="00EA6F40" w:rsidP="002C66F1">
            <w:pPr>
              <w:rPr>
                <w:color w:val="000000"/>
                <w:lang w:val="en-GB"/>
              </w:rPr>
            </w:pPr>
          </w:p>
        </w:tc>
        <w:tc>
          <w:tcPr>
            <w:tcW w:w="1557" w:type="dxa"/>
          </w:tcPr>
          <w:p w:rsidR="00EA6F40" w:rsidRPr="002C66F1" w:rsidRDefault="00362D0E" w:rsidP="002C66F1">
            <w:pPr>
              <w:rPr>
                <w:color w:val="000000"/>
                <w:lang w:val="en-GB"/>
              </w:rPr>
            </w:pPr>
            <w:r w:rsidRPr="002C66F1">
              <w:rPr>
                <w:color w:val="000000"/>
                <w:lang w:val="en-GB"/>
              </w:rPr>
              <w:t>Level II, low risk of bias</w:t>
            </w:r>
          </w:p>
          <w:p w:rsidR="00EA6F40" w:rsidRPr="002C66F1" w:rsidRDefault="00EA6F40" w:rsidP="002C66F1">
            <w:pPr>
              <w:rPr>
                <w:color w:val="000000"/>
                <w:lang w:val="en-GB"/>
              </w:rPr>
            </w:pPr>
            <w:r w:rsidRPr="002C66F1">
              <w:rPr>
                <w:color w:val="000000"/>
                <w:lang w:val="en-GB"/>
              </w:rPr>
              <w:t>Dose response study, but n per group small</w:t>
            </w:r>
          </w:p>
          <w:p w:rsidR="00EA6F40" w:rsidRPr="002C66F1" w:rsidRDefault="00EA6F40" w:rsidP="002C66F1">
            <w:pPr>
              <w:rPr>
                <w:color w:val="000000"/>
                <w:lang w:val="en-GB"/>
              </w:rPr>
            </w:pPr>
            <w:r w:rsidRPr="002C66F1">
              <w:rPr>
                <w:color w:val="000000"/>
                <w:lang w:val="en-GB"/>
              </w:rPr>
              <w:t>Useful to determine  UL (1500-2000 ug in high dose arm)</w:t>
            </w:r>
          </w:p>
        </w:tc>
      </w:tr>
      <w:tr w:rsidR="00EA6F40" w:rsidRPr="00C875F5" w:rsidTr="00EA6F40">
        <w:trPr>
          <w:trHeight w:val="300"/>
        </w:trPr>
        <w:tc>
          <w:tcPr>
            <w:tcW w:w="1575" w:type="dxa"/>
            <w:noWrap/>
          </w:tcPr>
          <w:p w:rsidR="00EA6F40" w:rsidRPr="002C66F1" w:rsidRDefault="00EA6F40" w:rsidP="002C66F1">
            <w:r w:rsidRPr="002C66F1">
              <w:lastRenderedPageBreak/>
              <w:t xml:space="preserve">Teng et al, 2006 </w:t>
            </w:r>
            <w:r w:rsidRPr="002C66F1">
              <w:fldChar w:fldCharType="begin">
                <w:fldData xml:space="preserve">PEVuZE5vdGU+PENpdGU+PEF1dGhvcj5UZW5nPC9BdXRob3I+PFllYXI+MjAwNjwvWWVhcj48UmVj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am91cm5hbCBvZiBtZWRpY2luZTwvYWJici0xPjwvYWx0LXBlcmlvZGljYWw+PHBhZ2VzPjI3ODMt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</w:fldData>
              </w:fldChar>
            </w:r>
            <w:r w:rsidRPr="002C66F1">
              <w:instrText xml:space="preserve"> ADDIN EN.CITE </w:instrText>
            </w:r>
            <w:r w:rsidRPr="002C66F1">
              <w:fldChar w:fldCharType="begin">
                <w:fldData xml:space="preserve">PEVuZE5vdGU+PENpdGU+PEF1dGhvcj5UZW5nPC9BdXRob3I+PFllYXI+MjAwNjwvWWVhcj48UmVj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am91cm5hbCBvZiBtZWRpY2luZTwvYWJici0xPjwvYWx0LXBlcmlvZGljYWw+PHBhZ2VzPjI3ODMt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</w:fldData>
              </w:fldChar>
            </w:r>
            <w:r w:rsidRPr="002C66F1">
              <w:instrText xml:space="preserve"> ADDIN EN.CITE.DATA </w:instrText>
            </w:r>
            <w:r w:rsidRPr="002C66F1">
              <w:fldChar w:fldCharType="end"/>
            </w:r>
            <w:r w:rsidRPr="002C66F1">
              <w:fldChar w:fldCharType="end"/>
            </w:r>
          </w:p>
          <w:p w:rsidR="00EA6F40" w:rsidRPr="002C66F1" w:rsidRDefault="00EA6F40" w:rsidP="002C66F1">
            <w:r w:rsidRPr="002C66F1">
              <w:t xml:space="preserve">3 communities in China (Panshan, Zhangwu </w:t>
            </w:r>
          </w:p>
          <w:p w:rsidR="00EA6F40" w:rsidRPr="002C66F1" w:rsidRDefault="00EA6F40" w:rsidP="002C66F1">
            <w:r w:rsidRPr="002C66F1">
              <w:t xml:space="preserve">and  </w:t>
            </w:r>
          </w:p>
          <w:p w:rsidR="00EA6F40" w:rsidRPr="002C66F1" w:rsidRDefault="002C66F1" w:rsidP="002C66F1">
            <w:r w:rsidRPr="002C66F1">
              <w:t xml:space="preserve">Huanghua) </w:t>
            </w:r>
          </w:p>
        </w:tc>
        <w:tc>
          <w:tcPr>
            <w:tcW w:w="1418" w:type="dxa"/>
          </w:tcPr>
          <w:p w:rsidR="00EA6F40" w:rsidRPr="002C66F1" w:rsidRDefault="002C66F1" w:rsidP="002C66F1">
            <w:pPr>
              <w:rPr>
                <w:color w:val="000000"/>
                <w:shd w:val="clear" w:color="auto" w:fill="FFFFFF"/>
                <w:lang w:val="en-GB"/>
              </w:rPr>
            </w:pPr>
            <w:r w:rsidRPr="002C66F1">
              <w:rPr>
                <w:color w:val="000000"/>
                <w:shd w:val="clear" w:color="auto" w:fill="FFFFFF"/>
                <w:lang w:val="en-GB"/>
              </w:rPr>
              <w:t>Prospective Cohort</w:t>
            </w:r>
          </w:p>
        </w:tc>
        <w:tc>
          <w:tcPr>
            <w:tcW w:w="1842" w:type="dxa"/>
          </w:tcPr>
          <w:p w:rsidR="00EA6F40" w:rsidRPr="002C66F1" w:rsidRDefault="00EA6F40" w:rsidP="002C66F1">
            <w:r w:rsidRPr="002C66F1">
              <w:t>N= 3018</w:t>
            </w:r>
          </w:p>
          <w:p w:rsidR="00EA6F40" w:rsidRPr="002C66F1" w:rsidRDefault="00EA6F40" w:rsidP="002C66F1">
            <w:r w:rsidRPr="002C66F1">
              <w:t>Panshan &amp; Zhangwu (northeastern</w:t>
            </w:r>
          </w:p>
          <w:p w:rsidR="00EA6F40" w:rsidRPr="002C66F1" w:rsidRDefault="00EA6F40" w:rsidP="002C66F1">
            <w:r w:rsidRPr="002C66F1">
              <w:t xml:space="preserve">China, mild-moderate ID) &amp;  </w:t>
            </w:r>
          </w:p>
          <w:p w:rsidR="00EA6F40" w:rsidRPr="002C66F1" w:rsidRDefault="00EA6F40" w:rsidP="002C66F1">
            <w:r w:rsidRPr="002C66F1">
              <w:t>Huanghua (excessive</w:t>
            </w:r>
          </w:p>
          <w:p w:rsidR="00EA6F40" w:rsidRPr="002C66F1" w:rsidRDefault="002C66F1" w:rsidP="002C66F1">
            <w:r w:rsidRPr="002C66F1">
              <w:t xml:space="preserve">Iodine intake) </w:t>
            </w:r>
          </w:p>
        </w:tc>
        <w:tc>
          <w:tcPr>
            <w:tcW w:w="1559" w:type="dxa"/>
            <w:noWrap/>
          </w:tcPr>
          <w:p w:rsidR="00EA6F40" w:rsidRPr="002C66F1" w:rsidRDefault="00EA6F40" w:rsidP="002C66F1">
            <w:pPr>
              <w:rPr>
                <w:color w:val="000000"/>
                <w:shd w:val="clear" w:color="auto" w:fill="FFFFFF"/>
                <w:lang w:val="en-GB"/>
              </w:rPr>
            </w:pPr>
            <w:r w:rsidRPr="002C66F1">
              <w:rPr>
                <w:color w:val="000000"/>
                <w:shd w:val="clear" w:color="auto" w:fill="FFFFFF"/>
                <w:lang w:val="en-GB"/>
              </w:rPr>
              <w:t>TV, nodule</w:t>
            </w:r>
            <w:r w:rsidR="002C66F1" w:rsidRPr="002C66F1">
              <w:rPr>
                <w:color w:val="000000"/>
                <w:shd w:val="clear" w:color="auto" w:fill="FFFFFF"/>
                <w:lang w:val="en-GB"/>
              </w:rPr>
              <w:t>s, TSH, UIC, Anti-TPO, TG, TGAb</w:t>
            </w:r>
          </w:p>
        </w:tc>
        <w:tc>
          <w:tcPr>
            <w:tcW w:w="1701" w:type="dxa"/>
            <w:noWrap/>
          </w:tcPr>
          <w:p w:rsidR="00EA6F40" w:rsidRPr="002C66F1" w:rsidRDefault="00EA6F40" w:rsidP="002C66F1">
            <w:pPr>
              <w:rPr>
                <w:color w:val="000000"/>
                <w:lang w:val="en-GB"/>
              </w:rPr>
            </w:pPr>
          </w:p>
        </w:tc>
        <w:tc>
          <w:tcPr>
            <w:tcW w:w="3401" w:type="dxa"/>
          </w:tcPr>
          <w:p w:rsidR="00EA6F40" w:rsidRPr="002C66F1" w:rsidRDefault="00EA6F40" w:rsidP="002C66F1">
            <w:pPr>
              <w:rPr>
                <w:color w:val="000000"/>
                <w:shd w:val="clear" w:color="auto" w:fill="FFFFFF"/>
                <w:lang w:val="en-GB"/>
              </w:rPr>
            </w:pPr>
            <w:r w:rsidRPr="002C66F1">
              <w:rPr>
                <w:color w:val="000000"/>
                <w:shd w:val="clear" w:color="auto" w:fill="FFFFFF"/>
                <w:lang w:val="en-GB"/>
              </w:rPr>
              <w:t xml:space="preserve">Among the mildly deficient iodine intake, those with more than adequate intake, &amp; those with excessive intake, the cumulative incidence of overt hypothyroidism was 0.2%, 0.5%, &amp; 0.3%, respectively; that of subclinical hypothyroidism, 0.2%, 2.6%, &amp; 2.9%, respectively; &amp; that of autoimmune thyroiditis, 0.2%, 1.0%, &amp; 1.3%, respectively. </w:t>
            </w:r>
          </w:p>
          <w:p w:rsidR="00EA6F40" w:rsidRPr="002C66F1" w:rsidRDefault="00EA6F40" w:rsidP="002C66F1">
            <w:pPr>
              <w:rPr>
                <w:lang w:val="en-GB"/>
              </w:rPr>
            </w:pPr>
            <w:r w:rsidRPr="002C66F1">
              <w:rPr>
                <w:color w:val="000000"/>
                <w:shd w:val="clear" w:color="auto" w:fill="FFFFFF"/>
                <w:lang w:val="en-GB"/>
              </w:rPr>
              <w:t xml:space="preserve">Among subjects with euthyroidism &amp; antithyroid antibodies at baseline, the 5-yr incidence of elevated serum thyrotropin levels was greater among those with more than adequate or excessive iodine intake than among those with mildly deficient iodine intake. A baseline serum thyrotropin level of 1.0 to 1.9 mIU per litre was associated with the lowest subsequent incidence of abnormal thyroid </w:t>
            </w:r>
            <w:r w:rsidRPr="002C66F1">
              <w:rPr>
                <w:color w:val="000000"/>
                <w:shd w:val="clear" w:color="auto" w:fill="FFFFFF"/>
                <w:lang w:val="en-GB"/>
              </w:rPr>
              <w:lastRenderedPageBreak/>
              <w:t>function.</w:t>
            </w:r>
          </w:p>
        </w:tc>
        <w:tc>
          <w:tcPr>
            <w:tcW w:w="1419" w:type="dxa"/>
          </w:tcPr>
          <w:p w:rsidR="00EA6F40" w:rsidRPr="002C66F1" w:rsidRDefault="00EA6F40" w:rsidP="002C66F1">
            <w:pPr>
              <w:rPr>
                <w:color w:val="000000"/>
                <w:lang w:val="en-GB"/>
              </w:rPr>
            </w:pPr>
          </w:p>
        </w:tc>
        <w:tc>
          <w:tcPr>
            <w:tcW w:w="1557" w:type="dxa"/>
          </w:tcPr>
          <w:p w:rsidR="00EA6F40" w:rsidRPr="002C66F1" w:rsidRDefault="00EA6F40" w:rsidP="002C66F1">
            <w:pPr>
              <w:rPr>
                <w:color w:val="000000"/>
                <w:lang w:val="en-GB"/>
              </w:rPr>
            </w:pPr>
            <w:r w:rsidRPr="002C66F1">
              <w:rPr>
                <w:color w:val="000000"/>
                <w:lang w:val="en-GB"/>
              </w:rPr>
              <w:t>Level III-2</w:t>
            </w:r>
          </w:p>
          <w:p w:rsidR="00EA6F40" w:rsidRPr="002C66F1" w:rsidRDefault="00EA6F40" w:rsidP="002C66F1">
            <w:pPr>
              <w:rPr>
                <w:color w:val="000000"/>
                <w:lang w:val="en-GB"/>
              </w:rPr>
            </w:pPr>
            <w:r w:rsidRPr="002C66F1">
              <w:rPr>
                <w:color w:val="000000"/>
                <w:lang w:val="en-GB"/>
              </w:rPr>
              <w:t>But with caveats</w:t>
            </w:r>
          </w:p>
          <w:p w:rsidR="00EA6F40" w:rsidRPr="002C66F1" w:rsidRDefault="00EA6F40" w:rsidP="002C66F1">
            <w:pPr>
              <w:rPr>
                <w:color w:val="000000"/>
                <w:lang w:val="en-GB"/>
              </w:rPr>
            </w:pPr>
            <w:r w:rsidRPr="002C66F1">
              <w:rPr>
                <w:color w:val="000000"/>
                <w:lang w:val="en-GB"/>
              </w:rPr>
              <w:t>Analysis by region (n = 3 groups). Group defined as mild iodine deficiency had MUIC of  97 (46-137) ug/L – “normal”?</w:t>
            </w:r>
          </w:p>
          <w:p w:rsidR="00EA6F40" w:rsidRPr="002C66F1" w:rsidRDefault="00EA6F40" w:rsidP="002C66F1">
            <w:pPr>
              <w:rPr>
                <w:color w:val="000000"/>
                <w:lang w:val="en-GB"/>
              </w:rPr>
            </w:pPr>
            <w:r w:rsidRPr="002C66F1">
              <w:rPr>
                <w:color w:val="000000"/>
                <w:lang w:val="en-GB"/>
              </w:rPr>
              <w:t xml:space="preserve">No adverse effect on overt hypothyroidism. Good retention (80%), similar across three regions of high MUIC, but some evidence of increased effect at MUIC </w:t>
            </w:r>
            <w:r w:rsidRPr="002C66F1">
              <w:rPr>
                <w:color w:val="000000"/>
                <w:lang w:val="en-GB"/>
              </w:rPr>
              <w:lastRenderedPageBreak/>
              <w:t xml:space="preserve">&gt; 200 ug/L for subclinical hypothyrodism  and autoimmune thyroiditis. </w:t>
            </w:r>
          </w:p>
          <w:p w:rsidR="00EA6F40" w:rsidRPr="002C66F1" w:rsidRDefault="00EA6F40" w:rsidP="002C66F1">
            <w:pPr>
              <w:rPr>
                <w:rFonts w:eastAsia="OTNEJMQuadraat"/>
              </w:rPr>
            </w:pPr>
            <w:r w:rsidRPr="002C66F1">
              <w:rPr>
                <w:rFonts w:eastAsia="OTNEJMQuadraat"/>
              </w:rPr>
              <w:t>5 yr follow-up may be too short for long latency period disease</w:t>
            </w:r>
          </w:p>
          <w:p w:rsidR="00EA6F40" w:rsidRPr="002C66F1" w:rsidRDefault="00EA6F40" w:rsidP="002C66F1">
            <w:pPr>
              <w:rPr>
                <w:color w:val="000000"/>
                <w:lang w:val="en-GB"/>
              </w:rPr>
            </w:pPr>
            <w:r w:rsidRPr="002C66F1">
              <w:rPr>
                <w:color w:val="000000"/>
                <w:lang w:val="en-GB"/>
              </w:rPr>
              <w:t>Generalizability t</w:t>
            </w:r>
            <w:r w:rsidR="002C66F1">
              <w:rPr>
                <w:color w:val="000000"/>
                <w:lang w:val="en-GB"/>
              </w:rPr>
              <w:t>o Australia and NZ questionable</w:t>
            </w:r>
          </w:p>
        </w:tc>
      </w:tr>
      <w:tr w:rsidR="00EA6F40" w:rsidRPr="00C875F5" w:rsidTr="00EA6F40">
        <w:trPr>
          <w:trHeight w:val="1826"/>
        </w:trPr>
        <w:tc>
          <w:tcPr>
            <w:tcW w:w="1575" w:type="dxa"/>
            <w:noWrap/>
          </w:tcPr>
          <w:p w:rsidR="00EA6F40" w:rsidRPr="002C66F1" w:rsidRDefault="00EA6F40" w:rsidP="002C66F1">
            <w:r w:rsidRPr="002C66F1">
              <w:lastRenderedPageBreak/>
              <w:t xml:space="preserve">Tonacchera et al, 2012 </w:t>
            </w:r>
            <w:r w:rsidRPr="002C66F1">
              <w:fldChar w:fldCharType="begin">
                <w:fldData xml:space="preserve">PEVuZE5vdGU+PENpdGU+PEF1dGhvcj5Ub25hY2NoZXJhPC9BdXRob3I+PFllYXI+MjAxMzwvWWVh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</w:fldData>
              </w:fldChar>
            </w:r>
            <w:r w:rsidRPr="002C66F1">
              <w:instrText xml:space="preserve"> ADDIN EN.CITE </w:instrText>
            </w:r>
            <w:r w:rsidRPr="002C66F1">
              <w:fldChar w:fldCharType="begin">
                <w:fldData xml:space="preserve">PEVuZE5vdGU+PENpdGU+PEF1dGhvcj5Ub25hY2NoZXJhPC9BdXRob3I+PFllYXI+MjAxMzwvWWVh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</w:fldData>
              </w:fldChar>
            </w:r>
            <w:r w:rsidRPr="002C66F1">
              <w:instrText xml:space="preserve"> ADDIN EN.CITE.DATA </w:instrText>
            </w:r>
            <w:r w:rsidRPr="002C66F1">
              <w:fldChar w:fldCharType="end"/>
            </w:r>
            <w:r w:rsidRPr="002C66F1">
              <w:fldChar w:fldCharType="end"/>
            </w:r>
          </w:p>
          <w:p w:rsidR="00EA6F40" w:rsidRPr="002C66F1" w:rsidRDefault="00EA6F40" w:rsidP="002C66F1">
            <w:pPr>
              <w:rPr>
                <w:color w:val="000000"/>
                <w:lang w:val="en-GB"/>
              </w:rPr>
            </w:pPr>
            <w:r w:rsidRPr="002C66F1">
              <w:rPr>
                <w:color w:val="000000"/>
                <w:lang w:val="en-GB"/>
              </w:rPr>
              <w:t>Italy</w:t>
            </w:r>
          </w:p>
        </w:tc>
        <w:tc>
          <w:tcPr>
            <w:tcW w:w="1418" w:type="dxa"/>
          </w:tcPr>
          <w:p w:rsidR="00EA6F40" w:rsidRPr="002C66F1" w:rsidRDefault="00EA6F40" w:rsidP="002C66F1">
            <w:r w:rsidRPr="002C66F1">
              <w:t xml:space="preserve">Intervention </w:t>
            </w:r>
          </w:p>
          <w:p w:rsidR="00EA6F40" w:rsidRPr="002C66F1" w:rsidRDefault="00EA6F40" w:rsidP="002C66F1">
            <w:r w:rsidRPr="002C66F1">
              <w:t>Iodized vegetables</w:t>
            </w:r>
          </w:p>
          <w:p w:rsidR="00EA6F40" w:rsidRPr="002C66F1" w:rsidRDefault="00EA6F40" w:rsidP="002C66F1">
            <w:r w:rsidRPr="002C66F1">
              <w:t>Vege serve =</w:t>
            </w:r>
          </w:p>
          <w:p w:rsidR="00EA6F40" w:rsidRPr="002C66F1" w:rsidRDefault="00EA6F40" w:rsidP="002C66F1">
            <w:r w:rsidRPr="002C66F1">
              <w:t xml:space="preserve">100 g potatoes, carrots, </w:t>
            </w:r>
            <w:r w:rsidRPr="002C66F1">
              <w:lastRenderedPageBreak/>
              <w:t>tomatoes, or sal</w:t>
            </w:r>
            <w:r w:rsidR="002C66F1">
              <w:t xml:space="preserve">ad containing 45 mg of iodine. </w:t>
            </w:r>
          </w:p>
        </w:tc>
        <w:tc>
          <w:tcPr>
            <w:tcW w:w="1842" w:type="dxa"/>
          </w:tcPr>
          <w:p w:rsidR="00EA6F40" w:rsidRPr="002C66F1" w:rsidRDefault="00EA6F40" w:rsidP="002C66F1">
            <w:pPr>
              <w:rPr>
                <w:color w:val="000000"/>
                <w:lang w:val="en-GB"/>
              </w:rPr>
            </w:pPr>
            <w:r w:rsidRPr="002C66F1">
              <w:rPr>
                <w:color w:val="000000"/>
                <w:lang w:val="en-GB"/>
              </w:rPr>
              <w:lastRenderedPageBreak/>
              <w:t>N=50 (age 19-50)</w:t>
            </w:r>
          </w:p>
          <w:p w:rsidR="00EA6F40" w:rsidRPr="002C66F1" w:rsidRDefault="00EA6F40" w:rsidP="002C66F1">
            <w:pPr>
              <w:rPr>
                <w:color w:val="000000"/>
                <w:lang w:val="en-GB"/>
              </w:rPr>
            </w:pPr>
            <w:r w:rsidRPr="002C66F1">
              <w:t>Participants consumed a single serving of vegetables /day for 2wks</w:t>
            </w:r>
          </w:p>
        </w:tc>
        <w:tc>
          <w:tcPr>
            <w:tcW w:w="1559" w:type="dxa"/>
            <w:noWrap/>
          </w:tcPr>
          <w:p w:rsidR="00EA6F40" w:rsidRPr="002C66F1" w:rsidRDefault="00EA6F40" w:rsidP="002C66F1">
            <w:r w:rsidRPr="002C66F1">
              <w:t>UI excretion (baseline, during &amp; end of study). TV, TSH, FT4, FT3, TPOAb,</w:t>
            </w:r>
            <w:r w:rsidR="002C66F1" w:rsidRPr="002C66F1">
              <w:t xml:space="preserve"> TGAb (baseline &amp; end of study)</w:t>
            </w:r>
          </w:p>
        </w:tc>
        <w:tc>
          <w:tcPr>
            <w:tcW w:w="1701" w:type="dxa"/>
            <w:noWrap/>
          </w:tcPr>
          <w:p w:rsidR="00EA6F40" w:rsidRPr="002C66F1" w:rsidRDefault="00EA6F40" w:rsidP="002C66F1">
            <w:pPr>
              <w:rPr>
                <w:color w:val="000000"/>
                <w:lang w:val="en-GB"/>
              </w:rPr>
            </w:pPr>
          </w:p>
        </w:tc>
        <w:tc>
          <w:tcPr>
            <w:tcW w:w="3401" w:type="dxa"/>
          </w:tcPr>
          <w:p w:rsidR="00EA6F40" w:rsidRPr="002C66F1" w:rsidRDefault="00EA6F40" w:rsidP="002C66F1">
            <w:pPr>
              <w:rPr>
                <w:color w:val="000000"/>
                <w:lang w:val="en-GB"/>
              </w:rPr>
            </w:pPr>
            <w:r w:rsidRPr="002C66F1">
              <w:t xml:space="preserve">The UI concentration measured in volunteers before the intake of vegetables was 98.3 mg/L (basal value), increasing to 117.5 mg/L during the intake of vegetables. 7 days after the discontinuation of vegetable intake, UI was 85 mg/L. UIC increment was 19.6% compared with the basal value (P </w:t>
            </w:r>
            <w:r w:rsidRPr="002C66F1">
              <w:lastRenderedPageBreak/>
              <w:t>=0.035).</w:t>
            </w:r>
          </w:p>
        </w:tc>
        <w:tc>
          <w:tcPr>
            <w:tcW w:w="1419" w:type="dxa"/>
          </w:tcPr>
          <w:p w:rsidR="00EA6F40" w:rsidRPr="002C66F1" w:rsidRDefault="00EA6F40" w:rsidP="002C66F1">
            <w:pPr>
              <w:rPr>
                <w:color w:val="000000"/>
                <w:lang w:val="en-GB"/>
              </w:rPr>
            </w:pPr>
          </w:p>
        </w:tc>
        <w:tc>
          <w:tcPr>
            <w:tcW w:w="1557" w:type="dxa"/>
          </w:tcPr>
          <w:p w:rsidR="00EA6F40" w:rsidRPr="002C66F1" w:rsidRDefault="00EA6F40" w:rsidP="002C66F1">
            <w:pPr>
              <w:rPr>
                <w:lang w:val="en-GB"/>
              </w:rPr>
            </w:pPr>
            <w:r w:rsidRPr="002C66F1">
              <w:rPr>
                <w:lang w:val="en-GB"/>
              </w:rPr>
              <w:t>Level IV</w:t>
            </w:r>
          </w:p>
          <w:p w:rsidR="00EA6F40" w:rsidRPr="002C66F1" w:rsidRDefault="00EA6F40" w:rsidP="002C66F1">
            <w:pPr>
              <w:rPr>
                <w:lang w:val="en-GB"/>
              </w:rPr>
            </w:pPr>
            <w:r w:rsidRPr="002C66F1">
              <w:rPr>
                <w:lang w:val="en-GB"/>
              </w:rPr>
              <w:t>Non-randomised</w:t>
            </w:r>
          </w:p>
          <w:p w:rsidR="00EA6F40" w:rsidRPr="002C66F1" w:rsidRDefault="00EA6F40" w:rsidP="002C66F1">
            <w:pPr>
              <w:rPr>
                <w:lang w:val="en-GB"/>
              </w:rPr>
            </w:pPr>
            <w:r w:rsidRPr="002C66F1">
              <w:rPr>
                <w:lang w:val="en-GB"/>
              </w:rPr>
              <w:t>No control group</w:t>
            </w:r>
          </w:p>
          <w:p w:rsidR="00EA6F40" w:rsidRPr="00C875F5" w:rsidRDefault="00EA6F40" w:rsidP="002C66F1">
            <w:pPr>
              <w:rPr>
                <w:lang w:val="en-GB"/>
              </w:rPr>
            </w:pPr>
            <w:r w:rsidRPr="002C66F1">
              <w:rPr>
                <w:lang w:val="en-GB"/>
              </w:rPr>
              <w:t>Before-after design</w:t>
            </w:r>
          </w:p>
        </w:tc>
      </w:tr>
      <w:tr w:rsidR="00EA6F40" w:rsidRPr="00C875F5" w:rsidTr="00EA6F40">
        <w:trPr>
          <w:trHeight w:val="940"/>
        </w:trPr>
        <w:tc>
          <w:tcPr>
            <w:tcW w:w="1575" w:type="dxa"/>
            <w:noWrap/>
          </w:tcPr>
          <w:p w:rsidR="00EA6F40" w:rsidRPr="002C66F1" w:rsidRDefault="00EA6F40" w:rsidP="002C66F1">
            <w:r w:rsidRPr="002C66F1">
              <w:rPr>
                <w:noProof/>
              </w:rPr>
              <w:lastRenderedPageBreak/>
              <w:t>van de Ven et al, 2014</w:t>
            </w:r>
          </w:p>
          <w:p w:rsidR="00EA6F40" w:rsidRPr="002C66F1" w:rsidRDefault="00EA6F40" w:rsidP="002C66F1">
            <w:r w:rsidRPr="002C66F1">
              <w:t>Nijmegen, Netherlands</w:t>
            </w:r>
          </w:p>
        </w:tc>
        <w:tc>
          <w:tcPr>
            <w:tcW w:w="1418" w:type="dxa"/>
          </w:tcPr>
          <w:p w:rsidR="00EA6F40" w:rsidRPr="002C66F1" w:rsidRDefault="00EA6F40" w:rsidP="002C66F1">
            <w:r w:rsidRPr="002C66F1">
              <w:t>Two cross sectional surveys</w:t>
            </w:r>
          </w:p>
        </w:tc>
        <w:tc>
          <w:tcPr>
            <w:tcW w:w="1842" w:type="dxa"/>
          </w:tcPr>
          <w:p w:rsidR="00EA6F40" w:rsidRPr="002C66F1" w:rsidRDefault="00EA6F40" w:rsidP="002C66F1">
            <w:pPr>
              <w:rPr>
                <w:color w:val="000000"/>
                <w:lang w:val="en-GB"/>
              </w:rPr>
            </w:pPr>
            <w:r w:rsidRPr="002C66F1">
              <w:t>N=980</w:t>
            </w:r>
          </w:p>
        </w:tc>
        <w:tc>
          <w:tcPr>
            <w:tcW w:w="1559" w:type="dxa"/>
            <w:noWrap/>
          </w:tcPr>
          <w:p w:rsidR="00EA6F40" w:rsidRPr="002C66F1" w:rsidRDefault="00EA6F40" w:rsidP="002C66F1">
            <w:r w:rsidRPr="002C66F1">
              <w:t>UIC, TSH, TT3, FT4 &amp; TPOAb</w:t>
            </w:r>
          </w:p>
        </w:tc>
        <w:tc>
          <w:tcPr>
            <w:tcW w:w="1701" w:type="dxa"/>
            <w:noWrap/>
          </w:tcPr>
          <w:p w:rsidR="00EA6F40" w:rsidRPr="002C66F1" w:rsidRDefault="00EA6F40" w:rsidP="002C66F1">
            <w:pPr>
              <w:rPr>
                <w:color w:val="000000"/>
                <w:lang w:val="en-GB"/>
              </w:rPr>
            </w:pPr>
            <w:r w:rsidRPr="002C66F1">
              <w:rPr>
                <w:rFonts w:eastAsia="Times New Roman"/>
                <w:color w:val="000000"/>
                <w:lang w:val="en-GB"/>
              </w:rPr>
              <w:t>No assessment</w:t>
            </w:r>
          </w:p>
        </w:tc>
        <w:tc>
          <w:tcPr>
            <w:tcW w:w="3401" w:type="dxa"/>
          </w:tcPr>
          <w:p w:rsidR="00EA6F40" w:rsidRPr="002C66F1" w:rsidRDefault="00EA6F40" w:rsidP="002C66F1">
            <w:r w:rsidRPr="002C66F1">
              <w:t>At follow-up, the median UIC was 130 μg/L. TSH decreased by 5.4% (95%CI 2.5-8.3%) &amp; FT4 increased by 3.7% (95%CI 2.9-4.65).</w:t>
            </w:r>
          </w:p>
        </w:tc>
        <w:tc>
          <w:tcPr>
            <w:tcW w:w="1419" w:type="dxa"/>
          </w:tcPr>
          <w:p w:rsidR="00EA6F40" w:rsidRPr="002C66F1" w:rsidRDefault="00EA6F40" w:rsidP="002C66F1">
            <w:pPr>
              <w:rPr>
                <w:color w:val="000000"/>
                <w:lang w:val="en-GB"/>
              </w:rPr>
            </w:pPr>
          </w:p>
        </w:tc>
        <w:tc>
          <w:tcPr>
            <w:tcW w:w="1557" w:type="dxa"/>
          </w:tcPr>
          <w:p w:rsidR="00EA6F40" w:rsidRPr="002C66F1" w:rsidRDefault="00EA6F40" w:rsidP="00EA6F40">
            <w:pPr>
              <w:rPr>
                <w:lang w:val="en-GB"/>
              </w:rPr>
            </w:pPr>
            <w:r w:rsidRPr="002C66F1">
              <w:rPr>
                <w:lang w:val="en-GB"/>
              </w:rPr>
              <w:t>Level IV</w:t>
            </w:r>
          </w:p>
        </w:tc>
      </w:tr>
      <w:tr w:rsidR="00EA6F40" w:rsidRPr="00C875F5" w:rsidTr="00EA6F40">
        <w:trPr>
          <w:trHeight w:val="300"/>
        </w:trPr>
        <w:tc>
          <w:tcPr>
            <w:tcW w:w="1575" w:type="dxa"/>
            <w:noWrap/>
          </w:tcPr>
          <w:p w:rsidR="00EA6F40" w:rsidRPr="002C66F1" w:rsidRDefault="00EA6F40" w:rsidP="002C66F1">
            <w:r w:rsidRPr="002C66F1">
              <w:t xml:space="preserve">Vejbjerg et al, 2007 </w:t>
            </w:r>
          </w:p>
          <w:p w:rsidR="00EA6F40" w:rsidRPr="002C66F1" w:rsidRDefault="00EA6F40" w:rsidP="002C66F1">
            <w:r w:rsidRPr="002C66F1">
              <w:t xml:space="preserve">Northern </w:t>
            </w:r>
          </w:p>
          <w:p w:rsidR="00EA6F40" w:rsidRPr="002C66F1" w:rsidRDefault="002C66F1" w:rsidP="002C66F1">
            <w:r>
              <w:t xml:space="preserve">Copenhagen, &amp; Aalborg </w:t>
            </w:r>
          </w:p>
        </w:tc>
        <w:tc>
          <w:tcPr>
            <w:tcW w:w="1418" w:type="dxa"/>
          </w:tcPr>
          <w:p w:rsidR="00EA6F40" w:rsidRPr="002C66F1" w:rsidRDefault="00EA6F40" w:rsidP="002C66F1">
            <w:pPr>
              <w:rPr>
                <w:color w:val="000000"/>
                <w:lang w:val="en-GB"/>
              </w:rPr>
            </w:pPr>
            <w:r w:rsidRPr="002C66F1">
              <w:t>Two cross-sectional studies before &amp; after mandatory fortification</w:t>
            </w:r>
          </w:p>
        </w:tc>
        <w:tc>
          <w:tcPr>
            <w:tcW w:w="1842" w:type="dxa"/>
          </w:tcPr>
          <w:p w:rsidR="00EA6F40" w:rsidRPr="002C66F1" w:rsidRDefault="00EA6F40" w:rsidP="002C66F1">
            <w:pPr>
              <w:rPr>
                <w:color w:val="000000"/>
                <w:lang w:val="en-GB"/>
              </w:rPr>
            </w:pPr>
            <w:r w:rsidRPr="002C66F1">
              <w:rPr>
                <w:color w:val="000000"/>
                <w:lang w:val="en-GB"/>
              </w:rPr>
              <w:t xml:space="preserve">Group 1: n= 4649 (median UI 61 </w:t>
            </w:r>
            <w:r w:rsidRPr="002C66F1">
              <w:rPr>
                <w:color w:val="000000"/>
                <w:shd w:val="clear" w:color="auto" w:fill="FFFFFF"/>
                <w:lang w:val="en-GB"/>
              </w:rPr>
              <w:t>μg/litre</w:t>
            </w:r>
            <w:r w:rsidRPr="002C66F1">
              <w:rPr>
                <w:color w:val="000000"/>
                <w:lang w:val="en-GB"/>
              </w:rPr>
              <w:t>) (</w:t>
            </w:r>
            <w:r w:rsidRPr="002C66F1">
              <w:t>before fortification of salt was introduced)</w:t>
            </w:r>
          </w:p>
          <w:p w:rsidR="00EA6F40" w:rsidRPr="002C66F1" w:rsidRDefault="00EA6F40" w:rsidP="002C66F1">
            <w:r w:rsidRPr="002C66F1">
              <w:rPr>
                <w:color w:val="000000"/>
                <w:lang w:val="en-GB"/>
              </w:rPr>
              <w:t>Group 2: n= 3570 (median UI 101</w:t>
            </w:r>
            <w:r w:rsidRPr="002C66F1">
              <w:rPr>
                <w:color w:val="000000"/>
                <w:shd w:val="clear" w:color="auto" w:fill="FFFFFF"/>
                <w:lang w:val="en-GB"/>
              </w:rPr>
              <w:t xml:space="preserve"> μg/litre</w:t>
            </w:r>
            <w:r w:rsidRPr="002C66F1">
              <w:rPr>
                <w:color w:val="000000"/>
                <w:lang w:val="en-GB"/>
              </w:rPr>
              <w:t>)</w:t>
            </w:r>
            <w:r w:rsidRPr="002C66F1">
              <w:t>(after mandatory iodization of salt)</w:t>
            </w:r>
          </w:p>
        </w:tc>
        <w:tc>
          <w:tcPr>
            <w:tcW w:w="1559" w:type="dxa"/>
            <w:noWrap/>
          </w:tcPr>
          <w:p w:rsidR="00EA6F40" w:rsidRPr="002C66F1" w:rsidRDefault="00EA6F40" w:rsidP="002C66F1">
            <w:r w:rsidRPr="002C66F1">
              <w:t>TV, nodules, UIC</w:t>
            </w:r>
          </w:p>
        </w:tc>
        <w:tc>
          <w:tcPr>
            <w:tcW w:w="1701" w:type="dxa"/>
            <w:noWrap/>
          </w:tcPr>
          <w:p w:rsidR="00EA6F40" w:rsidRPr="002C66F1" w:rsidRDefault="00EA6F40" w:rsidP="002C66F1">
            <w:pPr>
              <w:rPr>
                <w:color w:val="000000"/>
                <w:lang w:val="en-GB"/>
              </w:rPr>
            </w:pPr>
            <w:r w:rsidRPr="002C66F1">
              <w:rPr>
                <w:color w:val="000000"/>
                <w:lang w:val="en-GB"/>
              </w:rPr>
              <w:t>Questionnaire on eating &amp; drinking habits</w:t>
            </w:r>
          </w:p>
        </w:tc>
        <w:tc>
          <w:tcPr>
            <w:tcW w:w="3401" w:type="dxa"/>
          </w:tcPr>
          <w:p w:rsidR="00EA6F40" w:rsidRPr="002C66F1" w:rsidRDefault="00EA6F40" w:rsidP="002C66F1">
            <w:pPr>
              <w:rPr>
                <w:color w:val="000000"/>
                <w:shd w:val="clear" w:color="auto" w:fill="FFFFFF"/>
                <w:lang w:val="en-GB"/>
              </w:rPr>
            </w:pPr>
            <w:r w:rsidRPr="002C66F1">
              <w:rPr>
                <w:color w:val="000000"/>
                <w:shd w:val="clear" w:color="auto" w:fill="FFFFFF"/>
                <w:lang w:val="en-GB"/>
              </w:rPr>
              <w:t xml:space="preserve">There was a lower median TV in all age groups after iodization. The largest relative decline was among the younger females from the area with previous, moderate iodine deficiency. After iodization, there were no regional differences in median TV in the age groups younger than 45 yr. </w:t>
            </w:r>
          </w:p>
          <w:p w:rsidR="00EA6F40" w:rsidRPr="002C66F1" w:rsidRDefault="00EA6F40" w:rsidP="002C66F1">
            <w:pPr>
              <w:rPr>
                <w:lang w:val="en-GB"/>
              </w:rPr>
            </w:pPr>
            <w:r w:rsidRPr="002C66F1">
              <w:rPr>
                <w:color w:val="000000"/>
                <w:shd w:val="clear" w:color="auto" w:fill="FFFFFF"/>
                <w:lang w:val="en-GB"/>
              </w:rPr>
              <w:t xml:space="preserve">After adjustment, a lower mean TV was seen among those with multiple nodules in both areas &amp; in </w:t>
            </w:r>
            <w:r w:rsidRPr="002C66F1">
              <w:rPr>
                <w:color w:val="000000"/>
                <w:shd w:val="clear" w:color="auto" w:fill="FFFFFF"/>
                <w:lang w:val="en-GB"/>
              </w:rPr>
              <w:lastRenderedPageBreak/>
              <w:t>the group with diffuse structure in the area with moderate iodine deficiency. Before the iodization, 17.6% of the total cross-section had thyroid enlargement; after the iodization, 10.9% of the cross-section had thyroid enlargement.</w:t>
            </w:r>
          </w:p>
        </w:tc>
        <w:tc>
          <w:tcPr>
            <w:tcW w:w="1419" w:type="dxa"/>
          </w:tcPr>
          <w:p w:rsidR="00EA6F40" w:rsidRPr="002C66F1" w:rsidRDefault="00EA6F40" w:rsidP="002C66F1">
            <w:r w:rsidRPr="002C66F1">
              <w:lastRenderedPageBreak/>
              <w:t>region, sex, age, lifestyle (tobacco, alcohol, iodine supplementation, &amp; oral contraceptives), familial disposition</w:t>
            </w:r>
          </w:p>
          <w:p w:rsidR="00EA6F40" w:rsidRPr="002C66F1" w:rsidRDefault="00EA6F40" w:rsidP="002C66F1">
            <w:r w:rsidRPr="002C66F1">
              <w:t xml:space="preserve">(at least one first-degree </w:t>
            </w:r>
            <w:r w:rsidRPr="002C66F1">
              <w:lastRenderedPageBreak/>
              <w:t>relative with thyroid disease), educ</w:t>
            </w:r>
            <w:r w:rsidR="002C66F1">
              <w:t>ational level, parity, &amp; BMI</w:t>
            </w:r>
          </w:p>
        </w:tc>
        <w:tc>
          <w:tcPr>
            <w:tcW w:w="1557" w:type="dxa"/>
          </w:tcPr>
          <w:p w:rsidR="00EA6F40" w:rsidRPr="002C66F1" w:rsidRDefault="00EA6F40" w:rsidP="002C66F1">
            <w:pPr>
              <w:rPr>
                <w:lang w:val="en-GB"/>
              </w:rPr>
            </w:pPr>
            <w:r w:rsidRPr="00C875F5">
              <w:rPr>
                <w:lang w:val="en-GB"/>
              </w:rPr>
              <w:lastRenderedPageBreak/>
              <w:t>L</w:t>
            </w:r>
            <w:r w:rsidRPr="002C66F1">
              <w:rPr>
                <w:lang w:val="en-GB"/>
              </w:rPr>
              <w:t xml:space="preserve">evel IV </w:t>
            </w:r>
          </w:p>
          <w:p w:rsidR="00EA6F40" w:rsidRPr="002C66F1" w:rsidRDefault="00EA6F40" w:rsidP="002C66F1">
            <w:pPr>
              <w:rPr>
                <w:lang w:val="en-GB"/>
              </w:rPr>
            </w:pPr>
            <w:r w:rsidRPr="002C66F1">
              <w:rPr>
                <w:lang w:val="en-GB"/>
              </w:rPr>
              <w:t xml:space="preserve">Pre-post but in  different groups; intervention not controlled by researchers (more like a natural experiment – high risk of bias, no </w:t>
            </w:r>
            <w:r w:rsidRPr="002C66F1">
              <w:rPr>
                <w:lang w:val="en-GB"/>
              </w:rPr>
              <w:lastRenderedPageBreak/>
              <w:t xml:space="preserve">control of confounders). </w:t>
            </w:r>
          </w:p>
          <w:p w:rsidR="00EA6F40" w:rsidRPr="002C66F1" w:rsidRDefault="00EA6F40" w:rsidP="00EA6F40">
            <w:pPr>
              <w:rPr>
                <w:lang w:val="en-GB"/>
              </w:rPr>
            </w:pPr>
            <w:r w:rsidRPr="002C66F1">
              <w:rPr>
                <w:lang w:val="en-GB"/>
              </w:rPr>
              <w:t xml:space="preserve"> Rasmussen et al, 2008 </w:t>
            </w:r>
            <w:r w:rsidRPr="002C66F1">
              <w:rPr>
                <w:lang w:val="en-GB"/>
              </w:rPr>
              <w:fldChar w:fldCharType="begin">
                <w:fldData xml:space="preserve">PEVuZE5vdGU+PENpdGU+PEF1dGhvcj5SYXNtdXNzZW48L0F1dGhvcj48WWVhcj4yMDA4PC9ZZWFy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</w:fldData>
              </w:fldChar>
            </w:r>
            <w:r w:rsidRPr="002C66F1">
              <w:rPr>
                <w:lang w:val="en-GB"/>
              </w:rPr>
              <w:instrText xml:space="preserve"> ADDIN EN.CITE </w:instrText>
            </w:r>
            <w:r w:rsidRPr="002C66F1">
              <w:rPr>
                <w:lang w:val="en-GB"/>
              </w:rPr>
              <w:fldChar w:fldCharType="begin">
                <w:fldData xml:space="preserve">PEVuZE5vdGU+PENpdGU+PEF1dGhvcj5SYXNtdXNzZW48L0F1dGhvcj48WWVhcj4yMDA4PC9ZZWFy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</w:fldData>
              </w:fldChar>
            </w:r>
            <w:r w:rsidRPr="002C66F1">
              <w:rPr>
                <w:lang w:val="en-GB"/>
              </w:rPr>
              <w:instrText xml:space="preserve"> ADDIN EN.CITE.DATA </w:instrText>
            </w:r>
            <w:r w:rsidRPr="002C66F1">
              <w:rPr>
                <w:lang w:val="en-GB"/>
              </w:rPr>
            </w:r>
            <w:r w:rsidRPr="002C66F1">
              <w:rPr>
                <w:lang w:val="en-GB"/>
              </w:rPr>
              <w:fldChar w:fldCharType="end"/>
            </w:r>
            <w:r w:rsidRPr="002C66F1">
              <w:rPr>
                <w:lang w:val="en-GB"/>
              </w:rPr>
            </w:r>
            <w:r w:rsidRPr="002C66F1">
              <w:rPr>
                <w:lang w:val="en-GB"/>
              </w:rPr>
              <w:fldChar w:fldCharType="separate"/>
            </w:r>
            <w:r w:rsidRPr="002C66F1">
              <w:rPr>
                <w:noProof/>
                <w:lang w:val="en-GB"/>
              </w:rPr>
              <w:t>[</w:t>
            </w:r>
            <w:hyperlink w:anchor="_ENREF_63" w:tooltip="Rasmussen, 2008 #36" w:history="1">
              <w:r w:rsidRPr="002C66F1">
                <w:rPr>
                  <w:noProof/>
                  <w:lang w:val="en-GB"/>
                </w:rPr>
                <w:t>63</w:t>
              </w:r>
            </w:hyperlink>
            <w:r w:rsidRPr="002C66F1">
              <w:rPr>
                <w:noProof/>
                <w:lang w:val="en-GB"/>
              </w:rPr>
              <w:t>]</w:t>
            </w:r>
            <w:r w:rsidRPr="002C66F1">
              <w:rPr>
                <w:lang w:val="en-GB"/>
              </w:rPr>
              <w:fldChar w:fldCharType="end"/>
            </w:r>
          </w:p>
        </w:tc>
      </w:tr>
    </w:tbl>
    <w:p w:rsidR="0087574C" w:rsidRDefault="00EA6F40" w:rsidP="00FB02D6">
      <w:r w:rsidRPr="00FB02D6">
        <w:lastRenderedPageBreak/>
        <w:t xml:space="preserve">Abbreviations </w:t>
      </w:r>
      <w:r w:rsidRPr="00C875F5">
        <w:t>ID iodine deficiency</w:t>
      </w:r>
      <w:r w:rsidRPr="00C875F5">
        <w:rPr>
          <w:b/>
        </w:rPr>
        <w:t xml:space="preserve">, </w:t>
      </w:r>
      <w:r w:rsidRPr="00C875F5">
        <w:t xml:space="preserve">TV thyroid volume, </w:t>
      </w:r>
      <w:r w:rsidRPr="00CF5B95">
        <w:t>TRAb, thyrotropin receptor antibody</w:t>
      </w:r>
      <w:r>
        <w:t xml:space="preserve">, </w:t>
      </w:r>
      <w:r w:rsidRPr="00C875F5">
        <w:t xml:space="preserve">BMI Body Mass Index, UIC urinary iodine concentration, FFQ food frequency questionnaire, yr year, *NHMRC reference for quality rating. Aetiology ranking system used for studies used to determine EAR. </w:t>
      </w:r>
    </w:p>
    <w:p w:rsidR="00EA6F40" w:rsidRPr="0087574C" w:rsidRDefault="00EA6F40" w:rsidP="000A4E22">
      <w:pPr>
        <w:pStyle w:val="Heading2"/>
      </w:pPr>
      <w:bookmarkStart w:id="175" w:name="_Appendix_2:_Studies"/>
      <w:bookmarkStart w:id="176" w:name="_Toc433621810"/>
      <w:bookmarkEnd w:id="175"/>
      <w:r w:rsidRPr="0087574C">
        <w:t>Appendix 2: Studies relating to EAR for Pregnancy</w:t>
      </w:r>
      <w:bookmarkEnd w:id="176"/>
    </w:p>
    <w:p w:rsidR="00EA6F40" w:rsidRPr="00C875F5" w:rsidRDefault="007F0430" w:rsidP="00AE0695">
      <w:pPr>
        <w:pStyle w:val="Caption"/>
        <w:rPr>
          <w:sz w:val="24"/>
        </w:rPr>
      </w:pPr>
      <w:r>
        <w:t xml:space="preserve">Table </w:t>
      </w:r>
      <w:r w:rsidR="00CA2AA1">
        <w:fldChar w:fldCharType="begin"/>
      </w:r>
      <w:r w:rsidR="00CA2AA1">
        <w:instrText xml:space="preserve"> STYLEREF 1 \s </w:instrText>
      </w:r>
      <w:r w:rsidR="00CA2AA1">
        <w:fldChar w:fldCharType="separate"/>
      </w:r>
      <w:r w:rsidR="00CA2AA1">
        <w:rPr>
          <w:noProof/>
        </w:rPr>
        <w:t>7</w:t>
      </w:r>
      <w:r w:rsidR="00CA2AA1">
        <w:fldChar w:fldCharType="end"/>
      </w:r>
      <w:r w:rsidR="00CA2AA1">
        <w:t>:</w:t>
      </w:r>
      <w:r w:rsidR="00CA2AA1">
        <w:fldChar w:fldCharType="begin"/>
      </w:r>
      <w:r w:rsidR="00CA2AA1">
        <w:instrText xml:space="preserve"> SEQ Table \* ARABIC \s 1 </w:instrText>
      </w:r>
      <w:r w:rsidR="00CA2AA1">
        <w:fldChar w:fldCharType="separate"/>
      </w:r>
      <w:r w:rsidR="00CA2AA1">
        <w:rPr>
          <w:noProof/>
        </w:rPr>
        <w:t>3</w:t>
      </w:r>
      <w:r w:rsidR="00CA2AA1">
        <w:fldChar w:fldCharType="end"/>
      </w:r>
      <w:r w:rsidR="002C66F1">
        <w:rPr>
          <w:sz w:val="24"/>
        </w:rPr>
        <w:t xml:space="preserve"> </w:t>
      </w:r>
      <w:r w:rsidR="00EA6F40" w:rsidRPr="00C875F5">
        <w:rPr>
          <w:sz w:val="24"/>
        </w:rPr>
        <w:t>Body of Evidence for EAR and RDI for pregnant women</w:t>
      </w:r>
    </w:p>
    <w:p w:rsidR="00BA5093" w:rsidRDefault="00BA5093">
      <w:r w:rsidRPr="00BA5093">
        <w:rPr>
          <w:rStyle w:val="Strong"/>
        </w:rPr>
        <w:t>Review Question 3</w:t>
      </w:r>
      <w:r>
        <w:rPr>
          <w:rStyle w:val="Strong"/>
        </w:rPr>
        <w:t>:</w:t>
      </w:r>
      <w:r w:rsidRPr="00BA5093">
        <w:rPr>
          <w:rStyle w:val="IntenseEmphasis"/>
        </w:rPr>
        <w:t xml:space="preserve"> What is the average intake required by healthy pregnant women in a population to maintain normal thyroid function as measured by maternal thyroid function and neurodevelopment in their children?</w:t>
      </w:r>
    </w:p>
    <w:tbl>
      <w:tblPr>
        <w:tblStyle w:val="TableGrid1"/>
        <w:tblW w:w="14992" w:type="dxa"/>
        <w:tblInd w:w="-432" w:type="dxa"/>
        <w:tblLayout w:type="fixed"/>
        <w:tblLook w:val="04A0" w:firstRow="1" w:lastRow="0" w:firstColumn="1" w:lastColumn="0" w:noHBand="0" w:noVBand="1"/>
        <w:tblDescription w:val="Table 7.3  list the Estimated Average Requirement (EAR) and Recommended Daily Intake (RDI) for pregant women, against the question 'What is the average intake required by healthy pregnant women in a population to maintain normal thyroid function as measured by maternal thyroid function and neurodevelopment in their children?'.  This table contains 3 column headings; column 1. Component/s, column 2. Rating and column 3. Notes."/>
      </w:tblPr>
      <w:tblGrid>
        <w:gridCol w:w="2235"/>
        <w:gridCol w:w="1417"/>
        <w:gridCol w:w="11340"/>
      </w:tblGrid>
      <w:tr w:rsidR="00EA6F40" w:rsidRPr="00C875F5" w:rsidTr="006473C7">
        <w:trPr>
          <w:trHeight w:val="565"/>
          <w:tblHeader/>
        </w:trPr>
        <w:tc>
          <w:tcPr>
            <w:tcW w:w="2235" w:type="dxa"/>
            <w:vAlign w:val="center"/>
          </w:tcPr>
          <w:p w:rsidR="00EA6F40" w:rsidRPr="00BA5093" w:rsidRDefault="00EA6F40" w:rsidP="00EA6F40">
            <w:pPr>
              <w:rPr>
                <w:rStyle w:val="Strong"/>
              </w:rPr>
            </w:pPr>
            <w:r w:rsidRPr="00BA5093">
              <w:rPr>
                <w:rStyle w:val="Strong"/>
              </w:rPr>
              <w:t>Component</w:t>
            </w:r>
          </w:p>
        </w:tc>
        <w:tc>
          <w:tcPr>
            <w:tcW w:w="1417" w:type="dxa"/>
            <w:vAlign w:val="center"/>
          </w:tcPr>
          <w:p w:rsidR="00EA6F40" w:rsidRPr="00BA5093" w:rsidRDefault="00EA6F40" w:rsidP="00EA6F40">
            <w:pPr>
              <w:rPr>
                <w:rStyle w:val="Strong"/>
              </w:rPr>
            </w:pPr>
            <w:r w:rsidRPr="00BA5093">
              <w:rPr>
                <w:rStyle w:val="Strong"/>
              </w:rPr>
              <w:t>Rating</w:t>
            </w:r>
          </w:p>
        </w:tc>
        <w:tc>
          <w:tcPr>
            <w:tcW w:w="11340" w:type="dxa"/>
            <w:vAlign w:val="center"/>
          </w:tcPr>
          <w:p w:rsidR="00EA6F40" w:rsidRPr="00BA5093" w:rsidRDefault="00EA6F40" w:rsidP="00EA6F40">
            <w:pPr>
              <w:rPr>
                <w:rStyle w:val="Strong"/>
              </w:rPr>
            </w:pPr>
            <w:r w:rsidRPr="00BA5093">
              <w:rPr>
                <w:rStyle w:val="Strong"/>
              </w:rPr>
              <w:t>Notes</w:t>
            </w:r>
          </w:p>
        </w:tc>
      </w:tr>
      <w:tr w:rsidR="00EA6F40" w:rsidRPr="00C875F5" w:rsidTr="006473C7">
        <w:trPr>
          <w:trHeight w:val="411"/>
        </w:trPr>
        <w:tc>
          <w:tcPr>
            <w:tcW w:w="2235" w:type="dxa"/>
            <w:vAlign w:val="center"/>
          </w:tcPr>
          <w:p w:rsidR="00EA6F40" w:rsidRPr="002C66F1" w:rsidRDefault="00EA6F40" w:rsidP="002C66F1">
            <w:r w:rsidRPr="002C66F1">
              <w:t>Evidence Base</w:t>
            </w:r>
          </w:p>
        </w:tc>
        <w:tc>
          <w:tcPr>
            <w:tcW w:w="1417" w:type="dxa"/>
            <w:vAlign w:val="center"/>
          </w:tcPr>
          <w:p w:rsidR="00EA6F40" w:rsidRPr="002C66F1" w:rsidRDefault="00EA6F40" w:rsidP="002C66F1">
            <w:r w:rsidRPr="002C66F1">
              <w:t>Poor</w:t>
            </w:r>
          </w:p>
        </w:tc>
        <w:tc>
          <w:tcPr>
            <w:tcW w:w="11340" w:type="dxa"/>
            <w:vAlign w:val="center"/>
          </w:tcPr>
          <w:p w:rsidR="00EA6F40" w:rsidRPr="002C66F1" w:rsidRDefault="00EA6F40" w:rsidP="002C66F1">
            <w:r w:rsidRPr="002C66F1">
              <w:t>Thyroid function: 1 Level I study with low risk of bias + 10 Level III-2 (cohort) studies + 19 Level IV (cross sectional) studies</w:t>
            </w:r>
          </w:p>
          <w:p w:rsidR="00EA6F40" w:rsidRPr="002C66F1" w:rsidRDefault="00EA6F40" w:rsidP="002C66F1">
            <w:pPr>
              <w:rPr>
                <w:rFonts w:cstheme="minorHAnsi"/>
              </w:rPr>
            </w:pPr>
            <w:r w:rsidRPr="002C66F1">
              <w:t>Neurodevelopment: 2 Level I studies (one includes n=24 studies, but only 2 RCTs; the other includes n=12  RCTs, of which only 2 (with high risk of bias) report cognitive outcomes) + 2 Level II (RCTs) with low risk of bias + 7 level III-2 studies (birth cohort) with moderate risk of bias (potential for co</w:t>
            </w:r>
            <w:r w:rsidR="00F57EE1">
              <w:t xml:space="preserve">nfounding, loss to follow-up) </w:t>
            </w:r>
          </w:p>
        </w:tc>
      </w:tr>
      <w:tr w:rsidR="00EA6F40" w:rsidRPr="00C875F5" w:rsidTr="006473C7">
        <w:trPr>
          <w:trHeight w:val="572"/>
        </w:trPr>
        <w:tc>
          <w:tcPr>
            <w:tcW w:w="2235" w:type="dxa"/>
            <w:vAlign w:val="center"/>
          </w:tcPr>
          <w:p w:rsidR="00EA6F40" w:rsidRPr="002C66F1" w:rsidRDefault="00EA6F40" w:rsidP="002C66F1">
            <w:r w:rsidRPr="002C66F1">
              <w:lastRenderedPageBreak/>
              <w:t>Consistency</w:t>
            </w:r>
          </w:p>
        </w:tc>
        <w:tc>
          <w:tcPr>
            <w:tcW w:w="1417" w:type="dxa"/>
            <w:vAlign w:val="center"/>
          </w:tcPr>
          <w:p w:rsidR="00EA6F40" w:rsidRPr="002C66F1" w:rsidRDefault="00EA6F40" w:rsidP="002C66F1">
            <w:r w:rsidRPr="002C66F1">
              <w:t>Poor</w:t>
            </w:r>
          </w:p>
        </w:tc>
        <w:tc>
          <w:tcPr>
            <w:tcW w:w="11340" w:type="dxa"/>
            <w:vAlign w:val="center"/>
          </w:tcPr>
          <w:p w:rsidR="00EA6F40" w:rsidRPr="002C66F1" w:rsidRDefault="00EA6F40" w:rsidP="002C66F1">
            <w:pPr>
              <w:rPr>
                <w:rFonts w:cstheme="minorHAnsi"/>
              </w:rPr>
            </w:pPr>
            <w:r w:rsidRPr="002C66F1">
              <w:rPr>
                <w:rFonts w:cstheme="minorHAnsi"/>
              </w:rPr>
              <w:t xml:space="preserve">Lack of consistency between studies. </w:t>
            </w:r>
          </w:p>
        </w:tc>
      </w:tr>
      <w:tr w:rsidR="00EA6F40" w:rsidRPr="00C875F5" w:rsidTr="006473C7">
        <w:trPr>
          <w:trHeight w:val="822"/>
        </w:trPr>
        <w:tc>
          <w:tcPr>
            <w:tcW w:w="2235" w:type="dxa"/>
            <w:vAlign w:val="center"/>
          </w:tcPr>
          <w:p w:rsidR="00EA6F40" w:rsidRPr="002C66F1" w:rsidRDefault="00EA6F40" w:rsidP="002C66F1">
            <w:r w:rsidRPr="002C66F1">
              <w:t>Clinical impact</w:t>
            </w:r>
          </w:p>
        </w:tc>
        <w:tc>
          <w:tcPr>
            <w:tcW w:w="1417" w:type="dxa"/>
            <w:vAlign w:val="center"/>
          </w:tcPr>
          <w:p w:rsidR="00EA6F40" w:rsidRPr="002C66F1" w:rsidRDefault="00EA6F40" w:rsidP="002C66F1">
            <w:r w:rsidRPr="002C66F1">
              <w:t>Moderate</w:t>
            </w:r>
          </w:p>
        </w:tc>
        <w:tc>
          <w:tcPr>
            <w:tcW w:w="11340" w:type="dxa"/>
            <w:vAlign w:val="center"/>
          </w:tcPr>
          <w:p w:rsidR="00EA6F40" w:rsidRPr="002C66F1" w:rsidRDefault="00EA6F40" w:rsidP="002C66F1">
            <w:pPr>
              <w:rPr>
                <w:rFonts w:cs="AdvPSA88A"/>
              </w:rPr>
            </w:pPr>
            <w:r w:rsidRPr="002C66F1">
              <w:rPr>
                <w:rFonts w:cstheme="minorHAnsi"/>
              </w:rPr>
              <w:t>Thyroid function: Despite a low UIC observed in some populations, thyroid hormone production remains normal in pregnancy. Not all studies used pregnancy-appropriate reference values for TSH of &gt;2.5 mIU/L in first trimester and &gt; 3.0 mIU/L in trimesters 2 and 3. No obvious dose-response relation was seen. The effects of iodine supplementation on changes in thyroid hormone concentrations in mothers and infants were not consistent. In the meta-analysis, one of the three iodine intervention studies conducted in mild to moderate iodine deficiency countries reported increased maternal T4 levels; none reported increased maternal T3 levels.  Only one of the 6 RCTs found reduced maternal TSH levels after iodine supplementation.</w:t>
            </w:r>
            <w:r w:rsidRPr="002C66F1">
              <w:rPr>
                <w:rFonts w:cs="AdvPSA88A"/>
              </w:rPr>
              <w:t xml:space="preserve"> </w:t>
            </w:r>
          </w:p>
          <w:p w:rsidR="00EA6F40" w:rsidRPr="002C66F1" w:rsidRDefault="00EA6F40" w:rsidP="002C66F1">
            <w:pPr>
              <w:rPr>
                <w:rFonts w:cstheme="minorHAnsi"/>
              </w:rPr>
            </w:pPr>
            <w:r w:rsidRPr="002C66F1">
              <w:t xml:space="preserve">Neurodevelopment: Meta-analysis showed benefit of adequate iodine status on IQ in children aged &lt;5 years. The 2 level II studies showed inconsistent results (one positive effect of iodine supplementation on neurocognitive functioning in children aged 5-7 years, the other demonstrated worse outcomes at 6– 18 mo, compared to iodised salt use in pregnancy) but the different age groups of children and use of psychomotor instruments between studies is problematic. Two RCTs included in a meta-analysis </w:t>
            </w:r>
            <w:r w:rsidRPr="002C66F1">
              <w:rPr>
                <w:rFonts w:eastAsia="Times New Roman" w:cs="Times New Roman"/>
                <w:lang w:val="en-GB"/>
              </w:rPr>
              <w:t xml:space="preserve">reported reduced cretinism and improved IQ in children living in areas of severe iodine deficiency associated with maternal iodine supplementation. </w:t>
            </w:r>
            <w:r w:rsidRPr="002C66F1">
              <w:t>All studies in older children (5–9 years) consistent and in favour of iodine supplementation.</w:t>
            </w:r>
          </w:p>
        </w:tc>
      </w:tr>
      <w:tr w:rsidR="00EA6F40" w:rsidRPr="00C875F5" w:rsidTr="006473C7">
        <w:trPr>
          <w:trHeight w:val="847"/>
        </w:trPr>
        <w:tc>
          <w:tcPr>
            <w:tcW w:w="2235" w:type="dxa"/>
            <w:vAlign w:val="center"/>
          </w:tcPr>
          <w:p w:rsidR="00EA6F40" w:rsidRPr="002C66F1" w:rsidRDefault="00EA6F40" w:rsidP="002C66F1">
            <w:r w:rsidRPr="002C66F1">
              <w:t>Generalisability</w:t>
            </w:r>
          </w:p>
        </w:tc>
        <w:tc>
          <w:tcPr>
            <w:tcW w:w="1417" w:type="dxa"/>
            <w:vAlign w:val="center"/>
          </w:tcPr>
          <w:p w:rsidR="00EA6F40" w:rsidRPr="002C66F1" w:rsidRDefault="00EA6F40" w:rsidP="002C66F1">
            <w:r w:rsidRPr="002C66F1">
              <w:t>Satisfactory</w:t>
            </w:r>
          </w:p>
        </w:tc>
        <w:tc>
          <w:tcPr>
            <w:tcW w:w="11340" w:type="dxa"/>
            <w:vAlign w:val="center"/>
          </w:tcPr>
          <w:p w:rsidR="00EA6F40" w:rsidRPr="00C875F5" w:rsidRDefault="00EA6F40" w:rsidP="00EA6F40">
            <w:pPr>
              <w:rPr>
                <w:rFonts w:cs="Calibri"/>
                <w:color w:val="000000"/>
                <w:sz w:val="20"/>
                <w:szCs w:val="20"/>
              </w:rPr>
            </w:pPr>
            <w:r w:rsidRPr="00C875F5">
              <w:rPr>
                <w:rFonts w:cs="Calibri"/>
                <w:color w:val="000000"/>
                <w:sz w:val="20"/>
                <w:szCs w:val="20"/>
              </w:rPr>
              <w:t>Thyroid function: Population studies in body of evidence similar to the target population for the guideline</w:t>
            </w:r>
          </w:p>
          <w:p w:rsidR="00EA6F40" w:rsidRPr="00C875F5" w:rsidRDefault="00EA6F40" w:rsidP="00EA6F40">
            <w:pPr>
              <w:rPr>
                <w:rFonts w:cstheme="minorHAnsi"/>
                <w:color w:val="000000"/>
                <w:sz w:val="20"/>
                <w:szCs w:val="20"/>
              </w:rPr>
            </w:pPr>
            <w:r w:rsidRPr="00C875F5">
              <w:rPr>
                <w:rFonts w:cs="Calibri"/>
                <w:color w:val="000000"/>
                <w:sz w:val="20"/>
                <w:szCs w:val="20"/>
              </w:rPr>
              <w:t xml:space="preserve">Neurodevelopment: </w:t>
            </w:r>
            <w:r w:rsidRPr="00C875F5">
              <w:rPr>
                <w:rFonts w:cstheme="minorHAnsi"/>
                <w:color w:val="000000"/>
                <w:sz w:val="20"/>
                <w:szCs w:val="20"/>
              </w:rPr>
              <w:t xml:space="preserve"> Studies undertaken in populations with different iodine status, ranging from severe (China) and moderate (Spain) iodine deficiency to iodine replete (Netherlands). </w:t>
            </w:r>
            <w:r w:rsidRPr="00C875F5">
              <w:rPr>
                <w:rFonts w:eastAsia="Times New Roman" w:cstheme="minorHAnsi"/>
                <w:color w:val="000000"/>
                <w:sz w:val="20"/>
                <w:szCs w:val="20"/>
                <w:lang w:val="en-GB"/>
              </w:rPr>
              <w:t>Improved verbal IQ, reading, spelling skills at age 8-9y demonstrated in two large Level III-2 studies in Australia and UK; both countries have mild ID.</w:t>
            </w:r>
          </w:p>
        </w:tc>
      </w:tr>
      <w:tr w:rsidR="00EA6F40" w:rsidRPr="00C875F5" w:rsidTr="006473C7">
        <w:trPr>
          <w:trHeight w:val="421"/>
        </w:trPr>
        <w:tc>
          <w:tcPr>
            <w:tcW w:w="2235" w:type="dxa"/>
            <w:vAlign w:val="center"/>
          </w:tcPr>
          <w:p w:rsidR="00EA6F40" w:rsidRPr="002C66F1" w:rsidRDefault="00EA6F40" w:rsidP="002C66F1">
            <w:r w:rsidRPr="002C66F1">
              <w:t>Applicability</w:t>
            </w:r>
          </w:p>
        </w:tc>
        <w:tc>
          <w:tcPr>
            <w:tcW w:w="1417" w:type="dxa"/>
            <w:vAlign w:val="center"/>
          </w:tcPr>
          <w:p w:rsidR="00EA6F40" w:rsidRPr="002C66F1" w:rsidRDefault="00EA6F40" w:rsidP="002C66F1">
            <w:r w:rsidRPr="002C66F1">
              <w:t>Satisfactory</w:t>
            </w:r>
          </w:p>
        </w:tc>
        <w:tc>
          <w:tcPr>
            <w:tcW w:w="11340" w:type="dxa"/>
            <w:vAlign w:val="center"/>
          </w:tcPr>
          <w:p w:rsidR="00EA6F40" w:rsidRPr="00C875F5" w:rsidRDefault="00EA6F40" w:rsidP="00EA6F40">
            <w:pPr>
              <w:rPr>
                <w:rFonts w:cs="Calibri"/>
                <w:color w:val="000000"/>
                <w:sz w:val="20"/>
                <w:szCs w:val="20"/>
              </w:rPr>
            </w:pPr>
            <w:r w:rsidRPr="00C875F5">
              <w:rPr>
                <w:rFonts w:cs="Calibri"/>
                <w:color w:val="000000"/>
                <w:sz w:val="20"/>
                <w:szCs w:val="20"/>
              </w:rPr>
              <w:t>Thyroid function: Directly applicable to Australian healthcare context (evidence from mild to moderate I deficiency countries).</w:t>
            </w:r>
          </w:p>
          <w:p w:rsidR="00EA6F40" w:rsidRPr="00C875F5" w:rsidRDefault="00EA6F40" w:rsidP="00EA6F40">
            <w:pPr>
              <w:pStyle w:val="Default"/>
              <w:rPr>
                <w:rFonts w:cstheme="minorHAnsi"/>
                <w:sz w:val="20"/>
                <w:szCs w:val="20"/>
              </w:rPr>
            </w:pPr>
            <w:r w:rsidRPr="00C875F5">
              <w:rPr>
                <w:rFonts w:cs="Calibri"/>
                <w:sz w:val="20"/>
                <w:szCs w:val="20"/>
              </w:rPr>
              <w:t xml:space="preserve">Neurodevelopment:  </w:t>
            </w:r>
            <w:r w:rsidRPr="00C875F5">
              <w:rPr>
                <w:rFonts w:cstheme="minorHAnsi"/>
                <w:sz w:val="20"/>
                <w:szCs w:val="20"/>
              </w:rPr>
              <w:t xml:space="preserve"> Probably applicable to Australian and New Zealand healthcare context with some caveats</w:t>
            </w:r>
            <w:r>
              <w:rPr>
                <w:rFonts w:cstheme="minorHAnsi"/>
                <w:sz w:val="20"/>
                <w:szCs w:val="20"/>
              </w:rPr>
              <w:t>.</w:t>
            </w:r>
          </w:p>
        </w:tc>
      </w:tr>
      <w:tr w:rsidR="00EA6F40" w:rsidRPr="00C875F5" w:rsidTr="006473C7">
        <w:trPr>
          <w:trHeight w:val="600"/>
        </w:trPr>
        <w:tc>
          <w:tcPr>
            <w:tcW w:w="2235" w:type="dxa"/>
            <w:vAlign w:val="center"/>
            <w:hideMark/>
          </w:tcPr>
          <w:p w:rsidR="00EA6F40" w:rsidRPr="002C66F1" w:rsidRDefault="00EA6F40" w:rsidP="002C66F1">
            <w:pPr>
              <w:rPr>
                <w:rFonts w:eastAsia="Times New Roman"/>
                <w:lang w:eastAsia="en-AU"/>
              </w:rPr>
            </w:pPr>
            <w:r w:rsidRPr="002C66F1">
              <w:rPr>
                <w:rFonts w:eastAsia="Times New Roman"/>
                <w:lang w:eastAsia="en-AU"/>
              </w:rPr>
              <w:t>Draft Recommendation</w:t>
            </w:r>
          </w:p>
        </w:tc>
        <w:tc>
          <w:tcPr>
            <w:tcW w:w="1417" w:type="dxa"/>
            <w:vAlign w:val="center"/>
            <w:hideMark/>
          </w:tcPr>
          <w:p w:rsidR="00EA6F40" w:rsidRPr="002C66F1" w:rsidRDefault="00EA6F40" w:rsidP="002C66F1">
            <w:pPr>
              <w:rPr>
                <w:rFonts w:eastAsia="Times New Roman"/>
                <w:lang w:eastAsia="en-AU"/>
              </w:rPr>
            </w:pPr>
          </w:p>
        </w:tc>
        <w:tc>
          <w:tcPr>
            <w:tcW w:w="11340" w:type="dxa"/>
            <w:vAlign w:val="center"/>
          </w:tcPr>
          <w:p w:rsidR="00EA6F40" w:rsidRPr="002C66F1" w:rsidRDefault="00EA6F40" w:rsidP="002C66F1">
            <w:r w:rsidRPr="002C66F1">
              <w:t xml:space="preserve">Thyroid function: There is insufficient evidence with regard to maternal indices or child development that could be used to set or modify the EAR or RDI in pregnancy. In the absence of no new evidence to challenge the EAR and RDI set in 2002, it is </w:t>
            </w:r>
            <w:r w:rsidRPr="002C66F1">
              <w:lastRenderedPageBreak/>
              <w:t xml:space="preserve">proposed that the current EAR and RDI for pregnancy is kept at 160 ug/day and 220 ug/day, respectively. </w:t>
            </w:r>
          </w:p>
          <w:p w:rsidR="00EA6F40" w:rsidRPr="002C66F1" w:rsidRDefault="00EA6F40" w:rsidP="002C66F1">
            <w:pPr>
              <w:rPr>
                <w:rFonts w:eastAsia="Times New Roman" w:cstheme="minorHAnsi"/>
                <w:lang w:eastAsia="en-AU"/>
              </w:rPr>
            </w:pPr>
            <w:r w:rsidRPr="002C66F1">
              <w:t xml:space="preserve">Neurodevelopment: </w:t>
            </w:r>
            <w:r w:rsidRPr="002C66F1">
              <w:rPr>
                <w:rFonts w:eastAsia="Times New Roman" w:cstheme="minorHAnsi"/>
                <w:b/>
                <w:lang w:eastAsia="en-AU"/>
              </w:rPr>
              <w:t xml:space="preserve"> </w:t>
            </w:r>
            <w:r w:rsidRPr="002C66F1">
              <w:rPr>
                <w:rFonts w:eastAsia="Times New Roman" w:cstheme="minorHAnsi"/>
                <w:lang w:eastAsia="en-AU"/>
              </w:rPr>
              <w:t>Evidence could not be considered for changing EAR for pregnancy based on limited information on neurological outcomes in children.</w:t>
            </w:r>
          </w:p>
          <w:p w:rsidR="00EA6F40" w:rsidRPr="002C66F1" w:rsidRDefault="00EA6F40" w:rsidP="002C66F1">
            <w:pPr>
              <w:rPr>
                <w:rFonts w:eastAsia="Times New Roman" w:cstheme="minorHAnsi"/>
                <w:lang w:eastAsia="en-AU"/>
              </w:rPr>
            </w:pPr>
          </w:p>
          <w:p w:rsidR="00EA6F40" w:rsidRPr="002C66F1" w:rsidRDefault="00EA6F40" w:rsidP="002C66F1">
            <w:pPr>
              <w:rPr>
                <w:rFonts w:eastAsia="Times New Roman"/>
                <w:b/>
                <w:lang w:eastAsia="en-AU"/>
              </w:rPr>
            </w:pPr>
            <w:r w:rsidRPr="002C66F1">
              <w:t>It should be noted that pregnancy outcomes were not evaluated as no studies assessed pregnancy outcomes.</w:t>
            </w:r>
          </w:p>
        </w:tc>
      </w:tr>
      <w:tr w:rsidR="00EA6F40" w:rsidRPr="00C875F5" w:rsidTr="006473C7">
        <w:trPr>
          <w:trHeight w:val="826"/>
        </w:trPr>
        <w:tc>
          <w:tcPr>
            <w:tcW w:w="2235" w:type="dxa"/>
            <w:vAlign w:val="center"/>
            <w:hideMark/>
          </w:tcPr>
          <w:p w:rsidR="00EA6F40" w:rsidRPr="002C66F1" w:rsidRDefault="00EA6F40" w:rsidP="002C66F1">
            <w:pPr>
              <w:rPr>
                <w:rFonts w:eastAsia="Times New Roman"/>
                <w:lang w:eastAsia="en-AU"/>
              </w:rPr>
            </w:pPr>
            <w:r w:rsidRPr="002C66F1">
              <w:rPr>
                <w:rFonts w:eastAsia="Times New Roman"/>
                <w:lang w:eastAsia="en-AU"/>
              </w:rPr>
              <w:lastRenderedPageBreak/>
              <w:t>Recommendation</w:t>
            </w:r>
          </w:p>
        </w:tc>
        <w:tc>
          <w:tcPr>
            <w:tcW w:w="1417" w:type="dxa"/>
            <w:noWrap/>
            <w:vAlign w:val="center"/>
            <w:hideMark/>
          </w:tcPr>
          <w:p w:rsidR="00EA6F40" w:rsidRPr="002C66F1" w:rsidRDefault="00EA6F40" w:rsidP="002C66F1">
            <w:pPr>
              <w:rPr>
                <w:rFonts w:eastAsia="Times New Roman"/>
                <w:lang w:eastAsia="en-AU"/>
              </w:rPr>
            </w:pPr>
            <w:r w:rsidRPr="002C66F1">
              <w:t>C</w:t>
            </w:r>
          </w:p>
        </w:tc>
        <w:tc>
          <w:tcPr>
            <w:tcW w:w="11340" w:type="dxa"/>
            <w:noWrap/>
            <w:vAlign w:val="center"/>
          </w:tcPr>
          <w:p w:rsidR="00EA6F40" w:rsidRPr="002C66F1" w:rsidRDefault="00EA6F40" w:rsidP="002C66F1">
            <w:pPr>
              <w:rPr>
                <w:rFonts w:eastAsia="Times New Roman"/>
                <w:b/>
                <w:lang w:eastAsia="en-AU"/>
              </w:rPr>
            </w:pPr>
            <w:r w:rsidRPr="002C66F1">
              <w:rPr>
                <w:rFonts w:cstheme="minorHAnsi"/>
              </w:rPr>
              <w:t>Thyroid function: Body of evidence provides some support for recommendation(s) but care should be taken in its application. Neurodevelopment: Body of evidence provides some support for recommendation(s) but care should be taken in its application.</w:t>
            </w:r>
          </w:p>
        </w:tc>
      </w:tr>
    </w:tbl>
    <w:p w:rsidR="00EA6F40" w:rsidRPr="006B3F0F" w:rsidRDefault="007F0430" w:rsidP="00AE0695">
      <w:pPr>
        <w:pStyle w:val="Caption"/>
      </w:pPr>
      <w:bookmarkStart w:id="177" w:name="_Ref430950615"/>
      <w:r>
        <w:t xml:space="preserve">Table </w:t>
      </w:r>
      <w:r w:rsidR="00CA2AA1">
        <w:fldChar w:fldCharType="begin"/>
      </w:r>
      <w:r w:rsidR="00CA2AA1">
        <w:instrText xml:space="preserve"> STYLEREF 1 \s </w:instrText>
      </w:r>
      <w:r w:rsidR="00CA2AA1">
        <w:fldChar w:fldCharType="separate"/>
      </w:r>
      <w:r w:rsidR="00CA2AA1">
        <w:rPr>
          <w:noProof/>
        </w:rPr>
        <w:t>7</w:t>
      </w:r>
      <w:r w:rsidR="00CA2AA1">
        <w:fldChar w:fldCharType="end"/>
      </w:r>
      <w:r w:rsidR="00CA2AA1">
        <w:t>:</w:t>
      </w:r>
      <w:r w:rsidR="00CA2AA1">
        <w:fldChar w:fldCharType="begin"/>
      </w:r>
      <w:r w:rsidR="00CA2AA1">
        <w:instrText xml:space="preserve"> SEQ Table \* ARABIC \s 1 </w:instrText>
      </w:r>
      <w:r w:rsidR="00CA2AA1">
        <w:fldChar w:fldCharType="separate"/>
      </w:r>
      <w:r w:rsidR="00CA2AA1">
        <w:rPr>
          <w:noProof/>
        </w:rPr>
        <w:t>4</w:t>
      </w:r>
      <w:r w:rsidR="00CA2AA1">
        <w:fldChar w:fldCharType="end"/>
      </w:r>
      <w:bookmarkEnd w:id="177"/>
      <w:r w:rsidR="00EA6F40" w:rsidRPr="006B3F0F">
        <w:t xml:space="preserve"> Studies</w:t>
      </w:r>
      <w:r w:rsidR="00EA6F40" w:rsidRPr="00C875F5">
        <w:t xml:space="preserve"> related to pregnancy EAR and thyroid function during pregnancy (Review Question 3)</w:t>
      </w:r>
    </w:p>
    <w:p w:rsidR="0046358B" w:rsidRPr="0046358B" w:rsidRDefault="00EA6F40" w:rsidP="006473C7">
      <w:pPr>
        <w:ind w:left="-360"/>
        <w:rPr>
          <w:b/>
          <w:bCs/>
        </w:rPr>
      </w:pPr>
      <w:r w:rsidRPr="007F0430">
        <w:rPr>
          <w:rStyle w:val="Strong"/>
        </w:rPr>
        <w:t xml:space="preserve">Observational studies </w:t>
      </w:r>
    </w:p>
    <w:tbl>
      <w:tblPr>
        <w:tblStyle w:val="TableGrid"/>
        <w:tblW w:w="15624" w:type="dxa"/>
        <w:tblInd w:w="-432" w:type="dxa"/>
        <w:tblLayout w:type="fixed"/>
        <w:tblLook w:val="04A0" w:firstRow="1" w:lastRow="0" w:firstColumn="1" w:lastColumn="0" w:noHBand="0" w:noVBand="1"/>
        <w:tblDescription w:val="Table 7.4 Studies Estimated Average Requirement (EAR) and thyroid function during pregnancy. This table consists of 8 column heading; column 1. First Author /year or Area, column 2. Study design, column 3. Population, participants, iodine status of area, column 4. Outcome measures, column 5. Dietary assessment method, column 6. Results, column 7.Confounders adjusted for/sensitivity analysis and column 8. Study quality and comments."/>
      </w:tblPr>
      <w:tblGrid>
        <w:gridCol w:w="1242"/>
        <w:gridCol w:w="1998"/>
        <w:gridCol w:w="1843"/>
        <w:gridCol w:w="1701"/>
        <w:gridCol w:w="1559"/>
        <w:gridCol w:w="4111"/>
        <w:gridCol w:w="1134"/>
        <w:gridCol w:w="2036"/>
      </w:tblGrid>
      <w:tr w:rsidR="0046358B" w:rsidRPr="00C875F5" w:rsidTr="0046358B">
        <w:trPr>
          <w:trHeight w:val="567"/>
          <w:tblHeader/>
        </w:trPr>
        <w:tc>
          <w:tcPr>
            <w:tcW w:w="1242" w:type="dxa"/>
          </w:tcPr>
          <w:p w:rsidR="0046358B" w:rsidRPr="002C66F1" w:rsidRDefault="0046358B" w:rsidP="0046358B">
            <w:pPr>
              <w:widowControl w:val="0"/>
              <w:autoSpaceDE w:val="0"/>
              <w:autoSpaceDN w:val="0"/>
              <w:adjustRightInd w:val="0"/>
              <w:rPr>
                <w:rStyle w:val="Strong"/>
              </w:rPr>
            </w:pPr>
            <w:r w:rsidRPr="002C66F1">
              <w:rPr>
                <w:rStyle w:val="Strong"/>
              </w:rPr>
              <w:t xml:space="preserve">First author year, </w:t>
            </w:r>
          </w:p>
          <w:p w:rsidR="0046358B" w:rsidRPr="002C66F1" w:rsidRDefault="0046358B" w:rsidP="0046358B">
            <w:pPr>
              <w:widowControl w:val="0"/>
              <w:autoSpaceDE w:val="0"/>
              <w:autoSpaceDN w:val="0"/>
              <w:adjustRightInd w:val="0"/>
              <w:rPr>
                <w:rStyle w:val="Strong"/>
              </w:rPr>
            </w:pPr>
            <w:r w:rsidRPr="002C66F1">
              <w:rPr>
                <w:rStyle w:val="Strong"/>
              </w:rPr>
              <w:t xml:space="preserve">Area </w:t>
            </w:r>
          </w:p>
        </w:tc>
        <w:tc>
          <w:tcPr>
            <w:tcW w:w="1998" w:type="dxa"/>
          </w:tcPr>
          <w:p w:rsidR="0046358B" w:rsidRPr="002C66F1" w:rsidRDefault="0046358B" w:rsidP="0046358B">
            <w:pPr>
              <w:widowControl w:val="0"/>
              <w:autoSpaceDE w:val="0"/>
              <w:autoSpaceDN w:val="0"/>
              <w:adjustRightInd w:val="0"/>
              <w:rPr>
                <w:rStyle w:val="Strong"/>
              </w:rPr>
            </w:pPr>
            <w:r w:rsidRPr="002C66F1">
              <w:rPr>
                <w:rStyle w:val="Strong"/>
              </w:rPr>
              <w:t>Study design</w:t>
            </w:r>
          </w:p>
        </w:tc>
        <w:tc>
          <w:tcPr>
            <w:tcW w:w="1843" w:type="dxa"/>
          </w:tcPr>
          <w:p w:rsidR="0046358B" w:rsidRPr="002C66F1" w:rsidRDefault="0046358B" w:rsidP="0046358B">
            <w:pPr>
              <w:widowControl w:val="0"/>
              <w:autoSpaceDE w:val="0"/>
              <w:autoSpaceDN w:val="0"/>
              <w:adjustRightInd w:val="0"/>
              <w:rPr>
                <w:rStyle w:val="Strong"/>
              </w:rPr>
            </w:pPr>
            <w:r w:rsidRPr="002C66F1">
              <w:rPr>
                <w:rStyle w:val="Strong"/>
              </w:rPr>
              <w:t xml:space="preserve">Population, participants, iodine status of area </w:t>
            </w:r>
          </w:p>
        </w:tc>
        <w:tc>
          <w:tcPr>
            <w:tcW w:w="1701" w:type="dxa"/>
          </w:tcPr>
          <w:p w:rsidR="0046358B" w:rsidRPr="002C66F1" w:rsidRDefault="0046358B" w:rsidP="0046358B">
            <w:pPr>
              <w:widowControl w:val="0"/>
              <w:autoSpaceDE w:val="0"/>
              <w:autoSpaceDN w:val="0"/>
              <w:adjustRightInd w:val="0"/>
              <w:rPr>
                <w:rStyle w:val="Strong"/>
              </w:rPr>
            </w:pPr>
            <w:r w:rsidRPr="002C66F1">
              <w:rPr>
                <w:rStyle w:val="Strong"/>
              </w:rPr>
              <w:t>Outcome measures</w:t>
            </w:r>
          </w:p>
        </w:tc>
        <w:tc>
          <w:tcPr>
            <w:tcW w:w="1559" w:type="dxa"/>
          </w:tcPr>
          <w:p w:rsidR="0046358B" w:rsidRPr="002C66F1" w:rsidRDefault="0046358B" w:rsidP="0046358B">
            <w:pPr>
              <w:widowControl w:val="0"/>
              <w:autoSpaceDE w:val="0"/>
              <w:autoSpaceDN w:val="0"/>
              <w:adjustRightInd w:val="0"/>
              <w:rPr>
                <w:rStyle w:val="Strong"/>
              </w:rPr>
            </w:pPr>
            <w:r w:rsidRPr="002C66F1">
              <w:rPr>
                <w:rStyle w:val="Strong"/>
              </w:rPr>
              <w:t>Dietary assessment method</w:t>
            </w:r>
          </w:p>
        </w:tc>
        <w:tc>
          <w:tcPr>
            <w:tcW w:w="4111" w:type="dxa"/>
          </w:tcPr>
          <w:p w:rsidR="0046358B" w:rsidRPr="002C66F1" w:rsidRDefault="0046358B" w:rsidP="0046358B">
            <w:pPr>
              <w:widowControl w:val="0"/>
              <w:autoSpaceDE w:val="0"/>
              <w:autoSpaceDN w:val="0"/>
              <w:adjustRightInd w:val="0"/>
              <w:rPr>
                <w:rStyle w:val="Strong"/>
              </w:rPr>
            </w:pPr>
            <w:r w:rsidRPr="002C66F1">
              <w:rPr>
                <w:rStyle w:val="Strong"/>
              </w:rPr>
              <w:t>Results</w:t>
            </w:r>
          </w:p>
        </w:tc>
        <w:tc>
          <w:tcPr>
            <w:tcW w:w="1134" w:type="dxa"/>
          </w:tcPr>
          <w:p w:rsidR="0046358B" w:rsidRPr="002C66F1" w:rsidRDefault="0046358B" w:rsidP="0046358B">
            <w:pPr>
              <w:widowControl w:val="0"/>
              <w:autoSpaceDE w:val="0"/>
              <w:autoSpaceDN w:val="0"/>
              <w:adjustRightInd w:val="0"/>
              <w:rPr>
                <w:rStyle w:val="Strong"/>
              </w:rPr>
            </w:pPr>
            <w:r w:rsidRPr="002C66F1">
              <w:rPr>
                <w:rStyle w:val="Strong"/>
              </w:rPr>
              <w:t>Confounders adjusted for/sensitivity analysis</w:t>
            </w:r>
          </w:p>
        </w:tc>
        <w:tc>
          <w:tcPr>
            <w:tcW w:w="2036" w:type="dxa"/>
          </w:tcPr>
          <w:p w:rsidR="0046358B" w:rsidRPr="002C66F1" w:rsidRDefault="0046358B" w:rsidP="0046358B">
            <w:pPr>
              <w:widowControl w:val="0"/>
              <w:autoSpaceDE w:val="0"/>
              <w:autoSpaceDN w:val="0"/>
              <w:adjustRightInd w:val="0"/>
              <w:rPr>
                <w:rStyle w:val="Strong"/>
              </w:rPr>
            </w:pPr>
            <w:r w:rsidRPr="002C66F1">
              <w:rPr>
                <w:rStyle w:val="Strong"/>
              </w:rPr>
              <w:t>Study quality and comments</w:t>
            </w:r>
          </w:p>
        </w:tc>
      </w:tr>
      <w:tr w:rsidR="0046358B" w:rsidRPr="00C875F5" w:rsidTr="0046358B">
        <w:trPr>
          <w:trHeight w:val="567"/>
        </w:trPr>
        <w:tc>
          <w:tcPr>
            <w:tcW w:w="1242" w:type="dxa"/>
          </w:tcPr>
          <w:p w:rsidR="0046358B" w:rsidRPr="002C66F1" w:rsidRDefault="0046358B" w:rsidP="0046358B">
            <w:r w:rsidRPr="002C66F1">
              <w:t xml:space="preserve">Aguayo et al, 2013 </w:t>
            </w:r>
          </w:p>
          <w:p w:rsidR="0046358B" w:rsidRPr="002C66F1" w:rsidRDefault="0046358B" w:rsidP="0046358B">
            <w:r w:rsidRPr="002C66F1">
              <w:t>Biscay, Spain</w:t>
            </w:r>
          </w:p>
        </w:tc>
        <w:tc>
          <w:tcPr>
            <w:tcW w:w="1998" w:type="dxa"/>
          </w:tcPr>
          <w:p w:rsidR="0046358B" w:rsidRPr="002C66F1" w:rsidRDefault="0046358B" w:rsidP="0046358B">
            <w:r w:rsidRPr="002C66F1">
              <w:t xml:space="preserve">Prospective cohort </w:t>
            </w:r>
          </w:p>
        </w:tc>
        <w:tc>
          <w:tcPr>
            <w:tcW w:w="1843" w:type="dxa"/>
          </w:tcPr>
          <w:p w:rsidR="0046358B" w:rsidRPr="002C66F1" w:rsidRDefault="0046358B" w:rsidP="0046358B">
            <w:r w:rsidRPr="002C66F1">
              <w:t>N=2014 (1</w:t>
            </w:r>
            <w:r w:rsidRPr="002C66F1">
              <w:rPr>
                <w:vertAlign w:val="superscript"/>
              </w:rPr>
              <w:t>st</w:t>
            </w:r>
            <w:r w:rsidRPr="002C66F1">
              <w:t xml:space="preserve"> trimester)</w:t>
            </w:r>
          </w:p>
          <w:p w:rsidR="0046358B" w:rsidRPr="002C66F1" w:rsidRDefault="0046358B" w:rsidP="0046358B">
            <w:r w:rsidRPr="002C66F1">
              <w:t>N= 1322 (2</w:t>
            </w:r>
            <w:r w:rsidRPr="002C66F1">
              <w:rPr>
                <w:vertAlign w:val="superscript"/>
              </w:rPr>
              <w:t>nd</w:t>
            </w:r>
            <w:r>
              <w:t xml:space="preserve"> trimester)</w:t>
            </w:r>
          </w:p>
          <w:p w:rsidR="0046358B" w:rsidRPr="002C66F1" w:rsidRDefault="0046358B" w:rsidP="0046358B">
            <w:r w:rsidRPr="002C66F1">
              <w:t>N=1868 neonatal</w:t>
            </w:r>
            <w:r>
              <w:t xml:space="preserve"> </w:t>
            </w:r>
            <w:r>
              <w:lastRenderedPageBreak/>
              <w:t>TSH</w:t>
            </w:r>
          </w:p>
          <w:p w:rsidR="0046358B" w:rsidRPr="002C66F1" w:rsidRDefault="0046358B" w:rsidP="0046358B">
            <w:r w:rsidRPr="002C66F1">
              <w:t>Baseline Iodine status of population not specified</w:t>
            </w:r>
          </w:p>
        </w:tc>
        <w:tc>
          <w:tcPr>
            <w:tcW w:w="1701" w:type="dxa"/>
          </w:tcPr>
          <w:p w:rsidR="0046358B" w:rsidRPr="002C66F1" w:rsidRDefault="0046358B" w:rsidP="0046358B">
            <w:r w:rsidRPr="002C66F1">
              <w:lastRenderedPageBreak/>
              <w:t>TSH, FT4, FT3, TPO-Ab, UIC (spot) in 1</w:t>
            </w:r>
            <w:r w:rsidRPr="002C66F1">
              <w:rPr>
                <w:vertAlign w:val="superscript"/>
              </w:rPr>
              <w:t>st</w:t>
            </w:r>
            <w:r w:rsidRPr="002C66F1">
              <w:t xml:space="preserve"> and 2</w:t>
            </w:r>
            <w:r w:rsidRPr="002C66F1">
              <w:rPr>
                <w:vertAlign w:val="superscript"/>
              </w:rPr>
              <w:t>nd</w:t>
            </w:r>
            <w:r>
              <w:t xml:space="preserve"> trimester</w:t>
            </w:r>
          </w:p>
          <w:p w:rsidR="0046358B" w:rsidRPr="002C66F1" w:rsidRDefault="0046358B" w:rsidP="0046358B">
            <w:r>
              <w:t>Neonatal TSH</w:t>
            </w:r>
          </w:p>
        </w:tc>
        <w:tc>
          <w:tcPr>
            <w:tcW w:w="1559" w:type="dxa"/>
          </w:tcPr>
          <w:p w:rsidR="0046358B" w:rsidRPr="002C66F1" w:rsidRDefault="0046358B" w:rsidP="0046358B">
            <w:r w:rsidRPr="002C66F1">
              <w:t>No assessment</w:t>
            </w:r>
          </w:p>
        </w:tc>
        <w:tc>
          <w:tcPr>
            <w:tcW w:w="4111" w:type="dxa"/>
          </w:tcPr>
          <w:p w:rsidR="0046358B" w:rsidRPr="002C66F1" w:rsidRDefault="0046358B" w:rsidP="0046358B">
            <w:r w:rsidRPr="002C66F1">
              <w:t>In the 1</w:t>
            </w:r>
            <w:r w:rsidRPr="002C66F1">
              <w:rPr>
                <w:vertAlign w:val="superscript"/>
              </w:rPr>
              <w:t>st</w:t>
            </w:r>
            <w:r w:rsidRPr="002C66F1">
              <w:t xml:space="preserve"> &amp; 2</w:t>
            </w:r>
            <w:r w:rsidRPr="002C66F1">
              <w:rPr>
                <w:vertAlign w:val="superscript"/>
              </w:rPr>
              <w:t>nd</w:t>
            </w:r>
            <w:r w:rsidRPr="002C66F1">
              <w:t xml:space="preserve"> trimester median UICs were 88.5</w:t>
            </w:r>
            <w:r w:rsidRPr="002C66F1">
              <w:rPr>
                <w:b/>
                <w:bCs/>
              </w:rPr>
              <w:t xml:space="preserve"> µ</w:t>
            </w:r>
            <w:r w:rsidRPr="002C66F1">
              <w:t xml:space="preserve">g /L and140 </w:t>
            </w:r>
            <w:r w:rsidRPr="002C66F1">
              <w:rPr>
                <w:b/>
                <w:bCs/>
              </w:rPr>
              <w:t xml:space="preserve"> µ</w:t>
            </w:r>
            <w:r w:rsidRPr="002C66F1">
              <w:t xml:space="preserve">g /L, respectively. No relationship was found between UIC &amp; FT4, or maternal &amp; neonatal TSH. In trimester 1&amp;2,9.7% and 7.5% of women were TPO-Ab positive, respectively. The percentage </w:t>
            </w:r>
            <w:r w:rsidRPr="002C66F1">
              <w:lastRenderedPageBreak/>
              <w:t>of miscarriages in healthy women was 8.9%, 21.2% women with overt hypothyroidism (p &lt; 0.001) and 15.6% in women with subclinical hypothyroidism (p &lt; 0.025). The miscarriage rate was not higher in TPO-Ab-positive women.</w:t>
            </w:r>
          </w:p>
        </w:tc>
        <w:tc>
          <w:tcPr>
            <w:tcW w:w="1134" w:type="dxa"/>
          </w:tcPr>
          <w:p w:rsidR="0046358B" w:rsidRPr="002C66F1" w:rsidRDefault="0046358B" w:rsidP="0046358B"/>
        </w:tc>
        <w:tc>
          <w:tcPr>
            <w:tcW w:w="2036" w:type="dxa"/>
          </w:tcPr>
          <w:p w:rsidR="0046358B" w:rsidRPr="002C66F1" w:rsidRDefault="0046358B" w:rsidP="0046358B">
            <w:r w:rsidRPr="002C66F1">
              <w:t>Level III-2</w:t>
            </w:r>
          </w:p>
        </w:tc>
      </w:tr>
      <w:tr w:rsidR="0046358B" w:rsidRPr="00C875F5" w:rsidTr="0046358B">
        <w:trPr>
          <w:trHeight w:val="567"/>
        </w:trPr>
        <w:tc>
          <w:tcPr>
            <w:tcW w:w="1242" w:type="dxa"/>
          </w:tcPr>
          <w:p w:rsidR="0046358B" w:rsidRPr="002C66F1" w:rsidRDefault="0046358B" w:rsidP="0046358B">
            <w:r w:rsidRPr="002C66F1">
              <w:rPr>
                <w:noProof/>
              </w:rPr>
              <w:lastRenderedPageBreak/>
              <w:t>Amouzegar et al, 2014</w:t>
            </w:r>
          </w:p>
          <w:p w:rsidR="0046358B" w:rsidRPr="002C66F1" w:rsidRDefault="0046358B" w:rsidP="0046358B">
            <w:r w:rsidRPr="002C66F1">
              <w:t>Tehran, Iran</w:t>
            </w:r>
          </w:p>
        </w:tc>
        <w:tc>
          <w:tcPr>
            <w:tcW w:w="1998" w:type="dxa"/>
          </w:tcPr>
          <w:p w:rsidR="0046358B" w:rsidRPr="002C66F1" w:rsidRDefault="0046358B" w:rsidP="0046358B">
            <w:r>
              <w:t>Prospective cohort</w:t>
            </w:r>
          </w:p>
          <w:p w:rsidR="0046358B" w:rsidRPr="002C66F1" w:rsidRDefault="0046358B" w:rsidP="0046358B">
            <w:bookmarkStart w:id="178" w:name="OLE_LINK4"/>
            <w:bookmarkStart w:id="179" w:name="OLE_LINK5"/>
            <w:bookmarkStart w:id="180" w:name="OLE_LINK10"/>
            <w:r w:rsidRPr="002C66F1">
              <w:t>Followed throughout pregnancy</w:t>
            </w:r>
            <w:bookmarkEnd w:id="178"/>
            <w:bookmarkEnd w:id="179"/>
            <w:bookmarkEnd w:id="180"/>
          </w:p>
        </w:tc>
        <w:tc>
          <w:tcPr>
            <w:tcW w:w="1843" w:type="dxa"/>
          </w:tcPr>
          <w:p w:rsidR="0046358B" w:rsidRPr="002C66F1" w:rsidRDefault="0046358B" w:rsidP="0046358B">
            <w:r w:rsidRPr="002C66F1">
              <w:t>N=203 pregnant women not taking iodine supplements</w:t>
            </w:r>
          </w:p>
        </w:tc>
        <w:tc>
          <w:tcPr>
            <w:tcW w:w="1701" w:type="dxa"/>
          </w:tcPr>
          <w:p w:rsidR="0046358B" w:rsidRPr="002C66F1" w:rsidRDefault="0046358B" w:rsidP="0046358B">
            <w:r w:rsidRPr="002C66F1">
              <w:t>UIC, TSH, TT3, TT4, FT4I, TgAb &amp; TPOAb</w:t>
            </w:r>
          </w:p>
        </w:tc>
        <w:tc>
          <w:tcPr>
            <w:tcW w:w="1559" w:type="dxa"/>
          </w:tcPr>
          <w:p w:rsidR="0046358B" w:rsidRPr="002C66F1" w:rsidRDefault="0046358B" w:rsidP="0046358B">
            <w:r w:rsidRPr="002C66F1">
              <w:t>No assessment</w:t>
            </w:r>
          </w:p>
        </w:tc>
        <w:tc>
          <w:tcPr>
            <w:tcW w:w="4111" w:type="dxa"/>
          </w:tcPr>
          <w:p w:rsidR="0046358B" w:rsidRPr="002C66F1" w:rsidRDefault="0046358B" w:rsidP="0046358B">
            <w:r w:rsidRPr="002C66F1">
              <w:t>Median UICs in the 1st, 2nd &amp; 3rd trimesters were 218, 160 &amp; 148 μg/L, respectively. In the 1st trimester, three spot urine samples were collected.</w:t>
            </w:r>
          </w:p>
          <w:p w:rsidR="0046358B" w:rsidRPr="002C66F1" w:rsidRDefault="0046358B" w:rsidP="0046358B">
            <w:r w:rsidRPr="002C66F1">
              <w:t>Median TSH was significantly lower in the 1st trimester (p=0.004) than in the 2nd &amp; 3rd trimesters. Mean TT4 was significantly lower in the 1st trimester (p=0.00) than in the 2nd &amp; 3rd trimesters. No significant difference was observed in TT3 between the trimesters.</w:t>
            </w:r>
          </w:p>
        </w:tc>
        <w:tc>
          <w:tcPr>
            <w:tcW w:w="1134" w:type="dxa"/>
          </w:tcPr>
          <w:p w:rsidR="0046358B" w:rsidRPr="002C66F1" w:rsidRDefault="0046358B" w:rsidP="0046358B"/>
        </w:tc>
        <w:tc>
          <w:tcPr>
            <w:tcW w:w="2036" w:type="dxa"/>
          </w:tcPr>
          <w:p w:rsidR="0046358B" w:rsidRPr="002C66F1" w:rsidRDefault="0046358B" w:rsidP="0046358B">
            <w:r w:rsidRPr="002C66F1">
              <w:t>Level III-2</w:t>
            </w:r>
          </w:p>
        </w:tc>
      </w:tr>
      <w:tr w:rsidR="0046358B" w:rsidRPr="00C875F5" w:rsidTr="0046358B">
        <w:trPr>
          <w:trHeight w:val="3109"/>
        </w:trPr>
        <w:tc>
          <w:tcPr>
            <w:tcW w:w="1242" w:type="dxa"/>
          </w:tcPr>
          <w:p w:rsidR="0046358B" w:rsidRPr="002C66F1" w:rsidRDefault="0046358B" w:rsidP="0046358B">
            <w:r w:rsidRPr="002C66F1">
              <w:lastRenderedPageBreak/>
              <w:t xml:space="preserve">Antonangeli et al, 2002 </w:t>
            </w:r>
            <w:r w:rsidRPr="002C66F1">
              <w:fldChar w:fldCharType="begin">
                <w:fldData xml:space="preserve">PEVuZE5vdGU+PENpdGU+PEF1dGhvcj5BbnRvbmFuZ2VsaTwvQXV0aG9yPjxZZWFyPjIwMDI8L1ll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</w:fldData>
              </w:fldChar>
            </w:r>
            <w:r w:rsidRPr="002C66F1">
              <w:instrText xml:space="preserve"> ADDIN EN.CITE </w:instrText>
            </w:r>
            <w:r w:rsidRPr="002C66F1">
              <w:fldChar w:fldCharType="begin">
                <w:fldData xml:space="preserve">PEVuZE5vdGU+PENpdGU+PEF1dGhvcj5BbnRvbmFuZ2VsaTwvQXV0aG9yPjxZZWFyPjIwMDI8L1ll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</w:fldData>
              </w:fldChar>
            </w:r>
            <w:r w:rsidRPr="002C66F1">
              <w:instrText xml:space="preserve"> ADDIN EN.CITE.DATA  </w:instrText>
            </w:r>
            <w:r w:rsidRPr="002C66F1">
              <w:fldChar w:fldCharType="end"/>
            </w:r>
            <w:r w:rsidRPr="002C66F1">
              <w:fldChar w:fldCharType="end"/>
            </w:r>
          </w:p>
          <w:p w:rsidR="0046358B" w:rsidRPr="002C66F1" w:rsidRDefault="0046358B" w:rsidP="0046358B">
            <w:r>
              <w:t xml:space="preserve">Pisa Italy </w:t>
            </w:r>
          </w:p>
        </w:tc>
        <w:tc>
          <w:tcPr>
            <w:tcW w:w="1998" w:type="dxa"/>
          </w:tcPr>
          <w:p w:rsidR="0046358B" w:rsidRPr="002C66F1" w:rsidRDefault="0046358B" w:rsidP="0046358B">
            <w:pPr>
              <w:rPr>
                <w:color w:val="000000"/>
                <w:shd w:val="clear" w:color="auto" w:fill="FFFFFF"/>
                <w:lang w:val="en-GB"/>
              </w:rPr>
            </w:pPr>
            <w:r>
              <w:rPr>
                <w:color w:val="000000"/>
                <w:shd w:val="clear" w:color="auto" w:fill="FFFFFF"/>
                <w:lang w:val="en-GB"/>
              </w:rPr>
              <w:t xml:space="preserve">Prospective cohort </w:t>
            </w:r>
          </w:p>
          <w:p w:rsidR="0046358B" w:rsidRPr="002C66F1" w:rsidRDefault="0046358B" w:rsidP="0046358B">
            <w:pPr>
              <w:rPr>
                <w:color w:val="000000"/>
                <w:shd w:val="clear" w:color="auto" w:fill="FFFFFF"/>
                <w:lang w:val="en-GB"/>
              </w:rPr>
            </w:pPr>
            <w:r w:rsidRPr="002C66F1">
              <w:t>Followed up at 1</w:t>
            </w:r>
            <w:r w:rsidRPr="002C66F1">
              <w:rPr>
                <w:vertAlign w:val="superscript"/>
              </w:rPr>
              <w:t>st</w:t>
            </w:r>
            <w:r w:rsidRPr="002C66F1">
              <w:t xml:space="preserve"> antenatal visit, the 18th–26th, &amp; 29th–33rd wk of gestation, &amp; at the 3rd &amp; 6th mth after delivery.</w:t>
            </w:r>
          </w:p>
        </w:tc>
        <w:tc>
          <w:tcPr>
            <w:tcW w:w="1843" w:type="dxa"/>
          </w:tcPr>
          <w:p w:rsidR="0046358B" w:rsidRPr="002C66F1" w:rsidRDefault="0046358B" w:rsidP="0046358B">
            <w:r w:rsidRPr="002C66F1">
              <w:t>N=86 pregnant women (randomized into 2 groups &amp; treated daily for 6mths after delivery) with 200</w:t>
            </w:r>
            <w:r w:rsidRPr="002C66F1">
              <w:rPr>
                <w:color w:val="000000"/>
                <w:shd w:val="clear" w:color="auto" w:fill="FFFFFF"/>
                <w:lang w:val="en-GB"/>
              </w:rPr>
              <w:t xml:space="preserve"> μg</w:t>
            </w:r>
            <w:r w:rsidRPr="002C66F1">
              <w:t xml:space="preserve"> iodide/day (group A) or 50</w:t>
            </w:r>
            <w:r w:rsidRPr="002C66F1">
              <w:rPr>
                <w:color w:val="000000"/>
                <w:shd w:val="clear" w:color="auto" w:fill="FFFFFF"/>
                <w:lang w:val="en-GB"/>
              </w:rPr>
              <w:t>μg</w:t>
            </w:r>
            <w:r>
              <w:t xml:space="preserve"> iodide/day (group B). </w:t>
            </w:r>
          </w:p>
          <w:p w:rsidR="0046358B" w:rsidRPr="002C66F1" w:rsidRDefault="0046358B" w:rsidP="0046358B">
            <w:r>
              <w:t>Marginally iodine deficient</w:t>
            </w:r>
          </w:p>
        </w:tc>
        <w:tc>
          <w:tcPr>
            <w:tcW w:w="1701" w:type="dxa"/>
          </w:tcPr>
          <w:p w:rsidR="0046358B" w:rsidRPr="002C66F1" w:rsidRDefault="0046358B" w:rsidP="0046358B">
            <w:r w:rsidRPr="002C66F1">
              <w:t>TV, TSH, FT4, FT3, and UIC</w:t>
            </w:r>
          </w:p>
          <w:p w:rsidR="0046358B" w:rsidRPr="002C66F1" w:rsidRDefault="0046358B" w:rsidP="0046358B">
            <w:pPr>
              <w:rPr>
                <w:color w:val="000000"/>
                <w:shd w:val="clear" w:color="auto" w:fill="FFFFFF"/>
                <w:lang w:val="en-GB"/>
              </w:rPr>
            </w:pPr>
            <w:r w:rsidRPr="002C66F1">
              <w:rPr>
                <w:color w:val="000000"/>
                <w:shd w:val="clear" w:color="auto" w:fill="FFFFFF"/>
                <w:lang w:val="en-GB"/>
              </w:rPr>
              <w:t xml:space="preserve">TgAb, </w:t>
            </w:r>
            <w:r w:rsidRPr="002C66F1">
              <w:t>TPOAb</w:t>
            </w:r>
          </w:p>
        </w:tc>
        <w:tc>
          <w:tcPr>
            <w:tcW w:w="1559" w:type="dxa"/>
          </w:tcPr>
          <w:p w:rsidR="0046358B" w:rsidRPr="002C66F1" w:rsidRDefault="0046358B" w:rsidP="0046358B">
            <w:r w:rsidRPr="002C66F1">
              <w:t>No assessment</w:t>
            </w:r>
          </w:p>
        </w:tc>
        <w:tc>
          <w:tcPr>
            <w:tcW w:w="4111" w:type="dxa"/>
          </w:tcPr>
          <w:p w:rsidR="0046358B" w:rsidRPr="002C66F1" w:rsidRDefault="0046358B" w:rsidP="0046358B">
            <w:r w:rsidRPr="002C66F1">
              <w:t>No significant changes in serum free thyroid hormones and TSH concentrations were found dur</w:t>
            </w:r>
            <w:r>
              <w:t xml:space="preserve">ing gestation in either group. </w:t>
            </w:r>
          </w:p>
        </w:tc>
        <w:tc>
          <w:tcPr>
            <w:tcW w:w="1134" w:type="dxa"/>
          </w:tcPr>
          <w:p w:rsidR="0046358B" w:rsidRPr="002C66F1" w:rsidRDefault="0046358B" w:rsidP="0046358B"/>
        </w:tc>
        <w:tc>
          <w:tcPr>
            <w:tcW w:w="2036" w:type="dxa"/>
          </w:tcPr>
          <w:p w:rsidR="0046358B" w:rsidRPr="002C66F1" w:rsidRDefault="0046358B" w:rsidP="0046358B">
            <w:r w:rsidRPr="002C66F1">
              <w:t>Level III-2</w:t>
            </w:r>
          </w:p>
          <w:p w:rsidR="0046358B" w:rsidRPr="002C66F1" w:rsidRDefault="0046358B" w:rsidP="0046358B">
            <w:r w:rsidRPr="002C66F1">
              <w:t xml:space="preserve">Supplementation given after delivery </w:t>
            </w:r>
          </w:p>
        </w:tc>
      </w:tr>
      <w:tr w:rsidR="0046358B" w:rsidRPr="00C875F5" w:rsidTr="0046358B">
        <w:trPr>
          <w:trHeight w:val="567"/>
        </w:trPr>
        <w:tc>
          <w:tcPr>
            <w:tcW w:w="1242" w:type="dxa"/>
          </w:tcPr>
          <w:p w:rsidR="0046358B" w:rsidRPr="002C66F1" w:rsidRDefault="0046358B" w:rsidP="0046358B">
            <w:pPr>
              <w:rPr>
                <w:shd w:val="clear" w:color="auto" w:fill="FFFFFF"/>
              </w:rPr>
            </w:pPr>
            <w:r w:rsidRPr="002C66F1">
              <w:rPr>
                <w:shd w:val="clear" w:color="auto" w:fill="FFFFFF"/>
              </w:rPr>
              <w:t xml:space="preserve">Blumenthal et al, 2012 </w:t>
            </w:r>
          </w:p>
          <w:p w:rsidR="0046358B" w:rsidRPr="002C66F1" w:rsidRDefault="0046358B" w:rsidP="0046358B">
            <w:pPr>
              <w:rPr>
                <w:shd w:val="clear" w:color="auto" w:fill="FFFFFF"/>
              </w:rPr>
            </w:pPr>
            <w:r w:rsidRPr="002C66F1">
              <w:rPr>
                <w:shd w:val="clear" w:color="auto" w:fill="FFFFFF"/>
              </w:rPr>
              <w:t>Sydney</w:t>
            </w:r>
          </w:p>
        </w:tc>
        <w:tc>
          <w:tcPr>
            <w:tcW w:w="1998" w:type="dxa"/>
          </w:tcPr>
          <w:p w:rsidR="0046358B" w:rsidRPr="002C66F1" w:rsidRDefault="0046358B" w:rsidP="0046358B">
            <w:pPr>
              <w:rPr>
                <w:color w:val="000000"/>
                <w:shd w:val="clear" w:color="auto" w:fill="FFFFFF"/>
                <w:lang w:val="en-GB"/>
              </w:rPr>
            </w:pPr>
            <w:r w:rsidRPr="002C66F1">
              <w:rPr>
                <w:color w:val="000000"/>
                <w:shd w:val="clear" w:color="auto" w:fill="FFFFFF"/>
                <w:lang w:val="en-GB"/>
              </w:rPr>
              <w:t xml:space="preserve">Cross-sectional </w:t>
            </w:r>
          </w:p>
          <w:p w:rsidR="0046358B" w:rsidRPr="0046358B" w:rsidRDefault="0046358B" w:rsidP="0046358B">
            <w:pPr>
              <w:rPr>
                <w:color w:val="000000"/>
                <w:shd w:val="clear" w:color="auto" w:fill="FFFFFF"/>
                <w:lang w:val="en-GB"/>
              </w:rPr>
            </w:pPr>
            <w:r w:rsidRPr="002C66F1">
              <w:rPr>
                <w:color w:val="000000"/>
                <w:shd w:val="clear" w:color="auto" w:fill="FFFFFF"/>
                <w:lang w:val="en-GB"/>
              </w:rPr>
              <w:t>At antenatal visit</w:t>
            </w:r>
            <w:r>
              <w:rPr>
                <w:color w:val="000000"/>
                <w:shd w:val="clear" w:color="auto" w:fill="FFFFFF"/>
                <w:lang w:val="en-GB"/>
              </w:rPr>
              <w:t xml:space="preserve"> (between 7 &amp; 11 wks gestation)</w:t>
            </w:r>
          </w:p>
        </w:tc>
        <w:tc>
          <w:tcPr>
            <w:tcW w:w="1843" w:type="dxa"/>
          </w:tcPr>
          <w:p w:rsidR="0046358B" w:rsidRPr="002C66F1" w:rsidRDefault="0046358B" w:rsidP="0046358B">
            <w:pPr>
              <w:rPr>
                <w:color w:val="000000"/>
                <w:shd w:val="clear" w:color="auto" w:fill="FFFFFF"/>
                <w:lang w:val="en-GB"/>
              </w:rPr>
            </w:pPr>
            <w:r w:rsidRPr="002C66F1">
              <w:rPr>
                <w:color w:val="000000"/>
                <w:shd w:val="clear" w:color="auto" w:fill="FFFFFF"/>
                <w:lang w:val="en-GB"/>
              </w:rPr>
              <w:t>N=367</w:t>
            </w:r>
          </w:p>
        </w:tc>
        <w:tc>
          <w:tcPr>
            <w:tcW w:w="1701" w:type="dxa"/>
          </w:tcPr>
          <w:p w:rsidR="0046358B" w:rsidRPr="002C66F1" w:rsidRDefault="0046358B" w:rsidP="0046358B">
            <w:pPr>
              <w:rPr>
                <w:color w:val="000000"/>
                <w:shd w:val="clear" w:color="auto" w:fill="FFFFFF"/>
                <w:lang w:val="en-GB"/>
              </w:rPr>
            </w:pPr>
            <w:r w:rsidRPr="002C66F1">
              <w:rPr>
                <w:color w:val="000000"/>
                <w:shd w:val="clear" w:color="auto" w:fill="FFFFFF"/>
                <w:lang w:val="en-GB"/>
              </w:rPr>
              <w:t>TSH, FT4</w:t>
            </w:r>
          </w:p>
          <w:p w:rsidR="0046358B" w:rsidRPr="002C66F1" w:rsidRDefault="0046358B" w:rsidP="0046358B">
            <w:pPr>
              <w:rPr>
                <w:color w:val="000000"/>
                <w:shd w:val="clear" w:color="auto" w:fill="FFFFFF"/>
                <w:lang w:val="en-GB"/>
              </w:rPr>
            </w:pPr>
            <w:r w:rsidRPr="002C66F1">
              <w:rPr>
                <w:color w:val="000000"/>
                <w:shd w:val="clear" w:color="auto" w:fill="FFFFFF"/>
                <w:lang w:val="en-GB"/>
              </w:rPr>
              <w:t>UI excretion (spot)</w:t>
            </w:r>
          </w:p>
        </w:tc>
        <w:tc>
          <w:tcPr>
            <w:tcW w:w="1559" w:type="dxa"/>
          </w:tcPr>
          <w:p w:rsidR="0046358B" w:rsidRPr="002C66F1" w:rsidRDefault="0046358B" w:rsidP="0046358B"/>
        </w:tc>
        <w:tc>
          <w:tcPr>
            <w:tcW w:w="4111" w:type="dxa"/>
          </w:tcPr>
          <w:p w:rsidR="0046358B" w:rsidRPr="002C66F1" w:rsidRDefault="0046358B" w:rsidP="0046358B">
            <w:pPr>
              <w:rPr>
                <w:color w:val="000000"/>
                <w:shd w:val="clear" w:color="auto" w:fill="FFFFFF"/>
                <w:lang w:val="en-GB"/>
              </w:rPr>
            </w:pPr>
            <w:r w:rsidRPr="002C66F1">
              <w:rPr>
                <w:color w:val="000000"/>
                <w:shd w:val="clear" w:color="auto" w:fill="FFFFFF"/>
                <w:lang w:val="en-GB"/>
              </w:rPr>
              <w:t xml:space="preserve">Median UIC for all women was 81 μg/l (interquartile range 41-169 μg/l). 71.9% of the women exhibited a UIC of &lt;150 μg/l. 26% of the women had a UIC &lt;50 μg/l, and 12% had a UIC &lt;20 μg/l. The only detectable influences on UIC were daily milk intake and pregnancy supplements. No association between UIC and thyroid function and no evidence for </w:t>
            </w:r>
            <w:r w:rsidRPr="002C66F1">
              <w:rPr>
                <w:color w:val="000000"/>
                <w:shd w:val="clear" w:color="auto" w:fill="FFFFFF"/>
                <w:lang w:val="en-GB"/>
              </w:rPr>
              <w:lastRenderedPageBreak/>
              <w:t>an effect of iodine intake on thyroid function</w:t>
            </w:r>
          </w:p>
        </w:tc>
        <w:tc>
          <w:tcPr>
            <w:tcW w:w="1134" w:type="dxa"/>
          </w:tcPr>
          <w:p w:rsidR="0046358B" w:rsidRPr="002C66F1" w:rsidRDefault="0046358B" w:rsidP="0046358B"/>
        </w:tc>
        <w:tc>
          <w:tcPr>
            <w:tcW w:w="2036" w:type="dxa"/>
          </w:tcPr>
          <w:p w:rsidR="0046358B" w:rsidRPr="002C66F1" w:rsidRDefault="0046358B" w:rsidP="0046358B">
            <w:r w:rsidRPr="002C66F1">
              <w:t>Level IV</w:t>
            </w:r>
          </w:p>
        </w:tc>
      </w:tr>
      <w:tr w:rsidR="0046358B" w:rsidRPr="00C875F5" w:rsidTr="0046358B">
        <w:trPr>
          <w:trHeight w:val="270"/>
        </w:trPr>
        <w:tc>
          <w:tcPr>
            <w:tcW w:w="1242" w:type="dxa"/>
          </w:tcPr>
          <w:p w:rsidR="0046358B" w:rsidRPr="002C66F1" w:rsidRDefault="0046358B" w:rsidP="0046358B">
            <w:pPr>
              <w:rPr>
                <w:rFonts w:eastAsia="Times New Roman"/>
                <w:lang w:val="en-GB"/>
              </w:rPr>
            </w:pPr>
            <w:r w:rsidRPr="002C66F1">
              <w:rPr>
                <w:rFonts w:eastAsia="Times New Roman"/>
                <w:noProof/>
                <w:lang w:val="en-GB"/>
              </w:rPr>
              <w:lastRenderedPageBreak/>
              <w:t>Brucker-Davis et al, 2013</w:t>
            </w:r>
          </w:p>
          <w:p w:rsidR="0046358B" w:rsidRPr="002C66F1" w:rsidRDefault="0046358B" w:rsidP="0046358B">
            <w:pPr>
              <w:rPr>
                <w:shd w:val="clear" w:color="auto" w:fill="FFFFFF"/>
              </w:rPr>
            </w:pPr>
            <w:r w:rsidRPr="002C66F1">
              <w:rPr>
                <w:rFonts w:eastAsia="Times New Roman"/>
                <w:lang w:val="en-GB"/>
              </w:rPr>
              <w:t>Nice, France</w:t>
            </w:r>
          </w:p>
        </w:tc>
        <w:tc>
          <w:tcPr>
            <w:tcW w:w="1998" w:type="dxa"/>
          </w:tcPr>
          <w:p w:rsidR="0046358B" w:rsidRPr="002C66F1" w:rsidRDefault="0046358B" w:rsidP="0046358B">
            <w:pPr>
              <w:rPr>
                <w:rFonts w:eastAsia="Times New Roman"/>
                <w:lang w:val="en-GB"/>
              </w:rPr>
            </w:pPr>
            <w:r w:rsidRPr="002C66F1">
              <w:rPr>
                <w:rFonts w:eastAsia="Times New Roman"/>
                <w:lang w:val="en-GB"/>
              </w:rPr>
              <w:t>Prospective, randomised, intervention study</w:t>
            </w:r>
          </w:p>
          <w:p w:rsidR="0046358B" w:rsidRPr="002C66F1" w:rsidRDefault="0046358B" w:rsidP="0046358B">
            <w:pPr>
              <w:rPr>
                <w:color w:val="000000"/>
                <w:shd w:val="clear" w:color="auto" w:fill="FFFFFF"/>
                <w:lang w:val="en-GB"/>
              </w:rPr>
            </w:pPr>
            <w:r w:rsidRPr="002C66F1">
              <w:rPr>
                <w:rFonts w:eastAsia="Times New Roman"/>
                <w:lang w:val="en-GB"/>
              </w:rPr>
              <w:t>Follow throughout pregnancy &amp; 3 mo postpartum.</w:t>
            </w:r>
          </w:p>
        </w:tc>
        <w:tc>
          <w:tcPr>
            <w:tcW w:w="1843" w:type="dxa"/>
          </w:tcPr>
          <w:p w:rsidR="0046358B" w:rsidRPr="002C66F1" w:rsidRDefault="0046358B" w:rsidP="0046358B">
            <w:pPr>
              <w:rPr>
                <w:rFonts w:eastAsia="Times New Roman"/>
                <w:lang w:val="en-GB"/>
              </w:rPr>
            </w:pPr>
            <w:r w:rsidRPr="002C66F1">
              <w:rPr>
                <w:rFonts w:eastAsia="Times New Roman"/>
                <w:lang w:val="en-GB"/>
              </w:rPr>
              <w:t>RCT</w:t>
            </w:r>
          </w:p>
          <w:p w:rsidR="0046358B" w:rsidRPr="002C66F1" w:rsidRDefault="0046358B" w:rsidP="0046358B">
            <w:pPr>
              <w:rPr>
                <w:rFonts w:eastAsia="Times New Roman"/>
                <w:lang w:val="en-GB"/>
              </w:rPr>
            </w:pPr>
            <w:r w:rsidRPr="002C66F1">
              <w:rPr>
                <w:rFonts w:eastAsia="Times New Roman"/>
                <w:lang w:val="en-GB"/>
              </w:rPr>
              <w:t>G1 (n=32): pregnancy vitamins with 150 μg iodine</w:t>
            </w:r>
          </w:p>
          <w:p w:rsidR="0046358B" w:rsidRPr="002C66F1" w:rsidRDefault="0046358B" w:rsidP="0046358B">
            <w:pPr>
              <w:rPr>
                <w:rFonts w:eastAsia="Times New Roman"/>
                <w:lang w:val="en-GB"/>
              </w:rPr>
            </w:pPr>
            <w:r w:rsidRPr="002C66F1">
              <w:rPr>
                <w:rFonts w:eastAsia="Times New Roman"/>
                <w:lang w:val="en-GB"/>
              </w:rPr>
              <w:t>G2 (n=54): pregnancy vitamins without iodine</w:t>
            </w:r>
          </w:p>
          <w:p w:rsidR="0046358B" w:rsidRPr="002C66F1" w:rsidRDefault="0046358B" w:rsidP="0046358B">
            <w:pPr>
              <w:rPr>
                <w:rFonts w:eastAsia="Times New Roman"/>
                <w:lang w:val="en-GB"/>
              </w:rPr>
            </w:pPr>
            <w:r w:rsidRPr="002C66F1">
              <w:rPr>
                <w:rFonts w:eastAsia="Times New Roman"/>
                <w:lang w:val="en-GB"/>
              </w:rPr>
              <w:t>Median UICs for the iodine supplemented and control groups were 111 &amp;103 μg/L.</w:t>
            </w:r>
          </w:p>
          <w:p w:rsidR="0046358B" w:rsidRPr="002C66F1" w:rsidRDefault="0046358B" w:rsidP="0046358B">
            <w:pPr>
              <w:rPr>
                <w:color w:val="000000"/>
                <w:shd w:val="clear" w:color="auto" w:fill="FFFFFF"/>
                <w:lang w:val="en-GB"/>
              </w:rPr>
            </w:pPr>
          </w:p>
        </w:tc>
        <w:tc>
          <w:tcPr>
            <w:tcW w:w="1701" w:type="dxa"/>
          </w:tcPr>
          <w:p w:rsidR="0046358B" w:rsidRPr="002C66F1" w:rsidRDefault="0046358B" w:rsidP="0046358B">
            <w:pPr>
              <w:rPr>
                <w:color w:val="000000"/>
                <w:shd w:val="clear" w:color="auto" w:fill="FFFFFF"/>
                <w:lang w:val="en-GB"/>
              </w:rPr>
            </w:pPr>
            <w:r w:rsidRPr="002C66F1">
              <w:rPr>
                <w:rFonts w:eastAsia="Times New Roman"/>
                <w:lang w:val="en-GB"/>
              </w:rPr>
              <w:t>UIC, TSH, FT3, TT4, FT4, Tg, TgAb, TPOAb, TBG &amp; TV</w:t>
            </w:r>
          </w:p>
        </w:tc>
        <w:tc>
          <w:tcPr>
            <w:tcW w:w="1559" w:type="dxa"/>
          </w:tcPr>
          <w:p w:rsidR="0046358B" w:rsidRPr="002C66F1" w:rsidRDefault="0046358B" w:rsidP="0046358B"/>
        </w:tc>
        <w:tc>
          <w:tcPr>
            <w:tcW w:w="4111" w:type="dxa"/>
          </w:tcPr>
          <w:p w:rsidR="0046358B" w:rsidRPr="002C66F1" w:rsidRDefault="0046358B" w:rsidP="0046358B">
            <w:r w:rsidRPr="002C66F1">
              <w:rPr>
                <w:rFonts w:eastAsia="Times New Roman"/>
                <w:lang w:val="en-GB"/>
              </w:rPr>
              <w:t xml:space="preserve">Median UICs in the 2nd &amp; 3rd trimesters were significantly higher in iodine group (p≤0.05 &amp; p≤0.001) than placebo group. </w:t>
            </w:r>
            <w:r w:rsidRPr="002C66F1">
              <w:t>No significant difference was observed in TSH, FT3, TT4, FT4 &amp; Tg in 2nd &amp; 3rd trimesters between both groups.</w:t>
            </w:r>
          </w:p>
          <w:p w:rsidR="0046358B" w:rsidRPr="002C66F1" w:rsidRDefault="0046358B" w:rsidP="0046358B">
            <w:pPr>
              <w:rPr>
                <w:color w:val="000000"/>
                <w:shd w:val="clear" w:color="auto" w:fill="FFFFFF"/>
                <w:lang w:val="en-GB"/>
              </w:rPr>
            </w:pPr>
            <w:r w:rsidRPr="002C66F1">
              <w:rPr>
                <w:rFonts w:eastAsia="Times New Roman"/>
                <w:lang w:val="en-GB"/>
              </w:rPr>
              <w:t>Both groups received a document on how to achieve optimum dietary intake.</w:t>
            </w:r>
          </w:p>
        </w:tc>
        <w:tc>
          <w:tcPr>
            <w:tcW w:w="1134" w:type="dxa"/>
          </w:tcPr>
          <w:p w:rsidR="0046358B" w:rsidRPr="002C66F1" w:rsidRDefault="0046358B" w:rsidP="0046358B"/>
        </w:tc>
        <w:tc>
          <w:tcPr>
            <w:tcW w:w="2036" w:type="dxa"/>
          </w:tcPr>
          <w:p w:rsidR="0046358B" w:rsidRPr="002C66F1" w:rsidRDefault="0046358B" w:rsidP="0046358B">
            <w:r w:rsidRPr="002C66F1">
              <w:t>Level II</w:t>
            </w:r>
          </w:p>
        </w:tc>
      </w:tr>
      <w:tr w:rsidR="0046358B" w:rsidRPr="00C875F5" w:rsidTr="0046358B">
        <w:trPr>
          <w:trHeight w:val="567"/>
        </w:trPr>
        <w:tc>
          <w:tcPr>
            <w:tcW w:w="1242" w:type="dxa"/>
          </w:tcPr>
          <w:p w:rsidR="0046358B" w:rsidRPr="002C66F1" w:rsidRDefault="0046358B" w:rsidP="0046358B">
            <w:r w:rsidRPr="002C66F1">
              <w:rPr>
                <w:noProof/>
              </w:rPr>
              <w:t xml:space="preserve">Charoo et </w:t>
            </w:r>
            <w:r w:rsidRPr="002C66F1">
              <w:rPr>
                <w:noProof/>
              </w:rPr>
              <w:lastRenderedPageBreak/>
              <w:t>al, 2013</w:t>
            </w:r>
          </w:p>
          <w:p w:rsidR="0046358B" w:rsidRPr="002C66F1" w:rsidRDefault="0046358B" w:rsidP="0046358B">
            <w:r>
              <w:t>Kashmir, India</w:t>
            </w:r>
          </w:p>
        </w:tc>
        <w:tc>
          <w:tcPr>
            <w:tcW w:w="1998" w:type="dxa"/>
          </w:tcPr>
          <w:p w:rsidR="0046358B" w:rsidRPr="002C66F1" w:rsidRDefault="0046358B" w:rsidP="0046358B">
            <w:r w:rsidRPr="002C66F1">
              <w:lastRenderedPageBreak/>
              <w:t>Prospective cohort</w:t>
            </w:r>
          </w:p>
          <w:p w:rsidR="0046358B" w:rsidRPr="002C66F1" w:rsidRDefault="0046358B" w:rsidP="0046358B">
            <w:r w:rsidRPr="002C66F1">
              <w:lastRenderedPageBreak/>
              <w:t>Followed throughout pregnancy</w:t>
            </w:r>
          </w:p>
        </w:tc>
        <w:tc>
          <w:tcPr>
            <w:tcW w:w="1843" w:type="dxa"/>
          </w:tcPr>
          <w:p w:rsidR="0046358B" w:rsidRPr="002C66F1" w:rsidRDefault="0046358B" w:rsidP="0046358B">
            <w:r w:rsidRPr="002C66F1">
              <w:lastRenderedPageBreak/>
              <w:t xml:space="preserve">N=51 pregnant women in the 1st </w:t>
            </w:r>
            <w:r w:rsidRPr="002C66F1">
              <w:lastRenderedPageBreak/>
              <w:t>trimester</w:t>
            </w:r>
          </w:p>
        </w:tc>
        <w:tc>
          <w:tcPr>
            <w:tcW w:w="1701" w:type="dxa"/>
          </w:tcPr>
          <w:p w:rsidR="0046358B" w:rsidRPr="002C66F1" w:rsidRDefault="0046358B" w:rsidP="0046358B">
            <w:r w:rsidRPr="002C66F1">
              <w:lastRenderedPageBreak/>
              <w:t xml:space="preserve">UIC, TSH, TT3, </w:t>
            </w:r>
            <w:r w:rsidRPr="002C66F1">
              <w:lastRenderedPageBreak/>
              <w:t>FT3, TT4 &amp; FT4</w:t>
            </w:r>
          </w:p>
        </w:tc>
        <w:tc>
          <w:tcPr>
            <w:tcW w:w="1559" w:type="dxa"/>
          </w:tcPr>
          <w:p w:rsidR="0046358B" w:rsidRPr="002C66F1" w:rsidRDefault="0046358B" w:rsidP="0046358B">
            <w:r w:rsidRPr="002C66F1">
              <w:lastRenderedPageBreak/>
              <w:t>No assessment</w:t>
            </w:r>
          </w:p>
        </w:tc>
        <w:tc>
          <w:tcPr>
            <w:tcW w:w="4111" w:type="dxa"/>
          </w:tcPr>
          <w:p w:rsidR="0046358B" w:rsidRPr="002C66F1" w:rsidRDefault="0046358B" w:rsidP="0046358B">
            <w:r w:rsidRPr="002C66F1">
              <w:t xml:space="preserve">Median UICs in the 1st, 2nd &amp; 3rd trimesters were 144, 134 &amp; 123 </w:t>
            </w:r>
            <w:bookmarkStart w:id="181" w:name="OLE_LINK20"/>
            <w:bookmarkStart w:id="182" w:name="OLE_LINK21"/>
            <w:r w:rsidRPr="002C66F1">
              <w:t>μ</w:t>
            </w:r>
            <w:bookmarkEnd w:id="181"/>
            <w:bookmarkEnd w:id="182"/>
            <w:r w:rsidRPr="002C66F1">
              <w:t xml:space="preserve">g/L, </w:t>
            </w:r>
            <w:r w:rsidRPr="002C66F1">
              <w:lastRenderedPageBreak/>
              <w:t xml:space="preserve">respectively. Mean TSH increased from 4.1 in the 1st trimester to 5.1 mU/L in the 3rd trimester. Mean TT3 decreased from </w:t>
            </w:r>
            <w:bookmarkStart w:id="183" w:name="OLE_LINK16"/>
            <w:bookmarkStart w:id="184" w:name="OLE_LINK17"/>
            <w:r w:rsidRPr="002C66F1">
              <w:t>1.7 in the 1st trimester to 1.5 ng/dL in the 3rd trimester.</w:t>
            </w:r>
            <w:bookmarkEnd w:id="183"/>
            <w:bookmarkEnd w:id="184"/>
            <w:r w:rsidRPr="002C66F1">
              <w:t xml:space="preserve"> Mean FT3 decreased from 5.7 in the 1st trimester to 4.2 pmol/LL in the 3rd trimester.</w:t>
            </w:r>
            <w:bookmarkStart w:id="185" w:name="OLE_LINK18"/>
            <w:bookmarkStart w:id="186" w:name="OLE_LINK19"/>
            <w:r w:rsidRPr="002C66F1">
              <w:t xml:space="preserve"> Mean TT4 decreased from 13.6 in the 1st trimester to 11.6 μg/dL in the3rd trimester. Mean FT4 decreased from 19.4 in the 1st trimester to 14.2 pmol/L in the 3rd trimester.</w:t>
            </w:r>
            <w:bookmarkEnd w:id="185"/>
            <w:bookmarkEnd w:id="186"/>
          </w:p>
          <w:p w:rsidR="0046358B" w:rsidRPr="002C66F1" w:rsidRDefault="0046358B" w:rsidP="0046358B">
            <w:r w:rsidRPr="002C66F1">
              <w:t>All pregnant women did not take iodine supplements. Only healthy women were included.</w:t>
            </w:r>
          </w:p>
        </w:tc>
        <w:tc>
          <w:tcPr>
            <w:tcW w:w="1134" w:type="dxa"/>
          </w:tcPr>
          <w:p w:rsidR="0046358B" w:rsidRPr="002C66F1" w:rsidRDefault="0046358B" w:rsidP="0046358B"/>
        </w:tc>
        <w:tc>
          <w:tcPr>
            <w:tcW w:w="2036" w:type="dxa"/>
          </w:tcPr>
          <w:p w:rsidR="0046358B" w:rsidRPr="002C66F1" w:rsidRDefault="0046358B" w:rsidP="0046358B">
            <w:r w:rsidRPr="002C66F1">
              <w:t>Level III-2</w:t>
            </w:r>
          </w:p>
        </w:tc>
      </w:tr>
      <w:tr w:rsidR="0046358B" w:rsidRPr="00C875F5" w:rsidTr="0046358B">
        <w:trPr>
          <w:trHeight w:val="2094"/>
        </w:trPr>
        <w:tc>
          <w:tcPr>
            <w:tcW w:w="1242" w:type="dxa"/>
          </w:tcPr>
          <w:p w:rsidR="0046358B" w:rsidRPr="002C66F1" w:rsidRDefault="0046358B" w:rsidP="0046358B">
            <w:r w:rsidRPr="002C66F1">
              <w:rPr>
                <w:noProof/>
              </w:rPr>
              <w:lastRenderedPageBreak/>
              <w:t>Elahi &amp; Hussain, 2013</w:t>
            </w:r>
          </w:p>
          <w:p w:rsidR="0046358B" w:rsidRPr="002C66F1" w:rsidRDefault="0046358B" w:rsidP="0046358B">
            <w:r w:rsidRPr="002C66F1">
              <w:t>Lahore, Pakistan</w:t>
            </w:r>
          </w:p>
        </w:tc>
        <w:tc>
          <w:tcPr>
            <w:tcW w:w="1998" w:type="dxa"/>
          </w:tcPr>
          <w:p w:rsidR="0046358B" w:rsidRPr="002C66F1" w:rsidRDefault="0046358B" w:rsidP="0046358B">
            <w:r w:rsidRPr="002C66F1">
              <w:t>Prospective cohort</w:t>
            </w:r>
          </w:p>
          <w:p w:rsidR="0046358B" w:rsidRPr="002C66F1" w:rsidRDefault="0046358B" w:rsidP="0046358B">
            <w:r w:rsidRPr="002C66F1">
              <w:t>Followed throughout pregnancy</w:t>
            </w:r>
          </w:p>
        </w:tc>
        <w:tc>
          <w:tcPr>
            <w:tcW w:w="1843" w:type="dxa"/>
          </w:tcPr>
          <w:p w:rsidR="0046358B" w:rsidRPr="002C66F1" w:rsidRDefault="0046358B" w:rsidP="0046358B">
            <w:r w:rsidRPr="002C66F1">
              <w:t>N=254 pregnant women</w:t>
            </w:r>
          </w:p>
          <w:p w:rsidR="0046358B" w:rsidRPr="002C66F1" w:rsidRDefault="0046358B" w:rsidP="0046358B">
            <w:r w:rsidRPr="002C66F1">
              <w:t>Severely iodine deficient area</w:t>
            </w:r>
          </w:p>
        </w:tc>
        <w:tc>
          <w:tcPr>
            <w:tcW w:w="1701" w:type="dxa"/>
          </w:tcPr>
          <w:p w:rsidR="0046358B" w:rsidRPr="002C66F1" w:rsidRDefault="0046358B" w:rsidP="0046358B">
            <w:r w:rsidRPr="002C66F1">
              <w:t>UIC, TSH, FT3 &amp; FT4</w:t>
            </w:r>
          </w:p>
        </w:tc>
        <w:tc>
          <w:tcPr>
            <w:tcW w:w="1559" w:type="dxa"/>
          </w:tcPr>
          <w:p w:rsidR="0046358B" w:rsidRPr="002C66F1" w:rsidRDefault="0046358B" w:rsidP="0046358B">
            <w:r w:rsidRPr="002C66F1">
              <w:t>Use of iodized salt</w:t>
            </w:r>
          </w:p>
        </w:tc>
        <w:tc>
          <w:tcPr>
            <w:tcW w:w="4111" w:type="dxa"/>
          </w:tcPr>
          <w:p w:rsidR="0046358B" w:rsidRPr="002C66F1" w:rsidRDefault="0046358B" w:rsidP="0046358B">
            <w:r w:rsidRPr="002C66F1">
              <w:t xml:space="preserve">Median UIC in the 1st trimester was 67 μg/L. Median TSH was significantly lower in the 1st trimester (p&lt;0.05) than in the 2nd &amp; 3rd trimesters. Mean FT3 was significantly lower in the 2nd trimester (p&lt;0.05) than in the 1st &amp; 3rd trimesters. Mean FT4 was significantly lower in the 3rd trimester (p&lt;0.05) than in the 1st &amp; 2nd </w:t>
            </w:r>
            <w:r w:rsidRPr="002C66F1">
              <w:lastRenderedPageBreak/>
              <w:t>trimesters.</w:t>
            </w:r>
          </w:p>
          <w:p w:rsidR="0046358B" w:rsidRPr="002C66F1" w:rsidRDefault="0046358B" w:rsidP="0046358B">
            <w:r w:rsidRPr="002C66F1">
              <w:t xml:space="preserve">Data on UIC and use of iodized salt were published in </w:t>
            </w:r>
            <w:r w:rsidRPr="002C66F1">
              <w:rPr>
                <w:noProof/>
              </w:rPr>
              <w:t>Elahi et al. (2009)</w:t>
            </w:r>
            <w:r w:rsidRPr="002C66F1">
              <w:t>. Only 34% of pregnant women used iodised salt. No data on the use of iodine supplements</w:t>
            </w:r>
          </w:p>
        </w:tc>
        <w:tc>
          <w:tcPr>
            <w:tcW w:w="1134" w:type="dxa"/>
          </w:tcPr>
          <w:p w:rsidR="0046358B" w:rsidRPr="002C66F1" w:rsidRDefault="0046358B" w:rsidP="0046358B"/>
        </w:tc>
        <w:tc>
          <w:tcPr>
            <w:tcW w:w="2036" w:type="dxa"/>
          </w:tcPr>
          <w:p w:rsidR="0046358B" w:rsidRPr="002C66F1" w:rsidRDefault="0046358B" w:rsidP="0046358B">
            <w:r w:rsidRPr="002C66F1">
              <w:t>Level IV</w:t>
            </w:r>
          </w:p>
        </w:tc>
      </w:tr>
      <w:tr w:rsidR="0046358B" w:rsidRPr="00C875F5" w:rsidTr="0046358B">
        <w:trPr>
          <w:trHeight w:val="567"/>
        </w:trPr>
        <w:tc>
          <w:tcPr>
            <w:tcW w:w="1242" w:type="dxa"/>
          </w:tcPr>
          <w:p w:rsidR="0046358B" w:rsidRPr="002C66F1" w:rsidRDefault="0046358B" w:rsidP="0046358B">
            <w:r w:rsidRPr="002C66F1">
              <w:rPr>
                <w:noProof/>
              </w:rPr>
              <w:lastRenderedPageBreak/>
              <w:t>Ferreira et al, 2014</w:t>
            </w:r>
          </w:p>
          <w:p w:rsidR="0046358B" w:rsidRPr="002C66F1" w:rsidRDefault="0046358B" w:rsidP="0046358B">
            <w:r w:rsidRPr="002C66F1">
              <w:t>São Paulo, Spain</w:t>
            </w:r>
          </w:p>
        </w:tc>
        <w:tc>
          <w:tcPr>
            <w:tcW w:w="1998" w:type="dxa"/>
          </w:tcPr>
          <w:p w:rsidR="0046358B" w:rsidRPr="002C66F1" w:rsidRDefault="0046358B" w:rsidP="0046358B">
            <w:r w:rsidRPr="002C66F1">
              <w:t>Cross-sectional</w:t>
            </w:r>
          </w:p>
        </w:tc>
        <w:tc>
          <w:tcPr>
            <w:tcW w:w="1843" w:type="dxa"/>
          </w:tcPr>
          <w:p w:rsidR="0046358B" w:rsidRPr="002C66F1" w:rsidRDefault="0046358B" w:rsidP="0046358B">
            <w:r w:rsidRPr="002C66F1">
              <w:t>N=191 pregnant women in the 1st trimester</w:t>
            </w:r>
          </w:p>
        </w:tc>
        <w:tc>
          <w:tcPr>
            <w:tcW w:w="1701" w:type="dxa"/>
          </w:tcPr>
          <w:p w:rsidR="0046358B" w:rsidRPr="002C66F1" w:rsidRDefault="0046358B" w:rsidP="0046358B">
            <w:r w:rsidRPr="002C66F1">
              <w:t xml:space="preserve">UIC, TSH, TT4, FT4, TgAb &amp; TPOAb </w:t>
            </w:r>
          </w:p>
        </w:tc>
        <w:tc>
          <w:tcPr>
            <w:tcW w:w="1559" w:type="dxa"/>
          </w:tcPr>
          <w:p w:rsidR="0046358B" w:rsidRPr="002C66F1" w:rsidRDefault="0046358B" w:rsidP="0046358B">
            <w:r w:rsidRPr="002C66F1">
              <w:t>No assessment</w:t>
            </w:r>
          </w:p>
        </w:tc>
        <w:tc>
          <w:tcPr>
            <w:tcW w:w="4111" w:type="dxa"/>
          </w:tcPr>
          <w:p w:rsidR="0046358B" w:rsidRPr="002C66F1" w:rsidRDefault="0046358B" w:rsidP="0046358B">
            <w:r w:rsidRPr="002C66F1">
              <w:t xml:space="preserve">Median UIC, mean TSH, TT4 and FT4 in the 1st trimester were 138 </w:t>
            </w:r>
            <w:bookmarkStart w:id="187" w:name="OLE_LINK11"/>
            <w:bookmarkStart w:id="188" w:name="OLE_LINK12"/>
            <w:r w:rsidRPr="002C66F1">
              <w:t>μg/L</w:t>
            </w:r>
            <w:bookmarkEnd w:id="187"/>
            <w:bookmarkEnd w:id="188"/>
            <w:r w:rsidRPr="002C66F1">
              <w:t>, 1.6 mIU/L, 10.0 μg/dL &amp; 14.2 pmol/L, respectively.</w:t>
            </w:r>
          </w:p>
          <w:p w:rsidR="0046358B" w:rsidRPr="002C66F1" w:rsidRDefault="0046358B" w:rsidP="0046358B">
            <w:bookmarkStart w:id="189" w:name="OLE_LINK6"/>
            <w:r w:rsidRPr="002C66F1">
              <w:t>All pregnant women did not use iodine supplements.</w:t>
            </w:r>
            <w:bookmarkEnd w:id="189"/>
          </w:p>
        </w:tc>
        <w:tc>
          <w:tcPr>
            <w:tcW w:w="1134" w:type="dxa"/>
          </w:tcPr>
          <w:p w:rsidR="0046358B" w:rsidRPr="002C66F1" w:rsidRDefault="0046358B" w:rsidP="0046358B"/>
        </w:tc>
        <w:tc>
          <w:tcPr>
            <w:tcW w:w="2036" w:type="dxa"/>
          </w:tcPr>
          <w:p w:rsidR="0046358B" w:rsidRPr="002C66F1" w:rsidRDefault="0046358B" w:rsidP="0046358B">
            <w:r w:rsidRPr="002C66F1">
              <w:t>Level IV</w:t>
            </w:r>
          </w:p>
        </w:tc>
      </w:tr>
      <w:tr w:rsidR="0046358B" w:rsidRPr="00C875F5" w:rsidTr="0046358B">
        <w:trPr>
          <w:trHeight w:val="567"/>
        </w:trPr>
        <w:tc>
          <w:tcPr>
            <w:tcW w:w="1242" w:type="dxa"/>
          </w:tcPr>
          <w:p w:rsidR="0046358B" w:rsidRPr="002C66F1" w:rsidRDefault="0046358B" w:rsidP="0046358B">
            <w:r w:rsidRPr="002C66F1">
              <w:t>Fister et al, 2009</w:t>
            </w:r>
          </w:p>
          <w:p w:rsidR="0046358B" w:rsidRPr="002C66F1" w:rsidRDefault="0046358B" w:rsidP="0046358B">
            <w:pPr>
              <w:rPr>
                <w:shd w:val="clear" w:color="auto" w:fill="FFFFFF"/>
              </w:rPr>
            </w:pPr>
            <w:r w:rsidRPr="002C66F1">
              <w:t xml:space="preserve">Ljubljana </w:t>
            </w:r>
            <w:r w:rsidRPr="002C66F1">
              <w:rPr>
                <w:shd w:val="clear" w:color="auto" w:fill="FFFFFF"/>
              </w:rPr>
              <w:t xml:space="preserve">Slovenia </w:t>
            </w:r>
          </w:p>
          <w:p w:rsidR="0046358B" w:rsidRPr="002C66F1" w:rsidRDefault="0046358B" w:rsidP="0046358B">
            <w:r w:rsidRPr="002C66F1">
              <w:rPr>
                <w:shd w:val="clear" w:color="auto" w:fill="FFFFFF"/>
              </w:rPr>
              <w:t xml:space="preserve">Note: More data on this cohort was </w:t>
            </w:r>
            <w:r w:rsidRPr="002C66F1">
              <w:rPr>
                <w:shd w:val="clear" w:color="auto" w:fill="FFFFFF"/>
              </w:rPr>
              <w:lastRenderedPageBreak/>
              <w:t xml:space="preserve">reported in a paper by Fister et al in 2011. </w:t>
            </w:r>
          </w:p>
        </w:tc>
        <w:tc>
          <w:tcPr>
            <w:tcW w:w="1998" w:type="dxa"/>
          </w:tcPr>
          <w:p w:rsidR="0046358B" w:rsidRPr="002C66F1" w:rsidRDefault="0046358B" w:rsidP="0046358B">
            <w:r w:rsidRPr="002C66F1">
              <w:lastRenderedPageBreak/>
              <w:t>Prospective cohort</w:t>
            </w:r>
          </w:p>
          <w:p w:rsidR="0046358B" w:rsidRPr="002C66F1" w:rsidRDefault="0046358B" w:rsidP="0046358B">
            <w:r w:rsidRPr="002C66F1">
              <w:t>Followed up at 1</w:t>
            </w:r>
            <w:r w:rsidRPr="002C66F1">
              <w:rPr>
                <w:vertAlign w:val="superscript"/>
              </w:rPr>
              <w:t>st</w:t>
            </w:r>
            <w:r w:rsidRPr="002C66F1">
              <w:t xml:space="preserve"> &amp; 3</w:t>
            </w:r>
            <w:r w:rsidRPr="002C66F1">
              <w:rPr>
                <w:vertAlign w:val="superscript"/>
              </w:rPr>
              <w:t>rd</w:t>
            </w:r>
            <w:r w:rsidRPr="002C66F1">
              <w:t xml:space="preserve"> trimester &amp; 4 mths postpartum</w:t>
            </w:r>
          </w:p>
        </w:tc>
        <w:tc>
          <w:tcPr>
            <w:tcW w:w="1843" w:type="dxa"/>
          </w:tcPr>
          <w:p w:rsidR="0046358B" w:rsidRPr="002C66F1" w:rsidRDefault="0046358B" w:rsidP="0046358B">
            <w:r w:rsidRPr="002C66F1">
              <w:t xml:space="preserve">N=118 healthy pregnant women, with thyroid disease </w:t>
            </w:r>
          </w:p>
          <w:p w:rsidR="0046358B" w:rsidRPr="002C66F1" w:rsidRDefault="0046358B" w:rsidP="0046358B">
            <w:r w:rsidRPr="002C66F1">
              <w:t xml:space="preserve">Iodine sufficient </w:t>
            </w:r>
          </w:p>
        </w:tc>
        <w:tc>
          <w:tcPr>
            <w:tcW w:w="1701" w:type="dxa"/>
          </w:tcPr>
          <w:p w:rsidR="0046358B" w:rsidRPr="002C66F1" w:rsidRDefault="0046358B" w:rsidP="0046358B">
            <w:r w:rsidRPr="002C66F1">
              <w:t>UIC, TV (ultrasound), serum TSH, BMI</w:t>
            </w:r>
          </w:p>
        </w:tc>
        <w:tc>
          <w:tcPr>
            <w:tcW w:w="1559" w:type="dxa"/>
          </w:tcPr>
          <w:p w:rsidR="0046358B" w:rsidRPr="002C66F1" w:rsidRDefault="0046358B" w:rsidP="0046358B">
            <w:r w:rsidRPr="002C66F1">
              <w:t>No assessment</w:t>
            </w:r>
          </w:p>
        </w:tc>
        <w:tc>
          <w:tcPr>
            <w:tcW w:w="4111" w:type="dxa"/>
          </w:tcPr>
          <w:p w:rsidR="0046358B" w:rsidRPr="002C66F1" w:rsidRDefault="0046358B" w:rsidP="0046358B">
            <w:r w:rsidRPr="002C66F1">
              <w:t xml:space="preserve">3rd trimester median UIC (176 </w:t>
            </w:r>
            <w:r w:rsidRPr="002C66F1">
              <w:rPr>
                <w:b/>
                <w:bCs/>
              </w:rPr>
              <w:t>m</w:t>
            </w:r>
            <w:r w:rsidRPr="002C66F1">
              <w:t xml:space="preserve">g/g creatinine) was higher than 4 &amp; 14 mths after delivery (P = 0.030, P&lt; 0.001, respectively). </w:t>
            </w:r>
          </w:p>
          <w:p w:rsidR="0046358B" w:rsidRPr="002C66F1" w:rsidRDefault="0046358B" w:rsidP="0046358B">
            <w:r w:rsidRPr="002C66F1">
              <w:t xml:space="preserve">TV in the 3rd trimester (11.3 ± 3.1 mL) was greater (P &lt; 0.001) than in the 1st trimester (8.7 ± 2.5 mL), 4 mths after delivery (8.6 ± 2.5) &amp; 14 mths after delivery (7.8 ± 2.4 mL). </w:t>
            </w:r>
          </w:p>
          <w:p w:rsidR="0046358B" w:rsidRPr="002C66F1" w:rsidRDefault="0046358B" w:rsidP="0046358B">
            <w:r w:rsidRPr="002C66F1">
              <w:lastRenderedPageBreak/>
              <w:t>TSH was higher in 3rd trimester than in the 1</w:t>
            </w:r>
            <w:r w:rsidRPr="002C66F1">
              <w:rPr>
                <w:vertAlign w:val="superscript"/>
              </w:rPr>
              <w:t>st</w:t>
            </w:r>
            <w:r w:rsidRPr="002C66F1">
              <w:t xml:space="preserve"> trimester &amp; 4 mths after delivery (P = 0.007, P = 0.006, respectively). </w:t>
            </w:r>
          </w:p>
          <w:p w:rsidR="0046358B" w:rsidRPr="002C66F1" w:rsidRDefault="0046358B" w:rsidP="0046358B">
            <w:r w:rsidRPr="002C66F1">
              <w:t xml:space="preserve">Colour flow Doppler sonography pattern I was more frequent 4 mths after delivery than 14 mths after delivery (P &lt; 0.001). </w:t>
            </w:r>
          </w:p>
          <w:p w:rsidR="0046358B" w:rsidRPr="002C66F1" w:rsidRDefault="0046358B" w:rsidP="0046358B">
            <w:r w:rsidRPr="002C66F1">
              <w:t>Peak systolic velocity was higher 4 mths after delivery than 14 mths after delivery (P &lt; 0.001). Linear regression analysis revealed TSH &amp; BMI as significant independent predictors for TV</w:t>
            </w:r>
          </w:p>
        </w:tc>
        <w:tc>
          <w:tcPr>
            <w:tcW w:w="1134" w:type="dxa"/>
          </w:tcPr>
          <w:p w:rsidR="0046358B" w:rsidRPr="002C66F1" w:rsidRDefault="0046358B" w:rsidP="0046358B">
            <w:r w:rsidRPr="002C66F1">
              <w:lastRenderedPageBreak/>
              <w:t>TSH, BMI, maternal age, parity</w:t>
            </w:r>
          </w:p>
        </w:tc>
        <w:tc>
          <w:tcPr>
            <w:tcW w:w="2036" w:type="dxa"/>
          </w:tcPr>
          <w:p w:rsidR="0046358B" w:rsidRPr="002C66F1" w:rsidRDefault="0046358B" w:rsidP="0046358B">
            <w:r w:rsidRPr="002C66F1">
              <w:t>Level III-2</w:t>
            </w:r>
          </w:p>
        </w:tc>
      </w:tr>
      <w:tr w:rsidR="0046358B" w:rsidRPr="00C875F5" w:rsidTr="0046358B">
        <w:trPr>
          <w:trHeight w:val="567"/>
        </w:trPr>
        <w:tc>
          <w:tcPr>
            <w:tcW w:w="1242" w:type="dxa"/>
          </w:tcPr>
          <w:p w:rsidR="0046358B" w:rsidRPr="00C900C3" w:rsidRDefault="0046358B" w:rsidP="0046358B">
            <w:r w:rsidRPr="00C900C3">
              <w:rPr>
                <w:noProof/>
              </w:rPr>
              <w:lastRenderedPageBreak/>
              <w:t>Fuse et al, 2013</w:t>
            </w:r>
          </w:p>
          <w:p w:rsidR="0046358B" w:rsidRPr="00C900C3" w:rsidRDefault="0046358B" w:rsidP="0046358B">
            <w:r w:rsidRPr="00C900C3">
              <w:t>Chiba Prefecture,</w:t>
            </w:r>
          </w:p>
          <w:p w:rsidR="0046358B" w:rsidRPr="00C875F5" w:rsidRDefault="0046358B" w:rsidP="0046358B">
            <w:r w:rsidRPr="00C900C3">
              <w:t>Japan</w:t>
            </w:r>
          </w:p>
        </w:tc>
        <w:tc>
          <w:tcPr>
            <w:tcW w:w="1998" w:type="dxa"/>
          </w:tcPr>
          <w:p w:rsidR="0046358B" w:rsidRPr="00C900C3" w:rsidRDefault="0046358B" w:rsidP="0046358B">
            <w:r w:rsidRPr="00C900C3">
              <w:t>Cross-sectional</w:t>
            </w:r>
          </w:p>
          <w:p w:rsidR="0046358B" w:rsidRPr="00C900C3" w:rsidRDefault="0046358B" w:rsidP="0046358B">
            <w:r>
              <w:t>Prospective cohort</w:t>
            </w:r>
          </w:p>
          <w:p w:rsidR="0046358B" w:rsidRPr="00C875F5" w:rsidRDefault="0046358B" w:rsidP="0046358B">
            <w:r w:rsidRPr="00C900C3">
              <w:t>Followed throughout pregnancy</w:t>
            </w:r>
          </w:p>
        </w:tc>
        <w:tc>
          <w:tcPr>
            <w:tcW w:w="1843" w:type="dxa"/>
          </w:tcPr>
          <w:p w:rsidR="0046358B" w:rsidRDefault="0046358B" w:rsidP="0046358B">
            <w:r w:rsidRPr="00C900C3">
              <w:t>N=563 pregnant women: 166 in the 1st trimester, 221 in the 2nd trimester &amp; 176 in the 3rd trimester.</w:t>
            </w:r>
          </w:p>
          <w:p w:rsidR="0046358B" w:rsidRPr="00C875F5" w:rsidRDefault="0046358B" w:rsidP="0046358B">
            <w:r w:rsidRPr="00C900C3">
              <w:t>N=65 preg</w:t>
            </w:r>
            <w:r>
              <w:t>nant women in the 1st trimester</w:t>
            </w:r>
          </w:p>
        </w:tc>
        <w:tc>
          <w:tcPr>
            <w:tcW w:w="1701" w:type="dxa"/>
          </w:tcPr>
          <w:p w:rsidR="0046358B" w:rsidRPr="00C875F5" w:rsidRDefault="0046358B" w:rsidP="0046358B">
            <w:r w:rsidRPr="00C900C3">
              <w:t>UIC, TSH, FT4, TgAb &amp; TPOAb</w:t>
            </w:r>
          </w:p>
        </w:tc>
        <w:tc>
          <w:tcPr>
            <w:tcW w:w="1559" w:type="dxa"/>
          </w:tcPr>
          <w:p w:rsidR="0046358B" w:rsidRPr="00C875F5" w:rsidRDefault="0046358B" w:rsidP="0046358B">
            <w:r w:rsidRPr="00C900C3">
              <w:t>Semi-quantitative FFQ</w:t>
            </w:r>
          </w:p>
        </w:tc>
        <w:tc>
          <w:tcPr>
            <w:tcW w:w="4111" w:type="dxa"/>
          </w:tcPr>
          <w:p w:rsidR="0046358B" w:rsidRPr="00C900C3" w:rsidRDefault="0046358B" w:rsidP="0046358B">
            <w:bookmarkStart w:id="190" w:name="OLE_LINK22"/>
            <w:bookmarkStart w:id="191" w:name="OLE_LINK23"/>
            <w:r w:rsidRPr="00C900C3">
              <w:t>Median UICs in the 1st, 2nd &amp; 3rd trimesters were 227, 259 &amp; 205 μg/L</w:t>
            </w:r>
            <w:r>
              <w:t>,</w:t>
            </w:r>
            <w:r w:rsidRPr="00C900C3">
              <w:t xml:space="preserve"> respectively. Median TSH was significantly lower in the 1st trimester (p˂0.05) than in the 2nd &amp; 3rd trimesters. Median FT4 was significantly lower in the 2nd and 3rd trimesters (p˂0.05) than in the1st trimester.</w:t>
            </w:r>
          </w:p>
          <w:p w:rsidR="0046358B" w:rsidRDefault="0046358B" w:rsidP="0046358B">
            <w:r w:rsidRPr="00C900C3">
              <w:t>Median UICs in the 1st, 2nd &amp; 3rd trimesters were 216, 136 &amp; 148 μg/L</w:t>
            </w:r>
            <w:r>
              <w:t>,</w:t>
            </w:r>
            <w:r w:rsidRPr="00C900C3">
              <w:t xml:space="preserve"> </w:t>
            </w:r>
            <w:r w:rsidRPr="00C900C3">
              <w:lastRenderedPageBreak/>
              <w:t>respectively.</w:t>
            </w:r>
            <w:bookmarkEnd w:id="190"/>
            <w:bookmarkEnd w:id="191"/>
            <w:r w:rsidRPr="00C900C3">
              <w:t xml:space="preserve"> Mean TSH was significantly lower in the 1st trimester (p˂0.05) than in the 2nd &amp; 3rd trimesters. Mean FT4 was significantly lower in the 2nd and 3rd trimesters (p˂0.05) than in the1st trimester. No significant difference was observed in TT3 between the trimesters.</w:t>
            </w:r>
          </w:p>
          <w:p w:rsidR="0046358B" w:rsidRPr="00C875F5" w:rsidRDefault="0046358B" w:rsidP="0046358B">
            <w:pPr>
              <w:rPr>
                <w:shd w:val="clear" w:color="auto" w:fill="FFFFFF"/>
                <w:lang w:val="en-GB"/>
              </w:rPr>
            </w:pPr>
            <w:bookmarkStart w:id="192" w:name="OLE_LINK28"/>
            <w:bookmarkStart w:id="193" w:name="OLE_LINK29"/>
            <w:r w:rsidRPr="00C900C3">
              <w:t>No data on the use of iodine supplements.</w:t>
            </w:r>
            <w:bookmarkEnd w:id="192"/>
            <w:bookmarkEnd w:id="193"/>
          </w:p>
        </w:tc>
        <w:tc>
          <w:tcPr>
            <w:tcW w:w="1134" w:type="dxa"/>
          </w:tcPr>
          <w:p w:rsidR="0046358B" w:rsidRPr="00D74A29" w:rsidRDefault="0046358B" w:rsidP="0046358B"/>
        </w:tc>
        <w:tc>
          <w:tcPr>
            <w:tcW w:w="2036" w:type="dxa"/>
          </w:tcPr>
          <w:p w:rsidR="0046358B" w:rsidRPr="00D74A29" w:rsidRDefault="0046358B" w:rsidP="0046358B">
            <w:r w:rsidRPr="00D74A29">
              <w:t>Two studies</w:t>
            </w:r>
          </w:p>
          <w:p w:rsidR="0046358B" w:rsidRPr="00D74A29" w:rsidRDefault="0046358B" w:rsidP="0046358B">
            <w:r w:rsidRPr="00D74A29">
              <w:t>Level III-2</w:t>
            </w:r>
          </w:p>
          <w:p w:rsidR="0046358B" w:rsidRPr="00D74A29" w:rsidRDefault="0046358B" w:rsidP="0046358B">
            <w:r w:rsidRPr="00D74A29">
              <w:t>Level IV</w:t>
            </w:r>
          </w:p>
        </w:tc>
      </w:tr>
      <w:tr w:rsidR="0046358B" w:rsidRPr="00C875F5" w:rsidTr="0046358B">
        <w:trPr>
          <w:trHeight w:val="567"/>
        </w:trPr>
        <w:tc>
          <w:tcPr>
            <w:tcW w:w="1242" w:type="dxa"/>
          </w:tcPr>
          <w:p w:rsidR="0046358B" w:rsidRPr="00C900C3" w:rsidRDefault="0046358B" w:rsidP="0046358B">
            <w:r w:rsidRPr="00C900C3">
              <w:rPr>
                <w:noProof/>
              </w:rPr>
              <w:lastRenderedPageBreak/>
              <w:t>Gowachirapant et al, 2014</w:t>
            </w:r>
          </w:p>
          <w:p w:rsidR="0046358B" w:rsidRPr="00C900C3" w:rsidRDefault="0046358B" w:rsidP="0046358B">
            <w:r w:rsidRPr="00C900C3">
              <w:t xml:space="preserve">Bangkok, </w:t>
            </w:r>
          </w:p>
          <w:p w:rsidR="0046358B" w:rsidRPr="00C875F5" w:rsidRDefault="0046358B" w:rsidP="0046358B">
            <w:r w:rsidRPr="00C900C3">
              <w:t>Thailand</w:t>
            </w:r>
          </w:p>
        </w:tc>
        <w:tc>
          <w:tcPr>
            <w:tcW w:w="1998" w:type="dxa"/>
          </w:tcPr>
          <w:p w:rsidR="0046358B" w:rsidRPr="00C875F5" w:rsidRDefault="0046358B" w:rsidP="0046358B">
            <w:r w:rsidRPr="00C900C3">
              <w:t>Cross-sectional</w:t>
            </w:r>
          </w:p>
        </w:tc>
        <w:tc>
          <w:tcPr>
            <w:tcW w:w="1843" w:type="dxa"/>
          </w:tcPr>
          <w:p w:rsidR="0046358B" w:rsidRPr="00C875F5" w:rsidRDefault="0046358B" w:rsidP="0046358B">
            <w:r w:rsidRPr="00C900C3">
              <w:t>N=514 pregnant women in the 1st trimester</w:t>
            </w:r>
          </w:p>
        </w:tc>
        <w:tc>
          <w:tcPr>
            <w:tcW w:w="1701" w:type="dxa"/>
          </w:tcPr>
          <w:p w:rsidR="0046358B" w:rsidRPr="00C875F5" w:rsidRDefault="0046358B" w:rsidP="0046358B">
            <w:r w:rsidRPr="00C900C3">
              <w:t>UIC, TSH, TT3, FT3, TT4, FT4, Tg, TPOAb &amp; TV</w:t>
            </w:r>
          </w:p>
        </w:tc>
        <w:tc>
          <w:tcPr>
            <w:tcW w:w="1559" w:type="dxa"/>
          </w:tcPr>
          <w:p w:rsidR="0046358B" w:rsidRPr="00C875F5" w:rsidRDefault="0046358B" w:rsidP="0046358B">
            <w:r w:rsidRPr="00C900C3">
              <w:t>Household salt samples</w:t>
            </w:r>
          </w:p>
        </w:tc>
        <w:tc>
          <w:tcPr>
            <w:tcW w:w="4111" w:type="dxa"/>
          </w:tcPr>
          <w:p w:rsidR="0046358B" w:rsidRDefault="0046358B" w:rsidP="0046358B">
            <w:bookmarkStart w:id="194" w:name="OLE_LINK26"/>
            <w:bookmarkStart w:id="195" w:name="OLE_LINK27"/>
            <w:r w:rsidRPr="00C900C3">
              <w:t>Median UIC, TSH, TT3, FT3, TT4, FT4 &amp; Tg in the 1st trimester were 112 μg/L, 1.1 mIU/L, 1.85 nmol/L, 4.9 pmol/L, 118.0 nmol/L, 13.9 pmol/L &amp; 9.5 μg/L</w:t>
            </w:r>
            <w:r>
              <w:t>,</w:t>
            </w:r>
            <w:r w:rsidRPr="00C900C3">
              <w:t xml:space="preserve"> respectively.</w:t>
            </w:r>
            <w:bookmarkEnd w:id="194"/>
            <w:bookmarkEnd w:id="195"/>
            <w:r w:rsidRPr="00C900C3">
              <w:t xml:space="preserve"> Of these, 3% had overt hypothyroidism, 7% had subclinical hypothyroidism &amp; 8% had isolated hypothyroxinaemia.</w:t>
            </w:r>
          </w:p>
          <w:p w:rsidR="0046358B" w:rsidRPr="00C875F5" w:rsidRDefault="0046358B" w:rsidP="0046358B">
            <w:r w:rsidRPr="00C900C3">
              <w:t>All pregnant women did not use iodine supplements.</w:t>
            </w:r>
          </w:p>
        </w:tc>
        <w:tc>
          <w:tcPr>
            <w:tcW w:w="1134" w:type="dxa"/>
          </w:tcPr>
          <w:p w:rsidR="0046358B" w:rsidRPr="00C875F5" w:rsidRDefault="0046358B" w:rsidP="0046358B">
            <w:r w:rsidRPr="00C900C3">
              <w:t>Socio-demographic, UIC &amp; thyroid function</w:t>
            </w:r>
          </w:p>
        </w:tc>
        <w:tc>
          <w:tcPr>
            <w:tcW w:w="2036" w:type="dxa"/>
          </w:tcPr>
          <w:p w:rsidR="0046358B" w:rsidRPr="00D74A29" w:rsidRDefault="0046358B" w:rsidP="0046358B">
            <w:r w:rsidRPr="00D74A29">
              <w:t>Level IV</w:t>
            </w:r>
          </w:p>
        </w:tc>
      </w:tr>
      <w:tr w:rsidR="0046358B" w:rsidRPr="00C875F5" w:rsidTr="0046358B">
        <w:trPr>
          <w:trHeight w:val="567"/>
        </w:trPr>
        <w:tc>
          <w:tcPr>
            <w:tcW w:w="1242" w:type="dxa"/>
          </w:tcPr>
          <w:p w:rsidR="0046358B" w:rsidRPr="002C66F1" w:rsidRDefault="0046358B" w:rsidP="0046358B">
            <w:pPr>
              <w:rPr>
                <w:rFonts w:eastAsiaTheme="majorEastAsia"/>
                <w:spacing w:val="5"/>
                <w:kern w:val="28"/>
              </w:rPr>
            </w:pPr>
            <w:r w:rsidRPr="00C900C3">
              <w:rPr>
                <w:noProof/>
              </w:rPr>
              <w:t>Habimana et al, 2014</w:t>
            </w:r>
          </w:p>
          <w:p w:rsidR="0046358B" w:rsidRPr="00C875F5" w:rsidRDefault="0046358B" w:rsidP="0046358B">
            <w:r w:rsidRPr="00C900C3">
              <w:t>Lubumbas</w:t>
            </w:r>
            <w:r w:rsidRPr="00C900C3">
              <w:lastRenderedPageBreak/>
              <w:t>hi, Democratic Republic of Congo</w:t>
            </w:r>
          </w:p>
        </w:tc>
        <w:tc>
          <w:tcPr>
            <w:tcW w:w="1998" w:type="dxa"/>
          </w:tcPr>
          <w:p w:rsidR="0046358B" w:rsidRPr="00C875F5" w:rsidRDefault="0046358B" w:rsidP="0046358B">
            <w:r w:rsidRPr="00C900C3">
              <w:lastRenderedPageBreak/>
              <w:t>Cross-sectional</w:t>
            </w:r>
          </w:p>
        </w:tc>
        <w:tc>
          <w:tcPr>
            <w:tcW w:w="1843" w:type="dxa"/>
          </w:tcPr>
          <w:p w:rsidR="0046358B" w:rsidRPr="00C875F5" w:rsidRDefault="0046358B" w:rsidP="0046358B">
            <w:r w:rsidRPr="00C900C3">
              <w:t xml:space="preserve">N=225 pregnant women: 76 in the 1st trimester, 71 in the 2nd </w:t>
            </w:r>
            <w:r w:rsidRPr="00C900C3">
              <w:lastRenderedPageBreak/>
              <w:t>trimester, 78 in the 3rd trimester</w:t>
            </w:r>
          </w:p>
        </w:tc>
        <w:tc>
          <w:tcPr>
            <w:tcW w:w="1701" w:type="dxa"/>
          </w:tcPr>
          <w:p w:rsidR="0046358B" w:rsidRPr="00C875F5" w:rsidRDefault="0046358B" w:rsidP="0046358B">
            <w:r w:rsidRPr="00C900C3">
              <w:lastRenderedPageBreak/>
              <w:t>UIC, TSH, FT3, FT4, Tg &amp; TPOAb</w:t>
            </w:r>
          </w:p>
        </w:tc>
        <w:tc>
          <w:tcPr>
            <w:tcW w:w="1559" w:type="dxa"/>
          </w:tcPr>
          <w:p w:rsidR="0046358B" w:rsidRPr="00C875F5" w:rsidRDefault="0046358B" w:rsidP="0046358B">
            <w:r w:rsidRPr="00C900C3">
              <w:t>No assessment</w:t>
            </w:r>
          </w:p>
        </w:tc>
        <w:tc>
          <w:tcPr>
            <w:tcW w:w="4111" w:type="dxa"/>
          </w:tcPr>
          <w:p w:rsidR="0046358B" w:rsidRDefault="0046358B" w:rsidP="0046358B">
            <w:r w:rsidRPr="00C900C3">
              <w:t>Median UICs in the 1st, 2nd &amp; 3rd trimesters were 138, 144 &amp; 204 μg/L</w:t>
            </w:r>
            <w:r>
              <w:t>,</w:t>
            </w:r>
            <w:r w:rsidRPr="00C900C3">
              <w:t xml:space="preserve"> respectively. Median TSH </w:t>
            </w:r>
            <w:bookmarkStart w:id="196" w:name="OLE_LINK24"/>
            <w:bookmarkStart w:id="197" w:name="OLE_LINK25"/>
            <w:r w:rsidRPr="00C900C3">
              <w:t xml:space="preserve">was significantly higher lower in the 1st trimester (p=0.005) </w:t>
            </w:r>
            <w:r w:rsidRPr="00C900C3">
              <w:lastRenderedPageBreak/>
              <w:t>than in the 2nd &amp; 3rd trimesters.</w:t>
            </w:r>
            <w:bookmarkEnd w:id="196"/>
            <w:bookmarkEnd w:id="197"/>
            <w:r w:rsidRPr="00C900C3">
              <w:t xml:space="preserve"> No significant difference was observed in FT3 (p=0.78) and FT4 (p=024) between the trimesters. Median Tg was significantly higher lower in the 1st trimester (p=0.01) than in the 2nd &amp; 3rd trimesters. </w:t>
            </w:r>
          </w:p>
          <w:p w:rsidR="0046358B" w:rsidRPr="00C875F5" w:rsidRDefault="0046358B" w:rsidP="0046358B">
            <w:r w:rsidRPr="00C900C3">
              <w:t>Data</w:t>
            </w:r>
            <w:r>
              <w:t xml:space="preserve"> on UIC</w:t>
            </w:r>
            <w:r w:rsidRPr="00C900C3">
              <w:t xml:space="preserve"> reported in </w:t>
            </w:r>
            <w:r>
              <w:rPr>
                <w:noProof/>
              </w:rPr>
              <w:t>Habimana et al</w:t>
            </w:r>
            <w:r w:rsidRPr="00C900C3">
              <w:rPr>
                <w:noProof/>
              </w:rPr>
              <w:t xml:space="preserve"> (2013)</w:t>
            </w:r>
            <w:r w:rsidRPr="00C900C3">
              <w:t>. All pregnant women did not use iodine supplements.</w:t>
            </w:r>
          </w:p>
        </w:tc>
        <w:tc>
          <w:tcPr>
            <w:tcW w:w="1134" w:type="dxa"/>
          </w:tcPr>
          <w:p w:rsidR="0046358B" w:rsidRPr="00C875F5" w:rsidRDefault="0046358B" w:rsidP="0046358B">
            <w:r w:rsidRPr="00C900C3">
              <w:lastRenderedPageBreak/>
              <w:t xml:space="preserve">Socio-demographic, group of </w:t>
            </w:r>
            <w:r w:rsidRPr="00C900C3">
              <w:lastRenderedPageBreak/>
              <w:t>women, UIC &amp; TPOAb status.</w:t>
            </w:r>
          </w:p>
        </w:tc>
        <w:tc>
          <w:tcPr>
            <w:tcW w:w="2036" w:type="dxa"/>
          </w:tcPr>
          <w:p w:rsidR="0046358B" w:rsidRPr="00D74A29" w:rsidRDefault="0046358B" w:rsidP="0046358B">
            <w:r w:rsidRPr="00D74A29">
              <w:lastRenderedPageBreak/>
              <w:t>Level IV</w:t>
            </w:r>
          </w:p>
        </w:tc>
      </w:tr>
      <w:tr w:rsidR="0046358B" w:rsidRPr="00C875F5" w:rsidTr="0046358B">
        <w:trPr>
          <w:trHeight w:val="567"/>
        </w:trPr>
        <w:tc>
          <w:tcPr>
            <w:tcW w:w="1242" w:type="dxa"/>
          </w:tcPr>
          <w:p w:rsidR="0046358B" w:rsidRDefault="0046358B" w:rsidP="0046358B">
            <w:r w:rsidRPr="00C900C3">
              <w:rPr>
                <w:noProof/>
              </w:rPr>
              <w:lastRenderedPageBreak/>
              <w:t>Jaiswal et al, 2014</w:t>
            </w:r>
          </w:p>
          <w:p w:rsidR="0046358B" w:rsidRPr="00C875F5" w:rsidRDefault="0046358B" w:rsidP="0046358B">
            <w:r w:rsidRPr="00C900C3">
              <w:t>Bangalore, India</w:t>
            </w:r>
          </w:p>
        </w:tc>
        <w:tc>
          <w:tcPr>
            <w:tcW w:w="1998" w:type="dxa"/>
          </w:tcPr>
          <w:p w:rsidR="0046358B" w:rsidRPr="00C875F5" w:rsidRDefault="0046358B" w:rsidP="0046358B">
            <w:r w:rsidRPr="00C900C3">
              <w:t>Cross-sectional</w:t>
            </w:r>
          </w:p>
        </w:tc>
        <w:tc>
          <w:tcPr>
            <w:tcW w:w="1843" w:type="dxa"/>
          </w:tcPr>
          <w:p w:rsidR="0046358B" w:rsidRPr="00C875F5" w:rsidRDefault="0046358B" w:rsidP="0046358B">
            <w:r w:rsidRPr="00C900C3">
              <w:t>N=334 pregnant women in the 1st trimester</w:t>
            </w:r>
          </w:p>
        </w:tc>
        <w:tc>
          <w:tcPr>
            <w:tcW w:w="1701" w:type="dxa"/>
          </w:tcPr>
          <w:p w:rsidR="0046358B" w:rsidRPr="00C875F5" w:rsidRDefault="0046358B" w:rsidP="0046358B">
            <w:r w:rsidRPr="00C900C3">
              <w:t>UIC, TSH, TT3, FT3, TT4, FT4, TG, TBG, TgAb, TPOAb &amp;TV</w:t>
            </w:r>
          </w:p>
        </w:tc>
        <w:tc>
          <w:tcPr>
            <w:tcW w:w="1559" w:type="dxa"/>
          </w:tcPr>
          <w:p w:rsidR="0046358B" w:rsidRPr="00C875F5" w:rsidRDefault="0046358B" w:rsidP="0046358B">
            <w:r w:rsidRPr="00C900C3">
              <w:t>Self-reported written questionnaire</w:t>
            </w:r>
          </w:p>
        </w:tc>
        <w:tc>
          <w:tcPr>
            <w:tcW w:w="4111" w:type="dxa"/>
          </w:tcPr>
          <w:p w:rsidR="0046358B" w:rsidRDefault="0046358B" w:rsidP="0046358B">
            <w:r w:rsidRPr="00C900C3">
              <w:t>Median UIC, TSH, TT3, FT3, TT4, FT4 &amp; Tg in the 1st trimester were 184 μg/L, 1.2 mIU/L, 2.2 nmol/L, 5.7 pmol/L, 146.1 nmol/L, 14.3 pmol/L &amp; 6.6 μg/L</w:t>
            </w:r>
            <w:r>
              <w:t>,</w:t>
            </w:r>
            <w:r w:rsidRPr="00C900C3">
              <w:t xml:space="preserve"> respectively. Of these, 4% had overt hypothyroidism, 9% had subclinical hypothyroidism &amp; 5% had hypothyroxinaemia.</w:t>
            </w:r>
          </w:p>
          <w:p w:rsidR="0046358B" w:rsidRDefault="0046358B" w:rsidP="0046358B">
            <w:r>
              <w:t>34% of pregnant women used iodine supplements.</w:t>
            </w:r>
          </w:p>
          <w:p w:rsidR="0046358B" w:rsidRPr="00C875F5" w:rsidRDefault="0046358B" w:rsidP="0046358B">
            <w:r w:rsidRPr="00C900C3">
              <w:t xml:space="preserve">Maternal age, gestational age, hemoglobin, BMI, consanguinity, parity, maternal education, maternal employment, food </w:t>
            </w:r>
            <w:r w:rsidRPr="00C900C3">
              <w:lastRenderedPageBreak/>
              <w:t>habits, reason for salt use, seafood intake, egg intake, use of iodine containing multinutrient powders and presence of thyroid antibodies above the cutoff values.</w:t>
            </w:r>
          </w:p>
        </w:tc>
        <w:tc>
          <w:tcPr>
            <w:tcW w:w="1134" w:type="dxa"/>
          </w:tcPr>
          <w:p w:rsidR="0046358B" w:rsidRPr="00C875F5" w:rsidRDefault="0046358B" w:rsidP="0046358B"/>
        </w:tc>
        <w:tc>
          <w:tcPr>
            <w:tcW w:w="2036" w:type="dxa"/>
          </w:tcPr>
          <w:p w:rsidR="0046358B" w:rsidRPr="00D74A29" w:rsidRDefault="0046358B" w:rsidP="0046358B">
            <w:r w:rsidRPr="00D74A29">
              <w:t>Level IV</w:t>
            </w:r>
          </w:p>
        </w:tc>
      </w:tr>
      <w:tr w:rsidR="0046358B" w:rsidRPr="00C875F5" w:rsidTr="0046358B">
        <w:trPr>
          <w:trHeight w:val="567"/>
        </w:trPr>
        <w:tc>
          <w:tcPr>
            <w:tcW w:w="1242" w:type="dxa"/>
          </w:tcPr>
          <w:p w:rsidR="0046358B" w:rsidRPr="00C900C3" w:rsidRDefault="0046358B" w:rsidP="0046358B">
            <w:r w:rsidRPr="00C900C3">
              <w:rPr>
                <w:noProof/>
              </w:rPr>
              <w:lastRenderedPageBreak/>
              <w:t>Joshi et al, 2014</w:t>
            </w:r>
          </w:p>
          <w:p w:rsidR="0046358B" w:rsidRPr="00C875F5" w:rsidRDefault="0046358B" w:rsidP="0046358B">
            <w:r w:rsidRPr="00C900C3">
              <w:t>Vadodara, India</w:t>
            </w:r>
          </w:p>
        </w:tc>
        <w:tc>
          <w:tcPr>
            <w:tcW w:w="1998" w:type="dxa"/>
          </w:tcPr>
          <w:p w:rsidR="0046358B" w:rsidRPr="00C875F5" w:rsidRDefault="0046358B" w:rsidP="0046358B">
            <w:r w:rsidRPr="00C900C3">
              <w:t>Cross-sectional</w:t>
            </w:r>
          </w:p>
        </w:tc>
        <w:tc>
          <w:tcPr>
            <w:tcW w:w="1843" w:type="dxa"/>
          </w:tcPr>
          <w:p w:rsidR="0046358B" w:rsidRPr="00C875F5" w:rsidRDefault="0046358B" w:rsidP="0046358B">
            <w:r w:rsidRPr="00C900C3">
              <w:t>N=256 pregnant women in the 1st trimester</w:t>
            </w:r>
          </w:p>
        </w:tc>
        <w:tc>
          <w:tcPr>
            <w:tcW w:w="1701" w:type="dxa"/>
          </w:tcPr>
          <w:p w:rsidR="0046358B" w:rsidRPr="00C875F5" w:rsidRDefault="0046358B" w:rsidP="0046358B">
            <w:r w:rsidRPr="00C900C3">
              <w:t>UIC, TSH, TT4 &amp; FT4</w:t>
            </w:r>
          </w:p>
        </w:tc>
        <w:tc>
          <w:tcPr>
            <w:tcW w:w="1559" w:type="dxa"/>
          </w:tcPr>
          <w:p w:rsidR="0046358B" w:rsidRPr="00C875F5" w:rsidRDefault="0046358B" w:rsidP="0046358B">
            <w:r w:rsidRPr="00C900C3">
              <w:t>No assessment</w:t>
            </w:r>
          </w:p>
        </w:tc>
        <w:tc>
          <w:tcPr>
            <w:tcW w:w="4111" w:type="dxa"/>
          </w:tcPr>
          <w:p w:rsidR="0046358B" w:rsidRDefault="0046358B" w:rsidP="0046358B">
            <w:r w:rsidRPr="00C900C3">
              <w:t>Median UIC, TSH, TT4 &amp; FT4 in the 1st trimester were 29</w:t>
            </w:r>
            <w:r>
              <w:t>7 μg/L, 1.8 mIU/L, 10.24 μg /dL &amp;</w:t>
            </w:r>
            <w:r w:rsidRPr="00C900C3">
              <w:t xml:space="preserve"> 10.83 pmol/L</w:t>
            </w:r>
            <w:r>
              <w:t>,</w:t>
            </w:r>
            <w:r w:rsidRPr="00C900C3">
              <w:t xml:space="preserve"> respectively. TSH was negatively correlated with FT4 (p˂0.01). </w:t>
            </w:r>
          </w:p>
          <w:p w:rsidR="0046358B" w:rsidRPr="00C875F5" w:rsidRDefault="0046358B" w:rsidP="0046358B">
            <w:r w:rsidRPr="00C900C3">
              <w:t>No data on the use of iodine supplements</w:t>
            </w:r>
            <w:r>
              <w:t>.</w:t>
            </w:r>
          </w:p>
        </w:tc>
        <w:tc>
          <w:tcPr>
            <w:tcW w:w="1134" w:type="dxa"/>
          </w:tcPr>
          <w:p w:rsidR="0046358B" w:rsidRPr="00C875F5" w:rsidRDefault="0046358B" w:rsidP="0046358B"/>
        </w:tc>
        <w:tc>
          <w:tcPr>
            <w:tcW w:w="2036" w:type="dxa"/>
          </w:tcPr>
          <w:p w:rsidR="0046358B" w:rsidRPr="00D74A29" w:rsidRDefault="0046358B" w:rsidP="0046358B">
            <w:r w:rsidRPr="00D74A29">
              <w:t>Level IV</w:t>
            </w:r>
          </w:p>
        </w:tc>
      </w:tr>
      <w:tr w:rsidR="0046358B" w:rsidRPr="00C875F5" w:rsidTr="0046358B">
        <w:trPr>
          <w:trHeight w:val="567"/>
        </w:trPr>
        <w:tc>
          <w:tcPr>
            <w:tcW w:w="1242" w:type="dxa"/>
          </w:tcPr>
          <w:p w:rsidR="0046358B" w:rsidRPr="00C900C3" w:rsidRDefault="0046358B" w:rsidP="0046358B">
            <w:r w:rsidRPr="00C900C3">
              <w:rPr>
                <w:noProof/>
              </w:rPr>
              <w:t>Koukkou et al, 2014a</w:t>
            </w:r>
          </w:p>
          <w:p w:rsidR="0046358B" w:rsidRPr="00C875F5" w:rsidRDefault="0046358B" w:rsidP="0046358B">
            <w:r w:rsidRPr="00C900C3">
              <w:t>Athens, Greece</w:t>
            </w:r>
          </w:p>
        </w:tc>
        <w:tc>
          <w:tcPr>
            <w:tcW w:w="1998" w:type="dxa"/>
          </w:tcPr>
          <w:p w:rsidR="0046358B" w:rsidRPr="00C900C3" w:rsidRDefault="0046358B" w:rsidP="0046358B">
            <w:r w:rsidRPr="00C900C3">
              <w:t>Prospective cohort</w:t>
            </w:r>
          </w:p>
          <w:p w:rsidR="0046358B" w:rsidRPr="00C875F5" w:rsidRDefault="0046358B" w:rsidP="0046358B">
            <w:bookmarkStart w:id="198" w:name="OLE_LINK36"/>
            <w:bookmarkStart w:id="199" w:name="OLE_LINK37"/>
            <w:r w:rsidRPr="00C900C3">
              <w:t>Followed throughout pregnancy</w:t>
            </w:r>
            <w:bookmarkEnd w:id="198"/>
            <w:bookmarkEnd w:id="199"/>
          </w:p>
        </w:tc>
        <w:tc>
          <w:tcPr>
            <w:tcW w:w="1843" w:type="dxa"/>
          </w:tcPr>
          <w:p w:rsidR="0046358B" w:rsidRPr="00C875F5" w:rsidRDefault="0046358B" w:rsidP="0046358B">
            <w:r w:rsidRPr="00C900C3">
              <w:t>N=47 pregnant women</w:t>
            </w:r>
          </w:p>
        </w:tc>
        <w:tc>
          <w:tcPr>
            <w:tcW w:w="1701" w:type="dxa"/>
          </w:tcPr>
          <w:p w:rsidR="0046358B" w:rsidRPr="00C875F5" w:rsidRDefault="0046358B" w:rsidP="0046358B">
            <w:r w:rsidRPr="00C900C3">
              <w:t>UIC, TSH, FT3, FT4 &amp; TPOAb</w:t>
            </w:r>
          </w:p>
        </w:tc>
        <w:tc>
          <w:tcPr>
            <w:tcW w:w="1559" w:type="dxa"/>
          </w:tcPr>
          <w:p w:rsidR="0046358B" w:rsidRPr="00C875F5" w:rsidRDefault="0046358B" w:rsidP="0046358B">
            <w:r w:rsidRPr="00C900C3">
              <w:t>No assessment</w:t>
            </w:r>
          </w:p>
        </w:tc>
        <w:tc>
          <w:tcPr>
            <w:tcW w:w="4111" w:type="dxa"/>
          </w:tcPr>
          <w:p w:rsidR="0046358B" w:rsidRDefault="0046358B" w:rsidP="0046358B">
            <w:r w:rsidRPr="00C900C3">
              <w:t>Median UICs in the 1st, 2nd &amp; 3rd trimesters were 113, 117 &amp; 122</w:t>
            </w:r>
            <w:bookmarkStart w:id="200" w:name="OLE_LINK30"/>
            <w:r w:rsidRPr="00C900C3">
              <w:t xml:space="preserve"> μg/L</w:t>
            </w:r>
            <w:bookmarkEnd w:id="200"/>
            <w:r>
              <w:t>, respectively</w:t>
            </w:r>
            <w:r w:rsidRPr="00C900C3">
              <w:t>. No significant difference was observed in TSH between the trimesters. Women in the 1st trimester had a significantly higher me</w:t>
            </w:r>
            <w:r>
              <w:t>an FT3 (p&lt;0.01) and FT4 (p&lt;0.01</w:t>
            </w:r>
            <w:r w:rsidRPr="00C900C3">
              <w:t>) than women in the 2nd and 3rd trimesters.</w:t>
            </w:r>
          </w:p>
          <w:p w:rsidR="0046358B" w:rsidRPr="00C875F5" w:rsidRDefault="0046358B" w:rsidP="0046358B">
            <w:r w:rsidRPr="00C900C3">
              <w:t>No data on the use of iodine supplements</w:t>
            </w:r>
            <w:r>
              <w:t>.</w:t>
            </w:r>
          </w:p>
        </w:tc>
        <w:tc>
          <w:tcPr>
            <w:tcW w:w="1134" w:type="dxa"/>
          </w:tcPr>
          <w:p w:rsidR="0046358B" w:rsidRPr="00C875F5" w:rsidRDefault="0046358B" w:rsidP="0046358B">
            <w:pPr>
              <w:widowControl w:val="0"/>
              <w:autoSpaceDE w:val="0"/>
              <w:autoSpaceDN w:val="0"/>
              <w:adjustRightInd w:val="0"/>
              <w:rPr>
                <w:rFonts w:cs="Arial"/>
                <w:sz w:val="16"/>
                <w:szCs w:val="16"/>
              </w:rPr>
            </w:pPr>
          </w:p>
        </w:tc>
        <w:tc>
          <w:tcPr>
            <w:tcW w:w="2036" w:type="dxa"/>
          </w:tcPr>
          <w:p w:rsidR="0046358B" w:rsidRPr="00D74A29" w:rsidRDefault="0046358B" w:rsidP="0046358B">
            <w:r w:rsidRPr="00D74A29">
              <w:t>Two studies</w:t>
            </w:r>
          </w:p>
          <w:p w:rsidR="0046358B" w:rsidRPr="00D74A29" w:rsidRDefault="0046358B" w:rsidP="0046358B">
            <w:r w:rsidRPr="00D74A29">
              <w:t>Level III-2</w:t>
            </w:r>
          </w:p>
          <w:p w:rsidR="0046358B" w:rsidRPr="00D74A29" w:rsidRDefault="0046358B" w:rsidP="0046358B">
            <w:r w:rsidRPr="00D74A29">
              <w:t>Level IV</w:t>
            </w:r>
          </w:p>
        </w:tc>
      </w:tr>
      <w:tr w:rsidR="0046358B" w:rsidRPr="00C875F5" w:rsidTr="0046358B">
        <w:trPr>
          <w:trHeight w:val="567"/>
        </w:trPr>
        <w:tc>
          <w:tcPr>
            <w:tcW w:w="1242" w:type="dxa"/>
          </w:tcPr>
          <w:p w:rsidR="0046358B" w:rsidRPr="00C900C3" w:rsidRDefault="0046358B" w:rsidP="0046358B">
            <w:r w:rsidRPr="00C900C3">
              <w:rPr>
                <w:noProof/>
              </w:rPr>
              <w:lastRenderedPageBreak/>
              <w:t>Koukkou et al, 2014b</w:t>
            </w:r>
          </w:p>
          <w:p w:rsidR="0046358B" w:rsidRPr="00C875F5" w:rsidRDefault="0046358B" w:rsidP="0046358B">
            <w:r w:rsidRPr="00C900C3">
              <w:t>Athens &amp; Patras, Greece</w:t>
            </w:r>
          </w:p>
        </w:tc>
        <w:tc>
          <w:tcPr>
            <w:tcW w:w="1998" w:type="dxa"/>
          </w:tcPr>
          <w:p w:rsidR="0046358B" w:rsidRPr="00C875F5" w:rsidRDefault="0046358B" w:rsidP="0046358B">
            <w:r w:rsidRPr="00C900C3">
              <w:t>Prospective cohort &amp; cross secti</w:t>
            </w:r>
            <w:r w:rsidR="0076029F">
              <w:t>onal</w:t>
            </w:r>
          </w:p>
        </w:tc>
        <w:tc>
          <w:tcPr>
            <w:tcW w:w="1843" w:type="dxa"/>
          </w:tcPr>
          <w:p w:rsidR="0046358B" w:rsidRPr="00C875F5" w:rsidRDefault="0046358B" w:rsidP="0046358B">
            <w:r w:rsidRPr="00C900C3">
              <w:t xml:space="preserve">N=424 pregnant women </w:t>
            </w:r>
          </w:p>
        </w:tc>
        <w:tc>
          <w:tcPr>
            <w:tcW w:w="1701" w:type="dxa"/>
          </w:tcPr>
          <w:p w:rsidR="0046358B" w:rsidRPr="00C875F5" w:rsidRDefault="0046358B" w:rsidP="0046358B">
            <w:r w:rsidRPr="00C900C3">
              <w:t>UIC, TSH, FT4, Tg &amp; TPOAb</w:t>
            </w:r>
          </w:p>
        </w:tc>
        <w:tc>
          <w:tcPr>
            <w:tcW w:w="1559" w:type="dxa"/>
          </w:tcPr>
          <w:p w:rsidR="0046358B" w:rsidRPr="00C875F5" w:rsidRDefault="0046358B" w:rsidP="0046358B">
            <w:r w:rsidRPr="00C900C3">
              <w:t>Use of iodized salt</w:t>
            </w:r>
          </w:p>
        </w:tc>
        <w:tc>
          <w:tcPr>
            <w:tcW w:w="4111" w:type="dxa"/>
          </w:tcPr>
          <w:p w:rsidR="0046358B" w:rsidRDefault="0046358B" w:rsidP="0046358B">
            <w:r w:rsidRPr="00C900C3">
              <w:t>Median UICs in the 1st, 2nd &amp; 3rd trimesters were 130, 125 &amp; 130 μg/L</w:t>
            </w:r>
            <w:r>
              <w:t>,</w:t>
            </w:r>
            <w:r w:rsidRPr="00C900C3">
              <w:t xml:space="preserve"> respectively. Mean TSH was significantly lower in the 1st trimester (p&lt;0.01) than in the 2nd &amp; 3rd trimesters. Mean FT4 was significantly lower in the 3rd trimester (p&lt;0.01) than in the 1</w:t>
            </w:r>
            <w:r>
              <w:t xml:space="preserve">st &amp; 2nd trimesters. Median Tg </w:t>
            </w:r>
            <w:r w:rsidRPr="00C900C3">
              <w:t>was significantly lower in the 2nd trimester (p&lt;0.01) than in the 1st &amp; 3rd trimester</w:t>
            </w:r>
            <w:r>
              <w:t>.</w:t>
            </w:r>
          </w:p>
          <w:p w:rsidR="0046358B" w:rsidRPr="00C875F5" w:rsidRDefault="0046358B" w:rsidP="0046358B">
            <w:r w:rsidRPr="00C900C3">
              <w:t>All pregnant women did not use iodine supplements. Two spot urine samples collected on two different days for the determination of UIC.</w:t>
            </w:r>
          </w:p>
        </w:tc>
        <w:tc>
          <w:tcPr>
            <w:tcW w:w="1134" w:type="dxa"/>
          </w:tcPr>
          <w:p w:rsidR="0046358B" w:rsidRPr="00C875F5" w:rsidRDefault="0046358B" w:rsidP="0046358B">
            <w:pPr>
              <w:widowControl w:val="0"/>
              <w:autoSpaceDE w:val="0"/>
              <w:autoSpaceDN w:val="0"/>
              <w:adjustRightInd w:val="0"/>
              <w:rPr>
                <w:rFonts w:cs="Arial"/>
                <w:sz w:val="16"/>
                <w:szCs w:val="16"/>
              </w:rPr>
            </w:pPr>
          </w:p>
        </w:tc>
        <w:tc>
          <w:tcPr>
            <w:tcW w:w="2036" w:type="dxa"/>
          </w:tcPr>
          <w:p w:rsidR="0046358B" w:rsidRPr="00D74A29" w:rsidRDefault="0046358B" w:rsidP="0046358B">
            <w:r w:rsidRPr="00D74A29">
              <w:t>Level IV</w:t>
            </w:r>
          </w:p>
        </w:tc>
      </w:tr>
      <w:tr w:rsidR="0046358B" w:rsidRPr="00C875F5" w:rsidTr="0046358B">
        <w:trPr>
          <w:trHeight w:val="567"/>
        </w:trPr>
        <w:tc>
          <w:tcPr>
            <w:tcW w:w="1242" w:type="dxa"/>
          </w:tcPr>
          <w:p w:rsidR="0046358B" w:rsidRPr="00C875F5" w:rsidRDefault="0046358B" w:rsidP="0046358B">
            <w:r w:rsidRPr="00C875F5">
              <w:t xml:space="preserve">Kung et al, 2002 </w:t>
            </w:r>
          </w:p>
          <w:p w:rsidR="0046358B" w:rsidRPr="00C875F5" w:rsidRDefault="0046358B" w:rsidP="0046358B">
            <w:r w:rsidRPr="00C875F5">
              <w:t>Southern China (Hong Kong)</w:t>
            </w:r>
          </w:p>
        </w:tc>
        <w:tc>
          <w:tcPr>
            <w:tcW w:w="1998" w:type="dxa"/>
          </w:tcPr>
          <w:p w:rsidR="0046358B" w:rsidRPr="00C875F5" w:rsidRDefault="0046358B" w:rsidP="0046358B">
            <w:r w:rsidRPr="00C875F5">
              <w:t xml:space="preserve">Prospective cohort </w:t>
            </w:r>
          </w:p>
          <w:p w:rsidR="0046358B" w:rsidRPr="00C875F5" w:rsidRDefault="0046358B" w:rsidP="0046358B">
            <w:r w:rsidRPr="00C875F5">
              <w:t>Followed-up at 1</w:t>
            </w:r>
            <w:r w:rsidRPr="00C875F5">
              <w:rPr>
                <w:vertAlign w:val="superscript"/>
              </w:rPr>
              <w:t>st</w:t>
            </w:r>
            <w:r w:rsidRPr="00C875F5">
              <w:t xml:space="preserve"> &amp; 3</w:t>
            </w:r>
            <w:r w:rsidRPr="00C875F5">
              <w:rPr>
                <w:vertAlign w:val="superscript"/>
              </w:rPr>
              <w:t>rd</w:t>
            </w:r>
            <w:r w:rsidRPr="00C875F5">
              <w:t xml:space="preserve"> trimester &amp; 6wks &amp; 3mths  postpartum</w:t>
            </w:r>
          </w:p>
        </w:tc>
        <w:tc>
          <w:tcPr>
            <w:tcW w:w="1843" w:type="dxa"/>
          </w:tcPr>
          <w:p w:rsidR="0046358B" w:rsidRPr="00C875F5" w:rsidRDefault="0046358B" w:rsidP="0046358B">
            <w:r w:rsidRPr="00C875F5">
              <w:t>N=221 healthy pregnant women, with no history of thyroid dysfunction</w:t>
            </w:r>
          </w:p>
          <w:p w:rsidR="0046358B" w:rsidRPr="00C875F5" w:rsidRDefault="0046358B" w:rsidP="0046358B">
            <w:r w:rsidRPr="00C875F5">
              <w:t xml:space="preserve">Borderline sufficient </w:t>
            </w:r>
          </w:p>
        </w:tc>
        <w:tc>
          <w:tcPr>
            <w:tcW w:w="1701" w:type="dxa"/>
          </w:tcPr>
          <w:p w:rsidR="0046358B" w:rsidRPr="00C875F5" w:rsidRDefault="0046358B" w:rsidP="0046358B">
            <w:r w:rsidRPr="00C875F5">
              <w:t>UI, thyroid function (TSH, FT4, FT3, Tg), TV &amp; nodules (ultrasound)</w:t>
            </w:r>
          </w:p>
        </w:tc>
        <w:tc>
          <w:tcPr>
            <w:tcW w:w="1559" w:type="dxa"/>
          </w:tcPr>
          <w:p w:rsidR="0046358B" w:rsidRPr="00C875F5" w:rsidRDefault="0046358B" w:rsidP="0046358B">
            <w:r w:rsidRPr="00C875F5">
              <w:t>No assessment</w:t>
            </w:r>
          </w:p>
        </w:tc>
        <w:tc>
          <w:tcPr>
            <w:tcW w:w="4111" w:type="dxa"/>
          </w:tcPr>
          <w:p w:rsidR="0046358B" w:rsidRPr="00C875F5" w:rsidRDefault="0046358B" w:rsidP="0046358B">
            <w:r w:rsidRPr="00C875F5">
              <w:t>Thyroid nodules were detected in 34 (15.3%) in 1</w:t>
            </w:r>
            <w:r w:rsidRPr="00C875F5">
              <w:rPr>
                <w:vertAlign w:val="superscript"/>
              </w:rPr>
              <w:t>st</w:t>
            </w:r>
            <w:r w:rsidRPr="00C875F5">
              <w:t xml:space="preserve"> trimester, 12 (5.4%) had &gt; 1nodule. Women with thyroid nodules were older (P </w:t>
            </w:r>
            <w:r w:rsidRPr="00C875F5">
              <w:rPr>
                <w:bCs/>
              </w:rPr>
              <w:t xml:space="preserve">&lt; </w:t>
            </w:r>
            <w:r w:rsidRPr="00C875F5">
              <w:t xml:space="preserve">0.01) &amp; had higher gravidity (P </w:t>
            </w:r>
            <w:r w:rsidRPr="00C875F5">
              <w:rPr>
                <w:bCs/>
              </w:rPr>
              <w:t xml:space="preserve">&lt; </w:t>
            </w:r>
            <w:r w:rsidRPr="00C875F5">
              <w:t xml:space="preserve">0.02) than those women without thyroid nodules. Patients with thyroid nodules had lower serum TSH values (P </w:t>
            </w:r>
            <w:r w:rsidRPr="00C875F5">
              <w:rPr>
                <w:bCs/>
              </w:rPr>
              <w:t xml:space="preserve">&lt; </w:t>
            </w:r>
            <w:r w:rsidRPr="00C875F5">
              <w:t xml:space="preserve">0.03) &amp; higher Tg levels (P </w:t>
            </w:r>
            <w:r w:rsidRPr="00C875F5">
              <w:rPr>
                <w:bCs/>
              </w:rPr>
              <w:lastRenderedPageBreak/>
              <w:t>&lt;</w:t>
            </w:r>
            <w:r w:rsidRPr="00C875F5">
              <w:t xml:space="preserve">0.05) throughout pregnancy. Appearance of new nodules was detected in 25 (11.3%) women. subjects with new nodule formation had higher UI excretion from 2nd trimester onward (P all </w:t>
            </w:r>
            <w:r w:rsidRPr="00C875F5">
              <w:rPr>
                <w:bCs/>
              </w:rPr>
              <w:t xml:space="preserve">&lt; </w:t>
            </w:r>
            <w:r w:rsidRPr="00C875F5">
              <w:t>0.05). No difference in their TSH &amp; Tg levels throughout pregnancy. Fine-needle aspiration on nodules greater than 5 mm in any dimension after delivery (n =21) confirmed the majority having histological features consistent with nodular hyperplasia. No thyroid malignancy was detected.</w:t>
            </w:r>
          </w:p>
        </w:tc>
        <w:tc>
          <w:tcPr>
            <w:tcW w:w="1134" w:type="dxa"/>
          </w:tcPr>
          <w:p w:rsidR="0046358B" w:rsidRPr="00C875F5" w:rsidRDefault="0046358B" w:rsidP="0046358B"/>
        </w:tc>
        <w:tc>
          <w:tcPr>
            <w:tcW w:w="2036" w:type="dxa"/>
          </w:tcPr>
          <w:p w:rsidR="0046358B" w:rsidRPr="00D74A29" w:rsidRDefault="0046358B" w:rsidP="0046358B">
            <w:r w:rsidRPr="00D74A29">
              <w:t>Level III-2</w:t>
            </w:r>
          </w:p>
        </w:tc>
      </w:tr>
      <w:tr w:rsidR="0046358B" w:rsidRPr="00C875F5" w:rsidTr="0046358B">
        <w:trPr>
          <w:trHeight w:val="567"/>
        </w:trPr>
        <w:tc>
          <w:tcPr>
            <w:tcW w:w="1242" w:type="dxa"/>
          </w:tcPr>
          <w:p w:rsidR="0046358B" w:rsidRPr="00C900C3" w:rsidRDefault="0046358B" w:rsidP="0046358B">
            <w:r w:rsidRPr="00C900C3">
              <w:rPr>
                <w:noProof/>
              </w:rPr>
              <w:lastRenderedPageBreak/>
              <w:t>Menéndez Torre et al, 2014</w:t>
            </w:r>
          </w:p>
          <w:p w:rsidR="0046358B" w:rsidRPr="00C875F5" w:rsidRDefault="0046358B" w:rsidP="0046358B">
            <w:r w:rsidRPr="00C900C3">
              <w:t>Asturias, Spain</w:t>
            </w:r>
          </w:p>
        </w:tc>
        <w:tc>
          <w:tcPr>
            <w:tcW w:w="1998" w:type="dxa"/>
          </w:tcPr>
          <w:p w:rsidR="0046358B" w:rsidRPr="00C875F5" w:rsidRDefault="0046358B" w:rsidP="0046358B">
            <w:bookmarkStart w:id="201" w:name="OLE_LINK34"/>
            <w:bookmarkStart w:id="202" w:name="OLE_LINK35"/>
            <w:r w:rsidRPr="00C900C3">
              <w:t>Cross-sectional</w:t>
            </w:r>
            <w:bookmarkEnd w:id="201"/>
            <w:bookmarkEnd w:id="202"/>
          </w:p>
        </w:tc>
        <w:tc>
          <w:tcPr>
            <w:tcW w:w="1843" w:type="dxa"/>
          </w:tcPr>
          <w:p w:rsidR="0046358B" w:rsidRPr="00C875F5" w:rsidRDefault="0046358B" w:rsidP="0046358B">
            <w:r w:rsidRPr="00C900C3">
              <w:t>N=173 pregnant women in the 1st trimester</w:t>
            </w:r>
          </w:p>
        </w:tc>
        <w:tc>
          <w:tcPr>
            <w:tcW w:w="1701" w:type="dxa"/>
          </w:tcPr>
          <w:p w:rsidR="0046358B" w:rsidRPr="00C875F5" w:rsidRDefault="0046358B" w:rsidP="0046358B">
            <w:r w:rsidRPr="00C900C3">
              <w:t>UIC, TSH, FT4 &amp; TPOAb</w:t>
            </w:r>
          </w:p>
        </w:tc>
        <w:tc>
          <w:tcPr>
            <w:tcW w:w="1559" w:type="dxa"/>
          </w:tcPr>
          <w:p w:rsidR="0046358B" w:rsidRPr="00C875F5" w:rsidRDefault="0046358B" w:rsidP="0046358B">
            <w:r w:rsidRPr="00C900C3">
              <w:t>Iodine supplements, use of iodised salt &amp; dairy products.</w:t>
            </w:r>
          </w:p>
        </w:tc>
        <w:tc>
          <w:tcPr>
            <w:tcW w:w="4111" w:type="dxa"/>
          </w:tcPr>
          <w:p w:rsidR="0046358B" w:rsidRDefault="0046358B" w:rsidP="0046358B">
            <w:r w:rsidRPr="00C900C3">
              <w:t>Median UIC, mean TSH &amp; mean FT4 were 197 μg/L, 2.1 mU/L &amp; 1.2 ng/dL</w:t>
            </w:r>
            <w:r>
              <w:t>,</w:t>
            </w:r>
            <w:r w:rsidRPr="00C900C3">
              <w:t xml:space="preserve"> respectively. No difference in TSH and FT4 between iodine supplemented and non-iodine supplemented women.</w:t>
            </w:r>
          </w:p>
          <w:p w:rsidR="0046358B" w:rsidRPr="0046358B" w:rsidRDefault="0046358B" w:rsidP="0046358B">
            <w:r w:rsidRPr="00C900C3">
              <w:t>47% of pregnant women took iodine supplements.</w:t>
            </w:r>
          </w:p>
        </w:tc>
        <w:tc>
          <w:tcPr>
            <w:tcW w:w="1134" w:type="dxa"/>
          </w:tcPr>
          <w:p w:rsidR="0046358B" w:rsidRPr="00C875F5" w:rsidRDefault="0046358B" w:rsidP="0046358B"/>
        </w:tc>
        <w:tc>
          <w:tcPr>
            <w:tcW w:w="2036" w:type="dxa"/>
          </w:tcPr>
          <w:p w:rsidR="0046358B" w:rsidRPr="00D74A29" w:rsidRDefault="0046358B" w:rsidP="0046358B">
            <w:r w:rsidRPr="00D74A29">
              <w:t xml:space="preserve">Level IV </w:t>
            </w:r>
          </w:p>
        </w:tc>
      </w:tr>
      <w:tr w:rsidR="0046358B" w:rsidRPr="00C875F5" w:rsidTr="0046358B">
        <w:trPr>
          <w:trHeight w:val="567"/>
        </w:trPr>
        <w:tc>
          <w:tcPr>
            <w:tcW w:w="1242" w:type="dxa"/>
          </w:tcPr>
          <w:p w:rsidR="0046358B" w:rsidRPr="00C900C3" w:rsidRDefault="0046358B" w:rsidP="0046358B">
            <w:r w:rsidRPr="00C900C3">
              <w:rPr>
                <w:noProof/>
              </w:rPr>
              <w:lastRenderedPageBreak/>
              <w:t>Meng et al, 2013</w:t>
            </w:r>
          </w:p>
          <w:p w:rsidR="0046358B" w:rsidRPr="00C900C3" w:rsidRDefault="0046358B" w:rsidP="0046358B">
            <w:r w:rsidRPr="00C900C3">
              <w:t>Gansu, Shandong, Fujian, Jilin, Anhui &amp; Chongqing provinces,</w:t>
            </w:r>
          </w:p>
          <w:p w:rsidR="0046358B" w:rsidRPr="00C875F5" w:rsidRDefault="0046358B" w:rsidP="0046358B">
            <w:r w:rsidRPr="00C900C3">
              <w:t>China</w:t>
            </w:r>
          </w:p>
        </w:tc>
        <w:tc>
          <w:tcPr>
            <w:tcW w:w="1998" w:type="dxa"/>
          </w:tcPr>
          <w:p w:rsidR="0046358B" w:rsidRPr="00C875F5" w:rsidRDefault="0046358B" w:rsidP="0046358B">
            <w:r w:rsidRPr="00C900C3">
              <w:t>Cross-sectional</w:t>
            </w:r>
          </w:p>
        </w:tc>
        <w:tc>
          <w:tcPr>
            <w:tcW w:w="1843" w:type="dxa"/>
          </w:tcPr>
          <w:p w:rsidR="0046358B" w:rsidRPr="00C875F5" w:rsidRDefault="0046358B" w:rsidP="0046358B">
            <w:r w:rsidRPr="00C900C3">
              <w:t>N=699 pregnant women (trimester of pregnancy not reported)</w:t>
            </w:r>
          </w:p>
        </w:tc>
        <w:tc>
          <w:tcPr>
            <w:tcW w:w="1701" w:type="dxa"/>
          </w:tcPr>
          <w:p w:rsidR="0046358B" w:rsidRPr="00C875F5" w:rsidRDefault="0046358B" w:rsidP="0046358B">
            <w:r w:rsidRPr="00C900C3">
              <w:t xml:space="preserve">UIC, TSH,FT4,Tg, TgAb &amp; TPOAb </w:t>
            </w:r>
          </w:p>
        </w:tc>
        <w:tc>
          <w:tcPr>
            <w:tcW w:w="1559" w:type="dxa"/>
          </w:tcPr>
          <w:p w:rsidR="0046358B" w:rsidRPr="00C875F5" w:rsidRDefault="0046358B" w:rsidP="0046358B">
            <w:r w:rsidRPr="00C900C3">
              <w:t>Household salt samples</w:t>
            </w:r>
          </w:p>
        </w:tc>
        <w:tc>
          <w:tcPr>
            <w:tcW w:w="4111" w:type="dxa"/>
          </w:tcPr>
          <w:p w:rsidR="0046358B" w:rsidRDefault="0046358B" w:rsidP="0046358B">
            <w:r w:rsidRPr="00C900C3">
              <w:t>Median UIC, TSH, FT4 and Tg were 206 μg/L, 1.7 mU/L, 13.3 pmol/L &amp; 4.9 μg/L</w:t>
            </w:r>
            <w:r>
              <w:t>,</w:t>
            </w:r>
            <w:r w:rsidRPr="00C900C3">
              <w:t xml:space="preserve"> respectively. TSH decreased from ~ UIC 50 to 300 μg/L and increase from UIC 300 to 550 μg/L.</w:t>
            </w:r>
          </w:p>
          <w:p w:rsidR="0046358B" w:rsidRPr="00C875F5" w:rsidRDefault="0046358B" w:rsidP="0046358B">
            <w:pPr>
              <w:rPr>
                <w:color w:val="000000"/>
                <w:shd w:val="clear" w:color="auto" w:fill="FFFFFF"/>
                <w:lang w:val="en-GB"/>
              </w:rPr>
            </w:pPr>
            <w:r w:rsidRPr="00C900C3">
              <w:t>No data on the use of iodine supplements</w:t>
            </w:r>
            <w:r>
              <w:t>.</w:t>
            </w:r>
          </w:p>
        </w:tc>
        <w:tc>
          <w:tcPr>
            <w:tcW w:w="1134" w:type="dxa"/>
          </w:tcPr>
          <w:p w:rsidR="0046358B" w:rsidRPr="00C875F5" w:rsidRDefault="0046358B" w:rsidP="0046358B"/>
        </w:tc>
        <w:tc>
          <w:tcPr>
            <w:tcW w:w="2036" w:type="dxa"/>
          </w:tcPr>
          <w:p w:rsidR="0046358B" w:rsidRPr="00D74A29" w:rsidRDefault="0046358B" w:rsidP="0046358B">
            <w:r w:rsidRPr="00D74A29">
              <w:t>Level IV</w:t>
            </w:r>
          </w:p>
        </w:tc>
      </w:tr>
      <w:tr w:rsidR="0046358B" w:rsidRPr="00C875F5" w:rsidTr="0046358B">
        <w:trPr>
          <w:trHeight w:val="567"/>
        </w:trPr>
        <w:tc>
          <w:tcPr>
            <w:tcW w:w="1242" w:type="dxa"/>
          </w:tcPr>
          <w:p w:rsidR="0046358B" w:rsidRPr="00C875F5" w:rsidRDefault="0046358B" w:rsidP="0046358B">
            <w:r w:rsidRPr="00C875F5">
              <w:t>Moleti  et al, 2009</w:t>
            </w:r>
          </w:p>
          <w:p w:rsidR="0046358B" w:rsidRPr="00C875F5" w:rsidRDefault="0046358B" w:rsidP="0046358B">
            <w:r w:rsidRPr="00C875F5">
              <w:t>Sicily Italy</w:t>
            </w:r>
            <w:r w:rsidRPr="00C875F5">
              <w:fldChar w:fldCharType="begin">
                <w:fldData xml:space="preserve">PEVuZE5vdGU+PENpdGU+PEF1dGhvcj5Nb2xldGk8L0F1dGhvcj48WWVhcj4yMDA5PC9ZZWFyPjxS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</w:fldData>
              </w:fldChar>
            </w:r>
            <w:r w:rsidRPr="00C875F5">
              <w:instrText xml:space="preserve"> ADDIN EN.CITE </w:instrText>
            </w:r>
            <w:r w:rsidRPr="00C875F5">
              <w:fldChar w:fldCharType="begin">
                <w:fldData xml:space="preserve">PEVuZE5vdGU+PENpdGU+PEF1dGhvcj5Nb2xldGk8L0F1dGhvcj48WWVhcj4yMDA5PC9ZZWFyPjxS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</w:fldData>
              </w:fldChar>
            </w:r>
            <w:r w:rsidRPr="00C875F5">
              <w:instrText xml:space="preserve"> ADDIN EN.CITE.DATA  </w:instrText>
            </w:r>
            <w:r w:rsidRPr="00C875F5">
              <w:fldChar w:fldCharType="end"/>
            </w:r>
            <w:r w:rsidRPr="00C875F5">
              <w:fldChar w:fldCharType="end"/>
            </w:r>
          </w:p>
        </w:tc>
        <w:tc>
          <w:tcPr>
            <w:tcW w:w="1998" w:type="dxa"/>
          </w:tcPr>
          <w:p w:rsidR="0046358B" w:rsidRPr="00C875F5" w:rsidRDefault="0046358B" w:rsidP="0046358B">
            <w:r w:rsidRPr="00C875F5">
              <w:t xml:space="preserve">Prospective cohort </w:t>
            </w:r>
          </w:p>
          <w:p w:rsidR="0046358B" w:rsidRPr="00C875F5" w:rsidRDefault="0046358B" w:rsidP="0046358B">
            <w:r w:rsidRPr="00C875F5">
              <w:t xml:space="preserve">Followed up at 12, 18, 24, 30 &amp; 38 wks </w:t>
            </w:r>
          </w:p>
        </w:tc>
        <w:tc>
          <w:tcPr>
            <w:tcW w:w="1843" w:type="dxa"/>
          </w:tcPr>
          <w:p w:rsidR="0046358B" w:rsidRPr="00C875F5" w:rsidRDefault="0046358B" w:rsidP="0046358B">
            <w:r w:rsidRPr="00C875F5">
              <w:t>N= 220 Pregnant women never tested for thyroid dysfunction</w:t>
            </w:r>
          </w:p>
          <w:p w:rsidR="0046358B" w:rsidRPr="00C875F5" w:rsidRDefault="0046358B" w:rsidP="0046358B">
            <w:r w:rsidRPr="00C875F5">
              <w:t xml:space="preserve">Mild ID </w:t>
            </w:r>
          </w:p>
        </w:tc>
        <w:tc>
          <w:tcPr>
            <w:tcW w:w="1701" w:type="dxa"/>
          </w:tcPr>
          <w:p w:rsidR="0046358B" w:rsidRPr="00C875F5" w:rsidRDefault="0046358B" w:rsidP="0046358B">
            <w:r w:rsidRPr="00C875F5">
              <w:t>FT4, TSH</w:t>
            </w:r>
          </w:p>
          <w:p w:rsidR="0046358B" w:rsidRPr="00C875F5" w:rsidRDefault="0046358B" w:rsidP="0046358B">
            <w:r w:rsidRPr="00C875F5">
              <w:t>TPO-Ab Tg-Ab (at initial &amp; final follow-up only)</w:t>
            </w:r>
          </w:p>
        </w:tc>
        <w:tc>
          <w:tcPr>
            <w:tcW w:w="1559" w:type="dxa"/>
          </w:tcPr>
          <w:p w:rsidR="0046358B" w:rsidRPr="00C875F5" w:rsidRDefault="0046358B" w:rsidP="0046358B">
            <w:r w:rsidRPr="00C875F5">
              <w:t>Questionnaire about dietary habits, in particular iodized salt.</w:t>
            </w:r>
          </w:p>
        </w:tc>
        <w:tc>
          <w:tcPr>
            <w:tcW w:w="4111" w:type="dxa"/>
          </w:tcPr>
          <w:p w:rsidR="0046358B" w:rsidRDefault="0046358B" w:rsidP="0046358B">
            <w:pPr>
              <w:rPr>
                <w:color w:val="000000"/>
                <w:shd w:val="clear" w:color="auto" w:fill="FFFFFF"/>
                <w:lang w:val="en-GB"/>
              </w:rPr>
            </w:pPr>
            <w:r w:rsidRPr="00C875F5">
              <w:rPr>
                <w:color w:val="000000"/>
                <w:shd w:val="clear" w:color="auto" w:fill="FFFFFF"/>
                <w:lang w:val="en-GB"/>
              </w:rPr>
              <w:t xml:space="preserve">Thyroid autoantibodies were detectable in 8.2% women. Overall, the prevalence of hypothyroidism over the course of gestation was 11.8% (26/220), with a RR of hypothyroidism in antibody-positive women of 5.0 (chi (2) 20.02, P&lt;0.0005). Nonetheless, almost 70% hypothyroid women tested negative for thyroid autoantibodies. 15/26 (57.7%) hypothyroid women were identified at presentation, &amp; the remaining 11 at either early (6/11) or </w:t>
            </w:r>
            <w:r w:rsidRPr="00C875F5">
              <w:rPr>
                <w:color w:val="000000"/>
                <w:shd w:val="clear" w:color="auto" w:fill="FFFFFF"/>
                <w:lang w:val="en-GB"/>
              </w:rPr>
              <w:lastRenderedPageBreak/>
              <w:t>late (5/11) phases of the 2nd trimester. Isolated hypothyroxinemia was observed in 56/220 (25.4%) women, mostly from the 2nd trimester onwards.</w:t>
            </w:r>
          </w:p>
          <w:p w:rsidR="0046358B" w:rsidRPr="00E54B2A" w:rsidRDefault="0046358B" w:rsidP="0046358B">
            <w:pPr>
              <w:rPr>
                <w:color w:val="000000"/>
                <w:shd w:val="clear" w:color="auto" w:fill="FFFFFF"/>
                <w:lang w:val="en-GB"/>
              </w:rPr>
            </w:pPr>
          </w:p>
        </w:tc>
        <w:tc>
          <w:tcPr>
            <w:tcW w:w="1134" w:type="dxa"/>
          </w:tcPr>
          <w:p w:rsidR="0046358B" w:rsidRPr="00C875F5" w:rsidRDefault="0046358B" w:rsidP="0046358B"/>
        </w:tc>
        <w:tc>
          <w:tcPr>
            <w:tcW w:w="2036" w:type="dxa"/>
          </w:tcPr>
          <w:p w:rsidR="0046358B" w:rsidRPr="00C875F5" w:rsidRDefault="0046358B" w:rsidP="0046358B">
            <w:r w:rsidRPr="00C875F5">
              <w:t>Level III-2</w:t>
            </w:r>
          </w:p>
        </w:tc>
      </w:tr>
      <w:tr w:rsidR="0046358B" w:rsidRPr="00C875F5" w:rsidTr="0046358B">
        <w:trPr>
          <w:trHeight w:val="567"/>
        </w:trPr>
        <w:tc>
          <w:tcPr>
            <w:tcW w:w="1242" w:type="dxa"/>
          </w:tcPr>
          <w:p w:rsidR="0046358B" w:rsidRPr="00C875F5" w:rsidRDefault="0046358B" w:rsidP="0046358B">
            <w:r w:rsidRPr="00C875F5">
              <w:lastRenderedPageBreak/>
              <w:t xml:space="preserve">Moleti et al, 2011 </w:t>
            </w:r>
          </w:p>
          <w:p w:rsidR="0046358B" w:rsidRPr="00C875F5" w:rsidRDefault="0046358B" w:rsidP="0046358B">
            <w:r w:rsidRPr="00C875F5">
              <w:t xml:space="preserve">Sicily Italy </w:t>
            </w:r>
          </w:p>
        </w:tc>
        <w:tc>
          <w:tcPr>
            <w:tcW w:w="1998" w:type="dxa"/>
          </w:tcPr>
          <w:p w:rsidR="0046358B" w:rsidRPr="00C875F5" w:rsidRDefault="0046358B" w:rsidP="0046358B">
            <w:r w:rsidRPr="00C875F5">
              <w:t xml:space="preserve">Prospective cohort </w:t>
            </w:r>
          </w:p>
          <w:p w:rsidR="0046358B" w:rsidRPr="00C875F5" w:rsidRDefault="0046358B" w:rsidP="0046358B">
            <w:r w:rsidRPr="00C875F5">
              <w:t>Followed up at 12, 18, 24, 30 &amp; 38 wks</w:t>
            </w:r>
          </w:p>
        </w:tc>
        <w:tc>
          <w:tcPr>
            <w:tcW w:w="1843" w:type="dxa"/>
          </w:tcPr>
          <w:p w:rsidR="0046358B" w:rsidRPr="00C875F5" w:rsidRDefault="0046358B" w:rsidP="0046358B">
            <w:pPr>
              <w:rPr>
                <w:color w:val="000000"/>
                <w:shd w:val="clear" w:color="auto" w:fill="FFFFFF"/>
                <w:lang w:val="en-GB"/>
              </w:rPr>
            </w:pPr>
            <w:r w:rsidRPr="00C875F5">
              <w:rPr>
                <w:color w:val="000000"/>
                <w:shd w:val="clear" w:color="auto" w:fill="FFFFFF"/>
                <w:lang w:val="en-GB"/>
              </w:rPr>
              <w:t xml:space="preserve">N= 168 women receiving prenatal preparations containing 150 μg of iodine from early pregnancy (150-I group); </w:t>
            </w:r>
          </w:p>
          <w:p w:rsidR="0046358B" w:rsidRPr="00C875F5" w:rsidRDefault="0046358B" w:rsidP="0046358B">
            <w:pPr>
              <w:rPr>
                <w:color w:val="000000"/>
                <w:shd w:val="clear" w:color="auto" w:fill="FFFFFF"/>
                <w:lang w:val="en-GB"/>
              </w:rPr>
            </w:pPr>
            <w:r w:rsidRPr="00C875F5">
              <w:rPr>
                <w:color w:val="000000"/>
                <w:shd w:val="clear" w:color="auto" w:fill="FFFFFF"/>
                <w:lang w:val="en-GB"/>
              </w:rPr>
              <w:t xml:space="preserve">105 women who had regularly used (&gt;2 yrs) iodized salt prior to becoming pregnant (I-salt group); </w:t>
            </w:r>
          </w:p>
          <w:p w:rsidR="0046358B" w:rsidRPr="00CD6751" w:rsidRDefault="0046358B" w:rsidP="0046358B">
            <w:pPr>
              <w:rPr>
                <w:lang w:val="en-GB"/>
              </w:rPr>
            </w:pPr>
            <w:r w:rsidRPr="00C875F5">
              <w:rPr>
                <w:color w:val="000000"/>
                <w:shd w:val="clear" w:color="auto" w:fill="FFFFFF"/>
                <w:lang w:val="en-GB"/>
              </w:rPr>
              <w:t xml:space="preserve">160 women neither taking </w:t>
            </w:r>
            <w:r w:rsidRPr="00C875F5">
              <w:rPr>
                <w:color w:val="000000"/>
                <w:shd w:val="clear" w:color="auto" w:fill="FFFFFF"/>
                <w:lang w:val="en-GB"/>
              </w:rPr>
              <w:lastRenderedPageBreak/>
              <w:t>iodine supplements nor using iodized salt (no-I group).</w:t>
            </w:r>
          </w:p>
          <w:p w:rsidR="0046358B" w:rsidRPr="00C875F5" w:rsidRDefault="0046358B" w:rsidP="0046358B">
            <w:r w:rsidRPr="00C875F5">
              <w:t>Mild ID</w:t>
            </w:r>
          </w:p>
        </w:tc>
        <w:tc>
          <w:tcPr>
            <w:tcW w:w="1701" w:type="dxa"/>
          </w:tcPr>
          <w:p w:rsidR="0046358B" w:rsidRPr="00CD6751" w:rsidRDefault="0046358B" w:rsidP="0046358B">
            <w:pPr>
              <w:rPr>
                <w:lang w:val="en-GB"/>
              </w:rPr>
            </w:pPr>
            <w:r w:rsidRPr="00C875F5">
              <w:rPr>
                <w:color w:val="000000"/>
                <w:shd w:val="clear" w:color="auto" w:fill="FFFFFF"/>
                <w:lang w:val="en-GB"/>
              </w:rPr>
              <w:lastRenderedPageBreak/>
              <w:t>TSH, FT3 &amp; FT4</w:t>
            </w:r>
          </w:p>
        </w:tc>
        <w:tc>
          <w:tcPr>
            <w:tcW w:w="1559" w:type="dxa"/>
          </w:tcPr>
          <w:p w:rsidR="0046358B" w:rsidRPr="00C875F5" w:rsidRDefault="0046358B" w:rsidP="0046358B">
            <w:r w:rsidRPr="00C875F5">
              <w:t>Questionnaire about dietary habits, in particular iodized salt.</w:t>
            </w:r>
          </w:p>
        </w:tc>
        <w:tc>
          <w:tcPr>
            <w:tcW w:w="4111" w:type="dxa"/>
          </w:tcPr>
          <w:p w:rsidR="0046358B" w:rsidRPr="00CD6751" w:rsidRDefault="0046358B" w:rsidP="0046358B">
            <w:pPr>
              <w:rPr>
                <w:lang w:val="en-GB"/>
              </w:rPr>
            </w:pPr>
            <w:r w:rsidRPr="00C875F5">
              <w:rPr>
                <w:color w:val="000000"/>
                <w:shd w:val="clear" w:color="auto" w:fill="FFFFFF"/>
                <w:lang w:val="en-GB"/>
              </w:rPr>
              <w:t>Mean TSH was higher among the 150-I women than in the remaining two groups, &amp; in a high proportion of them, TSH values were found to exceed the upper limit for gestational age. The prevalence of low FT4 in the 150-I women was similar to that observed in the I-salt women &amp; markedly lower than that recorded for the no-I group.</w:t>
            </w:r>
          </w:p>
        </w:tc>
        <w:tc>
          <w:tcPr>
            <w:tcW w:w="1134" w:type="dxa"/>
          </w:tcPr>
          <w:p w:rsidR="0046358B" w:rsidRPr="00C875F5" w:rsidRDefault="0046358B" w:rsidP="0046358B"/>
        </w:tc>
        <w:tc>
          <w:tcPr>
            <w:tcW w:w="2036" w:type="dxa"/>
          </w:tcPr>
          <w:p w:rsidR="0046358B" w:rsidRPr="00C875F5" w:rsidRDefault="0046358B" w:rsidP="0046358B">
            <w:r w:rsidRPr="00C875F5">
              <w:t>Note: this is the same study as Moleti et al 2009.</w:t>
            </w:r>
          </w:p>
        </w:tc>
      </w:tr>
      <w:tr w:rsidR="0046358B" w:rsidRPr="00C875F5" w:rsidTr="0046358B">
        <w:trPr>
          <w:trHeight w:val="567"/>
        </w:trPr>
        <w:tc>
          <w:tcPr>
            <w:tcW w:w="1242" w:type="dxa"/>
          </w:tcPr>
          <w:p w:rsidR="0046358B" w:rsidRPr="00C900C3" w:rsidRDefault="0046358B" w:rsidP="0046358B">
            <w:r w:rsidRPr="00C900C3">
              <w:rPr>
                <w:noProof/>
              </w:rPr>
              <w:lastRenderedPageBreak/>
              <w:t>Moradi et al, 2013</w:t>
            </w:r>
          </w:p>
          <w:p w:rsidR="0046358B" w:rsidRPr="00C900C3" w:rsidRDefault="0046358B" w:rsidP="0046358B">
            <w:r w:rsidRPr="00C900C3">
              <w:t xml:space="preserve">Tehran, </w:t>
            </w:r>
          </w:p>
          <w:p w:rsidR="0046358B" w:rsidRPr="00C875F5" w:rsidRDefault="0046358B" w:rsidP="0046358B">
            <w:r w:rsidRPr="00C900C3">
              <w:t>Iran</w:t>
            </w:r>
          </w:p>
        </w:tc>
        <w:tc>
          <w:tcPr>
            <w:tcW w:w="1998" w:type="dxa"/>
          </w:tcPr>
          <w:p w:rsidR="0046358B" w:rsidRPr="00C875F5" w:rsidRDefault="0046358B" w:rsidP="0046358B">
            <w:r w:rsidRPr="00C900C3">
              <w:t>Cross-sectional</w:t>
            </w:r>
          </w:p>
        </w:tc>
        <w:tc>
          <w:tcPr>
            <w:tcW w:w="1843" w:type="dxa"/>
          </w:tcPr>
          <w:p w:rsidR="0046358B" w:rsidRPr="00C875F5" w:rsidRDefault="0046358B" w:rsidP="0046358B">
            <w:r w:rsidRPr="00C900C3">
              <w:t>N=584 pregnant women: 162 in the 1st trimester &amp; 422 in the 3rd trimester</w:t>
            </w:r>
          </w:p>
        </w:tc>
        <w:tc>
          <w:tcPr>
            <w:tcW w:w="1701" w:type="dxa"/>
          </w:tcPr>
          <w:p w:rsidR="0046358B" w:rsidRPr="00C875F5" w:rsidRDefault="0046358B" w:rsidP="0046358B">
            <w:pPr>
              <w:rPr>
                <w:rFonts w:cs="Lucida Grande"/>
              </w:rPr>
            </w:pPr>
            <w:r w:rsidRPr="00C900C3">
              <w:t>UIC, TSH, FT3, TT4, FT4, FTI, T3RU &amp; TPOAb</w:t>
            </w:r>
          </w:p>
        </w:tc>
        <w:tc>
          <w:tcPr>
            <w:tcW w:w="1559" w:type="dxa"/>
          </w:tcPr>
          <w:p w:rsidR="0046358B" w:rsidRPr="00C875F5" w:rsidRDefault="0046358B" w:rsidP="0046358B">
            <w:r w:rsidRPr="00C900C3">
              <w:t>No assessment</w:t>
            </w:r>
          </w:p>
        </w:tc>
        <w:tc>
          <w:tcPr>
            <w:tcW w:w="4111" w:type="dxa"/>
          </w:tcPr>
          <w:p w:rsidR="0046358B" w:rsidRDefault="0046358B" w:rsidP="0046358B">
            <w:r w:rsidRPr="00C900C3">
              <w:t>Median UIC, TSH, FT3, TT4 and FT4 were 240 μg/L, 2.2 mIU/L,</w:t>
            </w:r>
            <w:r w:rsidRPr="00C900C3" w:rsidDel="006B0B5F">
              <w:t xml:space="preserve"> </w:t>
            </w:r>
            <w:r w:rsidRPr="00C900C3">
              <w:t>30.8 pmol/L, 10.0 μg/</w:t>
            </w:r>
            <w:r>
              <w:t>dL &amp;12.4 pmol/L, respectively (only included data from p</w:t>
            </w:r>
            <w:r w:rsidRPr="00C900C3">
              <w:t>re</w:t>
            </w:r>
            <w:r>
              <w:t>gnant women negative for TPO-Ab).</w:t>
            </w:r>
            <w:r w:rsidRPr="00C900C3">
              <w:t xml:space="preserve"> No data on the use of iodine supplements.</w:t>
            </w:r>
          </w:p>
          <w:p w:rsidR="0046358B" w:rsidRPr="00C875F5" w:rsidRDefault="0046358B" w:rsidP="0046358B"/>
        </w:tc>
        <w:tc>
          <w:tcPr>
            <w:tcW w:w="1134" w:type="dxa"/>
          </w:tcPr>
          <w:p w:rsidR="0046358B" w:rsidRPr="00C875F5" w:rsidRDefault="0046358B" w:rsidP="0046358B"/>
        </w:tc>
        <w:tc>
          <w:tcPr>
            <w:tcW w:w="2036" w:type="dxa"/>
          </w:tcPr>
          <w:p w:rsidR="0046358B" w:rsidRPr="00D74A29" w:rsidRDefault="0046358B" w:rsidP="0046358B">
            <w:r w:rsidRPr="00D74A29">
              <w:t>Level IV</w:t>
            </w:r>
          </w:p>
        </w:tc>
      </w:tr>
      <w:tr w:rsidR="0046358B" w:rsidRPr="00C875F5" w:rsidTr="0046358B">
        <w:trPr>
          <w:trHeight w:val="567"/>
        </w:trPr>
        <w:tc>
          <w:tcPr>
            <w:tcW w:w="1242" w:type="dxa"/>
          </w:tcPr>
          <w:p w:rsidR="0046358B" w:rsidRPr="00C875F5" w:rsidRDefault="0046358B" w:rsidP="0046358B">
            <w:r w:rsidRPr="00C875F5">
              <w:t>Moreno-Reyes et al, 2013</w:t>
            </w:r>
          </w:p>
          <w:p w:rsidR="0046358B" w:rsidRPr="00C875F5" w:rsidRDefault="0046358B" w:rsidP="0046358B">
            <w:r w:rsidRPr="00C875F5">
              <w:t xml:space="preserve">Belgium </w:t>
            </w:r>
          </w:p>
        </w:tc>
        <w:tc>
          <w:tcPr>
            <w:tcW w:w="1998" w:type="dxa"/>
          </w:tcPr>
          <w:p w:rsidR="0046358B" w:rsidRPr="00C875F5" w:rsidRDefault="0046358B" w:rsidP="0046358B">
            <w:r w:rsidRPr="00C875F5">
              <w:t>National cross-sectional survey</w:t>
            </w:r>
          </w:p>
          <w:p w:rsidR="0046358B" w:rsidRPr="00C875F5" w:rsidRDefault="0046358B" w:rsidP="0046358B">
            <w:r w:rsidRPr="00C875F5">
              <w:t>Randomly sampled from 55 obstetric clinics</w:t>
            </w:r>
          </w:p>
        </w:tc>
        <w:tc>
          <w:tcPr>
            <w:tcW w:w="1843" w:type="dxa"/>
          </w:tcPr>
          <w:p w:rsidR="0046358B" w:rsidRPr="00C875F5" w:rsidRDefault="0046358B" w:rsidP="0046358B">
            <w:r w:rsidRPr="00C875F5">
              <w:t>1311 pregnant women not taking thyroid medication (n=640 &amp; 667 in 1</w:t>
            </w:r>
            <w:r w:rsidRPr="00C875F5">
              <w:rPr>
                <w:vertAlign w:val="superscript"/>
              </w:rPr>
              <w:t>st</w:t>
            </w:r>
            <w:r w:rsidRPr="00C875F5">
              <w:t xml:space="preserve"> &amp; 3</w:t>
            </w:r>
            <w:r w:rsidRPr="00C875F5">
              <w:rPr>
                <w:vertAlign w:val="superscript"/>
              </w:rPr>
              <w:t>rd</w:t>
            </w:r>
            <w:r w:rsidRPr="00C875F5">
              <w:t xml:space="preserve"> trimester respectively)</w:t>
            </w:r>
          </w:p>
          <w:p w:rsidR="0046358B" w:rsidRPr="00C875F5" w:rsidRDefault="0046358B" w:rsidP="0046358B">
            <w:r w:rsidRPr="00C875F5">
              <w:t>Mild ID</w:t>
            </w:r>
          </w:p>
          <w:p w:rsidR="0046358B" w:rsidRPr="00C875F5" w:rsidRDefault="0046358B" w:rsidP="0046358B"/>
        </w:tc>
        <w:tc>
          <w:tcPr>
            <w:tcW w:w="1701" w:type="dxa"/>
          </w:tcPr>
          <w:p w:rsidR="0046358B" w:rsidRPr="00C875F5" w:rsidRDefault="0046358B" w:rsidP="0046358B">
            <w:pPr>
              <w:rPr>
                <w:rFonts w:cs="Lucida Grande"/>
              </w:rPr>
            </w:pPr>
            <w:r w:rsidRPr="00C875F5">
              <w:rPr>
                <w:rFonts w:cs="Lucida Grande"/>
              </w:rPr>
              <w:lastRenderedPageBreak/>
              <w:t>UIC/Cr, TSH, TPO-Ab, TG, FT3, FT4</w:t>
            </w:r>
          </w:p>
          <w:p w:rsidR="0046358B" w:rsidRPr="00C875F5" w:rsidRDefault="0046358B" w:rsidP="0046358B"/>
        </w:tc>
        <w:tc>
          <w:tcPr>
            <w:tcW w:w="1559" w:type="dxa"/>
          </w:tcPr>
          <w:p w:rsidR="0046358B" w:rsidRPr="00C875F5" w:rsidRDefault="0046358B" w:rsidP="0046358B">
            <w:r w:rsidRPr="00C875F5">
              <w:t>Face to face questionnaire for use of iodine-containing supplements, food consumption,</w:t>
            </w:r>
          </w:p>
          <w:p w:rsidR="0046358B" w:rsidRPr="00C875F5" w:rsidRDefault="0046358B" w:rsidP="0046358B">
            <w:r w:rsidRPr="00C875F5">
              <w:lastRenderedPageBreak/>
              <w:t xml:space="preserve">&amp; use of iodized household salt </w:t>
            </w:r>
          </w:p>
        </w:tc>
        <w:tc>
          <w:tcPr>
            <w:tcW w:w="4111" w:type="dxa"/>
          </w:tcPr>
          <w:p w:rsidR="0046358B" w:rsidRPr="00C875F5" w:rsidRDefault="0046358B" w:rsidP="0046358B">
            <w:r w:rsidRPr="00C875F5">
              <w:lastRenderedPageBreak/>
              <w:t xml:space="preserve">7.2% had elevated serum TSH &amp;13.8% of these women were TPO-Ab positive. 4.1% had low serum TSH.  4% of entire population had positive TPO-Ab &amp;/or Tg antibodies. </w:t>
            </w:r>
          </w:p>
          <w:p w:rsidR="0046358B" w:rsidRPr="00C875F5" w:rsidRDefault="0046358B" w:rsidP="0046358B">
            <w:r w:rsidRPr="00C875F5">
              <w:t>Thyroid disorders (abnormally high or low TSH) or thyroid autoimmunity was present in 18.6% &amp; 12.3% in 1</w:t>
            </w:r>
            <w:r w:rsidRPr="00C875F5">
              <w:rPr>
                <w:vertAlign w:val="superscript"/>
              </w:rPr>
              <w:t>st</w:t>
            </w:r>
            <w:r w:rsidRPr="00C875F5">
              <w:t xml:space="preserve"> &amp; 3</w:t>
            </w:r>
            <w:r w:rsidRPr="00C875F5">
              <w:rPr>
                <w:vertAlign w:val="superscript"/>
              </w:rPr>
              <w:t>rd</w:t>
            </w:r>
            <w:r w:rsidRPr="00C875F5">
              <w:t xml:space="preserve"> trimester </w:t>
            </w:r>
            <w:r w:rsidRPr="00C875F5">
              <w:lastRenderedPageBreak/>
              <w:t xml:space="preserve">respectively. Women with adequate iodine (UIC/Cr = 150–249 </w:t>
            </w:r>
            <w:r w:rsidRPr="00C875F5">
              <w:rPr>
                <w:b/>
                <w:bCs/>
              </w:rPr>
              <w:t>µ</w:t>
            </w:r>
            <w:r w:rsidRPr="00C875F5">
              <w:t xml:space="preserve">g /g) had lower median Tg concentration compared to moderately ID women (UIC/Cr </w:t>
            </w:r>
            <w:r w:rsidRPr="00C875F5">
              <w:rPr>
                <w:b/>
                <w:bCs/>
              </w:rPr>
              <w:t>≤</w:t>
            </w:r>
            <w:r w:rsidRPr="00C875F5">
              <w:t xml:space="preserve">49 </w:t>
            </w:r>
            <w:r w:rsidRPr="00C875F5">
              <w:rPr>
                <w:b/>
                <w:bCs/>
              </w:rPr>
              <w:t>µ</w:t>
            </w:r>
            <w:r w:rsidRPr="00C875F5">
              <w:t xml:space="preserve">g/g), 19 </w:t>
            </w:r>
            <w:r w:rsidRPr="00C875F5">
              <w:rPr>
                <w:b/>
                <w:bCs/>
              </w:rPr>
              <w:t>µ</w:t>
            </w:r>
            <w:r w:rsidRPr="00C875F5">
              <w:t xml:space="preserve">g /L &amp;25 </w:t>
            </w:r>
            <w:r w:rsidRPr="00C875F5">
              <w:rPr>
                <w:b/>
                <w:bCs/>
              </w:rPr>
              <w:t>µ</w:t>
            </w:r>
            <w:r w:rsidRPr="00C875F5">
              <w:t>g /L, respectively.</w:t>
            </w:r>
          </w:p>
        </w:tc>
        <w:tc>
          <w:tcPr>
            <w:tcW w:w="1134" w:type="dxa"/>
          </w:tcPr>
          <w:p w:rsidR="0046358B" w:rsidRPr="00C875F5" w:rsidRDefault="0046358B" w:rsidP="0046358B">
            <w:r w:rsidRPr="00C875F5">
              <w:lastRenderedPageBreak/>
              <w:t>Gestational age, age, ethnicity, seasons, log UIC/Cr</w:t>
            </w:r>
          </w:p>
        </w:tc>
        <w:tc>
          <w:tcPr>
            <w:tcW w:w="2036" w:type="dxa"/>
          </w:tcPr>
          <w:p w:rsidR="0046358B" w:rsidRPr="00D74A29" w:rsidRDefault="0046358B" w:rsidP="0046358B">
            <w:r w:rsidRPr="00D74A29">
              <w:t>Level IV</w:t>
            </w:r>
          </w:p>
          <w:p w:rsidR="0046358B" w:rsidRPr="00D74A29" w:rsidRDefault="0046358B" w:rsidP="0046358B"/>
        </w:tc>
      </w:tr>
      <w:tr w:rsidR="0046358B" w:rsidRPr="00C875F5" w:rsidTr="0046358B">
        <w:trPr>
          <w:trHeight w:val="567"/>
        </w:trPr>
        <w:tc>
          <w:tcPr>
            <w:tcW w:w="1242" w:type="dxa"/>
          </w:tcPr>
          <w:p w:rsidR="0046358B" w:rsidRPr="00C875F5" w:rsidRDefault="0046358B" w:rsidP="0046358B">
            <w:r w:rsidRPr="00C875F5">
              <w:lastRenderedPageBreak/>
              <w:t xml:space="preserve">Pettigrew-Porter et al, 2011 </w:t>
            </w:r>
          </w:p>
          <w:p w:rsidR="0046358B" w:rsidRPr="00C875F5" w:rsidRDefault="0046358B" w:rsidP="0046358B">
            <w:r w:rsidRPr="00C875F5">
              <w:t xml:space="preserve">New Zealand </w:t>
            </w:r>
          </w:p>
        </w:tc>
        <w:tc>
          <w:tcPr>
            <w:tcW w:w="1998" w:type="dxa"/>
          </w:tcPr>
          <w:p w:rsidR="0046358B" w:rsidRPr="00C875F5" w:rsidRDefault="0046358B" w:rsidP="0046358B">
            <w:r w:rsidRPr="00C875F5">
              <w:t>Cross-sectional</w:t>
            </w:r>
          </w:p>
        </w:tc>
        <w:tc>
          <w:tcPr>
            <w:tcW w:w="1843" w:type="dxa"/>
          </w:tcPr>
          <w:p w:rsidR="0046358B" w:rsidRPr="00C875F5" w:rsidRDefault="0046358B" w:rsidP="0046358B">
            <w:r w:rsidRPr="00C875F5">
              <w:t>N=170</w:t>
            </w:r>
          </w:p>
        </w:tc>
        <w:tc>
          <w:tcPr>
            <w:tcW w:w="1701" w:type="dxa"/>
          </w:tcPr>
          <w:p w:rsidR="0046358B" w:rsidRPr="00C875F5" w:rsidRDefault="0046358B" w:rsidP="0046358B">
            <w:r w:rsidRPr="00C875F5">
              <w:t>UIC (spot urine), TV (ultrasound), FT4 &amp; TSH</w:t>
            </w:r>
          </w:p>
        </w:tc>
        <w:tc>
          <w:tcPr>
            <w:tcW w:w="1559" w:type="dxa"/>
          </w:tcPr>
          <w:p w:rsidR="0046358B" w:rsidRPr="00C875F5" w:rsidRDefault="0046358B" w:rsidP="0046358B">
            <w:r w:rsidRPr="00C875F5">
              <w:t>Semi-quantitative FFQ</w:t>
            </w:r>
          </w:p>
        </w:tc>
        <w:tc>
          <w:tcPr>
            <w:tcW w:w="4111" w:type="dxa"/>
          </w:tcPr>
          <w:p w:rsidR="0046358B" w:rsidRPr="00C875F5" w:rsidRDefault="0046358B" w:rsidP="0046358B">
            <w:r w:rsidRPr="00C875F5">
              <w:t xml:space="preserve">The median UIC of the women was 38 </w:t>
            </w:r>
            <w:r w:rsidRPr="00C875F5">
              <w:rPr>
                <w:b/>
                <w:bCs/>
              </w:rPr>
              <w:t>l</w:t>
            </w:r>
            <w:r w:rsidRPr="00C875F5">
              <w:t xml:space="preserve">g ⁄ L. 7% of women had goitre. </w:t>
            </w:r>
          </w:p>
          <w:p w:rsidR="0046358B" w:rsidRPr="00C875F5" w:rsidRDefault="0046358B" w:rsidP="0046358B">
            <w:r w:rsidRPr="00C875F5">
              <w:t xml:space="preserve">Iodine intake was 48 </w:t>
            </w:r>
            <w:r w:rsidRPr="00C875F5">
              <w:rPr>
                <w:b/>
                <w:bCs/>
              </w:rPr>
              <w:t>l</w:t>
            </w:r>
            <w:r w:rsidRPr="00C875F5">
              <w:t>g ⁄ day. The majority of women had TSH and FT4 concentrations within pregnant reference ranges, suggesting that despite the low UIC observed in these women, thyroid hormone production was not affected.</w:t>
            </w:r>
          </w:p>
        </w:tc>
        <w:tc>
          <w:tcPr>
            <w:tcW w:w="1134" w:type="dxa"/>
          </w:tcPr>
          <w:p w:rsidR="0046358B" w:rsidRPr="00C875F5" w:rsidRDefault="0046358B" w:rsidP="0046358B"/>
        </w:tc>
        <w:tc>
          <w:tcPr>
            <w:tcW w:w="2036" w:type="dxa"/>
          </w:tcPr>
          <w:p w:rsidR="0046358B" w:rsidRPr="00C875F5" w:rsidRDefault="0046358B" w:rsidP="0046358B">
            <w:r w:rsidRPr="00C875F5">
              <w:t>Level IV</w:t>
            </w:r>
          </w:p>
        </w:tc>
      </w:tr>
      <w:tr w:rsidR="0046358B" w:rsidRPr="00C875F5" w:rsidTr="0046358B">
        <w:trPr>
          <w:trHeight w:val="567"/>
        </w:trPr>
        <w:tc>
          <w:tcPr>
            <w:tcW w:w="1242" w:type="dxa"/>
          </w:tcPr>
          <w:p w:rsidR="0046358B" w:rsidRPr="00C875F5" w:rsidRDefault="0046358B" w:rsidP="0046358B">
            <w:r w:rsidRPr="00C875F5">
              <w:t xml:space="preserve">Raverot et al, 2012 </w:t>
            </w:r>
          </w:p>
          <w:p w:rsidR="0046358B" w:rsidRPr="00C875F5" w:rsidRDefault="0046358B" w:rsidP="0046358B">
            <w:r w:rsidRPr="00C875F5">
              <w:t>Lyon, France</w:t>
            </w:r>
          </w:p>
        </w:tc>
        <w:tc>
          <w:tcPr>
            <w:tcW w:w="1998" w:type="dxa"/>
          </w:tcPr>
          <w:p w:rsidR="0046358B" w:rsidRPr="00C875F5" w:rsidRDefault="0046358B" w:rsidP="0046358B">
            <w:r w:rsidRPr="00C875F5">
              <w:t>Cross-sectional</w:t>
            </w:r>
          </w:p>
          <w:p w:rsidR="0046358B" w:rsidRPr="00C875F5" w:rsidRDefault="0046358B" w:rsidP="0046358B">
            <w:r w:rsidRPr="00C875F5">
              <w:t>Iodine intake of general population &lt;100</w:t>
            </w:r>
            <w:r w:rsidRPr="00C875F5">
              <w:rPr>
                <w:rFonts w:eastAsia="Arial Unicode MS"/>
                <w:shd w:val="clear" w:color="auto" w:fill="FFFFFF"/>
                <w:lang w:val="en-GB"/>
              </w:rPr>
              <w:t xml:space="preserve"> μg/day</w:t>
            </w:r>
          </w:p>
        </w:tc>
        <w:tc>
          <w:tcPr>
            <w:tcW w:w="1843" w:type="dxa"/>
          </w:tcPr>
          <w:p w:rsidR="0046358B" w:rsidRPr="00C875F5" w:rsidRDefault="0046358B" w:rsidP="0046358B">
            <w:r w:rsidRPr="00C875F5">
              <w:t>N= 228 healthy pregnant women with no history of thyroid disease from 1</w:t>
            </w:r>
            <w:r w:rsidRPr="00C875F5">
              <w:rPr>
                <w:vertAlign w:val="superscript"/>
              </w:rPr>
              <w:t>st</w:t>
            </w:r>
            <w:r w:rsidRPr="00C875F5">
              <w:t>, 2</w:t>
            </w:r>
            <w:r w:rsidRPr="00C875F5">
              <w:rPr>
                <w:vertAlign w:val="superscript"/>
              </w:rPr>
              <w:t>nd</w:t>
            </w:r>
            <w:r w:rsidRPr="00C875F5">
              <w:t>, 3</w:t>
            </w:r>
            <w:r w:rsidRPr="00C875F5">
              <w:rPr>
                <w:vertAlign w:val="superscript"/>
              </w:rPr>
              <w:t>rd</w:t>
            </w:r>
            <w:r w:rsidRPr="00C875F5">
              <w:t xml:space="preserve"> trimester of pregnancy (n=53, n=107, n=68 </w:t>
            </w:r>
            <w:r w:rsidRPr="00C875F5">
              <w:lastRenderedPageBreak/>
              <w:t xml:space="preserve">respectively). </w:t>
            </w:r>
          </w:p>
          <w:p w:rsidR="0046358B" w:rsidRPr="00C875F5" w:rsidRDefault="0046358B" w:rsidP="0046358B">
            <w:r w:rsidRPr="00C875F5">
              <w:t>Controls (men &amp; non pregnant women) provided reference intervals of thyroid test</w:t>
            </w:r>
          </w:p>
        </w:tc>
        <w:tc>
          <w:tcPr>
            <w:tcW w:w="1701" w:type="dxa"/>
          </w:tcPr>
          <w:p w:rsidR="0046358B" w:rsidRPr="00C875F5" w:rsidRDefault="0046358B" w:rsidP="0046358B">
            <w:r w:rsidRPr="00C875F5">
              <w:lastRenderedPageBreak/>
              <w:t>TSH, FT4, anti-TPO, Tg, UIC (spot) in 1</w:t>
            </w:r>
            <w:r w:rsidRPr="00C875F5">
              <w:rPr>
                <w:vertAlign w:val="superscript"/>
              </w:rPr>
              <w:t xml:space="preserve">st </w:t>
            </w:r>
            <w:r w:rsidRPr="00C875F5">
              <w:t>(6-13 wks), 2</w:t>
            </w:r>
            <w:r w:rsidRPr="00C875F5">
              <w:rPr>
                <w:vertAlign w:val="superscript"/>
              </w:rPr>
              <w:t>nd</w:t>
            </w:r>
            <w:r w:rsidRPr="00C875F5">
              <w:t xml:space="preserve"> (14-27 wks), 3</w:t>
            </w:r>
            <w:r w:rsidRPr="00C875F5">
              <w:rPr>
                <w:vertAlign w:val="superscript"/>
              </w:rPr>
              <w:t>rd</w:t>
            </w:r>
            <w:r w:rsidRPr="00C875F5">
              <w:t xml:space="preserve"> (28-38 wks) trimester of pregnancy</w:t>
            </w:r>
          </w:p>
        </w:tc>
        <w:tc>
          <w:tcPr>
            <w:tcW w:w="1559" w:type="dxa"/>
          </w:tcPr>
          <w:p w:rsidR="0046358B" w:rsidRPr="00C875F5" w:rsidRDefault="0046358B" w:rsidP="0046358B">
            <w:r w:rsidRPr="00C875F5">
              <w:t>No assessment</w:t>
            </w:r>
          </w:p>
        </w:tc>
        <w:tc>
          <w:tcPr>
            <w:tcW w:w="4111" w:type="dxa"/>
          </w:tcPr>
          <w:p w:rsidR="0046358B" w:rsidRPr="00C875F5" w:rsidRDefault="0046358B" w:rsidP="0046358B">
            <w:r w:rsidRPr="00C875F5">
              <w:t xml:space="preserve">The median (range) UIC was 81 (8–832) </w:t>
            </w:r>
            <w:r w:rsidRPr="00C875F5">
              <w:rPr>
                <w:b/>
                <w:bCs/>
              </w:rPr>
              <w:t>l</w:t>
            </w:r>
            <w:r w:rsidRPr="00C875F5">
              <w:t xml:space="preserve"> g/L, &amp; 77% of pregnant women had a UIC &lt; 150 </w:t>
            </w:r>
            <w:r w:rsidRPr="00C875F5">
              <w:rPr>
                <w:b/>
                <w:bCs/>
              </w:rPr>
              <w:t>l</w:t>
            </w:r>
            <w:r w:rsidRPr="00C875F5">
              <w:t xml:space="preserve"> g/L. 11% had abnormal TSH or anti-TPO. Median FT4 (pmol/L) was 14.9, 12.6, &amp; 11.5 in the 1st, 2</w:t>
            </w:r>
            <w:r w:rsidRPr="00C875F5">
              <w:rPr>
                <w:vertAlign w:val="superscript"/>
              </w:rPr>
              <w:t>nd</w:t>
            </w:r>
            <w:r w:rsidRPr="00C875F5">
              <w:t xml:space="preserve">, &amp; 3rd trimesters, respectively. Median Tg in pregnant women was 16.2 </w:t>
            </w:r>
            <w:r w:rsidRPr="00C875F5">
              <w:rPr>
                <w:b/>
                <w:bCs/>
              </w:rPr>
              <w:t>l</w:t>
            </w:r>
            <w:r w:rsidRPr="00C875F5">
              <w:t xml:space="preserve"> g/L, did not differ across trimesters, &amp; was higher than in the </w:t>
            </w:r>
            <w:r w:rsidRPr="00C875F5">
              <w:lastRenderedPageBreak/>
              <w:t xml:space="preserve">control group of non-pregnant adults (11.7 </w:t>
            </w:r>
            <w:r w:rsidRPr="00C875F5">
              <w:rPr>
                <w:b/>
                <w:bCs/>
              </w:rPr>
              <w:t>l</w:t>
            </w:r>
            <w:r w:rsidRPr="00C875F5">
              <w:t xml:space="preserve"> g/L) (p = 0.02). UIC did not predict any of the thyroid function tests.</w:t>
            </w:r>
          </w:p>
        </w:tc>
        <w:tc>
          <w:tcPr>
            <w:tcW w:w="1134" w:type="dxa"/>
          </w:tcPr>
          <w:p w:rsidR="0046358B" w:rsidRPr="00C875F5" w:rsidRDefault="0046358B" w:rsidP="0046358B">
            <w:r w:rsidRPr="00C875F5">
              <w:lastRenderedPageBreak/>
              <w:t xml:space="preserve">Maternal age, wk of gestation. </w:t>
            </w:r>
          </w:p>
        </w:tc>
        <w:tc>
          <w:tcPr>
            <w:tcW w:w="2036" w:type="dxa"/>
          </w:tcPr>
          <w:p w:rsidR="0046358B" w:rsidRPr="00C875F5" w:rsidRDefault="0046358B" w:rsidP="0046358B">
            <w:r w:rsidRPr="00C875F5">
              <w:t>Level IV</w:t>
            </w:r>
          </w:p>
        </w:tc>
      </w:tr>
      <w:tr w:rsidR="0046358B" w:rsidRPr="00C875F5" w:rsidTr="0046358B">
        <w:trPr>
          <w:trHeight w:val="567"/>
        </w:trPr>
        <w:tc>
          <w:tcPr>
            <w:tcW w:w="1242" w:type="dxa"/>
          </w:tcPr>
          <w:p w:rsidR="0046358B" w:rsidRPr="00C875F5" w:rsidRDefault="0046358B" w:rsidP="0046358B">
            <w:r w:rsidRPr="00C875F5">
              <w:lastRenderedPageBreak/>
              <w:t xml:space="preserve">Rebagliato et al, 2010 </w:t>
            </w:r>
          </w:p>
          <w:p w:rsidR="0046358B" w:rsidRPr="00C875F5" w:rsidRDefault="0046358B" w:rsidP="0046358B">
            <w:r w:rsidRPr="00C875F5">
              <w:rPr>
                <w:color w:val="000000"/>
                <w:shd w:val="clear" w:color="auto" w:fill="FFFFFF"/>
                <w:lang w:val="en-GB"/>
              </w:rPr>
              <w:t>3 areas in Spain (Guipúzcoa, Sabadell, Valencia)</w:t>
            </w:r>
          </w:p>
        </w:tc>
        <w:tc>
          <w:tcPr>
            <w:tcW w:w="1998" w:type="dxa"/>
          </w:tcPr>
          <w:p w:rsidR="0046358B" w:rsidRPr="00C875F5" w:rsidRDefault="0046358B" w:rsidP="0046358B">
            <w:r w:rsidRPr="00C875F5">
              <w:rPr>
                <w:color w:val="000000"/>
                <w:shd w:val="clear" w:color="auto" w:fill="FFFFFF"/>
                <w:lang w:val="en-GB"/>
              </w:rPr>
              <w:t xml:space="preserve">Cross-sectional </w:t>
            </w:r>
          </w:p>
        </w:tc>
        <w:tc>
          <w:tcPr>
            <w:tcW w:w="1843" w:type="dxa"/>
          </w:tcPr>
          <w:p w:rsidR="0046358B" w:rsidRPr="00CD6751" w:rsidRDefault="0046358B" w:rsidP="0046358B">
            <w:pPr>
              <w:rPr>
                <w:color w:val="000000"/>
                <w:shd w:val="clear" w:color="auto" w:fill="FFFFFF"/>
                <w:lang w:val="en-GB"/>
              </w:rPr>
            </w:pPr>
            <w:r w:rsidRPr="00C875F5">
              <w:rPr>
                <w:color w:val="000000"/>
                <w:shd w:val="clear" w:color="auto" w:fill="FFFFFF"/>
                <w:lang w:val="en-GB"/>
              </w:rPr>
              <w:t>N= 1844 pregnant women (gestational age range 8-23 wks) with no diagnosed thyroid pathology</w:t>
            </w:r>
          </w:p>
          <w:p w:rsidR="0046358B" w:rsidRPr="00C875F5" w:rsidRDefault="0046358B" w:rsidP="0046358B">
            <w:r w:rsidRPr="00C875F5">
              <w:t>Mild ID</w:t>
            </w:r>
          </w:p>
        </w:tc>
        <w:tc>
          <w:tcPr>
            <w:tcW w:w="1701" w:type="dxa"/>
          </w:tcPr>
          <w:p w:rsidR="0046358B" w:rsidRPr="00C875F5" w:rsidRDefault="0046358B" w:rsidP="0046358B">
            <w:pPr>
              <w:rPr>
                <w:color w:val="000000"/>
                <w:shd w:val="clear" w:color="auto" w:fill="FFFFFF"/>
                <w:lang w:val="en-GB"/>
              </w:rPr>
            </w:pPr>
            <w:r w:rsidRPr="00C875F5">
              <w:rPr>
                <w:color w:val="000000"/>
                <w:shd w:val="clear" w:color="auto" w:fill="FFFFFF"/>
                <w:lang w:val="en-GB"/>
              </w:rPr>
              <w:t>FT4 &amp; (TSH) </w:t>
            </w:r>
          </w:p>
          <w:p w:rsidR="0046358B" w:rsidRPr="00C875F5" w:rsidRDefault="0046358B" w:rsidP="0046358B">
            <w:r w:rsidRPr="00C875F5">
              <w:rPr>
                <w:color w:val="000000"/>
                <w:shd w:val="clear" w:color="auto" w:fill="FFFFFF"/>
                <w:lang w:val="en-GB"/>
              </w:rPr>
              <w:t>Iodine (spot urine) &amp; questionnaire estimates of iodine intake from diet, iodized salt &amp; supplements</w:t>
            </w:r>
          </w:p>
        </w:tc>
        <w:tc>
          <w:tcPr>
            <w:tcW w:w="1559" w:type="dxa"/>
          </w:tcPr>
          <w:p w:rsidR="0046358B" w:rsidRPr="00C875F5" w:rsidRDefault="0046358B" w:rsidP="0046358B"/>
        </w:tc>
        <w:tc>
          <w:tcPr>
            <w:tcW w:w="4111" w:type="dxa"/>
          </w:tcPr>
          <w:p w:rsidR="0046358B" w:rsidRPr="00CD6751" w:rsidRDefault="0046358B" w:rsidP="0046358B">
            <w:pPr>
              <w:rPr>
                <w:lang w:val="en-GB"/>
              </w:rPr>
            </w:pPr>
            <w:r w:rsidRPr="00C875F5">
              <w:rPr>
                <w:color w:val="000000"/>
                <w:shd w:val="clear" w:color="auto" w:fill="FFFFFF"/>
                <w:lang w:val="en-GB"/>
              </w:rPr>
              <w:t>There was an increased risk of TSH above 3 muU/mL in women who consumed 200</w:t>
            </w:r>
            <w:r w:rsidRPr="00C875F5">
              <w:rPr>
                <w:rFonts w:eastAsia="Arial Unicode MS"/>
                <w:shd w:val="clear" w:color="auto" w:fill="FFFFFF"/>
                <w:lang w:val="en-GB"/>
              </w:rPr>
              <w:t>μg</w:t>
            </w:r>
            <w:r w:rsidRPr="00C875F5">
              <w:rPr>
                <w:color w:val="000000"/>
                <w:shd w:val="clear" w:color="auto" w:fill="FFFFFF"/>
                <w:lang w:val="en-GB"/>
              </w:rPr>
              <w:t xml:space="preserve"> or more of iodine supplements daily compared with those who consumed less than 100 ug/day (adjusted OR = 2.5 [95% CI = 1.2 to 5.4]). No association between UI &amp; TSH levels (model 1). Pregnant women from the area with the highest median UI (168 microg/L) &amp; highest supplement coverage (93%) showed the lowest values of serum FT4. (geometric mean = 10.09 pmol/L [9.98 to 10.19]) (model 2)</w:t>
            </w:r>
          </w:p>
        </w:tc>
        <w:tc>
          <w:tcPr>
            <w:tcW w:w="1134" w:type="dxa"/>
          </w:tcPr>
          <w:p w:rsidR="0046358B" w:rsidRPr="00C875F5" w:rsidRDefault="0046358B" w:rsidP="0046358B">
            <w:r w:rsidRPr="00C875F5">
              <w:t>Model1: Area, country of origin, education level, parity, gestational age at sample</w:t>
            </w:r>
          </w:p>
          <w:p w:rsidR="0046358B" w:rsidRPr="00C875F5" w:rsidRDefault="0046358B" w:rsidP="0046358B">
            <w:r w:rsidRPr="00C875F5">
              <w:t xml:space="preserve">Model 2: Iodine intake from salt, food &amp; </w:t>
            </w:r>
            <w:r w:rsidRPr="00C875F5">
              <w:lastRenderedPageBreak/>
              <w:t xml:space="preserve">supplements </w:t>
            </w:r>
          </w:p>
        </w:tc>
        <w:tc>
          <w:tcPr>
            <w:tcW w:w="2036" w:type="dxa"/>
          </w:tcPr>
          <w:p w:rsidR="0046358B" w:rsidRPr="00C875F5" w:rsidRDefault="0046358B" w:rsidP="0046358B">
            <w:r w:rsidRPr="00C875F5">
              <w:lastRenderedPageBreak/>
              <w:t>Level IV</w:t>
            </w:r>
          </w:p>
          <w:p w:rsidR="0046358B" w:rsidRPr="00C875F5" w:rsidRDefault="0046358B" w:rsidP="0046358B">
            <w:r w:rsidRPr="00C875F5">
              <w:t>Increased risk of elevated TSH (reference for pregnancy) in those taking supplements &gt; 200ug/day</w:t>
            </w:r>
          </w:p>
        </w:tc>
      </w:tr>
      <w:tr w:rsidR="0046358B" w:rsidRPr="00C875F5" w:rsidTr="0046358B">
        <w:trPr>
          <w:trHeight w:val="567"/>
        </w:trPr>
        <w:tc>
          <w:tcPr>
            <w:tcW w:w="1242" w:type="dxa"/>
          </w:tcPr>
          <w:p w:rsidR="0046358B" w:rsidRPr="00C900C3" w:rsidRDefault="0046358B" w:rsidP="0046358B">
            <w:r w:rsidRPr="00C900C3">
              <w:rPr>
                <w:noProof/>
              </w:rPr>
              <w:lastRenderedPageBreak/>
              <w:t>Sahin et al, 2014</w:t>
            </w:r>
          </w:p>
          <w:p w:rsidR="0046358B" w:rsidRPr="00C875F5" w:rsidRDefault="0046358B" w:rsidP="0046358B">
            <w:r w:rsidRPr="00C900C3">
              <w:t>Reze, Turkey</w:t>
            </w:r>
          </w:p>
        </w:tc>
        <w:tc>
          <w:tcPr>
            <w:tcW w:w="1998" w:type="dxa"/>
          </w:tcPr>
          <w:p w:rsidR="0046358B" w:rsidRPr="00C900C3" w:rsidRDefault="0046358B" w:rsidP="0046358B">
            <w:r w:rsidRPr="00C900C3">
              <w:t>Prospective cohort</w:t>
            </w:r>
          </w:p>
          <w:p w:rsidR="0046358B" w:rsidRPr="00CD6751" w:rsidRDefault="0046358B" w:rsidP="0046358B">
            <w:r w:rsidRPr="00C900C3">
              <w:t>Followed throughout pregnancy &amp; 3 mo postpartum</w:t>
            </w:r>
          </w:p>
        </w:tc>
        <w:tc>
          <w:tcPr>
            <w:tcW w:w="1843" w:type="dxa"/>
          </w:tcPr>
          <w:p w:rsidR="0046358B" w:rsidRPr="00C900C3" w:rsidRDefault="0046358B" w:rsidP="0046358B">
            <w:r w:rsidRPr="00C900C3">
              <w:t>N=</w:t>
            </w:r>
            <w:r>
              <w:t xml:space="preserve"> </w:t>
            </w:r>
            <w:r w:rsidRPr="00C900C3">
              <w:t>58 pregnant women</w:t>
            </w:r>
          </w:p>
          <w:p w:rsidR="0046358B" w:rsidRPr="00C875F5" w:rsidRDefault="0046358B" w:rsidP="0046358B">
            <w:pPr>
              <w:rPr>
                <w:color w:val="000000"/>
                <w:shd w:val="clear" w:color="auto" w:fill="FFFFFF"/>
                <w:lang w:val="en-GB"/>
              </w:rPr>
            </w:pPr>
            <w:r>
              <w:t>Severely i</w:t>
            </w:r>
            <w:r w:rsidRPr="00C900C3">
              <w:t>odine deficient area</w:t>
            </w:r>
          </w:p>
        </w:tc>
        <w:tc>
          <w:tcPr>
            <w:tcW w:w="1701" w:type="dxa"/>
          </w:tcPr>
          <w:p w:rsidR="0046358B" w:rsidRPr="00C875F5" w:rsidRDefault="0046358B" w:rsidP="0046358B">
            <w:pPr>
              <w:rPr>
                <w:color w:val="000000"/>
                <w:shd w:val="clear" w:color="auto" w:fill="FFFFFF"/>
                <w:lang w:val="en-GB"/>
              </w:rPr>
            </w:pPr>
            <w:r w:rsidRPr="00C900C3">
              <w:t>UIE, TSH, FT3, FT4, TgAb, TPOAb &amp; TV</w:t>
            </w:r>
          </w:p>
        </w:tc>
        <w:tc>
          <w:tcPr>
            <w:tcW w:w="1559" w:type="dxa"/>
          </w:tcPr>
          <w:p w:rsidR="0046358B" w:rsidRPr="00C875F5" w:rsidRDefault="0046358B" w:rsidP="0046358B">
            <w:r w:rsidRPr="00C900C3">
              <w:t>No assessment</w:t>
            </w:r>
          </w:p>
        </w:tc>
        <w:tc>
          <w:tcPr>
            <w:tcW w:w="4111" w:type="dxa"/>
          </w:tcPr>
          <w:p w:rsidR="0046358B" w:rsidRPr="00D74A29" w:rsidRDefault="0046358B" w:rsidP="0046358B">
            <w:r w:rsidRPr="00D74A29">
              <w:t>Mean UIE, TSH, FT3 and FT4 in 1st trimester were 14 μg/L, 1.1 mIU/L, 5.1 pmol/L &amp; 14.2 pmol/L, respectively.</w:t>
            </w:r>
          </w:p>
          <w:p w:rsidR="0046358B" w:rsidRPr="00D74A29" w:rsidRDefault="0046358B" w:rsidP="0046358B">
            <w:pPr>
              <w:rPr>
                <w:color w:val="000000"/>
                <w:shd w:val="clear" w:color="auto" w:fill="FFFFFF"/>
                <w:lang w:val="en-GB"/>
              </w:rPr>
            </w:pPr>
            <w:r w:rsidRPr="00D74A29">
              <w:t>Only included healthy pregnant women (no nodular thyroid disease). All pregnant women did not use iodine supplements.</w:t>
            </w:r>
          </w:p>
        </w:tc>
        <w:tc>
          <w:tcPr>
            <w:tcW w:w="1134" w:type="dxa"/>
          </w:tcPr>
          <w:p w:rsidR="0046358B" w:rsidRPr="00D74A29" w:rsidRDefault="0046358B" w:rsidP="0046358B"/>
        </w:tc>
        <w:tc>
          <w:tcPr>
            <w:tcW w:w="2036" w:type="dxa"/>
          </w:tcPr>
          <w:p w:rsidR="0046358B" w:rsidRPr="00D74A29" w:rsidRDefault="0046358B" w:rsidP="0046358B">
            <w:r w:rsidRPr="00D74A29">
              <w:t>Level III-2</w:t>
            </w:r>
          </w:p>
        </w:tc>
      </w:tr>
      <w:tr w:rsidR="0046358B" w:rsidRPr="00C875F5" w:rsidTr="0046358B">
        <w:trPr>
          <w:trHeight w:val="567"/>
        </w:trPr>
        <w:tc>
          <w:tcPr>
            <w:tcW w:w="1242" w:type="dxa"/>
          </w:tcPr>
          <w:p w:rsidR="0046358B" w:rsidRPr="00C875F5" w:rsidRDefault="0046358B" w:rsidP="0046358B">
            <w:r w:rsidRPr="00C875F5">
              <w:t xml:space="preserve">Sang et al, 2012 </w:t>
            </w:r>
          </w:p>
          <w:p w:rsidR="0046358B" w:rsidRPr="00C875F5" w:rsidRDefault="0046358B" w:rsidP="0046358B">
            <w:r w:rsidRPr="00C875F5">
              <w:t>Tianjin &amp; Haixing, China</w:t>
            </w:r>
          </w:p>
        </w:tc>
        <w:tc>
          <w:tcPr>
            <w:tcW w:w="1998" w:type="dxa"/>
          </w:tcPr>
          <w:p w:rsidR="0046358B" w:rsidRPr="00C875F5" w:rsidRDefault="0046358B" w:rsidP="0046358B">
            <w:r w:rsidRPr="00C875F5">
              <w:t xml:space="preserve">Cross-sectional </w:t>
            </w:r>
          </w:p>
        </w:tc>
        <w:tc>
          <w:tcPr>
            <w:tcW w:w="1843" w:type="dxa"/>
          </w:tcPr>
          <w:p w:rsidR="0046358B" w:rsidRPr="00C875F5" w:rsidRDefault="0046358B" w:rsidP="0046358B">
            <w:r w:rsidRPr="00C875F5">
              <w:t xml:space="preserve">N=384 (n=174 Tianjin, n= 210 Haixing) with no previous investigation of ID diseases. </w:t>
            </w:r>
          </w:p>
          <w:p w:rsidR="0046358B" w:rsidRPr="00C875F5" w:rsidRDefault="0046358B" w:rsidP="0046358B">
            <w:r w:rsidRPr="00C875F5">
              <w:t>Tianjin: Iodine sufficient</w:t>
            </w:r>
          </w:p>
          <w:p w:rsidR="0046358B" w:rsidRPr="00C875F5" w:rsidRDefault="0046358B" w:rsidP="0046358B">
            <w:r w:rsidRPr="00C875F5">
              <w:t>Haixing: Excessive iodine (due to water)</w:t>
            </w:r>
          </w:p>
        </w:tc>
        <w:tc>
          <w:tcPr>
            <w:tcW w:w="1701" w:type="dxa"/>
          </w:tcPr>
          <w:p w:rsidR="0046358B" w:rsidRPr="00C875F5" w:rsidRDefault="0046358B" w:rsidP="0046358B">
            <w:r w:rsidRPr="00C875F5">
              <w:t xml:space="preserve">UIC (Morning urine) </w:t>
            </w:r>
          </w:p>
          <w:p w:rsidR="0046358B" w:rsidRPr="00C875F5" w:rsidRDefault="0046358B" w:rsidP="0046358B">
            <w:r w:rsidRPr="00C875F5">
              <w:t xml:space="preserve">FT3, FT4, TSH. </w:t>
            </w:r>
          </w:p>
        </w:tc>
        <w:tc>
          <w:tcPr>
            <w:tcW w:w="1559" w:type="dxa"/>
          </w:tcPr>
          <w:p w:rsidR="0046358B" w:rsidRPr="00C875F5" w:rsidRDefault="0046358B" w:rsidP="0046358B"/>
        </w:tc>
        <w:tc>
          <w:tcPr>
            <w:tcW w:w="4111" w:type="dxa"/>
          </w:tcPr>
          <w:p w:rsidR="0046358B" w:rsidRPr="00D74A29" w:rsidRDefault="0046358B" w:rsidP="0046358B">
            <w:r w:rsidRPr="00D74A29">
              <w:t xml:space="preserve">Median UIC of pregnant women with EI intake was higher than those with AI intake (P &lt; 0.001). The prevalence of thyroid disease, especially subclinical hypothyroidism, in pregnant women with excessive iodine intake was significantly higher than in those with adequate iodine intake (P&lt; 0.05). Subclinical hypothyroidism was the most frequent pattern of thyroid disease for pregnant women &amp; those with positive or negative thyroid autoantibodies. Living with high water iodine content &amp; having UIC higher </w:t>
            </w:r>
            <w:r w:rsidRPr="00D74A29">
              <w:lastRenderedPageBreak/>
              <w:t>than 250</w:t>
            </w:r>
            <w:r w:rsidRPr="00D74A29">
              <w:rPr>
                <w:rFonts w:eastAsia="Arial Unicode MS"/>
                <w:shd w:val="clear" w:color="auto" w:fill="FFFFFF"/>
                <w:lang w:val="en-GB"/>
              </w:rPr>
              <w:t>μg</w:t>
            </w:r>
            <w:r w:rsidRPr="00D74A29">
              <w:t>/liter are associated risk factors for subclinical hypothyroidism in pregnant women (OR1 = 41.822, OR2 = 6.202; P &lt; 0.05, where OR1 is the OR for living with high water iodine content &amp; hypothyroidism &amp; OR2 is the OR for UIC &gt;250</w:t>
            </w:r>
            <w:r w:rsidRPr="00D74A29">
              <w:rPr>
                <w:rFonts w:eastAsia="Arial Unicode MS"/>
                <w:shd w:val="clear" w:color="auto" w:fill="FFFFFF"/>
                <w:lang w:val="en-GB"/>
              </w:rPr>
              <w:t xml:space="preserve"> μg</w:t>
            </w:r>
            <w:r w:rsidRPr="00D74A29">
              <w:t xml:space="preserve"> g/liter &amp; hypothyroidism).</w:t>
            </w:r>
          </w:p>
        </w:tc>
        <w:tc>
          <w:tcPr>
            <w:tcW w:w="1134" w:type="dxa"/>
          </w:tcPr>
          <w:p w:rsidR="0046358B" w:rsidRPr="00D74A29" w:rsidRDefault="0046358B" w:rsidP="0046358B"/>
        </w:tc>
        <w:tc>
          <w:tcPr>
            <w:tcW w:w="2036" w:type="dxa"/>
          </w:tcPr>
          <w:p w:rsidR="0046358B" w:rsidRPr="00D74A29" w:rsidRDefault="0046358B" w:rsidP="0046358B">
            <w:r w:rsidRPr="00D74A29">
              <w:t>Level IV</w:t>
            </w:r>
          </w:p>
        </w:tc>
      </w:tr>
      <w:tr w:rsidR="0046358B" w:rsidRPr="00C875F5" w:rsidTr="0046358B">
        <w:tc>
          <w:tcPr>
            <w:tcW w:w="1242" w:type="dxa"/>
          </w:tcPr>
          <w:p w:rsidR="0046358B" w:rsidRPr="00C875F5" w:rsidRDefault="0046358B" w:rsidP="0046358B">
            <w:r w:rsidRPr="00C875F5">
              <w:lastRenderedPageBreak/>
              <w:t xml:space="preserve">Suarez Rodriguez et al, 2013 </w:t>
            </w:r>
          </w:p>
          <w:p w:rsidR="0046358B" w:rsidRPr="00C875F5" w:rsidRDefault="0046358B" w:rsidP="0046358B">
            <w:r w:rsidRPr="00C875F5">
              <w:t xml:space="preserve">Spain </w:t>
            </w:r>
          </w:p>
        </w:tc>
        <w:tc>
          <w:tcPr>
            <w:tcW w:w="1998" w:type="dxa"/>
          </w:tcPr>
          <w:p w:rsidR="0046358B" w:rsidRPr="00C875F5" w:rsidRDefault="0046358B" w:rsidP="0046358B">
            <w:r w:rsidRPr="00C875F5">
              <w:t>Cross sectional</w:t>
            </w:r>
          </w:p>
        </w:tc>
        <w:tc>
          <w:tcPr>
            <w:tcW w:w="1843" w:type="dxa"/>
          </w:tcPr>
          <w:p w:rsidR="0046358B" w:rsidRPr="00C875F5" w:rsidRDefault="0046358B" w:rsidP="0046358B">
            <w:r w:rsidRPr="00C875F5">
              <w:t>N=147 women in their 3rd trimester (wk 37) of pregnancy</w:t>
            </w:r>
          </w:p>
          <w:p w:rsidR="0046358B" w:rsidRPr="00C875F5" w:rsidRDefault="0046358B" w:rsidP="0046358B">
            <w:r w:rsidRPr="00C875F5">
              <w:t>Mild ID</w:t>
            </w:r>
          </w:p>
        </w:tc>
        <w:tc>
          <w:tcPr>
            <w:tcW w:w="1701" w:type="dxa"/>
          </w:tcPr>
          <w:p w:rsidR="0046358B" w:rsidRPr="00C875F5" w:rsidRDefault="0046358B" w:rsidP="0046358B">
            <w:r w:rsidRPr="00C875F5">
              <w:t xml:space="preserve">TSH &amp; T4 in mothers at booking. </w:t>
            </w:r>
          </w:p>
          <w:p w:rsidR="0046358B" w:rsidRPr="00C875F5" w:rsidRDefault="0046358B" w:rsidP="0046358B">
            <w:r w:rsidRPr="00C875F5">
              <w:t xml:space="preserve">TSH in the babies born to the 140 mothers in the postpartum group </w:t>
            </w:r>
          </w:p>
        </w:tc>
        <w:tc>
          <w:tcPr>
            <w:tcW w:w="1559" w:type="dxa"/>
          </w:tcPr>
          <w:p w:rsidR="0046358B" w:rsidRPr="00C875F5" w:rsidRDefault="0046358B" w:rsidP="0046358B">
            <w:r w:rsidRPr="00C875F5">
              <w:t>FFQ</w:t>
            </w:r>
          </w:p>
        </w:tc>
        <w:tc>
          <w:tcPr>
            <w:tcW w:w="4111" w:type="dxa"/>
          </w:tcPr>
          <w:p w:rsidR="0046358B" w:rsidRPr="00C875F5" w:rsidRDefault="0046358B" w:rsidP="0046358B">
            <w:r w:rsidRPr="00C875F5">
              <w:t>Only 10.9% of pregnant women consumed more than 250</w:t>
            </w:r>
            <w:r w:rsidRPr="00C875F5">
              <w:rPr>
                <w:rFonts w:eastAsia="Arial Unicode MS"/>
                <w:shd w:val="clear" w:color="auto" w:fill="FFFFFF"/>
                <w:lang w:val="en-GB"/>
              </w:rPr>
              <w:t xml:space="preserve"> μg</w:t>
            </w:r>
            <w:r w:rsidRPr="00C875F5">
              <w:t xml:space="preserve"> iodine daily, and 24.4%of them consumed less than 100</w:t>
            </w:r>
            <w:r w:rsidRPr="00C875F5">
              <w:rPr>
                <w:rFonts w:eastAsia="Arial Unicode MS"/>
                <w:shd w:val="clear" w:color="auto" w:fill="FFFFFF"/>
                <w:lang w:val="en-GB"/>
              </w:rPr>
              <w:t>μg</w:t>
            </w:r>
            <w:r w:rsidRPr="00C875F5">
              <w:t xml:space="preserve"> daily. Mean free T4 levels were 9.37pmol/L, and 74 women (54.41%) had levels below the hypothyroxinemia threshold. TSH levels were normal in 135 newborns (96.4%), while 5 (3.6%) had levels higher than 5 </w:t>
            </w:r>
            <w:r w:rsidRPr="00C875F5">
              <w:rPr>
                <w:rFonts w:eastAsia="Arial Unicode MS"/>
                <w:shd w:val="clear" w:color="auto" w:fill="FFFFFF"/>
                <w:lang w:val="en-GB"/>
              </w:rPr>
              <w:t>μ</w:t>
            </w:r>
            <w:r w:rsidRPr="00C875F5">
              <w:t>U/mL.</w:t>
            </w:r>
          </w:p>
        </w:tc>
        <w:tc>
          <w:tcPr>
            <w:tcW w:w="1134" w:type="dxa"/>
          </w:tcPr>
          <w:p w:rsidR="0046358B" w:rsidRPr="00C875F5" w:rsidRDefault="0046358B" w:rsidP="0046358B"/>
        </w:tc>
        <w:tc>
          <w:tcPr>
            <w:tcW w:w="2036" w:type="dxa"/>
          </w:tcPr>
          <w:p w:rsidR="0046358B" w:rsidRPr="00C875F5" w:rsidRDefault="0046358B" w:rsidP="0046358B">
            <w:r w:rsidRPr="00C875F5">
              <w:t>Level IV</w:t>
            </w:r>
          </w:p>
        </w:tc>
      </w:tr>
      <w:tr w:rsidR="0046358B" w:rsidRPr="00C875F5" w:rsidTr="0046358B">
        <w:trPr>
          <w:trHeight w:val="567"/>
        </w:trPr>
        <w:tc>
          <w:tcPr>
            <w:tcW w:w="1242" w:type="dxa"/>
          </w:tcPr>
          <w:p w:rsidR="0046358B" w:rsidRPr="006324E1" w:rsidRDefault="0046358B" w:rsidP="0046358B">
            <w:r w:rsidRPr="006324E1">
              <w:t xml:space="preserve">Vandevijvere et al, 2013 </w:t>
            </w:r>
          </w:p>
          <w:p w:rsidR="0046358B" w:rsidRPr="00C875F5" w:rsidRDefault="0046358B" w:rsidP="0046358B">
            <w:r>
              <w:t>Belgium</w:t>
            </w:r>
          </w:p>
        </w:tc>
        <w:tc>
          <w:tcPr>
            <w:tcW w:w="1998" w:type="dxa"/>
          </w:tcPr>
          <w:p w:rsidR="0046358B" w:rsidRPr="00C875F5" w:rsidRDefault="0046358B" w:rsidP="0046358B">
            <w:r w:rsidRPr="00C875F5">
              <w:t>National cross-sectional survey</w:t>
            </w:r>
          </w:p>
          <w:p w:rsidR="0046358B" w:rsidRPr="00C875F5" w:rsidRDefault="0046358B" w:rsidP="0046358B">
            <w:r w:rsidRPr="00C875F5">
              <w:t xml:space="preserve">Randomly sampled from 55 obstetric </w:t>
            </w:r>
            <w:r w:rsidRPr="00C875F5">
              <w:lastRenderedPageBreak/>
              <w:t xml:space="preserve">clinics </w:t>
            </w:r>
          </w:p>
        </w:tc>
        <w:tc>
          <w:tcPr>
            <w:tcW w:w="1843" w:type="dxa"/>
          </w:tcPr>
          <w:p w:rsidR="0046358B" w:rsidRPr="00C875F5" w:rsidRDefault="0046358B" w:rsidP="0046358B">
            <w:pPr>
              <w:rPr>
                <w:lang w:val="en-GB"/>
              </w:rPr>
            </w:pPr>
            <w:r w:rsidRPr="00C875F5">
              <w:rPr>
                <w:color w:val="000000"/>
                <w:shd w:val="clear" w:color="auto" w:fill="FFFFFF"/>
                <w:lang w:val="en-GB"/>
              </w:rPr>
              <w:lastRenderedPageBreak/>
              <w:t>N=1311</w:t>
            </w:r>
          </w:p>
          <w:p w:rsidR="0046358B" w:rsidRPr="00C875F5" w:rsidRDefault="0046358B" w:rsidP="0046358B"/>
          <w:p w:rsidR="0046358B" w:rsidRPr="00C875F5" w:rsidRDefault="0046358B" w:rsidP="0046358B">
            <w:r w:rsidRPr="00C875F5">
              <w:t xml:space="preserve">Pregnant women not taking thyroid </w:t>
            </w:r>
            <w:r w:rsidRPr="00C875F5">
              <w:lastRenderedPageBreak/>
              <w:t>medication (n=640 &amp; 667 in 1</w:t>
            </w:r>
            <w:r w:rsidRPr="00C875F5">
              <w:rPr>
                <w:vertAlign w:val="superscript"/>
              </w:rPr>
              <w:t>st</w:t>
            </w:r>
            <w:r w:rsidRPr="00C875F5">
              <w:t xml:space="preserve"> &amp; 3</w:t>
            </w:r>
            <w:r w:rsidRPr="00C875F5">
              <w:rPr>
                <w:vertAlign w:val="superscript"/>
              </w:rPr>
              <w:t>rd</w:t>
            </w:r>
            <w:r w:rsidRPr="00C875F5">
              <w:t xml:space="preserve"> trimester respectively)</w:t>
            </w:r>
          </w:p>
          <w:p w:rsidR="0046358B" w:rsidRPr="00C875F5" w:rsidRDefault="0046358B" w:rsidP="0046358B">
            <w:r w:rsidRPr="00C875F5">
              <w:t xml:space="preserve">Mild ID </w:t>
            </w:r>
          </w:p>
        </w:tc>
        <w:tc>
          <w:tcPr>
            <w:tcW w:w="1701" w:type="dxa"/>
          </w:tcPr>
          <w:p w:rsidR="0046358B" w:rsidRPr="00C875F5" w:rsidRDefault="0046358B" w:rsidP="0046358B">
            <w:pPr>
              <w:rPr>
                <w:color w:val="000000"/>
                <w:shd w:val="clear" w:color="auto" w:fill="FFFFFF"/>
                <w:lang w:val="en-GB"/>
              </w:rPr>
            </w:pPr>
            <w:r w:rsidRPr="00C875F5">
              <w:rPr>
                <w:color w:val="000000"/>
                <w:shd w:val="clear" w:color="auto" w:fill="FFFFFF"/>
                <w:lang w:val="en-GB"/>
              </w:rPr>
              <w:lastRenderedPageBreak/>
              <w:t xml:space="preserve">Iodine status assessed 1 year after the introduction of bread fortified </w:t>
            </w:r>
            <w:r w:rsidRPr="00C875F5">
              <w:rPr>
                <w:color w:val="000000"/>
                <w:shd w:val="clear" w:color="auto" w:fill="FFFFFF"/>
                <w:lang w:val="en-GB"/>
              </w:rPr>
              <w:lastRenderedPageBreak/>
              <w:t>with iodised salt</w:t>
            </w:r>
          </w:p>
          <w:p w:rsidR="0046358B" w:rsidRPr="0046358B" w:rsidRDefault="0046358B" w:rsidP="0046358B">
            <w:pPr>
              <w:rPr>
                <w:lang w:val="en-GB"/>
              </w:rPr>
            </w:pPr>
            <w:r w:rsidRPr="00C875F5">
              <w:rPr>
                <w:color w:val="000000"/>
                <w:shd w:val="clear" w:color="auto" w:fill="FFFFFF"/>
                <w:lang w:val="en-GB"/>
              </w:rPr>
              <w:t>UIC, iodine intake</w:t>
            </w:r>
          </w:p>
        </w:tc>
        <w:tc>
          <w:tcPr>
            <w:tcW w:w="1559" w:type="dxa"/>
          </w:tcPr>
          <w:p w:rsidR="0046358B" w:rsidRPr="00C875F5" w:rsidRDefault="0046358B" w:rsidP="0046358B">
            <w:r w:rsidRPr="00C875F5">
              <w:lastRenderedPageBreak/>
              <w:t>General questionnaire completed with practice nurse</w:t>
            </w:r>
          </w:p>
        </w:tc>
        <w:tc>
          <w:tcPr>
            <w:tcW w:w="4111" w:type="dxa"/>
          </w:tcPr>
          <w:p w:rsidR="0046358B" w:rsidRDefault="0046358B" w:rsidP="0046358B">
            <w:pPr>
              <w:rPr>
                <w:rFonts w:eastAsia="Arial Unicode MS"/>
                <w:shd w:val="clear" w:color="auto" w:fill="FFFFFF"/>
                <w:lang w:val="en-GB"/>
              </w:rPr>
            </w:pPr>
            <w:r w:rsidRPr="00C875F5">
              <w:rPr>
                <w:rFonts w:eastAsia="Arial Unicode MS"/>
                <w:shd w:val="clear" w:color="auto" w:fill="FFFFFF"/>
                <w:lang w:val="en-GB"/>
              </w:rPr>
              <w:t xml:space="preserve">The median UIC was 124·1 μg/l and 122·6 μg/g creatinine when corrected for urinary creatinine. The median UIC in the 1st trimester (118·3 μg/l) was lower than that in the 3rd trimester (131·0 μg/l) but </w:t>
            </w:r>
            <w:r w:rsidRPr="00C875F5">
              <w:rPr>
                <w:rFonts w:eastAsia="Arial Unicode MS"/>
                <w:shd w:val="clear" w:color="auto" w:fill="FFFFFF"/>
                <w:lang w:val="en-GB"/>
              </w:rPr>
              <w:lastRenderedPageBreak/>
              <w:t>significantly higher than among non-pregnant women (84·8 μg/l). Iodine-containing supplement intake was reported by 60·8 % of the women &amp; 57·4 % of the women took this supplement daily. The risk of iodine deficiency was higher in younger women, in women not taking iodine-containing supplements, with low consumption of milk and dairy drinks and during autumn. Women with a higher BMI had a higher risk of iodine deficiency but the risk was lower in women who reported alcohol consumption.</w:t>
            </w:r>
          </w:p>
          <w:p w:rsidR="0046358B" w:rsidRPr="00C875F5" w:rsidRDefault="0046358B" w:rsidP="0046358B">
            <w:pPr>
              <w:rPr>
                <w:lang w:val="en-GB"/>
              </w:rPr>
            </w:pPr>
            <w:r w:rsidRPr="00C875F5">
              <w:t>Age, trimester of pregnancy, region, BMI, smoking behavior, alcohol consumption, use of iodised household salt, bread consumption, fish consumption, milk and dairy drink consumption, education level, ethnicity &amp; parity</w:t>
            </w:r>
          </w:p>
        </w:tc>
        <w:tc>
          <w:tcPr>
            <w:tcW w:w="1134" w:type="dxa"/>
          </w:tcPr>
          <w:p w:rsidR="0046358B" w:rsidRPr="00C875F5" w:rsidRDefault="0046358B" w:rsidP="0046358B"/>
        </w:tc>
        <w:tc>
          <w:tcPr>
            <w:tcW w:w="2036" w:type="dxa"/>
          </w:tcPr>
          <w:p w:rsidR="0046358B" w:rsidRPr="00C875F5" w:rsidRDefault="0046358B" w:rsidP="0046358B">
            <w:r w:rsidRPr="00C875F5">
              <w:t>Note this is the same study as Moreno-Reyes et al 2013</w:t>
            </w:r>
          </w:p>
        </w:tc>
      </w:tr>
      <w:tr w:rsidR="0046358B" w:rsidRPr="00C875F5" w:rsidTr="0046358B">
        <w:trPr>
          <w:trHeight w:val="567"/>
        </w:trPr>
        <w:tc>
          <w:tcPr>
            <w:tcW w:w="1242" w:type="dxa"/>
          </w:tcPr>
          <w:p w:rsidR="0046358B" w:rsidRPr="00C875F5" w:rsidRDefault="0046358B" w:rsidP="0046358B">
            <w:pPr>
              <w:rPr>
                <w:shd w:val="clear" w:color="auto" w:fill="FFFFFF"/>
              </w:rPr>
            </w:pPr>
            <w:r w:rsidRPr="00C875F5">
              <w:rPr>
                <w:shd w:val="clear" w:color="auto" w:fill="FFFFFF"/>
              </w:rPr>
              <w:lastRenderedPageBreak/>
              <w:t xml:space="preserve">Velasco et al, 2013 Spain </w:t>
            </w:r>
            <w:r w:rsidRPr="00C875F5">
              <w:rPr>
                <w:shd w:val="clear" w:color="auto" w:fill="FFFFFF"/>
              </w:rPr>
              <w:fldChar w:fldCharType="begin"/>
            </w:r>
            <w:r w:rsidRPr="00C875F5">
              <w:rPr>
                <w:shd w:val="clear" w:color="auto" w:fill="FFFFFF"/>
              </w:rPr>
              <w:instrText xml:space="preserve"> ADDIN EN.CITE &lt;EndNote&gt;&lt;Cite&gt;&lt;Author&gt;Velasco&lt;/Author&gt;&lt;Year&gt;2013&lt;/Year&gt;&lt;RecNum&gt;43&lt;/RecNum&gt;&lt;DisplayText&gt;[90]&lt;/DisplayText&gt;&lt;record&gt;&lt;rec-number&gt;43&lt;/rec-number&gt;&lt;foreign-keys&gt;&lt;key app="EN" db-id="p2s2xd2thp5wd2efdeovw295prpvf5vpre22"&gt;43&lt;/key&gt;&lt;/foreign-keys&gt;&lt;ref-type name="Journal Article"&gt;17&lt;/ref-type&gt;&lt;contributors&gt;&lt;authors&gt;&lt;author&gt;Velasco, I.&lt;/author&gt;&lt;author&gt;Martin, J.&lt;/author&gt;&lt;author&gt;Gallego, M.&lt;/author&gt;&lt;author&gt;Gutierrez-Repiso, C.&lt;/author&gt;&lt;author&gt;Santiago, P.&lt;/author&gt;&lt;author&gt;Lopez-Siguero, J. P.&lt;/author&gt;&lt;author&gt;Mesa, E. G.&lt;/author&gt;&lt;author&gt;Peral, J. H.&lt;/author&gt;&lt;author&gt;Perez, V.&lt;/author&gt;&lt;author&gt;Garcia-Fuentes, E.&lt;/author&gt;&lt;author&gt;Soriguer, F.&lt;/author&gt;&lt;/authors&gt;&lt;/contributors&gt;&lt;auth-address&gt;1 Gynecology &amp;amp; Obstetrics Service, Riotinto Hospital, Huelva, Spain .&lt;/auth-address&gt;&lt;titles&gt;&lt;title&gt;Maternal-Fetal Thyroid Function at the Time of Birth and Its Relation with Iodine Intake&lt;/title&gt;&lt;secondary-title&gt;Thyroid&lt;/secondary-title&gt;&lt;alt-title&gt;Thyroid : official journal of the American Thyroid Association&lt;/alt-title&gt;&lt;/titles&gt;&lt;periodical&gt;&lt;full-title&gt;Thyroid&lt;/full-title&gt;&lt;abbr-1&gt;Thyroid : official journal of the American Thyroid Association&lt;/abbr-1&gt;&lt;/periodical&gt;&lt;alt-periodical&gt;&lt;full-title&gt;Thyroid&lt;/full-title&gt;&lt;abbr-1&gt;Thyroid : official journal of the American Thyroid Association&lt;/abbr-1&gt;&lt;/alt-periodical&gt;&lt;edition&gt;2013/06/15&lt;/edition&gt;&lt;dates&gt;&lt;year&gt;2013&lt;/year&gt;&lt;pub-dates&gt;&lt;date&gt;Sep 4&lt;/date&gt;&lt;/pub-dates&gt;&lt;/dates&gt;&lt;isbn&gt;1557-9077 (Electronic)&amp;#xD;1050-7256 (Linking)&lt;/isbn&gt;&lt;accession-num&gt;23763592&lt;/accession-num&gt;&lt;urls&gt;&lt;/urls&gt;&lt;electronic-resource-num&gt;10.1089/thy.2013.0035&lt;/electronic-resource-num&gt;&lt;remote-database-provider&gt;NLM&lt;/remote-database-provider&gt;&lt;language&gt;Eng&lt;/language&gt;&lt;/record&gt;&lt;/Cite&gt;&lt;/EndNote&gt;</w:instrText>
            </w:r>
            <w:r w:rsidRPr="00C875F5">
              <w:rPr>
                <w:shd w:val="clear" w:color="auto" w:fill="FFFFFF"/>
              </w:rPr>
              <w:fldChar w:fldCharType="end"/>
            </w:r>
          </w:p>
          <w:p w:rsidR="0046358B" w:rsidRPr="00C875F5" w:rsidRDefault="0046358B" w:rsidP="0046358B"/>
        </w:tc>
        <w:tc>
          <w:tcPr>
            <w:tcW w:w="1998" w:type="dxa"/>
          </w:tcPr>
          <w:p w:rsidR="0046358B" w:rsidRPr="00C875F5" w:rsidRDefault="0046358B" w:rsidP="0046358B">
            <w:r w:rsidRPr="00C875F5">
              <w:lastRenderedPageBreak/>
              <w:t xml:space="preserve">Cross-sectional </w:t>
            </w:r>
          </w:p>
        </w:tc>
        <w:tc>
          <w:tcPr>
            <w:tcW w:w="1843" w:type="dxa"/>
          </w:tcPr>
          <w:p w:rsidR="0046358B" w:rsidRPr="00C875F5" w:rsidRDefault="0046358B" w:rsidP="0046358B">
            <w:pPr>
              <w:rPr>
                <w:color w:val="000000"/>
                <w:shd w:val="clear" w:color="auto" w:fill="FFFFFF"/>
                <w:lang w:val="en-GB"/>
              </w:rPr>
            </w:pPr>
            <w:r w:rsidRPr="00C875F5">
              <w:rPr>
                <w:color w:val="000000"/>
                <w:shd w:val="clear" w:color="auto" w:fill="FFFFFF"/>
                <w:lang w:val="en-GB"/>
              </w:rPr>
              <w:t xml:space="preserve">N= 233 healthy pregnant women (29.7±5.6 years) </w:t>
            </w:r>
            <w:r w:rsidRPr="00C875F5">
              <w:rPr>
                <w:color w:val="000000"/>
                <w:shd w:val="clear" w:color="auto" w:fill="FFFFFF"/>
                <w:lang w:val="en-GB"/>
              </w:rPr>
              <w:lastRenderedPageBreak/>
              <w:t xml:space="preserve">and in their new-born. </w:t>
            </w:r>
          </w:p>
          <w:p w:rsidR="0046358B" w:rsidRPr="00CD6751" w:rsidRDefault="0046358B" w:rsidP="0046358B">
            <w:pPr>
              <w:rPr>
                <w:lang w:val="en-GB"/>
              </w:rPr>
            </w:pPr>
            <w:r w:rsidRPr="00C875F5">
              <w:rPr>
                <w:color w:val="000000"/>
                <w:shd w:val="clear" w:color="auto" w:fill="FFFFFF"/>
                <w:lang w:val="en-GB"/>
              </w:rPr>
              <w:t>Inclusion of women in the study was done within the 24 hours before delivery.</w:t>
            </w:r>
          </w:p>
        </w:tc>
        <w:tc>
          <w:tcPr>
            <w:tcW w:w="1701" w:type="dxa"/>
          </w:tcPr>
          <w:p w:rsidR="0046358B" w:rsidRPr="00C875F5" w:rsidRDefault="0046358B" w:rsidP="0046358B">
            <w:r w:rsidRPr="00C875F5">
              <w:lastRenderedPageBreak/>
              <w:t xml:space="preserve">TSH, FT4, &amp; FT3, </w:t>
            </w:r>
          </w:p>
          <w:p w:rsidR="0046358B" w:rsidRPr="00C875F5" w:rsidRDefault="0046358B" w:rsidP="0046358B">
            <w:r w:rsidRPr="00C875F5">
              <w:t>UIC</w:t>
            </w:r>
          </w:p>
        </w:tc>
        <w:tc>
          <w:tcPr>
            <w:tcW w:w="1559" w:type="dxa"/>
          </w:tcPr>
          <w:p w:rsidR="0046358B" w:rsidRPr="00C875F5" w:rsidRDefault="0046358B" w:rsidP="0046358B">
            <w:r w:rsidRPr="00C875F5">
              <w:t xml:space="preserve">No assessment </w:t>
            </w:r>
          </w:p>
        </w:tc>
        <w:tc>
          <w:tcPr>
            <w:tcW w:w="4111" w:type="dxa"/>
          </w:tcPr>
          <w:p w:rsidR="0046358B" w:rsidRPr="00CD6751" w:rsidRDefault="0046358B" w:rsidP="0046358B">
            <w:pPr>
              <w:rPr>
                <w:color w:val="000000"/>
                <w:shd w:val="clear" w:color="auto" w:fill="FFFFFF"/>
                <w:lang w:val="en-GB"/>
              </w:rPr>
            </w:pPr>
            <w:r w:rsidRPr="00D74A29">
              <w:rPr>
                <w:color w:val="000000"/>
                <w:shd w:val="clear" w:color="auto" w:fill="FFFFFF"/>
                <w:lang w:val="en-GB"/>
              </w:rPr>
              <w:t xml:space="preserve">Median maternal UIC was 126.5 μg/L. FT3, but not TSH and free FT4, correlated significantly with the UIC (r=0.17, p=0.013). </w:t>
            </w:r>
            <w:r w:rsidRPr="00D74A29">
              <w:rPr>
                <w:color w:val="000000"/>
                <w:shd w:val="clear" w:color="auto" w:fill="FFFFFF"/>
                <w:lang w:val="en-GB"/>
              </w:rPr>
              <w:lastRenderedPageBreak/>
              <w:t>The cord blood TSH, FT4, and FT3 correlated positively with the maternal UIC at the time of delivery (r=0.24, p=0.001; r=0.16, p=0.032; and r=0.24, p=0.003, respectively). The cord blood and heel blood TSH correlated positively with the amniotic fluid iodine concentration (r=0.21, p=0.015 and r=0.15, p=0.036). The cord blood TSH correlated positively with the cord blood FT4 (r=0.21, p=0.022) and FT3 (r=0.32, p=0.017). The maternal TSH correlated with the cord blood TSH (r=0.22, p=0.014) and with the heel blood TSH (r=0.13, p=0.050). </w:t>
            </w:r>
          </w:p>
        </w:tc>
        <w:tc>
          <w:tcPr>
            <w:tcW w:w="1134" w:type="dxa"/>
          </w:tcPr>
          <w:p w:rsidR="0046358B" w:rsidRPr="00D74A29" w:rsidRDefault="0046358B" w:rsidP="0046358B"/>
        </w:tc>
        <w:tc>
          <w:tcPr>
            <w:tcW w:w="2036" w:type="dxa"/>
          </w:tcPr>
          <w:p w:rsidR="0046358B" w:rsidRPr="00D74A29" w:rsidRDefault="0046358B" w:rsidP="0046358B">
            <w:r w:rsidRPr="00D74A29">
              <w:t>Level IV</w:t>
            </w:r>
          </w:p>
        </w:tc>
      </w:tr>
      <w:tr w:rsidR="0046358B" w:rsidRPr="00C875F5" w:rsidTr="0046358B">
        <w:trPr>
          <w:trHeight w:val="567"/>
        </w:trPr>
        <w:tc>
          <w:tcPr>
            <w:tcW w:w="1242" w:type="dxa"/>
          </w:tcPr>
          <w:p w:rsidR="0046358B" w:rsidRPr="00C900C3" w:rsidRDefault="0046358B" w:rsidP="0046358B">
            <w:r w:rsidRPr="00C900C3">
              <w:rPr>
                <w:noProof/>
              </w:rPr>
              <w:lastRenderedPageBreak/>
              <w:t>Wang et al, 2014</w:t>
            </w:r>
          </w:p>
          <w:p w:rsidR="0046358B" w:rsidRPr="00DE507C" w:rsidRDefault="0046358B" w:rsidP="0046358B">
            <w:r w:rsidRPr="00C900C3">
              <w:t>Yongjing,</w:t>
            </w:r>
            <w:r>
              <w:t xml:space="preserve"> </w:t>
            </w:r>
            <w:r w:rsidRPr="00C900C3">
              <w:t>China</w:t>
            </w:r>
          </w:p>
        </w:tc>
        <w:tc>
          <w:tcPr>
            <w:tcW w:w="1998" w:type="dxa"/>
          </w:tcPr>
          <w:p w:rsidR="0046358B" w:rsidRPr="00C875F5" w:rsidRDefault="0046358B" w:rsidP="0046358B">
            <w:r w:rsidRPr="00C900C3">
              <w:t>Cross-sectional</w:t>
            </w:r>
          </w:p>
        </w:tc>
        <w:tc>
          <w:tcPr>
            <w:tcW w:w="1843" w:type="dxa"/>
          </w:tcPr>
          <w:p w:rsidR="0046358B" w:rsidRPr="00C875F5" w:rsidRDefault="0046358B" w:rsidP="0046358B">
            <w:pPr>
              <w:rPr>
                <w:color w:val="000000"/>
                <w:shd w:val="clear" w:color="auto" w:fill="FFFFFF"/>
                <w:lang w:val="en-GB"/>
              </w:rPr>
            </w:pPr>
            <w:r w:rsidRPr="00C900C3">
              <w:t>N=215 pregnant women: 70 in 1st trimester, 73 in 2nd trimester &amp; 72 in 3rd trimester).</w:t>
            </w:r>
          </w:p>
        </w:tc>
        <w:tc>
          <w:tcPr>
            <w:tcW w:w="1701" w:type="dxa"/>
          </w:tcPr>
          <w:p w:rsidR="0046358B" w:rsidRPr="00C875F5" w:rsidRDefault="0046358B" w:rsidP="0046358B">
            <w:r w:rsidRPr="00C900C3">
              <w:t>UIC, TSH, FT3,FT4, TgAb &amp; TPOAb</w:t>
            </w:r>
          </w:p>
        </w:tc>
        <w:tc>
          <w:tcPr>
            <w:tcW w:w="1559" w:type="dxa"/>
          </w:tcPr>
          <w:p w:rsidR="0046358B" w:rsidRPr="00C875F5" w:rsidRDefault="0046358B" w:rsidP="0046358B">
            <w:r w:rsidRPr="00C900C3">
              <w:t>Household salt &amp; drinking water samples.</w:t>
            </w:r>
          </w:p>
        </w:tc>
        <w:tc>
          <w:tcPr>
            <w:tcW w:w="4111" w:type="dxa"/>
          </w:tcPr>
          <w:p w:rsidR="0046358B" w:rsidRPr="00CD6751" w:rsidRDefault="0046358B" w:rsidP="0046358B">
            <w:r w:rsidRPr="00D74A29">
              <w:t xml:space="preserve">Median UICs in the 1st, 2nd &amp; 3rd trimesters were 190, 153 &amp; 145 μg/L, respectively. Mean TSH in pregnant women in the 2nd trimester was significantly lower (p˂0.05) than those in the 1st &amp; 3rd trimesters. Mean FT3 in pregnant women in the 3rd trimester was significantly lower (p˂0.05) than those in </w:t>
            </w:r>
            <w:r w:rsidRPr="00D74A29">
              <w:lastRenderedPageBreak/>
              <w:t>the 1st &amp; 2nd trimesters. FT3 decreased significantly with gestational age (p˂0.05). No difference was observed in FT4 between trimesters.</w:t>
            </w:r>
          </w:p>
        </w:tc>
        <w:tc>
          <w:tcPr>
            <w:tcW w:w="1134" w:type="dxa"/>
          </w:tcPr>
          <w:p w:rsidR="0046358B" w:rsidRPr="00D74A29" w:rsidRDefault="0046358B" w:rsidP="0046358B"/>
        </w:tc>
        <w:tc>
          <w:tcPr>
            <w:tcW w:w="2036" w:type="dxa"/>
          </w:tcPr>
          <w:p w:rsidR="0046358B" w:rsidRPr="00D74A29" w:rsidRDefault="0046358B" w:rsidP="0046358B">
            <w:r w:rsidRPr="00D74A29">
              <w:t>Level IV</w:t>
            </w:r>
          </w:p>
        </w:tc>
      </w:tr>
    </w:tbl>
    <w:p w:rsidR="00727A05" w:rsidRPr="0076029F" w:rsidRDefault="00727A05" w:rsidP="00032CA2">
      <w:pPr>
        <w:ind w:left="-360"/>
        <w:rPr>
          <w:rStyle w:val="Strong"/>
        </w:rPr>
      </w:pPr>
      <w:r w:rsidRPr="0076029F">
        <w:rPr>
          <w:rStyle w:val="Strong"/>
        </w:rPr>
        <w:lastRenderedPageBreak/>
        <w:t>Systematic review of RCT</w:t>
      </w:r>
    </w:p>
    <w:tbl>
      <w:tblPr>
        <w:tblStyle w:val="TableGrid"/>
        <w:tblW w:w="15588" w:type="dxa"/>
        <w:tblInd w:w="-432" w:type="dxa"/>
        <w:tblLayout w:type="fixed"/>
        <w:tblLook w:val="04A0" w:firstRow="1" w:lastRow="0" w:firstColumn="1" w:lastColumn="0" w:noHBand="0" w:noVBand="1"/>
        <w:tblDescription w:val="Table 7.4a Systematic review of  randomized controlled trial (RCT) which studies Estimated Average Requirement (EAR) and thyroid function during pregnancy. This table consists of 6 column heading; column 1. Author /year, column 2. Number of studies included, column 3. Search strategy, column 4. Studies included, column 5.Result of systematic review, and column 6. Blank."/>
      </w:tblPr>
      <w:tblGrid>
        <w:gridCol w:w="1188"/>
        <w:gridCol w:w="1800"/>
        <w:gridCol w:w="2160"/>
        <w:gridCol w:w="3240"/>
        <w:gridCol w:w="5220"/>
        <w:gridCol w:w="1980"/>
      </w:tblGrid>
      <w:tr w:rsidR="00EA6F40" w:rsidRPr="00C875F5" w:rsidTr="006473C7">
        <w:trPr>
          <w:trHeight w:val="567"/>
          <w:tblHeader/>
        </w:trPr>
        <w:tc>
          <w:tcPr>
            <w:tcW w:w="1188" w:type="dxa"/>
          </w:tcPr>
          <w:p w:rsidR="00EA6F40" w:rsidRPr="00C875F5" w:rsidRDefault="00EA6F40" w:rsidP="006473C7">
            <w:pPr>
              <w:rPr>
                <w:b/>
                <w:shd w:val="clear" w:color="auto" w:fill="FFFFFF"/>
              </w:rPr>
            </w:pPr>
            <w:r w:rsidRPr="00C875F5">
              <w:rPr>
                <w:b/>
                <w:shd w:val="clear" w:color="auto" w:fill="FFFFFF"/>
              </w:rPr>
              <w:t>Author, date</w:t>
            </w:r>
          </w:p>
        </w:tc>
        <w:tc>
          <w:tcPr>
            <w:tcW w:w="1800" w:type="dxa"/>
          </w:tcPr>
          <w:p w:rsidR="00EA6F40" w:rsidRPr="00C875F5" w:rsidRDefault="00EA6F40" w:rsidP="006473C7">
            <w:pPr>
              <w:rPr>
                <w:b/>
                <w:shd w:val="clear" w:color="auto" w:fill="FFFFFF"/>
              </w:rPr>
            </w:pPr>
            <w:r w:rsidRPr="00C875F5">
              <w:rPr>
                <w:b/>
                <w:shd w:val="clear" w:color="auto" w:fill="FFFFFF"/>
              </w:rPr>
              <w:t>Number of studies included</w:t>
            </w:r>
          </w:p>
        </w:tc>
        <w:tc>
          <w:tcPr>
            <w:tcW w:w="2160" w:type="dxa"/>
          </w:tcPr>
          <w:p w:rsidR="00EA6F40" w:rsidRPr="00C875F5" w:rsidRDefault="00EA6F40" w:rsidP="006473C7">
            <w:pPr>
              <w:rPr>
                <w:b/>
                <w:shd w:val="clear" w:color="auto" w:fill="FFFFFF"/>
              </w:rPr>
            </w:pPr>
            <w:r w:rsidRPr="00C875F5">
              <w:rPr>
                <w:b/>
                <w:shd w:val="clear" w:color="auto" w:fill="FFFFFF"/>
              </w:rPr>
              <w:t>Search strategy</w:t>
            </w:r>
          </w:p>
        </w:tc>
        <w:tc>
          <w:tcPr>
            <w:tcW w:w="3240" w:type="dxa"/>
          </w:tcPr>
          <w:p w:rsidR="00EA6F40" w:rsidRPr="00C875F5" w:rsidRDefault="00EA6F40" w:rsidP="006473C7">
            <w:pPr>
              <w:rPr>
                <w:b/>
                <w:shd w:val="clear" w:color="auto" w:fill="FFFFFF"/>
              </w:rPr>
            </w:pPr>
            <w:r w:rsidRPr="00C875F5">
              <w:rPr>
                <w:b/>
                <w:shd w:val="clear" w:color="auto" w:fill="FFFFFF"/>
              </w:rPr>
              <w:t>Studies included</w:t>
            </w:r>
          </w:p>
        </w:tc>
        <w:tc>
          <w:tcPr>
            <w:tcW w:w="5220" w:type="dxa"/>
          </w:tcPr>
          <w:p w:rsidR="00EA6F40" w:rsidRPr="00C875F5" w:rsidRDefault="00EA6F40" w:rsidP="006473C7">
            <w:pPr>
              <w:rPr>
                <w:b/>
                <w:shd w:val="clear" w:color="auto" w:fill="FFFFFF"/>
              </w:rPr>
            </w:pPr>
            <w:r w:rsidRPr="00C875F5">
              <w:rPr>
                <w:b/>
                <w:shd w:val="clear" w:color="auto" w:fill="FFFFFF"/>
              </w:rPr>
              <w:t>Results of systematic review</w:t>
            </w:r>
          </w:p>
        </w:tc>
        <w:tc>
          <w:tcPr>
            <w:tcW w:w="1980" w:type="dxa"/>
          </w:tcPr>
          <w:p w:rsidR="00EA6F40" w:rsidRPr="00C875F5" w:rsidRDefault="00EA6F40" w:rsidP="006473C7">
            <w:pPr>
              <w:rPr>
                <w:b/>
                <w:shd w:val="clear" w:color="auto" w:fill="FFFFFF"/>
              </w:rPr>
            </w:pPr>
          </w:p>
        </w:tc>
      </w:tr>
      <w:tr w:rsidR="00EA6F40" w:rsidRPr="00C875F5" w:rsidTr="006473C7">
        <w:trPr>
          <w:trHeight w:val="567"/>
        </w:trPr>
        <w:tc>
          <w:tcPr>
            <w:tcW w:w="1188" w:type="dxa"/>
          </w:tcPr>
          <w:p w:rsidR="00EA6F40" w:rsidRPr="00C875F5" w:rsidRDefault="00EA6F40" w:rsidP="006473C7">
            <w:pPr>
              <w:rPr>
                <w:shd w:val="clear" w:color="auto" w:fill="FFFFFF"/>
              </w:rPr>
            </w:pPr>
            <w:r w:rsidRPr="00C875F5">
              <w:rPr>
                <w:shd w:val="clear" w:color="auto" w:fill="FFFFFF"/>
              </w:rPr>
              <w:t xml:space="preserve">Zhou et al 2013 </w:t>
            </w:r>
          </w:p>
        </w:tc>
        <w:tc>
          <w:tcPr>
            <w:tcW w:w="1800" w:type="dxa"/>
          </w:tcPr>
          <w:p w:rsidR="00EA6F40" w:rsidRPr="00C875F5" w:rsidRDefault="00EA6F40" w:rsidP="006473C7">
            <w:r w:rsidRPr="00C875F5">
              <w:t xml:space="preserve">12 RCTs </w:t>
            </w:r>
          </w:p>
        </w:tc>
        <w:tc>
          <w:tcPr>
            <w:tcW w:w="2160" w:type="dxa"/>
          </w:tcPr>
          <w:p w:rsidR="00EA6F40" w:rsidRPr="00C875F5" w:rsidRDefault="00EA6F40" w:rsidP="006473C7">
            <w:pPr>
              <w:rPr>
                <w:rFonts w:cs="Lucida Grande"/>
              </w:rPr>
            </w:pPr>
            <w:r w:rsidRPr="00C875F5">
              <w:rPr>
                <w:rFonts w:cs="Lucida Grande"/>
              </w:rPr>
              <w:t>Cochrane Central Register of Controlled Trials, EMBASE, MEDLINE, Cumulative Index to Nursing and Allied Health Literature and PsycINFO databases.</w:t>
            </w:r>
          </w:p>
        </w:tc>
        <w:tc>
          <w:tcPr>
            <w:tcW w:w="3240" w:type="dxa"/>
          </w:tcPr>
          <w:p w:rsidR="00EA6F40" w:rsidRPr="00C875F5" w:rsidRDefault="00EA6F40" w:rsidP="006473C7">
            <w:pPr>
              <w:rPr>
                <w:rFonts w:cs="Lucida Grande"/>
              </w:rPr>
            </w:pPr>
            <w:r w:rsidRPr="00C875F5">
              <w:rPr>
                <w:rFonts w:cs="Lucida Grande"/>
              </w:rPr>
              <w:t xml:space="preserve">All RCTs comparing the effect of iodine supplementation with a parallel control group who received no iodine supplementation (or placebo) during pregnancy or the preconceptional period on clinical or biochemical outcomes were eligible for inclusion in the review. </w:t>
            </w:r>
          </w:p>
          <w:p w:rsidR="00EA6F40" w:rsidRPr="00C875F5" w:rsidRDefault="00EA6F40" w:rsidP="006473C7">
            <w:r w:rsidRPr="00C875F5">
              <w:rPr>
                <w:rFonts w:cs="Lucida Grande"/>
              </w:rPr>
              <w:t xml:space="preserve">Pregnant women or those of childbearing age regardless of iodine status or gestation at trial </w:t>
            </w:r>
            <w:r w:rsidRPr="00C875F5">
              <w:rPr>
                <w:rFonts w:cs="Lucida Grande"/>
              </w:rPr>
              <w:lastRenderedPageBreak/>
              <w:t xml:space="preserve">entry were included. Trials were eligible for inclusion in which women received any form of iodine supplementation, with or without other nutrients, in which the only difference between the treatment and comparison group was the presence or absence of iodine. The primary outcome was the cognitive development of children. </w:t>
            </w:r>
            <w:r w:rsidRPr="0046358B">
              <w:rPr>
                <w:rStyle w:val="Emphasis"/>
              </w:rPr>
              <w:t>Secondary outcomes included pregnancy and birth out- comes, childhood growth and mortality, iodine status, and thyroid function of mothers and infants. The search was restricted to human studies without language restrictions.</w:t>
            </w:r>
          </w:p>
        </w:tc>
        <w:tc>
          <w:tcPr>
            <w:tcW w:w="5220" w:type="dxa"/>
          </w:tcPr>
          <w:p w:rsidR="00EA6F40" w:rsidRPr="00C875F5" w:rsidRDefault="00EA6F40" w:rsidP="006473C7">
            <w:pPr>
              <w:rPr>
                <w:rFonts w:cs="Lucida Grande"/>
              </w:rPr>
            </w:pPr>
            <w:r w:rsidRPr="00C875F5">
              <w:rPr>
                <w:rFonts w:cs="Lucida Grande"/>
              </w:rPr>
              <w:lastRenderedPageBreak/>
              <w:t>No obvious dose-response relation was seen. The effects of iodine supplementation on changes in thyroid hormone concentrations in mothers and infants were not consistent</w:t>
            </w:r>
          </w:p>
          <w:p w:rsidR="00EA6F40" w:rsidRPr="00C875F5" w:rsidRDefault="00EA6F40" w:rsidP="006473C7">
            <w:pPr>
              <w:rPr>
                <w:rFonts w:cs="Lucida Grande"/>
              </w:rPr>
            </w:pPr>
            <w:r w:rsidRPr="00C875F5">
              <w:rPr>
                <w:rFonts w:cs="Lucida Grande"/>
              </w:rPr>
              <w:t xml:space="preserve">When assessed in mothers, higher thyroxine concentrations were reported in 1 of 5 trials, lower TSH was reported in 1 of 6 trials, and lower thyroglobulin concentrations were reported in 2 of 4 trials in the iodine-supplemented group compared with control group. In infants of iodine-supplemented mothers, significant reductions in cord blood thyroglobulin were observed in 2 of 4 trials, and cord blood thyroxine was increased in 1 of 3 trials. There were no reports of </w:t>
            </w:r>
            <w:r w:rsidRPr="00C875F5">
              <w:rPr>
                <w:rFonts w:cs="Lucida Grande"/>
              </w:rPr>
              <w:lastRenderedPageBreak/>
              <w:t>significant changes in maternal triiodothyronine/free triiodothyronine or TBG, infant free thyroxine, triiodothyronine, TBG, or TSH between supplemented and control groups.</w:t>
            </w:r>
          </w:p>
          <w:p w:rsidR="00EA6F40" w:rsidRPr="00C875F5" w:rsidRDefault="00EA6F40" w:rsidP="006473C7">
            <w:r w:rsidRPr="00C875F5">
              <w:rPr>
                <w:rFonts w:cs="Lucida Grande"/>
              </w:rPr>
              <w:t>Women in the iodine-supplemented group compared with women in the control group had lower thyroid volumes in 1 of 2 trials that reported this outcome. Two other trials showed that supplementation reduced pregnancy increases in maternal thyroid volume; however, results were analyzed as percentage changes within groups and not based on the intention-to-treat principle. Children of supplemented mothers had lower thyroid volumes than did children of non-supplemented mothers in the 2 trials that reported this outcome.</w:t>
            </w:r>
          </w:p>
        </w:tc>
        <w:tc>
          <w:tcPr>
            <w:tcW w:w="1980" w:type="dxa"/>
          </w:tcPr>
          <w:p w:rsidR="00EA6F40" w:rsidRPr="00C875F5" w:rsidRDefault="00EA6F40" w:rsidP="006473C7">
            <w:pPr>
              <w:rPr>
                <w:rFonts w:cs="Lucida Grande"/>
              </w:rPr>
            </w:pPr>
            <w:r w:rsidRPr="00C875F5">
              <w:rPr>
                <w:rFonts w:cs="Lucida Grande"/>
              </w:rPr>
              <w:lastRenderedPageBreak/>
              <w:t>Level I, with low risk of bias.</w:t>
            </w:r>
          </w:p>
        </w:tc>
      </w:tr>
    </w:tbl>
    <w:p w:rsidR="00EA6F40" w:rsidRPr="00C875F5" w:rsidRDefault="00EA6F40" w:rsidP="006473C7">
      <w:pPr>
        <w:ind w:left="-360"/>
      </w:pPr>
      <w:r w:rsidRPr="00CD6751">
        <w:lastRenderedPageBreak/>
        <w:t>Abbreviations:</w:t>
      </w:r>
      <w:r w:rsidRPr="00C875F5">
        <w:t xml:space="preserve"> AI Adequate Intake, BMI Body Mass Index, CI Confidence Interval, EI Excessive Intake, OR Odds ratio, UIC Urinary Iodine Concentration, RR relative risk, TV thyroid volume</w:t>
      </w:r>
    </w:p>
    <w:p w:rsidR="00EA6F40" w:rsidRPr="006473C7" w:rsidRDefault="00EA6F40" w:rsidP="006473C7">
      <w:pPr>
        <w:ind w:left="-360"/>
      </w:pPr>
      <w:r w:rsidRPr="00C875F5">
        <w:rPr>
          <w:vertAlign w:val="superscript"/>
        </w:rPr>
        <w:t>1</w:t>
      </w:r>
      <w:r w:rsidRPr="00C875F5">
        <w:t xml:space="preserve"> FT</w:t>
      </w:r>
      <w:r w:rsidRPr="00C875F5">
        <w:rPr>
          <w:vertAlign w:val="subscript"/>
        </w:rPr>
        <w:t>3,</w:t>
      </w:r>
      <w:r w:rsidRPr="00C875F5">
        <w:t xml:space="preserve"> free triiodothyronine; FT4, free thyroxine; m, months; MUI, median urinary iodine; MUIE, mean urinary iodine excretion; n, number; No diff, no difference; NR, not reported; P, probability; PP, postpartum; PPTD, postpartum thyroid dysfunction;  rT</w:t>
      </w:r>
      <w:r w:rsidRPr="00C875F5">
        <w:rPr>
          <w:vertAlign w:val="subscript"/>
        </w:rPr>
        <w:t>3</w:t>
      </w:r>
      <w:r w:rsidRPr="00C875F5">
        <w:t>, reverse T</w:t>
      </w:r>
      <w:r w:rsidRPr="00C875F5">
        <w:rPr>
          <w:vertAlign w:val="subscript"/>
        </w:rPr>
        <w:t>3</w:t>
      </w:r>
      <w:r w:rsidRPr="00C875F5">
        <w:t>; T</w:t>
      </w:r>
      <w:r w:rsidRPr="00C875F5">
        <w:rPr>
          <w:vertAlign w:val="subscript"/>
        </w:rPr>
        <w:t>3</w:t>
      </w:r>
      <w:r w:rsidRPr="00C875F5">
        <w:t>, triiodothyronine; T</w:t>
      </w:r>
      <w:r w:rsidRPr="00C875F5">
        <w:rPr>
          <w:vertAlign w:val="subscript"/>
        </w:rPr>
        <w:t>4</w:t>
      </w:r>
      <w:r w:rsidRPr="00C875F5">
        <w:t>, thyroxine; TBG, thyroxine-binding globulin; Tg, thyroglobulin; Tg-Ab, thyroglobulin antibodies; TM, trimester; TPO-Ab, thyroid peroxidase antibodies; TSH, thyroid-stimulating hormone or thyrotropin; TT</w:t>
      </w:r>
      <w:r w:rsidRPr="00C875F5">
        <w:rPr>
          <w:vertAlign w:val="subscript"/>
        </w:rPr>
        <w:t>3,</w:t>
      </w:r>
      <w:r w:rsidRPr="00C875F5">
        <w:t xml:space="preserve"> total triiodothyronine; TT</w:t>
      </w:r>
      <w:r w:rsidRPr="00C875F5">
        <w:rPr>
          <w:vertAlign w:val="subscript"/>
        </w:rPr>
        <w:t>4,</w:t>
      </w:r>
      <w:r w:rsidRPr="00C875F5">
        <w:t xml:space="preserve"> total thyroxine; UI, urinary iodine; wk(s), week(s); yr(s), year(s)</w:t>
      </w:r>
    </w:p>
    <w:p w:rsidR="00EA6F40" w:rsidRPr="00C875F5" w:rsidRDefault="00EA6F40" w:rsidP="00EA6F40">
      <w:pPr>
        <w:spacing w:after="0"/>
        <w:rPr>
          <w:rFonts w:eastAsia="Times New Roman" w:cs="Times New Roman"/>
          <w:b/>
          <w:bCs/>
          <w:color w:val="000000"/>
          <w:szCs w:val="22"/>
          <w:lang w:val="en-GB"/>
        </w:rPr>
        <w:sectPr w:rsidR="00EA6F40" w:rsidRPr="00C875F5" w:rsidSect="00DF5B59">
          <w:pgSz w:w="16840" w:h="11900" w:orient="landscape"/>
          <w:pgMar w:top="1800" w:right="1440" w:bottom="1800" w:left="1440" w:header="708" w:footer="708" w:gutter="0"/>
          <w:cols w:space="708"/>
        </w:sectPr>
      </w:pPr>
    </w:p>
    <w:p w:rsidR="007F0430" w:rsidRDefault="007F0430" w:rsidP="00AE0695">
      <w:pPr>
        <w:pStyle w:val="Caption"/>
        <w:rPr>
          <w:rStyle w:val="Strong"/>
        </w:rPr>
      </w:pPr>
      <w:r>
        <w:lastRenderedPageBreak/>
        <w:t xml:space="preserve">Table </w:t>
      </w:r>
      <w:r w:rsidR="00CA2AA1">
        <w:fldChar w:fldCharType="begin"/>
      </w:r>
      <w:r w:rsidR="00CA2AA1">
        <w:instrText xml:space="preserve"> STYLEREF 1 \s </w:instrText>
      </w:r>
      <w:r w:rsidR="00CA2AA1">
        <w:fldChar w:fldCharType="separate"/>
      </w:r>
      <w:r w:rsidR="00CA2AA1">
        <w:rPr>
          <w:noProof/>
        </w:rPr>
        <w:t>7</w:t>
      </w:r>
      <w:r w:rsidR="00CA2AA1">
        <w:fldChar w:fldCharType="end"/>
      </w:r>
      <w:r w:rsidR="00CA2AA1">
        <w:t>:</w:t>
      </w:r>
      <w:r w:rsidR="00CA2AA1">
        <w:fldChar w:fldCharType="begin"/>
      </w:r>
      <w:r w:rsidR="00CA2AA1">
        <w:instrText xml:space="preserve"> SEQ Table \* ARABIC \s 1 </w:instrText>
      </w:r>
      <w:r w:rsidR="00CA2AA1">
        <w:fldChar w:fldCharType="separate"/>
      </w:r>
      <w:r w:rsidR="00CA2AA1">
        <w:rPr>
          <w:noProof/>
        </w:rPr>
        <w:t>5</w:t>
      </w:r>
      <w:r w:rsidR="00CA2AA1">
        <w:fldChar w:fldCharType="end"/>
      </w:r>
      <w:r w:rsidRPr="007F0430">
        <w:t xml:space="preserve"> Studies related to pregnancy EAR and neurological outcomes in their children (Review Question 3)</w:t>
      </w:r>
    </w:p>
    <w:p w:rsidR="00EA6F40" w:rsidRPr="007F0430" w:rsidRDefault="00EA6F40" w:rsidP="006473C7">
      <w:pPr>
        <w:ind w:left="-360"/>
        <w:rPr>
          <w:rStyle w:val="Strong"/>
        </w:rPr>
      </w:pPr>
      <w:r w:rsidRPr="007F0430">
        <w:rPr>
          <w:rStyle w:val="Strong"/>
        </w:rPr>
        <w:t xml:space="preserve">Observational studies </w:t>
      </w:r>
    </w:p>
    <w:tbl>
      <w:tblPr>
        <w:tblStyle w:val="TableGrid1"/>
        <w:tblW w:w="15041" w:type="dxa"/>
        <w:tblInd w:w="-432" w:type="dxa"/>
        <w:tblLayout w:type="fixed"/>
        <w:tblLook w:val="04A0" w:firstRow="1" w:lastRow="0" w:firstColumn="1" w:lastColumn="0" w:noHBand="0" w:noVBand="1"/>
        <w:tblDescription w:val="Table 7.5 Observational studies in pregnancy Estimated Average Requirement (EAR) and neurological outcomes in their children.  This table consists of 9 column heading; column 1. Author /year, column 2. Sampling/location and year, column 3. Maternal assessment, column 4. Number of mother-child pairs, column 5. Gestational iodine status, column 6. Assessment test method, column 7. Child aged testing, column 8. Effect and column 8. Quality Rating and comments."/>
      </w:tblPr>
      <w:tblGrid>
        <w:gridCol w:w="1433"/>
        <w:gridCol w:w="1701"/>
        <w:gridCol w:w="1559"/>
        <w:gridCol w:w="1276"/>
        <w:gridCol w:w="1701"/>
        <w:gridCol w:w="1559"/>
        <w:gridCol w:w="1418"/>
        <w:gridCol w:w="2126"/>
        <w:gridCol w:w="2268"/>
      </w:tblGrid>
      <w:tr w:rsidR="00AE509A" w:rsidRPr="002C66F1" w:rsidTr="006473C7">
        <w:trPr>
          <w:trHeight w:val="969"/>
          <w:tblHeader/>
        </w:trPr>
        <w:tc>
          <w:tcPr>
            <w:tcW w:w="1433" w:type="dxa"/>
          </w:tcPr>
          <w:p w:rsidR="00AE509A" w:rsidRPr="002C66F1" w:rsidRDefault="00AE509A" w:rsidP="006473C7">
            <w:pPr>
              <w:rPr>
                <w:rStyle w:val="Strong"/>
              </w:rPr>
            </w:pPr>
            <w:r w:rsidRPr="002C66F1">
              <w:rPr>
                <w:rStyle w:val="Strong"/>
              </w:rPr>
              <w:t>Author, year</w:t>
            </w:r>
          </w:p>
        </w:tc>
        <w:tc>
          <w:tcPr>
            <w:tcW w:w="1701" w:type="dxa"/>
          </w:tcPr>
          <w:p w:rsidR="00AE509A" w:rsidRPr="002C66F1" w:rsidRDefault="00AE509A" w:rsidP="00727A05">
            <w:pPr>
              <w:rPr>
                <w:rStyle w:val="Strong"/>
              </w:rPr>
            </w:pPr>
            <w:r w:rsidRPr="002C66F1">
              <w:rPr>
                <w:rStyle w:val="Strong"/>
              </w:rPr>
              <w:t>Sampling, location, year</w:t>
            </w:r>
          </w:p>
        </w:tc>
        <w:tc>
          <w:tcPr>
            <w:tcW w:w="1559" w:type="dxa"/>
          </w:tcPr>
          <w:p w:rsidR="00AE509A" w:rsidRPr="002C66F1" w:rsidRDefault="00AE509A" w:rsidP="00727A05">
            <w:pPr>
              <w:rPr>
                <w:rStyle w:val="Strong"/>
              </w:rPr>
            </w:pPr>
            <w:r w:rsidRPr="002C66F1">
              <w:rPr>
                <w:rStyle w:val="Strong"/>
              </w:rPr>
              <w:t>Maternal assessment</w:t>
            </w:r>
          </w:p>
        </w:tc>
        <w:tc>
          <w:tcPr>
            <w:tcW w:w="1276" w:type="dxa"/>
          </w:tcPr>
          <w:p w:rsidR="00AE509A" w:rsidRPr="002C66F1" w:rsidRDefault="00AE509A" w:rsidP="00727A05">
            <w:pPr>
              <w:rPr>
                <w:rStyle w:val="Strong"/>
              </w:rPr>
            </w:pPr>
            <w:r w:rsidRPr="002C66F1">
              <w:rPr>
                <w:rStyle w:val="Strong"/>
              </w:rPr>
              <w:t>No. of mother-child pairs</w:t>
            </w:r>
          </w:p>
        </w:tc>
        <w:tc>
          <w:tcPr>
            <w:tcW w:w="1701" w:type="dxa"/>
          </w:tcPr>
          <w:p w:rsidR="00AE509A" w:rsidRPr="002C66F1" w:rsidRDefault="00AE509A" w:rsidP="00727A05">
            <w:pPr>
              <w:rPr>
                <w:rStyle w:val="Strong"/>
              </w:rPr>
            </w:pPr>
            <w:r w:rsidRPr="002C66F1">
              <w:rPr>
                <w:rStyle w:val="Strong"/>
              </w:rPr>
              <w:t>Gestational iodine status</w:t>
            </w:r>
          </w:p>
        </w:tc>
        <w:tc>
          <w:tcPr>
            <w:tcW w:w="1559" w:type="dxa"/>
          </w:tcPr>
          <w:p w:rsidR="00AE509A" w:rsidRPr="002C66F1" w:rsidRDefault="00AE509A" w:rsidP="00727A05">
            <w:pPr>
              <w:rPr>
                <w:rStyle w:val="Strong"/>
              </w:rPr>
            </w:pPr>
            <w:r w:rsidRPr="002C66F1">
              <w:rPr>
                <w:rStyle w:val="Strong"/>
              </w:rPr>
              <w:t>Assessment test method</w:t>
            </w:r>
          </w:p>
        </w:tc>
        <w:tc>
          <w:tcPr>
            <w:tcW w:w="1418" w:type="dxa"/>
          </w:tcPr>
          <w:p w:rsidR="00AE509A" w:rsidRPr="002C66F1" w:rsidRDefault="00AE509A" w:rsidP="00727A05">
            <w:pPr>
              <w:rPr>
                <w:rStyle w:val="Strong"/>
              </w:rPr>
            </w:pPr>
            <w:r w:rsidRPr="002C66F1">
              <w:rPr>
                <w:rStyle w:val="Strong"/>
              </w:rPr>
              <w:t>Child age at testing</w:t>
            </w:r>
          </w:p>
        </w:tc>
        <w:tc>
          <w:tcPr>
            <w:tcW w:w="2126" w:type="dxa"/>
          </w:tcPr>
          <w:p w:rsidR="00AE509A" w:rsidRPr="002C66F1" w:rsidRDefault="00AE509A" w:rsidP="00727A05">
            <w:pPr>
              <w:rPr>
                <w:rStyle w:val="Strong"/>
              </w:rPr>
            </w:pPr>
            <w:r w:rsidRPr="002C66F1">
              <w:rPr>
                <w:rStyle w:val="Strong"/>
              </w:rPr>
              <w:t>Effect</w:t>
            </w:r>
          </w:p>
        </w:tc>
        <w:tc>
          <w:tcPr>
            <w:tcW w:w="2268" w:type="dxa"/>
          </w:tcPr>
          <w:p w:rsidR="00AE509A" w:rsidRPr="002C66F1" w:rsidRDefault="00AE509A" w:rsidP="00727A05">
            <w:pPr>
              <w:rPr>
                <w:rStyle w:val="Strong"/>
              </w:rPr>
            </w:pPr>
            <w:r w:rsidRPr="002C66F1">
              <w:rPr>
                <w:rStyle w:val="Strong"/>
              </w:rPr>
              <w:t>Quality Rating and Comments</w:t>
            </w:r>
          </w:p>
        </w:tc>
      </w:tr>
      <w:tr w:rsidR="00AE509A" w:rsidRPr="002C66F1" w:rsidTr="006473C7">
        <w:trPr>
          <w:trHeight w:val="969"/>
        </w:trPr>
        <w:tc>
          <w:tcPr>
            <w:tcW w:w="1433" w:type="dxa"/>
            <w:hideMark/>
          </w:tcPr>
          <w:p w:rsidR="00AE509A" w:rsidRPr="00FF15A5" w:rsidRDefault="00AE509A" w:rsidP="00FF15A5">
            <w:r w:rsidRPr="00FF15A5">
              <w:t xml:space="preserve">Bath et al, 2013 </w:t>
            </w:r>
          </w:p>
        </w:tc>
        <w:tc>
          <w:tcPr>
            <w:tcW w:w="1701" w:type="dxa"/>
            <w:hideMark/>
          </w:tcPr>
          <w:p w:rsidR="00AE509A" w:rsidRPr="002C66F1" w:rsidRDefault="00AE509A" w:rsidP="002C66F1">
            <w:pPr>
              <w:rPr>
                <w:szCs w:val="22"/>
                <w:lang w:val="en-GB"/>
              </w:rPr>
            </w:pPr>
            <w:r w:rsidRPr="002C66F1">
              <w:rPr>
                <w:szCs w:val="22"/>
                <w:lang w:val="en-GB"/>
              </w:rPr>
              <w:t>PW participated in Avon Longitudinal Study of Parents and Children. Southwest England in the UK, 1991-1992 &amp; 1999-2001</w:t>
            </w:r>
          </w:p>
        </w:tc>
        <w:tc>
          <w:tcPr>
            <w:tcW w:w="1559" w:type="dxa"/>
            <w:hideMark/>
          </w:tcPr>
          <w:p w:rsidR="00AE509A" w:rsidRPr="002C66F1" w:rsidRDefault="00AE509A" w:rsidP="002C66F1">
            <w:pPr>
              <w:rPr>
                <w:szCs w:val="22"/>
                <w:lang w:val="en-GB"/>
              </w:rPr>
            </w:pPr>
            <w:r w:rsidRPr="002C66F1">
              <w:rPr>
                <w:szCs w:val="22"/>
                <w:lang w:val="en-GB"/>
              </w:rPr>
              <w:t>One Spot-urine sample in first trimester</w:t>
            </w:r>
          </w:p>
        </w:tc>
        <w:tc>
          <w:tcPr>
            <w:tcW w:w="1276" w:type="dxa"/>
            <w:hideMark/>
          </w:tcPr>
          <w:p w:rsidR="00AE509A" w:rsidRPr="002C66F1" w:rsidRDefault="00AE509A" w:rsidP="002C66F1">
            <w:pPr>
              <w:rPr>
                <w:szCs w:val="22"/>
                <w:lang w:val="en-GB"/>
              </w:rPr>
            </w:pPr>
            <w:r w:rsidRPr="002C66F1">
              <w:rPr>
                <w:szCs w:val="22"/>
                <w:lang w:val="en-GB"/>
              </w:rPr>
              <w:t>958</w:t>
            </w:r>
          </w:p>
        </w:tc>
        <w:tc>
          <w:tcPr>
            <w:tcW w:w="1701" w:type="dxa"/>
            <w:hideMark/>
          </w:tcPr>
          <w:p w:rsidR="00AE509A" w:rsidRPr="002C66F1" w:rsidRDefault="00AE509A" w:rsidP="002C66F1">
            <w:pPr>
              <w:rPr>
                <w:szCs w:val="22"/>
                <w:lang w:val="en-GB"/>
              </w:rPr>
            </w:pPr>
            <w:r w:rsidRPr="002C66F1">
              <w:rPr>
                <w:szCs w:val="22"/>
                <w:lang w:val="en-GB"/>
              </w:rPr>
              <w:t xml:space="preserve">mild-moderate ID; </w:t>
            </w:r>
            <w:r w:rsidRPr="002C66F1">
              <w:rPr>
                <w:szCs w:val="22"/>
                <w:lang w:val="en-GB"/>
              </w:rPr>
              <w:br/>
              <w:t>67% had UICR ≤150ug/g</w:t>
            </w:r>
          </w:p>
        </w:tc>
        <w:tc>
          <w:tcPr>
            <w:tcW w:w="1559" w:type="dxa"/>
            <w:hideMark/>
          </w:tcPr>
          <w:p w:rsidR="00AE509A" w:rsidRPr="002C66F1" w:rsidRDefault="00AE509A" w:rsidP="002C66F1">
            <w:pPr>
              <w:rPr>
                <w:szCs w:val="22"/>
                <w:lang w:val="en-GB"/>
              </w:rPr>
            </w:pPr>
            <w:r w:rsidRPr="002C66F1">
              <w:rPr>
                <w:szCs w:val="22"/>
                <w:lang w:val="en-GB"/>
              </w:rPr>
              <w:t>Wechsler Intelligence Scale for Children - IQ</w:t>
            </w:r>
            <w:r w:rsidRPr="002C66F1">
              <w:rPr>
                <w:szCs w:val="22"/>
                <w:lang w:val="en-GB"/>
              </w:rPr>
              <w:br/>
              <w:t>Neale Analysis of Reading Ability - reading ability</w:t>
            </w:r>
          </w:p>
        </w:tc>
        <w:tc>
          <w:tcPr>
            <w:tcW w:w="1418" w:type="dxa"/>
            <w:hideMark/>
          </w:tcPr>
          <w:p w:rsidR="00AE509A" w:rsidRPr="002C66F1" w:rsidRDefault="00AE509A" w:rsidP="002C66F1">
            <w:pPr>
              <w:rPr>
                <w:szCs w:val="22"/>
                <w:lang w:val="en-GB"/>
              </w:rPr>
            </w:pPr>
            <w:r w:rsidRPr="002C66F1">
              <w:rPr>
                <w:szCs w:val="22"/>
                <w:lang w:val="en-GB"/>
              </w:rPr>
              <w:t>8y</w:t>
            </w:r>
          </w:p>
        </w:tc>
        <w:tc>
          <w:tcPr>
            <w:tcW w:w="2126" w:type="dxa"/>
            <w:hideMark/>
          </w:tcPr>
          <w:p w:rsidR="00AE509A" w:rsidRPr="002C66F1" w:rsidRDefault="00AE509A" w:rsidP="002C66F1">
            <w:pPr>
              <w:rPr>
                <w:szCs w:val="22"/>
                <w:lang w:val="en-GB"/>
              </w:rPr>
            </w:pPr>
            <w:r w:rsidRPr="002C66F1">
              <w:rPr>
                <w:szCs w:val="22"/>
                <w:lang w:val="en-GB"/>
              </w:rPr>
              <w:t>Gestational UICR of &lt;150ug/g is associated to low child verbal IQ, reading accuracy and reading comprehension vs. gestational UICR ≥150ug/g</w:t>
            </w:r>
          </w:p>
        </w:tc>
        <w:tc>
          <w:tcPr>
            <w:tcW w:w="2268" w:type="dxa"/>
            <w:hideMark/>
          </w:tcPr>
          <w:p w:rsidR="00AE509A" w:rsidRPr="002C66F1" w:rsidRDefault="00AE509A" w:rsidP="002C66F1">
            <w:pPr>
              <w:rPr>
                <w:szCs w:val="22"/>
                <w:lang w:val="en-GB"/>
              </w:rPr>
            </w:pPr>
            <w:r w:rsidRPr="002C66F1">
              <w:rPr>
                <w:szCs w:val="22"/>
                <w:lang w:val="en-GB"/>
              </w:rPr>
              <w:t>Level III-2  (Birth cohort)</w:t>
            </w:r>
          </w:p>
          <w:p w:rsidR="00AE509A" w:rsidRPr="002C66F1" w:rsidRDefault="00AE509A" w:rsidP="002C66F1">
            <w:pPr>
              <w:rPr>
                <w:szCs w:val="22"/>
                <w:lang w:val="en-GB"/>
              </w:rPr>
            </w:pPr>
            <w:r w:rsidRPr="002C66F1">
              <w:rPr>
                <w:szCs w:val="22"/>
                <w:lang w:val="en-GB"/>
              </w:rPr>
              <w:t>Single urine sample only provided in first trimester.</w:t>
            </w:r>
          </w:p>
          <w:p w:rsidR="00AE509A" w:rsidRPr="002C66F1" w:rsidRDefault="00AE509A" w:rsidP="002C66F1">
            <w:pPr>
              <w:rPr>
                <w:szCs w:val="22"/>
                <w:lang w:val="en-GB"/>
              </w:rPr>
            </w:pPr>
            <w:r w:rsidRPr="002C66F1">
              <w:rPr>
                <w:szCs w:val="22"/>
                <w:lang w:val="en-GB"/>
              </w:rPr>
              <w:t>Effect of inadequate maternal UIC on child IQ might be attenuated due to potential iodine contamination of some urine samples. This might move iodine value towards 150ug/g or more.</w:t>
            </w:r>
          </w:p>
        </w:tc>
      </w:tr>
      <w:tr w:rsidR="00AE509A" w:rsidRPr="002C66F1" w:rsidTr="006473C7">
        <w:trPr>
          <w:trHeight w:val="284"/>
        </w:trPr>
        <w:tc>
          <w:tcPr>
            <w:tcW w:w="1433" w:type="dxa"/>
            <w:hideMark/>
          </w:tcPr>
          <w:p w:rsidR="00AE509A" w:rsidRPr="0085491E" w:rsidRDefault="00AE509A" w:rsidP="002C66F1">
            <w:pPr>
              <w:rPr>
                <w:rFonts w:cs="Arial"/>
                <w:szCs w:val="22"/>
              </w:rPr>
            </w:pPr>
            <w:r w:rsidRPr="002C66F1">
              <w:rPr>
                <w:rFonts w:cs="Arial"/>
                <w:noProof/>
                <w:szCs w:val="22"/>
              </w:rPr>
              <w:t>Ghassabian et al, 2014</w:t>
            </w:r>
          </w:p>
        </w:tc>
        <w:tc>
          <w:tcPr>
            <w:tcW w:w="1701" w:type="dxa"/>
            <w:hideMark/>
          </w:tcPr>
          <w:p w:rsidR="00AE509A" w:rsidRPr="0085491E" w:rsidRDefault="00AE509A" w:rsidP="002C66F1">
            <w:pPr>
              <w:rPr>
                <w:rFonts w:cs="Arial"/>
                <w:szCs w:val="22"/>
              </w:rPr>
            </w:pPr>
            <w:r w:rsidRPr="002C66F1">
              <w:rPr>
                <w:rFonts w:cs="Arial"/>
                <w:szCs w:val="22"/>
              </w:rPr>
              <w:t>PW enrolled in the Generation R Study (a population-based birth cohort in Rot</w:t>
            </w:r>
            <w:r>
              <w:rPr>
                <w:rFonts w:cs="Arial"/>
                <w:szCs w:val="22"/>
              </w:rPr>
              <w:t xml:space="preserve">terdam, Netherlands), </w:t>
            </w:r>
            <w:r>
              <w:rPr>
                <w:rFonts w:cs="Arial"/>
                <w:szCs w:val="22"/>
              </w:rPr>
              <w:lastRenderedPageBreak/>
              <w:t>2002-2006</w:t>
            </w:r>
          </w:p>
        </w:tc>
        <w:tc>
          <w:tcPr>
            <w:tcW w:w="1559" w:type="dxa"/>
            <w:hideMark/>
          </w:tcPr>
          <w:p w:rsidR="00AE509A" w:rsidRPr="002C66F1" w:rsidRDefault="00AE509A" w:rsidP="002C66F1">
            <w:pPr>
              <w:rPr>
                <w:szCs w:val="22"/>
                <w:lang w:val="en-GB"/>
              </w:rPr>
            </w:pPr>
            <w:r w:rsidRPr="002C66F1">
              <w:rPr>
                <w:rFonts w:eastAsia="Times New Roman" w:cs="Arial"/>
                <w:szCs w:val="22"/>
                <w:lang w:val="en-GB"/>
              </w:rPr>
              <w:lastRenderedPageBreak/>
              <w:t>Spot urine samples in the gestation age ˂18 weeks</w:t>
            </w:r>
          </w:p>
        </w:tc>
        <w:tc>
          <w:tcPr>
            <w:tcW w:w="1276" w:type="dxa"/>
            <w:hideMark/>
          </w:tcPr>
          <w:p w:rsidR="00AE509A" w:rsidRPr="002C66F1" w:rsidRDefault="00AE509A" w:rsidP="002C66F1">
            <w:pPr>
              <w:rPr>
                <w:szCs w:val="22"/>
                <w:lang w:val="en-GB"/>
              </w:rPr>
            </w:pPr>
            <w:r w:rsidRPr="002C66F1">
              <w:rPr>
                <w:rFonts w:eastAsia="Times New Roman" w:cs="Arial"/>
                <w:szCs w:val="22"/>
                <w:lang w:val="en-GB"/>
              </w:rPr>
              <w:t>1525</w:t>
            </w:r>
          </w:p>
        </w:tc>
        <w:tc>
          <w:tcPr>
            <w:tcW w:w="1701" w:type="dxa"/>
            <w:hideMark/>
          </w:tcPr>
          <w:p w:rsidR="00AE509A" w:rsidRPr="002C66F1" w:rsidRDefault="00AE509A" w:rsidP="002C66F1">
            <w:pPr>
              <w:rPr>
                <w:szCs w:val="22"/>
                <w:lang w:val="en-GB"/>
              </w:rPr>
            </w:pPr>
            <w:r w:rsidRPr="002C66F1">
              <w:rPr>
                <w:rFonts w:eastAsia="Times New Roman" w:cs="Arial"/>
                <w:szCs w:val="22"/>
                <w:lang w:val="en-GB"/>
              </w:rPr>
              <w:t>Median UIC was 230 μg/L and 297 μg/g; 12% of pregnant women had UIC˂150 μg/g.</w:t>
            </w:r>
          </w:p>
        </w:tc>
        <w:tc>
          <w:tcPr>
            <w:tcW w:w="1559" w:type="dxa"/>
            <w:hideMark/>
          </w:tcPr>
          <w:p w:rsidR="00AE509A" w:rsidRPr="002C66F1" w:rsidRDefault="00AE509A" w:rsidP="002C66F1">
            <w:pPr>
              <w:rPr>
                <w:szCs w:val="22"/>
                <w:lang w:val="en-GB"/>
              </w:rPr>
            </w:pPr>
            <w:r w:rsidRPr="002C66F1">
              <w:rPr>
                <w:rFonts w:eastAsia="Times New Roman" w:cs="Arial"/>
                <w:szCs w:val="22"/>
                <w:lang w:val="en-GB"/>
              </w:rPr>
              <w:t xml:space="preserve">A validated Dutch test batteries: two subsets of the Snijders-Oomen Niet-verbale intelligentic </w:t>
            </w:r>
            <w:r w:rsidRPr="002C66F1">
              <w:rPr>
                <w:rFonts w:eastAsia="Times New Roman" w:cs="Arial"/>
                <w:szCs w:val="22"/>
                <w:lang w:val="en-GB"/>
              </w:rPr>
              <w:lastRenderedPageBreak/>
              <w:t>Test-Revisie &amp; the receptive subtest of the Taaltest voor Kinderren (TvK)</w:t>
            </w:r>
          </w:p>
        </w:tc>
        <w:tc>
          <w:tcPr>
            <w:tcW w:w="1418" w:type="dxa"/>
            <w:hideMark/>
          </w:tcPr>
          <w:p w:rsidR="00AE509A" w:rsidRPr="002C66F1" w:rsidRDefault="00AE509A" w:rsidP="002C66F1">
            <w:pPr>
              <w:rPr>
                <w:szCs w:val="22"/>
                <w:lang w:val="en-GB"/>
              </w:rPr>
            </w:pPr>
            <w:r w:rsidRPr="002C66F1">
              <w:rPr>
                <w:rFonts w:eastAsia="Times New Roman" w:cs="Arial"/>
                <w:szCs w:val="22"/>
                <w:lang w:val="en-GB"/>
              </w:rPr>
              <w:lastRenderedPageBreak/>
              <w:t>6y</w:t>
            </w:r>
          </w:p>
        </w:tc>
        <w:tc>
          <w:tcPr>
            <w:tcW w:w="2126" w:type="dxa"/>
            <w:hideMark/>
          </w:tcPr>
          <w:p w:rsidR="00AE509A" w:rsidRPr="002C66F1" w:rsidRDefault="00AE509A" w:rsidP="002C66F1">
            <w:pPr>
              <w:rPr>
                <w:rFonts w:eastAsia="Times New Roman" w:cs="Arial"/>
                <w:szCs w:val="22"/>
                <w:lang w:val="en-GB"/>
              </w:rPr>
            </w:pPr>
            <w:r w:rsidRPr="002C66F1">
              <w:rPr>
                <w:rFonts w:eastAsia="Times New Roman" w:cs="Arial"/>
                <w:szCs w:val="22"/>
                <w:lang w:val="en-GB"/>
              </w:rPr>
              <w:t>Model 1 (unadjusted): A univariate association was reported between maternal low UIC and children's suboptimum non-</w:t>
            </w:r>
            <w:r w:rsidRPr="002C66F1">
              <w:rPr>
                <w:rFonts w:eastAsia="Times New Roman" w:cs="Arial"/>
                <w:szCs w:val="22"/>
                <w:lang w:val="en-GB"/>
              </w:rPr>
              <w:lastRenderedPageBreak/>
              <w:t>verbal IQ (unadjusted OR=1.44, 95% CI 1.02-2.02).</w:t>
            </w:r>
          </w:p>
          <w:p w:rsidR="00AE509A" w:rsidRPr="002C66F1" w:rsidRDefault="00AE509A" w:rsidP="002C66F1">
            <w:pPr>
              <w:rPr>
                <w:rFonts w:eastAsia="Times New Roman" w:cs="Arial"/>
                <w:szCs w:val="22"/>
                <w:lang w:val="en-GB"/>
              </w:rPr>
            </w:pPr>
            <w:r w:rsidRPr="002C66F1">
              <w:rPr>
                <w:rFonts w:eastAsia="Times New Roman" w:cs="Arial"/>
                <w:szCs w:val="22"/>
                <w:lang w:val="en-GB"/>
              </w:rPr>
              <w:t>Model 2 (adjusted for child's sex &amp; age at the time of cognitive assessment, maternal age &amp; maternal education levels): No association between maternal low UIC and children's suboptimum non-verbal IQ (adjusted OR=1.21, 95% CI 0.85-1.73).</w:t>
            </w:r>
          </w:p>
          <w:p w:rsidR="00AE509A" w:rsidRPr="002C66F1" w:rsidRDefault="00AE509A" w:rsidP="002C66F1">
            <w:pPr>
              <w:rPr>
                <w:rFonts w:eastAsia="Times New Roman" w:cs="Arial"/>
                <w:szCs w:val="22"/>
                <w:lang w:val="en-GB"/>
              </w:rPr>
            </w:pPr>
            <w:r w:rsidRPr="002C66F1">
              <w:rPr>
                <w:rFonts w:eastAsia="Times New Roman" w:cs="Arial"/>
                <w:szCs w:val="22"/>
                <w:lang w:val="en-GB"/>
              </w:rPr>
              <w:t xml:space="preserve">Model 3 (adjusted for child's sex &amp; age at the time of cognitive assessment, ethnic background, birth order&amp; history of breast feeding at age 6 mo, &amp; parental age </w:t>
            </w:r>
            <w:r w:rsidRPr="002C66F1">
              <w:rPr>
                <w:rFonts w:eastAsia="Times New Roman" w:cs="Arial"/>
                <w:szCs w:val="22"/>
                <w:lang w:val="en-GB"/>
              </w:rPr>
              <w:lastRenderedPageBreak/>
              <w:t>at the time of pregnancy, maternal BMI, maternal history of smoking, maternal IQ, marital status, parental educational levels, maternal psychopathology in pregnancy, maternal folate concentration in early pregnancy, household income &amp; time of urine sampling in pregnancy): No association between maternal low UIC and children's suboptimum non-verbal IQ (adjusted OR=1.33, 95%CI 0.92 to 1.92.</w:t>
            </w:r>
          </w:p>
        </w:tc>
        <w:tc>
          <w:tcPr>
            <w:tcW w:w="2268" w:type="dxa"/>
            <w:hideMark/>
          </w:tcPr>
          <w:p w:rsidR="00AE509A" w:rsidRPr="002C66F1" w:rsidRDefault="00AE509A" w:rsidP="002C66F1">
            <w:pPr>
              <w:rPr>
                <w:szCs w:val="22"/>
                <w:lang w:val="en-GB"/>
              </w:rPr>
            </w:pPr>
            <w:r w:rsidRPr="002C66F1">
              <w:rPr>
                <w:szCs w:val="22"/>
                <w:lang w:val="en-GB"/>
              </w:rPr>
              <w:lastRenderedPageBreak/>
              <w:t xml:space="preserve">Level III-2  </w:t>
            </w:r>
          </w:p>
        </w:tc>
      </w:tr>
      <w:tr w:rsidR="00AE509A" w:rsidRPr="002C66F1" w:rsidTr="006473C7">
        <w:trPr>
          <w:trHeight w:val="284"/>
        </w:trPr>
        <w:tc>
          <w:tcPr>
            <w:tcW w:w="1433" w:type="dxa"/>
            <w:hideMark/>
          </w:tcPr>
          <w:p w:rsidR="00AE509A" w:rsidRPr="002C66F1" w:rsidRDefault="00AE509A" w:rsidP="002C66F1">
            <w:pPr>
              <w:rPr>
                <w:szCs w:val="22"/>
                <w:lang w:val="en-GB"/>
              </w:rPr>
            </w:pPr>
            <w:r w:rsidRPr="002C66F1">
              <w:rPr>
                <w:szCs w:val="22"/>
                <w:lang w:val="en-GB"/>
              </w:rPr>
              <w:lastRenderedPageBreak/>
              <w:t xml:space="preserve">Hynes et  al, 2013 </w:t>
            </w:r>
          </w:p>
        </w:tc>
        <w:tc>
          <w:tcPr>
            <w:tcW w:w="1701" w:type="dxa"/>
            <w:hideMark/>
          </w:tcPr>
          <w:p w:rsidR="00AE509A" w:rsidRPr="002C66F1" w:rsidRDefault="00AE509A" w:rsidP="002C66F1">
            <w:pPr>
              <w:rPr>
                <w:szCs w:val="22"/>
                <w:lang w:val="en-GB"/>
              </w:rPr>
            </w:pPr>
            <w:r w:rsidRPr="002C66F1">
              <w:rPr>
                <w:szCs w:val="22"/>
                <w:lang w:val="en-GB"/>
              </w:rPr>
              <w:t>PW attended the Royal Hobart Hospital, Tasmania in Australia, 1999-</w:t>
            </w:r>
            <w:r w:rsidRPr="002C66F1">
              <w:rPr>
                <w:szCs w:val="22"/>
                <w:lang w:val="en-GB"/>
              </w:rPr>
              <w:lastRenderedPageBreak/>
              <w:t>2001 &amp; 2009-2010</w:t>
            </w:r>
          </w:p>
        </w:tc>
        <w:tc>
          <w:tcPr>
            <w:tcW w:w="1559" w:type="dxa"/>
            <w:hideMark/>
          </w:tcPr>
          <w:p w:rsidR="00AE509A" w:rsidRPr="002C66F1" w:rsidRDefault="00AE509A" w:rsidP="002C66F1">
            <w:pPr>
              <w:rPr>
                <w:szCs w:val="22"/>
                <w:lang w:val="en-GB"/>
              </w:rPr>
            </w:pPr>
            <w:r w:rsidRPr="002C66F1">
              <w:rPr>
                <w:szCs w:val="22"/>
                <w:lang w:val="en-GB"/>
              </w:rPr>
              <w:lastRenderedPageBreak/>
              <w:t xml:space="preserve">One to three urine samples </w:t>
            </w:r>
          </w:p>
        </w:tc>
        <w:tc>
          <w:tcPr>
            <w:tcW w:w="1276" w:type="dxa"/>
            <w:hideMark/>
          </w:tcPr>
          <w:p w:rsidR="00AE509A" w:rsidRPr="002C66F1" w:rsidRDefault="00AE509A" w:rsidP="002C66F1">
            <w:pPr>
              <w:rPr>
                <w:szCs w:val="22"/>
                <w:lang w:val="en-GB"/>
              </w:rPr>
            </w:pPr>
            <w:r w:rsidRPr="002C66F1">
              <w:rPr>
                <w:szCs w:val="22"/>
                <w:lang w:val="en-GB"/>
              </w:rPr>
              <w:t>228</w:t>
            </w:r>
          </w:p>
        </w:tc>
        <w:tc>
          <w:tcPr>
            <w:tcW w:w="1701" w:type="dxa"/>
            <w:hideMark/>
          </w:tcPr>
          <w:p w:rsidR="00AE509A" w:rsidRPr="002C66F1" w:rsidRDefault="00AE509A" w:rsidP="002C66F1">
            <w:pPr>
              <w:rPr>
                <w:szCs w:val="22"/>
                <w:lang w:val="en-GB"/>
              </w:rPr>
            </w:pPr>
            <w:r w:rsidRPr="002C66F1">
              <w:rPr>
                <w:szCs w:val="22"/>
                <w:lang w:val="en-GB"/>
              </w:rPr>
              <w:t xml:space="preserve">mild-moderate ID; </w:t>
            </w:r>
            <w:r w:rsidRPr="002C66F1">
              <w:rPr>
                <w:szCs w:val="22"/>
                <w:lang w:val="en-GB"/>
              </w:rPr>
              <w:br/>
              <w:t>71.1% had UIC&lt;150ug/L;</w:t>
            </w:r>
            <w:r w:rsidRPr="002C66F1">
              <w:rPr>
                <w:szCs w:val="22"/>
                <w:lang w:val="en-GB"/>
              </w:rPr>
              <w:br/>
              <w:t xml:space="preserve">median UIC = </w:t>
            </w:r>
            <w:r w:rsidRPr="002C66F1">
              <w:rPr>
                <w:szCs w:val="22"/>
                <w:lang w:val="en-GB"/>
              </w:rPr>
              <w:lastRenderedPageBreak/>
              <w:t>81ug/L</w:t>
            </w:r>
          </w:p>
        </w:tc>
        <w:tc>
          <w:tcPr>
            <w:tcW w:w="1559" w:type="dxa"/>
            <w:hideMark/>
          </w:tcPr>
          <w:p w:rsidR="00AE509A" w:rsidRPr="002C66F1" w:rsidRDefault="00AE509A" w:rsidP="002C66F1">
            <w:pPr>
              <w:rPr>
                <w:szCs w:val="22"/>
                <w:lang w:val="en-GB"/>
              </w:rPr>
            </w:pPr>
            <w:r w:rsidRPr="002C66F1">
              <w:rPr>
                <w:szCs w:val="22"/>
                <w:lang w:val="en-GB"/>
              </w:rPr>
              <w:lastRenderedPageBreak/>
              <w:t xml:space="preserve">Australian National Assessment Program, NAPLAN and </w:t>
            </w:r>
            <w:r w:rsidRPr="002C66F1">
              <w:rPr>
                <w:szCs w:val="22"/>
                <w:lang w:val="en-GB"/>
              </w:rPr>
              <w:lastRenderedPageBreak/>
              <w:t>SARIS - literacy; numeracy</w:t>
            </w:r>
          </w:p>
        </w:tc>
        <w:tc>
          <w:tcPr>
            <w:tcW w:w="1418" w:type="dxa"/>
            <w:hideMark/>
          </w:tcPr>
          <w:p w:rsidR="00AE509A" w:rsidRPr="002C66F1" w:rsidRDefault="00AE509A" w:rsidP="002C66F1">
            <w:pPr>
              <w:rPr>
                <w:szCs w:val="22"/>
                <w:lang w:val="en-GB"/>
              </w:rPr>
            </w:pPr>
            <w:r w:rsidRPr="002C66F1">
              <w:rPr>
                <w:szCs w:val="22"/>
                <w:lang w:val="en-GB"/>
              </w:rPr>
              <w:lastRenderedPageBreak/>
              <w:t>9y</w:t>
            </w:r>
          </w:p>
        </w:tc>
        <w:tc>
          <w:tcPr>
            <w:tcW w:w="2126" w:type="dxa"/>
            <w:hideMark/>
          </w:tcPr>
          <w:p w:rsidR="00AE509A" w:rsidRPr="002C66F1" w:rsidRDefault="00AE509A" w:rsidP="002C66F1">
            <w:pPr>
              <w:rPr>
                <w:szCs w:val="22"/>
                <w:lang w:val="en-GB"/>
              </w:rPr>
            </w:pPr>
            <w:r w:rsidRPr="002C66F1">
              <w:rPr>
                <w:szCs w:val="22"/>
                <w:lang w:val="en-GB"/>
              </w:rPr>
              <w:t xml:space="preserve">Gestational UIC of &lt;150ug/L was associated to poor spelling in children vs. gestational UIC </w:t>
            </w:r>
            <w:r w:rsidRPr="002C66F1">
              <w:rPr>
                <w:szCs w:val="22"/>
                <w:lang w:val="en-GB"/>
              </w:rPr>
              <w:lastRenderedPageBreak/>
              <w:t>≥150ug/L.</w:t>
            </w:r>
          </w:p>
        </w:tc>
        <w:tc>
          <w:tcPr>
            <w:tcW w:w="2268" w:type="dxa"/>
            <w:hideMark/>
          </w:tcPr>
          <w:p w:rsidR="00AE509A" w:rsidRPr="002C66F1" w:rsidRDefault="00AE509A" w:rsidP="002C66F1">
            <w:pPr>
              <w:rPr>
                <w:szCs w:val="22"/>
                <w:lang w:val="en-GB"/>
              </w:rPr>
            </w:pPr>
            <w:r w:rsidRPr="002C66F1">
              <w:rPr>
                <w:szCs w:val="22"/>
                <w:lang w:val="en-GB"/>
              </w:rPr>
              <w:lastRenderedPageBreak/>
              <w:t>Level III-2  (Birth cohort)</w:t>
            </w:r>
          </w:p>
          <w:p w:rsidR="00AE509A" w:rsidRPr="002C66F1" w:rsidRDefault="00AE509A" w:rsidP="002C66F1">
            <w:pPr>
              <w:rPr>
                <w:szCs w:val="22"/>
                <w:lang w:val="en-GB"/>
              </w:rPr>
            </w:pPr>
            <w:r w:rsidRPr="002C66F1">
              <w:rPr>
                <w:szCs w:val="22"/>
                <w:lang w:val="en-GB"/>
              </w:rPr>
              <w:t xml:space="preserve">Voluntary iodine fortification program </w:t>
            </w:r>
            <w:r w:rsidRPr="002C66F1">
              <w:rPr>
                <w:szCs w:val="22"/>
                <w:lang w:val="en-GB"/>
              </w:rPr>
              <w:lastRenderedPageBreak/>
              <w:t>was implemented during the study. 17% children were born after but within 6 weeks of the fortification program being implemented</w:t>
            </w:r>
          </w:p>
        </w:tc>
      </w:tr>
      <w:tr w:rsidR="00AE509A" w:rsidRPr="002C66F1" w:rsidTr="006473C7">
        <w:trPr>
          <w:trHeight w:val="284"/>
        </w:trPr>
        <w:tc>
          <w:tcPr>
            <w:tcW w:w="1433" w:type="dxa"/>
            <w:hideMark/>
          </w:tcPr>
          <w:p w:rsidR="00AE509A" w:rsidRPr="0085491E" w:rsidRDefault="00AE509A" w:rsidP="002C66F1">
            <w:pPr>
              <w:rPr>
                <w:rFonts w:cs="Arial"/>
                <w:szCs w:val="22"/>
              </w:rPr>
            </w:pPr>
            <w:r w:rsidRPr="002C66F1">
              <w:rPr>
                <w:rFonts w:cs="Arial"/>
                <w:noProof/>
                <w:szCs w:val="22"/>
              </w:rPr>
              <w:lastRenderedPageBreak/>
              <w:t>Julvez et al, 2013</w:t>
            </w:r>
          </w:p>
        </w:tc>
        <w:tc>
          <w:tcPr>
            <w:tcW w:w="1701" w:type="dxa"/>
            <w:hideMark/>
          </w:tcPr>
          <w:p w:rsidR="00AE509A" w:rsidRPr="002C66F1" w:rsidRDefault="00AE509A" w:rsidP="002C66F1">
            <w:pPr>
              <w:rPr>
                <w:szCs w:val="22"/>
                <w:lang w:val="en-GB"/>
              </w:rPr>
            </w:pPr>
            <w:r w:rsidRPr="002C66F1">
              <w:rPr>
                <w:rFonts w:cs="Arial"/>
                <w:szCs w:val="22"/>
              </w:rPr>
              <w:t>PW enrolled in the INfancia y Medio Ambiente (INMA) project in Spain, 2004-2008</w:t>
            </w:r>
          </w:p>
        </w:tc>
        <w:tc>
          <w:tcPr>
            <w:tcW w:w="1559" w:type="dxa"/>
            <w:hideMark/>
          </w:tcPr>
          <w:p w:rsidR="00AE509A" w:rsidRPr="002C66F1" w:rsidRDefault="00AE509A" w:rsidP="002C66F1">
            <w:pPr>
              <w:rPr>
                <w:szCs w:val="22"/>
                <w:lang w:val="en-GB"/>
              </w:rPr>
            </w:pPr>
            <w:r w:rsidRPr="002C66F1">
              <w:rPr>
                <w:rFonts w:eastAsia="Times New Roman" w:cs="Arial"/>
                <w:szCs w:val="22"/>
                <w:lang w:val="en-GB"/>
              </w:rPr>
              <w:t>TSH &amp; FT4 before the 21st week of gestation</w:t>
            </w:r>
          </w:p>
        </w:tc>
        <w:tc>
          <w:tcPr>
            <w:tcW w:w="1276" w:type="dxa"/>
            <w:hideMark/>
          </w:tcPr>
          <w:p w:rsidR="00AE509A" w:rsidRPr="002C66F1" w:rsidRDefault="00AE509A" w:rsidP="002C66F1">
            <w:pPr>
              <w:rPr>
                <w:szCs w:val="22"/>
                <w:lang w:val="en-GB"/>
              </w:rPr>
            </w:pPr>
            <w:r w:rsidRPr="002C66F1">
              <w:rPr>
                <w:rFonts w:eastAsia="Times New Roman" w:cs="Arial"/>
                <w:szCs w:val="22"/>
                <w:lang w:val="en-GB"/>
              </w:rPr>
              <w:t>1761</w:t>
            </w:r>
          </w:p>
        </w:tc>
        <w:tc>
          <w:tcPr>
            <w:tcW w:w="1701" w:type="dxa"/>
            <w:hideMark/>
          </w:tcPr>
          <w:p w:rsidR="00AE509A" w:rsidRPr="002C66F1" w:rsidRDefault="00AE509A" w:rsidP="002C66F1">
            <w:pPr>
              <w:rPr>
                <w:szCs w:val="22"/>
                <w:lang w:val="en-GB"/>
              </w:rPr>
            </w:pPr>
            <w:r w:rsidRPr="002C66F1">
              <w:rPr>
                <w:rFonts w:eastAsia="Times New Roman" w:cs="Arial"/>
                <w:szCs w:val="22"/>
                <w:lang w:val="en-GB"/>
              </w:rPr>
              <w:t xml:space="preserve">Iodine sufficient or mildly iodine deficient (data on UIC were reported in </w:t>
            </w:r>
            <w:r w:rsidRPr="002C66F1">
              <w:rPr>
                <w:rFonts w:eastAsia="Times New Roman" w:cs="Arial"/>
                <w:noProof/>
                <w:szCs w:val="22"/>
                <w:lang w:val="en-GB"/>
              </w:rPr>
              <w:t>Rebagliato et al (2013)</w:t>
            </w:r>
            <w:r w:rsidRPr="002C66F1">
              <w:rPr>
                <w:rFonts w:eastAsia="Times New Roman" w:cs="Arial"/>
                <w:szCs w:val="22"/>
                <w:lang w:val="en-GB"/>
              </w:rPr>
              <w:t xml:space="preserve"> &amp; </w:t>
            </w:r>
            <w:r w:rsidRPr="002C66F1">
              <w:rPr>
                <w:rFonts w:eastAsia="Times New Roman" w:cs="Arial"/>
                <w:noProof/>
                <w:szCs w:val="22"/>
                <w:lang w:val="en-GB"/>
              </w:rPr>
              <w:t>Murcia et al (2010)</w:t>
            </w:r>
          </w:p>
        </w:tc>
        <w:tc>
          <w:tcPr>
            <w:tcW w:w="1559" w:type="dxa"/>
            <w:hideMark/>
          </w:tcPr>
          <w:p w:rsidR="00AE509A" w:rsidRPr="002C66F1" w:rsidRDefault="00AE509A" w:rsidP="002C66F1">
            <w:pPr>
              <w:rPr>
                <w:szCs w:val="22"/>
                <w:lang w:val="en-GB"/>
              </w:rPr>
            </w:pPr>
            <w:r w:rsidRPr="002C66F1">
              <w:rPr>
                <w:rFonts w:eastAsia="Times New Roman" w:cs="Arial"/>
                <w:szCs w:val="22"/>
                <w:lang w:val="en-GB"/>
              </w:rPr>
              <w:t>Bayley Scales of Infant Development</w:t>
            </w:r>
          </w:p>
        </w:tc>
        <w:tc>
          <w:tcPr>
            <w:tcW w:w="1418" w:type="dxa"/>
            <w:hideMark/>
          </w:tcPr>
          <w:p w:rsidR="00AE509A" w:rsidRPr="002C66F1" w:rsidRDefault="00AE509A" w:rsidP="002C66F1">
            <w:pPr>
              <w:rPr>
                <w:szCs w:val="22"/>
                <w:lang w:val="en-GB"/>
              </w:rPr>
            </w:pPr>
            <w:r w:rsidRPr="002C66F1">
              <w:rPr>
                <w:rFonts w:eastAsia="Times New Roman" w:cs="Arial"/>
                <w:szCs w:val="22"/>
                <w:lang w:val="en-GB"/>
              </w:rPr>
              <w:t>11-23 mo</w:t>
            </w:r>
          </w:p>
        </w:tc>
        <w:tc>
          <w:tcPr>
            <w:tcW w:w="2126" w:type="dxa"/>
            <w:hideMark/>
          </w:tcPr>
          <w:p w:rsidR="00AE509A" w:rsidRPr="0085491E" w:rsidRDefault="00AE509A" w:rsidP="002C66F1">
            <w:pPr>
              <w:rPr>
                <w:rFonts w:eastAsia="Times New Roman" w:cs="Arial"/>
                <w:szCs w:val="22"/>
                <w:lang w:val="en-GB"/>
              </w:rPr>
            </w:pPr>
            <w:r w:rsidRPr="002C66F1">
              <w:rPr>
                <w:rFonts w:eastAsia="Times New Roman" w:cs="Arial"/>
                <w:szCs w:val="22"/>
                <w:lang w:val="en-GB"/>
              </w:rPr>
              <w:t>Low FT4 (˂5th percentile) was associated with a decrease of mental scores. No association was observed between TSH an</w:t>
            </w:r>
            <w:r>
              <w:rPr>
                <w:rFonts w:eastAsia="Times New Roman" w:cs="Arial"/>
                <w:szCs w:val="22"/>
                <w:lang w:val="en-GB"/>
              </w:rPr>
              <w:t>d mental or psychomotor scores.</w:t>
            </w:r>
          </w:p>
        </w:tc>
        <w:tc>
          <w:tcPr>
            <w:tcW w:w="2268" w:type="dxa"/>
            <w:hideMark/>
          </w:tcPr>
          <w:p w:rsidR="00AE509A" w:rsidRPr="002C66F1" w:rsidRDefault="00AE509A" w:rsidP="002C66F1">
            <w:pPr>
              <w:rPr>
                <w:szCs w:val="22"/>
                <w:lang w:val="en-GB"/>
              </w:rPr>
            </w:pPr>
            <w:r w:rsidRPr="002C66F1">
              <w:rPr>
                <w:szCs w:val="22"/>
                <w:lang w:val="en-GB"/>
              </w:rPr>
              <w:t xml:space="preserve">Level III-2  </w:t>
            </w:r>
          </w:p>
        </w:tc>
      </w:tr>
      <w:tr w:rsidR="00AE509A" w:rsidRPr="002C66F1" w:rsidTr="006473C7">
        <w:trPr>
          <w:trHeight w:val="284"/>
        </w:trPr>
        <w:tc>
          <w:tcPr>
            <w:tcW w:w="1433" w:type="dxa"/>
            <w:hideMark/>
          </w:tcPr>
          <w:p w:rsidR="00AE509A" w:rsidRPr="002C66F1" w:rsidRDefault="00AE509A" w:rsidP="002C66F1">
            <w:pPr>
              <w:rPr>
                <w:szCs w:val="22"/>
                <w:lang w:val="en-GB"/>
              </w:rPr>
            </w:pPr>
            <w:r w:rsidRPr="002C66F1">
              <w:rPr>
                <w:szCs w:val="22"/>
                <w:lang w:val="en-GB"/>
              </w:rPr>
              <w:t xml:space="preserve">Rebagliato et al, 2013 </w:t>
            </w:r>
          </w:p>
        </w:tc>
        <w:tc>
          <w:tcPr>
            <w:tcW w:w="1701" w:type="dxa"/>
            <w:hideMark/>
          </w:tcPr>
          <w:p w:rsidR="00AE509A" w:rsidRPr="002C66F1" w:rsidRDefault="00AE509A" w:rsidP="002C66F1">
            <w:pPr>
              <w:rPr>
                <w:szCs w:val="22"/>
                <w:lang w:val="en-GB"/>
              </w:rPr>
            </w:pPr>
            <w:r w:rsidRPr="002C66F1">
              <w:rPr>
                <w:szCs w:val="22"/>
                <w:lang w:val="en-GB"/>
              </w:rPr>
              <w:t>PW enrolled to the main public hospital or health center, Sabadell, Asturias and Gipuzkoa in Spain, 2004-2009</w:t>
            </w:r>
          </w:p>
        </w:tc>
        <w:tc>
          <w:tcPr>
            <w:tcW w:w="1559" w:type="dxa"/>
            <w:hideMark/>
          </w:tcPr>
          <w:p w:rsidR="00AE509A" w:rsidRPr="002C66F1" w:rsidRDefault="00AE509A" w:rsidP="002C66F1">
            <w:pPr>
              <w:rPr>
                <w:szCs w:val="22"/>
                <w:lang w:val="en-GB"/>
              </w:rPr>
            </w:pPr>
            <w:r w:rsidRPr="002C66F1">
              <w:rPr>
                <w:szCs w:val="22"/>
                <w:lang w:val="en-GB"/>
              </w:rPr>
              <w:t>A 100-item SFFQ incl. questions on supplements &amp; salt in 1</w:t>
            </w:r>
            <w:r w:rsidRPr="002C66F1">
              <w:rPr>
                <w:szCs w:val="22"/>
                <w:vertAlign w:val="superscript"/>
                <w:lang w:val="en-GB"/>
              </w:rPr>
              <w:t>st</w:t>
            </w:r>
            <w:r w:rsidRPr="002C66F1">
              <w:rPr>
                <w:szCs w:val="22"/>
                <w:lang w:val="en-GB"/>
              </w:rPr>
              <w:t xml:space="preserve"> &amp; 3</w:t>
            </w:r>
            <w:r w:rsidRPr="002C66F1">
              <w:rPr>
                <w:szCs w:val="22"/>
                <w:vertAlign w:val="superscript"/>
                <w:lang w:val="en-GB"/>
              </w:rPr>
              <w:t>rd</w:t>
            </w:r>
            <w:r w:rsidRPr="002C66F1">
              <w:rPr>
                <w:szCs w:val="22"/>
                <w:lang w:val="en-GB"/>
              </w:rPr>
              <w:t xml:space="preserve"> trimester. Spot urine in 1</w:t>
            </w:r>
            <w:r w:rsidRPr="002C66F1">
              <w:rPr>
                <w:szCs w:val="22"/>
                <w:vertAlign w:val="superscript"/>
                <w:lang w:val="en-GB"/>
              </w:rPr>
              <w:t>st</w:t>
            </w:r>
            <w:r w:rsidRPr="002C66F1">
              <w:rPr>
                <w:szCs w:val="22"/>
                <w:lang w:val="en-GB"/>
              </w:rPr>
              <w:t xml:space="preserve"> trimester </w:t>
            </w:r>
          </w:p>
        </w:tc>
        <w:tc>
          <w:tcPr>
            <w:tcW w:w="1276" w:type="dxa"/>
            <w:hideMark/>
          </w:tcPr>
          <w:p w:rsidR="00AE509A" w:rsidRPr="002C66F1" w:rsidRDefault="00AE509A" w:rsidP="002C66F1">
            <w:pPr>
              <w:rPr>
                <w:szCs w:val="22"/>
                <w:lang w:val="en-GB"/>
              </w:rPr>
            </w:pPr>
            <w:r w:rsidRPr="002C66F1">
              <w:rPr>
                <w:szCs w:val="22"/>
                <w:lang w:val="en-GB"/>
              </w:rPr>
              <w:t>1519</w:t>
            </w:r>
          </w:p>
        </w:tc>
        <w:tc>
          <w:tcPr>
            <w:tcW w:w="1701" w:type="dxa"/>
            <w:hideMark/>
          </w:tcPr>
          <w:p w:rsidR="00AE509A" w:rsidRPr="002C66F1" w:rsidRDefault="00AE509A" w:rsidP="002C66F1">
            <w:pPr>
              <w:rPr>
                <w:szCs w:val="22"/>
                <w:lang w:val="en-GB"/>
              </w:rPr>
            </w:pPr>
            <w:r w:rsidRPr="002C66F1">
              <w:rPr>
                <w:szCs w:val="22"/>
                <w:lang w:val="en-GB"/>
              </w:rPr>
              <w:t xml:space="preserve">mild-moderate ID; </w:t>
            </w:r>
            <w:r w:rsidRPr="002C66F1">
              <w:rPr>
                <w:szCs w:val="22"/>
                <w:lang w:val="en-GB"/>
              </w:rPr>
              <w:br/>
              <w:t>UIC ranged from 72ug/L to 212ug/L; median UIC in Gipuzkoa = 169ug/L; in Sabadell = 90ug/L.</w:t>
            </w:r>
            <w:r w:rsidRPr="002C66F1">
              <w:rPr>
                <w:szCs w:val="22"/>
                <w:lang w:val="en-GB"/>
              </w:rPr>
              <w:br/>
              <w:t xml:space="preserve">Median dietary </w:t>
            </w:r>
            <w:r w:rsidRPr="002C66F1">
              <w:rPr>
                <w:szCs w:val="22"/>
                <w:lang w:val="en-GB"/>
              </w:rPr>
              <w:lastRenderedPageBreak/>
              <w:t>iodine intake = 162ug/day</w:t>
            </w:r>
          </w:p>
        </w:tc>
        <w:tc>
          <w:tcPr>
            <w:tcW w:w="1559" w:type="dxa"/>
            <w:hideMark/>
          </w:tcPr>
          <w:p w:rsidR="00AE509A" w:rsidRPr="002C66F1" w:rsidRDefault="00AE509A" w:rsidP="002C66F1">
            <w:pPr>
              <w:rPr>
                <w:szCs w:val="22"/>
                <w:lang w:val="en-GB"/>
              </w:rPr>
            </w:pPr>
            <w:r w:rsidRPr="002C66F1">
              <w:rPr>
                <w:szCs w:val="22"/>
                <w:lang w:val="en-GB"/>
              </w:rPr>
              <w:lastRenderedPageBreak/>
              <w:t>Bayley Scales of Infant Development</w:t>
            </w:r>
          </w:p>
        </w:tc>
        <w:tc>
          <w:tcPr>
            <w:tcW w:w="1418" w:type="dxa"/>
            <w:hideMark/>
          </w:tcPr>
          <w:p w:rsidR="00AE509A" w:rsidRPr="002C66F1" w:rsidRDefault="00AE509A" w:rsidP="002C66F1">
            <w:pPr>
              <w:rPr>
                <w:szCs w:val="22"/>
                <w:lang w:val="en-GB"/>
              </w:rPr>
            </w:pPr>
            <w:r w:rsidRPr="002C66F1">
              <w:rPr>
                <w:szCs w:val="22"/>
                <w:lang w:val="en-GB"/>
              </w:rPr>
              <w:t>12-30m</w:t>
            </w:r>
          </w:p>
        </w:tc>
        <w:tc>
          <w:tcPr>
            <w:tcW w:w="2126" w:type="dxa"/>
            <w:hideMark/>
          </w:tcPr>
          <w:p w:rsidR="00AE509A" w:rsidRPr="002C66F1" w:rsidRDefault="00AE509A" w:rsidP="002C66F1">
            <w:pPr>
              <w:rPr>
                <w:rFonts w:cstheme="majorHAnsi"/>
                <w:szCs w:val="22"/>
                <w:lang w:val="en-GB"/>
              </w:rPr>
            </w:pPr>
            <w:r w:rsidRPr="002C66F1">
              <w:rPr>
                <w:rFonts w:cstheme="majorHAnsi"/>
                <w:szCs w:val="22"/>
                <w:lang w:val="en-GB"/>
              </w:rPr>
              <w:t xml:space="preserve">Child development was not associated to dietary iodine intake, iodized salt consumption, high maternal UIC  (i.e. 100-149ug/L, 150-249ug/L and ≥250ug/L) vs. UIC&lt;100ug/L, and high supplementary </w:t>
            </w:r>
            <w:r w:rsidRPr="002C66F1">
              <w:rPr>
                <w:rFonts w:cstheme="majorHAnsi"/>
                <w:szCs w:val="22"/>
                <w:lang w:val="en-GB"/>
              </w:rPr>
              <w:lastRenderedPageBreak/>
              <w:t>iodine intake (i.e. 100-149ug/day and ≥150ug/day) vs. intake &lt;100ug/day.</w:t>
            </w:r>
          </w:p>
          <w:p w:rsidR="00AE509A" w:rsidRPr="002C66F1" w:rsidRDefault="00AE509A" w:rsidP="002C66F1">
            <w:pPr>
              <w:rPr>
                <w:rFonts w:cstheme="majorHAnsi"/>
                <w:szCs w:val="22"/>
              </w:rPr>
            </w:pPr>
            <w:r w:rsidRPr="002C66F1">
              <w:rPr>
                <w:rFonts w:cstheme="majorHAnsi"/>
                <w:szCs w:val="22"/>
              </w:rPr>
              <w:t>Maternal supplementation of ≥150 μg/day</w:t>
            </w:r>
          </w:p>
          <w:p w:rsidR="00AE509A" w:rsidRPr="002C66F1" w:rsidRDefault="00AE509A" w:rsidP="002C66F1">
            <w:pPr>
              <w:rPr>
                <w:rFonts w:cstheme="majorHAnsi"/>
                <w:szCs w:val="22"/>
                <w:lang w:val="en-GB"/>
              </w:rPr>
            </w:pPr>
            <w:r w:rsidRPr="002C66F1">
              <w:rPr>
                <w:rFonts w:cstheme="majorHAnsi"/>
                <w:szCs w:val="22"/>
              </w:rPr>
              <w:t>iodine related to 1.5-fold increase in odds of a psychomotor score &lt; 85 (95% CI = 0.8, 2.9) and to  1.7-fold increase in odds of a mental score &lt;85 (95% CI = 0.9, 3.0).</w:t>
            </w:r>
          </w:p>
        </w:tc>
        <w:tc>
          <w:tcPr>
            <w:tcW w:w="2268" w:type="dxa"/>
            <w:hideMark/>
          </w:tcPr>
          <w:p w:rsidR="00AE509A" w:rsidRPr="002C66F1" w:rsidRDefault="00AE509A" w:rsidP="002C66F1">
            <w:pPr>
              <w:rPr>
                <w:rFonts w:cstheme="majorHAnsi"/>
                <w:szCs w:val="22"/>
                <w:lang w:val="en-GB"/>
              </w:rPr>
            </w:pPr>
            <w:r w:rsidRPr="002C66F1">
              <w:rPr>
                <w:rFonts w:cstheme="majorHAnsi"/>
                <w:szCs w:val="22"/>
                <w:lang w:val="en-GB"/>
              </w:rPr>
              <w:lastRenderedPageBreak/>
              <w:t>Level III-2 (Birth cohort)</w:t>
            </w:r>
          </w:p>
          <w:p w:rsidR="00AE509A" w:rsidRPr="006473C7" w:rsidRDefault="00AE509A" w:rsidP="002C66F1">
            <w:pPr>
              <w:rPr>
                <w:rFonts w:cstheme="majorHAnsi"/>
                <w:szCs w:val="22"/>
              </w:rPr>
            </w:pPr>
            <w:r w:rsidRPr="002C66F1">
              <w:rPr>
                <w:rFonts w:cstheme="majorHAnsi"/>
                <w:szCs w:val="22"/>
                <w:lang w:val="en-GB"/>
              </w:rPr>
              <w:t xml:space="preserve">Range of UIC narrow. Good follow-up of infants at 1 yr (89%). Referent group = no supplements or &lt;100ug/day (not directly related to PICO question). Iodine </w:t>
            </w:r>
            <w:r w:rsidRPr="002C66F1">
              <w:rPr>
                <w:rFonts w:cstheme="majorHAnsi"/>
                <w:szCs w:val="22"/>
                <w:lang w:val="en-GB"/>
              </w:rPr>
              <w:lastRenderedPageBreak/>
              <w:t xml:space="preserve">supplementation programs differed in geographical regions. </w:t>
            </w:r>
            <w:r w:rsidRPr="002C66F1">
              <w:rPr>
                <w:rFonts w:cstheme="majorHAnsi"/>
                <w:szCs w:val="22"/>
              </w:rPr>
              <w:t xml:space="preserve">Maternal thyroid autoimmunity (thyroid antibodies) </w:t>
            </w:r>
            <w:r w:rsidR="006473C7">
              <w:rPr>
                <w:rFonts w:cstheme="majorHAnsi"/>
                <w:szCs w:val="22"/>
              </w:rPr>
              <w:t xml:space="preserve">not measured. IQ of </w:t>
            </w:r>
            <w:r w:rsidRPr="002C66F1">
              <w:rPr>
                <w:rFonts w:cstheme="majorHAnsi"/>
                <w:szCs w:val="22"/>
              </w:rPr>
              <w:t>parents a</w:t>
            </w:r>
            <w:r w:rsidR="006473C7">
              <w:rPr>
                <w:rFonts w:cstheme="majorHAnsi"/>
                <w:szCs w:val="22"/>
              </w:rPr>
              <w:t xml:space="preserve">nd quality of  home environment </w:t>
            </w:r>
            <w:r w:rsidRPr="002C66F1">
              <w:rPr>
                <w:rFonts w:cstheme="majorHAnsi"/>
                <w:szCs w:val="22"/>
              </w:rPr>
              <w:t xml:space="preserve">not measured. </w:t>
            </w:r>
          </w:p>
        </w:tc>
      </w:tr>
      <w:tr w:rsidR="00AE509A" w:rsidRPr="002C66F1" w:rsidTr="006473C7">
        <w:trPr>
          <w:trHeight w:val="284"/>
        </w:trPr>
        <w:tc>
          <w:tcPr>
            <w:tcW w:w="1433" w:type="dxa"/>
            <w:hideMark/>
          </w:tcPr>
          <w:p w:rsidR="00AE509A" w:rsidRPr="002C66F1" w:rsidRDefault="00AE509A" w:rsidP="002C66F1">
            <w:pPr>
              <w:rPr>
                <w:szCs w:val="22"/>
                <w:lang w:val="en-GB"/>
              </w:rPr>
            </w:pPr>
            <w:r w:rsidRPr="002C66F1">
              <w:rPr>
                <w:szCs w:val="22"/>
                <w:lang w:val="en-GB"/>
              </w:rPr>
              <w:lastRenderedPageBreak/>
              <w:t xml:space="preserve">Suarez-Rodriguez et al, 2012 </w:t>
            </w:r>
          </w:p>
        </w:tc>
        <w:tc>
          <w:tcPr>
            <w:tcW w:w="1701" w:type="dxa"/>
            <w:hideMark/>
          </w:tcPr>
          <w:p w:rsidR="00AE509A" w:rsidRPr="002C66F1" w:rsidRDefault="00AE509A" w:rsidP="00F57EE1">
            <w:pPr>
              <w:rPr>
                <w:szCs w:val="22"/>
                <w:lang w:val="en-GB"/>
              </w:rPr>
            </w:pPr>
            <w:r w:rsidRPr="002C66F1">
              <w:rPr>
                <w:szCs w:val="22"/>
                <w:lang w:val="en-GB"/>
              </w:rPr>
              <w:t>PW attended the</w:t>
            </w:r>
            <w:r w:rsidR="00F57EE1">
              <w:rPr>
                <w:szCs w:val="22"/>
                <w:lang w:val="en-GB"/>
              </w:rPr>
              <w:t xml:space="preserve"> </w:t>
            </w:r>
            <w:r w:rsidRPr="002C66F1">
              <w:rPr>
                <w:szCs w:val="22"/>
                <w:lang w:val="en-GB"/>
              </w:rPr>
              <w:t>University Clinic of</w:t>
            </w:r>
            <w:r w:rsidRPr="002C66F1">
              <w:rPr>
                <w:szCs w:val="22"/>
                <w:lang w:val="en-GB"/>
              </w:rPr>
              <w:br/>
              <w:t>Navarra, Pamplona in Spain, 2002-2003 &amp; 2006-2007</w:t>
            </w:r>
          </w:p>
        </w:tc>
        <w:tc>
          <w:tcPr>
            <w:tcW w:w="1559" w:type="dxa"/>
            <w:hideMark/>
          </w:tcPr>
          <w:p w:rsidR="00AE509A" w:rsidRPr="002C66F1" w:rsidRDefault="00AE509A" w:rsidP="002C66F1">
            <w:pPr>
              <w:rPr>
                <w:szCs w:val="22"/>
                <w:lang w:val="en-GB"/>
              </w:rPr>
            </w:pPr>
            <w:r w:rsidRPr="002C66F1">
              <w:rPr>
                <w:szCs w:val="22"/>
                <w:lang w:val="en-GB"/>
              </w:rPr>
              <w:t>A blood sample</w:t>
            </w:r>
            <w:r w:rsidRPr="002C66F1">
              <w:rPr>
                <w:szCs w:val="22"/>
                <w:lang w:val="en-GB"/>
              </w:rPr>
              <w:br/>
              <w:t xml:space="preserve">A 24-h urine sample in week 37 of gestation </w:t>
            </w:r>
          </w:p>
        </w:tc>
        <w:tc>
          <w:tcPr>
            <w:tcW w:w="1276" w:type="dxa"/>
            <w:hideMark/>
          </w:tcPr>
          <w:p w:rsidR="00AE509A" w:rsidRPr="002C66F1" w:rsidRDefault="00AE509A" w:rsidP="002C66F1">
            <w:pPr>
              <w:rPr>
                <w:szCs w:val="22"/>
                <w:lang w:val="en-GB"/>
              </w:rPr>
            </w:pPr>
            <w:r w:rsidRPr="002C66F1">
              <w:rPr>
                <w:szCs w:val="22"/>
                <w:lang w:val="en-GB"/>
              </w:rPr>
              <w:t>70</w:t>
            </w:r>
          </w:p>
        </w:tc>
        <w:tc>
          <w:tcPr>
            <w:tcW w:w="1701" w:type="dxa"/>
            <w:hideMark/>
          </w:tcPr>
          <w:p w:rsidR="00AE509A" w:rsidRPr="002C66F1" w:rsidRDefault="00AE509A" w:rsidP="002C66F1">
            <w:pPr>
              <w:rPr>
                <w:szCs w:val="22"/>
                <w:lang w:val="en-GB"/>
              </w:rPr>
            </w:pPr>
            <w:r w:rsidRPr="002C66F1">
              <w:rPr>
                <w:szCs w:val="22"/>
                <w:lang w:val="en-GB"/>
              </w:rPr>
              <w:t xml:space="preserve">Moderate ID: </w:t>
            </w:r>
            <w:r w:rsidRPr="002C66F1">
              <w:rPr>
                <w:szCs w:val="22"/>
                <w:lang w:val="en-GB"/>
              </w:rPr>
              <w:br/>
              <w:t xml:space="preserve">median UIC = 87ug/L (Note: 24hr urine sample). </w:t>
            </w:r>
            <w:r w:rsidRPr="002C66F1">
              <w:rPr>
                <w:szCs w:val="22"/>
                <w:lang w:val="en-GB"/>
              </w:rPr>
              <w:br/>
              <w:t xml:space="preserve">80% had UIC &lt;150ug/L &amp; 56% &lt;50ug/L. </w:t>
            </w:r>
            <w:r w:rsidRPr="002C66F1">
              <w:rPr>
                <w:szCs w:val="22"/>
                <w:lang w:val="en-GB"/>
              </w:rPr>
              <w:br/>
              <w:t xml:space="preserve">For free serum T4, 54% of 140 participants had </w:t>
            </w:r>
            <w:r w:rsidRPr="002C66F1">
              <w:rPr>
                <w:szCs w:val="22"/>
                <w:lang w:val="en-GB"/>
              </w:rPr>
              <w:lastRenderedPageBreak/>
              <w:t>value &lt;9.5pmol/L.</w:t>
            </w:r>
          </w:p>
        </w:tc>
        <w:tc>
          <w:tcPr>
            <w:tcW w:w="1559" w:type="dxa"/>
            <w:hideMark/>
          </w:tcPr>
          <w:p w:rsidR="00AE509A" w:rsidRPr="002C66F1" w:rsidRDefault="00AE509A" w:rsidP="002C66F1">
            <w:pPr>
              <w:rPr>
                <w:szCs w:val="22"/>
                <w:lang w:val="en-GB"/>
              </w:rPr>
            </w:pPr>
            <w:r w:rsidRPr="002C66F1">
              <w:rPr>
                <w:szCs w:val="22"/>
                <w:lang w:val="en-GB"/>
              </w:rPr>
              <w:lastRenderedPageBreak/>
              <w:t>McCarthy Scales of Children's Abilities</w:t>
            </w:r>
          </w:p>
        </w:tc>
        <w:tc>
          <w:tcPr>
            <w:tcW w:w="1418" w:type="dxa"/>
            <w:hideMark/>
          </w:tcPr>
          <w:p w:rsidR="00AE509A" w:rsidRPr="002C66F1" w:rsidRDefault="00AE509A" w:rsidP="002C66F1">
            <w:pPr>
              <w:rPr>
                <w:szCs w:val="22"/>
                <w:lang w:val="en-GB"/>
              </w:rPr>
            </w:pPr>
            <w:r w:rsidRPr="002C66F1">
              <w:rPr>
                <w:szCs w:val="22"/>
                <w:lang w:val="en-GB"/>
              </w:rPr>
              <w:t>38-60m</w:t>
            </w:r>
          </w:p>
        </w:tc>
        <w:tc>
          <w:tcPr>
            <w:tcW w:w="2126" w:type="dxa"/>
            <w:hideMark/>
          </w:tcPr>
          <w:p w:rsidR="00AE509A" w:rsidRPr="002C66F1" w:rsidRDefault="00AE509A" w:rsidP="002C66F1">
            <w:pPr>
              <w:rPr>
                <w:rFonts w:cstheme="majorHAnsi"/>
                <w:szCs w:val="22"/>
                <w:lang w:val="en-GB"/>
              </w:rPr>
            </w:pPr>
            <w:r w:rsidRPr="002C66F1">
              <w:rPr>
                <w:rFonts w:cstheme="majorHAnsi"/>
                <w:szCs w:val="22"/>
                <w:lang w:val="en-GB"/>
              </w:rPr>
              <w:t>Suboptimal free T4 concentration (&lt;10</w:t>
            </w:r>
            <w:r w:rsidRPr="002C66F1">
              <w:rPr>
                <w:rFonts w:cstheme="majorHAnsi"/>
                <w:szCs w:val="22"/>
                <w:vertAlign w:val="superscript"/>
                <w:lang w:val="en-GB"/>
              </w:rPr>
              <w:t>th</w:t>
            </w:r>
            <w:r w:rsidRPr="002C66F1">
              <w:rPr>
                <w:rFonts w:cstheme="majorHAnsi"/>
                <w:szCs w:val="22"/>
                <w:lang w:val="en-GB"/>
              </w:rPr>
              <w:t xml:space="preserve"> percentile vs. &gt;10P) in PW was associated with lower general cognitive index, memory and perceptual-manipulative skills</w:t>
            </w:r>
          </w:p>
        </w:tc>
        <w:tc>
          <w:tcPr>
            <w:tcW w:w="2268" w:type="dxa"/>
            <w:hideMark/>
          </w:tcPr>
          <w:p w:rsidR="00AE509A" w:rsidRPr="002C66F1" w:rsidRDefault="00AE509A" w:rsidP="002C66F1">
            <w:pPr>
              <w:rPr>
                <w:rFonts w:cstheme="majorHAnsi"/>
                <w:szCs w:val="22"/>
                <w:lang w:val="en-GB"/>
              </w:rPr>
            </w:pPr>
            <w:r w:rsidRPr="002C66F1">
              <w:rPr>
                <w:rFonts w:cstheme="majorHAnsi"/>
                <w:szCs w:val="22"/>
                <w:lang w:val="en-GB"/>
              </w:rPr>
              <w:t xml:space="preserve">Level III-2 (birth cohort). High level of bias - not all children of the women in the original sample were evaluated (n=70 children of 141 enrolled women). </w:t>
            </w:r>
          </w:p>
          <w:p w:rsidR="00AE509A" w:rsidRPr="002C66F1" w:rsidRDefault="00AE509A" w:rsidP="002C66F1">
            <w:pPr>
              <w:rPr>
                <w:rFonts w:cstheme="majorHAnsi"/>
                <w:szCs w:val="22"/>
                <w:lang w:val="en-GB"/>
              </w:rPr>
            </w:pPr>
            <w:r w:rsidRPr="002C66F1">
              <w:rPr>
                <w:rFonts w:cstheme="majorHAnsi"/>
                <w:szCs w:val="22"/>
                <w:lang w:val="en-GB"/>
              </w:rPr>
              <w:t xml:space="preserve">24hr UIC expressed as ug/L, other studies use </w:t>
            </w:r>
            <w:r w:rsidRPr="002C66F1">
              <w:rPr>
                <w:rFonts w:cstheme="majorHAnsi"/>
                <w:szCs w:val="22"/>
                <w:lang w:val="en-GB"/>
              </w:rPr>
              <w:lastRenderedPageBreak/>
              <w:t xml:space="preserve">spot UIC. </w:t>
            </w:r>
          </w:p>
        </w:tc>
      </w:tr>
      <w:tr w:rsidR="00AE509A" w:rsidRPr="002C66F1" w:rsidTr="006473C7">
        <w:trPr>
          <w:trHeight w:val="284"/>
        </w:trPr>
        <w:tc>
          <w:tcPr>
            <w:tcW w:w="1433" w:type="dxa"/>
            <w:hideMark/>
          </w:tcPr>
          <w:p w:rsidR="00AE509A" w:rsidRPr="002C66F1" w:rsidRDefault="00AE509A" w:rsidP="002C66F1">
            <w:pPr>
              <w:rPr>
                <w:szCs w:val="22"/>
                <w:lang w:val="en-GB"/>
              </w:rPr>
            </w:pPr>
            <w:r w:rsidRPr="002C66F1">
              <w:rPr>
                <w:szCs w:val="22"/>
                <w:lang w:val="en-GB"/>
              </w:rPr>
              <w:lastRenderedPageBreak/>
              <w:t xml:space="preserve">van Mil et al, 2012 </w:t>
            </w:r>
          </w:p>
        </w:tc>
        <w:tc>
          <w:tcPr>
            <w:tcW w:w="1701" w:type="dxa"/>
            <w:hideMark/>
          </w:tcPr>
          <w:p w:rsidR="00AE509A" w:rsidRPr="002C66F1" w:rsidRDefault="00AE509A" w:rsidP="002C66F1">
            <w:pPr>
              <w:rPr>
                <w:szCs w:val="22"/>
                <w:lang w:val="en-GB"/>
              </w:rPr>
            </w:pPr>
            <w:r w:rsidRPr="002C66F1">
              <w:rPr>
                <w:szCs w:val="22"/>
                <w:lang w:val="en-GB"/>
              </w:rPr>
              <w:t>Convenience sample of PW taking part in an ongoing birth cohort study, named Generation R Study, Rotterdam in Netherland, 2002-2010</w:t>
            </w:r>
          </w:p>
        </w:tc>
        <w:tc>
          <w:tcPr>
            <w:tcW w:w="1559" w:type="dxa"/>
            <w:hideMark/>
          </w:tcPr>
          <w:p w:rsidR="00AE509A" w:rsidRPr="002C66F1" w:rsidRDefault="00AE509A" w:rsidP="0085491E">
            <w:pPr>
              <w:rPr>
                <w:szCs w:val="22"/>
                <w:lang w:val="en-GB"/>
              </w:rPr>
            </w:pPr>
            <w:r w:rsidRPr="002C66F1">
              <w:rPr>
                <w:szCs w:val="22"/>
                <w:lang w:val="en-GB"/>
              </w:rPr>
              <w:t>A 293-item SFFQ. Behavior Rating Inventory of Executive Function for Preschoolers (BRIEF-P)</w:t>
            </w:r>
            <w:r>
              <w:rPr>
                <w:szCs w:val="22"/>
                <w:lang w:val="en-GB"/>
              </w:rPr>
              <w:t xml:space="preserve"> </w:t>
            </w:r>
            <w:r w:rsidRPr="002C66F1">
              <w:rPr>
                <w:szCs w:val="22"/>
                <w:lang w:val="en-GB"/>
              </w:rPr>
              <w:t>A spot urine sample</w:t>
            </w:r>
            <w:r>
              <w:rPr>
                <w:szCs w:val="22"/>
                <w:lang w:val="en-GB"/>
              </w:rPr>
              <w:t xml:space="preserve"> </w:t>
            </w:r>
            <w:r w:rsidRPr="002C66F1">
              <w:rPr>
                <w:szCs w:val="22"/>
                <w:lang w:val="en-GB"/>
              </w:rPr>
              <w:t xml:space="preserve">A blood sample </w:t>
            </w:r>
          </w:p>
        </w:tc>
        <w:tc>
          <w:tcPr>
            <w:tcW w:w="1276" w:type="dxa"/>
            <w:hideMark/>
          </w:tcPr>
          <w:p w:rsidR="00AE509A" w:rsidRPr="002C66F1" w:rsidRDefault="00AE509A" w:rsidP="002C66F1">
            <w:pPr>
              <w:rPr>
                <w:szCs w:val="22"/>
                <w:lang w:val="en-GB"/>
              </w:rPr>
            </w:pPr>
            <w:r w:rsidRPr="002C66F1">
              <w:rPr>
                <w:szCs w:val="22"/>
                <w:lang w:val="en-GB"/>
              </w:rPr>
              <w:t>1123</w:t>
            </w:r>
          </w:p>
        </w:tc>
        <w:tc>
          <w:tcPr>
            <w:tcW w:w="1701" w:type="dxa"/>
            <w:hideMark/>
          </w:tcPr>
          <w:p w:rsidR="00AE509A" w:rsidRPr="002C66F1" w:rsidRDefault="00AE509A" w:rsidP="002C66F1">
            <w:pPr>
              <w:rPr>
                <w:szCs w:val="22"/>
                <w:lang w:val="en-GB"/>
              </w:rPr>
            </w:pPr>
            <w:r w:rsidRPr="002C66F1">
              <w:rPr>
                <w:szCs w:val="22"/>
                <w:lang w:val="en-GB"/>
              </w:rPr>
              <w:t>Sufficient:</w:t>
            </w:r>
            <w:r w:rsidRPr="002C66F1">
              <w:rPr>
                <w:szCs w:val="22"/>
                <w:lang w:val="en-GB"/>
              </w:rPr>
              <w:br/>
              <w:t>median UIC=203ug/L (range: 9.3–1743.5</w:t>
            </w:r>
            <w:r w:rsidRPr="002C66F1">
              <w:rPr>
                <w:szCs w:val="22"/>
                <w:lang w:val="en-GB"/>
              </w:rPr>
              <w:br/>
              <w:t>mg/L)</w:t>
            </w:r>
          </w:p>
        </w:tc>
        <w:tc>
          <w:tcPr>
            <w:tcW w:w="1559" w:type="dxa"/>
            <w:hideMark/>
          </w:tcPr>
          <w:p w:rsidR="00AE509A" w:rsidRPr="002C66F1" w:rsidRDefault="00AE509A" w:rsidP="002C66F1">
            <w:pPr>
              <w:rPr>
                <w:szCs w:val="22"/>
                <w:lang w:val="en-GB"/>
              </w:rPr>
            </w:pPr>
            <w:r w:rsidRPr="002C66F1">
              <w:rPr>
                <w:szCs w:val="22"/>
                <w:lang w:val="en-GB"/>
              </w:rPr>
              <w:t>BRIEF-P (completed by parents or caregiveers)</w:t>
            </w:r>
          </w:p>
        </w:tc>
        <w:tc>
          <w:tcPr>
            <w:tcW w:w="1418" w:type="dxa"/>
            <w:hideMark/>
          </w:tcPr>
          <w:p w:rsidR="00AE509A" w:rsidRPr="002C66F1" w:rsidRDefault="00AE509A" w:rsidP="002C66F1">
            <w:pPr>
              <w:rPr>
                <w:szCs w:val="22"/>
                <w:lang w:val="en-GB"/>
              </w:rPr>
            </w:pPr>
            <w:r w:rsidRPr="002C66F1">
              <w:rPr>
                <w:szCs w:val="22"/>
                <w:lang w:val="en-GB"/>
              </w:rPr>
              <w:t>18-36m &amp;</w:t>
            </w:r>
            <w:r w:rsidRPr="002C66F1">
              <w:rPr>
                <w:szCs w:val="22"/>
                <w:lang w:val="en-GB"/>
              </w:rPr>
              <w:br/>
              <w:t>8-10y</w:t>
            </w:r>
          </w:p>
        </w:tc>
        <w:tc>
          <w:tcPr>
            <w:tcW w:w="2126" w:type="dxa"/>
            <w:hideMark/>
          </w:tcPr>
          <w:p w:rsidR="00AE509A" w:rsidRPr="002C66F1" w:rsidRDefault="00AE509A" w:rsidP="002C66F1">
            <w:pPr>
              <w:rPr>
                <w:szCs w:val="22"/>
                <w:lang w:val="en-GB"/>
              </w:rPr>
            </w:pPr>
            <w:r w:rsidRPr="002C66F1">
              <w:rPr>
                <w:szCs w:val="22"/>
                <w:lang w:val="en-GB"/>
              </w:rPr>
              <w:t>Maternal UIC was directly associated to children inhibition scores and working memory</w:t>
            </w:r>
          </w:p>
        </w:tc>
        <w:tc>
          <w:tcPr>
            <w:tcW w:w="2268" w:type="dxa"/>
            <w:hideMark/>
          </w:tcPr>
          <w:p w:rsidR="00AE509A" w:rsidRPr="002C66F1" w:rsidRDefault="00AE509A" w:rsidP="002C66F1">
            <w:pPr>
              <w:rPr>
                <w:szCs w:val="22"/>
                <w:lang w:val="en-GB"/>
              </w:rPr>
            </w:pPr>
            <w:r w:rsidRPr="002C66F1">
              <w:rPr>
                <w:szCs w:val="22"/>
                <w:lang w:val="en-GB"/>
              </w:rPr>
              <w:t>Level III-2 (Birth cohort). Of 1156 mother-child pairs enrolled in the study, 1123 pairs (97%) completed the BRIEF-P.</w:t>
            </w:r>
          </w:p>
        </w:tc>
      </w:tr>
    </w:tbl>
    <w:p w:rsidR="002C66F1" w:rsidRDefault="002C66F1" w:rsidP="006473C7">
      <w:pPr>
        <w:ind w:left="-360"/>
        <w:rPr>
          <w:szCs w:val="22"/>
        </w:rPr>
      </w:pPr>
      <w:r w:rsidRPr="002C66F1">
        <w:rPr>
          <w:szCs w:val="22"/>
          <w:lang w:val="en-GB"/>
        </w:rPr>
        <w:t>Abbreviation: PW=PW UICR=urinary iodine-to-creatinine ratio; ID=iodine deficiency; UIC=urinary iodine concentration; SFFQ=semiquantitative food frequency questionnaire; h=hour; y=year; m=monthT4=throxin 4;</w:t>
      </w:r>
    </w:p>
    <w:p w:rsidR="00F36001" w:rsidRPr="007F0430" w:rsidRDefault="00F36001" w:rsidP="006473C7">
      <w:pPr>
        <w:ind w:left="-360"/>
        <w:rPr>
          <w:rStyle w:val="Strong"/>
        </w:rPr>
      </w:pPr>
      <w:r w:rsidRPr="007F0430">
        <w:rPr>
          <w:rStyle w:val="Strong"/>
        </w:rPr>
        <w:t>Intervention studies</w:t>
      </w:r>
    </w:p>
    <w:tbl>
      <w:tblPr>
        <w:tblStyle w:val="TableGrid1"/>
        <w:tblW w:w="15318" w:type="dxa"/>
        <w:tblInd w:w="-432" w:type="dxa"/>
        <w:tblLayout w:type="fixed"/>
        <w:tblLook w:val="04A0" w:firstRow="1" w:lastRow="0" w:firstColumn="1" w:lastColumn="0" w:noHBand="0" w:noVBand="1"/>
        <w:tblDescription w:val="Table 7.5a Intervention studies in pregnancy Estimated Average Requirement (EAR) and neurological outcomes in their children.  This table consists of 9 column heading; column 1. Author /year/location, column 2. Inclusion criteria, column 3. Design and doses, column 4. Sample size, column 5. Baseline or follow-up gestational iodine status, column 6. Assessment test method, column 7. Child aged testing, column 8. Main effect(s) and column 8. Comments."/>
      </w:tblPr>
      <w:tblGrid>
        <w:gridCol w:w="1440"/>
        <w:gridCol w:w="1701"/>
        <w:gridCol w:w="2799"/>
        <w:gridCol w:w="1134"/>
        <w:gridCol w:w="1701"/>
        <w:gridCol w:w="1842"/>
        <w:gridCol w:w="1083"/>
        <w:gridCol w:w="1491"/>
        <w:gridCol w:w="2127"/>
      </w:tblGrid>
      <w:tr w:rsidR="00EA6F40" w:rsidRPr="002C66F1" w:rsidTr="006473C7">
        <w:trPr>
          <w:trHeight w:val="284"/>
          <w:tblHeader/>
        </w:trPr>
        <w:tc>
          <w:tcPr>
            <w:tcW w:w="1440" w:type="dxa"/>
            <w:hideMark/>
          </w:tcPr>
          <w:p w:rsidR="00EA6F40" w:rsidRPr="002C66F1" w:rsidRDefault="00EA6F40" w:rsidP="002C66F1">
            <w:pPr>
              <w:rPr>
                <w:rStyle w:val="Strong"/>
              </w:rPr>
            </w:pPr>
            <w:r w:rsidRPr="002C66F1">
              <w:rPr>
                <w:rStyle w:val="Strong"/>
              </w:rPr>
              <w:t>Author, year, location</w:t>
            </w:r>
          </w:p>
        </w:tc>
        <w:tc>
          <w:tcPr>
            <w:tcW w:w="1701" w:type="dxa"/>
            <w:hideMark/>
          </w:tcPr>
          <w:p w:rsidR="00EA6F40" w:rsidRPr="002C66F1" w:rsidRDefault="00EA6F40" w:rsidP="002C66F1">
            <w:pPr>
              <w:rPr>
                <w:rStyle w:val="Strong"/>
              </w:rPr>
            </w:pPr>
            <w:r w:rsidRPr="002C66F1">
              <w:rPr>
                <w:rStyle w:val="Strong"/>
              </w:rPr>
              <w:t>Inclusion criteria</w:t>
            </w:r>
          </w:p>
        </w:tc>
        <w:tc>
          <w:tcPr>
            <w:tcW w:w="2799" w:type="dxa"/>
            <w:hideMark/>
          </w:tcPr>
          <w:p w:rsidR="00EA6F40" w:rsidRPr="002C66F1" w:rsidRDefault="00EA6F40" w:rsidP="002C66F1">
            <w:pPr>
              <w:rPr>
                <w:rStyle w:val="Strong"/>
              </w:rPr>
            </w:pPr>
            <w:r w:rsidRPr="002C66F1">
              <w:rPr>
                <w:rStyle w:val="Strong"/>
              </w:rPr>
              <w:t>Design and doses</w:t>
            </w:r>
          </w:p>
        </w:tc>
        <w:tc>
          <w:tcPr>
            <w:tcW w:w="1134" w:type="dxa"/>
            <w:hideMark/>
          </w:tcPr>
          <w:p w:rsidR="00EA6F40" w:rsidRPr="002C66F1" w:rsidRDefault="00EA6F40" w:rsidP="002C66F1">
            <w:pPr>
              <w:rPr>
                <w:rStyle w:val="Strong"/>
              </w:rPr>
            </w:pPr>
            <w:r w:rsidRPr="002C66F1">
              <w:rPr>
                <w:rStyle w:val="Strong"/>
              </w:rPr>
              <w:t>Sample size</w:t>
            </w:r>
          </w:p>
        </w:tc>
        <w:tc>
          <w:tcPr>
            <w:tcW w:w="1701" w:type="dxa"/>
            <w:hideMark/>
          </w:tcPr>
          <w:p w:rsidR="00EA6F40" w:rsidRPr="002C66F1" w:rsidRDefault="00EA6F40" w:rsidP="002C66F1">
            <w:pPr>
              <w:rPr>
                <w:rStyle w:val="Strong"/>
              </w:rPr>
            </w:pPr>
            <w:r w:rsidRPr="002C66F1">
              <w:rPr>
                <w:rStyle w:val="Strong"/>
              </w:rPr>
              <w:t xml:space="preserve">Baseline or follow-up gestational iodine status </w:t>
            </w:r>
          </w:p>
        </w:tc>
        <w:tc>
          <w:tcPr>
            <w:tcW w:w="1842" w:type="dxa"/>
            <w:hideMark/>
          </w:tcPr>
          <w:p w:rsidR="00EA6F40" w:rsidRPr="002C66F1" w:rsidRDefault="00EA6F40" w:rsidP="002C66F1">
            <w:pPr>
              <w:rPr>
                <w:rStyle w:val="Strong"/>
              </w:rPr>
            </w:pPr>
            <w:r w:rsidRPr="002C66F1">
              <w:rPr>
                <w:rStyle w:val="Strong"/>
              </w:rPr>
              <w:t>Assessment test method</w:t>
            </w:r>
          </w:p>
        </w:tc>
        <w:tc>
          <w:tcPr>
            <w:tcW w:w="1083" w:type="dxa"/>
            <w:hideMark/>
          </w:tcPr>
          <w:p w:rsidR="00EA6F40" w:rsidRPr="002C66F1" w:rsidRDefault="00EA6F40" w:rsidP="002C66F1">
            <w:pPr>
              <w:rPr>
                <w:rStyle w:val="Strong"/>
              </w:rPr>
            </w:pPr>
            <w:r w:rsidRPr="002C66F1">
              <w:rPr>
                <w:rStyle w:val="Strong"/>
              </w:rPr>
              <w:t>Child age at testing</w:t>
            </w:r>
          </w:p>
        </w:tc>
        <w:tc>
          <w:tcPr>
            <w:tcW w:w="1491" w:type="dxa"/>
            <w:hideMark/>
          </w:tcPr>
          <w:p w:rsidR="00EA6F40" w:rsidRPr="002C66F1" w:rsidRDefault="00EA6F40" w:rsidP="002C66F1">
            <w:pPr>
              <w:rPr>
                <w:rStyle w:val="Strong"/>
              </w:rPr>
            </w:pPr>
            <w:r w:rsidRPr="002C66F1">
              <w:rPr>
                <w:rStyle w:val="Strong"/>
              </w:rPr>
              <w:t>Main effect(s)</w:t>
            </w:r>
          </w:p>
        </w:tc>
        <w:tc>
          <w:tcPr>
            <w:tcW w:w="2127" w:type="dxa"/>
            <w:hideMark/>
          </w:tcPr>
          <w:p w:rsidR="00EA6F40" w:rsidRPr="002C66F1" w:rsidRDefault="00EA6F40" w:rsidP="002C66F1">
            <w:pPr>
              <w:rPr>
                <w:rStyle w:val="Strong"/>
              </w:rPr>
            </w:pPr>
            <w:r w:rsidRPr="002C66F1">
              <w:rPr>
                <w:rStyle w:val="Strong"/>
              </w:rPr>
              <w:t>Comments</w:t>
            </w:r>
          </w:p>
        </w:tc>
      </w:tr>
      <w:tr w:rsidR="00EA6F40" w:rsidRPr="002C66F1" w:rsidTr="006473C7">
        <w:trPr>
          <w:trHeight w:val="284"/>
        </w:trPr>
        <w:tc>
          <w:tcPr>
            <w:tcW w:w="1440" w:type="dxa"/>
            <w:hideMark/>
          </w:tcPr>
          <w:p w:rsidR="00EA6F40" w:rsidRPr="002C66F1" w:rsidRDefault="00EA6F40" w:rsidP="002C66F1">
            <w:pPr>
              <w:rPr>
                <w:szCs w:val="22"/>
                <w:lang w:val="en-GB"/>
              </w:rPr>
            </w:pPr>
            <w:r w:rsidRPr="002C66F1">
              <w:rPr>
                <w:szCs w:val="22"/>
                <w:lang w:val="en-GB"/>
              </w:rPr>
              <w:t xml:space="preserve">Santiago et al, 2013, </w:t>
            </w:r>
          </w:p>
          <w:p w:rsidR="00EA6F40" w:rsidRPr="002C66F1" w:rsidRDefault="00EA6F40" w:rsidP="002C66F1">
            <w:pPr>
              <w:rPr>
                <w:szCs w:val="22"/>
                <w:lang w:val="en-GB"/>
              </w:rPr>
            </w:pPr>
            <w:r w:rsidRPr="002C66F1">
              <w:rPr>
                <w:szCs w:val="22"/>
                <w:lang w:val="en-GB"/>
              </w:rPr>
              <w:lastRenderedPageBreak/>
              <w:t xml:space="preserve">Spain </w:t>
            </w:r>
          </w:p>
        </w:tc>
        <w:tc>
          <w:tcPr>
            <w:tcW w:w="1701" w:type="dxa"/>
            <w:hideMark/>
          </w:tcPr>
          <w:p w:rsidR="00EA6F40" w:rsidRPr="002C66F1" w:rsidRDefault="00EA6F40" w:rsidP="002C66F1">
            <w:pPr>
              <w:rPr>
                <w:szCs w:val="22"/>
                <w:lang w:val="en-GB"/>
              </w:rPr>
            </w:pPr>
            <w:r w:rsidRPr="002C66F1">
              <w:rPr>
                <w:szCs w:val="22"/>
                <w:lang w:val="en-GB"/>
              </w:rPr>
              <w:lastRenderedPageBreak/>
              <w:t xml:space="preserve">Week 10 of pregnancy, and not taking </w:t>
            </w:r>
            <w:r w:rsidRPr="002C66F1">
              <w:rPr>
                <w:szCs w:val="22"/>
                <w:lang w:val="en-GB"/>
              </w:rPr>
              <w:lastRenderedPageBreak/>
              <w:t xml:space="preserve">iodine supplements </w:t>
            </w:r>
          </w:p>
        </w:tc>
        <w:tc>
          <w:tcPr>
            <w:tcW w:w="2799" w:type="dxa"/>
            <w:hideMark/>
          </w:tcPr>
          <w:p w:rsidR="00EA6F40" w:rsidRPr="002C66F1" w:rsidRDefault="00EA6F40" w:rsidP="002C66F1">
            <w:pPr>
              <w:rPr>
                <w:szCs w:val="22"/>
                <w:lang w:val="en-GB"/>
              </w:rPr>
            </w:pPr>
            <w:r w:rsidRPr="002C66F1">
              <w:rPr>
                <w:szCs w:val="22"/>
                <w:lang w:val="en-GB"/>
              </w:rPr>
              <w:lastRenderedPageBreak/>
              <w:t>RCT</w:t>
            </w:r>
            <w:r w:rsidRPr="002C66F1">
              <w:rPr>
                <w:szCs w:val="22"/>
                <w:lang w:val="en-GB"/>
              </w:rPr>
              <w:br/>
              <w:t>G1: IS</w:t>
            </w:r>
            <w:r w:rsidRPr="002C66F1">
              <w:rPr>
                <w:szCs w:val="22"/>
                <w:lang w:val="en-GB"/>
              </w:rPr>
              <w:br/>
              <w:t xml:space="preserve">G2: 200ug KI/day &amp; </w:t>
            </w:r>
            <w:r w:rsidRPr="002C66F1">
              <w:rPr>
                <w:szCs w:val="22"/>
                <w:lang w:val="en-GB"/>
              </w:rPr>
              <w:lastRenderedPageBreak/>
              <w:t>recommendation on using IS</w:t>
            </w:r>
            <w:r w:rsidRPr="002C66F1">
              <w:rPr>
                <w:szCs w:val="22"/>
                <w:lang w:val="en-GB"/>
              </w:rPr>
              <w:br/>
              <w:t>G3: 300ug KI/day &amp; re</w:t>
            </w:r>
            <w:r w:rsidR="002C66F1">
              <w:rPr>
                <w:szCs w:val="22"/>
                <w:lang w:val="en-GB"/>
              </w:rPr>
              <w:t xml:space="preserve">commendation on using IS </w:t>
            </w:r>
            <w:r w:rsidRPr="002C66F1">
              <w:rPr>
                <w:szCs w:val="22"/>
                <w:lang w:val="en-GB"/>
              </w:rPr>
              <w:t>start before 10 week of gestation</w:t>
            </w:r>
          </w:p>
        </w:tc>
        <w:tc>
          <w:tcPr>
            <w:tcW w:w="1134" w:type="dxa"/>
            <w:hideMark/>
          </w:tcPr>
          <w:p w:rsidR="00EA6F40" w:rsidRPr="002C66F1" w:rsidRDefault="00EA6F40" w:rsidP="002C66F1">
            <w:pPr>
              <w:rPr>
                <w:szCs w:val="22"/>
                <w:lang w:val="en-GB"/>
              </w:rPr>
            </w:pPr>
            <w:r w:rsidRPr="002C66F1">
              <w:rPr>
                <w:szCs w:val="22"/>
                <w:lang w:val="en-GB"/>
              </w:rPr>
              <w:lastRenderedPageBreak/>
              <w:t>n = 131</w:t>
            </w:r>
            <w:r w:rsidRPr="002C66F1">
              <w:rPr>
                <w:szCs w:val="22"/>
                <w:lang w:val="en-GB"/>
              </w:rPr>
              <w:br/>
              <w:t>(G1: 38)</w:t>
            </w:r>
            <w:r w:rsidRPr="002C66F1">
              <w:rPr>
                <w:szCs w:val="22"/>
                <w:lang w:val="en-GB"/>
              </w:rPr>
              <w:br/>
              <w:t>(G2: 55)</w:t>
            </w:r>
            <w:r w:rsidRPr="002C66F1">
              <w:rPr>
                <w:szCs w:val="22"/>
                <w:lang w:val="en-GB"/>
              </w:rPr>
              <w:br/>
            </w:r>
            <w:r w:rsidRPr="002C66F1">
              <w:rPr>
                <w:szCs w:val="22"/>
                <w:lang w:val="en-GB"/>
              </w:rPr>
              <w:lastRenderedPageBreak/>
              <w:t>(G3:38)</w:t>
            </w:r>
          </w:p>
        </w:tc>
        <w:tc>
          <w:tcPr>
            <w:tcW w:w="1701" w:type="dxa"/>
            <w:hideMark/>
          </w:tcPr>
          <w:p w:rsidR="00EA6F40" w:rsidRPr="002C66F1" w:rsidRDefault="00EA6F40" w:rsidP="002C66F1">
            <w:pPr>
              <w:rPr>
                <w:szCs w:val="22"/>
                <w:lang w:val="en-GB"/>
              </w:rPr>
            </w:pPr>
            <w:r w:rsidRPr="002C66F1">
              <w:rPr>
                <w:szCs w:val="22"/>
                <w:lang w:val="en-GB"/>
              </w:rPr>
              <w:lastRenderedPageBreak/>
              <w:t xml:space="preserve">In the 3rd trimester, mean UIC was </w:t>
            </w:r>
            <w:r w:rsidRPr="002C66F1">
              <w:rPr>
                <w:szCs w:val="22"/>
                <w:lang w:val="en-GB"/>
              </w:rPr>
              <w:lastRenderedPageBreak/>
              <w:t>144ug/L in IS group, 166ug/L in 200ug KI group, and 212ug/L in 300ug KI group</w:t>
            </w:r>
          </w:p>
        </w:tc>
        <w:tc>
          <w:tcPr>
            <w:tcW w:w="1842" w:type="dxa"/>
            <w:hideMark/>
          </w:tcPr>
          <w:p w:rsidR="00EA6F40" w:rsidRPr="002C66F1" w:rsidRDefault="00EA6F40" w:rsidP="002C66F1">
            <w:pPr>
              <w:rPr>
                <w:szCs w:val="22"/>
                <w:lang w:val="en-GB"/>
              </w:rPr>
            </w:pPr>
            <w:r w:rsidRPr="002C66F1">
              <w:rPr>
                <w:szCs w:val="22"/>
                <w:lang w:val="en-GB"/>
              </w:rPr>
              <w:lastRenderedPageBreak/>
              <w:t>Bayley Scales</w:t>
            </w:r>
          </w:p>
        </w:tc>
        <w:tc>
          <w:tcPr>
            <w:tcW w:w="1083" w:type="dxa"/>
            <w:hideMark/>
          </w:tcPr>
          <w:p w:rsidR="00EA6F40" w:rsidRPr="002C66F1" w:rsidRDefault="00EA6F40" w:rsidP="002C66F1">
            <w:pPr>
              <w:rPr>
                <w:szCs w:val="22"/>
                <w:lang w:val="en-GB"/>
              </w:rPr>
            </w:pPr>
            <w:r w:rsidRPr="002C66F1">
              <w:rPr>
                <w:szCs w:val="22"/>
                <w:lang w:val="en-GB"/>
              </w:rPr>
              <w:t>6-18m</w:t>
            </w:r>
          </w:p>
        </w:tc>
        <w:tc>
          <w:tcPr>
            <w:tcW w:w="1491" w:type="dxa"/>
            <w:hideMark/>
          </w:tcPr>
          <w:p w:rsidR="00EA6F40" w:rsidRPr="002C66F1" w:rsidRDefault="00EA6F40" w:rsidP="002C66F1">
            <w:pPr>
              <w:rPr>
                <w:szCs w:val="22"/>
                <w:lang w:val="en-GB"/>
              </w:rPr>
            </w:pPr>
            <w:r w:rsidRPr="002C66F1">
              <w:rPr>
                <w:szCs w:val="22"/>
                <w:lang w:val="en-GB"/>
              </w:rPr>
              <w:t xml:space="preserve">No significant differences were </w:t>
            </w:r>
            <w:r w:rsidRPr="002C66F1">
              <w:rPr>
                <w:szCs w:val="22"/>
                <w:lang w:val="en-GB"/>
              </w:rPr>
              <w:lastRenderedPageBreak/>
              <w:t>observed in child neurological development between groups.</w:t>
            </w:r>
          </w:p>
        </w:tc>
        <w:tc>
          <w:tcPr>
            <w:tcW w:w="2127" w:type="dxa"/>
            <w:hideMark/>
          </w:tcPr>
          <w:p w:rsidR="00EA6F40" w:rsidRPr="002C66F1" w:rsidRDefault="00EA6F40" w:rsidP="002C66F1">
            <w:pPr>
              <w:rPr>
                <w:szCs w:val="22"/>
                <w:lang w:val="en-GB"/>
              </w:rPr>
            </w:pPr>
            <w:r w:rsidRPr="002C66F1">
              <w:rPr>
                <w:szCs w:val="22"/>
                <w:lang w:val="en-GB"/>
              </w:rPr>
              <w:lastRenderedPageBreak/>
              <w:t xml:space="preserve">Level II. </w:t>
            </w:r>
          </w:p>
          <w:p w:rsidR="00EA6F40" w:rsidRPr="002C66F1" w:rsidRDefault="00EA6F40" w:rsidP="002C66F1">
            <w:pPr>
              <w:rPr>
                <w:szCs w:val="22"/>
                <w:lang w:val="en-GB"/>
              </w:rPr>
            </w:pPr>
            <w:r w:rsidRPr="002C66F1">
              <w:rPr>
                <w:szCs w:val="22"/>
                <w:lang w:val="en-GB"/>
              </w:rPr>
              <w:t xml:space="preserve">One-third of the women had been </w:t>
            </w:r>
            <w:r w:rsidRPr="002C66F1">
              <w:rPr>
                <w:szCs w:val="22"/>
                <w:lang w:val="en-GB"/>
              </w:rPr>
              <w:lastRenderedPageBreak/>
              <w:t>taking IS for ≥1year, and all women in this study appear to have a better iodine status than participants in previous studies.</w:t>
            </w:r>
          </w:p>
        </w:tc>
      </w:tr>
      <w:tr w:rsidR="00EA6F40" w:rsidRPr="002C66F1" w:rsidTr="006473C7">
        <w:trPr>
          <w:trHeight w:val="284"/>
        </w:trPr>
        <w:tc>
          <w:tcPr>
            <w:tcW w:w="1440" w:type="dxa"/>
            <w:hideMark/>
          </w:tcPr>
          <w:p w:rsidR="00EA6F40" w:rsidRPr="002C66F1" w:rsidRDefault="00EA6F40" w:rsidP="002C66F1">
            <w:pPr>
              <w:rPr>
                <w:szCs w:val="22"/>
                <w:lang w:val="en-GB"/>
              </w:rPr>
            </w:pPr>
            <w:r w:rsidRPr="002C66F1">
              <w:rPr>
                <w:szCs w:val="22"/>
                <w:lang w:val="en-GB"/>
              </w:rPr>
              <w:lastRenderedPageBreak/>
              <w:t xml:space="preserve">O'Donnell et al, 2002 </w:t>
            </w:r>
          </w:p>
          <w:p w:rsidR="00EA6F40" w:rsidRPr="002C66F1" w:rsidRDefault="00EA6F40" w:rsidP="002C66F1">
            <w:pPr>
              <w:rPr>
                <w:szCs w:val="22"/>
                <w:lang w:val="en-GB"/>
              </w:rPr>
            </w:pPr>
            <w:r w:rsidRPr="002C66F1">
              <w:rPr>
                <w:szCs w:val="22"/>
                <w:lang w:val="en-GB"/>
              </w:rPr>
              <w:t>China</w:t>
            </w:r>
          </w:p>
        </w:tc>
        <w:tc>
          <w:tcPr>
            <w:tcW w:w="1701" w:type="dxa"/>
            <w:hideMark/>
          </w:tcPr>
          <w:p w:rsidR="00EA6F40" w:rsidRPr="002C66F1" w:rsidRDefault="00EA6F40" w:rsidP="002C66F1">
            <w:pPr>
              <w:rPr>
                <w:szCs w:val="22"/>
                <w:lang w:val="en-GB"/>
              </w:rPr>
            </w:pPr>
            <w:r w:rsidRPr="002C66F1">
              <w:rPr>
                <w:szCs w:val="22"/>
                <w:lang w:val="en-GB"/>
              </w:rPr>
              <w:t xml:space="preserve">NS </w:t>
            </w:r>
          </w:p>
        </w:tc>
        <w:tc>
          <w:tcPr>
            <w:tcW w:w="2799" w:type="dxa"/>
            <w:hideMark/>
          </w:tcPr>
          <w:p w:rsidR="00EA6F40" w:rsidRPr="002C66F1" w:rsidRDefault="00EA6F40" w:rsidP="002C66F1">
            <w:pPr>
              <w:rPr>
                <w:szCs w:val="22"/>
                <w:lang w:val="en-GB"/>
              </w:rPr>
            </w:pPr>
            <w:r w:rsidRPr="002C66F1">
              <w:rPr>
                <w:szCs w:val="22"/>
                <w:lang w:val="en-GB"/>
              </w:rPr>
              <w:t>Comparative intervention</w:t>
            </w:r>
            <w:r w:rsidRPr="002C66F1">
              <w:rPr>
                <w:szCs w:val="22"/>
                <w:lang w:val="en-GB"/>
              </w:rPr>
              <w:br/>
              <w:t>G1: 400mg oral iodinated oil to PW in 1st or 2nd trimester</w:t>
            </w:r>
            <w:r w:rsidRPr="002C66F1">
              <w:rPr>
                <w:szCs w:val="22"/>
                <w:lang w:val="en-GB"/>
              </w:rPr>
              <w:br/>
              <w:t>G2: 400mg oral iodinated oil to PW in the 3rd trimester</w:t>
            </w:r>
            <w:r w:rsidRPr="002C66F1">
              <w:rPr>
                <w:szCs w:val="22"/>
                <w:lang w:val="en-GB"/>
              </w:rPr>
              <w:br/>
              <w:t>G3: 200mg oral iodinated oil to children at age 2-3 years</w:t>
            </w:r>
          </w:p>
        </w:tc>
        <w:tc>
          <w:tcPr>
            <w:tcW w:w="1134" w:type="dxa"/>
            <w:hideMark/>
          </w:tcPr>
          <w:p w:rsidR="00EA6F40" w:rsidRPr="002C66F1" w:rsidRDefault="00EA6F40" w:rsidP="002C66F1">
            <w:pPr>
              <w:rPr>
                <w:szCs w:val="22"/>
                <w:lang w:val="en-GB"/>
              </w:rPr>
            </w:pPr>
            <w:r w:rsidRPr="002C66F1">
              <w:rPr>
                <w:szCs w:val="22"/>
                <w:lang w:val="en-GB"/>
              </w:rPr>
              <w:t>n=44</w:t>
            </w:r>
            <w:r w:rsidRPr="002C66F1">
              <w:rPr>
                <w:szCs w:val="22"/>
                <w:lang w:val="en-GB"/>
              </w:rPr>
              <w:br/>
              <w:t>(G1: 89)</w:t>
            </w:r>
            <w:r w:rsidRPr="002C66F1">
              <w:rPr>
                <w:szCs w:val="22"/>
                <w:lang w:val="en-GB"/>
              </w:rPr>
              <w:br/>
              <w:t>(G2: 103)</w:t>
            </w:r>
            <w:r w:rsidRPr="002C66F1">
              <w:rPr>
                <w:szCs w:val="22"/>
                <w:lang w:val="en-GB"/>
              </w:rPr>
              <w:br/>
              <w:t>(G3: 80)</w:t>
            </w:r>
          </w:p>
        </w:tc>
        <w:tc>
          <w:tcPr>
            <w:tcW w:w="1701" w:type="dxa"/>
            <w:hideMark/>
          </w:tcPr>
          <w:p w:rsidR="00EA6F40" w:rsidRPr="002C66F1" w:rsidRDefault="00EA6F40" w:rsidP="002C66F1">
            <w:pPr>
              <w:rPr>
                <w:szCs w:val="22"/>
                <w:lang w:val="en-GB"/>
              </w:rPr>
            </w:pPr>
            <w:r w:rsidRPr="002C66F1">
              <w:rPr>
                <w:szCs w:val="22"/>
                <w:lang w:val="en-GB"/>
              </w:rPr>
              <w:t>The study was done in an area with visible goitre prevalence of 54% and congenital severe hypothyroidism of 2%.</w:t>
            </w:r>
          </w:p>
        </w:tc>
        <w:tc>
          <w:tcPr>
            <w:tcW w:w="1842" w:type="dxa"/>
            <w:hideMark/>
          </w:tcPr>
          <w:p w:rsidR="00EA6F40" w:rsidRPr="002C66F1" w:rsidRDefault="00EA6F40" w:rsidP="002C66F1">
            <w:pPr>
              <w:rPr>
                <w:szCs w:val="22"/>
                <w:lang w:val="en-GB"/>
              </w:rPr>
            </w:pPr>
            <w:r w:rsidRPr="002C66F1">
              <w:rPr>
                <w:szCs w:val="22"/>
                <w:lang w:val="en-GB"/>
              </w:rPr>
              <w:t>Raven Progressive Matrices</w:t>
            </w:r>
            <w:r w:rsidRPr="002C66F1">
              <w:rPr>
                <w:szCs w:val="22"/>
                <w:lang w:val="en-GB"/>
              </w:rPr>
              <w:br/>
              <w:t>Developmental Test of Visual Motor Integration</w:t>
            </w:r>
            <w:r w:rsidRPr="002C66F1">
              <w:rPr>
                <w:szCs w:val="22"/>
                <w:lang w:val="en-GB"/>
              </w:rPr>
              <w:br/>
              <w:t>Purdue Pegboard Test</w:t>
            </w:r>
            <w:r w:rsidRPr="002C66F1">
              <w:rPr>
                <w:szCs w:val="22"/>
                <w:lang w:val="en-GB"/>
              </w:rPr>
              <w:br/>
              <w:t>Denver Developmental screening Test</w:t>
            </w:r>
          </w:p>
        </w:tc>
        <w:tc>
          <w:tcPr>
            <w:tcW w:w="1083" w:type="dxa"/>
            <w:hideMark/>
          </w:tcPr>
          <w:p w:rsidR="00EA6F40" w:rsidRPr="002C66F1" w:rsidRDefault="00EA6F40" w:rsidP="002C66F1">
            <w:pPr>
              <w:rPr>
                <w:szCs w:val="22"/>
                <w:lang w:val="en-GB"/>
              </w:rPr>
            </w:pPr>
            <w:r w:rsidRPr="002C66F1">
              <w:rPr>
                <w:szCs w:val="22"/>
                <w:lang w:val="en-GB"/>
              </w:rPr>
              <w:t>5-7y</w:t>
            </w:r>
          </w:p>
        </w:tc>
        <w:tc>
          <w:tcPr>
            <w:tcW w:w="1491" w:type="dxa"/>
            <w:hideMark/>
          </w:tcPr>
          <w:p w:rsidR="00EA6F40" w:rsidRPr="002C66F1" w:rsidRDefault="00EA6F40" w:rsidP="002C66F1">
            <w:pPr>
              <w:rPr>
                <w:szCs w:val="22"/>
                <w:lang w:val="en-GB"/>
              </w:rPr>
            </w:pPr>
            <w:r w:rsidRPr="002C66F1">
              <w:rPr>
                <w:szCs w:val="22"/>
                <w:lang w:val="en-GB"/>
              </w:rPr>
              <w:t xml:space="preserve">No significant differences between groups in Raven test and language delays. </w:t>
            </w:r>
            <w:r w:rsidRPr="002C66F1">
              <w:rPr>
                <w:szCs w:val="22"/>
                <w:lang w:val="en-GB"/>
              </w:rPr>
              <w:br/>
              <w:t xml:space="preserve">Children whose mothers received iodine in the 1st or 2nd trimester in pregnancy (vs. those whose mothers were supplemented later or to </w:t>
            </w:r>
            <w:r w:rsidRPr="002C66F1">
              <w:rPr>
                <w:szCs w:val="22"/>
                <w:lang w:val="en-GB"/>
              </w:rPr>
              <w:lastRenderedPageBreak/>
              <w:t>children received supplementation at 2 years) have higher scores in Visual Motor Integration test, and in Purdue Pegboard test.</w:t>
            </w:r>
          </w:p>
        </w:tc>
        <w:tc>
          <w:tcPr>
            <w:tcW w:w="2127" w:type="dxa"/>
            <w:hideMark/>
          </w:tcPr>
          <w:p w:rsidR="00EA6F40" w:rsidRPr="002C66F1" w:rsidRDefault="00EA6F40" w:rsidP="002C66F1">
            <w:pPr>
              <w:rPr>
                <w:rFonts w:cstheme="majorHAnsi"/>
                <w:szCs w:val="22"/>
                <w:lang w:val="en-GB"/>
              </w:rPr>
            </w:pPr>
            <w:r w:rsidRPr="002C66F1">
              <w:rPr>
                <w:rFonts w:cstheme="majorHAnsi"/>
                <w:szCs w:val="22"/>
                <w:lang w:val="en-GB"/>
              </w:rPr>
              <w:lastRenderedPageBreak/>
              <w:t xml:space="preserve">Level II. Provides some evidence that early rather than late I supplementation is beneficial for better </w:t>
            </w:r>
            <w:r w:rsidRPr="002C66F1">
              <w:rPr>
                <w:rFonts w:cstheme="majorHAnsi"/>
                <w:szCs w:val="22"/>
              </w:rPr>
              <w:t>psychomotor skills at aged 5 – 7y. Control group was supplementation of children at age 2y, rather than no supplementation as in PICO question.</w:t>
            </w:r>
          </w:p>
          <w:p w:rsidR="00EA6F40" w:rsidRPr="002C66F1" w:rsidRDefault="00EA6F40" w:rsidP="002C66F1">
            <w:pPr>
              <w:rPr>
                <w:szCs w:val="22"/>
                <w:lang w:val="en-GB"/>
              </w:rPr>
            </w:pPr>
            <w:r w:rsidRPr="002C66F1">
              <w:rPr>
                <w:rFonts w:cstheme="majorHAnsi"/>
                <w:szCs w:val="22"/>
                <w:lang w:val="en-GB"/>
              </w:rPr>
              <w:t xml:space="preserve">In G1, 23 children </w:t>
            </w:r>
            <w:r w:rsidRPr="002C66F1">
              <w:rPr>
                <w:szCs w:val="22"/>
                <w:lang w:val="en-GB"/>
              </w:rPr>
              <w:t xml:space="preserve">who might not receive sufficient iodine from their mother who were supplemented 0.1mg </w:t>
            </w:r>
            <w:r w:rsidRPr="002C66F1">
              <w:rPr>
                <w:szCs w:val="22"/>
                <w:lang w:val="en-GB"/>
              </w:rPr>
              <w:lastRenderedPageBreak/>
              <w:t>KI daily for four days each year instead of 400mg iodinated oil. Details refer to Cao et al. (1994). paper.</w:t>
            </w:r>
          </w:p>
        </w:tc>
      </w:tr>
    </w:tbl>
    <w:p w:rsidR="007F0430" w:rsidRDefault="002C66F1" w:rsidP="006473C7">
      <w:pPr>
        <w:ind w:left="-360"/>
        <w:rPr>
          <w:szCs w:val="22"/>
          <w:lang w:val="en-GB"/>
        </w:rPr>
      </w:pPr>
      <w:r w:rsidRPr="002C66F1">
        <w:rPr>
          <w:szCs w:val="22"/>
          <w:lang w:val="en-GB"/>
        </w:rPr>
        <w:lastRenderedPageBreak/>
        <w:t>Abbreviation: G1=group 1; G2=group 2; G3=group 3; IS=iodised salt; KI=potassium iodide; UIC=urinary iodine concentration; PW:PW</w:t>
      </w:r>
    </w:p>
    <w:p w:rsidR="00EA6F40" w:rsidRPr="007F0430" w:rsidRDefault="00F36001" w:rsidP="006473C7">
      <w:pPr>
        <w:ind w:left="-360"/>
        <w:rPr>
          <w:rStyle w:val="Strong"/>
        </w:rPr>
      </w:pPr>
      <w:r w:rsidRPr="007F0430">
        <w:rPr>
          <w:rStyle w:val="Strong"/>
        </w:rPr>
        <w:t>Meta-analysis</w:t>
      </w:r>
    </w:p>
    <w:tbl>
      <w:tblPr>
        <w:tblStyle w:val="TableGrid1"/>
        <w:tblW w:w="15189" w:type="dxa"/>
        <w:tblInd w:w="-432" w:type="dxa"/>
        <w:tblLayout w:type="fixed"/>
        <w:tblLook w:val="04A0" w:firstRow="1" w:lastRow="0" w:firstColumn="1" w:lastColumn="0" w:noHBand="0" w:noVBand="1"/>
        <w:tblDescription w:val="Table 7.5b Meta-analysis in pregnancy Estimated Average Requirement (EAR) and neurological outcomes in their children.  This table consists of 7 column heading; column 1. Author /year, column 2. Aim, column 3. Time period of coverage number of articles, column 4. Inclusion criteria, column 5. Exclusion criteria, column 6. Main findings, and column 7.Comments"/>
      </w:tblPr>
      <w:tblGrid>
        <w:gridCol w:w="1440"/>
        <w:gridCol w:w="1800"/>
        <w:gridCol w:w="1460"/>
        <w:gridCol w:w="2835"/>
        <w:gridCol w:w="3260"/>
        <w:gridCol w:w="2126"/>
        <w:gridCol w:w="2268"/>
      </w:tblGrid>
      <w:tr w:rsidR="00EA6F40" w:rsidRPr="002C66F1" w:rsidTr="006473C7">
        <w:trPr>
          <w:trHeight w:val="284"/>
          <w:tblHeader/>
        </w:trPr>
        <w:tc>
          <w:tcPr>
            <w:tcW w:w="1440" w:type="dxa"/>
            <w:noWrap/>
            <w:hideMark/>
          </w:tcPr>
          <w:p w:rsidR="00EA6F40" w:rsidRPr="002C66F1" w:rsidRDefault="00EA6F40" w:rsidP="002C66F1">
            <w:pPr>
              <w:rPr>
                <w:rStyle w:val="Strong"/>
              </w:rPr>
            </w:pPr>
            <w:r w:rsidRPr="002C66F1">
              <w:rPr>
                <w:rStyle w:val="Strong"/>
              </w:rPr>
              <w:t xml:space="preserve">Authors, year, </w:t>
            </w:r>
          </w:p>
        </w:tc>
        <w:tc>
          <w:tcPr>
            <w:tcW w:w="1800" w:type="dxa"/>
            <w:noWrap/>
            <w:hideMark/>
          </w:tcPr>
          <w:p w:rsidR="00EA6F40" w:rsidRPr="002C66F1" w:rsidRDefault="00EA6F40" w:rsidP="002C66F1">
            <w:pPr>
              <w:rPr>
                <w:rStyle w:val="Strong"/>
              </w:rPr>
            </w:pPr>
            <w:r w:rsidRPr="002C66F1">
              <w:rPr>
                <w:rStyle w:val="Strong"/>
              </w:rPr>
              <w:t>Aim</w:t>
            </w:r>
          </w:p>
        </w:tc>
        <w:tc>
          <w:tcPr>
            <w:tcW w:w="1460" w:type="dxa"/>
            <w:noWrap/>
            <w:hideMark/>
          </w:tcPr>
          <w:p w:rsidR="00EA6F40" w:rsidRPr="002C66F1" w:rsidRDefault="00EA6F40" w:rsidP="002C66F1">
            <w:pPr>
              <w:rPr>
                <w:rStyle w:val="Strong"/>
              </w:rPr>
            </w:pPr>
            <w:r w:rsidRPr="002C66F1">
              <w:rPr>
                <w:rStyle w:val="Strong"/>
              </w:rPr>
              <w:t>Time period of coverage, no. of articles</w:t>
            </w:r>
          </w:p>
        </w:tc>
        <w:tc>
          <w:tcPr>
            <w:tcW w:w="2835" w:type="dxa"/>
            <w:noWrap/>
            <w:hideMark/>
          </w:tcPr>
          <w:p w:rsidR="00EA6F40" w:rsidRPr="002C66F1" w:rsidRDefault="00EA6F40" w:rsidP="002C66F1">
            <w:pPr>
              <w:rPr>
                <w:rStyle w:val="Strong"/>
              </w:rPr>
            </w:pPr>
            <w:r w:rsidRPr="002C66F1">
              <w:rPr>
                <w:rStyle w:val="Strong"/>
              </w:rPr>
              <w:t>Inclusion criteria</w:t>
            </w:r>
          </w:p>
        </w:tc>
        <w:tc>
          <w:tcPr>
            <w:tcW w:w="3260" w:type="dxa"/>
            <w:noWrap/>
            <w:hideMark/>
          </w:tcPr>
          <w:p w:rsidR="00EA6F40" w:rsidRPr="002C66F1" w:rsidRDefault="00EA6F40" w:rsidP="002C66F1">
            <w:pPr>
              <w:rPr>
                <w:rStyle w:val="Strong"/>
              </w:rPr>
            </w:pPr>
            <w:r w:rsidRPr="002C66F1">
              <w:rPr>
                <w:rStyle w:val="Strong"/>
              </w:rPr>
              <w:t>Exclusion criteria</w:t>
            </w:r>
          </w:p>
        </w:tc>
        <w:tc>
          <w:tcPr>
            <w:tcW w:w="2126" w:type="dxa"/>
            <w:noWrap/>
            <w:hideMark/>
          </w:tcPr>
          <w:p w:rsidR="00EA6F40" w:rsidRPr="002C66F1" w:rsidRDefault="00EA6F40" w:rsidP="002C66F1">
            <w:pPr>
              <w:rPr>
                <w:rStyle w:val="Strong"/>
              </w:rPr>
            </w:pPr>
            <w:r w:rsidRPr="002C66F1">
              <w:rPr>
                <w:rStyle w:val="Strong"/>
              </w:rPr>
              <w:t>Main findings</w:t>
            </w:r>
          </w:p>
        </w:tc>
        <w:tc>
          <w:tcPr>
            <w:tcW w:w="2268" w:type="dxa"/>
            <w:noWrap/>
            <w:hideMark/>
          </w:tcPr>
          <w:p w:rsidR="00EA6F40" w:rsidRPr="002C66F1" w:rsidRDefault="00EA6F40" w:rsidP="002C66F1">
            <w:pPr>
              <w:rPr>
                <w:rStyle w:val="Strong"/>
              </w:rPr>
            </w:pPr>
            <w:r w:rsidRPr="002C66F1">
              <w:rPr>
                <w:rStyle w:val="Strong"/>
              </w:rPr>
              <w:t>Comments</w:t>
            </w:r>
          </w:p>
        </w:tc>
      </w:tr>
      <w:tr w:rsidR="00EA6F40" w:rsidRPr="002C66F1" w:rsidTr="006473C7">
        <w:trPr>
          <w:trHeight w:val="284"/>
        </w:trPr>
        <w:tc>
          <w:tcPr>
            <w:tcW w:w="1440" w:type="dxa"/>
            <w:noWrap/>
            <w:hideMark/>
          </w:tcPr>
          <w:p w:rsidR="00EA6F40" w:rsidRPr="002C66F1" w:rsidRDefault="002C66F1" w:rsidP="002C66F1">
            <w:pPr>
              <w:rPr>
                <w:lang w:val="en-GB"/>
              </w:rPr>
            </w:pPr>
            <w:r>
              <w:rPr>
                <w:lang w:val="en-GB"/>
              </w:rPr>
              <w:t>Bougma et al, 2013</w:t>
            </w:r>
          </w:p>
        </w:tc>
        <w:tc>
          <w:tcPr>
            <w:tcW w:w="1800" w:type="dxa"/>
            <w:noWrap/>
            <w:hideMark/>
          </w:tcPr>
          <w:p w:rsidR="00EA6F40" w:rsidRPr="002C66F1" w:rsidRDefault="00EA6F40" w:rsidP="002C66F1">
            <w:pPr>
              <w:rPr>
                <w:lang w:val="en-GB"/>
              </w:rPr>
            </w:pPr>
            <w:r w:rsidRPr="002C66F1">
              <w:rPr>
                <w:lang w:val="en-GB"/>
              </w:rPr>
              <w:t xml:space="preserve">Using meta-analysis to examine the relationship between iodine and mental </w:t>
            </w:r>
            <w:r w:rsidRPr="002C66F1">
              <w:rPr>
                <w:lang w:val="en-GB"/>
              </w:rPr>
              <w:lastRenderedPageBreak/>
              <w:t>development of children 5 years old and under</w:t>
            </w:r>
          </w:p>
        </w:tc>
        <w:tc>
          <w:tcPr>
            <w:tcW w:w="1460" w:type="dxa"/>
            <w:hideMark/>
          </w:tcPr>
          <w:p w:rsidR="00EA6F40" w:rsidRPr="002C66F1" w:rsidRDefault="00EA6F40" w:rsidP="002C66F1">
            <w:pPr>
              <w:rPr>
                <w:lang w:val="en-GB"/>
              </w:rPr>
            </w:pPr>
            <w:r w:rsidRPr="002C66F1">
              <w:rPr>
                <w:lang w:val="en-GB"/>
              </w:rPr>
              <w:lastRenderedPageBreak/>
              <w:t>1980-2011, n=24</w:t>
            </w:r>
            <w:r w:rsidRPr="002C66F1">
              <w:rPr>
                <w:lang w:val="en-GB"/>
              </w:rPr>
              <w:br/>
              <w:t>(RCT: n=2)</w:t>
            </w:r>
            <w:r w:rsidRPr="002C66F1">
              <w:rPr>
                <w:lang w:val="en-GB"/>
              </w:rPr>
              <w:br/>
              <w:t>(non-RCT intervention: n=8)</w:t>
            </w:r>
            <w:r w:rsidRPr="002C66F1">
              <w:rPr>
                <w:lang w:val="en-GB"/>
              </w:rPr>
              <w:br/>
            </w:r>
            <w:r w:rsidRPr="002C66F1">
              <w:rPr>
                <w:lang w:val="en-GB"/>
              </w:rPr>
              <w:lastRenderedPageBreak/>
              <w:t>(Cohort prospective by maternal I status: n=9)</w:t>
            </w:r>
            <w:r w:rsidRPr="002C66F1">
              <w:rPr>
                <w:lang w:val="en-GB"/>
              </w:rPr>
              <w:br/>
              <w:t>(Cohort prospective by infant I status: n=4)</w:t>
            </w:r>
          </w:p>
        </w:tc>
        <w:tc>
          <w:tcPr>
            <w:tcW w:w="2835" w:type="dxa"/>
            <w:hideMark/>
          </w:tcPr>
          <w:p w:rsidR="00EA6F40" w:rsidRPr="002C66F1" w:rsidRDefault="00EA6F40" w:rsidP="002C66F1">
            <w:pPr>
              <w:rPr>
                <w:lang w:val="en-GB"/>
              </w:rPr>
            </w:pPr>
            <w:r w:rsidRPr="002C66F1">
              <w:rPr>
                <w:lang w:val="en-GB"/>
              </w:rPr>
              <w:lastRenderedPageBreak/>
              <w:t>1) Exposure to different iodine levels before pregnancy, during pregnancy or shortly after birth</w:t>
            </w:r>
            <w:r w:rsidRPr="002C66F1">
              <w:rPr>
                <w:lang w:val="en-GB"/>
              </w:rPr>
              <w:br/>
              <w:t xml:space="preserve">2) Examine iodine exposure and mental development </w:t>
            </w:r>
            <w:r w:rsidRPr="002C66F1">
              <w:rPr>
                <w:lang w:val="en-GB"/>
              </w:rPr>
              <w:lastRenderedPageBreak/>
              <w:t>outcome of children ≤5 years</w:t>
            </w:r>
            <w:r w:rsidRPr="002C66F1">
              <w:rPr>
                <w:lang w:val="en-GB"/>
              </w:rPr>
              <w:br/>
              <w:t>3) Have placebo, historical control, or iodine sufficient children of similar age as a control</w:t>
            </w:r>
          </w:p>
        </w:tc>
        <w:tc>
          <w:tcPr>
            <w:tcW w:w="3260" w:type="dxa"/>
            <w:hideMark/>
          </w:tcPr>
          <w:p w:rsidR="00EA6F40" w:rsidRPr="002C66F1" w:rsidRDefault="00EA6F40" w:rsidP="002C66F1">
            <w:pPr>
              <w:rPr>
                <w:lang w:val="en-GB"/>
              </w:rPr>
            </w:pPr>
            <w:r w:rsidRPr="002C66F1">
              <w:rPr>
                <w:lang w:val="en-GB"/>
              </w:rPr>
              <w:lastRenderedPageBreak/>
              <w:t>1) Use of non-standardized psychometric tests</w:t>
            </w:r>
            <w:r w:rsidRPr="002C66F1">
              <w:rPr>
                <w:lang w:val="en-GB"/>
              </w:rPr>
              <w:br/>
              <w:t>2) Sole focus on gross motor milestones</w:t>
            </w:r>
            <w:r w:rsidRPr="002C66F1">
              <w:rPr>
                <w:lang w:val="en-GB"/>
              </w:rPr>
              <w:br/>
              <w:t>3) Cross-sectional observational designs that compared iodine-</w:t>
            </w:r>
            <w:r w:rsidRPr="002C66F1">
              <w:rPr>
                <w:lang w:val="en-GB"/>
              </w:rPr>
              <w:lastRenderedPageBreak/>
              <w:t>sufficient with iodine-deficient communities</w:t>
            </w:r>
            <w:r w:rsidRPr="002C66F1">
              <w:rPr>
                <w:lang w:val="en-GB"/>
              </w:rPr>
              <w:br/>
              <w:t>4) Stratification of mothers based on an indicator of thyroid dysfunction and/or antibody status rather than iodine status</w:t>
            </w:r>
          </w:p>
        </w:tc>
        <w:tc>
          <w:tcPr>
            <w:tcW w:w="2126" w:type="dxa"/>
            <w:hideMark/>
          </w:tcPr>
          <w:p w:rsidR="00EA6F40" w:rsidRPr="002C66F1" w:rsidRDefault="00EA6F40" w:rsidP="002C66F1">
            <w:pPr>
              <w:rPr>
                <w:lang w:val="en-GB"/>
              </w:rPr>
            </w:pPr>
            <w:r w:rsidRPr="002C66F1">
              <w:rPr>
                <w:lang w:val="en-GB"/>
              </w:rPr>
              <w:lastRenderedPageBreak/>
              <w:t>Iodine deficient children had 6.9-10.2 IQ points lower than iodine replete children</w:t>
            </w:r>
          </w:p>
        </w:tc>
        <w:tc>
          <w:tcPr>
            <w:tcW w:w="2268" w:type="dxa"/>
            <w:noWrap/>
            <w:hideMark/>
          </w:tcPr>
          <w:p w:rsidR="00EA6F40" w:rsidRPr="002C66F1" w:rsidRDefault="00EA6F40" w:rsidP="002C66F1">
            <w:pPr>
              <w:rPr>
                <w:lang w:val="en-GB"/>
              </w:rPr>
            </w:pPr>
            <w:r w:rsidRPr="002C66F1">
              <w:rPr>
                <w:lang w:val="en-GB"/>
              </w:rPr>
              <w:t>Level I</w:t>
            </w:r>
          </w:p>
          <w:p w:rsidR="00EA6F40" w:rsidRPr="002C66F1" w:rsidRDefault="00EA6F40" w:rsidP="002C66F1">
            <w:pPr>
              <w:rPr>
                <w:lang w:val="en-GB"/>
              </w:rPr>
            </w:pPr>
            <w:r w:rsidRPr="002C66F1">
              <w:rPr>
                <w:lang w:val="en-GB"/>
              </w:rPr>
              <w:t xml:space="preserve">Consistent results across study designs. Early pregnancy supplementation has better outcomes than </w:t>
            </w:r>
            <w:r w:rsidRPr="002C66F1">
              <w:rPr>
                <w:lang w:val="en-GB"/>
              </w:rPr>
              <w:lastRenderedPageBreak/>
              <w:t>2</w:t>
            </w:r>
            <w:r w:rsidRPr="002C66F1">
              <w:rPr>
                <w:vertAlign w:val="superscript"/>
                <w:lang w:val="en-GB"/>
              </w:rPr>
              <w:t>nd</w:t>
            </w:r>
            <w:r w:rsidRPr="002C66F1">
              <w:rPr>
                <w:lang w:val="en-GB"/>
              </w:rPr>
              <w:t xml:space="preserve"> and 3</w:t>
            </w:r>
            <w:r w:rsidRPr="002C66F1">
              <w:rPr>
                <w:vertAlign w:val="superscript"/>
                <w:lang w:val="en-GB"/>
              </w:rPr>
              <w:t>rd</w:t>
            </w:r>
            <w:r w:rsidRPr="002C66F1">
              <w:rPr>
                <w:lang w:val="en-GB"/>
              </w:rPr>
              <w:t xml:space="preserve"> trimester, but only 2 RCTs, one in each (early vs late); both small N</w:t>
            </w:r>
          </w:p>
        </w:tc>
      </w:tr>
    </w:tbl>
    <w:p w:rsidR="00FF15A5" w:rsidRDefault="002C66F1" w:rsidP="006473C7">
      <w:pPr>
        <w:ind w:left="-360"/>
        <w:rPr>
          <w:lang w:val="en-GB"/>
        </w:rPr>
      </w:pPr>
      <w:r w:rsidRPr="002C66F1">
        <w:rPr>
          <w:lang w:val="en-GB"/>
        </w:rPr>
        <w:lastRenderedPageBreak/>
        <w:t>Abbreviation: RCT=randomised controlled trial;</w:t>
      </w:r>
    </w:p>
    <w:p w:rsidR="00EA6F40" w:rsidRPr="007F0430" w:rsidRDefault="00F36001" w:rsidP="006473C7">
      <w:pPr>
        <w:ind w:left="-360"/>
        <w:rPr>
          <w:rStyle w:val="Strong"/>
        </w:rPr>
      </w:pPr>
      <w:r w:rsidRPr="007F0430">
        <w:rPr>
          <w:rStyle w:val="Strong"/>
        </w:rPr>
        <w:t>Systematic review of RCT</w:t>
      </w:r>
    </w:p>
    <w:tbl>
      <w:tblPr>
        <w:tblStyle w:val="TableGrid"/>
        <w:tblW w:w="15120" w:type="dxa"/>
        <w:tblInd w:w="-432" w:type="dxa"/>
        <w:tblLook w:val="04A0" w:firstRow="1" w:lastRow="0" w:firstColumn="1" w:lastColumn="0" w:noHBand="0" w:noVBand="1"/>
        <w:tblDescription w:val="Table 7.5c Systematic review of RCT in pregnancy Estimated Average Requirement (EAR) and neurological outcomes in their children.  This table consists of 6 column heading; column 1. Author /date, column 2. Number of studies included, column 3. Search strategy, column 4. Studies included, column 5. Results of systematic review, column 6. Blank."/>
      </w:tblPr>
      <w:tblGrid>
        <w:gridCol w:w="1440"/>
        <w:gridCol w:w="1800"/>
        <w:gridCol w:w="3420"/>
        <w:gridCol w:w="4140"/>
        <w:gridCol w:w="4320"/>
      </w:tblGrid>
      <w:tr w:rsidR="00FF15A5" w:rsidTr="006473C7">
        <w:trPr>
          <w:tblHeader/>
        </w:trPr>
        <w:tc>
          <w:tcPr>
            <w:tcW w:w="1440" w:type="dxa"/>
          </w:tcPr>
          <w:p w:rsidR="00FF15A5" w:rsidRPr="002C66F1" w:rsidRDefault="00FF15A5" w:rsidP="002C66F1">
            <w:pPr>
              <w:rPr>
                <w:rStyle w:val="Strong"/>
              </w:rPr>
            </w:pPr>
            <w:r w:rsidRPr="002C66F1">
              <w:rPr>
                <w:rStyle w:val="Strong"/>
              </w:rPr>
              <w:t>Author, date</w:t>
            </w:r>
          </w:p>
        </w:tc>
        <w:tc>
          <w:tcPr>
            <w:tcW w:w="1800" w:type="dxa"/>
          </w:tcPr>
          <w:p w:rsidR="00FF15A5" w:rsidRPr="002C66F1" w:rsidRDefault="00FF15A5" w:rsidP="002C66F1">
            <w:pPr>
              <w:rPr>
                <w:rStyle w:val="Strong"/>
              </w:rPr>
            </w:pPr>
            <w:r w:rsidRPr="002C66F1">
              <w:rPr>
                <w:rStyle w:val="Strong"/>
              </w:rPr>
              <w:t>Number of studies included</w:t>
            </w:r>
          </w:p>
        </w:tc>
        <w:tc>
          <w:tcPr>
            <w:tcW w:w="3420" w:type="dxa"/>
          </w:tcPr>
          <w:p w:rsidR="00FF15A5" w:rsidRPr="002C66F1" w:rsidRDefault="00FF15A5" w:rsidP="002C66F1">
            <w:pPr>
              <w:rPr>
                <w:rStyle w:val="Strong"/>
              </w:rPr>
            </w:pPr>
            <w:r w:rsidRPr="002C66F1">
              <w:rPr>
                <w:rStyle w:val="Strong"/>
              </w:rPr>
              <w:t>Search strategy</w:t>
            </w:r>
          </w:p>
        </w:tc>
        <w:tc>
          <w:tcPr>
            <w:tcW w:w="4140" w:type="dxa"/>
          </w:tcPr>
          <w:p w:rsidR="00FF15A5" w:rsidRPr="002C66F1" w:rsidRDefault="00FF15A5" w:rsidP="002C66F1">
            <w:pPr>
              <w:rPr>
                <w:rStyle w:val="Strong"/>
              </w:rPr>
            </w:pPr>
            <w:r w:rsidRPr="002C66F1">
              <w:rPr>
                <w:rStyle w:val="Strong"/>
              </w:rPr>
              <w:t>Studies included</w:t>
            </w:r>
          </w:p>
        </w:tc>
        <w:tc>
          <w:tcPr>
            <w:tcW w:w="4320" w:type="dxa"/>
          </w:tcPr>
          <w:p w:rsidR="00FF15A5" w:rsidRPr="002C66F1" w:rsidRDefault="00FF15A5" w:rsidP="002C66F1">
            <w:pPr>
              <w:rPr>
                <w:rStyle w:val="Strong"/>
              </w:rPr>
            </w:pPr>
            <w:r w:rsidRPr="002C66F1">
              <w:rPr>
                <w:rStyle w:val="Strong"/>
              </w:rPr>
              <w:t>Results of systematic review</w:t>
            </w:r>
          </w:p>
        </w:tc>
      </w:tr>
      <w:tr w:rsidR="00FF15A5" w:rsidTr="006473C7">
        <w:tc>
          <w:tcPr>
            <w:tcW w:w="1440" w:type="dxa"/>
          </w:tcPr>
          <w:p w:rsidR="00FF15A5" w:rsidRPr="002C66F1" w:rsidRDefault="00FF15A5" w:rsidP="000117BF">
            <w:pPr>
              <w:rPr>
                <w:shd w:val="clear" w:color="auto" w:fill="FFFFFF"/>
              </w:rPr>
            </w:pPr>
            <w:r w:rsidRPr="002C66F1">
              <w:rPr>
                <w:shd w:val="clear" w:color="auto" w:fill="FFFFFF"/>
              </w:rPr>
              <w:t xml:space="preserve">Zhou et al, 2013 </w:t>
            </w:r>
          </w:p>
        </w:tc>
        <w:tc>
          <w:tcPr>
            <w:tcW w:w="1800" w:type="dxa"/>
          </w:tcPr>
          <w:p w:rsidR="00FF15A5" w:rsidRPr="002C66F1" w:rsidRDefault="00FF15A5" w:rsidP="000117BF">
            <w:r w:rsidRPr="002C66F1">
              <w:t xml:space="preserve">12 RCTs </w:t>
            </w:r>
          </w:p>
        </w:tc>
        <w:tc>
          <w:tcPr>
            <w:tcW w:w="3420" w:type="dxa"/>
          </w:tcPr>
          <w:p w:rsidR="00FF15A5" w:rsidRPr="002C66F1" w:rsidRDefault="00FF15A5" w:rsidP="000117BF">
            <w:pPr>
              <w:rPr>
                <w:rFonts w:cs="Lucida Grande"/>
              </w:rPr>
            </w:pPr>
            <w:r w:rsidRPr="002C66F1">
              <w:rPr>
                <w:rFonts w:cs="Lucida Grande"/>
              </w:rPr>
              <w:t>Cochrane Central Register of Controlled Trials, EMBASE, MEDLINE, Cumulative Index to Nursing and Allied Health Lit</w:t>
            </w:r>
            <w:r>
              <w:rPr>
                <w:rFonts w:cs="Lucida Grande"/>
              </w:rPr>
              <w:t>erature and PsycINFO databases.</w:t>
            </w:r>
          </w:p>
        </w:tc>
        <w:tc>
          <w:tcPr>
            <w:tcW w:w="4140" w:type="dxa"/>
          </w:tcPr>
          <w:p w:rsidR="00FF15A5" w:rsidRPr="002C66F1" w:rsidRDefault="00FF15A5" w:rsidP="000117BF">
            <w:pPr>
              <w:rPr>
                <w:rFonts w:cs="Lucida Grande"/>
              </w:rPr>
            </w:pPr>
            <w:r w:rsidRPr="002C66F1">
              <w:rPr>
                <w:rFonts w:cs="Lucida Grande"/>
              </w:rPr>
              <w:t xml:space="preserve">All RCTs comparing the effect of iodine supplementation with a parallel control group who received no iodine supplementation (or placebo) during pregnancy or the preconceptional period on clinical or biochemical outcomes were eligible for inclusion in the review. </w:t>
            </w:r>
          </w:p>
          <w:p w:rsidR="00FF15A5" w:rsidRPr="002C66F1" w:rsidRDefault="00FF15A5" w:rsidP="000117BF">
            <w:r w:rsidRPr="002C66F1">
              <w:rPr>
                <w:rFonts w:cs="Lucida Grande"/>
              </w:rPr>
              <w:t xml:space="preserve">Pregnant women or those of childbearing age regardless of iodine status or gestation at trial entry were included. Trials were eligible for inclusion in which women received any form of iodine </w:t>
            </w:r>
            <w:r w:rsidRPr="002C66F1">
              <w:rPr>
                <w:rFonts w:cs="Lucida Grande"/>
              </w:rPr>
              <w:lastRenderedPageBreak/>
              <w:t xml:space="preserve">supplementation, with or without other nutrients, in which the only difference between the treatment and comparison group was the presence or absence of iodine. The primary outcome was the cognitive development of children. </w:t>
            </w:r>
            <w:r w:rsidRPr="006C62F5">
              <w:rPr>
                <w:rStyle w:val="Emphasis"/>
              </w:rPr>
              <w:t>Secondary outcomes included pregnancy and birth out- comes, childhood growth and mortality, iodine status, and thyroid function of mothers and infants. The search was restricted to human studies without language restrictions.</w:t>
            </w:r>
          </w:p>
        </w:tc>
        <w:tc>
          <w:tcPr>
            <w:tcW w:w="4320" w:type="dxa"/>
          </w:tcPr>
          <w:p w:rsidR="00FF15A5" w:rsidRPr="002C66F1" w:rsidRDefault="00FF15A5" w:rsidP="000117BF">
            <w:pPr>
              <w:rPr>
                <w:rFonts w:cs="Lucida Grande"/>
              </w:rPr>
            </w:pPr>
            <w:r w:rsidRPr="002C66F1">
              <w:rPr>
                <w:rFonts w:cs="Lucida Grande"/>
              </w:rPr>
              <w:lastRenderedPageBreak/>
              <w:t>No obvious dose-response relation was seen. The effects of iodine supplementation on changes in thyroid hormone concentrations in mothers and infants were not consistent</w:t>
            </w:r>
          </w:p>
          <w:p w:rsidR="00FF15A5" w:rsidRPr="002C66F1" w:rsidRDefault="00FF15A5" w:rsidP="000117BF">
            <w:pPr>
              <w:rPr>
                <w:rFonts w:cs="Lucida Grande"/>
              </w:rPr>
            </w:pPr>
            <w:r w:rsidRPr="002C66F1">
              <w:rPr>
                <w:rFonts w:cs="Lucida Grande"/>
              </w:rPr>
              <w:t xml:space="preserve">When assessed in mothers, higher thyroxine concentrations were reported in 1 of 5 trials, lower TSH was reported in 1 of 6 trials, and lower thyroglobulin concentrations were reported in 2 of 4 trials in the iodine-supplemented group compared with control group. In infants of iodine-supplemented mothers, significant reductions in cord blood </w:t>
            </w:r>
            <w:r w:rsidRPr="002C66F1">
              <w:rPr>
                <w:rFonts w:cs="Lucida Grande"/>
              </w:rPr>
              <w:lastRenderedPageBreak/>
              <w:t>thyroglobulin were observed in 2 of 4 trials, and cord blood thyroxine was increased in 1 of 3 trials. There were no reports of significant changes in maternal triiodothyronine/free triiodothyronine or TBG, infant free thyroxine, triiodothyronine, TBG, or TSH between supplemented and control groups.</w:t>
            </w:r>
          </w:p>
          <w:p w:rsidR="00FF15A5" w:rsidRPr="00FF15A5" w:rsidRDefault="00FF15A5" w:rsidP="000117BF">
            <w:pPr>
              <w:rPr>
                <w:rFonts w:cs="Lucida Grande"/>
              </w:rPr>
            </w:pPr>
            <w:r w:rsidRPr="002C66F1">
              <w:rPr>
                <w:rFonts w:cs="Lucida Grande"/>
              </w:rPr>
              <w:t>Women in the iodine-supplemented group compared with women in the control group had lower thyroid volumes in 1 of 2 trials that reported this outcome. Two other trials showed that supplementation reduced pregnancy increases in maternal thyroid volume; however, results were analyzed as percentage changes within groups and not based on the intention-to-treat principle. Children of supplemented mothers had lower thyroid volumes than did children of non-supplemented mothers in the 2 tri</w:t>
            </w:r>
            <w:r>
              <w:rPr>
                <w:rFonts w:cs="Lucida Grande"/>
              </w:rPr>
              <w:t>als that reported this outcome.</w:t>
            </w:r>
          </w:p>
        </w:tc>
      </w:tr>
    </w:tbl>
    <w:p w:rsidR="00EA6F40" w:rsidRPr="00C875F5" w:rsidRDefault="00EA6F40" w:rsidP="006473C7">
      <w:pPr>
        <w:ind w:left="-360"/>
      </w:pPr>
      <w:r w:rsidRPr="006C62F5">
        <w:lastRenderedPageBreak/>
        <w:t>Abbreviations:</w:t>
      </w:r>
      <w:r w:rsidRPr="00C875F5">
        <w:t xml:space="preserve"> AI Adequate Intake, BMI Body Mass Index, CI Confidence Interval, EI Excessive Intake, OR Odds ratio, UIC Urinary Iodine Concentration, RR relative risk, TV thyroid volume</w:t>
      </w:r>
    </w:p>
    <w:p w:rsidR="00EA6F40" w:rsidRPr="00C875F5" w:rsidRDefault="00EA6F40" w:rsidP="006473C7">
      <w:pPr>
        <w:ind w:left="-360"/>
      </w:pPr>
      <w:r w:rsidRPr="00C875F5">
        <w:rPr>
          <w:vertAlign w:val="superscript"/>
        </w:rPr>
        <w:t>1</w:t>
      </w:r>
      <w:r w:rsidRPr="00C875F5">
        <w:t xml:space="preserve"> FT</w:t>
      </w:r>
      <w:r w:rsidRPr="00C875F5">
        <w:rPr>
          <w:vertAlign w:val="subscript"/>
        </w:rPr>
        <w:t>3,</w:t>
      </w:r>
      <w:r w:rsidRPr="00C875F5">
        <w:t xml:space="preserve"> free triiodothyronine; FT4, free thyroxine; m, months; MUI, median urinary iodine; MUIE, mean urinary iodine excretion; n, number; No diff, no difference; NR, not reported; P, probability; PP, postpartum; PPTD, postpartum thyroid dysfunction;  rT</w:t>
      </w:r>
      <w:r w:rsidRPr="00C875F5">
        <w:rPr>
          <w:vertAlign w:val="subscript"/>
        </w:rPr>
        <w:t>3</w:t>
      </w:r>
      <w:r w:rsidRPr="00C875F5">
        <w:t>, reverse T</w:t>
      </w:r>
      <w:r w:rsidRPr="00C875F5">
        <w:rPr>
          <w:vertAlign w:val="subscript"/>
        </w:rPr>
        <w:t>3</w:t>
      </w:r>
      <w:r w:rsidRPr="00C875F5">
        <w:t>; T</w:t>
      </w:r>
      <w:r w:rsidRPr="00C875F5">
        <w:rPr>
          <w:vertAlign w:val="subscript"/>
        </w:rPr>
        <w:t>3</w:t>
      </w:r>
      <w:r w:rsidRPr="00C875F5">
        <w:t>, triiodothyronine; T</w:t>
      </w:r>
      <w:r w:rsidRPr="00C875F5">
        <w:rPr>
          <w:vertAlign w:val="subscript"/>
        </w:rPr>
        <w:t>4</w:t>
      </w:r>
      <w:r w:rsidRPr="00C875F5">
        <w:t>, thyroxine; TBG, thyroxine-binding globulin; Tg, thyroglobulin; Tg-Ab, thyroglobulin antibodies; TM, trimester; TPO-Ab, thyroid peroxidase antibodies; TSH, thyroid-stimulating hormone or thyrotropin; TT</w:t>
      </w:r>
      <w:r w:rsidRPr="00C875F5">
        <w:rPr>
          <w:vertAlign w:val="subscript"/>
        </w:rPr>
        <w:t>3,</w:t>
      </w:r>
      <w:r w:rsidRPr="00C875F5">
        <w:t xml:space="preserve"> total triiodothyronine; TT</w:t>
      </w:r>
      <w:r w:rsidRPr="00C875F5">
        <w:rPr>
          <w:vertAlign w:val="subscript"/>
        </w:rPr>
        <w:t>4,</w:t>
      </w:r>
      <w:r w:rsidRPr="00C875F5">
        <w:t xml:space="preserve"> total thyroxine; UI, urinary iodine; wk(s), week(s); yr(s), year(s)</w:t>
      </w:r>
    </w:p>
    <w:p w:rsidR="00EA6F40" w:rsidRPr="006C62F5" w:rsidRDefault="00EA6F40" w:rsidP="006473C7">
      <w:pPr>
        <w:ind w:left="-360"/>
      </w:pPr>
      <w:r w:rsidRPr="006C62F5">
        <w:lastRenderedPageBreak/>
        <w:t>Abbreviation: PW=PW UICR=urinary iodine-to-creatinine ratio; ID=iodine deficiency; UIC=urinary iodine concentration; SFFQ=semiquantitative food frequency questionnaire; h=hour; y=year; m=monthT4=throxin 4;</w:t>
      </w:r>
    </w:p>
    <w:p w:rsidR="00EA6F40" w:rsidRPr="00C875F5" w:rsidRDefault="00EA6F40" w:rsidP="00EA6F40">
      <w:pPr>
        <w:rPr>
          <w:sz w:val="16"/>
          <w:szCs w:val="16"/>
        </w:rPr>
        <w:sectPr w:rsidR="00EA6F40" w:rsidRPr="00C875F5" w:rsidSect="006473C7">
          <w:pgSz w:w="16838" w:h="11906" w:orient="landscape"/>
          <w:pgMar w:top="1258" w:right="1440" w:bottom="1797" w:left="1440" w:header="709" w:footer="709" w:gutter="0"/>
          <w:cols w:space="708"/>
          <w:docGrid w:linePitch="360"/>
        </w:sectPr>
      </w:pPr>
    </w:p>
    <w:p w:rsidR="00EA6F40" w:rsidRPr="00C875F5" w:rsidRDefault="00EA6F40" w:rsidP="000A4E22">
      <w:pPr>
        <w:pStyle w:val="Heading2"/>
      </w:pPr>
      <w:bookmarkStart w:id="203" w:name="_Appendix_3:_Studies"/>
      <w:bookmarkStart w:id="204" w:name="_Toc433621811"/>
      <w:bookmarkEnd w:id="203"/>
      <w:r>
        <w:lastRenderedPageBreak/>
        <w:t xml:space="preserve">Appendix 3: </w:t>
      </w:r>
      <w:r w:rsidRPr="00C875F5">
        <w:t>Studies relating to UL for Children</w:t>
      </w:r>
      <w:bookmarkEnd w:id="204"/>
      <w:r w:rsidRPr="00C875F5">
        <w:t xml:space="preserve"> </w:t>
      </w:r>
    </w:p>
    <w:p w:rsidR="00EA6F40" w:rsidRDefault="007F0430" w:rsidP="00AE0695">
      <w:pPr>
        <w:pStyle w:val="Caption"/>
      </w:pPr>
      <w:bookmarkStart w:id="205" w:name="_Ref430950528"/>
      <w:r>
        <w:t xml:space="preserve">Table </w:t>
      </w:r>
      <w:r w:rsidR="00CA2AA1">
        <w:fldChar w:fldCharType="begin"/>
      </w:r>
      <w:r w:rsidR="00CA2AA1">
        <w:instrText xml:space="preserve"> STYLEREF 1 \s </w:instrText>
      </w:r>
      <w:r w:rsidR="00CA2AA1">
        <w:fldChar w:fldCharType="separate"/>
      </w:r>
      <w:r w:rsidR="00CA2AA1">
        <w:rPr>
          <w:noProof/>
        </w:rPr>
        <w:t>7</w:t>
      </w:r>
      <w:r w:rsidR="00CA2AA1">
        <w:fldChar w:fldCharType="end"/>
      </w:r>
      <w:r w:rsidR="00CA2AA1">
        <w:t>:</w:t>
      </w:r>
      <w:r w:rsidR="00CA2AA1">
        <w:fldChar w:fldCharType="begin"/>
      </w:r>
      <w:r w:rsidR="00CA2AA1">
        <w:instrText xml:space="preserve"> SEQ Table \* ARABIC \s 1 </w:instrText>
      </w:r>
      <w:r w:rsidR="00CA2AA1">
        <w:fldChar w:fldCharType="separate"/>
      </w:r>
      <w:r w:rsidR="00CA2AA1">
        <w:rPr>
          <w:noProof/>
        </w:rPr>
        <w:t>6</w:t>
      </w:r>
      <w:r w:rsidR="00CA2AA1">
        <w:fldChar w:fldCharType="end"/>
      </w:r>
      <w:bookmarkEnd w:id="205"/>
      <w:r w:rsidR="000117BF">
        <w:t xml:space="preserve"> </w:t>
      </w:r>
      <w:r w:rsidR="00EA6F40" w:rsidRPr="00D73D06">
        <w:t>GRADE evaluation of Zimmerman et al (2005) paper used for determination of UL in children</w:t>
      </w:r>
    </w:p>
    <w:p w:rsidR="000117BF" w:rsidRPr="0010683D" w:rsidRDefault="000117BF" w:rsidP="006473C7">
      <w:pPr>
        <w:spacing w:after="0"/>
        <w:ind w:left="-360"/>
        <w:rPr>
          <w:rStyle w:val="Strong"/>
        </w:rPr>
      </w:pPr>
      <w:r w:rsidRPr="0010683D">
        <w:rPr>
          <w:rStyle w:val="Strong"/>
        </w:rPr>
        <w:t>Author(s)</w:t>
      </w:r>
      <w:r w:rsidR="0010683D" w:rsidRPr="0010683D">
        <w:rPr>
          <w:rStyle w:val="Strong"/>
        </w:rPr>
        <w:t>:</w:t>
      </w:r>
    </w:p>
    <w:p w:rsidR="000117BF" w:rsidRPr="0010683D" w:rsidRDefault="000117BF" w:rsidP="006473C7">
      <w:pPr>
        <w:spacing w:before="0" w:after="0"/>
        <w:ind w:left="-360"/>
        <w:rPr>
          <w:rStyle w:val="Strong"/>
        </w:rPr>
      </w:pPr>
      <w:r w:rsidRPr="0010683D">
        <w:rPr>
          <w:rStyle w:val="Strong"/>
        </w:rPr>
        <w:t>Date:</w:t>
      </w:r>
    </w:p>
    <w:p w:rsidR="000117BF" w:rsidRDefault="000117BF" w:rsidP="006473C7">
      <w:pPr>
        <w:spacing w:before="0" w:after="20"/>
        <w:ind w:left="-360"/>
      </w:pPr>
      <w:r w:rsidRPr="0010683D">
        <w:rPr>
          <w:rStyle w:val="Strong"/>
        </w:rPr>
        <w:t>Question:</w:t>
      </w:r>
      <w:r w:rsidR="007F0430">
        <w:t xml:space="preserve"> Iodine intake (urinary Iodine &lt;300mc g/L) for normal thyroid function compared to Iodine intake (urinary iodine &gt;300mc g/L) for abnormal thyroid fuction (measured by increased thyroid volume/hormone</w:t>
      </w:r>
      <w:r w:rsidR="0010683D">
        <w:t xml:space="preserve"> levels) for children 9-13 years</w:t>
      </w:r>
    </w:p>
    <w:p w:rsidR="000117BF" w:rsidRDefault="0010683D" w:rsidP="006473C7">
      <w:pPr>
        <w:spacing w:before="0" w:after="0"/>
        <w:ind w:left="-360"/>
      </w:pPr>
      <w:r w:rsidRPr="0010683D">
        <w:rPr>
          <w:rStyle w:val="Strong"/>
        </w:rPr>
        <w:t>Setting:</w:t>
      </w:r>
      <w:r>
        <w:t xml:space="preserve"> general population</w:t>
      </w:r>
    </w:p>
    <w:p w:rsidR="000117BF" w:rsidRPr="0010683D" w:rsidRDefault="000117BF" w:rsidP="006473C7">
      <w:pPr>
        <w:spacing w:before="0"/>
        <w:ind w:left="-360"/>
        <w:rPr>
          <w:rStyle w:val="Strong"/>
        </w:rPr>
      </w:pPr>
      <w:r w:rsidRPr="0010683D">
        <w:rPr>
          <w:rStyle w:val="Strong"/>
        </w:rPr>
        <w:t>Bibliography (systematic review):</w:t>
      </w:r>
    </w:p>
    <w:tbl>
      <w:tblPr>
        <w:tblStyle w:val="TableGrid"/>
        <w:tblW w:w="15660" w:type="dxa"/>
        <w:tblInd w:w="-432" w:type="dxa"/>
        <w:tblLayout w:type="fixed"/>
        <w:tblLook w:val="04A0" w:firstRow="1" w:lastRow="0" w:firstColumn="1" w:lastColumn="0" w:noHBand="0" w:noVBand="1"/>
        <w:tblDescription w:val="Table 7.6 Evaluates the use for determining Upper Levels of Intake (UL) in children (Zimmerman et al 2005).  This table contains 5 column headings; column 1. Quality assessment (this is split into 7 sub-columns), column 2. number of patients (this is split by 2 sub-columns), column 3. Effect, column 4. Quality and column 5. Importance."/>
      </w:tblPr>
      <w:tblGrid>
        <w:gridCol w:w="1121"/>
        <w:gridCol w:w="1219"/>
        <w:gridCol w:w="1104"/>
        <w:gridCol w:w="1452"/>
        <w:gridCol w:w="1327"/>
        <w:gridCol w:w="1285"/>
        <w:gridCol w:w="952"/>
        <w:gridCol w:w="1828"/>
        <w:gridCol w:w="1836"/>
        <w:gridCol w:w="836"/>
        <w:gridCol w:w="900"/>
        <w:gridCol w:w="1080"/>
        <w:gridCol w:w="720"/>
      </w:tblGrid>
      <w:tr w:rsidR="000117BF" w:rsidRPr="000117BF" w:rsidTr="006473C7">
        <w:trPr>
          <w:trHeight w:val="597"/>
          <w:tblHeader/>
        </w:trPr>
        <w:tc>
          <w:tcPr>
            <w:tcW w:w="8460" w:type="dxa"/>
            <w:gridSpan w:val="7"/>
            <w:shd w:val="clear" w:color="auto" w:fill="F2F2F2" w:themeFill="background1" w:themeFillShade="F2"/>
          </w:tcPr>
          <w:p w:rsidR="000117BF" w:rsidRPr="000117BF" w:rsidRDefault="000117BF" w:rsidP="000117BF">
            <w:pPr>
              <w:jc w:val="center"/>
              <w:rPr>
                <w:rStyle w:val="Strong"/>
              </w:rPr>
            </w:pPr>
            <w:r w:rsidRPr="000117BF">
              <w:rPr>
                <w:rStyle w:val="Strong"/>
              </w:rPr>
              <w:t>Quality assessment</w:t>
            </w:r>
          </w:p>
        </w:tc>
        <w:tc>
          <w:tcPr>
            <w:tcW w:w="3664" w:type="dxa"/>
            <w:gridSpan w:val="2"/>
            <w:shd w:val="clear" w:color="auto" w:fill="F2F2F2" w:themeFill="background1" w:themeFillShade="F2"/>
          </w:tcPr>
          <w:p w:rsidR="000117BF" w:rsidRPr="000117BF" w:rsidRDefault="000117BF" w:rsidP="000117BF">
            <w:pPr>
              <w:jc w:val="center"/>
              <w:rPr>
                <w:rStyle w:val="Strong"/>
              </w:rPr>
            </w:pPr>
            <w:r w:rsidRPr="000117BF">
              <w:rPr>
                <w:rStyle w:val="Strong"/>
              </w:rPr>
              <w:t>No of patients</w:t>
            </w:r>
          </w:p>
        </w:tc>
        <w:tc>
          <w:tcPr>
            <w:tcW w:w="1736" w:type="dxa"/>
            <w:gridSpan w:val="2"/>
            <w:shd w:val="clear" w:color="auto" w:fill="F2F2F2" w:themeFill="background1" w:themeFillShade="F2"/>
          </w:tcPr>
          <w:p w:rsidR="000117BF" w:rsidRPr="000117BF" w:rsidRDefault="000117BF" w:rsidP="000117BF">
            <w:pPr>
              <w:jc w:val="center"/>
              <w:rPr>
                <w:rStyle w:val="Strong"/>
              </w:rPr>
            </w:pPr>
            <w:r w:rsidRPr="000117BF">
              <w:rPr>
                <w:rStyle w:val="Strong"/>
              </w:rPr>
              <w:t>Effect</w:t>
            </w:r>
          </w:p>
        </w:tc>
        <w:tc>
          <w:tcPr>
            <w:tcW w:w="1080" w:type="dxa"/>
            <w:shd w:val="clear" w:color="auto" w:fill="F2F2F2" w:themeFill="background1" w:themeFillShade="F2"/>
          </w:tcPr>
          <w:p w:rsidR="000117BF" w:rsidRPr="000117BF" w:rsidRDefault="000117BF" w:rsidP="000117BF">
            <w:pPr>
              <w:rPr>
                <w:rStyle w:val="Strong"/>
              </w:rPr>
            </w:pPr>
            <w:r w:rsidRPr="000117BF">
              <w:rPr>
                <w:rStyle w:val="Strong"/>
              </w:rPr>
              <w:t>Quality</w:t>
            </w:r>
          </w:p>
        </w:tc>
        <w:tc>
          <w:tcPr>
            <w:tcW w:w="720" w:type="dxa"/>
            <w:shd w:val="clear" w:color="auto" w:fill="F2F2F2" w:themeFill="background1" w:themeFillShade="F2"/>
          </w:tcPr>
          <w:p w:rsidR="000117BF" w:rsidRPr="000117BF" w:rsidRDefault="000117BF" w:rsidP="006473C7">
            <w:pPr>
              <w:ind w:left="72"/>
              <w:rPr>
                <w:rStyle w:val="Strong"/>
              </w:rPr>
            </w:pPr>
            <w:r w:rsidRPr="000117BF">
              <w:rPr>
                <w:rStyle w:val="Strong"/>
              </w:rPr>
              <w:t>Importance</w:t>
            </w:r>
          </w:p>
        </w:tc>
      </w:tr>
      <w:tr w:rsidR="000117BF" w:rsidRPr="000117BF" w:rsidTr="006473C7">
        <w:trPr>
          <w:tblHeader/>
        </w:trPr>
        <w:tc>
          <w:tcPr>
            <w:tcW w:w="1121" w:type="dxa"/>
            <w:shd w:val="clear" w:color="auto" w:fill="F2F2F2" w:themeFill="background1" w:themeFillShade="F2"/>
          </w:tcPr>
          <w:p w:rsidR="000117BF" w:rsidRPr="000117BF" w:rsidRDefault="000117BF" w:rsidP="000117BF">
            <w:pPr>
              <w:rPr>
                <w:rStyle w:val="Strong"/>
              </w:rPr>
            </w:pPr>
            <w:r w:rsidRPr="000117BF">
              <w:rPr>
                <w:rStyle w:val="Strong"/>
              </w:rPr>
              <w:t xml:space="preserve">No of studies </w:t>
            </w:r>
          </w:p>
        </w:tc>
        <w:tc>
          <w:tcPr>
            <w:tcW w:w="1219" w:type="dxa"/>
            <w:shd w:val="clear" w:color="auto" w:fill="F2F2F2" w:themeFill="background1" w:themeFillShade="F2"/>
          </w:tcPr>
          <w:p w:rsidR="000117BF" w:rsidRPr="000117BF" w:rsidRDefault="000117BF" w:rsidP="000117BF">
            <w:pPr>
              <w:rPr>
                <w:rStyle w:val="Strong"/>
              </w:rPr>
            </w:pPr>
            <w:r w:rsidRPr="000117BF">
              <w:rPr>
                <w:rStyle w:val="Strong"/>
              </w:rPr>
              <w:t>Study design</w:t>
            </w:r>
          </w:p>
        </w:tc>
        <w:tc>
          <w:tcPr>
            <w:tcW w:w="1104" w:type="dxa"/>
            <w:shd w:val="clear" w:color="auto" w:fill="F2F2F2" w:themeFill="background1" w:themeFillShade="F2"/>
          </w:tcPr>
          <w:p w:rsidR="000117BF" w:rsidRPr="000117BF" w:rsidRDefault="000117BF" w:rsidP="006473C7">
            <w:pPr>
              <w:rPr>
                <w:rStyle w:val="Strong"/>
              </w:rPr>
            </w:pPr>
            <w:r w:rsidRPr="000117BF">
              <w:rPr>
                <w:rStyle w:val="Strong"/>
              </w:rPr>
              <w:t>Risk of bias</w:t>
            </w:r>
          </w:p>
        </w:tc>
        <w:tc>
          <w:tcPr>
            <w:tcW w:w="1452" w:type="dxa"/>
            <w:shd w:val="clear" w:color="auto" w:fill="F2F2F2" w:themeFill="background1" w:themeFillShade="F2"/>
          </w:tcPr>
          <w:p w:rsidR="000117BF" w:rsidRPr="000117BF" w:rsidRDefault="000117BF" w:rsidP="000117BF">
            <w:pPr>
              <w:rPr>
                <w:rStyle w:val="Strong"/>
              </w:rPr>
            </w:pPr>
            <w:r w:rsidRPr="000117BF">
              <w:rPr>
                <w:rStyle w:val="Strong"/>
              </w:rPr>
              <w:t xml:space="preserve">Inconsistency </w:t>
            </w:r>
          </w:p>
        </w:tc>
        <w:tc>
          <w:tcPr>
            <w:tcW w:w="1327" w:type="dxa"/>
            <w:shd w:val="clear" w:color="auto" w:fill="F2F2F2" w:themeFill="background1" w:themeFillShade="F2"/>
          </w:tcPr>
          <w:p w:rsidR="000117BF" w:rsidRPr="000117BF" w:rsidRDefault="000117BF" w:rsidP="000117BF">
            <w:pPr>
              <w:rPr>
                <w:rStyle w:val="Strong"/>
              </w:rPr>
            </w:pPr>
            <w:r w:rsidRPr="000117BF">
              <w:rPr>
                <w:rStyle w:val="Strong"/>
              </w:rPr>
              <w:t>Indirectness</w:t>
            </w:r>
          </w:p>
        </w:tc>
        <w:tc>
          <w:tcPr>
            <w:tcW w:w="1285" w:type="dxa"/>
            <w:shd w:val="clear" w:color="auto" w:fill="F2F2F2" w:themeFill="background1" w:themeFillShade="F2"/>
          </w:tcPr>
          <w:p w:rsidR="000117BF" w:rsidRPr="000117BF" w:rsidRDefault="000117BF" w:rsidP="000117BF">
            <w:pPr>
              <w:rPr>
                <w:rStyle w:val="Strong"/>
              </w:rPr>
            </w:pPr>
            <w:r w:rsidRPr="000117BF">
              <w:rPr>
                <w:rStyle w:val="Strong"/>
              </w:rPr>
              <w:t>Imprecision</w:t>
            </w:r>
          </w:p>
        </w:tc>
        <w:tc>
          <w:tcPr>
            <w:tcW w:w="952" w:type="dxa"/>
            <w:shd w:val="clear" w:color="auto" w:fill="F2F2F2" w:themeFill="background1" w:themeFillShade="F2"/>
          </w:tcPr>
          <w:p w:rsidR="000117BF" w:rsidRPr="000117BF" w:rsidRDefault="000117BF" w:rsidP="000117BF">
            <w:pPr>
              <w:rPr>
                <w:rStyle w:val="Strong"/>
              </w:rPr>
            </w:pPr>
            <w:r w:rsidRPr="000117BF">
              <w:rPr>
                <w:rStyle w:val="Strong"/>
              </w:rPr>
              <w:t>Other considerations</w:t>
            </w:r>
          </w:p>
        </w:tc>
        <w:tc>
          <w:tcPr>
            <w:tcW w:w="1828" w:type="dxa"/>
            <w:shd w:val="clear" w:color="auto" w:fill="F2F2F2" w:themeFill="background1" w:themeFillShade="F2"/>
          </w:tcPr>
          <w:p w:rsidR="000117BF" w:rsidRPr="000117BF" w:rsidRDefault="000117BF" w:rsidP="000117BF">
            <w:pPr>
              <w:rPr>
                <w:rStyle w:val="Strong"/>
              </w:rPr>
            </w:pPr>
            <w:r w:rsidRPr="000117BF">
              <w:rPr>
                <w:rStyle w:val="Strong"/>
              </w:rPr>
              <w:t>Iodine Intake (urinary Iodine &lt;300mcg/L for normal thyroid function</w:t>
            </w:r>
          </w:p>
        </w:tc>
        <w:tc>
          <w:tcPr>
            <w:tcW w:w="1836" w:type="dxa"/>
            <w:shd w:val="clear" w:color="auto" w:fill="F2F2F2" w:themeFill="background1" w:themeFillShade="F2"/>
          </w:tcPr>
          <w:p w:rsidR="000117BF" w:rsidRPr="000117BF" w:rsidRDefault="000117BF" w:rsidP="000117BF">
            <w:pPr>
              <w:rPr>
                <w:rStyle w:val="Strong"/>
              </w:rPr>
            </w:pPr>
            <w:r w:rsidRPr="000117BF">
              <w:rPr>
                <w:rStyle w:val="Strong"/>
              </w:rPr>
              <w:t>Iodine Intake (urinary Iodine &gt;300mcg/L for normal thyroid function (measured by increased thyroid volume/hormone levels)</w:t>
            </w:r>
          </w:p>
        </w:tc>
        <w:tc>
          <w:tcPr>
            <w:tcW w:w="836" w:type="dxa"/>
            <w:shd w:val="clear" w:color="auto" w:fill="F2F2F2" w:themeFill="background1" w:themeFillShade="F2"/>
          </w:tcPr>
          <w:p w:rsidR="000117BF" w:rsidRPr="000117BF" w:rsidRDefault="000117BF" w:rsidP="000117BF">
            <w:pPr>
              <w:rPr>
                <w:rStyle w:val="Strong"/>
              </w:rPr>
            </w:pPr>
            <w:r w:rsidRPr="000117BF">
              <w:rPr>
                <w:rStyle w:val="Strong"/>
              </w:rPr>
              <w:t>Relative (95% CI)</w:t>
            </w:r>
          </w:p>
        </w:tc>
        <w:tc>
          <w:tcPr>
            <w:tcW w:w="900" w:type="dxa"/>
            <w:shd w:val="clear" w:color="auto" w:fill="F2F2F2" w:themeFill="background1" w:themeFillShade="F2"/>
          </w:tcPr>
          <w:p w:rsidR="000117BF" w:rsidRPr="000117BF" w:rsidRDefault="000117BF" w:rsidP="000117BF">
            <w:pPr>
              <w:rPr>
                <w:rStyle w:val="Strong"/>
              </w:rPr>
            </w:pPr>
            <w:r w:rsidRPr="000117BF">
              <w:rPr>
                <w:rStyle w:val="Strong"/>
              </w:rPr>
              <w:t>Absolute (95% CI)</w:t>
            </w:r>
          </w:p>
        </w:tc>
        <w:tc>
          <w:tcPr>
            <w:tcW w:w="1080" w:type="dxa"/>
            <w:shd w:val="clear" w:color="auto" w:fill="F2F2F2" w:themeFill="background1" w:themeFillShade="F2"/>
          </w:tcPr>
          <w:p w:rsidR="000117BF" w:rsidRPr="000117BF" w:rsidRDefault="000117BF" w:rsidP="000117BF">
            <w:pPr>
              <w:rPr>
                <w:rStyle w:val="Strong"/>
              </w:rPr>
            </w:pPr>
          </w:p>
        </w:tc>
        <w:tc>
          <w:tcPr>
            <w:tcW w:w="720" w:type="dxa"/>
            <w:shd w:val="clear" w:color="auto" w:fill="F2F2F2" w:themeFill="background1" w:themeFillShade="F2"/>
          </w:tcPr>
          <w:p w:rsidR="000117BF" w:rsidRPr="000117BF" w:rsidRDefault="000117BF" w:rsidP="000117BF">
            <w:pPr>
              <w:rPr>
                <w:rStyle w:val="Strong"/>
              </w:rPr>
            </w:pPr>
          </w:p>
        </w:tc>
      </w:tr>
      <w:tr w:rsidR="000117BF" w:rsidTr="006473C7">
        <w:tc>
          <w:tcPr>
            <w:tcW w:w="1121" w:type="dxa"/>
          </w:tcPr>
          <w:p w:rsidR="000117BF" w:rsidRDefault="000117BF" w:rsidP="000117BF">
            <w:r>
              <w:t>1</w:t>
            </w:r>
          </w:p>
        </w:tc>
        <w:tc>
          <w:tcPr>
            <w:tcW w:w="1219" w:type="dxa"/>
          </w:tcPr>
          <w:p w:rsidR="000117BF" w:rsidRDefault="000117BF" w:rsidP="000117BF">
            <w:r>
              <w:t>Observational studies</w:t>
            </w:r>
          </w:p>
        </w:tc>
        <w:tc>
          <w:tcPr>
            <w:tcW w:w="1104" w:type="dxa"/>
          </w:tcPr>
          <w:p w:rsidR="000117BF" w:rsidRDefault="000117BF" w:rsidP="000117BF">
            <w:r>
              <w:t>Not serious 1</w:t>
            </w:r>
          </w:p>
        </w:tc>
        <w:tc>
          <w:tcPr>
            <w:tcW w:w="1452" w:type="dxa"/>
          </w:tcPr>
          <w:p w:rsidR="000117BF" w:rsidRDefault="000117BF" w:rsidP="000117BF">
            <w:r>
              <w:t>Not serious 1</w:t>
            </w:r>
          </w:p>
        </w:tc>
        <w:tc>
          <w:tcPr>
            <w:tcW w:w="1327" w:type="dxa"/>
          </w:tcPr>
          <w:p w:rsidR="000117BF" w:rsidRDefault="000117BF" w:rsidP="000117BF">
            <w:r>
              <w:t>Not serious 1</w:t>
            </w:r>
          </w:p>
        </w:tc>
        <w:tc>
          <w:tcPr>
            <w:tcW w:w="1285" w:type="dxa"/>
          </w:tcPr>
          <w:p w:rsidR="000117BF" w:rsidRDefault="000117BF" w:rsidP="000117BF">
            <w:r>
              <w:t>Not serious 1</w:t>
            </w:r>
          </w:p>
        </w:tc>
        <w:tc>
          <w:tcPr>
            <w:tcW w:w="952" w:type="dxa"/>
          </w:tcPr>
          <w:p w:rsidR="000117BF" w:rsidRDefault="006473C7" w:rsidP="000117BF">
            <w:r>
              <w:t xml:space="preserve">Dose response </w:t>
            </w:r>
            <w:r w:rsidR="000117BF">
              <w:t>gradient</w:t>
            </w:r>
          </w:p>
        </w:tc>
        <w:tc>
          <w:tcPr>
            <w:tcW w:w="1828" w:type="dxa"/>
          </w:tcPr>
          <w:p w:rsidR="000117BF" w:rsidRDefault="000117BF" w:rsidP="000117BF">
            <w:r>
              <w:t>1651/3319 (49.7%)</w:t>
            </w:r>
          </w:p>
        </w:tc>
        <w:tc>
          <w:tcPr>
            <w:tcW w:w="1836" w:type="dxa"/>
          </w:tcPr>
          <w:p w:rsidR="000117BF" w:rsidRDefault="000117BF" w:rsidP="000117BF">
            <w:r>
              <w:t>1668/3319 (50.3%)</w:t>
            </w:r>
          </w:p>
        </w:tc>
        <w:tc>
          <w:tcPr>
            <w:tcW w:w="836" w:type="dxa"/>
          </w:tcPr>
          <w:p w:rsidR="000117BF" w:rsidRDefault="000117BF" w:rsidP="000117BF">
            <w:r>
              <w:t>OR 1.75 (1.10 to 2.90)</w:t>
            </w:r>
          </w:p>
        </w:tc>
        <w:tc>
          <w:tcPr>
            <w:tcW w:w="900" w:type="dxa"/>
          </w:tcPr>
          <w:p w:rsidR="000117BF" w:rsidRDefault="000117BF" w:rsidP="000117BF">
            <w:r>
              <w:t xml:space="preserve">136 more per 1000 (from </w:t>
            </w:r>
            <w:r>
              <w:lastRenderedPageBreak/>
              <w:t>24 more to 243 more 1</w:t>
            </w:r>
          </w:p>
        </w:tc>
        <w:tc>
          <w:tcPr>
            <w:tcW w:w="1080" w:type="dxa"/>
          </w:tcPr>
          <w:p w:rsidR="000117BF" w:rsidRDefault="000117BF" w:rsidP="000117BF">
            <w:r>
              <w:lastRenderedPageBreak/>
              <w:t>MODERATE</w:t>
            </w:r>
          </w:p>
        </w:tc>
        <w:tc>
          <w:tcPr>
            <w:tcW w:w="720" w:type="dxa"/>
          </w:tcPr>
          <w:p w:rsidR="000117BF" w:rsidRDefault="000117BF" w:rsidP="000117BF">
            <w:r>
              <w:t>CRITAL</w:t>
            </w:r>
          </w:p>
        </w:tc>
      </w:tr>
    </w:tbl>
    <w:p w:rsidR="00EA6F40" w:rsidRDefault="00EA6F40" w:rsidP="0010683D">
      <w:r>
        <w:lastRenderedPageBreak/>
        <w:br w:type="page"/>
      </w:r>
    </w:p>
    <w:p w:rsidR="00EA6F40" w:rsidRDefault="0010683D" w:rsidP="00AE0695">
      <w:pPr>
        <w:pStyle w:val="Caption"/>
      </w:pPr>
      <w:r>
        <w:lastRenderedPageBreak/>
        <w:t xml:space="preserve">Table </w:t>
      </w:r>
      <w:r w:rsidR="00CA2AA1">
        <w:fldChar w:fldCharType="begin"/>
      </w:r>
      <w:r w:rsidR="00CA2AA1">
        <w:instrText xml:space="preserve"> STYLEREF 1 \s </w:instrText>
      </w:r>
      <w:r w:rsidR="00CA2AA1">
        <w:fldChar w:fldCharType="separate"/>
      </w:r>
      <w:r w:rsidR="00CA2AA1">
        <w:rPr>
          <w:noProof/>
        </w:rPr>
        <w:t>7</w:t>
      </w:r>
      <w:r w:rsidR="00CA2AA1">
        <w:fldChar w:fldCharType="end"/>
      </w:r>
      <w:r w:rsidR="00CA2AA1">
        <w:t>:</w:t>
      </w:r>
      <w:r w:rsidR="00CA2AA1">
        <w:fldChar w:fldCharType="begin"/>
      </w:r>
      <w:r w:rsidR="00CA2AA1">
        <w:instrText xml:space="preserve"> SEQ Table \* ARABIC \s 1 </w:instrText>
      </w:r>
      <w:r w:rsidR="00CA2AA1">
        <w:fldChar w:fldCharType="separate"/>
      </w:r>
      <w:r w:rsidR="00CA2AA1">
        <w:rPr>
          <w:noProof/>
        </w:rPr>
        <w:t>7</w:t>
      </w:r>
      <w:r w:rsidR="00CA2AA1">
        <w:fldChar w:fldCharType="end"/>
      </w:r>
      <w:r w:rsidR="00EA6F40" w:rsidRPr="00C875F5">
        <w:t xml:space="preserve"> Body of Evidence for Provisional UL in children 1-3 years</w:t>
      </w:r>
    </w:p>
    <w:p w:rsidR="000117BF" w:rsidRPr="0010683D" w:rsidRDefault="00255576" w:rsidP="006473C7">
      <w:pPr>
        <w:ind w:left="-180"/>
        <w:rPr>
          <w:rStyle w:val="IntenseEmphasis"/>
        </w:rPr>
      </w:pPr>
      <w:r w:rsidRPr="0010683D">
        <w:rPr>
          <w:rStyle w:val="Strong"/>
        </w:rPr>
        <w:t>Review Question 10</w:t>
      </w:r>
      <w:r>
        <w:rPr>
          <w:rFonts w:cs="Calibri"/>
          <w:b/>
          <w:bCs/>
          <w:color w:val="000000"/>
          <w:sz w:val="20"/>
          <w:szCs w:val="20"/>
        </w:rPr>
        <w:t xml:space="preserve"> </w:t>
      </w:r>
      <w:r w:rsidRPr="0010683D">
        <w:rPr>
          <w:rStyle w:val="IntenseEmphasis"/>
        </w:rPr>
        <w:t>What is the average intake of normal healthy children aged 1-3 years above which adverse effects on thyroid function are observed, as indicated by increased thyroid volume and/or abnormal thyroid hormone levels?</w:t>
      </w:r>
    </w:p>
    <w:tbl>
      <w:tblPr>
        <w:tblStyle w:val="TableGrid1"/>
        <w:tblW w:w="14961" w:type="dxa"/>
        <w:tblInd w:w="-252" w:type="dxa"/>
        <w:tblLook w:val="04A0" w:firstRow="1" w:lastRow="0" w:firstColumn="1" w:lastColumn="0" w:noHBand="0" w:noVBand="1"/>
        <w:tblDescription w:val="Table 7.7 show a body of Evidence for Provisional Upper Levels of Intake (UL) in children 1-3 years. This table contains 3 column headings; column 1. Component, column 2. Rating and column 3. Notes (details for each component and rating)."/>
      </w:tblPr>
      <w:tblGrid>
        <w:gridCol w:w="2345"/>
        <w:gridCol w:w="1701"/>
        <w:gridCol w:w="10915"/>
      </w:tblGrid>
      <w:tr w:rsidR="00255576" w:rsidRPr="00255576" w:rsidTr="006473C7">
        <w:trPr>
          <w:trHeight w:val="565"/>
          <w:tblHeader/>
        </w:trPr>
        <w:tc>
          <w:tcPr>
            <w:tcW w:w="2345" w:type="dxa"/>
            <w:vAlign w:val="center"/>
          </w:tcPr>
          <w:p w:rsidR="00255576" w:rsidRPr="00255576" w:rsidRDefault="00255576" w:rsidP="00EA6F40">
            <w:pPr>
              <w:rPr>
                <w:rStyle w:val="Strong"/>
              </w:rPr>
            </w:pPr>
            <w:r w:rsidRPr="00255576">
              <w:rPr>
                <w:rStyle w:val="Strong"/>
              </w:rPr>
              <w:t>Component</w:t>
            </w:r>
          </w:p>
        </w:tc>
        <w:tc>
          <w:tcPr>
            <w:tcW w:w="1701" w:type="dxa"/>
            <w:vAlign w:val="center"/>
          </w:tcPr>
          <w:p w:rsidR="00255576" w:rsidRPr="00255576" w:rsidRDefault="00255576" w:rsidP="00EA6F40">
            <w:pPr>
              <w:rPr>
                <w:rStyle w:val="Strong"/>
              </w:rPr>
            </w:pPr>
            <w:r w:rsidRPr="00255576">
              <w:rPr>
                <w:rStyle w:val="Strong"/>
              </w:rPr>
              <w:t>Rating</w:t>
            </w:r>
          </w:p>
        </w:tc>
        <w:tc>
          <w:tcPr>
            <w:tcW w:w="10915" w:type="dxa"/>
            <w:vAlign w:val="center"/>
          </w:tcPr>
          <w:p w:rsidR="00255576" w:rsidRPr="00255576" w:rsidRDefault="006473C7" w:rsidP="00EA6F40">
            <w:pPr>
              <w:rPr>
                <w:rStyle w:val="Strong"/>
              </w:rPr>
            </w:pPr>
            <w:r>
              <w:rPr>
                <w:rStyle w:val="Strong"/>
              </w:rPr>
              <w:t>Notes</w:t>
            </w:r>
          </w:p>
        </w:tc>
      </w:tr>
      <w:tr w:rsidR="00255576" w:rsidRPr="00C875F5" w:rsidTr="006473C7">
        <w:tc>
          <w:tcPr>
            <w:tcW w:w="2345" w:type="dxa"/>
            <w:vAlign w:val="center"/>
          </w:tcPr>
          <w:p w:rsidR="00255576" w:rsidRPr="00C875F5" w:rsidRDefault="00255576" w:rsidP="00EA6F40">
            <w:pPr>
              <w:rPr>
                <w:rFonts w:cs="Calibri"/>
                <w:color w:val="000000"/>
                <w:sz w:val="20"/>
                <w:szCs w:val="20"/>
              </w:rPr>
            </w:pPr>
            <w:r w:rsidRPr="00C875F5">
              <w:rPr>
                <w:rFonts w:cs="Calibri"/>
                <w:color w:val="000000"/>
                <w:sz w:val="20"/>
                <w:szCs w:val="20"/>
              </w:rPr>
              <w:t>Evidence Base</w:t>
            </w:r>
          </w:p>
        </w:tc>
        <w:tc>
          <w:tcPr>
            <w:tcW w:w="1701" w:type="dxa"/>
            <w:vAlign w:val="center"/>
          </w:tcPr>
          <w:p w:rsidR="00255576" w:rsidRPr="00C875F5" w:rsidRDefault="00255576" w:rsidP="00EA6F40">
            <w:pPr>
              <w:rPr>
                <w:rFonts w:cs="Calibri"/>
                <w:color w:val="000000"/>
                <w:sz w:val="20"/>
                <w:szCs w:val="20"/>
              </w:rPr>
            </w:pPr>
            <w:r w:rsidRPr="00C875F5">
              <w:rPr>
                <w:rFonts w:cs="Calibri"/>
                <w:color w:val="000000"/>
                <w:sz w:val="20"/>
                <w:szCs w:val="20"/>
              </w:rPr>
              <w:t>Poor</w:t>
            </w:r>
          </w:p>
        </w:tc>
        <w:tc>
          <w:tcPr>
            <w:tcW w:w="10915" w:type="dxa"/>
            <w:vAlign w:val="center"/>
          </w:tcPr>
          <w:p w:rsidR="00255576" w:rsidRPr="00C875F5" w:rsidRDefault="00255576" w:rsidP="00EA6F40">
            <w:pPr>
              <w:rPr>
                <w:rFonts w:cstheme="minorHAnsi"/>
                <w:color w:val="000000"/>
                <w:sz w:val="20"/>
                <w:szCs w:val="20"/>
              </w:rPr>
            </w:pPr>
            <w:r w:rsidRPr="00C875F5">
              <w:rPr>
                <w:rFonts w:cstheme="minorHAnsi"/>
                <w:color w:val="000000"/>
                <w:sz w:val="20"/>
                <w:szCs w:val="20"/>
              </w:rPr>
              <w:t>1 Lev</w:t>
            </w:r>
            <w:r>
              <w:rPr>
                <w:rFonts w:cstheme="minorHAnsi"/>
                <w:color w:val="000000"/>
                <w:sz w:val="20"/>
                <w:szCs w:val="20"/>
              </w:rPr>
              <w:t>el II (RCT) + 1 Level III-3 + 17</w:t>
            </w:r>
            <w:r w:rsidRPr="00C875F5">
              <w:rPr>
                <w:rFonts w:cstheme="minorHAnsi"/>
                <w:color w:val="000000"/>
                <w:sz w:val="20"/>
                <w:szCs w:val="20"/>
              </w:rPr>
              <w:t xml:space="preserve"> Level IV studies</w:t>
            </w:r>
          </w:p>
        </w:tc>
      </w:tr>
      <w:tr w:rsidR="00255576" w:rsidRPr="00C875F5" w:rsidTr="006473C7">
        <w:tc>
          <w:tcPr>
            <w:tcW w:w="2345" w:type="dxa"/>
            <w:vAlign w:val="center"/>
          </w:tcPr>
          <w:p w:rsidR="00255576" w:rsidRPr="00C875F5" w:rsidRDefault="00255576" w:rsidP="00EA6F40">
            <w:pPr>
              <w:rPr>
                <w:rFonts w:cs="Calibri"/>
                <w:color w:val="000000"/>
                <w:sz w:val="20"/>
                <w:szCs w:val="20"/>
              </w:rPr>
            </w:pPr>
            <w:r w:rsidRPr="00C875F5">
              <w:rPr>
                <w:rFonts w:cs="Calibri"/>
                <w:color w:val="000000"/>
                <w:sz w:val="20"/>
                <w:szCs w:val="20"/>
              </w:rPr>
              <w:t>Consistency</w:t>
            </w:r>
          </w:p>
        </w:tc>
        <w:tc>
          <w:tcPr>
            <w:tcW w:w="1701" w:type="dxa"/>
            <w:vAlign w:val="center"/>
          </w:tcPr>
          <w:p w:rsidR="00255576" w:rsidRPr="00C875F5" w:rsidRDefault="00255576" w:rsidP="00EA6F40">
            <w:pPr>
              <w:rPr>
                <w:rFonts w:cs="Calibri"/>
                <w:color w:val="000000"/>
                <w:sz w:val="20"/>
                <w:szCs w:val="20"/>
              </w:rPr>
            </w:pPr>
            <w:r w:rsidRPr="00C875F5">
              <w:rPr>
                <w:rFonts w:cs="Calibri"/>
                <w:color w:val="000000"/>
                <w:sz w:val="20"/>
                <w:szCs w:val="20"/>
              </w:rPr>
              <w:t>Poor</w:t>
            </w:r>
          </w:p>
        </w:tc>
        <w:tc>
          <w:tcPr>
            <w:tcW w:w="10915" w:type="dxa"/>
            <w:vAlign w:val="center"/>
          </w:tcPr>
          <w:p w:rsidR="00255576" w:rsidRPr="00C875F5" w:rsidRDefault="00255576" w:rsidP="00EA6F40">
            <w:pPr>
              <w:rPr>
                <w:rFonts w:cstheme="minorHAnsi"/>
                <w:color w:val="000000"/>
                <w:sz w:val="20"/>
                <w:szCs w:val="20"/>
              </w:rPr>
            </w:pPr>
            <w:r w:rsidRPr="00C875F5">
              <w:rPr>
                <w:rFonts w:cstheme="minorHAnsi"/>
                <w:color w:val="000000"/>
                <w:sz w:val="20"/>
                <w:szCs w:val="20"/>
              </w:rPr>
              <w:t>Inconsistent results across studies. Study of Zimmerman et al. (2005) provides best evidence from children across a wide range of intakes in 5 continents and this showed a</w:t>
            </w:r>
            <w:r w:rsidRPr="00C875F5">
              <w:rPr>
                <w:sz w:val="20"/>
                <w:szCs w:val="20"/>
              </w:rPr>
              <w:t xml:space="preserve">n increase in thyroid volume) at a UI concentration of ~500 μg/L. </w:t>
            </w:r>
            <w:r w:rsidRPr="00C875F5">
              <w:rPr>
                <w:rFonts w:cstheme="minorHAnsi"/>
                <w:color w:val="000000"/>
                <w:sz w:val="20"/>
                <w:szCs w:val="20"/>
              </w:rPr>
              <w:t xml:space="preserve">  </w:t>
            </w:r>
          </w:p>
        </w:tc>
      </w:tr>
      <w:tr w:rsidR="00255576" w:rsidRPr="00C875F5" w:rsidTr="006473C7">
        <w:tc>
          <w:tcPr>
            <w:tcW w:w="2345" w:type="dxa"/>
            <w:vAlign w:val="center"/>
          </w:tcPr>
          <w:p w:rsidR="00255576" w:rsidRPr="00C875F5" w:rsidRDefault="00255576" w:rsidP="00EA6F40">
            <w:pPr>
              <w:rPr>
                <w:rFonts w:cs="Calibri"/>
                <w:color w:val="000000"/>
                <w:sz w:val="20"/>
                <w:szCs w:val="20"/>
              </w:rPr>
            </w:pPr>
            <w:r w:rsidRPr="00C875F5">
              <w:rPr>
                <w:rFonts w:cs="Calibri"/>
                <w:color w:val="000000"/>
                <w:sz w:val="20"/>
                <w:szCs w:val="20"/>
              </w:rPr>
              <w:t>Clinical impact</w:t>
            </w:r>
          </w:p>
        </w:tc>
        <w:tc>
          <w:tcPr>
            <w:tcW w:w="1701" w:type="dxa"/>
            <w:vAlign w:val="center"/>
          </w:tcPr>
          <w:p w:rsidR="00255576" w:rsidRPr="00C875F5" w:rsidRDefault="00255576" w:rsidP="00EA6F40">
            <w:pPr>
              <w:rPr>
                <w:rFonts w:cs="Calibri"/>
                <w:color w:val="000000"/>
                <w:sz w:val="20"/>
                <w:szCs w:val="20"/>
              </w:rPr>
            </w:pPr>
            <w:r w:rsidRPr="00C875F5">
              <w:rPr>
                <w:rFonts w:cs="Calibri"/>
                <w:color w:val="000000"/>
                <w:sz w:val="20"/>
                <w:szCs w:val="20"/>
              </w:rPr>
              <w:t>Moderate</w:t>
            </w:r>
          </w:p>
        </w:tc>
        <w:tc>
          <w:tcPr>
            <w:tcW w:w="10915" w:type="dxa"/>
            <w:vAlign w:val="center"/>
          </w:tcPr>
          <w:p w:rsidR="00255576" w:rsidRPr="00C875F5" w:rsidRDefault="00255576" w:rsidP="00EA6F40">
            <w:pPr>
              <w:rPr>
                <w:rFonts w:cstheme="minorHAnsi"/>
                <w:color w:val="000000"/>
                <w:sz w:val="20"/>
                <w:szCs w:val="20"/>
              </w:rPr>
            </w:pPr>
            <w:r w:rsidRPr="00C875F5">
              <w:rPr>
                <w:rFonts w:cstheme="minorHAnsi"/>
                <w:color w:val="000000"/>
                <w:sz w:val="20"/>
                <w:szCs w:val="20"/>
              </w:rPr>
              <w:t>Health implications of sustained increased thyroid volume and elevated TSH levels in children not well defined.</w:t>
            </w:r>
          </w:p>
        </w:tc>
      </w:tr>
      <w:tr w:rsidR="00255576" w:rsidRPr="00C875F5" w:rsidTr="006473C7">
        <w:tc>
          <w:tcPr>
            <w:tcW w:w="2345" w:type="dxa"/>
            <w:vAlign w:val="center"/>
          </w:tcPr>
          <w:p w:rsidR="00255576" w:rsidRPr="00C875F5" w:rsidRDefault="00255576" w:rsidP="00EA6F40">
            <w:pPr>
              <w:rPr>
                <w:rFonts w:cs="Calibri"/>
                <w:color w:val="000000"/>
                <w:sz w:val="20"/>
                <w:szCs w:val="20"/>
              </w:rPr>
            </w:pPr>
            <w:r w:rsidRPr="00C875F5">
              <w:rPr>
                <w:rFonts w:cs="Calibri"/>
                <w:color w:val="000000"/>
                <w:sz w:val="20"/>
                <w:szCs w:val="20"/>
              </w:rPr>
              <w:t>Generalisability</w:t>
            </w:r>
          </w:p>
        </w:tc>
        <w:tc>
          <w:tcPr>
            <w:tcW w:w="1701" w:type="dxa"/>
            <w:vAlign w:val="center"/>
          </w:tcPr>
          <w:p w:rsidR="00255576" w:rsidRPr="00C875F5" w:rsidRDefault="00255576" w:rsidP="00EA6F40">
            <w:pPr>
              <w:rPr>
                <w:rFonts w:cs="Calibri"/>
                <w:color w:val="000000"/>
                <w:sz w:val="20"/>
                <w:szCs w:val="20"/>
              </w:rPr>
            </w:pPr>
            <w:r w:rsidRPr="00C875F5">
              <w:rPr>
                <w:rFonts w:cs="Calibri"/>
                <w:color w:val="000000"/>
                <w:sz w:val="20"/>
                <w:szCs w:val="20"/>
              </w:rPr>
              <w:t>Satisfactory</w:t>
            </w:r>
          </w:p>
        </w:tc>
        <w:tc>
          <w:tcPr>
            <w:tcW w:w="10915" w:type="dxa"/>
            <w:vAlign w:val="center"/>
          </w:tcPr>
          <w:p w:rsidR="00255576" w:rsidRPr="00C875F5" w:rsidRDefault="00255576" w:rsidP="00EA6F40">
            <w:pPr>
              <w:rPr>
                <w:rFonts w:cstheme="minorHAnsi"/>
                <w:color w:val="000000"/>
                <w:sz w:val="20"/>
                <w:szCs w:val="20"/>
              </w:rPr>
            </w:pPr>
            <w:r w:rsidRPr="00C875F5">
              <w:rPr>
                <w:rFonts w:cstheme="minorHAnsi"/>
                <w:sz w:val="20"/>
                <w:szCs w:val="20"/>
              </w:rPr>
              <w:t xml:space="preserve">Most studies from China or Africa, therefore limited generalizability.  </w:t>
            </w:r>
          </w:p>
        </w:tc>
      </w:tr>
      <w:tr w:rsidR="00255576" w:rsidRPr="00C875F5" w:rsidTr="006473C7">
        <w:tc>
          <w:tcPr>
            <w:tcW w:w="2345" w:type="dxa"/>
            <w:vAlign w:val="center"/>
          </w:tcPr>
          <w:p w:rsidR="00255576" w:rsidRPr="00B165EB" w:rsidRDefault="00255576" w:rsidP="00EA6F40">
            <w:pPr>
              <w:rPr>
                <w:rFonts w:cs="Calibri"/>
                <w:color w:val="000000"/>
                <w:sz w:val="20"/>
                <w:szCs w:val="20"/>
              </w:rPr>
            </w:pPr>
            <w:r w:rsidRPr="00B165EB">
              <w:rPr>
                <w:rFonts w:cs="Calibri"/>
                <w:color w:val="000000"/>
                <w:sz w:val="20"/>
                <w:szCs w:val="20"/>
              </w:rPr>
              <w:t>Applicability</w:t>
            </w:r>
          </w:p>
        </w:tc>
        <w:tc>
          <w:tcPr>
            <w:tcW w:w="1701" w:type="dxa"/>
            <w:vAlign w:val="center"/>
          </w:tcPr>
          <w:p w:rsidR="00255576" w:rsidRPr="00C70186" w:rsidRDefault="00255576" w:rsidP="00EA6F40">
            <w:pPr>
              <w:rPr>
                <w:rFonts w:cs="Calibri"/>
                <w:color w:val="000000"/>
                <w:sz w:val="20"/>
                <w:szCs w:val="20"/>
              </w:rPr>
            </w:pPr>
            <w:r w:rsidRPr="00C70186">
              <w:rPr>
                <w:rFonts w:cs="Calibri"/>
                <w:color w:val="000000"/>
                <w:sz w:val="20"/>
                <w:szCs w:val="20"/>
              </w:rPr>
              <w:t>Satisfactory</w:t>
            </w:r>
          </w:p>
        </w:tc>
        <w:tc>
          <w:tcPr>
            <w:tcW w:w="10915" w:type="dxa"/>
            <w:vAlign w:val="center"/>
          </w:tcPr>
          <w:p w:rsidR="00255576" w:rsidRPr="00C875F5" w:rsidRDefault="00255576" w:rsidP="00EA6F40">
            <w:pPr>
              <w:pStyle w:val="Default"/>
              <w:spacing w:before="120" w:after="120"/>
              <w:rPr>
                <w:rFonts w:cstheme="minorHAnsi"/>
                <w:sz w:val="20"/>
                <w:szCs w:val="20"/>
              </w:rPr>
            </w:pPr>
            <w:r w:rsidRPr="00C875F5">
              <w:rPr>
                <w:rFonts w:cstheme="minorHAnsi"/>
                <w:sz w:val="20"/>
                <w:szCs w:val="20"/>
              </w:rPr>
              <w:t xml:space="preserve">Probably applicable to Australian </w:t>
            </w:r>
            <w:r>
              <w:rPr>
                <w:rFonts w:cstheme="minorHAnsi"/>
                <w:sz w:val="20"/>
                <w:szCs w:val="20"/>
              </w:rPr>
              <w:t xml:space="preserve">and New Zealand </w:t>
            </w:r>
            <w:r w:rsidRPr="00C875F5">
              <w:rPr>
                <w:rFonts w:cstheme="minorHAnsi"/>
                <w:sz w:val="20"/>
                <w:szCs w:val="20"/>
              </w:rPr>
              <w:t xml:space="preserve">healthcare context with some caveats </w:t>
            </w:r>
          </w:p>
        </w:tc>
      </w:tr>
      <w:tr w:rsidR="00255576" w:rsidRPr="00C875F5" w:rsidTr="006473C7">
        <w:trPr>
          <w:trHeight w:val="600"/>
        </w:trPr>
        <w:tc>
          <w:tcPr>
            <w:tcW w:w="2345" w:type="dxa"/>
            <w:vAlign w:val="center"/>
            <w:hideMark/>
          </w:tcPr>
          <w:p w:rsidR="00255576" w:rsidRPr="00C70186" w:rsidRDefault="00255576" w:rsidP="00EA6F40">
            <w:pPr>
              <w:rPr>
                <w:rFonts w:eastAsia="Times New Roman" w:cs="Calibri"/>
                <w:bCs/>
                <w:color w:val="000000"/>
                <w:sz w:val="20"/>
                <w:szCs w:val="20"/>
                <w:lang w:eastAsia="en-AU"/>
              </w:rPr>
            </w:pPr>
            <w:r w:rsidRPr="00C70186">
              <w:rPr>
                <w:rFonts w:eastAsia="Times New Roman" w:cs="Calibri"/>
                <w:bCs/>
                <w:color w:val="000000"/>
                <w:sz w:val="20"/>
                <w:szCs w:val="20"/>
                <w:lang w:eastAsia="en-AU"/>
              </w:rPr>
              <w:t>Draft Recommendation</w:t>
            </w:r>
          </w:p>
        </w:tc>
        <w:tc>
          <w:tcPr>
            <w:tcW w:w="1701" w:type="dxa"/>
            <w:vAlign w:val="center"/>
            <w:hideMark/>
          </w:tcPr>
          <w:p w:rsidR="00255576" w:rsidRPr="00C70186" w:rsidRDefault="00255576" w:rsidP="00EA6F40">
            <w:pPr>
              <w:rPr>
                <w:rFonts w:eastAsia="Times New Roman" w:cs="Calibri"/>
                <w:i/>
                <w:color w:val="000000"/>
                <w:sz w:val="20"/>
                <w:szCs w:val="20"/>
                <w:lang w:eastAsia="en-AU"/>
              </w:rPr>
            </w:pPr>
          </w:p>
        </w:tc>
        <w:tc>
          <w:tcPr>
            <w:tcW w:w="10915" w:type="dxa"/>
            <w:vAlign w:val="center"/>
          </w:tcPr>
          <w:p w:rsidR="00255576" w:rsidRPr="00C875F5" w:rsidRDefault="00255576" w:rsidP="00EA6F40">
            <w:pPr>
              <w:rPr>
                <w:rFonts w:eastAsia="Times New Roman" w:cstheme="minorHAnsi"/>
                <w:bCs/>
                <w:color w:val="000000"/>
                <w:sz w:val="20"/>
                <w:szCs w:val="20"/>
                <w:lang w:eastAsia="en-AU"/>
              </w:rPr>
            </w:pPr>
            <w:r w:rsidRPr="00C875F5">
              <w:rPr>
                <w:rFonts w:cstheme="minorHAnsi"/>
                <w:sz w:val="20"/>
                <w:szCs w:val="20"/>
              </w:rPr>
              <w:t xml:space="preserve">A Provisional Upper Level (PUL) is set at 280 µg/day because of uncertainty related to evidence for this specific age group and a need to </w:t>
            </w:r>
            <w:r w:rsidRPr="00C875F5">
              <w:rPr>
                <w:sz w:val="20"/>
                <w:szCs w:val="20"/>
              </w:rPr>
              <w:t xml:space="preserve">extrapolate values from UL calculated for age 9–13 years using metabolic weight formula. </w:t>
            </w:r>
          </w:p>
        </w:tc>
      </w:tr>
      <w:tr w:rsidR="00255576" w:rsidRPr="00C875F5" w:rsidTr="006473C7">
        <w:trPr>
          <w:trHeight w:val="804"/>
        </w:trPr>
        <w:tc>
          <w:tcPr>
            <w:tcW w:w="2345" w:type="dxa"/>
            <w:vAlign w:val="center"/>
            <w:hideMark/>
          </w:tcPr>
          <w:p w:rsidR="00255576" w:rsidRPr="00B165EB" w:rsidRDefault="00255576" w:rsidP="00EA6F40">
            <w:pPr>
              <w:rPr>
                <w:rFonts w:eastAsia="Times New Roman" w:cs="Calibri"/>
                <w:bCs/>
                <w:color w:val="000000"/>
                <w:sz w:val="20"/>
                <w:szCs w:val="20"/>
                <w:lang w:eastAsia="en-AU"/>
              </w:rPr>
            </w:pPr>
            <w:r>
              <w:rPr>
                <w:rFonts w:eastAsia="Times New Roman" w:cs="Calibri"/>
                <w:bCs/>
                <w:color w:val="000000"/>
                <w:sz w:val="20"/>
                <w:szCs w:val="20"/>
                <w:lang w:eastAsia="en-AU"/>
              </w:rPr>
              <w:t>Recommendation</w:t>
            </w:r>
          </w:p>
        </w:tc>
        <w:tc>
          <w:tcPr>
            <w:tcW w:w="1701" w:type="dxa"/>
            <w:noWrap/>
            <w:vAlign w:val="center"/>
            <w:hideMark/>
          </w:tcPr>
          <w:p w:rsidR="00255576" w:rsidRPr="00B165EB" w:rsidRDefault="00255576" w:rsidP="00EA6F40">
            <w:pPr>
              <w:rPr>
                <w:rFonts w:eastAsia="Times New Roman" w:cs="Calibri"/>
                <w:color w:val="000000"/>
                <w:sz w:val="20"/>
                <w:szCs w:val="20"/>
                <w:lang w:eastAsia="en-AU"/>
              </w:rPr>
            </w:pPr>
            <w:r>
              <w:rPr>
                <w:rFonts w:eastAsia="Times New Roman" w:cs="Calibri"/>
                <w:color w:val="000000"/>
                <w:lang w:eastAsia="en-AU"/>
              </w:rPr>
              <w:t>C</w:t>
            </w:r>
          </w:p>
        </w:tc>
        <w:tc>
          <w:tcPr>
            <w:tcW w:w="10915" w:type="dxa"/>
            <w:noWrap/>
            <w:vAlign w:val="center"/>
          </w:tcPr>
          <w:p w:rsidR="00255576" w:rsidRPr="005F79FE" w:rsidRDefault="00255576" w:rsidP="00EA6F40">
            <w:r>
              <w:rPr>
                <w:rFonts w:cstheme="minorHAnsi"/>
                <w:sz w:val="20"/>
                <w:szCs w:val="20"/>
              </w:rPr>
              <w:t>Body of evidence provides some support for recommendation(s) but care should be taken in its application. Calculations were based on body weights for 2-3 year old children.</w:t>
            </w:r>
          </w:p>
        </w:tc>
      </w:tr>
    </w:tbl>
    <w:p w:rsidR="00EA6F40" w:rsidRPr="00C875F5" w:rsidRDefault="00EA6F40" w:rsidP="00EA6F40">
      <w:pPr>
        <w:spacing w:after="0"/>
        <w:rPr>
          <w:rFonts w:cs="Calibri"/>
          <w:b/>
          <w:bCs/>
          <w:color w:val="000000"/>
          <w:sz w:val="20"/>
          <w:szCs w:val="20"/>
        </w:rPr>
        <w:sectPr w:rsidR="00EA6F40" w:rsidRPr="00C875F5" w:rsidSect="00DF5B59">
          <w:pgSz w:w="16840" w:h="11901" w:orient="landscape"/>
          <w:pgMar w:top="1797" w:right="1440" w:bottom="1797" w:left="1440" w:header="709" w:footer="709" w:gutter="0"/>
          <w:cols w:space="708"/>
        </w:sectPr>
      </w:pPr>
    </w:p>
    <w:p w:rsidR="00EA6F40" w:rsidRDefault="0010683D" w:rsidP="00AE0695">
      <w:pPr>
        <w:pStyle w:val="Caption"/>
      </w:pPr>
      <w:r>
        <w:lastRenderedPageBreak/>
        <w:t xml:space="preserve">Table </w:t>
      </w:r>
      <w:r w:rsidR="00CA2AA1">
        <w:fldChar w:fldCharType="begin"/>
      </w:r>
      <w:r w:rsidR="00CA2AA1">
        <w:instrText xml:space="preserve"> STYLEREF 1 \s </w:instrText>
      </w:r>
      <w:r w:rsidR="00CA2AA1">
        <w:fldChar w:fldCharType="separate"/>
      </w:r>
      <w:r w:rsidR="00CA2AA1">
        <w:rPr>
          <w:noProof/>
        </w:rPr>
        <w:t>7</w:t>
      </w:r>
      <w:r w:rsidR="00CA2AA1">
        <w:fldChar w:fldCharType="end"/>
      </w:r>
      <w:r w:rsidR="00CA2AA1">
        <w:t>:</w:t>
      </w:r>
      <w:r w:rsidR="00CA2AA1">
        <w:fldChar w:fldCharType="begin"/>
      </w:r>
      <w:r w:rsidR="00CA2AA1">
        <w:instrText xml:space="preserve"> SEQ Table \* ARABIC \s 1 </w:instrText>
      </w:r>
      <w:r w:rsidR="00CA2AA1">
        <w:fldChar w:fldCharType="separate"/>
      </w:r>
      <w:r w:rsidR="00CA2AA1">
        <w:rPr>
          <w:noProof/>
        </w:rPr>
        <w:t>8</w:t>
      </w:r>
      <w:r w:rsidR="00CA2AA1">
        <w:fldChar w:fldCharType="end"/>
      </w:r>
      <w:r w:rsidR="00EA6F40" w:rsidRPr="00C875F5">
        <w:t xml:space="preserve"> Body of Evidence for Provisional UL in children 4-8 years</w:t>
      </w:r>
    </w:p>
    <w:p w:rsidR="00255576" w:rsidRPr="0010683D" w:rsidRDefault="00255576" w:rsidP="00E41FB3">
      <w:pPr>
        <w:ind w:left="-180"/>
        <w:rPr>
          <w:rStyle w:val="IntenseEmphasis"/>
        </w:rPr>
      </w:pPr>
      <w:r w:rsidRPr="0010683D">
        <w:rPr>
          <w:rStyle w:val="Strong"/>
        </w:rPr>
        <w:t>Review Question 11</w:t>
      </w:r>
      <w:r>
        <w:rPr>
          <w:rFonts w:cs="Calibri"/>
          <w:b/>
          <w:bCs/>
          <w:color w:val="000000"/>
          <w:sz w:val="20"/>
          <w:szCs w:val="20"/>
        </w:rPr>
        <w:t xml:space="preserve"> </w:t>
      </w:r>
      <w:r w:rsidRPr="0010683D">
        <w:rPr>
          <w:rStyle w:val="IntenseEmphasis"/>
        </w:rPr>
        <w:t>What is the average intake of normal healthy children aged 4-8 years above which adverse effects on thyroid function are observed, as indicated by increased thyroid volume and/or abnormal thyroid hormone levels?</w:t>
      </w:r>
    </w:p>
    <w:tbl>
      <w:tblPr>
        <w:tblStyle w:val="TableGrid1"/>
        <w:tblW w:w="14110" w:type="dxa"/>
        <w:tblInd w:w="-252" w:type="dxa"/>
        <w:tblLook w:val="04A0" w:firstRow="1" w:lastRow="0" w:firstColumn="1" w:lastColumn="0" w:noHBand="0" w:noVBand="1"/>
        <w:tblDescription w:val="Table 7.8 show a body of Evidence for Provisional Upper Levels of Intake (UL) in children 4-8 years. This table contains 3 column headings; column 1. Component, column 2. Rating and column 3. Notes (details for each component and rating)."/>
      </w:tblPr>
      <w:tblGrid>
        <w:gridCol w:w="2345"/>
        <w:gridCol w:w="1701"/>
        <w:gridCol w:w="10064"/>
      </w:tblGrid>
      <w:tr w:rsidR="00EA6F40" w:rsidRPr="00255576" w:rsidTr="00E41FB3">
        <w:trPr>
          <w:trHeight w:val="565"/>
          <w:tblHeader/>
        </w:trPr>
        <w:tc>
          <w:tcPr>
            <w:tcW w:w="2345" w:type="dxa"/>
            <w:vAlign w:val="center"/>
          </w:tcPr>
          <w:p w:rsidR="00EA6F40" w:rsidRPr="00255576" w:rsidRDefault="00EA6F40" w:rsidP="00EA6F40">
            <w:pPr>
              <w:rPr>
                <w:rStyle w:val="Strong"/>
              </w:rPr>
            </w:pPr>
            <w:r w:rsidRPr="00255576">
              <w:rPr>
                <w:rStyle w:val="Strong"/>
              </w:rPr>
              <w:t>Component</w:t>
            </w:r>
          </w:p>
        </w:tc>
        <w:tc>
          <w:tcPr>
            <w:tcW w:w="1701" w:type="dxa"/>
            <w:vAlign w:val="center"/>
          </w:tcPr>
          <w:p w:rsidR="00EA6F40" w:rsidRPr="00255576" w:rsidRDefault="00EA6F40" w:rsidP="00EA6F40">
            <w:pPr>
              <w:rPr>
                <w:rStyle w:val="Strong"/>
              </w:rPr>
            </w:pPr>
            <w:r w:rsidRPr="00255576">
              <w:rPr>
                <w:rStyle w:val="Strong"/>
              </w:rPr>
              <w:t>Rating</w:t>
            </w:r>
          </w:p>
        </w:tc>
        <w:tc>
          <w:tcPr>
            <w:tcW w:w="10064" w:type="dxa"/>
            <w:vAlign w:val="center"/>
          </w:tcPr>
          <w:p w:rsidR="00EA6F40" w:rsidRPr="00255576" w:rsidRDefault="00E41FB3" w:rsidP="00EA6F40">
            <w:pPr>
              <w:rPr>
                <w:rStyle w:val="Strong"/>
              </w:rPr>
            </w:pPr>
            <w:r>
              <w:rPr>
                <w:rStyle w:val="Strong"/>
              </w:rPr>
              <w:t>Notes</w:t>
            </w:r>
          </w:p>
        </w:tc>
      </w:tr>
      <w:tr w:rsidR="00EA6F40" w:rsidRPr="00C875F5" w:rsidTr="00E41FB3">
        <w:tc>
          <w:tcPr>
            <w:tcW w:w="2345" w:type="dxa"/>
            <w:vAlign w:val="center"/>
          </w:tcPr>
          <w:p w:rsidR="00EA6F40" w:rsidRPr="00C875F5" w:rsidRDefault="00EA6F40" w:rsidP="00EA6F40">
            <w:pPr>
              <w:rPr>
                <w:rFonts w:cs="Calibri"/>
                <w:color w:val="000000"/>
                <w:sz w:val="20"/>
                <w:szCs w:val="20"/>
              </w:rPr>
            </w:pPr>
            <w:r w:rsidRPr="00C875F5">
              <w:rPr>
                <w:rFonts w:cs="Calibri"/>
                <w:color w:val="000000"/>
                <w:sz w:val="20"/>
                <w:szCs w:val="20"/>
              </w:rPr>
              <w:t>Evidence Base</w:t>
            </w:r>
          </w:p>
        </w:tc>
        <w:tc>
          <w:tcPr>
            <w:tcW w:w="1701" w:type="dxa"/>
            <w:vAlign w:val="center"/>
          </w:tcPr>
          <w:p w:rsidR="00EA6F40" w:rsidRPr="00C875F5" w:rsidRDefault="00EA6F40" w:rsidP="00EA6F40">
            <w:pPr>
              <w:rPr>
                <w:rFonts w:cs="Calibri"/>
                <w:color w:val="000000"/>
                <w:sz w:val="20"/>
                <w:szCs w:val="20"/>
              </w:rPr>
            </w:pPr>
            <w:r w:rsidRPr="00C875F5">
              <w:rPr>
                <w:rFonts w:cs="Calibri"/>
                <w:color w:val="000000"/>
                <w:sz w:val="20"/>
                <w:szCs w:val="20"/>
              </w:rPr>
              <w:t>Poor</w:t>
            </w:r>
          </w:p>
        </w:tc>
        <w:tc>
          <w:tcPr>
            <w:tcW w:w="10064" w:type="dxa"/>
            <w:vAlign w:val="center"/>
          </w:tcPr>
          <w:p w:rsidR="00EA6F40" w:rsidRPr="00C875F5" w:rsidRDefault="00EA6F40" w:rsidP="00EA6F40">
            <w:pPr>
              <w:rPr>
                <w:rFonts w:cstheme="minorHAnsi"/>
                <w:color w:val="000000"/>
                <w:sz w:val="20"/>
                <w:szCs w:val="20"/>
              </w:rPr>
            </w:pPr>
            <w:r w:rsidRPr="00C875F5">
              <w:rPr>
                <w:rFonts w:cstheme="minorHAnsi"/>
                <w:color w:val="000000"/>
                <w:sz w:val="20"/>
                <w:szCs w:val="20"/>
              </w:rPr>
              <w:t>1 Lev</w:t>
            </w:r>
            <w:r>
              <w:rPr>
                <w:rFonts w:cstheme="minorHAnsi"/>
                <w:color w:val="000000"/>
                <w:sz w:val="20"/>
                <w:szCs w:val="20"/>
              </w:rPr>
              <w:t>el II (RCT) + 1 Level III-3 + 17</w:t>
            </w:r>
            <w:r w:rsidRPr="00C875F5">
              <w:rPr>
                <w:rFonts w:cstheme="minorHAnsi"/>
                <w:color w:val="000000"/>
                <w:sz w:val="20"/>
                <w:szCs w:val="20"/>
              </w:rPr>
              <w:t xml:space="preserve"> Level IV studies.</w:t>
            </w:r>
          </w:p>
        </w:tc>
      </w:tr>
      <w:tr w:rsidR="00EA6F40" w:rsidRPr="00C875F5" w:rsidTr="00E41FB3">
        <w:tc>
          <w:tcPr>
            <w:tcW w:w="2345" w:type="dxa"/>
            <w:vAlign w:val="center"/>
          </w:tcPr>
          <w:p w:rsidR="00EA6F40" w:rsidRPr="00C875F5" w:rsidRDefault="00EA6F40" w:rsidP="00EA6F40">
            <w:pPr>
              <w:rPr>
                <w:rFonts w:cs="Calibri"/>
                <w:color w:val="000000"/>
                <w:sz w:val="20"/>
                <w:szCs w:val="20"/>
              </w:rPr>
            </w:pPr>
            <w:r w:rsidRPr="00C875F5">
              <w:rPr>
                <w:rFonts w:cs="Calibri"/>
                <w:color w:val="000000"/>
                <w:sz w:val="20"/>
                <w:szCs w:val="20"/>
              </w:rPr>
              <w:t>Consistency</w:t>
            </w:r>
          </w:p>
        </w:tc>
        <w:tc>
          <w:tcPr>
            <w:tcW w:w="1701" w:type="dxa"/>
            <w:vAlign w:val="center"/>
          </w:tcPr>
          <w:p w:rsidR="00EA6F40" w:rsidRPr="00C875F5" w:rsidRDefault="00EA6F40" w:rsidP="00EA6F40">
            <w:pPr>
              <w:rPr>
                <w:rFonts w:cs="Calibri"/>
                <w:color w:val="000000"/>
                <w:sz w:val="20"/>
                <w:szCs w:val="20"/>
              </w:rPr>
            </w:pPr>
            <w:r w:rsidRPr="00C875F5">
              <w:rPr>
                <w:rFonts w:cs="Calibri"/>
                <w:color w:val="000000"/>
                <w:sz w:val="20"/>
                <w:szCs w:val="20"/>
              </w:rPr>
              <w:t>Poor</w:t>
            </w:r>
          </w:p>
        </w:tc>
        <w:tc>
          <w:tcPr>
            <w:tcW w:w="10064" w:type="dxa"/>
            <w:vAlign w:val="center"/>
          </w:tcPr>
          <w:p w:rsidR="00EA6F40" w:rsidRPr="00C875F5" w:rsidRDefault="00EA6F40" w:rsidP="00EA6F40">
            <w:pPr>
              <w:rPr>
                <w:rFonts w:cstheme="minorHAnsi"/>
                <w:color w:val="000000"/>
                <w:sz w:val="20"/>
                <w:szCs w:val="20"/>
              </w:rPr>
            </w:pPr>
            <w:r w:rsidRPr="00C875F5">
              <w:rPr>
                <w:rFonts w:cstheme="minorHAnsi"/>
                <w:color w:val="000000"/>
                <w:sz w:val="20"/>
                <w:szCs w:val="20"/>
              </w:rPr>
              <w:t>Inconsistent results across studies. Study of Zimmerman et al. (2005) provides best evidence from children across a wide range of intakes in 5 continents and this showed a</w:t>
            </w:r>
            <w:r w:rsidRPr="00C875F5">
              <w:rPr>
                <w:sz w:val="20"/>
                <w:szCs w:val="20"/>
              </w:rPr>
              <w:t xml:space="preserve">n increase in thyroid volume) at a UI concentration of ~500 μg/L. </w:t>
            </w:r>
            <w:r w:rsidRPr="00C875F5">
              <w:rPr>
                <w:rFonts w:cstheme="minorHAnsi"/>
                <w:color w:val="000000"/>
                <w:sz w:val="20"/>
                <w:szCs w:val="20"/>
              </w:rPr>
              <w:t xml:space="preserve">  </w:t>
            </w:r>
          </w:p>
        </w:tc>
      </w:tr>
      <w:tr w:rsidR="00EA6F40" w:rsidRPr="00C875F5" w:rsidTr="00E41FB3">
        <w:tc>
          <w:tcPr>
            <w:tcW w:w="2345" w:type="dxa"/>
            <w:vAlign w:val="center"/>
          </w:tcPr>
          <w:p w:rsidR="00EA6F40" w:rsidRPr="00C875F5" w:rsidRDefault="00EA6F40" w:rsidP="00EA6F40">
            <w:pPr>
              <w:rPr>
                <w:rFonts w:cs="Calibri"/>
                <w:color w:val="000000"/>
                <w:sz w:val="20"/>
                <w:szCs w:val="20"/>
              </w:rPr>
            </w:pPr>
            <w:r w:rsidRPr="00C875F5">
              <w:rPr>
                <w:rFonts w:cs="Calibri"/>
                <w:color w:val="000000"/>
                <w:sz w:val="20"/>
                <w:szCs w:val="20"/>
              </w:rPr>
              <w:t>Clinical impact</w:t>
            </w:r>
          </w:p>
        </w:tc>
        <w:tc>
          <w:tcPr>
            <w:tcW w:w="1701" w:type="dxa"/>
            <w:vAlign w:val="center"/>
          </w:tcPr>
          <w:p w:rsidR="00EA6F40" w:rsidRPr="00C875F5" w:rsidRDefault="00EA6F40" w:rsidP="00EA6F40">
            <w:pPr>
              <w:rPr>
                <w:rFonts w:cs="Calibri"/>
                <w:color w:val="000000"/>
                <w:sz w:val="20"/>
                <w:szCs w:val="20"/>
              </w:rPr>
            </w:pPr>
            <w:r w:rsidRPr="00C875F5">
              <w:rPr>
                <w:rFonts w:cs="Calibri"/>
                <w:color w:val="000000"/>
                <w:sz w:val="20"/>
                <w:szCs w:val="20"/>
              </w:rPr>
              <w:t>Moderate</w:t>
            </w:r>
          </w:p>
        </w:tc>
        <w:tc>
          <w:tcPr>
            <w:tcW w:w="10064" w:type="dxa"/>
            <w:vAlign w:val="center"/>
          </w:tcPr>
          <w:p w:rsidR="00EA6F40" w:rsidRPr="00C875F5" w:rsidRDefault="00EA6F40" w:rsidP="00EA6F40">
            <w:pPr>
              <w:rPr>
                <w:rFonts w:cstheme="minorHAnsi"/>
                <w:color w:val="000000"/>
                <w:sz w:val="20"/>
                <w:szCs w:val="20"/>
              </w:rPr>
            </w:pPr>
            <w:r w:rsidRPr="00C875F5">
              <w:rPr>
                <w:rFonts w:cstheme="minorHAnsi"/>
                <w:color w:val="000000"/>
                <w:sz w:val="20"/>
                <w:szCs w:val="20"/>
              </w:rPr>
              <w:t>Health implications of sustained increased thyroid volume and elevated TSH levels in children not well defined.</w:t>
            </w:r>
          </w:p>
        </w:tc>
      </w:tr>
      <w:tr w:rsidR="00EA6F40" w:rsidRPr="00C875F5" w:rsidTr="00E41FB3">
        <w:tc>
          <w:tcPr>
            <w:tcW w:w="2345" w:type="dxa"/>
            <w:vAlign w:val="center"/>
          </w:tcPr>
          <w:p w:rsidR="00EA6F40" w:rsidRPr="00C875F5" w:rsidRDefault="00EA6F40" w:rsidP="00EA6F40">
            <w:pPr>
              <w:rPr>
                <w:rFonts w:cs="Calibri"/>
                <w:color w:val="000000"/>
                <w:sz w:val="20"/>
                <w:szCs w:val="20"/>
              </w:rPr>
            </w:pPr>
            <w:r w:rsidRPr="00C875F5">
              <w:rPr>
                <w:rFonts w:cs="Calibri"/>
                <w:color w:val="000000"/>
                <w:sz w:val="20"/>
                <w:szCs w:val="20"/>
              </w:rPr>
              <w:t>Generalisability</w:t>
            </w:r>
          </w:p>
        </w:tc>
        <w:tc>
          <w:tcPr>
            <w:tcW w:w="1701" w:type="dxa"/>
            <w:vAlign w:val="center"/>
          </w:tcPr>
          <w:p w:rsidR="00EA6F40" w:rsidRPr="00C875F5" w:rsidRDefault="00EA6F40" w:rsidP="00EA6F40">
            <w:pPr>
              <w:rPr>
                <w:rFonts w:cs="Calibri"/>
                <w:color w:val="000000"/>
                <w:sz w:val="20"/>
                <w:szCs w:val="20"/>
              </w:rPr>
            </w:pPr>
            <w:r w:rsidRPr="00C875F5">
              <w:rPr>
                <w:rFonts w:cs="Calibri"/>
                <w:color w:val="000000"/>
                <w:sz w:val="20"/>
                <w:szCs w:val="20"/>
              </w:rPr>
              <w:t>Satisfactory</w:t>
            </w:r>
          </w:p>
        </w:tc>
        <w:tc>
          <w:tcPr>
            <w:tcW w:w="10064" w:type="dxa"/>
            <w:vAlign w:val="center"/>
          </w:tcPr>
          <w:p w:rsidR="00EA6F40" w:rsidRPr="00C875F5" w:rsidRDefault="00EA6F40" w:rsidP="00EA6F40">
            <w:pPr>
              <w:rPr>
                <w:rFonts w:cstheme="minorHAnsi"/>
                <w:color w:val="000000"/>
                <w:sz w:val="20"/>
                <w:szCs w:val="20"/>
              </w:rPr>
            </w:pPr>
            <w:r w:rsidRPr="00C875F5">
              <w:rPr>
                <w:rFonts w:cstheme="minorHAnsi"/>
                <w:sz w:val="20"/>
                <w:szCs w:val="20"/>
              </w:rPr>
              <w:t xml:space="preserve">Most studies from China or Africa, therefore limited generalizability.  </w:t>
            </w:r>
          </w:p>
        </w:tc>
      </w:tr>
      <w:tr w:rsidR="00EA6F40" w:rsidRPr="00C875F5" w:rsidTr="00E41FB3">
        <w:tc>
          <w:tcPr>
            <w:tcW w:w="2345" w:type="dxa"/>
            <w:vAlign w:val="center"/>
          </w:tcPr>
          <w:p w:rsidR="00EA6F40" w:rsidRPr="00C875F5" w:rsidRDefault="00EA6F40" w:rsidP="00EA6F40">
            <w:pPr>
              <w:rPr>
                <w:rFonts w:cs="Calibri"/>
                <w:color w:val="000000"/>
                <w:sz w:val="20"/>
                <w:szCs w:val="20"/>
              </w:rPr>
            </w:pPr>
            <w:r w:rsidRPr="00C875F5">
              <w:rPr>
                <w:rFonts w:cs="Calibri"/>
                <w:color w:val="000000"/>
                <w:sz w:val="20"/>
                <w:szCs w:val="20"/>
              </w:rPr>
              <w:t>Applicability</w:t>
            </w:r>
          </w:p>
        </w:tc>
        <w:tc>
          <w:tcPr>
            <w:tcW w:w="1701" w:type="dxa"/>
            <w:vAlign w:val="center"/>
          </w:tcPr>
          <w:p w:rsidR="00EA6F40" w:rsidRPr="00C875F5" w:rsidRDefault="00EA6F40" w:rsidP="00EA6F40">
            <w:pPr>
              <w:rPr>
                <w:rFonts w:cs="Calibri"/>
                <w:color w:val="000000"/>
                <w:sz w:val="20"/>
                <w:szCs w:val="20"/>
              </w:rPr>
            </w:pPr>
            <w:r w:rsidRPr="00C875F5">
              <w:rPr>
                <w:rFonts w:cs="Calibri"/>
                <w:color w:val="000000"/>
                <w:sz w:val="20"/>
                <w:szCs w:val="20"/>
              </w:rPr>
              <w:t>Satisfactory</w:t>
            </w:r>
          </w:p>
        </w:tc>
        <w:tc>
          <w:tcPr>
            <w:tcW w:w="10064" w:type="dxa"/>
            <w:vAlign w:val="center"/>
          </w:tcPr>
          <w:p w:rsidR="00EA6F40" w:rsidRPr="00C875F5" w:rsidRDefault="00EA6F40" w:rsidP="00EA6F40">
            <w:pPr>
              <w:pStyle w:val="Default"/>
              <w:spacing w:before="120" w:after="120"/>
              <w:rPr>
                <w:rFonts w:cstheme="minorHAnsi"/>
                <w:sz w:val="20"/>
                <w:szCs w:val="20"/>
              </w:rPr>
            </w:pPr>
            <w:r w:rsidRPr="00C875F5">
              <w:rPr>
                <w:rFonts w:cstheme="minorHAnsi"/>
                <w:sz w:val="20"/>
                <w:szCs w:val="20"/>
              </w:rPr>
              <w:t xml:space="preserve">Probably applicable to Australian and New Zealand healthcare context with some caveats </w:t>
            </w:r>
          </w:p>
        </w:tc>
      </w:tr>
      <w:tr w:rsidR="00EA6F40" w:rsidRPr="00C875F5" w:rsidTr="00E41FB3">
        <w:trPr>
          <w:trHeight w:val="600"/>
        </w:trPr>
        <w:tc>
          <w:tcPr>
            <w:tcW w:w="2345" w:type="dxa"/>
            <w:vAlign w:val="center"/>
            <w:hideMark/>
          </w:tcPr>
          <w:p w:rsidR="00EA6F40" w:rsidRPr="00C875F5" w:rsidRDefault="00EA6F40" w:rsidP="00EA6F40">
            <w:pPr>
              <w:rPr>
                <w:rFonts w:eastAsia="Times New Roman" w:cs="Calibri"/>
                <w:bCs/>
                <w:i/>
                <w:color w:val="000000"/>
                <w:lang w:eastAsia="en-AU"/>
              </w:rPr>
            </w:pPr>
            <w:r w:rsidRPr="00C875F5">
              <w:rPr>
                <w:rFonts w:eastAsia="Times New Roman" w:cs="Calibri"/>
                <w:bCs/>
                <w:color w:val="000000"/>
                <w:sz w:val="20"/>
                <w:szCs w:val="20"/>
                <w:lang w:eastAsia="en-AU"/>
              </w:rPr>
              <w:t>Draft Recommendation</w:t>
            </w:r>
          </w:p>
        </w:tc>
        <w:tc>
          <w:tcPr>
            <w:tcW w:w="1701" w:type="dxa"/>
            <w:vAlign w:val="center"/>
            <w:hideMark/>
          </w:tcPr>
          <w:p w:rsidR="00EA6F40" w:rsidRPr="00255576" w:rsidRDefault="00EA6F40" w:rsidP="00EA6F40">
            <w:pPr>
              <w:rPr>
                <w:rFonts w:eastAsia="Times New Roman" w:cs="Calibri"/>
                <w:color w:val="000000"/>
                <w:lang w:eastAsia="en-AU"/>
              </w:rPr>
            </w:pPr>
          </w:p>
        </w:tc>
        <w:tc>
          <w:tcPr>
            <w:tcW w:w="10064" w:type="dxa"/>
            <w:vAlign w:val="center"/>
          </w:tcPr>
          <w:p w:rsidR="00EA6F40" w:rsidRPr="00C875F5" w:rsidRDefault="00EA6F40" w:rsidP="00EA6F40">
            <w:pPr>
              <w:rPr>
                <w:rFonts w:eastAsia="Times New Roman" w:cstheme="minorHAnsi"/>
                <w:bCs/>
                <w:color w:val="000000"/>
                <w:sz w:val="20"/>
                <w:szCs w:val="20"/>
                <w:lang w:eastAsia="en-AU"/>
              </w:rPr>
            </w:pPr>
            <w:r w:rsidRPr="00C875F5">
              <w:rPr>
                <w:rFonts w:cstheme="minorHAnsi"/>
                <w:sz w:val="20"/>
                <w:szCs w:val="20"/>
              </w:rPr>
              <w:t xml:space="preserve">A Provisional Upper Level (PUL) is set at 350 µg/day because of uncertainty related to evidence for this specific age group and a need to </w:t>
            </w:r>
            <w:r w:rsidRPr="00C875F5">
              <w:rPr>
                <w:sz w:val="20"/>
                <w:szCs w:val="20"/>
              </w:rPr>
              <w:t xml:space="preserve">extrapolate values from UL calculated for age 9–13 years using metabolic weight formula. </w:t>
            </w:r>
          </w:p>
        </w:tc>
      </w:tr>
      <w:tr w:rsidR="00EA6F40" w:rsidRPr="00C875F5" w:rsidTr="00E41FB3">
        <w:trPr>
          <w:trHeight w:val="706"/>
        </w:trPr>
        <w:tc>
          <w:tcPr>
            <w:tcW w:w="2345" w:type="dxa"/>
            <w:vAlign w:val="center"/>
          </w:tcPr>
          <w:p w:rsidR="00EA6F40" w:rsidRPr="00C875F5" w:rsidRDefault="00EA6F40" w:rsidP="00EA6F40">
            <w:pPr>
              <w:rPr>
                <w:rFonts w:eastAsia="Times New Roman" w:cs="Calibri"/>
                <w:bCs/>
                <w:color w:val="000000"/>
                <w:sz w:val="20"/>
                <w:szCs w:val="20"/>
                <w:lang w:eastAsia="en-AU"/>
              </w:rPr>
            </w:pPr>
            <w:r>
              <w:rPr>
                <w:rFonts w:eastAsia="Times New Roman" w:cs="Calibri"/>
                <w:bCs/>
                <w:color w:val="000000"/>
                <w:sz w:val="20"/>
                <w:szCs w:val="20"/>
                <w:lang w:eastAsia="en-AU"/>
              </w:rPr>
              <w:t>Recommendation</w:t>
            </w:r>
          </w:p>
        </w:tc>
        <w:tc>
          <w:tcPr>
            <w:tcW w:w="1701" w:type="dxa"/>
            <w:vAlign w:val="center"/>
          </w:tcPr>
          <w:p w:rsidR="00EA6F40" w:rsidRPr="00B165EB" w:rsidRDefault="00EA6F40" w:rsidP="00EA6F40">
            <w:pPr>
              <w:rPr>
                <w:rFonts w:eastAsia="Times New Roman" w:cs="Calibri"/>
                <w:color w:val="000000"/>
                <w:lang w:eastAsia="en-AU"/>
              </w:rPr>
            </w:pPr>
            <w:r>
              <w:rPr>
                <w:rFonts w:eastAsia="Times New Roman" w:cs="Calibri"/>
                <w:color w:val="000000"/>
                <w:lang w:eastAsia="en-AU"/>
              </w:rPr>
              <w:t>C</w:t>
            </w:r>
          </w:p>
        </w:tc>
        <w:tc>
          <w:tcPr>
            <w:tcW w:w="10064" w:type="dxa"/>
            <w:vAlign w:val="center"/>
          </w:tcPr>
          <w:p w:rsidR="00EA6F40" w:rsidRPr="00C875F5" w:rsidRDefault="00EA6F40" w:rsidP="00EA6F40">
            <w:pPr>
              <w:rPr>
                <w:rFonts w:cstheme="minorHAnsi"/>
                <w:sz w:val="20"/>
                <w:szCs w:val="20"/>
              </w:rPr>
            </w:pPr>
            <w:r>
              <w:rPr>
                <w:rFonts w:cstheme="minorHAnsi"/>
                <w:sz w:val="20"/>
                <w:szCs w:val="20"/>
              </w:rPr>
              <w:t xml:space="preserve">Body of evidence provides some support for recommendation(s) but care should be taken in its application. </w:t>
            </w:r>
          </w:p>
        </w:tc>
      </w:tr>
    </w:tbl>
    <w:p w:rsidR="00EA6F40" w:rsidRPr="00255576" w:rsidRDefault="00EA6F40" w:rsidP="00255576">
      <w:r>
        <w:br w:type="page"/>
      </w:r>
    </w:p>
    <w:p w:rsidR="00EA6F40" w:rsidRDefault="0010683D" w:rsidP="00AE0695">
      <w:pPr>
        <w:pStyle w:val="Caption"/>
      </w:pPr>
      <w:r>
        <w:lastRenderedPageBreak/>
        <w:t xml:space="preserve">Table </w:t>
      </w:r>
      <w:r w:rsidR="00CA2AA1">
        <w:fldChar w:fldCharType="begin"/>
      </w:r>
      <w:r w:rsidR="00CA2AA1">
        <w:instrText xml:space="preserve"> STYLEREF 1 \s </w:instrText>
      </w:r>
      <w:r w:rsidR="00CA2AA1">
        <w:fldChar w:fldCharType="separate"/>
      </w:r>
      <w:r w:rsidR="00CA2AA1">
        <w:rPr>
          <w:noProof/>
        </w:rPr>
        <w:t>7</w:t>
      </w:r>
      <w:r w:rsidR="00CA2AA1">
        <w:fldChar w:fldCharType="end"/>
      </w:r>
      <w:r w:rsidR="00CA2AA1">
        <w:t>:</w:t>
      </w:r>
      <w:r w:rsidR="00CA2AA1">
        <w:fldChar w:fldCharType="begin"/>
      </w:r>
      <w:r w:rsidR="00CA2AA1">
        <w:instrText xml:space="preserve"> SEQ Table \* ARABIC \s 1 </w:instrText>
      </w:r>
      <w:r w:rsidR="00CA2AA1">
        <w:fldChar w:fldCharType="separate"/>
      </w:r>
      <w:r w:rsidR="00CA2AA1">
        <w:rPr>
          <w:noProof/>
        </w:rPr>
        <w:t>9</w:t>
      </w:r>
      <w:r w:rsidR="00CA2AA1">
        <w:fldChar w:fldCharType="end"/>
      </w:r>
      <w:r w:rsidR="00EA6F40" w:rsidRPr="00C875F5">
        <w:t xml:space="preserve"> Body of Evidence for Provisional UL in children 9-13 years</w:t>
      </w:r>
    </w:p>
    <w:p w:rsidR="00255576" w:rsidRPr="0010683D" w:rsidRDefault="00255576" w:rsidP="00E41FB3">
      <w:pPr>
        <w:ind w:left="-180"/>
        <w:rPr>
          <w:rStyle w:val="IntenseEmphasis"/>
        </w:rPr>
      </w:pPr>
      <w:r w:rsidRPr="0010683D">
        <w:rPr>
          <w:rStyle w:val="Strong"/>
        </w:rPr>
        <w:t>Review Question 12</w:t>
      </w:r>
      <w:r>
        <w:rPr>
          <w:rFonts w:cs="Calibri"/>
          <w:b/>
          <w:bCs/>
          <w:color w:val="000000"/>
          <w:sz w:val="20"/>
          <w:szCs w:val="20"/>
        </w:rPr>
        <w:t xml:space="preserve"> </w:t>
      </w:r>
      <w:r w:rsidRPr="0010683D">
        <w:rPr>
          <w:rStyle w:val="IntenseEmphasis"/>
        </w:rPr>
        <w:t>What is the average intake of normal healthy children aged 9-13 years above which adverse effects on thyroid function are observed, as indicated by increased thyroid volume and/or abnormal thyroid hormone levels?</w:t>
      </w:r>
    </w:p>
    <w:tbl>
      <w:tblPr>
        <w:tblStyle w:val="TableGrid1"/>
        <w:tblW w:w="14110" w:type="dxa"/>
        <w:tblInd w:w="-252" w:type="dxa"/>
        <w:tblLook w:val="04A0" w:firstRow="1" w:lastRow="0" w:firstColumn="1" w:lastColumn="0" w:noHBand="0" w:noVBand="1"/>
        <w:tblDescription w:val="Table 7.9 show a body of Evidence for Provisional Upper Levels of Intake (UL) in children 9-13 years. This table contains 3 column headings; column 1. Component, column 2. Rating and column 3. Notes (details for each component and rating)."/>
      </w:tblPr>
      <w:tblGrid>
        <w:gridCol w:w="2345"/>
        <w:gridCol w:w="1701"/>
        <w:gridCol w:w="10064"/>
      </w:tblGrid>
      <w:tr w:rsidR="00EA6F40" w:rsidRPr="00255576" w:rsidTr="00E41FB3">
        <w:trPr>
          <w:trHeight w:val="565"/>
          <w:tblHeader/>
        </w:trPr>
        <w:tc>
          <w:tcPr>
            <w:tcW w:w="2345" w:type="dxa"/>
            <w:vAlign w:val="bottom"/>
          </w:tcPr>
          <w:p w:rsidR="00EA6F40" w:rsidRPr="00255576" w:rsidRDefault="00EA6F40" w:rsidP="00EA6F40">
            <w:pPr>
              <w:rPr>
                <w:rStyle w:val="Strong"/>
              </w:rPr>
            </w:pPr>
            <w:r w:rsidRPr="00255576">
              <w:rPr>
                <w:rStyle w:val="Strong"/>
              </w:rPr>
              <w:t>Component</w:t>
            </w:r>
          </w:p>
        </w:tc>
        <w:tc>
          <w:tcPr>
            <w:tcW w:w="1701" w:type="dxa"/>
            <w:vAlign w:val="bottom"/>
          </w:tcPr>
          <w:p w:rsidR="00EA6F40" w:rsidRPr="00255576" w:rsidRDefault="00EA6F40" w:rsidP="00EA6F40">
            <w:pPr>
              <w:rPr>
                <w:rStyle w:val="Strong"/>
              </w:rPr>
            </w:pPr>
            <w:r w:rsidRPr="00255576">
              <w:rPr>
                <w:rStyle w:val="Strong"/>
              </w:rPr>
              <w:t>Rating</w:t>
            </w:r>
          </w:p>
        </w:tc>
        <w:tc>
          <w:tcPr>
            <w:tcW w:w="10064" w:type="dxa"/>
            <w:vAlign w:val="bottom"/>
          </w:tcPr>
          <w:p w:rsidR="00EA6F40" w:rsidRPr="00255576" w:rsidRDefault="00E41FB3" w:rsidP="00EA6F40">
            <w:pPr>
              <w:rPr>
                <w:rStyle w:val="Strong"/>
              </w:rPr>
            </w:pPr>
            <w:r>
              <w:rPr>
                <w:rStyle w:val="Strong"/>
              </w:rPr>
              <w:t>Notes</w:t>
            </w:r>
          </w:p>
        </w:tc>
      </w:tr>
      <w:tr w:rsidR="00EA6F40" w:rsidRPr="00C875F5" w:rsidTr="00E41FB3">
        <w:tc>
          <w:tcPr>
            <w:tcW w:w="2345" w:type="dxa"/>
            <w:vAlign w:val="center"/>
          </w:tcPr>
          <w:p w:rsidR="00EA6F40" w:rsidRPr="00C875F5" w:rsidRDefault="00EA6F40" w:rsidP="00EA6F40">
            <w:pPr>
              <w:rPr>
                <w:rFonts w:cs="Calibri"/>
                <w:color w:val="000000"/>
                <w:sz w:val="20"/>
                <w:szCs w:val="20"/>
              </w:rPr>
            </w:pPr>
            <w:r w:rsidRPr="00C875F5">
              <w:rPr>
                <w:rFonts w:cs="Calibri"/>
                <w:color w:val="000000"/>
                <w:sz w:val="20"/>
                <w:szCs w:val="20"/>
              </w:rPr>
              <w:t>Evidence Base</w:t>
            </w:r>
          </w:p>
        </w:tc>
        <w:tc>
          <w:tcPr>
            <w:tcW w:w="1701" w:type="dxa"/>
            <w:vAlign w:val="center"/>
          </w:tcPr>
          <w:p w:rsidR="00EA6F40" w:rsidRPr="00C875F5" w:rsidRDefault="00EA6F40" w:rsidP="00EA6F40">
            <w:pPr>
              <w:rPr>
                <w:rFonts w:cs="Calibri"/>
                <w:color w:val="000000"/>
                <w:sz w:val="20"/>
                <w:szCs w:val="20"/>
              </w:rPr>
            </w:pPr>
            <w:r w:rsidRPr="00C875F5">
              <w:rPr>
                <w:rFonts w:cs="Calibri"/>
                <w:color w:val="000000"/>
                <w:sz w:val="20"/>
                <w:szCs w:val="20"/>
              </w:rPr>
              <w:t>Poor</w:t>
            </w:r>
          </w:p>
        </w:tc>
        <w:tc>
          <w:tcPr>
            <w:tcW w:w="10064" w:type="dxa"/>
            <w:vAlign w:val="center"/>
          </w:tcPr>
          <w:p w:rsidR="00EA6F40" w:rsidRPr="00C875F5" w:rsidRDefault="00EA6F40" w:rsidP="00EA6F40">
            <w:pPr>
              <w:rPr>
                <w:rFonts w:cstheme="minorHAnsi"/>
                <w:color w:val="000000"/>
                <w:sz w:val="20"/>
                <w:szCs w:val="20"/>
              </w:rPr>
            </w:pPr>
            <w:r w:rsidRPr="00C875F5">
              <w:rPr>
                <w:rFonts w:cstheme="minorHAnsi"/>
                <w:color w:val="000000"/>
                <w:sz w:val="20"/>
                <w:szCs w:val="20"/>
              </w:rPr>
              <w:t xml:space="preserve">1 Level II (RCT) + </w:t>
            </w:r>
            <w:r>
              <w:rPr>
                <w:rFonts w:cstheme="minorHAnsi"/>
                <w:color w:val="000000"/>
                <w:sz w:val="20"/>
                <w:szCs w:val="20"/>
              </w:rPr>
              <w:t>1 Level III-3 + 17</w:t>
            </w:r>
            <w:r w:rsidRPr="00C875F5">
              <w:rPr>
                <w:rFonts w:cstheme="minorHAnsi"/>
                <w:color w:val="000000"/>
                <w:sz w:val="20"/>
                <w:szCs w:val="20"/>
              </w:rPr>
              <w:t xml:space="preserve"> Level IV studies.</w:t>
            </w:r>
          </w:p>
        </w:tc>
      </w:tr>
      <w:tr w:rsidR="00EA6F40" w:rsidRPr="00C875F5" w:rsidTr="00E41FB3">
        <w:tc>
          <w:tcPr>
            <w:tcW w:w="2345" w:type="dxa"/>
            <w:vAlign w:val="center"/>
          </w:tcPr>
          <w:p w:rsidR="00EA6F40" w:rsidRPr="00C875F5" w:rsidRDefault="00EA6F40" w:rsidP="00EA6F40">
            <w:pPr>
              <w:rPr>
                <w:rFonts w:cs="Calibri"/>
                <w:color w:val="000000"/>
                <w:sz w:val="20"/>
                <w:szCs w:val="20"/>
              </w:rPr>
            </w:pPr>
            <w:r w:rsidRPr="00C875F5">
              <w:rPr>
                <w:rFonts w:cs="Calibri"/>
                <w:color w:val="000000"/>
                <w:sz w:val="20"/>
                <w:szCs w:val="20"/>
              </w:rPr>
              <w:t>Consistency</w:t>
            </w:r>
          </w:p>
        </w:tc>
        <w:tc>
          <w:tcPr>
            <w:tcW w:w="1701" w:type="dxa"/>
            <w:vAlign w:val="center"/>
          </w:tcPr>
          <w:p w:rsidR="00EA6F40" w:rsidRPr="00C875F5" w:rsidRDefault="00EA6F40" w:rsidP="00EA6F40">
            <w:pPr>
              <w:rPr>
                <w:rFonts w:cs="Calibri"/>
                <w:color w:val="000000"/>
                <w:sz w:val="20"/>
                <w:szCs w:val="20"/>
              </w:rPr>
            </w:pPr>
            <w:r w:rsidRPr="00C875F5">
              <w:rPr>
                <w:rFonts w:cs="Calibri"/>
                <w:color w:val="000000"/>
                <w:sz w:val="20"/>
                <w:szCs w:val="20"/>
              </w:rPr>
              <w:t>Poor</w:t>
            </w:r>
          </w:p>
        </w:tc>
        <w:tc>
          <w:tcPr>
            <w:tcW w:w="10064" w:type="dxa"/>
            <w:vAlign w:val="center"/>
          </w:tcPr>
          <w:p w:rsidR="00EA6F40" w:rsidRPr="00C875F5" w:rsidRDefault="00EA6F40" w:rsidP="00EA6F40">
            <w:pPr>
              <w:rPr>
                <w:rFonts w:cstheme="minorHAnsi"/>
                <w:color w:val="000000"/>
                <w:sz w:val="20"/>
                <w:szCs w:val="20"/>
              </w:rPr>
            </w:pPr>
            <w:r w:rsidRPr="00C875F5">
              <w:rPr>
                <w:rFonts w:cstheme="minorHAnsi"/>
                <w:color w:val="000000"/>
                <w:sz w:val="20"/>
                <w:szCs w:val="20"/>
              </w:rPr>
              <w:t>Inconsistent results across studies. Study of Zimmerman et al (2005) provides best evidence from children across a wide range of intakes in 5 continents and this showed a</w:t>
            </w:r>
            <w:r w:rsidRPr="00C875F5">
              <w:rPr>
                <w:sz w:val="20"/>
                <w:szCs w:val="20"/>
              </w:rPr>
              <w:t xml:space="preserve">n increase in thyroid volume) at a UI concentration of ~500 μg/L. </w:t>
            </w:r>
            <w:r w:rsidRPr="00C875F5">
              <w:rPr>
                <w:rFonts w:cstheme="minorHAnsi"/>
                <w:color w:val="000000"/>
                <w:sz w:val="20"/>
                <w:szCs w:val="20"/>
              </w:rPr>
              <w:t xml:space="preserve">  </w:t>
            </w:r>
          </w:p>
        </w:tc>
      </w:tr>
      <w:tr w:rsidR="00EA6F40" w:rsidRPr="00C875F5" w:rsidTr="00E41FB3">
        <w:tc>
          <w:tcPr>
            <w:tcW w:w="2345" w:type="dxa"/>
            <w:vAlign w:val="center"/>
          </w:tcPr>
          <w:p w:rsidR="00EA6F40" w:rsidRPr="00C875F5" w:rsidRDefault="00EA6F40" w:rsidP="00EA6F40">
            <w:pPr>
              <w:rPr>
                <w:rFonts w:cs="Calibri"/>
                <w:color w:val="000000"/>
                <w:sz w:val="20"/>
                <w:szCs w:val="20"/>
              </w:rPr>
            </w:pPr>
            <w:r w:rsidRPr="00C875F5">
              <w:rPr>
                <w:rFonts w:cs="Calibri"/>
                <w:color w:val="000000"/>
                <w:sz w:val="20"/>
                <w:szCs w:val="20"/>
              </w:rPr>
              <w:t>Clinical impact</w:t>
            </w:r>
          </w:p>
        </w:tc>
        <w:tc>
          <w:tcPr>
            <w:tcW w:w="1701" w:type="dxa"/>
            <w:vAlign w:val="center"/>
          </w:tcPr>
          <w:p w:rsidR="00EA6F40" w:rsidRPr="00C875F5" w:rsidRDefault="00EA6F40" w:rsidP="00EA6F40">
            <w:pPr>
              <w:rPr>
                <w:rFonts w:cs="Calibri"/>
                <w:color w:val="000000"/>
                <w:sz w:val="20"/>
                <w:szCs w:val="20"/>
              </w:rPr>
            </w:pPr>
            <w:r w:rsidRPr="00C875F5">
              <w:rPr>
                <w:rFonts w:cs="Calibri"/>
                <w:color w:val="000000"/>
                <w:sz w:val="20"/>
                <w:szCs w:val="20"/>
              </w:rPr>
              <w:t>Moderate</w:t>
            </w:r>
          </w:p>
        </w:tc>
        <w:tc>
          <w:tcPr>
            <w:tcW w:w="10064" w:type="dxa"/>
            <w:vAlign w:val="center"/>
          </w:tcPr>
          <w:p w:rsidR="00EA6F40" w:rsidRPr="00C875F5" w:rsidRDefault="00EA6F40" w:rsidP="00EA6F40">
            <w:pPr>
              <w:rPr>
                <w:rFonts w:cstheme="minorHAnsi"/>
                <w:color w:val="000000"/>
                <w:sz w:val="20"/>
                <w:szCs w:val="20"/>
              </w:rPr>
            </w:pPr>
            <w:r w:rsidRPr="00C875F5">
              <w:rPr>
                <w:rFonts w:cstheme="minorHAnsi"/>
                <w:color w:val="000000"/>
                <w:sz w:val="20"/>
                <w:szCs w:val="20"/>
              </w:rPr>
              <w:t xml:space="preserve">Health implications of sustained increased thyroid volume and elevated TSH levels in children not well defined. </w:t>
            </w:r>
          </w:p>
        </w:tc>
      </w:tr>
      <w:tr w:rsidR="00EA6F40" w:rsidRPr="00C875F5" w:rsidTr="00E41FB3">
        <w:tc>
          <w:tcPr>
            <w:tcW w:w="2345" w:type="dxa"/>
            <w:vAlign w:val="center"/>
          </w:tcPr>
          <w:p w:rsidR="00EA6F40" w:rsidRPr="00C875F5" w:rsidRDefault="00EA6F40" w:rsidP="00EA6F40">
            <w:pPr>
              <w:rPr>
                <w:rFonts w:cs="Calibri"/>
                <w:color w:val="000000"/>
                <w:sz w:val="20"/>
                <w:szCs w:val="20"/>
              </w:rPr>
            </w:pPr>
            <w:r w:rsidRPr="00C875F5">
              <w:rPr>
                <w:rFonts w:cs="Calibri"/>
                <w:color w:val="000000"/>
                <w:sz w:val="20"/>
                <w:szCs w:val="20"/>
              </w:rPr>
              <w:t>Generalisability</w:t>
            </w:r>
          </w:p>
        </w:tc>
        <w:tc>
          <w:tcPr>
            <w:tcW w:w="1701" w:type="dxa"/>
            <w:vAlign w:val="center"/>
          </w:tcPr>
          <w:p w:rsidR="00EA6F40" w:rsidRPr="00C875F5" w:rsidRDefault="00EA6F40" w:rsidP="00EA6F40">
            <w:pPr>
              <w:rPr>
                <w:rFonts w:cs="Calibri"/>
                <w:color w:val="000000"/>
                <w:sz w:val="20"/>
                <w:szCs w:val="20"/>
              </w:rPr>
            </w:pPr>
            <w:r w:rsidRPr="00C875F5">
              <w:rPr>
                <w:rFonts w:cs="Calibri"/>
                <w:color w:val="000000"/>
                <w:sz w:val="20"/>
                <w:szCs w:val="20"/>
              </w:rPr>
              <w:t>Satisfactory</w:t>
            </w:r>
          </w:p>
        </w:tc>
        <w:tc>
          <w:tcPr>
            <w:tcW w:w="10064" w:type="dxa"/>
            <w:vAlign w:val="center"/>
          </w:tcPr>
          <w:p w:rsidR="00EA6F40" w:rsidRPr="00C875F5" w:rsidRDefault="00EA6F40" w:rsidP="00EA6F40">
            <w:pPr>
              <w:rPr>
                <w:rFonts w:cstheme="minorHAnsi"/>
                <w:color w:val="000000"/>
                <w:sz w:val="20"/>
                <w:szCs w:val="20"/>
              </w:rPr>
            </w:pPr>
            <w:r w:rsidRPr="00C875F5">
              <w:rPr>
                <w:rFonts w:cstheme="minorHAnsi"/>
                <w:sz w:val="20"/>
                <w:szCs w:val="20"/>
              </w:rPr>
              <w:t xml:space="preserve">Most studies from China or Africa, therefore limited generalizability.  </w:t>
            </w:r>
          </w:p>
        </w:tc>
      </w:tr>
      <w:tr w:rsidR="00EA6F40" w:rsidRPr="00C875F5" w:rsidTr="00E41FB3">
        <w:tc>
          <w:tcPr>
            <w:tcW w:w="2345" w:type="dxa"/>
            <w:vAlign w:val="center"/>
          </w:tcPr>
          <w:p w:rsidR="00EA6F40" w:rsidRPr="00C875F5" w:rsidRDefault="00EA6F40" w:rsidP="00EA6F40">
            <w:pPr>
              <w:rPr>
                <w:rFonts w:cs="Calibri"/>
                <w:color w:val="000000"/>
                <w:sz w:val="20"/>
                <w:szCs w:val="20"/>
              </w:rPr>
            </w:pPr>
            <w:r w:rsidRPr="00C875F5">
              <w:rPr>
                <w:rFonts w:cs="Calibri"/>
                <w:color w:val="000000"/>
                <w:sz w:val="20"/>
                <w:szCs w:val="20"/>
              </w:rPr>
              <w:t>Applicability</w:t>
            </w:r>
          </w:p>
        </w:tc>
        <w:tc>
          <w:tcPr>
            <w:tcW w:w="1701" w:type="dxa"/>
            <w:vAlign w:val="center"/>
          </w:tcPr>
          <w:p w:rsidR="00EA6F40" w:rsidRPr="00C875F5" w:rsidRDefault="00EA6F40" w:rsidP="00EA6F40">
            <w:pPr>
              <w:rPr>
                <w:rFonts w:cs="Calibri"/>
                <w:color w:val="000000"/>
                <w:sz w:val="20"/>
                <w:szCs w:val="20"/>
              </w:rPr>
            </w:pPr>
            <w:r w:rsidRPr="00C875F5">
              <w:rPr>
                <w:rFonts w:cs="Calibri"/>
                <w:color w:val="000000"/>
                <w:sz w:val="20"/>
                <w:szCs w:val="20"/>
              </w:rPr>
              <w:t>Satisfactory</w:t>
            </w:r>
          </w:p>
        </w:tc>
        <w:tc>
          <w:tcPr>
            <w:tcW w:w="10064" w:type="dxa"/>
            <w:vAlign w:val="center"/>
          </w:tcPr>
          <w:p w:rsidR="00EA6F40" w:rsidRPr="00C875F5" w:rsidRDefault="00EA6F40" w:rsidP="00EA6F40">
            <w:pPr>
              <w:pStyle w:val="Default"/>
              <w:spacing w:before="120" w:after="120"/>
              <w:rPr>
                <w:rFonts w:cstheme="minorHAnsi"/>
                <w:sz w:val="20"/>
                <w:szCs w:val="20"/>
              </w:rPr>
            </w:pPr>
            <w:r w:rsidRPr="00C875F5">
              <w:rPr>
                <w:rFonts w:cstheme="minorHAnsi"/>
                <w:sz w:val="20"/>
                <w:szCs w:val="20"/>
              </w:rPr>
              <w:t xml:space="preserve">Probably applicable to Australian and New Zealand healthcare context with some caveats </w:t>
            </w:r>
          </w:p>
        </w:tc>
      </w:tr>
      <w:tr w:rsidR="00EA6F40" w:rsidRPr="00C875F5" w:rsidTr="00E41FB3">
        <w:trPr>
          <w:trHeight w:val="600"/>
        </w:trPr>
        <w:tc>
          <w:tcPr>
            <w:tcW w:w="2345" w:type="dxa"/>
            <w:vAlign w:val="center"/>
            <w:hideMark/>
          </w:tcPr>
          <w:p w:rsidR="00EA6F40" w:rsidRPr="00C875F5" w:rsidRDefault="00EA6F40" w:rsidP="00EA6F40">
            <w:pPr>
              <w:rPr>
                <w:rFonts w:eastAsia="Times New Roman" w:cs="Calibri"/>
                <w:bCs/>
                <w:i/>
                <w:color w:val="000000"/>
                <w:lang w:eastAsia="en-AU"/>
              </w:rPr>
            </w:pPr>
            <w:r w:rsidRPr="00C875F5">
              <w:rPr>
                <w:rFonts w:eastAsia="Times New Roman" w:cs="Calibri"/>
                <w:bCs/>
                <w:color w:val="000000"/>
                <w:sz w:val="20"/>
                <w:szCs w:val="20"/>
                <w:lang w:eastAsia="en-AU"/>
              </w:rPr>
              <w:t>Draft Recommendation</w:t>
            </w:r>
          </w:p>
        </w:tc>
        <w:tc>
          <w:tcPr>
            <w:tcW w:w="1701" w:type="dxa"/>
            <w:vAlign w:val="center"/>
            <w:hideMark/>
          </w:tcPr>
          <w:p w:rsidR="00EA6F40" w:rsidRPr="00C875F5" w:rsidRDefault="00EA6F40" w:rsidP="00EA6F40">
            <w:pPr>
              <w:rPr>
                <w:rFonts w:eastAsia="Times New Roman" w:cs="Calibri"/>
                <w:i/>
                <w:color w:val="000000"/>
                <w:lang w:eastAsia="en-AU"/>
              </w:rPr>
            </w:pPr>
          </w:p>
        </w:tc>
        <w:tc>
          <w:tcPr>
            <w:tcW w:w="10064" w:type="dxa"/>
            <w:vAlign w:val="center"/>
          </w:tcPr>
          <w:p w:rsidR="00EA6F40" w:rsidRPr="00C875F5" w:rsidRDefault="00EA6F40" w:rsidP="00EA6F40">
            <w:pPr>
              <w:rPr>
                <w:rFonts w:eastAsia="Times New Roman" w:cstheme="minorHAnsi"/>
                <w:bCs/>
                <w:color w:val="000000"/>
                <w:sz w:val="20"/>
                <w:szCs w:val="20"/>
                <w:lang w:eastAsia="en-AU"/>
              </w:rPr>
            </w:pPr>
            <w:r w:rsidRPr="00C875F5">
              <w:rPr>
                <w:sz w:val="20"/>
                <w:szCs w:val="20"/>
              </w:rPr>
              <w:t>Using data from Zimmermann et al (2005) on thyroid volume in children 6-12 years, an io</w:t>
            </w:r>
            <w:r w:rsidRPr="00C875F5">
              <w:rPr>
                <w:rFonts w:cstheme="minorHAnsi"/>
                <w:sz w:val="20"/>
                <w:szCs w:val="20"/>
              </w:rPr>
              <w:t xml:space="preserve">dine intake in excess of 550 µg/day compared to iodine intake below this level leads to a high thyroid volume. </w:t>
            </w:r>
            <w:r w:rsidRPr="00C875F5">
              <w:rPr>
                <w:sz w:val="20"/>
                <w:szCs w:val="20"/>
              </w:rPr>
              <w:t>UL for the age group 9-13 years was set at 550 µg/day.</w:t>
            </w:r>
          </w:p>
        </w:tc>
      </w:tr>
      <w:tr w:rsidR="00EA6F40" w:rsidRPr="00C875F5" w:rsidTr="00E41FB3">
        <w:trPr>
          <w:trHeight w:val="752"/>
        </w:trPr>
        <w:tc>
          <w:tcPr>
            <w:tcW w:w="2345" w:type="dxa"/>
            <w:vAlign w:val="center"/>
            <w:hideMark/>
          </w:tcPr>
          <w:p w:rsidR="00EA6F40" w:rsidRPr="00C875F5" w:rsidRDefault="00EA6F40" w:rsidP="00EA6F40">
            <w:pPr>
              <w:rPr>
                <w:rFonts w:eastAsia="Times New Roman" w:cs="Calibri"/>
                <w:bCs/>
                <w:color w:val="000000"/>
                <w:sz w:val="20"/>
                <w:szCs w:val="20"/>
                <w:lang w:eastAsia="en-AU"/>
              </w:rPr>
            </w:pPr>
            <w:r>
              <w:rPr>
                <w:rFonts w:eastAsia="Times New Roman" w:cs="Calibri"/>
                <w:bCs/>
                <w:color w:val="000000"/>
                <w:sz w:val="20"/>
                <w:szCs w:val="20"/>
                <w:lang w:eastAsia="en-AU"/>
              </w:rPr>
              <w:t>R</w:t>
            </w:r>
            <w:r w:rsidRPr="00C875F5">
              <w:rPr>
                <w:rFonts w:eastAsia="Times New Roman" w:cs="Calibri"/>
                <w:bCs/>
                <w:color w:val="000000"/>
                <w:sz w:val="20"/>
                <w:szCs w:val="20"/>
                <w:lang w:eastAsia="en-AU"/>
              </w:rPr>
              <w:t>ecommendation</w:t>
            </w:r>
          </w:p>
        </w:tc>
        <w:tc>
          <w:tcPr>
            <w:tcW w:w="1701" w:type="dxa"/>
            <w:noWrap/>
            <w:vAlign w:val="center"/>
            <w:hideMark/>
          </w:tcPr>
          <w:p w:rsidR="00EA6F40" w:rsidRPr="00C875F5" w:rsidRDefault="00EA6F40" w:rsidP="00EA6F40">
            <w:pPr>
              <w:rPr>
                <w:rFonts w:eastAsia="Times New Roman" w:cs="Calibri"/>
                <w:color w:val="000000"/>
                <w:sz w:val="20"/>
                <w:szCs w:val="20"/>
                <w:lang w:eastAsia="en-AU"/>
              </w:rPr>
            </w:pPr>
            <w:r>
              <w:rPr>
                <w:rFonts w:eastAsia="Times New Roman" w:cs="Calibri"/>
                <w:color w:val="000000"/>
                <w:sz w:val="20"/>
                <w:szCs w:val="20"/>
                <w:lang w:eastAsia="en-AU"/>
              </w:rPr>
              <w:t xml:space="preserve"> </w:t>
            </w:r>
            <w:r w:rsidRPr="00C875F5">
              <w:rPr>
                <w:rFonts w:eastAsia="Times New Roman" w:cs="Calibri"/>
                <w:color w:val="000000"/>
                <w:sz w:val="20"/>
                <w:szCs w:val="20"/>
                <w:lang w:eastAsia="en-AU"/>
              </w:rPr>
              <w:t>C</w:t>
            </w:r>
          </w:p>
        </w:tc>
        <w:tc>
          <w:tcPr>
            <w:tcW w:w="10064" w:type="dxa"/>
            <w:noWrap/>
            <w:vAlign w:val="center"/>
          </w:tcPr>
          <w:p w:rsidR="00EA6F40" w:rsidRPr="00C875F5" w:rsidRDefault="00EA6F40" w:rsidP="00EA6F40">
            <w:pPr>
              <w:pStyle w:val="Default"/>
              <w:spacing w:before="40"/>
              <w:rPr>
                <w:rFonts w:eastAsia="Times New Roman" w:cstheme="minorHAnsi"/>
                <w:sz w:val="20"/>
                <w:szCs w:val="20"/>
                <w:lang w:eastAsia="en-AU"/>
              </w:rPr>
            </w:pPr>
            <w:r w:rsidRPr="00C875F5">
              <w:rPr>
                <w:rFonts w:cstheme="minorHAnsi"/>
                <w:sz w:val="20"/>
                <w:szCs w:val="20"/>
              </w:rPr>
              <w:t xml:space="preserve">Body of evidence provides some support for recommendation(s) but care should be taken in its application. </w:t>
            </w:r>
          </w:p>
        </w:tc>
      </w:tr>
    </w:tbl>
    <w:p w:rsidR="00E41FB3" w:rsidRDefault="00E41FB3" w:rsidP="00EA6F40"/>
    <w:p w:rsidR="00E41FB3" w:rsidRDefault="00E41FB3" w:rsidP="00E41FB3">
      <w:r>
        <w:br w:type="page"/>
      </w:r>
    </w:p>
    <w:p w:rsidR="00EA6F40" w:rsidRDefault="0010683D" w:rsidP="00AE0695">
      <w:pPr>
        <w:pStyle w:val="Caption"/>
      </w:pPr>
      <w:r>
        <w:lastRenderedPageBreak/>
        <w:t xml:space="preserve">Table </w:t>
      </w:r>
      <w:r w:rsidR="00CA2AA1">
        <w:fldChar w:fldCharType="begin"/>
      </w:r>
      <w:r w:rsidR="00CA2AA1">
        <w:instrText xml:space="preserve"> STYLEREF 1 \s </w:instrText>
      </w:r>
      <w:r w:rsidR="00CA2AA1">
        <w:fldChar w:fldCharType="separate"/>
      </w:r>
      <w:r w:rsidR="00CA2AA1">
        <w:rPr>
          <w:noProof/>
        </w:rPr>
        <w:t>7</w:t>
      </w:r>
      <w:r w:rsidR="00CA2AA1">
        <w:fldChar w:fldCharType="end"/>
      </w:r>
      <w:r w:rsidR="00CA2AA1">
        <w:t>:</w:t>
      </w:r>
      <w:r w:rsidR="00CA2AA1">
        <w:fldChar w:fldCharType="begin"/>
      </w:r>
      <w:r w:rsidR="00CA2AA1">
        <w:instrText xml:space="preserve"> SEQ Table \* ARABIC \s 1 </w:instrText>
      </w:r>
      <w:r w:rsidR="00CA2AA1">
        <w:fldChar w:fldCharType="separate"/>
      </w:r>
      <w:r w:rsidR="00CA2AA1">
        <w:rPr>
          <w:noProof/>
        </w:rPr>
        <w:t>10</w:t>
      </w:r>
      <w:r w:rsidR="00CA2AA1">
        <w:fldChar w:fldCharType="end"/>
      </w:r>
      <w:r w:rsidR="00EA6F40" w:rsidRPr="00C875F5">
        <w:t xml:space="preserve"> Body of Evidence for Provisional UL in children 14-18 years</w:t>
      </w:r>
    </w:p>
    <w:p w:rsidR="00255576" w:rsidRPr="0010683D" w:rsidRDefault="00255576" w:rsidP="00E41FB3">
      <w:pPr>
        <w:ind w:left="-180"/>
        <w:rPr>
          <w:rStyle w:val="IntenseEmphasis"/>
        </w:rPr>
      </w:pPr>
      <w:r w:rsidRPr="0010683D">
        <w:rPr>
          <w:rStyle w:val="Strong"/>
        </w:rPr>
        <w:t>Review Question 13</w:t>
      </w:r>
      <w:r>
        <w:rPr>
          <w:rFonts w:cs="Calibri"/>
          <w:b/>
          <w:bCs/>
          <w:color w:val="000000"/>
          <w:sz w:val="20"/>
          <w:szCs w:val="20"/>
        </w:rPr>
        <w:t xml:space="preserve"> </w:t>
      </w:r>
      <w:r w:rsidRPr="0010683D">
        <w:rPr>
          <w:rStyle w:val="IntenseEmphasis"/>
        </w:rPr>
        <w:t>What is the average intake of normal healthy children aged 14-18 years above which adverse effects on thyroid function are observed, as indicated by increased thyroid volume and/or abnormal thyroid hormone levels?</w:t>
      </w:r>
    </w:p>
    <w:tbl>
      <w:tblPr>
        <w:tblStyle w:val="TableGrid1"/>
        <w:tblW w:w="14110" w:type="dxa"/>
        <w:tblInd w:w="-252" w:type="dxa"/>
        <w:tblLook w:val="04A0" w:firstRow="1" w:lastRow="0" w:firstColumn="1" w:lastColumn="0" w:noHBand="0" w:noVBand="1"/>
        <w:tblDescription w:val="Table 7.10 show a body of Evidence for Provisional Upper Levels of Intake (UL) in children 14-18 years. This table contains 3 column headings; column 1. Component, column 2. Rating and column 3. Notes (details for each component and rating)."/>
      </w:tblPr>
      <w:tblGrid>
        <w:gridCol w:w="2328"/>
        <w:gridCol w:w="2092"/>
        <w:gridCol w:w="9690"/>
      </w:tblGrid>
      <w:tr w:rsidR="00EA6F40" w:rsidRPr="00255576" w:rsidTr="00E41FB3">
        <w:trPr>
          <w:trHeight w:val="565"/>
          <w:tblHeader/>
        </w:trPr>
        <w:tc>
          <w:tcPr>
            <w:tcW w:w="2328" w:type="dxa"/>
            <w:vAlign w:val="bottom"/>
          </w:tcPr>
          <w:p w:rsidR="00EA6F40" w:rsidRPr="00255576" w:rsidRDefault="00EA6F40" w:rsidP="00EA6F40">
            <w:pPr>
              <w:rPr>
                <w:rStyle w:val="Strong"/>
              </w:rPr>
            </w:pPr>
            <w:r w:rsidRPr="00255576">
              <w:rPr>
                <w:rStyle w:val="Strong"/>
              </w:rPr>
              <w:t>Component</w:t>
            </w:r>
          </w:p>
        </w:tc>
        <w:tc>
          <w:tcPr>
            <w:tcW w:w="2092" w:type="dxa"/>
            <w:vAlign w:val="bottom"/>
          </w:tcPr>
          <w:p w:rsidR="00EA6F40" w:rsidRPr="00255576" w:rsidRDefault="00EA6F40" w:rsidP="00EA6F40">
            <w:pPr>
              <w:rPr>
                <w:rStyle w:val="Strong"/>
              </w:rPr>
            </w:pPr>
            <w:r w:rsidRPr="00255576">
              <w:rPr>
                <w:rStyle w:val="Strong"/>
              </w:rPr>
              <w:t>Rating</w:t>
            </w:r>
          </w:p>
        </w:tc>
        <w:tc>
          <w:tcPr>
            <w:tcW w:w="9690" w:type="dxa"/>
            <w:vAlign w:val="bottom"/>
          </w:tcPr>
          <w:p w:rsidR="00EA6F40" w:rsidRPr="00255576" w:rsidRDefault="00E41FB3" w:rsidP="00EA6F40">
            <w:pPr>
              <w:rPr>
                <w:rStyle w:val="Strong"/>
              </w:rPr>
            </w:pPr>
            <w:r>
              <w:rPr>
                <w:rStyle w:val="Strong"/>
              </w:rPr>
              <w:t>Notes</w:t>
            </w:r>
          </w:p>
        </w:tc>
      </w:tr>
      <w:tr w:rsidR="00EA6F40" w:rsidRPr="00C875F5" w:rsidTr="00E41FB3">
        <w:tc>
          <w:tcPr>
            <w:tcW w:w="2328" w:type="dxa"/>
            <w:vAlign w:val="center"/>
          </w:tcPr>
          <w:p w:rsidR="00EA6F40" w:rsidRPr="00C875F5" w:rsidRDefault="00EA6F40" w:rsidP="00EA6F40">
            <w:pPr>
              <w:rPr>
                <w:rFonts w:cs="Calibri"/>
                <w:color w:val="000000"/>
                <w:sz w:val="20"/>
                <w:szCs w:val="20"/>
              </w:rPr>
            </w:pPr>
            <w:r w:rsidRPr="00C875F5">
              <w:rPr>
                <w:rFonts w:cs="Calibri"/>
                <w:color w:val="000000"/>
                <w:sz w:val="20"/>
                <w:szCs w:val="20"/>
              </w:rPr>
              <w:t>Evidence Base</w:t>
            </w:r>
          </w:p>
        </w:tc>
        <w:tc>
          <w:tcPr>
            <w:tcW w:w="2092" w:type="dxa"/>
            <w:vAlign w:val="center"/>
          </w:tcPr>
          <w:p w:rsidR="00EA6F40" w:rsidRPr="00C875F5" w:rsidRDefault="00EA6F40" w:rsidP="00EA6F40">
            <w:pPr>
              <w:rPr>
                <w:rFonts w:cs="Calibri"/>
                <w:color w:val="000000"/>
                <w:sz w:val="20"/>
                <w:szCs w:val="20"/>
              </w:rPr>
            </w:pPr>
            <w:r w:rsidRPr="00C875F5">
              <w:rPr>
                <w:rFonts w:cs="Calibri"/>
                <w:color w:val="000000"/>
                <w:sz w:val="20"/>
                <w:szCs w:val="20"/>
              </w:rPr>
              <w:t>Poor</w:t>
            </w:r>
          </w:p>
        </w:tc>
        <w:tc>
          <w:tcPr>
            <w:tcW w:w="9690" w:type="dxa"/>
            <w:vAlign w:val="center"/>
          </w:tcPr>
          <w:p w:rsidR="00EA6F40" w:rsidRPr="00C875F5" w:rsidRDefault="00EA6F40" w:rsidP="00EA6F40">
            <w:pPr>
              <w:rPr>
                <w:rFonts w:cstheme="minorHAnsi"/>
                <w:color w:val="000000"/>
                <w:sz w:val="20"/>
                <w:szCs w:val="20"/>
              </w:rPr>
            </w:pPr>
            <w:r w:rsidRPr="00C875F5">
              <w:rPr>
                <w:rFonts w:cstheme="minorHAnsi"/>
                <w:color w:val="000000"/>
                <w:sz w:val="20"/>
                <w:szCs w:val="20"/>
              </w:rPr>
              <w:t>1 Lev</w:t>
            </w:r>
            <w:r>
              <w:rPr>
                <w:rFonts w:cstheme="minorHAnsi"/>
                <w:color w:val="000000"/>
                <w:sz w:val="20"/>
                <w:szCs w:val="20"/>
              </w:rPr>
              <w:t>el II (RCT) + 1 Level III-3 + 17</w:t>
            </w:r>
            <w:r w:rsidRPr="00C875F5">
              <w:rPr>
                <w:rFonts w:cstheme="minorHAnsi"/>
                <w:color w:val="000000"/>
                <w:sz w:val="20"/>
                <w:szCs w:val="20"/>
              </w:rPr>
              <w:t xml:space="preserve"> Level IV studies.</w:t>
            </w:r>
          </w:p>
        </w:tc>
      </w:tr>
      <w:tr w:rsidR="00EA6F40" w:rsidRPr="00C875F5" w:rsidTr="00E41FB3">
        <w:tc>
          <w:tcPr>
            <w:tcW w:w="2328" w:type="dxa"/>
            <w:vAlign w:val="center"/>
          </w:tcPr>
          <w:p w:rsidR="00EA6F40" w:rsidRPr="00C875F5" w:rsidRDefault="00EA6F40" w:rsidP="00EA6F40">
            <w:pPr>
              <w:rPr>
                <w:rFonts w:cs="Calibri"/>
                <w:color w:val="000000"/>
                <w:sz w:val="20"/>
                <w:szCs w:val="20"/>
              </w:rPr>
            </w:pPr>
            <w:r w:rsidRPr="00C875F5">
              <w:rPr>
                <w:rFonts w:cs="Calibri"/>
                <w:color w:val="000000"/>
                <w:sz w:val="20"/>
                <w:szCs w:val="20"/>
              </w:rPr>
              <w:t>Consistency</w:t>
            </w:r>
          </w:p>
        </w:tc>
        <w:tc>
          <w:tcPr>
            <w:tcW w:w="2092" w:type="dxa"/>
            <w:vAlign w:val="center"/>
          </w:tcPr>
          <w:p w:rsidR="00EA6F40" w:rsidRPr="00C875F5" w:rsidRDefault="00EA6F40" w:rsidP="00EA6F40">
            <w:pPr>
              <w:rPr>
                <w:rFonts w:cs="Calibri"/>
                <w:color w:val="000000"/>
                <w:sz w:val="20"/>
                <w:szCs w:val="20"/>
              </w:rPr>
            </w:pPr>
            <w:r w:rsidRPr="00C875F5">
              <w:rPr>
                <w:rFonts w:cs="Calibri"/>
                <w:color w:val="000000"/>
                <w:sz w:val="20"/>
                <w:szCs w:val="20"/>
              </w:rPr>
              <w:t>Poor</w:t>
            </w:r>
          </w:p>
        </w:tc>
        <w:tc>
          <w:tcPr>
            <w:tcW w:w="9690" w:type="dxa"/>
            <w:vAlign w:val="center"/>
          </w:tcPr>
          <w:p w:rsidR="00EA6F40" w:rsidRPr="00C875F5" w:rsidRDefault="00EA6F40" w:rsidP="00EA6F40">
            <w:pPr>
              <w:rPr>
                <w:rFonts w:cstheme="minorHAnsi"/>
                <w:color w:val="000000"/>
                <w:sz w:val="20"/>
                <w:szCs w:val="20"/>
              </w:rPr>
            </w:pPr>
            <w:r w:rsidRPr="00C875F5">
              <w:rPr>
                <w:rFonts w:cstheme="minorHAnsi"/>
                <w:color w:val="000000"/>
                <w:sz w:val="20"/>
                <w:szCs w:val="20"/>
              </w:rPr>
              <w:t>Inconsistent results across studies. Study of Zimmerman et al. (2005) provides best evidence from children across a wide range of intakes in 5 continents and this showed a</w:t>
            </w:r>
            <w:r w:rsidRPr="00C875F5">
              <w:rPr>
                <w:sz w:val="20"/>
                <w:szCs w:val="20"/>
              </w:rPr>
              <w:t xml:space="preserve">n increase in thyroid volume) at a UI concentration of ~500 μg/L. </w:t>
            </w:r>
            <w:r w:rsidRPr="00C875F5">
              <w:rPr>
                <w:rFonts w:cstheme="minorHAnsi"/>
                <w:color w:val="000000"/>
                <w:sz w:val="20"/>
                <w:szCs w:val="20"/>
              </w:rPr>
              <w:t xml:space="preserve">  </w:t>
            </w:r>
          </w:p>
        </w:tc>
      </w:tr>
      <w:tr w:rsidR="00EA6F40" w:rsidRPr="00C875F5" w:rsidTr="00E41FB3">
        <w:tc>
          <w:tcPr>
            <w:tcW w:w="2328" w:type="dxa"/>
            <w:vAlign w:val="center"/>
          </w:tcPr>
          <w:p w:rsidR="00EA6F40" w:rsidRPr="00C875F5" w:rsidRDefault="00EA6F40" w:rsidP="00EA6F40">
            <w:pPr>
              <w:rPr>
                <w:rFonts w:cs="Calibri"/>
                <w:color w:val="000000"/>
                <w:sz w:val="20"/>
                <w:szCs w:val="20"/>
              </w:rPr>
            </w:pPr>
            <w:r w:rsidRPr="00C875F5">
              <w:rPr>
                <w:rFonts w:cs="Calibri"/>
                <w:color w:val="000000"/>
                <w:sz w:val="20"/>
                <w:szCs w:val="20"/>
              </w:rPr>
              <w:t>Clinical impact</w:t>
            </w:r>
          </w:p>
        </w:tc>
        <w:tc>
          <w:tcPr>
            <w:tcW w:w="2092" w:type="dxa"/>
            <w:vAlign w:val="center"/>
          </w:tcPr>
          <w:p w:rsidR="00EA6F40" w:rsidRPr="00C875F5" w:rsidRDefault="00EA6F40" w:rsidP="00EA6F40">
            <w:pPr>
              <w:rPr>
                <w:rFonts w:cs="Calibri"/>
                <w:color w:val="000000"/>
                <w:sz w:val="20"/>
                <w:szCs w:val="20"/>
              </w:rPr>
            </w:pPr>
            <w:r w:rsidRPr="00C875F5">
              <w:rPr>
                <w:rFonts w:cs="Calibri"/>
                <w:color w:val="000000"/>
                <w:sz w:val="20"/>
                <w:szCs w:val="20"/>
              </w:rPr>
              <w:t>Moderate</w:t>
            </w:r>
          </w:p>
        </w:tc>
        <w:tc>
          <w:tcPr>
            <w:tcW w:w="9690" w:type="dxa"/>
            <w:vAlign w:val="center"/>
          </w:tcPr>
          <w:p w:rsidR="00EA6F40" w:rsidRPr="00C875F5" w:rsidRDefault="00EA6F40" w:rsidP="00EA6F40">
            <w:pPr>
              <w:rPr>
                <w:rFonts w:cstheme="minorHAnsi"/>
                <w:color w:val="000000"/>
                <w:sz w:val="20"/>
                <w:szCs w:val="20"/>
              </w:rPr>
            </w:pPr>
            <w:r w:rsidRPr="00C875F5">
              <w:rPr>
                <w:rFonts w:cstheme="minorHAnsi"/>
                <w:color w:val="000000"/>
                <w:sz w:val="20"/>
                <w:szCs w:val="20"/>
              </w:rPr>
              <w:t xml:space="preserve">Health implications of sustained increased thyroid volume and elevated TSH levels in children not well defined. </w:t>
            </w:r>
          </w:p>
        </w:tc>
      </w:tr>
      <w:tr w:rsidR="00EA6F40" w:rsidRPr="00C875F5" w:rsidTr="00E41FB3">
        <w:tc>
          <w:tcPr>
            <w:tcW w:w="2328" w:type="dxa"/>
            <w:vAlign w:val="center"/>
          </w:tcPr>
          <w:p w:rsidR="00EA6F40" w:rsidRPr="00C875F5" w:rsidRDefault="00EA6F40" w:rsidP="00EA6F40">
            <w:pPr>
              <w:rPr>
                <w:rFonts w:cs="Calibri"/>
                <w:color w:val="000000"/>
                <w:sz w:val="20"/>
                <w:szCs w:val="20"/>
              </w:rPr>
            </w:pPr>
            <w:r w:rsidRPr="00C875F5">
              <w:rPr>
                <w:rFonts w:cs="Calibri"/>
                <w:color w:val="000000"/>
                <w:sz w:val="20"/>
                <w:szCs w:val="20"/>
              </w:rPr>
              <w:t>Generalisability</w:t>
            </w:r>
          </w:p>
        </w:tc>
        <w:tc>
          <w:tcPr>
            <w:tcW w:w="2092" w:type="dxa"/>
            <w:vAlign w:val="center"/>
          </w:tcPr>
          <w:p w:rsidR="00EA6F40" w:rsidRPr="00C875F5" w:rsidRDefault="00EA6F40" w:rsidP="00EA6F40">
            <w:pPr>
              <w:rPr>
                <w:rFonts w:cs="Calibri"/>
                <w:color w:val="000000"/>
                <w:sz w:val="20"/>
                <w:szCs w:val="20"/>
              </w:rPr>
            </w:pPr>
            <w:r w:rsidRPr="00C875F5">
              <w:rPr>
                <w:rFonts w:cs="Calibri"/>
                <w:color w:val="000000"/>
                <w:sz w:val="20"/>
                <w:szCs w:val="20"/>
              </w:rPr>
              <w:t>Satisfactory</w:t>
            </w:r>
          </w:p>
        </w:tc>
        <w:tc>
          <w:tcPr>
            <w:tcW w:w="9690" w:type="dxa"/>
            <w:vAlign w:val="center"/>
          </w:tcPr>
          <w:p w:rsidR="00EA6F40" w:rsidRPr="00C875F5" w:rsidRDefault="00EA6F40" w:rsidP="00EA6F40">
            <w:pPr>
              <w:rPr>
                <w:rFonts w:cstheme="minorHAnsi"/>
                <w:color w:val="000000"/>
                <w:sz w:val="20"/>
                <w:szCs w:val="20"/>
              </w:rPr>
            </w:pPr>
            <w:r w:rsidRPr="00C875F5">
              <w:rPr>
                <w:rFonts w:cstheme="minorHAnsi"/>
                <w:sz w:val="20"/>
                <w:szCs w:val="20"/>
              </w:rPr>
              <w:t xml:space="preserve">Most studies from China or Africa, therefore limited generalizability.  </w:t>
            </w:r>
          </w:p>
        </w:tc>
      </w:tr>
      <w:tr w:rsidR="00EA6F40" w:rsidRPr="00C875F5" w:rsidTr="00E41FB3">
        <w:tc>
          <w:tcPr>
            <w:tcW w:w="2328" w:type="dxa"/>
            <w:vAlign w:val="center"/>
          </w:tcPr>
          <w:p w:rsidR="00EA6F40" w:rsidRPr="00C875F5" w:rsidRDefault="00EA6F40" w:rsidP="00EA6F40">
            <w:pPr>
              <w:rPr>
                <w:rFonts w:cs="Calibri"/>
                <w:color w:val="000000"/>
                <w:sz w:val="20"/>
                <w:szCs w:val="20"/>
              </w:rPr>
            </w:pPr>
            <w:r w:rsidRPr="00C875F5">
              <w:rPr>
                <w:rFonts w:cs="Calibri"/>
                <w:color w:val="000000"/>
                <w:sz w:val="20"/>
                <w:szCs w:val="20"/>
              </w:rPr>
              <w:t>Applicability</w:t>
            </w:r>
          </w:p>
        </w:tc>
        <w:tc>
          <w:tcPr>
            <w:tcW w:w="2092" w:type="dxa"/>
            <w:vAlign w:val="center"/>
          </w:tcPr>
          <w:p w:rsidR="00EA6F40" w:rsidRPr="00C875F5" w:rsidRDefault="00EA6F40" w:rsidP="00EA6F40">
            <w:pPr>
              <w:rPr>
                <w:rFonts w:cs="Calibri"/>
                <w:color w:val="000000"/>
                <w:sz w:val="20"/>
                <w:szCs w:val="20"/>
              </w:rPr>
            </w:pPr>
            <w:r w:rsidRPr="00C875F5">
              <w:rPr>
                <w:rFonts w:cs="Calibri"/>
                <w:color w:val="000000"/>
                <w:sz w:val="20"/>
                <w:szCs w:val="20"/>
              </w:rPr>
              <w:t>Satisfactory</w:t>
            </w:r>
          </w:p>
        </w:tc>
        <w:tc>
          <w:tcPr>
            <w:tcW w:w="9690" w:type="dxa"/>
            <w:vAlign w:val="center"/>
          </w:tcPr>
          <w:p w:rsidR="00EA6F40" w:rsidRPr="00C875F5" w:rsidRDefault="00EA6F40" w:rsidP="00EA6F40">
            <w:pPr>
              <w:pStyle w:val="Default"/>
              <w:spacing w:before="120" w:after="120"/>
              <w:rPr>
                <w:rFonts w:cstheme="minorHAnsi"/>
                <w:sz w:val="20"/>
                <w:szCs w:val="20"/>
              </w:rPr>
            </w:pPr>
            <w:r w:rsidRPr="00C875F5">
              <w:rPr>
                <w:rFonts w:cstheme="minorHAnsi"/>
                <w:sz w:val="20"/>
                <w:szCs w:val="20"/>
              </w:rPr>
              <w:t xml:space="preserve">Probably applicable to Australian and New Zealand healthcare context with some caveats </w:t>
            </w:r>
          </w:p>
        </w:tc>
      </w:tr>
      <w:tr w:rsidR="00EA6F40" w:rsidRPr="00C875F5" w:rsidTr="00E41FB3">
        <w:trPr>
          <w:trHeight w:val="600"/>
        </w:trPr>
        <w:tc>
          <w:tcPr>
            <w:tcW w:w="2328" w:type="dxa"/>
            <w:vAlign w:val="center"/>
            <w:hideMark/>
          </w:tcPr>
          <w:p w:rsidR="00EA6F40" w:rsidRPr="00C875F5" w:rsidRDefault="00EA6F40" w:rsidP="00EA6F40">
            <w:pPr>
              <w:rPr>
                <w:rFonts w:eastAsia="Times New Roman" w:cs="Calibri"/>
                <w:bCs/>
                <w:i/>
                <w:color w:val="000000"/>
                <w:lang w:eastAsia="en-AU"/>
              </w:rPr>
            </w:pPr>
            <w:r w:rsidRPr="00C875F5">
              <w:rPr>
                <w:rFonts w:eastAsia="Times New Roman" w:cs="Calibri"/>
                <w:bCs/>
                <w:color w:val="000000"/>
                <w:sz w:val="20"/>
                <w:szCs w:val="20"/>
                <w:lang w:eastAsia="en-AU"/>
              </w:rPr>
              <w:t>Draft Recommendation</w:t>
            </w:r>
          </w:p>
        </w:tc>
        <w:tc>
          <w:tcPr>
            <w:tcW w:w="2092" w:type="dxa"/>
            <w:vAlign w:val="center"/>
            <w:hideMark/>
          </w:tcPr>
          <w:p w:rsidR="00EA6F40" w:rsidRPr="00C875F5" w:rsidRDefault="00EA6F40" w:rsidP="00EA6F40">
            <w:pPr>
              <w:rPr>
                <w:rFonts w:eastAsia="Times New Roman" w:cs="Calibri"/>
                <w:i/>
                <w:color w:val="000000"/>
                <w:lang w:eastAsia="en-AU"/>
              </w:rPr>
            </w:pPr>
          </w:p>
        </w:tc>
        <w:tc>
          <w:tcPr>
            <w:tcW w:w="9690" w:type="dxa"/>
            <w:vAlign w:val="center"/>
          </w:tcPr>
          <w:p w:rsidR="00EA6F40" w:rsidRPr="00C875F5" w:rsidRDefault="00EA6F40" w:rsidP="00EA6F40">
            <w:pPr>
              <w:rPr>
                <w:rFonts w:eastAsia="Times New Roman" w:cstheme="minorHAnsi"/>
                <w:bCs/>
                <w:color w:val="000000"/>
                <w:sz w:val="20"/>
                <w:szCs w:val="20"/>
                <w:lang w:eastAsia="en-AU"/>
              </w:rPr>
            </w:pPr>
            <w:r w:rsidRPr="00C875F5">
              <w:rPr>
                <w:rFonts w:cstheme="minorHAnsi"/>
                <w:sz w:val="20"/>
                <w:szCs w:val="20"/>
              </w:rPr>
              <w:t xml:space="preserve">A Provisional Upper Level (PUL) is set at 820 µg/day for males and 750 µg/day for females because of uncertainty related to evidence for this specific age group and a need to </w:t>
            </w:r>
            <w:r w:rsidRPr="00C875F5">
              <w:rPr>
                <w:sz w:val="20"/>
                <w:szCs w:val="20"/>
              </w:rPr>
              <w:t xml:space="preserve">extrapolate values from UL calculated for age 9–13 years using metabolic weight formula. </w:t>
            </w:r>
          </w:p>
        </w:tc>
      </w:tr>
      <w:tr w:rsidR="00EA6F40" w:rsidRPr="00C875F5" w:rsidTr="00E41FB3">
        <w:trPr>
          <w:trHeight w:val="797"/>
        </w:trPr>
        <w:tc>
          <w:tcPr>
            <w:tcW w:w="2328" w:type="dxa"/>
            <w:vAlign w:val="center"/>
            <w:hideMark/>
          </w:tcPr>
          <w:p w:rsidR="00EA6F40" w:rsidRPr="00C875F5" w:rsidRDefault="00EA6F40" w:rsidP="00EA6F40">
            <w:pPr>
              <w:rPr>
                <w:rFonts w:eastAsia="Times New Roman" w:cs="Calibri"/>
                <w:bCs/>
                <w:color w:val="000000"/>
                <w:sz w:val="20"/>
                <w:szCs w:val="20"/>
                <w:lang w:eastAsia="en-AU"/>
              </w:rPr>
            </w:pPr>
            <w:r>
              <w:rPr>
                <w:rFonts w:eastAsia="Times New Roman" w:cs="Calibri"/>
                <w:bCs/>
                <w:color w:val="000000"/>
                <w:sz w:val="20"/>
                <w:szCs w:val="20"/>
                <w:lang w:eastAsia="en-AU"/>
              </w:rPr>
              <w:t>Recommendation</w:t>
            </w:r>
          </w:p>
        </w:tc>
        <w:tc>
          <w:tcPr>
            <w:tcW w:w="2092" w:type="dxa"/>
            <w:noWrap/>
            <w:vAlign w:val="center"/>
            <w:hideMark/>
          </w:tcPr>
          <w:p w:rsidR="00EA6F40" w:rsidRPr="00C875F5" w:rsidRDefault="00EA6F40" w:rsidP="00EA6F40">
            <w:pPr>
              <w:rPr>
                <w:rFonts w:eastAsia="Times New Roman" w:cs="Calibri"/>
                <w:color w:val="000000"/>
                <w:sz w:val="20"/>
                <w:szCs w:val="20"/>
                <w:lang w:eastAsia="en-AU"/>
              </w:rPr>
            </w:pPr>
            <w:r>
              <w:rPr>
                <w:rFonts w:eastAsia="Times New Roman" w:cs="Calibri"/>
                <w:color w:val="000000"/>
                <w:lang w:eastAsia="en-AU"/>
              </w:rPr>
              <w:t>C</w:t>
            </w:r>
          </w:p>
        </w:tc>
        <w:tc>
          <w:tcPr>
            <w:tcW w:w="9690" w:type="dxa"/>
            <w:noWrap/>
            <w:vAlign w:val="center"/>
          </w:tcPr>
          <w:p w:rsidR="00EA6F40" w:rsidRPr="00C875F5" w:rsidRDefault="00EA6F40" w:rsidP="00EA6F40">
            <w:pPr>
              <w:pStyle w:val="Default"/>
              <w:spacing w:before="40"/>
              <w:ind w:right="176"/>
              <w:rPr>
                <w:rFonts w:eastAsia="Times New Roman" w:cstheme="minorHAnsi"/>
                <w:sz w:val="20"/>
                <w:szCs w:val="20"/>
                <w:lang w:eastAsia="en-AU"/>
              </w:rPr>
            </w:pPr>
            <w:r>
              <w:rPr>
                <w:rFonts w:cstheme="minorHAnsi"/>
                <w:sz w:val="20"/>
                <w:szCs w:val="20"/>
              </w:rPr>
              <w:t>Body of evidence provides some support for recommendation(s) but care should be taken in its application.</w:t>
            </w:r>
          </w:p>
        </w:tc>
      </w:tr>
    </w:tbl>
    <w:p w:rsidR="00EA6F40" w:rsidRPr="00E41FB3" w:rsidRDefault="00EA6F40" w:rsidP="00E41FB3">
      <w:r w:rsidRPr="00E41FB3">
        <w:br w:type="page"/>
      </w:r>
    </w:p>
    <w:p w:rsidR="00CA2AA1" w:rsidRDefault="0010683D" w:rsidP="00AE0695">
      <w:pPr>
        <w:pStyle w:val="Caption"/>
      </w:pPr>
      <w:bookmarkStart w:id="206" w:name="_Ref430950682"/>
      <w:r>
        <w:lastRenderedPageBreak/>
        <w:t xml:space="preserve">Table </w:t>
      </w:r>
      <w:r w:rsidR="00CA2AA1">
        <w:fldChar w:fldCharType="begin"/>
      </w:r>
      <w:r w:rsidR="00CA2AA1">
        <w:instrText xml:space="preserve"> STYLEREF 1 \s </w:instrText>
      </w:r>
      <w:r w:rsidR="00CA2AA1">
        <w:fldChar w:fldCharType="separate"/>
      </w:r>
      <w:r w:rsidR="00CA2AA1">
        <w:rPr>
          <w:noProof/>
        </w:rPr>
        <w:t>7</w:t>
      </w:r>
      <w:r w:rsidR="00CA2AA1">
        <w:fldChar w:fldCharType="end"/>
      </w:r>
      <w:r w:rsidR="00CA2AA1">
        <w:t>:</w:t>
      </w:r>
      <w:r w:rsidR="00CA2AA1">
        <w:fldChar w:fldCharType="begin"/>
      </w:r>
      <w:r w:rsidR="00CA2AA1">
        <w:instrText xml:space="preserve"> SEQ Table \* ARABIC \s 1 </w:instrText>
      </w:r>
      <w:r w:rsidR="00CA2AA1">
        <w:fldChar w:fldCharType="separate"/>
      </w:r>
      <w:r w:rsidR="00CA2AA1">
        <w:rPr>
          <w:noProof/>
        </w:rPr>
        <w:t>11</w:t>
      </w:r>
      <w:r w:rsidR="00CA2AA1">
        <w:fldChar w:fldCharType="end"/>
      </w:r>
      <w:bookmarkEnd w:id="206"/>
      <w:r w:rsidR="0057015E" w:rsidRPr="0057015E">
        <w:rPr>
          <w:rStyle w:val="Strong"/>
        </w:rPr>
        <w:t xml:space="preserve"> Studies relating to Upper Limit in children (Review Questions 10-13)</w:t>
      </w:r>
    </w:p>
    <w:p w:rsidR="00EA6F40" w:rsidRPr="00CA2AA1" w:rsidRDefault="00EA6F40" w:rsidP="00E41FB3">
      <w:pPr>
        <w:ind w:left="-180"/>
        <w:rPr>
          <w:rStyle w:val="Strong"/>
        </w:rPr>
      </w:pPr>
      <w:r w:rsidRPr="00CA2AA1">
        <w:rPr>
          <w:rStyle w:val="Strong"/>
        </w:rPr>
        <w:t xml:space="preserve">Observational studies </w:t>
      </w:r>
    </w:p>
    <w:tbl>
      <w:tblPr>
        <w:tblStyle w:val="TableGrid1"/>
        <w:tblW w:w="14994" w:type="dxa"/>
        <w:tblInd w:w="-252" w:type="dxa"/>
        <w:tblLayout w:type="fixed"/>
        <w:tblLook w:val="04A0" w:firstRow="1" w:lastRow="0" w:firstColumn="1" w:lastColumn="0" w:noHBand="0" w:noVBand="1"/>
        <w:tblDescription w:val="Table 7.11  Studies relating to Upper Limit in children (Review Questions 10-13) - Observational studies . This table contains 8 column headings; column 1. Author,year, column 2. Study type, Sampling, location, year, column 3. Number of subjects Gender % numbers, column 4. Age (years), column 5. Assessment on iodine status or clinical outcomes, column 6. Assessment of iodine intake, column 7. Outcomes and column 8. Comments."/>
      </w:tblPr>
      <w:tblGrid>
        <w:gridCol w:w="1528"/>
        <w:gridCol w:w="2126"/>
        <w:gridCol w:w="1276"/>
        <w:gridCol w:w="992"/>
        <w:gridCol w:w="2268"/>
        <w:gridCol w:w="1560"/>
        <w:gridCol w:w="2551"/>
        <w:gridCol w:w="2693"/>
      </w:tblGrid>
      <w:tr w:rsidR="00EA6F40" w:rsidRPr="00255576" w:rsidTr="00E41FB3">
        <w:trPr>
          <w:trHeight w:val="451"/>
          <w:tblHeader/>
        </w:trPr>
        <w:tc>
          <w:tcPr>
            <w:tcW w:w="1528" w:type="dxa"/>
            <w:noWrap/>
            <w:hideMark/>
          </w:tcPr>
          <w:p w:rsidR="00EA6F40" w:rsidRPr="00255576" w:rsidRDefault="00EA6F40" w:rsidP="00255576">
            <w:pPr>
              <w:rPr>
                <w:rStyle w:val="Strong"/>
                <w:szCs w:val="22"/>
              </w:rPr>
            </w:pPr>
            <w:r w:rsidRPr="00255576">
              <w:rPr>
                <w:rStyle w:val="Strong"/>
                <w:szCs w:val="22"/>
              </w:rPr>
              <w:t>Author, year</w:t>
            </w:r>
          </w:p>
        </w:tc>
        <w:tc>
          <w:tcPr>
            <w:tcW w:w="2126" w:type="dxa"/>
            <w:hideMark/>
          </w:tcPr>
          <w:p w:rsidR="00EA6F40" w:rsidRPr="00255576" w:rsidRDefault="00EA6F40" w:rsidP="00255576">
            <w:pPr>
              <w:rPr>
                <w:rStyle w:val="Strong"/>
                <w:szCs w:val="22"/>
              </w:rPr>
            </w:pPr>
            <w:r w:rsidRPr="00255576">
              <w:rPr>
                <w:rStyle w:val="Strong"/>
                <w:szCs w:val="22"/>
              </w:rPr>
              <w:t>Study type, Sampling, location, year</w:t>
            </w:r>
          </w:p>
        </w:tc>
        <w:tc>
          <w:tcPr>
            <w:tcW w:w="1276" w:type="dxa"/>
            <w:hideMark/>
          </w:tcPr>
          <w:p w:rsidR="00EA6F40" w:rsidRPr="00255576" w:rsidRDefault="00EA6F40" w:rsidP="00255576">
            <w:pPr>
              <w:rPr>
                <w:rStyle w:val="Strong"/>
                <w:szCs w:val="22"/>
              </w:rPr>
            </w:pPr>
            <w:r w:rsidRPr="00255576">
              <w:rPr>
                <w:rStyle w:val="Strong"/>
                <w:szCs w:val="22"/>
              </w:rPr>
              <w:t>Number of subjects</w:t>
            </w:r>
            <w:r w:rsidRPr="00255576">
              <w:rPr>
                <w:rStyle w:val="Strong"/>
                <w:szCs w:val="22"/>
              </w:rPr>
              <w:br/>
              <w:t>Gender: % (No)</w:t>
            </w:r>
          </w:p>
        </w:tc>
        <w:tc>
          <w:tcPr>
            <w:tcW w:w="992" w:type="dxa"/>
            <w:hideMark/>
          </w:tcPr>
          <w:p w:rsidR="00EA6F40" w:rsidRPr="00255576" w:rsidRDefault="00EA6F40" w:rsidP="00255576">
            <w:pPr>
              <w:rPr>
                <w:rStyle w:val="Strong"/>
                <w:szCs w:val="22"/>
              </w:rPr>
            </w:pPr>
            <w:r w:rsidRPr="00255576">
              <w:rPr>
                <w:rStyle w:val="Strong"/>
                <w:szCs w:val="22"/>
              </w:rPr>
              <w:t>Age (years)</w:t>
            </w:r>
          </w:p>
        </w:tc>
        <w:tc>
          <w:tcPr>
            <w:tcW w:w="2268" w:type="dxa"/>
            <w:hideMark/>
          </w:tcPr>
          <w:p w:rsidR="00EA6F40" w:rsidRPr="00255576" w:rsidRDefault="00EA6F40" w:rsidP="00255576">
            <w:pPr>
              <w:rPr>
                <w:rStyle w:val="Strong"/>
                <w:szCs w:val="22"/>
              </w:rPr>
            </w:pPr>
            <w:r w:rsidRPr="00255576">
              <w:rPr>
                <w:rStyle w:val="Strong"/>
                <w:szCs w:val="22"/>
              </w:rPr>
              <w:t>Assessment on iodine status or clinical outcomes</w:t>
            </w:r>
          </w:p>
        </w:tc>
        <w:tc>
          <w:tcPr>
            <w:tcW w:w="1560" w:type="dxa"/>
            <w:hideMark/>
          </w:tcPr>
          <w:p w:rsidR="00EA6F40" w:rsidRPr="00255576" w:rsidRDefault="00EA6F40" w:rsidP="00255576">
            <w:pPr>
              <w:rPr>
                <w:rStyle w:val="Strong"/>
                <w:szCs w:val="22"/>
              </w:rPr>
            </w:pPr>
            <w:r w:rsidRPr="00255576">
              <w:rPr>
                <w:rStyle w:val="Strong"/>
                <w:szCs w:val="22"/>
              </w:rPr>
              <w:t>Assessment of I intake</w:t>
            </w:r>
          </w:p>
        </w:tc>
        <w:tc>
          <w:tcPr>
            <w:tcW w:w="2551" w:type="dxa"/>
            <w:hideMark/>
          </w:tcPr>
          <w:p w:rsidR="00EA6F40" w:rsidRPr="00255576" w:rsidRDefault="00EA6F40" w:rsidP="00255576">
            <w:pPr>
              <w:rPr>
                <w:rStyle w:val="Strong"/>
                <w:szCs w:val="22"/>
              </w:rPr>
            </w:pPr>
            <w:r w:rsidRPr="00255576">
              <w:rPr>
                <w:rStyle w:val="Strong"/>
                <w:szCs w:val="22"/>
              </w:rPr>
              <w:t xml:space="preserve">Outcomes </w:t>
            </w:r>
          </w:p>
        </w:tc>
        <w:tc>
          <w:tcPr>
            <w:tcW w:w="2693" w:type="dxa"/>
            <w:hideMark/>
          </w:tcPr>
          <w:p w:rsidR="00EA6F40" w:rsidRPr="00255576" w:rsidRDefault="00EA6F40" w:rsidP="00255576">
            <w:pPr>
              <w:rPr>
                <w:rStyle w:val="Strong"/>
                <w:szCs w:val="22"/>
              </w:rPr>
            </w:pPr>
            <w:r w:rsidRPr="00255576">
              <w:rPr>
                <w:rStyle w:val="Strong"/>
                <w:szCs w:val="22"/>
              </w:rPr>
              <w:t>Comments</w:t>
            </w:r>
          </w:p>
        </w:tc>
      </w:tr>
      <w:tr w:rsidR="00EA6F40" w:rsidRPr="00255576" w:rsidTr="00E41FB3">
        <w:trPr>
          <w:trHeight w:val="1760"/>
        </w:trPr>
        <w:tc>
          <w:tcPr>
            <w:tcW w:w="1528"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 xml:space="preserve">Chen et al, 2012 </w:t>
            </w:r>
          </w:p>
        </w:tc>
        <w:tc>
          <w:tcPr>
            <w:tcW w:w="2126"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Cross-sectional study</w:t>
            </w:r>
            <w:r w:rsidRPr="00255576">
              <w:rPr>
                <w:rFonts w:cs="Times New Roman"/>
                <w:color w:val="000000"/>
                <w:szCs w:val="22"/>
                <w:lang w:val="en-GB"/>
              </w:rPr>
              <w:br/>
              <w:t>Purposive sample from two primary schools from Hebei in China, 2010</w:t>
            </w:r>
          </w:p>
        </w:tc>
        <w:tc>
          <w:tcPr>
            <w:tcW w:w="1276"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370 (60% B, 40% G)</w:t>
            </w:r>
          </w:p>
        </w:tc>
        <w:tc>
          <w:tcPr>
            <w:tcW w:w="992"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7-13</w:t>
            </w:r>
          </w:p>
        </w:tc>
        <w:tc>
          <w:tcPr>
            <w:tcW w:w="2268"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Blood sample</w:t>
            </w:r>
            <w:r w:rsidRPr="00255576">
              <w:rPr>
                <w:rFonts w:cs="Times New Roman"/>
                <w:color w:val="000000"/>
                <w:szCs w:val="22"/>
                <w:lang w:val="en-GB"/>
              </w:rPr>
              <w:br/>
              <w:t>Urine sample</w:t>
            </w:r>
          </w:p>
        </w:tc>
        <w:tc>
          <w:tcPr>
            <w:tcW w:w="1560"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NA</w:t>
            </w:r>
          </w:p>
        </w:tc>
        <w:tc>
          <w:tcPr>
            <w:tcW w:w="2551"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Median UIC was 1032ug/L</w:t>
            </w:r>
            <w:r w:rsidRPr="00255576">
              <w:rPr>
                <w:rFonts w:cs="Times New Roman"/>
                <w:color w:val="000000"/>
                <w:szCs w:val="22"/>
                <w:lang w:val="en-GB"/>
              </w:rPr>
              <w:br/>
              <w:t>Prevalence of subclinical hypothyroidism and disease of thyroid gland by UIC level:</w:t>
            </w:r>
            <w:r w:rsidRPr="00255576">
              <w:rPr>
                <w:rFonts w:cs="Times New Roman"/>
                <w:color w:val="000000"/>
                <w:szCs w:val="22"/>
                <w:lang w:val="en-GB"/>
              </w:rPr>
              <w:br/>
              <w:t>&lt;200ug/L: 0% and 0%; 200-399ug/L: 13.7% and 16.4%; &gt;400ug/L: 26.9% and 52.4%</w:t>
            </w:r>
          </w:p>
        </w:tc>
        <w:tc>
          <w:tcPr>
            <w:tcW w:w="2693"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Level IV study, high risk of bias. Not a nationally representative sample. Only 6% of subjects has UIC &lt;200ug/L, which cannot be used as a comparative control.</w:t>
            </w:r>
          </w:p>
        </w:tc>
      </w:tr>
      <w:tr w:rsidR="00EA6F40" w:rsidRPr="00255576" w:rsidTr="00E41FB3">
        <w:trPr>
          <w:trHeight w:val="1760"/>
        </w:trPr>
        <w:tc>
          <w:tcPr>
            <w:tcW w:w="1528"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 xml:space="preserve">Feng, 2010 </w:t>
            </w:r>
          </w:p>
        </w:tc>
        <w:tc>
          <w:tcPr>
            <w:tcW w:w="2126"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Cross-sectional study</w:t>
            </w:r>
            <w:r w:rsidRPr="00255576">
              <w:rPr>
                <w:rFonts w:cs="Times New Roman"/>
                <w:color w:val="000000"/>
                <w:szCs w:val="22"/>
                <w:lang w:val="en-GB"/>
              </w:rPr>
              <w:br/>
              <w:t>multistage random sampling was used to select school children from villages at 5 cardinal points from Hebei in China, 2010</w:t>
            </w:r>
          </w:p>
        </w:tc>
        <w:tc>
          <w:tcPr>
            <w:tcW w:w="1276"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1209</w:t>
            </w:r>
          </w:p>
        </w:tc>
        <w:tc>
          <w:tcPr>
            <w:tcW w:w="992"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8-12</w:t>
            </w:r>
          </w:p>
        </w:tc>
        <w:tc>
          <w:tcPr>
            <w:tcW w:w="2268"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Urine sample (n=584)</w:t>
            </w:r>
            <w:r w:rsidRPr="00255576">
              <w:rPr>
                <w:rFonts w:cs="Times New Roman"/>
                <w:color w:val="000000"/>
                <w:szCs w:val="22"/>
                <w:lang w:val="en-GB"/>
              </w:rPr>
              <w:br/>
              <w:t xml:space="preserve">Goiter grading by palpation </w:t>
            </w:r>
          </w:p>
        </w:tc>
        <w:tc>
          <w:tcPr>
            <w:tcW w:w="1560"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Calculated I intake</w:t>
            </w:r>
            <w:r w:rsidRPr="00255576">
              <w:rPr>
                <w:rFonts w:cs="Times New Roman"/>
                <w:color w:val="000000"/>
                <w:szCs w:val="22"/>
                <w:lang w:val="en-GB"/>
              </w:rPr>
              <w:br/>
              <w:t>Salt sample</w:t>
            </w:r>
          </w:p>
        </w:tc>
        <w:tc>
          <w:tcPr>
            <w:tcW w:w="2551"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No difference in UIC was found between children with goiter and those without goiter.</w:t>
            </w:r>
            <w:r w:rsidRPr="00255576">
              <w:rPr>
                <w:rFonts w:cs="Times New Roman"/>
                <w:color w:val="000000"/>
                <w:szCs w:val="22"/>
                <w:lang w:val="en-GB"/>
              </w:rPr>
              <w:br/>
              <w:t xml:space="preserve">225ug/L UIC and 337ug/d estimated I intake in goiter patients (n=55, 9.42% of subjects); 207ug/L UIC and 310ug/d estimated I intake in children without goiter </w:t>
            </w:r>
            <w:r w:rsidRPr="00255576">
              <w:rPr>
                <w:rFonts w:cs="Times New Roman"/>
                <w:color w:val="000000"/>
                <w:szCs w:val="22"/>
                <w:lang w:val="en-GB"/>
              </w:rPr>
              <w:lastRenderedPageBreak/>
              <w:t>(n=529, 90.58%)</w:t>
            </w:r>
          </w:p>
        </w:tc>
        <w:tc>
          <w:tcPr>
            <w:tcW w:w="2693"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lastRenderedPageBreak/>
              <w:t>Level  IV study</w:t>
            </w:r>
          </w:p>
          <w:p w:rsidR="00EA6F40" w:rsidRPr="00255576" w:rsidRDefault="00EA6F40" w:rsidP="00255576">
            <w:pPr>
              <w:rPr>
                <w:rFonts w:cs="Times New Roman"/>
                <w:color w:val="000000"/>
                <w:szCs w:val="22"/>
                <w:lang w:val="en-GB"/>
              </w:rPr>
            </w:pPr>
            <w:r w:rsidRPr="00255576">
              <w:rPr>
                <w:rFonts w:cs="Times New Roman"/>
                <w:color w:val="000000"/>
                <w:szCs w:val="22"/>
                <w:lang w:val="en-GB"/>
              </w:rPr>
              <w:t>Prevalence of goiter might be underestimated due to the use of palpation vs. ultrasonic scan.</w:t>
            </w:r>
          </w:p>
        </w:tc>
      </w:tr>
      <w:tr w:rsidR="00EA6F40" w:rsidRPr="00255576" w:rsidTr="00E41FB3">
        <w:trPr>
          <w:trHeight w:val="1760"/>
        </w:trPr>
        <w:tc>
          <w:tcPr>
            <w:tcW w:w="1528"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lastRenderedPageBreak/>
              <w:t xml:space="preserve">Henjum et al, 2010 </w:t>
            </w:r>
          </w:p>
        </w:tc>
        <w:tc>
          <w:tcPr>
            <w:tcW w:w="2126"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Cross-sectional study</w:t>
            </w:r>
            <w:r w:rsidRPr="00255576">
              <w:rPr>
                <w:rFonts w:cs="Times New Roman"/>
                <w:color w:val="000000"/>
                <w:szCs w:val="22"/>
                <w:lang w:val="en-GB"/>
              </w:rPr>
              <w:br/>
              <w:t>Random sample from 4 Saharawi refegee camps</w:t>
            </w:r>
            <w:r w:rsidRPr="00255576">
              <w:rPr>
                <w:rFonts w:cs="Times New Roman"/>
                <w:color w:val="000000"/>
                <w:szCs w:val="22"/>
                <w:lang w:val="en-GB"/>
              </w:rPr>
              <w:br/>
              <w:t>2007</w:t>
            </w:r>
          </w:p>
        </w:tc>
        <w:tc>
          <w:tcPr>
            <w:tcW w:w="1276"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421</w:t>
            </w:r>
          </w:p>
        </w:tc>
        <w:tc>
          <w:tcPr>
            <w:tcW w:w="992"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6-14</w:t>
            </w:r>
          </w:p>
        </w:tc>
        <w:tc>
          <w:tcPr>
            <w:tcW w:w="2268"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Thyroid ultrasonic scan</w:t>
            </w:r>
            <w:r w:rsidRPr="00255576">
              <w:rPr>
                <w:rFonts w:cs="Times New Roman"/>
                <w:color w:val="000000"/>
                <w:szCs w:val="22"/>
                <w:lang w:val="en-GB"/>
              </w:rPr>
              <w:br/>
              <w:t>Urine sample</w:t>
            </w:r>
          </w:p>
        </w:tc>
        <w:tc>
          <w:tcPr>
            <w:tcW w:w="1560"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 xml:space="preserve">Drinking water sample </w:t>
            </w:r>
            <w:r w:rsidRPr="00255576">
              <w:rPr>
                <w:rFonts w:cs="Times New Roman"/>
                <w:color w:val="000000"/>
                <w:szCs w:val="22"/>
                <w:lang w:val="en-GB"/>
              </w:rPr>
              <w:br/>
              <w:t>Milk sample from livestocks</w:t>
            </w:r>
          </w:p>
        </w:tc>
        <w:tc>
          <w:tcPr>
            <w:tcW w:w="2551"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 xml:space="preserve">16% children had UIC of 100-299ug/L; 28% of 300-499ug/L; 38% of 500-000ug/L. </w:t>
            </w:r>
            <w:r w:rsidRPr="00255576">
              <w:rPr>
                <w:rFonts w:cs="Times New Roman"/>
                <w:color w:val="000000"/>
                <w:szCs w:val="22"/>
                <w:lang w:val="en-GB"/>
              </w:rPr>
              <w:br/>
              <w:t xml:space="preserve">Median [iodine] in drinking water was 108ug/L, and in milk was 595ug/L. </w:t>
            </w:r>
            <w:r w:rsidRPr="00255576">
              <w:rPr>
                <w:rFonts w:cs="Times New Roman"/>
                <w:color w:val="000000"/>
                <w:szCs w:val="22"/>
                <w:lang w:val="en-GB"/>
              </w:rPr>
              <w:br/>
              <w:t xml:space="preserve">Goiter rate based on total thyroid volume-for-body surface area was 86%. </w:t>
            </w:r>
          </w:p>
        </w:tc>
        <w:tc>
          <w:tcPr>
            <w:tcW w:w="2693"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Level IV study.</w:t>
            </w:r>
            <w:r w:rsidRPr="00255576">
              <w:rPr>
                <w:rFonts w:cs="Times New Roman"/>
                <w:color w:val="000000"/>
                <w:szCs w:val="22"/>
                <w:lang w:val="en-GB"/>
              </w:rPr>
              <w:br/>
              <w:t xml:space="preserve">Not relevant to Australia and New Zealand - 21% of subjects were underweight, 24% were stunted, and 9% had low BMI-for-age. Most had UIC indicative of excessive intakes. </w:t>
            </w:r>
          </w:p>
        </w:tc>
      </w:tr>
      <w:tr w:rsidR="00EA6F40" w:rsidRPr="00255576" w:rsidTr="00E41FB3">
        <w:trPr>
          <w:trHeight w:val="1760"/>
        </w:trPr>
        <w:tc>
          <w:tcPr>
            <w:tcW w:w="1528"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t xml:space="preserve">Hussein et al, 2012 </w:t>
            </w:r>
          </w:p>
        </w:tc>
        <w:tc>
          <w:tcPr>
            <w:tcW w:w="2126"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t>Cross-sectional study</w:t>
            </w:r>
            <w:r w:rsidRPr="00255576">
              <w:rPr>
                <w:rFonts w:cs="Times New Roman"/>
                <w:color w:val="000000"/>
                <w:szCs w:val="22"/>
                <w:lang w:val="en-GB"/>
              </w:rPr>
              <w:br/>
              <w:t>Probability-proportional-to-size sampling method</w:t>
            </w:r>
            <w:r w:rsidRPr="00255576">
              <w:rPr>
                <w:rFonts w:cs="Times New Roman"/>
                <w:color w:val="000000"/>
                <w:szCs w:val="22"/>
                <w:lang w:val="en-GB"/>
              </w:rPr>
              <w:br/>
              <w:t xml:space="preserve">G1: schoolchildren living in the Red Sea </w:t>
            </w:r>
            <w:r w:rsidRPr="00255576">
              <w:rPr>
                <w:rFonts w:cs="Times New Roman"/>
                <w:color w:val="000000"/>
                <w:szCs w:val="22"/>
                <w:lang w:val="en-GB"/>
              </w:rPr>
              <w:lastRenderedPageBreak/>
              <w:t>region</w:t>
            </w:r>
            <w:r w:rsidRPr="00255576">
              <w:rPr>
                <w:rFonts w:cs="Times New Roman"/>
                <w:color w:val="000000"/>
                <w:szCs w:val="22"/>
                <w:lang w:val="en-GB"/>
              </w:rPr>
              <w:br/>
              <w:t xml:space="preserve">G2: schoolchildren living in the White Nile region, </w:t>
            </w:r>
            <w:r w:rsidRPr="00255576">
              <w:rPr>
                <w:rFonts w:cs="Times New Roman"/>
                <w:color w:val="000000"/>
                <w:szCs w:val="22"/>
                <w:lang w:val="en-GB"/>
              </w:rPr>
              <w:br/>
              <w:t>Sudan, 2006</w:t>
            </w:r>
          </w:p>
        </w:tc>
        <w:tc>
          <w:tcPr>
            <w:tcW w:w="1276"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lastRenderedPageBreak/>
              <w:t>G1: 140 (51% B, 49%G)</w:t>
            </w:r>
            <w:r w:rsidRPr="00255576">
              <w:rPr>
                <w:rFonts w:cs="Times New Roman"/>
                <w:color w:val="000000"/>
                <w:szCs w:val="22"/>
                <w:lang w:val="en-GB"/>
              </w:rPr>
              <w:br/>
              <w:t>G2: 140 (51% B, 49%G)</w:t>
            </w:r>
          </w:p>
        </w:tc>
        <w:tc>
          <w:tcPr>
            <w:tcW w:w="992"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t>6-12</w:t>
            </w:r>
          </w:p>
        </w:tc>
        <w:tc>
          <w:tcPr>
            <w:tcW w:w="2268"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t>Urine sample</w:t>
            </w:r>
            <w:r w:rsidRPr="00255576">
              <w:rPr>
                <w:rFonts w:cs="Times New Roman"/>
                <w:color w:val="000000"/>
                <w:szCs w:val="22"/>
                <w:lang w:val="en-GB"/>
              </w:rPr>
              <w:br/>
              <w:t xml:space="preserve">Goiter grading by palpation </w:t>
            </w:r>
          </w:p>
        </w:tc>
        <w:tc>
          <w:tcPr>
            <w:tcW w:w="1560"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t xml:space="preserve">Fish eating questionnaire </w:t>
            </w:r>
            <w:r w:rsidRPr="00255576">
              <w:rPr>
                <w:rFonts w:cs="Times New Roman"/>
                <w:color w:val="000000"/>
                <w:szCs w:val="22"/>
                <w:lang w:val="en-GB"/>
              </w:rPr>
              <w:br/>
              <w:t>Household salt sample</w:t>
            </w:r>
          </w:p>
        </w:tc>
        <w:tc>
          <w:tcPr>
            <w:tcW w:w="2551"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t>G1: iodine in salt varied from 141 to 361mg/kg; mean UIC was 588ug/L; goiter rate was 17.1%</w:t>
            </w:r>
            <w:r w:rsidRPr="00255576">
              <w:rPr>
                <w:rFonts w:cs="Times New Roman"/>
                <w:color w:val="000000"/>
                <w:szCs w:val="22"/>
                <w:lang w:val="en-GB"/>
              </w:rPr>
              <w:br/>
              <w:t xml:space="preserve">G2: no trace of iodine in salt samples; mean UIC </w:t>
            </w:r>
            <w:r w:rsidRPr="00255576">
              <w:rPr>
                <w:rFonts w:cs="Times New Roman"/>
                <w:color w:val="000000"/>
                <w:szCs w:val="22"/>
                <w:lang w:val="en-GB"/>
              </w:rPr>
              <w:lastRenderedPageBreak/>
              <w:t>was 176ug/L; goiter rate was 1.4%</w:t>
            </w:r>
          </w:p>
        </w:tc>
        <w:tc>
          <w:tcPr>
            <w:tcW w:w="2693"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lastRenderedPageBreak/>
              <w:t>Level IV study with high risk of bias.</w:t>
            </w:r>
            <w:r w:rsidRPr="00255576">
              <w:rPr>
                <w:rFonts w:cs="Times New Roman"/>
                <w:color w:val="000000"/>
                <w:szCs w:val="22"/>
                <w:lang w:val="en-GB"/>
              </w:rPr>
              <w:br/>
              <w:t>G1 and G2 are living in similar geographic areas where seafood is accessible.</w:t>
            </w:r>
            <w:r w:rsidRPr="00255576">
              <w:rPr>
                <w:rFonts w:cs="Times New Roman"/>
                <w:color w:val="000000"/>
                <w:szCs w:val="22"/>
                <w:lang w:val="en-GB"/>
              </w:rPr>
              <w:br/>
            </w:r>
            <w:r w:rsidRPr="00255576">
              <w:rPr>
                <w:rFonts w:cs="Times New Roman"/>
                <w:color w:val="000000"/>
                <w:szCs w:val="22"/>
                <w:lang w:val="en-GB"/>
              </w:rPr>
              <w:lastRenderedPageBreak/>
              <w:t>G1 and G2 are not comparable due to difference in dietary habits - 77.1% of children in G2 consumed fish weekly while only 1.4% in G1 reported fish consumption.</w:t>
            </w:r>
          </w:p>
        </w:tc>
      </w:tr>
      <w:tr w:rsidR="00EA6F40" w:rsidRPr="00255576" w:rsidTr="00E41FB3">
        <w:trPr>
          <w:trHeight w:val="1760"/>
        </w:trPr>
        <w:tc>
          <w:tcPr>
            <w:tcW w:w="1528"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lastRenderedPageBreak/>
              <w:t xml:space="preserve">Izzeldin et al, 2007 </w:t>
            </w:r>
          </w:p>
        </w:tc>
        <w:tc>
          <w:tcPr>
            <w:tcW w:w="2126"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Cross-sectional study</w:t>
            </w:r>
            <w:r w:rsidRPr="00255576">
              <w:rPr>
                <w:rFonts w:cs="Times New Roman"/>
                <w:color w:val="000000"/>
                <w:szCs w:val="22"/>
                <w:lang w:val="en-GB"/>
              </w:rPr>
              <w:br/>
              <w:t>Multistage random sampling method,</w:t>
            </w:r>
            <w:r w:rsidRPr="00255576">
              <w:rPr>
                <w:rFonts w:cs="Times New Roman"/>
                <w:color w:val="000000"/>
                <w:szCs w:val="22"/>
                <w:lang w:val="en-GB"/>
              </w:rPr>
              <w:br/>
              <w:t>Red Sea, 2006</w:t>
            </w:r>
          </w:p>
        </w:tc>
        <w:tc>
          <w:tcPr>
            <w:tcW w:w="1276"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141</w:t>
            </w:r>
          </w:p>
        </w:tc>
        <w:tc>
          <w:tcPr>
            <w:tcW w:w="992"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6-12</w:t>
            </w:r>
          </w:p>
        </w:tc>
        <w:tc>
          <w:tcPr>
            <w:tcW w:w="2268"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Urine sample (n=141)</w:t>
            </w:r>
            <w:r w:rsidRPr="00255576">
              <w:rPr>
                <w:rFonts w:cs="Times New Roman"/>
                <w:color w:val="000000"/>
                <w:szCs w:val="22"/>
                <w:lang w:val="en-GB"/>
              </w:rPr>
              <w:br/>
              <w:t xml:space="preserve">Goiter grading by palpation </w:t>
            </w:r>
          </w:p>
        </w:tc>
        <w:tc>
          <w:tcPr>
            <w:tcW w:w="1560"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School salt sample (n=20)</w:t>
            </w:r>
          </w:p>
        </w:tc>
        <w:tc>
          <w:tcPr>
            <w:tcW w:w="2551"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Goiter rate was 17%</w:t>
            </w:r>
            <w:r w:rsidRPr="00255576">
              <w:rPr>
                <w:rFonts w:cs="Times New Roman"/>
                <w:color w:val="000000"/>
                <w:szCs w:val="22"/>
                <w:lang w:val="en-GB"/>
              </w:rPr>
              <w:br/>
              <w:t xml:space="preserve">UIC: 3.5%&lt;100ug/L; 21.3% 100-299ug/L; 75.1% </w:t>
            </w:r>
            <w:r w:rsidRPr="00255576">
              <w:rPr>
                <w:rFonts w:ascii="Cambria Math" w:eastAsia="PMingLiU" w:hAnsi="Cambria Math" w:cs="Cambria Math"/>
                <w:color w:val="000000"/>
                <w:szCs w:val="22"/>
                <w:lang w:val="en-GB"/>
              </w:rPr>
              <w:t>≧</w:t>
            </w:r>
            <w:r w:rsidRPr="00255576">
              <w:rPr>
                <w:rFonts w:eastAsia="PMingLiU" w:cs="Times New Roman"/>
                <w:color w:val="000000"/>
                <w:szCs w:val="22"/>
                <w:lang w:val="en-GB"/>
              </w:rPr>
              <w:t xml:space="preserve"> 300ug/L</w:t>
            </w:r>
            <w:r w:rsidRPr="00255576">
              <w:rPr>
                <w:rFonts w:eastAsia="PMingLiU" w:cs="Times New Roman"/>
                <w:color w:val="000000"/>
                <w:szCs w:val="22"/>
                <w:lang w:val="en-GB"/>
              </w:rPr>
              <w:br/>
              <w:t>Iodine content in salt ranged from 154mg/kg to 1272mg/kg</w:t>
            </w:r>
          </w:p>
        </w:tc>
        <w:tc>
          <w:tcPr>
            <w:tcW w:w="2693"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Level IV study with high risk of bias.  A pilot study with a small sample size. Goiter rate was only reported in abstract but not in the body of the article</w:t>
            </w:r>
          </w:p>
        </w:tc>
      </w:tr>
      <w:tr w:rsidR="00EA6F40" w:rsidRPr="00255576" w:rsidTr="00E41FB3">
        <w:trPr>
          <w:trHeight w:val="1760"/>
        </w:trPr>
        <w:tc>
          <w:tcPr>
            <w:tcW w:w="1528"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t xml:space="preserve">Li et al, 2012 </w:t>
            </w:r>
          </w:p>
        </w:tc>
        <w:tc>
          <w:tcPr>
            <w:tcW w:w="2126"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t>Cross-sectional study</w:t>
            </w:r>
            <w:r w:rsidRPr="00255576">
              <w:rPr>
                <w:rFonts w:cs="Times New Roman"/>
                <w:color w:val="000000"/>
                <w:szCs w:val="22"/>
                <w:lang w:val="en-GB"/>
              </w:rPr>
              <w:br/>
              <w:t>Randomly selected schoolchildren from village of 202 towns in 16 districts in China,</w:t>
            </w:r>
            <w:r w:rsidRPr="00255576">
              <w:rPr>
                <w:rFonts w:cs="Times New Roman"/>
                <w:color w:val="000000"/>
                <w:szCs w:val="22"/>
                <w:lang w:val="en-GB"/>
              </w:rPr>
              <w:br/>
              <w:t>2009-2010</w:t>
            </w:r>
          </w:p>
        </w:tc>
        <w:tc>
          <w:tcPr>
            <w:tcW w:w="1276"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t>1594</w:t>
            </w:r>
          </w:p>
        </w:tc>
        <w:tc>
          <w:tcPr>
            <w:tcW w:w="992"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t>8-10</w:t>
            </w:r>
          </w:p>
        </w:tc>
        <w:tc>
          <w:tcPr>
            <w:tcW w:w="2268"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t>Thyroid ultrasonic scan</w:t>
            </w:r>
          </w:p>
        </w:tc>
        <w:tc>
          <w:tcPr>
            <w:tcW w:w="1560"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t>Drinking water sample (n=1097)</w:t>
            </w:r>
            <w:r w:rsidRPr="00255576">
              <w:rPr>
                <w:rFonts w:cs="Times New Roman"/>
                <w:color w:val="000000"/>
                <w:szCs w:val="22"/>
                <w:lang w:val="en-GB"/>
              </w:rPr>
              <w:br/>
              <w:t>Household salt sample (n=4501)</w:t>
            </w:r>
          </w:p>
        </w:tc>
        <w:tc>
          <w:tcPr>
            <w:tcW w:w="2551"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t>Median UIC is 336ug/L in regions with 150-300ug/L iodine in water, and is 494ug/L in regions with &gt;300ug/L iodine in water.</w:t>
            </w:r>
            <w:r w:rsidRPr="00255576">
              <w:rPr>
                <w:rFonts w:cs="Times New Roman"/>
                <w:color w:val="000000"/>
                <w:szCs w:val="22"/>
                <w:lang w:val="en-GB"/>
              </w:rPr>
              <w:br/>
              <w:t>Goiter rate in region with &gt;150ug/L water [iodine] was 8%</w:t>
            </w:r>
            <w:r w:rsidRPr="00255576">
              <w:rPr>
                <w:rFonts w:cs="Times New Roman"/>
                <w:color w:val="000000"/>
                <w:szCs w:val="22"/>
                <w:lang w:val="en-GB"/>
              </w:rPr>
              <w:br/>
              <w:t xml:space="preserve">No obvious relationship between salt intake and </w:t>
            </w:r>
            <w:r w:rsidRPr="00255576">
              <w:rPr>
                <w:rFonts w:cs="Times New Roman"/>
                <w:color w:val="000000"/>
                <w:szCs w:val="22"/>
                <w:lang w:val="en-GB"/>
              </w:rPr>
              <w:lastRenderedPageBreak/>
              <w:t>goiter rate.</w:t>
            </w:r>
          </w:p>
        </w:tc>
        <w:tc>
          <w:tcPr>
            <w:tcW w:w="2693"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lastRenderedPageBreak/>
              <w:t>Level IV study with high risk of bias.</w:t>
            </w:r>
          </w:p>
          <w:p w:rsidR="00EA6F40" w:rsidRPr="00255576" w:rsidRDefault="00EA6F40" w:rsidP="00255576">
            <w:pPr>
              <w:rPr>
                <w:rFonts w:cs="Times New Roman"/>
                <w:color w:val="000000"/>
                <w:szCs w:val="22"/>
                <w:lang w:val="en-GB"/>
              </w:rPr>
            </w:pPr>
            <w:r w:rsidRPr="00255576">
              <w:rPr>
                <w:rFonts w:cs="Times New Roman"/>
                <w:color w:val="000000"/>
                <w:szCs w:val="22"/>
                <w:lang w:val="en-GB"/>
              </w:rPr>
              <w:t xml:space="preserve">Goiter rate cannot be compared between areas with different [iodine] in water - goiter rate was not assessed in regions with &lt;150ug/L iodine in water, and goiter rate was not </w:t>
            </w:r>
            <w:r w:rsidRPr="00255576">
              <w:rPr>
                <w:rFonts w:cs="Times New Roman"/>
                <w:color w:val="000000"/>
                <w:szCs w:val="22"/>
                <w:lang w:val="en-GB"/>
              </w:rPr>
              <w:lastRenderedPageBreak/>
              <w:t>reported according to the [iodine] in water.</w:t>
            </w:r>
            <w:r w:rsidRPr="00255576">
              <w:rPr>
                <w:rFonts w:cs="Times New Roman"/>
                <w:color w:val="000000"/>
                <w:szCs w:val="22"/>
                <w:lang w:val="en-GB"/>
              </w:rPr>
              <w:br/>
              <w:t>Large sample size and national representative sample</w:t>
            </w:r>
          </w:p>
        </w:tc>
      </w:tr>
      <w:tr w:rsidR="00EA6F40" w:rsidRPr="00255576" w:rsidTr="00E41FB3">
        <w:trPr>
          <w:trHeight w:val="1760"/>
        </w:trPr>
        <w:tc>
          <w:tcPr>
            <w:tcW w:w="1528"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lastRenderedPageBreak/>
              <w:t xml:space="preserve">Lv et al,, 2012 </w:t>
            </w:r>
            <w:r w:rsidRPr="00255576">
              <w:rPr>
                <w:rFonts w:cs="Times New Roman"/>
                <w:color w:val="000000"/>
                <w:szCs w:val="22"/>
                <w:lang w:val="en-GB"/>
              </w:rPr>
              <w:fldChar w:fldCharType="begin">
                <w:fldData xml:space="preserve">PEVuZE5vdGU+PENpdGU+PEF1dGhvcj5MdjwvQXV0aG9yPjxZZWFyPjIwMTI8L1llYXI+PFJlY051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=
</w:fldData>
              </w:fldChar>
            </w:r>
            <w:r w:rsidRPr="00255576">
              <w:rPr>
                <w:rFonts w:cs="Times New Roman"/>
                <w:color w:val="000000"/>
                <w:szCs w:val="22"/>
                <w:lang w:val="en-GB"/>
              </w:rPr>
              <w:instrText xml:space="preserve"> ADDIN EN.CITE </w:instrText>
            </w:r>
            <w:r w:rsidRPr="00255576">
              <w:rPr>
                <w:rFonts w:cs="Times New Roman"/>
                <w:color w:val="000000"/>
                <w:szCs w:val="22"/>
                <w:lang w:val="en-GB"/>
              </w:rPr>
              <w:fldChar w:fldCharType="begin">
                <w:fldData xml:space="preserve">PEVuZE5vdGU+PENpdGU+PEF1dGhvcj5MdjwvQXV0aG9yPjxZZWFyPjIwMTI8L1llYXI+PFJlY051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=
</w:fldData>
              </w:fldChar>
            </w:r>
            <w:r w:rsidRPr="00255576">
              <w:rPr>
                <w:rFonts w:cs="Times New Roman"/>
                <w:color w:val="000000"/>
                <w:szCs w:val="22"/>
                <w:lang w:val="en-GB"/>
              </w:rPr>
              <w:instrText xml:space="preserve"> ADDIN EN.CITE.DATA </w:instrText>
            </w:r>
            <w:r w:rsidRPr="00255576">
              <w:rPr>
                <w:rFonts w:cs="Times New Roman"/>
                <w:color w:val="000000"/>
                <w:szCs w:val="22"/>
                <w:lang w:val="en-GB"/>
              </w:rPr>
            </w:r>
            <w:r w:rsidRPr="00255576">
              <w:rPr>
                <w:rFonts w:cs="Times New Roman"/>
                <w:color w:val="000000"/>
                <w:szCs w:val="22"/>
                <w:lang w:val="en-GB"/>
              </w:rPr>
              <w:fldChar w:fldCharType="end"/>
            </w:r>
            <w:r w:rsidRPr="00255576">
              <w:rPr>
                <w:rFonts w:cs="Times New Roman"/>
                <w:color w:val="000000"/>
                <w:szCs w:val="22"/>
                <w:lang w:val="en-GB"/>
              </w:rPr>
            </w:r>
            <w:r w:rsidRPr="00255576">
              <w:rPr>
                <w:rFonts w:cs="Times New Roman"/>
                <w:color w:val="000000"/>
                <w:szCs w:val="22"/>
                <w:lang w:val="en-GB"/>
              </w:rPr>
              <w:fldChar w:fldCharType="end"/>
            </w:r>
          </w:p>
        </w:tc>
        <w:tc>
          <w:tcPr>
            <w:tcW w:w="2126"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t>Cross-sectional study</w:t>
            </w:r>
            <w:r w:rsidRPr="00255576">
              <w:rPr>
                <w:rFonts w:cs="Times New Roman"/>
                <w:color w:val="000000"/>
                <w:szCs w:val="22"/>
                <w:lang w:val="en-GB"/>
              </w:rPr>
              <w:br/>
              <w:t>Probability-proportional-to-size sampling method to randomly select subjects from 30 villages in Hebei Province, China</w:t>
            </w:r>
            <w:r w:rsidRPr="00255576">
              <w:rPr>
                <w:rFonts w:cs="Times New Roman"/>
                <w:color w:val="000000"/>
                <w:szCs w:val="22"/>
                <w:lang w:val="en-GB"/>
              </w:rPr>
              <w:br/>
              <w:t>2006</w:t>
            </w:r>
          </w:p>
        </w:tc>
        <w:tc>
          <w:tcPr>
            <w:tcW w:w="1276"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t>1259 (49% B; 51%G)</w:t>
            </w:r>
          </w:p>
        </w:tc>
        <w:tc>
          <w:tcPr>
            <w:tcW w:w="992"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t>8-10</w:t>
            </w:r>
          </w:p>
        </w:tc>
        <w:tc>
          <w:tcPr>
            <w:tcW w:w="2268"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t>Thyroid ultrasonic scan (n=1259)</w:t>
            </w:r>
            <w:r w:rsidRPr="00255576">
              <w:rPr>
                <w:rFonts w:cs="Times New Roman"/>
                <w:color w:val="000000"/>
                <w:szCs w:val="22"/>
                <w:lang w:val="en-GB"/>
              </w:rPr>
              <w:br/>
              <w:t>Urine sample (n=363)</w:t>
            </w:r>
          </w:p>
        </w:tc>
        <w:tc>
          <w:tcPr>
            <w:tcW w:w="1560"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t>Drinking water sample (n=85)</w:t>
            </w:r>
            <w:r w:rsidRPr="00255576">
              <w:rPr>
                <w:rFonts w:cs="Times New Roman"/>
                <w:color w:val="000000"/>
                <w:szCs w:val="22"/>
                <w:lang w:val="en-GB"/>
              </w:rPr>
              <w:br/>
              <w:t>Household salt sample (n=301)</w:t>
            </w:r>
          </w:p>
        </w:tc>
        <w:tc>
          <w:tcPr>
            <w:tcW w:w="2551"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t>Goiter rate in villages with water iodine of &lt;150ug/L is 10.8%, and in villages with water iodine of &gt;150ug/L is 11%.</w:t>
            </w:r>
            <w:r w:rsidRPr="00255576">
              <w:rPr>
                <w:rFonts w:cs="Times New Roman"/>
                <w:color w:val="000000"/>
                <w:szCs w:val="22"/>
                <w:lang w:val="en-GB"/>
              </w:rPr>
              <w:br/>
              <w:t>In villages with water iodine of &gt;150ug/L, median UIC in villages with iodised salt was 443ug/L, which is significantly higher than 350ug/L obtained from villages without iodised salt. 68% subjects had UIC &gt;300ug/L.</w:t>
            </w:r>
          </w:p>
        </w:tc>
        <w:tc>
          <w:tcPr>
            <w:tcW w:w="2693"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t xml:space="preserve">Level IV study with high risk of bias. </w:t>
            </w:r>
            <w:r w:rsidRPr="00255576">
              <w:rPr>
                <w:rFonts w:cs="Times New Roman"/>
                <w:color w:val="000000"/>
                <w:szCs w:val="22"/>
                <w:lang w:val="en-GB"/>
              </w:rPr>
              <w:br/>
              <w:t>Frequency of seafood consumption was unknown.</w:t>
            </w:r>
            <w:r w:rsidRPr="00255576">
              <w:rPr>
                <w:rFonts w:cs="Times New Roman"/>
                <w:color w:val="000000"/>
                <w:szCs w:val="22"/>
                <w:lang w:val="en-GB"/>
              </w:rPr>
              <w:br/>
              <w:t>Only 29% of subject provided a urine sample.</w:t>
            </w:r>
          </w:p>
        </w:tc>
      </w:tr>
      <w:tr w:rsidR="00EA6F40" w:rsidRPr="00255576" w:rsidTr="00E41FB3">
        <w:trPr>
          <w:trHeight w:val="1320"/>
        </w:trPr>
        <w:tc>
          <w:tcPr>
            <w:tcW w:w="1528" w:type="dxa"/>
          </w:tcPr>
          <w:p w:rsidR="00EA6F40" w:rsidRPr="00255576" w:rsidRDefault="00EA6F40" w:rsidP="00255576">
            <w:pPr>
              <w:rPr>
                <w:rFonts w:cs="Times New Roman"/>
                <w:color w:val="000000"/>
                <w:szCs w:val="22"/>
                <w:lang w:val="en-GB"/>
              </w:rPr>
            </w:pPr>
            <w:r w:rsidRPr="00255576">
              <w:rPr>
                <w:rFonts w:eastAsia="Times New Roman" w:cs="Arial"/>
                <w:noProof/>
                <w:szCs w:val="22"/>
                <w:lang w:val="en-GB"/>
              </w:rPr>
              <w:lastRenderedPageBreak/>
              <w:t>Kassim et al, 2014</w:t>
            </w:r>
          </w:p>
        </w:tc>
        <w:tc>
          <w:tcPr>
            <w:tcW w:w="2126" w:type="dxa"/>
          </w:tcPr>
          <w:p w:rsidR="00EA6F40" w:rsidRPr="00255576" w:rsidRDefault="00EA6F40" w:rsidP="00255576">
            <w:pPr>
              <w:rPr>
                <w:rFonts w:eastAsia="Times New Roman" w:cs="Arial"/>
                <w:szCs w:val="22"/>
                <w:lang w:val="en-GB"/>
              </w:rPr>
            </w:pPr>
            <w:r w:rsidRPr="00255576">
              <w:rPr>
                <w:rFonts w:eastAsia="Times New Roman" w:cs="Arial"/>
                <w:szCs w:val="22"/>
                <w:lang w:val="en-GB"/>
              </w:rPr>
              <w:t>Cross-sectional study;</w:t>
            </w:r>
          </w:p>
          <w:p w:rsidR="00EA6F40" w:rsidRPr="00255576" w:rsidRDefault="00EA6F40" w:rsidP="00255576">
            <w:pPr>
              <w:rPr>
                <w:rFonts w:cs="Times New Roman"/>
                <w:color w:val="000000"/>
                <w:szCs w:val="22"/>
                <w:lang w:val="en-GB"/>
              </w:rPr>
            </w:pPr>
            <w:r w:rsidRPr="00255576">
              <w:rPr>
                <w:rFonts w:eastAsia="Times New Roman" w:cs="Arial"/>
                <w:szCs w:val="22"/>
                <w:lang w:val="en-GB"/>
              </w:rPr>
              <w:t>stratified, 2-stage, household cluster survey; 3 zones of Somalia; 2009</w:t>
            </w:r>
          </w:p>
        </w:tc>
        <w:tc>
          <w:tcPr>
            <w:tcW w:w="1276" w:type="dxa"/>
          </w:tcPr>
          <w:p w:rsidR="00EA6F40" w:rsidRPr="00255576" w:rsidRDefault="00EA6F40" w:rsidP="00255576">
            <w:pPr>
              <w:rPr>
                <w:rFonts w:cs="Times New Roman"/>
                <w:color w:val="000000"/>
                <w:szCs w:val="22"/>
                <w:lang w:val="en-GB"/>
              </w:rPr>
            </w:pPr>
            <w:r w:rsidRPr="00255576">
              <w:rPr>
                <w:rFonts w:eastAsia="Times New Roman" w:cs="Arial"/>
                <w:szCs w:val="22"/>
                <w:lang w:val="en-GB"/>
              </w:rPr>
              <w:t>507 of 756 subjects were assessed for the presence of visible goitre (not palpation)</w:t>
            </w:r>
          </w:p>
        </w:tc>
        <w:tc>
          <w:tcPr>
            <w:tcW w:w="992" w:type="dxa"/>
          </w:tcPr>
          <w:p w:rsidR="00EA6F40" w:rsidRPr="00255576" w:rsidRDefault="00EA6F40" w:rsidP="00255576">
            <w:pPr>
              <w:rPr>
                <w:rFonts w:cs="Times New Roman"/>
                <w:color w:val="000000"/>
                <w:szCs w:val="22"/>
                <w:lang w:val="en-GB"/>
              </w:rPr>
            </w:pPr>
            <w:r w:rsidRPr="00255576">
              <w:rPr>
                <w:rFonts w:eastAsia="Times New Roman" w:cs="Arial"/>
                <w:szCs w:val="22"/>
                <w:lang w:val="en-GB"/>
              </w:rPr>
              <w:t>6-11</w:t>
            </w:r>
          </w:p>
        </w:tc>
        <w:tc>
          <w:tcPr>
            <w:tcW w:w="2268" w:type="dxa"/>
          </w:tcPr>
          <w:p w:rsidR="00EA6F40" w:rsidRPr="00255576" w:rsidRDefault="00EA6F40" w:rsidP="00255576">
            <w:pPr>
              <w:rPr>
                <w:rFonts w:eastAsia="Times New Roman" w:cs="Arial"/>
                <w:szCs w:val="22"/>
                <w:lang w:val="en-GB"/>
              </w:rPr>
            </w:pPr>
            <w:r w:rsidRPr="00255576">
              <w:rPr>
                <w:rFonts w:eastAsia="Times New Roman" w:cs="Arial"/>
                <w:szCs w:val="22"/>
                <w:lang w:val="en-GB"/>
              </w:rPr>
              <w:t xml:space="preserve">UIC &amp; recognition of visible goitre </w:t>
            </w:r>
            <w:bookmarkStart w:id="207" w:name="OLE_LINK9"/>
            <w:r w:rsidRPr="00255576">
              <w:rPr>
                <w:rFonts w:eastAsia="Times New Roman" w:cs="Arial"/>
                <w:szCs w:val="22"/>
                <w:lang w:val="en-GB"/>
              </w:rPr>
              <w:t>(not palpation)</w:t>
            </w:r>
            <w:bookmarkEnd w:id="207"/>
          </w:p>
        </w:tc>
        <w:tc>
          <w:tcPr>
            <w:tcW w:w="1560" w:type="dxa"/>
          </w:tcPr>
          <w:p w:rsidR="00EA6F40" w:rsidRPr="00255576" w:rsidRDefault="00EA6F40" w:rsidP="00255576">
            <w:pPr>
              <w:rPr>
                <w:rFonts w:eastAsia="Times New Roman" w:cs="Arial"/>
                <w:szCs w:val="22"/>
                <w:lang w:val="en-GB"/>
              </w:rPr>
            </w:pPr>
            <w:r w:rsidRPr="00255576">
              <w:rPr>
                <w:rFonts w:eastAsia="Times New Roman" w:cs="Arial"/>
                <w:szCs w:val="22"/>
                <w:lang w:val="en-GB"/>
              </w:rPr>
              <w:t>Household FFQ &amp;</w:t>
            </w:r>
          </w:p>
          <w:p w:rsidR="00EA6F40" w:rsidRPr="00255576" w:rsidRDefault="00EA6F40" w:rsidP="00255576">
            <w:pPr>
              <w:rPr>
                <w:rFonts w:cs="Times New Roman"/>
                <w:color w:val="000000"/>
                <w:szCs w:val="22"/>
                <w:lang w:val="en-GB"/>
              </w:rPr>
            </w:pPr>
            <w:r w:rsidRPr="00255576">
              <w:rPr>
                <w:rFonts w:eastAsia="Times New Roman" w:cs="Arial"/>
                <w:szCs w:val="22"/>
                <w:lang w:val="en-GB"/>
              </w:rPr>
              <w:t>salt sample</w:t>
            </w:r>
          </w:p>
        </w:tc>
        <w:tc>
          <w:tcPr>
            <w:tcW w:w="2551" w:type="dxa"/>
          </w:tcPr>
          <w:p w:rsidR="00EA6F40" w:rsidRPr="00255576" w:rsidRDefault="00EA6F40" w:rsidP="00255576">
            <w:pPr>
              <w:rPr>
                <w:rFonts w:eastAsia="Times New Roman" w:cs="Arial"/>
                <w:szCs w:val="22"/>
                <w:lang w:val="en-GB"/>
              </w:rPr>
            </w:pPr>
            <w:r w:rsidRPr="00255576">
              <w:rPr>
                <w:rFonts w:eastAsia="Times New Roman" w:cs="Arial"/>
                <w:szCs w:val="22"/>
                <w:lang w:val="en-GB"/>
              </w:rPr>
              <w:t>Goitre prevalence was higher in children living in Northwest Zone (median UIC: 288 μg/L; goitre prevalence: 1.3) than children living in South Centre Zone (median UIC: 398 μg/L; goitre prevalence: 0.3).</w:t>
            </w:r>
          </w:p>
          <w:p w:rsidR="00EA6F40" w:rsidRPr="00255576" w:rsidRDefault="00EA6F40" w:rsidP="00255576">
            <w:pPr>
              <w:rPr>
                <w:rFonts w:eastAsia="Times New Roman" w:cs="Arial"/>
                <w:szCs w:val="22"/>
                <w:lang w:val="en-GB"/>
              </w:rPr>
            </w:pPr>
            <w:r w:rsidRPr="00255576">
              <w:rPr>
                <w:rFonts w:eastAsia="Times New Roman" w:cs="Arial"/>
                <w:szCs w:val="22"/>
                <w:lang w:val="en-GB"/>
              </w:rPr>
              <w:t>It was unknown if goitre cases reported were caused by iodine-induced thyroid dysfunction.</w:t>
            </w:r>
          </w:p>
        </w:tc>
        <w:tc>
          <w:tcPr>
            <w:tcW w:w="2693"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 xml:space="preserve">Level IV </w:t>
            </w:r>
          </w:p>
        </w:tc>
      </w:tr>
      <w:tr w:rsidR="00EA6F40" w:rsidRPr="00255576" w:rsidTr="00E41FB3">
        <w:trPr>
          <w:trHeight w:val="1320"/>
        </w:trPr>
        <w:tc>
          <w:tcPr>
            <w:tcW w:w="1528" w:type="dxa"/>
          </w:tcPr>
          <w:p w:rsidR="00EA6F40" w:rsidRPr="00255576" w:rsidRDefault="00EA6F40" w:rsidP="00255576">
            <w:pPr>
              <w:rPr>
                <w:rFonts w:cs="Times New Roman"/>
                <w:color w:val="000000"/>
                <w:szCs w:val="22"/>
                <w:lang w:val="en-GB"/>
              </w:rPr>
            </w:pPr>
            <w:r w:rsidRPr="00255576">
              <w:rPr>
                <w:rFonts w:eastAsia="Times New Roman" w:cs="Arial"/>
                <w:noProof/>
                <w:szCs w:val="22"/>
                <w:lang w:val="en-GB"/>
              </w:rPr>
              <w:t>Kim et al, 2014</w:t>
            </w:r>
          </w:p>
        </w:tc>
        <w:tc>
          <w:tcPr>
            <w:tcW w:w="2126" w:type="dxa"/>
          </w:tcPr>
          <w:p w:rsidR="00EA6F40" w:rsidRPr="00255576" w:rsidRDefault="00EA6F40" w:rsidP="00255576">
            <w:pPr>
              <w:rPr>
                <w:rFonts w:eastAsia="Times New Roman" w:cs="Arial"/>
                <w:szCs w:val="22"/>
                <w:lang w:val="en-GB"/>
              </w:rPr>
            </w:pPr>
            <w:r w:rsidRPr="00255576">
              <w:rPr>
                <w:rFonts w:eastAsia="Times New Roman" w:cs="Arial"/>
                <w:szCs w:val="22"/>
                <w:lang w:val="en-GB"/>
              </w:rPr>
              <w:t>Cross-sectional study;</w:t>
            </w:r>
          </w:p>
          <w:p w:rsidR="00EA6F40" w:rsidRPr="00255576" w:rsidRDefault="00EA6F40" w:rsidP="00255576">
            <w:pPr>
              <w:rPr>
                <w:rFonts w:eastAsia="Times New Roman" w:cs="Arial"/>
                <w:szCs w:val="22"/>
                <w:lang w:val="en-GB"/>
              </w:rPr>
            </w:pPr>
            <w:r w:rsidRPr="00255576">
              <w:rPr>
                <w:rFonts w:eastAsia="Times New Roman" w:cs="Arial"/>
                <w:szCs w:val="22"/>
                <w:lang w:val="en-GB"/>
              </w:rPr>
              <w:t>(not reported);</w:t>
            </w:r>
          </w:p>
          <w:p w:rsidR="00EA6F40" w:rsidRPr="00255576" w:rsidRDefault="00EA6F40" w:rsidP="00255576">
            <w:pPr>
              <w:rPr>
                <w:rFonts w:eastAsia="Times New Roman" w:cs="Arial"/>
                <w:szCs w:val="22"/>
                <w:lang w:val="en-GB"/>
              </w:rPr>
            </w:pPr>
            <w:r w:rsidRPr="00255576">
              <w:rPr>
                <w:rFonts w:eastAsia="Times New Roman" w:cs="Arial"/>
                <w:szCs w:val="22"/>
                <w:lang w:val="en-GB"/>
              </w:rPr>
              <w:t xml:space="preserve">high school students in Tuguegarao, Cagayan Valley, Philippines; </w:t>
            </w:r>
          </w:p>
          <w:p w:rsidR="00EA6F40" w:rsidRPr="00255576" w:rsidRDefault="00255576" w:rsidP="00255576">
            <w:pPr>
              <w:rPr>
                <w:rFonts w:eastAsia="Times New Roman" w:cs="Arial"/>
                <w:szCs w:val="22"/>
                <w:lang w:val="en-GB"/>
              </w:rPr>
            </w:pPr>
            <w:r>
              <w:rPr>
                <w:rFonts w:eastAsia="Times New Roman" w:cs="Arial"/>
                <w:szCs w:val="22"/>
                <w:lang w:val="en-GB"/>
              </w:rPr>
              <w:t>2013</w:t>
            </w:r>
          </w:p>
        </w:tc>
        <w:tc>
          <w:tcPr>
            <w:tcW w:w="1276" w:type="dxa"/>
          </w:tcPr>
          <w:p w:rsidR="00EA6F40" w:rsidRPr="00255576" w:rsidRDefault="00EA6F40" w:rsidP="00255576">
            <w:pPr>
              <w:rPr>
                <w:rFonts w:cs="Times New Roman"/>
                <w:color w:val="000000"/>
                <w:szCs w:val="22"/>
                <w:lang w:val="en-GB"/>
              </w:rPr>
            </w:pPr>
            <w:r w:rsidRPr="00255576">
              <w:rPr>
                <w:rFonts w:eastAsia="Times New Roman" w:cs="Arial"/>
                <w:szCs w:val="22"/>
                <w:lang w:val="en-GB"/>
              </w:rPr>
              <w:t>146 (67M/79F) of 260 were assessed for TV measurement and use of iodised salt.</w:t>
            </w:r>
          </w:p>
        </w:tc>
        <w:tc>
          <w:tcPr>
            <w:tcW w:w="992" w:type="dxa"/>
          </w:tcPr>
          <w:p w:rsidR="00EA6F40" w:rsidRPr="00255576" w:rsidRDefault="00EA6F40" w:rsidP="00255576">
            <w:pPr>
              <w:rPr>
                <w:rFonts w:cs="Times New Roman"/>
                <w:color w:val="000000"/>
                <w:szCs w:val="22"/>
                <w:lang w:val="en-GB"/>
              </w:rPr>
            </w:pPr>
            <w:r w:rsidRPr="00255576">
              <w:rPr>
                <w:rFonts w:eastAsia="Times New Roman" w:cs="Arial"/>
                <w:szCs w:val="22"/>
                <w:lang w:val="en-GB"/>
              </w:rPr>
              <w:t xml:space="preserve">12-25 </w:t>
            </w:r>
          </w:p>
        </w:tc>
        <w:tc>
          <w:tcPr>
            <w:tcW w:w="2268" w:type="dxa"/>
          </w:tcPr>
          <w:p w:rsidR="00EA6F40" w:rsidRPr="00255576" w:rsidRDefault="00EA6F40" w:rsidP="00255576">
            <w:pPr>
              <w:rPr>
                <w:rFonts w:eastAsia="Times New Roman" w:cs="Arial"/>
                <w:szCs w:val="22"/>
                <w:lang w:val="en-GB"/>
              </w:rPr>
            </w:pPr>
            <w:r w:rsidRPr="00255576">
              <w:rPr>
                <w:rFonts w:eastAsia="Times New Roman" w:cs="Arial"/>
                <w:szCs w:val="22"/>
                <w:lang w:val="en-GB"/>
              </w:rPr>
              <w:t>UIC &amp; TV (by ultrasonography)</w:t>
            </w:r>
          </w:p>
        </w:tc>
        <w:tc>
          <w:tcPr>
            <w:tcW w:w="1560" w:type="dxa"/>
          </w:tcPr>
          <w:p w:rsidR="00EA6F40" w:rsidRPr="00255576" w:rsidRDefault="00EA6F40" w:rsidP="00255576">
            <w:pPr>
              <w:rPr>
                <w:rFonts w:cs="Times New Roman"/>
                <w:color w:val="000000"/>
                <w:szCs w:val="22"/>
                <w:lang w:val="en-GB"/>
              </w:rPr>
            </w:pPr>
            <w:r w:rsidRPr="00255576">
              <w:rPr>
                <w:rFonts w:eastAsia="Times New Roman" w:cs="Arial"/>
                <w:szCs w:val="22"/>
                <w:lang w:val="en-GB"/>
              </w:rPr>
              <w:t>Use of iodised salt</w:t>
            </w:r>
          </w:p>
        </w:tc>
        <w:tc>
          <w:tcPr>
            <w:tcW w:w="2551" w:type="dxa"/>
          </w:tcPr>
          <w:p w:rsidR="00EA6F40" w:rsidRPr="00255576" w:rsidRDefault="00EA6F40" w:rsidP="00255576">
            <w:pPr>
              <w:rPr>
                <w:rFonts w:eastAsia="Times New Roman" w:cs="Arial"/>
                <w:szCs w:val="22"/>
                <w:lang w:val="en-GB"/>
              </w:rPr>
            </w:pPr>
            <w:r w:rsidRPr="00255576">
              <w:rPr>
                <w:rFonts w:eastAsia="Times New Roman" w:cs="Arial"/>
                <w:szCs w:val="22"/>
                <w:lang w:val="en-GB"/>
              </w:rPr>
              <w:t>Median UIC was 355 μg/L; no significant difference was observed in UIC between iodised salt and non-iodised salt users (p=0.099). Iodised salt users had a significantly lower TV than non-iodised salt users (p=0.032).</w:t>
            </w:r>
          </w:p>
        </w:tc>
        <w:tc>
          <w:tcPr>
            <w:tcW w:w="2693"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 xml:space="preserve">Level IV </w:t>
            </w:r>
          </w:p>
        </w:tc>
      </w:tr>
      <w:tr w:rsidR="00EA6F40" w:rsidRPr="00255576" w:rsidTr="00E41FB3">
        <w:trPr>
          <w:trHeight w:val="1320"/>
        </w:trPr>
        <w:tc>
          <w:tcPr>
            <w:tcW w:w="1528" w:type="dxa"/>
          </w:tcPr>
          <w:p w:rsidR="00EA6F40" w:rsidRPr="00255576" w:rsidRDefault="00EA6F40" w:rsidP="00255576">
            <w:pPr>
              <w:rPr>
                <w:rFonts w:cs="Times New Roman"/>
                <w:color w:val="000000"/>
                <w:szCs w:val="22"/>
                <w:lang w:val="en-GB"/>
              </w:rPr>
            </w:pPr>
            <w:r w:rsidRPr="00255576">
              <w:rPr>
                <w:rFonts w:eastAsia="Times New Roman" w:cs="Arial"/>
                <w:noProof/>
                <w:szCs w:val="22"/>
                <w:lang w:val="en-GB"/>
              </w:rPr>
              <w:lastRenderedPageBreak/>
              <w:t>Medani et al, 2013</w:t>
            </w:r>
          </w:p>
        </w:tc>
        <w:tc>
          <w:tcPr>
            <w:tcW w:w="2126" w:type="dxa"/>
          </w:tcPr>
          <w:p w:rsidR="00EA6F40" w:rsidRPr="00255576" w:rsidRDefault="00EA6F40" w:rsidP="00255576">
            <w:pPr>
              <w:rPr>
                <w:rFonts w:eastAsia="Times New Roman" w:cs="Arial"/>
                <w:szCs w:val="22"/>
                <w:lang w:val="en-GB"/>
              </w:rPr>
            </w:pPr>
            <w:r w:rsidRPr="00255576">
              <w:rPr>
                <w:rFonts w:eastAsia="Times New Roman" w:cs="Arial"/>
                <w:szCs w:val="22"/>
                <w:lang w:val="en-GB"/>
              </w:rPr>
              <w:t xml:space="preserve">Cross-sectional; </w:t>
            </w:r>
          </w:p>
          <w:p w:rsidR="00EA6F40" w:rsidRPr="00255576" w:rsidRDefault="00EA6F40" w:rsidP="00255576">
            <w:pPr>
              <w:rPr>
                <w:rFonts w:eastAsia="Times New Roman" w:cs="Arial"/>
                <w:szCs w:val="22"/>
                <w:lang w:val="en-GB"/>
              </w:rPr>
            </w:pPr>
            <w:r w:rsidRPr="00255576">
              <w:rPr>
                <w:rFonts w:eastAsia="Times New Roman" w:cs="Arial"/>
                <w:szCs w:val="22"/>
                <w:lang w:val="en-GB"/>
              </w:rPr>
              <w:t>multi-stage random sampling;</w:t>
            </w:r>
          </w:p>
          <w:p w:rsidR="00EA6F40" w:rsidRPr="00255576" w:rsidRDefault="00EA6F40" w:rsidP="00255576">
            <w:pPr>
              <w:rPr>
                <w:rFonts w:eastAsia="Times New Roman" w:cs="Arial"/>
                <w:szCs w:val="22"/>
                <w:lang w:val="en-GB"/>
              </w:rPr>
            </w:pPr>
            <w:r w:rsidRPr="00255576">
              <w:rPr>
                <w:rFonts w:eastAsia="Times New Roman" w:cs="Arial"/>
                <w:szCs w:val="22"/>
                <w:lang w:val="en-GB"/>
              </w:rPr>
              <w:t>Port Sudan, Sudan; 2006</w:t>
            </w:r>
          </w:p>
          <w:p w:rsidR="00EA6F40" w:rsidRPr="00255576" w:rsidRDefault="00EA6F40" w:rsidP="00255576">
            <w:pPr>
              <w:rPr>
                <w:rFonts w:cs="Times New Roman"/>
                <w:color w:val="000000"/>
                <w:szCs w:val="22"/>
                <w:lang w:val="en-GB"/>
              </w:rPr>
            </w:pPr>
          </w:p>
        </w:tc>
        <w:tc>
          <w:tcPr>
            <w:tcW w:w="1276" w:type="dxa"/>
          </w:tcPr>
          <w:p w:rsidR="00EA6F40" w:rsidRPr="00255576" w:rsidRDefault="00EA6F40" w:rsidP="00255576">
            <w:pPr>
              <w:rPr>
                <w:rFonts w:cs="Times New Roman"/>
                <w:color w:val="000000"/>
                <w:szCs w:val="22"/>
                <w:lang w:val="en-GB"/>
              </w:rPr>
            </w:pPr>
            <w:r w:rsidRPr="00255576">
              <w:rPr>
                <w:rFonts w:eastAsia="Times New Roman" w:cs="Arial"/>
                <w:szCs w:val="22"/>
                <w:lang w:val="en-GB"/>
              </w:rPr>
              <w:t>31 of 654 children gave a spot urine sample</w:t>
            </w:r>
          </w:p>
        </w:tc>
        <w:tc>
          <w:tcPr>
            <w:tcW w:w="992" w:type="dxa"/>
          </w:tcPr>
          <w:p w:rsidR="00EA6F40" w:rsidRPr="00255576" w:rsidRDefault="00EA6F40" w:rsidP="00255576">
            <w:pPr>
              <w:rPr>
                <w:rFonts w:cs="Times New Roman"/>
                <w:color w:val="000000"/>
                <w:szCs w:val="22"/>
                <w:lang w:val="en-GB"/>
              </w:rPr>
            </w:pPr>
            <w:r w:rsidRPr="00255576">
              <w:rPr>
                <w:rFonts w:eastAsia="Times New Roman" w:cs="Arial"/>
                <w:szCs w:val="22"/>
                <w:lang w:val="en-GB"/>
              </w:rPr>
              <w:t>6-12</w:t>
            </w:r>
          </w:p>
        </w:tc>
        <w:tc>
          <w:tcPr>
            <w:tcW w:w="2268" w:type="dxa"/>
          </w:tcPr>
          <w:p w:rsidR="00EA6F40" w:rsidRPr="00255576" w:rsidRDefault="00EA6F40" w:rsidP="00255576">
            <w:pPr>
              <w:rPr>
                <w:rFonts w:cs="Times New Roman"/>
                <w:color w:val="000000"/>
                <w:szCs w:val="22"/>
                <w:lang w:val="en-GB"/>
              </w:rPr>
            </w:pPr>
            <w:r w:rsidRPr="00255576">
              <w:rPr>
                <w:rFonts w:eastAsia="Times New Roman" w:cs="Arial"/>
                <w:szCs w:val="22"/>
                <w:lang w:val="en-GB"/>
              </w:rPr>
              <w:t>UIC &amp; TV (by palpation)</w:t>
            </w:r>
          </w:p>
        </w:tc>
        <w:tc>
          <w:tcPr>
            <w:tcW w:w="1560" w:type="dxa"/>
          </w:tcPr>
          <w:p w:rsidR="00EA6F40" w:rsidRPr="00255576" w:rsidRDefault="00EA6F40" w:rsidP="00255576">
            <w:pPr>
              <w:rPr>
                <w:rFonts w:cs="Times New Roman"/>
                <w:color w:val="000000"/>
                <w:szCs w:val="22"/>
                <w:lang w:val="en-GB"/>
              </w:rPr>
            </w:pPr>
            <w:r w:rsidRPr="00255576">
              <w:rPr>
                <w:rFonts w:eastAsia="Times New Roman" w:cs="Arial"/>
                <w:szCs w:val="22"/>
                <w:lang w:val="en-GB"/>
              </w:rPr>
              <w:t>No assessment</w:t>
            </w:r>
          </w:p>
        </w:tc>
        <w:tc>
          <w:tcPr>
            <w:tcW w:w="2551" w:type="dxa"/>
          </w:tcPr>
          <w:p w:rsidR="00EA6F40" w:rsidRPr="00255576" w:rsidRDefault="00EA6F40" w:rsidP="00255576">
            <w:pPr>
              <w:rPr>
                <w:rFonts w:cs="Times New Roman"/>
                <w:color w:val="000000"/>
                <w:szCs w:val="22"/>
                <w:lang w:val="en-GB"/>
              </w:rPr>
            </w:pPr>
            <w:r w:rsidRPr="00255576">
              <w:rPr>
                <w:rFonts w:cs="Arial"/>
                <w:szCs w:val="22"/>
                <w:lang w:val="en-GB"/>
              </w:rPr>
              <w:t xml:space="preserve">Median UIC was 464 </w:t>
            </w:r>
            <w:bookmarkStart w:id="208" w:name="OLE_LINK31"/>
            <w:bookmarkStart w:id="209" w:name="OLE_LINK32"/>
            <w:r w:rsidRPr="00255576">
              <w:rPr>
                <w:rFonts w:eastAsia="Times New Roman" w:cs="Arial"/>
                <w:szCs w:val="22"/>
                <w:lang w:val="en-GB"/>
              </w:rPr>
              <w:t>μg/L</w:t>
            </w:r>
            <w:bookmarkEnd w:id="208"/>
            <w:bookmarkEnd w:id="209"/>
            <w:r w:rsidRPr="00255576">
              <w:rPr>
                <w:rFonts w:cs="Arial"/>
                <w:szCs w:val="22"/>
                <w:lang w:val="en-GB"/>
              </w:rPr>
              <w:t xml:space="preserve">: 77.4% of children had a UIC&gt;300 </w:t>
            </w:r>
            <w:r w:rsidRPr="00255576">
              <w:rPr>
                <w:rFonts w:eastAsia="Times New Roman" w:cs="Arial"/>
                <w:szCs w:val="22"/>
                <w:lang w:val="en-GB"/>
              </w:rPr>
              <w:t>μg/L</w:t>
            </w:r>
            <w:r w:rsidRPr="00255576">
              <w:rPr>
                <w:rFonts w:cs="Arial"/>
                <w:szCs w:val="22"/>
                <w:lang w:val="en-GB"/>
              </w:rPr>
              <w:t>. G</w:t>
            </w:r>
            <w:r w:rsidRPr="00255576">
              <w:rPr>
                <w:rFonts w:cs="Arial"/>
                <w:szCs w:val="22"/>
              </w:rPr>
              <w:t>oitre rate was 35%.</w:t>
            </w:r>
          </w:p>
        </w:tc>
        <w:tc>
          <w:tcPr>
            <w:tcW w:w="2693"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 xml:space="preserve">Level IV </w:t>
            </w:r>
          </w:p>
        </w:tc>
      </w:tr>
      <w:tr w:rsidR="00EA6F40" w:rsidRPr="00255576" w:rsidTr="00E41FB3">
        <w:trPr>
          <w:trHeight w:val="1320"/>
        </w:trPr>
        <w:tc>
          <w:tcPr>
            <w:tcW w:w="1528" w:type="dxa"/>
          </w:tcPr>
          <w:p w:rsidR="00EA6F40" w:rsidRPr="00255576" w:rsidRDefault="00EA6F40" w:rsidP="00255576">
            <w:pPr>
              <w:rPr>
                <w:rFonts w:cs="Times New Roman"/>
                <w:color w:val="000000"/>
                <w:szCs w:val="22"/>
                <w:lang w:val="en-GB"/>
              </w:rPr>
            </w:pPr>
            <w:r w:rsidRPr="00255576">
              <w:rPr>
                <w:rFonts w:cs="Arial"/>
                <w:noProof/>
                <w:szCs w:val="22"/>
              </w:rPr>
              <w:t>Meng et al, 2013</w:t>
            </w:r>
          </w:p>
        </w:tc>
        <w:tc>
          <w:tcPr>
            <w:tcW w:w="2126" w:type="dxa"/>
          </w:tcPr>
          <w:p w:rsidR="00EA6F40" w:rsidRPr="00255576" w:rsidRDefault="00EA6F40" w:rsidP="00255576">
            <w:pPr>
              <w:rPr>
                <w:rFonts w:eastAsia="Times New Roman" w:cs="Arial"/>
                <w:szCs w:val="22"/>
                <w:lang w:val="en-GB"/>
              </w:rPr>
            </w:pPr>
            <w:r w:rsidRPr="00255576">
              <w:rPr>
                <w:rFonts w:eastAsia="Times New Roman" w:cs="Arial"/>
                <w:szCs w:val="22"/>
                <w:lang w:val="en-GB"/>
              </w:rPr>
              <w:t xml:space="preserve">Cross-sectional; </w:t>
            </w:r>
          </w:p>
          <w:p w:rsidR="00EA6F40" w:rsidRPr="00255576" w:rsidRDefault="00EA6F40" w:rsidP="00255576">
            <w:pPr>
              <w:rPr>
                <w:rFonts w:eastAsia="Times New Roman" w:cs="Arial"/>
                <w:szCs w:val="22"/>
                <w:lang w:val="en-GB"/>
              </w:rPr>
            </w:pPr>
            <w:r w:rsidRPr="00255576">
              <w:rPr>
                <w:rFonts w:eastAsia="Times New Roman" w:cs="Arial"/>
                <w:szCs w:val="22"/>
                <w:lang w:val="en-GB"/>
              </w:rPr>
              <w:t xml:space="preserve">100 children, 100 adults, 50 pregnant women &amp; 50 lactating women were selected from each province; </w:t>
            </w:r>
          </w:p>
          <w:p w:rsidR="00EA6F40" w:rsidRPr="00255576" w:rsidRDefault="00EA6F40" w:rsidP="00255576">
            <w:pPr>
              <w:rPr>
                <w:rFonts w:cs="Arial"/>
                <w:szCs w:val="22"/>
              </w:rPr>
            </w:pPr>
            <w:r w:rsidRPr="00255576">
              <w:rPr>
                <w:rFonts w:cs="Arial"/>
                <w:szCs w:val="22"/>
              </w:rPr>
              <w:t>Gansu, Shandong, Fujian, Jilin, Anhui &amp; Chongqing provinces, China;</w:t>
            </w:r>
          </w:p>
          <w:p w:rsidR="00EA6F40" w:rsidRPr="00255576" w:rsidRDefault="00EA6F40" w:rsidP="00255576">
            <w:pPr>
              <w:rPr>
                <w:rFonts w:eastAsia="Times New Roman" w:cs="Arial"/>
                <w:szCs w:val="22"/>
                <w:lang w:val="en-GB"/>
              </w:rPr>
            </w:pPr>
            <w:r w:rsidRPr="00255576">
              <w:rPr>
                <w:rFonts w:cs="Arial"/>
                <w:szCs w:val="22"/>
              </w:rPr>
              <w:t>2009</w:t>
            </w:r>
          </w:p>
        </w:tc>
        <w:tc>
          <w:tcPr>
            <w:tcW w:w="1276" w:type="dxa"/>
          </w:tcPr>
          <w:p w:rsidR="00EA6F40" w:rsidRPr="00255576" w:rsidRDefault="00EA6F40" w:rsidP="00255576">
            <w:pPr>
              <w:rPr>
                <w:rFonts w:cs="Times New Roman"/>
                <w:color w:val="000000"/>
                <w:szCs w:val="22"/>
                <w:lang w:val="en-GB"/>
              </w:rPr>
            </w:pPr>
            <w:r w:rsidRPr="00255576">
              <w:rPr>
                <w:rFonts w:eastAsia="Times New Roman" w:cs="Arial"/>
                <w:szCs w:val="22"/>
                <w:lang w:val="en-GB"/>
              </w:rPr>
              <w:t>627 (314 M/313F)</w:t>
            </w:r>
          </w:p>
        </w:tc>
        <w:tc>
          <w:tcPr>
            <w:tcW w:w="992" w:type="dxa"/>
          </w:tcPr>
          <w:p w:rsidR="00EA6F40" w:rsidRPr="00255576" w:rsidRDefault="00EA6F40" w:rsidP="00255576">
            <w:pPr>
              <w:rPr>
                <w:rFonts w:cs="Times New Roman"/>
                <w:color w:val="000000"/>
                <w:szCs w:val="22"/>
                <w:lang w:val="en-GB"/>
              </w:rPr>
            </w:pPr>
            <w:r w:rsidRPr="00255576">
              <w:rPr>
                <w:rFonts w:eastAsia="Times New Roman" w:cs="Arial"/>
                <w:szCs w:val="22"/>
                <w:lang w:val="en-GB"/>
              </w:rPr>
              <w:t>8-10</w:t>
            </w:r>
          </w:p>
        </w:tc>
        <w:tc>
          <w:tcPr>
            <w:tcW w:w="2268" w:type="dxa"/>
          </w:tcPr>
          <w:p w:rsidR="00EA6F40" w:rsidRPr="00255576" w:rsidRDefault="00EA6F40" w:rsidP="00255576">
            <w:pPr>
              <w:rPr>
                <w:rFonts w:cs="Times New Roman"/>
                <w:color w:val="000000"/>
                <w:szCs w:val="22"/>
                <w:lang w:val="en-GB"/>
              </w:rPr>
            </w:pPr>
            <w:r w:rsidRPr="00255576">
              <w:rPr>
                <w:rFonts w:cs="Arial"/>
                <w:szCs w:val="22"/>
              </w:rPr>
              <w:t>UIC, TSH,FT4,Tg, TgAb, TPOAb &amp; TV (ultrasound).</w:t>
            </w:r>
          </w:p>
        </w:tc>
        <w:tc>
          <w:tcPr>
            <w:tcW w:w="1560" w:type="dxa"/>
          </w:tcPr>
          <w:p w:rsidR="00EA6F40" w:rsidRPr="00255576" w:rsidRDefault="00EA6F40" w:rsidP="00255576">
            <w:pPr>
              <w:rPr>
                <w:rFonts w:cs="Times New Roman"/>
                <w:color w:val="000000"/>
                <w:szCs w:val="22"/>
                <w:lang w:val="en-GB"/>
              </w:rPr>
            </w:pPr>
            <w:r w:rsidRPr="00255576">
              <w:rPr>
                <w:rFonts w:cs="Arial"/>
                <w:szCs w:val="22"/>
              </w:rPr>
              <w:t>Household salt samples</w:t>
            </w:r>
          </w:p>
        </w:tc>
        <w:tc>
          <w:tcPr>
            <w:tcW w:w="2551" w:type="dxa"/>
          </w:tcPr>
          <w:p w:rsidR="00EA6F40" w:rsidRPr="00255576" w:rsidRDefault="00EA6F40" w:rsidP="00255576">
            <w:pPr>
              <w:rPr>
                <w:rFonts w:cs="Times New Roman"/>
                <w:color w:val="000000"/>
                <w:szCs w:val="22"/>
                <w:lang w:val="en-GB"/>
              </w:rPr>
            </w:pPr>
            <w:r w:rsidRPr="00255576">
              <w:rPr>
                <w:rFonts w:eastAsia="Times New Roman" w:cs="Arial"/>
                <w:szCs w:val="22"/>
                <w:lang w:val="en-GB"/>
              </w:rPr>
              <w:t xml:space="preserve">Median UIC, TSH, FT4 &amp; Tg were 271 μg/L, 2.8 mU/L, 17.7 pmol/L &amp; 5.8 μg/L, respectively. Goitre prevalence was 6.7%. </w:t>
            </w:r>
            <w:r w:rsidRPr="00255576">
              <w:rPr>
                <w:rFonts w:cs="Arial"/>
                <w:szCs w:val="22"/>
              </w:rPr>
              <w:t>TSH decreased from ~ UIC 50 to 300 μg/L and increase from UIC 300 to 550 μg/L.</w:t>
            </w:r>
          </w:p>
        </w:tc>
        <w:tc>
          <w:tcPr>
            <w:tcW w:w="2693"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Level IV</w:t>
            </w:r>
          </w:p>
        </w:tc>
      </w:tr>
      <w:tr w:rsidR="00EA6F40" w:rsidRPr="00255576" w:rsidTr="00E41FB3">
        <w:trPr>
          <w:trHeight w:val="1320"/>
        </w:trPr>
        <w:tc>
          <w:tcPr>
            <w:tcW w:w="1528"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lastRenderedPageBreak/>
              <w:t xml:space="preserve">Rossi et al, 2002 </w:t>
            </w:r>
          </w:p>
        </w:tc>
        <w:tc>
          <w:tcPr>
            <w:tcW w:w="2126"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Cross-sectional study</w:t>
            </w:r>
            <w:r w:rsidRPr="00255576">
              <w:rPr>
                <w:rFonts w:cs="Times New Roman"/>
                <w:color w:val="000000"/>
                <w:szCs w:val="22"/>
                <w:lang w:val="en-GB"/>
              </w:rPr>
              <w:br/>
              <w:t xml:space="preserve">Random sample from 21 villages/town in Central Brazil, </w:t>
            </w:r>
          </w:p>
        </w:tc>
        <w:tc>
          <w:tcPr>
            <w:tcW w:w="1276"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1977 (46% B, 54% G)</w:t>
            </w:r>
          </w:p>
        </w:tc>
        <w:tc>
          <w:tcPr>
            <w:tcW w:w="992"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6-14</w:t>
            </w:r>
          </w:p>
        </w:tc>
        <w:tc>
          <w:tcPr>
            <w:tcW w:w="2268"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Thyroid ultrasonic scan (n=1788)</w:t>
            </w:r>
            <w:r w:rsidRPr="00255576">
              <w:rPr>
                <w:rFonts w:cs="Times New Roman"/>
                <w:color w:val="000000"/>
                <w:szCs w:val="22"/>
                <w:lang w:val="en-GB"/>
              </w:rPr>
              <w:br/>
              <w:t>Urine sample (n=1013)</w:t>
            </w:r>
          </w:p>
        </w:tc>
        <w:tc>
          <w:tcPr>
            <w:tcW w:w="1560"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Salt sample (n=1325)</w:t>
            </w:r>
          </w:p>
        </w:tc>
        <w:tc>
          <w:tcPr>
            <w:tcW w:w="2551"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Mean UIC was 360ug/L. 49% &gt;300ug/L</w:t>
            </w:r>
            <w:r w:rsidRPr="00255576">
              <w:rPr>
                <w:rFonts w:cs="Times New Roman"/>
                <w:color w:val="000000"/>
                <w:szCs w:val="22"/>
                <w:lang w:val="en-GB"/>
              </w:rPr>
              <w:br/>
              <w:t>Mean thyroid volume by age and sex</w:t>
            </w:r>
            <w:r w:rsidRPr="00255576">
              <w:rPr>
                <w:rFonts w:cs="Times New Roman"/>
                <w:color w:val="000000"/>
                <w:szCs w:val="22"/>
                <w:lang w:val="en-GB"/>
              </w:rPr>
              <w:br/>
              <w:t>3.10cm</w:t>
            </w:r>
            <w:r w:rsidRPr="00255576">
              <w:rPr>
                <w:rFonts w:cs="Times New Roman"/>
                <w:color w:val="000000"/>
                <w:szCs w:val="22"/>
                <w:vertAlign w:val="superscript"/>
                <w:lang w:val="en-GB"/>
              </w:rPr>
              <w:t>3</w:t>
            </w:r>
            <w:r w:rsidRPr="00255576">
              <w:rPr>
                <w:rFonts w:cs="Times New Roman"/>
                <w:color w:val="000000"/>
                <w:szCs w:val="22"/>
                <w:lang w:val="en-GB"/>
              </w:rPr>
              <w:t xml:space="preserve"> in boys aged 6-8y; 4.22cm</w:t>
            </w:r>
            <w:r w:rsidRPr="00255576">
              <w:rPr>
                <w:rFonts w:cs="Times New Roman"/>
                <w:color w:val="000000"/>
                <w:szCs w:val="22"/>
                <w:vertAlign w:val="superscript"/>
                <w:lang w:val="en-GB"/>
              </w:rPr>
              <w:t>3</w:t>
            </w:r>
            <w:r w:rsidRPr="00255576">
              <w:rPr>
                <w:rFonts w:cs="Times New Roman"/>
                <w:color w:val="000000"/>
                <w:szCs w:val="22"/>
                <w:lang w:val="en-GB"/>
              </w:rPr>
              <w:t xml:space="preserve"> in boys aged 9-14y;</w:t>
            </w:r>
            <w:r w:rsidRPr="00255576">
              <w:rPr>
                <w:rFonts w:cs="Times New Roman"/>
                <w:color w:val="000000"/>
                <w:szCs w:val="22"/>
                <w:lang w:val="en-GB"/>
              </w:rPr>
              <w:br/>
              <w:t>3.19cm</w:t>
            </w:r>
            <w:r w:rsidRPr="00255576">
              <w:rPr>
                <w:rFonts w:cs="Times New Roman"/>
                <w:color w:val="000000"/>
                <w:szCs w:val="22"/>
                <w:vertAlign w:val="superscript"/>
                <w:lang w:val="en-GB"/>
              </w:rPr>
              <w:t>3</w:t>
            </w:r>
            <w:r w:rsidRPr="00255576">
              <w:rPr>
                <w:rFonts w:cs="Times New Roman"/>
                <w:color w:val="000000"/>
                <w:szCs w:val="22"/>
                <w:lang w:val="en-GB"/>
              </w:rPr>
              <w:t xml:space="preserve"> in girls aged 6-8y; 4.44cm</w:t>
            </w:r>
            <w:r w:rsidRPr="00255576">
              <w:rPr>
                <w:rFonts w:cs="Times New Roman"/>
                <w:color w:val="000000"/>
                <w:szCs w:val="22"/>
                <w:vertAlign w:val="superscript"/>
                <w:lang w:val="en-GB"/>
              </w:rPr>
              <w:t>3</w:t>
            </w:r>
            <w:r w:rsidRPr="00255576">
              <w:rPr>
                <w:rFonts w:cs="Times New Roman"/>
                <w:color w:val="000000"/>
                <w:szCs w:val="22"/>
                <w:lang w:val="en-GB"/>
              </w:rPr>
              <w:t xml:space="preserve"> in girls aged 9-14y</w:t>
            </w:r>
          </w:p>
        </w:tc>
        <w:tc>
          <w:tcPr>
            <w:tcW w:w="2693"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Level IV study with high risk of bias. Sample had exceptional excellent health and nutritional status (80% above the 97th percentile for height and weight, and 7.3% had excessive weight), thus limited generalizability</w:t>
            </w:r>
          </w:p>
        </w:tc>
      </w:tr>
      <w:tr w:rsidR="00EA6F40" w:rsidRPr="00255576" w:rsidTr="00E41FB3">
        <w:trPr>
          <w:trHeight w:val="1320"/>
        </w:trPr>
        <w:tc>
          <w:tcPr>
            <w:tcW w:w="1528"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 xml:space="preserve">Seal et al, 2006 </w:t>
            </w:r>
          </w:p>
        </w:tc>
        <w:tc>
          <w:tcPr>
            <w:tcW w:w="2126"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Cross-sectional study</w:t>
            </w:r>
            <w:r w:rsidRPr="00255576">
              <w:rPr>
                <w:rFonts w:cs="Times New Roman"/>
                <w:color w:val="000000"/>
                <w:szCs w:val="22"/>
                <w:lang w:val="en-GB"/>
              </w:rPr>
              <w:br/>
              <w:t xml:space="preserve">Cluster sampling in 5 camps and systematic sampling in the remaining 1 camp. </w:t>
            </w:r>
            <w:r w:rsidRPr="00255576">
              <w:rPr>
                <w:rFonts w:cs="Times New Roman"/>
                <w:color w:val="000000"/>
                <w:szCs w:val="22"/>
                <w:lang w:val="en-GB"/>
              </w:rPr>
              <w:br/>
              <w:t>Sample from 6 refugee camps in Africa, 2001-2003</w:t>
            </w:r>
          </w:p>
        </w:tc>
        <w:tc>
          <w:tcPr>
            <w:tcW w:w="1276"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895 (54% B, 46% G)</w:t>
            </w:r>
          </w:p>
        </w:tc>
        <w:tc>
          <w:tcPr>
            <w:tcW w:w="992"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10-19</w:t>
            </w:r>
          </w:p>
        </w:tc>
        <w:tc>
          <w:tcPr>
            <w:tcW w:w="2268"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Urine sample</w:t>
            </w:r>
            <w:r w:rsidRPr="00255576">
              <w:rPr>
                <w:rFonts w:cs="Times New Roman"/>
                <w:color w:val="000000"/>
                <w:szCs w:val="22"/>
                <w:lang w:val="en-GB"/>
              </w:rPr>
              <w:br/>
              <w:t>Recognition of visible goitre (not palpation)</w:t>
            </w:r>
          </w:p>
        </w:tc>
        <w:tc>
          <w:tcPr>
            <w:tcW w:w="1560"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Market and household salt samples (n=11)</w:t>
            </w:r>
          </w:p>
        </w:tc>
        <w:tc>
          <w:tcPr>
            <w:tcW w:w="2551"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Calculated iodine intake was 440ug/d per person</w:t>
            </w:r>
            <w:r w:rsidRPr="00255576">
              <w:rPr>
                <w:rFonts w:cs="Times New Roman"/>
                <w:color w:val="000000"/>
                <w:szCs w:val="22"/>
                <w:lang w:val="en-GB"/>
              </w:rPr>
              <w:br/>
              <w:t xml:space="preserve">Median UIC (goiter rate) in 4 camps was </w:t>
            </w:r>
            <w:r w:rsidRPr="00255576">
              <w:rPr>
                <w:rFonts w:cs="Times New Roman"/>
                <w:color w:val="000000"/>
                <w:szCs w:val="22"/>
                <w:lang w:val="en-GB"/>
              </w:rPr>
              <w:br/>
              <w:t>726ug/L (0.4%); 1074ug/L (1.3%); 1170ug/L (7.1%); 570ug/L (0%)</w:t>
            </w:r>
          </w:p>
        </w:tc>
        <w:tc>
          <w:tcPr>
            <w:tcW w:w="2693"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Level IV study with high risk of bias.</w:t>
            </w:r>
            <w:r w:rsidRPr="00255576">
              <w:rPr>
                <w:rFonts w:cs="Times New Roman"/>
                <w:color w:val="000000"/>
                <w:szCs w:val="22"/>
                <w:lang w:val="en-GB"/>
              </w:rPr>
              <w:br/>
              <w:t>Low prevalence of goiter would be attributed to poor assessment method for goiter</w:t>
            </w:r>
          </w:p>
        </w:tc>
      </w:tr>
      <w:tr w:rsidR="00EA6F40" w:rsidRPr="00255576" w:rsidTr="00E41FB3">
        <w:trPr>
          <w:trHeight w:val="1320"/>
        </w:trPr>
        <w:tc>
          <w:tcPr>
            <w:tcW w:w="1528"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t xml:space="preserve">Shen et al, 2011 </w:t>
            </w:r>
          </w:p>
        </w:tc>
        <w:tc>
          <w:tcPr>
            <w:tcW w:w="2126"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t>Cross-sectional study</w:t>
            </w:r>
            <w:r w:rsidRPr="00255576">
              <w:rPr>
                <w:rFonts w:cs="Times New Roman"/>
                <w:color w:val="000000"/>
                <w:szCs w:val="22"/>
                <w:lang w:val="en-GB"/>
              </w:rPr>
              <w:br/>
              <w:t xml:space="preserve">random sample from 299 towns in 9 provinces with </w:t>
            </w:r>
            <w:r w:rsidRPr="00255576">
              <w:rPr>
                <w:rFonts w:cs="Times New Roman"/>
                <w:color w:val="000000"/>
                <w:szCs w:val="22"/>
                <w:lang w:val="en-GB"/>
              </w:rPr>
              <w:lastRenderedPageBreak/>
              <w:t>median water [iodine] of &gt;150ug/L, China, 2005-2006</w:t>
            </w:r>
          </w:p>
        </w:tc>
        <w:tc>
          <w:tcPr>
            <w:tcW w:w="1276"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lastRenderedPageBreak/>
              <w:t>56751</w:t>
            </w:r>
          </w:p>
        </w:tc>
        <w:tc>
          <w:tcPr>
            <w:tcW w:w="992"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t>8-10</w:t>
            </w:r>
          </w:p>
        </w:tc>
        <w:tc>
          <w:tcPr>
            <w:tcW w:w="2268"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t>Urine sample</w:t>
            </w:r>
            <w:r w:rsidRPr="00255576">
              <w:rPr>
                <w:rFonts w:cs="Times New Roman"/>
                <w:color w:val="000000"/>
                <w:szCs w:val="22"/>
                <w:lang w:val="en-GB"/>
              </w:rPr>
              <w:br/>
              <w:t xml:space="preserve">Goiter grading by palpation (n=26575) &amp; thyroid ultrasonic scan </w:t>
            </w:r>
            <w:r w:rsidRPr="00255576">
              <w:rPr>
                <w:rFonts w:cs="Times New Roman"/>
                <w:color w:val="000000"/>
                <w:szCs w:val="22"/>
                <w:lang w:val="en-GB"/>
              </w:rPr>
              <w:lastRenderedPageBreak/>
              <w:t>(n=1413)</w:t>
            </w:r>
          </w:p>
        </w:tc>
        <w:tc>
          <w:tcPr>
            <w:tcW w:w="1560"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lastRenderedPageBreak/>
              <w:t>Drinking water sample (n=28857)</w:t>
            </w:r>
          </w:p>
        </w:tc>
        <w:tc>
          <w:tcPr>
            <w:tcW w:w="2551"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t xml:space="preserve">Goiter rate increased with increasing median UIC and median water [iodine] respectively. </w:t>
            </w:r>
            <w:r w:rsidRPr="00255576">
              <w:rPr>
                <w:rFonts w:cs="Times New Roman"/>
                <w:color w:val="000000"/>
                <w:szCs w:val="22"/>
                <w:lang w:val="en-GB"/>
              </w:rPr>
              <w:lastRenderedPageBreak/>
              <w:t>Compared to children with UIC of 100-199ug/L, RR for goitre was 1.56 for those with UIC of 300-399ug/L.</w:t>
            </w:r>
          </w:p>
        </w:tc>
        <w:tc>
          <w:tcPr>
            <w:tcW w:w="2693"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lastRenderedPageBreak/>
              <w:t xml:space="preserve">Level IV study, very large sample size. </w:t>
            </w:r>
            <w:r w:rsidRPr="00255576">
              <w:rPr>
                <w:rFonts w:cs="Times New Roman"/>
                <w:color w:val="000000"/>
                <w:szCs w:val="22"/>
                <w:lang w:val="en-GB"/>
              </w:rPr>
              <w:br/>
              <w:t xml:space="preserve">National representative sample only for those who </w:t>
            </w:r>
            <w:r w:rsidRPr="00255576">
              <w:rPr>
                <w:rFonts w:cs="Times New Roman"/>
                <w:color w:val="000000"/>
                <w:szCs w:val="22"/>
                <w:lang w:val="en-GB"/>
              </w:rPr>
              <w:lastRenderedPageBreak/>
              <w:t>might consume excessive iodine from water.</w:t>
            </w:r>
            <w:r w:rsidRPr="00255576">
              <w:rPr>
                <w:rFonts w:cs="Times New Roman"/>
                <w:color w:val="000000"/>
                <w:szCs w:val="22"/>
                <w:lang w:val="en-GB"/>
              </w:rPr>
              <w:br/>
              <w:t>No of children with UIC of 100-199ug/L (not published) might be small as towns with &lt;150ug/L water [iodine] were not included</w:t>
            </w:r>
          </w:p>
        </w:tc>
      </w:tr>
      <w:tr w:rsidR="00EA6F40" w:rsidRPr="00255576" w:rsidTr="00E41FB3">
        <w:trPr>
          <w:trHeight w:val="2003"/>
        </w:trPr>
        <w:tc>
          <w:tcPr>
            <w:tcW w:w="1528"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lastRenderedPageBreak/>
              <w:t xml:space="preserve">Teng et al, 2006 </w:t>
            </w:r>
          </w:p>
        </w:tc>
        <w:tc>
          <w:tcPr>
            <w:tcW w:w="2126"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t>Cross-sectional study</w:t>
            </w:r>
            <w:r w:rsidRPr="00255576">
              <w:rPr>
                <w:rFonts w:cs="Times New Roman"/>
                <w:color w:val="000000"/>
                <w:szCs w:val="22"/>
                <w:lang w:val="en-GB"/>
              </w:rPr>
              <w:br w:type="page"/>
              <w:t xml:space="preserve"> (convenience sample) from a 5-year cohort study in China, 2004</w:t>
            </w:r>
          </w:p>
        </w:tc>
        <w:tc>
          <w:tcPr>
            <w:tcW w:w="1276"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t>60 of 3018 subjects were children</w:t>
            </w:r>
          </w:p>
        </w:tc>
        <w:tc>
          <w:tcPr>
            <w:tcW w:w="992"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t>8-10</w:t>
            </w:r>
          </w:p>
        </w:tc>
        <w:tc>
          <w:tcPr>
            <w:tcW w:w="2268"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t xml:space="preserve">Urine sample, </w:t>
            </w:r>
            <w:r w:rsidRPr="00255576">
              <w:rPr>
                <w:rFonts w:cs="Times New Roman"/>
                <w:color w:val="000000"/>
                <w:szCs w:val="22"/>
                <w:lang w:val="en-GB"/>
              </w:rPr>
              <w:br w:type="page"/>
              <w:t xml:space="preserve">blood sample, </w:t>
            </w:r>
            <w:r w:rsidRPr="00255576">
              <w:rPr>
                <w:rFonts w:cs="Times New Roman"/>
                <w:color w:val="000000"/>
                <w:szCs w:val="22"/>
                <w:lang w:val="en-GB"/>
              </w:rPr>
              <w:br w:type="page"/>
              <w:t>goiter grading by palpation &amp; thyroid ultrasonic scan</w:t>
            </w:r>
          </w:p>
        </w:tc>
        <w:tc>
          <w:tcPr>
            <w:tcW w:w="1560"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t>Questionnaire elicited</w:t>
            </w:r>
            <w:r w:rsidRPr="00255576">
              <w:rPr>
                <w:rFonts w:cs="Times New Roman"/>
                <w:color w:val="000000"/>
                <w:szCs w:val="22"/>
                <w:lang w:val="en-GB"/>
              </w:rPr>
              <w:br w:type="page"/>
              <w:t xml:space="preserve"> personal information, economic</w:t>
            </w:r>
            <w:r w:rsidRPr="00255576">
              <w:rPr>
                <w:rFonts w:cs="Times New Roman"/>
                <w:color w:val="000000"/>
                <w:szCs w:val="22"/>
                <w:lang w:val="en-GB"/>
              </w:rPr>
              <w:br w:type="page"/>
              <w:t xml:space="preserve"> status of the family, eating habits, type of salt</w:t>
            </w:r>
            <w:r w:rsidRPr="00255576">
              <w:rPr>
                <w:rFonts w:cs="Times New Roman"/>
                <w:color w:val="000000"/>
                <w:szCs w:val="22"/>
                <w:lang w:val="en-GB"/>
              </w:rPr>
              <w:br w:type="page"/>
              <w:t xml:space="preserve"> used, amount of salt ingested per day, and the</w:t>
            </w:r>
            <w:r w:rsidRPr="00255576">
              <w:rPr>
                <w:rFonts w:cs="Times New Roman"/>
                <w:color w:val="000000"/>
                <w:szCs w:val="22"/>
                <w:lang w:val="en-GB"/>
              </w:rPr>
              <w:br w:type="page"/>
              <w:t>personal or family history of thyroid diseases</w:t>
            </w:r>
          </w:p>
        </w:tc>
        <w:tc>
          <w:tcPr>
            <w:tcW w:w="2551"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t xml:space="preserve">Goiter rate among schoolchildren was not reported </w:t>
            </w:r>
          </w:p>
        </w:tc>
        <w:tc>
          <w:tcPr>
            <w:tcW w:w="2693"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t>Level IV study, few children.</w:t>
            </w:r>
          </w:p>
        </w:tc>
      </w:tr>
      <w:tr w:rsidR="00EA6F40" w:rsidRPr="00255576" w:rsidTr="00E41FB3">
        <w:trPr>
          <w:trHeight w:val="2240"/>
        </w:trPr>
        <w:tc>
          <w:tcPr>
            <w:tcW w:w="1528"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lastRenderedPageBreak/>
              <w:t xml:space="preserve">Zimmerman, 2013 </w:t>
            </w:r>
          </w:p>
        </w:tc>
        <w:tc>
          <w:tcPr>
            <w:tcW w:w="2126"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Cross-sectional study</w:t>
            </w:r>
            <w:r w:rsidRPr="00255576">
              <w:rPr>
                <w:rFonts w:cs="Times New Roman"/>
                <w:color w:val="000000"/>
                <w:szCs w:val="22"/>
                <w:lang w:val="en-GB"/>
              </w:rPr>
              <w:br/>
              <w:t>Multiethnic sample from 12 countries intake rang</w:t>
            </w:r>
            <w:r w:rsidR="00255576">
              <w:rPr>
                <w:rFonts w:cs="Times New Roman"/>
                <w:color w:val="000000"/>
                <w:szCs w:val="22"/>
                <w:lang w:val="en-GB"/>
              </w:rPr>
              <w:t>ing from adequate to excessive</w:t>
            </w:r>
          </w:p>
        </w:tc>
        <w:tc>
          <w:tcPr>
            <w:tcW w:w="1276" w:type="dxa"/>
          </w:tcPr>
          <w:p w:rsidR="00EA6F40" w:rsidRPr="00E41FB3" w:rsidRDefault="00EA6F40" w:rsidP="00255576">
            <w:pPr>
              <w:rPr>
                <w:rFonts w:cs="Times New Roman"/>
                <w:szCs w:val="22"/>
                <w:lang w:val="en-GB"/>
              </w:rPr>
            </w:pPr>
            <w:r w:rsidRPr="00255576">
              <w:rPr>
                <w:rFonts w:cs="Arial"/>
                <w:color w:val="000000"/>
                <w:szCs w:val="22"/>
                <w:shd w:val="clear" w:color="auto" w:fill="FFFFFF"/>
                <w:lang w:val="en-GB"/>
              </w:rPr>
              <w:t>2512</w:t>
            </w:r>
          </w:p>
        </w:tc>
        <w:tc>
          <w:tcPr>
            <w:tcW w:w="992" w:type="dxa"/>
          </w:tcPr>
          <w:p w:rsidR="00EA6F40" w:rsidRPr="00255576" w:rsidRDefault="00EA6F40" w:rsidP="00255576">
            <w:pPr>
              <w:rPr>
                <w:rFonts w:cs="Times New Roman"/>
                <w:color w:val="000000"/>
                <w:szCs w:val="22"/>
                <w:lang w:val="en-GB"/>
              </w:rPr>
            </w:pPr>
            <w:r w:rsidRPr="00255576">
              <w:rPr>
                <w:rFonts w:cs="Arial"/>
                <w:color w:val="000000"/>
                <w:szCs w:val="22"/>
                <w:shd w:val="clear" w:color="auto" w:fill="FFFFFF"/>
                <w:lang w:val="en-GB"/>
              </w:rPr>
              <w:t xml:space="preserve">6 to 12 </w:t>
            </w:r>
          </w:p>
        </w:tc>
        <w:tc>
          <w:tcPr>
            <w:tcW w:w="2268" w:type="dxa"/>
          </w:tcPr>
          <w:p w:rsidR="00EA6F40" w:rsidRPr="00255576" w:rsidRDefault="00EA6F40" w:rsidP="00255576">
            <w:pPr>
              <w:rPr>
                <w:rFonts w:cs="Times New Roman"/>
                <w:color w:val="000000"/>
                <w:szCs w:val="22"/>
                <w:lang w:val="en-GB"/>
              </w:rPr>
            </w:pPr>
            <w:r w:rsidRPr="00255576">
              <w:rPr>
                <w:rFonts w:cs="Arial"/>
                <w:color w:val="000000"/>
                <w:szCs w:val="22"/>
                <w:shd w:val="clear" w:color="auto" w:fill="FFFFFF"/>
                <w:lang w:val="en-GB"/>
              </w:rPr>
              <w:t>Measured UIC, TSH, total T4, Tg, and thyroid antibodies</w:t>
            </w:r>
            <w:r w:rsidRPr="00255576">
              <w:rPr>
                <w:rFonts w:cs="Times New Roman"/>
                <w:szCs w:val="22"/>
                <w:lang w:val="en-GB"/>
              </w:rPr>
              <w:t xml:space="preserve">. </w:t>
            </w:r>
            <w:r w:rsidRPr="00255576">
              <w:rPr>
                <w:rFonts w:cs="Arial"/>
                <w:color w:val="000000"/>
                <w:szCs w:val="22"/>
                <w:shd w:val="clear" w:color="auto" w:fill="FFFFFF"/>
                <w:lang w:val="en-GB"/>
              </w:rPr>
              <w:t>Tg response to both low- and high-</w:t>
            </w:r>
            <w:r w:rsidRPr="00255576">
              <w:rPr>
                <w:rFonts w:cs="Arial"/>
                <w:color w:val="000000"/>
                <w:szCs w:val="22"/>
                <w:shd w:val="clear" w:color="auto" w:fill="F2F5F8"/>
                <w:lang w:val="en-GB"/>
              </w:rPr>
              <w:t>iodine</w:t>
            </w:r>
            <w:r w:rsidR="00255576">
              <w:rPr>
                <w:rFonts w:cs="Arial"/>
                <w:color w:val="000000"/>
                <w:szCs w:val="22"/>
                <w:shd w:val="clear" w:color="auto" w:fill="FFFFFF"/>
                <w:lang w:val="en-GB"/>
              </w:rPr>
              <w:t xml:space="preserve"> intake was examined. </w:t>
            </w:r>
            <w:r w:rsidRPr="00255576">
              <w:rPr>
                <w:rFonts w:cs="Arial"/>
                <w:color w:val="000000"/>
                <w:szCs w:val="22"/>
                <w:shd w:val="clear" w:color="auto" w:fill="FFFFFF"/>
                <w:lang w:val="en-GB"/>
              </w:rPr>
              <w:t>Estimated the </w:t>
            </w:r>
            <w:r w:rsidRPr="00255576">
              <w:rPr>
                <w:rFonts w:cs="Arial"/>
                <w:color w:val="000000"/>
                <w:szCs w:val="22"/>
                <w:shd w:val="clear" w:color="auto" w:fill="F2F5F8"/>
                <w:lang w:val="en-GB"/>
              </w:rPr>
              <w:t>population</w:t>
            </w:r>
            <w:r w:rsidRPr="00255576">
              <w:rPr>
                <w:rFonts w:cs="Arial"/>
                <w:color w:val="000000"/>
                <w:szCs w:val="22"/>
                <w:shd w:val="clear" w:color="auto" w:fill="FFFFFF"/>
                <w:lang w:val="en-GB"/>
              </w:rPr>
              <w:t> cutoff point for </w:t>
            </w:r>
            <w:r w:rsidRPr="00255576">
              <w:rPr>
                <w:rFonts w:cs="Arial"/>
                <w:color w:val="000000"/>
                <w:szCs w:val="22"/>
                <w:shd w:val="clear" w:color="auto" w:fill="F2F5F8"/>
                <w:lang w:val="en-GB"/>
              </w:rPr>
              <w:t>iodine</w:t>
            </w:r>
            <w:r w:rsidRPr="00255576">
              <w:rPr>
                <w:rFonts w:cs="Arial"/>
                <w:color w:val="000000"/>
                <w:szCs w:val="22"/>
                <w:shd w:val="clear" w:color="auto" w:fill="FFFFFF"/>
                <w:lang w:val="en-GB"/>
              </w:rPr>
              <w:t> </w:t>
            </w:r>
            <w:r w:rsidRPr="00255576">
              <w:rPr>
                <w:rFonts w:cs="Arial"/>
                <w:color w:val="000000"/>
                <w:szCs w:val="22"/>
                <w:shd w:val="clear" w:color="auto" w:fill="F2F5F8"/>
                <w:lang w:val="en-GB"/>
              </w:rPr>
              <w:t>deficiency</w:t>
            </w:r>
            <w:r w:rsidRPr="00255576">
              <w:rPr>
                <w:rFonts w:cs="Arial"/>
                <w:color w:val="000000"/>
                <w:szCs w:val="22"/>
                <w:shd w:val="clear" w:color="auto" w:fill="FFFFFF"/>
                <w:lang w:val="en-GB"/>
              </w:rPr>
              <w:t xml:space="preserve"> or excess using Tg. Compared thyroid functions within the UIC ranges of 100-199 vs 200-299 μg/L. </w:t>
            </w:r>
          </w:p>
        </w:tc>
        <w:tc>
          <w:tcPr>
            <w:tcW w:w="1560" w:type="dxa"/>
          </w:tcPr>
          <w:p w:rsidR="00EA6F40" w:rsidRPr="00255576" w:rsidRDefault="00EA6F40" w:rsidP="00255576">
            <w:pPr>
              <w:rPr>
                <w:rFonts w:cs="Times New Roman"/>
                <w:color w:val="000000"/>
                <w:szCs w:val="22"/>
                <w:lang w:val="en-GB"/>
              </w:rPr>
            </w:pPr>
            <w:r w:rsidRPr="00255576">
              <w:rPr>
                <w:rFonts w:cs="Arial"/>
                <w:color w:val="000000"/>
                <w:szCs w:val="22"/>
                <w:shd w:val="clear" w:color="auto" w:fill="FFFFFF"/>
                <w:lang w:val="en-GB"/>
              </w:rPr>
              <w:t>Standardized dried blood spots-Tg assay</w:t>
            </w:r>
          </w:p>
        </w:tc>
        <w:tc>
          <w:tcPr>
            <w:tcW w:w="2551" w:type="dxa"/>
          </w:tcPr>
          <w:p w:rsidR="00EA6F40" w:rsidRPr="00255576" w:rsidRDefault="00EA6F40" w:rsidP="00255576">
            <w:pPr>
              <w:rPr>
                <w:rFonts w:cs="Times New Roman"/>
                <w:szCs w:val="22"/>
                <w:lang w:val="en-GB"/>
              </w:rPr>
            </w:pPr>
            <w:r w:rsidRPr="00255576">
              <w:rPr>
                <w:rFonts w:cs="Arial"/>
                <w:color w:val="000000"/>
                <w:szCs w:val="22"/>
                <w:shd w:val="clear" w:color="auto" w:fill="FFFFFF"/>
                <w:lang w:val="en-GB"/>
              </w:rPr>
              <w:t>Compared with </w:t>
            </w:r>
            <w:r w:rsidRPr="00255576">
              <w:rPr>
                <w:rFonts w:cs="Arial"/>
                <w:color w:val="000000"/>
                <w:szCs w:val="22"/>
                <w:shd w:val="clear" w:color="auto" w:fill="F2F5F8"/>
                <w:lang w:val="en-GB"/>
              </w:rPr>
              <w:t>iodine</w:t>
            </w:r>
            <w:r w:rsidRPr="00255576">
              <w:rPr>
                <w:rFonts w:cs="Arial"/>
                <w:color w:val="000000"/>
                <w:szCs w:val="22"/>
                <w:shd w:val="clear" w:color="auto" w:fill="FFFFFF"/>
                <w:lang w:val="en-GB"/>
              </w:rPr>
              <w:t>-sufficient children, there was a significantly higher prevalence of elevated Tg values in children with </w:t>
            </w:r>
            <w:r w:rsidRPr="00255576">
              <w:rPr>
                <w:rFonts w:cs="Arial"/>
                <w:color w:val="000000"/>
                <w:szCs w:val="22"/>
                <w:shd w:val="clear" w:color="auto" w:fill="F2F5F8"/>
                <w:lang w:val="en-GB"/>
              </w:rPr>
              <w:t>iodine</w:t>
            </w:r>
            <w:r w:rsidRPr="00255576">
              <w:rPr>
                <w:rFonts w:cs="Arial"/>
                <w:color w:val="000000"/>
                <w:szCs w:val="22"/>
                <w:shd w:val="clear" w:color="auto" w:fill="FFFFFF"/>
                <w:lang w:val="en-GB"/>
              </w:rPr>
              <w:t> </w:t>
            </w:r>
            <w:r w:rsidRPr="00255576">
              <w:rPr>
                <w:rFonts w:cs="Arial"/>
                <w:color w:val="000000"/>
                <w:szCs w:val="22"/>
                <w:shd w:val="clear" w:color="auto" w:fill="F2F5F8"/>
                <w:lang w:val="en-GB"/>
              </w:rPr>
              <w:t>deficiency</w:t>
            </w:r>
            <w:r w:rsidRPr="00255576">
              <w:rPr>
                <w:rFonts w:cs="Arial"/>
                <w:color w:val="000000"/>
                <w:szCs w:val="22"/>
                <w:shd w:val="clear" w:color="auto" w:fill="FFFFFF"/>
                <w:lang w:val="en-GB"/>
              </w:rPr>
              <w:t> (UIC &lt;100 μg/L) and </w:t>
            </w:r>
            <w:r w:rsidRPr="00255576">
              <w:rPr>
                <w:rFonts w:cs="Arial"/>
                <w:color w:val="000000"/>
                <w:szCs w:val="22"/>
                <w:shd w:val="clear" w:color="auto" w:fill="F2F5F8"/>
                <w:lang w:val="en-GB"/>
              </w:rPr>
              <w:t>iodine</w:t>
            </w:r>
            <w:r w:rsidRPr="00255576">
              <w:rPr>
                <w:rFonts w:cs="Arial"/>
                <w:color w:val="000000"/>
                <w:szCs w:val="22"/>
                <w:shd w:val="clear" w:color="auto" w:fill="FFFFFF"/>
                <w:lang w:val="en-GB"/>
              </w:rPr>
              <w:t> excess (UIC &gt;300 μg/L). There was no significant change in the prevalence of elevated Tg, TSH, T4, or thyroid antibodies comparing children within the UIC ranges of 100-199 vs 200-299 μg/L. </w:t>
            </w:r>
          </w:p>
        </w:tc>
        <w:tc>
          <w:tcPr>
            <w:tcW w:w="2693" w:type="dxa"/>
          </w:tcPr>
          <w:p w:rsidR="00EA6F40" w:rsidRPr="00255576" w:rsidRDefault="00EA6F40" w:rsidP="00255576">
            <w:pPr>
              <w:rPr>
                <w:rFonts w:cs="Times New Roman"/>
                <w:color w:val="000000"/>
                <w:szCs w:val="22"/>
                <w:lang w:val="en-GB"/>
              </w:rPr>
            </w:pPr>
            <w:r w:rsidRPr="00255576">
              <w:rPr>
                <w:rFonts w:cs="Times New Roman"/>
                <w:color w:val="000000"/>
                <w:szCs w:val="22"/>
                <w:lang w:val="en-GB"/>
              </w:rPr>
              <w:t xml:space="preserve">Level IV study with low risk of bias, </w:t>
            </w:r>
            <w:r w:rsidRPr="00255576">
              <w:rPr>
                <w:rFonts w:cs="Times-Roman"/>
                <w:szCs w:val="22"/>
              </w:rPr>
              <w:t xml:space="preserve">Tvol measured by ultrasound, </w:t>
            </w:r>
            <w:r w:rsidRPr="00255576">
              <w:rPr>
                <w:rFonts w:cs="Times New Roman"/>
                <w:color w:val="000000"/>
                <w:szCs w:val="22"/>
                <w:lang w:val="en-GB"/>
              </w:rPr>
              <w:t xml:space="preserve">large sample  from a range of populations with varying iodine status. Most comprehensive database to date. </w:t>
            </w:r>
          </w:p>
        </w:tc>
      </w:tr>
      <w:tr w:rsidR="00EA6F40" w:rsidRPr="00255576" w:rsidTr="00E41FB3">
        <w:trPr>
          <w:trHeight w:val="5970"/>
        </w:trPr>
        <w:tc>
          <w:tcPr>
            <w:tcW w:w="1528"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lastRenderedPageBreak/>
              <w:t xml:space="preserve">Zimmermann et al, 2005 </w:t>
            </w:r>
          </w:p>
        </w:tc>
        <w:tc>
          <w:tcPr>
            <w:tcW w:w="2126"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t>Cross-sectional study</w:t>
            </w:r>
            <w:r w:rsidRPr="00255576">
              <w:rPr>
                <w:rFonts w:cs="Times New Roman"/>
                <w:color w:val="000000"/>
                <w:szCs w:val="22"/>
                <w:lang w:val="en-GB"/>
              </w:rPr>
              <w:br/>
              <w:t xml:space="preserve">Multiethnic sample from 5 continents with iodine intake ranging from adequate to excessive, </w:t>
            </w:r>
          </w:p>
        </w:tc>
        <w:tc>
          <w:tcPr>
            <w:tcW w:w="1276"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t>3319 (53% B; 47% G)</w:t>
            </w:r>
          </w:p>
        </w:tc>
        <w:tc>
          <w:tcPr>
            <w:tcW w:w="992"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t>6-12</w:t>
            </w:r>
          </w:p>
        </w:tc>
        <w:tc>
          <w:tcPr>
            <w:tcW w:w="2268"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t xml:space="preserve">Urine sample </w:t>
            </w:r>
            <w:r w:rsidRPr="00255576">
              <w:rPr>
                <w:rFonts w:cs="Times New Roman"/>
                <w:color w:val="000000"/>
                <w:szCs w:val="22"/>
                <w:lang w:val="en-GB"/>
              </w:rPr>
              <w:br/>
              <w:t>Thyroid ultrasonic scan</w:t>
            </w:r>
          </w:p>
        </w:tc>
        <w:tc>
          <w:tcPr>
            <w:tcW w:w="1560"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t>Iodine intake was estimated from median UIC</w:t>
            </w:r>
          </w:p>
        </w:tc>
        <w:tc>
          <w:tcPr>
            <w:tcW w:w="2551"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t>No significant correlation between UIC and age- and BSA-adjusted Tvol for all locations except coastal Hokkaido (median UIC was &lt;300ug/L in the former locations vs. &gt;700ug/L in the latter). In Coastal Hokkaido, OR for goier was 1.75 for a 10-fold increase in UIC.</w:t>
            </w:r>
            <w:r w:rsidRPr="00255576">
              <w:rPr>
                <w:rFonts w:cs="Times New Roman"/>
                <w:color w:val="000000"/>
                <w:szCs w:val="22"/>
                <w:lang w:val="en-GB"/>
              </w:rPr>
              <w:br/>
            </w:r>
            <w:r w:rsidRPr="00255576">
              <w:rPr>
                <w:rFonts w:cs="Times New Roman"/>
                <w:color w:val="000000"/>
                <w:szCs w:val="22"/>
                <w:lang w:val="en-GB"/>
              </w:rPr>
              <w:br/>
              <w:t>Estimated median iodine intake, median UIC, age-and BSA-adjusted thyroid volume:</w:t>
            </w:r>
            <w:r w:rsidRPr="00255576">
              <w:rPr>
                <w:rFonts w:cs="Times New Roman"/>
                <w:color w:val="000000"/>
                <w:szCs w:val="22"/>
                <w:lang w:val="en-GB"/>
              </w:rPr>
              <w:br/>
              <w:t xml:space="preserve">All sites: </w:t>
            </w:r>
            <w:r w:rsidRPr="00255576">
              <w:rPr>
                <w:rFonts w:cs="Times New Roman"/>
                <w:color w:val="000000"/>
                <w:szCs w:val="22"/>
                <w:lang w:val="en-GB"/>
              </w:rPr>
              <w:br/>
              <w:t>241ug/d, 218ug/L, 2.54ml</w:t>
            </w:r>
            <w:r w:rsidRPr="00255576">
              <w:rPr>
                <w:rFonts w:cs="Times New Roman"/>
                <w:color w:val="000000"/>
                <w:szCs w:val="22"/>
                <w:lang w:val="en-GB"/>
              </w:rPr>
              <w:br/>
              <w:t>By region:</w:t>
            </w:r>
            <w:r w:rsidRPr="00255576">
              <w:rPr>
                <w:rFonts w:cs="Times New Roman"/>
                <w:color w:val="000000"/>
                <w:szCs w:val="22"/>
                <w:lang w:val="en-GB"/>
              </w:rPr>
              <w:br/>
              <w:t>Jona, Switzerland: 120ug/d, 116ug/L, 2.59ml</w:t>
            </w:r>
            <w:r w:rsidRPr="00255576">
              <w:rPr>
                <w:rFonts w:cs="Times New Roman"/>
                <w:color w:val="000000"/>
                <w:szCs w:val="22"/>
                <w:lang w:val="en-GB"/>
              </w:rPr>
              <w:br/>
              <w:t>Banama, Bahrain: 183ug/d, 185ug/L, 2.16ml</w:t>
            </w:r>
            <w:r w:rsidRPr="00255576">
              <w:rPr>
                <w:rFonts w:cs="Times New Roman"/>
                <w:color w:val="000000"/>
                <w:szCs w:val="22"/>
                <w:lang w:val="en-GB"/>
              </w:rPr>
              <w:br/>
              <w:t>Cape Town, South Africa: 205ug/d, 189ug/L, 2.39ml</w:t>
            </w:r>
            <w:r w:rsidRPr="00255576">
              <w:rPr>
                <w:rFonts w:cs="Times New Roman"/>
                <w:color w:val="000000"/>
                <w:szCs w:val="22"/>
                <w:lang w:val="en-GB"/>
              </w:rPr>
              <w:br/>
            </w:r>
            <w:r w:rsidRPr="00255576">
              <w:rPr>
                <w:rFonts w:cs="Times New Roman"/>
                <w:color w:val="000000"/>
                <w:szCs w:val="22"/>
                <w:lang w:val="en-GB"/>
              </w:rPr>
              <w:lastRenderedPageBreak/>
              <w:t>Lima, Peru: 300ug/d, 253ug/L, 2.42ml</w:t>
            </w:r>
            <w:r w:rsidRPr="00255576">
              <w:rPr>
                <w:rFonts w:cs="Times New Roman"/>
                <w:color w:val="000000"/>
                <w:szCs w:val="22"/>
                <w:lang w:val="en-GB"/>
              </w:rPr>
              <w:br/>
              <w:t>Chelsea, MA: 314ug/d, 292ug/L, 2.21ml</w:t>
            </w:r>
            <w:r w:rsidRPr="00255576">
              <w:rPr>
                <w:rFonts w:cs="Times New Roman"/>
                <w:color w:val="000000"/>
                <w:szCs w:val="22"/>
                <w:lang w:val="en-GB"/>
              </w:rPr>
              <w:br/>
              <w:t>Central Hokkaido, Japan: 292ug/d, 296ug/L, 2.86ml</w:t>
            </w:r>
            <w:r w:rsidRPr="00255576">
              <w:rPr>
                <w:rFonts w:cs="Times New Roman"/>
                <w:color w:val="000000"/>
                <w:szCs w:val="22"/>
                <w:lang w:val="en-GB"/>
              </w:rPr>
              <w:br/>
              <w:t>Coastal Hokkaido, Japan: 241ug/d, 728ug/L, 4.91ml</w:t>
            </w:r>
          </w:p>
        </w:tc>
        <w:tc>
          <w:tcPr>
            <w:tcW w:w="2693" w:type="dxa"/>
            <w:hideMark/>
          </w:tcPr>
          <w:p w:rsidR="00EA6F40" w:rsidRPr="00255576" w:rsidRDefault="00EA6F40" w:rsidP="00255576">
            <w:pPr>
              <w:rPr>
                <w:rFonts w:cs="Times New Roman"/>
                <w:color w:val="000000"/>
                <w:szCs w:val="22"/>
                <w:lang w:val="en-GB"/>
              </w:rPr>
            </w:pPr>
            <w:r w:rsidRPr="00255576">
              <w:rPr>
                <w:rFonts w:cs="Times New Roman"/>
                <w:color w:val="000000"/>
                <w:szCs w:val="22"/>
                <w:lang w:val="en-GB"/>
              </w:rPr>
              <w:lastRenderedPageBreak/>
              <w:t xml:space="preserve">Level IV study with low risk of bias. </w:t>
            </w:r>
            <w:r w:rsidRPr="00255576">
              <w:rPr>
                <w:rFonts w:cs="Times New Roman"/>
                <w:color w:val="000000"/>
                <w:szCs w:val="22"/>
                <w:lang w:val="en-GB"/>
              </w:rPr>
              <w:br/>
              <w:t>Dose response was assessed and reported.</w:t>
            </w:r>
            <w:r w:rsidRPr="00255576">
              <w:rPr>
                <w:rFonts w:cs="Times New Roman"/>
                <w:color w:val="000000"/>
                <w:szCs w:val="22"/>
                <w:lang w:val="en-GB"/>
              </w:rPr>
              <w:br/>
              <w:t>Calculation of sample size was reported. Data from this large international sample had been used to determine a WHO reference values for thyroid volume by ultrasound in iodine sufficient schoolchildren (see Zimmermann (2004) Am J Clin Nutr)</w:t>
            </w:r>
          </w:p>
        </w:tc>
      </w:tr>
    </w:tbl>
    <w:p w:rsidR="00255576" w:rsidRPr="00255576" w:rsidRDefault="00255576" w:rsidP="00E41FB3">
      <w:pPr>
        <w:ind w:left="-180"/>
        <w:rPr>
          <w:rFonts w:cs="Times New Roman"/>
          <w:color w:val="000000"/>
          <w:szCs w:val="22"/>
          <w:lang w:val="en-GB"/>
        </w:rPr>
      </w:pPr>
      <w:r w:rsidRPr="00255576">
        <w:rPr>
          <w:rFonts w:cs="Times New Roman"/>
          <w:color w:val="000000"/>
          <w:szCs w:val="22"/>
          <w:lang w:val="en-GB"/>
        </w:rPr>
        <w:lastRenderedPageBreak/>
        <w:t>Abbreviation: G1=group 1; G2=group 2; B=boys; G=girls; UIC=urinary iodine concentration; [iodine]=iodine concentration; RR=relative risk; [iodine]=iodine concentration; BSA=body surface area</w:t>
      </w:r>
    </w:p>
    <w:p w:rsidR="00CA2AA1" w:rsidRDefault="00CA2AA1" w:rsidP="00AE0695">
      <w:pPr>
        <w:pStyle w:val="Caption"/>
      </w:pPr>
      <w:bookmarkStart w:id="210" w:name="_Ref430950465"/>
      <w:r>
        <w:lastRenderedPageBreak/>
        <w:t xml:space="preserve">Table </w:t>
      </w:r>
      <w:r>
        <w:fldChar w:fldCharType="begin"/>
      </w:r>
      <w:r>
        <w:instrText xml:space="preserve"> STYLEREF 1 \s </w:instrText>
      </w:r>
      <w:r>
        <w:fldChar w:fldCharType="separate"/>
      </w:r>
      <w:r>
        <w:rPr>
          <w:noProof/>
        </w:rPr>
        <w:t>7</w:t>
      </w:r>
      <w:r>
        <w:fldChar w:fldCharType="end"/>
      </w:r>
      <w:r>
        <w:t>:</w:t>
      </w:r>
      <w:r>
        <w:fldChar w:fldCharType="begin"/>
      </w:r>
      <w:r>
        <w:instrText xml:space="preserve"> SEQ Table \* ARABIC \s 1 </w:instrText>
      </w:r>
      <w:r>
        <w:fldChar w:fldCharType="separate"/>
      </w:r>
      <w:r>
        <w:rPr>
          <w:noProof/>
        </w:rPr>
        <w:t>12</w:t>
      </w:r>
      <w:r>
        <w:fldChar w:fldCharType="end"/>
      </w:r>
      <w:bookmarkEnd w:id="210"/>
      <w:r>
        <w:t xml:space="preserve"> </w:t>
      </w:r>
      <w:r w:rsidRPr="0057015E">
        <w:rPr>
          <w:rStyle w:val="Strong"/>
        </w:rPr>
        <w:t>Studies relating to Upper Limit in children (Review Questions 10-13)</w:t>
      </w:r>
    </w:p>
    <w:p w:rsidR="00EA6F40" w:rsidRPr="00CA2AA1" w:rsidRDefault="0057015E" w:rsidP="00E41FB3">
      <w:pPr>
        <w:ind w:left="-180"/>
        <w:rPr>
          <w:rStyle w:val="Strong"/>
        </w:rPr>
      </w:pPr>
      <w:r w:rsidRPr="00CA2AA1">
        <w:rPr>
          <w:rStyle w:val="Strong"/>
        </w:rPr>
        <w:t>Intervention studies</w:t>
      </w:r>
    </w:p>
    <w:tbl>
      <w:tblPr>
        <w:tblStyle w:val="TableGrid1"/>
        <w:tblW w:w="14994" w:type="dxa"/>
        <w:tblInd w:w="-252" w:type="dxa"/>
        <w:tblLayout w:type="fixed"/>
        <w:tblLook w:val="04A0" w:firstRow="1" w:lastRow="0" w:firstColumn="1" w:lastColumn="0" w:noHBand="0" w:noVBand="1"/>
        <w:tblDescription w:val="Intervention studies"/>
      </w:tblPr>
      <w:tblGrid>
        <w:gridCol w:w="1528"/>
        <w:gridCol w:w="2126"/>
        <w:gridCol w:w="1559"/>
        <w:gridCol w:w="992"/>
        <w:gridCol w:w="2268"/>
        <w:gridCol w:w="1843"/>
        <w:gridCol w:w="1985"/>
        <w:gridCol w:w="2693"/>
      </w:tblGrid>
      <w:tr w:rsidR="00EA6F40" w:rsidRPr="00255576" w:rsidTr="00E41FB3">
        <w:trPr>
          <w:trHeight w:val="440"/>
          <w:tblHeader/>
        </w:trPr>
        <w:tc>
          <w:tcPr>
            <w:tcW w:w="1528" w:type="dxa"/>
            <w:hideMark/>
          </w:tcPr>
          <w:p w:rsidR="00EA6F40" w:rsidRPr="00255576" w:rsidRDefault="00EA6F40" w:rsidP="00255576">
            <w:pPr>
              <w:rPr>
                <w:rStyle w:val="Strong"/>
              </w:rPr>
            </w:pPr>
            <w:r w:rsidRPr="00255576">
              <w:rPr>
                <w:rStyle w:val="Strong"/>
              </w:rPr>
              <w:t>Author, year, location</w:t>
            </w:r>
          </w:p>
        </w:tc>
        <w:tc>
          <w:tcPr>
            <w:tcW w:w="2126" w:type="dxa"/>
            <w:hideMark/>
          </w:tcPr>
          <w:p w:rsidR="00EA6F40" w:rsidRPr="00255576" w:rsidRDefault="00EA6F40" w:rsidP="00255576">
            <w:pPr>
              <w:rPr>
                <w:rStyle w:val="Strong"/>
              </w:rPr>
            </w:pPr>
            <w:r w:rsidRPr="00255576">
              <w:rPr>
                <w:rStyle w:val="Strong"/>
              </w:rPr>
              <w:t>Inclusion criteria</w:t>
            </w:r>
          </w:p>
        </w:tc>
        <w:tc>
          <w:tcPr>
            <w:tcW w:w="1559" w:type="dxa"/>
            <w:hideMark/>
          </w:tcPr>
          <w:p w:rsidR="00EA6F40" w:rsidRPr="00255576" w:rsidRDefault="00EA6F40" w:rsidP="00255576">
            <w:pPr>
              <w:rPr>
                <w:rStyle w:val="Strong"/>
              </w:rPr>
            </w:pPr>
            <w:r w:rsidRPr="00255576">
              <w:rPr>
                <w:rStyle w:val="Strong"/>
              </w:rPr>
              <w:t>Design and doses</w:t>
            </w:r>
          </w:p>
        </w:tc>
        <w:tc>
          <w:tcPr>
            <w:tcW w:w="992" w:type="dxa"/>
            <w:hideMark/>
          </w:tcPr>
          <w:p w:rsidR="00EA6F40" w:rsidRPr="00255576" w:rsidRDefault="00EA6F40" w:rsidP="00255576">
            <w:pPr>
              <w:rPr>
                <w:rStyle w:val="Strong"/>
              </w:rPr>
            </w:pPr>
            <w:r w:rsidRPr="00255576">
              <w:rPr>
                <w:rStyle w:val="Strong"/>
              </w:rPr>
              <w:t>Sample size</w:t>
            </w:r>
          </w:p>
        </w:tc>
        <w:tc>
          <w:tcPr>
            <w:tcW w:w="2268" w:type="dxa"/>
            <w:hideMark/>
          </w:tcPr>
          <w:p w:rsidR="00EA6F40" w:rsidRPr="00255576" w:rsidRDefault="00EA6F40" w:rsidP="00255576">
            <w:pPr>
              <w:rPr>
                <w:rStyle w:val="Strong"/>
              </w:rPr>
            </w:pPr>
            <w:r w:rsidRPr="00255576">
              <w:rPr>
                <w:rStyle w:val="Strong"/>
              </w:rPr>
              <w:t xml:space="preserve">Baseline or follow-up gestational iodine status </w:t>
            </w:r>
          </w:p>
        </w:tc>
        <w:tc>
          <w:tcPr>
            <w:tcW w:w="1843" w:type="dxa"/>
            <w:hideMark/>
          </w:tcPr>
          <w:p w:rsidR="00EA6F40" w:rsidRPr="00255576" w:rsidRDefault="00EA6F40" w:rsidP="00255576">
            <w:pPr>
              <w:rPr>
                <w:rStyle w:val="Strong"/>
              </w:rPr>
            </w:pPr>
            <w:r w:rsidRPr="00255576">
              <w:rPr>
                <w:rStyle w:val="Strong"/>
              </w:rPr>
              <w:t>Assessment test method</w:t>
            </w:r>
          </w:p>
        </w:tc>
        <w:tc>
          <w:tcPr>
            <w:tcW w:w="1985" w:type="dxa"/>
            <w:hideMark/>
          </w:tcPr>
          <w:p w:rsidR="00EA6F40" w:rsidRPr="00255576" w:rsidRDefault="00EA6F40" w:rsidP="00255576">
            <w:pPr>
              <w:rPr>
                <w:rStyle w:val="Strong"/>
              </w:rPr>
            </w:pPr>
            <w:r w:rsidRPr="00255576">
              <w:rPr>
                <w:rStyle w:val="Strong"/>
              </w:rPr>
              <w:t>Main effect(s)</w:t>
            </w:r>
          </w:p>
        </w:tc>
        <w:tc>
          <w:tcPr>
            <w:tcW w:w="2693" w:type="dxa"/>
            <w:hideMark/>
          </w:tcPr>
          <w:p w:rsidR="00EA6F40" w:rsidRPr="00255576" w:rsidRDefault="00EA6F40" w:rsidP="00255576">
            <w:pPr>
              <w:rPr>
                <w:rStyle w:val="Strong"/>
              </w:rPr>
            </w:pPr>
            <w:r w:rsidRPr="00255576">
              <w:rPr>
                <w:rStyle w:val="Strong"/>
              </w:rPr>
              <w:t>Comments</w:t>
            </w:r>
          </w:p>
        </w:tc>
      </w:tr>
      <w:tr w:rsidR="00EA6F40" w:rsidRPr="00255576" w:rsidTr="00E41FB3">
        <w:trPr>
          <w:trHeight w:val="2000"/>
        </w:trPr>
        <w:tc>
          <w:tcPr>
            <w:tcW w:w="1528" w:type="dxa"/>
            <w:hideMark/>
          </w:tcPr>
          <w:p w:rsidR="00EA6F40" w:rsidRPr="00255576" w:rsidRDefault="00EA6F40" w:rsidP="00255576">
            <w:pPr>
              <w:rPr>
                <w:lang w:val="en-GB"/>
              </w:rPr>
            </w:pPr>
            <w:r w:rsidRPr="00255576">
              <w:rPr>
                <w:lang w:val="en-GB"/>
              </w:rPr>
              <w:t xml:space="preserve">Huda et al, 2001 </w:t>
            </w:r>
          </w:p>
        </w:tc>
        <w:tc>
          <w:tcPr>
            <w:tcW w:w="2126" w:type="dxa"/>
            <w:hideMark/>
          </w:tcPr>
          <w:p w:rsidR="00EA6F40" w:rsidRPr="00255576" w:rsidRDefault="00EA6F40" w:rsidP="00255576">
            <w:pPr>
              <w:rPr>
                <w:lang w:val="en-GB"/>
              </w:rPr>
            </w:pPr>
            <w:r w:rsidRPr="00255576">
              <w:rPr>
                <w:lang w:val="en-GB"/>
              </w:rPr>
              <w:t>Children (mean age of 9.8y) studying at one of 10 selected schools in Bangladesh</w:t>
            </w:r>
          </w:p>
        </w:tc>
        <w:tc>
          <w:tcPr>
            <w:tcW w:w="1559" w:type="dxa"/>
            <w:hideMark/>
          </w:tcPr>
          <w:p w:rsidR="00EA6F40" w:rsidRPr="00255576" w:rsidRDefault="00EA6F40" w:rsidP="00255576">
            <w:pPr>
              <w:rPr>
                <w:lang w:val="en-GB"/>
              </w:rPr>
            </w:pPr>
            <w:r w:rsidRPr="00255576">
              <w:rPr>
                <w:lang w:val="en-GB"/>
              </w:rPr>
              <w:t>RCT (4m)</w:t>
            </w:r>
            <w:r w:rsidRPr="00255576">
              <w:rPr>
                <w:lang w:val="en-GB"/>
              </w:rPr>
              <w:br/>
              <w:t>G1: placebo</w:t>
            </w:r>
            <w:r w:rsidRPr="00255576">
              <w:rPr>
                <w:lang w:val="en-GB"/>
              </w:rPr>
              <w:br/>
              <w:t>G2: 400mg oral iodized poppy seed oil</w:t>
            </w:r>
          </w:p>
        </w:tc>
        <w:tc>
          <w:tcPr>
            <w:tcW w:w="992" w:type="dxa"/>
            <w:hideMark/>
          </w:tcPr>
          <w:p w:rsidR="00EA6F40" w:rsidRPr="00255576" w:rsidRDefault="00EA6F40" w:rsidP="00255576">
            <w:pPr>
              <w:rPr>
                <w:lang w:val="en-GB"/>
              </w:rPr>
            </w:pPr>
            <w:r w:rsidRPr="00255576">
              <w:rPr>
                <w:lang w:val="en-GB"/>
              </w:rPr>
              <w:t>G1:142</w:t>
            </w:r>
            <w:r w:rsidRPr="00255576">
              <w:rPr>
                <w:lang w:val="en-GB"/>
              </w:rPr>
              <w:br/>
              <w:t>G2: 145</w:t>
            </w:r>
          </w:p>
        </w:tc>
        <w:tc>
          <w:tcPr>
            <w:tcW w:w="2268" w:type="dxa"/>
            <w:hideMark/>
          </w:tcPr>
          <w:p w:rsidR="00EA6F40" w:rsidRPr="00255576" w:rsidRDefault="00EA6F40" w:rsidP="00255576">
            <w:pPr>
              <w:rPr>
                <w:lang w:val="en-GB"/>
              </w:rPr>
            </w:pPr>
            <w:r w:rsidRPr="00255576">
              <w:rPr>
                <w:lang w:val="en-GB"/>
              </w:rPr>
              <w:t xml:space="preserve">Baseline median UIC: 2.86umol/L (362ug/L) for G1 &amp; 2.76umol/L (349ug/L) for G2 </w:t>
            </w:r>
            <w:r w:rsidRPr="00255576">
              <w:rPr>
                <w:lang w:val="en-GB"/>
              </w:rPr>
              <w:br/>
            </w:r>
            <w:r w:rsidRPr="00255576">
              <w:rPr>
                <w:lang w:val="en-GB"/>
              </w:rPr>
              <w:br/>
              <w:t>Follow-up median UIC: 3.31umol/L (419ug/L) for G1 &amp; 6.83umol/L (865ug/L) for G2</w:t>
            </w:r>
          </w:p>
        </w:tc>
        <w:tc>
          <w:tcPr>
            <w:tcW w:w="1843" w:type="dxa"/>
            <w:hideMark/>
          </w:tcPr>
          <w:p w:rsidR="00EA6F40" w:rsidRPr="00255576" w:rsidRDefault="00EA6F40" w:rsidP="00255576">
            <w:pPr>
              <w:rPr>
                <w:lang w:val="en-GB"/>
              </w:rPr>
            </w:pPr>
            <w:r w:rsidRPr="00255576">
              <w:rPr>
                <w:lang w:val="en-GB"/>
              </w:rPr>
              <w:t>Anthropometry</w:t>
            </w:r>
            <w:r w:rsidRPr="00255576">
              <w:rPr>
                <w:lang w:val="en-GB"/>
              </w:rPr>
              <w:br/>
              <w:t>Serum T4, TSH, UIC</w:t>
            </w:r>
            <w:r w:rsidRPr="00255576">
              <w:rPr>
                <w:lang w:val="en-GB"/>
              </w:rPr>
              <w:br/>
              <w:t>Cognitive and motor function tests designed for Bangladeshi children</w:t>
            </w:r>
          </w:p>
        </w:tc>
        <w:tc>
          <w:tcPr>
            <w:tcW w:w="1985" w:type="dxa"/>
            <w:hideMark/>
          </w:tcPr>
          <w:p w:rsidR="00EA6F40" w:rsidRPr="00255576" w:rsidRDefault="00EA6F40" w:rsidP="00255576">
            <w:pPr>
              <w:rPr>
                <w:lang w:val="en-GB"/>
              </w:rPr>
            </w:pPr>
            <w:r w:rsidRPr="00255576">
              <w:rPr>
                <w:lang w:val="en-GB"/>
              </w:rPr>
              <w:t>No difference was observed between groups for all cognitive and motor tests</w:t>
            </w:r>
          </w:p>
        </w:tc>
        <w:tc>
          <w:tcPr>
            <w:tcW w:w="2693" w:type="dxa"/>
            <w:hideMark/>
          </w:tcPr>
          <w:p w:rsidR="00EA6F40" w:rsidRPr="00255576" w:rsidRDefault="00EA6F40" w:rsidP="00255576">
            <w:pPr>
              <w:rPr>
                <w:lang w:val="en-GB"/>
              </w:rPr>
            </w:pPr>
            <w:r w:rsidRPr="00255576">
              <w:rPr>
                <w:lang w:val="en-GB"/>
              </w:rPr>
              <w:t xml:space="preserve">Level II study with low risk of bias. </w:t>
            </w:r>
            <w:r w:rsidRPr="00255576">
              <w:rPr>
                <w:lang w:val="en-GB"/>
              </w:rPr>
              <w:br/>
              <w:t>According to the authors, the subjects are moderately iodine-deficient children, but their baseline median UIC are &gt;300ug/L. The authors also claimed that normal median UIC is 7.9umol/L which is 1000ug/L.</w:t>
            </w:r>
          </w:p>
        </w:tc>
      </w:tr>
      <w:tr w:rsidR="00EA6F40" w:rsidRPr="00255576" w:rsidTr="00E41FB3">
        <w:trPr>
          <w:trHeight w:val="2000"/>
        </w:trPr>
        <w:tc>
          <w:tcPr>
            <w:tcW w:w="1528" w:type="dxa"/>
          </w:tcPr>
          <w:p w:rsidR="00EA6F40" w:rsidRPr="00255576" w:rsidRDefault="00EA6F40" w:rsidP="00255576">
            <w:pPr>
              <w:rPr>
                <w:lang w:val="en-GB"/>
              </w:rPr>
            </w:pPr>
            <w:r w:rsidRPr="00255576">
              <w:rPr>
                <w:lang w:val="en-GB"/>
              </w:rPr>
              <w:t xml:space="preserve">Li et al, 2012 </w:t>
            </w:r>
          </w:p>
        </w:tc>
        <w:tc>
          <w:tcPr>
            <w:tcW w:w="2126" w:type="dxa"/>
          </w:tcPr>
          <w:p w:rsidR="00EA6F40" w:rsidRPr="00255576" w:rsidRDefault="00EA6F40" w:rsidP="00255576">
            <w:pPr>
              <w:rPr>
                <w:lang w:val="en-GB"/>
              </w:rPr>
            </w:pPr>
            <w:r w:rsidRPr="00255576">
              <w:rPr>
                <w:lang w:val="en-GB"/>
              </w:rPr>
              <w:t>Volunteers from urban and rural areas in China</w:t>
            </w:r>
          </w:p>
        </w:tc>
        <w:tc>
          <w:tcPr>
            <w:tcW w:w="1559" w:type="dxa"/>
          </w:tcPr>
          <w:p w:rsidR="00EA6F40" w:rsidRPr="00255576" w:rsidRDefault="00EA6F40" w:rsidP="00255576">
            <w:pPr>
              <w:rPr>
                <w:lang w:val="en-GB"/>
              </w:rPr>
            </w:pPr>
            <w:r w:rsidRPr="00255576">
              <w:rPr>
                <w:lang w:val="en-GB"/>
              </w:rPr>
              <w:t>Before and after intervention randomised trial  (27 day)</w:t>
            </w:r>
            <w:r w:rsidRPr="00255576">
              <w:rPr>
                <w:lang w:val="en-GB"/>
              </w:rPr>
              <w:br w:type="page"/>
              <w:t xml:space="preserve">G1: 6mg/kg iodised salt; </w:t>
            </w:r>
            <w:r w:rsidRPr="00255576">
              <w:rPr>
                <w:lang w:val="en-GB"/>
              </w:rPr>
              <w:br w:type="page"/>
              <w:t xml:space="preserve">G2: 15mg/kg iodised salt; </w:t>
            </w:r>
            <w:r w:rsidRPr="00255576">
              <w:rPr>
                <w:lang w:val="en-GB"/>
              </w:rPr>
              <w:br w:type="page"/>
              <w:t xml:space="preserve">G3: 24mg/kg </w:t>
            </w:r>
            <w:r w:rsidRPr="00255576">
              <w:rPr>
                <w:lang w:val="en-GB"/>
              </w:rPr>
              <w:lastRenderedPageBreak/>
              <w:t xml:space="preserve">iodised salt; </w:t>
            </w:r>
            <w:r w:rsidRPr="00255576">
              <w:rPr>
                <w:lang w:val="en-GB"/>
              </w:rPr>
              <w:br w:type="page"/>
              <w:t>G4: 34 mg/kg iodised salt</w:t>
            </w:r>
          </w:p>
        </w:tc>
        <w:tc>
          <w:tcPr>
            <w:tcW w:w="992" w:type="dxa"/>
          </w:tcPr>
          <w:p w:rsidR="00EA6F40" w:rsidRPr="00255576" w:rsidRDefault="00EA6F40" w:rsidP="00255576">
            <w:pPr>
              <w:rPr>
                <w:lang w:val="en-GB"/>
              </w:rPr>
            </w:pPr>
            <w:r w:rsidRPr="00255576">
              <w:rPr>
                <w:lang w:val="en-GB"/>
              </w:rPr>
              <w:lastRenderedPageBreak/>
              <w:t>n=1099</w:t>
            </w:r>
            <w:r w:rsidRPr="00255576">
              <w:rPr>
                <w:lang w:val="en-GB"/>
              </w:rPr>
              <w:br w:type="page"/>
              <w:t xml:space="preserve"> G1: 269</w:t>
            </w:r>
            <w:r w:rsidRPr="00255576">
              <w:rPr>
                <w:lang w:val="en-GB"/>
              </w:rPr>
              <w:br w:type="page"/>
              <w:t xml:space="preserve"> G2: 290</w:t>
            </w:r>
            <w:r w:rsidRPr="00255576">
              <w:rPr>
                <w:lang w:val="en-GB"/>
              </w:rPr>
              <w:br w:type="page"/>
              <w:t xml:space="preserve"> G3: 271</w:t>
            </w:r>
            <w:r w:rsidRPr="00255576">
              <w:rPr>
                <w:lang w:val="en-GB"/>
              </w:rPr>
              <w:br w:type="page"/>
              <w:t xml:space="preserve"> G4: 269</w:t>
            </w:r>
          </w:p>
        </w:tc>
        <w:tc>
          <w:tcPr>
            <w:tcW w:w="2268" w:type="dxa"/>
          </w:tcPr>
          <w:p w:rsidR="00EA6F40" w:rsidRPr="00255576" w:rsidRDefault="00EA6F40" w:rsidP="00255576">
            <w:pPr>
              <w:rPr>
                <w:lang w:val="en-GB"/>
              </w:rPr>
            </w:pPr>
            <w:r w:rsidRPr="00255576">
              <w:rPr>
                <w:lang w:val="en-GB"/>
              </w:rPr>
              <w:t>In children aged 7-12y:</w:t>
            </w:r>
            <w:r w:rsidRPr="00255576">
              <w:rPr>
                <w:lang w:val="en-GB"/>
              </w:rPr>
              <w:br w:type="page"/>
              <w:t>Baseline median UIC among urban children ranged from 231ug/L to 354ug/L, and ranged from 456ug/L to 519ug/L in rural area</w:t>
            </w:r>
          </w:p>
        </w:tc>
        <w:tc>
          <w:tcPr>
            <w:tcW w:w="1843" w:type="dxa"/>
          </w:tcPr>
          <w:p w:rsidR="00EA6F40" w:rsidRPr="00255576" w:rsidRDefault="00EA6F40" w:rsidP="00255576">
            <w:pPr>
              <w:rPr>
                <w:lang w:val="en-GB"/>
              </w:rPr>
            </w:pPr>
            <w:r w:rsidRPr="00255576">
              <w:rPr>
                <w:lang w:val="en-GB"/>
              </w:rPr>
              <w:t>Median UIC</w:t>
            </w:r>
          </w:p>
        </w:tc>
        <w:tc>
          <w:tcPr>
            <w:tcW w:w="1985" w:type="dxa"/>
          </w:tcPr>
          <w:p w:rsidR="00EA6F40" w:rsidRPr="00255576" w:rsidRDefault="00EA6F40" w:rsidP="00255576">
            <w:pPr>
              <w:rPr>
                <w:lang w:val="en-GB"/>
              </w:rPr>
            </w:pPr>
            <w:r w:rsidRPr="00255576">
              <w:rPr>
                <w:lang w:val="en-GB"/>
              </w:rPr>
              <w:t>Regardless area of origin, median UIC ranged from 105ug/L to 194ug/L in G1; ranged from 245ug/L to 252ug/L in G3; and ranged from 302ug/L to 336ug/L in G3</w:t>
            </w:r>
            <w:r w:rsidRPr="00255576">
              <w:rPr>
                <w:lang w:val="en-GB"/>
              </w:rPr>
              <w:br w:type="page"/>
            </w:r>
            <w:r w:rsidRPr="00255576">
              <w:rPr>
                <w:lang w:val="en-GB"/>
              </w:rPr>
              <w:br w:type="page"/>
            </w:r>
          </w:p>
        </w:tc>
        <w:tc>
          <w:tcPr>
            <w:tcW w:w="2693" w:type="dxa"/>
          </w:tcPr>
          <w:p w:rsidR="00EA6F40" w:rsidRPr="00255576" w:rsidRDefault="00EA6F40" w:rsidP="00255576">
            <w:pPr>
              <w:rPr>
                <w:lang w:val="en-GB"/>
              </w:rPr>
            </w:pPr>
            <w:r w:rsidRPr="00255576">
              <w:rPr>
                <w:lang w:val="en-GB"/>
              </w:rPr>
              <w:t>Level III-2 study with high risk of bias.</w:t>
            </w:r>
          </w:p>
          <w:p w:rsidR="00EA6F40" w:rsidRPr="00255576" w:rsidRDefault="00EA6F40" w:rsidP="00255576">
            <w:pPr>
              <w:rPr>
                <w:lang w:val="en-GB"/>
              </w:rPr>
            </w:pPr>
            <w:r w:rsidRPr="00255576">
              <w:rPr>
                <w:lang w:val="en-GB"/>
              </w:rPr>
              <w:t>Sample was not randomly selected. Unclear whether participants had thyroid disease.</w:t>
            </w:r>
            <w:r w:rsidRPr="00255576">
              <w:rPr>
                <w:lang w:val="en-GB"/>
              </w:rPr>
              <w:br w:type="page"/>
              <w:t xml:space="preserve"> Compliance and amount of salt intake were not reported</w:t>
            </w:r>
            <w:r w:rsidRPr="00255576">
              <w:rPr>
                <w:lang w:val="en-GB"/>
              </w:rPr>
              <w:br w:type="page"/>
              <w:t>.</w:t>
            </w:r>
          </w:p>
        </w:tc>
      </w:tr>
    </w:tbl>
    <w:p w:rsidR="00255576" w:rsidRPr="00255576" w:rsidRDefault="00255576" w:rsidP="00E41FB3">
      <w:pPr>
        <w:ind w:left="-180"/>
        <w:rPr>
          <w:lang w:val="en-GB"/>
        </w:rPr>
      </w:pPr>
      <w:r w:rsidRPr="00255576">
        <w:rPr>
          <w:lang w:val="en-GB"/>
        </w:rPr>
        <w:lastRenderedPageBreak/>
        <w:t>Abbreviation: y=year; RCT=randomised controlled trial; G1=group 1; G2=group 2; UIC=urinary iodine concentration; T4=thyroxine; TSH=thyroid stimulating hormone</w:t>
      </w:r>
    </w:p>
    <w:p w:rsidR="00EA6F40" w:rsidRDefault="00EA6F40" w:rsidP="0013546C">
      <w:pPr>
        <w:pStyle w:val="Thesisnormal0"/>
        <w:sectPr w:rsidR="00EA6F40" w:rsidSect="00DF5B59">
          <w:pgSz w:w="16840" w:h="11900" w:orient="landscape"/>
          <w:pgMar w:top="1800" w:right="1440" w:bottom="1800" w:left="1440" w:header="708" w:footer="708" w:gutter="0"/>
          <w:cols w:space="708"/>
        </w:sectPr>
      </w:pPr>
    </w:p>
    <w:p w:rsidR="00EA6F40" w:rsidRDefault="00EA6F40" w:rsidP="000A4E22">
      <w:pPr>
        <w:pStyle w:val="Heading2"/>
      </w:pPr>
      <w:bookmarkStart w:id="211" w:name="_7.4_Appendix_4:"/>
      <w:bookmarkStart w:id="212" w:name="_Toc279228371"/>
      <w:bookmarkStart w:id="213" w:name="_Toc433621812"/>
      <w:bookmarkEnd w:id="211"/>
      <w:r w:rsidRPr="0087574C">
        <w:lastRenderedPageBreak/>
        <w:t>Appendix 4:</w:t>
      </w:r>
      <w:bookmarkEnd w:id="212"/>
      <w:r w:rsidRPr="0087574C">
        <w:t xml:space="preserve"> </w:t>
      </w:r>
      <w:bookmarkStart w:id="214" w:name="_Toc279228372"/>
      <w:r w:rsidRPr="0087574C">
        <w:t xml:space="preserve">Membership </w:t>
      </w:r>
      <w:bookmarkEnd w:id="214"/>
      <w:r w:rsidR="0087574C" w:rsidRPr="0087574C">
        <w:t>of groups and committees involve</w:t>
      </w:r>
      <w:r w:rsidR="0087574C">
        <w:t>d</w:t>
      </w:r>
      <w:r w:rsidR="0087574C" w:rsidRPr="0087574C">
        <w:t xml:space="preserve"> in the development process</w:t>
      </w:r>
      <w:bookmarkEnd w:id="213"/>
    </w:p>
    <w:p w:rsidR="0057015E" w:rsidRPr="004B366A" w:rsidRDefault="0057015E" w:rsidP="00CA2AA1">
      <w:pPr>
        <w:pStyle w:val="Heading3"/>
        <w:rPr>
          <w:lang w:eastAsia="ar-SA"/>
        </w:rPr>
      </w:pPr>
      <w:bookmarkStart w:id="215" w:name="_Toc433621813"/>
      <w:r w:rsidRPr="004B366A">
        <w:rPr>
          <w:lang w:eastAsia="ar-SA"/>
        </w:rPr>
        <w:t>Membership of the Nutrient Reference Values Steering Group</w:t>
      </w:r>
      <w:bookmarkEnd w:id="215"/>
    </w:p>
    <w:p w:rsidR="0057015E" w:rsidRPr="00B15EF8" w:rsidRDefault="0057015E" w:rsidP="0057015E">
      <w:pPr>
        <w:suppressAutoHyphens/>
        <w:autoSpaceDE w:val="0"/>
        <w:autoSpaceDN w:val="0"/>
        <w:adjustRightInd w:val="0"/>
        <w:spacing w:after="0"/>
        <w:rPr>
          <w:lang w:eastAsia="ar-SA"/>
        </w:rPr>
      </w:pPr>
      <w:r>
        <w:rPr>
          <w:lang w:eastAsia="ar-SA"/>
        </w:rPr>
        <w:t xml:space="preserve">The Steering Group for the project was composed of representatives from the Australian Government Department of Health, and the New Zealand Ministry of Health.  </w:t>
      </w:r>
    </w:p>
    <w:p w:rsidR="0057015E" w:rsidRPr="004B366A" w:rsidRDefault="0057015E" w:rsidP="00CA2AA1">
      <w:pPr>
        <w:pStyle w:val="Heading3"/>
        <w:rPr>
          <w:lang w:eastAsia="ar-SA"/>
        </w:rPr>
      </w:pPr>
      <w:bookmarkStart w:id="216" w:name="_Toc433621814"/>
      <w:r w:rsidRPr="004B366A">
        <w:rPr>
          <w:lang w:eastAsia="ar-SA"/>
        </w:rPr>
        <w:t>Membership of the Nutrient Reference Values Advisory Committee</w:t>
      </w:r>
      <w:bookmarkEnd w:id="216"/>
    </w:p>
    <w:p w:rsidR="0057015E" w:rsidRPr="00CA2AA1" w:rsidRDefault="0057015E" w:rsidP="00CA2AA1">
      <w:pPr>
        <w:spacing w:before="60" w:after="60"/>
        <w:rPr>
          <w:rStyle w:val="Emphasis"/>
          <w:rFonts w:asciiTheme="majorHAnsi" w:hAnsiTheme="majorHAnsi"/>
          <w:i w:val="0"/>
          <w:iCs w:val="0"/>
          <w:sz w:val="22"/>
        </w:rPr>
      </w:pPr>
      <w:r w:rsidRPr="00CA2AA1">
        <w:t xml:space="preserve">Professor Samir Samman (Chair) </w:t>
      </w:r>
      <w:r w:rsidR="00CA2AA1">
        <w:br/>
      </w:r>
      <w:r w:rsidRPr="00CA2AA1">
        <w:rPr>
          <w:rStyle w:val="Emphasis"/>
        </w:rPr>
        <w:t>Department of Human Nutrition, University of Otago, New Zealand</w:t>
      </w:r>
    </w:p>
    <w:p w:rsidR="0057015E" w:rsidRPr="00CA2AA1" w:rsidRDefault="0057015E" w:rsidP="00CA2AA1">
      <w:pPr>
        <w:spacing w:before="60" w:after="60"/>
        <w:rPr>
          <w:rStyle w:val="Emphasis"/>
          <w:rFonts w:asciiTheme="majorHAnsi" w:hAnsiTheme="majorHAnsi"/>
          <w:i w:val="0"/>
          <w:iCs w:val="0"/>
          <w:sz w:val="22"/>
        </w:rPr>
      </w:pPr>
      <w:r w:rsidRPr="00CA2AA1">
        <w:t>Ms Ja</w:t>
      </w:r>
      <w:r w:rsidR="00CA2AA1">
        <w:t xml:space="preserve">nis Baines </w:t>
      </w:r>
      <w:r w:rsidR="00CA2AA1">
        <w:br/>
      </w:r>
      <w:r w:rsidRPr="00CA2AA1">
        <w:rPr>
          <w:rStyle w:val="Emphasis"/>
        </w:rPr>
        <w:t>Food Standards Australia New Zealand</w:t>
      </w:r>
    </w:p>
    <w:p w:rsidR="0057015E" w:rsidRPr="00CA2AA1" w:rsidRDefault="0057015E" w:rsidP="00CA2AA1">
      <w:pPr>
        <w:spacing w:before="60" w:after="60"/>
      </w:pPr>
      <w:r w:rsidRPr="00CA2AA1">
        <w:t xml:space="preserve">Associate Professor Marijka Batterham </w:t>
      </w:r>
      <w:r w:rsidRPr="00CA2AA1">
        <w:br/>
      </w:r>
      <w:r w:rsidRPr="00CA2AA1">
        <w:rPr>
          <w:rStyle w:val="Emphasis"/>
        </w:rPr>
        <w:t>School of Mathematics and Applied Statistics, University of Wollongong, Australia</w:t>
      </w:r>
    </w:p>
    <w:p w:rsidR="0057015E" w:rsidRPr="00CA2AA1" w:rsidRDefault="00CA2AA1" w:rsidP="00CA2AA1">
      <w:pPr>
        <w:spacing w:before="60" w:after="60"/>
        <w:rPr>
          <w:rStyle w:val="Emphasis"/>
          <w:rFonts w:asciiTheme="majorHAnsi" w:hAnsiTheme="majorHAnsi"/>
          <w:i w:val="0"/>
          <w:iCs w:val="0"/>
          <w:sz w:val="22"/>
        </w:rPr>
      </w:pPr>
      <w:r>
        <w:t xml:space="preserve">Professor Michael Fenech </w:t>
      </w:r>
      <w:r>
        <w:br/>
      </w:r>
      <w:r w:rsidR="0057015E" w:rsidRPr="00CA2AA1">
        <w:rPr>
          <w:rStyle w:val="Emphasis"/>
        </w:rPr>
        <w:t>CSIRO Food &amp; Nutritional Sciences, Adelaide, Australia</w:t>
      </w:r>
    </w:p>
    <w:p w:rsidR="0057015E" w:rsidRPr="00CA2AA1" w:rsidRDefault="0057015E" w:rsidP="00CA2AA1">
      <w:pPr>
        <w:spacing w:before="60" w:after="60"/>
        <w:rPr>
          <w:rStyle w:val="Emphasis"/>
          <w:rFonts w:asciiTheme="majorHAnsi" w:hAnsiTheme="majorHAnsi"/>
          <w:i w:val="0"/>
          <w:iCs w:val="0"/>
          <w:sz w:val="22"/>
        </w:rPr>
      </w:pPr>
      <w:r w:rsidRPr="00CA2AA1">
        <w:t>Profe</w:t>
      </w:r>
      <w:r w:rsidR="00CA2AA1">
        <w:t xml:space="preserve">ssor Mark Lawrence </w:t>
      </w:r>
      <w:r w:rsidR="00CA2AA1">
        <w:br/>
      </w:r>
      <w:r w:rsidRPr="00CA2AA1">
        <w:rPr>
          <w:rStyle w:val="Emphasis"/>
        </w:rPr>
        <w:t>School of Exercise and Nutrition Sciences, Deakin University, Australia</w:t>
      </w:r>
    </w:p>
    <w:p w:rsidR="0057015E" w:rsidRPr="00CA2AA1" w:rsidRDefault="00CA2AA1" w:rsidP="00CA2AA1">
      <w:pPr>
        <w:spacing w:before="60" w:after="60"/>
        <w:rPr>
          <w:rStyle w:val="Emphasis"/>
          <w:rFonts w:asciiTheme="majorHAnsi" w:hAnsiTheme="majorHAnsi"/>
          <w:i w:val="0"/>
          <w:iCs w:val="0"/>
          <w:sz w:val="22"/>
        </w:rPr>
      </w:pPr>
      <w:r>
        <w:t xml:space="preserve">Professor Jim Mann </w:t>
      </w:r>
      <w:r>
        <w:br/>
      </w:r>
      <w:r w:rsidR="0057015E" w:rsidRPr="00CA2AA1">
        <w:rPr>
          <w:rStyle w:val="Emphasis"/>
        </w:rPr>
        <w:t>School of Medicine, University of Otago, New Zealand</w:t>
      </w:r>
    </w:p>
    <w:p w:rsidR="0057015E" w:rsidRPr="00CA2AA1" w:rsidRDefault="00CA2AA1" w:rsidP="00CA2AA1">
      <w:pPr>
        <w:spacing w:before="60" w:after="60"/>
        <w:rPr>
          <w:rStyle w:val="Emphasis"/>
          <w:rFonts w:asciiTheme="majorHAnsi" w:hAnsiTheme="majorHAnsi"/>
          <w:i w:val="0"/>
          <w:iCs w:val="0"/>
          <w:sz w:val="22"/>
        </w:rPr>
      </w:pPr>
      <w:r>
        <w:t xml:space="preserve">Professor Murray Skeaff </w:t>
      </w:r>
      <w:r>
        <w:br/>
      </w:r>
      <w:r w:rsidR="0057015E" w:rsidRPr="00CA2AA1">
        <w:rPr>
          <w:rStyle w:val="Emphasis"/>
        </w:rPr>
        <w:t>Department of Human Nutrition, University of Otago, New Zealand</w:t>
      </w:r>
    </w:p>
    <w:p w:rsidR="0057015E" w:rsidRPr="00CA2AA1" w:rsidRDefault="0057015E" w:rsidP="00CA2AA1">
      <w:pPr>
        <w:spacing w:before="60" w:after="60"/>
        <w:rPr>
          <w:rStyle w:val="Emphasis"/>
          <w:rFonts w:asciiTheme="majorHAnsi" w:hAnsiTheme="majorHAnsi"/>
          <w:i w:val="0"/>
          <w:iCs w:val="0"/>
          <w:sz w:val="22"/>
        </w:rPr>
      </w:pPr>
      <w:r w:rsidRPr="00CA2AA1">
        <w:t>Pr</w:t>
      </w:r>
      <w:r w:rsidR="00CA2AA1">
        <w:t>ofessor Linda Tapsell</w:t>
      </w:r>
      <w:r w:rsidR="00CA2AA1">
        <w:br/>
      </w:r>
      <w:r w:rsidRPr="00CA2AA1">
        <w:rPr>
          <w:rStyle w:val="Emphasis"/>
        </w:rPr>
        <w:t>School of Medicine, University of Wollongong, Australia</w:t>
      </w:r>
    </w:p>
    <w:p w:rsidR="0057015E" w:rsidRPr="00CA2AA1" w:rsidRDefault="0057015E" w:rsidP="00CA2AA1">
      <w:pPr>
        <w:spacing w:before="60" w:after="60"/>
        <w:rPr>
          <w:rStyle w:val="Emphasis"/>
          <w:rFonts w:asciiTheme="majorHAnsi" w:hAnsiTheme="majorHAnsi"/>
          <w:i w:val="0"/>
          <w:iCs w:val="0"/>
          <w:sz w:val="22"/>
        </w:rPr>
      </w:pPr>
      <w:r w:rsidRPr="00CA2AA1">
        <w:t>Emeritus Professor Christin</w:t>
      </w:r>
      <w:r w:rsidR="00CA2AA1">
        <w:t>e Thomson (until February 2015)</w:t>
      </w:r>
      <w:r w:rsidR="00CA2AA1">
        <w:br/>
      </w:r>
      <w:r w:rsidRPr="00CA2AA1">
        <w:rPr>
          <w:rStyle w:val="Emphasis"/>
        </w:rPr>
        <w:t>Department of Human Nutrition, University of Otago, New Zealand</w:t>
      </w:r>
    </w:p>
    <w:p w:rsidR="0057015E" w:rsidRPr="00CA2AA1" w:rsidRDefault="00CA2AA1" w:rsidP="00CA2AA1">
      <w:pPr>
        <w:spacing w:before="60" w:after="60"/>
        <w:rPr>
          <w:rStyle w:val="Emphasis"/>
          <w:rFonts w:asciiTheme="majorHAnsi" w:hAnsiTheme="majorHAnsi"/>
          <w:i w:val="0"/>
          <w:iCs w:val="0"/>
          <w:sz w:val="22"/>
        </w:rPr>
      </w:pPr>
      <w:r>
        <w:t>Professor Lynne Daniels (2013)</w:t>
      </w:r>
      <w:r>
        <w:br/>
      </w:r>
      <w:r w:rsidR="0057015E" w:rsidRPr="00CA2AA1">
        <w:rPr>
          <w:rStyle w:val="Emphasis"/>
        </w:rPr>
        <w:t>Head of School, Exercise &amp; Nutrition Sciences, Queen</w:t>
      </w:r>
      <w:r>
        <w:rPr>
          <w:rStyle w:val="Emphasis"/>
        </w:rPr>
        <w:t>sland University of Technology,</w:t>
      </w:r>
      <w:r w:rsidR="0057015E" w:rsidRPr="00CA2AA1">
        <w:rPr>
          <w:rStyle w:val="Emphasis"/>
        </w:rPr>
        <w:t>Queensland, Australia.</w:t>
      </w:r>
    </w:p>
    <w:p w:rsidR="005D1761" w:rsidRPr="004B366A" w:rsidRDefault="005D1761" w:rsidP="00CA2AA1">
      <w:pPr>
        <w:pStyle w:val="Heading3"/>
        <w:rPr>
          <w:lang w:eastAsia="ar-SA"/>
        </w:rPr>
      </w:pPr>
      <w:bookmarkStart w:id="217" w:name="_Toc433621815"/>
      <w:r w:rsidRPr="004B366A">
        <w:rPr>
          <w:lang w:eastAsia="ar-SA"/>
        </w:rPr>
        <w:t>Membership of the Nutrient Reference Values Iodine Expert Working Group</w:t>
      </w:r>
      <w:bookmarkEnd w:id="217"/>
    </w:p>
    <w:p w:rsidR="005D1761" w:rsidRPr="00CA2AA1" w:rsidRDefault="005D1761" w:rsidP="00CA2AA1">
      <w:pPr>
        <w:rPr>
          <w:rStyle w:val="Emphasis"/>
          <w:iCs w:val="0"/>
          <w:sz w:val="22"/>
          <w:lang w:eastAsia="ar-SA"/>
        </w:rPr>
      </w:pPr>
      <w:r w:rsidRPr="00CA2AA1">
        <w:rPr>
          <w:lang w:eastAsia="ar-SA"/>
        </w:rPr>
        <w:t>Emeritus Professor Christine Thomson (Chair until February 2015)</w:t>
      </w:r>
      <w:r w:rsidR="00CA2AA1">
        <w:rPr>
          <w:i/>
          <w:lang w:eastAsia="ar-SA"/>
        </w:rPr>
        <w:br/>
      </w:r>
      <w:r w:rsidRPr="00CA2AA1">
        <w:rPr>
          <w:rStyle w:val="Emphasis"/>
        </w:rPr>
        <w:t>Department of Human Nutrition, University of Otago, New Zealand</w:t>
      </w:r>
    </w:p>
    <w:p w:rsidR="005D1761" w:rsidRPr="00CA2AA1" w:rsidRDefault="005D1761" w:rsidP="00155B6F">
      <w:pPr>
        <w:suppressAutoHyphens/>
        <w:autoSpaceDE w:val="0"/>
        <w:autoSpaceDN w:val="0"/>
        <w:adjustRightInd w:val="0"/>
        <w:spacing w:after="0"/>
        <w:rPr>
          <w:rStyle w:val="Emphasis"/>
          <w:bCs/>
          <w:iCs w:val="0"/>
          <w:sz w:val="22"/>
          <w:lang w:eastAsia="ar-SA"/>
        </w:rPr>
      </w:pPr>
      <w:r>
        <w:rPr>
          <w:bCs/>
          <w:lang w:eastAsia="ar-SA"/>
        </w:rPr>
        <w:t>Associate Professo</w:t>
      </w:r>
      <w:r w:rsidR="00CA2AA1">
        <w:rPr>
          <w:bCs/>
          <w:lang w:eastAsia="ar-SA"/>
        </w:rPr>
        <w:t xml:space="preserve">r Sheila Skeaff (Deputy Chair) </w:t>
      </w:r>
      <w:r w:rsidR="00CA2AA1">
        <w:rPr>
          <w:bCs/>
          <w:lang w:eastAsia="ar-SA"/>
        </w:rPr>
        <w:br/>
      </w:r>
      <w:r w:rsidRPr="00CA2AA1">
        <w:rPr>
          <w:rStyle w:val="Emphasis"/>
        </w:rPr>
        <w:t>Department of Human Nutrition, University of Otago, New Zealand</w:t>
      </w:r>
    </w:p>
    <w:p w:rsidR="005D1761" w:rsidRPr="00CA2AA1" w:rsidRDefault="005D1761" w:rsidP="00155B6F">
      <w:pPr>
        <w:suppressAutoHyphens/>
        <w:autoSpaceDE w:val="0"/>
        <w:autoSpaceDN w:val="0"/>
        <w:adjustRightInd w:val="0"/>
        <w:spacing w:after="0"/>
        <w:rPr>
          <w:rStyle w:val="Emphasis"/>
          <w:bCs/>
          <w:i w:val="0"/>
          <w:iCs w:val="0"/>
          <w:sz w:val="22"/>
          <w:lang w:eastAsia="ar-SA"/>
        </w:rPr>
      </w:pPr>
      <w:r>
        <w:rPr>
          <w:bCs/>
          <w:lang w:eastAsia="ar-SA"/>
        </w:rPr>
        <w:t>Asso</w:t>
      </w:r>
      <w:r w:rsidR="00CA2AA1">
        <w:rPr>
          <w:bCs/>
          <w:lang w:eastAsia="ar-SA"/>
        </w:rPr>
        <w:t xml:space="preserve">ciate Professor Karen Charlton </w:t>
      </w:r>
      <w:r w:rsidR="00CA2AA1">
        <w:rPr>
          <w:bCs/>
          <w:lang w:eastAsia="ar-SA"/>
        </w:rPr>
        <w:br/>
      </w:r>
      <w:r w:rsidRPr="00CA2AA1">
        <w:rPr>
          <w:rStyle w:val="Emphasis"/>
        </w:rPr>
        <w:t>School of Medicine, University of Wollongong, Australia</w:t>
      </w:r>
    </w:p>
    <w:p w:rsidR="005D1761" w:rsidRPr="00CA2AA1" w:rsidRDefault="005D1761" w:rsidP="00155B6F">
      <w:pPr>
        <w:suppressAutoHyphens/>
        <w:autoSpaceDE w:val="0"/>
        <w:autoSpaceDN w:val="0"/>
        <w:adjustRightInd w:val="0"/>
        <w:spacing w:after="0"/>
        <w:rPr>
          <w:rStyle w:val="Emphasis"/>
          <w:bCs/>
          <w:i w:val="0"/>
          <w:iCs w:val="0"/>
          <w:sz w:val="22"/>
          <w:lang w:eastAsia="ar-SA"/>
        </w:rPr>
      </w:pPr>
      <w:r w:rsidRPr="00A25272">
        <w:rPr>
          <w:bCs/>
          <w:lang w:eastAsia="ar-SA"/>
        </w:rPr>
        <w:t>Professor Creswell E</w:t>
      </w:r>
      <w:r w:rsidR="00CA2AA1">
        <w:rPr>
          <w:bCs/>
          <w:lang w:eastAsia="ar-SA"/>
        </w:rPr>
        <w:t xml:space="preserve">astman </w:t>
      </w:r>
      <w:r w:rsidR="00CA2AA1">
        <w:rPr>
          <w:bCs/>
          <w:lang w:eastAsia="ar-SA"/>
        </w:rPr>
        <w:br/>
      </w:r>
      <w:r w:rsidRPr="00CA2AA1">
        <w:rPr>
          <w:rStyle w:val="Emphasis"/>
        </w:rPr>
        <w:t>School of Medicine, University of Sydney, Australia</w:t>
      </w:r>
    </w:p>
    <w:p w:rsidR="0087574C" w:rsidRPr="00CA2AA1" w:rsidRDefault="005D1761" w:rsidP="00CA2AA1">
      <w:pPr>
        <w:suppressAutoHyphens/>
        <w:autoSpaceDE w:val="0"/>
        <w:autoSpaceDN w:val="0"/>
        <w:adjustRightInd w:val="0"/>
        <w:spacing w:after="0"/>
        <w:rPr>
          <w:rStyle w:val="Emphasis"/>
          <w:bCs/>
          <w:i w:val="0"/>
          <w:iCs w:val="0"/>
          <w:sz w:val="22"/>
          <w:lang w:eastAsia="ar-SA"/>
        </w:rPr>
      </w:pPr>
      <w:r>
        <w:rPr>
          <w:bCs/>
          <w:lang w:eastAsia="ar-SA"/>
        </w:rPr>
        <w:lastRenderedPageBreak/>
        <w:t xml:space="preserve">Ms </w:t>
      </w:r>
      <w:r w:rsidR="00CA2AA1">
        <w:rPr>
          <w:bCs/>
          <w:lang w:eastAsia="ar-SA"/>
        </w:rPr>
        <w:t xml:space="preserve">Judy Seal </w:t>
      </w:r>
      <w:r w:rsidR="00CA2AA1">
        <w:rPr>
          <w:bCs/>
          <w:lang w:eastAsia="ar-SA"/>
        </w:rPr>
        <w:br/>
      </w:r>
      <w:r w:rsidRPr="00CA2AA1">
        <w:rPr>
          <w:rStyle w:val="Emphasis"/>
        </w:rPr>
        <w:t>Department of Health and Human Services, Tasmania, Australia</w:t>
      </w:r>
    </w:p>
    <w:p w:rsidR="005D1761" w:rsidRPr="00CA2AA1" w:rsidRDefault="005D1761" w:rsidP="008D087E">
      <w:pPr>
        <w:pStyle w:val="Heading4"/>
        <w:numPr>
          <w:ilvl w:val="0"/>
          <w:numId w:val="0"/>
        </w:numPr>
        <w:ind w:left="864"/>
      </w:pPr>
      <w:r w:rsidRPr="00CA2AA1">
        <w:t>Observers</w:t>
      </w:r>
    </w:p>
    <w:p w:rsidR="005D1761" w:rsidRDefault="005D1761" w:rsidP="00155B6F">
      <w:pPr>
        <w:suppressAutoHyphens/>
        <w:autoSpaceDE w:val="0"/>
        <w:autoSpaceDN w:val="0"/>
        <w:adjustRightInd w:val="0"/>
        <w:spacing w:after="0"/>
        <w:rPr>
          <w:bCs/>
          <w:lang w:eastAsia="ar-SA"/>
        </w:rPr>
      </w:pPr>
      <w:r>
        <w:rPr>
          <w:bCs/>
          <w:lang w:eastAsia="ar-SA"/>
        </w:rPr>
        <w:t>Associate Professor Gary Ma</w:t>
      </w:r>
    </w:p>
    <w:p w:rsidR="005D1761" w:rsidRPr="00CA2AA1" w:rsidRDefault="005D1761" w:rsidP="00CA2AA1">
      <w:pPr>
        <w:suppressAutoHyphens/>
        <w:autoSpaceDE w:val="0"/>
        <w:autoSpaceDN w:val="0"/>
        <w:adjustRightInd w:val="0"/>
        <w:spacing w:before="0" w:after="0"/>
        <w:rPr>
          <w:rStyle w:val="Emphasis"/>
        </w:rPr>
      </w:pPr>
      <w:r w:rsidRPr="00CA2AA1">
        <w:rPr>
          <w:rStyle w:val="Emphasis"/>
        </w:rPr>
        <w:t xml:space="preserve">Asia Pacific Regional International Council for Control of Iodine Deficiency Disorders (ICCIDD) Global Network, Sydney.  </w:t>
      </w:r>
    </w:p>
    <w:p w:rsidR="005D1761" w:rsidRPr="00CA2AA1" w:rsidRDefault="005D1761" w:rsidP="008D087E">
      <w:pPr>
        <w:pStyle w:val="Heading4"/>
        <w:numPr>
          <w:ilvl w:val="0"/>
          <w:numId w:val="0"/>
        </w:numPr>
        <w:ind w:left="864"/>
      </w:pPr>
      <w:r w:rsidRPr="00CA2AA1">
        <w:t>Iodine Research Assistants</w:t>
      </w:r>
    </w:p>
    <w:p w:rsidR="005D1761" w:rsidRPr="00CA2AA1" w:rsidRDefault="005D1761" w:rsidP="00CA2AA1">
      <w:pPr>
        <w:rPr>
          <w:rStyle w:val="Emphasis"/>
          <w:i w:val="0"/>
          <w:iCs w:val="0"/>
          <w:sz w:val="22"/>
          <w:lang w:eastAsia="ar-SA"/>
        </w:rPr>
      </w:pPr>
      <w:r w:rsidRPr="00EB36DF">
        <w:rPr>
          <w:lang w:eastAsia="ar-SA"/>
        </w:rPr>
        <w:t>Zheng Feei Ma</w:t>
      </w:r>
      <w:r w:rsidR="00CA2AA1">
        <w:rPr>
          <w:lang w:eastAsia="ar-SA"/>
        </w:rPr>
        <w:br/>
      </w:r>
      <w:r w:rsidRPr="00CA2AA1">
        <w:rPr>
          <w:rStyle w:val="Emphasis"/>
        </w:rPr>
        <w:t>Department of Human Nutrition, University of Otago, New Zealand</w:t>
      </w:r>
    </w:p>
    <w:p w:rsidR="005D1761" w:rsidRPr="00CA2AA1" w:rsidRDefault="00CA2AA1" w:rsidP="00CA2AA1">
      <w:pPr>
        <w:rPr>
          <w:rStyle w:val="Emphasis"/>
          <w:i w:val="0"/>
          <w:iCs w:val="0"/>
          <w:sz w:val="22"/>
          <w:lang w:eastAsia="ar-SA"/>
        </w:rPr>
      </w:pPr>
      <w:r>
        <w:rPr>
          <w:lang w:eastAsia="ar-SA"/>
        </w:rPr>
        <w:t>Dr Sonya Cameron</w:t>
      </w:r>
      <w:r>
        <w:rPr>
          <w:lang w:eastAsia="ar-SA"/>
        </w:rPr>
        <w:br/>
      </w:r>
      <w:r w:rsidR="005D1761" w:rsidRPr="00CA2AA1">
        <w:rPr>
          <w:rStyle w:val="Emphasis"/>
        </w:rPr>
        <w:t>Department of Human Nutrition, University of Otago, New Zealand</w:t>
      </w:r>
    </w:p>
    <w:p w:rsidR="005D1761" w:rsidRPr="00CA2AA1" w:rsidRDefault="00CA2AA1" w:rsidP="00CA2AA1">
      <w:pPr>
        <w:rPr>
          <w:rStyle w:val="Emphasis"/>
          <w:i w:val="0"/>
          <w:iCs w:val="0"/>
          <w:sz w:val="22"/>
          <w:lang w:eastAsia="ar-SA"/>
        </w:rPr>
      </w:pPr>
      <w:r>
        <w:rPr>
          <w:lang w:eastAsia="ar-SA"/>
        </w:rPr>
        <w:t>Cecilia Sam</w:t>
      </w:r>
      <w:r>
        <w:rPr>
          <w:lang w:eastAsia="ar-SA"/>
        </w:rPr>
        <w:br/>
      </w:r>
      <w:r w:rsidR="005D1761" w:rsidRPr="00CA2AA1">
        <w:rPr>
          <w:rStyle w:val="Emphasis"/>
        </w:rPr>
        <w:t>Department of Human Nutrition, University of Otago, New Zealand</w:t>
      </w:r>
    </w:p>
    <w:p w:rsidR="007707E8" w:rsidRPr="00255576" w:rsidRDefault="007707E8" w:rsidP="00255576">
      <w:r w:rsidRPr="00255576">
        <w:br w:type="page"/>
      </w:r>
    </w:p>
    <w:p w:rsidR="00EA6F40" w:rsidRDefault="00EA6F40" w:rsidP="000A4E22">
      <w:pPr>
        <w:pStyle w:val="Heading1"/>
      </w:pPr>
      <w:bookmarkStart w:id="218" w:name="_Toc279228373"/>
      <w:bookmarkStart w:id="219" w:name="_Toc433621816"/>
      <w:r>
        <w:lastRenderedPageBreak/>
        <w:t>Abbreviations and Glossary</w:t>
      </w:r>
      <w:bookmarkEnd w:id="218"/>
      <w:bookmarkEnd w:id="219"/>
    </w:p>
    <w:p w:rsidR="00EA6F40" w:rsidRPr="006324E1" w:rsidRDefault="00EA6F40" w:rsidP="000A4E22">
      <w:pPr>
        <w:pStyle w:val="Heading2"/>
      </w:pPr>
      <w:bookmarkStart w:id="220" w:name="_Toc433621817"/>
      <w:r>
        <w:t>Abbreviations</w:t>
      </w:r>
      <w:bookmarkEnd w:id="220"/>
      <w:r>
        <w:t xml:space="preserve"> </w:t>
      </w:r>
    </w:p>
    <w:tbl>
      <w:tblPr>
        <w:tblW w:w="9731" w:type="dxa"/>
        <w:tblInd w:w="-25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Description w:val="Table 8.1 Abbreviations contains 2 heading columns; column 1. Acronyms and column 2. Descriptions (to each Acronyms)."/>
      </w:tblPr>
      <w:tblGrid>
        <w:gridCol w:w="1440"/>
        <w:gridCol w:w="8291"/>
      </w:tblGrid>
      <w:tr w:rsidR="00BA5093" w:rsidRPr="00BA5093" w:rsidTr="00F57EE1">
        <w:trPr>
          <w:trHeight w:val="300"/>
          <w:tblHeader/>
        </w:trPr>
        <w:tc>
          <w:tcPr>
            <w:tcW w:w="1440" w:type="dxa"/>
            <w:shd w:val="clear" w:color="auto" w:fill="auto"/>
            <w:noWrap/>
          </w:tcPr>
          <w:p w:rsidR="00BA5093" w:rsidRPr="00BA5093" w:rsidRDefault="00BA5093" w:rsidP="00EA6F40">
            <w:pPr>
              <w:spacing w:after="0"/>
              <w:rPr>
                <w:rStyle w:val="Strong"/>
              </w:rPr>
            </w:pPr>
            <w:r w:rsidRPr="00BA5093">
              <w:rPr>
                <w:rStyle w:val="Strong"/>
              </w:rPr>
              <w:t>Acronym</w:t>
            </w:r>
          </w:p>
        </w:tc>
        <w:tc>
          <w:tcPr>
            <w:tcW w:w="8291" w:type="dxa"/>
            <w:shd w:val="clear" w:color="auto" w:fill="auto"/>
            <w:noWrap/>
          </w:tcPr>
          <w:p w:rsidR="00BA5093" w:rsidRPr="00BA5093" w:rsidRDefault="00BA5093" w:rsidP="00EA6F40">
            <w:pPr>
              <w:spacing w:after="0"/>
              <w:rPr>
                <w:rStyle w:val="Strong"/>
              </w:rPr>
            </w:pPr>
            <w:r w:rsidRPr="00BA5093">
              <w:rPr>
                <w:rStyle w:val="Strong"/>
              </w:rPr>
              <w:t>Description</w:t>
            </w:r>
          </w:p>
        </w:tc>
      </w:tr>
      <w:tr w:rsidR="00EA6F40" w:rsidRPr="005E6B6A" w:rsidTr="00F57EE1">
        <w:trPr>
          <w:trHeight w:val="300"/>
        </w:trPr>
        <w:tc>
          <w:tcPr>
            <w:tcW w:w="1440" w:type="dxa"/>
            <w:shd w:val="clear" w:color="auto" w:fill="auto"/>
            <w:noWrap/>
          </w:tcPr>
          <w:p w:rsidR="00EA6F40" w:rsidRDefault="00EA6F40" w:rsidP="00EA6F40">
            <w:pPr>
              <w:spacing w:after="0"/>
              <w:rPr>
                <w:rFonts w:eastAsia="Times New Roman" w:cs="Arial"/>
                <w:color w:val="000000"/>
                <w:sz w:val="24"/>
              </w:rPr>
            </w:pPr>
            <w:r>
              <w:rPr>
                <w:rFonts w:eastAsia="Times New Roman" w:cs="Arial"/>
                <w:color w:val="000000"/>
                <w:sz w:val="24"/>
              </w:rPr>
              <w:t>ANS</w:t>
            </w:r>
          </w:p>
          <w:p w:rsidR="00EA6F40" w:rsidRPr="005E6B6A" w:rsidRDefault="00EA6F40" w:rsidP="00EA6F40">
            <w:pPr>
              <w:spacing w:after="0"/>
              <w:rPr>
                <w:rFonts w:eastAsia="Times New Roman" w:cs="Arial"/>
                <w:color w:val="000000"/>
                <w:sz w:val="24"/>
              </w:rPr>
            </w:pPr>
            <w:r>
              <w:rPr>
                <w:rFonts w:eastAsia="Times New Roman" w:cs="Arial"/>
                <w:color w:val="000000"/>
                <w:sz w:val="24"/>
              </w:rPr>
              <w:t>BOE</w:t>
            </w:r>
          </w:p>
        </w:tc>
        <w:tc>
          <w:tcPr>
            <w:tcW w:w="8291" w:type="dxa"/>
            <w:shd w:val="clear" w:color="auto" w:fill="auto"/>
            <w:noWrap/>
          </w:tcPr>
          <w:p w:rsidR="00EA6F40" w:rsidRDefault="00EA6F40" w:rsidP="00EA6F40">
            <w:pPr>
              <w:spacing w:after="0"/>
              <w:rPr>
                <w:rFonts w:eastAsia="Times New Roman" w:cs="Arial"/>
                <w:color w:val="000000"/>
                <w:sz w:val="24"/>
              </w:rPr>
            </w:pPr>
            <w:r>
              <w:rPr>
                <w:rFonts w:eastAsia="Times New Roman" w:cs="Arial"/>
                <w:color w:val="000000"/>
                <w:sz w:val="24"/>
              </w:rPr>
              <w:t>Adult Nutrition Survey</w:t>
            </w:r>
          </w:p>
          <w:p w:rsidR="00EA6F40" w:rsidRPr="005E6B6A" w:rsidRDefault="00EA6F40" w:rsidP="00EA6F40">
            <w:pPr>
              <w:spacing w:after="0"/>
              <w:rPr>
                <w:rFonts w:eastAsia="Times New Roman" w:cs="Arial"/>
                <w:color w:val="000000"/>
                <w:sz w:val="24"/>
              </w:rPr>
            </w:pPr>
            <w:r>
              <w:rPr>
                <w:rFonts w:eastAsia="Times New Roman" w:cs="Arial"/>
                <w:color w:val="000000"/>
                <w:sz w:val="24"/>
              </w:rPr>
              <w:t>Body of Evidence</w:t>
            </w:r>
          </w:p>
        </w:tc>
      </w:tr>
      <w:tr w:rsidR="00EA6F40" w:rsidRPr="005E6B6A" w:rsidTr="00F57EE1">
        <w:trPr>
          <w:trHeight w:val="300"/>
        </w:trPr>
        <w:tc>
          <w:tcPr>
            <w:tcW w:w="1440" w:type="dxa"/>
            <w:shd w:val="clear" w:color="auto" w:fill="auto"/>
            <w:noWrap/>
            <w:hideMark/>
          </w:tcPr>
          <w:p w:rsidR="00EA6F40" w:rsidRDefault="00EA6F40" w:rsidP="00EA6F40">
            <w:pPr>
              <w:spacing w:after="0"/>
              <w:rPr>
                <w:rFonts w:eastAsia="Times New Roman" w:cs="Arial"/>
                <w:color w:val="000000"/>
                <w:sz w:val="24"/>
              </w:rPr>
            </w:pPr>
            <w:r>
              <w:rPr>
                <w:rFonts w:eastAsia="Times New Roman" w:cs="Arial"/>
                <w:color w:val="000000"/>
                <w:sz w:val="24"/>
              </w:rPr>
              <w:t>DoH</w:t>
            </w:r>
          </w:p>
          <w:p w:rsidR="00EA6F40" w:rsidRPr="005E6B6A" w:rsidRDefault="00EA6F40" w:rsidP="00EA6F40">
            <w:pPr>
              <w:spacing w:after="0"/>
              <w:rPr>
                <w:rFonts w:eastAsia="Times New Roman" w:cs="Arial"/>
                <w:color w:val="000000"/>
                <w:sz w:val="24"/>
              </w:rPr>
            </w:pPr>
            <w:r w:rsidRPr="005E6B6A">
              <w:rPr>
                <w:rFonts w:eastAsia="Times New Roman" w:cs="Arial"/>
                <w:color w:val="000000"/>
                <w:sz w:val="24"/>
              </w:rPr>
              <w:t>DRIs</w:t>
            </w:r>
          </w:p>
        </w:tc>
        <w:tc>
          <w:tcPr>
            <w:tcW w:w="8291" w:type="dxa"/>
            <w:shd w:val="clear" w:color="auto" w:fill="auto"/>
            <w:noWrap/>
            <w:hideMark/>
          </w:tcPr>
          <w:p w:rsidR="00EA6F40" w:rsidRDefault="00EA6F40" w:rsidP="00EA6F40">
            <w:pPr>
              <w:spacing w:after="0"/>
              <w:rPr>
                <w:rFonts w:eastAsia="Times New Roman" w:cs="Arial"/>
                <w:color w:val="000000"/>
                <w:sz w:val="24"/>
              </w:rPr>
            </w:pPr>
            <w:r>
              <w:rPr>
                <w:rFonts w:eastAsia="Times New Roman" w:cs="Arial"/>
                <w:color w:val="000000"/>
                <w:sz w:val="24"/>
              </w:rPr>
              <w:t>Department of Health</w:t>
            </w:r>
          </w:p>
          <w:p w:rsidR="00EA6F40" w:rsidRPr="005E6B6A" w:rsidRDefault="00EA6F40" w:rsidP="00EA6F40">
            <w:pPr>
              <w:spacing w:after="0"/>
              <w:rPr>
                <w:rFonts w:eastAsia="Times New Roman" w:cs="Arial"/>
                <w:color w:val="000000"/>
                <w:sz w:val="24"/>
              </w:rPr>
            </w:pPr>
            <w:r w:rsidRPr="005E6B6A">
              <w:rPr>
                <w:rFonts w:eastAsia="Times New Roman" w:cs="Arial"/>
                <w:color w:val="000000"/>
                <w:sz w:val="24"/>
              </w:rPr>
              <w:t>Dietary Reference Intakes</w:t>
            </w:r>
          </w:p>
        </w:tc>
      </w:tr>
      <w:tr w:rsidR="00EA6F40" w:rsidRPr="005E6B6A" w:rsidTr="00F57EE1">
        <w:trPr>
          <w:trHeight w:val="300"/>
        </w:trPr>
        <w:tc>
          <w:tcPr>
            <w:tcW w:w="1440" w:type="dxa"/>
            <w:shd w:val="clear" w:color="auto" w:fill="auto"/>
            <w:noWrap/>
            <w:hideMark/>
          </w:tcPr>
          <w:p w:rsidR="00EA6F40" w:rsidRPr="005E6B6A" w:rsidRDefault="00EA6F40" w:rsidP="00EA6F40">
            <w:pPr>
              <w:spacing w:after="0"/>
              <w:rPr>
                <w:rFonts w:eastAsia="Times New Roman" w:cs="Arial"/>
                <w:color w:val="000000"/>
                <w:sz w:val="24"/>
              </w:rPr>
            </w:pPr>
            <w:r w:rsidRPr="005E6B6A">
              <w:rPr>
                <w:rFonts w:eastAsia="Times New Roman" w:cs="Arial"/>
                <w:color w:val="000000"/>
                <w:sz w:val="24"/>
              </w:rPr>
              <w:t>EAR</w:t>
            </w:r>
          </w:p>
        </w:tc>
        <w:tc>
          <w:tcPr>
            <w:tcW w:w="8291" w:type="dxa"/>
            <w:shd w:val="clear" w:color="auto" w:fill="auto"/>
            <w:noWrap/>
            <w:hideMark/>
          </w:tcPr>
          <w:p w:rsidR="00EA6F40" w:rsidRPr="005E6B6A" w:rsidRDefault="00EA6F40" w:rsidP="00EA6F40">
            <w:pPr>
              <w:spacing w:after="0"/>
              <w:rPr>
                <w:rFonts w:eastAsia="Times New Roman" w:cs="Arial"/>
                <w:color w:val="000000"/>
                <w:sz w:val="24"/>
              </w:rPr>
            </w:pPr>
            <w:r w:rsidRPr="005E6B6A">
              <w:rPr>
                <w:rFonts w:eastAsia="Times New Roman" w:cs="Arial"/>
                <w:color w:val="000000"/>
                <w:sz w:val="24"/>
              </w:rPr>
              <w:t>Estimated Average Requirement</w:t>
            </w:r>
          </w:p>
        </w:tc>
      </w:tr>
      <w:tr w:rsidR="00EA6F40" w:rsidRPr="005E6B6A" w:rsidTr="00F57EE1">
        <w:trPr>
          <w:trHeight w:val="300"/>
        </w:trPr>
        <w:tc>
          <w:tcPr>
            <w:tcW w:w="1440" w:type="dxa"/>
            <w:shd w:val="clear" w:color="auto" w:fill="auto"/>
            <w:noWrap/>
            <w:hideMark/>
          </w:tcPr>
          <w:p w:rsidR="00EA6F40" w:rsidRPr="005E6B6A" w:rsidRDefault="00EA6F40" w:rsidP="00EA6F40">
            <w:pPr>
              <w:spacing w:after="0"/>
              <w:rPr>
                <w:rFonts w:eastAsia="Times New Roman" w:cs="Arial"/>
                <w:color w:val="000000"/>
                <w:sz w:val="24"/>
              </w:rPr>
            </w:pPr>
            <w:r w:rsidRPr="005E6B6A">
              <w:rPr>
                <w:rFonts w:eastAsia="Times New Roman" w:cs="Arial"/>
                <w:color w:val="000000"/>
                <w:sz w:val="24"/>
              </w:rPr>
              <w:t>EFSA</w:t>
            </w:r>
          </w:p>
        </w:tc>
        <w:tc>
          <w:tcPr>
            <w:tcW w:w="8291" w:type="dxa"/>
            <w:shd w:val="clear" w:color="auto" w:fill="auto"/>
            <w:noWrap/>
            <w:hideMark/>
          </w:tcPr>
          <w:p w:rsidR="00EA6F40" w:rsidRPr="005E6B6A" w:rsidRDefault="00EA6F40" w:rsidP="00EA6F40">
            <w:pPr>
              <w:spacing w:after="0"/>
              <w:rPr>
                <w:rFonts w:eastAsia="Times New Roman" w:cs="Arial"/>
                <w:color w:val="000000"/>
                <w:sz w:val="24"/>
              </w:rPr>
            </w:pPr>
            <w:r w:rsidRPr="005E6B6A">
              <w:rPr>
                <w:rFonts w:eastAsia="Times New Roman" w:cs="Arial"/>
                <w:color w:val="000000"/>
                <w:sz w:val="24"/>
              </w:rPr>
              <w:t>European Food Safety Authority</w:t>
            </w:r>
          </w:p>
        </w:tc>
      </w:tr>
      <w:tr w:rsidR="00EA6F40" w:rsidRPr="005E6B6A" w:rsidTr="00F57EE1">
        <w:trPr>
          <w:trHeight w:val="300"/>
        </w:trPr>
        <w:tc>
          <w:tcPr>
            <w:tcW w:w="1440" w:type="dxa"/>
            <w:shd w:val="clear" w:color="auto" w:fill="auto"/>
            <w:noWrap/>
            <w:hideMark/>
          </w:tcPr>
          <w:p w:rsidR="00EA6F40" w:rsidRPr="005E6B6A" w:rsidRDefault="00EA6F40" w:rsidP="00EA6F40">
            <w:pPr>
              <w:spacing w:after="0"/>
              <w:rPr>
                <w:rFonts w:eastAsia="Times New Roman" w:cs="Arial"/>
                <w:color w:val="000000"/>
                <w:sz w:val="24"/>
              </w:rPr>
            </w:pPr>
            <w:r w:rsidRPr="005E6B6A">
              <w:rPr>
                <w:rFonts w:eastAsia="Times New Roman" w:cs="Arial"/>
                <w:color w:val="000000"/>
                <w:sz w:val="24"/>
              </w:rPr>
              <w:t>EER</w:t>
            </w:r>
          </w:p>
        </w:tc>
        <w:tc>
          <w:tcPr>
            <w:tcW w:w="8291" w:type="dxa"/>
            <w:shd w:val="clear" w:color="auto" w:fill="auto"/>
            <w:noWrap/>
            <w:hideMark/>
          </w:tcPr>
          <w:p w:rsidR="00EA6F40" w:rsidRPr="005E6B6A" w:rsidRDefault="00EA6F40" w:rsidP="00EA6F40">
            <w:pPr>
              <w:spacing w:after="0"/>
              <w:rPr>
                <w:rFonts w:eastAsia="Times New Roman" w:cs="Arial"/>
                <w:color w:val="000000"/>
                <w:sz w:val="24"/>
              </w:rPr>
            </w:pPr>
            <w:r w:rsidRPr="005E6B6A">
              <w:rPr>
                <w:rFonts w:eastAsia="Times New Roman" w:cs="Arial"/>
                <w:color w:val="000000"/>
                <w:sz w:val="24"/>
              </w:rPr>
              <w:t>Estimated energy requirement</w:t>
            </w:r>
          </w:p>
        </w:tc>
      </w:tr>
      <w:tr w:rsidR="00EA6F40" w:rsidRPr="005E6B6A" w:rsidTr="00F57EE1">
        <w:trPr>
          <w:trHeight w:val="300"/>
        </w:trPr>
        <w:tc>
          <w:tcPr>
            <w:tcW w:w="1440" w:type="dxa"/>
            <w:shd w:val="clear" w:color="auto" w:fill="auto"/>
            <w:noWrap/>
            <w:hideMark/>
          </w:tcPr>
          <w:p w:rsidR="00EA6F40" w:rsidRPr="005E6B6A" w:rsidRDefault="00EA6F40" w:rsidP="00EA6F40">
            <w:pPr>
              <w:spacing w:after="0"/>
              <w:rPr>
                <w:rFonts w:eastAsia="Times New Roman" w:cs="Arial"/>
                <w:color w:val="000000"/>
                <w:sz w:val="24"/>
              </w:rPr>
            </w:pPr>
            <w:r w:rsidRPr="005E6B6A">
              <w:rPr>
                <w:rFonts w:eastAsia="Times New Roman" w:cs="Arial"/>
                <w:color w:val="000000"/>
                <w:sz w:val="24"/>
              </w:rPr>
              <w:t>EWG</w:t>
            </w:r>
          </w:p>
        </w:tc>
        <w:tc>
          <w:tcPr>
            <w:tcW w:w="8291" w:type="dxa"/>
            <w:shd w:val="clear" w:color="auto" w:fill="auto"/>
            <w:noWrap/>
            <w:hideMark/>
          </w:tcPr>
          <w:p w:rsidR="00EA6F40" w:rsidRPr="005E6B6A" w:rsidRDefault="00EA6F40" w:rsidP="00EA6F40">
            <w:pPr>
              <w:spacing w:after="0"/>
              <w:rPr>
                <w:rFonts w:eastAsia="Times New Roman" w:cs="Arial"/>
                <w:color w:val="000000"/>
                <w:sz w:val="24"/>
              </w:rPr>
            </w:pPr>
            <w:r w:rsidRPr="005E6B6A">
              <w:rPr>
                <w:rFonts w:eastAsia="Times New Roman" w:cs="Arial"/>
                <w:color w:val="000000"/>
                <w:sz w:val="24"/>
              </w:rPr>
              <w:t>Expert Working Group</w:t>
            </w:r>
          </w:p>
        </w:tc>
      </w:tr>
      <w:tr w:rsidR="00EA6F40" w:rsidRPr="005E6B6A" w:rsidTr="00F57EE1">
        <w:trPr>
          <w:trHeight w:val="300"/>
        </w:trPr>
        <w:tc>
          <w:tcPr>
            <w:tcW w:w="1440" w:type="dxa"/>
            <w:shd w:val="clear" w:color="auto" w:fill="auto"/>
            <w:noWrap/>
            <w:hideMark/>
          </w:tcPr>
          <w:p w:rsidR="00EA6F40" w:rsidRPr="005E6B6A" w:rsidRDefault="00EA6F40" w:rsidP="00EA6F40">
            <w:pPr>
              <w:spacing w:after="0"/>
              <w:rPr>
                <w:rFonts w:eastAsia="Times New Roman" w:cs="Arial"/>
                <w:color w:val="000000"/>
                <w:sz w:val="24"/>
              </w:rPr>
            </w:pPr>
            <w:r w:rsidRPr="005E6B6A">
              <w:rPr>
                <w:rFonts w:eastAsia="Times New Roman" w:cs="Arial"/>
                <w:color w:val="000000"/>
                <w:sz w:val="24"/>
              </w:rPr>
              <w:t>FAO</w:t>
            </w:r>
          </w:p>
        </w:tc>
        <w:tc>
          <w:tcPr>
            <w:tcW w:w="8291" w:type="dxa"/>
            <w:shd w:val="clear" w:color="auto" w:fill="auto"/>
            <w:noWrap/>
            <w:hideMark/>
          </w:tcPr>
          <w:p w:rsidR="00EA6F40" w:rsidRPr="005E6B6A" w:rsidRDefault="00EA6F40" w:rsidP="00EA6F40">
            <w:pPr>
              <w:spacing w:after="0"/>
              <w:rPr>
                <w:rFonts w:eastAsia="Times New Roman" w:cs="Arial"/>
                <w:color w:val="000000"/>
                <w:sz w:val="24"/>
              </w:rPr>
            </w:pPr>
            <w:r w:rsidRPr="005E6B6A">
              <w:rPr>
                <w:rFonts w:eastAsia="Times New Roman" w:cs="Arial"/>
                <w:color w:val="000000"/>
                <w:sz w:val="24"/>
              </w:rPr>
              <w:t>Food and Agriculture Organization of the United Nations</w:t>
            </w:r>
          </w:p>
        </w:tc>
      </w:tr>
      <w:tr w:rsidR="00EA6F40" w:rsidRPr="005E6B6A" w:rsidTr="00F57EE1">
        <w:trPr>
          <w:trHeight w:val="300"/>
        </w:trPr>
        <w:tc>
          <w:tcPr>
            <w:tcW w:w="1440" w:type="dxa"/>
            <w:shd w:val="clear" w:color="auto" w:fill="auto"/>
            <w:noWrap/>
            <w:hideMark/>
          </w:tcPr>
          <w:p w:rsidR="00EA6F40" w:rsidRPr="005E6B6A" w:rsidRDefault="00EA6F40" w:rsidP="00EA6F40">
            <w:pPr>
              <w:spacing w:after="0"/>
              <w:rPr>
                <w:rFonts w:eastAsia="Times New Roman" w:cs="Arial"/>
                <w:color w:val="000000"/>
                <w:sz w:val="24"/>
              </w:rPr>
            </w:pPr>
            <w:r w:rsidRPr="005E6B6A">
              <w:rPr>
                <w:rFonts w:eastAsia="Times New Roman" w:cs="Arial"/>
                <w:color w:val="000000"/>
                <w:sz w:val="24"/>
              </w:rPr>
              <w:t>FNB</w:t>
            </w:r>
          </w:p>
        </w:tc>
        <w:tc>
          <w:tcPr>
            <w:tcW w:w="8291" w:type="dxa"/>
            <w:shd w:val="clear" w:color="auto" w:fill="auto"/>
            <w:noWrap/>
            <w:hideMark/>
          </w:tcPr>
          <w:p w:rsidR="00EA6F40" w:rsidRPr="005E6B6A" w:rsidRDefault="00EA6F40" w:rsidP="00EA6F40">
            <w:pPr>
              <w:spacing w:after="0"/>
              <w:rPr>
                <w:rFonts w:eastAsia="Times New Roman" w:cs="Arial"/>
                <w:color w:val="000000"/>
                <w:sz w:val="24"/>
              </w:rPr>
            </w:pPr>
            <w:r w:rsidRPr="005E6B6A">
              <w:rPr>
                <w:rFonts w:eastAsia="Times New Roman" w:cs="Arial"/>
                <w:color w:val="000000"/>
                <w:sz w:val="24"/>
              </w:rPr>
              <w:t>Food and Nutrition Board</w:t>
            </w:r>
          </w:p>
        </w:tc>
      </w:tr>
      <w:tr w:rsidR="00EA6F40" w:rsidRPr="005E6B6A" w:rsidTr="00F57EE1">
        <w:trPr>
          <w:trHeight w:val="300"/>
        </w:trPr>
        <w:tc>
          <w:tcPr>
            <w:tcW w:w="1440" w:type="dxa"/>
            <w:shd w:val="clear" w:color="auto" w:fill="auto"/>
            <w:noWrap/>
            <w:hideMark/>
          </w:tcPr>
          <w:p w:rsidR="00EA6F40" w:rsidRPr="005E6B6A" w:rsidRDefault="00EA6F40" w:rsidP="00EA6F40">
            <w:pPr>
              <w:spacing w:after="0"/>
              <w:rPr>
                <w:rFonts w:eastAsia="Times New Roman" w:cs="Arial"/>
                <w:color w:val="000000"/>
                <w:sz w:val="24"/>
              </w:rPr>
            </w:pPr>
            <w:r w:rsidRPr="005E6B6A">
              <w:rPr>
                <w:rFonts w:eastAsia="Times New Roman" w:cs="Arial"/>
                <w:color w:val="000000"/>
                <w:sz w:val="24"/>
              </w:rPr>
              <w:t>FT3</w:t>
            </w:r>
          </w:p>
        </w:tc>
        <w:tc>
          <w:tcPr>
            <w:tcW w:w="8291" w:type="dxa"/>
            <w:shd w:val="clear" w:color="auto" w:fill="auto"/>
            <w:noWrap/>
            <w:hideMark/>
          </w:tcPr>
          <w:p w:rsidR="00EA6F40" w:rsidRPr="005E6B6A" w:rsidRDefault="00EA6F40" w:rsidP="00EA6F40">
            <w:pPr>
              <w:spacing w:after="0"/>
              <w:rPr>
                <w:rFonts w:eastAsia="Times New Roman" w:cs="Arial"/>
                <w:color w:val="000000"/>
                <w:sz w:val="24"/>
              </w:rPr>
            </w:pPr>
            <w:r w:rsidRPr="005E6B6A">
              <w:rPr>
                <w:rFonts w:eastAsia="Times New Roman" w:cs="Arial"/>
                <w:color w:val="000000"/>
                <w:sz w:val="24"/>
              </w:rPr>
              <w:t>Free 3,5,3' tri-iodothyronine</w:t>
            </w:r>
          </w:p>
        </w:tc>
      </w:tr>
      <w:tr w:rsidR="00EA6F40" w:rsidRPr="005E6B6A" w:rsidTr="00F57EE1">
        <w:trPr>
          <w:trHeight w:val="300"/>
        </w:trPr>
        <w:tc>
          <w:tcPr>
            <w:tcW w:w="1440" w:type="dxa"/>
            <w:shd w:val="clear" w:color="auto" w:fill="auto"/>
            <w:noWrap/>
            <w:hideMark/>
          </w:tcPr>
          <w:p w:rsidR="00EA6F40" w:rsidRDefault="00EA6F40" w:rsidP="00EA6F40">
            <w:pPr>
              <w:spacing w:after="0"/>
              <w:rPr>
                <w:rFonts w:eastAsia="Times New Roman" w:cs="Arial"/>
                <w:color w:val="000000"/>
                <w:sz w:val="24"/>
              </w:rPr>
            </w:pPr>
            <w:r w:rsidRPr="005E6B6A">
              <w:rPr>
                <w:rFonts w:eastAsia="Times New Roman" w:cs="Arial"/>
                <w:color w:val="000000"/>
                <w:sz w:val="24"/>
              </w:rPr>
              <w:t>FT4</w:t>
            </w:r>
          </w:p>
          <w:p w:rsidR="00EA6F40" w:rsidRPr="005E6B6A" w:rsidRDefault="00EA6F40" w:rsidP="00BA5093">
            <w:pPr>
              <w:spacing w:after="0"/>
              <w:rPr>
                <w:rFonts w:eastAsia="Times New Roman" w:cs="Arial"/>
                <w:color w:val="000000"/>
                <w:sz w:val="24"/>
              </w:rPr>
            </w:pPr>
            <w:r>
              <w:rPr>
                <w:rFonts w:eastAsia="Times New Roman" w:cs="Arial"/>
                <w:color w:val="000000"/>
                <w:sz w:val="24"/>
              </w:rPr>
              <w:t xml:space="preserve">GFR </w:t>
            </w:r>
          </w:p>
        </w:tc>
        <w:tc>
          <w:tcPr>
            <w:tcW w:w="8291" w:type="dxa"/>
            <w:shd w:val="clear" w:color="auto" w:fill="auto"/>
            <w:noWrap/>
            <w:hideMark/>
          </w:tcPr>
          <w:p w:rsidR="00EA6F40" w:rsidRDefault="00EA6F40" w:rsidP="00EA6F40">
            <w:pPr>
              <w:spacing w:after="0"/>
              <w:rPr>
                <w:rFonts w:eastAsia="Times New Roman" w:cs="Arial"/>
                <w:color w:val="000000"/>
                <w:sz w:val="24"/>
              </w:rPr>
            </w:pPr>
            <w:r w:rsidRPr="005E6B6A">
              <w:rPr>
                <w:rFonts w:eastAsia="Times New Roman" w:cs="Arial"/>
                <w:color w:val="000000"/>
                <w:sz w:val="24"/>
              </w:rPr>
              <w:t>Free thyroxine</w:t>
            </w:r>
          </w:p>
          <w:p w:rsidR="00EA6F40" w:rsidRPr="005E6B6A" w:rsidRDefault="00EA6F40" w:rsidP="00EA6F40">
            <w:pPr>
              <w:spacing w:after="0"/>
              <w:rPr>
                <w:rFonts w:eastAsia="Times New Roman" w:cs="Arial"/>
                <w:color w:val="000000"/>
                <w:sz w:val="24"/>
              </w:rPr>
            </w:pPr>
            <w:r>
              <w:rPr>
                <w:rFonts w:eastAsia="Times New Roman" w:cs="Arial"/>
                <w:color w:val="000000"/>
                <w:sz w:val="24"/>
              </w:rPr>
              <w:t>Glomerular Filtration Rate</w:t>
            </w:r>
          </w:p>
        </w:tc>
      </w:tr>
      <w:tr w:rsidR="00EA6F40" w:rsidRPr="005E6B6A" w:rsidTr="00F57EE1">
        <w:trPr>
          <w:trHeight w:val="300"/>
        </w:trPr>
        <w:tc>
          <w:tcPr>
            <w:tcW w:w="1440" w:type="dxa"/>
            <w:shd w:val="clear" w:color="auto" w:fill="auto"/>
            <w:noWrap/>
            <w:hideMark/>
          </w:tcPr>
          <w:p w:rsidR="00EA6F40" w:rsidRPr="005E6B6A" w:rsidRDefault="00EA6F40" w:rsidP="00EA6F40">
            <w:pPr>
              <w:spacing w:after="0"/>
              <w:rPr>
                <w:rFonts w:eastAsia="Times New Roman" w:cs="Arial"/>
                <w:color w:val="000000"/>
                <w:sz w:val="24"/>
              </w:rPr>
            </w:pPr>
            <w:r w:rsidRPr="005E6B6A">
              <w:rPr>
                <w:rFonts w:eastAsia="Times New Roman" w:cs="Arial"/>
                <w:color w:val="000000"/>
                <w:sz w:val="24"/>
              </w:rPr>
              <w:t>ICCIDD</w:t>
            </w:r>
          </w:p>
        </w:tc>
        <w:tc>
          <w:tcPr>
            <w:tcW w:w="8291" w:type="dxa"/>
            <w:shd w:val="clear" w:color="auto" w:fill="auto"/>
            <w:noWrap/>
            <w:hideMark/>
          </w:tcPr>
          <w:p w:rsidR="00EA6F40" w:rsidRPr="005E6B6A" w:rsidRDefault="00EA6F40" w:rsidP="00EA6F40">
            <w:pPr>
              <w:spacing w:after="0"/>
              <w:rPr>
                <w:rFonts w:eastAsia="Times New Roman" w:cs="Arial"/>
                <w:color w:val="000000"/>
                <w:sz w:val="24"/>
              </w:rPr>
            </w:pPr>
            <w:r w:rsidRPr="005E6B6A">
              <w:rPr>
                <w:rFonts w:eastAsia="Times New Roman" w:cs="Arial"/>
                <w:color w:val="000000"/>
                <w:sz w:val="24"/>
              </w:rPr>
              <w:t>International Council for the Control of Iodine Deficiency Disorders</w:t>
            </w:r>
          </w:p>
        </w:tc>
      </w:tr>
      <w:tr w:rsidR="00EA6F40" w:rsidRPr="005E6B6A" w:rsidTr="00F57EE1">
        <w:trPr>
          <w:trHeight w:val="300"/>
        </w:trPr>
        <w:tc>
          <w:tcPr>
            <w:tcW w:w="1440" w:type="dxa"/>
            <w:shd w:val="clear" w:color="auto" w:fill="auto"/>
            <w:noWrap/>
            <w:hideMark/>
          </w:tcPr>
          <w:p w:rsidR="00EA6F40" w:rsidRPr="005E6B6A" w:rsidRDefault="00EA6F40" w:rsidP="00EA6F40">
            <w:pPr>
              <w:spacing w:after="0"/>
              <w:rPr>
                <w:rFonts w:eastAsia="Times New Roman" w:cs="Arial"/>
                <w:color w:val="000000"/>
                <w:sz w:val="24"/>
              </w:rPr>
            </w:pPr>
            <w:r w:rsidRPr="005E6B6A">
              <w:rPr>
                <w:rFonts w:eastAsia="Times New Roman" w:cs="Arial"/>
                <w:color w:val="000000"/>
                <w:sz w:val="24"/>
              </w:rPr>
              <w:t>ID</w:t>
            </w:r>
          </w:p>
        </w:tc>
        <w:tc>
          <w:tcPr>
            <w:tcW w:w="8291" w:type="dxa"/>
            <w:shd w:val="clear" w:color="auto" w:fill="auto"/>
            <w:noWrap/>
            <w:hideMark/>
          </w:tcPr>
          <w:p w:rsidR="00EA6F40" w:rsidRPr="005E6B6A" w:rsidRDefault="00EA6F40" w:rsidP="00EA6F40">
            <w:pPr>
              <w:spacing w:after="0"/>
              <w:rPr>
                <w:rFonts w:eastAsia="Times New Roman" w:cs="Arial"/>
                <w:color w:val="000000"/>
                <w:sz w:val="24"/>
              </w:rPr>
            </w:pPr>
            <w:r w:rsidRPr="005E6B6A">
              <w:rPr>
                <w:rFonts w:eastAsia="Times New Roman" w:cs="Arial"/>
                <w:color w:val="000000"/>
                <w:sz w:val="24"/>
              </w:rPr>
              <w:t>Iodine deficiency</w:t>
            </w:r>
          </w:p>
        </w:tc>
      </w:tr>
      <w:tr w:rsidR="00255576" w:rsidRPr="005E6B6A" w:rsidTr="00F57EE1">
        <w:trPr>
          <w:trHeight w:val="20"/>
        </w:trPr>
        <w:tc>
          <w:tcPr>
            <w:tcW w:w="1440" w:type="dxa"/>
            <w:shd w:val="clear" w:color="auto" w:fill="auto"/>
            <w:noWrap/>
          </w:tcPr>
          <w:p w:rsidR="00255576" w:rsidRPr="005E6B6A" w:rsidRDefault="00255576" w:rsidP="00EA6F40">
            <w:pPr>
              <w:spacing w:after="0"/>
              <w:rPr>
                <w:rFonts w:eastAsia="Times New Roman" w:cs="Arial"/>
                <w:color w:val="000000"/>
                <w:sz w:val="24"/>
              </w:rPr>
            </w:pPr>
            <w:r w:rsidRPr="00255576">
              <w:rPr>
                <w:rFonts w:eastAsia="Times New Roman" w:cs="Arial"/>
                <w:color w:val="000000"/>
                <w:sz w:val="24"/>
              </w:rPr>
              <w:t>IDD</w:t>
            </w:r>
          </w:p>
        </w:tc>
        <w:tc>
          <w:tcPr>
            <w:tcW w:w="8291" w:type="dxa"/>
            <w:shd w:val="clear" w:color="auto" w:fill="auto"/>
          </w:tcPr>
          <w:p w:rsidR="00255576" w:rsidRPr="005E6B6A" w:rsidRDefault="00255576" w:rsidP="00EA6F40">
            <w:pPr>
              <w:spacing w:after="0"/>
              <w:rPr>
                <w:rFonts w:eastAsia="Times New Roman" w:cs="Arial"/>
                <w:color w:val="000000"/>
                <w:sz w:val="24"/>
              </w:rPr>
            </w:pPr>
            <w:r w:rsidRPr="00255576">
              <w:rPr>
                <w:rFonts w:eastAsia="Times New Roman" w:cs="Arial"/>
                <w:color w:val="000000"/>
                <w:sz w:val="24"/>
              </w:rPr>
              <w:t>Iodine deficiency disorders</w:t>
            </w:r>
          </w:p>
        </w:tc>
      </w:tr>
      <w:tr w:rsidR="00255576" w:rsidRPr="005E6B6A" w:rsidTr="00F57EE1">
        <w:trPr>
          <w:trHeight w:val="20"/>
        </w:trPr>
        <w:tc>
          <w:tcPr>
            <w:tcW w:w="1440" w:type="dxa"/>
            <w:shd w:val="clear" w:color="auto" w:fill="auto"/>
            <w:noWrap/>
          </w:tcPr>
          <w:p w:rsidR="00255576" w:rsidRPr="005E6B6A" w:rsidRDefault="00255576" w:rsidP="00EA6F40">
            <w:pPr>
              <w:spacing w:after="0"/>
              <w:rPr>
                <w:rFonts w:eastAsia="Times New Roman" w:cs="Arial"/>
                <w:color w:val="000000"/>
                <w:sz w:val="24"/>
              </w:rPr>
            </w:pPr>
            <w:r w:rsidRPr="00255576">
              <w:rPr>
                <w:rFonts w:eastAsia="Times New Roman" w:cs="Arial"/>
                <w:color w:val="000000"/>
                <w:sz w:val="24"/>
              </w:rPr>
              <w:t>IQ</w:t>
            </w:r>
          </w:p>
        </w:tc>
        <w:tc>
          <w:tcPr>
            <w:tcW w:w="8291" w:type="dxa"/>
            <w:shd w:val="clear" w:color="auto" w:fill="auto"/>
          </w:tcPr>
          <w:p w:rsidR="00255576" w:rsidRPr="005E6B6A" w:rsidRDefault="00255576" w:rsidP="00255576">
            <w:pPr>
              <w:spacing w:after="0"/>
              <w:rPr>
                <w:rFonts w:eastAsia="Times New Roman" w:cs="Arial"/>
                <w:color w:val="000000"/>
                <w:sz w:val="24"/>
              </w:rPr>
            </w:pPr>
            <w:r w:rsidRPr="00255576">
              <w:rPr>
                <w:rFonts w:eastAsia="Times New Roman" w:cs="Arial"/>
                <w:color w:val="000000"/>
                <w:sz w:val="24"/>
              </w:rPr>
              <w:t>Intelligence Quotient</w:t>
            </w:r>
          </w:p>
        </w:tc>
      </w:tr>
      <w:tr w:rsidR="00EA6F40" w:rsidRPr="005E6B6A" w:rsidTr="00F57EE1">
        <w:trPr>
          <w:trHeight w:val="300"/>
        </w:trPr>
        <w:tc>
          <w:tcPr>
            <w:tcW w:w="1440" w:type="dxa"/>
            <w:shd w:val="clear" w:color="auto" w:fill="auto"/>
            <w:noWrap/>
          </w:tcPr>
          <w:p w:rsidR="00EA6F40" w:rsidRPr="005E6B6A" w:rsidRDefault="00255576" w:rsidP="00EA6F40">
            <w:pPr>
              <w:spacing w:after="0"/>
              <w:rPr>
                <w:rFonts w:eastAsia="Times New Roman" w:cs="Arial"/>
                <w:color w:val="000000"/>
                <w:sz w:val="24"/>
              </w:rPr>
            </w:pPr>
            <w:r w:rsidRPr="00255576">
              <w:rPr>
                <w:rFonts w:eastAsia="Times New Roman" w:cs="Arial"/>
                <w:color w:val="000000"/>
                <w:sz w:val="24"/>
              </w:rPr>
              <w:t>IOM</w:t>
            </w:r>
          </w:p>
        </w:tc>
        <w:tc>
          <w:tcPr>
            <w:tcW w:w="8291" w:type="dxa"/>
            <w:shd w:val="clear" w:color="auto" w:fill="auto"/>
            <w:noWrap/>
          </w:tcPr>
          <w:p w:rsidR="00EA6F40" w:rsidRPr="005E6B6A" w:rsidRDefault="00255576" w:rsidP="00EA6F40">
            <w:pPr>
              <w:spacing w:after="0"/>
              <w:rPr>
                <w:rFonts w:eastAsia="Times New Roman" w:cs="Arial"/>
                <w:color w:val="000000"/>
                <w:sz w:val="24"/>
              </w:rPr>
            </w:pPr>
            <w:r w:rsidRPr="00255576">
              <w:rPr>
                <w:rFonts w:eastAsia="Times New Roman" w:cs="Arial"/>
                <w:color w:val="000000"/>
                <w:sz w:val="24"/>
              </w:rPr>
              <w:t>Institute of Medicine</w:t>
            </w:r>
          </w:p>
        </w:tc>
      </w:tr>
      <w:tr w:rsidR="00255576" w:rsidRPr="005E6B6A" w:rsidTr="00F57EE1">
        <w:trPr>
          <w:trHeight w:val="300"/>
        </w:trPr>
        <w:tc>
          <w:tcPr>
            <w:tcW w:w="1440" w:type="dxa"/>
            <w:shd w:val="clear" w:color="auto" w:fill="auto"/>
            <w:noWrap/>
          </w:tcPr>
          <w:p w:rsidR="00255576" w:rsidRPr="005E6B6A" w:rsidRDefault="00255576" w:rsidP="00E912F8">
            <w:pPr>
              <w:spacing w:after="0"/>
              <w:rPr>
                <w:rFonts w:eastAsia="Times New Roman" w:cs="Arial"/>
                <w:color w:val="000000"/>
                <w:sz w:val="24"/>
              </w:rPr>
            </w:pPr>
            <w:r w:rsidRPr="005E6B6A">
              <w:rPr>
                <w:rFonts w:eastAsia="Times New Roman" w:cs="Arial"/>
                <w:color w:val="000000"/>
                <w:sz w:val="24"/>
              </w:rPr>
              <w:t>LOAEL</w:t>
            </w:r>
          </w:p>
        </w:tc>
        <w:tc>
          <w:tcPr>
            <w:tcW w:w="8291" w:type="dxa"/>
            <w:shd w:val="clear" w:color="auto" w:fill="auto"/>
            <w:noWrap/>
          </w:tcPr>
          <w:p w:rsidR="00255576" w:rsidRPr="005E6B6A" w:rsidRDefault="00255576" w:rsidP="00E912F8">
            <w:pPr>
              <w:spacing w:after="0"/>
              <w:rPr>
                <w:rFonts w:eastAsia="Times New Roman" w:cs="Arial"/>
                <w:color w:val="000000"/>
                <w:sz w:val="24"/>
              </w:rPr>
            </w:pPr>
            <w:r w:rsidRPr="005E6B6A">
              <w:rPr>
                <w:rFonts w:eastAsia="Times New Roman" w:cs="Arial"/>
                <w:color w:val="000000"/>
                <w:sz w:val="24"/>
              </w:rPr>
              <w:t>Lowest-Observed-Adverse-Effect level</w:t>
            </w:r>
          </w:p>
        </w:tc>
      </w:tr>
      <w:tr w:rsidR="00255576" w:rsidRPr="005E6B6A" w:rsidTr="00F57EE1">
        <w:trPr>
          <w:trHeight w:val="300"/>
        </w:trPr>
        <w:tc>
          <w:tcPr>
            <w:tcW w:w="1440" w:type="dxa"/>
            <w:shd w:val="clear" w:color="auto" w:fill="auto"/>
            <w:noWrap/>
            <w:hideMark/>
          </w:tcPr>
          <w:p w:rsidR="00255576" w:rsidRPr="005E6B6A" w:rsidRDefault="00255576" w:rsidP="00EA6F40">
            <w:pPr>
              <w:spacing w:after="0"/>
              <w:rPr>
                <w:rFonts w:eastAsia="Times New Roman" w:cs="Arial"/>
                <w:color w:val="000000"/>
                <w:sz w:val="24"/>
              </w:rPr>
            </w:pPr>
            <w:r w:rsidRPr="005E6B6A">
              <w:rPr>
                <w:rFonts w:eastAsia="Times New Roman" w:cs="Arial"/>
                <w:color w:val="000000"/>
                <w:sz w:val="24"/>
              </w:rPr>
              <w:t>MoH</w:t>
            </w:r>
          </w:p>
        </w:tc>
        <w:tc>
          <w:tcPr>
            <w:tcW w:w="8291" w:type="dxa"/>
            <w:shd w:val="clear" w:color="auto" w:fill="auto"/>
            <w:noWrap/>
            <w:hideMark/>
          </w:tcPr>
          <w:p w:rsidR="00255576" w:rsidRPr="005E6B6A" w:rsidRDefault="00255576" w:rsidP="00EA6F40">
            <w:pPr>
              <w:spacing w:after="0"/>
              <w:rPr>
                <w:rFonts w:eastAsia="Times New Roman" w:cs="Arial"/>
                <w:color w:val="000000"/>
                <w:sz w:val="24"/>
              </w:rPr>
            </w:pPr>
            <w:r w:rsidRPr="005E6B6A">
              <w:rPr>
                <w:rFonts w:eastAsia="Times New Roman" w:cs="Arial"/>
                <w:color w:val="000000"/>
                <w:sz w:val="24"/>
              </w:rPr>
              <w:t>Ministry of Health</w:t>
            </w:r>
          </w:p>
        </w:tc>
      </w:tr>
      <w:tr w:rsidR="00255576" w:rsidRPr="005E6B6A" w:rsidTr="00F57EE1">
        <w:trPr>
          <w:trHeight w:val="300"/>
        </w:trPr>
        <w:tc>
          <w:tcPr>
            <w:tcW w:w="1440" w:type="dxa"/>
            <w:shd w:val="clear" w:color="auto" w:fill="auto"/>
            <w:noWrap/>
            <w:hideMark/>
          </w:tcPr>
          <w:p w:rsidR="00255576" w:rsidRPr="005E6B6A" w:rsidRDefault="00255576" w:rsidP="00EA6F40">
            <w:pPr>
              <w:spacing w:after="0"/>
              <w:rPr>
                <w:rFonts w:eastAsia="Times New Roman" w:cs="Arial"/>
                <w:color w:val="000000"/>
                <w:sz w:val="24"/>
              </w:rPr>
            </w:pPr>
            <w:r w:rsidRPr="005E6B6A">
              <w:rPr>
                <w:rFonts w:eastAsia="Times New Roman" w:cs="Arial"/>
                <w:color w:val="000000"/>
                <w:sz w:val="24"/>
              </w:rPr>
              <w:t>NINS</w:t>
            </w:r>
          </w:p>
        </w:tc>
        <w:tc>
          <w:tcPr>
            <w:tcW w:w="8291" w:type="dxa"/>
            <w:shd w:val="clear" w:color="auto" w:fill="auto"/>
            <w:noWrap/>
            <w:hideMark/>
          </w:tcPr>
          <w:p w:rsidR="00255576" w:rsidRPr="005E6B6A" w:rsidRDefault="00255576" w:rsidP="00EA6F40">
            <w:pPr>
              <w:spacing w:after="0"/>
              <w:rPr>
                <w:rFonts w:eastAsia="Times New Roman" w:cs="Arial"/>
                <w:color w:val="000000"/>
                <w:sz w:val="24"/>
              </w:rPr>
            </w:pPr>
            <w:r w:rsidRPr="005E6B6A">
              <w:rPr>
                <w:rFonts w:eastAsia="Times New Roman" w:cs="Arial"/>
                <w:color w:val="000000"/>
                <w:sz w:val="24"/>
              </w:rPr>
              <w:t>National Iodine Nutrition Study</w:t>
            </w:r>
          </w:p>
        </w:tc>
      </w:tr>
      <w:tr w:rsidR="00255576" w:rsidRPr="005E6B6A" w:rsidTr="00F57EE1">
        <w:trPr>
          <w:trHeight w:val="300"/>
        </w:trPr>
        <w:tc>
          <w:tcPr>
            <w:tcW w:w="1440" w:type="dxa"/>
            <w:shd w:val="clear" w:color="auto" w:fill="auto"/>
            <w:noWrap/>
            <w:hideMark/>
          </w:tcPr>
          <w:p w:rsidR="00255576" w:rsidRPr="005E6B6A" w:rsidRDefault="00255576" w:rsidP="00EA6F40">
            <w:pPr>
              <w:spacing w:after="0"/>
              <w:rPr>
                <w:rFonts w:eastAsia="Times New Roman" w:cs="Arial"/>
                <w:color w:val="000000"/>
                <w:sz w:val="24"/>
              </w:rPr>
            </w:pPr>
            <w:r w:rsidRPr="005E6B6A">
              <w:rPr>
                <w:rFonts w:eastAsia="Times New Roman" w:cs="Arial"/>
                <w:color w:val="000000"/>
                <w:sz w:val="24"/>
              </w:rPr>
              <w:t>NHMRC</w:t>
            </w:r>
          </w:p>
        </w:tc>
        <w:tc>
          <w:tcPr>
            <w:tcW w:w="8291" w:type="dxa"/>
            <w:shd w:val="clear" w:color="auto" w:fill="auto"/>
            <w:noWrap/>
            <w:hideMark/>
          </w:tcPr>
          <w:p w:rsidR="00255576" w:rsidRPr="005E6B6A" w:rsidRDefault="00255576" w:rsidP="00EA6F40">
            <w:pPr>
              <w:spacing w:after="0"/>
              <w:rPr>
                <w:rFonts w:eastAsia="Times New Roman" w:cs="Arial"/>
                <w:color w:val="000000"/>
                <w:sz w:val="24"/>
              </w:rPr>
            </w:pPr>
            <w:r w:rsidRPr="005E6B6A">
              <w:rPr>
                <w:rFonts w:eastAsia="Times New Roman" w:cs="Arial"/>
                <w:color w:val="000000"/>
                <w:sz w:val="24"/>
              </w:rPr>
              <w:t>National Health and Medical Research Council</w:t>
            </w:r>
          </w:p>
        </w:tc>
      </w:tr>
      <w:tr w:rsidR="00255576" w:rsidRPr="005E6B6A" w:rsidTr="00F57EE1">
        <w:trPr>
          <w:trHeight w:val="300"/>
        </w:trPr>
        <w:tc>
          <w:tcPr>
            <w:tcW w:w="1440" w:type="dxa"/>
            <w:shd w:val="clear" w:color="auto" w:fill="auto"/>
            <w:noWrap/>
            <w:hideMark/>
          </w:tcPr>
          <w:p w:rsidR="00255576" w:rsidRPr="005E6B6A" w:rsidRDefault="00255576" w:rsidP="00EA6F40">
            <w:pPr>
              <w:spacing w:after="0"/>
              <w:rPr>
                <w:rFonts w:eastAsia="Times New Roman" w:cs="Arial"/>
                <w:color w:val="000000"/>
                <w:sz w:val="24"/>
              </w:rPr>
            </w:pPr>
            <w:r w:rsidRPr="005E6B6A">
              <w:rPr>
                <w:rFonts w:eastAsia="Times New Roman" w:cs="Arial"/>
                <w:color w:val="000000"/>
                <w:sz w:val="24"/>
              </w:rPr>
              <w:t>NHS</w:t>
            </w:r>
          </w:p>
        </w:tc>
        <w:tc>
          <w:tcPr>
            <w:tcW w:w="8291" w:type="dxa"/>
            <w:shd w:val="clear" w:color="auto" w:fill="auto"/>
            <w:noWrap/>
            <w:hideMark/>
          </w:tcPr>
          <w:p w:rsidR="00255576" w:rsidRPr="005E6B6A" w:rsidRDefault="00255576" w:rsidP="00EA6F40">
            <w:pPr>
              <w:spacing w:after="0"/>
              <w:rPr>
                <w:rFonts w:eastAsia="Times New Roman" w:cs="Arial"/>
                <w:color w:val="000000"/>
                <w:sz w:val="24"/>
              </w:rPr>
            </w:pPr>
            <w:r w:rsidRPr="005E6B6A">
              <w:rPr>
                <w:rFonts w:eastAsia="Times New Roman" w:cs="Arial"/>
                <w:color w:val="000000"/>
                <w:sz w:val="24"/>
              </w:rPr>
              <w:t>National Health Survey</w:t>
            </w:r>
          </w:p>
        </w:tc>
      </w:tr>
      <w:tr w:rsidR="00255576" w:rsidRPr="005E6B6A" w:rsidTr="00F57EE1">
        <w:trPr>
          <w:trHeight w:val="300"/>
        </w:trPr>
        <w:tc>
          <w:tcPr>
            <w:tcW w:w="1440" w:type="dxa"/>
            <w:shd w:val="clear" w:color="auto" w:fill="auto"/>
            <w:noWrap/>
            <w:hideMark/>
          </w:tcPr>
          <w:p w:rsidR="00255576" w:rsidRPr="005E6B6A" w:rsidRDefault="00255576" w:rsidP="00EA6F40">
            <w:pPr>
              <w:spacing w:after="0"/>
              <w:rPr>
                <w:rFonts w:eastAsia="Times New Roman" w:cs="Arial"/>
                <w:color w:val="000000"/>
                <w:sz w:val="24"/>
              </w:rPr>
            </w:pPr>
            <w:r w:rsidRPr="005E6B6A">
              <w:rPr>
                <w:rFonts w:eastAsia="Times New Roman" w:cs="Arial"/>
                <w:color w:val="000000"/>
                <w:sz w:val="24"/>
              </w:rPr>
              <w:t>NRVs</w:t>
            </w:r>
          </w:p>
        </w:tc>
        <w:tc>
          <w:tcPr>
            <w:tcW w:w="8291" w:type="dxa"/>
            <w:shd w:val="clear" w:color="auto" w:fill="auto"/>
            <w:noWrap/>
            <w:hideMark/>
          </w:tcPr>
          <w:p w:rsidR="00255576" w:rsidRPr="005E6B6A" w:rsidRDefault="00255576" w:rsidP="00EA6F40">
            <w:pPr>
              <w:spacing w:after="0"/>
              <w:rPr>
                <w:rFonts w:eastAsia="Times New Roman" w:cs="Arial"/>
                <w:color w:val="000000"/>
                <w:sz w:val="24"/>
              </w:rPr>
            </w:pPr>
            <w:r w:rsidRPr="005E6B6A">
              <w:rPr>
                <w:rFonts w:eastAsia="Times New Roman" w:cs="Arial"/>
                <w:color w:val="000000"/>
                <w:sz w:val="24"/>
              </w:rPr>
              <w:t>Nutrient Reference Values</w:t>
            </w:r>
          </w:p>
        </w:tc>
      </w:tr>
      <w:tr w:rsidR="00255576" w:rsidRPr="005E6B6A" w:rsidTr="00F57EE1">
        <w:trPr>
          <w:trHeight w:val="300"/>
        </w:trPr>
        <w:tc>
          <w:tcPr>
            <w:tcW w:w="1440" w:type="dxa"/>
            <w:shd w:val="clear" w:color="auto" w:fill="auto"/>
            <w:noWrap/>
          </w:tcPr>
          <w:p w:rsidR="00255576" w:rsidRPr="005E6B6A" w:rsidRDefault="00255576" w:rsidP="00EA6F40">
            <w:pPr>
              <w:spacing w:after="0"/>
              <w:rPr>
                <w:rFonts w:eastAsia="Times New Roman" w:cs="Arial"/>
                <w:color w:val="000000"/>
                <w:sz w:val="24"/>
              </w:rPr>
            </w:pPr>
            <w:r w:rsidRPr="005E6B6A">
              <w:rPr>
                <w:rFonts w:eastAsia="Times New Roman" w:cs="Arial"/>
                <w:color w:val="000000"/>
                <w:sz w:val="24"/>
              </w:rPr>
              <w:t>NZ</w:t>
            </w:r>
          </w:p>
        </w:tc>
        <w:tc>
          <w:tcPr>
            <w:tcW w:w="8291" w:type="dxa"/>
            <w:shd w:val="clear" w:color="auto" w:fill="auto"/>
            <w:noWrap/>
          </w:tcPr>
          <w:p w:rsidR="00255576" w:rsidRPr="005E6B6A" w:rsidRDefault="00255576" w:rsidP="00EA6F40">
            <w:pPr>
              <w:spacing w:after="0"/>
              <w:rPr>
                <w:rFonts w:eastAsia="Times New Roman" w:cs="Arial"/>
                <w:color w:val="000000"/>
                <w:sz w:val="24"/>
              </w:rPr>
            </w:pPr>
            <w:r w:rsidRPr="005E6B6A">
              <w:rPr>
                <w:rFonts w:eastAsia="Times New Roman" w:cs="Arial"/>
                <w:color w:val="000000"/>
                <w:sz w:val="24"/>
              </w:rPr>
              <w:t>New Zealand</w:t>
            </w:r>
          </w:p>
        </w:tc>
      </w:tr>
      <w:tr w:rsidR="00255576" w:rsidRPr="005E6B6A" w:rsidTr="00F57EE1">
        <w:trPr>
          <w:trHeight w:val="300"/>
        </w:trPr>
        <w:tc>
          <w:tcPr>
            <w:tcW w:w="1440" w:type="dxa"/>
            <w:shd w:val="clear" w:color="auto" w:fill="auto"/>
            <w:noWrap/>
          </w:tcPr>
          <w:p w:rsidR="00255576" w:rsidRPr="005E6B6A" w:rsidRDefault="00255576" w:rsidP="00EA6F40">
            <w:pPr>
              <w:spacing w:after="0"/>
              <w:rPr>
                <w:rFonts w:eastAsia="Times New Roman" w:cs="Arial"/>
                <w:color w:val="000000"/>
                <w:sz w:val="24"/>
              </w:rPr>
            </w:pPr>
            <w:r>
              <w:rPr>
                <w:rFonts w:eastAsia="Times New Roman" w:cs="Arial"/>
                <w:color w:val="000000"/>
                <w:sz w:val="24"/>
              </w:rPr>
              <w:t>PICO</w:t>
            </w:r>
          </w:p>
        </w:tc>
        <w:tc>
          <w:tcPr>
            <w:tcW w:w="8291" w:type="dxa"/>
            <w:shd w:val="clear" w:color="auto" w:fill="auto"/>
            <w:noWrap/>
          </w:tcPr>
          <w:p w:rsidR="00255576" w:rsidRPr="005E6B6A" w:rsidRDefault="00255576" w:rsidP="00EA6F40">
            <w:pPr>
              <w:spacing w:after="0"/>
              <w:rPr>
                <w:rFonts w:eastAsia="Times New Roman" w:cs="Arial"/>
                <w:color w:val="000000"/>
                <w:sz w:val="24"/>
              </w:rPr>
            </w:pPr>
            <w:r>
              <w:rPr>
                <w:rFonts w:eastAsia="Times New Roman" w:cs="Arial"/>
                <w:color w:val="000000"/>
                <w:sz w:val="24"/>
              </w:rPr>
              <w:t>Population, Intervention, Comparator, Outcome</w:t>
            </w:r>
          </w:p>
        </w:tc>
      </w:tr>
      <w:tr w:rsidR="00255576" w:rsidRPr="005E6B6A" w:rsidTr="00F57EE1">
        <w:trPr>
          <w:trHeight w:val="300"/>
        </w:trPr>
        <w:tc>
          <w:tcPr>
            <w:tcW w:w="1440" w:type="dxa"/>
            <w:shd w:val="clear" w:color="auto" w:fill="auto"/>
            <w:noWrap/>
          </w:tcPr>
          <w:p w:rsidR="00255576" w:rsidRPr="005E6B6A" w:rsidRDefault="00255576" w:rsidP="00EA6F40">
            <w:pPr>
              <w:spacing w:after="0"/>
              <w:rPr>
                <w:rFonts w:eastAsia="Times New Roman" w:cs="Arial"/>
                <w:color w:val="000000"/>
                <w:sz w:val="24"/>
              </w:rPr>
            </w:pPr>
            <w:r>
              <w:rPr>
                <w:rFonts w:eastAsia="Times New Roman" w:cs="Arial"/>
                <w:color w:val="000000"/>
                <w:sz w:val="24"/>
              </w:rPr>
              <w:t>PUL</w:t>
            </w:r>
          </w:p>
        </w:tc>
        <w:tc>
          <w:tcPr>
            <w:tcW w:w="8291" w:type="dxa"/>
            <w:shd w:val="clear" w:color="auto" w:fill="auto"/>
            <w:noWrap/>
          </w:tcPr>
          <w:p w:rsidR="00255576" w:rsidRPr="005E6B6A" w:rsidRDefault="00255576" w:rsidP="00EA6F40">
            <w:pPr>
              <w:spacing w:after="0"/>
              <w:rPr>
                <w:rFonts w:eastAsia="Times New Roman" w:cs="Arial"/>
                <w:color w:val="000000"/>
                <w:sz w:val="24"/>
              </w:rPr>
            </w:pPr>
            <w:r>
              <w:rPr>
                <w:rFonts w:eastAsia="Times New Roman" w:cs="Arial"/>
                <w:color w:val="000000"/>
                <w:sz w:val="24"/>
              </w:rPr>
              <w:t>Provisional Upper Level of Intake</w:t>
            </w:r>
          </w:p>
        </w:tc>
      </w:tr>
      <w:tr w:rsidR="00255576" w:rsidRPr="005E6B6A" w:rsidTr="00F57EE1">
        <w:trPr>
          <w:trHeight w:val="300"/>
        </w:trPr>
        <w:tc>
          <w:tcPr>
            <w:tcW w:w="1440" w:type="dxa"/>
            <w:shd w:val="clear" w:color="auto" w:fill="auto"/>
            <w:noWrap/>
            <w:hideMark/>
          </w:tcPr>
          <w:p w:rsidR="00255576" w:rsidRPr="005E6B6A" w:rsidRDefault="00255576" w:rsidP="00EA6F40">
            <w:pPr>
              <w:spacing w:after="0"/>
              <w:rPr>
                <w:rFonts w:eastAsia="Times New Roman" w:cs="Arial"/>
                <w:color w:val="000000"/>
                <w:sz w:val="24"/>
              </w:rPr>
            </w:pPr>
            <w:r>
              <w:rPr>
                <w:rFonts w:eastAsia="Times New Roman" w:cs="Arial"/>
                <w:color w:val="000000"/>
                <w:sz w:val="24"/>
              </w:rPr>
              <w:t>RCT</w:t>
            </w:r>
          </w:p>
        </w:tc>
        <w:tc>
          <w:tcPr>
            <w:tcW w:w="8291" w:type="dxa"/>
            <w:shd w:val="clear" w:color="auto" w:fill="auto"/>
            <w:noWrap/>
            <w:hideMark/>
          </w:tcPr>
          <w:p w:rsidR="00255576" w:rsidRPr="005E6B6A" w:rsidRDefault="00255576" w:rsidP="00EA6F40">
            <w:pPr>
              <w:spacing w:after="0"/>
              <w:rPr>
                <w:rFonts w:eastAsia="Times New Roman" w:cs="Arial"/>
                <w:color w:val="000000"/>
                <w:sz w:val="24"/>
              </w:rPr>
            </w:pPr>
            <w:r>
              <w:rPr>
                <w:rFonts w:eastAsia="Times New Roman" w:cs="Arial"/>
                <w:color w:val="000000"/>
                <w:sz w:val="24"/>
              </w:rPr>
              <w:t>Randomised controlled trial</w:t>
            </w:r>
          </w:p>
        </w:tc>
      </w:tr>
      <w:tr w:rsidR="00255576" w:rsidRPr="005E6B6A" w:rsidTr="00F57EE1">
        <w:trPr>
          <w:trHeight w:val="300"/>
        </w:trPr>
        <w:tc>
          <w:tcPr>
            <w:tcW w:w="1440" w:type="dxa"/>
            <w:shd w:val="clear" w:color="auto" w:fill="auto"/>
            <w:noWrap/>
            <w:hideMark/>
          </w:tcPr>
          <w:p w:rsidR="00255576" w:rsidRPr="005E6B6A" w:rsidRDefault="00255576" w:rsidP="00EA6F40">
            <w:pPr>
              <w:spacing w:after="0"/>
              <w:rPr>
                <w:rFonts w:eastAsia="Times New Roman" w:cs="Arial"/>
                <w:color w:val="000000"/>
                <w:sz w:val="24"/>
              </w:rPr>
            </w:pPr>
            <w:r w:rsidRPr="005E6B6A">
              <w:rPr>
                <w:rFonts w:eastAsia="Times New Roman" w:cs="Arial"/>
                <w:color w:val="000000"/>
                <w:sz w:val="24"/>
              </w:rPr>
              <w:lastRenderedPageBreak/>
              <w:t>RDI</w:t>
            </w:r>
          </w:p>
        </w:tc>
        <w:tc>
          <w:tcPr>
            <w:tcW w:w="8291" w:type="dxa"/>
            <w:shd w:val="clear" w:color="auto" w:fill="auto"/>
            <w:noWrap/>
            <w:hideMark/>
          </w:tcPr>
          <w:p w:rsidR="00255576" w:rsidRPr="005E6B6A" w:rsidRDefault="00255576" w:rsidP="00EA6F40">
            <w:pPr>
              <w:spacing w:after="0"/>
              <w:rPr>
                <w:rFonts w:eastAsia="Times New Roman" w:cs="Arial"/>
                <w:color w:val="000000"/>
                <w:sz w:val="24"/>
              </w:rPr>
            </w:pPr>
            <w:r w:rsidRPr="005E6B6A">
              <w:rPr>
                <w:rFonts w:eastAsia="Times New Roman" w:cs="Arial"/>
                <w:color w:val="000000"/>
                <w:sz w:val="24"/>
              </w:rPr>
              <w:t>Recommended Dietary Intake</w:t>
            </w:r>
          </w:p>
        </w:tc>
      </w:tr>
      <w:tr w:rsidR="00255576" w:rsidRPr="005E6B6A" w:rsidTr="00F57EE1">
        <w:trPr>
          <w:trHeight w:val="300"/>
        </w:trPr>
        <w:tc>
          <w:tcPr>
            <w:tcW w:w="1440" w:type="dxa"/>
            <w:shd w:val="clear" w:color="auto" w:fill="auto"/>
            <w:noWrap/>
            <w:hideMark/>
          </w:tcPr>
          <w:p w:rsidR="00255576" w:rsidRPr="005E6B6A" w:rsidRDefault="00255576" w:rsidP="00EA6F40">
            <w:pPr>
              <w:spacing w:after="0"/>
              <w:rPr>
                <w:rFonts w:eastAsia="Times New Roman" w:cs="Arial"/>
                <w:sz w:val="24"/>
              </w:rPr>
            </w:pPr>
            <w:r w:rsidRPr="005E6B6A">
              <w:rPr>
                <w:rFonts w:eastAsia="Times New Roman" w:cs="Arial"/>
                <w:sz w:val="24"/>
              </w:rPr>
              <w:t>SDT</w:t>
            </w:r>
          </w:p>
        </w:tc>
        <w:tc>
          <w:tcPr>
            <w:tcW w:w="8291" w:type="dxa"/>
            <w:shd w:val="clear" w:color="auto" w:fill="auto"/>
            <w:noWrap/>
            <w:hideMark/>
          </w:tcPr>
          <w:p w:rsidR="00255576" w:rsidRPr="005E6B6A" w:rsidRDefault="00255576" w:rsidP="00EA6F40">
            <w:pPr>
              <w:spacing w:after="0"/>
              <w:rPr>
                <w:rFonts w:eastAsia="Times New Roman" w:cs="Arial"/>
                <w:color w:val="000000"/>
                <w:sz w:val="24"/>
              </w:rPr>
            </w:pPr>
            <w:r w:rsidRPr="005E6B6A">
              <w:rPr>
                <w:rFonts w:eastAsia="Times New Roman" w:cs="Arial"/>
                <w:color w:val="000000"/>
                <w:sz w:val="24"/>
              </w:rPr>
              <w:t>Suggested Dietary Target</w:t>
            </w:r>
          </w:p>
        </w:tc>
      </w:tr>
      <w:tr w:rsidR="00255576" w:rsidRPr="005E6B6A" w:rsidTr="00F57EE1">
        <w:trPr>
          <w:trHeight w:val="300"/>
        </w:trPr>
        <w:tc>
          <w:tcPr>
            <w:tcW w:w="1440" w:type="dxa"/>
            <w:shd w:val="clear" w:color="auto" w:fill="auto"/>
            <w:noWrap/>
            <w:hideMark/>
          </w:tcPr>
          <w:p w:rsidR="00255576" w:rsidRPr="005E6B6A" w:rsidRDefault="00255576" w:rsidP="00EA6F40">
            <w:pPr>
              <w:spacing w:after="0"/>
              <w:rPr>
                <w:rFonts w:eastAsia="Times New Roman" w:cs="Arial"/>
                <w:sz w:val="24"/>
              </w:rPr>
            </w:pPr>
            <w:r w:rsidRPr="005E6B6A">
              <w:rPr>
                <w:rFonts w:eastAsia="Times New Roman" w:cs="Arial"/>
                <w:sz w:val="24"/>
              </w:rPr>
              <w:t>T</w:t>
            </w:r>
            <w:r w:rsidRPr="00E27103">
              <w:rPr>
                <w:rFonts w:eastAsia="Times New Roman" w:cs="Arial"/>
                <w:sz w:val="24"/>
                <w:vertAlign w:val="subscript"/>
              </w:rPr>
              <w:t>3</w:t>
            </w:r>
          </w:p>
        </w:tc>
        <w:tc>
          <w:tcPr>
            <w:tcW w:w="8291" w:type="dxa"/>
            <w:shd w:val="clear" w:color="auto" w:fill="auto"/>
            <w:noWrap/>
            <w:hideMark/>
          </w:tcPr>
          <w:p w:rsidR="00255576" w:rsidRPr="005E6B6A" w:rsidRDefault="00255576" w:rsidP="00EA6F40">
            <w:pPr>
              <w:spacing w:after="0"/>
              <w:rPr>
                <w:rFonts w:eastAsia="Times New Roman" w:cs="Arial"/>
                <w:color w:val="000000"/>
                <w:sz w:val="24"/>
              </w:rPr>
            </w:pPr>
            <w:r w:rsidRPr="005E6B6A">
              <w:rPr>
                <w:rFonts w:eastAsia="Times New Roman" w:cs="Arial"/>
                <w:color w:val="000000"/>
                <w:sz w:val="24"/>
              </w:rPr>
              <w:t>3,5,3' tri-iodothyronine</w:t>
            </w:r>
          </w:p>
        </w:tc>
      </w:tr>
      <w:tr w:rsidR="00255576" w:rsidRPr="005E6B6A" w:rsidTr="00F57EE1">
        <w:trPr>
          <w:trHeight w:val="300"/>
        </w:trPr>
        <w:tc>
          <w:tcPr>
            <w:tcW w:w="1440" w:type="dxa"/>
            <w:shd w:val="clear" w:color="auto" w:fill="auto"/>
            <w:noWrap/>
            <w:hideMark/>
          </w:tcPr>
          <w:p w:rsidR="00255576" w:rsidRPr="005E6B6A" w:rsidRDefault="00255576" w:rsidP="00EA6F40">
            <w:pPr>
              <w:spacing w:after="0"/>
              <w:rPr>
                <w:rFonts w:eastAsia="Times New Roman" w:cs="Arial"/>
                <w:sz w:val="24"/>
              </w:rPr>
            </w:pPr>
            <w:r w:rsidRPr="005E6B6A">
              <w:rPr>
                <w:rFonts w:eastAsia="Times New Roman" w:cs="Arial"/>
                <w:sz w:val="24"/>
              </w:rPr>
              <w:t>T</w:t>
            </w:r>
            <w:r w:rsidRPr="00E27103">
              <w:rPr>
                <w:rFonts w:eastAsia="Times New Roman" w:cs="Arial"/>
                <w:sz w:val="24"/>
                <w:vertAlign w:val="subscript"/>
              </w:rPr>
              <w:t>4</w:t>
            </w:r>
          </w:p>
        </w:tc>
        <w:tc>
          <w:tcPr>
            <w:tcW w:w="8291" w:type="dxa"/>
            <w:shd w:val="clear" w:color="auto" w:fill="auto"/>
            <w:noWrap/>
            <w:hideMark/>
          </w:tcPr>
          <w:p w:rsidR="00255576" w:rsidRPr="005E6B6A" w:rsidRDefault="00255576" w:rsidP="00EA6F40">
            <w:pPr>
              <w:spacing w:after="0"/>
              <w:rPr>
                <w:rFonts w:eastAsia="Times New Roman" w:cs="Arial"/>
                <w:color w:val="000000"/>
                <w:sz w:val="24"/>
              </w:rPr>
            </w:pPr>
            <w:r w:rsidRPr="005E6B6A">
              <w:rPr>
                <w:rFonts w:eastAsia="Times New Roman" w:cs="Arial"/>
                <w:color w:val="000000"/>
                <w:sz w:val="24"/>
              </w:rPr>
              <w:t>Thyroxine</w:t>
            </w:r>
          </w:p>
        </w:tc>
      </w:tr>
      <w:tr w:rsidR="00255576" w:rsidRPr="005E6B6A" w:rsidTr="00F57EE1">
        <w:trPr>
          <w:trHeight w:val="300"/>
        </w:trPr>
        <w:tc>
          <w:tcPr>
            <w:tcW w:w="1440" w:type="dxa"/>
            <w:shd w:val="clear" w:color="auto" w:fill="auto"/>
            <w:noWrap/>
            <w:hideMark/>
          </w:tcPr>
          <w:p w:rsidR="00255576" w:rsidRPr="005E6B6A" w:rsidRDefault="00255576" w:rsidP="00EA6F40">
            <w:pPr>
              <w:spacing w:after="0"/>
              <w:rPr>
                <w:rFonts w:eastAsia="Times New Roman" w:cs="Arial"/>
                <w:sz w:val="24"/>
              </w:rPr>
            </w:pPr>
            <w:r w:rsidRPr="005E6B6A">
              <w:rPr>
                <w:rFonts w:eastAsia="Times New Roman" w:cs="Arial"/>
                <w:sz w:val="24"/>
              </w:rPr>
              <w:t>Tg</w:t>
            </w:r>
          </w:p>
        </w:tc>
        <w:tc>
          <w:tcPr>
            <w:tcW w:w="8291" w:type="dxa"/>
            <w:shd w:val="clear" w:color="auto" w:fill="auto"/>
            <w:noWrap/>
            <w:hideMark/>
          </w:tcPr>
          <w:p w:rsidR="00255576" w:rsidRPr="005E6B6A" w:rsidRDefault="00255576" w:rsidP="00EA6F40">
            <w:pPr>
              <w:spacing w:after="0"/>
              <w:rPr>
                <w:rFonts w:eastAsia="Times New Roman" w:cs="Arial"/>
                <w:color w:val="000000"/>
                <w:sz w:val="24"/>
              </w:rPr>
            </w:pPr>
            <w:r w:rsidRPr="005E6B6A">
              <w:rPr>
                <w:rFonts w:eastAsia="Times New Roman" w:cs="Arial"/>
                <w:color w:val="000000"/>
                <w:sz w:val="24"/>
              </w:rPr>
              <w:t>Thyroglobulin</w:t>
            </w:r>
          </w:p>
        </w:tc>
      </w:tr>
      <w:tr w:rsidR="00255576" w:rsidRPr="005E6B6A" w:rsidTr="00F57EE1">
        <w:trPr>
          <w:trHeight w:val="300"/>
        </w:trPr>
        <w:tc>
          <w:tcPr>
            <w:tcW w:w="1440" w:type="dxa"/>
            <w:shd w:val="clear" w:color="auto" w:fill="auto"/>
            <w:noWrap/>
            <w:hideMark/>
          </w:tcPr>
          <w:p w:rsidR="00255576" w:rsidRPr="005E6B6A" w:rsidRDefault="00255576" w:rsidP="00EA6F40">
            <w:pPr>
              <w:spacing w:after="0"/>
              <w:rPr>
                <w:rFonts w:eastAsia="Times New Roman" w:cs="Arial"/>
                <w:sz w:val="24"/>
              </w:rPr>
            </w:pPr>
            <w:r w:rsidRPr="005E6B6A">
              <w:rPr>
                <w:rFonts w:eastAsia="Times New Roman" w:cs="Arial"/>
                <w:sz w:val="24"/>
              </w:rPr>
              <w:t>TgAb</w:t>
            </w:r>
          </w:p>
        </w:tc>
        <w:tc>
          <w:tcPr>
            <w:tcW w:w="8291" w:type="dxa"/>
            <w:shd w:val="clear" w:color="auto" w:fill="auto"/>
            <w:noWrap/>
            <w:hideMark/>
          </w:tcPr>
          <w:p w:rsidR="00255576" w:rsidRPr="005E6B6A" w:rsidRDefault="00255576" w:rsidP="00EA6F40">
            <w:pPr>
              <w:spacing w:after="0"/>
              <w:rPr>
                <w:rFonts w:eastAsia="Times New Roman" w:cs="Arial"/>
                <w:color w:val="000000"/>
                <w:sz w:val="24"/>
              </w:rPr>
            </w:pPr>
            <w:r w:rsidRPr="005E6B6A">
              <w:rPr>
                <w:rFonts w:eastAsia="Times New Roman" w:cs="Arial"/>
                <w:color w:val="000000"/>
                <w:sz w:val="24"/>
              </w:rPr>
              <w:t>Thyroglobulin antibody</w:t>
            </w:r>
          </w:p>
        </w:tc>
      </w:tr>
      <w:tr w:rsidR="00255576" w:rsidRPr="005E6B6A" w:rsidTr="00F57EE1">
        <w:trPr>
          <w:trHeight w:val="300"/>
        </w:trPr>
        <w:tc>
          <w:tcPr>
            <w:tcW w:w="1440" w:type="dxa"/>
            <w:shd w:val="clear" w:color="auto" w:fill="auto"/>
            <w:noWrap/>
            <w:hideMark/>
          </w:tcPr>
          <w:p w:rsidR="00255576" w:rsidRPr="005E6B6A" w:rsidRDefault="00255576" w:rsidP="00EA6F40">
            <w:pPr>
              <w:spacing w:after="0"/>
              <w:rPr>
                <w:rFonts w:eastAsia="Times New Roman" w:cs="Arial"/>
                <w:sz w:val="24"/>
              </w:rPr>
            </w:pPr>
            <w:r w:rsidRPr="005E6B6A">
              <w:rPr>
                <w:rFonts w:eastAsia="Times New Roman" w:cs="Arial"/>
                <w:sz w:val="24"/>
              </w:rPr>
              <w:t>TPOAb</w:t>
            </w:r>
          </w:p>
        </w:tc>
        <w:tc>
          <w:tcPr>
            <w:tcW w:w="8291" w:type="dxa"/>
            <w:shd w:val="clear" w:color="auto" w:fill="auto"/>
            <w:noWrap/>
            <w:hideMark/>
          </w:tcPr>
          <w:p w:rsidR="00255576" w:rsidRPr="005E6B6A" w:rsidRDefault="00255576" w:rsidP="00EA6F40">
            <w:pPr>
              <w:spacing w:after="0"/>
              <w:rPr>
                <w:rFonts w:eastAsia="Times New Roman" w:cs="Arial"/>
                <w:color w:val="000000"/>
                <w:sz w:val="24"/>
              </w:rPr>
            </w:pPr>
            <w:r w:rsidRPr="005E6B6A">
              <w:rPr>
                <w:rFonts w:eastAsia="Times New Roman" w:cs="Arial"/>
                <w:color w:val="000000"/>
                <w:sz w:val="24"/>
              </w:rPr>
              <w:t>Thyroid peroxidase antibody</w:t>
            </w:r>
          </w:p>
        </w:tc>
      </w:tr>
      <w:tr w:rsidR="00255576" w:rsidRPr="005E6B6A" w:rsidTr="00F57EE1">
        <w:trPr>
          <w:trHeight w:val="300"/>
        </w:trPr>
        <w:tc>
          <w:tcPr>
            <w:tcW w:w="1440" w:type="dxa"/>
            <w:shd w:val="clear" w:color="auto" w:fill="auto"/>
            <w:noWrap/>
            <w:hideMark/>
          </w:tcPr>
          <w:p w:rsidR="00255576" w:rsidRPr="005E6B6A" w:rsidRDefault="00255576" w:rsidP="00EA6F40">
            <w:pPr>
              <w:spacing w:after="0"/>
              <w:rPr>
                <w:rFonts w:eastAsia="Times New Roman" w:cs="Arial"/>
                <w:color w:val="000000"/>
                <w:sz w:val="24"/>
              </w:rPr>
            </w:pPr>
            <w:r w:rsidRPr="005E6B6A">
              <w:rPr>
                <w:rFonts w:eastAsia="Times New Roman" w:cs="Arial"/>
                <w:color w:val="000000"/>
                <w:sz w:val="24"/>
              </w:rPr>
              <w:t>TSH</w:t>
            </w:r>
          </w:p>
        </w:tc>
        <w:tc>
          <w:tcPr>
            <w:tcW w:w="8291" w:type="dxa"/>
            <w:shd w:val="clear" w:color="auto" w:fill="auto"/>
            <w:noWrap/>
            <w:hideMark/>
          </w:tcPr>
          <w:p w:rsidR="00255576" w:rsidRPr="005E6B6A" w:rsidRDefault="00255576" w:rsidP="00EA6F40">
            <w:pPr>
              <w:spacing w:after="0"/>
              <w:rPr>
                <w:rFonts w:eastAsia="Times New Roman" w:cs="Arial"/>
                <w:color w:val="000000"/>
                <w:sz w:val="24"/>
              </w:rPr>
            </w:pPr>
            <w:r w:rsidRPr="005E6B6A">
              <w:rPr>
                <w:rFonts w:eastAsia="Times New Roman" w:cs="Arial"/>
                <w:color w:val="000000"/>
                <w:sz w:val="24"/>
              </w:rPr>
              <w:t>Thyroid stimulating hormone</w:t>
            </w:r>
          </w:p>
        </w:tc>
      </w:tr>
      <w:tr w:rsidR="00255576" w:rsidRPr="005E6B6A" w:rsidTr="00F57EE1">
        <w:trPr>
          <w:trHeight w:val="300"/>
        </w:trPr>
        <w:tc>
          <w:tcPr>
            <w:tcW w:w="1440" w:type="dxa"/>
            <w:shd w:val="clear" w:color="auto" w:fill="auto"/>
            <w:noWrap/>
            <w:hideMark/>
          </w:tcPr>
          <w:p w:rsidR="00255576" w:rsidRPr="005E6B6A" w:rsidRDefault="00255576" w:rsidP="00EA6F40">
            <w:pPr>
              <w:spacing w:after="0"/>
              <w:rPr>
                <w:rFonts w:eastAsia="Times New Roman" w:cs="Arial"/>
                <w:color w:val="000000"/>
                <w:sz w:val="24"/>
              </w:rPr>
            </w:pPr>
            <w:r w:rsidRPr="005E6B6A">
              <w:rPr>
                <w:rFonts w:eastAsia="Times New Roman" w:cs="Arial"/>
                <w:color w:val="000000"/>
                <w:sz w:val="24"/>
              </w:rPr>
              <w:t>UIC</w:t>
            </w:r>
          </w:p>
        </w:tc>
        <w:tc>
          <w:tcPr>
            <w:tcW w:w="8291" w:type="dxa"/>
            <w:shd w:val="clear" w:color="auto" w:fill="auto"/>
            <w:noWrap/>
            <w:hideMark/>
          </w:tcPr>
          <w:p w:rsidR="00255576" w:rsidRPr="005E6B6A" w:rsidRDefault="00255576" w:rsidP="00EA6F40">
            <w:pPr>
              <w:spacing w:after="0"/>
              <w:rPr>
                <w:rFonts w:eastAsia="Times New Roman" w:cs="Arial"/>
                <w:color w:val="000000"/>
                <w:sz w:val="24"/>
              </w:rPr>
            </w:pPr>
            <w:r w:rsidRPr="005E6B6A">
              <w:rPr>
                <w:rFonts w:eastAsia="Times New Roman" w:cs="Arial"/>
                <w:color w:val="000000"/>
                <w:sz w:val="24"/>
              </w:rPr>
              <w:t>Urinary iodine concentration</w:t>
            </w:r>
          </w:p>
        </w:tc>
      </w:tr>
      <w:tr w:rsidR="00255576" w:rsidRPr="005E6B6A" w:rsidTr="00F57EE1">
        <w:trPr>
          <w:trHeight w:val="300"/>
        </w:trPr>
        <w:tc>
          <w:tcPr>
            <w:tcW w:w="1440" w:type="dxa"/>
            <w:shd w:val="clear" w:color="auto" w:fill="auto"/>
            <w:noWrap/>
            <w:hideMark/>
          </w:tcPr>
          <w:p w:rsidR="00255576" w:rsidRPr="005E6B6A" w:rsidRDefault="00255576" w:rsidP="00EA6F40">
            <w:pPr>
              <w:spacing w:after="0"/>
              <w:rPr>
                <w:rFonts w:eastAsia="Times New Roman" w:cs="Arial"/>
                <w:color w:val="000000"/>
                <w:sz w:val="24"/>
              </w:rPr>
            </w:pPr>
            <w:r w:rsidRPr="005E6B6A">
              <w:rPr>
                <w:rFonts w:eastAsia="Times New Roman" w:cs="Arial"/>
                <w:color w:val="000000"/>
                <w:sz w:val="24"/>
              </w:rPr>
              <w:t>UIE</w:t>
            </w:r>
          </w:p>
        </w:tc>
        <w:tc>
          <w:tcPr>
            <w:tcW w:w="8291" w:type="dxa"/>
            <w:shd w:val="clear" w:color="auto" w:fill="auto"/>
            <w:noWrap/>
            <w:hideMark/>
          </w:tcPr>
          <w:p w:rsidR="00255576" w:rsidRPr="005E6B6A" w:rsidRDefault="00255576" w:rsidP="00EA6F40">
            <w:pPr>
              <w:spacing w:after="0"/>
              <w:rPr>
                <w:rFonts w:eastAsia="Times New Roman" w:cs="Arial"/>
                <w:color w:val="000000"/>
                <w:sz w:val="24"/>
              </w:rPr>
            </w:pPr>
            <w:r w:rsidRPr="005E6B6A">
              <w:rPr>
                <w:rFonts w:eastAsia="Times New Roman" w:cs="Arial"/>
                <w:color w:val="000000"/>
                <w:sz w:val="24"/>
              </w:rPr>
              <w:t>Urinary iodine excretion</w:t>
            </w:r>
          </w:p>
        </w:tc>
      </w:tr>
      <w:tr w:rsidR="00255576" w:rsidRPr="005E6B6A" w:rsidTr="00F57EE1">
        <w:trPr>
          <w:trHeight w:val="300"/>
        </w:trPr>
        <w:tc>
          <w:tcPr>
            <w:tcW w:w="1440" w:type="dxa"/>
            <w:shd w:val="clear" w:color="auto" w:fill="auto"/>
            <w:noWrap/>
            <w:hideMark/>
          </w:tcPr>
          <w:p w:rsidR="00255576" w:rsidRPr="005E6B6A" w:rsidRDefault="00255576" w:rsidP="00EA6F40">
            <w:pPr>
              <w:spacing w:after="0"/>
              <w:rPr>
                <w:rFonts w:eastAsia="Times New Roman" w:cs="Arial"/>
                <w:color w:val="000000"/>
                <w:sz w:val="24"/>
              </w:rPr>
            </w:pPr>
            <w:r w:rsidRPr="005E6B6A">
              <w:rPr>
                <w:rFonts w:eastAsia="Times New Roman" w:cs="Arial"/>
                <w:color w:val="000000"/>
                <w:sz w:val="24"/>
              </w:rPr>
              <w:t>UL</w:t>
            </w:r>
          </w:p>
        </w:tc>
        <w:tc>
          <w:tcPr>
            <w:tcW w:w="8291" w:type="dxa"/>
            <w:shd w:val="clear" w:color="auto" w:fill="auto"/>
            <w:noWrap/>
            <w:hideMark/>
          </w:tcPr>
          <w:p w:rsidR="00255576" w:rsidRPr="005E6B6A" w:rsidRDefault="00255576" w:rsidP="00EA6F40">
            <w:pPr>
              <w:spacing w:after="0"/>
              <w:rPr>
                <w:rFonts w:eastAsia="Times New Roman" w:cs="Arial"/>
                <w:color w:val="000000"/>
                <w:sz w:val="24"/>
              </w:rPr>
            </w:pPr>
            <w:r w:rsidRPr="005E6B6A">
              <w:rPr>
                <w:rFonts w:eastAsia="Times New Roman" w:cs="Arial"/>
                <w:color w:val="000000"/>
                <w:sz w:val="24"/>
              </w:rPr>
              <w:t>Upper Levels of Intake</w:t>
            </w:r>
          </w:p>
        </w:tc>
      </w:tr>
      <w:tr w:rsidR="00255576" w:rsidRPr="005E6B6A" w:rsidTr="00F57EE1">
        <w:trPr>
          <w:trHeight w:val="300"/>
        </w:trPr>
        <w:tc>
          <w:tcPr>
            <w:tcW w:w="1440" w:type="dxa"/>
            <w:shd w:val="clear" w:color="auto" w:fill="auto"/>
            <w:noWrap/>
            <w:hideMark/>
          </w:tcPr>
          <w:p w:rsidR="00255576" w:rsidRPr="005E6B6A" w:rsidRDefault="00255576" w:rsidP="00EA6F40">
            <w:pPr>
              <w:spacing w:after="0"/>
              <w:rPr>
                <w:rFonts w:eastAsia="Times New Roman" w:cs="Arial"/>
                <w:color w:val="000000"/>
                <w:sz w:val="24"/>
              </w:rPr>
            </w:pPr>
            <w:r w:rsidRPr="005E6B6A">
              <w:rPr>
                <w:rFonts w:eastAsia="Times New Roman" w:cs="Arial"/>
                <w:color w:val="000000"/>
                <w:sz w:val="24"/>
              </w:rPr>
              <w:t>UNU</w:t>
            </w:r>
          </w:p>
        </w:tc>
        <w:tc>
          <w:tcPr>
            <w:tcW w:w="8291" w:type="dxa"/>
            <w:shd w:val="clear" w:color="auto" w:fill="auto"/>
            <w:noWrap/>
            <w:hideMark/>
          </w:tcPr>
          <w:p w:rsidR="00255576" w:rsidRPr="005E6B6A" w:rsidRDefault="00255576" w:rsidP="00EA6F40">
            <w:pPr>
              <w:spacing w:after="0"/>
              <w:rPr>
                <w:rFonts w:eastAsia="Times New Roman" w:cs="Arial"/>
                <w:color w:val="000000"/>
                <w:sz w:val="24"/>
              </w:rPr>
            </w:pPr>
            <w:r w:rsidRPr="005E6B6A">
              <w:rPr>
                <w:rFonts w:eastAsia="Times New Roman" w:cs="Arial"/>
                <w:color w:val="000000"/>
                <w:sz w:val="24"/>
              </w:rPr>
              <w:t>United Nations University</w:t>
            </w:r>
          </w:p>
        </w:tc>
      </w:tr>
      <w:tr w:rsidR="00255576" w:rsidRPr="005E6B6A" w:rsidTr="00F57EE1">
        <w:trPr>
          <w:trHeight w:val="300"/>
        </w:trPr>
        <w:tc>
          <w:tcPr>
            <w:tcW w:w="1440" w:type="dxa"/>
            <w:shd w:val="clear" w:color="auto" w:fill="auto"/>
            <w:noWrap/>
            <w:hideMark/>
          </w:tcPr>
          <w:p w:rsidR="00255576" w:rsidRPr="005E6B6A" w:rsidRDefault="00255576" w:rsidP="00EA6F40">
            <w:pPr>
              <w:spacing w:after="0"/>
              <w:rPr>
                <w:rFonts w:eastAsia="Times New Roman" w:cs="Arial"/>
                <w:color w:val="000000"/>
                <w:sz w:val="24"/>
              </w:rPr>
            </w:pPr>
            <w:r w:rsidRPr="005E6B6A">
              <w:rPr>
                <w:rFonts w:eastAsia="Times New Roman" w:cs="Arial"/>
                <w:color w:val="000000"/>
                <w:sz w:val="24"/>
              </w:rPr>
              <w:t>UNICEF</w:t>
            </w:r>
          </w:p>
        </w:tc>
        <w:tc>
          <w:tcPr>
            <w:tcW w:w="8291" w:type="dxa"/>
            <w:shd w:val="clear" w:color="auto" w:fill="auto"/>
            <w:noWrap/>
            <w:hideMark/>
          </w:tcPr>
          <w:p w:rsidR="00255576" w:rsidRPr="005E6B6A" w:rsidRDefault="00255576" w:rsidP="00EA6F40">
            <w:pPr>
              <w:spacing w:after="0"/>
              <w:rPr>
                <w:rFonts w:eastAsia="Times New Roman" w:cs="Arial"/>
                <w:color w:val="000000"/>
                <w:sz w:val="24"/>
              </w:rPr>
            </w:pPr>
            <w:r w:rsidRPr="005E6B6A">
              <w:rPr>
                <w:rFonts w:eastAsia="Times New Roman" w:cs="Arial"/>
                <w:color w:val="000000"/>
                <w:sz w:val="24"/>
              </w:rPr>
              <w:t>United Nations Children's Fund (formerly United Nations International Children's Emergency Fund)</w:t>
            </w:r>
          </w:p>
        </w:tc>
      </w:tr>
      <w:tr w:rsidR="00255576" w:rsidRPr="005E6B6A" w:rsidTr="00F57EE1">
        <w:trPr>
          <w:trHeight w:val="300"/>
        </w:trPr>
        <w:tc>
          <w:tcPr>
            <w:tcW w:w="1440" w:type="dxa"/>
            <w:shd w:val="clear" w:color="auto" w:fill="auto"/>
            <w:noWrap/>
            <w:hideMark/>
          </w:tcPr>
          <w:p w:rsidR="00255576" w:rsidRPr="005E6B6A" w:rsidRDefault="00255576" w:rsidP="00EA6F40">
            <w:pPr>
              <w:spacing w:after="0"/>
              <w:rPr>
                <w:rFonts w:eastAsia="Times New Roman" w:cs="Arial"/>
                <w:color w:val="000000"/>
                <w:sz w:val="24"/>
              </w:rPr>
            </w:pPr>
            <w:r w:rsidRPr="005E6B6A">
              <w:rPr>
                <w:rFonts w:eastAsia="Times New Roman" w:cs="Arial"/>
                <w:color w:val="000000"/>
                <w:sz w:val="24"/>
              </w:rPr>
              <w:t>WHO</w:t>
            </w:r>
          </w:p>
        </w:tc>
        <w:tc>
          <w:tcPr>
            <w:tcW w:w="8291" w:type="dxa"/>
            <w:shd w:val="clear" w:color="auto" w:fill="auto"/>
            <w:noWrap/>
            <w:hideMark/>
          </w:tcPr>
          <w:p w:rsidR="00255576" w:rsidRPr="005E6B6A" w:rsidRDefault="00255576" w:rsidP="00EA6F40">
            <w:pPr>
              <w:spacing w:after="0"/>
              <w:rPr>
                <w:rFonts w:eastAsia="Times New Roman" w:cs="Arial"/>
                <w:color w:val="000000"/>
                <w:sz w:val="24"/>
              </w:rPr>
            </w:pPr>
            <w:r w:rsidRPr="005E6B6A">
              <w:rPr>
                <w:rFonts w:eastAsia="Times New Roman" w:cs="Arial"/>
                <w:color w:val="000000"/>
                <w:sz w:val="24"/>
              </w:rPr>
              <w:t>World Health Organization</w:t>
            </w:r>
          </w:p>
        </w:tc>
      </w:tr>
    </w:tbl>
    <w:p w:rsidR="00EA6F40" w:rsidRPr="005E6B6A" w:rsidRDefault="00EA6F40" w:rsidP="000A4E22">
      <w:pPr>
        <w:pStyle w:val="Heading2"/>
      </w:pPr>
      <w:bookmarkStart w:id="221" w:name="_Toc433621818"/>
      <w:r w:rsidRPr="005E6B6A">
        <w:t>G</w:t>
      </w:r>
      <w:r>
        <w:t>lossary</w:t>
      </w:r>
      <w:bookmarkEnd w:id="221"/>
    </w:p>
    <w:tbl>
      <w:tblPr>
        <w:tblW w:w="9720" w:type="dxa"/>
        <w:tblInd w:w="-25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Description w:val="Table 8.2 Glossary contains 2 heading columns; column 1. Termss and column 2. Descriptions (to each term)."/>
      </w:tblPr>
      <w:tblGrid>
        <w:gridCol w:w="2340"/>
        <w:gridCol w:w="7380"/>
      </w:tblGrid>
      <w:tr w:rsidR="002652A1" w:rsidRPr="002652A1" w:rsidTr="00F57EE1">
        <w:trPr>
          <w:trHeight w:val="300"/>
          <w:tblHeader/>
        </w:trPr>
        <w:tc>
          <w:tcPr>
            <w:tcW w:w="2340" w:type="dxa"/>
            <w:shd w:val="clear" w:color="auto" w:fill="auto"/>
            <w:noWrap/>
          </w:tcPr>
          <w:p w:rsidR="002652A1" w:rsidRPr="002652A1" w:rsidRDefault="002652A1" w:rsidP="00EA6F40">
            <w:pPr>
              <w:rPr>
                <w:rStyle w:val="Strong"/>
              </w:rPr>
            </w:pPr>
            <w:r w:rsidRPr="002652A1">
              <w:rPr>
                <w:rStyle w:val="Strong"/>
              </w:rPr>
              <w:t>Term</w:t>
            </w:r>
          </w:p>
        </w:tc>
        <w:tc>
          <w:tcPr>
            <w:tcW w:w="7380" w:type="dxa"/>
            <w:shd w:val="clear" w:color="auto" w:fill="auto"/>
            <w:noWrap/>
          </w:tcPr>
          <w:p w:rsidR="002652A1" w:rsidRPr="002652A1" w:rsidRDefault="002652A1" w:rsidP="00EA6F40">
            <w:pPr>
              <w:rPr>
                <w:rStyle w:val="Strong"/>
              </w:rPr>
            </w:pPr>
            <w:r w:rsidRPr="002652A1">
              <w:rPr>
                <w:rStyle w:val="Strong"/>
              </w:rPr>
              <w:t>Description</w:t>
            </w:r>
          </w:p>
        </w:tc>
      </w:tr>
      <w:tr w:rsidR="00EA6F40" w:rsidRPr="005E6B6A" w:rsidTr="00F57EE1">
        <w:trPr>
          <w:trHeight w:val="300"/>
        </w:trPr>
        <w:tc>
          <w:tcPr>
            <w:tcW w:w="2340" w:type="dxa"/>
            <w:shd w:val="clear" w:color="auto" w:fill="auto"/>
            <w:noWrap/>
            <w:hideMark/>
          </w:tcPr>
          <w:p w:rsidR="00EA6F40" w:rsidRPr="005E6B6A" w:rsidRDefault="00EA6F40" w:rsidP="00EA6F40">
            <w:pPr>
              <w:rPr>
                <w:sz w:val="24"/>
              </w:rPr>
            </w:pPr>
            <w:r w:rsidRPr="005E6B6A">
              <w:rPr>
                <w:sz w:val="24"/>
              </w:rPr>
              <w:t>Adequate Intake (AI)</w:t>
            </w:r>
          </w:p>
        </w:tc>
        <w:tc>
          <w:tcPr>
            <w:tcW w:w="7380" w:type="dxa"/>
            <w:shd w:val="clear" w:color="auto" w:fill="auto"/>
            <w:noWrap/>
            <w:hideMark/>
          </w:tcPr>
          <w:p w:rsidR="00EA6F40" w:rsidRPr="005E6B6A" w:rsidRDefault="00EA6F40" w:rsidP="00EA6F40">
            <w:pPr>
              <w:rPr>
                <w:sz w:val="24"/>
              </w:rPr>
            </w:pPr>
            <w:r w:rsidRPr="005E6B6A">
              <w:rPr>
                <w:sz w:val="24"/>
              </w:rPr>
              <w:t xml:space="preserve">The recommended average daily intake level based on observed or experimentally determined approximations or estimates of nutrient intake by a group (or groups) of apparently healthy people that are assumed to be adequate-used when an </w:t>
            </w:r>
            <w:r>
              <w:rPr>
                <w:sz w:val="24"/>
              </w:rPr>
              <w:t xml:space="preserve">RDI or </w:t>
            </w:r>
            <w:r w:rsidRPr="005E6B6A">
              <w:rPr>
                <w:sz w:val="24"/>
              </w:rPr>
              <w:t>RDA cannot be determined.</w:t>
            </w:r>
          </w:p>
        </w:tc>
      </w:tr>
      <w:tr w:rsidR="00EA6F40" w:rsidRPr="005E6B6A" w:rsidTr="00F57EE1">
        <w:trPr>
          <w:trHeight w:val="300"/>
        </w:trPr>
        <w:tc>
          <w:tcPr>
            <w:tcW w:w="2340" w:type="dxa"/>
            <w:shd w:val="clear" w:color="auto" w:fill="auto"/>
            <w:noWrap/>
            <w:hideMark/>
          </w:tcPr>
          <w:p w:rsidR="00EA6F40" w:rsidRPr="005E6B6A" w:rsidRDefault="00EA6F40" w:rsidP="00EA6F40">
            <w:pPr>
              <w:rPr>
                <w:sz w:val="24"/>
              </w:rPr>
            </w:pPr>
            <w:r w:rsidRPr="005E6B6A">
              <w:rPr>
                <w:sz w:val="24"/>
              </w:rPr>
              <w:t>Acceptable Macronutrient Distribution Range (AMDR)</w:t>
            </w:r>
          </w:p>
        </w:tc>
        <w:tc>
          <w:tcPr>
            <w:tcW w:w="7380" w:type="dxa"/>
            <w:shd w:val="clear" w:color="auto" w:fill="auto"/>
            <w:noWrap/>
            <w:hideMark/>
          </w:tcPr>
          <w:p w:rsidR="00EA6F40" w:rsidRPr="005E6B6A" w:rsidRDefault="00EA6F40" w:rsidP="00EA6F40">
            <w:pPr>
              <w:rPr>
                <w:sz w:val="24"/>
              </w:rPr>
            </w:pPr>
            <w:r w:rsidRPr="005E6B6A">
              <w:rPr>
                <w:sz w:val="24"/>
              </w:rPr>
              <w:t>An estimate of the range of intake for each macronutrient (expressed as percent contribution to energy), which would allow for an adequate intake of all the other nutrients while maximizing good health (applies only to adults and young people aged 14 years and over).</w:t>
            </w:r>
          </w:p>
        </w:tc>
      </w:tr>
      <w:tr w:rsidR="00EA6F40" w:rsidRPr="005E6B6A" w:rsidTr="00F57EE1">
        <w:trPr>
          <w:trHeight w:val="300"/>
        </w:trPr>
        <w:tc>
          <w:tcPr>
            <w:tcW w:w="2340" w:type="dxa"/>
            <w:shd w:val="clear" w:color="auto" w:fill="auto"/>
            <w:noWrap/>
            <w:hideMark/>
          </w:tcPr>
          <w:p w:rsidR="00EA6F40" w:rsidRPr="005E6B6A" w:rsidRDefault="00EA6F40" w:rsidP="00EA6F40">
            <w:pPr>
              <w:rPr>
                <w:sz w:val="24"/>
              </w:rPr>
            </w:pPr>
            <w:r w:rsidRPr="005E6B6A">
              <w:rPr>
                <w:sz w:val="24"/>
              </w:rPr>
              <w:t>Dietary Reference Intakes (DRIs)</w:t>
            </w:r>
          </w:p>
        </w:tc>
        <w:tc>
          <w:tcPr>
            <w:tcW w:w="7380" w:type="dxa"/>
            <w:shd w:val="clear" w:color="auto" w:fill="auto"/>
            <w:noWrap/>
            <w:hideMark/>
          </w:tcPr>
          <w:p w:rsidR="00EA6F40" w:rsidRPr="005E6B6A" w:rsidRDefault="00EA6F40" w:rsidP="00EA6F40">
            <w:pPr>
              <w:rPr>
                <w:sz w:val="24"/>
              </w:rPr>
            </w:pPr>
            <w:r w:rsidRPr="005E6B6A">
              <w:rPr>
                <w:sz w:val="24"/>
              </w:rPr>
              <w:t>A set of four reference values</w:t>
            </w:r>
            <w:r>
              <w:rPr>
                <w:sz w:val="24"/>
              </w:rPr>
              <w:t xml:space="preserve"> for USA and Canada</w:t>
            </w:r>
            <w:r w:rsidRPr="005E6B6A">
              <w:rPr>
                <w:sz w:val="24"/>
              </w:rPr>
              <w:t>: Estimated Average Requirements (EAR), Recommended Dietary Allowances (RDA), Adequate Intakes (AI) and Tolerable Upper Intake Levels (UL).</w:t>
            </w:r>
          </w:p>
        </w:tc>
      </w:tr>
      <w:tr w:rsidR="00EA6F40" w:rsidRPr="005E6B6A" w:rsidTr="00F57EE1">
        <w:trPr>
          <w:trHeight w:val="300"/>
        </w:trPr>
        <w:tc>
          <w:tcPr>
            <w:tcW w:w="2340" w:type="dxa"/>
            <w:shd w:val="clear" w:color="auto" w:fill="auto"/>
            <w:noWrap/>
            <w:hideMark/>
          </w:tcPr>
          <w:p w:rsidR="00EA6F40" w:rsidRPr="005E6B6A" w:rsidRDefault="00EA6F40" w:rsidP="00EA6F40">
            <w:pPr>
              <w:rPr>
                <w:sz w:val="24"/>
              </w:rPr>
            </w:pPr>
            <w:r w:rsidRPr="005E6B6A">
              <w:rPr>
                <w:sz w:val="24"/>
              </w:rPr>
              <w:t>Estimated Average Requirement (EAR)</w:t>
            </w:r>
          </w:p>
        </w:tc>
        <w:tc>
          <w:tcPr>
            <w:tcW w:w="7380" w:type="dxa"/>
            <w:shd w:val="clear" w:color="auto" w:fill="auto"/>
            <w:noWrap/>
            <w:hideMark/>
          </w:tcPr>
          <w:p w:rsidR="00EA6F40" w:rsidRPr="005E6B6A" w:rsidRDefault="00EA6F40" w:rsidP="00EA6F40">
            <w:pPr>
              <w:rPr>
                <w:sz w:val="24"/>
              </w:rPr>
            </w:pPr>
            <w:r w:rsidRPr="005E6B6A">
              <w:rPr>
                <w:sz w:val="24"/>
              </w:rPr>
              <w:t>A daily nutrient level estimated to meet the requirements of half of the healthy individuals in a particular life stage and gender group.</w:t>
            </w:r>
          </w:p>
        </w:tc>
      </w:tr>
      <w:tr w:rsidR="00EA6F40" w:rsidRPr="005E6B6A" w:rsidTr="00F57EE1">
        <w:trPr>
          <w:trHeight w:val="300"/>
        </w:trPr>
        <w:tc>
          <w:tcPr>
            <w:tcW w:w="2340" w:type="dxa"/>
            <w:shd w:val="clear" w:color="auto" w:fill="auto"/>
            <w:noWrap/>
            <w:hideMark/>
          </w:tcPr>
          <w:p w:rsidR="00EA6F40" w:rsidRPr="005E6B6A" w:rsidRDefault="00EA6F40" w:rsidP="00EA6F40">
            <w:pPr>
              <w:rPr>
                <w:sz w:val="24"/>
              </w:rPr>
            </w:pPr>
            <w:r w:rsidRPr="005E6B6A">
              <w:rPr>
                <w:sz w:val="24"/>
              </w:rPr>
              <w:t xml:space="preserve">Estimated energy </w:t>
            </w:r>
            <w:r w:rsidRPr="005E6B6A">
              <w:rPr>
                <w:sz w:val="24"/>
              </w:rPr>
              <w:lastRenderedPageBreak/>
              <w:t>requirement (EER)</w:t>
            </w:r>
          </w:p>
        </w:tc>
        <w:tc>
          <w:tcPr>
            <w:tcW w:w="7380" w:type="dxa"/>
            <w:shd w:val="clear" w:color="auto" w:fill="auto"/>
            <w:noWrap/>
            <w:hideMark/>
          </w:tcPr>
          <w:p w:rsidR="00EA6F40" w:rsidRPr="005E6B6A" w:rsidRDefault="00EA6F40" w:rsidP="00EA6F40">
            <w:pPr>
              <w:rPr>
                <w:sz w:val="24"/>
              </w:rPr>
            </w:pPr>
            <w:r w:rsidRPr="005E6B6A">
              <w:rPr>
                <w:sz w:val="24"/>
              </w:rPr>
              <w:lastRenderedPageBreak/>
              <w:t xml:space="preserve">The average dietary energy intake that is predicted to maintain energy balance in a healthy adult of a defined age, gender, weight and level of </w:t>
            </w:r>
            <w:r w:rsidRPr="005E6B6A">
              <w:rPr>
                <w:sz w:val="24"/>
              </w:rPr>
              <w:lastRenderedPageBreak/>
              <w:t>physical activity, consistent with good health. For children and for pregnant and lactating women, the EER include needs associated with growth or the secretion of milk at rates consistent with good health.</w:t>
            </w:r>
          </w:p>
        </w:tc>
      </w:tr>
      <w:tr w:rsidR="00EA6F40" w:rsidRPr="005E6B6A" w:rsidTr="00F57EE1">
        <w:trPr>
          <w:trHeight w:val="300"/>
        </w:trPr>
        <w:tc>
          <w:tcPr>
            <w:tcW w:w="2340" w:type="dxa"/>
            <w:shd w:val="clear" w:color="auto" w:fill="auto"/>
            <w:noWrap/>
            <w:hideMark/>
          </w:tcPr>
          <w:p w:rsidR="00EA6F40" w:rsidRPr="005E6B6A" w:rsidRDefault="00EA6F40" w:rsidP="00EA6F40">
            <w:pPr>
              <w:rPr>
                <w:sz w:val="24"/>
              </w:rPr>
            </w:pPr>
            <w:r w:rsidRPr="005E6B6A">
              <w:rPr>
                <w:sz w:val="24"/>
              </w:rPr>
              <w:lastRenderedPageBreak/>
              <w:t>Iodine deficiency disorders (IDD)</w:t>
            </w:r>
          </w:p>
        </w:tc>
        <w:tc>
          <w:tcPr>
            <w:tcW w:w="7380" w:type="dxa"/>
            <w:shd w:val="clear" w:color="auto" w:fill="auto"/>
            <w:noWrap/>
            <w:hideMark/>
          </w:tcPr>
          <w:p w:rsidR="00EA6F40" w:rsidRPr="005E6B6A" w:rsidRDefault="00EA6F40" w:rsidP="00EA6F40">
            <w:pPr>
              <w:rPr>
                <w:sz w:val="24"/>
              </w:rPr>
            </w:pPr>
            <w:r w:rsidRPr="005E6B6A">
              <w:rPr>
                <w:sz w:val="24"/>
              </w:rPr>
              <w:t>A range of health consequences or abnormalities of the body resulting from a prolonged lack or insufficient intake of iodine, ranging from simple goitre to cretinism, which is a condition of severely stunted physical and mental growth.</w:t>
            </w:r>
          </w:p>
        </w:tc>
      </w:tr>
      <w:tr w:rsidR="00EA6F40" w:rsidRPr="005E6B6A" w:rsidTr="00F57EE1">
        <w:trPr>
          <w:trHeight w:val="300"/>
        </w:trPr>
        <w:tc>
          <w:tcPr>
            <w:tcW w:w="2340" w:type="dxa"/>
            <w:shd w:val="clear" w:color="auto" w:fill="auto"/>
            <w:noWrap/>
            <w:hideMark/>
          </w:tcPr>
          <w:p w:rsidR="00EA6F40" w:rsidRPr="005E6B6A" w:rsidRDefault="00EA6F40" w:rsidP="00EA6F40">
            <w:pPr>
              <w:rPr>
                <w:sz w:val="24"/>
              </w:rPr>
            </w:pPr>
            <w:r w:rsidRPr="005E6B6A">
              <w:rPr>
                <w:sz w:val="24"/>
              </w:rPr>
              <w:t>Lowest-Observed-Adverse-Effect level (LOAEL)</w:t>
            </w:r>
          </w:p>
        </w:tc>
        <w:tc>
          <w:tcPr>
            <w:tcW w:w="7380" w:type="dxa"/>
            <w:shd w:val="clear" w:color="auto" w:fill="auto"/>
            <w:noWrap/>
            <w:hideMark/>
          </w:tcPr>
          <w:p w:rsidR="00EA6F40" w:rsidRPr="005E6B6A" w:rsidRDefault="00EA6F40" w:rsidP="00EA6F40">
            <w:pPr>
              <w:rPr>
                <w:sz w:val="24"/>
              </w:rPr>
            </w:pPr>
            <w:r w:rsidRPr="005E6B6A">
              <w:rPr>
                <w:sz w:val="24"/>
              </w:rPr>
              <w:t>The lowest tested dose of a substance that has been reported to cause harmful (adverse) healt</w:t>
            </w:r>
            <w:r w:rsidR="00207751">
              <w:rPr>
                <w:sz w:val="24"/>
              </w:rPr>
              <w:t>h effects on people or animals.</w:t>
            </w:r>
          </w:p>
        </w:tc>
      </w:tr>
      <w:tr w:rsidR="00EA6F40" w:rsidRPr="005E6B6A" w:rsidTr="00F57EE1">
        <w:trPr>
          <w:trHeight w:val="300"/>
        </w:trPr>
        <w:tc>
          <w:tcPr>
            <w:tcW w:w="2340" w:type="dxa"/>
            <w:shd w:val="clear" w:color="auto" w:fill="auto"/>
            <w:noWrap/>
            <w:hideMark/>
          </w:tcPr>
          <w:p w:rsidR="00EA6F40" w:rsidRPr="005E6B6A" w:rsidRDefault="00EA6F40" w:rsidP="00EA6F40">
            <w:pPr>
              <w:rPr>
                <w:sz w:val="24"/>
              </w:rPr>
            </w:pPr>
            <w:r w:rsidRPr="005E6B6A">
              <w:rPr>
                <w:sz w:val="24"/>
              </w:rPr>
              <w:t>New Zealand Adult Nutrition Survey 2008/09 (ANS)</w:t>
            </w:r>
          </w:p>
        </w:tc>
        <w:tc>
          <w:tcPr>
            <w:tcW w:w="7380" w:type="dxa"/>
            <w:shd w:val="clear" w:color="auto" w:fill="auto"/>
            <w:noWrap/>
            <w:hideMark/>
          </w:tcPr>
          <w:p w:rsidR="00EA6F40" w:rsidRPr="005E6B6A" w:rsidRDefault="00EA6F40" w:rsidP="00EA6F40">
            <w:pPr>
              <w:rPr>
                <w:sz w:val="24"/>
              </w:rPr>
            </w:pPr>
            <w:r w:rsidRPr="005E6B6A">
              <w:rPr>
                <w:sz w:val="24"/>
              </w:rPr>
              <w:t>A nutrition survey carried out by the Ministry of Health to collect the information on food consumption, nutrient intake and biochemical nutrient levels in New</w:t>
            </w:r>
            <w:r w:rsidR="00207751">
              <w:rPr>
                <w:sz w:val="24"/>
              </w:rPr>
              <w:t xml:space="preserve"> Zealand adults aged 15+ years.</w:t>
            </w:r>
          </w:p>
        </w:tc>
      </w:tr>
      <w:tr w:rsidR="00EA6F40" w:rsidRPr="005E6B6A" w:rsidTr="00F57EE1">
        <w:trPr>
          <w:trHeight w:val="300"/>
        </w:trPr>
        <w:tc>
          <w:tcPr>
            <w:tcW w:w="2340" w:type="dxa"/>
            <w:shd w:val="clear" w:color="auto" w:fill="auto"/>
            <w:noWrap/>
            <w:hideMark/>
          </w:tcPr>
          <w:p w:rsidR="00EA6F40" w:rsidRPr="005E6B6A" w:rsidRDefault="00EA6F40" w:rsidP="00EA6F40">
            <w:pPr>
              <w:rPr>
                <w:sz w:val="24"/>
              </w:rPr>
            </w:pPr>
            <w:r w:rsidRPr="005E6B6A">
              <w:rPr>
                <w:sz w:val="24"/>
              </w:rPr>
              <w:t>New Zealand National Children's Nutrition Survey 2002 (CNS)</w:t>
            </w:r>
          </w:p>
        </w:tc>
        <w:tc>
          <w:tcPr>
            <w:tcW w:w="7380" w:type="dxa"/>
            <w:shd w:val="clear" w:color="auto" w:fill="auto"/>
            <w:noWrap/>
            <w:hideMark/>
          </w:tcPr>
          <w:p w:rsidR="00EA6F40" w:rsidRPr="005E6B6A" w:rsidRDefault="00EA6F40" w:rsidP="00EA6F40">
            <w:pPr>
              <w:rPr>
                <w:sz w:val="24"/>
              </w:rPr>
            </w:pPr>
            <w:r w:rsidRPr="005E6B6A">
              <w:rPr>
                <w:sz w:val="24"/>
              </w:rPr>
              <w:t>A nutrition survey carried out by the Ministry of Health to collect food and nutrient information for 3275 school c</w:t>
            </w:r>
            <w:r w:rsidR="00207751">
              <w:rPr>
                <w:sz w:val="24"/>
              </w:rPr>
              <w:t>hildren aged 5–14 years.</w:t>
            </w:r>
          </w:p>
        </w:tc>
      </w:tr>
      <w:tr w:rsidR="00EA6F40" w:rsidRPr="005E6B6A" w:rsidTr="00F57EE1">
        <w:trPr>
          <w:trHeight w:val="300"/>
        </w:trPr>
        <w:tc>
          <w:tcPr>
            <w:tcW w:w="2340" w:type="dxa"/>
            <w:shd w:val="clear" w:color="auto" w:fill="auto"/>
            <w:noWrap/>
            <w:hideMark/>
          </w:tcPr>
          <w:p w:rsidR="00EA6F40" w:rsidRPr="005E6B6A" w:rsidRDefault="00EA6F40" w:rsidP="00EA6F40">
            <w:pPr>
              <w:rPr>
                <w:sz w:val="24"/>
              </w:rPr>
            </w:pPr>
            <w:r w:rsidRPr="005E6B6A">
              <w:rPr>
                <w:sz w:val="24"/>
              </w:rPr>
              <w:t>Nutrient Reference Values (NRVs)</w:t>
            </w:r>
          </w:p>
        </w:tc>
        <w:tc>
          <w:tcPr>
            <w:tcW w:w="7380" w:type="dxa"/>
            <w:shd w:val="clear" w:color="auto" w:fill="auto"/>
            <w:noWrap/>
            <w:hideMark/>
          </w:tcPr>
          <w:p w:rsidR="00EA6F40" w:rsidRPr="005E6B6A" w:rsidRDefault="00EA6F40" w:rsidP="00EA6F40">
            <w:pPr>
              <w:rPr>
                <w:sz w:val="24"/>
              </w:rPr>
            </w:pPr>
            <w:r w:rsidRPr="005E6B6A">
              <w:rPr>
                <w:sz w:val="24"/>
              </w:rPr>
              <w:t xml:space="preserve">A set of recommendations for </w:t>
            </w:r>
            <w:r>
              <w:rPr>
                <w:sz w:val="24"/>
              </w:rPr>
              <w:t xml:space="preserve">Australia and New Zealand for </w:t>
            </w:r>
            <w:r w:rsidRPr="005E6B6A">
              <w:rPr>
                <w:sz w:val="24"/>
              </w:rPr>
              <w:t>intakes of energy and nutrients aimed at avoiding deficiency and excess/toxicity</w:t>
            </w:r>
            <w:r>
              <w:rPr>
                <w:sz w:val="24"/>
              </w:rPr>
              <w:t>;  Estimated Average Requirements (EAR), Recommended Dietary Intakes (RDI), Adequate Intakes (AI) and Upper Intake Levels (UL).</w:t>
            </w:r>
            <w:r w:rsidRPr="005E6B6A">
              <w:rPr>
                <w:sz w:val="24"/>
              </w:rPr>
              <w:t xml:space="preserve"> They also include guidance on the dietary patterns needed to reduce the risk of chronic disease.</w:t>
            </w:r>
          </w:p>
        </w:tc>
      </w:tr>
      <w:tr w:rsidR="00EA6F40" w:rsidRPr="005E6B6A" w:rsidTr="00F57EE1">
        <w:trPr>
          <w:trHeight w:val="300"/>
        </w:trPr>
        <w:tc>
          <w:tcPr>
            <w:tcW w:w="2340" w:type="dxa"/>
            <w:shd w:val="clear" w:color="auto" w:fill="auto"/>
            <w:noWrap/>
            <w:hideMark/>
          </w:tcPr>
          <w:p w:rsidR="00EA6F40" w:rsidRPr="005E6B6A" w:rsidRDefault="00EA6F40" w:rsidP="00EA6F40">
            <w:pPr>
              <w:rPr>
                <w:sz w:val="24"/>
              </w:rPr>
            </w:pPr>
            <w:r w:rsidRPr="005E6B6A">
              <w:rPr>
                <w:sz w:val="24"/>
              </w:rPr>
              <w:t>Recommended Dietary Intake (RDI)</w:t>
            </w:r>
          </w:p>
        </w:tc>
        <w:tc>
          <w:tcPr>
            <w:tcW w:w="7380" w:type="dxa"/>
            <w:shd w:val="clear" w:color="auto" w:fill="auto"/>
            <w:noWrap/>
            <w:hideMark/>
          </w:tcPr>
          <w:p w:rsidR="00EA6F40" w:rsidRPr="005E6B6A" w:rsidRDefault="00EA6F40" w:rsidP="00EA6F40">
            <w:pPr>
              <w:rPr>
                <w:sz w:val="24"/>
              </w:rPr>
            </w:pPr>
            <w:r w:rsidRPr="005E6B6A">
              <w:rPr>
                <w:sz w:val="24"/>
              </w:rPr>
              <w:t>The average daily dietary intake level that is sufficient to meet the needs of nearly all (97–98%) healthy individuals in a particular life stage and gender group, including a margin of safety.</w:t>
            </w:r>
          </w:p>
        </w:tc>
      </w:tr>
      <w:tr w:rsidR="00EA6F40" w:rsidRPr="005E6B6A" w:rsidTr="00F57EE1">
        <w:trPr>
          <w:trHeight w:val="300"/>
        </w:trPr>
        <w:tc>
          <w:tcPr>
            <w:tcW w:w="2340" w:type="dxa"/>
            <w:shd w:val="clear" w:color="auto" w:fill="auto"/>
            <w:noWrap/>
            <w:hideMark/>
          </w:tcPr>
          <w:p w:rsidR="00EA6F40" w:rsidRPr="005E6B6A" w:rsidRDefault="00EA6F40" w:rsidP="00EA6F40">
            <w:pPr>
              <w:rPr>
                <w:sz w:val="24"/>
              </w:rPr>
            </w:pPr>
            <w:r w:rsidRPr="005E6B6A">
              <w:rPr>
                <w:sz w:val="24"/>
              </w:rPr>
              <w:t>Suggested Dietary Target (SDT)</w:t>
            </w:r>
          </w:p>
        </w:tc>
        <w:tc>
          <w:tcPr>
            <w:tcW w:w="7380" w:type="dxa"/>
            <w:shd w:val="clear" w:color="auto" w:fill="auto"/>
            <w:noWrap/>
            <w:hideMark/>
          </w:tcPr>
          <w:p w:rsidR="00EA6F40" w:rsidRPr="005E6B6A" w:rsidRDefault="00EA6F40" w:rsidP="00EA6F40">
            <w:pPr>
              <w:rPr>
                <w:sz w:val="24"/>
              </w:rPr>
            </w:pPr>
            <w:r w:rsidRPr="005E6B6A">
              <w:rPr>
                <w:sz w:val="24"/>
              </w:rPr>
              <w:t>A daily average intake for certain nutrients that may help in the prevention of chronic disease (applies only to adults and young people aged 14 years and over).</w:t>
            </w:r>
          </w:p>
        </w:tc>
      </w:tr>
      <w:tr w:rsidR="00EA6F40" w:rsidRPr="005E6B6A" w:rsidTr="00F57EE1">
        <w:trPr>
          <w:trHeight w:val="300"/>
        </w:trPr>
        <w:tc>
          <w:tcPr>
            <w:tcW w:w="2340" w:type="dxa"/>
            <w:shd w:val="clear" w:color="auto" w:fill="auto"/>
            <w:noWrap/>
            <w:hideMark/>
          </w:tcPr>
          <w:p w:rsidR="00EA6F40" w:rsidRPr="005E6B6A" w:rsidRDefault="00EA6F40" w:rsidP="00EA6F40">
            <w:pPr>
              <w:rPr>
                <w:sz w:val="24"/>
              </w:rPr>
            </w:pPr>
            <w:r w:rsidRPr="005E6B6A">
              <w:rPr>
                <w:sz w:val="24"/>
              </w:rPr>
              <w:t>3,5,3' tri-iodothyronine (T</w:t>
            </w:r>
            <w:r w:rsidRPr="00E27103">
              <w:rPr>
                <w:sz w:val="24"/>
                <w:vertAlign w:val="subscript"/>
              </w:rPr>
              <w:t>3</w:t>
            </w:r>
            <w:r w:rsidRPr="005E6B6A">
              <w:rPr>
                <w:sz w:val="24"/>
              </w:rPr>
              <w:t>)</w:t>
            </w:r>
          </w:p>
        </w:tc>
        <w:tc>
          <w:tcPr>
            <w:tcW w:w="7380" w:type="dxa"/>
            <w:shd w:val="clear" w:color="auto" w:fill="auto"/>
            <w:noWrap/>
            <w:hideMark/>
          </w:tcPr>
          <w:p w:rsidR="00EA6F40" w:rsidRPr="005E6B6A" w:rsidRDefault="00EA6F40" w:rsidP="00EA6F40">
            <w:pPr>
              <w:rPr>
                <w:sz w:val="24"/>
              </w:rPr>
            </w:pPr>
            <w:r w:rsidRPr="005E6B6A">
              <w:rPr>
                <w:sz w:val="24"/>
              </w:rPr>
              <w:t>One of the thyroid hormones</w:t>
            </w:r>
            <w:r w:rsidR="00207751">
              <w:rPr>
                <w:sz w:val="24"/>
              </w:rPr>
              <w:t xml:space="preserve"> produced by the thyroid gland.</w:t>
            </w:r>
          </w:p>
        </w:tc>
      </w:tr>
      <w:tr w:rsidR="00EA6F40" w:rsidRPr="005E6B6A" w:rsidTr="00F57EE1">
        <w:trPr>
          <w:trHeight w:val="300"/>
        </w:trPr>
        <w:tc>
          <w:tcPr>
            <w:tcW w:w="2340" w:type="dxa"/>
            <w:shd w:val="clear" w:color="auto" w:fill="auto"/>
            <w:noWrap/>
            <w:hideMark/>
          </w:tcPr>
          <w:p w:rsidR="00EA6F40" w:rsidRPr="005E6B6A" w:rsidRDefault="00EA6F40" w:rsidP="00EA6F40">
            <w:pPr>
              <w:rPr>
                <w:sz w:val="24"/>
              </w:rPr>
            </w:pPr>
            <w:r w:rsidRPr="005E6B6A">
              <w:rPr>
                <w:sz w:val="24"/>
              </w:rPr>
              <w:t>Thyroxine (T</w:t>
            </w:r>
            <w:r w:rsidRPr="00E27103">
              <w:rPr>
                <w:sz w:val="24"/>
                <w:vertAlign w:val="subscript"/>
              </w:rPr>
              <w:t>4</w:t>
            </w:r>
            <w:r w:rsidRPr="005E6B6A">
              <w:rPr>
                <w:sz w:val="24"/>
              </w:rPr>
              <w:t>)</w:t>
            </w:r>
          </w:p>
        </w:tc>
        <w:tc>
          <w:tcPr>
            <w:tcW w:w="7380" w:type="dxa"/>
            <w:shd w:val="clear" w:color="auto" w:fill="auto"/>
            <w:noWrap/>
            <w:hideMark/>
          </w:tcPr>
          <w:p w:rsidR="00EA6F40" w:rsidRPr="005E6B6A" w:rsidRDefault="00EA6F40" w:rsidP="00EA6F40">
            <w:pPr>
              <w:rPr>
                <w:sz w:val="24"/>
              </w:rPr>
            </w:pPr>
            <w:r w:rsidRPr="005E6B6A">
              <w:rPr>
                <w:sz w:val="24"/>
              </w:rPr>
              <w:t>One of the thyroid hormones produced by the thyroid gland.</w:t>
            </w:r>
          </w:p>
        </w:tc>
      </w:tr>
      <w:tr w:rsidR="00EA6F40" w:rsidRPr="005E6B6A" w:rsidTr="00F57EE1">
        <w:trPr>
          <w:trHeight w:val="300"/>
        </w:trPr>
        <w:tc>
          <w:tcPr>
            <w:tcW w:w="2340" w:type="dxa"/>
            <w:shd w:val="clear" w:color="auto" w:fill="auto"/>
            <w:noWrap/>
            <w:hideMark/>
          </w:tcPr>
          <w:p w:rsidR="00EA6F40" w:rsidRPr="005E6B6A" w:rsidRDefault="00EA6F40" w:rsidP="00EA6F40">
            <w:pPr>
              <w:rPr>
                <w:sz w:val="24"/>
              </w:rPr>
            </w:pPr>
            <w:r w:rsidRPr="005E6B6A">
              <w:rPr>
                <w:sz w:val="24"/>
              </w:rPr>
              <w:t>Thyroglobulin (Tg)</w:t>
            </w:r>
          </w:p>
        </w:tc>
        <w:tc>
          <w:tcPr>
            <w:tcW w:w="7380" w:type="dxa"/>
            <w:shd w:val="clear" w:color="auto" w:fill="auto"/>
            <w:noWrap/>
            <w:hideMark/>
          </w:tcPr>
          <w:p w:rsidR="00EA6F40" w:rsidRPr="005E6B6A" w:rsidRDefault="00EA6F40" w:rsidP="00EA6F40">
            <w:pPr>
              <w:rPr>
                <w:sz w:val="24"/>
              </w:rPr>
            </w:pPr>
            <w:r w:rsidRPr="005E6B6A">
              <w:rPr>
                <w:sz w:val="24"/>
              </w:rPr>
              <w:t>A protein in the thyroid gland that can be used as a marker for thyroid disease and thyroid cancer.</w:t>
            </w:r>
          </w:p>
        </w:tc>
      </w:tr>
      <w:tr w:rsidR="00EA6F40" w:rsidRPr="005E6B6A" w:rsidTr="00F57EE1">
        <w:trPr>
          <w:trHeight w:val="300"/>
        </w:trPr>
        <w:tc>
          <w:tcPr>
            <w:tcW w:w="2340" w:type="dxa"/>
            <w:shd w:val="clear" w:color="auto" w:fill="auto"/>
            <w:noWrap/>
            <w:hideMark/>
          </w:tcPr>
          <w:p w:rsidR="00EA6F40" w:rsidRPr="005E6B6A" w:rsidRDefault="00EA6F40" w:rsidP="00EA6F40">
            <w:pPr>
              <w:rPr>
                <w:sz w:val="24"/>
              </w:rPr>
            </w:pPr>
            <w:bookmarkStart w:id="222" w:name="OLE_LINK7"/>
            <w:bookmarkStart w:id="223" w:name="OLE_LINK8"/>
            <w:r w:rsidRPr="005E6B6A">
              <w:rPr>
                <w:sz w:val="24"/>
              </w:rPr>
              <w:t>Thyroid stimulating hormone</w:t>
            </w:r>
            <w:bookmarkEnd w:id="222"/>
            <w:bookmarkEnd w:id="223"/>
            <w:r w:rsidRPr="005E6B6A">
              <w:rPr>
                <w:sz w:val="24"/>
              </w:rPr>
              <w:t xml:space="preserve"> (TSH)</w:t>
            </w:r>
          </w:p>
        </w:tc>
        <w:tc>
          <w:tcPr>
            <w:tcW w:w="7380" w:type="dxa"/>
            <w:shd w:val="clear" w:color="auto" w:fill="auto"/>
            <w:noWrap/>
            <w:hideMark/>
          </w:tcPr>
          <w:p w:rsidR="00EA6F40" w:rsidRPr="005E6B6A" w:rsidRDefault="00EA6F40" w:rsidP="00EA6F40">
            <w:pPr>
              <w:rPr>
                <w:sz w:val="24"/>
              </w:rPr>
            </w:pPr>
            <w:r w:rsidRPr="005E6B6A">
              <w:rPr>
                <w:sz w:val="24"/>
              </w:rPr>
              <w:t>A hormone, synthesized and secreted by the anterior pituitary gland under the control of TSH, that stimulates activity of the thyroid gland.</w:t>
            </w:r>
          </w:p>
        </w:tc>
      </w:tr>
      <w:tr w:rsidR="00EA6F40" w:rsidRPr="005E6B6A" w:rsidTr="00F57EE1">
        <w:trPr>
          <w:trHeight w:val="300"/>
        </w:trPr>
        <w:tc>
          <w:tcPr>
            <w:tcW w:w="2340" w:type="dxa"/>
            <w:shd w:val="clear" w:color="auto" w:fill="auto"/>
            <w:noWrap/>
            <w:hideMark/>
          </w:tcPr>
          <w:p w:rsidR="00EA6F40" w:rsidRPr="005E6B6A" w:rsidRDefault="00EA6F40" w:rsidP="00EA6F40">
            <w:pPr>
              <w:rPr>
                <w:sz w:val="24"/>
              </w:rPr>
            </w:pPr>
            <w:r w:rsidRPr="005E6B6A">
              <w:rPr>
                <w:sz w:val="24"/>
              </w:rPr>
              <w:lastRenderedPageBreak/>
              <w:t>Upper Levels of Intake (UL)</w:t>
            </w:r>
          </w:p>
        </w:tc>
        <w:tc>
          <w:tcPr>
            <w:tcW w:w="7380" w:type="dxa"/>
            <w:shd w:val="clear" w:color="auto" w:fill="auto"/>
            <w:noWrap/>
            <w:hideMark/>
          </w:tcPr>
          <w:p w:rsidR="00EA6F40" w:rsidRPr="005E6B6A" w:rsidRDefault="00EA6F40" w:rsidP="00EA6F40">
            <w:pPr>
              <w:rPr>
                <w:sz w:val="24"/>
              </w:rPr>
            </w:pPr>
            <w:r w:rsidRPr="005E6B6A">
              <w:rPr>
                <w:sz w:val="24"/>
              </w:rPr>
              <w:t>The highest average daily nutrient intake level that is likely to pose no risk of adverse health effects to almost all individuals in the general population. As intake increases above the UL, the potential risk of adverse effects may increase.</w:t>
            </w:r>
          </w:p>
        </w:tc>
      </w:tr>
    </w:tbl>
    <w:p w:rsidR="00F57EE1" w:rsidRPr="00F57EE1" w:rsidRDefault="00F57EE1" w:rsidP="00F57EE1">
      <w:bookmarkStart w:id="224" w:name="_Toc279228376"/>
      <w:bookmarkStart w:id="225" w:name="_Toc294639135"/>
      <w:r w:rsidRPr="00F57EE1">
        <w:br w:type="page"/>
      </w:r>
    </w:p>
    <w:p w:rsidR="00EA6F40" w:rsidRPr="00C875F5" w:rsidRDefault="00EA6F40" w:rsidP="000A4E22">
      <w:pPr>
        <w:pStyle w:val="Heading1"/>
      </w:pPr>
      <w:bookmarkStart w:id="226" w:name="_Toc433621819"/>
      <w:r w:rsidRPr="00C875F5">
        <w:lastRenderedPageBreak/>
        <w:t>References</w:t>
      </w:r>
      <w:bookmarkEnd w:id="224"/>
      <w:bookmarkEnd w:id="225"/>
      <w:bookmarkEnd w:id="226"/>
      <w:r w:rsidRPr="00C875F5">
        <w:t xml:space="preserve"> </w:t>
      </w:r>
    </w:p>
    <w:p w:rsidR="00EA6F40" w:rsidRPr="00C72CCA" w:rsidRDefault="00EA6F40" w:rsidP="00EA6F40">
      <w:pPr>
        <w:pStyle w:val="EndNoteBibliography"/>
        <w:spacing w:after="0"/>
        <w:ind w:left="720" w:hanging="720"/>
        <w:rPr>
          <w:rFonts w:asciiTheme="minorHAnsi" w:hAnsiTheme="minorHAnsi"/>
          <w:noProof/>
          <w:szCs w:val="22"/>
        </w:rPr>
      </w:pPr>
      <w:bookmarkStart w:id="227" w:name="_ENREF_57"/>
      <w:r w:rsidRPr="00C875F5">
        <w:rPr>
          <w:rFonts w:asciiTheme="minorHAnsi" w:hAnsiTheme="minorHAnsi"/>
          <w:noProof/>
          <w:szCs w:val="22"/>
        </w:rPr>
        <w:t xml:space="preserve">Aghini Lombardi F, et al. The effect of voluntary iodine prophylaxis in a small rural </w:t>
      </w:r>
      <w:r w:rsidRPr="00C72CCA">
        <w:rPr>
          <w:rFonts w:asciiTheme="minorHAnsi" w:hAnsiTheme="minorHAnsi"/>
          <w:noProof/>
          <w:szCs w:val="22"/>
        </w:rPr>
        <w:t xml:space="preserve">community: the Pescopagano survey 15 years later. </w:t>
      </w:r>
      <w:r w:rsidRPr="00C72CCA">
        <w:rPr>
          <w:rFonts w:asciiTheme="minorHAnsi" w:hAnsiTheme="minorHAnsi"/>
          <w:i/>
          <w:noProof/>
          <w:szCs w:val="22"/>
        </w:rPr>
        <w:t>J Clin Endocrinol Metab</w:t>
      </w:r>
      <w:r w:rsidRPr="00C72CCA">
        <w:rPr>
          <w:rFonts w:asciiTheme="minorHAnsi" w:hAnsiTheme="minorHAnsi"/>
          <w:noProof/>
          <w:szCs w:val="22"/>
        </w:rPr>
        <w:t xml:space="preserve"> 2013 98:1031-9.</w:t>
      </w:r>
      <w:bookmarkEnd w:id="227"/>
    </w:p>
    <w:p w:rsidR="00EA6F40" w:rsidRPr="00C72CCA" w:rsidRDefault="00EA6F40" w:rsidP="00EA6F40">
      <w:pPr>
        <w:pStyle w:val="EndNoteBibliography"/>
        <w:spacing w:after="0"/>
        <w:ind w:left="720" w:hanging="720"/>
        <w:rPr>
          <w:rFonts w:asciiTheme="minorHAnsi" w:hAnsiTheme="minorHAnsi"/>
          <w:noProof/>
          <w:szCs w:val="22"/>
        </w:rPr>
      </w:pPr>
      <w:bookmarkStart w:id="228" w:name="_ENREF_75"/>
      <w:r w:rsidRPr="00C72CCA">
        <w:rPr>
          <w:rFonts w:asciiTheme="minorHAnsi" w:hAnsiTheme="minorHAnsi"/>
          <w:noProof/>
          <w:szCs w:val="22"/>
        </w:rPr>
        <w:t>Aguayo A, et al. Urinary iodine and thyroid function in a population of healthy pregnant women in the North of Spain</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J Trace Elem Med Biol</w:t>
      </w:r>
      <w:r w:rsidRPr="00C72CCA">
        <w:rPr>
          <w:rFonts w:asciiTheme="minorHAnsi" w:hAnsiTheme="minorHAnsi"/>
          <w:noProof/>
          <w:szCs w:val="22"/>
        </w:rPr>
        <w:t xml:space="preserve"> 2013; 27:302-6.</w:t>
      </w:r>
      <w:bookmarkEnd w:id="228"/>
    </w:p>
    <w:p w:rsidR="00EA6F40" w:rsidRPr="00C72CCA" w:rsidRDefault="00EA6F40" w:rsidP="00EA6F40">
      <w:pPr>
        <w:pStyle w:val="EndNoteBibliography"/>
        <w:spacing w:after="0"/>
        <w:ind w:left="720" w:hanging="720"/>
        <w:rPr>
          <w:rFonts w:asciiTheme="minorHAnsi" w:hAnsiTheme="minorHAnsi" w:cs="Times New Roman"/>
          <w:szCs w:val="22"/>
        </w:rPr>
      </w:pPr>
      <w:r w:rsidRPr="00C72CCA">
        <w:rPr>
          <w:rFonts w:asciiTheme="minorHAnsi" w:hAnsiTheme="minorHAnsi" w:cs="Times New Roman"/>
          <w:szCs w:val="22"/>
        </w:rPr>
        <w:t xml:space="preserve">Andersen S, et al. Variations in iodine excretion in healthy individuals. In: Preedy VR, Burrow GN, Watson RR eds. </w:t>
      </w:r>
      <w:r w:rsidRPr="00C72CCA">
        <w:rPr>
          <w:rFonts w:asciiTheme="minorHAnsi" w:hAnsiTheme="minorHAnsi" w:cs="Times New Roman"/>
          <w:i/>
          <w:szCs w:val="22"/>
        </w:rPr>
        <w:t>Comprehensive Handbook of Iodine: Nutritional, Biochemical, Pathological and Therapeutic Aspects</w:t>
      </w:r>
      <w:r w:rsidRPr="00C72CCA">
        <w:rPr>
          <w:rFonts w:asciiTheme="minorHAnsi" w:hAnsiTheme="minorHAnsi" w:cs="Times New Roman"/>
          <w:szCs w:val="22"/>
        </w:rPr>
        <w:t>. Burlington MA: Academic Press, 2009.</w:t>
      </w:r>
    </w:p>
    <w:p w:rsidR="00EA6F40" w:rsidRPr="00C72CCA" w:rsidRDefault="00EA6F40" w:rsidP="00EA6F40">
      <w:pPr>
        <w:pStyle w:val="EndNoteBibliography"/>
        <w:spacing w:after="0"/>
        <w:ind w:left="720" w:hanging="720"/>
        <w:rPr>
          <w:rFonts w:asciiTheme="minorHAnsi" w:hAnsiTheme="minorHAnsi" w:cs="Times New Roman"/>
          <w:szCs w:val="22"/>
        </w:rPr>
      </w:pPr>
      <w:r w:rsidRPr="00C72CCA">
        <w:rPr>
          <w:rFonts w:asciiTheme="minorHAnsi" w:hAnsiTheme="minorHAnsi" w:cs="Arial"/>
          <w:szCs w:val="22"/>
        </w:rPr>
        <w:t xml:space="preserve">Amouzegar A, et al. An assessment of the iodine status and the correlation between iodine nutrition and thyroid function during pregnancy in an iodine sufficient area. </w:t>
      </w:r>
      <w:r w:rsidRPr="00C72CCA">
        <w:rPr>
          <w:rFonts w:asciiTheme="minorHAnsi" w:hAnsiTheme="minorHAnsi" w:cs="Arial"/>
          <w:i/>
          <w:szCs w:val="22"/>
        </w:rPr>
        <w:t>Eur J Clin Nutr</w:t>
      </w:r>
      <w:r w:rsidRPr="00C72CCA">
        <w:rPr>
          <w:rFonts w:asciiTheme="minorHAnsi" w:hAnsiTheme="minorHAnsi" w:cs="Arial"/>
          <w:szCs w:val="22"/>
        </w:rPr>
        <w:t xml:space="preserve"> 2014; 68: 397-400.</w:t>
      </w:r>
    </w:p>
    <w:p w:rsidR="00EA6F40" w:rsidRPr="00C72CCA" w:rsidRDefault="00EA6F40" w:rsidP="00EA6F40">
      <w:pPr>
        <w:pStyle w:val="EndNoteBibliography"/>
        <w:spacing w:after="0"/>
        <w:ind w:left="720" w:hanging="720"/>
        <w:rPr>
          <w:rFonts w:asciiTheme="minorHAnsi" w:hAnsiTheme="minorHAnsi"/>
          <w:noProof/>
          <w:szCs w:val="22"/>
        </w:rPr>
      </w:pPr>
      <w:bookmarkStart w:id="229" w:name="_ENREF_76"/>
      <w:r w:rsidRPr="00C72CCA">
        <w:rPr>
          <w:rFonts w:asciiTheme="minorHAnsi" w:hAnsiTheme="minorHAnsi"/>
          <w:noProof/>
          <w:szCs w:val="22"/>
        </w:rPr>
        <w:t>Antonangeli L, et al. Comparison of two different doses of iodide in the prevention of gestational goiter in marginal iodine deficiency: a longitudinal study</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Eur J Endocrinol</w:t>
      </w:r>
      <w:r w:rsidRPr="00C72CCA">
        <w:rPr>
          <w:rFonts w:asciiTheme="minorHAnsi" w:hAnsiTheme="minorHAnsi"/>
          <w:noProof/>
          <w:szCs w:val="22"/>
        </w:rPr>
        <w:t xml:space="preserve"> 2002;147:29-34.</w:t>
      </w:r>
      <w:bookmarkEnd w:id="229"/>
    </w:p>
    <w:p w:rsidR="00EA6F40" w:rsidRPr="00C72CCA" w:rsidRDefault="00484C07" w:rsidP="00EA6F40">
      <w:pPr>
        <w:pStyle w:val="EndNoteBibliography"/>
        <w:spacing w:after="0"/>
        <w:ind w:left="709" w:hanging="709"/>
        <w:rPr>
          <w:rFonts w:asciiTheme="minorHAnsi" w:hAnsiTheme="minorHAnsi"/>
          <w:noProof/>
          <w:szCs w:val="22"/>
        </w:rPr>
      </w:pPr>
      <w:hyperlink r:id="rId15" w:history="1">
        <w:r w:rsidR="00EA6F40" w:rsidRPr="00ED745C">
          <w:rPr>
            <w:rStyle w:val="Hyperlink"/>
            <w:rFonts w:asciiTheme="minorHAnsi" w:hAnsiTheme="minorHAnsi"/>
            <w:noProof/>
            <w:szCs w:val="22"/>
          </w:rPr>
          <w:t xml:space="preserve">Australian Bureau of Statistics. </w:t>
        </w:r>
        <w:r w:rsidR="00EA6F40" w:rsidRPr="00ED745C">
          <w:rPr>
            <w:rStyle w:val="Hyperlink"/>
            <w:rFonts w:asciiTheme="minorHAnsi" w:hAnsiTheme="minorHAnsi"/>
            <w:i/>
            <w:noProof/>
            <w:szCs w:val="22"/>
          </w:rPr>
          <w:t>Australian Health Survey: Biomedical Results for Nutrients</w:t>
        </w:r>
        <w:r w:rsidR="00EA6F40" w:rsidRPr="00ED745C">
          <w:rPr>
            <w:rStyle w:val="Hyperlink"/>
            <w:rFonts w:asciiTheme="minorHAnsi" w:hAnsiTheme="minorHAnsi"/>
            <w:noProof/>
            <w:szCs w:val="22"/>
          </w:rPr>
          <w:t xml:space="preserve"> 2011-12. 2013</w:t>
        </w:r>
      </w:hyperlink>
      <w:r w:rsidR="00EA6F40" w:rsidRPr="00C72CCA">
        <w:rPr>
          <w:rFonts w:asciiTheme="minorHAnsi" w:hAnsiTheme="minorHAnsi"/>
          <w:noProof/>
          <w:szCs w:val="22"/>
        </w:rPr>
        <w:t xml:space="preserve">: Available at: </w:t>
      </w:r>
      <w:r w:rsidR="00116B97" w:rsidRPr="0081554A">
        <w:rPr>
          <w:szCs w:val="22"/>
        </w:rPr>
        <w:t>www.abs.gov.au/ausstats/abs@.nsf/Lookup/4364.0.55.006 Chapter1202011-12</w:t>
      </w:r>
      <w:r w:rsidR="00EA6F40" w:rsidRPr="00C72CCA">
        <w:rPr>
          <w:rFonts w:asciiTheme="minorHAnsi" w:hAnsiTheme="minorHAnsi"/>
          <w:noProof/>
          <w:szCs w:val="22"/>
        </w:rPr>
        <w:t>.</w:t>
      </w:r>
    </w:p>
    <w:p w:rsidR="00EA6F40" w:rsidRPr="00C72CCA" w:rsidRDefault="00EA6F40" w:rsidP="00EA6F40">
      <w:pPr>
        <w:pStyle w:val="EndNoteBibliography"/>
        <w:spacing w:after="0"/>
        <w:ind w:left="720" w:hanging="720"/>
        <w:rPr>
          <w:rFonts w:asciiTheme="minorHAnsi" w:hAnsiTheme="minorHAnsi"/>
          <w:noProof/>
          <w:szCs w:val="22"/>
        </w:rPr>
      </w:pPr>
      <w:bookmarkStart w:id="230" w:name="_ENREF_58"/>
      <w:r w:rsidRPr="00C72CCA">
        <w:rPr>
          <w:rFonts w:asciiTheme="minorHAnsi" w:hAnsiTheme="minorHAnsi"/>
          <w:noProof/>
          <w:szCs w:val="22"/>
        </w:rPr>
        <w:t xml:space="preserve">Ayturk S, et al. Metabolic syndrome and its components are associated with increased thyroid volume and nodule prevalence in a mild-to-moderate iodine-deficient area. </w:t>
      </w:r>
      <w:r w:rsidRPr="00C72CCA">
        <w:rPr>
          <w:rFonts w:asciiTheme="minorHAnsi" w:hAnsiTheme="minorHAnsi"/>
          <w:i/>
          <w:noProof/>
          <w:szCs w:val="22"/>
        </w:rPr>
        <w:t>Eur J Endocrinol</w:t>
      </w:r>
      <w:r w:rsidRPr="00C72CCA">
        <w:rPr>
          <w:rFonts w:asciiTheme="minorHAnsi" w:hAnsiTheme="minorHAnsi"/>
          <w:noProof/>
          <w:szCs w:val="22"/>
        </w:rPr>
        <w:t xml:space="preserve"> 2009;161:599-605.</w:t>
      </w:r>
      <w:bookmarkEnd w:id="230"/>
    </w:p>
    <w:p w:rsidR="00EA6F40" w:rsidRPr="00C72CCA" w:rsidRDefault="00EA6F40" w:rsidP="00EA6F40">
      <w:pPr>
        <w:pStyle w:val="EndNoteBibliography"/>
        <w:spacing w:after="0"/>
        <w:ind w:left="720" w:hanging="720"/>
        <w:rPr>
          <w:rFonts w:asciiTheme="minorHAnsi" w:hAnsiTheme="minorHAnsi"/>
          <w:noProof/>
          <w:szCs w:val="22"/>
        </w:rPr>
      </w:pPr>
      <w:bookmarkStart w:id="231" w:name="_ENREF_68"/>
      <w:r w:rsidRPr="00C72CCA">
        <w:rPr>
          <w:rFonts w:asciiTheme="minorHAnsi" w:hAnsiTheme="minorHAnsi"/>
          <w:noProof/>
          <w:szCs w:val="22"/>
        </w:rPr>
        <w:t xml:space="preserve">Bath SC, et al. Effect of inadequate iodine status in UK pregnant women on cognitive outcomes in their children: results from the Avon Longitudinal Study of Parents and Children (ALSPAC). </w:t>
      </w:r>
      <w:r w:rsidRPr="00C72CCA">
        <w:rPr>
          <w:rFonts w:asciiTheme="minorHAnsi" w:hAnsiTheme="minorHAnsi"/>
          <w:i/>
          <w:noProof/>
          <w:szCs w:val="22"/>
        </w:rPr>
        <w:t>Lancet</w:t>
      </w:r>
      <w:r w:rsidRPr="00C72CCA">
        <w:rPr>
          <w:rFonts w:asciiTheme="minorHAnsi" w:hAnsiTheme="minorHAnsi"/>
          <w:noProof/>
          <w:szCs w:val="22"/>
        </w:rPr>
        <w:t xml:space="preserve"> 2013;382:331-7.</w:t>
      </w:r>
      <w:bookmarkEnd w:id="231"/>
    </w:p>
    <w:p w:rsidR="00EA6F40" w:rsidRPr="00C72CCA" w:rsidRDefault="00EA6F40" w:rsidP="00EA6F40">
      <w:pPr>
        <w:pStyle w:val="EndNoteBibliography"/>
        <w:spacing w:after="0"/>
        <w:ind w:left="720" w:hanging="720"/>
        <w:rPr>
          <w:rFonts w:asciiTheme="minorHAnsi" w:hAnsiTheme="minorHAnsi"/>
          <w:noProof/>
          <w:szCs w:val="22"/>
        </w:rPr>
      </w:pPr>
      <w:bookmarkStart w:id="232" w:name="_ENREF_77"/>
      <w:r w:rsidRPr="00C72CCA">
        <w:rPr>
          <w:rFonts w:asciiTheme="minorHAnsi" w:hAnsiTheme="minorHAnsi"/>
          <w:noProof/>
          <w:szCs w:val="22"/>
        </w:rPr>
        <w:t>Blumenthal N, et al. Iodine Intake and Thyroid Function in Pregnant Women in a Private Clinical Practice in Northwestern Sydney before Mandatory Fortification of Bread with Iodised Salt</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J Thyroid Res</w:t>
      </w:r>
      <w:r w:rsidRPr="00C72CCA">
        <w:rPr>
          <w:rFonts w:asciiTheme="minorHAnsi" w:hAnsiTheme="minorHAnsi"/>
          <w:noProof/>
          <w:szCs w:val="22"/>
        </w:rPr>
        <w:t xml:space="preserve"> 2012;2012:798963.</w:t>
      </w:r>
      <w:bookmarkEnd w:id="232"/>
      <w:r w:rsidRPr="00C72CCA">
        <w:rPr>
          <w:rFonts w:asciiTheme="minorHAnsi" w:hAnsiTheme="minorHAnsi"/>
          <w:noProof/>
          <w:szCs w:val="22"/>
        </w:rPr>
        <w:t xml:space="preserve"> </w:t>
      </w:r>
      <w:r w:rsidRPr="00C72CCA">
        <w:rPr>
          <w:rFonts w:asciiTheme="minorHAnsi" w:hAnsiTheme="minorHAnsi" w:cs="Arial"/>
          <w:szCs w:val="22"/>
        </w:rPr>
        <w:t>DOI: 10.1155/2012/798963.</w:t>
      </w:r>
    </w:p>
    <w:p w:rsidR="00EA6F40" w:rsidRPr="00C72CCA" w:rsidRDefault="00EA6F40" w:rsidP="00EA6F40">
      <w:pPr>
        <w:pStyle w:val="EndNoteBibliography"/>
        <w:spacing w:after="0"/>
        <w:ind w:left="709" w:hanging="709"/>
        <w:rPr>
          <w:rFonts w:asciiTheme="minorHAnsi" w:hAnsiTheme="minorHAnsi"/>
          <w:noProof/>
          <w:szCs w:val="22"/>
        </w:rPr>
      </w:pPr>
      <w:r w:rsidRPr="00C72CCA">
        <w:rPr>
          <w:rFonts w:asciiTheme="minorHAnsi" w:hAnsiTheme="minorHAnsi"/>
          <w:noProof/>
          <w:szCs w:val="22"/>
        </w:rPr>
        <w:t xml:space="preserve">Bougma K, et al. Iodine and mental development of children 5 years old and under: a systematic review and meta-analysis. </w:t>
      </w:r>
      <w:r w:rsidRPr="00C72CCA">
        <w:rPr>
          <w:rFonts w:asciiTheme="minorHAnsi" w:hAnsiTheme="minorHAnsi"/>
          <w:i/>
          <w:noProof/>
          <w:szCs w:val="22"/>
        </w:rPr>
        <w:t>Nutrients</w:t>
      </w:r>
      <w:r w:rsidRPr="00C72CCA">
        <w:rPr>
          <w:rFonts w:asciiTheme="minorHAnsi" w:hAnsiTheme="minorHAnsi"/>
          <w:noProof/>
          <w:szCs w:val="22"/>
        </w:rPr>
        <w:t xml:space="preserve"> 2013; 5:1384-416.</w:t>
      </w:r>
    </w:p>
    <w:p w:rsidR="00EA6F40" w:rsidRPr="00C72CCA" w:rsidRDefault="00EA6F40" w:rsidP="00EA6F40">
      <w:pPr>
        <w:pStyle w:val="EndNoteBibliography"/>
        <w:spacing w:after="0"/>
        <w:ind w:left="709" w:hanging="709"/>
        <w:rPr>
          <w:rFonts w:asciiTheme="minorHAnsi" w:hAnsiTheme="minorHAnsi" w:cs="Arial"/>
          <w:szCs w:val="22"/>
        </w:rPr>
      </w:pPr>
      <w:r w:rsidRPr="00C72CCA">
        <w:rPr>
          <w:rFonts w:asciiTheme="minorHAnsi" w:hAnsiTheme="minorHAnsi"/>
          <w:noProof/>
          <w:szCs w:val="22"/>
        </w:rPr>
        <w:t xml:space="preserve">Brough L, et al. </w:t>
      </w:r>
      <w:r w:rsidRPr="00C72CCA">
        <w:rPr>
          <w:rFonts w:asciiTheme="minorHAnsi" w:hAnsiTheme="minorHAnsi" w:cs="Arial"/>
          <w:bCs/>
          <w:szCs w:val="22"/>
        </w:rPr>
        <w:t>Iodine intake and status during pregnancy and lactation before and after government initiatives to improve iodine status, in Palmerston North, New Zealand: a pilot study. Maternal Child Nutrition 2013 DOI:</w:t>
      </w:r>
      <w:r w:rsidRPr="00C72CCA">
        <w:rPr>
          <w:rFonts w:asciiTheme="minorHAnsi" w:hAnsiTheme="minorHAnsi" w:cs="Arial"/>
          <w:szCs w:val="22"/>
        </w:rPr>
        <w:t xml:space="preserve"> 10.1111/mcn.12055.</w:t>
      </w:r>
    </w:p>
    <w:p w:rsidR="00EA6F40" w:rsidRPr="00C72CCA" w:rsidRDefault="00EA6F40" w:rsidP="00EA6F40">
      <w:pPr>
        <w:pStyle w:val="EndNoteBibliography"/>
        <w:spacing w:after="0"/>
        <w:ind w:left="709" w:hanging="709"/>
        <w:rPr>
          <w:rFonts w:asciiTheme="minorHAnsi" w:hAnsiTheme="minorHAnsi"/>
          <w:noProof/>
          <w:szCs w:val="22"/>
        </w:rPr>
      </w:pPr>
      <w:r w:rsidRPr="00C72CCA">
        <w:rPr>
          <w:rFonts w:asciiTheme="minorHAnsi" w:hAnsiTheme="minorHAnsi" w:cs="Arial"/>
          <w:szCs w:val="22"/>
        </w:rPr>
        <w:t xml:space="preserve">Brucker-Davis F, et al. Iodine supplementation throughout pregnancy does not prevent the drop in ft4 in the second and third trimesters in women with normal initial thyroid function. </w:t>
      </w:r>
      <w:r w:rsidRPr="00C72CCA">
        <w:rPr>
          <w:rFonts w:asciiTheme="minorHAnsi" w:hAnsiTheme="minorHAnsi" w:cs="Arial"/>
          <w:i/>
          <w:szCs w:val="22"/>
        </w:rPr>
        <w:t>Eur Thyroid J</w:t>
      </w:r>
      <w:r w:rsidRPr="00C72CCA">
        <w:rPr>
          <w:rFonts w:asciiTheme="minorHAnsi" w:hAnsiTheme="minorHAnsi" w:cs="Arial"/>
          <w:szCs w:val="22"/>
        </w:rPr>
        <w:t xml:space="preserve"> 2013; 2: 187-194.</w:t>
      </w:r>
    </w:p>
    <w:p w:rsidR="00EA6F40" w:rsidRPr="00C72CCA" w:rsidRDefault="00EA6F40" w:rsidP="00EA6F40">
      <w:pPr>
        <w:pStyle w:val="EndNoteBibliography"/>
        <w:spacing w:after="0"/>
        <w:ind w:left="720" w:hanging="720"/>
        <w:rPr>
          <w:rFonts w:asciiTheme="minorHAnsi" w:hAnsiTheme="minorHAnsi"/>
          <w:noProof/>
          <w:szCs w:val="22"/>
        </w:rPr>
      </w:pPr>
      <w:bookmarkStart w:id="233" w:name="_ENREF_59"/>
      <w:r w:rsidRPr="00C72CCA">
        <w:rPr>
          <w:rFonts w:asciiTheme="minorHAnsi" w:hAnsiTheme="minorHAnsi"/>
          <w:noProof/>
          <w:szCs w:val="22"/>
        </w:rPr>
        <w:t xml:space="preserve">Bulow Pedersen I, et al. A cautious iodization program bringing iodine intake to a low recommended level is associated with an increase in the prevalence of thyroid autoantibodies in the population. </w:t>
      </w:r>
      <w:r w:rsidRPr="00C72CCA">
        <w:rPr>
          <w:rFonts w:asciiTheme="minorHAnsi" w:hAnsiTheme="minorHAnsi"/>
          <w:i/>
          <w:noProof/>
          <w:szCs w:val="22"/>
        </w:rPr>
        <w:t>Clin Endocrinol</w:t>
      </w:r>
      <w:r w:rsidRPr="00C72CCA">
        <w:rPr>
          <w:rFonts w:asciiTheme="minorHAnsi" w:hAnsiTheme="minorHAnsi"/>
          <w:noProof/>
          <w:szCs w:val="22"/>
        </w:rPr>
        <w:t xml:space="preserve"> (Oxf), 2011.</w:t>
      </w:r>
      <w:bookmarkEnd w:id="233"/>
      <w:r w:rsidRPr="00C72CCA">
        <w:rPr>
          <w:rFonts w:asciiTheme="minorHAnsi" w:hAnsiTheme="minorHAnsi"/>
          <w:noProof/>
          <w:szCs w:val="22"/>
        </w:rPr>
        <w:t xml:space="preserve"> </w:t>
      </w:r>
      <w:r w:rsidRPr="00C72CCA">
        <w:rPr>
          <w:rFonts w:asciiTheme="minorHAnsi" w:hAnsiTheme="minorHAnsi" w:cs="Arial"/>
          <w:szCs w:val="22"/>
        </w:rPr>
        <w:t>DOI: 10.1111/j.1365-2265.2011.04008.x.</w:t>
      </w:r>
    </w:p>
    <w:p w:rsidR="00EA6F40" w:rsidRPr="00C72CCA" w:rsidRDefault="00EA6F40" w:rsidP="00EA6F40">
      <w:pPr>
        <w:pStyle w:val="EndNoteBibliography"/>
        <w:spacing w:after="0"/>
        <w:ind w:left="720" w:hanging="720"/>
        <w:rPr>
          <w:rFonts w:asciiTheme="minorHAnsi" w:hAnsiTheme="minorHAnsi"/>
          <w:noProof/>
          <w:szCs w:val="22"/>
        </w:rPr>
      </w:pPr>
      <w:bookmarkStart w:id="234" w:name="_ENREF_60"/>
      <w:r w:rsidRPr="00C72CCA">
        <w:rPr>
          <w:rFonts w:asciiTheme="minorHAnsi" w:hAnsiTheme="minorHAnsi"/>
          <w:noProof/>
          <w:szCs w:val="22"/>
        </w:rPr>
        <w:t xml:space="preserve">Camargo RY, et al. Thyroid and the environment: exposure to excessive nutritional iodine increases the prevalence of thyroid disorders in Sao Paulo, Brazil. </w:t>
      </w:r>
      <w:r w:rsidRPr="00C72CCA">
        <w:rPr>
          <w:rFonts w:asciiTheme="minorHAnsi" w:hAnsiTheme="minorHAnsi"/>
          <w:i/>
          <w:noProof/>
          <w:szCs w:val="22"/>
        </w:rPr>
        <w:t>Eur J Endocrinol</w:t>
      </w:r>
      <w:r w:rsidRPr="00C72CCA">
        <w:rPr>
          <w:rFonts w:asciiTheme="minorHAnsi" w:hAnsiTheme="minorHAnsi"/>
          <w:noProof/>
          <w:szCs w:val="22"/>
        </w:rPr>
        <w:t xml:space="preserve"> 2008;159:293-9.</w:t>
      </w:r>
      <w:bookmarkEnd w:id="234"/>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noProof/>
          <w:szCs w:val="22"/>
        </w:rPr>
        <w:t>Charlton KE &amp; Eastman CJ. Reinforcing the iodine message for pregnant women in Australia</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Med J Aust</w:t>
      </w:r>
      <w:r w:rsidRPr="00C72CCA">
        <w:rPr>
          <w:rFonts w:asciiTheme="minorHAnsi" w:hAnsiTheme="minorHAnsi"/>
          <w:noProof/>
          <w:szCs w:val="22"/>
        </w:rPr>
        <w:t xml:space="preserve"> 2013; 199:660.</w:t>
      </w:r>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cs="Arial"/>
          <w:szCs w:val="22"/>
        </w:rPr>
        <w:lastRenderedPageBreak/>
        <w:t xml:space="preserve">Charoo BA, et al. Universal salt iodization is successful in kashmiri population as iodine deficiency no longer exists in pregnant mothers and their neonates: Data from a tertiary care hospital in north india. </w:t>
      </w:r>
      <w:r w:rsidRPr="00C72CCA">
        <w:rPr>
          <w:rFonts w:asciiTheme="minorHAnsi" w:hAnsiTheme="minorHAnsi" w:cs="Arial"/>
          <w:i/>
          <w:szCs w:val="22"/>
        </w:rPr>
        <w:t>Indian J Endocrinol Metab</w:t>
      </w:r>
      <w:r w:rsidRPr="00C72CCA">
        <w:rPr>
          <w:rFonts w:asciiTheme="minorHAnsi" w:hAnsiTheme="minorHAnsi" w:cs="Arial"/>
          <w:szCs w:val="22"/>
        </w:rPr>
        <w:t xml:space="preserve"> 2013; 17: 310-317.</w:t>
      </w:r>
    </w:p>
    <w:p w:rsidR="00EA6F40" w:rsidRPr="00C72CCA" w:rsidRDefault="00EA6F40" w:rsidP="00EA6F40">
      <w:pPr>
        <w:pStyle w:val="EndNoteBibliography"/>
        <w:spacing w:after="0"/>
        <w:ind w:left="720" w:hanging="720"/>
        <w:rPr>
          <w:rFonts w:asciiTheme="minorHAnsi" w:hAnsiTheme="minorHAnsi"/>
          <w:noProof/>
          <w:szCs w:val="22"/>
        </w:rPr>
      </w:pPr>
      <w:bookmarkStart w:id="235" w:name="_ENREF_93"/>
      <w:r w:rsidRPr="00C72CCA">
        <w:rPr>
          <w:rFonts w:asciiTheme="minorHAnsi" w:hAnsiTheme="minorHAnsi"/>
          <w:noProof/>
          <w:szCs w:val="22"/>
        </w:rPr>
        <w:t xml:space="preserve">Chen W, et al. Investigation of thyroid function abnormalities in children in high water iodine areas of Hebei province. </w:t>
      </w:r>
      <w:r w:rsidRPr="00C72CCA">
        <w:rPr>
          <w:rFonts w:asciiTheme="minorHAnsi" w:hAnsiTheme="minorHAnsi"/>
          <w:i/>
          <w:noProof/>
          <w:szCs w:val="22"/>
        </w:rPr>
        <w:t>Zhonghua Yu Fang Yi Xue Za Zhi</w:t>
      </w:r>
      <w:r w:rsidRPr="00C72CCA">
        <w:rPr>
          <w:rFonts w:asciiTheme="minorHAnsi" w:hAnsiTheme="minorHAnsi"/>
          <w:noProof/>
          <w:szCs w:val="22"/>
        </w:rPr>
        <w:t xml:space="preserve"> 2012; 46:148-51.</w:t>
      </w:r>
      <w:bookmarkEnd w:id="235"/>
    </w:p>
    <w:p w:rsidR="00EA6F40" w:rsidRPr="00C72CCA" w:rsidRDefault="00EA6F40" w:rsidP="00EA6F40">
      <w:pPr>
        <w:pStyle w:val="EndNoteBibliography"/>
        <w:spacing w:after="0"/>
        <w:ind w:left="720" w:hanging="720"/>
        <w:rPr>
          <w:rFonts w:asciiTheme="minorHAnsi" w:hAnsiTheme="minorHAnsi"/>
          <w:szCs w:val="22"/>
        </w:rPr>
      </w:pPr>
      <w:r w:rsidRPr="00C72CCA">
        <w:rPr>
          <w:rFonts w:asciiTheme="minorHAnsi" w:hAnsiTheme="minorHAnsi"/>
          <w:szCs w:val="22"/>
        </w:rPr>
        <w:t xml:space="preserve">Combet E, et al. Low-level seaweed supplementation improves iodine status in iodine-insufficient women. </w:t>
      </w:r>
      <w:r w:rsidRPr="00C72CCA">
        <w:rPr>
          <w:rFonts w:asciiTheme="minorHAnsi" w:hAnsiTheme="minorHAnsi"/>
          <w:i/>
          <w:szCs w:val="22"/>
        </w:rPr>
        <w:t>Br J Nutr</w:t>
      </w:r>
      <w:r w:rsidRPr="00C72CCA">
        <w:rPr>
          <w:rFonts w:asciiTheme="minorHAnsi" w:hAnsiTheme="minorHAnsi"/>
          <w:szCs w:val="22"/>
        </w:rPr>
        <w:t xml:space="preserve"> 2014; 112: 753-761.</w:t>
      </w:r>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szCs w:val="22"/>
        </w:rPr>
        <w:t xml:space="preserve">De Groot et al. Management of thyroid dysfunction during pregnancy and postpartum; an Endocrine Society Clinical Practice Guideline. </w:t>
      </w:r>
      <w:r w:rsidRPr="00C72CCA">
        <w:rPr>
          <w:rFonts w:asciiTheme="minorHAnsi" w:hAnsiTheme="minorHAnsi"/>
          <w:i/>
          <w:szCs w:val="22"/>
        </w:rPr>
        <w:t>J Clin Endo and Metabolism</w:t>
      </w:r>
      <w:r w:rsidRPr="00C72CCA">
        <w:rPr>
          <w:rFonts w:asciiTheme="minorHAnsi" w:hAnsiTheme="minorHAnsi"/>
          <w:szCs w:val="22"/>
        </w:rPr>
        <w:t xml:space="preserve"> 2012;97:2543-2565.</w:t>
      </w:r>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noProof/>
          <w:szCs w:val="22"/>
        </w:rPr>
        <w:t>Delange F. Requirements of iodine in humans</w:t>
      </w:r>
      <w:r w:rsidRPr="00C72CCA">
        <w:rPr>
          <w:rFonts w:asciiTheme="minorHAnsi" w:hAnsiTheme="minorHAnsi"/>
          <w:i/>
          <w:noProof/>
          <w:szCs w:val="22"/>
        </w:rPr>
        <w:t>.</w:t>
      </w:r>
      <w:r w:rsidRPr="00C72CCA">
        <w:rPr>
          <w:rFonts w:asciiTheme="minorHAnsi" w:hAnsiTheme="minorHAnsi"/>
          <w:noProof/>
          <w:szCs w:val="22"/>
        </w:rPr>
        <w:t xml:space="preserve"> In: Delange F, Dunn JT, Glinoer D, eds. </w:t>
      </w:r>
      <w:r w:rsidRPr="00C72CCA">
        <w:rPr>
          <w:rFonts w:asciiTheme="minorHAnsi" w:hAnsiTheme="minorHAnsi"/>
          <w:i/>
          <w:noProof/>
          <w:szCs w:val="22"/>
        </w:rPr>
        <w:t>Iodine deficiency in Europe: A continuing concern.</w:t>
      </w:r>
      <w:r w:rsidRPr="00C72CCA">
        <w:rPr>
          <w:rFonts w:asciiTheme="minorHAnsi" w:hAnsiTheme="minorHAnsi"/>
          <w:noProof/>
          <w:szCs w:val="22"/>
        </w:rPr>
        <w:t xml:space="preserve">  New York: Plenum Press, 1993.</w:t>
      </w:r>
    </w:p>
    <w:p w:rsidR="00EA6F40" w:rsidRDefault="00EA6F40" w:rsidP="00EA6F40">
      <w:pPr>
        <w:pStyle w:val="EndNoteBibliography"/>
        <w:ind w:left="720" w:hanging="720"/>
        <w:rPr>
          <w:rFonts w:asciiTheme="minorHAnsi" w:hAnsiTheme="minorHAnsi"/>
          <w:noProof/>
          <w:szCs w:val="22"/>
        </w:rPr>
      </w:pPr>
      <w:bookmarkStart w:id="236" w:name="_ENREF_40"/>
      <w:r w:rsidRPr="00C72CCA">
        <w:rPr>
          <w:rFonts w:asciiTheme="minorHAnsi" w:hAnsiTheme="minorHAnsi"/>
          <w:noProof/>
          <w:szCs w:val="22"/>
        </w:rPr>
        <w:t>Delange F, et al. Negative iodine balance in preterm infants</w:t>
      </w:r>
      <w:r w:rsidRPr="00C72CCA">
        <w:rPr>
          <w:rFonts w:asciiTheme="minorHAnsi" w:hAnsiTheme="minorHAnsi"/>
          <w:i/>
          <w:noProof/>
          <w:szCs w:val="22"/>
        </w:rPr>
        <w:t>. Ann Endocrinol</w:t>
      </w:r>
      <w:r w:rsidRPr="00C72CCA">
        <w:rPr>
          <w:rFonts w:asciiTheme="minorHAnsi" w:hAnsiTheme="minorHAnsi"/>
          <w:noProof/>
          <w:szCs w:val="22"/>
        </w:rPr>
        <w:t xml:space="preserve"> 1984; 45.</w:t>
      </w:r>
      <w:bookmarkEnd w:id="236"/>
    </w:p>
    <w:p w:rsidR="00EA6F40" w:rsidRDefault="00EA6F40" w:rsidP="00EA6F40">
      <w:pPr>
        <w:spacing w:after="0"/>
        <w:rPr>
          <w:sz w:val="24"/>
        </w:rPr>
      </w:pPr>
      <w:r w:rsidRPr="00DC74CA">
        <w:rPr>
          <w:rFonts w:ascii="Cambria" w:hAnsi="Cambria"/>
          <w:szCs w:val="22"/>
        </w:rPr>
        <w:t xml:space="preserve">DePaoli KM, Seal JA, Burgess JR &amp; Taylor R. Improved iodine status in Tasmanian school </w:t>
      </w:r>
      <w:r>
        <w:rPr>
          <w:rFonts w:ascii="Cambria" w:hAnsi="Cambria"/>
          <w:szCs w:val="22"/>
        </w:rPr>
        <w:tab/>
      </w:r>
      <w:r w:rsidRPr="00DC74CA">
        <w:rPr>
          <w:rFonts w:ascii="Cambria" w:hAnsi="Cambria"/>
          <w:szCs w:val="22"/>
        </w:rPr>
        <w:t xml:space="preserve">children after fortification of bread: a recipe for national success. </w:t>
      </w:r>
      <w:r w:rsidRPr="002862B5">
        <w:rPr>
          <w:rFonts w:ascii="Cambria" w:hAnsi="Cambria"/>
          <w:i/>
          <w:szCs w:val="22"/>
        </w:rPr>
        <w:t>Med J Aust</w:t>
      </w:r>
      <w:r w:rsidRPr="00DC74CA">
        <w:rPr>
          <w:rFonts w:ascii="Cambria" w:hAnsi="Cambria"/>
          <w:szCs w:val="22"/>
        </w:rPr>
        <w:t xml:space="preserve"> </w:t>
      </w:r>
      <w:r>
        <w:rPr>
          <w:rFonts w:ascii="Cambria" w:hAnsi="Cambria"/>
          <w:szCs w:val="22"/>
        </w:rPr>
        <w:tab/>
      </w:r>
      <w:r w:rsidRPr="00DC74CA">
        <w:rPr>
          <w:rFonts w:ascii="Cambria" w:hAnsi="Cambria"/>
          <w:szCs w:val="22"/>
        </w:rPr>
        <w:t>2013; 198: 492-494</w:t>
      </w:r>
      <w:r>
        <w:rPr>
          <w:sz w:val="24"/>
        </w:rPr>
        <w:t>.</w:t>
      </w:r>
    </w:p>
    <w:p w:rsidR="00EA6F40" w:rsidRPr="00C72CCA" w:rsidRDefault="00EA6F40" w:rsidP="00EA6F40">
      <w:pPr>
        <w:pStyle w:val="EndNoteBibliography"/>
        <w:spacing w:after="0"/>
        <w:ind w:left="720" w:hanging="720"/>
        <w:rPr>
          <w:rFonts w:asciiTheme="minorHAnsi" w:hAnsiTheme="minorHAnsi"/>
          <w:noProof/>
          <w:szCs w:val="22"/>
        </w:rPr>
      </w:pPr>
      <w:bookmarkStart w:id="237" w:name="_ENREF_41"/>
      <w:r w:rsidRPr="00C72CCA">
        <w:rPr>
          <w:rFonts w:asciiTheme="minorHAnsi" w:hAnsiTheme="minorHAnsi"/>
          <w:noProof/>
          <w:szCs w:val="22"/>
        </w:rPr>
        <w:t>Dworkin HJ, et al. Relationship of iodine ingestion to iodine excretion in pregnancy</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J Clin Endocrinol Metab</w:t>
      </w:r>
      <w:r w:rsidRPr="00C72CCA">
        <w:rPr>
          <w:rFonts w:asciiTheme="minorHAnsi" w:hAnsiTheme="minorHAnsi"/>
          <w:noProof/>
          <w:szCs w:val="22"/>
        </w:rPr>
        <w:t xml:space="preserve"> 1966; 26:1329-42.</w:t>
      </w:r>
      <w:bookmarkEnd w:id="237"/>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szCs w:val="22"/>
        </w:rPr>
        <w:t xml:space="preserve">Du Y,et al. Iodine deficiency and excess coexist in china and induce thyroid dysfunction and disease: A cross-sectional study. </w:t>
      </w:r>
      <w:r w:rsidRPr="00C72CCA">
        <w:rPr>
          <w:rFonts w:asciiTheme="minorHAnsi" w:hAnsiTheme="minorHAnsi"/>
          <w:i/>
          <w:szCs w:val="22"/>
        </w:rPr>
        <w:t>PLoS ONE</w:t>
      </w:r>
      <w:r w:rsidRPr="00C72CCA">
        <w:rPr>
          <w:rFonts w:asciiTheme="minorHAnsi" w:hAnsiTheme="minorHAnsi"/>
          <w:szCs w:val="22"/>
        </w:rPr>
        <w:t xml:space="preserve"> 2014; 9: e111937.</w:t>
      </w:r>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noProof/>
          <w:szCs w:val="22"/>
        </w:rPr>
        <w:t xml:space="preserve">Eastman CJ &amp; Zimmerman M. Chapter 20: </w:t>
      </w:r>
      <w:hyperlink r:id="rId16" w:history="1">
        <w:r w:rsidRPr="0081554A">
          <w:rPr>
            <w:rStyle w:val="Hyperlink"/>
            <w:rFonts w:asciiTheme="minorHAnsi" w:hAnsiTheme="minorHAnsi"/>
            <w:noProof/>
            <w:szCs w:val="22"/>
          </w:rPr>
          <w:t xml:space="preserve">The Iodine Deficiency Disorders. </w:t>
        </w:r>
        <w:r w:rsidRPr="0081554A">
          <w:rPr>
            <w:rStyle w:val="Hyperlink"/>
            <w:rFonts w:asciiTheme="minorHAnsi" w:hAnsiTheme="minorHAnsi"/>
            <w:i/>
            <w:noProof/>
            <w:szCs w:val="22"/>
          </w:rPr>
          <w:t>Thyroid Disease Manager</w:t>
        </w:r>
      </w:hyperlink>
      <w:r w:rsidRPr="00C72CCA">
        <w:rPr>
          <w:rFonts w:asciiTheme="minorHAnsi" w:hAnsiTheme="minorHAnsi"/>
          <w:i/>
          <w:noProof/>
          <w:szCs w:val="22"/>
        </w:rPr>
        <w:t xml:space="preserve">, </w:t>
      </w:r>
      <w:r w:rsidRPr="00C72CCA">
        <w:rPr>
          <w:rFonts w:asciiTheme="minorHAnsi" w:hAnsiTheme="minorHAnsi"/>
          <w:noProof/>
          <w:szCs w:val="22"/>
        </w:rPr>
        <w:t xml:space="preserve">2014: </w:t>
      </w:r>
      <w:r w:rsidRPr="0081554A">
        <w:rPr>
          <w:noProof/>
          <w:szCs w:val="22"/>
        </w:rPr>
        <w:t>www.thyroidmanager.org/chapter/the-iodine-deficiency-disorders/</w:t>
      </w:r>
      <w:r w:rsidRPr="00C72CCA">
        <w:rPr>
          <w:rFonts w:asciiTheme="minorHAnsi" w:hAnsiTheme="minorHAnsi"/>
          <w:noProof/>
          <w:szCs w:val="22"/>
        </w:rPr>
        <w:t>.</w:t>
      </w:r>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noProof/>
          <w:szCs w:val="22"/>
        </w:rPr>
        <w:t>EFSA NDA Panel (EFSA Panel on Panel on Dietetic Products Nutrition and Allergies), Draft Scientific opinion on Dietary Reference Values for iodine</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EFSA Journal</w:t>
      </w:r>
      <w:r w:rsidRPr="00C72CCA">
        <w:rPr>
          <w:rFonts w:asciiTheme="minorHAnsi" w:hAnsiTheme="minorHAnsi"/>
          <w:noProof/>
          <w:szCs w:val="22"/>
        </w:rPr>
        <w:t xml:space="preserve"> 2014; 12: 3660</w:t>
      </w:r>
    </w:p>
    <w:p w:rsidR="00EA6F40" w:rsidRPr="00C72CCA" w:rsidRDefault="00EA6F40" w:rsidP="00EA6F40">
      <w:pPr>
        <w:pStyle w:val="EndNoteBibliography"/>
        <w:spacing w:after="0"/>
        <w:ind w:left="720" w:hanging="720"/>
        <w:rPr>
          <w:rFonts w:asciiTheme="minorHAnsi" w:hAnsiTheme="minorHAnsi"/>
          <w:szCs w:val="22"/>
        </w:rPr>
      </w:pPr>
      <w:r w:rsidRPr="00C72CCA">
        <w:rPr>
          <w:rFonts w:asciiTheme="minorHAnsi" w:hAnsiTheme="minorHAnsi"/>
          <w:szCs w:val="22"/>
        </w:rPr>
        <w:t xml:space="preserve">Elahi S &amp; Hussain Z. A longitudinal study of changes in thyroid related hormones among pregnant women residing in an iodine deficient urban area. </w:t>
      </w:r>
      <w:r w:rsidRPr="00C72CCA">
        <w:rPr>
          <w:rFonts w:asciiTheme="minorHAnsi" w:hAnsiTheme="minorHAnsi"/>
          <w:i/>
          <w:szCs w:val="22"/>
        </w:rPr>
        <w:t>ISRN Endocrinol</w:t>
      </w:r>
      <w:r w:rsidRPr="00C72CCA">
        <w:rPr>
          <w:rFonts w:asciiTheme="minorHAnsi" w:hAnsiTheme="minorHAnsi"/>
          <w:szCs w:val="22"/>
        </w:rPr>
        <w:t xml:space="preserve"> 2013; 2013: 6.</w:t>
      </w:r>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cs="Arial"/>
          <w:szCs w:val="22"/>
        </w:rPr>
        <w:t xml:space="preserve">Elahi S, et al. Iodine deficiency in pregnant women of lahore. </w:t>
      </w:r>
      <w:r w:rsidRPr="00C72CCA">
        <w:rPr>
          <w:rFonts w:asciiTheme="minorHAnsi" w:hAnsiTheme="minorHAnsi" w:cs="Arial"/>
          <w:i/>
          <w:szCs w:val="22"/>
        </w:rPr>
        <w:t>J Pak Med Assoc</w:t>
      </w:r>
      <w:r w:rsidRPr="00C72CCA">
        <w:rPr>
          <w:rFonts w:asciiTheme="minorHAnsi" w:hAnsiTheme="minorHAnsi" w:cs="Arial"/>
          <w:szCs w:val="22"/>
        </w:rPr>
        <w:t xml:space="preserve"> 2009; 59: 741-743.</w:t>
      </w:r>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noProof/>
          <w:szCs w:val="22"/>
        </w:rPr>
        <w:t>Evans TC, et al. Radioiodine uptake studies of the human fetal thyroid</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J Nuclear Med</w:t>
      </w:r>
      <w:r w:rsidRPr="00C72CCA">
        <w:rPr>
          <w:rFonts w:asciiTheme="minorHAnsi" w:hAnsiTheme="minorHAnsi"/>
          <w:noProof/>
          <w:szCs w:val="22"/>
        </w:rPr>
        <w:t xml:space="preserve"> 1967; 8: 157-65.</w:t>
      </w:r>
    </w:p>
    <w:p w:rsidR="00EA6F40" w:rsidRPr="00C72CCA" w:rsidRDefault="00EA6F40" w:rsidP="00EA6F40">
      <w:pPr>
        <w:pStyle w:val="EndNoteBibliography"/>
        <w:spacing w:after="0"/>
        <w:ind w:left="709" w:hanging="709"/>
        <w:rPr>
          <w:rFonts w:asciiTheme="minorHAnsi" w:hAnsiTheme="minorHAnsi"/>
          <w:szCs w:val="22"/>
        </w:rPr>
      </w:pPr>
      <w:r w:rsidRPr="00C72CCA">
        <w:rPr>
          <w:rFonts w:asciiTheme="minorHAnsi" w:hAnsiTheme="minorHAnsi"/>
          <w:szCs w:val="22"/>
        </w:rPr>
        <w:t>FAO/WHO/UNU. Energy and protein requirements. World Health Technical Report Series 724. World Health Organization, Geneva, 1985.</w:t>
      </w:r>
    </w:p>
    <w:p w:rsidR="00EA6F40" w:rsidRPr="00C72CCA" w:rsidRDefault="00EA6F40" w:rsidP="00EA6F40">
      <w:pPr>
        <w:pStyle w:val="EndNoteBibliography"/>
        <w:spacing w:after="0"/>
        <w:ind w:left="720" w:hanging="720"/>
        <w:rPr>
          <w:rFonts w:asciiTheme="minorHAnsi" w:hAnsiTheme="minorHAnsi"/>
          <w:noProof/>
          <w:szCs w:val="22"/>
        </w:rPr>
      </w:pPr>
      <w:bookmarkStart w:id="238" w:name="_ENREF_96"/>
      <w:r w:rsidRPr="00C72CCA">
        <w:rPr>
          <w:rFonts w:asciiTheme="minorHAnsi" w:hAnsiTheme="minorHAnsi"/>
          <w:noProof/>
          <w:szCs w:val="22"/>
        </w:rPr>
        <w:t xml:space="preserve">Feng C, et al. </w:t>
      </w:r>
      <w:r w:rsidRPr="00C72CCA">
        <w:rPr>
          <w:rFonts w:asciiTheme="minorHAnsi" w:hAnsiTheme="minorHAnsi"/>
          <w:i/>
          <w:noProof/>
          <w:szCs w:val="22"/>
        </w:rPr>
        <w:t>[</w:t>
      </w:r>
      <w:r w:rsidRPr="00C72CCA">
        <w:rPr>
          <w:rFonts w:asciiTheme="minorHAnsi" w:hAnsiTheme="minorHAnsi"/>
          <w:noProof/>
          <w:szCs w:val="22"/>
        </w:rPr>
        <w:t>Epidemiological survey on iodine nutrition of 8-10 year old school children in Wuqiao county of Hebei Province</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Wei Sheng Yan Jiu</w:t>
      </w:r>
      <w:r w:rsidRPr="00C72CCA">
        <w:rPr>
          <w:rFonts w:asciiTheme="minorHAnsi" w:hAnsiTheme="minorHAnsi"/>
          <w:noProof/>
          <w:szCs w:val="22"/>
        </w:rPr>
        <w:t xml:space="preserve"> 2010; 39:218-21.</w:t>
      </w:r>
      <w:bookmarkEnd w:id="238"/>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cs="Arial"/>
          <w:szCs w:val="22"/>
        </w:rPr>
        <w:t xml:space="preserve">Ferreira SM, et al. Iodine insufficiency in pregnant women from the state of sao paulo. </w:t>
      </w:r>
      <w:r w:rsidRPr="00C72CCA">
        <w:rPr>
          <w:rFonts w:asciiTheme="minorHAnsi" w:hAnsiTheme="minorHAnsi" w:cs="Arial"/>
          <w:i/>
          <w:szCs w:val="22"/>
        </w:rPr>
        <w:t>Arq Bras Endocrinol Metabol</w:t>
      </w:r>
      <w:r w:rsidRPr="00C72CCA">
        <w:rPr>
          <w:rFonts w:asciiTheme="minorHAnsi" w:hAnsiTheme="minorHAnsi" w:cs="Arial"/>
          <w:szCs w:val="22"/>
        </w:rPr>
        <w:t xml:space="preserve"> 2014; 58: 282-287.</w:t>
      </w:r>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noProof/>
          <w:szCs w:val="22"/>
        </w:rPr>
        <w:t>Fisher DA &amp; Oddie TH. Thyroidal radioiodine clearance and thryoid iodine accumulation: contrast between random daily variation and population data</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J Clin Endocrinol Metab</w:t>
      </w:r>
      <w:r w:rsidRPr="00C72CCA">
        <w:rPr>
          <w:rFonts w:asciiTheme="minorHAnsi" w:hAnsiTheme="minorHAnsi"/>
          <w:noProof/>
          <w:szCs w:val="22"/>
        </w:rPr>
        <w:t xml:space="preserve"> 1969; 29:111-5.</w:t>
      </w:r>
    </w:p>
    <w:p w:rsidR="00EA6F40" w:rsidRPr="00C72CCA" w:rsidRDefault="00EA6F40" w:rsidP="00EA6F40">
      <w:pPr>
        <w:pStyle w:val="EndNoteBibliography"/>
        <w:spacing w:after="0"/>
        <w:ind w:left="720" w:hanging="720"/>
        <w:rPr>
          <w:rFonts w:asciiTheme="minorHAnsi" w:hAnsiTheme="minorHAnsi"/>
          <w:noProof/>
          <w:szCs w:val="22"/>
        </w:rPr>
      </w:pPr>
      <w:bookmarkStart w:id="239" w:name="_ENREF_78"/>
      <w:r w:rsidRPr="00C72CCA">
        <w:rPr>
          <w:rFonts w:asciiTheme="minorHAnsi" w:hAnsiTheme="minorHAnsi"/>
          <w:noProof/>
          <w:szCs w:val="22"/>
        </w:rPr>
        <w:lastRenderedPageBreak/>
        <w:t>Fister P, et al. Thyroid volume changes during pregnancy and after delivery in an iodine-sufficient Republic of Slovenia</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Eur J Obstet Gynecol Reprod Biol</w:t>
      </w:r>
      <w:r w:rsidRPr="00C72CCA">
        <w:rPr>
          <w:rFonts w:asciiTheme="minorHAnsi" w:hAnsiTheme="minorHAnsi"/>
          <w:noProof/>
          <w:szCs w:val="22"/>
        </w:rPr>
        <w:t xml:space="preserve"> 2009;145:45-8.</w:t>
      </w:r>
      <w:bookmarkEnd w:id="239"/>
    </w:p>
    <w:p w:rsidR="00EA6F40" w:rsidRPr="00C72CCA" w:rsidRDefault="00EA6F40" w:rsidP="00EA6F40">
      <w:pPr>
        <w:pStyle w:val="EndNoteBibliography"/>
        <w:spacing w:after="0"/>
        <w:ind w:left="720" w:hanging="720"/>
        <w:rPr>
          <w:rFonts w:asciiTheme="minorHAnsi" w:hAnsiTheme="minorHAnsi"/>
          <w:noProof/>
          <w:szCs w:val="22"/>
        </w:rPr>
      </w:pPr>
      <w:bookmarkStart w:id="240" w:name="_ENREF_79"/>
      <w:r w:rsidRPr="00C72CCA">
        <w:rPr>
          <w:rFonts w:asciiTheme="minorHAnsi" w:hAnsiTheme="minorHAnsi"/>
          <w:noProof/>
          <w:szCs w:val="22"/>
        </w:rPr>
        <w:t xml:space="preserve">Fister P, et al. Thyroid function in the third trimester of pregnancy and after delivery in an area of adequate iodine intake. </w:t>
      </w:r>
      <w:r w:rsidRPr="00C72CCA">
        <w:rPr>
          <w:rFonts w:asciiTheme="minorHAnsi" w:hAnsiTheme="minorHAnsi"/>
          <w:i/>
          <w:noProof/>
          <w:szCs w:val="22"/>
        </w:rPr>
        <w:t>Int J Gynaecol Obstet</w:t>
      </w:r>
      <w:r w:rsidRPr="00C72CCA">
        <w:rPr>
          <w:rFonts w:asciiTheme="minorHAnsi" w:hAnsiTheme="minorHAnsi"/>
          <w:noProof/>
          <w:szCs w:val="22"/>
        </w:rPr>
        <w:t xml:space="preserve"> 2011. 112:52-5.</w:t>
      </w:r>
      <w:bookmarkEnd w:id="240"/>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noProof/>
          <w:szCs w:val="22"/>
        </w:rPr>
        <w:t xml:space="preserve">Food and Nutrition Board, Institute of Medicine. </w:t>
      </w:r>
      <w:r w:rsidRPr="00C72CCA">
        <w:rPr>
          <w:rFonts w:asciiTheme="minorHAnsi" w:hAnsiTheme="minorHAnsi"/>
          <w:i/>
          <w:noProof/>
          <w:szCs w:val="22"/>
        </w:rPr>
        <w:t>Dietary Reference Intakes for Vitamin A, Vitamin K, Boron, Chromium, Copper, Iodine, Iron, Manganese, Molybdenum, Nickel, Silicon, Vanadium, and Zinc.</w:t>
      </w:r>
      <w:r w:rsidRPr="00C72CCA">
        <w:rPr>
          <w:rFonts w:asciiTheme="minorHAnsi" w:hAnsiTheme="minorHAnsi"/>
          <w:noProof/>
          <w:szCs w:val="22"/>
        </w:rPr>
        <w:t xml:space="preserve"> National Academy Press: Washington DC, 2001.</w:t>
      </w:r>
    </w:p>
    <w:p w:rsidR="00EA6F40" w:rsidRPr="00C72CCA" w:rsidRDefault="00EA6F40" w:rsidP="00EA6F40">
      <w:pPr>
        <w:pStyle w:val="EndNoteBibliography"/>
        <w:spacing w:after="0"/>
        <w:ind w:left="709" w:hanging="709"/>
        <w:rPr>
          <w:rFonts w:asciiTheme="minorHAnsi" w:hAnsiTheme="minorHAnsi"/>
          <w:noProof/>
          <w:szCs w:val="22"/>
        </w:rPr>
      </w:pPr>
      <w:r w:rsidRPr="00C72CCA">
        <w:rPr>
          <w:rFonts w:asciiTheme="minorHAnsi" w:hAnsiTheme="minorHAnsi"/>
          <w:noProof/>
          <w:szCs w:val="22"/>
        </w:rPr>
        <w:t xml:space="preserve">Food Standards Australia and New Zealand (FSANZ), P230 - </w:t>
      </w:r>
      <w:hyperlink r:id="rId17" w:history="1">
        <w:r w:rsidRPr="0081554A">
          <w:rPr>
            <w:rStyle w:val="Hyperlink"/>
            <w:rFonts w:asciiTheme="minorHAnsi" w:hAnsiTheme="minorHAnsi"/>
            <w:i/>
            <w:noProof/>
            <w:szCs w:val="22"/>
          </w:rPr>
          <w:t>Consideration of mandatory fortification with iodine, safety assessment and risk characterisation report</w:t>
        </w:r>
        <w:r w:rsidRPr="0081554A">
          <w:rPr>
            <w:rStyle w:val="Hyperlink"/>
            <w:rFonts w:asciiTheme="minorHAnsi" w:hAnsiTheme="minorHAnsi"/>
            <w:noProof/>
            <w:szCs w:val="22"/>
          </w:rPr>
          <w:t>. 2008</w:t>
        </w:r>
      </w:hyperlink>
      <w:r w:rsidRPr="00C72CCA">
        <w:rPr>
          <w:rFonts w:asciiTheme="minorHAnsi" w:hAnsiTheme="minorHAnsi"/>
          <w:noProof/>
          <w:szCs w:val="22"/>
        </w:rPr>
        <w:t xml:space="preserve">: Available from: </w:t>
      </w:r>
      <w:r w:rsidR="0081554A" w:rsidRPr="0081554A">
        <w:rPr>
          <w:rFonts w:asciiTheme="minorHAnsi" w:hAnsiTheme="minorHAnsi"/>
          <w:szCs w:val="22"/>
        </w:rPr>
        <w:t>www.foodstandards.gov.au/code/proposals/documents/P1003 SD9 –Safety Assessment.pdf</w:t>
      </w:r>
    </w:p>
    <w:p w:rsidR="00EA6F40" w:rsidRPr="00C72CCA" w:rsidRDefault="00EA6F40" w:rsidP="00EA6F40">
      <w:pPr>
        <w:pStyle w:val="EndNoteBibliography"/>
        <w:spacing w:after="0"/>
        <w:ind w:left="709" w:hanging="709"/>
        <w:rPr>
          <w:rFonts w:asciiTheme="minorHAnsi" w:hAnsiTheme="minorHAnsi"/>
          <w:szCs w:val="22"/>
        </w:rPr>
      </w:pPr>
      <w:r w:rsidRPr="00C72CCA">
        <w:rPr>
          <w:rFonts w:asciiTheme="minorHAnsi" w:hAnsiTheme="minorHAnsi"/>
          <w:noProof/>
          <w:szCs w:val="22"/>
        </w:rPr>
        <w:t xml:space="preserve">Food Standards Australia and New Zealand (FSANZ), P230 - </w:t>
      </w:r>
      <w:hyperlink r:id="rId18" w:history="1">
        <w:r w:rsidRPr="0081554A">
          <w:rPr>
            <w:rStyle w:val="Hyperlink"/>
            <w:rFonts w:asciiTheme="minorHAnsi" w:hAnsiTheme="minorHAnsi"/>
            <w:i/>
            <w:noProof/>
            <w:szCs w:val="22"/>
          </w:rPr>
          <w:t>Consideration of mandatory fortification with iodine, key issues for considerations at final assessment</w:t>
        </w:r>
      </w:hyperlink>
      <w:r w:rsidRPr="00C72CCA">
        <w:rPr>
          <w:rFonts w:asciiTheme="minorHAnsi" w:hAnsiTheme="minorHAnsi"/>
          <w:noProof/>
          <w:szCs w:val="22"/>
        </w:rPr>
        <w:t xml:space="preserve">. 2008: Available from: </w:t>
      </w:r>
      <w:r w:rsidRPr="0081554A">
        <w:t>www.foodstandards.gov.au/code/proposals/documents/Issues Paper - Mandatory Fortification with Iodine.doc)</w:t>
      </w:r>
    </w:p>
    <w:p w:rsidR="00EA6F40" w:rsidRPr="00C72CCA" w:rsidRDefault="00EA6F40" w:rsidP="00EA6F40">
      <w:pPr>
        <w:pStyle w:val="EndNoteBibliography"/>
        <w:spacing w:after="0"/>
        <w:ind w:left="709" w:hanging="709"/>
        <w:rPr>
          <w:rFonts w:asciiTheme="minorHAnsi" w:hAnsiTheme="minorHAnsi" w:cs="Arial"/>
          <w:szCs w:val="22"/>
        </w:rPr>
      </w:pPr>
      <w:r w:rsidRPr="00C72CCA">
        <w:rPr>
          <w:rFonts w:asciiTheme="minorHAnsi" w:hAnsiTheme="minorHAnsi" w:cs="Arial"/>
          <w:szCs w:val="22"/>
        </w:rPr>
        <w:t xml:space="preserve">Fuse Y, et al. Gestational changes of thyroid function and urinary iodine in thyroid antibody-negative japanese women. </w:t>
      </w:r>
      <w:r w:rsidRPr="00C72CCA">
        <w:rPr>
          <w:rFonts w:asciiTheme="minorHAnsi" w:hAnsiTheme="minorHAnsi" w:cs="Arial"/>
          <w:i/>
          <w:szCs w:val="22"/>
        </w:rPr>
        <w:t>Endocr J</w:t>
      </w:r>
      <w:r w:rsidRPr="00C72CCA">
        <w:rPr>
          <w:rFonts w:asciiTheme="minorHAnsi" w:hAnsiTheme="minorHAnsi" w:cs="Arial"/>
          <w:szCs w:val="22"/>
        </w:rPr>
        <w:t xml:space="preserve"> 2013; 60: 1095-1106.</w:t>
      </w:r>
    </w:p>
    <w:p w:rsidR="00EA6F40" w:rsidRPr="00C72CCA" w:rsidRDefault="00EA6F40" w:rsidP="00EA6F40">
      <w:pPr>
        <w:pStyle w:val="EndNoteBibliography"/>
        <w:spacing w:after="0"/>
        <w:ind w:left="709" w:hanging="709"/>
        <w:rPr>
          <w:rFonts w:asciiTheme="minorHAnsi" w:hAnsiTheme="minorHAnsi"/>
          <w:noProof/>
          <w:szCs w:val="22"/>
        </w:rPr>
      </w:pPr>
      <w:r w:rsidRPr="00C72CCA">
        <w:rPr>
          <w:rFonts w:asciiTheme="minorHAnsi" w:hAnsiTheme="minorHAnsi" w:cs="Arial"/>
          <w:szCs w:val="22"/>
        </w:rPr>
        <w:t xml:space="preserve">Ghassabian A, et al. Maternal urinary iodine concentration in pregnancy and children's cognition: Results from a population-based birth cohort in an iodine-sufficient area. </w:t>
      </w:r>
      <w:r w:rsidRPr="00C72CCA">
        <w:rPr>
          <w:rFonts w:asciiTheme="minorHAnsi" w:hAnsiTheme="minorHAnsi" w:cs="Arial"/>
          <w:i/>
          <w:szCs w:val="22"/>
        </w:rPr>
        <w:t>BMJ Open</w:t>
      </w:r>
      <w:r w:rsidRPr="00C72CCA">
        <w:rPr>
          <w:rFonts w:asciiTheme="minorHAnsi" w:hAnsiTheme="minorHAnsi" w:cs="Arial"/>
          <w:szCs w:val="22"/>
        </w:rPr>
        <w:t xml:space="preserve"> 2014; 4: </w:t>
      </w:r>
      <w:r w:rsidRPr="00C72CCA">
        <w:rPr>
          <w:rFonts w:asciiTheme="minorHAnsi" w:hAnsiTheme="minorHAnsi" w:cs="AdvOT30a32c65"/>
          <w:szCs w:val="22"/>
          <w:lang w:eastAsia="zh-CN"/>
        </w:rPr>
        <w:t>e005520.</w:t>
      </w:r>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noProof/>
          <w:szCs w:val="22"/>
        </w:rPr>
        <w:t xml:space="preserve">Gibson RS. </w:t>
      </w:r>
      <w:r w:rsidRPr="00C72CCA">
        <w:rPr>
          <w:rFonts w:asciiTheme="minorHAnsi" w:hAnsiTheme="minorHAnsi"/>
          <w:i/>
          <w:noProof/>
          <w:szCs w:val="22"/>
        </w:rPr>
        <w:t>Principles of Nutritional Assessment</w:t>
      </w:r>
      <w:r w:rsidRPr="00C72CCA">
        <w:rPr>
          <w:rFonts w:asciiTheme="minorHAnsi" w:hAnsiTheme="minorHAnsi"/>
          <w:noProof/>
          <w:szCs w:val="22"/>
        </w:rPr>
        <w:t>. New York: Oxford University Press, 2005.</w:t>
      </w:r>
    </w:p>
    <w:p w:rsidR="00EA6F40" w:rsidRPr="00C72CCA" w:rsidRDefault="00EA6F40" w:rsidP="00EA6F40">
      <w:pPr>
        <w:pStyle w:val="EndNoteBibliography"/>
        <w:spacing w:after="0"/>
        <w:ind w:left="720" w:hanging="720"/>
        <w:rPr>
          <w:rFonts w:asciiTheme="minorHAnsi" w:hAnsiTheme="minorHAnsi"/>
          <w:noProof/>
          <w:szCs w:val="22"/>
        </w:rPr>
      </w:pPr>
      <w:bookmarkStart w:id="241" w:name="_ENREF_42"/>
      <w:r w:rsidRPr="00C72CCA">
        <w:rPr>
          <w:rFonts w:asciiTheme="minorHAnsi" w:hAnsiTheme="minorHAnsi"/>
          <w:noProof/>
          <w:szCs w:val="22"/>
        </w:rPr>
        <w:t>Glinoer D. Iodine supplementation during pregnancy: importance and biochemical assessment</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Exp Clin Endocrinol Diabetes</w:t>
      </w:r>
      <w:r w:rsidRPr="00C72CCA">
        <w:rPr>
          <w:rFonts w:asciiTheme="minorHAnsi" w:hAnsiTheme="minorHAnsi"/>
          <w:noProof/>
          <w:szCs w:val="22"/>
        </w:rPr>
        <w:t xml:space="preserve"> 1998;106, Suppl 3:S21.</w:t>
      </w:r>
      <w:bookmarkEnd w:id="241"/>
    </w:p>
    <w:p w:rsidR="00EA6F40" w:rsidRPr="00C72CCA" w:rsidRDefault="00EA6F40" w:rsidP="00EA6F40">
      <w:pPr>
        <w:pStyle w:val="EndNoteBibliography"/>
        <w:spacing w:after="0"/>
        <w:ind w:left="720" w:hanging="720"/>
        <w:rPr>
          <w:rFonts w:asciiTheme="minorHAnsi" w:hAnsiTheme="minorHAnsi"/>
          <w:noProof/>
          <w:szCs w:val="22"/>
        </w:rPr>
      </w:pPr>
      <w:bookmarkStart w:id="242" w:name="_ENREF_35"/>
      <w:r w:rsidRPr="00C72CCA">
        <w:rPr>
          <w:rFonts w:asciiTheme="minorHAnsi" w:hAnsiTheme="minorHAnsi"/>
          <w:noProof/>
          <w:szCs w:val="22"/>
        </w:rPr>
        <w:t>Glinoer D &amp; Delange F. The potential repercussions of maternal, fetal, and neonatal hypothyroxinemia on the progeny</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Thyroid</w:t>
      </w:r>
      <w:r w:rsidRPr="00C72CCA">
        <w:rPr>
          <w:rFonts w:asciiTheme="minorHAnsi" w:hAnsiTheme="minorHAnsi"/>
          <w:noProof/>
          <w:szCs w:val="22"/>
        </w:rPr>
        <w:t xml:space="preserve"> 2000; 10:871-87.</w:t>
      </w:r>
      <w:bookmarkEnd w:id="242"/>
    </w:p>
    <w:p w:rsidR="00EA6F40" w:rsidRPr="00C72CCA" w:rsidRDefault="00EA6F40" w:rsidP="00EA6F40">
      <w:pPr>
        <w:pStyle w:val="EndNoteBibliography"/>
        <w:spacing w:after="0"/>
        <w:ind w:left="720" w:hanging="720"/>
        <w:rPr>
          <w:rFonts w:asciiTheme="minorHAnsi" w:hAnsiTheme="minorHAnsi"/>
          <w:noProof/>
          <w:szCs w:val="22"/>
        </w:rPr>
      </w:pPr>
      <w:bookmarkStart w:id="243" w:name="_ENREF_34"/>
      <w:r w:rsidRPr="00C72CCA">
        <w:rPr>
          <w:rFonts w:asciiTheme="minorHAnsi" w:hAnsiTheme="minorHAnsi"/>
          <w:noProof/>
          <w:szCs w:val="22"/>
        </w:rPr>
        <w:t>Glinoer D. Pregnancy and iodine</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Thyroid</w:t>
      </w:r>
      <w:r w:rsidRPr="00C72CCA">
        <w:rPr>
          <w:rFonts w:asciiTheme="minorHAnsi" w:hAnsiTheme="minorHAnsi"/>
          <w:noProof/>
          <w:szCs w:val="22"/>
        </w:rPr>
        <w:t xml:space="preserve"> 2001; 11:471-81.</w:t>
      </w:r>
      <w:bookmarkEnd w:id="243"/>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cs="Arial"/>
          <w:szCs w:val="22"/>
        </w:rPr>
        <w:t xml:space="preserve">Gowachirapant S, et al. Overweight increases risk of first trimester hypothyroxinaemia in iodine-deficient pregnant women. </w:t>
      </w:r>
      <w:r w:rsidRPr="00C72CCA">
        <w:rPr>
          <w:rFonts w:asciiTheme="minorHAnsi" w:hAnsiTheme="minorHAnsi" w:cs="Arial"/>
          <w:i/>
          <w:szCs w:val="22"/>
        </w:rPr>
        <w:t>Matern Child Nutr</w:t>
      </w:r>
      <w:r w:rsidRPr="00C72CCA">
        <w:rPr>
          <w:rFonts w:asciiTheme="minorHAnsi" w:hAnsiTheme="minorHAnsi" w:cs="Arial"/>
          <w:szCs w:val="22"/>
        </w:rPr>
        <w:t xml:space="preserve"> 2014; 10: 61-71.</w:t>
      </w:r>
    </w:p>
    <w:p w:rsidR="00EA6F40" w:rsidRPr="00C72CCA" w:rsidRDefault="00EA6F40" w:rsidP="00EA6F40">
      <w:pPr>
        <w:pStyle w:val="EndNoteBibliography"/>
        <w:spacing w:after="0"/>
        <w:ind w:left="720" w:hanging="720"/>
        <w:rPr>
          <w:rFonts w:asciiTheme="minorHAnsi" w:hAnsiTheme="minorHAnsi"/>
          <w:noProof/>
          <w:szCs w:val="22"/>
        </w:rPr>
      </w:pPr>
      <w:bookmarkStart w:id="244" w:name="_ENREF_28"/>
      <w:r w:rsidRPr="00C72CCA">
        <w:rPr>
          <w:rFonts w:asciiTheme="minorHAnsi" w:hAnsiTheme="minorHAnsi"/>
          <w:noProof/>
          <w:szCs w:val="22"/>
        </w:rPr>
        <w:t>Gunnarsdottir I &amp; Dahl L. Iodine intake in human nutrition: a systematic literature review</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Food Nutr Res</w:t>
      </w:r>
      <w:r w:rsidRPr="00C72CCA">
        <w:rPr>
          <w:rFonts w:asciiTheme="minorHAnsi" w:hAnsiTheme="minorHAnsi"/>
          <w:noProof/>
          <w:szCs w:val="22"/>
        </w:rPr>
        <w:t xml:space="preserve"> 2012;56.</w:t>
      </w:r>
      <w:bookmarkEnd w:id="244"/>
    </w:p>
    <w:p w:rsidR="00EA6F40" w:rsidRPr="00C72CCA" w:rsidRDefault="00EA6F40" w:rsidP="00EA6F40">
      <w:pPr>
        <w:pStyle w:val="EndNoteBibliography"/>
        <w:spacing w:after="0"/>
        <w:ind w:left="720" w:hanging="720"/>
        <w:rPr>
          <w:rFonts w:asciiTheme="minorHAnsi" w:hAnsiTheme="minorHAnsi" w:cs="Arial"/>
          <w:szCs w:val="22"/>
        </w:rPr>
      </w:pPr>
      <w:r w:rsidRPr="00C72CCA">
        <w:rPr>
          <w:rFonts w:asciiTheme="minorHAnsi" w:hAnsiTheme="minorHAnsi" w:cs="Arial"/>
          <w:szCs w:val="22"/>
        </w:rPr>
        <w:t xml:space="preserve">Habimana L, et al. High prevalence of thyroid dysfunction among pregnant women in lubumbashi, democratic republic of congo. </w:t>
      </w:r>
      <w:r w:rsidRPr="00C72CCA">
        <w:rPr>
          <w:rFonts w:asciiTheme="minorHAnsi" w:hAnsiTheme="minorHAnsi" w:cs="Arial"/>
          <w:i/>
          <w:szCs w:val="22"/>
        </w:rPr>
        <w:t>Thyroid</w:t>
      </w:r>
      <w:r w:rsidRPr="00C72CCA">
        <w:rPr>
          <w:rFonts w:asciiTheme="minorHAnsi" w:hAnsiTheme="minorHAnsi" w:cs="Arial"/>
          <w:szCs w:val="22"/>
        </w:rPr>
        <w:t xml:space="preserve"> 2014; 24: 568-575.</w:t>
      </w:r>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cs="Arial"/>
          <w:szCs w:val="22"/>
        </w:rPr>
        <w:t xml:space="preserve">Habimana L, et al. Iodine and iron status of pregnant women in Lubumbashi, Democratic Republic of Congo. </w:t>
      </w:r>
      <w:r w:rsidRPr="00C72CCA">
        <w:rPr>
          <w:rFonts w:asciiTheme="minorHAnsi" w:hAnsiTheme="minorHAnsi" w:cs="Arial"/>
          <w:i/>
          <w:szCs w:val="22"/>
        </w:rPr>
        <w:t>Public Health Nutr</w:t>
      </w:r>
      <w:r w:rsidRPr="00C72CCA">
        <w:rPr>
          <w:rFonts w:asciiTheme="minorHAnsi" w:hAnsiTheme="minorHAnsi" w:cs="Arial"/>
          <w:szCs w:val="22"/>
        </w:rPr>
        <w:t xml:space="preserve"> 2013; 16: 1362-1370.</w:t>
      </w:r>
    </w:p>
    <w:p w:rsidR="00EA6F40" w:rsidRPr="00C72CCA" w:rsidRDefault="00EA6F40" w:rsidP="00EA6F40">
      <w:pPr>
        <w:pStyle w:val="EndNoteBibliography"/>
        <w:spacing w:after="0"/>
        <w:ind w:left="720" w:hanging="720"/>
        <w:rPr>
          <w:rFonts w:asciiTheme="minorHAnsi" w:hAnsiTheme="minorHAnsi"/>
          <w:noProof/>
          <w:szCs w:val="22"/>
        </w:rPr>
      </w:pPr>
      <w:bookmarkStart w:id="245" w:name="_ENREF_53"/>
      <w:r w:rsidRPr="00C72CCA">
        <w:rPr>
          <w:rFonts w:asciiTheme="minorHAnsi" w:hAnsiTheme="minorHAnsi"/>
          <w:noProof/>
          <w:szCs w:val="22"/>
        </w:rPr>
        <w:t>Hays MT. Estimation of total body iodine content in normal young men</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Thyroid</w:t>
      </w:r>
      <w:r w:rsidRPr="00C72CCA">
        <w:rPr>
          <w:rFonts w:asciiTheme="minorHAnsi" w:hAnsiTheme="minorHAnsi"/>
          <w:noProof/>
          <w:szCs w:val="22"/>
        </w:rPr>
        <w:t xml:space="preserve"> 2001;11:671-5.</w:t>
      </w:r>
      <w:bookmarkEnd w:id="245"/>
    </w:p>
    <w:p w:rsidR="00EA6F40" w:rsidRPr="00C72CCA" w:rsidRDefault="00EA6F40" w:rsidP="00EA6F40">
      <w:pPr>
        <w:pStyle w:val="EndNoteBibliography"/>
        <w:spacing w:after="0"/>
        <w:ind w:left="720" w:hanging="720"/>
        <w:rPr>
          <w:rFonts w:asciiTheme="minorHAnsi" w:hAnsiTheme="minorHAnsi"/>
          <w:noProof/>
          <w:szCs w:val="22"/>
        </w:rPr>
      </w:pPr>
      <w:bookmarkStart w:id="246" w:name="_ENREF_95"/>
      <w:r w:rsidRPr="00C72CCA">
        <w:rPr>
          <w:rFonts w:asciiTheme="minorHAnsi" w:hAnsiTheme="minorHAnsi"/>
          <w:noProof/>
          <w:szCs w:val="22"/>
        </w:rPr>
        <w:t>Henjum S, et al. Endemic goitre and excessive iodine in urine and drinking water among Saharawi refugee children</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Public Health Nutr</w:t>
      </w:r>
      <w:r w:rsidRPr="00C72CCA">
        <w:rPr>
          <w:rFonts w:asciiTheme="minorHAnsi" w:hAnsiTheme="minorHAnsi"/>
          <w:noProof/>
          <w:szCs w:val="22"/>
        </w:rPr>
        <w:t xml:space="preserve"> 2010; 13:1472-7.</w:t>
      </w:r>
      <w:bookmarkEnd w:id="246"/>
    </w:p>
    <w:p w:rsidR="00EA6F40" w:rsidRPr="00C72CCA" w:rsidRDefault="00EA6F40" w:rsidP="00EA6F40">
      <w:pPr>
        <w:pStyle w:val="EndNoteBibliography"/>
        <w:spacing w:after="0"/>
        <w:ind w:left="709" w:hanging="709"/>
        <w:rPr>
          <w:rFonts w:asciiTheme="minorHAnsi" w:hAnsiTheme="minorHAnsi"/>
          <w:noProof/>
          <w:szCs w:val="22"/>
        </w:rPr>
      </w:pPr>
      <w:r w:rsidRPr="00C72CCA">
        <w:rPr>
          <w:rFonts w:asciiTheme="minorHAnsi" w:hAnsiTheme="minorHAnsi"/>
          <w:noProof/>
          <w:szCs w:val="22"/>
        </w:rPr>
        <w:t xml:space="preserve">Henrichs J, et al. Maternal hypothyroxinemia and effects on cognitive functioning in childhood: how and why? </w:t>
      </w:r>
      <w:r w:rsidRPr="00C72CCA">
        <w:rPr>
          <w:rFonts w:asciiTheme="minorHAnsi" w:hAnsiTheme="minorHAnsi"/>
          <w:i/>
          <w:noProof/>
          <w:szCs w:val="22"/>
        </w:rPr>
        <w:t>Clin Endocrinol</w:t>
      </w:r>
      <w:r w:rsidRPr="00C72CCA">
        <w:rPr>
          <w:rFonts w:asciiTheme="minorHAnsi" w:hAnsiTheme="minorHAnsi"/>
          <w:noProof/>
          <w:szCs w:val="22"/>
        </w:rPr>
        <w:t xml:space="preserve"> (Oxf) 2013; 79:152-62.</w:t>
      </w:r>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noProof/>
          <w:szCs w:val="22"/>
        </w:rPr>
        <w:t>Hetzel, B.S. Iodine Deficiency Disorders (IDD) and Their Eradication</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Lancet</w:t>
      </w:r>
      <w:r w:rsidRPr="00C72CCA">
        <w:rPr>
          <w:rFonts w:asciiTheme="minorHAnsi" w:hAnsiTheme="minorHAnsi"/>
          <w:noProof/>
          <w:szCs w:val="22"/>
        </w:rPr>
        <w:t xml:space="preserve"> 1983; 2: 1126-9.</w:t>
      </w:r>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noProof/>
          <w:szCs w:val="22"/>
        </w:rPr>
        <w:lastRenderedPageBreak/>
        <w:t>Huda SN, et al. Cognitive and motor functions of iodine-deficient but euthyroid children in Bangladesh do not benefit from iodized poppy seed oil (Lipiodol)</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J Nutr</w:t>
      </w:r>
      <w:r w:rsidRPr="00C72CCA">
        <w:rPr>
          <w:rFonts w:asciiTheme="minorHAnsi" w:hAnsiTheme="minorHAnsi"/>
          <w:noProof/>
          <w:szCs w:val="22"/>
        </w:rPr>
        <w:t xml:space="preserve"> 2001; 131: 72-7.</w:t>
      </w:r>
    </w:p>
    <w:p w:rsidR="00EA6F40" w:rsidRPr="00C72CCA" w:rsidRDefault="00EA6F40" w:rsidP="00EA6F40">
      <w:pPr>
        <w:pStyle w:val="EndNoteBibliography"/>
        <w:spacing w:after="0"/>
        <w:ind w:left="720" w:hanging="720"/>
        <w:rPr>
          <w:rFonts w:asciiTheme="minorHAnsi" w:hAnsiTheme="minorHAnsi"/>
          <w:noProof/>
          <w:szCs w:val="22"/>
        </w:rPr>
      </w:pPr>
      <w:bookmarkStart w:id="247" w:name="_ENREF_91"/>
      <w:r w:rsidRPr="00C72CCA">
        <w:rPr>
          <w:rFonts w:asciiTheme="minorHAnsi" w:hAnsiTheme="minorHAnsi"/>
          <w:noProof/>
          <w:szCs w:val="22"/>
        </w:rPr>
        <w:t>Hussein IS, et al. Iodine status and fish intake of Sudanese schoolchildren living in the Red Sea and White Nile regions</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Public Health Nutr</w:t>
      </w:r>
      <w:r w:rsidRPr="00C72CCA">
        <w:rPr>
          <w:rFonts w:asciiTheme="minorHAnsi" w:hAnsiTheme="minorHAnsi"/>
          <w:noProof/>
          <w:szCs w:val="22"/>
        </w:rPr>
        <w:t xml:space="preserve"> 2012;15:2265-71.</w:t>
      </w:r>
      <w:bookmarkEnd w:id="247"/>
    </w:p>
    <w:p w:rsidR="00EA6F40" w:rsidRPr="00C72CCA" w:rsidRDefault="00EA6F40" w:rsidP="00EA6F40">
      <w:pPr>
        <w:pStyle w:val="EndNoteBibliography"/>
        <w:spacing w:after="0"/>
        <w:ind w:left="720" w:hanging="720"/>
        <w:rPr>
          <w:rFonts w:asciiTheme="minorHAnsi" w:hAnsiTheme="minorHAnsi"/>
          <w:noProof/>
          <w:szCs w:val="22"/>
        </w:rPr>
      </w:pPr>
      <w:bookmarkStart w:id="248" w:name="_ENREF_69"/>
      <w:r w:rsidRPr="00C72CCA">
        <w:rPr>
          <w:rFonts w:asciiTheme="minorHAnsi" w:hAnsiTheme="minorHAnsi"/>
          <w:noProof/>
          <w:szCs w:val="22"/>
        </w:rPr>
        <w:t xml:space="preserve">Hynes KL, et al. Mild iodine deficiency during pregnancy is associated with reduced educational outcomes in the offspring: 9-year follow-up of the gestational iodine cohort. </w:t>
      </w:r>
      <w:r w:rsidRPr="00C72CCA">
        <w:rPr>
          <w:rFonts w:asciiTheme="minorHAnsi" w:hAnsiTheme="minorHAnsi"/>
          <w:i/>
          <w:noProof/>
          <w:szCs w:val="22"/>
        </w:rPr>
        <w:t>J Clin Endocrinol Metab</w:t>
      </w:r>
      <w:r w:rsidRPr="00C72CCA">
        <w:rPr>
          <w:rFonts w:asciiTheme="minorHAnsi" w:hAnsiTheme="minorHAnsi"/>
          <w:noProof/>
          <w:szCs w:val="22"/>
        </w:rPr>
        <w:t xml:space="preserve"> 2013;98:1954-62.</w:t>
      </w:r>
      <w:bookmarkEnd w:id="248"/>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noProof/>
          <w:szCs w:val="22"/>
        </w:rPr>
        <w:t xml:space="preserve">Izzeldin HS, et al. Population living in the Red Sea State of Sudan may need urgent intervention to correct the excess dietary iodine intake. </w:t>
      </w:r>
      <w:r w:rsidRPr="00C72CCA">
        <w:rPr>
          <w:rFonts w:asciiTheme="minorHAnsi" w:hAnsiTheme="minorHAnsi"/>
          <w:i/>
          <w:noProof/>
          <w:szCs w:val="22"/>
        </w:rPr>
        <w:t>Nutr Health</w:t>
      </w:r>
      <w:r w:rsidRPr="00C72CCA">
        <w:rPr>
          <w:rFonts w:asciiTheme="minorHAnsi" w:hAnsiTheme="minorHAnsi"/>
          <w:noProof/>
          <w:szCs w:val="22"/>
        </w:rPr>
        <w:t xml:space="preserve"> 2007; 18:333-41.</w:t>
      </w:r>
    </w:p>
    <w:p w:rsidR="00EA6F40" w:rsidRPr="00C72CCA" w:rsidRDefault="00EA6F40" w:rsidP="00EA6F40">
      <w:pPr>
        <w:pStyle w:val="EndNoteBibliography"/>
        <w:spacing w:after="0"/>
        <w:ind w:left="720" w:hanging="720"/>
        <w:rPr>
          <w:rFonts w:asciiTheme="minorHAnsi" w:hAnsiTheme="minorHAnsi"/>
          <w:noProof/>
          <w:szCs w:val="22"/>
        </w:rPr>
      </w:pPr>
      <w:bookmarkStart w:id="249" w:name="_ENREF_54"/>
      <w:r w:rsidRPr="00C72CCA">
        <w:rPr>
          <w:rFonts w:asciiTheme="minorHAnsi" w:hAnsiTheme="minorHAnsi"/>
          <w:noProof/>
          <w:szCs w:val="22"/>
        </w:rPr>
        <w:t xml:space="preserve">Jahreis G, et al. Bioavailability of iodine from normal diets rich in dairy products--results of balance studies in women. </w:t>
      </w:r>
      <w:r w:rsidRPr="00C72CCA">
        <w:rPr>
          <w:rFonts w:asciiTheme="minorHAnsi" w:hAnsiTheme="minorHAnsi"/>
          <w:i/>
          <w:noProof/>
          <w:szCs w:val="22"/>
        </w:rPr>
        <w:t>Exp Clin Endocrinol Diabetes</w:t>
      </w:r>
      <w:r w:rsidRPr="00C72CCA">
        <w:rPr>
          <w:rFonts w:asciiTheme="minorHAnsi" w:hAnsiTheme="minorHAnsi"/>
          <w:noProof/>
          <w:szCs w:val="22"/>
        </w:rPr>
        <w:t xml:space="preserve"> 2001;109:163-7.</w:t>
      </w:r>
      <w:bookmarkEnd w:id="249"/>
    </w:p>
    <w:p w:rsidR="00EA6F40" w:rsidRPr="00C72CCA" w:rsidRDefault="00EA6F40" w:rsidP="00EA6F40">
      <w:pPr>
        <w:pStyle w:val="EndNoteBibliography"/>
        <w:spacing w:after="0"/>
        <w:ind w:left="720" w:hanging="720"/>
        <w:rPr>
          <w:rFonts w:asciiTheme="minorHAnsi" w:hAnsiTheme="minorHAnsi" w:cs="Arial"/>
          <w:szCs w:val="22"/>
        </w:rPr>
      </w:pPr>
      <w:r w:rsidRPr="00C72CCA">
        <w:rPr>
          <w:rFonts w:asciiTheme="minorHAnsi" w:hAnsiTheme="minorHAnsi" w:cs="Arial"/>
          <w:szCs w:val="22"/>
        </w:rPr>
        <w:t xml:space="preserve">Jaiswal N, et al. High prevalence of maternal hypothyroidism despite adequate iodine status in Indian pregnant women in the first trimester. </w:t>
      </w:r>
      <w:r w:rsidRPr="00C72CCA">
        <w:rPr>
          <w:rFonts w:asciiTheme="minorHAnsi" w:hAnsiTheme="minorHAnsi" w:cs="Arial"/>
          <w:i/>
          <w:szCs w:val="22"/>
        </w:rPr>
        <w:t>Thyroid</w:t>
      </w:r>
      <w:r w:rsidRPr="00C72CCA">
        <w:rPr>
          <w:rFonts w:asciiTheme="minorHAnsi" w:hAnsiTheme="minorHAnsi" w:cs="Arial"/>
          <w:szCs w:val="22"/>
        </w:rPr>
        <w:t xml:space="preserve"> 2014; 24: 1419-1429.</w:t>
      </w:r>
    </w:p>
    <w:p w:rsidR="00EA6F40" w:rsidRPr="00C72CCA" w:rsidRDefault="00EA6F40" w:rsidP="00EA6F40">
      <w:pPr>
        <w:pStyle w:val="EndNoteBibliography"/>
        <w:spacing w:after="0"/>
        <w:ind w:left="720" w:hanging="720"/>
        <w:rPr>
          <w:rFonts w:asciiTheme="minorHAnsi" w:hAnsiTheme="minorHAnsi" w:cs="Arial"/>
          <w:szCs w:val="22"/>
        </w:rPr>
      </w:pPr>
      <w:r w:rsidRPr="00C72CCA">
        <w:rPr>
          <w:rFonts w:asciiTheme="minorHAnsi" w:hAnsiTheme="minorHAnsi" w:cs="Arial"/>
          <w:szCs w:val="22"/>
        </w:rPr>
        <w:t xml:space="preserve">Joshi K, et al. Early gestation screening of pregnant women for iodine deficiency disorders and iron deficiency in urban centre in Vadodara, Gujarat, India. </w:t>
      </w:r>
      <w:r w:rsidRPr="00C72CCA">
        <w:rPr>
          <w:rFonts w:asciiTheme="minorHAnsi" w:hAnsiTheme="minorHAnsi" w:cs="Arial"/>
          <w:i/>
          <w:szCs w:val="22"/>
        </w:rPr>
        <w:t>J Dev Orig Health Dis</w:t>
      </w:r>
      <w:r w:rsidRPr="00C72CCA">
        <w:rPr>
          <w:rFonts w:asciiTheme="minorHAnsi" w:hAnsiTheme="minorHAnsi" w:cs="Arial"/>
          <w:szCs w:val="22"/>
        </w:rPr>
        <w:t xml:space="preserve"> 2014; 5: 63-68.</w:t>
      </w:r>
    </w:p>
    <w:p w:rsidR="00EA6F40" w:rsidRPr="00C72CCA" w:rsidRDefault="00EA6F40" w:rsidP="00EA6F40">
      <w:pPr>
        <w:pStyle w:val="EndNoteBibliography"/>
        <w:spacing w:after="0"/>
        <w:ind w:left="720" w:hanging="720"/>
        <w:rPr>
          <w:rFonts w:asciiTheme="minorHAnsi" w:hAnsiTheme="minorHAnsi" w:cs="Arial"/>
          <w:szCs w:val="22"/>
        </w:rPr>
      </w:pPr>
      <w:r w:rsidRPr="00C72CCA">
        <w:rPr>
          <w:rFonts w:asciiTheme="minorHAnsi" w:hAnsiTheme="minorHAnsi" w:cs="Arial"/>
          <w:szCs w:val="22"/>
        </w:rPr>
        <w:t xml:space="preserve">Julvez J, et al. Thyroxine levels during pregnancy in healthy women and early child neurodevelopment. </w:t>
      </w:r>
      <w:r w:rsidRPr="00C72CCA">
        <w:rPr>
          <w:rFonts w:asciiTheme="minorHAnsi" w:hAnsiTheme="minorHAnsi" w:cs="Arial"/>
          <w:i/>
          <w:szCs w:val="22"/>
        </w:rPr>
        <w:t>Epidemiology</w:t>
      </w:r>
      <w:r w:rsidRPr="00C72CCA">
        <w:rPr>
          <w:rFonts w:asciiTheme="minorHAnsi" w:hAnsiTheme="minorHAnsi" w:cs="Arial"/>
          <w:szCs w:val="22"/>
        </w:rPr>
        <w:t xml:space="preserve"> 2013; 24: 150-157.</w:t>
      </w:r>
    </w:p>
    <w:p w:rsidR="00EA6F40" w:rsidRPr="00C72CCA" w:rsidRDefault="00EA6F40" w:rsidP="00EA6F40">
      <w:pPr>
        <w:pStyle w:val="EndNoteBibliography"/>
        <w:spacing w:after="0"/>
        <w:ind w:left="720" w:hanging="720"/>
        <w:rPr>
          <w:rFonts w:asciiTheme="minorHAnsi" w:hAnsiTheme="minorHAnsi" w:cs="Arial"/>
          <w:szCs w:val="22"/>
        </w:rPr>
      </w:pPr>
      <w:r w:rsidRPr="00C72CCA">
        <w:rPr>
          <w:rFonts w:asciiTheme="minorHAnsi" w:hAnsiTheme="minorHAnsi" w:cs="Arial"/>
          <w:szCs w:val="22"/>
        </w:rPr>
        <w:t xml:space="preserve">Koukkou E, et al.Urine selenium changes during pregnancy do not correlate with thyroid autoantibodies in a mildly iodine deficient population. </w:t>
      </w:r>
      <w:r w:rsidRPr="00C72CCA">
        <w:rPr>
          <w:rFonts w:asciiTheme="minorHAnsi" w:hAnsiTheme="minorHAnsi" w:cs="Arial"/>
          <w:i/>
          <w:szCs w:val="22"/>
        </w:rPr>
        <w:t>Biol Trace Elem Res</w:t>
      </w:r>
      <w:r w:rsidRPr="00C72CCA">
        <w:rPr>
          <w:rFonts w:asciiTheme="minorHAnsi" w:hAnsiTheme="minorHAnsi" w:cs="Arial"/>
          <w:szCs w:val="22"/>
        </w:rPr>
        <w:t xml:space="preserve"> 2014a; 157: 9-13.</w:t>
      </w:r>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cs="Arial"/>
          <w:szCs w:val="22"/>
        </w:rPr>
        <w:t xml:space="preserve">Koukkou E, et al. No increase in renal iodine excretion during pregnancy: A telling comparison between pregnant women and their spouses. </w:t>
      </w:r>
      <w:r w:rsidRPr="00C72CCA">
        <w:rPr>
          <w:rFonts w:asciiTheme="minorHAnsi" w:hAnsiTheme="minorHAnsi" w:cs="Arial"/>
          <w:i/>
          <w:szCs w:val="22"/>
        </w:rPr>
        <w:t>Hormones (Athens)</w:t>
      </w:r>
      <w:r w:rsidRPr="00C72CCA">
        <w:rPr>
          <w:rFonts w:asciiTheme="minorHAnsi" w:hAnsiTheme="minorHAnsi" w:cs="Arial"/>
          <w:szCs w:val="22"/>
        </w:rPr>
        <w:t xml:space="preserve"> 2014b; 13: 375-381.</w:t>
      </w:r>
    </w:p>
    <w:p w:rsidR="00EA6F40" w:rsidRPr="00C72CCA" w:rsidRDefault="00EA6F40" w:rsidP="00EA6F40">
      <w:pPr>
        <w:pStyle w:val="EndNoteBibliography"/>
        <w:spacing w:after="0"/>
        <w:ind w:left="720" w:hanging="720"/>
        <w:rPr>
          <w:rFonts w:asciiTheme="minorHAnsi" w:hAnsiTheme="minorHAnsi"/>
          <w:noProof/>
          <w:szCs w:val="22"/>
        </w:rPr>
      </w:pPr>
      <w:bookmarkStart w:id="250" w:name="_ENREF_80"/>
      <w:r w:rsidRPr="00C72CCA">
        <w:rPr>
          <w:rFonts w:asciiTheme="minorHAnsi" w:hAnsiTheme="minorHAnsi"/>
          <w:noProof/>
          <w:szCs w:val="22"/>
        </w:rPr>
        <w:t>Kung AW, et al. The effect of pregnancy on thyroid nodule formation</w:t>
      </w:r>
      <w:r w:rsidRPr="00C72CCA">
        <w:rPr>
          <w:rFonts w:asciiTheme="minorHAnsi" w:hAnsiTheme="minorHAnsi"/>
          <w:i/>
          <w:noProof/>
          <w:szCs w:val="22"/>
        </w:rPr>
        <w:t>. J Clin Endocrinol Metab</w:t>
      </w:r>
      <w:r w:rsidRPr="00C72CCA">
        <w:rPr>
          <w:rFonts w:asciiTheme="minorHAnsi" w:hAnsiTheme="minorHAnsi"/>
          <w:noProof/>
          <w:szCs w:val="22"/>
        </w:rPr>
        <w:t xml:space="preserve"> 2002;87:1010-4.</w:t>
      </w:r>
      <w:bookmarkEnd w:id="250"/>
    </w:p>
    <w:p w:rsidR="00EA6F40" w:rsidRPr="00C72CCA" w:rsidRDefault="00EA6F40" w:rsidP="00EA6F40">
      <w:pPr>
        <w:pStyle w:val="EndNoteBibliography"/>
        <w:spacing w:after="0"/>
        <w:ind w:left="720" w:hanging="720"/>
        <w:rPr>
          <w:rFonts w:asciiTheme="minorHAnsi" w:hAnsiTheme="minorHAnsi"/>
          <w:noProof/>
          <w:szCs w:val="22"/>
        </w:rPr>
      </w:pPr>
      <w:bookmarkStart w:id="251" w:name="_ENREF_61"/>
      <w:r w:rsidRPr="00C72CCA">
        <w:rPr>
          <w:rFonts w:asciiTheme="minorHAnsi" w:hAnsiTheme="minorHAnsi"/>
          <w:noProof/>
          <w:szCs w:val="22"/>
        </w:rPr>
        <w:t>Leung AM, et al. Iodine status and thyroid function of Boston-area vegetarians and vegans</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J Clin Endocrinol Metab</w:t>
      </w:r>
      <w:r w:rsidRPr="00C72CCA">
        <w:rPr>
          <w:rFonts w:asciiTheme="minorHAnsi" w:hAnsiTheme="minorHAnsi"/>
          <w:noProof/>
          <w:szCs w:val="22"/>
        </w:rPr>
        <w:t xml:space="preserve"> 2011;96:E1303-7.</w:t>
      </w:r>
      <w:bookmarkEnd w:id="251"/>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noProof/>
          <w:szCs w:val="22"/>
        </w:rPr>
        <w:t xml:space="preserve">Li M &amp; Eastman CJ. Neonatal TSH screening: is it a sensitive and reliable tool for monitoring iodine status in populations? </w:t>
      </w:r>
      <w:r w:rsidRPr="00C72CCA">
        <w:rPr>
          <w:rFonts w:asciiTheme="minorHAnsi" w:hAnsiTheme="minorHAnsi"/>
          <w:i/>
          <w:noProof/>
          <w:szCs w:val="22"/>
        </w:rPr>
        <w:t>Best Pract Res Clin Endocrinol Metab</w:t>
      </w:r>
      <w:r w:rsidRPr="00C72CCA">
        <w:rPr>
          <w:rFonts w:asciiTheme="minorHAnsi" w:hAnsiTheme="minorHAnsi"/>
          <w:noProof/>
          <w:szCs w:val="22"/>
        </w:rPr>
        <w:t xml:space="preserve"> 2010; 24:63-75.</w:t>
      </w:r>
    </w:p>
    <w:p w:rsidR="00EA6F40" w:rsidRPr="00C72CCA" w:rsidRDefault="00EA6F40" w:rsidP="00EA6F40">
      <w:pPr>
        <w:pStyle w:val="EndNoteBibliography"/>
        <w:spacing w:after="0"/>
        <w:ind w:left="720" w:hanging="720"/>
        <w:rPr>
          <w:rFonts w:asciiTheme="minorHAnsi" w:hAnsiTheme="minorHAnsi"/>
          <w:noProof/>
          <w:szCs w:val="22"/>
        </w:rPr>
      </w:pPr>
      <w:bookmarkStart w:id="252" w:name="_ENREF_6"/>
      <w:r w:rsidRPr="00C72CCA">
        <w:rPr>
          <w:rFonts w:asciiTheme="minorHAnsi" w:hAnsiTheme="minorHAnsi"/>
          <w:noProof/>
          <w:szCs w:val="22"/>
        </w:rPr>
        <w:t>Li M, et al. Are Australian children iodine deficient? Results of the Australian National Iodine Nutrition Study</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Med J Aust</w:t>
      </w:r>
      <w:r w:rsidRPr="00C72CCA">
        <w:rPr>
          <w:rFonts w:asciiTheme="minorHAnsi" w:hAnsiTheme="minorHAnsi"/>
          <w:noProof/>
          <w:szCs w:val="22"/>
        </w:rPr>
        <w:t xml:space="preserve"> 2006; 184:165-9.</w:t>
      </w:r>
      <w:bookmarkEnd w:id="252"/>
    </w:p>
    <w:p w:rsidR="00EA6F40" w:rsidRPr="00C72CCA" w:rsidRDefault="00EA6F40" w:rsidP="00EA6F40">
      <w:pPr>
        <w:pStyle w:val="EndNoteBibliography"/>
        <w:spacing w:after="0"/>
        <w:ind w:left="709" w:hanging="709"/>
        <w:rPr>
          <w:rFonts w:asciiTheme="minorHAnsi" w:hAnsiTheme="minorHAnsi"/>
          <w:noProof/>
          <w:szCs w:val="22"/>
        </w:rPr>
      </w:pPr>
      <w:r w:rsidRPr="00C72CCA">
        <w:rPr>
          <w:rFonts w:asciiTheme="minorHAnsi" w:hAnsiTheme="minorHAnsi"/>
          <w:noProof/>
          <w:szCs w:val="22"/>
        </w:rPr>
        <w:t>Li WH, et al. Benefits and risks from the national strategy for improvement of iodine nutrition: a community-based epidemiologic survey in Chinese schoolchildren</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Nutrition</w:t>
      </w:r>
      <w:r w:rsidRPr="00C72CCA">
        <w:rPr>
          <w:rFonts w:asciiTheme="minorHAnsi" w:hAnsiTheme="minorHAnsi"/>
          <w:noProof/>
          <w:szCs w:val="22"/>
        </w:rPr>
        <w:t xml:space="preserve"> 2012; 28:1142-5.</w:t>
      </w:r>
    </w:p>
    <w:p w:rsidR="00EA6F40" w:rsidRPr="00C72CCA" w:rsidRDefault="00EA6F40" w:rsidP="00EA6F40">
      <w:pPr>
        <w:pStyle w:val="EndNoteBibliography"/>
        <w:spacing w:after="0"/>
        <w:ind w:left="720" w:hanging="720"/>
        <w:rPr>
          <w:rFonts w:asciiTheme="minorHAnsi" w:hAnsiTheme="minorHAnsi"/>
          <w:noProof/>
          <w:szCs w:val="22"/>
        </w:rPr>
      </w:pPr>
      <w:bookmarkStart w:id="253" w:name="_ENREF_92"/>
      <w:r w:rsidRPr="00C72CCA">
        <w:rPr>
          <w:rFonts w:asciiTheme="minorHAnsi" w:hAnsiTheme="minorHAnsi"/>
          <w:noProof/>
          <w:szCs w:val="22"/>
        </w:rPr>
        <w:t xml:space="preserve"> Lv S, et al. An epidemiological survey of children's iodine nutrition and goitre status in regions with mildly excessive iodine in drinking water in Hebei Province, China. </w:t>
      </w:r>
      <w:r w:rsidRPr="00C72CCA">
        <w:rPr>
          <w:rFonts w:asciiTheme="minorHAnsi" w:hAnsiTheme="minorHAnsi"/>
          <w:i/>
          <w:noProof/>
          <w:szCs w:val="22"/>
        </w:rPr>
        <w:t>Public Health Nutr</w:t>
      </w:r>
      <w:r w:rsidRPr="00C72CCA">
        <w:rPr>
          <w:rFonts w:asciiTheme="minorHAnsi" w:hAnsiTheme="minorHAnsi"/>
          <w:noProof/>
          <w:szCs w:val="22"/>
        </w:rPr>
        <w:t xml:space="preserve"> 2012;15:1168-73.</w:t>
      </w:r>
      <w:bookmarkEnd w:id="253"/>
    </w:p>
    <w:p w:rsidR="00EA6F40" w:rsidRPr="00C72CCA" w:rsidRDefault="00EA6F40" w:rsidP="00EA6F40">
      <w:pPr>
        <w:pStyle w:val="EndNoteBibliography"/>
        <w:spacing w:after="0"/>
        <w:ind w:left="720" w:hanging="720"/>
        <w:rPr>
          <w:rFonts w:asciiTheme="minorHAnsi" w:hAnsiTheme="minorHAnsi" w:cs="Arial"/>
          <w:szCs w:val="22"/>
        </w:rPr>
      </w:pPr>
      <w:r w:rsidRPr="00C72CCA">
        <w:rPr>
          <w:rFonts w:asciiTheme="minorHAnsi" w:hAnsiTheme="minorHAnsi" w:cs="Arial"/>
          <w:szCs w:val="22"/>
        </w:rPr>
        <w:t>Kass</w:t>
      </w:r>
      <w:r>
        <w:rPr>
          <w:rFonts w:asciiTheme="minorHAnsi" w:hAnsiTheme="minorHAnsi" w:cs="Arial"/>
          <w:szCs w:val="22"/>
        </w:rPr>
        <w:t>im IA, et al. Iodine intake in S</w:t>
      </w:r>
      <w:r w:rsidRPr="00C72CCA">
        <w:rPr>
          <w:rFonts w:asciiTheme="minorHAnsi" w:hAnsiTheme="minorHAnsi" w:cs="Arial"/>
          <w:szCs w:val="22"/>
        </w:rPr>
        <w:t xml:space="preserve">omalia is excessive and associated with the source of household drinking water. </w:t>
      </w:r>
      <w:r w:rsidRPr="00C72CCA">
        <w:rPr>
          <w:rFonts w:asciiTheme="minorHAnsi" w:hAnsiTheme="minorHAnsi" w:cs="Arial"/>
          <w:i/>
          <w:szCs w:val="22"/>
        </w:rPr>
        <w:t>J Nutr</w:t>
      </w:r>
      <w:r w:rsidRPr="00C72CCA">
        <w:rPr>
          <w:rFonts w:asciiTheme="minorHAnsi" w:hAnsiTheme="minorHAnsi" w:cs="Arial"/>
          <w:szCs w:val="22"/>
        </w:rPr>
        <w:t xml:space="preserve"> 2014; 144: 375-381.</w:t>
      </w:r>
    </w:p>
    <w:p w:rsidR="00EA6F40" w:rsidRPr="00C72CCA" w:rsidRDefault="00EA6F40" w:rsidP="00EA6F40">
      <w:pPr>
        <w:pStyle w:val="EndNoteBibliography"/>
        <w:spacing w:after="0"/>
        <w:ind w:left="720" w:hanging="720"/>
        <w:rPr>
          <w:rFonts w:asciiTheme="minorHAnsi" w:hAnsiTheme="minorHAnsi" w:cs="Arial"/>
          <w:szCs w:val="22"/>
        </w:rPr>
      </w:pPr>
      <w:r w:rsidRPr="00C72CCA">
        <w:rPr>
          <w:rFonts w:asciiTheme="minorHAnsi" w:hAnsiTheme="minorHAnsi" w:cs="Arial"/>
          <w:szCs w:val="22"/>
        </w:rPr>
        <w:t xml:space="preserve">Kim BK, et al. Current iodine nutrition status and awareness of iodine deficiency in Tuguegarao, Philippines. </w:t>
      </w:r>
      <w:r w:rsidRPr="00C72CCA">
        <w:rPr>
          <w:rFonts w:asciiTheme="minorHAnsi" w:hAnsiTheme="minorHAnsi" w:cs="Arial"/>
          <w:i/>
          <w:szCs w:val="22"/>
        </w:rPr>
        <w:t xml:space="preserve">Int J Endocrinol </w:t>
      </w:r>
      <w:r w:rsidRPr="00C72CCA">
        <w:rPr>
          <w:rFonts w:asciiTheme="minorHAnsi" w:hAnsiTheme="minorHAnsi" w:cs="Arial"/>
          <w:szCs w:val="22"/>
        </w:rPr>
        <w:t>2014; 2014: 7.</w:t>
      </w:r>
    </w:p>
    <w:p w:rsidR="00EA6F40" w:rsidRPr="00C72CCA" w:rsidRDefault="00EA6F40" w:rsidP="00EA6F40">
      <w:pPr>
        <w:pStyle w:val="EndNoteBibliography"/>
        <w:spacing w:after="0"/>
        <w:ind w:left="720" w:hanging="720"/>
        <w:rPr>
          <w:rFonts w:asciiTheme="minorHAnsi" w:hAnsiTheme="minorHAnsi"/>
          <w:szCs w:val="22"/>
        </w:rPr>
      </w:pPr>
      <w:r w:rsidRPr="00C72CCA">
        <w:rPr>
          <w:rFonts w:asciiTheme="minorHAnsi" w:hAnsiTheme="minorHAnsi"/>
          <w:szCs w:val="22"/>
        </w:rPr>
        <w:lastRenderedPageBreak/>
        <w:t xml:space="preserve">Kocak M, et al. Current prevalence of goiter determined by ultrasonography and associated risk factors in a formerly iodine-deficient area of Turkey. </w:t>
      </w:r>
      <w:r w:rsidRPr="00C72CCA">
        <w:rPr>
          <w:rFonts w:asciiTheme="minorHAnsi" w:hAnsiTheme="minorHAnsi"/>
          <w:i/>
          <w:szCs w:val="22"/>
        </w:rPr>
        <w:t xml:space="preserve">Endocrine </w:t>
      </w:r>
      <w:r w:rsidRPr="00C72CCA">
        <w:rPr>
          <w:rFonts w:asciiTheme="minorHAnsi" w:hAnsiTheme="minorHAnsi"/>
          <w:szCs w:val="22"/>
        </w:rPr>
        <w:t>2014; 47: 290-298.</w:t>
      </w:r>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noProof/>
          <w:szCs w:val="22"/>
        </w:rPr>
        <w:t xml:space="preserve">Konig, F., et al., Ten Repeat Collections for Urinary Iodine from Spot Samples or 24-Hour Samples Are Needed to Reliably Estimate Individual Iodine Status in Women. </w:t>
      </w:r>
      <w:r w:rsidRPr="00C72CCA">
        <w:rPr>
          <w:rFonts w:asciiTheme="minorHAnsi" w:hAnsiTheme="minorHAnsi"/>
          <w:i/>
          <w:noProof/>
          <w:szCs w:val="22"/>
        </w:rPr>
        <w:t>J Nutr</w:t>
      </w:r>
      <w:r w:rsidRPr="00C72CCA">
        <w:rPr>
          <w:rFonts w:asciiTheme="minorHAnsi" w:hAnsiTheme="minorHAnsi"/>
          <w:noProof/>
          <w:szCs w:val="22"/>
        </w:rPr>
        <w:t xml:space="preserve"> 2011; 141:2049-54.</w:t>
      </w:r>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szCs w:val="22"/>
        </w:rPr>
        <w:t xml:space="preserve">Krejbjerg A, et al. Iodine fortification may influence the age-related change in thyroid volume: A longitudinal population-based study (DanThyr). </w:t>
      </w:r>
      <w:r w:rsidRPr="00C72CCA">
        <w:rPr>
          <w:rFonts w:asciiTheme="minorHAnsi" w:hAnsiTheme="minorHAnsi"/>
          <w:i/>
          <w:szCs w:val="22"/>
        </w:rPr>
        <w:t>Eur J Endocrinol</w:t>
      </w:r>
      <w:r w:rsidRPr="00C72CCA">
        <w:rPr>
          <w:rFonts w:asciiTheme="minorHAnsi" w:hAnsiTheme="minorHAnsi"/>
          <w:szCs w:val="22"/>
        </w:rPr>
        <w:t xml:space="preserve"> 2014; 170: 507-517.</w:t>
      </w:r>
    </w:p>
    <w:p w:rsidR="00EA6F40" w:rsidRPr="00C72CCA" w:rsidRDefault="00EA6F40" w:rsidP="00EA6F40">
      <w:pPr>
        <w:widowControl w:val="0"/>
        <w:autoSpaceDE w:val="0"/>
        <w:autoSpaceDN w:val="0"/>
        <w:adjustRightInd w:val="0"/>
        <w:spacing w:after="0"/>
        <w:rPr>
          <w:rFonts w:cs="Times New Roman"/>
          <w:color w:val="4C4C4C"/>
          <w:szCs w:val="22"/>
        </w:rPr>
      </w:pPr>
      <w:r w:rsidRPr="00C72CCA">
        <w:rPr>
          <w:noProof/>
          <w:szCs w:val="22"/>
        </w:rPr>
        <w:t xml:space="preserve">Krutzen, E., et al., </w:t>
      </w:r>
      <w:r w:rsidRPr="00C72CCA">
        <w:rPr>
          <w:rFonts w:cs="Times New Roman"/>
          <w:szCs w:val="22"/>
        </w:rPr>
        <w:t xml:space="preserve">Glomerular filtration rate in pregnancy: a study in normal subjects and </w:t>
      </w:r>
      <w:r w:rsidRPr="00C72CCA">
        <w:rPr>
          <w:rFonts w:cs="Times New Roman"/>
          <w:szCs w:val="22"/>
        </w:rPr>
        <w:tab/>
        <w:t xml:space="preserve">in patients with hypertension, preeclampsia and diabetes. </w:t>
      </w:r>
      <w:r w:rsidRPr="00C72CCA">
        <w:rPr>
          <w:rFonts w:cs="Times New Roman"/>
          <w:i/>
          <w:color w:val="000000"/>
          <w:szCs w:val="22"/>
        </w:rPr>
        <w:t xml:space="preserve">Scandinavian Journal </w:t>
      </w:r>
      <w:r w:rsidRPr="00C72CCA">
        <w:rPr>
          <w:rFonts w:cs="Times New Roman"/>
          <w:i/>
          <w:color w:val="000000"/>
          <w:szCs w:val="22"/>
        </w:rPr>
        <w:tab/>
        <w:t xml:space="preserve">of Clinical and Laboratory Investigation </w:t>
      </w:r>
      <w:r w:rsidRPr="00C72CCA">
        <w:rPr>
          <w:rFonts w:cs="Times New Roman"/>
          <w:color w:val="000000"/>
          <w:szCs w:val="22"/>
        </w:rPr>
        <w:t>1992;52.5;</w:t>
      </w:r>
      <w:r w:rsidRPr="00C72CCA">
        <w:rPr>
          <w:rFonts w:cs="Times New Roman"/>
          <w:color w:val="4C4C4C"/>
          <w:szCs w:val="22"/>
        </w:rPr>
        <w:t>387-392.</w:t>
      </w:r>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noProof/>
          <w:szCs w:val="22"/>
        </w:rPr>
        <w:t xml:space="preserve">Mattson S &amp; Lindstrom S. Diuresis and voiding pattern in healthy schoolchildren. </w:t>
      </w:r>
      <w:r w:rsidRPr="00C72CCA">
        <w:rPr>
          <w:rFonts w:asciiTheme="minorHAnsi" w:hAnsiTheme="minorHAnsi"/>
          <w:i/>
          <w:noProof/>
          <w:szCs w:val="22"/>
        </w:rPr>
        <w:t>Br J Urol</w:t>
      </w:r>
      <w:r w:rsidRPr="00C72CCA">
        <w:rPr>
          <w:rFonts w:asciiTheme="minorHAnsi" w:hAnsiTheme="minorHAnsi"/>
          <w:noProof/>
          <w:szCs w:val="22"/>
        </w:rPr>
        <w:t xml:space="preserve"> 1995;76:783-9.</w:t>
      </w:r>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cs="Arial"/>
          <w:szCs w:val="22"/>
        </w:rPr>
        <w:t xml:space="preserve">Medani AM, et al. Excessive iodine intake, water chemicals and endemic goitre in a Sudanese coastal area. </w:t>
      </w:r>
      <w:r w:rsidRPr="00C72CCA">
        <w:rPr>
          <w:rFonts w:asciiTheme="minorHAnsi" w:hAnsiTheme="minorHAnsi" w:cs="Arial"/>
          <w:i/>
          <w:szCs w:val="22"/>
        </w:rPr>
        <w:t>Public Health Nutr</w:t>
      </w:r>
      <w:r w:rsidRPr="00C72CCA">
        <w:rPr>
          <w:rFonts w:asciiTheme="minorHAnsi" w:hAnsiTheme="minorHAnsi" w:cs="Arial"/>
          <w:szCs w:val="22"/>
        </w:rPr>
        <w:t xml:space="preserve"> 2013; 16: 1586-1592.</w:t>
      </w:r>
    </w:p>
    <w:p w:rsidR="00EA6F40" w:rsidRPr="00C72CCA" w:rsidRDefault="00EA6F40" w:rsidP="00EA6F40">
      <w:pPr>
        <w:pStyle w:val="EndNoteBibliography"/>
        <w:spacing w:after="0"/>
        <w:ind w:left="720" w:hanging="720"/>
        <w:rPr>
          <w:rFonts w:asciiTheme="minorHAnsi" w:hAnsiTheme="minorHAnsi"/>
          <w:noProof/>
          <w:szCs w:val="22"/>
        </w:rPr>
      </w:pPr>
      <w:bookmarkStart w:id="254" w:name="_ENREF_62"/>
      <w:r w:rsidRPr="00C72CCA">
        <w:rPr>
          <w:rFonts w:asciiTheme="minorHAnsi" w:hAnsiTheme="minorHAnsi"/>
          <w:noProof/>
          <w:szCs w:val="22"/>
        </w:rPr>
        <w:t>Meisinger C, et al. Geographic variations in the frequency of thyroid disorders and thyroid peroxidase antibodies in persons without former thyroid disease within Germany</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Eur J Endocrinol</w:t>
      </w:r>
      <w:r w:rsidRPr="00C72CCA">
        <w:rPr>
          <w:rFonts w:asciiTheme="minorHAnsi" w:hAnsiTheme="minorHAnsi"/>
          <w:noProof/>
          <w:szCs w:val="22"/>
        </w:rPr>
        <w:t xml:space="preserve"> 2012;167:363-71.</w:t>
      </w:r>
      <w:bookmarkEnd w:id="254"/>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cs="Arial"/>
          <w:szCs w:val="22"/>
        </w:rPr>
        <w:t xml:space="preserve">Menéndez Torre E, et al. Iodine nutrition in pregnant women in the oviedo area. Is iodine supplementation required? </w:t>
      </w:r>
      <w:r w:rsidRPr="00C72CCA">
        <w:rPr>
          <w:rFonts w:asciiTheme="minorHAnsi" w:hAnsiTheme="minorHAnsi" w:cs="Arial"/>
          <w:i/>
          <w:szCs w:val="22"/>
        </w:rPr>
        <w:t>Endocrinol Nutr</w:t>
      </w:r>
      <w:r w:rsidRPr="00C72CCA">
        <w:rPr>
          <w:rFonts w:asciiTheme="minorHAnsi" w:hAnsiTheme="minorHAnsi" w:cs="Arial"/>
          <w:szCs w:val="22"/>
        </w:rPr>
        <w:t xml:space="preserve"> 2014; 61: 404-409.</w:t>
      </w:r>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szCs w:val="22"/>
        </w:rPr>
        <w:t xml:space="preserve">Meng F, et al. Assessment of iodine status in children, adults, pregnant women and lactating women in iodine-replete areas of China. </w:t>
      </w:r>
      <w:r w:rsidRPr="00C72CCA">
        <w:rPr>
          <w:rFonts w:asciiTheme="minorHAnsi" w:hAnsiTheme="minorHAnsi"/>
          <w:i/>
          <w:szCs w:val="22"/>
        </w:rPr>
        <w:t>PLoS ONE</w:t>
      </w:r>
      <w:r w:rsidRPr="00C72CCA">
        <w:rPr>
          <w:rFonts w:asciiTheme="minorHAnsi" w:hAnsiTheme="minorHAnsi"/>
          <w:szCs w:val="22"/>
        </w:rPr>
        <w:t xml:space="preserve"> 2013; 8, e81294.</w:t>
      </w:r>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noProof/>
          <w:szCs w:val="22"/>
        </w:rPr>
        <w:t xml:space="preserve">Ministry of Health. </w:t>
      </w:r>
      <w:r w:rsidRPr="00C72CCA">
        <w:rPr>
          <w:rFonts w:asciiTheme="minorHAnsi" w:hAnsiTheme="minorHAnsi"/>
          <w:i/>
          <w:noProof/>
          <w:szCs w:val="22"/>
        </w:rPr>
        <w:t>Iodine.</w:t>
      </w:r>
      <w:r w:rsidRPr="00C72CCA">
        <w:rPr>
          <w:rFonts w:asciiTheme="minorHAnsi" w:hAnsiTheme="minorHAnsi"/>
          <w:noProof/>
          <w:szCs w:val="22"/>
        </w:rPr>
        <w:t xml:space="preserve"> Wellington, New Zealand 2010. Available from: http://www.health.govt.nz/our-work/preventative-health-wellness/nutrition/iodine</w:t>
      </w:r>
    </w:p>
    <w:p w:rsidR="00EA6F40" w:rsidRPr="00C72CCA" w:rsidRDefault="00EA6F40" w:rsidP="00EA6F40">
      <w:pPr>
        <w:pStyle w:val="EndNoteBibliography"/>
        <w:spacing w:after="0"/>
        <w:ind w:left="720" w:hanging="720"/>
        <w:rPr>
          <w:rFonts w:asciiTheme="minorHAnsi" w:hAnsiTheme="minorHAnsi"/>
          <w:noProof/>
          <w:szCs w:val="22"/>
        </w:rPr>
      </w:pPr>
      <w:bookmarkStart w:id="255" w:name="_ENREF_81"/>
      <w:r w:rsidRPr="00C72CCA">
        <w:rPr>
          <w:rFonts w:asciiTheme="minorHAnsi" w:hAnsiTheme="minorHAnsi"/>
          <w:noProof/>
          <w:szCs w:val="22"/>
        </w:rPr>
        <w:t xml:space="preserve">Moleti M, et al. Gestational thyroid function abnormalities in conditions of mild iodine deficiency: early screening versus continuous monitoring of maternal thyroid status. </w:t>
      </w:r>
      <w:r w:rsidRPr="00C72CCA">
        <w:rPr>
          <w:rFonts w:asciiTheme="minorHAnsi" w:hAnsiTheme="minorHAnsi"/>
          <w:i/>
          <w:noProof/>
          <w:szCs w:val="22"/>
        </w:rPr>
        <w:t>Eur J Endocrinol</w:t>
      </w:r>
      <w:r w:rsidRPr="00C72CCA">
        <w:rPr>
          <w:rFonts w:asciiTheme="minorHAnsi" w:hAnsiTheme="minorHAnsi"/>
          <w:noProof/>
          <w:szCs w:val="22"/>
        </w:rPr>
        <w:t xml:space="preserve"> 2009; 160:611-7.</w:t>
      </w:r>
      <w:bookmarkEnd w:id="255"/>
    </w:p>
    <w:p w:rsidR="00EA6F40" w:rsidRPr="00C72CCA" w:rsidRDefault="00EA6F40" w:rsidP="00EA6F40">
      <w:pPr>
        <w:pStyle w:val="EndNoteBibliography"/>
        <w:spacing w:after="0"/>
        <w:ind w:left="720" w:hanging="720"/>
        <w:rPr>
          <w:rFonts w:asciiTheme="minorHAnsi" w:hAnsiTheme="minorHAnsi"/>
          <w:noProof/>
          <w:szCs w:val="22"/>
        </w:rPr>
      </w:pPr>
      <w:bookmarkStart w:id="256" w:name="_ENREF_82"/>
      <w:r w:rsidRPr="00C72CCA">
        <w:rPr>
          <w:rFonts w:asciiTheme="minorHAnsi" w:hAnsiTheme="minorHAnsi"/>
          <w:noProof/>
          <w:szCs w:val="22"/>
        </w:rPr>
        <w:t xml:space="preserve">Moleti M, et al. Maternal thyroid function in different conditions of iodine nutrition in pregnant women exposed to mild-moderate iodine deficiency: an observational study. </w:t>
      </w:r>
      <w:r w:rsidRPr="00C72CCA">
        <w:rPr>
          <w:rFonts w:asciiTheme="minorHAnsi" w:hAnsiTheme="minorHAnsi"/>
          <w:i/>
          <w:noProof/>
          <w:szCs w:val="22"/>
        </w:rPr>
        <w:t>Clin Endocrinol</w:t>
      </w:r>
      <w:r w:rsidRPr="00C72CCA">
        <w:rPr>
          <w:rFonts w:asciiTheme="minorHAnsi" w:hAnsiTheme="minorHAnsi"/>
          <w:noProof/>
          <w:szCs w:val="22"/>
        </w:rPr>
        <w:t xml:space="preserve"> (Oxf) 2011;74:762-8.</w:t>
      </w:r>
      <w:bookmarkEnd w:id="256"/>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cs="Arial"/>
          <w:szCs w:val="22"/>
        </w:rPr>
        <w:t xml:space="preserve">Moradi S, et al. Thyroid function in pregnant women: Iodine deficiency after iodine enrichment program. </w:t>
      </w:r>
      <w:r w:rsidRPr="00C72CCA">
        <w:rPr>
          <w:rFonts w:asciiTheme="minorHAnsi" w:hAnsiTheme="minorHAnsi" w:cs="Arial"/>
          <w:i/>
          <w:szCs w:val="22"/>
        </w:rPr>
        <w:t>Gynecol Endocrinol</w:t>
      </w:r>
      <w:r w:rsidRPr="00C72CCA">
        <w:rPr>
          <w:rFonts w:asciiTheme="minorHAnsi" w:hAnsiTheme="minorHAnsi" w:cs="Arial"/>
          <w:szCs w:val="22"/>
        </w:rPr>
        <w:t xml:space="preserve"> 2013; 29: 596-599.</w:t>
      </w:r>
    </w:p>
    <w:p w:rsidR="00EA6F40" w:rsidRPr="00C72CCA" w:rsidRDefault="00EA6F40" w:rsidP="00EA6F40">
      <w:pPr>
        <w:pStyle w:val="EndNoteBibliography"/>
        <w:spacing w:after="0"/>
        <w:ind w:left="720" w:hanging="720"/>
        <w:rPr>
          <w:rFonts w:asciiTheme="minorHAnsi" w:hAnsiTheme="minorHAnsi"/>
          <w:noProof/>
          <w:szCs w:val="22"/>
        </w:rPr>
      </w:pPr>
      <w:bookmarkStart w:id="257" w:name="_ENREF_83"/>
      <w:r w:rsidRPr="00C72CCA">
        <w:rPr>
          <w:rFonts w:asciiTheme="minorHAnsi" w:hAnsiTheme="minorHAnsi"/>
          <w:noProof/>
          <w:szCs w:val="22"/>
        </w:rPr>
        <w:t>Moreno-Reyes R, et al. High prevalence of thyroid disorders in pregnant women in a mildly iodine-deficient country: a population-based study</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J Clin Endocrinol Metab</w:t>
      </w:r>
      <w:r w:rsidRPr="00C72CCA">
        <w:rPr>
          <w:rFonts w:asciiTheme="minorHAnsi" w:hAnsiTheme="minorHAnsi"/>
          <w:noProof/>
          <w:szCs w:val="22"/>
        </w:rPr>
        <w:t xml:space="preserve"> 2013;98:3694-701.</w:t>
      </w:r>
      <w:bookmarkEnd w:id="257"/>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noProof/>
          <w:szCs w:val="22"/>
        </w:rPr>
        <w:t xml:space="preserve">Morreale de Escobar G, et al. Is neuropsychological development related to maternal hypothyroidism or to maternal hypothyroxinemia? </w:t>
      </w:r>
      <w:r w:rsidRPr="00C72CCA">
        <w:rPr>
          <w:rFonts w:asciiTheme="minorHAnsi" w:hAnsiTheme="minorHAnsi"/>
          <w:i/>
          <w:noProof/>
          <w:szCs w:val="22"/>
        </w:rPr>
        <w:t>J Clin Endocrinol Metab</w:t>
      </w:r>
      <w:r w:rsidRPr="00C72CCA">
        <w:rPr>
          <w:rFonts w:asciiTheme="minorHAnsi" w:hAnsiTheme="minorHAnsi"/>
          <w:noProof/>
          <w:szCs w:val="22"/>
        </w:rPr>
        <w:t xml:space="preserve"> 2000; 85:3975-87.</w:t>
      </w:r>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noProof/>
          <w:szCs w:val="22"/>
        </w:rPr>
        <w:t xml:space="preserve">Ministry of Health, </w:t>
      </w:r>
      <w:r w:rsidRPr="00C72CCA">
        <w:rPr>
          <w:rFonts w:asciiTheme="minorHAnsi" w:hAnsiTheme="minorHAnsi"/>
          <w:i/>
          <w:noProof/>
          <w:szCs w:val="22"/>
        </w:rPr>
        <w:t>NZ Food NZ Children: Key results of the 2002 National Children’s Nutrition Survey</w:t>
      </w:r>
      <w:r w:rsidRPr="00C72CCA">
        <w:rPr>
          <w:rFonts w:asciiTheme="minorHAnsi" w:hAnsiTheme="minorHAnsi"/>
          <w:noProof/>
          <w:szCs w:val="22"/>
        </w:rPr>
        <w:t>. Wellington: Ministry of Health, 2003.</w:t>
      </w:r>
    </w:p>
    <w:p w:rsidR="00EA6F40" w:rsidRPr="00C72CCA" w:rsidRDefault="00EA6F40" w:rsidP="00EA6F40">
      <w:pPr>
        <w:pStyle w:val="EndNoteBibliography"/>
        <w:spacing w:after="0"/>
        <w:ind w:left="720" w:hanging="720"/>
        <w:rPr>
          <w:rFonts w:asciiTheme="minorHAnsi" w:hAnsiTheme="minorHAnsi"/>
          <w:noProof/>
          <w:szCs w:val="22"/>
        </w:rPr>
      </w:pPr>
      <w:bookmarkStart w:id="258" w:name="_ENREF_14"/>
      <w:r w:rsidRPr="00C72CCA">
        <w:rPr>
          <w:rFonts w:asciiTheme="minorHAnsi" w:hAnsiTheme="minorHAnsi"/>
          <w:noProof/>
          <w:szCs w:val="22"/>
        </w:rPr>
        <w:t xml:space="preserve">Ministry for Primary Industries. </w:t>
      </w:r>
      <w:hyperlink r:id="rId19" w:history="1">
        <w:r w:rsidRPr="0081554A">
          <w:rPr>
            <w:rStyle w:val="Hyperlink"/>
            <w:rFonts w:asciiTheme="minorHAnsi" w:hAnsiTheme="minorHAnsi"/>
            <w:i/>
            <w:noProof/>
            <w:szCs w:val="22"/>
          </w:rPr>
          <w:t>The Impact of Mandatory Fortification of Bread with Iodine. MPI Technical Paper No: 2013/025</w:t>
        </w:r>
      </w:hyperlink>
      <w:r w:rsidRPr="00C72CCA">
        <w:rPr>
          <w:rFonts w:asciiTheme="minorHAnsi" w:hAnsiTheme="minorHAnsi"/>
          <w:noProof/>
          <w:szCs w:val="22"/>
        </w:rPr>
        <w:t xml:space="preserve">. 2013: Available at: </w:t>
      </w:r>
      <w:r w:rsidR="0081554A" w:rsidRPr="0081554A">
        <w:rPr>
          <w:noProof/>
          <w:szCs w:val="22"/>
        </w:rPr>
        <w:lastRenderedPageBreak/>
        <w:t>http://www.foodsafety.govt.nz/elibrary/industry/mandatory-fortification-bread-iodine.pdf</w:t>
      </w:r>
      <w:r w:rsidRPr="00C72CCA">
        <w:rPr>
          <w:rFonts w:asciiTheme="minorHAnsi" w:hAnsiTheme="minorHAnsi"/>
          <w:noProof/>
          <w:szCs w:val="22"/>
        </w:rPr>
        <w:t>.</w:t>
      </w:r>
      <w:bookmarkEnd w:id="258"/>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cs="Arial"/>
          <w:szCs w:val="22"/>
        </w:rPr>
        <w:t xml:space="preserve">Murcia M, et al. Iodine intake in a population of pregnant women: Inma mother and child cohort study, Spain. </w:t>
      </w:r>
      <w:r w:rsidRPr="00C72CCA">
        <w:rPr>
          <w:rFonts w:asciiTheme="minorHAnsi" w:hAnsiTheme="minorHAnsi" w:cs="Arial"/>
          <w:i/>
          <w:szCs w:val="22"/>
        </w:rPr>
        <w:t>J Epidemiol Community Health</w:t>
      </w:r>
      <w:r w:rsidRPr="00C72CCA">
        <w:rPr>
          <w:rFonts w:asciiTheme="minorHAnsi" w:hAnsiTheme="minorHAnsi" w:cs="Arial"/>
          <w:szCs w:val="22"/>
        </w:rPr>
        <w:t xml:space="preserve"> 2010; 64: 1094-1099.</w:t>
      </w:r>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noProof/>
          <w:szCs w:val="22"/>
        </w:rPr>
        <w:t xml:space="preserve">National Health and Medical Research Council (NHMRC) and the New Zealand Ministry of Health (MoH), </w:t>
      </w:r>
      <w:hyperlink r:id="rId20" w:history="1">
        <w:r w:rsidRPr="0081554A">
          <w:rPr>
            <w:rStyle w:val="Hyperlink"/>
            <w:rFonts w:asciiTheme="minorHAnsi" w:hAnsiTheme="minorHAnsi"/>
            <w:i/>
            <w:noProof/>
            <w:szCs w:val="22"/>
          </w:rPr>
          <w:t>Nutrient Reference Values for Australia and New Zealand Including Recommended Dietary Intakes</w:t>
        </w:r>
      </w:hyperlink>
      <w:r w:rsidR="0081554A">
        <w:rPr>
          <w:rFonts w:asciiTheme="minorHAnsi" w:hAnsiTheme="minorHAnsi"/>
          <w:noProof/>
          <w:szCs w:val="22"/>
        </w:rPr>
        <w:t xml:space="preserve">. 2006: Available at: </w:t>
      </w:r>
      <w:r w:rsidRPr="0081554A">
        <w:rPr>
          <w:noProof/>
          <w:szCs w:val="22"/>
        </w:rPr>
        <w:t>www.nhmrc.gov.au/_files_nhmrc/publications/attachments/n35.pdf</w:t>
      </w:r>
      <w:r w:rsidRPr="00C72CCA">
        <w:rPr>
          <w:rFonts w:asciiTheme="minorHAnsi" w:hAnsiTheme="minorHAnsi"/>
          <w:noProof/>
          <w:szCs w:val="22"/>
        </w:rPr>
        <w:t>.</w:t>
      </w:r>
    </w:p>
    <w:p w:rsidR="00EA6F40" w:rsidRPr="00C72CCA" w:rsidRDefault="00EA6F40" w:rsidP="00EA6F40">
      <w:pPr>
        <w:pStyle w:val="EndNoteBibliography"/>
        <w:spacing w:after="0"/>
        <w:ind w:left="720" w:hanging="720"/>
        <w:rPr>
          <w:rFonts w:asciiTheme="minorHAnsi" w:hAnsiTheme="minorHAnsi" w:cs="Arial"/>
          <w:szCs w:val="22"/>
        </w:rPr>
      </w:pPr>
      <w:r w:rsidRPr="00C72CCA">
        <w:rPr>
          <w:rFonts w:asciiTheme="minorHAnsi" w:hAnsiTheme="minorHAnsi" w:cs="Arial"/>
          <w:szCs w:val="22"/>
        </w:rPr>
        <w:t xml:space="preserve">National Research Council. </w:t>
      </w:r>
      <w:r w:rsidRPr="00C72CCA">
        <w:rPr>
          <w:rStyle w:val="Emphasis"/>
          <w:rFonts w:cs="Arial"/>
          <w:szCs w:val="22"/>
        </w:rPr>
        <w:t>Dietary Reference Intakes for Energy, Carbohydrate, Fiber, Fat, Fatty Acids, Cholesterol, Protein, and Amino Acids (Macronutrients).</w:t>
      </w:r>
      <w:r w:rsidRPr="00C72CCA">
        <w:rPr>
          <w:rFonts w:asciiTheme="minorHAnsi" w:hAnsiTheme="minorHAnsi" w:cs="Arial"/>
          <w:szCs w:val="22"/>
        </w:rPr>
        <w:t xml:space="preserve"> Washington, DC: The National Academies Press, 2005.</w:t>
      </w:r>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noProof/>
          <w:szCs w:val="22"/>
        </w:rPr>
        <w:t xml:space="preserve">National Health and Medical Research Council (NHMRC). </w:t>
      </w:r>
      <w:hyperlink r:id="rId21" w:history="1">
        <w:r w:rsidRPr="0081554A">
          <w:rPr>
            <w:rStyle w:val="Hyperlink"/>
            <w:rFonts w:asciiTheme="minorHAnsi" w:hAnsiTheme="minorHAnsi"/>
            <w:i/>
            <w:noProof/>
            <w:szCs w:val="22"/>
          </w:rPr>
          <w:t>NHMRC levels of evidence and grades for recommendations for developers of guidelines</w:t>
        </w:r>
      </w:hyperlink>
      <w:r w:rsidR="0081554A">
        <w:rPr>
          <w:rFonts w:asciiTheme="minorHAnsi" w:hAnsiTheme="minorHAnsi"/>
          <w:noProof/>
          <w:szCs w:val="22"/>
        </w:rPr>
        <w:t xml:space="preserve">. 2009: Available at: </w:t>
      </w:r>
      <w:r w:rsidRPr="0081554A">
        <w:rPr>
          <w:noProof/>
          <w:szCs w:val="22"/>
        </w:rPr>
        <w:t>www.nhmrc.gov.au/_files_nhmrc/file/guidelinesevidence_statement_form.pdf</w:t>
      </w:r>
      <w:r w:rsidRPr="00C72CCA">
        <w:rPr>
          <w:rFonts w:asciiTheme="minorHAnsi" w:hAnsiTheme="minorHAnsi"/>
          <w:noProof/>
          <w:szCs w:val="22"/>
        </w:rPr>
        <w:t>.</w:t>
      </w:r>
    </w:p>
    <w:p w:rsidR="00EA6F40" w:rsidRPr="00C72CCA" w:rsidRDefault="00EA6F40" w:rsidP="00EA6F40">
      <w:pPr>
        <w:pStyle w:val="EndNoteBibliography"/>
        <w:ind w:left="720" w:hanging="720"/>
        <w:rPr>
          <w:rFonts w:asciiTheme="minorHAnsi" w:hAnsiTheme="minorHAnsi"/>
          <w:i/>
          <w:noProof/>
          <w:szCs w:val="22"/>
        </w:rPr>
      </w:pPr>
      <w:r w:rsidRPr="00C72CCA">
        <w:rPr>
          <w:rFonts w:asciiTheme="minorHAnsi" w:hAnsiTheme="minorHAnsi"/>
          <w:noProof/>
          <w:szCs w:val="22"/>
        </w:rPr>
        <w:t xml:space="preserve">Nous Group, </w:t>
      </w:r>
      <w:r w:rsidRPr="00C72CCA">
        <w:rPr>
          <w:rFonts w:asciiTheme="minorHAnsi" w:hAnsiTheme="minorHAnsi"/>
          <w:i/>
          <w:noProof/>
          <w:szCs w:val="22"/>
        </w:rPr>
        <w:t>Methodological framework for the review of Nutrient Reference Values.</w:t>
      </w:r>
      <w:r w:rsidRPr="00C72CCA">
        <w:rPr>
          <w:rFonts w:asciiTheme="minorHAnsi" w:hAnsiTheme="minorHAnsi"/>
          <w:noProof/>
          <w:szCs w:val="22"/>
        </w:rPr>
        <w:t xml:space="preserve"> Department of Health and Ageing, 2013.</w:t>
      </w:r>
    </w:p>
    <w:p w:rsidR="00EA6F40" w:rsidRPr="00C72CCA" w:rsidRDefault="00EA6F40" w:rsidP="00EA6F40">
      <w:pPr>
        <w:pStyle w:val="EndNoteBibliography"/>
        <w:spacing w:after="0"/>
        <w:ind w:left="720" w:hanging="720"/>
        <w:rPr>
          <w:rFonts w:asciiTheme="minorHAnsi" w:hAnsiTheme="minorHAnsi"/>
          <w:noProof/>
          <w:szCs w:val="22"/>
        </w:rPr>
      </w:pPr>
      <w:bookmarkStart w:id="259" w:name="_ENREF_74"/>
      <w:r w:rsidRPr="00C72CCA">
        <w:rPr>
          <w:rFonts w:asciiTheme="minorHAnsi" w:hAnsiTheme="minorHAnsi"/>
          <w:noProof/>
          <w:szCs w:val="22"/>
        </w:rPr>
        <w:t>O'Donnell KJ, et al. Effects of iodine supplementation during pregnancy on child growth and development at school age</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Dev Med Child Neurol</w:t>
      </w:r>
      <w:r w:rsidRPr="00C72CCA">
        <w:rPr>
          <w:rFonts w:asciiTheme="minorHAnsi" w:hAnsiTheme="minorHAnsi"/>
          <w:noProof/>
          <w:szCs w:val="22"/>
        </w:rPr>
        <w:t xml:space="preserve"> 2002;44: 76-81.</w:t>
      </w:r>
      <w:bookmarkEnd w:id="259"/>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noProof/>
          <w:szCs w:val="22"/>
        </w:rPr>
        <w:t>Pedersen KM, et al. Amelioration of some pregnancy-associated variations in thyroid function by iodine supplementation</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J Clin Endocrinol Metab</w:t>
      </w:r>
      <w:r w:rsidRPr="00C72CCA">
        <w:rPr>
          <w:rFonts w:asciiTheme="minorHAnsi" w:hAnsiTheme="minorHAnsi"/>
          <w:noProof/>
          <w:szCs w:val="22"/>
        </w:rPr>
        <w:t xml:space="preserve"> 1993; 77:1078-83.</w:t>
      </w:r>
    </w:p>
    <w:p w:rsidR="00EA6F40" w:rsidRPr="00C72CCA" w:rsidRDefault="00EA6F40" w:rsidP="00EA6F40">
      <w:pPr>
        <w:pStyle w:val="EndNoteBibliography"/>
        <w:spacing w:after="0"/>
        <w:ind w:left="720" w:hanging="720"/>
        <w:rPr>
          <w:rFonts w:asciiTheme="minorHAnsi" w:hAnsiTheme="minorHAnsi"/>
          <w:noProof/>
          <w:szCs w:val="22"/>
        </w:rPr>
      </w:pPr>
      <w:bookmarkStart w:id="260" w:name="_ENREF_85"/>
      <w:r w:rsidRPr="00C72CCA">
        <w:rPr>
          <w:rFonts w:asciiTheme="minorHAnsi" w:hAnsiTheme="minorHAnsi"/>
          <w:noProof/>
          <w:szCs w:val="22"/>
        </w:rPr>
        <w:t>Pettigrew-Porter A, et al. Are pregnant women in New Zealand iodine deficient? A cross-sectional survey</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Aust N Z J Obstet Gynaecol</w:t>
      </w:r>
      <w:r w:rsidRPr="00C72CCA">
        <w:rPr>
          <w:rFonts w:asciiTheme="minorHAnsi" w:hAnsiTheme="minorHAnsi"/>
          <w:noProof/>
          <w:szCs w:val="22"/>
        </w:rPr>
        <w:t xml:space="preserve"> 2011;51(5):464-7.</w:t>
      </w:r>
      <w:bookmarkEnd w:id="260"/>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noProof/>
          <w:szCs w:val="22"/>
        </w:rPr>
        <w:t>Pop VJ, et al. Low maternal free thyroxine concentrations during early pregnancy are associated with impaired psychomotor development in infancy</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Clin Endocrinol</w:t>
      </w:r>
      <w:r w:rsidRPr="00C72CCA">
        <w:rPr>
          <w:rFonts w:asciiTheme="minorHAnsi" w:hAnsiTheme="minorHAnsi"/>
          <w:noProof/>
          <w:szCs w:val="22"/>
        </w:rPr>
        <w:t xml:space="preserve"> (Oxf) 1999; 50:149-55.</w:t>
      </w:r>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noProof/>
          <w:szCs w:val="22"/>
        </w:rPr>
        <w:t xml:space="preserve">Prummel MF, et al. The environment and autoimmune thyroid diseases. </w:t>
      </w:r>
      <w:r w:rsidRPr="00C72CCA">
        <w:rPr>
          <w:rFonts w:asciiTheme="minorHAnsi" w:hAnsiTheme="minorHAnsi"/>
          <w:i/>
          <w:noProof/>
          <w:szCs w:val="22"/>
        </w:rPr>
        <w:t>Eur J Endocrinol</w:t>
      </w:r>
      <w:r w:rsidRPr="00C72CCA">
        <w:rPr>
          <w:rFonts w:asciiTheme="minorHAnsi" w:hAnsiTheme="minorHAnsi"/>
          <w:noProof/>
          <w:szCs w:val="22"/>
        </w:rPr>
        <w:t xml:space="preserve"> 2004: 150:605-18.</w:t>
      </w:r>
    </w:p>
    <w:p w:rsidR="00EA6F40" w:rsidRPr="00C72CCA" w:rsidRDefault="00EA6F40" w:rsidP="00EA6F40">
      <w:pPr>
        <w:pStyle w:val="EndNoteBibliography"/>
        <w:spacing w:after="0"/>
        <w:ind w:left="720" w:hanging="720"/>
        <w:rPr>
          <w:rFonts w:asciiTheme="minorHAnsi" w:hAnsiTheme="minorHAnsi"/>
          <w:noProof/>
          <w:szCs w:val="22"/>
        </w:rPr>
      </w:pPr>
      <w:bookmarkStart w:id="261" w:name="_ENREF_63"/>
      <w:r w:rsidRPr="00C72CCA">
        <w:rPr>
          <w:rFonts w:asciiTheme="minorHAnsi" w:hAnsiTheme="minorHAnsi"/>
          <w:noProof/>
          <w:szCs w:val="22"/>
        </w:rPr>
        <w:t>Rasmussen LB, et al. Iodine intake before and after mandatory iodization in Denmark: results from the Danish Investigation of Iodine Intake and Thyroid Diseases (DanThyr) study</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Br J Nutr</w:t>
      </w:r>
      <w:r w:rsidRPr="00C72CCA">
        <w:rPr>
          <w:rFonts w:asciiTheme="minorHAnsi" w:hAnsiTheme="minorHAnsi"/>
          <w:noProof/>
          <w:szCs w:val="22"/>
        </w:rPr>
        <w:t xml:space="preserve"> 2008;100:166-73.</w:t>
      </w:r>
      <w:bookmarkEnd w:id="261"/>
    </w:p>
    <w:p w:rsidR="00EA6F40" w:rsidRPr="00C72CCA" w:rsidRDefault="00EA6F40" w:rsidP="00EA6F40">
      <w:pPr>
        <w:pStyle w:val="EndNoteBibliography"/>
        <w:spacing w:after="0"/>
        <w:ind w:left="720" w:hanging="720"/>
        <w:rPr>
          <w:rFonts w:asciiTheme="minorHAnsi" w:hAnsiTheme="minorHAnsi"/>
          <w:noProof/>
          <w:szCs w:val="22"/>
        </w:rPr>
      </w:pPr>
      <w:bookmarkStart w:id="262" w:name="_ENREF_64"/>
      <w:r w:rsidRPr="00C72CCA">
        <w:rPr>
          <w:rFonts w:asciiTheme="minorHAnsi" w:hAnsiTheme="minorHAnsi"/>
          <w:noProof/>
          <w:szCs w:val="22"/>
        </w:rPr>
        <w:t xml:space="preserve">Rasmussen LB, et al. Mandatory iodine fortification of bread and salt increases iodine excretion in adults in Denmark - A 11-year follow-up study. </w:t>
      </w:r>
      <w:r w:rsidRPr="00C72CCA">
        <w:rPr>
          <w:rFonts w:asciiTheme="minorHAnsi" w:hAnsiTheme="minorHAnsi"/>
          <w:i/>
          <w:noProof/>
          <w:szCs w:val="22"/>
        </w:rPr>
        <w:t>Clin Nutr</w:t>
      </w:r>
      <w:r w:rsidRPr="00C72CCA">
        <w:rPr>
          <w:rFonts w:asciiTheme="minorHAnsi" w:hAnsiTheme="minorHAnsi"/>
          <w:noProof/>
          <w:szCs w:val="22"/>
        </w:rPr>
        <w:t xml:space="preserve"> 2013.</w:t>
      </w:r>
      <w:bookmarkEnd w:id="262"/>
      <w:r w:rsidRPr="00C72CCA">
        <w:rPr>
          <w:rFonts w:asciiTheme="minorHAnsi" w:hAnsiTheme="minorHAnsi"/>
          <w:noProof/>
          <w:szCs w:val="22"/>
        </w:rPr>
        <w:t xml:space="preserve"> </w:t>
      </w:r>
      <w:r w:rsidRPr="00C72CCA">
        <w:rPr>
          <w:rFonts w:asciiTheme="minorHAnsi" w:hAnsiTheme="minorHAnsi" w:cs="Arial"/>
          <w:szCs w:val="22"/>
        </w:rPr>
        <w:t>DOI: 10.1016/j.clnu.2013.10.024.</w:t>
      </w:r>
    </w:p>
    <w:p w:rsidR="00EA6F40" w:rsidRPr="00C72CCA" w:rsidRDefault="00EA6F40" w:rsidP="00EA6F40">
      <w:pPr>
        <w:pStyle w:val="EndNoteBibliography"/>
        <w:spacing w:after="0"/>
        <w:ind w:left="720" w:hanging="720"/>
        <w:rPr>
          <w:rFonts w:asciiTheme="minorHAnsi" w:hAnsiTheme="minorHAnsi"/>
          <w:noProof/>
          <w:szCs w:val="22"/>
        </w:rPr>
      </w:pPr>
      <w:bookmarkStart w:id="263" w:name="_ENREF_86"/>
      <w:r w:rsidRPr="00C72CCA">
        <w:rPr>
          <w:rFonts w:asciiTheme="minorHAnsi" w:hAnsiTheme="minorHAnsi"/>
          <w:noProof/>
          <w:szCs w:val="22"/>
        </w:rPr>
        <w:t xml:space="preserve">Raverot V, et al. Pregnant French women living in the Lyon area are iodine deficient and have elevated serum thyroglobulin concentrations. </w:t>
      </w:r>
      <w:r w:rsidRPr="00C72CCA">
        <w:rPr>
          <w:rFonts w:asciiTheme="minorHAnsi" w:hAnsiTheme="minorHAnsi"/>
          <w:i/>
          <w:noProof/>
          <w:szCs w:val="22"/>
        </w:rPr>
        <w:t>Thyroid</w:t>
      </w:r>
      <w:r w:rsidRPr="00C72CCA">
        <w:rPr>
          <w:rFonts w:asciiTheme="minorHAnsi" w:hAnsiTheme="minorHAnsi"/>
          <w:noProof/>
          <w:szCs w:val="22"/>
        </w:rPr>
        <w:t xml:space="preserve"> 2012;22:522-8.</w:t>
      </w:r>
      <w:bookmarkEnd w:id="263"/>
    </w:p>
    <w:p w:rsidR="00EA6F40" w:rsidRPr="00C72CCA" w:rsidRDefault="00EA6F40" w:rsidP="00EA6F40">
      <w:pPr>
        <w:pStyle w:val="EndNoteBibliography"/>
        <w:spacing w:after="0"/>
        <w:ind w:left="720" w:hanging="720"/>
        <w:rPr>
          <w:rFonts w:asciiTheme="minorHAnsi" w:hAnsiTheme="minorHAnsi"/>
          <w:noProof/>
          <w:szCs w:val="22"/>
        </w:rPr>
      </w:pPr>
      <w:bookmarkStart w:id="264" w:name="_ENREF_87"/>
      <w:r w:rsidRPr="00C72CCA">
        <w:rPr>
          <w:rFonts w:asciiTheme="minorHAnsi" w:hAnsiTheme="minorHAnsi"/>
          <w:noProof/>
          <w:szCs w:val="22"/>
        </w:rPr>
        <w:t>Rebagliato M, et al. Iodine intake and maternal thyroid function during pregnancy</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Epidemiology</w:t>
      </w:r>
      <w:r w:rsidRPr="00C72CCA">
        <w:rPr>
          <w:rFonts w:asciiTheme="minorHAnsi" w:hAnsiTheme="minorHAnsi"/>
          <w:noProof/>
          <w:szCs w:val="22"/>
        </w:rPr>
        <w:t xml:space="preserve"> 2010;21:62-9.</w:t>
      </w:r>
      <w:bookmarkEnd w:id="264"/>
    </w:p>
    <w:p w:rsidR="00EA6F40" w:rsidRPr="00C72CCA" w:rsidRDefault="00EA6F40" w:rsidP="00EA6F40">
      <w:pPr>
        <w:pStyle w:val="EndNoteBibliography"/>
        <w:spacing w:after="0"/>
        <w:ind w:left="720" w:hanging="720"/>
        <w:rPr>
          <w:rFonts w:asciiTheme="minorHAnsi" w:hAnsiTheme="minorHAnsi"/>
          <w:noProof/>
          <w:szCs w:val="22"/>
        </w:rPr>
      </w:pPr>
      <w:bookmarkStart w:id="265" w:name="_ENREF_70"/>
      <w:r w:rsidRPr="00C72CCA">
        <w:rPr>
          <w:rFonts w:asciiTheme="minorHAnsi" w:hAnsiTheme="minorHAnsi"/>
          <w:noProof/>
          <w:szCs w:val="22"/>
        </w:rPr>
        <w:t>Rebagliato M, et al. Iodine Supplementation During Pregnancy and Infant Neuropsychological Development: INMA Mother and Child Cohort Study</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 xml:space="preserve">Am J Epidemiol </w:t>
      </w:r>
      <w:r w:rsidRPr="00C72CCA">
        <w:rPr>
          <w:rFonts w:asciiTheme="minorHAnsi" w:hAnsiTheme="minorHAnsi"/>
          <w:noProof/>
          <w:szCs w:val="22"/>
        </w:rPr>
        <w:t>2013</w:t>
      </w:r>
      <w:bookmarkEnd w:id="265"/>
      <w:r w:rsidRPr="00C72CCA">
        <w:rPr>
          <w:rFonts w:asciiTheme="minorHAnsi" w:hAnsiTheme="minorHAnsi"/>
          <w:noProof/>
          <w:szCs w:val="22"/>
        </w:rPr>
        <w:t>; 177:944-57.</w:t>
      </w:r>
    </w:p>
    <w:p w:rsidR="00EA6F40" w:rsidRPr="00C72CCA" w:rsidRDefault="00EA6F40" w:rsidP="00EA6F40">
      <w:pPr>
        <w:pStyle w:val="EndNoteBibliography"/>
        <w:ind w:left="720" w:hanging="720"/>
        <w:rPr>
          <w:rFonts w:asciiTheme="minorHAnsi" w:hAnsiTheme="minorHAnsi"/>
          <w:noProof/>
          <w:szCs w:val="22"/>
        </w:rPr>
      </w:pPr>
      <w:bookmarkStart w:id="266" w:name="_ENREF_99"/>
      <w:r w:rsidRPr="00C72CCA">
        <w:rPr>
          <w:rFonts w:asciiTheme="minorHAnsi" w:hAnsiTheme="minorHAnsi"/>
          <w:noProof/>
          <w:szCs w:val="22"/>
        </w:rPr>
        <w:t>Rossi A, et al. Determination of thyroid volume by Sonography in healthy Brazilian schoolchildren</w:t>
      </w:r>
      <w:r w:rsidRPr="00C72CCA">
        <w:rPr>
          <w:rFonts w:asciiTheme="minorHAnsi" w:hAnsiTheme="minorHAnsi"/>
          <w:i/>
          <w:noProof/>
          <w:szCs w:val="22"/>
        </w:rPr>
        <w:t>. J Clin Ultrasound</w:t>
      </w:r>
      <w:r w:rsidRPr="00C72CCA">
        <w:rPr>
          <w:rFonts w:asciiTheme="minorHAnsi" w:hAnsiTheme="minorHAnsi"/>
          <w:noProof/>
          <w:szCs w:val="22"/>
        </w:rPr>
        <w:t xml:space="preserve"> 2002; 30:226-31.</w:t>
      </w:r>
      <w:bookmarkEnd w:id="266"/>
    </w:p>
    <w:p w:rsidR="00EA6F40" w:rsidRPr="00C72CCA" w:rsidRDefault="00EA6F40" w:rsidP="00EA6F40">
      <w:pPr>
        <w:pStyle w:val="EndNoteBibliography"/>
        <w:ind w:left="720" w:hanging="720"/>
        <w:rPr>
          <w:rFonts w:asciiTheme="minorHAnsi" w:hAnsiTheme="minorHAnsi"/>
          <w:noProof/>
          <w:szCs w:val="22"/>
        </w:rPr>
      </w:pPr>
      <w:r w:rsidRPr="00C72CCA">
        <w:rPr>
          <w:rFonts w:asciiTheme="minorHAnsi" w:hAnsiTheme="minorHAnsi" w:cs="Arial"/>
          <w:szCs w:val="22"/>
        </w:rPr>
        <w:t xml:space="preserve">Sahin SB, et al. Alterations of thyroid volume and nodular size during and after pregnancy in a severe iodine-deficient area. </w:t>
      </w:r>
      <w:r w:rsidRPr="00C72CCA">
        <w:rPr>
          <w:rFonts w:asciiTheme="minorHAnsi" w:hAnsiTheme="minorHAnsi" w:cs="Arial"/>
          <w:i/>
          <w:szCs w:val="22"/>
        </w:rPr>
        <w:t>Clin Endocrinol (Oxf)</w:t>
      </w:r>
      <w:r w:rsidRPr="00C72CCA">
        <w:rPr>
          <w:rFonts w:asciiTheme="minorHAnsi" w:hAnsiTheme="minorHAnsi" w:cs="Arial"/>
          <w:szCs w:val="22"/>
        </w:rPr>
        <w:t xml:space="preserve"> 2014; 81: 762-768.</w:t>
      </w:r>
    </w:p>
    <w:p w:rsidR="00EA6F40" w:rsidRPr="00C72CCA" w:rsidRDefault="00EA6F40" w:rsidP="00EA6F40">
      <w:pPr>
        <w:pStyle w:val="EndNoteBibliography"/>
        <w:spacing w:after="0"/>
        <w:ind w:left="720" w:hanging="720"/>
        <w:rPr>
          <w:rFonts w:asciiTheme="minorHAnsi" w:hAnsiTheme="minorHAnsi"/>
          <w:noProof/>
          <w:szCs w:val="22"/>
        </w:rPr>
      </w:pPr>
      <w:bookmarkStart w:id="267" w:name="_ENREF_65"/>
      <w:r w:rsidRPr="00C72CCA">
        <w:rPr>
          <w:rFonts w:asciiTheme="minorHAnsi" w:hAnsiTheme="minorHAnsi"/>
          <w:noProof/>
          <w:szCs w:val="22"/>
        </w:rPr>
        <w:lastRenderedPageBreak/>
        <w:t>Sang Z, et al. Exploration of the safe upper level of iodine intake in euthyroid Chinese adults: a randomized double-blind trial</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Am J Clin Nutr</w:t>
      </w:r>
      <w:r w:rsidRPr="00C72CCA">
        <w:rPr>
          <w:rFonts w:asciiTheme="minorHAnsi" w:hAnsiTheme="minorHAnsi"/>
          <w:noProof/>
          <w:szCs w:val="22"/>
        </w:rPr>
        <w:t xml:space="preserve"> 2012. 95:367-73.</w:t>
      </w:r>
      <w:bookmarkEnd w:id="267"/>
    </w:p>
    <w:p w:rsidR="00EA6F40" w:rsidRPr="00C72CCA" w:rsidRDefault="00EA6F40" w:rsidP="00EA6F40">
      <w:pPr>
        <w:pStyle w:val="EndNoteBibliography"/>
        <w:spacing w:after="0"/>
        <w:ind w:left="720" w:hanging="720"/>
        <w:rPr>
          <w:rFonts w:asciiTheme="minorHAnsi" w:hAnsiTheme="minorHAnsi"/>
          <w:noProof/>
          <w:szCs w:val="22"/>
        </w:rPr>
      </w:pPr>
      <w:bookmarkStart w:id="268" w:name="_ENREF_88"/>
      <w:r w:rsidRPr="00C72CCA">
        <w:rPr>
          <w:rFonts w:asciiTheme="minorHAnsi" w:hAnsiTheme="minorHAnsi"/>
          <w:noProof/>
          <w:szCs w:val="22"/>
        </w:rPr>
        <w:t>Sang Z, et al. Thyroid dysfunction during late gestation is associated with excessive iodine intake in pregnant women</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J Clin Endocrinol Metab</w:t>
      </w:r>
      <w:r w:rsidRPr="00C72CCA">
        <w:rPr>
          <w:rFonts w:asciiTheme="minorHAnsi" w:hAnsiTheme="minorHAnsi"/>
          <w:noProof/>
          <w:szCs w:val="22"/>
        </w:rPr>
        <w:t xml:space="preserve"> 2012;97:E1363-9.</w:t>
      </w:r>
      <w:bookmarkEnd w:id="268"/>
    </w:p>
    <w:p w:rsidR="00EA6F40" w:rsidRPr="00C72CCA" w:rsidRDefault="00EA6F40" w:rsidP="00EA6F40">
      <w:pPr>
        <w:pStyle w:val="EndNoteBibliography"/>
        <w:spacing w:after="0"/>
        <w:ind w:left="720" w:hanging="720"/>
        <w:rPr>
          <w:rFonts w:asciiTheme="minorHAnsi" w:hAnsiTheme="minorHAnsi"/>
          <w:noProof/>
          <w:szCs w:val="22"/>
        </w:rPr>
      </w:pPr>
      <w:bookmarkStart w:id="269" w:name="_ENREF_73"/>
      <w:r w:rsidRPr="00C72CCA">
        <w:rPr>
          <w:rFonts w:asciiTheme="minorHAnsi" w:hAnsiTheme="minorHAnsi"/>
          <w:noProof/>
          <w:szCs w:val="22"/>
        </w:rPr>
        <w:t>Santiago P, et al. Infant neurocognitive development is independent of the use of iodised salt or iodine supplements given during pregnancy</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Br J Nutr</w:t>
      </w:r>
      <w:r w:rsidRPr="00C72CCA">
        <w:rPr>
          <w:rFonts w:asciiTheme="minorHAnsi" w:hAnsiTheme="minorHAnsi"/>
          <w:noProof/>
          <w:szCs w:val="22"/>
        </w:rPr>
        <w:t xml:space="preserve"> 2013;110: 831-9.</w:t>
      </w:r>
      <w:bookmarkEnd w:id="269"/>
    </w:p>
    <w:p w:rsidR="00EA6F40" w:rsidRPr="00C72CCA" w:rsidRDefault="00EA6F40" w:rsidP="00EA6F40">
      <w:pPr>
        <w:pStyle w:val="EndNoteBibliography"/>
        <w:spacing w:after="0"/>
        <w:ind w:left="720" w:hanging="720"/>
        <w:rPr>
          <w:rFonts w:asciiTheme="minorHAnsi" w:hAnsiTheme="minorHAnsi"/>
          <w:noProof/>
          <w:szCs w:val="22"/>
        </w:rPr>
      </w:pPr>
      <w:bookmarkStart w:id="270" w:name="_ENREF_98"/>
      <w:r w:rsidRPr="00C72CCA">
        <w:rPr>
          <w:rFonts w:asciiTheme="minorHAnsi" w:hAnsiTheme="minorHAnsi"/>
          <w:noProof/>
          <w:szCs w:val="22"/>
        </w:rPr>
        <w:t>Seal AJ, et al. Excess dietary iodine intake in long-term African refugees</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Public Health Nutr</w:t>
      </w:r>
      <w:r w:rsidRPr="00C72CCA">
        <w:rPr>
          <w:rFonts w:asciiTheme="minorHAnsi" w:hAnsiTheme="minorHAnsi"/>
          <w:noProof/>
          <w:szCs w:val="22"/>
        </w:rPr>
        <w:t xml:space="preserve"> 2006;9:35-9.</w:t>
      </w:r>
      <w:bookmarkEnd w:id="270"/>
    </w:p>
    <w:p w:rsidR="00EA6F40" w:rsidRPr="00C72CCA" w:rsidRDefault="00EA6F40" w:rsidP="00EA6F40">
      <w:pPr>
        <w:pStyle w:val="EndNoteBibliography"/>
        <w:spacing w:after="0"/>
        <w:ind w:left="720" w:hanging="720"/>
        <w:rPr>
          <w:rFonts w:asciiTheme="minorHAnsi" w:hAnsiTheme="minorHAnsi"/>
          <w:noProof/>
          <w:szCs w:val="22"/>
        </w:rPr>
      </w:pPr>
      <w:bookmarkStart w:id="271" w:name="_ENREF_94"/>
      <w:r w:rsidRPr="00C72CCA">
        <w:rPr>
          <w:rFonts w:asciiTheme="minorHAnsi" w:hAnsiTheme="minorHAnsi"/>
          <w:noProof/>
          <w:szCs w:val="22"/>
        </w:rPr>
        <w:t>Shen H, et al. Geographical distribution of drinking-water with high iodine level and association between high iodine level in drinking-water and goitre: a Chinese national investigation</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Br J Nutr</w:t>
      </w:r>
      <w:r w:rsidRPr="00C72CCA">
        <w:rPr>
          <w:rFonts w:asciiTheme="minorHAnsi" w:hAnsiTheme="minorHAnsi"/>
          <w:noProof/>
          <w:szCs w:val="22"/>
        </w:rPr>
        <w:t xml:space="preserve"> 2011; 106:243-7.</w:t>
      </w:r>
      <w:bookmarkEnd w:id="271"/>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noProof/>
          <w:szCs w:val="22"/>
        </w:rPr>
        <w:t>Skeaff SA &amp; Lonsdale-Cooper E. Mandatory fortification of bread with iodised salt modestly improves iodine status in schoolchildren</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Br J Nutr</w:t>
      </w:r>
      <w:r w:rsidRPr="00C72CCA">
        <w:rPr>
          <w:rFonts w:asciiTheme="minorHAnsi" w:hAnsiTheme="minorHAnsi"/>
          <w:noProof/>
          <w:szCs w:val="22"/>
        </w:rPr>
        <w:t xml:space="preserve"> 2013; 109:1109-13.</w:t>
      </w:r>
    </w:p>
    <w:p w:rsidR="00EA6F40" w:rsidRPr="00C72CCA" w:rsidRDefault="00EA6F40" w:rsidP="00EA6F40">
      <w:pPr>
        <w:pStyle w:val="EndNoteBibliography"/>
        <w:spacing w:after="0"/>
        <w:ind w:left="720" w:hanging="720"/>
        <w:rPr>
          <w:rFonts w:asciiTheme="minorHAnsi" w:hAnsiTheme="minorHAnsi"/>
          <w:noProof/>
          <w:szCs w:val="22"/>
        </w:rPr>
      </w:pPr>
      <w:bookmarkStart w:id="272" w:name="_ENREF_71"/>
      <w:r w:rsidRPr="00C72CCA">
        <w:rPr>
          <w:rFonts w:asciiTheme="minorHAnsi" w:hAnsiTheme="minorHAnsi"/>
          <w:noProof/>
          <w:szCs w:val="22"/>
        </w:rPr>
        <w:t>Suarez-Rodriguez M, et al. Hypothyroxinemia during pregnancy: the effect on neurodevelopment in the child</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Int J Dev Neurosci</w:t>
      </w:r>
      <w:r w:rsidRPr="00C72CCA">
        <w:rPr>
          <w:rFonts w:asciiTheme="minorHAnsi" w:hAnsiTheme="minorHAnsi"/>
          <w:noProof/>
          <w:szCs w:val="22"/>
        </w:rPr>
        <w:t xml:space="preserve"> 2012;30:435-8.</w:t>
      </w:r>
      <w:bookmarkEnd w:id="272"/>
    </w:p>
    <w:p w:rsidR="00EA6F40" w:rsidRPr="00C72CCA" w:rsidRDefault="00EA6F40" w:rsidP="00EA6F40">
      <w:pPr>
        <w:pStyle w:val="EndNoteBibliography"/>
        <w:spacing w:after="0"/>
        <w:ind w:left="720" w:hanging="720"/>
        <w:rPr>
          <w:rFonts w:asciiTheme="minorHAnsi" w:hAnsiTheme="minorHAnsi"/>
          <w:noProof/>
          <w:szCs w:val="22"/>
        </w:rPr>
      </w:pPr>
      <w:bookmarkStart w:id="273" w:name="_ENREF_89"/>
      <w:r w:rsidRPr="00C72CCA">
        <w:rPr>
          <w:rFonts w:asciiTheme="minorHAnsi" w:hAnsiTheme="minorHAnsi"/>
          <w:noProof/>
          <w:szCs w:val="22"/>
        </w:rPr>
        <w:t>Suarez Rodriguez M, et al. Iodine intake during pregnancy: effects on thyroid function in mother and child</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Endocrinol Nutr</w:t>
      </w:r>
      <w:r w:rsidRPr="00C72CCA">
        <w:rPr>
          <w:rFonts w:asciiTheme="minorHAnsi" w:hAnsiTheme="minorHAnsi"/>
          <w:noProof/>
          <w:szCs w:val="22"/>
        </w:rPr>
        <w:t xml:space="preserve"> 2013;60:352-7.</w:t>
      </w:r>
      <w:bookmarkEnd w:id="273"/>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noProof/>
          <w:szCs w:val="22"/>
        </w:rPr>
        <w:t>Teng W, et al. Effect of iodine intake on thyroid diseases in China</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N Engl J Med</w:t>
      </w:r>
      <w:r w:rsidRPr="00C72CCA">
        <w:rPr>
          <w:rFonts w:asciiTheme="minorHAnsi" w:hAnsiTheme="minorHAnsi"/>
          <w:noProof/>
          <w:szCs w:val="22"/>
        </w:rPr>
        <w:t xml:space="preserve"> 2006: 354:2783-93.</w:t>
      </w:r>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noProof/>
          <w:szCs w:val="22"/>
        </w:rPr>
        <w:t xml:space="preserve">Thomson CD, et al. Urinary iodine and thyroid status of New Zealand residents. </w:t>
      </w:r>
      <w:r w:rsidRPr="00C72CCA">
        <w:rPr>
          <w:rFonts w:asciiTheme="minorHAnsi" w:hAnsiTheme="minorHAnsi"/>
          <w:i/>
          <w:noProof/>
          <w:szCs w:val="22"/>
        </w:rPr>
        <w:t>Eur J Clin Nutr</w:t>
      </w:r>
      <w:r w:rsidRPr="00C72CCA">
        <w:rPr>
          <w:rFonts w:asciiTheme="minorHAnsi" w:hAnsiTheme="minorHAnsi"/>
          <w:noProof/>
          <w:szCs w:val="22"/>
        </w:rPr>
        <w:t xml:space="preserve"> 2001; 55:387-92.</w:t>
      </w:r>
    </w:p>
    <w:p w:rsidR="00EA6F40" w:rsidRPr="00C72CCA" w:rsidRDefault="00EA6F40" w:rsidP="00EA6F40">
      <w:pPr>
        <w:pStyle w:val="EndNoteBibliography"/>
        <w:spacing w:after="0"/>
        <w:ind w:left="720" w:hanging="720"/>
        <w:rPr>
          <w:rFonts w:asciiTheme="minorHAnsi" w:hAnsiTheme="minorHAnsi"/>
          <w:noProof/>
          <w:szCs w:val="22"/>
        </w:rPr>
      </w:pPr>
      <w:bookmarkStart w:id="274" w:name="_ENREF_9"/>
      <w:r w:rsidRPr="00C72CCA">
        <w:rPr>
          <w:rFonts w:asciiTheme="minorHAnsi" w:hAnsiTheme="minorHAnsi"/>
          <w:noProof/>
          <w:szCs w:val="22"/>
        </w:rPr>
        <w:t xml:space="preserve">Thomson CD. </w:t>
      </w:r>
      <w:r w:rsidRPr="00C72CCA">
        <w:rPr>
          <w:rFonts w:asciiTheme="minorHAnsi" w:hAnsiTheme="minorHAnsi"/>
          <w:i/>
          <w:noProof/>
          <w:szCs w:val="22"/>
        </w:rPr>
        <w:t>Australian and New Zealand Nutrient Reference Values for Iodine</w:t>
      </w:r>
      <w:r w:rsidRPr="00C72CCA">
        <w:rPr>
          <w:rFonts w:asciiTheme="minorHAnsi" w:hAnsiTheme="minorHAnsi"/>
          <w:noProof/>
          <w:szCs w:val="22"/>
        </w:rPr>
        <w:t>. New Zealand: Ministry of Health,</w:t>
      </w:r>
      <w:bookmarkEnd w:id="274"/>
      <w:r w:rsidRPr="00C72CCA">
        <w:rPr>
          <w:rFonts w:asciiTheme="minorHAnsi" w:hAnsiTheme="minorHAnsi"/>
          <w:noProof/>
          <w:szCs w:val="22"/>
        </w:rPr>
        <w:t xml:space="preserve"> 2003.</w:t>
      </w:r>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noProof/>
          <w:szCs w:val="22"/>
        </w:rPr>
        <w:t>Thomson CD. Selenium and iodine intakes and status in New Zealand and Australia</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Br J Nutr</w:t>
      </w:r>
      <w:r w:rsidRPr="00C72CCA">
        <w:rPr>
          <w:rFonts w:asciiTheme="minorHAnsi" w:hAnsiTheme="minorHAnsi"/>
          <w:noProof/>
          <w:szCs w:val="22"/>
        </w:rPr>
        <w:t xml:space="preserve"> 2004; 91:661-72.</w:t>
      </w:r>
    </w:p>
    <w:p w:rsidR="00EA6F40" w:rsidRPr="00C72CCA" w:rsidRDefault="00EA6F40" w:rsidP="00EA6F40">
      <w:pPr>
        <w:pStyle w:val="EndNoteBibliography"/>
        <w:spacing w:after="0"/>
        <w:ind w:left="720" w:hanging="720"/>
        <w:rPr>
          <w:rFonts w:asciiTheme="minorHAnsi" w:hAnsiTheme="minorHAnsi"/>
          <w:noProof/>
          <w:szCs w:val="22"/>
        </w:rPr>
      </w:pPr>
      <w:bookmarkStart w:id="275" w:name="_ENREF_66"/>
      <w:r w:rsidRPr="00C72CCA">
        <w:rPr>
          <w:rFonts w:asciiTheme="minorHAnsi" w:hAnsiTheme="minorHAnsi"/>
          <w:noProof/>
          <w:szCs w:val="22"/>
        </w:rPr>
        <w:t>Tonacchera M, et al. Iodine fortification of vegetables improves human iodine nutrition: in vivo evidence for a new model of iodine prophylaxis</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J Clin Endocrinol Metab</w:t>
      </w:r>
      <w:r w:rsidRPr="00C72CCA">
        <w:rPr>
          <w:rFonts w:asciiTheme="minorHAnsi" w:hAnsiTheme="minorHAnsi"/>
          <w:noProof/>
          <w:szCs w:val="22"/>
        </w:rPr>
        <w:t xml:space="preserve"> 2013;98:E694-7.</w:t>
      </w:r>
      <w:bookmarkEnd w:id="275"/>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noProof/>
          <w:szCs w:val="22"/>
        </w:rPr>
        <w:t xml:space="preserve">University of Otago &amp; New Zealand Ministry of Health. </w:t>
      </w:r>
      <w:r w:rsidRPr="00C72CCA">
        <w:rPr>
          <w:rFonts w:asciiTheme="minorHAnsi" w:hAnsiTheme="minorHAnsi"/>
          <w:i/>
          <w:noProof/>
          <w:szCs w:val="22"/>
        </w:rPr>
        <w:t>A Focus on Nutrition: Key Findings of the 2008/09 New Zealand Adult Nutrition Survey</w:t>
      </w:r>
      <w:r w:rsidRPr="00C72CCA">
        <w:rPr>
          <w:rFonts w:asciiTheme="minorHAnsi" w:hAnsiTheme="minorHAnsi"/>
          <w:noProof/>
          <w:szCs w:val="22"/>
        </w:rPr>
        <w:t>. Wellington, New Zealand: New Zealand Ministry of Health, 2011.</w:t>
      </w:r>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szCs w:val="22"/>
        </w:rPr>
        <w:t xml:space="preserve">van de Ven AC, et al. Longitudinal trends in thyroid function in relation to iodine intake: Ongoing changes of thyroid function despite adequate current iodine status. </w:t>
      </w:r>
      <w:r w:rsidRPr="00C72CCA">
        <w:rPr>
          <w:rFonts w:asciiTheme="minorHAnsi" w:hAnsiTheme="minorHAnsi"/>
          <w:i/>
          <w:szCs w:val="22"/>
        </w:rPr>
        <w:t>Eur J Endocrinol</w:t>
      </w:r>
      <w:r w:rsidRPr="00C72CCA">
        <w:rPr>
          <w:rFonts w:asciiTheme="minorHAnsi" w:hAnsiTheme="minorHAnsi"/>
          <w:szCs w:val="22"/>
        </w:rPr>
        <w:t xml:space="preserve"> 2014; 170, 49-54.</w:t>
      </w:r>
    </w:p>
    <w:p w:rsidR="00EA6F40" w:rsidRPr="00C72CCA" w:rsidRDefault="00EA6F40" w:rsidP="00EA6F40">
      <w:pPr>
        <w:pStyle w:val="EndNoteBibliography"/>
        <w:spacing w:after="0"/>
        <w:ind w:left="720" w:hanging="720"/>
        <w:rPr>
          <w:rFonts w:asciiTheme="minorHAnsi" w:hAnsiTheme="minorHAnsi"/>
          <w:noProof/>
          <w:szCs w:val="22"/>
        </w:rPr>
      </w:pPr>
      <w:bookmarkStart w:id="276" w:name="_ENREF_72"/>
      <w:r w:rsidRPr="00C72CCA">
        <w:rPr>
          <w:rFonts w:asciiTheme="minorHAnsi" w:hAnsiTheme="minorHAnsi"/>
          <w:noProof/>
          <w:szCs w:val="22"/>
        </w:rPr>
        <w:t xml:space="preserve">van Mil NH, et al. Low urinary iodine excretion during early pregnancy is associated with alterations in executive functioning in children. </w:t>
      </w:r>
      <w:r w:rsidRPr="00C72CCA">
        <w:rPr>
          <w:rFonts w:asciiTheme="minorHAnsi" w:hAnsiTheme="minorHAnsi"/>
          <w:i/>
          <w:noProof/>
          <w:szCs w:val="22"/>
        </w:rPr>
        <w:t>J Nutr</w:t>
      </w:r>
      <w:r w:rsidRPr="00C72CCA">
        <w:rPr>
          <w:rFonts w:asciiTheme="minorHAnsi" w:hAnsiTheme="minorHAnsi"/>
          <w:noProof/>
          <w:szCs w:val="22"/>
        </w:rPr>
        <w:t xml:space="preserve"> 2012;142: 2167-74.</w:t>
      </w:r>
      <w:bookmarkEnd w:id="276"/>
    </w:p>
    <w:p w:rsidR="00EA6F40" w:rsidRPr="00C72CCA" w:rsidRDefault="00EA6F40" w:rsidP="00EA6F40">
      <w:pPr>
        <w:pStyle w:val="EndNoteBibliography"/>
        <w:spacing w:after="0"/>
        <w:ind w:left="720" w:hanging="720"/>
        <w:rPr>
          <w:rFonts w:asciiTheme="minorHAnsi" w:hAnsiTheme="minorHAnsi"/>
          <w:noProof/>
          <w:szCs w:val="22"/>
        </w:rPr>
      </w:pPr>
      <w:bookmarkStart w:id="277" w:name="_ENREF_84"/>
      <w:r w:rsidRPr="00C72CCA">
        <w:rPr>
          <w:rFonts w:asciiTheme="minorHAnsi" w:hAnsiTheme="minorHAnsi"/>
          <w:noProof/>
          <w:szCs w:val="22"/>
        </w:rPr>
        <w:t>Vandevijvere S, et al. Iodine deficiency among Belgian pregnant women not fully corrected by iodine-containing multivitamins: a national cross-sectional survey</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Br J Nutr</w:t>
      </w:r>
      <w:r w:rsidRPr="00C72CCA">
        <w:rPr>
          <w:rFonts w:asciiTheme="minorHAnsi" w:hAnsiTheme="minorHAnsi"/>
          <w:noProof/>
          <w:szCs w:val="22"/>
        </w:rPr>
        <w:t xml:space="preserve"> 2013;109:2276-84.</w:t>
      </w:r>
      <w:bookmarkEnd w:id="277"/>
    </w:p>
    <w:p w:rsidR="00EA6F40" w:rsidRPr="00C72CCA" w:rsidRDefault="00EA6F40" w:rsidP="00EA6F40">
      <w:pPr>
        <w:pStyle w:val="EndNoteBibliography"/>
        <w:spacing w:after="0"/>
        <w:ind w:left="720" w:hanging="720"/>
        <w:rPr>
          <w:rFonts w:asciiTheme="minorHAnsi" w:hAnsiTheme="minorHAnsi"/>
          <w:noProof/>
          <w:szCs w:val="22"/>
        </w:rPr>
      </w:pPr>
      <w:bookmarkStart w:id="278" w:name="_ENREF_67"/>
      <w:r w:rsidRPr="00C72CCA">
        <w:rPr>
          <w:rFonts w:asciiTheme="minorHAnsi" w:hAnsiTheme="minorHAnsi"/>
          <w:noProof/>
          <w:szCs w:val="22"/>
        </w:rPr>
        <w:t xml:space="preserve">Vejbjerg P, et al. Effect of a mandatory iodization program on thyroid gland volume based on individuals' age, gender, and preceding severity of dietary iodine deficiency: a prospective, population-based study. </w:t>
      </w:r>
      <w:r w:rsidRPr="00C72CCA">
        <w:rPr>
          <w:rFonts w:asciiTheme="minorHAnsi" w:hAnsiTheme="minorHAnsi"/>
          <w:i/>
          <w:noProof/>
          <w:szCs w:val="22"/>
        </w:rPr>
        <w:t>J Clin Endocrinol Metab</w:t>
      </w:r>
      <w:r w:rsidRPr="00C72CCA">
        <w:rPr>
          <w:rFonts w:asciiTheme="minorHAnsi" w:hAnsiTheme="minorHAnsi"/>
          <w:noProof/>
          <w:szCs w:val="22"/>
        </w:rPr>
        <w:t xml:space="preserve"> 2007;92:1397-401.</w:t>
      </w:r>
      <w:bookmarkEnd w:id="278"/>
    </w:p>
    <w:p w:rsidR="00EA6F40" w:rsidRPr="00C72CCA" w:rsidRDefault="00EA6F40" w:rsidP="00EA6F40">
      <w:pPr>
        <w:pStyle w:val="EndNoteBibliography"/>
        <w:spacing w:after="0"/>
        <w:ind w:left="720" w:hanging="720"/>
        <w:rPr>
          <w:rFonts w:asciiTheme="minorHAnsi" w:hAnsiTheme="minorHAnsi"/>
          <w:noProof/>
          <w:szCs w:val="22"/>
        </w:rPr>
      </w:pPr>
      <w:bookmarkStart w:id="279" w:name="_ENREF_90"/>
      <w:r w:rsidRPr="00C72CCA">
        <w:rPr>
          <w:rFonts w:asciiTheme="minorHAnsi" w:hAnsiTheme="minorHAnsi"/>
          <w:noProof/>
          <w:szCs w:val="22"/>
        </w:rPr>
        <w:lastRenderedPageBreak/>
        <w:t>Velasco I, et al. Maternal-Fetal Thyroid Function at the Time of Birth and Its Relation with Iodine Intake</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Thyroid</w:t>
      </w:r>
      <w:r w:rsidRPr="00C72CCA">
        <w:rPr>
          <w:rFonts w:asciiTheme="minorHAnsi" w:hAnsiTheme="minorHAnsi"/>
          <w:noProof/>
          <w:szCs w:val="22"/>
        </w:rPr>
        <w:t xml:space="preserve"> 2013.</w:t>
      </w:r>
      <w:bookmarkEnd w:id="279"/>
      <w:r w:rsidRPr="00C72CCA">
        <w:rPr>
          <w:rFonts w:asciiTheme="minorHAnsi" w:hAnsiTheme="minorHAnsi"/>
          <w:noProof/>
          <w:szCs w:val="22"/>
        </w:rPr>
        <w:t xml:space="preserve"> </w:t>
      </w:r>
      <w:r w:rsidRPr="00C72CCA">
        <w:rPr>
          <w:rFonts w:asciiTheme="minorHAnsi" w:hAnsiTheme="minorHAnsi" w:cs="Arial"/>
          <w:szCs w:val="22"/>
        </w:rPr>
        <w:t>DOI: 10.1089/thy.2013.0035</w:t>
      </w:r>
    </w:p>
    <w:p w:rsidR="00EA6F40" w:rsidRPr="00C72CCA" w:rsidRDefault="00EA6F40" w:rsidP="00EA6F40">
      <w:pPr>
        <w:pStyle w:val="EndNoteBibliography"/>
        <w:spacing w:after="0"/>
        <w:ind w:left="720" w:hanging="720"/>
        <w:rPr>
          <w:rFonts w:asciiTheme="minorHAnsi" w:hAnsiTheme="minorHAnsi"/>
          <w:noProof/>
          <w:szCs w:val="22"/>
        </w:rPr>
      </w:pPr>
      <w:bookmarkStart w:id="280" w:name="_ENREF_55"/>
      <w:r w:rsidRPr="00C72CCA">
        <w:rPr>
          <w:rFonts w:asciiTheme="minorHAnsi" w:hAnsiTheme="minorHAnsi"/>
          <w:noProof/>
          <w:szCs w:val="22"/>
        </w:rPr>
        <w:t xml:space="preserve">Vought RL &amp; London WT. Iodine Intake and Excretion in Healthy Nonhospitalized Subjects. </w:t>
      </w:r>
      <w:r w:rsidRPr="00C72CCA">
        <w:rPr>
          <w:rFonts w:asciiTheme="minorHAnsi" w:hAnsiTheme="minorHAnsi"/>
          <w:i/>
          <w:noProof/>
          <w:szCs w:val="22"/>
        </w:rPr>
        <w:t>Am J Clin Nutr</w:t>
      </w:r>
      <w:r w:rsidRPr="00C72CCA">
        <w:rPr>
          <w:rFonts w:asciiTheme="minorHAnsi" w:hAnsiTheme="minorHAnsi"/>
          <w:noProof/>
          <w:szCs w:val="22"/>
        </w:rPr>
        <w:t xml:space="preserve"> 1964. 15:124-32.</w:t>
      </w:r>
      <w:bookmarkEnd w:id="280"/>
    </w:p>
    <w:p w:rsidR="00EA6F40" w:rsidRPr="00C72CCA" w:rsidRDefault="00EA6F40" w:rsidP="00EA6F40">
      <w:pPr>
        <w:pStyle w:val="EndNoteBibliography"/>
        <w:spacing w:after="0"/>
        <w:ind w:left="720" w:hanging="720"/>
        <w:rPr>
          <w:rFonts w:asciiTheme="minorHAnsi" w:hAnsiTheme="minorHAnsi"/>
          <w:noProof/>
          <w:szCs w:val="22"/>
        </w:rPr>
      </w:pPr>
      <w:bookmarkStart w:id="281" w:name="_ENREF_56"/>
      <w:r w:rsidRPr="00C72CCA">
        <w:rPr>
          <w:rFonts w:asciiTheme="minorHAnsi" w:hAnsiTheme="minorHAnsi"/>
          <w:noProof/>
          <w:szCs w:val="22"/>
        </w:rPr>
        <w:t xml:space="preserve">Vought RL &amp; London WT. Iodine intake, excretion and thyroidal accumulation in healthy subjects. </w:t>
      </w:r>
      <w:r w:rsidRPr="00C72CCA">
        <w:rPr>
          <w:rFonts w:asciiTheme="minorHAnsi" w:hAnsiTheme="minorHAnsi"/>
          <w:i/>
          <w:noProof/>
          <w:szCs w:val="22"/>
        </w:rPr>
        <w:t xml:space="preserve">J Clin Endocrinol Metab </w:t>
      </w:r>
      <w:r w:rsidRPr="00C72CCA">
        <w:rPr>
          <w:rFonts w:asciiTheme="minorHAnsi" w:hAnsiTheme="minorHAnsi"/>
          <w:noProof/>
          <w:szCs w:val="22"/>
        </w:rPr>
        <w:t>1967;27:913-9.</w:t>
      </w:r>
      <w:bookmarkEnd w:id="281"/>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cs="Arial"/>
          <w:szCs w:val="22"/>
        </w:rPr>
        <w:t xml:space="preserve">Wang Y, </w:t>
      </w:r>
      <w:bookmarkStart w:id="282" w:name="OLE_LINK14"/>
      <w:r w:rsidRPr="00C72CCA">
        <w:rPr>
          <w:rFonts w:asciiTheme="minorHAnsi" w:hAnsiTheme="minorHAnsi" w:cs="Arial"/>
          <w:szCs w:val="22"/>
        </w:rPr>
        <w:t>et al. [Changes of iodine nutrition status and thyroid function among pregnant women in iodine sufficient rural area of Gansu province</w:t>
      </w:r>
      <w:bookmarkEnd w:id="282"/>
      <w:r w:rsidRPr="00C72CCA">
        <w:rPr>
          <w:rFonts w:asciiTheme="minorHAnsi" w:hAnsiTheme="minorHAnsi" w:cs="Arial"/>
          <w:szCs w:val="22"/>
        </w:rPr>
        <w:t xml:space="preserve">]. </w:t>
      </w:r>
      <w:r w:rsidRPr="00C72CCA">
        <w:rPr>
          <w:rFonts w:asciiTheme="minorHAnsi" w:hAnsiTheme="minorHAnsi" w:cs="Arial"/>
          <w:i/>
          <w:szCs w:val="22"/>
        </w:rPr>
        <w:t xml:space="preserve">Zhonghua Liu Xing Bing Xue Za Zhi </w:t>
      </w:r>
      <w:r w:rsidRPr="00C72CCA">
        <w:rPr>
          <w:rFonts w:asciiTheme="minorHAnsi" w:hAnsiTheme="minorHAnsi" w:cs="Arial"/>
          <w:szCs w:val="22"/>
        </w:rPr>
        <w:t>2014; 35: 49-52.</w:t>
      </w:r>
    </w:p>
    <w:p w:rsidR="00EA6F40" w:rsidRPr="00C72CCA" w:rsidRDefault="00EA6F40" w:rsidP="00EA6F40">
      <w:pPr>
        <w:pStyle w:val="EndNoteBibliography"/>
        <w:spacing w:after="0"/>
        <w:ind w:left="720" w:hanging="720"/>
        <w:rPr>
          <w:rFonts w:asciiTheme="minorHAnsi" w:hAnsiTheme="minorHAnsi"/>
          <w:noProof/>
          <w:szCs w:val="22"/>
        </w:rPr>
      </w:pPr>
      <w:bookmarkStart w:id="283" w:name="_ENREF_2"/>
      <w:r w:rsidRPr="00C72CCA">
        <w:rPr>
          <w:rFonts w:asciiTheme="minorHAnsi" w:hAnsiTheme="minorHAnsi"/>
          <w:noProof/>
          <w:szCs w:val="22"/>
        </w:rPr>
        <w:t xml:space="preserve">World Health Organisation, United Nations Children’s Fund, and International Council for the Control of Iodine Deficiency Disorders. WHO/UNICEF/ICCIDD. </w:t>
      </w:r>
      <w:r w:rsidRPr="00C72CCA">
        <w:rPr>
          <w:rFonts w:asciiTheme="minorHAnsi" w:hAnsiTheme="minorHAnsi"/>
          <w:i/>
          <w:noProof/>
          <w:szCs w:val="22"/>
        </w:rPr>
        <w:t>Assessment of Iodine Deficiency Disorders and Monitoring their Elimination</w:t>
      </w:r>
      <w:r w:rsidRPr="00C72CCA">
        <w:rPr>
          <w:rFonts w:asciiTheme="minorHAnsi" w:hAnsiTheme="minorHAnsi"/>
          <w:noProof/>
          <w:szCs w:val="22"/>
        </w:rPr>
        <w:t>. WHO: Geneva</w:t>
      </w:r>
      <w:bookmarkEnd w:id="283"/>
      <w:r w:rsidRPr="00C72CCA">
        <w:rPr>
          <w:rFonts w:asciiTheme="minorHAnsi" w:hAnsiTheme="minorHAnsi"/>
          <w:noProof/>
          <w:szCs w:val="22"/>
        </w:rPr>
        <w:t>, 2007.</w:t>
      </w:r>
    </w:p>
    <w:p w:rsidR="00EA6F40" w:rsidRPr="00C72CCA" w:rsidRDefault="00EA6F40" w:rsidP="00EA6F40">
      <w:pPr>
        <w:pStyle w:val="EndNoteBibliography"/>
        <w:spacing w:after="0"/>
        <w:ind w:left="720" w:hanging="720"/>
        <w:rPr>
          <w:rFonts w:asciiTheme="minorHAnsi" w:hAnsiTheme="minorHAnsi"/>
          <w:szCs w:val="22"/>
        </w:rPr>
      </w:pPr>
      <w:r w:rsidRPr="00C72CCA">
        <w:rPr>
          <w:rFonts w:asciiTheme="minorHAnsi" w:hAnsiTheme="minorHAnsi"/>
          <w:szCs w:val="22"/>
        </w:rPr>
        <w:t>WHO Secr</w:t>
      </w:r>
      <w:r>
        <w:rPr>
          <w:rFonts w:asciiTheme="minorHAnsi" w:hAnsiTheme="minorHAnsi"/>
          <w:szCs w:val="22"/>
        </w:rPr>
        <w:t>etariat;</w:t>
      </w:r>
      <w:r w:rsidRPr="00C72CCA">
        <w:rPr>
          <w:rFonts w:asciiTheme="minorHAnsi" w:hAnsiTheme="minorHAnsi"/>
          <w:szCs w:val="22"/>
        </w:rPr>
        <w:t xml:space="preserve"> Andersson M, de Benoist B, and Zupan J. Prevention and control of iodine deficiency in pregnant and lactating women and in children less than 2-years-old: conclusions and recommendations of the Technical Consultation. </w:t>
      </w:r>
      <w:r w:rsidRPr="00C72CCA">
        <w:rPr>
          <w:rFonts w:asciiTheme="minorHAnsi" w:hAnsiTheme="minorHAnsi"/>
          <w:i/>
          <w:szCs w:val="22"/>
        </w:rPr>
        <w:t>Public Health Nutrition</w:t>
      </w:r>
      <w:r w:rsidRPr="00C72CCA">
        <w:rPr>
          <w:rFonts w:asciiTheme="minorHAnsi" w:hAnsiTheme="minorHAnsi"/>
          <w:szCs w:val="22"/>
        </w:rPr>
        <w:t xml:space="preserve"> 2007;20:1606-1611.</w:t>
      </w:r>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noProof/>
          <w:szCs w:val="22"/>
        </w:rPr>
        <w:t>Zhou SJ, et al. Effect of iodine supplementation in pregnancy on child development and other clinical outcomes: a systematic review of randomized controlled trials</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Am J Clin Nutr</w:t>
      </w:r>
      <w:r w:rsidRPr="00C72CCA">
        <w:rPr>
          <w:rFonts w:asciiTheme="minorHAnsi" w:hAnsiTheme="minorHAnsi"/>
          <w:noProof/>
          <w:szCs w:val="22"/>
        </w:rPr>
        <w:t xml:space="preserve"> 2013; 98:1241-54.</w:t>
      </w:r>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noProof/>
          <w:szCs w:val="22"/>
        </w:rPr>
        <w:t>Zimmermann M, et al. Thyroid ultrasound compared with World Health Organization 1960 and 1994 palpation criteria for determination of goiter prevalence in regions of mild and severe iodine deficiency</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Eur J Endocrinol</w:t>
      </w:r>
      <w:r w:rsidRPr="00C72CCA">
        <w:rPr>
          <w:rFonts w:asciiTheme="minorHAnsi" w:hAnsiTheme="minorHAnsi"/>
          <w:noProof/>
          <w:szCs w:val="22"/>
        </w:rPr>
        <w:t xml:space="preserve"> 2000; 143:727-31.</w:t>
      </w:r>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noProof/>
          <w:szCs w:val="22"/>
        </w:rPr>
        <w:t>Zimmermann MB, et al. High thyroid volume in children with excess dietary iodine intakes</w:t>
      </w:r>
      <w:r w:rsidRPr="00C72CCA">
        <w:rPr>
          <w:rFonts w:asciiTheme="minorHAnsi" w:hAnsiTheme="minorHAnsi"/>
          <w:i/>
          <w:noProof/>
          <w:szCs w:val="22"/>
        </w:rPr>
        <w:t>.</w:t>
      </w:r>
      <w:r w:rsidRPr="00C72CCA">
        <w:rPr>
          <w:rFonts w:asciiTheme="minorHAnsi" w:hAnsiTheme="minorHAnsi"/>
          <w:noProof/>
          <w:szCs w:val="22"/>
        </w:rPr>
        <w:t xml:space="preserve"> </w:t>
      </w:r>
      <w:r w:rsidRPr="00C72CCA">
        <w:rPr>
          <w:rFonts w:asciiTheme="minorHAnsi" w:hAnsiTheme="minorHAnsi"/>
          <w:i/>
          <w:noProof/>
          <w:szCs w:val="22"/>
        </w:rPr>
        <w:t>Am J Clin Nutr</w:t>
      </w:r>
      <w:r w:rsidRPr="00C72CCA">
        <w:rPr>
          <w:rFonts w:asciiTheme="minorHAnsi" w:hAnsiTheme="minorHAnsi"/>
          <w:noProof/>
          <w:szCs w:val="22"/>
        </w:rPr>
        <w:t xml:space="preserve"> 2005; 81:840-4.</w:t>
      </w:r>
    </w:p>
    <w:p w:rsidR="00EA6F40" w:rsidRPr="00C72CCA" w:rsidRDefault="00EA6F40" w:rsidP="00EA6F40">
      <w:pPr>
        <w:pStyle w:val="EndNoteBibliography"/>
        <w:spacing w:after="0"/>
        <w:ind w:left="720" w:hanging="720"/>
        <w:rPr>
          <w:rFonts w:asciiTheme="minorHAnsi" w:hAnsiTheme="minorHAnsi"/>
          <w:noProof/>
          <w:szCs w:val="22"/>
        </w:rPr>
      </w:pPr>
      <w:bookmarkStart w:id="284" w:name="_ENREF_4"/>
      <w:r w:rsidRPr="00C72CCA">
        <w:rPr>
          <w:rFonts w:asciiTheme="minorHAnsi" w:hAnsiTheme="minorHAnsi"/>
          <w:noProof/>
          <w:szCs w:val="22"/>
        </w:rPr>
        <w:t xml:space="preserve">Zimmermann MB, et al. Iodine-deficiency disorders. </w:t>
      </w:r>
      <w:r w:rsidRPr="00C72CCA">
        <w:rPr>
          <w:rFonts w:asciiTheme="minorHAnsi" w:hAnsiTheme="minorHAnsi"/>
          <w:i/>
          <w:noProof/>
          <w:szCs w:val="22"/>
        </w:rPr>
        <w:t>Lancet</w:t>
      </w:r>
      <w:r w:rsidRPr="00C72CCA">
        <w:rPr>
          <w:rFonts w:asciiTheme="minorHAnsi" w:hAnsiTheme="minorHAnsi"/>
          <w:noProof/>
          <w:szCs w:val="22"/>
        </w:rPr>
        <w:t xml:space="preserve"> 2008;372:1251-1262.</w:t>
      </w:r>
      <w:bookmarkEnd w:id="284"/>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noProof/>
          <w:szCs w:val="22"/>
        </w:rPr>
        <w:t xml:space="preserve">Zimmermann MB. Iodine Deficiency. </w:t>
      </w:r>
      <w:r w:rsidRPr="00C72CCA">
        <w:rPr>
          <w:rFonts w:asciiTheme="minorHAnsi" w:hAnsiTheme="minorHAnsi"/>
          <w:i/>
          <w:noProof/>
          <w:szCs w:val="22"/>
        </w:rPr>
        <w:t>Endocrine Reviews</w:t>
      </w:r>
      <w:r w:rsidRPr="00C72CCA">
        <w:rPr>
          <w:rFonts w:asciiTheme="minorHAnsi" w:hAnsiTheme="minorHAnsi"/>
          <w:noProof/>
          <w:szCs w:val="22"/>
        </w:rPr>
        <w:t xml:space="preserve"> 2009;30:376-408.</w:t>
      </w:r>
    </w:p>
    <w:p w:rsidR="00EA6F40" w:rsidRPr="00C72CCA" w:rsidRDefault="00EA6F40" w:rsidP="00EA6F40">
      <w:pPr>
        <w:pStyle w:val="EndNoteBibliography"/>
        <w:spacing w:after="0"/>
        <w:ind w:left="720" w:hanging="720"/>
        <w:rPr>
          <w:rFonts w:asciiTheme="minorHAnsi" w:hAnsiTheme="minorHAnsi"/>
          <w:noProof/>
          <w:szCs w:val="22"/>
        </w:rPr>
      </w:pPr>
      <w:r w:rsidRPr="00C72CCA">
        <w:rPr>
          <w:rFonts w:asciiTheme="minorHAnsi" w:hAnsiTheme="minorHAnsi"/>
          <w:noProof/>
          <w:szCs w:val="22"/>
        </w:rPr>
        <w:t xml:space="preserve">Zimmermann MB, et al. Thyroglobulin is a sensitive measure of both deficient and excess iodine intakes in children and indicates no adverse effects on thyroid function in the UIC range of 100-299 mug/L: a UNICEF/ICCIDD study group report. </w:t>
      </w:r>
      <w:r w:rsidRPr="00C72CCA">
        <w:rPr>
          <w:rFonts w:asciiTheme="minorHAnsi" w:hAnsiTheme="minorHAnsi"/>
          <w:i/>
          <w:noProof/>
          <w:szCs w:val="22"/>
        </w:rPr>
        <w:t xml:space="preserve">J Clin Endocrinol Metab </w:t>
      </w:r>
      <w:r w:rsidRPr="00C72CCA">
        <w:rPr>
          <w:rFonts w:asciiTheme="minorHAnsi" w:hAnsiTheme="minorHAnsi"/>
          <w:noProof/>
          <w:szCs w:val="22"/>
        </w:rPr>
        <w:t>2013;98</w:t>
      </w:r>
      <w:r w:rsidRPr="00C72CCA">
        <w:rPr>
          <w:rFonts w:asciiTheme="minorHAnsi" w:hAnsiTheme="minorHAnsi"/>
          <w:i/>
          <w:noProof/>
          <w:szCs w:val="22"/>
        </w:rPr>
        <w:t>:1271-80</w:t>
      </w:r>
      <w:r w:rsidRPr="00C72CCA">
        <w:rPr>
          <w:rFonts w:asciiTheme="minorHAnsi" w:hAnsiTheme="minorHAnsi"/>
          <w:noProof/>
          <w:szCs w:val="22"/>
        </w:rPr>
        <w:t>.</w:t>
      </w:r>
    </w:p>
    <w:sectPr w:rsidR="00EA6F40" w:rsidRPr="00C72CCA" w:rsidSect="00DF5B59">
      <w:pgSz w:w="11901" w:h="16840"/>
      <w:pgMar w:top="1440" w:right="1797" w:bottom="1440"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203" w:rsidRDefault="00140203">
      <w:pPr>
        <w:spacing w:after="0"/>
      </w:pPr>
      <w:r>
        <w:separator/>
      </w:r>
    </w:p>
  </w:endnote>
  <w:endnote w:type="continuationSeparator" w:id="0">
    <w:p w:rsidR="00140203" w:rsidRDefault="001402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empos Text Regular">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TNEJMQuadraat">
    <w:altName w:val="MS Mincho"/>
    <w:panose1 w:val="00000000000000000000"/>
    <w:charset w:val="80"/>
    <w:family w:val="auto"/>
    <w:notTrueType/>
    <w:pitch w:val="default"/>
    <w:sig w:usb0="00000000" w:usb1="08070000" w:usb2="00000010" w:usb3="00000000" w:csb0="00020000" w:csb1="00000000"/>
  </w:font>
  <w:font w:name="AdvPSA88A">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Roman">
    <w:altName w:val="Times"/>
    <w:panose1 w:val="00000000000000000000"/>
    <w:charset w:val="4D"/>
    <w:family w:val="roman"/>
    <w:notTrueType/>
    <w:pitch w:val="default"/>
    <w:sig w:usb0="00000003" w:usb1="00000000" w:usb2="00000000" w:usb3="00000000" w:csb0="00000001" w:csb1="00000000"/>
  </w:font>
  <w:font w:name="AdvOT30a32c65">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D1" w:rsidRDefault="005317D1" w:rsidP="00EA6F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17D1" w:rsidRDefault="005317D1" w:rsidP="00EA6F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D1" w:rsidRDefault="005317D1" w:rsidP="00EA6F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4C07">
      <w:rPr>
        <w:rStyle w:val="PageNumber"/>
        <w:noProof/>
      </w:rPr>
      <w:t>1</w:t>
    </w:r>
    <w:r>
      <w:rPr>
        <w:rStyle w:val="PageNumber"/>
      </w:rPr>
      <w:fldChar w:fldCharType="end"/>
    </w:r>
  </w:p>
  <w:p w:rsidR="005317D1" w:rsidRDefault="005317D1" w:rsidP="00EA6F4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243" w:rsidRDefault="000D2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203" w:rsidRDefault="00140203">
      <w:pPr>
        <w:spacing w:after="0"/>
      </w:pPr>
      <w:r>
        <w:separator/>
      </w:r>
    </w:p>
  </w:footnote>
  <w:footnote w:type="continuationSeparator" w:id="0">
    <w:p w:rsidR="00140203" w:rsidRDefault="0014020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243" w:rsidRDefault="000D22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230545"/>
      <w:docPartObj>
        <w:docPartGallery w:val="Watermarks"/>
        <w:docPartUnique/>
      </w:docPartObj>
    </w:sdtPr>
    <w:sdtEndPr/>
    <w:sdtContent>
      <w:p w:rsidR="000D2243" w:rsidRDefault="00484C0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243" w:rsidRDefault="000D22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11DB"/>
    <w:multiLevelType w:val="multilevel"/>
    <w:tmpl w:val="86A60B56"/>
    <w:lvl w:ilvl="0">
      <w:start w:val="5"/>
      <w:numFmt w:val="decimal"/>
      <w:lvlText w:val="%1"/>
      <w:lvlJc w:val="left"/>
      <w:pPr>
        <w:ind w:left="660" w:hanging="660"/>
      </w:pPr>
      <w:rPr>
        <w:rFonts w:hint="default"/>
      </w:rPr>
    </w:lvl>
    <w:lvl w:ilvl="1">
      <w:start w:val="3"/>
      <w:numFmt w:val="decimal"/>
      <w:lvlText w:val="%1.%2"/>
      <w:lvlJc w:val="left"/>
      <w:pPr>
        <w:ind w:left="780" w:hanging="660"/>
      </w:pPr>
      <w:rPr>
        <w:rFonts w:hint="default"/>
      </w:rPr>
    </w:lvl>
    <w:lvl w:ilvl="2">
      <w:start w:val="4"/>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
    <w:nsid w:val="022909CC"/>
    <w:multiLevelType w:val="hybridMultilevel"/>
    <w:tmpl w:val="0DE0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66CC6"/>
    <w:multiLevelType w:val="multilevel"/>
    <w:tmpl w:val="62862D20"/>
    <w:lvl w:ilvl="0">
      <w:start w:val="5"/>
      <w:numFmt w:val="decimal"/>
      <w:lvlText w:val="%1"/>
      <w:lvlJc w:val="left"/>
      <w:pPr>
        <w:ind w:left="615" w:hanging="615"/>
      </w:pPr>
      <w:rPr>
        <w:rFonts w:hint="default"/>
      </w:rPr>
    </w:lvl>
    <w:lvl w:ilvl="1">
      <w:start w:val="3"/>
      <w:numFmt w:val="decimal"/>
      <w:lvlText w:val="%1.%2"/>
      <w:lvlJc w:val="left"/>
      <w:pPr>
        <w:ind w:left="615" w:hanging="61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7422F68"/>
    <w:multiLevelType w:val="hybridMultilevel"/>
    <w:tmpl w:val="EF4A9B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5408B"/>
    <w:multiLevelType w:val="multilevel"/>
    <w:tmpl w:val="8D4047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B524E1C"/>
    <w:multiLevelType w:val="multilevel"/>
    <w:tmpl w:val="51743E68"/>
    <w:lvl w:ilvl="0">
      <w:start w:val="2"/>
      <w:numFmt w:val="decimal"/>
      <w:lvlText w:val="%1."/>
      <w:lvlJc w:val="left"/>
      <w:pPr>
        <w:ind w:left="360" w:hanging="360"/>
      </w:pPr>
      <w:rPr>
        <w:rFonts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5BA19AC"/>
    <w:multiLevelType w:val="multilevel"/>
    <w:tmpl w:val="D8585E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B715B51"/>
    <w:multiLevelType w:val="multilevel"/>
    <w:tmpl w:val="EB387B66"/>
    <w:lvl w:ilvl="0">
      <w:start w:val="1"/>
      <w:numFmt w:val="decimal"/>
      <w:lvlText w:val="%1"/>
      <w:lvlJc w:val="left"/>
      <w:pPr>
        <w:ind w:left="432" w:hanging="432"/>
      </w:pPr>
      <w:rPr>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31263493"/>
    <w:multiLevelType w:val="hybridMultilevel"/>
    <w:tmpl w:val="14E2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571B35"/>
    <w:multiLevelType w:val="hybridMultilevel"/>
    <w:tmpl w:val="78B07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5083E5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6FB6E6E"/>
    <w:multiLevelType w:val="hybridMultilevel"/>
    <w:tmpl w:val="62C21E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8A29EE"/>
    <w:multiLevelType w:val="multilevel"/>
    <w:tmpl w:val="B942C4B4"/>
    <w:lvl w:ilvl="0">
      <w:start w:val="1"/>
      <w:numFmt w:val="decimal"/>
      <w:pStyle w:val="ThesisV1"/>
      <w:lvlText w:val="%1."/>
      <w:lvlJc w:val="left"/>
      <w:pPr>
        <w:ind w:left="360" w:hanging="360"/>
      </w:pPr>
      <w:rPr>
        <w:rFonts w:hint="default"/>
      </w:rPr>
    </w:lvl>
    <w:lvl w:ilvl="1">
      <w:start w:val="1"/>
      <w:numFmt w:val="decimal"/>
      <w:lvlText w:val="%1.%2."/>
      <w:lvlJc w:val="left"/>
      <w:pPr>
        <w:tabs>
          <w:tab w:val="num" w:pos="510"/>
        </w:tabs>
        <w:ind w:left="510" w:hanging="45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A767A1E"/>
    <w:multiLevelType w:val="hybridMultilevel"/>
    <w:tmpl w:val="57303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D6A3ADD"/>
    <w:multiLevelType w:val="hybridMultilevel"/>
    <w:tmpl w:val="AF16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35550E"/>
    <w:multiLevelType w:val="hybridMultilevel"/>
    <w:tmpl w:val="6C545D56"/>
    <w:lvl w:ilvl="0" w:tplc="04090001">
      <w:start w:val="1"/>
      <w:numFmt w:val="bullet"/>
      <w:lvlText w:val=""/>
      <w:lvlJc w:val="left"/>
      <w:pPr>
        <w:ind w:left="6" w:hanging="360"/>
      </w:pPr>
      <w:rPr>
        <w:rFonts w:ascii="Symbol" w:hAnsi="Symbol"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16">
    <w:nsid w:val="489F3E56"/>
    <w:multiLevelType w:val="multilevel"/>
    <w:tmpl w:val="6E0C4218"/>
    <w:lvl w:ilvl="0">
      <w:start w:val="6"/>
      <w:numFmt w:val="decimal"/>
      <w:lvlText w:val="%1"/>
      <w:lvlJc w:val="left"/>
      <w:pPr>
        <w:ind w:left="540" w:hanging="540"/>
      </w:pPr>
      <w:rPr>
        <w:rFonts w:hint="default"/>
      </w:rPr>
    </w:lvl>
    <w:lvl w:ilvl="1">
      <w:start w:val="3"/>
      <w:numFmt w:val="decimal"/>
      <w:lvlText w:val="%1.%2"/>
      <w:lvlJc w:val="left"/>
      <w:pPr>
        <w:ind w:left="660" w:hanging="54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7">
    <w:nsid w:val="48CA43B4"/>
    <w:multiLevelType w:val="hybridMultilevel"/>
    <w:tmpl w:val="4978D4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D40BDC"/>
    <w:multiLevelType w:val="hybridMultilevel"/>
    <w:tmpl w:val="61B867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F22217"/>
    <w:multiLevelType w:val="hybridMultilevel"/>
    <w:tmpl w:val="FEEEB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41E4583"/>
    <w:multiLevelType w:val="hybridMultilevel"/>
    <w:tmpl w:val="F99EDD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54D328B"/>
    <w:multiLevelType w:val="hybridMultilevel"/>
    <w:tmpl w:val="8DE05A9E"/>
    <w:lvl w:ilvl="0" w:tplc="0409000F">
      <w:start w:val="1"/>
      <w:numFmt w:val="decimal"/>
      <w:lvlText w:val="%1."/>
      <w:lvlJc w:val="left"/>
      <w:pPr>
        <w:ind w:left="1068"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A955427"/>
    <w:multiLevelType w:val="hybridMultilevel"/>
    <w:tmpl w:val="496648A0"/>
    <w:lvl w:ilvl="0" w:tplc="0409000F">
      <w:start w:val="1"/>
      <w:numFmt w:val="decimal"/>
      <w:lvlText w:val="%1."/>
      <w:lvlJc w:val="left"/>
      <w:pPr>
        <w:ind w:left="1068"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C4639F2"/>
    <w:multiLevelType w:val="hybridMultilevel"/>
    <w:tmpl w:val="69E0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BA4841"/>
    <w:multiLevelType w:val="hybridMultilevel"/>
    <w:tmpl w:val="5B52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DC691D"/>
    <w:multiLevelType w:val="hybridMultilevel"/>
    <w:tmpl w:val="8C6C98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781F79"/>
    <w:multiLevelType w:val="hybridMultilevel"/>
    <w:tmpl w:val="496648A0"/>
    <w:lvl w:ilvl="0" w:tplc="0409000F">
      <w:start w:val="1"/>
      <w:numFmt w:val="decimal"/>
      <w:lvlText w:val="%1."/>
      <w:lvlJc w:val="left"/>
      <w:pPr>
        <w:ind w:left="1068"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72303BA"/>
    <w:multiLevelType w:val="multilevel"/>
    <w:tmpl w:val="91A60870"/>
    <w:lvl w:ilvl="0">
      <w:start w:val="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74C1BD9"/>
    <w:multiLevelType w:val="hybridMultilevel"/>
    <w:tmpl w:val="3110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B95623"/>
    <w:multiLevelType w:val="multilevel"/>
    <w:tmpl w:val="447466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6C1066C5"/>
    <w:multiLevelType w:val="multilevel"/>
    <w:tmpl w:val="D0643782"/>
    <w:lvl w:ilvl="0">
      <w:start w:val="1"/>
      <w:numFmt w:val="decimal"/>
      <w:lvlText w:val="%1."/>
      <w:lvlJc w:val="left"/>
      <w:pPr>
        <w:ind w:left="720" w:hanging="360"/>
      </w:pPr>
    </w:lvl>
    <w:lvl w:ilvl="1">
      <w:start w:val="3"/>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6D133C35"/>
    <w:multiLevelType w:val="hybridMultilevel"/>
    <w:tmpl w:val="1EA05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DB60BF4"/>
    <w:multiLevelType w:val="multilevel"/>
    <w:tmpl w:val="EC9468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2"/>
  </w:num>
  <w:num w:numId="2">
    <w:abstractNumId w:val="10"/>
  </w:num>
  <w:num w:numId="3">
    <w:abstractNumId w:val="5"/>
  </w:num>
  <w:num w:numId="4">
    <w:abstractNumId w:val="6"/>
  </w:num>
  <w:num w:numId="5">
    <w:abstractNumId w:val="21"/>
  </w:num>
  <w:num w:numId="6">
    <w:abstractNumId w:val="22"/>
  </w:num>
  <w:num w:numId="7">
    <w:abstractNumId w:val="7"/>
  </w:num>
  <w:num w:numId="8">
    <w:abstractNumId w:val="18"/>
  </w:num>
  <w:num w:numId="9">
    <w:abstractNumId w:val="17"/>
  </w:num>
  <w:num w:numId="10">
    <w:abstractNumId w:val="3"/>
  </w:num>
  <w:num w:numId="11">
    <w:abstractNumId w:val="11"/>
  </w:num>
  <w:num w:numId="12">
    <w:abstractNumId w:val="25"/>
  </w:num>
  <w:num w:numId="13">
    <w:abstractNumId w:val="28"/>
  </w:num>
  <w:num w:numId="14">
    <w:abstractNumId w:val="24"/>
  </w:num>
  <w:num w:numId="15">
    <w:abstractNumId w:val="14"/>
  </w:num>
  <w:num w:numId="16">
    <w:abstractNumId w:val="8"/>
  </w:num>
  <w:num w:numId="17">
    <w:abstractNumId w:val="26"/>
  </w:num>
  <w:num w:numId="18">
    <w:abstractNumId w:val="30"/>
  </w:num>
  <w:num w:numId="19">
    <w:abstractNumId w:val="23"/>
  </w:num>
  <w:num w:numId="20">
    <w:abstractNumId w:val="1"/>
  </w:num>
  <w:num w:numId="21">
    <w:abstractNumId w:val="9"/>
  </w:num>
  <w:num w:numId="22">
    <w:abstractNumId w:val="16"/>
  </w:num>
  <w:num w:numId="23">
    <w:abstractNumId w:val="31"/>
  </w:num>
  <w:num w:numId="24">
    <w:abstractNumId w:val="19"/>
  </w:num>
  <w:num w:numId="25">
    <w:abstractNumId w:val="13"/>
  </w:num>
  <w:num w:numId="26">
    <w:abstractNumId w:val="15"/>
  </w:num>
  <w:num w:numId="27">
    <w:abstractNumId w:val="7"/>
  </w:num>
  <w:num w:numId="28">
    <w:abstractNumId w:val="7"/>
  </w:num>
  <w:num w:numId="29">
    <w:abstractNumId w:val="27"/>
  </w:num>
  <w:num w:numId="30">
    <w:abstractNumId w:val="0"/>
  </w:num>
  <w:num w:numId="31">
    <w:abstractNumId w:val="2"/>
  </w:num>
  <w:num w:numId="32">
    <w:abstractNumId w:val="29"/>
  </w:num>
  <w:num w:numId="33">
    <w:abstractNumId w:val="4"/>
  </w:num>
  <w:num w:numId="34">
    <w:abstractNumId w:val="32"/>
  </w:num>
  <w:num w:numId="35">
    <w:abstractNumId w:val="32"/>
  </w:num>
  <w:num w:numId="36">
    <w:abstractNumId w:val="32"/>
  </w:num>
  <w:num w:numId="37">
    <w:abstractNumId w:val="32"/>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F40"/>
    <w:rsid w:val="0001171F"/>
    <w:rsid w:val="000117BF"/>
    <w:rsid w:val="00032CA2"/>
    <w:rsid w:val="000858B4"/>
    <w:rsid w:val="000A080C"/>
    <w:rsid w:val="000A4E22"/>
    <w:rsid w:val="000D2243"/>
    <w:rsid w:val="0010683D"/>
    <w:rsid w:val="00116B97"/>
    <w:rsid w:val="00130B29"/>
    <w:rsid w:val="0013546C"/>
    <w:rsid w:val="00140203"/>
    <w:rsid w:val="00155B6F"/>
    <w:rsid w:val="00207751"/>
    <w:rsid w:val="00255576"/>
    <w:rsid w:val="00263F77"/>
    <w:rsid w:val="002652A1"/>
    <w:rsid w:val="002C66F1"/>
    <w:rsid w:val="002F7984"/>
    <w:rsid w:val="00304C96"/>
    <w:rsid w:val="003265C5"/>
    <w:rsid w:val="00347E57"/>
    <w:rsid w:val="00362D0E"/>
    <w:rsid w:val="00383C19"/>
    <w:rsid w:val="00386B00"/>
    <w:rsid w:val="003E718C"/>
    <w:rsid w:val="0046358B"/>
    <w:rsid w:val="00484C07"/>
    <w:rsid w:val="004A63FB"/>
    <w:rsid w:val="005317D1"/>
    <w:rsid w:val="00547656"/>
    <w:rsid w:val="0057015E"/>
    <w:rsid w:val="0058151D"/>
    <w:rsid w:val="005A4B69"/>
    <w:rsid w:val="005D1761"/>
    <w:rsid w:val="006473C7"/>
    <w:rsid w:val="006C51B6"/>
    <w:rsid w:val="006C62F5"/>
    <w:rsid w:val="00725D4D"/>
    <w:rsid w:val="00727A05"/>
    <w:rsid w:val="007436D3"/>
    <w:rsid w:val="0076029F"/>
    <w:rsid w:val="007707E8"/>
    <w:rsid w:val="00773D8C"/>
    <w:rsid w:val="007F0430"/>
    <w:rsid w:val="007F4E20"/>
    <w:rsid w:val="0081554A"/>
    <w:rsid w:val="0085491E"/>
    <w:rsid w:val="0087574C"/>
    <w:rsid w:val="008A1B34"/>
    <w:rsid w:val="008D087E"/>
    <w:rsid w:val="008D4787"/>
    <w:rsid w:val="008E2EA1"/>
    <w:rsid w:val="0095338B"/>
    <w:rsid w:val="00955FE4"/>
    <w:rsid w:val="00974F73"/>
    <w:rsid w:val="00A35ED1"/>
    <w:rsid w:val="00A629F1"/>
    <w:rsid w:val="00AC2E2C"/>
    <w:rsid w:val="00AC73C6"/>
    <w:rsid w:val="00AE0695"/>
    <w:rsid w:val="00AE509A"/>
    <w:rsid w:val="00B14A42"/>
    <w:rsid w:val="00B31F0B"/>
    <w:rsid w:val="00B64E27"/>
    <w:rsid w:val="00B877B0"/>
    <w:rsid w:val="00BA5093"/>
    <w:rsid w:val="00BE31E4"/>
    <w:rsid w:val="00BE3943"/>
    <w:rsid w:val="00C07013"/>
    <w:rsid w:val="00C779C2"/>
    <w:rsid w:val="00CA2AA1"/>
    <w:rsid w:val="00CA4131"/>
    <w:rsid w:val="00CD6751"/>
    <w:rsid w:val="00D61633"/>
    <w:rsid w:val="00D86322"/>
    <w:rsid w:val="00DD2B3F"/>
    <w:rsid w:val="00DF4575"/>
    <w:rsid w:val="00DF5B59"/>
    <w:rsid w:val="00E41FB3"/>
    <w:rsid w:val="00E912F8"/>
    <w:rsid w:val="00EA6F40"/>
    <w:rsid w:val="00ED745C"/>
    <w:rsid w:val="00F004B6"/>
    <w:rsid w:val="00F26CF0"/>
    <w:rsid w:val="00F36001"/>
    <w:rsid w:val="00F57EE1"/>
    <w:rsid w:val="00F712BF"/>
    <w:rsid w:val="00FA65FD"/>
    <w:rsid w:val="00FB02D6"/>
    <w:rsid w:val="00FB100D"/>
    <w:rsid w:val="00FF15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5A5"/>
    <w:pPr>
      <w:spacing w:before="120" w:after="120" w:line="240" w:lineRule="auto"/>
    </w:pPr>
    <w:rPr>
      <w:rFonts w:asciiTheme="minorHAnsi" w:eastAsiaTheme="minorEastAsia" w:hAnsiTheme="minorHAnsi"/>
      <w:sz w:val="22"/>
      <w:szCs w:val="24"/>
      <w:lang w:val="en-US"/>
    </w:rPr>
  </w:style>
  <w:style w:type="paragraph" w:styleId="Heading1">
    <w:name w:val="heading 1"/>
    <w:basedOn w:val="Normal"/>
    <w:next w:val="Normal"/>
    <w:link w:val="Heading1Char"/>
    <w:autoRedefine/>
    <w:uiPriority w:val="9"/>
    <w:qFormat/>
    <w:rsid w:val="000A4E22"/>
    <w:pPr>
      <w:keepNext/>
      <w:keepLines/>
      <w:numPr>
        <w:numId w:val="34"/>
      </w:numPr>
      <w:pBdr>
        <w:bottom w:val="single" w:sz="4" w:space="1" w:color="auto"/>
      </w:pBdr>
      <w:outlineLvl w:val="0"/>
    </w:pPr>
    <w:rPr>
      <w:rFonts w:eastAsiaTheme="majorEastAsia" w:cstheme="majorBidi"/>
      <w:b/>
      <w:bCs/>
      <w:color w:val="000000" w:themeColor="text1"/>
      <w:sz w:val="36"/>
      <w:szCs w:val="32"/>
    </w:rPr>
  </w:style>
  <w:style w:type="paragraph" w:styleId="Heading2">
    <w:name w:val="heading 2"/>
    <w:basedOn w:val="Heading1"/>
    <w:next w:val="Normal"/>
    <w:link w:val="Heading2Char"/>
    <w:autoRedefine/>
    <w:uiPriority w:val="9"/>
    <w:unhideWhenUsed/>
    <w:qFormat/>
    <w:rsid w:val="00725D4D"/>
    <w:pPr>
      <w:numPr>
        <w:ilvl w:val="1"/>
      </w:numPr>
      <w:spacing w:before="240" w:after="240"/>
      <w:outlineLvl w:val="1"/>
    </w:pPr>
    <w:rPr>
      <w:b w:val="0"/>
      <w:bCs w:val="0"/>
      <w:sz w:val="32"/>
      <w:szCs w:val="26"/>
    </w:rPr>
  </w:style>
  <w:style w:type="paragraph" w:styleId="Heading3">
    <w:name w:val="heading 3"/>
    <w:basedOn w:val="Normal"/>
    <w:next w:val="Normal"/>
    <w:link w:val="Heading3Char"/>
    <w:autoRedefine/>
    <w:uiPriority w:val="9"/>
    <w:unhideWhenUsed/>
    <w:qFormat/>
    <w:rsid w:val="00CA2AA1"/>
    <w:pPr>
      <w:keepNext/>
      <w:keepLines/>
      <w:numPr>
        <w:ilvl w:val="2"/>
        <w:numId w:val="34"/>
      </w:numPr>
      <w:spacing w:before="240" w:after="240"/>
      <w:outlineLvl w:val="2"/>
    </w:pPr>
    <w:rPr>
      <w:rFonts w:eastAsiaTheme="majorEastAsia" w:cstheme="majorBidi"/>
      <w:bCs/>
      <w:i/>
      <w:sz w:val="28"/>
      <w:lang w:val="en-GB"/>
    </w:rPr>
  </w:style>
  <w:style w:type="paragraph" w:styleId="Heading4">
    <w:name w:val="heading 4"/>
    <w:basedOn w:val="Heading3"/>
    <w:next w:val="Normal"/>
    <w:link w:val="Heading4Char"/>
    <w:autoRedefine/>
    <w:uiPriority w:val="9"/>
    <w:qFormat/>
    <w:rsid w:val="008D087E"/>
    <w:pPr>
      <w:numPr>
        <w:ilvl w:val="3"/>
      </w:numPr>
      <w:outlineLvl w:val="3"/>
    </w:pPr>
    <w:rPr>
      <w:rFonts w:eastAsiaTheme="minorHAnsi"/>
      <w:sz w:val="24"/>
      <w:lang w:eastAsia="de-DE"/>
      <w14:scene3d>
        <w14:camera w14:prst="orthographicFront"/>
        <w14:lightRig w14:rig="threePt" w14:dir="t">
          <w14:rot w14:lat="0" w14:lon="0" w14:rev="0"/>
        </w14:lightRig>
      </w14:scene3d>
    </w:rPr>
  </w:style>
  <w:style w:type="paragraph" w:styleId="Heading5">
    <w:name w:val="heading 5"/>
    <w:basedOn w:val="Normal"/>
    <w:next w:val="Normal"/>
    <w:link w:val="Heading5Char"/>
    <w:uiPriority w:val="9"/>
    <w:unhideWhenUsed/>
    <w:qFormat/>
    <w:rsid w:val="00EA6F40"/>
    <w:pPr>
      <w:keepNext/>
      <w:keepLines/>
      <w:numPr>
        <w:ilvl w:val="4"/>
        <w:numId w:val="34"/>
      </w:numPr>
      <w:spacing w:before="240" w:after="240"/>
      <w:outlineLvl w:val="4"/>
    </w:pPr>
    <w:rPr>
      <w:rFonts w:eastAsiaTheme="majorEastAsia" w:cstheme="majorBidi"/>
      <w:sz w:val="24"/>
      <w:u w:val="single"/>
    </w:rPr>
  </w:style>
  <w:style w:type="paragraph" w:styleId="Heading6">
    <w:name w:val="heading 6"/>
    <w:basedOn w:val="Normal"/>
    <w:next w:val="Normal"/>
    <w:link w:val="Heading6Char"/>
    <w:uiPriority w:val="9"/>
    <w:unhideWhenUsed/>
    <w:qFormat/>
    <w:rsid w:val="00EA6F40"/>
    <w:pPr>
      <w:keepNext/>
      <w:keepLines/>
      <w:numPr>
        <w:ilvl w:val="5"/>
        <w:numId w:val="34"/>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EA6F40"/>
    <w:pPr>
      <w:keepNext/>
      <w:keepLines/>
      <w:numPr>
        <w:ilvl w:val="6"/>
        <w:numId w:val="34"/>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EA6F40"/>
    <w:pPr>
      <w:keepNext/>
      <w:keepLines/>
      <w:numPr>
        <w:ilvl w:val="7"/>
        <w:numId w:val="34"/>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A6F40"/>
    <w:pPr>
      <w:keepNext/>
      <w:keepLines/>
      <w:numPr>
        <w:ilvl w:val="8"/>
        <w:numId w:val="34"/>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E22"/>
    <w:rPr>
      <w:rFonts w:asciiTheme="minorHAnsi" w:eastAsiaTheme="majorEastAsia" w:hAnsiTheme="minorHAnsi" w:cstheme="majorBidi"/>
      <w:b/>
      <w:bCs/>
      <w:color w:val="000000" w:themeColor="text1"/>
      <w:sz w:val="36"/>
      <w:szCs w:val="32"/>
      <w:lang w:val="en-US"/>
    </w:rPr>
  </w:style>
  <w:style w:type="character" w:customStyle="1" w:styleId="Heading2Char">
    <w:name w:val="Heading 2 Char"/>
    <w:basedOn w:val="DefaultParagraphFont"/>
    <w:link w:val="Heading2"/>
    <w:uiPriority w:val="9"/>
    <w:rsid w:val="00725D4D"/>
    <w:rPr>
      <w:rFonts w:asciiTheme="minorHAnsi" w:eastAsiaTheme="majorEastAsia" w:hAnsiTheme="minorHAnsi" w:cstheme="majorBidi"/>
      <w:color w:val="000000" w:themeColor="text1"/>
      <w:sz w:val="32"/>
      <w:szCs w:val="26"/>
      <w:lang w:val="en-US"/>
    </w:rPr>
  </w:style>
  <w:style w:type="character" w:customStyle="1" w:styleId="Heading3Char">
    <w:name w:val="Heading 3 Char"/>
    <w:basedOn w:val="DefaultParagraphFont"/>
    <w:link w:val="Heading3"/>
    <w:uiPriority w:val="9"/>
    <w:rsid w:val="00CA2AA1"/>
    <w:rPr>
      <w:rFonts w:asciiTheme="minorHAnsi" w:eastAsiaTheme="majorEastAsia" w:hAnsiTheme="minorHAnsi" w:cstheme="majorBidi"/>
      <w:bCs/>
      <w:i/>
      <w:sz w:val="28"/>
      <w:szCs w:val="24"/>
      <w:lang w:val="en-GB"/>
    </w:rPr>
  </w:style>
  <w:style w:type="character" w:customStyle="1" w:styleId="Heading4Char">
    <w:name w:val="Heading 4 Char"/>
    <w:basedOn w:val="DefaultParagraphFont"/>
    <w:link w:val="Heading4"/>
    <w:uiPriority w:val="9"/>
    <w:rsid w:val="008D087E"/>
    <w:rPr>
      <w:rFonts w:asciiTheme="minorHAnsi" w:hAnsiTheme="minorHAnsi" w:cstheme="majorBidi"/>
      <w:bCs/>
      <w:i/>
      <w:szCs w:val="24"/>
      <w:lang w:val="en-GB" w:eastAsia="de-DE"/>
      <w14:scene3d>
        <w14:camera w14:prst="orthographicFront"/>
        <w14:lightRig w14:rig="threePt" w14:dir="t">
          <w14:rot w14:lat="0" w14:lon="0" w14:rev="0"/>
        </w14:lightRig>
      </w14:scene3d>
    </w:rPr>
  </w:style>
  <w:style w:type="character" w:customStyle="1" w:styleId="Heading5Char">
    <w:name w:val="Heading 5 Char"/>
    <w:basedOn w:val="DefaultParagraphFont"/>
    <w:link w:val="Heading5"/>
    <w:uiPriority w:val="9"/>
    <w:rsid w:val="00EA6F40"/>
    <w:rPr>
      <w:rFonts w:asciiTheme="minorHAnsi" w:eastAsiaTheme="majorEastAsia" w:hAnsiTheme="minorHAnsi" w:cstheme="majorBidi"/>
      <w:szCs w:val="24"/>
      <w:u w:val="single"/>
      <w:lang w:val="en-US"/>
    </w:rPr>
  </w:style>
  <w:style w:type="character" w:customStyle="1" w:styleId="Heading6Char">
    <w:name w:val="Heading 6 Char"/>
    <w:basedOn w:val="DefaultParagraphFont"/>
    <w:link w:val="Heading6"/>
    <w:uiPriority w:val="9"/>
    <w:rsid w:val="00EA6F40"/>
    <w:rPr>
      <w:rFonts w:asciiTheme="minorHAnsi" w:eastAsiaTheme="majorEastAsia" w:hAnsiTheme="minorHAnsi" w:cstheme="majorBidi"/>
      <w:i/>
      <w:iCs/>
      <w:color w:val="243F60" w:themeColor="accent1" w:themeShade="7F"/>
      <w:sz w:val="22"/>
      <w:szCs w:val="24"/>
      <w:lang w:val="en-US"/>
    </w:rPr>
  </w:style>
  <w:style w:type="character" w:customStyle="1" w:styleId="Heading7Char">
    <w:name w:val="Heading 7 Char"/>
    <w:basedOn w:val="DefaultParagraphFont"/>
    <w:link w:val="Heading7"/>
    <w:uiPriority w:val="9"/>
    <w:semiHidden/>
    <w:rsid w:val="00EA6F40"/>
    <w:rPr>
      <w:rFonts w:asciiTheme="minorHAnsi" w:eastAsiaTheme="majorEastAsia" w:hAnsiTheme="minorHAnsi" w:cstheme="majorBidi"/>
      <w:i/>
      <w:iCs/>
      <w:color w:val="404040" w:themeColor="text1" w:themeTint="BF"/>
      <w:sz w:val="22"/>
      <w:szCs w:val="24"/>
      <w:lang w:val="en-US"/>
    </w:rPr>
  </w:style>
  <w:style w:type="character" w:customStyle="1" w:styleId="Heading8Char">
    <w:name w:val="Heading 8 Char"/>
    <w:basedOn w:val="DefaultParagraphFont"/>
    <w:link w:val="Heading8"/>
    <w:uiPriority w:val="9"/>
    <w:semiHidden/>
    <w:rsid w:val="00EA6F40"/>
    <w:rPr>
      <w:rFonts w:asciiTheme="minorHAnsi" w:eastAsiaTheme="majorEastAsia" w:hAnsiTheme="min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EA6F40"/>
    <w:rPr>
      <w:rFonts w:asciiTheme="minorHAnsi" w:eastAsiaTheme="majorEastAsia" w:hAnsiTheme="minorHAnsi" w:cstheme="majorBidi"/>
      <w:i/>
      <w:iCs/>
      <w:color w:val="404040" w:themeColor="text1" w:themeTint="BF"/>
      <w:sz w:val="20"/>
      <w:szCs w:val="20"/>
      <w:lang w:val="en-US"/>
    </w:rPr>
  </w:style>
  <w:style w:type="paragraph" w:styleId="Title">
    <w:name w:val="Title"/>
    <w:basedOn w:val="Normal"/>
    <w:next w:val="Normal"/>
    <w:link w:val="TitleChar"/>
    <w:autoRedefine/>
    <w:uiPriority w:val="10"/>
    <w:rsid w:val="00955FE4"/>
    <w:pPr>
      <w:spacing w:before="1080" w:after="300"/>
      <w:contextualSpacing/>
      <w:jc w:val="center"/>
      <w:textboxTightWrap w:val="allLines"/>
    </w:pPr>
    <w:rPr>
      <w:rFonts w:eastAsiaTheme="majorEastAsia" w:cstheme="majorBidi"/>
      <w:b/>
      <w:spacing w:val="5"/>
      <w:kern w:val="28"/>
      <w:sz w:val="44"/>
      <w:szCs w:val="32"/>
    </w:rPr>
  </w:style>
  <w:style w:type="character" w:customStyle="1" w:styleId="TitleChar">
    <w:name w:val="Title Char"/>
    <w:basedOn w:val="DefaultParagraphFont"/>
    <w:link w:val="Title"/>
    <w:uiPriority w:val="10"/>
    <w:rsid w:val="00955FE4"/>
    <w:rPr>
      <w:rFonts w:asciiTheme="minorHAnsi" w:eastAsiaTheme="majorEastAsia" w:hAnsiTheme="minorHAnsi" w:cstheme="majorBidi"/>
      <w:b/>
      <w:spacing w:val="5"/>
      <w:kern w:val="28"/>
      <w:sz w:val="44"/>
      <w:szCs w:val="32"/>
      <w:lang w:val="en-US"/>
    </w:rPr>
  </w:style>
  <w:style w:type="paragraph" w:customStyle="1" w:styleId="ThesisV1">
    <w:name w:val="Thesis_V1"/>
    <w:basedOn w:val="TOCHeading"/>
    <w:link w:val="ThesisV1Char"/>
    <w:rsid w:val="00EA6F40"/>
    <w:pPr>
      <w:framePr w:hSpace="181" w:vSpace="181" w:wrap="around"/>
      <w:numPr>
        <w:numId w:val="1"/>
      </w:numPr>
      <w:ind w:left="432" w:hanging="432"/>
    </w:pPr>
    <w:rPr>
      <w:color w:val="auto"/>
      <w:spacing w:val="5"/>
      <w:kern w:val="28"/>
    </w:rPr>
  </w:style>
  <w:style w:type="character" w:customStyle="1" w:styleId="ThesisV1Char">
    <w:name w:val="Thesis_V1 Char"/>
    <w:basedOn w:val="TitleChar"/>
    <w:link w:val="ThesisV1"/>
    <w:rsid w:val="00EA6F40"/>
    <w:rPr>
      <w:rFonts w:asciiTheme="minorHAnsi" w:eastAsiaTheme="majorEastAsia" w:hAnsiTheme="minorHAnsi" w:cstheme="majorBidi"/>
      <w:b w:val="0"/>
      <w:bCs/>
      <w:spacing w:val="5"/>
      <w:kern w:val="28"/>
      <w:sz w:val="36"/>
      <w:szCs w:val="32"/>
      <w:lang w:val="en-US"/>
    </w:rPr>
  </w:style>
  <w:style w:type="paragraph" w:styleId="TOCHeading">
    <w:name w:val="TOC Heading"/>
    <w:basedOn w:val="Heading1"/>
    <w:next w:val="Normal"/>
    <w:uiPriority w:val="39"/>
    <w:semiHidden/>
    <w:unhideWhenUsed/>
    <w:qFormat/>
    <w:rsid w:val="00EA6F40"/>
    <w:pPr>
      <w:framePr w:wrap="notBeside" w:hAnchor="text"/>
      <w:outlineLvl w:val="9"/>
    </w:pPr>
  </w:style>
  <w:style w:type="numbering" w:styleId="111111">
    <w:name w:val="Outline List 2"/>
    <w:basedOn w:val="NoList"/>
    <w:uiPriority w:val="99"/>
    <w:semiHidden/>
    <w:unhideWhenUsed/>
    <w:rsid w:val="00EA6F40"/>
    <w:pPr>
      <w:numPr>
        <w:numId w:val="2"/>
      </w:numPr>
    </w:pPr>
  </w:style>
  <w:style w:type="paragraph" w:customStyle="1" w:styleId="Tabletext">
    <w:name w:val="Table_text"/>
    <w:basedOn w:val="Heading1"/>
    <w:qFormat/>
    <w:rsid w:val="005D1761"/>
    <w:pPr>
      <w:framePr w:wrap="notBeside" w:hAnchor="text"/>
    </w:pPr>
  </w:style>
  <w:style w:type="paragraph" w:customStyle="1" w:styleId="Thesisnormal">
    <w:name w:val="Thesis normal"/>
    <w:basedOn w:val="Normal"/>
    <w:next w:val="Normal"/>
    <w:qFormat/>
    <w:rsid w:val="00EA6F40"/>
    <w:pPr>
      <w:spacing w:after="240"/>
      <w:jc w:val="both"/>
    </w:pPr>
    <w:rPr>
      <w:rFonts w:ascii="Times" w:hAnsi="Times"/>
    </w:rPr>
  </w:style>
  <w:style w:type="paragraph" w:styleId="Quote">
    <w:name w:val="Quote"/>
    <w:basedOn w:val="Normal"/>
    <w:next w:val="Normal"/>
    <w:link w:val="QuoteChar"/>
    <w:uiPriority w:val="29"/>
    <w:qFormat/>
    <w:rsid w:val="00EA6F40"/>
    <w:rPr>
      <w:rFonts w:ascii="Times" w:hAnsi="Times"/>
      <w:i/>
      <w:iCs/>
      <w:color w:val="000000" w:themeColor="text1"/>
      <w:sz w:val="24"/>
    </w:rPr>
  </w:style>
  <w:style w:type="character" w:customStyle="1" w:styleId="QuoteChar">
    <w:name w:val="Quote Char"/>
    <w:basedOn w:val="DefaultParagraphFont"/>
    <w:link w:val="Quote"/>
    <w:uiPriority w:val="29"/>
    <w:rsid w:val="00EA6F40"/>
    <w:rPr>
      <w:rFonts w:ascii="Times" w:eastAsiaTheme="minorEastAsia" w:hAnsi="Times"/>
      <w:i/>
      <w:iCs/>
      <w:color w:val="000000" w:themeColor="text1"/>
      <w:szCs w:val="24"/>
      <w:lang w:val="en-US"/>
    </w:rPr>
  </w:style>
  <w:style w:type="character" w:styleId="Hyperlink">
    <w:name w:val="Hyperlink"/>
    <w:basedOn w:val="DefaultParagraphFont"/>
    <w:rsid w:val="00547656"/>
    <w:rPr>
      <w:color w:val="0070C0"/>
      <w:u w:val="single"/>
    </w:rPr>
  </w:style>
  <w:style w:type="paragraph" w:styleId="ListParagraph">
    <w:name w:val="List Paragraph"/>
    <w:aliases w:val="Table text"/>
    <w:basedOn w:val="Normal"/>
    <w:autoRedefine/>
    <w:uiPriority w:val="34"/>
    <w:qFormat/>
    <w:rsid w:val="0095338B"/>
    <w:pPr>
      <w:spacing w:before="60" w:after="60"/>
      <w:ind w:left="720"/>
      <w:contextualSpacing/>
    </w:pPr>
    <w:rPr>
      <w:sz w:val="20"/>
    </w:rPr>
  </w:style>
  <w:style w:type="paragraph" w:styleId="TOC1">
    <w:name w:val="toc 1"/>
    <w:basedOn w:val="Normal"/>
    <w:next w:val="Normal"/>
    <w:autoRedefine/>
    <w:uiPriority w:val="39"/>
    <w:rsid w:val="000858B4"/>
    <w:pPr>
      <w:tabs>
        <w:tab w:val="left" w:pos="332"/>
        <w:tab w:val="right" w:leader="dot" w:pos="8290"/>
      </w:tabs>
      <w:spacing w:before="240"/>
    </w:pPr>
    <w:rPr>
      <w:b/>
      <w:caps/>
      <w:szCs w:val="22"/>
    </w:rPr>
  </w:style>
  <w:style w:type="character" w:customStyle="1" w:styleId="title1">
    <w:name w:val="title1"/>
    <w:basedOn w:val="DefaultParagraphFont"/>
    <w:rsid w:val="00EA6F40"/>
  </w:style>
  <w:style w:type="paragraph" w:styleId="NormalWeb">
    <w:name w:val="Normal (Web)"/>
    <w:basedOn w:val="Normal"/>
    <w:uiPriority w:val="99"/>
    <w:semiHidden/>
    <w:unhideWhenUsed/>
    <w:rsid w:val="00EA6F40"/>
    <w:pPr>
      <w:spacing w:before="100" w:beforeAutospacing="1" w:after="100" w:afterAutospacing="1"/>
    </w:pPr>
    <w:rPr>
      <w:rFonts w:ascii="Times" w:hAnsi="Times"/>
      <w:sz w:val="20"/>
      <w:szCs w:val="20"/>
      <w:lang w:val="en-GB"/>
    </w:rPr>
  </w:style>
  <w:style w:type="table" w:styleId="TableGrid">
    <w:name w:val="Table Grid"/>
    <w:basedOn w:val="TableNormal"/>
    <w:uiPriority w:val="59"/>
    <w:rsid w:val="00EA6F40"/>
    <w:pPr>
      <w:spacing w:after="0" w:line="240" w:lineRule="auto"/>
    </w:pPr>
    <w:rPr>
      <w:rFonts w:asciiTheme="minorHAnsi" w:eastAsiaTheme="minorEastAsia" w:hAnsiTheme="minorHAnsi"/>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EA6F40"/>
    <w:rPr>
      <w:rFonts w:ascii="Lucida Grande" w:hAnsi="Lucida Grande" w:cs="Lucida Grande"/>
    </w:rPr>
  </w:style>
  <w:style w:type="character" w:customStyle="1" w:styleId="DocumentMapChar">
    <w:name w:val="Document Map Char"/>
    <w:basedOn w:val="DefaultParagraphFont"/>
    <w:link w:val="DocumentMap"/>
    <w:uiPriority w:val="99"/>
    <w:semiHidden/>
    <w:rsid w:val="00EA6F40"/>
    <w:rPr>
      <w:rFonts w:ascii="Lucida Grande" w:eastAsiaTheme="minorEastAsia" w:hAnsi="Lucida Grande" w:cs="Lucida Grande"/>
      <w:sz w:val="22"/>
      <w:szCs w:val="24"/>
      <w:lang w:val="en-US"/>
    </w:rPr>
  </w:style>
  <w:style w:type="paragraph" w:customStyle="1" w:styleId="Thesisnormal0">
    <w:name w:val="Thesis_normal"/>
    <w:basedOn w:val="Normal"/>
    <w:autoRedefine/>
    <w:qFormat/>
    <w:rsid w:val="0013546C"/>
    <w:rPr>
      <w:sz w:val="24"/>
    </w:rPr>
  </w:style>
  <w:style w:type="paragraph" w:customStyle="1" w:styleId="Footnotestable">
    <w:name w:val="Footnotes_table"/>
    <w:basedOn w:val="Normal"/>
    <w:qFormat/>
    <w:rsid w:val="00EA6F40"/>
    <w:pPr>
      <w:spacing w:after="0"/>
      <w:ind w:left="720"/>
    </w:pPr>
    <w:rPr>
      <w:rFonts w:eastAsia="Arial Unicode MS"/>
      <w:sz w:val="16"/>
      <w:szCs w:val="16"/>
      <w:lang w:val="en-GB"/>
    </w:rPr>
  </w:style>
  <w:style w:type="character" w:styleId="Emphasis">
    <w:name w:val="Emphasis"/>
    <w:basedOn w:val="DefaultParagraphFont"/>
    <w:uiPriority w:val="20"/>
    <w:qFormat/>
    <w:rsid w:val="00FA65FD"/>
    <w:rPr>
      <w:rFonts w:asciiTheme="minorHAnsi" w:hAnsiTheme="minorHAnsi"/>
      <w:i/>
      <w:iCs/>
      <w:sz w:val="24"/>
    </w:rPr>
  </w:style>
  <w:style w:type="paragraph" w:styleId="IntenseQuote">
    <w:name w:val="Intense Quote"/>
    <w:basedOn w:val="Normal"/>
    <w:next w:val="Normal"/>
    <w:link w:val="IntenseQuoteChar"/>
    <w:uiPriority w:val="30"/>
    <w:qFormat/>
    <w:rsid w:val="00EA6F40"/>
    <w:pPr>
      <w:pBdr>
        <w:bottom w:val="single" w:sz="4" w:space="4" w:color="4F81BD" w:themeColor="accent1"/>
      </w:pBdr>
      <w:spacing w:before="200" w:after="280"/>
      <w:ind w:left="936" w:right="936"/>
    </w:pPr>
    <w:rPr>
      <w:rFonts w:ascii="Times" w:hAnsi="Times"/>
      <w:b/>
      <w:bCs/>
      <w:i/>
      <w:iCs/>
      <w:color w:val="4F81BD" w:themeColor="accent1"/>
      <w:sz w:val="24"/>
    </w:rPr>
  </w:style>
  <w:style w:type="character" w:customStyle="1" w:styleId="IntenseQuoteChar">
    <w:name w:val="Intense Quote Char"/>
    <w:basedOn w:val="DefaultParagraphFont"/>
    <w:link w:val="IntenseQuote"/>
    <w:uiPriority w:val="30"/>
    <w:rsid w:val="00EA6F40"/>
    <w:rPr>
      <w:rFonts w:ascii="Times" w:eastAsiaTheme="minorEastAsia" w:hAnsi="Times"/>
      <w:b/>
      <w:bCs/>
      <w:i/>
      <w:iCs/>
      <w:color w:val="4F81BD" w:themeColor="accent1"/>
      <w:szCs w:val="24"/>
      <w:lang w:val="en-US"/>
    </w:rPr>
  </w:style>
  <w:style w:type="character" w:styleId="IntenseReference">
    <w:name w:val="Intense Reference"/>
    <w:basedOn w:val="DefaultParagraphFont"/>
    <w:uiPriority w:val="32"/>
    <w:qFormat/>
    <w:rsid w:val="00EA6F40"/>
    <w:rPr>
      <w:b/>
      <w:bCs/>
      <w:smallCaps/>
      <w:color w:val="C0504D" w:themeColor="accent2"/>
      <w:spacing w:val="5"/>
      <w:u w:val="single"/>
    </w:rPr>
  </w:style>
  <w:style w:type="character" w:styleId="BookTitle">
    <w:name w:val="Book Title"/>
    <w:basedOn w:val="DefaultParagraphFont"/>
    <w:uiPriority w:val="33"/>
    <w:qFormat/>
    <w:rsid w:val="00EA6F40"/>
    <w:rPr>
      <w:b/>
      <w:bCs/>
      <w:smallCaps/>
      <w:spacing w:val="5"/>
    </w:rPr>
  </w:style>
  <w:style w:type="paragraph" w:customStyle="1" w:styleId="Tabletitle">
    <w:name w:val="Table_title"/>
    <w:basedOn w:val="Heading1"/>
    <w:next w:val="Thesisnormal0"/>
    <w:qFormat/>
    <w:rsid w:val="005D1761"/>
    <w:pPr>
      <w:framePr w:wrap="notBeside" w:hAnchor="text"/>
    </w:pPr>
  </w:style>
  <w:style w:type="paragraph" w:customStyle="1" w:styleId="Referencesnormal">
    <w:name w:val="References_normal"/>
    <w:basedOn w:val="Normal"/>
    <w:qFormat/>
    <w:rsid w:val="00EA6F40"/>
    <w:rPr>
      <w:noProof/>
      <w:szCs w:val="20"/>
      <w:lang w:val="en-GB"/>
    </w:rPr>
  </w:style>
  <w:style w:type="paragraph" w:styleId="BalloonText">
    <w:name w:val="Balloon Text"/>
    <w:basedOn w:val="Normal"/>
    <w:link w:val="BalloonTextChar"/>
    <w:uiPriority w:val="99"/>
    <w:semiHidden/>
    <w:unhideWhenUsed/>
    <w:rsid w:val="00EA6F4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6F40"/>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EA6F40"/>
    <w:pPr>
      <w:tabs>
        <w:tab w:val="center" w:pos="4320"/>
        <w:tab w:val="right" w:pos="8640"/>
      </w:tabs>
      <w:spacing w:after="0"/>
    </w:pPr>
  </w:style>
  <w:style w:type="character" w:customStyle="1" w:styleId="FooterChar">
    <w:name w:val="Footer Char"/>
    <w:basedOn w:val="DefaultParagraphFont"/>
    <w:link w:val="Footer"/>
    <w:uiPriority w:val="99"/>
    <w:rsid w:val="00EA6F40"/>
    <w:rPr>
      <w:rFonts w:asciiTheme="majorHAnsi" w:eastAsiaTheme="minorEastAsia" w:hAnsiTheme="majorHAnsi"/>
      <w:sz w:val="22"/>
      <w:szCs w:val="24"/>
      <w:lang w:val="en-US"/>
    </w:rPr>
  </w:style>
  <w:style w:type="character" w:styleId="PageNumber">
    <w:name w:val="page number"/>
    <w:basedOn w:val="DefaultParagraphFont"/>
    <w:uiPriority w:val="99"/>
    <w:semiHidden/>
    <w:unhideWhenUsed/>
    <w:rsid w:val="00EA6F40"/>
  </w:style>
  <w:style w:type="character" w:styleId="CommentReference">
    <w:name w:val="annotation reference"/>
    <w:basedOn w:val="DefaultParagraphFont"/>
    <w:uiPriority w:val="99"/>
    <w:unhideWhenUsed/>
    <w:rsid w:val="00EA6F40"/>
    <w:rPr>
      <w:sz w:val="18"/>
      <w:szCs w:val="18"/>
    </w:rPr>
  </w:style>
  <w:style w:type="paragraph" w:styleId="CommentText">
    <w:name w:val="annotation text"/>
    <w:basedOn w:val="Normal"/>
    <w:link w:val="CommentTextChar"/>
    <w:uiPriority w:val="99"/>
    <w:unhideWhenUsed/>
    <w:rsid w:val="00EA6F40"/>
    <w:rPr>
      <w:sz w:val="24"/>
    </w:rPr>
  </w:style>
  <w:style w:type="character" w:customStyle="1" w:styleId="CommentTextChar">
    <w:name w:val="Comment Text Char"/>
    <w:basedOn w:val="DefaultParagraphFont"/>
    <w:link w:val="CommentText"/>
    <w:uiPriority w:val="99"/>
    <w:rsid w:val="00EA6F40"/>
    <w:rPr>
      <w:rFonts w:asciiTheme="majorHAnsi" w:eastAsiaTheme="minorEastAsia" w:hAnsiTheme="majorHAnsi"/>
      <w:szCs w:val="24"/>
      <w:lang w:val="en-US"/>
    </w:rPr>
  </w:style>
  <w:style w:type="paragraph" w:customStyle="1" w:styleId="Default">
    <w:name w:val="Default"/>
    <w:rsid w:val="00EA6F40"/>
    <w:pPr>
      <w:widowControl w:val="0"/>
      <w:autoSpaceDE w:val="0"/>
      <w:autoSpaceDN w:val="0"/>
      <w:adjustRightInd w:val="0"/>
      <w:spacing w:after="0" w:line="240" w:lineRule="auto"/>
    </w:pPr>
    <w:rPr>
      <w:rFonts w:eastAsiaTheme="minorEastAsia" w:cs="Times New Roman"/>
      <w:color w:val="000000"/>
      <w:szCs w:val="24"/>
      <w:lang w:val="en-US"/>
    </w:rPr>
  </w:style>
  <w:style w:type="paragraph" w:styleId="CommentSubject">
    <w:name w:val="annotation subject"/>
    <w:basedOn w:val="CommentText"/>
    <w:next w:val="CommentText"/>
    <w:link w:val="CommentSubjectChar"/>
    <w:uiPriority w:val="99"/>
    <w:semiHidden/>
    <w:unhideWhenUsed/>
    <w:rsid w:val="00EA6F40"/>
    <w:rPr>
      <w:b/>
      <w:bCs/>
      <w:sz w:val="20"/>
      <w:szCs w:val="20"/>
    </w:rPr>
  </w:style>
  <w:style w:type="character" w:customStyle="1" w:styleId="CommentSubjectChar">
    <w:name w:val="Comment Subject Char"/>
    <w:basedOn w:val="CommentTextChar"/>
    <w:link w:val="CommentSubject"/>
    <w:uiPriority w:val="99"/>
    <w:semiHidden/>
    <w:rsid w:val="00EA6F40"/>
    <w:rPr>
      <w:rFonts w:asciiTheme="majorHAnsi" w:eastAsiaTheme="minorEastAsia" w:hAnsiTheme="majorHAnsi"/>
      <w:b/>
      <w:bCs/>
      <w:sz w:val="20"/>
      <w:szCs w:val="20"/>
      <w:lang w:val="en-US"/>
    </w:rPr>
  </w:style>
  <w:style w:type="paragraph" w:styleId="Header">
    <w:name w:val="header"/>
    <w:basedOn w:val="Normal"/>
    <w:link w:val="HeaderChar"/>
    <w:uiPriority w:val="99"/>
    <w:unhideWhenUsed/>
    <w:rsid w:val="00EA6F40"/>
    <w:pPr>
      <w:tabs>
        <w:tab w:val="center" w:pos="4320"/>
        <w:tab w:val="right" w:pos="8640"/>
      </w:tabs>
      <w:spacing w:after="0"/>
    </w:pPr>
  </w:style>
  <w:style w:type="character" w:customStyle="1" w:styleId="HeaderChar">
    <w:name w:val="Header Char"/>
    <w:basedOn w:val="DefaultParagraphFont"/>
    <w:link w:val="Header"/>
    <w:uiPriority w:val="99"/>
    <w:rsid w:val="00EA6F40"/>
    <w:rPr>
      <w:rFonts w:asciiTheme="majorHAnsi" w:eastAsiaTheme="minorEastAsia" w:hAnsiTheme="majorHAnsi"/>
      <w:sz w:val="22"/>
      <w:szCs w:val="24"/>
      <w:lang w:val="en-US"/>
    </w:rPr>
  </w:style>
  <w:style w:type="character" w:styleId="FollowedHyperlink">
    <w:name w:val="FollowedHyperlink"/>
    <w:basedOn w:val="DefaultParagraphFont"/>
    <w:uiPriority w:val="99"/>
    <w:semiHidden/>
    <w:unhideWhenUsed/>
    <w:rsid w:val="00EA6F40"/>
    <w:rPr>
      <w:color w:val="800080" w:themeColor="followedHyperlink"/>
      <w:u w:val="single"/>
    </w:rPr>
  </w:style>
  <w:style w:type="paragraph" w:styleId="Revision">
    <w:name w:val="Revision"/>
    <w:hidden/>
    <w:uiPriority w:val="99"/>
    <w:semiHidden/>
    <w:rsid w:val="00EA6F40"/>
    <w:pPr>
      <w:spacing w:after="0" w:line="240" w:lineRule="auto"/>
    </w:pPr>
    <w:rPr>
      <w:rFonts w:asciiTheme="majorHAnsi" w:eastAsiaTheme="minorEastAsia" w:hAnsiTheme="majorHAnsi"/>
      <w:sz w:val="22"/>
      <w:szCs w:val="24"/>
      <w:lang w:val="en-US"/>
    </w:rPr>
  </w:style>
  <w:style w:type="character" w:customStyle="1" w:styleId="apple-converted-space">
    <w:name w:val="apple-converted-space"/>
    <w:basedOn w:val="DefaultParagraphFont"/>
    <w:rsid w:val="00EA6F40"/>
  </w:style>
  <w:style w:type="table" w:customStyle="1" w:styleId="TableGrid1">
    <w:name w:val="Table Grid1"/>
    <w:basedOn w:val="TableNormal"/>
    <w:next w:val="TableGrid"/>
    <w:uiPriority w:val="59"/>
    <w:rsid w:val="00EA6F4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EA6F40"/>
    <w:pPr>
      <w:spacing w:after="0" w:line="240" w:lineRule="auto"/>
    </w:pPr>
    <w:rPr>
      <w:rFonts w:asciiTheme="minorHAnsi" w:eastAsiaTheme="minorEastAsia" w:hAnsiTheme="minorHAnsi"/>
      <w:szCs w:val="24"/>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ColorfulGrid">
    <w:name w:val="Colorful Grid"/>
    <w:basedOn w:val="TableNormal"/>
    <w:uiPriority w:val="73"/>
    <w:rsid w:val="00EA6F40"/>
    <w:pPr>
      <w:spacing w:after="0" w:line="240" w:lineRule="auto"/>
    </w:pPr>
    <w:rPr>
      <w:rFonts w:asciiTheme="minorHAnsi" w:eastAsiaTheme="minorEastAsia" w:hAnsiTheme="minorHAnsi"/>
      <w:color w:val="000000" w:themeColor="text1"/>
      <w:szCs w:val="24"/>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EA6F40"/>
    <w:pPr>
      <w:spacing w:after="0" w:line="240" w:lineRule="auto"/>
    </w:pPr>
    <w:rPr>
      <w:rFonts w:asciiTheme="majorHAnsi" w:eastAsiaTheme="majorEastAsia" w:hAnsiTheme="majorHAnsi" w:cstheme="majorBidi"/>
      <w:color w:val="000000" w:themeColor="text1"/>
      <w:szCs w:val="24"/>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Shading2">
    <w:name w:val="Medium Shading 2"/>
    <w:basedOn w:val="TableNormal"/>
    <w:uiPriority w:val="64"/>
    <w:rsid w:val="00EA6F40"/>
    <w:pPr>
      <w:spacing w:after="0" w:line="240" w:lineRule="auto"/>
    </w:pPr>
    <w:rPr>
      <w:rFonts w:asciiTheme="minorHAnsi" w:eastAsiaTheme="minorEastAsia" w:hAnsiTheme="minorHAnsi"/>
      <w:szCs w:val="24"/>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EA6F40"/>
    <w:pPr>
      <w:spacing w:after="0" w:line="240" w:lineRule="auto"/>
    </w:pPr>
    <w:rPr>
      <w:rFonts w:asciiTheme="minorHAnsi" w:eastAsiaTheme="minorEastAsia" w:hAnsiTheme="minorHAnsi"/>
      <w:szCs w:val="24"/>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EndNoteBibliographyTitle">
    <w:name w:val="EndNote Bibliography Title"/>
    <w:basedOn w:val="Normal"/>
    <w:rsid w:val="00EA6F40"/>
    <w:pPr>
      <w:spacing w:after="0"/>
      <w:jc w:val="center"/>
    </w:pPr>
    <w:rPr>
      <w:rFonts w:ascii="Calibri" w:hAnsi="Calibri"/>
    </w:rPr>
  </w:style>
  <w:style w:type="paragraph" w:customStyle="1" w:styleId="EndNoteBibliography">
    <w:name w:val="EndNote Bibliography"/>
    <w:basedOn w:val="Normal"/>
    <w:rsid w:val="00EA6F40"/>
    <w:rPr>
      <w:rFonts w:ascii="Calibri" w:hAnsi="Calibri"/>
    </w:rPr>
  </w:style>
  <w:style w:type="paragraph" w:styleId="TOC2">
    <w:name w:val="toc 2"/>
    <w:basedOn w:val="Normal"/>
    <w:next w:val="Normal"/>
    <w:autoRedefine/>
    <w:uiPriority w:val="39"/>
    <w:unhideWhenUsed/>
    <w:rsid w:val="00EA6F40"/>
    <w:pPr>
      <w:spacing w:after="0"/>
    </w:pPr>
    <w:rPr>
      <w:b/>
      <w:smallCaps/>
      <w:szCs w:val="22"/>
    </w:rPr>
  </w:style>
  <w:style w:type="paragraph" w:styleId="TOC3">
    <w:name w:val="toc 3"/>
    <w:basedOn w:val="Normal"/>
    <w:next w:val="Normal"/>
    <w:autoRedefine/>
    <w:uiPriority w:val="39"/>
    <w:unhideWhenUsed/>
    <w:rsid w:val="00EA6F40"/>
    <w:pPr>
      <w:spacing w:after="0"/>
    </w:pPr>
    <w:rPr>
      <w:smallCaps/>
      <w:szCs w:val="22"/>
    </w:rPr>
  </w:style>
  <w:style w:type="paragraph" w:styleId="TOC4">
    <w:name w:val="toc 4"/>
    <w:basedOn w:val="Normal"/>
    <w:next w:val="Normal"/>
    <w:autoRedefine/>
    <w:uiPriority w:val="39"/>
    <w:unhideWhenUsed/>
    <w:rsid w:val="00EA6F40"/>
    <w:pPr>
      <w:spacing w:after="0"/>
    </w:pPr>
    <w:rPr>
      <w:szCs w:val="22"/>
    </w:rPr>
  </w:style>
  <w:style w:type="paragraph" w:styleId="TOC5">
    <w:name w:val="toc 5"/>
    <w:basedOn w:val="Normal"/>
    <w:next w:val="Normal"/>
    <w:autoRedefine/>
    <w:uiPriority w:val="39"/>
    <w:unhideWhenUsed/>
    <w:rsid w:val="00EA6F40"/>
    <w:pPr>
      <w:spacing w:after="0"/>
    </w:pPr>
    <w:rPr>
      <w:szCs w:val="22"/>
    </w:rPr>
  </w:style>
  <w:style w:type="paragraph" w:styleId="TOC6">
    <w:name w:val="toc 6"/>
    <w:basedOn w:val="Normal"/>
    <w:next w:val="Normal"/>
    <w:autoRedefine/>
    <w:uiPriority w:val="39"/>
    <w:unhideWhenUsed/>
    <w:rsid w:val="00EA6F40"/>
    <w:pPr>
      <w:spacing w:after="0"/>
    </w:pPr>
    <w:rPr>
      <w:szCs w:val="22"/>
    </w:rPr>
  </w:style>
  <w:style w:type="paragraph" w:styleId="TOC7">
    <w:name w:val="toc 7"/>
    <w:basedOn w:val="Normal"/>
    <w:next w:val="Normal"/>
    <w:autoRedefine/>
    <w:uiPriority w:val="39"/>
    <w:unhideWhenUsed/>
    <w:rsid w:val="00EA6F40"/>
    <w:pPr>
      <w:spacing w:after="0"/>
    </w:pPr>
    <w:rPr>
      <w:szCs w:val="22"/>
    </w:rPr>
  </w:style>
  <w:style w:type="paragraph" w:styleId="TOC8">
    <w:name w:val="toc 8"/>
    <w:basedOn w:val="Normal"/>
    <w:next w:val="Normal"/>
    <w:autoRedefine/>
    <w:uiPriority w:val="39"/>
    <w:unhideWhenUsed/>
    <w:rsid w:val="00EA6F40"/>
    <w:pPr>
      <w:spacing w:after="0"/>
    </w:pPr>
    <w:rPr>
      <w:szCs w:val="22"/>
    </w:rPr>
  </w:style>
  <w:style w:type="paragraph" w:styleId="TOC9">
    <w:name w:val="toc 9"/>
    <w:basedOn w:val="Normal"/>
    <w:next w:val="Normal"/>
    <w:autoRedefine/>
    <w:uiPriority w:val="39"/>
    <w:unhideWhenUsed/>
    <w:rsid w:val="00EA6F40"/>
    <w:pPr>
      <w:spacing w:after="0"/>
    </w:pPr>
    <w:rPr>
      <w:szCs w:val="22"/>
    </w:rPr>
  </w:style>
  <w:style w:type="paragraph" w:styleId="BodyTextIndent">
    <w:name w:val="Body Text Indent"/>
    <w:basedOn w:val="Normal"/>
    <w:link w:val="BodyTextIndentChar"/>
    <w:rsid w:val="00EA6F40"/>
    <w:pPr>
      <w:tabs>
        <w:tab w:val="left" w:pos="340"/>
      </w:tabs>
      <w:spacing w:after="0"/>
      <w:ind w:left="340" w:hanging="340"/>
    </w:pPr>
    <w:rPr>
      <w:rFonts w:ascii="Times" w:eastAsia="Times New Roman" w:hAnsi="Times" w:cs="Times New Roman"/>
      <w:sz w:val="24"/>
      <w:szCs w:val="20"/>
      <w:lang w:val="en-GB"/>
    </w:rPr>
  </w:style>
  <w:style w:type="character" w:customStyle="1" w:styleId="BodyTextIndentChar">
    <w:name w:val="Body Text Indent Char"/>
    <w:basedOn w:val="DefaultParagraphFont"/>
    <w:link w:val="BodyTextIndent"/>
    <w:rsid w:val="00EA6F40"/>
    <w:rPr>
      <w:rFonts w:ascii="Times" w:eastAsia="Times New Roman" w:hAnsi="Times" w:cs="Times New Roman"/>
      <w:szCs w:val="20"/>
      <w:lang w:val="en-GB"/>
    </w:rPr>
  </w:style>
  <w:style w:type="paragraph" w:styleId="BodyText">
    <w:name w:val="Body Text"/>
    <w:basedOn w:val="Normal"/>
    <w:link w:val="BodyTextChar"/>
    <w:rsid w:val="00EA6F40"/>
    <w:pPr>
      <w:widowControl w:val="0"/>
    </w:pPr>
    <w:rPr>
      <w:rFonts w:ascii="Courier" w:eastAsia="Times New Roman" w:hAnsi="Courier" w:cs="Times New Roman"/>
      <w:snapToGrid w:val="0"/>
      <w:sz w:val="24"/>
      <w:szCs w:val="20"/>
    </w:rPr>
  </w:style>
  <w:style w:type="character" w:customStyle="1" w:styleId="BodyTextChar">
    <w:name w:val="Body Text Char"/>
    <w:basedOn w:val="DefaultParagraphFont"/>
    <w:link w:val="BodyText"/>
    <w:rsid w:val="00EA6F40"/>
    <w:rPr>
      <w:rFonts w:ascii="Courier" w:eastAsia="Times New Roman" w:hAnsi="Courier" w:cs="Times New Roman"/>
      <w:snapToGrid w:val="0"/>
      <w:szCs w:val="20"/>
      <w:lang w:val="en-US"/>
    </w:rPr>
  </w:style>
  <w:style w:type="paragraph" w:customStyle="1" w:styleId="Pa4">
    <w:name w:val="Pa4"/>
    <w:basedOn w:val="Default"/>
    <w:next w:val="Default"/>
    <w:uiPriority w:val="99"/>
    <w:rsid w:val="00EA6F40"/>
    <w:pPr>
      <w:widowControl/>
      <w:spacing w:line="201" w:lineRule="atLeast"/>
    </w:pPr>
    <w:rPr>
      <w:rFonts w:ascii="Tiempos Text Regular" w:hAnsi="Tiempos Text Regular" w:cstheme="minorBidi"/>
      <w:color w:val="auto"/>
      <w:lang w:eastAsia="zh-CN"/>
    </w:rPr>
  </w:style>
  <w:style w:type="character" w:styleId="Strong">
    <w:name w:val="Strong"/>
    <w:basedOn w:val="DefaultParagraphFont"/>
    <w:uiPriority w:val="22"/>
    <w:qFormat/>
    <w:rsid w:val="00BA5093"/>
    <w:rPr>
      <w:rFonts w:asciiTheme="minorHAnsi" w:hAnsiTheme="minorHAnsi"/>
      <w:b/>
      <w:bCs/>
      <w:sz w:val="22"/>
      <w:u w:val="none"/>
      <w:bdr w:val="none" w:sz="0" w:space="0" w:color="auto"/>
    </w:rPr>
  </w:style>
  <w:style w:type="paragraph" w:styleId="Subtitle">
    <w:name w:val="Subtitle"/>
    <w:basedOn w:val="Normal"/>
    <w:next w:val="Normal"/>
    <w:link w:val="SubtitleChar"/>
    <w:uiPriority w:val="11"/>
    <w:qFormat/>
    <w:rsid w:val="00955FE4"/>
    <w:pPr>
      <w:numPr>
        <w:ilvl w:val="1"/>
      </w:numPr>
      <w:jc w:val="center"/>
    </w:pPr>
    <w:rPr>
      <w:rFonts w:ascii="Calibri" w:eastAsiaTheme="majorEastAsia" w:hAnsi="Calibri" w:cstheme="majorBidi"/>
      <w:b/>
      <w:iCs/>
      <w:spacing w:val="15"/>
      <w:sz w:val="36"/>
    </w:rPr>
  </w:style>
  <w:style w:type="character" w:customStyle="1" w:styleId="SubtitleChar">
    <w:name w:val="Subtitle Char"/>
    <w:basedOn w:val="DefaultParagraphFont"/>
    <w:link w:val="Subtitle"/>
    <w:uiPriority w:val="11"/>
    <w:rsid w:val="00955FE4"/>
    <w:rPr>
      <w:rFonts w:ascii="Calibri" w:eastAsiaTheme="majorEastAsia" w:hAnsi="Calibri" w:cstheme="majorBidi"/>
      <w:b/>
      <w:iCs/>
      <w:spacing w:val="15"/>
      <w:sz w:val="36"/>
      <w:szCs w:val="24"/>
      <w:lang w:val="en-US"/>
    </w:rPr>
  </w:style>
  <w:style w:type="character" w:styleId="IntenseEmphasis">
    <w:name w:val="Intense Emphasis"/>
    <w:basedOn w:val="DefaultParagraphFont"/>
    <w:uiPriority w:val="21"/>
    <w:qFormat/>
    <w:rsid w:val="002652A1"/>
    <w:rPr>
      <w:rFonts w:asciiTheme="minorHAnsi" w:hAnsiTheme="minorHAnsi"/>
      <w:b/>
      <w:bCs/>
      <w:i/>
      <w:iCs/>
      <w:color w:val="auto"/>
      <w:sz w:val="24"/>
    </w:rPr>
  </w:style>
  <w:style w:type="paragraph" w:styleId="Caption">
    <w:name w:val="caption"/>
    <w:basedOn w:val="Normal"/>
    <w:next w:val="Normal"/>
    <w:autoRedefine/>
    <w:uiPriority w:val="35"/>
    <w:unhideWhenUsed/>
    <w:qFormat/>
    <w:rsid w:val="00F26CF0"/>
    <w:pPr>
      <w:spacing w:after="200"/>
    </w:pPr>
    <w:rPr>
      <w:b/>
      <w:bCs/>
      <w:color w:val="000000" w:themeColor="text1"/>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5A5"/>
    <w:pPr>
      <w:spacing w:before="120" w:after="120" w:line="240" w:lineRule="auto"/>
    </w:pPr>
    <w:rPr>
      <w:rFonts w:asciiTheme="minorHAnsi" w:eastAsiaTheme="minorEastAsia" w:hAnsiTheme="minorHAnsi"/>
      <w:sz w:val="22"/>
      <w:szCs w:val="24"/>
      <w:lang w:val="en-US"/>
    </w:rPr>
  </w:style>
  <w:style w:type="paragraph" w:styleId="Heading1">
    <w:name w:val="heading 1"/>
    <w:basedOn w:val="Normal"/>
    <w:next w:val="Normal"/>
    <w:link w:val="Heading1Char"/>
    <w:autoRedefine/>
    <w:uiPriority w:val="9"/>
    <w:qFormat/>
    <w:rsid w:val="000A4E22"/>
    <w:pPr>
      <w:keepNext/>
      <w:keepLines/>
      <w:numPr>
        <w:numId w:val="34"/>
      </w:numPr>
      <w:pBdr>
        <w:bottom w:val="single" w:sz="4" w:space="1" w:color="auto"/>
      </w:pBdr>
      <w:outlineLvl w:val="0"/>
    </w:pPr>
    <w:rPr>
      <w:rFonts w:eastAsiaTheme="majorEastAsia" w:cstheme="majorBidi"/>
      <w:b/>
      <w:bCs/>
      <w:color w:val="000000" w:themeColor="text1"/>
      <w:sz w:val="36"/>
      <w:szCs w:val="32"/>
    </w:rPr>
  </w:style>
  <w:style w:type="paragraph" w:styleId="Heading2">
    <w:name w:val="heading 2"/>
    <w:basedOn w:val="Heading1"/>
    <w:next w:val="Normal"/>
    <w:link w:val="Heading2Char"/>
    <w:autoRedefine/>
    <w:uiPriority w:val="9"/>
    <w:unhideWhenUsed/>
    <w:qFormat/>
    <w:rsid w:val="00725D4D"/>
    <w:pPr>
      <w:numPr>
        <w:ilvl w:val="1"/>
      </w:numPr>
      <w:spacing w:before="240" w:after="240"/>
      <w:outlineLvl w:val="1"/>
    </w:pPr>
    <w:rPr>
      <w:b w:val="0"/>
      <w:bCs w:val="0"/>
      <w:sz w:val="32"/>
      <w:szCs w:val="26"/>
    </w:rPr>
  </w:style>
  <w:style w:type="paragraph" w:styleId="Heading3">
    <w:name w:val="heading 3"/>
    <w:basedOn w:val="Normal"/>
    <w:next w:val="Normal"/>
    <w:link w:val="Heading3Char"/>
    <w:autoRedefine/>
    <w:uiPriority w:val="9"/>
    <w:unhideWhenUsed/>
    <w:qFormat/>
    <w:rsid w:val="00CA2AA1"/>
    <w:pPr>
      <w:keepNext/>
      <w:keepLines/>
      <w:numPr>
        <w:ilvl w:val="2"/>
        <w:numId w:val="34"/>
      </w:numPr>
      <w:spacing w:before="240" w:after="240"/>
      <w:outlineLvl w:val="2"/>
    </w:pPr>
    <w:rPr>
      <w:rFonts w:eastAsiaTheme="majorEastAsia" w:cstheme="majorBidi"/>
      <w:bCs/>
      <w:i/>
      <w:sz w:val="28"/>
      <w:lang w:val="en-GB"/>
    </w:rPr>
  </w:style>
  <w:style w:type="paragraph" w:styleId="Heading4">
    <w:name w:val="heading 4"/>
    <w:basedOn w:val="Heading3"/>
    <w:next w:val="Normal"/>
    <w:link w:val="Heading4Char"/>
    <w:autoRedefine/>
    <w:uiPriority w:val="9"/>
    <w:qFormat/>
    <w:rsid w:val="008D087E"/>
    <w:pPr>
      <w:numPr>
        <w:ilvl w:val="3"/>
      </w:numPr>
      <w:outlineLvl w:val="3"/>
    </w:pPr>
    <w:rPr>
      <w:rFonts w:eastAsiaTheme="minorHAnsi"/>
      <w:sz w:val="24"/>
      <w:lang w:eastAsia="de-DE"/>
      <w14:scene3d>
        <w14:camera w14:prst="orthographicFront"/>
        <w14:lightRig w14:rig="threePt" w14:dir="t">
          <w14:rot w14:lat="0" w14:lon="0" w14:rev="0"/>
        </w14:lightRig>
      </w14:scene3d>
    </w:rPr>
  </w:style>
  <w:style w:type="paragraph" w:styleId="Heading5">
    <w:name w:val="heading 5"/>
    <w:basedOn w:val="Normal"/>
    <w:next w:val="Normal"/>
    <w:link w:val="Heading5Char"/>
    <w:uiPriority w:val="9"/>
    <w:unhideWhenUsed/>
    <w:qFormat/>
    <w:rsid w:val="00EA6F40"/>
    <w:pPr>
      <w:keepNext/>
      <w:keepLines/>
      <w:numPr>
        <w:ilvl w:val="4"/>
        <w:numId w:val="34"/>
      </w:numPr>
      <w:spacing w:before="240" w:after="240"/>
      <w:outlineLvl w:val="4"/>
    </w:pPr>
    <w:rPr>
      <w:rFonts w:eastAsiaTheme="majorEastAsia" w:cstheme="majorBidi"/>
      <w:sz w:val="24"/>
      <w:u w:val="single"/>
    </w:rPr>
  </w:style>
  <w:style w:type="paragraph" w:styleId="Heading6">
    <w:name w:val="heading 6"/>
    <w:basedOn w:val="Normal"/>
    <w:next w:val="Normal"/>
    <w:link w:val="Heading6Char"/>
    <w:uiPriority w:val="9"/>
    <w:unhideWhenUsed/>
    <w:qFormat/>
    <w:rsid w:val="00EA6F40"/>
    <w:pPr>
      <w:keepNext/>
      <w:keepLines/>
      <w:numPr>
        <w:ilvl w:val="5"/>
        <w:numId w:val="34"/>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EA6F40"/>
    <w:pPr>
      <w:keepNext/>
      <w:keepLines/>
      <w:numPr>
        <w:ilvl w:val="6"/>
        <w:numId w:val="34"/>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EA6F40"/>
    <w:pPr>
      <w:keepNext/>
      <w:keepLines/>
      <w:numPr>
        <w:ilvl w:val="7"/>
        <w:numId w:val="34"/>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A6F40"/>
    <w:pPr>
      <w:keepNext/>
      <w:keepLines/>
      <w:numPr>
        <w:ilvl w:val="8"/>
        <w:numId w:val="34"/>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E22"/>
    <w:rPr>
      <w:rFonts w:asciiTheme="minorHAnsi" w:eastAsiaTheme="majorEastAsia" w:hAnsiTheme="minorHAnsi" w:cstheme="majorBidi"/>
      <w:b/>
      <w:bCs/>
      <w:color w:val="000000" w:themeColor="text1"/>
      <w:sz w:val="36"/>
      <w:szCs w:val="32"/>
      <w:lang w:val="en-US"/>
    </w:rPr>
  </w:style>
  <w:style w:type="character" w:customStyle="1" w:styleId="Heading2Char">
    <w:name w:val="Heading 2 Char"/>
    <w:basedOn w:val="DefaultParagraphFont"/>
    <w:link w:val="Heading2"/>
    <w:uiPriority w:val="9"/>
    <w:rsid w:val="00725D4D"/>
    <w:rPr>
      <w:rFonts w:asciiTheme="minorHAnsi" w:eastAsiaTheme="majorEastAsia" w:hAnsiTheme="minorHAnsi" w:cstheme="majorBidi"/>
      <w:color w:val="000000" w:themeColor="text1"/>
      <w:sz w:val="32"/>
      <w:szCs w:val="26"/>
      <w:lang w:val="en-US"/>
    </w:rPr>
  </w:style>
  <w:style w:type="character" w:customStyle="1" w:styleId="Heading3Char">
    <w:name w:val="Heading 3 Char"/>
    <w:basedOn w:val="DefaultParagraphFont"/>
    <w:link w:val="Heading3"/>
    <w:uiPriority w:val="9"/>
    <w:rsid w:val="00CA2AA1"/>
    <w:rPr>
      <w:rFonts w:asciiTheme="minorHAnsi" w:eastAsiaTheme="majorEastAsia" w:hAnsiTheme="minorHAnsi" w:cstheme="majorBidi"/>
      <w:bCs/>
      <w:i/>
      <w:sz w:val="28"/>
      <w:szCs w:val="24"/>
      <w:lang w:val="en-GB"/>
    </w:rPr>
  </w:style>
  <w:style w:type="character" w:customStyle="1" w:styleId="Heading4Char">
    <w:name w:val="Heading 4 Char"/>
    <w:basedOn w:val="DefaultParagraphFont"/>
    <w:link w:val="Heading4"/>
    <w:uiPriority w:val="9"/>
    <w:rsid w:val="008D087E"/>
    <w:rPr>
      <w:rFonts w:asciiTheme="minorHAnsi" w:hAnsiTheme="minorHAnsi" w:cstheme="majorBidi"/>
      <w:bCs/>
      <w:i/>
      <w:szCs w:val="24"/>
      <w:lang w:val="en-GB" w:eastAsia="de-DE"/>
      <w14:scene3d>
        <w14:camera w14:prst="orthographicFront"/>
        <w14:lightRig w14:rig="threePt" w14:dir="t">
          <w14:rot w14:lat="0" w14:lon="0" w14:rev="0"/>
        </w14:lightRig>
      </w14:scene3d>
    </w:rPr>
  </w:style>
  <w:style w:type="character" w:customStyle="1" w:styleId="Heading5Char">
    <w:name w:val="Heading 5 Char"/>
    <w:basedOn w:val="DefaultParagraphFont"/>
    <w:link w:val="Heading5"/>
    <w:uiPriority w:val="9"/>
    <w:rsid w:val="00EA6F40"/>
    <w:rPr>
      <w:rFonts w:asciiTheme="minorHAnsi" w:eastAsiaTheme="majorEastAsia" w:hAnsiTheme="minorHAnsi" w:cstheme="majorBidi"/>
      <w:szCs w:val="24"/>
      <w:u w:val="single"/>
      <w:lang w:val="en-US"/>
    </w:rPr>
  </w:style>
  <w:style w:type="character" w:customStyle="1" w:styleId="Heading6Char">
    <w:name w:val="Heading 6 Char"/>
    <w:basedOn w:val="DefaultParagraphFont"/>
    <w:link w:val="Heading6"/>
    <w:uiPriority w:val="9"/>
    <w:rsid w:val="00EA6F40"/>
    <w:rPr>
      <w:rFonts w:asciiTheme="minorHAnsi" w:eastAsiaTheme="majorEastAsia" w:hAnsiTheme="minorHAnsi" w:cstheme="majorBidi"/>
      <w:i/>
      <w:iCs/>
      <w:color w:val="243F60" w:themeColor="accent1" w:themeShade="7F"/>
      <w:sz w:val="22"/>
      <w:szCs w:val="24"/>
      <w:lang w:val="en-US"/>
    </w:rPr>
  </w:style>
  <w:style w:type="character" w:customStyle="1" w:styleId="Heading7Char">
    <w:name w:val="Heading 7 Char"/>
    <w:basedOn w:val="DefaultParagraphFont"/>
    <w:link w:val="Heading7"/>
    <w:uiPriority w:val="9"/>
    <w:semiHidden/>
    <w:rsid w:val="00EA6F40"/>
    <w:rPr>
      <w:rFonts w:asciiTheme="minorHAnsi" w:eastAsiaTheme="majorEastAsia" w:hAnsiTheme="minorHAnsi" w:cstheme="majorBidi"/>
      <w:i/>
      <w:iCs/>
      <w:color w:val="404040" w:themeColor="text1" w:themeTint="BF"/>
      <w:sz w:val="22"/>
      <w:szCs w:val="24"/>
      <w:lang w:val="en-US"/>
    </w:rPr>
  </w:style>
  <w:style w:type="character" w:customStyle="1" w:styleId="Heading8Char">
    <w:name w:val="Heading 8 Char"/>
    <w:basedOn w:val="DefaultParagraphFont"/>
    <w:link w:val="Heading8"/>
    <w:uiPriority w:val="9"/>
    <w:semiHidden/>
    <w:rsid w:val="00EA6F40"/>
    <w:rPr>
      <w:rFonts w:asciiTheme="minorHAnsi" w:eastAsiaTheme="majorEastAsia" w:hAnsiTheme="min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EA6F40"/>
    <w:rPr>
      <w:rFonts w:asciiTheme="minorHAnsi" w:eastAsiaTheme="majorEastAsia" w:hAnsiTheme="minorHAnsi" w:cstheme="majorBidi"/>
      <w:i/>
      <w:iCs/>
      <w:color w:val="404040" w:themeColor="text1" w:themeTint="BF"/>
      <w:sz w:val="20"/>
      <w:szCs w:val="20"/>
      <w:lang w:val="en-US"/>
    </w:rPr>
  </w:style>
  <w:style w:type="paragraph" w:styleId="Title">
    <w:name w:val="Title"/>
    <w:basedOn w:val="Normal"/>
    <w:next w:val="Normal"/>
    <w:link w:val="TitleChar"/>
    <w:autoRedefine/>
    <w:uiPriority w:val="10"/>
    <w:rsid w:val="00955FE4"/>
    <w:pPr>
      <w:spacing w:before="1080" w:after="300"/>
      <w:contextualSpacing/>
      <w:jc w:val="center"/>
      <w:textboxTightWrap w:val="allLines"/>
    </w:pPr>
    <w:rPr>
      <w:rFonts w:eastAsiaTheme="majorEastAsia" w:cstheme="majorBidi"/>
      <w:b/>
      <w:spacing w:val="5"/>
      <w:kern w:val="28"/>
      <w:sz w:val="44"/>
      <w:szCs w:val="32"/>
    </w:rPr>
  </w:style>
  <w:style w:type="character" w:customStyle="1" w:styleId="TitleChar">
    <w:name w:val="Title Char"/>
    <w:basedOn w:val="DefaultParagraphFont"/>
    <w:link w:val="Title"/>
    <w:uiPriority w:val="10"/>
    <w:rsid w:val="00955FE4"/>
    <w:rPr>
      <w:rFonts w:asciiTheme="minorHAnsi" w:eastAsiaTheme="majorEastAsia" w:hAnsiTheme="minorHAnsi" w:cstheme="majorBidi"/>
      <w:b/>
      <w:spacing w:val="5"/>
      <w:kern w:val="28"/>
      <w:sz w:val="44"/>
      <w:szCs w:val="32"/>
      <w:lang w:val="en-US"/>
    </w:rPr>
  </w:style>
  <w:style w:type="paragraph" w:customStyle="1" w:styleId="ThesisV1">
    <w:name w:val="Thesis_V1"/>
    <w:basedOn w:val="TOCHeading"/>
    <w:link w:val="ThesisV1Char"/>
    <w:rsid w:val="00EA6F40"/>
    <w:pPr>
      <w:framePr w:hSpace="181" w:vSpace="181" w:wrap="around"/>
      <w:numPr>
        <w:numId w:val="1"/>
      </w:numPr>
      <w:ind w:left="432" w:hanging="432"/>
    </w:pPr>
    <w:rPr>
      <w:color w:val="auto"/>
      <w:spacing w:val="5"/>
      <w:kern w:val="28"/>
    </w:rPr>
  </w:style>
  <w:style w:type="character" w:customStyle="1" w:styleId="ThesisV1Char">
    <w:name w:val="Thesis_V1 Char"/>
    <w:basedOn w:val="TitleChar"/>
    <w:link w:val="ThesisV1"/>
    <w:rsid w:val="00EA6F40"/>
    <w:rPr>
      <w:rFonts w:asciiTheme="minorHAnsi" w:eastAsiaTheme="majorEastAsia" w:hAnsiTheme="minorHAnsi" w:cstheme="majorBidi"/>
      <w:b w:val="0"/>
      <w:bCs/>
      <w:spacing w:val="5"/>
      <w:kern w:val="28"/>
      <w:sz w:val="36"/>
      <w:szCs w:val="32"/>
      <w:lang w:val="en-US"/>
    </w:rPr>
  </w:style>
  <w:style w:type="paragraph" w:styleId="TOCHeading">
    <w:name w:val="TOC Heading"/>
    <w:basedOn w:val="Heading1"/>
    <w:next w:val="Normal"/>
    <w:uiPriority w:val="39"/>
    <w:semiHidden/>
    <w:unhideWhenUsed/>
    <w:qFormat/>
    <w:rsid w:val="00EA6F40"/>
    <w:pPr>
      <w:framePr w:wrap="notBeside" w:hAnchor="text"/>
      <w:outlineLvl w:val="9"/>
    </w:pPr>
  </w:style>
  <w:style w:type="numbering" w:styleId="111111">
    <w:name w:val="Outline List 2"/>
    <w:basedOn w:val="NoList"/>
    <w:uiPriority w:val="99"/>
    <w:semiHidden/>
    <w:unhideWhenUsed/>
    <w:rsid w:val="00EA6F40"/>
    <w:pPr>
      <w:numPr>
        <w:numId w:val="2"/>
      </w:numPr>
    </w:pPr>
  </w:style>
  <w:style w:type="paragraph" w:customStyle="1" w:styleId="Tabletext">
    <w:name w:val="Table_text"/>
    <w:basedOn w:val="Heading1"/>
    <w:qFormat/>
    <w:rsid w:val="005D1761"/>
    <w:pPr>
      <w:framePr w:wrap="notBeside" w:hAnchor="text"/>
    </w:pPr>
  </w:style>
  <w:style w:type="paragraph" w:customStyle="1" w:styleId="Thesisnormal">
    <w:name w:val="Thesis normal"/>
    <w:basedOn w:val="Normal"/>
    <w:next w:val="Normal"/>
    <w:qFormat/>
    <w:rsid w:val="00EA6F40"/>
    <w:pPr>
      <w:spacing w:after="240"/>
      <w:jc w:val="both"/>
    </w:pPr>
    <w:rPr>
      <w:rFonts w:ascii="Times" w:hAnsi="Times"/>
    </w:rPr>
  </w:style>
  <w:style w:type="paragraph" w:styleId="Quote">
    <w:name w:val="Quote"/>
    <w:basedOn w:val="Normal"/>
    <w:next w:val="Normal"/>
    <w:link w:val="QuoteChar"/>
    <w:uiPriority w:val="29"/>
    <w:qFormat/>
    <w:rsid w:val="00EA6F40"/>
    <w:rPr>
      <w:rFonts w:ascii="Times" w:hAnsi="Times"/>
      <w:i/>
      <w:iCs/>
      <w:color w:val="000000" w:themeColor="text1"/>
      <w:sz w:val="24"/>
    </w:rPr>
  </w:style>
  <w:style w:type="character" w:customStyle="1" w:styleId="QuoteChar">
    <w:name w:val="Quote Char"/>
    <w:basedOn w:val="DefaultParagraphFont"/>
    <w:link w:val="Quote"/>
    <w:uiPriority w:val="29"/>
    <w:rsid w:val="00EA6F40"/>
    <w:rPr>
      <w:rFonts w:ascii="Times" w:eastAsiaTheme="minorEastAsia" w:hAnsi="Times"/>
      <w:i/>
      <w:iCs/>
      <w:color w:val="000000" w:themeColor="text1"/>
      <w:szCs w:val="24"/>
      <w:lang w:val="en-US"/>
    </w:rPr>
  </w:style>
  <w:style w:type="character" w:styleId="Hyperlink">
    <w:name w:val="Hyperlink"/>
    <w:basedOn w:val="DefaultParagraphFont"/>
    <w:rsid w:val="00547656"/>
    <w:rPr>
      <w:color w:val="0070C0"/>
      <w:u w:val="single"/>
    </w:rPr>
  </w:style>
  <w:style w:type="paragraph" w:styleId="ListParagraph">
    <w:name w:val="List Paragraph"/>
    <w:aliases w:val="Table text"/>
    <w:basedOn w:val="Normal"/>
    <w:autoRedefine/>
    <w:uiPriority w:val="34"/>
    <w:qFormat/>
    <w:rsid w:val="0095338B"/>
    <w:pPr>
      <w:spacing w:before="60" w:after="60"/>
      <w:ind w:left="720"/>
      <w:contextualSpacing/>
    </w:pPr>
    <w:rPr>
      <w:sz w:val="20"/>
    </w:rPr>
  </w:style>
  <w:style w:type="paragraph" w:styleId="TOC1">
    <w:name w:val="toc 1"/>
    <w:basedOn w:val="Normal"/>
    <w:next w:val="Normal"/>
    <w:autoRedefine/>
    <w:uiPriority w:val="39"/>
    <w:rsid w:val="000858B4"/>
    <w:pPr>
      <w:tabs>
        <w:tab w:val="left" w:pos="332"/>
        <w:tab w:val="right" w:leader="dot" w:pos="8290"/>
      </w:tabs>
      <w:spacing w:before="240"/>
    </w:pPr>
    <w:rPr>
      <w:b/>
      <w:caps/>
      <w:szCs w:val="22"/>
    </w:rPr>
  </w:style>
  <w:style w:type="character" w:customStyle="1" w:styleId="title1">
    <w:name w:val="title1"/>
    <w:basedOn w:val="DefaultParagraphFont"/>
    <w:rsid w:val="00EA6F40"/>
  </w:style>
  <w:style w:type="paragraph" w:styleId="NormalWeb">
    <w:name w:val="Normal (Web)"/>
    <w:basedOn w:val="Normal"/>
    <w:uiPriority w:val="99"/>
    <w:semiHidden/>
    <w:unhideWhenUsed/>
    <w:rsid w:val="00EA6F40"/>
    <w:pPr>
      <w:spacing w:before="100" w:beforeAutospacing="1" w:after="100" w:afterAutospacing="1"/>
    </w:pPr>
    <w:rPr>
      <w:rFonts w:ascii="Times" w:hAnsi="Times"/>
      <w:sz w:val="20"/>
      <w:szCs w:val="20"/>
      <w:lang w:val="en-GB"/>
    </w:rPr>
  </w:style>
  <w:style w:type="table" w:styleId="TableGrid">
    <w:name w:val="Table Grid"/>
    <w:basedOn w:val="TableNormal"/>
    <w:uiPriority w:val="59"/>
    <w:rsid w:val="00EA6F40"/>
    <w:pPr>
      <w:spacing w:after="0" w:line="240" w:lineRule="auto"/>
    </w:pPr>
    <w:rPr>
      <w:rFonts w:asciiTheme="minorHAnsi" w:eastAsiaTheme="minorEastAsia" w:hAnsiTheme="minorHAnsi"/>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EA6F40"/>
    <w:rPr>
      <w:rFonts w:ascii="Lucida Grande" w:hAnsi="Lucida Grande" w:cs="Lucida Grande"/>
    </w:rPr>
  </w:style>
  <w:style w:type="character" w:customStyle="1" w:styleId="DocumentMapChar">
    <w:name w:val="Document Map Char"/>
    <w:basedOn w:val="DefaultParagraphFont"/>
    <w:link w:val="DocumentMap"/>
    <w:uiPriority w:val="99"/>
    <w:semiHidden/>
    <w:rsid w:val="00EA6F40"/>
    <w:rPr>
      <w:rFonts w:ascii="Lucida Grande" w:eastAsiaTheme="minorEastAsia" w:hAnsi="Lucida Grande" w:cs="Lucida Grande"/>
      <w:sz w:val="22"/>
      <w:szCs w:val="24"/>
      <w:lang w:val="en-US"/>
    </w:rPr>
  </w:style>
  <w:style w:type="paragraph" w:customStyle="1" w:styleId="Thesisnormal0">
    <w:name w:val="Thesis_normal"/>
    <w:basedOn w:val="Normal"/>
    <w:autoRedefine/>
    <w:qFormat/>
    <w:rsid w:val="0013546C"/>
    <w:rPr>
      <w:sz w:val="24"/>
    </w:rPr>
  </w:style>
  <w:style w:type="paragraph" w:customStyle="1" w:styleId="Footnotestable">
    <w:name w:val="Footnotes_table"/>
    <w:basedOn w:val="Normal"/>
    <w:qFormat/>
    <w:rsid w:val="00EA6F40"/>
    <w:pPr>
      <w:spacing w:after="0"/>
      <w:ind w:left="720"/>
    </w:pPr>
    <w:rPr>
      <w:rFonts w:eastAsia="Arial Unicode MS"/>
      <w:sz w:val="16"/>
      <w:szCs w:val="16"/>
      <w:lang w:val="en-GB"/>
    </w:rPr>
  </w:style>
  <w:style w:type="character" w:styleId="Emphasis">
    <w:name w:val="Emphasis"/>
    <w:basedOn w:val="DefaultParagraphFont"/>
    <w:uiPriority w:val="20"/>
    <w:qFormat/>
    <w:rsid w:val="00FA65FD"/>
    <w:rPr>
      <w:rFonts w:asciiTheme="minorHAnsi" w:hAnsiTheme="minorHAnsi"/>
      <w:i/>
      <w:iCs/>
      <w:sz w:val="24"/>
    </w:rPr>
  </w:style>
  <w:style w:type="paragraph" w:styleId="IntenseQuote">
    <w:name w:val="Intense Quote"/>
    <w:basedOn w:val="Normal"/>
    <w:next w:val="Normal"/>
    <w:link w:val="IntenseQuoteChar"/>
    <w:uiPriority w:val="30"/>
    <w:qFormat/>
    <w:rsid w:val="00EA6F40"/>
    <w:pPr>
      <w:pBdr>
        <w:bottom w:val="single" w:sz="4" w:space="4" w:color="4F81BD" w:themeColor="accent1"/>
      </w:pBdr>
      <w:spacing w:before="200" w:after="280"/>
      <w:ind w:left="936" w:right="936"/>
    </w:pPr>
    <w:rPr>
      <w:rFonts w:ascii="Times" w:hAnsi="Times"/>
      <w:b/>
      <w:bCs/>
      <w:i/>
      <w:iCs/>
      <w:color w:val="4F81BD" w:themeColor="accent1"/>
      <w:sz w:val="24"/>
    </w:rPr>
  </w:style>
  <w:style w:type="character" w:customStyle="1" w:styleId="IntenseQuoteChar">
    <w:name w:val="Intense Quote Char"/>
    <w:basedOn w:val="DefaultParagraphFont"/>
    <w:link w:val="IntenseQuote"/>
    <w:uiPriority w:val="30"/>
    <w:rsid w:val="00EA6F40"/>
    <w:rPr>
      <w:rFonts w:ascii="Times" w:eastAsiaTheme="minorEastAsia" w:hAnsi="Times"/>
      <w:b/>
      <w:bCs/>
      <w:i/>
      <w:iCs/>
      <w:color w:val="4F81BD" w:themeColor="accent1"/>
      <w:szCs w:val="24"/>
      <w:lang w:val="en-US"/>
    </w:rPr>
  </w:style>
  <w:style w:type="character" w:styleId="IntenseReference">
    <w:name w:val="Intense Reference"/>
    <w:basedOn w:val="DefaultParagraphFont"/>
    <w:uiPriority w:val="32"/>
    <w:qFormat/>
    <w:rsid w:val="00EA6F40"/>
    <w:rPr>
      <w:b/>
      <w:bCs/>
      <w:smallCaps/>
      <w:color w:val="C0504D" w:themeColor="accent2"/>
      <w:spacing w:val="5"/>
      <w:u w:val="single"/>
    </w:rPr>
  </w:style>
  <w:style w:type="character" w:styleId="BookTitle">
    <w:name w:val="Book Title"/>
    <w:basedOn w:val="DefaultParagraphFont"/>
    <w:uiPriority w:val="33"/>
    <w:qFormat/>
    <w:rsid w:val="00EA6F40"/>
    <w:rPr>
      <w:b/>
      <w:bCs/>
      <w:smallCaps/>
      <w:spacing w:val="5"/>
    </w:rPr>
  </w:style>
  <w:style w:type="paragraph" w:customStyle="1" w:styleId="Tabletitle">
    <w:name w:val="Table_title"/>
    <w:basedOn w:val="Heading1"/>
    <w:next w:val="Thesisnormal0"/>
    <w:qFormat/>
    <w:rsid w:val="005D1761"/>
    <w:pPr>
      <w:framePr w:wrap="notBeside" w:hAnchor="text"/>
    </w:pPr>
  </w:style>
  <w:style w:type="paragraph" w:customStyle="1" w:styleId="Referencesnormal">
    <w:name w:val="References_normal"/>
    <w:basedOn w:val="Normal"/>
    <w:qFormat/>
    <w:rsid w:val="00EA6F40"/>
    <w:rPr>
      <w:noProof/>
      <w:szCs w:val="20"/>
      <w:lang w:val="en-GB"/>
    </w:rPr>
  </w:style>
  <w:style w:type="paragraph" w:styleId="BalloonText">
    <w:name w:val="Balloon Text"/>
    <w:basedOn w:val="Normal"/>
    <w:link w:val="BalloonTextChar"/>
    <w:uiPriority w:val="99"/>
    <w:semiHidden/>
    <w:unhideWhenUsed/>
    <w:rsid w:val="00EA6F4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6F40"/>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EA6F40"/>
    <w:pPr>
      <w:tabs>
        <w:tab w:val="center" w:pos="4320"/>
        <w:tab w:val="right" w:pos="8640"/>
      </w:tabs>
      <w:spacing w:after="0"/>
    </w:pPr>
  </w:style>
  <w:style w:type="character" w:customStyle="1" w:styleId="FooterChar">
    <w:name w:val="Footer Char"/>
    <w:basedOn w:val="DefaultParagraphFont"/>
    <w:link w:val="Footer"/>
    <w:uiPriority w:val="99"/>
    <w:rsid w:val="00EA6F40"/>
    <w:rPr>
      <w:rFonts w:asciiTheme="majorHAnsi" w:eastAsiaTheme="minorEastAsia" w:hAnsiTheme="majorHAnsi"/>
      <w:sz w:val="22"/>
      <w:szCs w:val="24"/>
      <w:lang w:val="en-US"/>
    </w:rPr>
  </w:style>
  <w:style w:type="character" w:styleId="PageNumber">
    <w:name w:val="page number"/>
    <w:basedOn w:val="DefaultParagraphFont"/>
    <w:uiPriority w:val="99"/>
    <w:semiHidden/>
    <w:unhideWhenUsed/>
    <w:rsid w:val="00EA6F40"/>
  </w:style>
  <w:style w:type="character" w:styleId="CommentReference">
    <w:name w:val="annotation reference"/>
    <w:basedOn w:val="DefaultParagraphFont"/>
    <w:uiPriority w:val="99"/>
    <w:unhideWhenUsed/>
    <w:rsid w:val="00EA6F40"/>
    <w:rPr>
      <w:sz w:val="18"/>
      <w:szCs w:val="18"/>
    </w:rPr>
  </w:style>
  <w:style w:type="paragraph" w:styleId="CommentText">
    <w:name w:val="annotation text"/>
    <w:basedOn w:val="Normal"/>
    <w:link w:val="CommentTextChar"/>
    <w:uiPriority w:val="99"/>
    <w:unhideWhenUsed/>
    <w:rsid w:val="00EA6F40"/>
    <w:rPr>
      <w:sz w:val="24"/>
    </w:rPr>
  </w:style>
  <w:style w:type="character" w:customStyle="1" w:styleId="CommentTextChar">
    <w:name w:val="Comment Text Char"/>
    <w:basedOn w:val="DefaultParagraphFont"/>
    <w:link w:val="CommentText"/>
    <w:uiPriority w:val="99"/>
    <w:rsid w:val="00EA6F40"/>
    <w:rPr>
      <w:rFonts w:asciiTheme="majorHAnsi" w:eastAsiaTheme="minorEastAsia" w:hAnsiTheme="majorHAnsi"/>
      <w:szCs w:val="24"/>
      <w:lang w:val="en-US"/>
    </w:rPr>
  </w:style>
  <w:style w:type="paragraph" w:customStyle="1" w:styleId="Default">
    <w:name w:val="Default"/>
    <w:rsid w:val="00EA6F40"/>
    <w:pPr>
      <w:widowControl w:val="0"/>
      <w:autoSpaceDE w:val="0"/>
      <w:autoSpaceDN w:val="0"/>
      <w:adjustRightInd w:val="0"/>
      <w:spacing w:after="0" w:line="240" w:lineRule="auto"/>
    </w:pPr>
    <w:rPr>
      <w:rFonts w:eastAsiaTheme="minorEastAsia" w:cs="Times New Roman"/>
      <w:color w:val="000000"/>
      <w:szCs w:val="24"/>
      <w:lang w:val="en-US"/>
    </w:rPr>
  </w:style>
  <w:style w:type="paragraph" w:styleId="CommentSubject">
    <w:name w:val="annotation subject"/>
    <w:basedOn w:val="CommentText"/>
    <w:next w:val="CommentText"/>
    <w:link w:val="CommentSubjectChar"/>
    <w:uiPriority w:val="99"/>
    <w:semiHidden/>
    <w:unhideWhenUsed/>
    <w:rsid w:val="00EA6F40"/>
    <w:rPr>
      <w:b/>
      <w:bCs/>
      <w:sz w:val="20"/>
      <w:szCs w:val="20"/>
    </w:rPr>
  </w:style>
  <w:style w:type="character" w:customStyle="1" w:styleId="CommentSubjectChar">
    <w:name w:val="Comment Subject Char"/>
    <w:basedOn w:val="CommentTextChar"/>
    <w:link w:val="CommentSubject"/>
    <w:uiPriority w:val="99"/>
    <w:semiHidden/>
    <w:rsid w:val="00EA6F40"/>
    <w:rPr>
      <w:rFonts w:asciiTheme="majorHAnsi" w:eastAsiaTheme="minorEastAsia" w:hAnsiTheme="majorHAnsi"/>
      <w:b/>
      <w:bCs/>
      <w:sz w:val="20"/>
      <w:szCs w:val="20"/>
      <w:lang w:val="en-US"/>
    </w:rPr>
  </w:style>
  <w:style w:type="paragraph" w:styleId="Header">
    <w:name w:val="header"/>
    <w:basedOn w:val="Normal"/>
    <w:link w:val="HeaderChar"/>
    <w:uiPriority w:val="99"/>
    <w:unhideWhenUsed/>
    <w:rsid w:val="00EA6F40"/>
    <w:pPr>
      <w:tabs>
        <w:tab w:val="center" w:pos="4320"/>
        <w:tab w:val="right" w:pos="8640"/>
      </w:tabs>
      <w:spacing w:after="0"/>
    </w:pPr>
  </w:style>
  <w:style w:type="character" w:customStyle="1" w:styleId="HeaderChar">
    <w:name w:val="Header Char"/>
    <w:basedOn w:val="DefaultParagraphFont"/>
    <w:link w:val="Header"/>
    <w:uiPriority w:val="99"/>
    <w:rsid w:val="00EA6F40"/>
    <w:rPr>
      <w:rFonts w:asciiTheme="majorHAnsi" w:eastAsiaTheme="minorEastAsia" w:hAnsiTheme="majorHAnsi"/>
      <w:sz w:val="22"/>
      <w:szCs w:val="24"/>
      <w:lang w:val="en-US"/>
    </w:rPr>
  </w:style>
  <w:style w:type="character" w:styleId="FollowedHyperlink">
    <w:name w:val="FollowedHyperlink"/>
    <w:basedOn w:val="DefaultParagraphFont"/>
    <w:uiPriority w:val="99"/>
    <w:semiHidden/>
    <w:unhideWhenUsed/>
    <w:rsid w:val="00EA6F40"/>
    <w:rPr>
      <w:color w:val="800080" w:themeColor="followedHyperlink"/>
      <w:u w:val="single"/>
    </w:rPr>
  </w:style>
  <w:style w:type="paragraph" w:styleId="Revision">
    <w:name w:val="Revision"/>
    <w:hidden/>
    <w:uiPriority w:val="99"/>
    <w:semiHidden/>
    <w:rsid w:val="00EA6F40"/>
    <w:pPr>
      <w:spacing w:after="0" w:line="240" w:lineRule="auto"/>
    </w:pPr>
    <w:rPr>
      <w:rFonts w:asciiTheme="majorHAnsi" w:eastAsiaTheme="minorEastAsia" w:hAnsiTheme="majorHAnsi"/>
      <w:sz w:val="22"/>
      <w:szCs w:val="24"/>
      <w:lang w:val="en-US"/>
    </w:rPr>
  </w:style>
  <w:style w:type="character" w:customStyle="1" w:styleId="apple-converted-space">
    <w:name w:val="apple-converted-space"/>
    <w:basedOn w:val="DefaultParagraphFont"/>
    <w:rsid w:val="00EA6F40"/>
  </w:style>
  <w:style w:type="table" w:customStyle="1" w:styleId="TableGrid1">
    <w:name w:val="Table Grid1"/>
    <w:basedOn w:val="TableNormal"/>
    <w:next w:val="TableGrid"/>
    <w:uiPriority w:val="59"/>
    <w:rsid w:val="00EA6F4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EA6F40"/>
    <w:pPr>
      <w:spacing w:after="0" w:line="240" w:lineRule="auto"/>
    </w:pPr>
    <w:rPr>
      <w:rFonts w:asciiTheme="minorHAnsi" w:eastAsiaTheme="minorEastAsia" w:hAnsiTheme="minorHAnsi"/>
      <w:szCs w:val="24"/>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ColorfulGrid">
    <w:name w:val="Colorful Grid"/>
    <w:basedOn w:val="TableNormal"/>
    <w:uiPriority w:val="73"/>
    <w:rsid w:val="00EA6F40"/>
    <w:pPr>
      <w:spacing w:after="0" w:line="240" w:lineRule="auto"/>
    </w:pPr>
    <w:rPr>
      <w:rFonts w:asciiTheme="minorHAnsi" w:eastAsiaTheme="minorEastAsia" w:hAnsiTheme="minorHAnsi"/>
      <w:color w:val="000000" w:themeColor="text1"/>
      <w:szCs w:val="24"/>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EA6F40"/>
    <w:pPr>
      <w:spacing w:after="0" w:line="240" w:lineRule="auto"/>
    </w:pPr>
    <w:rPr>
      <w:rFonts w:asciiTheme="majorHAnsi" w:eastAsiaTheme="majorEastAsia" w:hAnsiTheme="majorHAnsi" w:cstheme="majorBidi"/>
      <w:color w:val="000000" w:themeColor="text1"/>
      <w:szCs w:val="24"/>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Shading2">
    <w:name w:val="Medium Shading 2"/>
    <w:basedOn w:val="TableNormal"/>
    <w:uiPriority w:val="64"/>
    <w:rsid w:val="00EA6F40"/>
    <w:pPr>
      <w:spacing w:after="0" w:line="240" w:lineRule="auto"/>
    </w:pPr>
    <w:rPr>
      <w:rFonts w:asciiTheme="minorHAnsi" w:eastAsiaTheme="minorEastAsia" w:hAnsiTheme="minorHAnsi"/>
      <w:szCs w:val="24"/>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EA6F40"/>
    <w:pPr>
      <w:spacing w:after="0" w:line="240" w:lineRule="auto"/>
    </w:pPr>
    <w:rPr>
      <w:rFonts w:asciiTheme="minorHAnsi" w:eastAsiaTheme="minorEastAsia" w:hAnsiTheme="minorHAnsi"/>
      <w:szCs w:val="24"/>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EndNoteBibliographyTitle">
    <w:name w:val="EndNote Bibliography Title"/>
    <w:basedOn w:val="Normal"/>
    <w:rsid w:val="00EA6F40"/>
    <w:pPr>
      <w:spacing w:after="0"/>
      <w:jc w:val="center"/>
    </w:pPr>
    <w:rPr>
      <w:rFonts w:ascii="Calibri" w:hAnsi="Calibri"/>
    </w:rPr>
  </w:style>
  <w:style w:type="paragraph" w:customStyle="1" w:styleId="EndNoteBibliography">
    <w:name w:val="EndNote Bibliography"/>
    <w:basedOn w:val="Normal"/>
    <w:rsid w:val="00EA6F40"/>
    <w:rPr>
      <w:rFonts w:ascii="Calibri" w:hAnsi="Calibri"/>
    </w:rPr>
  </w:style>
  <w:style w:type="paragraph" w:styleId="TOC2">
    <w:name w:val="toc 2"/>
    <w:basedOn w:val="Normal"/>
    <w:next w:val="Normal"/>
    <w:autoRedefine/>
    <w:uiPriority w:val="39"/>
    <w:unhideWhenUsed/>
    <w:rsid w:val="00EA6F40"/>
    <w:pPr>
      <w:spacing w:after="0"/>
    </w:pPr>
    <w:rPr>
      <w:b/>
      <w:smallCaps/>
      <w:szCs w:val="22"/>
    </w:rPr>
  </w:style>
  <w:style w:type="paragraph" w:styleId="TOC3">
    <w:name w:val="toc 3"/>
    <w:basedOn w:val="Normal"/>
    <w:next w:val="Normal"/>
    <w:autoRedefine/>
    <w:uiPriority w:val="39"/>
    <w:unhideWhenUsed/>
    <w:rsid w:val="00EA6F40"/>
    <w:pPr>
      <w:spacing w:after="0"/>
    </w:pPr>
    <w:rPr>
      <w:smallCaps/>
      <w:szCs w:val="22"/>
    </w:rPr>
  </w:style>
  <w:style w:type="paragraph" w:styleId="TOC4">
    <w:name w:val="toc 4"/>
    <w:basedOn w:val="Normal"/>
    <w:next w:val="Normal"/>
    <w:autoRedefine/>
    <w:uiPriority w:val="39"/>
    <w:unhideWhenUsed/>
    <w:rsid w:val="00EA6F40"/>
    <w:pPr>
      <w:spacing w:after="0"/>
    </w:pPr>
    <w:rPr>
      <w:szCs w:val="22"/>
    </w:rPr>
  </w:style>
  <w:style w:type="paragraph" w:styleId="TOC5">
    <w:name w:val="toc 5"/>
    <w:basedOn w:val="Normal"/>
    <w:next w:val="Normal"/>
    <w:autoRedefine/>
    <w:uiPriority w:val="39"/>
    <w:unhideWhenUsed/>
    <w:rsid w:val="00EA6F40"/>
    <w:pPr>
      <w:spacing w:after="0"/>
    </w:pPr>
    <w:rPr>
      <w:szCs w:val="22"/>
    </w:rPr>
  </w:style>
  <w:style w:type="paragraph" w:styleId="TOC6">
    <w:name w:val="toc 6"/>
    <w:basedOn w:val="Normal"/>
    <w:next w:val="Normal"/>
    <w:autoRedefine/>
    <w:uiPriority w:val="39"/>
    <w:unhideWhenUsed/>
    <w:rsid w:val="00EA6F40"/>
    <w:pPr>
      <w:spacing w:after="0"/>
    </w:pPr>
    <w:rPr>
      <w:szCs w:val="22"/>
    </w:rPr>
  </w:style>
  <w:style w:type="paragraph" w:styleId="TOC7">
    <w:name w:val="toc 7"/>
    <w:basedOn w:val="Normal"/>
    <w:next w:val="Normal"/>
    <w:autoRedefine/>
    <w:uiPriority w:val="39"/>
    <w:unhideWhenUsed/>
    <w:rsid w:val="00EA6F40"/>
    <w:pPr>
      <w:spacing w:after="0"/>
    </w:pPr>
    <w:rPr>
      <w:szCs w:val="22"/>
    </w:rPr>
  </w:style>
  <w:style w:type="paragraph" w:styleId="TOC8">
    <w:name w:val="toc 8"/>
    <w:basedOn w:val="Normal"/>
    <w:next w:val="Normal"/>
    <w:autoRedefine/>
    <w:uiPriority w:val="39"/>
    <w:unhideWhenUsed/>
    <w:rsid w:val="00EA6F40"/>
    <w:pPr>
      <w:spacing w:after="0"/>
    </w:pPr>
    <w:rPr>
      <w:szCs w:val="22"/>
    </w:rPr>
  </w:style>
  <w:style w:type="paragraph" w:styleId="TOC9">
    <w:name w:val="toc 9"/>
    <w:basedOn w:val="Normal"/>
    <w:next w:val="Normal"/>
    <w:autoRedefine/>
    <w:uiPriority w:val="39"/>
    <w:unhideWhenUsed/>
    <w:rsid w:val="00EA6F40"/>
    <w:pPr>
      <w:spacing w:after="0"/>
    </w:pPr>
    <w:rPr>
      <w:szCs w:val="22"/>
    </w:rPr>
  </w:style>
  <w:style w:type="paragraph" w:styleId="BodyTextIndent">
    <w:name w:val="Body Text Indent"/>
    <w:basedOn w:val="Normal"/>
    <w:link w:val="BodyTextIndentChar"/>
    <w:rsid w:val="00EA6F40"/>
    <w:pPr>
      <w:tabs>
        <w:tab w:val="left" w:pos="340"/>
      </w:tabs>
      <w:spacing w:after="0"/>
      <w:ind w:left="340" w:hanging="340"/>
    </w:pPr>
    <w:rPr>
      <w:rFonts w:ascii="Times" w:eastAsia="Times New Roman" w:hAnsi="Times" w:cs="Times New Roman"/>
      <w:sz w:val="24"/>
      <w:szCs w:val="20"/>
      <w:lang w:val="en-GB"/>
    </w:rPr>
  </w:style>
  <w:style w:type="character" w:customStyle="1" w:styleId="BodyTextIndentChar">
    <w:name w:val="Body Text Indent Char"/>
    <w:basedOn w:val="DefaultParagraphFont"/>
    <w:link w:val="BodyTextIndent"/>
    <w:rsid w:val="00EA6F40"/>
    <w:rPr>
      <w:rFonts w:ascii="Times" w:eastAsia="Times New Roman" w:hAnsi="Times" w:cs="Times New Roman"/>
      <w:szCs w:val="20"/>
      <w:lang w:val="en-GB"/>
    </w:rPr>
  </w:style>
  <w:style w:type="paragraph" w:styleId="BodyText">
    <w:name w:val="Body Text"/>
    <w:basedOn w:val="Normal"/>
    <w:link w:val="BodyTextChar"/>
    <w:rsid w:val="00EA6F40"/>
    <w:pPr>
      <w:widowControl w:val="0"/>
    </w:pPr>
    <w:rPr>
      <w:rFonts w:ascii="Courier" w:eastAsia="Times New Roman" w:hAnsi="Courier" w:cs="Times New Roman"/>
      <w:snapToGrid w:val="0"/>
      <w:sz w:val="24"/>
      <w:szCs w:val="20"/>
    </w:rPr>
  </w:style>
  <w:style w:type="character" w:customStyle="1" w:styleId="BodyTextChar">
    <w:name w:val="Body Text Char"/>
    <w:basedOn w:val="DefaultParagraphFont"/>
    <w:link w:val="BodyText"/>
    <w:rsid w:val="00EA6F40"/>
    <w:rPr>
      <w:rFonts w:ascii="Courier" w:eastAsia="Times New Roman" w:hAnsi="Courier" w:cs="Times New Roman"/>
      <w:snapToGrid w:val="0"/>
      <w:szCs w:val="20"/>
      <w:lang w:val="en-US"/>
    </w:rPr>
  </w:style>
  <w:style w:type="paragraph" w:customStyle="1" w:styleId="Pa4">
    <w:name w:val="Pa4"/>
    <w:basedOn w:val="Default"/>
    <w:next w:val="Default"/>
    <w:uiPriority w:val="99"/>
    <w:rsid w:val="00EA6F40"/>
    <w:pPr>
      <w:widowControl/>
      <w:spacing w:line="201" w:lineRule="atLeast"/>
    </w:pPr>
    <w:rPr>
      <w:rFonts w:ascii="Tiempos Text Regular" w:hAnsi="Tiempos Text Regular" w:cstheme="minorBidi"/>
      <w:color w:val="auto"/>
      <w:lang w:eastAsia="zh-CN"/>
    </w:rPr>
  </w:style>
  <w:style w:type="character" w:styleId="Strong">
    <w:name w:val="Strong"/>
    <w:basedOn w:val="DefaultParagraphFont"/>
    <w:uiPriority w:val="22"/>
    <w:qFormat/>
    <w:rsid w:val="00BA5093"/>
    <w:rPr>
      <w:rFonts w:asciiTheme="minorHAnsi" w:hAnsiTheme="minorHAnsi"/>
      <w:b/>
      <w:bCs/>
      <w:sz w:val="22"/>
      <w:u w:val="none"/>
      <w:bdr w:val="none" w:sz="0" w:space="0" w:color="auto"/>
    </w:rPr>
  </w:style>
  <w:style w:type="paragraph" w:styleId="Subtitle">
    <w:name w:val="Subtitle"/>
    <w:basedOn w:val="Normal"/>
    <w:next w:val="Normal"/>
    <w:link w:val="SubtitleChar"/>
    <w:uiPriority w:val="11"/>
    <w:qFormat/>
    <w:rsid w:val="00955FE4"/>
    <w:pPr>
      <w:numPr>
        <w:ilvl w:val="1"/>
      </w:numPr>
      <w:jc w:val="center"/>
    </w:pPr>
    <w:rPr>
      <w:rFonts w:ascii="Calibri" w:eastAsiaTheme="majorEastAsia" w:hAnsi="Calibri" w:cstheme="majorBidi"/>
      <w:b/>
      <w:iCs/>
      <w:spacing w:val="15"/>
      <w:sz w:val="36"/>
    </w:rPr>
  </w:style>
  <w:style w:type="character" w:customStyle="1" w:styleId="SubtitleChar">
    <w:name w:val="Subtitle Char"/>
    <w:basedOn w:val="DefaultParagraphFont"/>
    <w:link w:val="Subtitle"/>
    <w:uiPriority w:val="11"/>
    <w:rsid w:val="00955FE4"/>
    <w:rPr>
      <w:rFonts w:ascii="Calibri" w:eastAsiaTheme="majorEastAsia" w:hAnsi="Calibri" w:cstheme="majorBidi"/>
      <w:b/>
      <w:iCs/>
      <w:spacing w:val="15"/>
      <w:sz w:val="36"/>
      <w:szCs w:val="24"/>
      <w:lang w:val="en-US"/>
    </w:rPr>
  </w:style>
  <w:style w:type="character" w:styleId="IntenseEmphasis">
    <w:name w:val="Intense Emphasis"/>
    <w:basedOn w:val="DefaultParagraphFont"/>
    <w:uiPriority w:val="21"/>
    <w:qFormat/>
    <w:rsid w:val="002652A1"/>
    <w:rPr>
      <w:rFonts w:asciiTheme="minorHAnsi" w:hAnsiTheme="minorHAnsi"/>
      <w:b/>
      <w:bCs/>
      <w:i/>
      <w:iCs/>
      <w:color w:val="auto"/>
      <w:sz w:val="24"/>
    </w:rPr>
  </w:style>
  <w:style w:type="paragraph" w:styleId="Caption">
    <w:name w:val="caption"/>
    <w:basedOn w:val="Normal"/>
    <w:next w:val="Normal"/>
    <w:autoRedefine/>
    <w:uiPriority w:val="35"/>
    <w:unhideWhenUsed/>
    <w:qFormat/>
    <w:rsid w:val="00F26CF0"/>
    <w:pPr>
      <w:spacing w:after="200"/>
    </w:pPr>
    <w:rPr>
      <w:b/>
      <w:bCs/>
      <w:color w:val="000000" w:themeColor="text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thyroidmanager.org/chapter/the-iodine-deficiency-disorders/" TargetMode="External"/><Relationship Id="rId3" Type="http://schemas.openxmlformats.org/officeDocument/2006/relationships/styles" Target="styles.xml"/><Relationship Id="rId21" Type="http://schemas.openxmlformats.org/officeDocument/2006/relationships/hyperlink" Target="http://www.nhmrc.gov.au/_files_nhmrc/file/guidelinesevidence_statement_form.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foodstandards.gov.au/code/proposals/documents/P1003%20SD9%20&#8211;Safety%20Assessment.pdf" TargetMode="External"/><Relationship Id="rId2" Type="http://schemas.openxmlformats.org/officeDocument/2006/relationships/numbering" Target="numbering.xml"/><Relationship Id="rId16" Type="http://schemas.openxmlformats.org/officeDocument/2006/relationships/hyperlink" Target="http://www.thyroidmanager.org/chapter/the-iodine-deficiency-disorders/" TargetMode="External"/><Relationship Id="rId20" Type="http://schemas.openxmlformats.org/officeDocument/2006/relationships/hyperlink" Target="http://www.nhmrc.gov.au/_files_nhmrc/publications/attachments/n3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bs.gov.au/ausstats/abs@.nsf/Lookup/4364.0.55.006%20Chapter1202011-12"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foodsafety.govt.nz/elibrary/industry/mandatory-fortification-bread-iodine.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E2F79-EF9E-4DF0-A1A8-4A6FCAB76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124</Pages>
  <Words>29783</Words>
  <Characters>169767</Characters>
  <Application>Microsoft Office Word</Application>
  <DocSecurity>0</DocSecurity>
  <Lines>1414</Lines>
  <Paragraphs>398</Paragraphs>
  <ScaleCrop>false</ScaleCrop>
  <HeadingPairs>
    <vt:vector size="2" baseType="variant">
      <vt:variant>
        <vt:lpstr>Title</vt:lpstr>
      </vt:variant>
      <vt:variant>
        <vt:i4>1</vt:i4>
      </vt:variant>
    </vt:vector>
  </HeadingPairs>
  <TitlesOfParts>
    <vt:vector size="1" baseType="lpstr">
      <vt:lpstr>Australia and New Zealand Nutrient Reference Values for Iodine</vt:lpstr>
    </vt:vector>
  </TitlesOfParts>
  <Company>Dept Health And Ageing</Company>
  <LinksUpToDate>false</LinksUpToDate>
  <CharactersWithSpaces>199152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and New Zealand Nutrient Reference Values for Iodine</dc:title>
  <dc:subject>Iodine;Nutrient</dc:subject>
  <dc:creator>Department of Health</dc:creator>
  <cp:keywords>Iodine;Nutrient</cp:keywords>
  <cp:lastModifiedBy>van der Straaten Susannah</cp:lastModifiedBy>
  <cp:revision>2</cp:revision>
  <cp:lastPrinted>2015-09-24T22:34:00Z</cp:lastPrinted>
  <dcterms:created xsi:type="dcterms:W3CDTF">2015-10-26T23:29:00Z</dcterms:created>
  <dcterms:modified xsi:type="dcterms:W3CDTF">2015-10-26T23:29:00Z</dcterms:modified>
  <cp:category>Iodine</cp:category>
</cp:coreProperties>
</file>